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ED5BC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ED5BC5">
      <w:pPr>
        <w:pStyle w:val="StyleBoldCentered"/>
      </w:pPr>
      <w:r>
        <w:t>F</w:t>
      </w:r>
      <w:r>
        <w:rPr>
          <w:caps w:val="0"/>
        </w:rPr>
        <w:t>ederal Communications Commission</w:t>
      </w:r>
    </w:p>
    <w:p w:rsidR="004C2EE3" w:rsidRDefault="00810B6F" w:rsidP="00ED5BC5">
      <w:pPr>
        <w:pStyle w:val="StyleBoldCentered"/>
      </w:pPr>
      <w:r>
        <w:rPr>
          <w:caps w:val="0"/>
        </w:rPr>
        <w:t>Washington, D.C. 20554</w:t>
      </w:r>
    </w:p>
    <w:p w:rsidR="004C2EE3" w:rsidRDefault="004C2EE3" w:rsidP="00ED5BC5"/>
    <w:tbl>
      <w:tblPr>
        <w:tblW w:w="9576" w:type="dxa"/>
        <w:tblLayout w:type="fixed"/>
        <w:tblLook w:val="0000" w:firstRow="0" w:lastRow="0" w:firstColumn="0" w:lastColumn="0" w:noHBand="0" w:noVBand="0"/>
      </w:tblPr>
      <w:tblGrid>
        <w:gridCol w:w="4698"/>
        <w:gridCol w:w="630"/>
        <w:gridCol w:w="4248"/>
      </w:tblGrid>
      <w:tr w:rsidR="004C2EE3" w:rsidTr="00FC5A18">
        <w:tc>
          <w:tcPr>
            <w:tcW w:w="4698" w:type="dxa"/>
          </w:tcPr>
          <w:p w:rsidR="004C2EE3" w:rsidRDefault="004C2EE3" w:rsidP="00ED5BC5">
            <w:pPr>
              <w:tabs>
                <w:tab w:val="center" w:pos="4680"/>
              </w:tabs>
              <w:suppressAutoHyphens/>
              <w:rPr>
                <w:spacing w:val="-2"/>
              </w:rPr>
            </w:pPr>
            <w:r>
              <w:rPr>
                <w:spacing w:val="-2"/>
              </w:rPr>
              <w:t>In the Matter of</w:t>
            </w:r>
          </w:p>
          <w:p w:rsidR="004C2EE3" w:rsidRDefault="004C2EE3" w:rsidP="00ED5BC5">
            <w:pPr>
              <w:tabs>
                <w:tab w:val="center" w:pos="4680"/>
              </w:tabs>
              <w:suppressAutoHyphens/>
              <w:rPr>
                <w:spacing w:val="-2"/>
              </w:rPr>
            </w:pPr>
          </w:p>
          <w:p w:rsidR="004C2EE3" w:rsidRDefault="003F6E6D" w:rsidP="00ED5BC5">
            <w:pPr>
              <w:tabs>
                <w:tab w:val="center" w:pos="4680"/>
              </w:tabs>
              <w:suppressAutoHyphens/>
              <w:rPr>
                <w:spacing w:val="-2"/>
              </w:rPr>
            </w:pPr>
            <w:r>
              <w:rPr>
                <w:spacing w:val="-2"/>
              </w:rPr>
              <w:t>MITCHELL F. BRECHER</w:t>
            </w:r>
          </w:p>
          <w:p w:rsidR="003F6E6D" w:rsidRDefault="003F6E6D" w:rsidP="00ED5BC5">
            <w:pPr>
              <w:tabs>
                <w:tab w:val="center" w:pos="4680"/>
              </w:tabs>
              <w:suppressAutoHyphens/>
              <w:rPr>
                <w:spacing w:val="-2"/>
              </w:rPr>
            </w:pPr>
          </w:p>
          <w:p w:rsidR="003F6E6D" w:rsidRPr="007115F7" w:rsidRDefault="003F6E6D" w:rsidP="00ED5BC5">
            <w:pPr>
              <w:tabs>
                <w:tab w:val="center" w:pos="4680"/>
              </w:tabs>
              <w:suppressAutoHyphens/>
              <w:rPr>
                <w:spacing w:val="-2"/>
              </w:rPr>
            </w:pPr>
            <w:r>
              <w:rPr>
                <w:spacing w:val="-2"/>
              </w:rPr>
              <w:t>On Request for Inspection of Records</w:t>
            </w:r>
          </w:p>
        </w:tc>
        <w:tc>
          <w:tcPr>
            <w:tcW w:w="630" w:type="dxa"/>
          </w:tcPr>
          <w:p w:rsidR="004C2EE3" w:rsidRDefault="004C2EE3" w:rsidP="00ED5BC5">
            <w:pPr>
              <w:tabs>
                <w:tab w:val="center" w:pos="4680"/>
              </w:tabs>
              <w:suppressAutoHyphens/>
              <w:rPr>
                <w:b/>
                <w:spacing w:val="-2"/>
              </w:rPr>
            </w:pPr>
            <w:r>
              <w:rPr>
                <w:b/>
                <w:spacing w:val="-2"/>
              </w:rPr>
              <w:t>)</w:t>
            </w:r>
          </w:p>
          <w:p w:rsidR="004C2EE3" w:rsidRDefault="004C2EE3" w:rsidP="00ED5BC5">
            <w:pPr>
              <w:tabs>
                <w:tab w:val="center" w:pos="4680"/>
              </w:tabs>
              <w:suppressAutoHyphens/>
              <w:rPr>
                <w:b/>
                <w:spacing w:val="-2"/>
              </w:rPr>
            </w:pPr>
            <w:r>
              <w:rPr>
                <w:b/>
                <w:spacing w:val="-2"/>
              </w:rPr>
              <w:t>)</w:t>
            </w:r>
          </w:p>
          <w:p w:rsidR="004C2EE3" w:rsidRDefault="004C2EE3" w:rsidP="00ED5BC5">
            <w:pPr>
              <w:tabs>
                <w:tab w:val="center" w:pos="4680"/>
              </w:tabs>
              <w:suppressAutoHyphens/>
              <w:rPr>
                <w:b/>
                <w:spacing w:val="-2"/>
              </w:rPr>
            </w:pPr>
            <w:r>
              <w:rPr>
                <w:b/>
                <w:spacing w:val="-2"/>
              </w:rPr>
              <w:t>)</w:t>
            </w:r>
          </w:p>
          <w:p w:rsidR="004C2EE3" w:rsidRDefault="004C2EE3" w:rsidP="00ED5BC5">
            <w:pPr>
              <w:tabs>
                <w:tab w:val="center" w:pos="4680"/>
              </w:tabs>
              <w:suppressAutoHyphens/>
              <w:rPr>
                <w:b/>
                <w:spacing w:val="-2"/>
              </w:rPr>
            </w:pPr>
            <w:r>
              <w:rPr>
                <w:b/>
                <w:spacing w:val="-2"/>
              </w:rPr>
              <w:t>)</w:t>
            </w:r>
          </w:p>
          <w:p w:rsidR="004C2EE3" w:rsidRDefault="004C2EE3" w:rsidP="00ED5BC5">
            <w:pPr>
              <w:tabs>
                <w:tab w:val="center" w:pos="4680"/>
              </w:tabs>
              <w:suppressAutoHyphens/>
              <w:rPr>
                <w:spacing w:val="-2"/>
              </w:rPr>
            </w:pPr>
            <w:r>
              <w:rPr>
                <w:b/>
                <w:spacing w:val="-2"/>
              </w:rPr>
              <w:t>)</w:t>
            </w:r>
          </w:p>
        </w:tc>
        <w:tc>
          <w:tcPr>
            <w:tcW w:w="4248" w:type="dxa"/>
          </w:tcPr>
          <w:p w:rsidR="004C2EE3" w:rsidRDefault="004C2EE3" w:rsidP="00ED5BC5">
            <w:pPr>
              <w:tabs>
                <w:tab w:val="center" w:pos="4680"/>
              </w:tabs>
              <w:suppressAutoHyphens/>
              <w:rPr>
                <w:spacing w:val="-2"/>
              </w:rPr>
            </w:pPr>
          </w:p>
          <w:p w:rsidR="004C2EE3" w:rsidRDefault="004C2EE3" w:rsidP="00ED5BC5">
            <w:pPr>
              <w:pStyle w:val="TOAHeading"/>
              <w:tabs>
                <w:tab w:val="clear" w:pos="9360"/>
                <w:tab w:val="center" w:pos="4680"/>
              </w:tabs>
              <w:rPr>
                <w:spacing w:val="-2"/>
              </w:rPr>
            </w:pPr>
          </w:p>
          <w:p w:rsidR="004C2EE3" w:rsidRDefault="003F6E6D" w:rsidP="00ED5BC5">
            <w:pPr>
              <w:tabs>
                <w:tab w:val="center" w:pos="4680"/>
              </w:tabs>
              <w:suppressAutoHyphens/>
              <w:rPr>
                <w:spacing w:val="-2"/>
              </w:rPr>
            </w:pPr>
            <w:r>
              <w:rPr>
                <w:spacing w:val="-2"/>
              </w:rPr>
              <w:t>FOIA Control No. 2014-</w:t>
            </w:r>
            <w:r w:rsidR="00F35AC0">
              <w:rPr>
                <w:spacing w:val="-2"/>
              </w:rPr>
              <w:t>3</w:t>
            </w:r>
            <w:r>
              <w:rPr>
                <w:spacing w:val="-2"/>
              </w:rPr>
              <w:t>38</w:t>
            </w:r>
          </w:p>
        </w:tc>
      </w:tr>
    </w:tbl>
    <w:p w:rsidR="004C2EE3" w:rsidRDefault="004C2EE3" w:rsidP="00ED5BC5"/>
    <w:p w:rsidR="00841AB1" w:rsidRDefault="003F6E6D" w:rsidP="00ED5BC5">
      <w:pPr>
        <w:pStyle w:val="StyleBoldCentered"/>
      </w:pPr>
      <w:r>
        <w:t>MEMORANDUM OPINION AND ORDER</w:t>
      </w:r>
    </w:p>
    <w:p w:rsidR="004C2EE3" w:rsidRDefault="004C2EE3" w:rsidP="00ED5BC5">
      <w:pPr>
        <w:tabs>
          <w:tab w:val="left" w:pos="-720"/>
        </w:tabs>
        <w:suppressAutoHyphens/>
        <w:rPr>
          <w:spacing w:val="-2"/>
        </w:rPr>
      </w:pPr>
    </w:p>
    <w:p w:rsidR="004C2EE3" w:rsidRDefault="004C2EE3" w:rsidP="00ED5BC5">
      <w:pPr>
        <w:tabs>
          <w:tab w:val="left" w:pos="720"/>
          <w:tab w:val="right" w:pos="9360"/>
        </w:tabs>
        <w:suppressAutoHyphens/>
        <w:rPr>
          <w:spacing w:val="-2"/>
        </w:rPr>
      </w:pPr>
      <w:r>
        <w:rPr>
          <w:b/>
          <w:spacing w:val="-2"/>
        </w:rPr>
        <w:t xml:space="preserve">Adopted:  </w:t>
      </w:r>
      <w:r w:rsidR="00172723">
        <w:rPr>
          <w:b/>
          <w:spacing w:val="-2"/>
        </w:rPr>
        <w:t>March 22,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2723">
        <w:rPr>
          <w:b/>
          <w:spacing w:val="-2"/>
        </w:rPr>
        <w:t xml:space="preserve">March </w:t>
      </w:r>
      <w:r w:rsidR="00E26B03">
        <w:rPr>
          <w:b/>
          <w:spacing w:val="-2"/>
        </w:rPr>
        <w:t>29</w:t>
      </w:r>
      <w:r w:rsidR="00172723">
        <w:rPr>
          <w:b/>
          <w:spacing w:val="-2"/>
        </w:rPr>
        <w:t>, 2016</w:t>
      </w:r>
    </w:p>
    <w:p w:rsidR="00822CE0" w:rsidRDefault="00822CE0" w:rsidP="00ED5BC5"/>
    <w:p w:rsidR="004C2EE3" w:rsidRDefault="004C2EE3" w:rsidP="00ED5BC5">
      <w:pPr>
        <w:rPr>
          <w:spacing w:val="-2"/>
        </w:rPr>
      </w:pPr>
      <w:r>
        <w:t xml:space="preserve">By </w:t>
      </w:r>
      <w:r w:rsidR="004E4A22">
        <w:t>the</w:t>
      </w:r>
      <w:r w:rsidR="002A2D2E">
        <w:t xml:space="preserve"> </w:t>
      </w:r>
      <w:r w:rsidR="003F6E6D">
        <w:rPr>
          <w:spacing w:val="-2"/>
        </w:rPr>
        <w:t>Commission:</w:t>
      </w:r>
      <w:r w:rsidR="00172723">
        <w:rPr>
          <w:spacing w:val="-2"/>
        </w:rPr>
        <w:t xml:space="preserve">  Commissioner O’Rielly approving in part, dissenting in part and issuing a statement</w:t>
      </w:r>
    </w:p>
    <w:p w:rsidR="00822CE0" w:rsidRDefault="00822CE0" w:rsidP="00ED5BC5">
      <w:pPr>
        <w:rPr>
          <w:spacing w:val="-2"/>
        </w:rPr>
      </w:pPr>
    </w:p>
    <w:p w:rsidR="00412FC5" w:rsidRDefault="00412FC5" w:rsidP="00ED5BC5"/>
    <w:p w:rsidR="002C00E8" w:rsidRDefault="003F6E6D" w:rsidP="00ED5BC5">
      <w:pPr>
        <w:pStyle w:val="Heading1"/>
      </w:pPr>
      <w:r>
        <w:t>INTRODUCTION</w:t>
      </w:r>
    </w:p>
    <w:p w:rsidR="003F6E6D" w:rsidRDefault="000460F5" w:rsidP="00ED5BC5">
      <w:pPr>
        <w:pStyle w:val="ParaNum"/>
      </w:pPr>
      <w:r>
        <w:t xml:space="preserve">By this memorandum opinion and order, we </w:t>
      </w:r>
      <w:r w:rsidR="002C77F2">
        <w:t>deny an application for review filed by Mitchell F. Brecher (Brecher)</w:t>
      </w:r>
      <w:r w:rsidR="002C77F2">
        <w:rPr>
          <w:rStyle w:val="FootnoteReference"/>
        </w:rPr>
        <w:footnoteReference w:id="2"/>
      </w:r>
      <w:r w:rsidR="002C77F2">
        <w:t xml:space="preserve"> seeking review of a decision of the Wireline Competition Bureau (WCB)</w:t>
      </w:r>
      <w:r w:rsidR="00923CE1">
        <w:rPr>
          <w:rStyle w:val="FootnoteReference"/>
        </w:rPr>
        <w:footnoteReference w:id="3"/>
      </w:r>
      <w:r w:rsidR="002C77F2">
        <w:t xml:space="preserve"> </w:t>
      </w:r>
      <w:r w:rsidR="00982E15">
        <w:t>that denied</w:t>
      </w:r>
      <w:r w:rsidR="002C77F2">
        <w:t xml:space="preserve"> his Freedom of Informat</w:t>
      </w:r>
      <w:r w:rsidR="00EB0E4D">
        <w:t>i</w:t>
      </w:r>
      <w:r w:rsidR="002C77F2">
        <w:t>on Act (FOIA) request.</w:t>
      </w:r>
      <w:r w:rsidR="00923CE1">
        <w:rPr>
          <w:rStyle w:val="FootnoteReference"/>
        </w:rPr>
        <w:footnoteReference w:id="4"/>
      </w:r>
      <w:r w:rsidR="00DF7BB5">
        <w:t xml:space="preserve"> </w:t>
      </w:r>
      <w:r w:rsidR="00DF6B48">
        <w:t xml:space="preserve"> </w:t>
      </w:r>
      <w:r w:rsidR="00DF7BB5">
        <w:t>We find that</w:t>
      </w:r>
      <w:r w:rsidR="00F35AC0">
        <w:t xml:space="preserve"> WCB properly found that </w:t>
      </w:r>
      <w:r w:rsidR="00697399">
        <w:t xml:space="preserve">the </w:t>
      </w:r>
      <w:r w:rsidR="00F35AC0">
        <w:t>records responsive to the Request are exempt under FOIA Exemptions 5 and 7</w:t>
      </w:r>
      <w:r w:rsidR="00DF7BB5">
        <w:t xml:space="preserve">. </w:t>
      </w:r>
      <w:r w:rsidR="00697399">
        <w:t xml:space="preserve"> </w:t>
      </w:r>
    </w:p>
    <w:p w:rsidR="00DF7BB5" w:rsidRDefault="00DF7BB5" w:rsidP="00ED5BC5">
      <w:pPr>
        <w:pStyle w:val="Heading1"/>
      </w:pPr>
      <w:r>
        <w:t>BACKGROUND</w:t>
      </w:r>
    </w:p>
    <w:p w:rsidR="00DF7BB5" w:rsidRDefault="00EB0E4D" w:rsidP="00ED5BC5">
      <w:pPr>
        <w:pStyle w:val="ParaNum"/>
      </w:pPr>
      <w:r>
        <w:t>Brecher, an attorney</w:t>
      </w:r>
      <w:r w:rsidR="00A846BA">
        <w:t xml:space="preserve"> with the </w:t>
      </w:r>
      <w:r w:rsidR="00DF6B48">
        <w:t xml:space="preserve">law </w:t>
      </w:r>
      <w:r w:rsidR="00A846BA">
        <w:t>firm Greenberg Traurig, LLP</w:t>
      </w:r>
      <w:r>
        <w:t>, seeks information related to</w:t>
      </w:r>
      <w:r w:rsidR="00A846BA">
        <w:t xml:space="preserve"> </w:t>
      </w:r>
      <w:r w:rsidR="0066224F">
        <w:t>N</w:t>
      </w:r>
      <w:r>
        <w:t xml:space="preserve">otices of </w:t>
      </w:r>
      <w:r w:rsidR="0066224F">
        <w:t>A</w:t>
      </w:r>
      <w:r w:rsidR="002F1D21">
        <w:t xml:space="preserve">pparent </w:t>
      </w:r>
      <w:r w:rsidR="0066224F">
        <w:t>L</w:t>
      </w:r>
      <w:r w:rsidR="002F1D21">
        <w:t xml:space="preserve">iability </w:t>
      </w:r>
      <w:r w:rsidR="00BF661F">
        <w:t xml:space="preserve">(NALs) </w:t>
      </w:r>
      <w:r>
        <w:t xml:space="preserve">issued to </w:t>
      </w:r>
      <w:r w:rsidR="00A846BA">
        <w:t xml:space="preserve">the firm’s </w:t>
      </w:r>
      <w:r>
        <w:t>client</w:t>
      </w:r>
      <w:r w:rsidR="00B5184A">
        <w:t xml:space="preserve"> TracFone Wireless, Inc. (TracFone) and </w:t>
      </w:r>
      <w:r w:rsidR="0066224F">
        <w:t xml:space="preserve">to </w:t>
      </w:r>
      <w:r w:rsidR="00B5184A">
        <w:t>11 other companies for violations of the rules regarding the Commission’s Lifeline program.</w:t>
      </w:r>
      <w:r w:rsidR="00366058">
        <w:rPr>
          <w:rStyle w:val="FootnoteReference"/>
        </w:rPr>
        <w:footnoteReference w:id="5"/>
      </w:r>
      <w:r w:rsidR="00B5184A">
        <w:t xml:space="preserve">  </w:t>
      </w:r>
      <w:r w:rsidR="00F03D74">
        <w:t xml:space="preserve">The </w:t>
      </w:r>
      <w:r w:rsidR="00B5184A">
        <w:t>Lifeline</w:t>
      </w:r>
      <w:r w:rsidR="00F03D74">
        <w:t xml:space="preserve"> program</w:t>
      </w:r>
      <w:r w:rsidR="00022505">
        <w:t xml:space="preserve">, a part of the Universal Service Fund, </w:t>
      </w:r>
      <w:r w:rsidR="00B5184A">
        <w:t xml:space="preserve">provides </w:t>
      </w:r>
      <w:r w:rsidR="00F35AC0">
        <w:t xml:space="preserve">reimbursement </w:t>
      </w:r>
      <w:r w:rsidR="00B5184A">
        <w:t>to Eligible Telecommunications</w:t>
      </w:r>
      <w:r w:rsidR="006D2F8F">
        <w:t xml:space="preserve"> </w:t>
      </w:r>
      <w:r w:rsidR="00B5184A">
        <w:t xml:space="preserve">Carriers (ETCs) that supply </w:t>
      </w:r>
      <w:r w:rsidR="00F35AC0">
        <w:t xml:space="preserve">discounted </w:t>
      </w:r>
      <w:r w:rsidR="00B5184A">
        <w:t>telephone service to qualifying low-income subscribers.</w:t>
      </w:r>
      <w:r w:rsidR="00366058">
        <w:rPr>
          <w:rStyle w:val="FootnoteReference"/>
        </w:rPr>
        <w:footnoteReference w:id="6"/>
      </w:r>
      <w:r w:rsidR="00B5184A">
        <w:t xml:space="preserve">  </w:t>
      </w:r>
      <w:r w:rsidR="00022505">
        <w:t xml:space="preserve">The Commission found that </w:t>
      </w:r>
      <w:r w:rsidR="00B5184A">
        <w:t xml:space="preserve">TracFone and the other 11 ETCs </w:t>
      </w:r>
      <w:r w:rsidR="00BF661F">
        <w:t xml:space="preserve">apparently </w:t>
      </w:r>
      <w:r w:rsidR="00B5184A">
        <w:t xml:space="preserve">violated the Lifeline rules by </w:t>
      </w:r>
      <w:r w:rsidR="00022505">
        <w:t xml:space="preserve">obtaining </w:t>
      </w:r>
      <w:r w:rsidR="00B5184A">
        <w:t xml:space="preserve">support for duplicate subscribers from the same household.  </w:t>
      </w:r>
      <w:r w:rsidR="006D2F8F">
        <w:t xml:space="preserve"> The Commission assessed a forfeiture of </w:t>
      </w:r>
      <w:r w:rsidR="00022505">
        <w:t xml:space="preserve">$4,573,376 against </w:t>
      </w:r>
      <w:r w:rsidR="002F1D21">
        <w:t>T</w:t>
      </w:r>
      <w:r w:rsidR="00022505">
        <w:t>racFone</w:t>
      </w:r>
      <w:r w:rsidR="00982E15">
        <w:t>.</w:t>
      </w:r>
      <w:r w:rsidR="00346230">
        <w:rPr>
          <w:rStyle w:val="FootnoteReference"/>
        </w:rPr>
        <w:footnoteReference w:id="7"/>
      </w:r>
      <w:r w:rsidR="00B5184A">
        <w:t xml:space="preserve"> </w:t>
      </w:r>
      <w:r>
        <w:t xml:space="preserve"> </w:t>
      </w:r>
      <w:r w:rsidR="002F1D21">
        <w:t>The forfeiture</w:t>
      </w:r>
      <w:r w:rsidR="00F35AC0">
        <w:t xml:space="preserve"> was </w:t>
      </w:r>
      <w:r w:rsidR="002F1D21">
        <w:t xml:space="preserve">based on </w:t>
      </w:r>
      <w:r w:rsidR="00F03D74">
        <w:t xml:space="preserve">reviews </w:t>
      </w:r>
      <w:r w:rsidR="002F1D21">
        <w:t>of</w:t>
      </w:r>
      <w:r w:rsidR="00DF6B48">
        <w:t xml:space="preserve"> </w:t>
      </w:r>
      <w:r w:rsidR="002F1D21">
        <w:t>Lifeline enrollment</w:t>
      </w:r>
      <w:r w:rsidR="00BE2D88">
        <w:t xml:space="preserve"> data</w:t>
      </w:r>
      <w:r w:rsidR="00DF6B48">
        <w:t xml:space="preserve"> </w:t>
      </w:r>
      <w:r w:rsidR="00F35AC0">
        <w:t>provided by TracFone</w:t>
      </w:r>
      <w:r w:rsidR="0066224F">
        <w:t xml:space="preserve">. The </w:t>
      </w:r>
      <w:r w:rsidR="00F03D74">
        <w:t>reviews</w:t>
      </w:r>
      <w:r w:rsidR="0066224F">
        <w:t>, referred to as</w:t>
      </w:r>
      <w:r w:rsidR="002F1D21">
        <w:t xml:space="preserve"> “in-depth </w:t>
      </w:r>
      <w:r w:rsidR="00F35AC0">
        <w:t xml:space="preserve">data </w:t>
      </w:r>
      <w:r w:rsidR="002F1D21">
        <w:t>validations” (IDVs)</w:t>
      </w:r>
      <w:r w:rsidR="00055D99">
        <w:t xml:space="preserve">, were </w:t>
      </w:r>
      <w:r w:rsidR="002F1D21">
        <w:t xml:space="preserve">conducted by the Universal Service Administrative Company (USAC), </w:t>
      </w:r>
      <w:r w:rsidR="00BE2D88">
        <w:t xml:space="preserve">the administrator of Lifeline </w:t>
      </w:r>
      <w:r w:rsidR="002F1D21">
        <w:t>for the Commission.</w:t>
      </w:r>
      <w:r w:rsidR="00346230">
        <w:rPr>
          <w:rStyle w:val="FootnoteReference"/>
        </w:rPr>
        <w:footnoteReference w:id="8"/>
      </w:r>
    </w:p>
    <w:p w:rsidR="00022505" w:rsidRDefault="005441F3" w:rsidP="00ED5BC5">
      <w:pPr>
        <w:pStyle w:val="ParaNum"/>
      </w:pPr>
      <w:r>
        <w:t xml:space="preserve">Following discussions with WCB staff, Brecher narrowed </w:t>
      </w:r>
      <w:r w:rsidR="00FE7C6D">
        <w:t xml:space="preserve">and clarified </w:t>
      </w:r>
      <w:r>
        <w:t>his original Request to specify three categories of records</w:t>
      </w:r>
      <w:r w:rsidR="006251AD">
        <w:t>:</w:t>
      </w:r>
    </w:p>
    <w:p w:rsidR="005441F3" w:rsidRDefault="00C16E52" w:rsidP="00ED5BC5">
      <w:pPr>
        <w:pStyle w:val="ParaNum"/>
        <w:numPr>
          <w:ilvl w:val="0"/>
          <w:numId w:val="8"/>
        </w:numPr>
      </w:pPr>
      <w:r>
        <w:t xml:space="preserve">Intra-company IDV results for September 2012-present, namely for wireless service </w:t>
      </w:r>
      <w:r>
        <w:lastRenderedPageBreak/>
        <w:t>providers.  Specifically</w:t>
      </w:r>
      <w:r w:rsidR="00AB40F2">
        <w:t>,</w:t>
      </w:r>
      <w:r>
        <w:t xml:space="preserve"> spreadsheets showing the number </w:t>
      </w:r>
      <w:r w:rsidR="00F35AC0">
        <w:t xml:space="preserve">of subscribers, the number </w:t>
      </w:r>
      <w:r>
        <w:t>of intra-company duplicates, the number of de-enrollments, and the amount of support disbursed related to the duplicates.</w:t>
      </w:r>
    </w:p>
    <w:p w:rsidR="00C16E52" w:rsidRDefault="00C16E52" w:rsidP="00ED5BC5">
      <w:pPr>
        <w:pStyle w:val="ParaNum"/>
        <w:numPr>
          <w:ilvl w:val="0"/>
          <w:numId w:val="8"/>
        </w:numPr>
      </w:pPr>
      <w:r>
        <w:t>FCC communications and communications between the FCC and USAC discussing the intra-company IDV results for this timeframe.</w:t>
      </w:r>
    </w:p>
    <w:p w:rsidR="00C16E52" w:rsidRDefault="00F85AB9" w:rsidP="00ED5BC5">
      <w:pPr>
        <w:pStyle w:val="ParaNum"/>
        <w:numPr>
          <w:ilvl w:val="0"/>
          <w:numId w:val="8"/>
        </w:numPr>
      </w:pPr>
      <w:r>
        <w:t>Tolling agreements</w:t>
      </w:r>
      <w:r w:rsidR="00BD13AE">
        <w:rPr>
          <w:rStyle w:val="FootnoteReference"/>
        </w:rPr>
        <w:footnoteReference w:id="9"/>
      </w:r>
      <w:r>
        <w:t xml:space="preserve"> related to the </w:t>
      </w:r>
      <w:r w:rsidR="004977B1">
        <w:t xml:space="preserve">Notices of Apparent </w:t>
      </w:r>
      <w:r w:rsidR="00D150FE">
        <w:t>Liability</w:t>
      </w:r>
      <w:r w:rsidR="004977B1">
        <w:t xml:space="preserve"> issued by the Commission’s Enforcement Bureau </w:t>
      </w:r>
      <w:r w:rsidR="00BF661F">
        <w:t xml:space="preserve">(EB) </w:t>
      </w:r>
      <w:r w:rsidR="004977B1">
        <w:t>for in</w:t>
      </w:r>
      <w:r>
        <w:t>tra-company duplicates for the period September 2012 – present.</w:t>
      </w:r>
      <w:r w:rsidR="00C853C3">
        <w:rPr>
          <w:rStyle w:val="FootnoteReference"/>
        </w:rPr>
        <w:footnoteReference w:id="10"/>
      </w:r>
    </w:p>
    <w:p w:rsidR="00F85AB9" w:rsidRDefault="00BE2D88" w:rsidP="00ED5BC5">
      <w:pPr>
        <w:pStyle w:val="ParaNum"/>
      </w:pPr>
      <w:r>
        <w:t>In i</w:t>
      </w:r>
      <w:r w:rsidR="00C34D11">
        <w:t>ts Decision,</w:t>
      </w:r>
      <w:r w:rsidR="00B918CC">
        <w:t xml:space="preserve"> </w:t>
      </w:r>
      <w:r w:rsidR="00C34D11">
        <w:t xml:space="preserve">WCB found that all of the responsive documents </w:t>
      </w:r>
      <w:r w:rsidR="007E5164">
        <w:t xml:space="preserve">it located were </w:t>
      </w:r>
      <w:r w:rsidR="00C34D11">
        <w:t>exempt from disclosure.</w:t>
      </w:r>
      <w:r w:rsidR="00BF5513">
        <w:t xml:space="preserve">  WCB withheld </w:t>
      </w:r>
      <w:r w:rsidR="006251AD">
        <w:t xml:space="preserve">under FOIA Exemption 5 both </w:t>
      </w:r>
      <w:r w:rsidR="00BF5513">
        <w:t>internal Commission communications</w:t>
      </w:r>
      <w:r w:rsidR="007E5164">
        <w:t>,</w:t>
      </w:r>
      <w:r w:rsidR="00BF5513">
        <w:t xml:space="preserve"> and communications between the Commission and USAC</w:t>
      </w:r>
      <w:r w:rsidR="007E5164">
        <w:t>,</w:t>
      </w:r>
      <w:r w:rsidR="00BF5513">
        <w:t xml:space="preserve"> </w:t>
      </w:r>
      <w:r w:rsidR="004977B1">
        <w:t xml:space="preserve">discussing the intra-company IDV </w:t>
      </w:r>
      <w:r w:rsidR="004977B1" w:rsidRPr="00DB1275">
        <w:t>results</w:t>
      </w:r>
      <w:r w:rsidR="006251AD" w:rsidRPr="00DB1275">
        <w:t>.</w:t>
      </w:r>
      <w:r w:rsidR="00DB1275">
        <w:t xml:space="preserve"> </w:t>
      </w:r>
      <w:r w:rsidR="00BF5513" w:rsidRPr="00DB1275">
        <w:t>Exemption</w:t>
      </w:r>
      <w:r w:rsidR="00BF5513">
        <w:t xml:space="preserve"> 5</w:t>
      </w:r>
      <w:r w:rsidR="006251AD">
        <w:t xml:space="preserve"> </w:t>
      </w:r>
      <w:r w:rsidR="00BF5513">
        <w:t>protect</w:t>
      </w:r>
      <w:r w:rsidR="006251AD">
        <w:t>s</w:t>
      </w:r>
      <w:r w:rsidR="00BF5513">
        <w:t xml:space="preserve"> “inter-agency </w:t>
      </w:r>
      <w:r w:rsidR="004977B1">
        <w:t>or</w:t>
      </w:r>
      <w:r w:rsidR="00BF5513">
        <w:t xml:space="preserve"> intra-agency memorandums or letters which would not be available by law to a party other than an agency in litigation with the agency.”</w:t>
      </w:r>
      <w:r w:rsidR="005F362A">
        <w:rPr>
          <w:rStyle w:val="FootnoteReference"/>
        </w:rPr>
        <w:footnoteReference w:id="11"/>
      </w:r>
      <w:r w:rsidR="00BF5513">
        <w:t xml:space="preserve">  According to WCB, release of these documents would reveal the Commission’s deliberative process with respect to the investigation of duplicate claims for Lifeline support.</w:t>
      </w:r>
      <w:r w:rsidR="00C853C3">
        <w:rPr>
          <w:rStyle w:val="FootnoteReference"/>
        </w:rPr>
        <w:footnoteReference w:id="12"/>
      </w:r>
      <w:r w:rsidR="00503051">
        <w:t xml:space="preserve">  WCB found that disclosure would reveal the staff’s decision</w:t>
      </w:r>
      <w:r w:rsidR="00346230">
        <w:t>-</w:t>
      </w:r>
      <w:r w:rsidR="00503051">
        <w:t>making and strategies in the enforcement of the Lifeline program requirements and would have the effect of inhibiting the free exchange of ideas.</w:t>
      </w:r>
      <w:r w:rsidR="00C853C3">
        <w:rPr>
          <w:rStyle w:val="FootnoteReference"/>
        </w:rPr>
        <w:footnoteReference w:id="13"/>
      </w:r>
      <w:r w:rsidR="002364BA">
        <w:t xml:space="preserve">  </w:t>
      </w:r>
    </w:p>
    <w:p w:rsidR="00152D84" w:rsidRDefault="0042667A" w:rsidP="00ED5BC5">
      <w:pPr>
        <w:pStyle w:val="ParaNum"/>
      </w:pPr>
      <w:r>
        <w:t xml:space="preserve">WCB further found that all three categories of records requested were exempt </w:t>
      </w:r>
      <w:r w:rsidR="00DF6B48">
        <w:t xml:space="preserve">from disclosure </w:t>
      </w:r>
      <w:r>
        <w:t xml:space="preserve">under Exemptions 7(A) and 7(E).  These exemptions cover “records </w:t>
      </w:r>
      <w:r w:rsidR="004977B1">
        <w:t>or</w:t>
      </w:r>
      <w:r>
        <w:t xml:space="preserve"> information compiled for law enforcement purposes, but only to the extent that production of such law enforcement records or information (A) could reasonably be expected to </w:t>
      </w:r>
      <w:r w:rsidR="00247544">
        <w:t>interfere with enforcement proceedings. . . [or] (E)</w:t>
      </w:r>
      <w:r w:rsidR="00620FEC">
        <w:t xml:space="preserve"> </w:t>
      </w:r>
      <w:r w:rsidR="00247544">
        <w:t>would disclose techniques or procedures for law enforcement investigations or prosecutions, or would disclose guidelines for law enforcement investigations or prosecution if such disclosure could reasonably be expected to risk circumvention of the law. . . . ”</w:t>
      </w:r>
      <w:r w:rsidR="005F362A">
        <w:rPr>
          <w:rStyle w:val="FootnoteReference"/>
        </w:rPr>
        <w:footnoteReference w:id="14"/>
      </w:r>
      <w:r w:rsidR="00247544">
        <w:t xml:space="preserve"> </w:t>
      </w:r>
      <w:r w:rsidR="00F461AF">
        <w:t xml:space="preserve">  WCB found that all of these records were compiled </w:t>
      </w:r>
      <w:r w:rsidR="00B42A19">
        <w:t xml:space="preserve">for enforcement purposes, </w:t>
      </w:r>
      <w:r w:rsidR="00B42A19">
        <w:rPr>
          <w:i/>
        </w:rPr>
        <w:t xml:space="preserve">i.e, </w:t>
      </w:r>
      <w:r w:rsidR="00F461AF">
        <w:t>to ensure compliance with the Commission’s rules relating to the Lifeline program</w:t>
      </w:r>
      <w:r w:rsidR="004977B1">
        <w:t>,</w:t>
      </w:r>
      <w:r w:rsidR="00F461AF">
        <w:t xml:space="preserve"> and therefore fell within the scope of Exemption 7.</w:t>
      </w:r>
      <w:r w:rsidR="00F461AF">
        <w:rPr>
          <w:rStyle w:val="FootnoteReference"/>
        </w:rPr>
        <w:footnoteReference w:id="15"/>
      </w:r>
      <w:r w:rsidR="00DF6B48">
        <w:t xml:space="preserve">  </w:t>
      </w:r>
      <w:r w:rsidR="00FC555D">
        <w:t xml:space="preserve">WCB concluded that </w:t>
      </w:r>
      <w:r w:rsidR="0032735B">
        <w:t xml:space="preserve">disclosure of the </w:t>
      </w:r>
      <w:r w:rsidR="00E57EEC">
        <w:t>IDV results</w:t>
      </w:r>
      <w:r w:rsidR="0032735B">
        <w:t xml:space="preserve"> would reveal investigation thresholds, triggers, and methodologies for determining compliance with applicable laws and rules that could enable a participant in the Lifeline program to avoid triggering reviews or otherwise </w:t>
      </w:r>
      <w:r w:rsidR="000E7215">
        <w:t xml:space="preserve">to </w:t>
      </w:r>
      <w:r w:rsidR="0032735B">
        <w:t>predict and avoid the Commission’s enforcement efforts.</w:t>
      </w:r>
      <w:r w:rsidR="0032735B">
        <w:rPr>
          <w:rStyle w:val="FootnoteReference"/>
        </w:rPr>
        <w:footnoteReference w:id="16"/>
      </w:r>
      <w:r w:rsidR="0032735B">
        <w:t xml:space="preserve">  Similarly, WCB concluded that disclosure of communications between and among the Commission and USAC would reveal reasoning and techniques underlying the Commission’s selection of targets, knowledge of which could enable participants to avoid enforcement measures.</w:t>
      </w:r>
      <w:r w:rsidR="0032735B">
        <w:rPr>
          <w:rStyle w:val="FootnoteReference"/>
        </w:rPr>
        <w:footnoteReference w:id="17"/>
      </w:r>
      <w:r w:rsidR="0032735B">
        <w:t xml:space="preserve">  Finally, WCB concluded that disclosure of tolling agreements would reveal terms and conditions reflecting techniques and </w:t>
      </w:r>
      <w:r w:rsidR="0032735B">
        <w:lastRenderedPageBreak/>
        <w:t>methodologies that would compromise the Commission’s ability to effectively negotiate such agreements with other parties in ongoing investigations</w:t>
      </w:r>
      <w:r w:rsidR="004977B1">
        <w:t>, such as by allowing targets to gain more favorable terms for their own proceedings</w:t>
      </w:r>
      <w:r w:rsidR="0032735B">
        <w:t>.</w:t>
      </w:r>
      <w:r w:rsidR="0032735B">
        <w:rPr>
          <w:rStyle w:val="FootnoteReference"/>
        </w:rPr>
        <w:footnoteReference w:id="18"/>
      </w:r>
    </w:p>
    <w:p w:rsidR="00503051" w:rsidRDefault="00A973F4" w:rsidP="00ED5BC5">
      <w:pPr>
        <w:pStyle w:val="ParaNum"/>
      </w:pPr>
      <w:r>
        <w:t xml:space="preserve">Brecher’s AFR disputes that the requested material is exempt under </w:t>
      </w:r>
      <w:r w:rsidR="007E5164">
        <w:t>the cited e</w:t>
      </w:r>
      <w:r>
        <w:t>xempt</w:t>
      </w:r>
      <w:r w:rsidR="00B15031">
        <w:t>i</w:t>
      </w:r>
      <w:r>
        <w:t>on</w:t>
      </w:r>
      <w:r w:rsidR="007E5164">
        <w:t>s</w:t>
      </w:r>
      <w:r w:rsidR="00DF6B48">
        <w:t xml:space="preserve">, </w:t>
      </w:r>
      <w:r w:rsidR="003B5E52">
        <w:t>argu</w:t>
      </w:r>
      <w:r w:rsidR="00DF6B48">
        <w:t>ing</w:t>
      </w:r>
      <w:r w:rsidR="003B5E52">
        <w:t xml:space="preserve"> that Exemption 7 does not apply to IDV data because the data was not compiled for law enforcement purposes as required by the exemption.</w:t>
      </w:r>
      <w:r w:rsidR="00572042">
        <w:t xml:space="preserve">  </w:t>
      </w:r>
      <w:r w:rsidR="003B5E52">
        <w:t xml:space="preserve"> Rather, according to Brecher, </w:t>
      </w:r>
      <w:r w:rsidR="00572042">
        <w:t>the IDV process was established as part of a</w:t>
      </w:r>
      <w:r w:rsidR="00BD3152">
        <w:t xml:space="preserve">n </w:t>
      </w:r>
      <w:r w:rsidR="00572042">
        <w:t xml:space="preserve">effort </w:t>
      </w:r>
      <w:r w:rsidR="00081C61">
        <w:t xml:space="preserve">in which </w:t>
      </w:r>
      <w:r w:rsidR="00572042">
        <w:t>the Commiss</w:t>
      </w:r>
      <w:r w:rsidR="00A846BA">
        <w:t>i</w:t>
      </w:r>
      <w:r w:rsidR="00572042">
        <w:t xml:space="preserve">on, </w:t>
      </w:r>
      <w:r w:rsidR="003B5E52">
        <w:t>USAC</w:t>
      </w:r>
      <w:r w:rsidR="00572042">
        <w:t xml:space="preserve">, and </w:t>
      </w:r>
      <w:r w:rsidR="003B5E52">
        <w:t xml:space="preserve">ETCs </w:t>
      </w:r>
      <w:r w:rsidR="00081C61">
        <w:t xml:space="preserve">participated </w:t>
      </w:r>
      <w:r w:rsidR="003B5E52">
        <w:t>to identify and prevent duplicative claims</w:t>
      </w:r>
      <w:r w:rsidR="00BD3152">
        <w:t>, not as an enforcement measure</w:t>
      </w:r>
      <w:r w:rsidR="003B5E52">
        <w:t>.</w:t>
      </w:r>
      <w:r w:rsidR="00572042" w:rsidRPr="00572042">
        <w:rPr>
          <w:rStyle w:val="FootnoteReference"/>
        </w:rPr>
        <w:t xml:space="preserve"> </w:t>
      </w:r>
      <w:r w:rsidR="00572042">
        <w:rPr>
          <w:rStyle w:val="FootnoteReference"/>
        </w:rPr>
        <w:footnoteReference w:id="19"/>
      </w:r>
      <w:r w:rsidR="00572042">
        <w:t xml:space="preserve"> </w:t>
      </w:r>
      <w:r w:rsidR="003B5E52">
        <w:t xml:space="preserve">  </w:t>
      </w:r>
      <w:r w:rsidR="009051DB">
        <w:t xml:space="preserve">Brecher </w:t>
      </w:r>
      <w:r w:rsidR="005154BD">
        <w:t>contends</w:t>
      </w:r>
      <w:r w:rsidR="009051DB">
        <w:t xml:space="preserve"> that</w:t>
      </w:r>
      <w:r w:rsidR="005154BD">
        <w:t xml:space="preserve">, because </w:t>
      </w:r>
      <w:r w:rsidR="009051DB">
        <w:t>the rules TracFone allegedly violated were not adopted until after the IDV process was instituted</w:t>
      </w:r>
      <w:r w:rsidR="00BD3152">
        <w:t xml:space="preserve">, the </w:t>
      </w:r>
      <w:r w:rsidR="00B42A19">
        <w:t xml:space="preserve">IDV data could not have been compiled for the </w:t>
      </w:r>
      <w:r w:rsidR="00BD3152">
        <w:t>purpose of enforc</w:t>
      </w:r>
      <w:r w:rsidR="00B42A19">
        <w:t>ing</w:t>
      </w:r>
      <w:r w:rsidR="00BD3152">
        <w:t xml:space="preserve"> th</w:t>
      </w:r>
      <w:r w:rsidR="005154BD">
        <w:t>o</w:t>
      </w:r>
      <w:r w:rsidR="00BD3152">
        <w:t xml:space="preserve">se rules.  He also </w:t>
      </w:r>
      <w:r w:rsidR="00B42A19">
        <w:t xml:space="preserve">argues </w:t>
      </w:r>
      <w:r w:rsidR="009051DB">
        <w:t>that USAC has no law enforcement function.</w:t>
      </w:r>
      <w:r w:rsidR="00572042">
        <w:rPr>
          <w:rStyle w:val="FootnoteReference"/>
        </w:rPr>
        <w:footnoteReference w:id="20"/>
      </w:r>
    </w:p>
    <w:p w:rsidR="009051DB" w:rsidRDefault="00DF6B48" w:rsidP="00ED5BC5">
      <w:pPr>
        <w:pStyle w:val="ParaNum"/>
      </w:pPr>
      <w:r>
        <w:t>Specifically w</w:t>
      </w:r>
      <w:r w:rsidR="009051DB">
        <w:t xml:space="preserve">ith respect to Exemption 7(A), Brecher contends that </w:t>
      </w:r>
      <w:r w:rsidR="00B918CC">
        <w:t xml:space="preserve">WCB did not identify any ongoing or anticipated investigation </w:t>
      </w:r>
      <w:r w:rsidR="00852FA6">
        <w:t xml:space="preserve">related to the requested IDV data </w:t>
      </w:r>
      <w:r w:rsidR="00B918CC">
        <w:t>to which Exemption 7(A) would apply.</w:t>
      </w:r>
      <w:r w:rsidR="00E054E3">
        <w:t xml:space="preserve">  </w:t>
      </w:r>
      <w:r w:rsidR="00852FA6">
        <w:t xml:space="preserve">With respect to ETCs not already subject to an NAL, </w:t>
      </w:r>
      <w:r w:rsidR="00B918CC">
        <w:t xml:space="preserve">Brecher contends that </w:t>
      </w:r>
      <w:r w:rsidR="00B45EB1">
        <w:t>Exemption 7(A) could not apply, because</w:t>
      </w:r>
      <w:r w:rsidR="003D4246">
        <w:t xml:space="preserve"> future </w:t>
      </w:r>
      <w:r w:rsidR="00BD3152">
        <w:t xml:space="preserve"> enforcement proceedings based on the IDV data </w:t>
      </w:r>
      <w:r w:rsidR="00903DA5">
        <w:t xml:space="preserve">are barred by </w:t>
      </w:r>
      <w:r w:rsidR="00BD1170">
        <w:t>the statute of limitations</w:t>
      </w:r>
      <w:r w:rsidR="00852FA6">
        <w:t xml:space="preserve"> (</w:t>
      </w:r>
      <w:r w:rsidR="00944783">
        <w:t>absen</w:t>
      </w:r>
      <w:r w:rsidR="003D4246">
        <w:t>t</w:t>
      </w:r>
      <w:r w:rsidR="00944783">
        <w:t xml:space="preserve"> evidence of </w:t>
      </w:r>
      <w:r w:rsidR="00852FA6">
        <w:t xml:space="preserve">a tolling agreement).  With respect to ETCs already subject to an NAL, </w:t>
      </w:r>
      <w:r w:rsidR="00F81223">
        <w:t xml:space="preserve">Brecher contends that the </w:t>
      </w:r>
      <w:r w:rsidR="00B918CC">
        <w:t>investigat</w:t>
      </w:r>
      <w:r w:rsidR="00F81223">
        <w:t xml:space="preserve">ory proceedings </w:t>
      </w:r>
      <w:r w:rsidR="00BD3152">
        <w:t xml:space="preserve">should be deemed to have </w:t>
      </w:r>
      <w:r w:rsidR="00B918CC">
        <w:t>terminated with the issuance of the NALs</w:t>
      </w:r>
      <w:r w:rsidR="00F81223">
        <w:t xml:space="preserve"> and Exemption 7(A) would thus no longer appl</w:t>
      </w:r>
      <w:r w:rsidR="00B45EB1">
        <w:t>y</w:t>
      </w:r>
      <w:r w:rsidR="00F81223">
        <w:t>.</w:t>
      </w:r>
      <w:r w:rsidR="00E054E3">
        <w:rPr>
          <w:rStyle w:val="FootnoteReference"/>
        </w:rPr>
        <w:footnoteReference w:id="21"/>
      </w:r>
      <w:r w:rsidR="00E054E3">
        <w:t xml:space="preserve"> </w:t>
      </w:r>
      <w:r w:rsidR="00BD1170">
        <w:t xml:space="preserve">  </w:t>
      </w:r>
    </w:p>
    <w:p w:rsidR="00B918CC" w:rsidRDefault="00B918CC" w:rsidP="00ED5BC5">
      <w:pPr>
        <w:pStyle w:val="ParaNum"/>
      </w:pPr>
      <w:r>
        <w:t xml:space="preserve">With respect to </w:t>
      </w:r>
      <w:r w:rsidR="00715B2F">
        <w:t xml:space="preserve">Exemption </w:t>
      </w:r>
      <w:r>
        <w:t xml:space="preserve">7(E), Brecher asserts that </w:t>
      </w:r>
      <w:r w:rsidR="00BD1170">
        <w:t xml:space="preserve">neither the IDV data nor </w:t>
      </w:r>
      <w:r w:rsidR="007E5164">
        <w:t xml:space="preserve">the </w:t>
      </w:r>
      <w:r w:rsidR="00BD1170">
        <w:t xml:space="preserve">tolling agreements would reveal any techniques, procedures, or guidelines that could be used to circumvent compliance with the law.  </w:t>
      </w:r>
      <w:r w:rsidR="00CA5355">
        <w:t xml:space="preserve">In </w:t>
      </w:r>
      <w:r w:rsidR="00066D3F">
        <w:t xml:space="preserve">his </w:t>
      </w:r>
      <w:r w:rsidR="00CA5355">
        <w:t xml:space="preserve">view, </w:t>
      </w:r>
      <w:r w:rsidR="00093F3D">
        <w:t>the procedures involved in the IDV process are already publicly known.</w:t>
      </w:r>
      <w:r w:rsidR="00093F3D">
        <w:rPr>
          <w:rStyle w:val="FootnoteReference"/>
        </w:rPr>
        <w:footnoteReference w:id="22"/>
      </w:r>
      <w:r w:rsidR="00093F3D">
        <w:t xml:space="preserve">  He further asserts that </w:t>
      </w:r>
      <w:r w:rsidR="00CA5355">
        <w:t xml:space="preserve">the NALs combined with publicly available data already disclose the relevant statistics for the companies targeted for enforcement, and thus companies already know the </w:t>
      </w:r>
      <w:r w:rsidR="00066D3F">
        <w:t>thresholds</w:t>
      </w:r>
      <w:r w:rsidR="00CA5355">
        <w:t xml:space="preserve"> that might trigger enforcement action.</w:t>
      </w:r>
      <w:r w:rsidR="00093F3D">
        <w:rPr>
          <w:rStyle w:val="FootnoteReference"/>
        </w:rPr>
        <w:footnoteReference w:id="23"/>
      </w:r>
      <w:r w:rsidR="00CA5355">
        <w:t xml:space="preserve">  Brecher maintains that tolling agreements do not contain information that would interfere with the Commission’s ability to negotiate tolling agreements in the future.</w:t>
      </w:r>
      <w:r w:rsidR="00093F3D">
        <w:rPr>
          <w:rStyle w:val="FootnoteReference"/>
        </w:rPr>
        <w:footnoteReference w:id="24"/>
      </w:r>
      <w:r w:rsidR="00CA5355">
        <w:t xml:space="preserve">  </w:t>
      </w:r>
    </w:p>
    <w:p w:rsidR="0064658E" w:rsidRPr="00D90BE8" w:rsidRDefault="0063500A" w:rsidP="00ED5BC5">
      <w:pPr>
        <w:pStyle w:val="ParaNum"/>
        <w:rPr>
          <w:szCs w:val="22"/>
        </w:rPr>
      </w:pPr>
      <w:r>
        <w:t xml:space="preserve">Brecher also challenges the applicability of Exemption 5 to the </w:t>
      </w:r>
      <w:r w:rsidR="00B45EB1">
        <w:t xml:space="preserve">records of </w:t>
      </w:r>
      <w:r>
        <w:t xml:space="preserve">internal Commission </w:t>
      </w:r>
      <w:r w:rsidR="00B45EB1">
        <w:t xml:space="preserve">communications </w:t>
      </w:r>
      <w:r>
        <w:t xml:space="preserve">and to </w:t>
      </w:r>
      <w:r w:rsidR="00B45EB1">
        <w:t xml:space="preserve">communications </w:t>
      </w:r>
      <w:r>
        <w:t xml:space="preserve">between the Commission and USAC.  </w:t>
      </w:r>
      <w:r w:rsidR="00066D3F">
        <w:t xml:space="preserve">He </w:t>
      </w:r>
      <w:r w:rsidR="00EB69EB">
        <w:t>contends that the communications could not disclose deliberations related to an investigation, because there is no evidence that an investigation, as opposed to the IDV process, has been conducted.</w:t>
      </w:r>
      <w:r w:rsidR="00EB69EB">
        <w:rPr>
          <w:rStyle w:val="FootnoteReference"/>
        </w:rPr>
        <w:footnoteReference w:id="25"/>
      </w:r>
      <w:r w:rsidR="00EB69EB">
        <w:t xml:space="preserve">  </w:t>
      </w:r>
      <w:r>
        <w:t xml:space="preserve">Brecher </w:t>
      </w:r>
      <w:r w:rsidR="003D611D">
        <w:t xml:space="preserve">also </w:t>
      </w:r>
      <w:r>
        <w:t xml:space="preserve">submits that WCB made no showing that the </w:t>
      </w:r>
      <w:r w:rsidR="00B45EB1">
        <w:t xml:space="preserve">communications were </w:t>
      </w:r>
      <w:r>
        <w:t>predecision</w:t>
      </w:r>
      <w:r w:rsidR="00EB69EB">
        <w:t>al</w:t>
      </w:r>
      <w:r>
        <w:t xml:space="preserve"> by showing that </w:t>
      </w:r>
      <w:r w:rsidR="00B45EB1">
        <w:t xml:space="preserve">they </w:t>
      </w:r>
      <w:r w:rsidR="003D611D">
        <w:t>w</w:t>
      </w:r>
      <w:r w:rsidR="00B45EB1">
        <w:t>ere</w:t>
      </w:r>
      <w:r>
        <w:t xml:space="preserve"> antecedent to adoption of a Commission policy.</w:t>
      </w:r>
      <w:r w:rsidR="00EB69EB">
        <w:rPr>
          <w:rStyle w:val="FootnoteReference"/>
        </w:rPr>
        <w:footnoteReference w:id="26"/>
      </w:r>
      <w:r>
        <w:t xml:space="preserve">  </w:t>
      </w:r>
      <w:r w:rsidR="0064658E">
        <w:t>Brecher also submits that</w:t>
      </w:r>
      <w:r w:rsidR="00F37658">
        <w:t>,</w:t>
      </w:r>
      <w:r w:rsidR="0064658E">
        <w:t xml:space="preserve"> to the extent the Commission incorporated into its decisions the thresholds and criteria contained in the </w:t>
      </w:r>
      <w:r w:rsidR="007B6CEB">
        <w:t>communications</w:t>
      </w:r>
      <w:r w:rsidR="0064658E">
        <w:t xml:space="preserve">, </w:t>
      </w:r>
      <w:r w:rsidR="0064658E">
        <w:lastRenderedPageBreak/>
        <w:t xml:space="preserve">the </w:t>
      </w:r>
      <w:r w:rsidR="007B6CEB">
        <w:t>communications are</w:t>
      </w:r>
      <w:r w:rsidR="003D4220">
        <w:t xml:space="preserve"> </w:t>
      </w:r>
      <w:r w:rsidR="0064658E">
        <w:t>not predecis</w:t>
      </w:r>
      <w:r w:rsidR="007B6CEB">
        <w:t>i</w:t>
      </w:r>
      <w:r w:rsidR="0064658E">
        <w:t>onal.</w:t>
      </w:r>
      <w:r w:rsidR="00EB69EB">
        <w:rPr>
          <w:rStyle w:val="FootnoteReference"/>
        </w:rPr>
        <w:footnoteReference w:id="27"/>
      </w:r>
      <w:r w:rsidR="0064658E">
        <w:t xml:space="preserve">  Brecher </w:t>
      </w:r>
      <w:r w:rsidR="003D611D">
        <w:t xml:space="preserve">asserts that no showing has been made that disclosure of </w:t>
      </w:r>
      <w:r w:rsidR="003D611D" w:rsidRPr="00D90BE8">
        <w:rPr>
          <w:szCs w:val="22"/>
        </w:rPr>
        <w:t>any material would inhibit frank discussion by the staff</w:t>
      </w:r>
      <w:r w:rsidR="007B6CEB" w:rsidRPr="00D90BE8">
        <w:rPr>
          <w:szCs w:val="22"/>
        </w:rPr>
        <w:t>,</w:t>
      </w:r>
      <w:r w:rsidR="00D368F9" w:rsidRPr="00D90BE8">
        <w:rPr>
          <w:szCs w:val="22"/>
        </w:rPr>
        <w:t xml:space="preserve"> </w:t>
      </w:r>
      <w:r w:rsidR="003D611D" w:rsidRPr="00D90BE8">
        <w:rPr>
          <w:szCs w:val="22"/>
        </w:rPr>
        <w:t xml:space="preserve">and </w:t>
      </w:r>
      <w:r w:rsidR="0064658E" w:rsidRPr="00D90BE8">
        <w:rPr>
          <w:szCs w:val="22"/>
        </w:rPr>
        <w:t xml:space="preserve">points out that factual material contained in the </w:t>
      </w:r>
      <w:r w:rsidR="007B6CEB" w:rsidRPr="00D90BE8">
        <w:rPr>
          <w:szCs w:val="22"/>
        </w:rPr>
        <w:t>communications</w:t>
      </w:r>
      <w:r w:rsidR="0064658E" w:rsidRPr="00D90BE8">
        <w:rPr>
          <w:szCs w:val="22"/>
        </w:rPr>
        <w:t xml:space="preserve"> is not protected by Exemption 5.</w:t>
      </w:r>
      <w:r w:rsidR="00EB69EB" w:rsidRPr="00D90BE8">
        <w:rPr>
          <w:rStyle w:val="FootnoteReference"/>
          <w:sz w:val="22"/>
          <w:szCs w:val="22"/>
        </w:rPr>
        <w:footnoteReference w:id="28"/>
      </w:r>
    </w:p>
    <w:p w:rsidR="00CA5355" w:rsidRPr="00896AFA" w:rsidRDefault="0064658E" w:rsidP="00ED5BC5">
      <w:pPr>
        <w:pStyle w:val="Heading1"/>
        <w:rPr>
          <w:rFonts w:ascii="Times New Roman" w:hAnsi="Times New Roman"/>
          <w:szCs w:val="22"/>
        </w:rPr>
      </w:pPr>
      <w:r w:rsidRPr="00896AFA">
        <w:rPr>
          <w:rFonts w:ascii="Times New Roman" w:hAnsi="Times New Roman"/>
          <w:szCs w:val="22"/>
        </w:rPr>
        <w:t>DISCUSSION</w:t>
      </w:r>
    </w:p>
    <w:p w:rsidR="00AA5558" w:rsidRPr="00896AFA" w:rsidDel="00896AFA" w:rsidRDefault="00AA5558" w:rsidP="00AA5558">
      <w:pPr>
        <w:pStyle w:val="ParaNum"/>
        <w:rPr>
          <w:szCs w:val="22"/>
        </w:rPr>
      </w:pPr>
      <w:r w:rsidRPr="00896AFA" w:rsidDel="00896AFA">
        <w:rPr>
          <w:b/>
          <w:szCs w:val="22"/>
        </w:rPr>
        <w:t xml:space="preserve">Exemption 7(E).  </w:t>
      </w:r>
      <w:r w:rsidRPr="00896AFA" w:rsidDel="00896AFA">
        <w:rPr>
          <w:szCs w:val="22"/>
        </w:rPr>
        <w:t>WCB’s Decision cites Exemption 7(A) as well as 7(E) as the basis for withholding the IDV data, communications, and tolling agreements.</w:t>
      </w:r>
      <w:r w:rsidRPr="00896AFA" w:rsidDel="00896AFA">
        <w:rPr>
          <w:rStyle w:val="FootnoteReference"/>
          <w:sz w:val="22"/>
          <w:szCs w:val="22"/>
        </w:rPr>
        <w:footnoteReference w:id="29"/>
      </w:r>
      <w:r w:rsidRPr="00896AFA" w:rsidDel="00896AFA">
        <w:rPr>
          <w:szCs w:val="22"/>
        </w:rPr>
        <w:t xml:space="preserve">  The Decision’s analysis, however, appears focused mainly on factors relevant to Exemption 7(E) and does not set out a rationale for applying Exemption 7(A).  For this reason, our analysis will also focus on Exemption 7(E), and we will not address Exemption 7(A).  We agree with WCB that the IDV data, tolling agreements, and FCC communications should be withheld under Exemption 7(E).  </w:t>
      </w:r>
    </w:p>
    <w:p w:rsidR="0064658E" w:rsidRDefault="006F513F" w:rsidP="00ED5BC5">
      <w:pPr>
        <w:pStyle w:val="ParaNum"/>
      </w:pPr>
      <w:r w:rsidRPr="00896AFA">
        <w:rPr>
          <w:szCs w:val="22"/>
          <w:u w:val="single"/>
        </w:rPr>
        <w:t>IDV data</w:t>
      </w:r>
      <w:r w:rsidRPr="00896AFA">
        <w:rPr>
          <w:szCs w:val="22"/>
        </w:rPr>
        <w:t xml:space="preserve">.  </w:t>
      </w:r>
      <w:r w:rsidR="00BC3E6A" w:rsidRPr="00896AFA">
        <w:rPr>
          <w:szCs w:val="22"/>
        </w:rPr>
        <w:t>As an initial matter, we disagree with Brecher’s contention that the IDV data was</w:t>
      </w:r>
      <w:r w:rsidR="00BC3E6A" w:rsidRPr="00D90BE8">
        <w:rPr>
          <w:szCs w:val="22"/>
        </w:rPr>
        <w:t xml:space="preserve"> </w:t>
      </w:r>
      <w:r w:rsidR="0046010E" w:rsidRPr="00D90BE8">
        <w:rPr>
          <w:szCs w:val="22"/>
        </w:rPr>
        <w:t>n</w:t>
      </w:r>
      <w:r w:rsidR="00BC3E6A" w:rsidRPr="00D90BE8">
        <w:rPr>
          <w:szCs w:val="22"/>
        </w:rPr>
        <w:t>ot compiled for law enforcement purposes</w:t>
      </w:r>
      <w:r w:rsidR="006E268E" w:rsidRPr="00D90BE8">
        <w:rPr>
          <w:szCs w:val="22"/>
        </w:rPr>
        <w:t xml:space="preserve"> and thus Exemption 7 does not apply</w:t>
      </w:r>
      <w:r w:rsidR="00BC3E6A" w:rsidRPr="00D90BE8">
        <w:rPr>
          <w:szCs w:val="22"/>
        </w:rPr>
        <w:t xml:space="preserve">.   </w:t>
      </w:r>
      <w:r w:rsidR="0046010E" w:rsidRPr="00D90BE8">
        <w:rPr>
          <w:szCs w:val="22"/>
        </w:rPr>
        <w:t>B</w:t>
      </w:r>
      <w:r w:rsidR="001066A0" w:rsidRPr="00D90BE8">
        <w:rPr>
          <w:szCs w:val="22"/>
        </w:rPr>
        <w:t>r</w:t>
      </w:r>
      <w:r w:rsidR="0046010E" w:rsidRPr="00D90BE8">
        <w:rPr>
          <w:szCs w:val="22"/>
        </w:rPr>
        <w:t xml:space="preserve">echer relies on Commission statements that the IDV process was originally instituted for administrative </w:t>
      </w:r>
      <w:r w:rsidR="00174E08" w:rsidRPr="00D90BE8">
        <w:rPr>
          <w:szCs w:val="22"/>
        </w:rPr>
        <w:t xml:space="preserve">purposes </w:t>
      </w:r>
      <w:r w:rsidR="0046010E" w:rsidRPr="00D90BE8">
        <w:rPr>
          <w:szCs w:val="22"/>
        </w:rPr>
        <w:t>– specifically, to</w:t>
      </w:r>
      <w:r w:rsidR="0046010E">
        <w:t xml:space="preserve"> help </w:t>
      </w:r>
      <w:r w:rsidR="00174E08">
        <w:t xml:space="preserve">identify and eliminate </w:t>
      </w:r>
      <w:r w:rsidR="0046010E">
        <w:t>duplicate claims</w:t>
      </w:r>
      <w:r w:rsidR="007B6CEB">
        <w:t>.</w:t>
      </w:r>
      <w:r w:rsidR="001066A0">
        <w:t xml:space="preserve">  The original purpose for which the IDV data was compiled, however, does not determine the applicability of Exemption </w:t>
      </w:r>
      <w:r w:rsidR="005E2D12">
        <w:t>7</w:t>
      </w:r>
      <w:r w:rsidR="001066A0">
        <w:t xml:space="preserve"> </w:t>
      </w:r>
      <w:r w:rsidR="006E268E">
        <w:t xml:space="preserve">because </w:t>
      </w:r>
      <w:r w:rsidR="001066A0">
        <w:t xml:space="preserve">the data has since been used as the basis for law enforcement actions.  Indeed, the stated purpose of Brecher’s FOIA request for the data is to better understand </w:t>
      </w:r>
      <w:r w:rsidR="005E2D12">
        <w:t>the process t</w:t>
      </w:r>
      <w:r w:rsidR="001066A0">
        <w:t xml:space="preserve">he Commission used </w:t>
      </w:r>
      <w:r w:rsidR="00766319">
        <w:t xml:space="preserve">in </w:t>
      </w:r>
      <w:r w:rsidR="005E2D12">
        <w:t xml:space="preserve">conducting the </w:t>
      </w:r>
      <w:r w:rsidR="001066A0">
        <w:t>enforcement action</w:t>
      </w:r>
      <w:r w:rsidR="005E2D12">
        <w:t>s that led to the NALs</w:t>
      </w:r>
      <w:r w:rsidR="001066A0">
        <w:t>.</w:t>
      </w:r>
      <w:r w:rsidR="00174E08">
        <w:rPr>
          <w:rStyle w:val="FootnoteReference"/>
        </w:rPr>
        <w:footnoteReference w:id="30"/>
      </w:r>
      <w:r w:rsidR="0046010E">
        <w:t xml:space="preserve"> </w:t>
      </w:r>
      <w:r w:rsidR="001066A0">
        <w:t xml:space="preserve"> </w:t>
      </w:r>
      <w:r w:rsidR="006E268E">
        <w:t>I</w:t>
      </w:r>
      <w:r w:rsidR="001066A0">
        <w:t xml:space="preserve">nformation originally not compiled for law enforcement purposes may become exempt under Exemption 7 if it is </w:t>
      </w:r>
      <w:r w:rsidR="000C4C08">
        <w:t xml:space="preserve">subsequently </w:t>
      </w:r>
      <w:r w:rsidR="00FC6EC9">
        <w:t xml:space="preserve">used </w:t>
      </w:r>
      <w:r w:rsidR="001066A0">
        <w:t>for law enforcement purposes prior to the filing of the FOIA request.</w:t>
      </w:r>
      <w:r w:rsidR="001066A0">
        <w:rPr>
          <w:rStyle w:val="FootnoteReference"/>
        </w:rPr>
        <w:footnoteReference w:id="31"/>
      </w:r>
      <w:r w:rsidR="007248A6">
        <w:t xml:space="preserve">  That is the case here.</w:t>
      </w:r>
      <w:r w:rsidR="003D4220">
        <w:rPr>
          <w:rStyle w:val="FootnoteReference"/>
        </w:rPr>
        <w:footnoteReference w:id="32"/>
      </w:r>
    </w:p>
    <w:p w:rsidR="0000035A" w:rsidRDefault="00E61B50" w:rsidP="00ED5BC5">
      <w:pPr>
        <w:pStyle w:val="ParaNum"/>
      </w:pPr>
      <w:r>
        <w:t xml:space="preserve">We find that WCB properly relied on Exemption 7(E) to withhold the IDV data.  </w:t>
      </w:r>
      <w:r w:rsidR="007248A6">
        <w:t xml:space="preserve">We agree with WCB that disclosure of the IDV data would reveal the standards and methodology used in conducting the Commission’s enforcement actions.  Indeed, the </w:t>
      </w:r>
      <w:r>
        <w:t xml:space="preserve">apparent </w:t>
      </w:r>
      <w:r w:rsidR="007248A6">
        <w:t>purpose of Brecher’s FOIA Request is to gain precisely such insight</w:t>
      </w:r>
      <w:r w:rsidR="006E268E">
        <w:t>.</w:t>
      </w:r>
      <w:r w:rsidR="00FC6EC9">
        <w:rPr>
          <w:rStyle w:val="FootnoteReference"/>
        </w:rPr>
        <w:footnoteReference w:id="33"/>
      </w:r>
      <w:r w:rsidR="007248A6">
        <w:t xml:space="preserve">  </w:t>
      </w:r>
      <w:r w:rsidR="00B636DA">
        <w:t xml:space="preserve">An analysis of the IDV data </w:t>
      </w:r>
      <w:r w:rsidR="008766F2">
        <w:t xml:space="preserve">would </w:t>
      </w:r>
      <w:r w:rsidR="00B636DA">
        <w:t xml:space="preserve">permit inferences into how </w:t>
      </w:r>
      <w:r w:rsidR="006E268E">
        <w:t xml:space="preserve">our enforcement staff chose which </w:t>
      </w:r>
      <w:r w:rsidR="00B636DA">
        <w:t xml:space="preserve">carriers and </w:t>
      </w:r>
      <w:r w:rsidR="006E268E">
        <w:t xml:space="preserve">what </w:t>
      </w:r>
      <w:r w:rsidR="00B636DA">
        <w:t xml:space="preserve">time periods for IDV examination and what factors </w:t>
      </w:r>
      <w:r w:rsidR="008766F2">
        <w:t xml:space="preserve">could </w:t>
      </w:r>
      <w:r w:rsidR="00B636DA">
        <w:t xml:space="preserve">trigger enforcement action.  </w:t>
      </w:r>
      <w:r w:rsidR="002C1964">
        <w:t>Brecher</w:t>
      </w:r>
      <w:r w:rsidR="003B5E8B">
        <w:t xml:space="preserve">’s contention that </w:t>
      </w:r>
      <w:r w:rsidR="002C1964">
        <w:t>the NALs already disclose the c</w:t>
      </w:r>
      <w:r w:rsidR="006347A9">
        <w:t>ritical</w:t>
      </w:r>
      <w:r w:rsidR="002C1964">
        <w:t xml:space="preserve"> information</w:t>
      </w:r>
      <w:r w:rsidR="003B5E8B">
        <w:t xml:space="preserve"> is contradicted by his asserted need for additional information to understand the enforcement process</w:t>
      </w:r>
      <w:r w:rsidR="002C1964">
        <w:t xml:space="preserve">.  </w:t>
      </w:r>
      <w:r>
        <w:t xml:space="preserve">Knowledge of </w:t>
      </w:r>
      <w:r w:rsidR="006347A9">
        <w:t xml:space="preserve">the Commission’s </w:t>
      </w:r>
      <w:r w:rsidR="006E268E">
        <w:t xml:space="preserve">enforcement </w:t>
      </w:r>
      <w:r w:rsidR="006347A9">
        <w:t>standards and methods</w:t>
      </w:r>
      <w:r>
        <w:t xml:space="preserve"> would tend to give carriers insight into the circum</w:t>
      </w:r>
      <w:r w:rsidR="007E4A98">
        <w:t>s</w:t>
      </w:r>
      <w:r>
        <w:t>tances under which their violations might escape scrutiny or enforcement action.</w:t>
      </w:r>
      <w:r w:rsidR="003B5E8B">
        <w:rPr>
          <w:rStyle w:val="FootnoteReference"/>
        </w:rPr>
        <w:footnoteReference w:id="34"/>
      </w:r>
      <w:r>
        <w:t xml:space="preserve">  </w:t>
      </w:r>
      <w:r>
        <w:lastRenderedPageBreak/>
        <w:t xml:space="preserve">Such knowledge would thus </w:t>
      </w:r>
      <w:r w:rsidR="008766F2">
        <w:t xml:space="preserve">enable carriers to evade </w:t>
      </w:r>
      <w:r>
        <w:t>compliance with the law.</w:t>
      </w:r>
    </w:p>
    <w:p w:rsidR="0010670D" w:rsidRDefault="0010670D" w:rsidP="000449D1">
      <w:pPr>
        <w:pStyle w:val="ParaNum"/>
      </w:pPr>
      <w:r w:rsidRPr="00FC2077">
        <w:rPr>
          <w:u w:val="single"/>
        </w:rPr>
        <w:t>Tolling Agreements</w:t>
      </w:r>
      <w:r>
        <w:t xml:space="preserve">.  </w:t>
      </w:r>
      <w:r w:rsidR="007E7A66">
        <w:t xml:space="preserve">Similarly, we find that analysis of the tolling agreements signed by EB would give the targets of potential enforcement actions insights that could enable them to evade compliance with the law.  Disclosure of tolling agreements related to NALs that have been issued </w:t>
      </w:r>
      <w:r w:rsidR="00FC2077">
        <w:t xml:space="preserve">in these ongoing proceedings </w:t>
      </w:r>
      <w:r w:rsidR="007E7A66">
        <w:t xml:space="preserve">would disclose techniques and procedures used by EB in its investigations and enforcement actions.  The texts of tolling agreements are individually negotiated with the entities that are the targets of investigations, and can be more or less favorable based on unique facts in each case. </w:t>
      </w:r>
      <w:r w:rsidR="005F17B3">
        <w:t xml:space="preserve"> </w:t>
      </w:r>
      <w:r w:rsidR="007E7A66">
        <w:t xml:space="preserve">Examination of the tolling agreements </w:t>
      </w:r>
      <w:r w:rsidR="00054A9D">
        <w:t>c</w:t>
      </w:r>
      <w:r w:rsidR="007E7A66">
        <w:t>ould therefore reveal any favorable terms that a particular target may have been able to obtain, thus strengthening the positions of targets of investigation, and weakening the position of EB, in future negotiations.  The basic tolling agreement that EB uses</w:t>
      </w:r>
      <w:r w:rsidR="007E7A66" w:rsidRPr="008414D1">
        <w:t xml:space="preserve"> </w:t>
      </w:r>
      <w:r w:rsidR="007E7A66">
        <w:t xml:space="preserve">as a starting point for negotiations </w:t>
      </w:r>
      <w:r w:rsidR="007E7A66" w:rsidRPr="008414D1">
        <w:t>also changes over time, depending on Bureau priorities and interests, and disclosure</w:t>
      </w:r>
      <w:r w:rsidR="007E7A66">
        <w:t xml:space="preserve"> </w:t>
      </w:r>
      <w:r w:rsidR="00054A9D">
        <w:t>c</w:t>
      </w:r>
      <w:r w:rsidR="007E7A66">
        <w:t>ould reveal EB’s preferred terms</w:t>
      </w:r>
      <w:r w:rsidR="007E7A66" w:rsidRPr="008414D1">
        <w:t xml:space="preserve"> at a particular point in time.  </w:t>
      </w:r>
      <w:r w:rsidR="007E7A66">
        <w:t xml:space="preserve">Such knowledge would provide entities under investigation with additional leverage in negotiations over future tolling agreements and consent decrees. Disclosure of tolling agreements </w:t>
      </w:r>
      <w:r w:rsidR="00054A9D">
        <w:t>c</w:t>
      </w:r>
      <w:r w:rsidR="007E7A66">
        <w:t>ould also provide insight into the Commission’s enforcement strategies.</w:t>
      </w:r>
      <w:r w:rsidR="007E7A66" w:rsidRPr="00FC2077">
        <w:rPr>
          <w:rFonts w:ascii="Arial" w:hAnsi="Arial" w:cs="Arial"/>
          <w:color w:val="1F497D"/>
          <w:sz w:val="20"/>
        </w:rPr>
        <w:t xml:space="preserve"> </w:t>
      </w:r>
      <w:r w:rsidR="007E7A66" w:rsidRPr="009E5DA4">
        <w:t>Each tolling agreement contains a lis</w:t>
      </w:r>
      <w:r w:rsidR="007E7A66">
        <w:t xml:space="preserve">t of the rule sections at issue in the investigation of the relevant target. That list </w:t>
      </w:r>
      <w:r w:rsidR="007E7A66" w:rsidRPr="009E5DA4">
        <w:t xml:space="preserve">might vary among targets and during particular time </w:t>
      </w:r>
      <w:r w:rsidR="007E7A66">
        <w:t>frames, and could indicate the Commission’s inclination</w:t>
      </w:r>
      <w:r w:rsidR="007E7A66" w:rsidRPr="009E5DA4">
        <w:t xml:space="preserve"> to pursue certain violations while </w:t>
      </w:r>
      <w:r w:rsidR="007E7A66">
        <w:t xml:space="preserve">not pursuing others.  Such insights </w:t>
      </w:r>
      <w:r w:rsidR="00054A9D">
        <w:t>c</w:t>
      </w:r>
      <w:r w:rsidR="007E7A66">
        <w:t xml:space="preserve">ould help other Lifeline providers to shape their behavior so as to evade </w:t>
      </w:r>
      <w:r w:rsidR="007E7A66" w:rsidRPr="009E5DA4">
        <w:t>fu</w:t>
      </w:r>
      <w:r w:rsidR="007E7A66">
        <w:t>ture enforcement. For these reasons, we agree with WCB’s determination that the tolling agreements requested by Brecher should be withheld under Exemption 7(E).</w:t>
      </w:r>
    </w:p>
    <w:p w:rsidR="006F513F" w:rsidRPr="00AE6FFA" w:rsidRDefault="00DE15C3" w:rsidP="006F513F">
      <w:pPr>
        <w:pStyle w:val="ParaNum"/>
      </w:pPr>
      <w:r>
        <w:rPr>
          <w:u w:val="single"/>
        </w:rPr>
        <w:t>Communications.</w:t>
      </w:r>
      <w:r>
        <w:t xml:space="preserve">  </w:t>
      </w:r>
      <w:r w:rsidR="006F513F">
        <w:t xml:space="preserve">We also find that WCB properly relied on Exemption 7(E) to withhold </w:t>
      </w:r>
      <w:r w:rsidR="006F513F" w:rsidRPr="00AE6FFA">
        <w:t xml:space="preserve">the internal FCC </w:t>
      </w:r>
      <w:r w:rsidR="006F513F">
        <w:t>communications</w:t>
      </w:r>
      <w:r w:rsidR="006F513F" w:rsidRPr="00AE6FFA">
        <w:t xml:space="preserve"> and FCC-USAC </w:t>
      </w:r>
      <w:r w:rsidR="006F513F">
        <w:t xml:space="preserve">communications.  </w:t>
      </w:r>
      <w:r w:rsidR="006F513F" w:rsidRPr="00AE6FFA">
        <w:rPr>
          <w:szCs w:val="22"/>
        </w:rPr>
        <w:t xml:space="preserve">The responsive material here consists of e-mails </w:t>
      </w:r>
      <w:r w:rsidR="006F513F">
        <w:rPr>
          <w:szCs w:val="22"/>
        </w:rPr>
        <w:t xml:space="preserve">involving </w:t>
      </w:r>
      <w:r w:rsidR="006F513F" w:rsidRPr="00AE6FFA">
        <w:rPr>
          <w:szCs w:val="22"/>
        </w:rPr>
        <w:t xml:space="preserve">the USAC staff and the staff of the Commission’s Enforcement Bureau.  The subject matter of the e-mails includes </w:t>
      </w:r>
      <w:r w:rsidR="006F513F" w:rsidRPr="00AE6FFA">
        <w:t xml:space="preserve">the </w:t>
      </w:r>
      <w:r w:rsidR="006F513F">
        <w:t xml:space="preserve">development and </w:t>
      </w:r>
      <w:r w:rsidR="006F513F" w:rsidRPr="00AE6FFA">
        <w:t>interpretation of the IDV data</w:t>
      </w:r>
      <w:r w:rsidR="006F513F">
        <w:t>,</w:t>
      </w:r>
      <w:r w:rsidR="006F513F" w:rsidRPr="00AE6FFA">
        <w:t xml:space="preserve"> discussions of the potential violations of the Commission’s rules based on the data</w:t>
      </w:r>
      <w:r w:rsidR="006F513F">
        <w:t>,</w:t>
      </w:r>
      <w:r w:rsidR="006F513F" w:rsidRPr="00AE6FFA">
        <w:t xml:space="preserve"> the development of an appropriate forfeiture methodology applicable to those violations</w:t>
      </w:r>
      <w:r w:rsidR="006F513F">
        <w:t>,</w:t>
      </w:r>
      <w:r w:rsidR="006F513F" w:rsidRPr="00AE6FFA">
        <w:t xml:space="preserve"> and summaries and memoranda discussing proposed enforcement actions based on the IDV data. </w:t>
      </w:r>
      <w:r>
        <w:t xml:space="preserve">  Disclosure of this material would give carriers insight into the Commission’s enforcement methods and standards that would enable them to evade compliance with the law.</w:t>
      </w:r>
    </w:p>
    <w:p w:rsidR="004B052C" w:rsidRPr="00AE6FFA" w:rsidRDefault="004B052C" w:rsidP="00ED5BC5">
      <w:pPr>
        <w:pStyle w:val="ParaNum"/>
      </w:pPr>
      <w:r w:rsidRPr="0014221A">
        <w:rPr>
          <w:b/>
        </w:rPr>
        <w:t>Exemption 5</w:t>
      </w:r>
      <w:r>
        <w:rPr>
          <w:b/>
        </w:rPr>
        <w:t xml:space="preserve">.   </w:t>
      </w:r>
      <w:r>
        <w:t xml:space="preserve">We </w:t>
      </w:r>
      <w:r w:rsidRPr="00AE6FFA">
        <w:t xml:space="preserve">agree with WCB that </w:t>
      </w:r>
      <w:r w:rsidR="009B3B14">
        <w:t xml:space="preserve">the deliberative process privilege encompassed by Exemption 5 provides an additional, independent reason to withhold </w:t>
      </w:r>
      <w:r w:rsidRPr="00AE6FFA">
        <w:t xml:space="preserve">the internal FCC </w:t>
      </w:r>
      <w:r w:rsidR="00903D0D">
        <w:t>communications</w:t>
      </w:r>
      <w:r w:rsidRPr="00AE6FFA">
        <w:t xml:space="preserve"> and FCC-USAC </w:t>
      </w:r>
      <w:r w:rsidR="00903D0D">
        <w:t>communications</w:t>
      </w:r>
      <w:r w:rsidR="009B3B14">
        <w:t>.</w:t>
      </w:r>
      <w:r>
        <w:rPr>
          <w:rStyle w:val="FootnoteReference"/>
        </w:rPr>
        <w:footnoteReference w:id="35"/>
      </w:r>
      <w:r w:rsidRPr="00AE6FFA">
        <w:t xml:space="preserve"> </w:t>
      </w:r>
      <w:r w:rsidR="009B3B14">
        <w:t xml:space="preserve"> </w:t>
      </w:r>
      <w:r w:rsidRPr="00AE6FFA">
        <w:rPr>
          <w:szCs w:val="22"/>
        </w:rPr>
        <w:t>The deliberative process privilege permits withholding information about intra-agency and inter-agency communications that is both predecisional and deliberative.</w:t>
      </w:r>
      <w:r w:rsidRPr="00AE6FFA">
        <w:rPr>
          <w:rStyle w:val="FootnoteReference"/>
          <w:szCs w:val="22"/>
        </w:rPr>
        <w:footnoteReference w:id="36"/>
      </w:r>
      <w:r w:rsidRPr="00AE6FFA">
        <w:rPr>
          <w:szCs w:val="22"/>
        </w:rPr>
        <w:t xml:space="preserve">  </w:t>
      </w:r>
      <w:r w:rsidR="00900505">
        <w:rPr>
          <w:szCs w:val="22"/>
        </w:rPr>
        <w:t>As discussed above, t</w:t>
      </w:r>
      <w:r w:rsidRPr="00AE6FFA">
        <w:rPr>
          <w:szCs w:val="22"/>
        </w:rPr>
        <w:t xml:space="preserve">he responsive material here consists of e-mails </w:t>
      </w:r>
      <w:r>
        <w:rPr>
          <w:szCs w:val="22"/>
        </w:rPr>
        <w:t xml:space="preserve">involving </w:t>
      </w:r>
      <w:r w:rsidRPr="00AE6FFA">
        <w:rPr>
          <w:szCs w:val="22"/>
        </w:rPr>
        <w:t xml:space="preserve">the USAC staff and the staff of the Commission’s Enforcement Bureau.  The subject matter of the e-mails includes </w:t>
      </w:r>
      <w:r w:rsidRPr="00AE6FFA">
        <w:t xml:space="preserve">the </w:t>
      </w:r>
      <w:r>
        <w:t xml:space="preserve">development and </w:t>
      </w:r>
      <w:r w:rsidRPr="00AE6FFA">
        <w:t>interpretation of the IDV data</w:t>
      </w:r>
      <w:r>
        <w:t>,</w:t>
      </w:r>
      <w:r w:rsidRPr="00AE6FFA">
        <w:t xml:space="preserve"> discussions of the potential violations of the Commission’s rules based on the data</w:t>
      </w:r>
      <w:r>
        <w:t>,</w:t>
      </w:r>
      <w:r w:rsidRPr="00AE6FFA">
        <w:t xml:space="preserve"> the development of an appropriate forfeiture methodology applicable to those violations</w:t>
      </w:r>
      <w:r>
        <w:t>,</w:t>
      </w:r>
      <w:r w:rsidRPr="00AE6FFA">
        <w:t xml:space="preserve"> and summaries and memoranda discussing proposed enforcement actions based on the IDV data. </w:t>
      </w:r>
    </w:p>
    <w:p w:rsidR="00BE0F36" w:rsidRDefault="004B052C" w:rsidP="00ED5BC5">
      <w:pPr>
        <w:pStyle w:val="ParaNum"/>
      </w:pPr>
      <w:r w:rsidRPr="001B06C7">
        <w:rPr>
          <w:color w:val="000000"/>
          <w:szCs w:val="22"/>
        </w:rPr>
        <w:t>We find that this material is both predecisional and deliberative.  It is predecis</w:t>
      </w:r>
      <w:r w:rsidR="00903D0D">
        <w:rPr>
          <w:color w:val="000000"/>
          <w:szCs w:val="22"/>
        </w:rPr>
        <w:t>i</w:t>
      </w:r>
      <w:r w:rsidRPr="001B06C7">
        <w:rPr>
          <w:color w:val="000000"/>
          <w:szCs w:val="22"/>
        </w:rPr>
        <w:t xml:space="preserve">onal, inasmuch </w:t>
      </w:r>
      <w:r w:rsidR="003F65ED" w:rsidRPr="001B06C7">
        <w:rPr>
          <w:color w:val="000000"/>
          <w:szCs w:val="22"/>
        </w:rPr>
        <w:t xml:space="preserve">as it was compiled to assist staff in arriving at decisions regarding </w:t>
      </w:r>
      <w:r w:rsidRPr="001B06C7">
        <w:rPr>
          <w:color w:val="000000"/>
          <w:szCs w:val="22"/>
        </w:rPr>
        <w:t xml:space="preserve">the use of the IDV data in </w:t>
      </w:r>
      <w:r w:rsidRPr="001B06C7">
        <w:rPr>
          <w:color w:val="000000"/>
          <w:szCs w:val="22"/>
        </w:rPr>
        <w:lastRenderedPageBreak/>
        <w:t xml:space="preserve">enforcement </w:t>
      </w:r>
      <w:r w:rsidR="003F65ED" w:rsidRPr="001B06C7">
        <w:rPr>
          <w:color w:val="000000"/>
          <w:szCs w:val="22"/>
        </w:rPr>
        <w:t>proceedings</w:t>
      </w:r>
      <w:r w:rsidRPr="001B06C7">
        <w:rPr>
          <w:color w:val="000000"/>
          <w:szCs w:val="22"/>
        </w:rPr>
        <w:t>.</w:t>
      </w:r>
      <w:r w:rsidR="003F65ED">
        <w:rPr>
          <w:rStyle w:val="FootnoteReference"/>
          <w:szCs w:val="22"/>
        </w:rPr>
        <w:footnoteReference w:id="37"/>
      </w:r>
      <w:r w:rsidRPr="001B06C7">
        <w:rPr>
          <w:color w:val="000000"/>
          <w:szCs w:val="22"/>
        </w:rPr>
        <w:t xml:space="preserve">   </w:t>
      </w:r>
      <w:r>
        <w:t xml:space="preserve"> Although some of this material might have contributed to the Commission’s ultimate decisions, we find no indication that the material was either adopted or incorporated into the decisions or that it served as the “working law” on which the decisions were based.</w:t>
      </w:r>
      <w:r w:rsidRPr="001B06C7">
        <w:rPr>
          <w:b/>
        </w:rPr>
        <w:t xml:space="preserve">  </w:t>
      </w:r>
      <w:r>
        <w:t>It is well established that the predecisional character of a document is not altered by the fact that an agency has subsequently made a final decision, even if the final document reflects the predecisional material.</w:t>
      </w:r>
      <w:r>
        <w:rPr>
          <w:rStyle w:val="FootnoteReference"/>
        </w:rPr>
        <w:footnoteReference w:id="38"/>
      </w:r>
      <w:r>
        <w:t xml:space="preserve">  The e-mails are deliberative in character, since they reflect </w:t>
      </w:r>
      <w:r w:rsidR="001B06C7">
        <w:t>the type of staff discussions and evaluations that are at the core of the consultative process.</w:t>
      </w:r>
      <w:r w:rsidR="001B06C7">
        <w:rPr>
          <w:rStyle w:val="FootnoteReference"/>
        </w:rPr>
        <w:footnoteReference w:id="39"/>
      </w:r>
      <w:r w:rsidR="001B06C7">
        <w:t xml:space="preserve">  Specifically, they reflect </w:t>
      </w:r>
      <w:r>
        <w:t xml:space="preserve">the give and take among the various staff members </w:t>
      </w:r>
      <w:r w:rsidR="001B06C7">
        <w:t xml:space="preserve">in the course of weighing the alternatives </w:t>
      </w:r>
      <w:r>
        <w:t xml:space="preserve">as to how the various issues </w:t>
      </w:r>
      <w:r w:rsidR="001B06C7">
        <w:t xml:space="preserve">regarding use of the IDV data </w:t>
      </w:r>
      <w:r>
        <w:t xml:space="preserve">should be </w:t>
      </w:r>
      <w:r w:rsidR="001B06C7">
        <w:t>resolved</w:t>
      </w:r>
      <w:r>
        <w:t xml:space="preserve">.  </w:t>
      </w:r>
    </w:p>
    <w:p w:rsidR="004B052C" w:rsidRDefault="004B052C" w:rsidP="00ED5BC5">
      <w:pPr>
        <w:pStyle w:val="ParaNum"/>
      </w:pPr>
      <w:r>
        <w:t xml:space="preserve">In this regard, </w:t>
      </w:r>
      <w:r w:rsidRPr="004B052C">
        <w:rPr>
          <w:color w:val="000000"/>
          <w:szCs w:val="22"/>
        </w:rPr>
        <w:t>we found no reasonably segregable factual material</w:t>
      </w:r>
      <w:r w:rsidR="00BE0F36">
        <w:rPr>
          <w:color w:val="000000"/>
          <w:szCs w:val="22"/>
        </w:rPr>
        <w:t xml:space="preserve"> that may be released from the records withheld</w:t>
      </w:r>
      <w:r w:rsidRPr="004B052C">
        <w:rPr>
          <w:color w:val="000000"/>
          <w:szCs w:val="22"/>
        </w:rPr>
        <w:t>.</w:t>
      </w:r>
      <w:r w:rsidR="00BE0F36">
        <w:rPr>
          <w:rStyle w:val="FootnoteReference"/>
          <w:szCs w:val="22"/>
        </w:rPr>
        <w:footnoteReference w:id="40"/>
      </w:r>
      <w:r w:rsidRPr="004B052C">
        <w:rPr>
          <w:color w:val="000000"/>
          <w:szCs w:val="22"/>
        </w:rPr>
        <w:t xml:space="preserve">  The staff sometimes made reference to factual matters in the course of their discussions, but we see no way of segregating these passing references in an intelligible manner without disclosing the staff’s deliberations.</w:t>
      </w:r>
      <w:r>
        <w:rPr>
          <w:rStyle w:val="FootnoteReference"/>
          <w:szCs w:val="22"/>
        </w:rPr>
        <w:footnoteReference w:id="41"/>
      </w:r>
      <w:r w:rsidRPr="004B052C">
        <w:rPr>
          <w:color w:val="000000"/>
          <w:szCs w:val="22"/>
        </w:rPr>
        <w:t xml:space="preserve"> </w:t>
      </w:r>
      <w:r w:rsidR="00BE0F36">
        <w:rPr>
          <w:color w:val="000000"/>
          <w:szCs w:val="22"/>
        </w:rPr>
        <w:t xml:space="preserve"> </w:t>
      </w:r>
      <w:r w:rsidRPr="004B052C">
        <w:rPr>
          <w:color w:val="000000"/>
          <w:szCs w:val="22"/>
        </w:rPr>
        <w:t>Further, i</w:t>
      </w:r>
      <w:r w:rsidRPr="00DA7050">
        <w:rPr>
          <w:color w:val="000000"/>
          <w:szCs w:val="22"/>
        </w:rPr>
        <w:t>nasmuch as disclosure of this type of deliberation would tend to chill staff discussion</w:t>
      </w:r>
      <w:r w:rsidR="00257D60">
        <w:rPr>
          <w:color w:val="000000"/>
          <w:szCs w:val="22"/>
        </w:rPr>
        <w:t>,</w:t>
      </w:r>
      <w:r w:rsidRPr="004B052C">
        <w:rPr>
          <w:color w:val="000000"/>
          <w:szCs w:val="22"/>
        </w:rPr>
        <w:t xml:space="preserve"> discouraging staff from expressing their views candidly </w:t>
      </w:r>
      <w:r w:rsidR="00DA7050">
        <w:rPr>
          <w:color w:val="000000"/>
          <w:szCs w:val="22"/>
        </w:rPr>
        <w:t xml:space="preserve">out of </w:t>
      </w:r>
      <w:r w:rsidRPr="004B052C">
        <w:rPr>
          <w:color w:val="000000"/>
          <w:szCs w:val="22"/>
        </w:rPr>
        <w:t xml:space="preserve">concern that their </w:t>
      </w:r>
      <w:r w:rsidR="00257D60">
        <w:rPr>
          <w:color w:val="000000"/>
          <w:szCs w:val="22"/>
        </w:rPr>
        <w:t>remarks</w:t>
      </w:r>
      <w:r w:rsidRPr="004B052C">
        <w:rPr>
          <w:color w:val="000000"/>
          <w:szCs w:val="22"/>
        </w:rPr>
        <w:t xml:space="preserve"> wou</w:t>
      </w:r>
      <w:r w:rsidRPr="00DA7050">
        <w:rPr>
          <w:color w:val="000000"/>
          <w:szCs w:val="22"/>
        </w:rPr>
        <w:t>ld be held against them</w:t>
      </w:r>
      <w:r w:rsidR="00257D60">
        <w:rPr>
          <w:color w:val="000000"/>
          <w:szCs w:val="22"/>
        </w:rPr>
        <w:t xml:space="preserve"> if disclosed</w:t>
      </w:r>
      <w:r w:rsidRPr="00DA7050">
        <w:rPr>
          <w:color w:val="000000"/>
          <w:szCs w:val="22"/>
        </w:rPr>
        <w:t>, we find no basis to release this material on a discretionary basis.</w:t>
      </w:r>
      <w:r w:rsidR="007C1468">
        <w:rPr>
          <w:rStyle w:val="FootnoteReference"/>
        </w:rPr>
        <w:footnoteReference w:id="42"/>
      </w:r>
      <w:r w:rsidR="007C1468">
        <w:t xml:space="preserve"> </w:t>
      </w:r>
      <w:r w:rsidRPr="00DA7050">
        <w:rPr>
          <w:color w:val="000000"/>
          <w:szCs w:val="22"/>
        </w:rPr>
        <w:t xml:space="preserve">  </w:t>
      </w:r>
    </w:p>
    <w:p w:rsidR="003C056E" w:rsidRPr="00403C26" w:rsidRDefault="003C056E" w:rsidP="00ED5BC5">
      <w:pPr>
        <w:pStyle w:val="Heading1"/>
      </w:pPr>
      <w:r w:rsidRPr="00403C26">
        <w:t>ORDERING CLAUSES</w:t>
      </w:r>
    </w:p>
    <w:p w:rsidR="003C056E" w:rsidRPr="00E3242C" w:rsidRDefault="003C056E" w:rsidP="00ED5BC5">
      <w:pPr>
        <w:pStyle w:val="ParaNum"/>
        <w:rPr>
          <w:szCs w:val="22"/>
        </w:rPr>
      </w:pPr>
      <w:r w:rsidRPr="00E3242C">
        <w:rPr>
          <w:szCs w:val="22"/>
        </w:rPr>
        <w:t xml:space="preserve">IT IS ORDERED that the application for review filed by </w:t>
      </w:r>
      <w:r>
        <w:rPr>
          <w:szCs w:val="22"/>
        </w:rPr>
        <w:t>Mitchell F. Brecher IS DENIED</w:t>
      </w:r>
      <w:r w:rsidRPr="00E3242C">
        <w:rPr>
          <w:szCs w:val="22"/>
        </w:rPr>
        <w:t xml:space="preserve">.  </w:t>
      </w:r>
      <w:r>
        <w:rPr>
          <w:szCs w:val="22"/>
        </w:rPr>
        <w:t xml:space="preserve">Brecher </w:t>
      </w:r>
      <w:r>
        <w:t>may seek judicial review of this action pursuant to 5 U.S.C. § 552(a)(4)(B).</w:t>
      </w:r>
      <w:r w:rsidRPr="00403C26">
        <w:rPr>
          <w:rStyle w:val="FootnoteReference"/>
          <w:szCs w:val="22"/>
        </w:rPr>
        <w:footnoteReference w:id="43"/>
      </w:r>
    </w:p>
    <w:p w:rsidR="003C056E" w:rsidRDefault="003C056E" w:rsidP="00ED5BC5">
      <w:pPr>
        <w:pStyle w:val="ParaNum"/>
        <w:rPr>
          <w:szCs w:val="22"/>
        </w:rPr>
      </w:pPr>
      <w:r w:rsidRPr="00403C26">
        <w:rPr>
          <w:szCs w:val="22"/>
        </w:rPr>
        <w:t>The officials responsible for this action are the following:  Chairman Wheeler and Commissioners Clyburn, Rosenworcel, Pai, and O’Rielly.</w:t>
      </w:r>
    </w:p>
    <w:p w:rsidR="003C056E" w:rsidRDefault="003C056E" w:rsidP="00ED5BC5">
      <w:r>
        <w:tab/>
      </w:r>
      <w:r>
        <w:tab/>
      </w:r>
      <w:r>
        <w:tab/>
      </w:r>
      <w:r>
        <w:tab/>
      </w:r>
      <w:r>
        <w:tab/>
      </w:r>
      <w:r>
        <w:tab/>
        <w:t>FEDERAL COMMUNICATIONS COMMISSION</w:t>
      </w:r>
    </w:p>
    <w:p w:rsidR="003C056E" w:rsidRDefault="003C056E" w:rsidP="00ED5BC5"/>
    <w:p w:rsidR="003C056E" w:rsidRDefault="003C056E" w:rsidP="00ED5BC5"/>
    <w:p w:rsidR="003C056E" w:rsidRDefault="003C056E" w:rsidP="00ED5BC5"/>
    <w:p w:rsidR="003C056E" w:rsidRDefault="003C056E" w:rsidP="00ED5BC5"/>
    <w:p w:rsidR="003C056E" w:rsidRDefault="003C056E" w:rsidP="00ED5BC5">
      <w:r>
        <w:tab/>
      </w:r>
      <w:r>
        <w:tab/>
      </w:r>
      <w:r>
        <w:tab/>
      </w:r>
      <w:r>
        <w:tab/>
      </w:r>
      <w:r>
        <w:tab/>
      </w:r>
      <w:r>
        <w:tab/>
        <w:t>Marlene H. Dortch</w:t>
      </w:r>
    </w:p>
    <w:p w:rsidR="00D948F7" w:rsidRDefault="003C056E" w:rsidP="009049C3">
      <w:r>
        <w:tab/>
      </w:r>
      <w:r>
        <w:tab/>
      </w:r>
      <w:r>
        <w:tab/>
      </w:r>
      <w:r>
        <w:tab/>
      </w:r>
      <w:r>
        <w:tab/>
      </w:r>
      <w:r>
        <w:tab/>
        <w:t>Secretary</w:t>
      </w:r>
    </w:p>
    <w:p w:rsidR="00D948F7" w:rsidRDefault="00D948F7">
      <w:pPr>
        <w:widowControl/>
      </w:pPr>
      <w:r>
        <w:br w:type="page"/>
      </w:r>
    </w:p>
    <w:p w:rsidR="00D948F7" w:rsidRPr="007240D1" w:rsidRDefault="00D948F7" w:rsidP="00D948F7">
      <w:pPr>
        <w:jc w:val="center"/>
        <w:rPr>
          <w:b/>
        </w:rPr>
      </w:pPr>
      <w:r w:rsidRPr="007240D1">
        <w:rPr>
          <w:b/>
        </w:rPr>
        <w:t>Statement of Commissioner Michael O’Rielly</w:t>
      </w:r>
    </w:p>
    <w:p w:rsidR="00D948F7" w:rsidRPr="007240D1" w:rsidRDefault="00D948F7" w:rsidP="00D948F7">
      <w:pPr>
        <w:jc w:val="center"/>
        <w:rPr>
          <w:b/>
        </w:rPr>
      </w:pPr>
      <w:r>
        <w:rPr>
          <w:b/>
        </w:rPr>
        <w:t>Approving in Part and Dissenting in Part</w:t>
      </w:r>
    </w:p>
    <w:p w:rsidR="00D948F7" w:rsidRPr="007240D1" w:rsidRDefault="00D948F7" w:rsidP="00D948F7"/>
    <w:p w:rsidR="00D948F7" w:rsidRPr="007240D1" w:rsidRDefault="00D948F7" w:rsidP="00D948F7">
      <w:pPr>
        <w:ind w:left="720" w:hanging="720"/>
        <w:rPr>
          <w:i/>
        </w:rPr>
      </w:pPr>
      <w:r w:rsidRPr="007240D1">
        <w:rPr>
          <w:i/>
        </w:rPr>
        <w:t>Re:</w:t>
      </w:r>
      <w:r w:rsidRPr="007240D1">
        <w:rPr>
          <w:i/>
        </w:rPr>
        <w:tab/>
      </w:r>
      <w:r>
        <w:rPr>
          <w:i/>
        </w:rPr>
        <w:t>In the Matter of Mitchell F. Brecher on Request for Inspection of Records, FOIA Control No. 2014-338</w:t>
      </w:r>
    </w:p>
    <w:p w:rsidR="00D948F7" w:rsidRDefault="00D948F7" w:rsidP="00D948F7"/>
    <w:p w:rsidR="00D948F7" w:rsidRPr="007240D1" w:rsidRDefault="00D948F7" w:rsidP="00D948F7"/>
    <w:p w:rsidR="00D948F7" w:rsidRDefault="00D948F7" w:rsidP="00D948F7">
      <w:pPr>
        <w:ind w:firstLine="720"/>
      </w:pPr>
      <w:r>
        <w:t xml:space="preserve">While I agree with the Wireline Competition Bureau’s finding that the records at issue are exempt from release under FOIA Exemption 7(E), and therefore reach the same outcome in this matter, I must dissent from the application of Exemption 5 to communications between the FCC and the Universal Service Administrative Company (“USAC”).  </w:t>
      </w:r>
    </w:p>
    <w:p w:rsidR="00D948F7" w:rsidRDefault="00D948F7" w:rsidP="00D948F7"/>
    <w:p w:rsidR="00D948F7" w:rsidRDefault="00D948F7" w:rsidP="00D948F7">
      <w:pPr>
        <w:ind w:firstLine="720"/>
      </w:pPr>
      <w:r>
        <w:t xml:space="preserve">USAC is neither a part of the FCC nor a federal agency, but an independent, private nonprofit corporation governed by a 19-member board composed primarily of industry and advocacy group representatives.  Its employees work for the corporation, not for any federal government agency.  This was the intentional design when the Commission “created” it almost two decades ago, and the independence of USAC is often touted when necessary for purposes of passing the buck or insulating USAC from Commissioners’ input.  The Commission cannot redefine this relationship at will to suit its needs.     </w:t>
      </w:r>
    </w:p>
    <w:p w:rsidR="00D948F7" w:rsidRDefault="00D948F7" w:rsidP="00D948F7">
      <w:pPr>
        <w:ind w:firstLine="720"/>
      </w:pPr>
    </w:p>
    <w:p w:rsidR="00D948F7" w:rsidRDefault="00D948F7" w:rsidP="00D948F7">
      <w:pPr>
        <w:ind w:firstLine="720"/>
      </w:pPr>
      <w:r>
        <w:t xml:space="preserve">FCC-USAC communications are clearly neither intra-agency nor inter-agency communications protected by the deliberative process privilege, and should not be treated as such. </w:t>
      </w:r>
    </w:p>
    <w:p w:rsidR="00D948F7" w:rsidRDefault="00D948F7" w:rsidP="00D948F7">
      <w:r>
        <w:t xml:space="preserve">    </w:t>
      </w:r>
    </w:p>
    <w:p w:rsidR="00D948F7" w:rsidRPr="007240D1" w:rsidRDefault="00D948F7" w:rsidP="00D948F7">
      <w:pPr>
        <w:ind w:firstLine="720"/>
      </w:pPr>
    </w:p>
    <w:p w:rsidR="003C056E" w:rsidRPr="0064658E" w:rsidRDefault="003C056E" w:rsidP="009049C3"/>
    <w:p w:rsidR="00DF7BB5" w:rsidRPr="003F6E6D" w:rsidRDefault="00DF7BB5" w:rsidP="00ED5BC5">
      <w:pPr>
        <w:pStyle w:val="ParaNum"/>
        <w:numPr>
          <w:ilvl w:val="0"/>
          <w:numId w:val="0"/>
        </w:numPr>
        <w:ind w:firstLine="720"/>
      </w:pPr>
    </w:p>
    <w:sectPr w:rsidR="00DF7BB5" w:rsidRPr="003F6E6D" w:rsidSect="002A08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F0" w:rsidRDefault="00905EF0">
      <w:pPr>
        <w:spacing w:line="20" w:lineRule="exact"/>
      </w:pPr>
    </w:p>
  </w:endnote>
  <w:endnote w:type="continuationSeparator" w:id="0">
    <w:p w:rsidR="00905EF0" w:rsidRDefault="00905EF0">
      <w:r>
        <w:t xml:space="preserve"> </w:t>
      </w:r>
    </w:p>
  </w:endnote>
  <w:endnote w:type="continuationNotice" w:id="1">
    <w:p w:rsidR="00905EF0" w:rsidRDefault="00905E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E" w:rsidRDefault="00F3764E" w:rsidP="0055614C">
    <w:pPr>
      <w:pStyle w:val="Footer"/>
      <w:framePr w:wrap="around" w:vAnchor="text" w:hAnchor="margin" w:xAlign="center" w:y="1"/>
    </w:pPr>
    <w:r>
      <w:fldChar w:fldCharType="begin"/>
    </w:r>
    <w:r>
      <w:instrText xml:space="preserve">PAGE  </w:instrText>
    </w:r>
    <w:r>
      <w:fldChar w:fldCharType="end"/>
    </w:r>
  </w:p>
  <w:p w:rsidR="00F3764E" w:rsidRDefault="00F37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E" w:rsidRDefault="00F3764E" w:rsidP="0055614C">
    <w:pPr>
      <w:pStyle w:val="Footer"/>
      <w:framePr w:wrap="around" w:vAnchor="text" w:hAnchor="margin" w:xAlign="center" w:y="1"/>
    </w:pPr>
    <w:r>
      <w:fldChar w:fldCharType="begin"/>
    </w:r>
    <w:r>
      <w:instrText xml:space="preserve">PAGE  </w:instrText>
    </w:r>
    <w:r>
      <w:fldChar w:fldCharType="separate"/>
    </w:r>
    <w:r w:rsidR="00884294">
      <w:rPr>
        <w:noProof/>
      </w:rPr>
      <w:t>5</w:t>
    </w:r>
    <w:r>
      <w:fldChar w:fldCharType="end"/>
    </w:r>
  </w:p>
  <w:p w:rsidR="00F3764E" w:rsidRDefault="00F3764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E" w:rsidRDefault="00F3764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F0" w:rsidRDefault="00905EF0">
      <w:r>
        <w:separator/>
      </w:r>
    </w:p>
  </w:footnote>
  <w:footnote w:type="continuationSeparator" w:id="0">
    <w:p w:rsidR="00905EF0" w:rsidRDefault="00905EF0" w:rsidP="00C721AC">
      <w:pPr>
        <w:spacing w:before="120"/>
        <w:rPr>
          <w:sz w:val="20"/>
        </w:rPr>
      </w:pPr>
      <w:r>
        <w:rPr>
          <w:sz w:val="20"/>
        </w:rPr>
        <w:t xml:space="preserve">(Continued from previous page)  </w:t>
      </w:r>
      <w:r>
        <w:rPr>
          <w:sz w:val="20"/>
        </w:rPr>
        <w:separator/>
      </w:r>
    </w:p>
  </w:footnote>
  <w:footnote w:type="continuationNotice" w:id="1">
    <w:p w:rsidR="00905EF0" w:rsidRDefault="00905EF0" w:rsidP="00C721AC">
      <w:pPr>
        <w:jc w:val="right"/>
        <w:rPr>
          <w:sz w:val="20"/>
        </w:rPr>
      </w:pPr>
      <w:r>
        <w:rPr>
          <w:sz w:val="20"/>
        </w:rPr>
        <w:t>(continued….)</w:t>
      </w:r>
    </w:p>
  </w:footnote>
  <w:footnote w:id="2">
    <w:p w:rsidR="00F3764E" w:rsidRPr="002C77F2" w:rsidRDefault="00F3764E">
      <w:pPr>
        <w:pStyle w:val="FootnoteText"/>
      </w:pPr>
      <w:r>
        <w:rPr>
          <w:rStyle w:val="FootnoteReference"/>
        </w:rPr>
        <w:footnoteRef/>
      </w:r>
      <w:r>
        <w:t xml:space="preserve"> </w:t>
      </w:r>
      <w:r>
        <w:rPr>
          <w:i/>
        </w:rPr>
        <w:t xml:space="preserve">See </w:t>
      </w:r>
      <w:r>
        <w:t>Application for Review of Freedom of Information Action, filed July 22, 2014, by Mitchell F. Brecher (AFR).</w:t>
      </w:r>
    </w:p>
  </w:footnote>
  <w:footnote w:id="3">
    <w:p w:rsidR="00F3764E" w:rsidRPr="00923CE1" w:rsidRDefault="00F3764E">
      <w:pPr>
        <w:pStyle w:val="FootnoteText"/>
      </w:pPr>
      <w:r>
        <w:rPr>
          <w:rStyle w:val="FootnoteReference"/>
        </w:rPr>
        <w:footnoteRef/>
      </w:r>
      <w:r>
        <w:t xml:space="preserve"> </w:t>
      </w:r>
      <w:r>
        <w:rPr>
          <w:i/>
        </w:rPr>
        <w:t xml:space="preserve">See </w:t>
      </w:r>
      <w:r>
        <w:t>Letter from Kirk S. Burgee, Chief of Staff, Wireline Competition Bureau to Mitchell F. Brecher, Esq. (Jul</w:t>
      </w:r>
      <w:r w:rsidR="000459A4">
        <w:t>.</w:t>
      </w:r>
      <w:r>
        <w:t xml:space="preserve"> 3, 2014) (Decision).</w:t>
      </w:r>
    </w:p>
  </w:footnote>
  <w:footnote w:id="4">
    <w:p w:rsidR="00F3764E" w:rsidRPr="00923CE1" w:rsidRDefault="00F3764E">
      <w:pPr>
        <w:pStyle w:val="FootnoteText"/>
      </w:pPr>
      <w:r>
        <w:rPr>
          <w:rStyle w:val="FootnoteReference"/>
        </w:rPr>
        <w:footnoteRef/>
      </w:r>
      <w:r>
        <w:t xml:space="preserve"> </w:t>
      </w:r>
      <w:r>
        <w:rPr>
          <w:i/>
        </w:rPr>
        <w:t xml:space="preserve">See </w:t>
      </w:r>
      <w:r>
        <w:t>Letter from Mitchell F. Brecher to FOIA Liaison (Apr. 2, 2014) (Request).</w:t>
      </w:r>
    </w:p>
  </w:footnote>
  <w:footnote w:id="5">
    <w:p w:rsidR="00F3764E" w:rsidRPr="00366058" w:rsidRDefault="00F3764E">
      <w:pPr>
        <w:pStyle w:val="FootnoteText"/>
      </w:pPr>
      <w:r>
        <w:rPr>
          <w:rStyle w:val="FootnoteReference"/>
        </w:rPr>
        <w:footnoteRef/>
      </w:r>
      <w:r>
        <w:t xml:space="preserve"> </w:t>
      </w:r>
      <w:r>
        <w:rPr>
          <w:i/>
        </w:rPr>
        <w:t xml:space="preserve">See TracFone Wireless, Inc., </w:t>
      </w:r>
      <w:r w:rsidRPr="00366058">
        <w:t>28 FCC Rcd 14478 (2013)</w:t>
      </w:r>
      <w:r>
        <w:t xml:space="preserve"> (NAL)</w:t>
      </w:r>
      <w:r w:rsidRPr="00366058">
        <w:t xml:space="preserve">; </w:t>
      </w:r>
      <w:r>
        <w:t xml:space="preserve">AFR at 3.  The NAL cited TracFone for </w:t>
      </w:r>
      <w:r w:rsidR="00F03D74">
        <w:t xml:space="preserve">apparently </w:t>
      </w:r>
      <w:r>
        <w:t>violating 47 C.F.R. §§ 54.407, 54.409, and 54.410.</w:t>
      </w:r>
    </w:p>
  </w:footnote>
  <w:footnote w:id="6">
    <w:p w:rsidR="00F3764E" w:rsidRPr="00346230" w:rsidRDefault="00F3764E">
      <w:pPr>
        <w:pStyle w:val="FootnoteText"/>
      </w:pPr>
      <w:r>
        <w:rPr>
          <w:rStyle w:val="FootnoteReference"/>
        </w:rPr>
        <w:footnoteRef/>
      </w:r>
      <w:r>
        <w:t xml:space="preserve"> </w:t>
      </w:r>
      <w:r>
        <w:rPr>
          <w:i/>
        </w:rPr>
        <w:t xml:space="preserve">See </w:t>
      </w:r>
      <w:r>
        <w:t>NAL, 28 FCC Rcd at 14478-79 ¶ 2</w:t>
      </w:r>
      <w:r w:rsidR="008B3578">
        <w:t xml:space="preserve">; </w:t>
      </w:r>
      <w:r w:rsidR="00F03D74" w:rsidRPr="00F03D74">
        <w:t>47 C.F.R. §</w:t>
      </w:r>
      <w:r w:rsidR="008B3578" w:rsidRPr="00F03D74">
        <w:t>§</w:t>
      </w:r>
      <w:r w:rsidR="00F03D74" w:rsidRPr="00F03D74">
        <w:t xml:space="preserve"> 54.40</w:t>
      </w:r>
      <w:r w:rsidR="008B3578">
        <w:t>0-54.422</w:t>
      </w:r>
      <w:r>
        <w:t>.</w:t>
      </w:r>
    </w:p>
  </w:footnote>
  <w:footnote w:id="7">
    <w:p w:rsidR="00F3764E" w:rsidRPr="00346230" w:rsidRDefault="00F3764E">
      <w:pPr>
        <w:pStyle w:val="FootnoteText"/>
      </w:pPr>
      <w:r>
        <w:rPr>
          <w:rStyle w:val="FootnoteReference"/>
        </w:rPr>
        <w:footnoteRef/>
      </w:r>
      <w:r>
        <w:t xml:space="preserve"> </w:t>
      </w:r>
      <w:r>
        <w:rPr>
          <w:i/>
        </w:rPr>
        <w:t xml:space="preserve">See id. </w:t>
      </w:r>
      <w:r>
        <w:t>at 14483 ¶ 15.</w:t>
      </w:r>
    </w:p>
  </w:footnote>
  <w:footnote w:id="8">
    <w:p w:rsidR="00F3764E" w:rsidRPr="00346230" w:rsidRDefault="00F3764E">
      <w:pPr>
        <w:pStyle w:val="FootnoteText"/>
      </w:pPr>
      <w:r>
        <w:rPr>
          <w:rStyle w:val="FootnoteReference"/>
        </w:rPr>
        <w:footnoteRef/>
      </w:r>
      <w:r>
        <w:t xml:space="preserve"> </w:t>
      </w:r>
      <w:r>
        <w:rPr>
          <w:i/>
        </w:rPr>
        <w:t xml:space="preserve">See id. </w:t>
      </w:r>
      <w:r>
        <w:t>at 14480 ¶ 7.</w:t>
      </w:r>
    </w:p>
  </w:footnote>
  <w:footnote w:id="9">
    <w:p w:rsidR="00BD13AE" w:rsidRDefault="00BD13AE">
      <w:pPr>
        <w:pStyle w:val="FootnoteText"/>
      </w:pPr>
      <w:r>
        <w:rPr>
          <w:rStyle w:val="FootnoteReference"/>
        </w:rPr>
        <w:footnoteRef/>
      </w:r>
      <w:r>
        <w:t xml:space="preserve"> A tolling agreement </w:t>
      </w:r>
      <w:r w:rsidR="003F346F">
        <w:t xml:space="preserve">is an agreement between the EB and the subject of an enforcement proceeding to extend the statute of limitations for taking enforcement action.  </w:t>
      </w:r>
      <w:r w:rsidR="003F346F">
        <w:rPr>
          <w:i/>
        </w:rPr>
        <w:t xml:space="preserve">See, e.g., Verizon Wireless Usage Charges, </w:t>
      </w:r>
      <w:r w:rsidR="003F346F">
        <w:t xml:space="preserve">25 FCC Rcd 15105, 15108 ¶ 4 (Enf. Bur. 2010).   A tolling agreement permits further consideration of the evidence and possible negotiation.  </w:t>
      </w:r>
    </w:p>
  </w:footnote>
  <w:footnote w:id="10">
    <w:p w:rsidR="00F3764E" w:rsidRPr="00C853C3" w:rsidRDefault="00F3764E">
      <w:pPr>
        <w:pStyle w:val="FootnoteText"/>
      </w:pPr>
      <w:r>
        <w:rPr>
          <w:rStyle w:val="FootnoteReference"/>
        </w:rPr>
        <w:footnoteRef/>
      </w:r>
      <w:r>
        <w:t xml:space="preserve"> </w:t>
      </w:r>
      <w:r>
        <w:rPr>
          <w:i/>
        </w:rPr>
        <w:t xml:space="preserve">See </w:t>
      </w:r>
      <w:r>
        <w:t>Decision at 1-2.</w:t>
      </w:r>
    </w:p>
  </w:footnote>
  <w:footnote w:id="11">
    <w:p w:rsidR="00F3764E" w:rsidRDefault="00F3764E">
      <w:pPr>
        <w:pStyle w:val="FootnoteText"/>
      </w:pPr>
      <w:r>
        <w:rPr>
          <w:rStyle w:val="FootnoteReference"/>
        </w:rPr>
        <w:footnoteRef/>
      </w:r>
      <w:r>
        <w:t xml:space="preserve"> 5 U.S.C. § 552(b)(5).</w:t>
      </w:r>
    </w:p>
  </w:footnote>
  <w:footnote w:id="12">
    <w:p w:rsidR="00F3764E" w:rsidRPr="00C853C3" w:rsidRDefault="00F3764E">
      <w:pPr>
        <w:pStyle w:val="FootnoteText"/>
      </w:pPr>
      <w:r>
        <w:rPr>
          <w:rStyle w:val="FootnoteReference"/>
        </w:rPr>
        <w:footnoteRef/>
      </w:r>
      <w:r>
        <w:t xml:space="preserve"> </w:t>
      </w:r>
      <w:r>
        <w:rPr>
          <w:i/>
        </w:rPr>
        <w:t xml:space="preserve">See </w:t>
      </w:r>
      <w:r>
        <w:t>Decision at 2.</w:t>
      </w:r>
    </w:p>
  </w:footnote>
  <w:footnote w:id="13">
    <w:p w:rsidR="00F3764E" w:rsidRPr="00C853C3" w:rsidRDefault="00F3764E">
      <w:pPr>
        <w:pStyle w:val="FootnoteText"/>
      </w:pPr>
      <w:r>
        <w:rPr>
          <w:rStyle w:val="FootnoteReference"/>
        </w:rPr>
        <w:footnoteRef/>
      </w:r>
      <w:r>
        <w:t xml:space="preserve"> </w:t>
      </w:r>
      <w:r>
        <w:rPr>
          <w:i/>
        </w:rPr>
        <w:t xml:space="preserve">See id. </w:t>
      </w:r>
      <w:r>
        <w:t>at 2-3.</w:t>
      </w:r>
    </w:p>
  </w:footnote>
  <w:footnote w:id="14">
    <w:p w:rsidR="00F3764E" w:rsidRDefault="00F3764E">
      <w:pPr>
        <w:pStyle w:val="FootnoteText"/>
      </w:pPr>
      <w:r>
        <w:rPr>
          <w:rStyle w:val="FootnoteReference"/>
        </w:rPr>
        <w:footnoteRef/>
      </w:r>
      <w:r>
        <w:t xml:space="preserve"> 5 U.S.C. § 552(b)(7)(A) and (E).</w:t>
      </w:r>
    </w:p>
  </w:footnote>
  <w:footnote w:id="15">
    <w:p w:rsidR="00F3764E" w:rsidRPr="00F461AF" w:rsidRDefault="00F3764E">
      <w:pPr>
        <w:pStyle w:val="FootnoteText"/>
      </w:pPr>
      <w:r>
        <w:rPr>
          <w:rStyle w:val="FootnoteReference"/>
        </w:rPr>
        <w:footnoteRef/>
      </w:r>
      <w:r>
        <w:t xml:space="preserve"> </w:t>
      </w:r>
      <w:r>
        <w:rPr>
          <w:i/>
        </w:rPr>
        <w:t xml:space="preserve">See </w:t>
      </w:r>
      <w:r>
        <w:t>Decision at 3.</w:t>
      </w:r>
    </w:p>
  </w:footnote>
  <w:footnote w:id="16">
    <w:p w:rsidR="00F3764E" w:rsidRPr="0032735B" w:rsidRDefault="00F3764E">
      <w:pPr>
        <w:pStyle w:val="FootnoteText"/>
      </w:pPr>
      <w:r>
        <w:rPr>
          <w:rStyle w:val="FootnoteReference"/>
        </w:rPr>
        <w:footnoteRef/>
      </w:r>
      <w:r>
        <w:t xml:space="preserve"> </w:t>
      </w:r>
      <w:r>
        <w:rPr>
          <w:i/>
        </w:rPr>
        <w:t xml:space="preserve">See id. </w:t>
      </w:r>
      <w:r>
        <w:t>at 3-4.</w:t>
      </w:r>
    </w:p>
  </w:footnote>
  <w:footnote w:id="17">
    <w:p w:rsidR="00F3764E" w:rsidRPr="0032735B" w:rsidRDefault="00F3764E">
      <w:pPr>
        <w:pStyle w:val="FootnoteText"/>
      </w:pPr>
      <w:r>
        <w:rPr>
          <w:rStyle w:val="FootnoteReference"/>
        </w:rPr>
        <w:footnoteRef/>
      </w:r>
      <w:r>
        <w:t xml:space="preserve"> </w:t>
      </w:r>
      <w:r>
        <w:rPr>
          <w:i/>
        </w:rPr>
        <w:t xml:space="preserve">See id. </w:t>
      </w:r>
      <w:r>
        <w:t>at 4.</w:t>
      </w:r>
    </w:p>
  </w:footnote>
  <w:footnote w:id="18">
    <w:p w:rsidR="00F3764E" w:rsidRPr="0032735B" w:rsidRDefault="00F3764E">
      <w:pPr>
        <w:pStyle w:val="FootnoteText"/>
        <w:rPr>
          <w:i/>
        </w:rPr>
      </w:pPr>
      <w:r>
        <w:rPr>
          <w:rStyle w:val="FootnoteReference"/>
        </w:rPr>
        <w:footnoteRef/>
      </w:r>
      <w:r>
        <w:t xml:space="preserve"> </w:t>
      </w:r>
      <w:r>
        <w:rPr>
          <w:i/>
        </w:rPr>
        <w:t>See id.</w:t>
      </w:r>
    </w:p>
  </w:footnote>
  <w:footnote w:id="19">
    <w:p w:rsidR="00F3764E" w:rsidRPr="00572042" w:rsidRDefault="00F3764E" w:rsidP="00572042">
      <w:pPr>
        <w:pStyle w:val="FootnoteText"/>
      </w:pPr>
      <w:r>
        <w:rPr>
          <w:rStyle w:val="FootnoteReference"/>
        </w:rPr>
        <w:footnoteRef/>
      </w:r>
      <w:r>
        <w:t xml:space="preserve"> </w:t>
      </w:r>
      <w:r>
        <w:rPr>
          <w:i/>
        </w:rPr>
        <w:t xml:space="preserve">See </w:t>
      </w:r>
      <w:r>
        <w:t xml:space="preserve">AFR at 6-9. </w:t>
      </w:r>
      <w:r>
        <w:rPr>
          <w:i/>
        </w:rPr>
        <w:t xml:space="preserve">See Lifeline and Linkup Reform and Modernization, </w:t>
      </w:r>
      <w:r>
        <w:t>26 FCC Rcd 9022 (2011) (describing industry proposal to resolve duplicative Lifeline claims in the near term); Letter from Sharon Gillett, Chief, Wireline Competition Bureau to D. Scott Barash, Acting Chief Executive officer, USAC (Jun. 21, 2011) (describing process that should be followed in identifying and resolving duplicative Lifeline claims found through IDVs).</w:t>
      </w:r>
    </w:p>
  </w:footnote>
  <w:footnote w:id="20">
    <w:p w:rsidR="00F3764E" w:rsidRPr="00572042" w:rsidRDefault="00F3764E">
      <w:pPr>
        <w:pStyle w:val="FootnoteText"/>
      </w:pPr>
      <w:r>
        <w:rPr>
          <w:rStyle w:val="FootnoteReference"/>
        </w:rPr>
        <w:footnoteRef/>
      </w:r>
      <w:r>
        <w:t xml:space="preserve"> </w:t>
      </w:r>
      <w:r>
        <w:rPr>
          <w:i/>
        </w:rPr>
        <w:t xml:space="preserve">See </w:t>
      </w:r>
      <w:r>
        <w:t>AFR at 8, 9.</w:t>
      </w:r>
    </w:p>
  </w:footnote>
  <w:footnote w:id="21">
    <w:p w:rsidR="00F3764E" w:rsidRPr="003D473F" w:rsidRDefault="00F3764E" w:rsidP="00E054E3">
      <w:pPr>
        <w:pStyle w:val="FootnoteText"/>
      </w:pPr>
      <w:r>
        <w:rPr>
          <w:rStyle w:val="FootnoteReference"/>
        </w:rPr>
        <w:footnoteRef/>
      </w:r>
      <w:r>
        <w:t xml:space="preserve"> </w:t>
      </w:r>
      <w:r>
        <w:rPr>
          <w:i/>
        </w:rPr>
        <w:t>See id.</w:t>
      </w:r>
      <w:r>
        <w:t xml:space="preserve"> at 11-12.</w:t>
      </w:r>
    </w:p>
  </w:footnote>
  <w:footnote w:id="22">
    <w:p w:rsidR="00F3764E" w:rsidRPr="00093F3D" w:rsidRDefault="00F3764E">
      <w:pPr>
        <w:pStyle w:val="FootnoteText"/>
      </w:pPr>
      <w:r>
        <w:rPr>
          <w:rStyle w:val="FootnoteReference"/>
        </w:rPr>
        <w:footnoteRef/>
      </w:r>
      <w:r>
        <w:t xml:space="preserve"> </w:t>
      </w:r>
      <w:r>
        <w:rPr>
          <w:i/>
        </w:rPr>
        <w:t xml:space="preserve">See id. </w:t>
      </w:r>
      <w:r>
        <w:t xml:space="preserve">at 9; </w:t>
      </w:r>
      <w:r>
        <w:rPr>
          <w:i/>
        </w:rPr>
        <w:t xml:space="preserve">supra </w:t>
      </w:r>
      <w:r>
        <w:t>note 17.</w:t>
      </w:r>
    </w:p>
  </w:footnote>
  <w:footnote w:id="23">
    <w:p w:rsidR="00F3764E" w:rsidRPr="00093F3D" w:rsidRDefault="00F3764E">
      <w:pPr>
        <w:pStyle w:val="FootnoteText"/>
      </w:pPr>
      <w:r>
        <w:rPr>
          <w:rStyle w:val="FootnoteReference"/>
        </w:rPr>
        <w:footnoteRef/>
      </w:r>
      <w:r>
        <w:t xml:space="preserve"> </w:t>
      </w:r>
      <w:r>
        <w:rPr>
          <w:i/>
        </w:rPr>
        <w:t xml:space="preserve">See </w:t>
      </w:r>
      <w:r>
        <w:t>AFR at 10-11.</w:t>
      </w:r>
    </w:p>
  </w:footnote>
  <w:footnote w:id="24">
    <w:p w:rsidR="00F3764E" w:rsidRPr="00093F3D" w:rsidRDefault="00F3764E">
      <w:pPr>
        <w:pStyle w:val="FootnoteText"/>
      </w:pPr>
      <w:r>
        <w:rPr>
          <w:rStyle w:val="FootnoteReference"/>
        </w:rPr>
        <w:footnoteRef/>
      </w:r>
      <w:r>
        <w:t xml:space="preserve"> </w:t>
      </w:r>
      <w:r>
        <w:rPr>
          <w:i/>
        </w:rPr>
        <w:t xml:space="preserve">See id. </w:t>
      </w:r>
      <w:r>
        <w:t>at 12-13.</w:t>
      </w:r>
    </w:p>
  </w:footnote>
  <w:footnote w:id="25">
    <w:p w:rsidR="00F3764E" w:rsidRPr="00EB69EB" w:rsidRDefault="00F3764E">
      <w:pPr>
        <w:pStyle w:val="FootnoteText"/>
      </w:pPr>
      <w:r>
        <w:rPr>
          <w:rStyle w:val="FootnoteReference"/>
        </w:rPr>
        <w:footnoteRef/>
      </w:r>
      <w:r>
        <w:t xml:space="preserve"> </w:t>
      </w:r>
      <w:r>
        <w:rPr>
          <w:i/>
        </w:rPr>
        <w:t xml:space="preserve">See id. </w:t>
      </w:r>
      <w:r>
        <w:t>at 14-15.</w:t>
      </w:r>
    </w:p>
  </w:footnote>
  <w:footnote w:id="26">
    <w:p w:rsidR="00F3764E" w:rsidRPr="00EB69EB" w:rsidRDefault="00F3764E">
      <w:pPr>
        <w:pStyle w:val="FootnoteText"/>
      </w:pPr>
      <w:r>
        <w:rPr>
          <w:rStyle w:val="FootnoteReference"/>
        </w:rPr>
        <w:footnoteRef/>
      </w:r>
      <w:r>
        <w:t xml:space="preserve"> </w:t>
      </w:r>
      <w:r>
        <w:rPr>
          <w:i/>
        </w:rPr>
        <w:t xml:space="preserve">See id. </w:t>
      </w:r>
      <w:r>
        <w:t>at 16.</w:t>
      </w:r>
    </w:p>
  </w:footnote>
  <w:footnote w:id="27">
    <w:p w:rsidR="00F3764E" w:rsidRPr="00EB69EB" w:rsidRDefault="00F3764E">
      <w:pPr>
        <w:pStyle w:val="FootnoteText"/>
      </w:pPr>
      <w:r>
        <w:rPr>
          <w:rStyle w:val="FootnoteReference"/>
        </w:rPr>
        <w:footnoteRef/>
      </w:r>
      <w:r>
        <w:t xml:space="preserve"> </w:t>
      </w:r>
      <w:r>
        <w:rPr>
          <w:i/>
        </w:rPr>
        <w:t xml:space="preserve">See id. </w:t>
      </w:r>
    </w:p>
  </w:footnote>
  <w:footnote w:id="28">
    <w:p w:rsidR="00F3764E" w:rsidRPr="00EB69EB" w:rsidRDefault="00F3764E">
      <w:pPr>
        <w:pStyle w:val="FootnoteText"/>
      </w:pPr>
      <w:r>
        <w:rPr>
          <w:rStyle w:val="FootnoteReference"/>
        </w:rPr>
        <w:footnoteRef/>
      </w:r>
      <w:r>
        <w:t xml:space="preserve"> </w:t>
      </w:r>
      <w:r>
        <w:rPr>
          <w:i/>
        </w:rPr>
        <w:t xml:space="preserve">See id. </w:t>
      </w:r>
      <w:r>
        <w:t>at 17.</w:t>
      </w:r>
    </w:p>
  </w:footnote>
  <w:footnote w:id="29">
    <w:p w:rsidR="00AA5558" w:rsidRDefault="00AA5558" w:rsidP="00AA5558">
      <w:pPr>
        <w:pStyle w:val="FootnoteText"/>
      </w:pPr>
      <w:r w:rsidRPr="00896AFA">
        <w:rPr>
          <w:rStyle w:val="FootnoteReference"/>
        </w:rPr>
        <w:footnoteRef/>
      </w:r>
      <w:r w:rsidRPr="00896AFA">
        <w:t xml:space="preserve"> </w:t>
      </w:r>
      <w:r w:rsidRPr="00896AFA">
        <w:rPr>
          <w:i/>
        </w:rPr>
        <w:t xml:space="preserve">See </w:t>
      </w:r>
      <w:r w:rsidRPr="00896AFA">
        <w:t>Decision at 3-4.</w:t>
      </w:r>
      <w:r>
        <w:t xml:space="preserve">     </w:t>
      </w:r>
    </w:p>
  </w:footnote>
  <w:footnote w:id="30">
    <w:p w:rsidR="00F3764E" w:rsidRPr="00174E08" w:rsidRDefault="00F3764E">
      <w:pPr>
        <w:pStyle w:val="FootnoteText"/>
      </w:pPr>
      <w:r>
        <w:rPr>
          <w:rStyle w:val="FootnoteReference"/>
        </w:rPr>
        <w:footnoteRef/>
      </w:r>
      <w:r>
        <w:t xml:space="preserve"> </w:t>
      </w:r>
      <w:r>
        <w:rPr>
          <w:i/>
        </w:rPr>
        <w:t xml:space="preserve">See </w:t>
      </w:r>
      <w:r w:rsidRPr="00174E08">
        <w:t>AFR at 5-6.</w:t>
      </w:r>
    </w:p>
  </w:footnote>
  <w:footnote w:id="31">
    <w:p w:rsidR="00F3764E" w:rsidRPr="0000035A" w:rsidRDefault="00F3764E">
      <w:pPr>
        <w:pStyle w:val="FootnoteText"/>
      </w:pPr>
      <w:r>
        <w:rPr>
          <w:rStyle w:val="FootnoteReference"/>
        </w:rPr>
        <w:footnoteRef/>
      </w:r>
      <w:r>
        <w:t xml:space="preserve"> </w:t>
      </w:r>
      <w:r>
        <w:rPr>
          <w:i/>
        </w:rPr>
        <w:t xml:space="preserve">See John Doe Agency v. John Doe Corporation, </w:t>
      </w:r>
      <w:r>
        <w:t>493 U.S. 146, 154  (1989) (for purposes of Exemption 7, “compiled” does not mean “originally comp</w:t>
      </w:r>
      <w:r w:rsidR="00B51532">
        <w:t>il</w:t>
      </w:r>
      <w:r>
        <w:t xml:space="preserve">ed”); </w:t>
      </w:r>
      <w:r>
        <w:rPr>
          <w:i/>
        </w:rPr>
        <w:t xml:space="preserve">Lion Raisins, Inc. v. U.S. Dep’t of Agriculture, </w:t>
      </w:r>
      <w:r>
        <w:t>354 F.3d 1072, 1082 (9</w:t>
      </w:r>
      <w:r w:rsidRPr="0000035A">
        <w:t xml:space="preserve">th </w:t>
      </w:r>
      <w:r>
        <w:t xml:space="preserve">Cir. 2004) (information need not be originally compiled for law enforcement purposes so long as it was compiled for law enforcement purposes at the time the FOIA request was made); </w:t>
      </w:r>
      <w:r>
        <w:rPr>
          <w:i/>
        </w:rPr>
        <w:t xml:space="preserve">KTVY, TV v. U.S., </w:t>
      </w:r>
      <w:r>
        <w:t>919 F.2d 1465, 1469 (10</w:t>
      </w:r>
      <w:r w:rsidRPr="0000035A">
        <w:t xml:space="preserve">th </w:t>
      </w:r>
      <w:r>
        <w:t>Cir. 1990) (the FOIA does not require that records must have been originally compiled for law enforcement purposes).</w:t>
      </w:r>
    </w:p>
  </w:footnote>
  <w:footnote w:id="32">
    <w:p w:rsidR="003D4220" w:rsidRPr="008327F6" w:rsidRDefault="003D4220">
      <w:pPr>
        <w:pStyle w:val="FootnoteText"/>
      </w:pPr>
      <w:r>
        <w:rPr>
          <w:rStyle w:val="FootnoteReference"/>
        </w:rPr>
        <w:footnoteRef/>
      </w:r>
      <w:r>
        <w:t xml:space="preserve"> As an additional matter, we disagree with Brecher’s contention that Exemption 7 does not apply</w:t>
      </w:r>
      <w:r w:rsidR="00620FEC">
        <w:t xml:space="preserve"> </w:t>
      </w:r>
      <w:r>
        <w:t>because USAC does not have a l</w:t>
      </w:r>
      <w:r w:rsidR="006E17F7">
        <w:t>a</w:t>
      </w:r>
      <w:r>
        <w:t xml:space="preserve">w enforcement function in its own right.  </w:t>
      </w:r>
      <w:r>
        <w:rPr>
          <w:i/>
        </w:rPr>
        <w:t xml:space="preserve">See </w:t>
      </w:r>
      <w:r>
        <w:t xml:space="preserve">AFR at </w:t>
      </w:r>
      <w:r w:rsidR="008327F6">
        <w:t xml:space="preserve">8-9.  USAC administers the Lifeline program on behalf of the Commission and its actions are reviewable by the Commission.  Thus, the regulatory authority involved here is ultimately that of the Commission.  </w:t>
      </w:r>
      <w:r w:rsidR="008327F6">
        <w:rPr>
          <w:i/>
        </w:rPr>
        <w:t xml:space="preserve">See United Systems, Inc., </w:t>
      </w:r>
      <w:r w:rsidR="008327F6">
        <w:t>24 FCC Rcd 12338, 12342 ¶ 10 (2009).</w:t>
      </w:r>
    </w:p>
  </w:footnote>
  <w:footnote w:id="33">
    <w:p w:rsidR="00F3764E" w:rsidRPr="00FC6EC9" w:rsidRDefault="00F3764E">
      <w:pPr>
        <w:pStyle w:val="FootnoteText"/>
      </w:pPr>
      <w:r>
        <w:rPr>
          <w:rStyle w:val="FootnoteReference"/>
        </w:rPr>
        <w:footnoteRef/>
      </w:r>
      <w:r>
        <w:t xml:space="preserve"> </w:t>
      </w:r>
      <w:r>
        <w:rPr>
          <w:i/>
        </w:rPr>
        <w:t xml:space="preserve">See </w:t>
      </w:r>
      <w:r w:rsidR="008327F6">
        <w:t>AFR at 5-6</w:t>
      </w:r>
      <w:r>
        <w:t>.</w:t>
      </w:r>
    </w:p>
  </w:footnote>
  <w:footnote w:id="34">
    <w:p w:rsidR="00F3764E" w:rsidRPr="00AB37EE" w:rsidRDefault="00F3764E">
      <w:pPr>
        <w:pStyle w:val="FootnoteText"/>
      </w:pPr>
      <w:r>
        <w:rPr>
          <w:rStyle w:val="FootnoteReference"/>
        </w:rPr>
        <w:footnoteRef/>
      </w:r>
      <w:r>
        <w:t xml:space="preserve"> </w:t>
      </w:r>
      <w:r>
        <w:rPr>
          <w:i/>
        </w:rPr>
        <w:t>See United Systems, Inc.</w:t>
      </w:r>
      <w:r>
        <w:t xml:space="preserve">, 24 FCC Rcd 12338, 12345 ¶ 15 (2009) (withholding information about USAC review of school districts under Exemption 7(E)); </w:t>
      </w:r>
      <w:r>
        <w:rPr>
          <w:i/>
        </w:rPr>
        <w:t>Donna Harrington-Lueker</w:t>
      </w:r>
      <w:r>
        <w:t>, 16 FCC Rcd 16591, 16592 ¶ 3 (2001) (same).</w:t>
      </w:r>
    </w:p>
  </w:footnote>
  <w:footnote w:id="35">
    <w:p w:rsidR="00F3764E" w:rsidRPr="00FC6EC9" w:rsidRDefault="00F3764E" w:rsidP="004B052C">
      <w:pPr>
        <w:pStyle w:val="FootnoteText"/>
      </w:pPr>
      <w:r>
        <w:rPr>
          <w:rStyle w:val="FootnoteReference"/>
        </w:rPr>
        <w:footnoteRef/>
      </w:r>
      <w:r>
        <w:t xml:space="preserve"> For purposes of Exemption 5, communications between the Commission and USAC are intra-agency.  </w:t>
      </w:r>
      <w:r>
        <w:rPr>
          <w:i/>
        </w:rPr>
        <w:t xml:space="preserve">See IBM Corp., </w:t>
      </w:r>
      <w:r>
        <w:t>25 FCC Rcd 11085, 11090 ¶ 10 (2010).</w:t>
      </w:r>
    </w:p>
  </w:footnote>
  <w:footnote w:id="36">
    <w:p w:rsidR="00F3764E" w:rsidRDefault="00F3764E" w:rsidP="004B052C">
      <w:pPr>
        <w:pStyle w:val="FootnoteText"/>
      </w:pPr>
      <w:r>
        <w:rPr>
          <w:rStyle w:val="FootnoteReference"/>
        </w:rPr>
        <w:footnoteRef/>
      </w:r>
      <w:r>
        <w:t xml:space="preserve"> </w:t>
      </w:r>
      <w:r w:rsidRPr="004F6BA5">
        <w:t xml:space="preserve">To fall within the scope of the deliberate process privilege encompassed by Exemption 5, records must be both pre-decisional, </w:t>
      </w:r>
      <w:r w:rsidRPr="004F6BA5">
        <w:rPr>
          <w:i/>
        </w:rPr>
        <w:t xml:space="preserve">i.e., </w:t>
      </w:r>
      <w:r w:rsidRPr="004F6BA5">
        <w:t>“[they were] generated before the adoption of an agency policy [</w:t>
      </w:r>
      <w:r w:rsidRPr="004F6BA5">
        <w:rPr>
          <w:i/>
        </w:rPr>
        <w:t xml:space="preserve">i.e., </w:t>
      </w:r>
      <w:r w:rsidRPr="004F6BA5">
        <w:t xml:space="preserve">a decision],” and deliberative, </w:t>
      </w:r>
      <w:r w:rsidRPr="004F6BA5">
        <w:rPr>
          <w:i/>
        </w:rPr>
        <w:t xml:space="preserve">i.e., </w:t>
      </w:r>
      <w:r w:rsidRPr="004F6BA5">
        <w:t xml:space="preserve">“[they reflect] the give-and-take of the consultative process.  </w:t>
      </w:r>
      <w:r>
        <w:rPr>
          <w:i/>
        </w:rPr>
        <w:t xml:space="preserve">See </w:t>
      </w:r>
      <w:r w:rsidRPr="004F6BA5">
        <w:rPr>
          <w:i/>
        </w:rPr>
        <w:t xml:space="preserve">Senate of the Commonwealth of Puerto Rico v. U.S. Dep’t of Justice, </w:t>
      </w:r>
      <w:r w:rsidRPr="004F6BA5">
        <w:t>823 F.2d 574, 585 (D.C. Cir. 1987).</w:t>
      </w:r>
    </w:p>
  </w:footnote>
  <w:footnote w:id="37">
    <w:p w:rsidR="00F3764E" w:rsidRPr="003F65ED" w:rsidRDefault="00F3764E">
      <w:pPr>
        <w:pStyle w:val="FootnoteText"/>
      </w:pPr>
      <w:r>
        <w:rPr>
          <w:rStyle w:val="FootnoteReference"/>
        </w:rPr>
        <w:footnoteRef/>
      </w:r>
      <w:r>
        <w:t xml:space="preserve"> </w:t>
      </w:r>
      <w:r>
        <w:rPr>
          <w:i/>
        </w:rPr>
        <w:t xml:space="preserve">See Cheryl B. Williams, </w:t>
      </w:r>
      <w:r>
        <w:t>27 FCC Rcd 634, 636 ¶ 8 (2012) (records are predecisional if they are “prepared in order to assist an agency decision maker in arriving at his decision”).</w:t>
      </w:r>
    </w:p>
  </w:footnote>
  <w:footnote w:id="38">
    <w:p w:rsidR="00F3764E" w:rsidRDefault="00F3764E" w:rsidP="004B052C">
      <w:pPr>
        <w:pStyle w:val="FootnoteText"/>
        <w:spacing w:after="0"/>
      </w:pPr>
      <w:r>
        <w:rPr>
          <w:rStyle w:val="FootnoteReference"/>
        </w:rPr>
        <w:footnoteRef/>
      </w:r>
      <w:r>
        <w:t xml:space="preserve"> </w:t>
      </w:r>
      <w:r>
        <w:rPr>
          <w:i/>
        </w:rPr>
        <w:t>See, e.g., Fed. Open Mkt. Comm. v. Merrill</w:t>
      </w:r>
      <w:r>
        <w:t xml:space="preserve">, 443 U.S. 340, 359-60 (1979); </w:t>
      </w:r>
      <w:r w:rsidRPr="0082792A">
        <w:rPr>
          <w:i/>
        </w:rPr>
        <w:t>Electronic Privacy Information Center v. Transportation Sec. Admin</w:t>
      </w:r>
      <w:r w:rsidRPr="0082792A">
        <w:t>., 928 F.Supp.2d 156, 169 (D.D.C. 2013)</w:t>
      </w:r>
      <w:r>
        <w:t xml:space="preserve">; </w:t>
      </w:r>
      <w:r>
        <w:rPr>
          <w:i/>
        </w:rPr>
        <w:t xml:space="preserve">American Civil Liberties Union of Northern California, </w:t>
      </w:r>
      <w:r w:rsidR="00697399">
        <w:t xml:space="preserve">29 FCC Rcd 9724, 9729 ¶ 14 (2014).  </w:t>
      </w:r>
      <w:r>
        <w:t xml:space="preserve">  </w:t>
      </w:r>
    </w:p>
    <w:p w:rsidR="00F3764E" w:rsidRPr="00F5565F" w:rsidRDefault="00F3764E" w:rsidP="004B052C">
      <w:pPr>
        <w:pStyle w:val="FootnoteText"/>
        <w:spacing w:after="0"/>
      </w:pPr>
    </w:p>
  </w:footnote>
  <w:footnote w:id="39">
    <w:p w:rsidR="00F3764E" w:rsidRPr="001B06C7" w:rsidRDefault="00F3764E">
      <w:pPr>
        <w:pStyle w:val="FootnoteText"/>
      </w:pPr>
      <w:r>
        <w:rPr>
          <w:rStyle w:val="FootnoteReference"/>
        </w:rPr>
        <w:footnoteRef/>
      </w:r>
      <w:r>
        <w:t xml:space="preserve"> </w:t>
      </w:r>
      <w:r>
        <w:rPr>
          <w:i/>
        </w:rPr>
        <w:t xml:space="preserve">See Cheryl B. Williams, supra </w:t>
      </w:r>
      <w:r>
        <w:t>note 3</w:t>
      </w:r>
      <w:r w:rsidR="00F10531">
        <w:t>6</w:t>
      </w:r>
      <w:r>
        <w:t>.</w:t>
      </w:r>
    </w:p>
  </w:footnote>
  <w:footnote w:id="40">
    <w:p w:rsidR="00F3764E" w:rsidRDefault="00F3764E">
      <w:pPr>
        <w:pStyle w:val="FootnoteText"/>
      </w:pPr>
      <w:r>
        <w:rPr>
          <w:rStyle w:val="FootnoteReference"/>
        </w:rPr>
        <w:footnoteRef/>
      </w:r>
      <w:r>
        <w:t xml:space="preserve"> The FOIA requires the release of reasonably segregable portions of records after appropriate application of FOIA exemptions.  No release is required if non-exempt material is so entwined with material being withheld that segregation is impractical.  </w:t>
      </w:r>
      <w:r>
        <w:rPr>
          <w:i/>
        </w:rPr>
        <w:t>See Michael Ravnitzky</w:t>
      </w:r>
      <w:r w:rsidRPr="00721952">
        <w:t xml:space="preserve">, 16 FCC </w:t>
      </w:r>
      <w:r w:rsidR="00D25060">
        <w:t>R</w:t>
      </w:r>
      <w:r w:rsidRPr="00721952">
        <w:t>cd 21745</w:t>
      </w:r>
      <w:r>
        <w:t>, 21748 ¶ 10</w:t>
      </w:r>
      <w:r w:rsidRPr="00721952">
        <w:t xml:space="preserve"> (2001).</w:t>
      </w:r>
    </w:p>
  </w:footnote>
  <w:footnote w:id="41">
    <w:p w:rsidR="00F3764E" w:rsidRPr="001E0134" w:rsidRDefault="00F3764E" w:rsidP="004B052C">
      <w:pPr>
        <w:pStyle w:val="FootnoteText"/>
      </w:pPr>
      <w:r>
        <w:rPr>
          <w:rStyle w:val="FootnoteReference"/>
        </w:rPr>
        <w:footnoteRef/>
      </w:r>
      <w:r>
        <w:t xml:space="preserve"> </w:t>
      </w:r>
      <w:r>
        <w:rPr>
          <w:i/>
        </w:rPr>
        <w:t xml:space="preserve">See American Civil Liberties Union of Northern California, </w:t>
      </w:r>
      <w:r w:rsidR="0069797C">
        <w:rPr>
          <w:i/>
        </w:rPr>
        <w:t xml:space="preserve">supra </w:t>
      </w:r>
      <w:r w:rsidR="003F68E6">
        <w:t>n</w:t>
      </w:r>
      <w:r w:rsidR="0069797C">
        <w:t>ote 37 at 9729 ¶ 15.</w:t>
      </w:r>
    </w:p>
  </w:footnote>
  <w:footnote w:id="42">
    <w:p w:rsidR="00F3764E" w:rsidRPr="002058BA" w:rsidRDefault="00F3764E" w:rsidP="007C1468">
      <w:pPr>
        <w:pStyle w:val="FootnoteText"/>
      </w:pPr>
      <w:r w:rsidRPr="002058BA">
        <w:rPr>
          <w:rStyle w:val="FootnoteReference"/>
        </w:rPr>
        <w:footnoteRef/>
      </w:r>
      <w:r w:rsidRPr="002058BA">
        <w:t xml:space="preserve"> </w:t>
      </w:r>
      <w:r w:rsidRPr="002058BA">
        <w:rPr>
          <w:i/>
        </w:rPr>
        <w:t>See</w:t>
      </w:r>
      <w:r w:rsidRPr="002058BA">
        <w:t xml:space="preserve"> </w:t>
      </w:r>
      <w:r w:rsidRPr="002058BA">
        <w:rPr>
          <w:i/>
        </w:rPr>
        <w:t>Memorandum to Heads of Executive Departments and Agencies, Freedom of Information Act</w:t>
      </w:r>
      <w:r w:rsidRPr="002058BA">
        <w:t xml:space="preserve">, 74 Fed. Reg. 4683 (2009) (President Obama’s memorandum concerning the FOIA); </w:t>
      </w:r>
      <w:r w:rsidRPr="002058BA">
        <w:rPr>
          <w:i/>
        </w:rPr>
        <w:t xml:space="preserve">The Freedom of Information Act (FOIA), </w:t>
      </w:r>
      <w:r w:rsidRPr="002058BA">
        <w:t>available at &lt;http://www.usdoj.gov/ag/foia-memo-march2009.pdf&gt; (Attorney General Holder’s FOIA Memo).</w:t>
      </w:r>
    </w:p>
  </w:footnote>
  <w:footnote w:id="43">
    <w:p w:rsidR="00F3764E" w:rsidRDefault="00F3764E" w:rsidP="003C056E">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Brecher’s right to pursue litigation.  Brecher may contact OGIS in any of the following ways: </w:t>
      </w:r>
    </w:p>
    <w:p w:rsidR="00F3764E" w:rsidRDefault="00F3764E" w:rsidP="003C056E">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2C" w:rsidRDefault="00073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E" w:rsidRDefault="00F3764E" w:rsidP="00810B6F">
    <w:pPr>
      <w:pStyle w:val="Header"/>
      <w:rPr>
        <w:b w:val="0"/>
      </w:rPr>
    </w:pPr>
    <w:r>
      <w:tab/>
      <w:t>Federal Communications Commission</w:t>
    </w:r>
    <w:r>
      <w:tab/>
      <w:t xml:space="preserve">FCC </w:t>
    </w:r>
    <w:r w:rsidR="00172723">
      <w:t>16-31</w:t>
    </w:r>
  </w:p>
  <w:p w:rsidR="00F3764E" w:rsidRDefault="00F3764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460229F" wp14:editId="271D20E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BEE7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3764E" w:rsidRDefault="00F3764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4E" w:rsidRDefault="00F3764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38504FB" wp14:editId="411CE5B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3CD7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FCC </w:t>
    </w:r>
    <w:r w:rsidR="00172723">
      <w:rPr>
        <w:spacing w:val="-2"/>
      </w:rPr>
      <w:t>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D03F28"/>
    <w:multiLevelType w:val="hybridMultilevel"/>
    <w:tmpl w:val="30EE67AE"/>
    <w:lvl w:ilvl="0" w:tplc="698ED6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3D2E08"/>
    <w:multiLevelType w:val="hybridMultilevel"/>
    <w:tmpl w:val="4B402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2EC0591"/>
    <w:multiLevelType w:val="hybridMultilevel"/>
    <w:tmpl w:val="7B1A3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5"/>
  </w:num>
  <w:num w:numId="9">
    <w:abstractNumId w:val="7"/>
  </w:num>
  <w:num w:numId="10">
    <w:abstractNumId w:val="7"/>
  </w:num>
  <w:num w:numId="11">
    <w:abstractNumId w:val="7"/>
  </w:num>
  <w:num w:numId="12">
    <w:abstractNumId w:val="7"/>
  </w:num>
  <w:num w:numId="13">
    <w:abstractNumId w:val="1"/>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6D"/>
    <w:rsid w:val="0000035A"/>
    <w:rsid w:val="00022505"/>
    <w:rsid w:val="00036039"/>
    <w:rsid w:val="00037F90"/>
    <w:rsid w:val="0004234F"/>
    <w:rsid w:val="00042DA0"/>
    <w:rsid w:val="000449D1"/>
    <w:rsid w:val="000459A4"/>
    <w:rsid w:val="00045EF0"/>
    <w:rsid w:val="000460F5"/>
    <w:rsid w:val="00054A9D"/>
    <w:rsid w:val="00055D99"/>
    <w:rsid w:val="00057580"/>
    <w:rsid w:val="00066D3F"/>
    <w:rsid w:val="0007382C"/>
    <w:rsid w:val="00081C61"/>
    <w:rsid w:val="000875BF"/>
    <w:rsid w:val="00093F3D"/>
    <w:rsid w:val="00096D8C"/>
    <w:rsid w:val="000B55A8"/>
    <w:rsid w:val="000B7A21"/>
    <w:rsid w:val="000C0B65"/>
    <w:rsid w:val="000C4C08"/>
    <w:rsid w:val="000E05FE"/>
    <w:rsid w:val="000E3D42"/>
    <w:rsid w:val="000E6725"/>
    <w:rsid w:val="000E7215"/>
    <w:rsid w:val="000F09E6"/>
    <w:rsid w:val="001066A0"/>
    <w:rsid w:val="0010670D"/>
    <w:rsid w:val="0011203E"/>
    <w:rsid w:val="001149FC"/>
    <w:rsid w:val="00122BD5"/>
    <w:rsid w:val="00133F79"/>
    <w:rsid w:val="0014221A"/>
    <w:rsid w:val="00152D84"/>
    <w:rsid w:val="00172723"/>
    <w:rsid w:val="00174E08"/>
    <w:rsid w:val="00180ACE"/>
    <w:rsid w:val="00194A66"/>
    <w:rsid w:val="001A04EE"/>
    <w:rsid w:val="001B06C7"/>
    <w:rsid w:val="001C73AD"/>
    <w:rsid w:val="001D535E"/>
    <w:rsid w:val="001D6BCF"/>
    <w:rsid w:val="001E0134"/>
    <w:rsid w:val="001E01CA"/>
    <w:rsid w:val="001E16FA"/>
    <w:rsid w:val="00204897"/>
    <w:rsid w:val="002302D8"/>
    <w:rsid w:val="002364BA"/>
    <w:rsid w:val="00240AF2"/>
    <w:rsid w:val="00247544"/>
    <w:rsid w:val="00257D60"/>
    <w:rsid w:val="002723A3"/>
    <w:rsid w:val="00273428"/>
    <w:rsid w:val="00275CF5"/>
    <w:rsid w:val="0028301F"/>
    <w:rsid w:val="00285017"/>
    <w:rsid w:val="002852B5"/>
    <w:rsid w:val="002979F6"/>
    <w:rsid w:val="002A08EF"/>
    <w:rsid w:val="002A2616"/>
    <w:rsid w:val="002A2D2E"/>
    <w:rsid w:val="002C00E8"/>
    <w:rsid w:val="002C1964"/>
    <w:rsid w:val="002C77F2"/>
    <w:rsid w:val="002F1D21"/>
    <w:rsid w:val="00317E79"/>
    <w:rsid w:val="00326FC4"/>
    <w:rsid w:val="0032735B"/>
    <w:rsid w:val="00343749"/>
    <w:rsid w:val="00346230"/>
    <w:rsid w:val="00350241"/>
    <w:rsid w:val="0036374D"/>
    <w:rsid w:val="00366058"/>
    <w:rsid w:val="003660ED"/>
    <w:rsid w:val="00381C32"/>
    <w:rsid w:val="003876CB"/>
    <w:rsid w:val="003921D7"/>
    <w:rsid w:val="003B0550"/>
    <w:rsid w:val="003B5E52"/>
    <w:rsid w:val="003B5E8B"/>
    <w:rsid w:val="003B694F"/>
    <w:rsid w:val="003C056E"/>
    <w:rsid w:val="003C4D10"/>
    <w:rsid w:val="003D171B"/>
    <w:rsid w:val="003D4220"/>
    <w:rsid w:val="003D4246"/>
    <w:rsid w:val="003D473F"/>
    <w:rsid w:val="003D611D"/>
    <w:rsid w:val="003F171C"/>
    <w:rsid w:val="003F346F"/>
    <w:rsid w:val="003F43A1"/>
    <w:rsid w:val="003F65ED"/>
    <w:rsid w:val="003F68E6"/>
    <w:rsid w:val="003F6E6D"/>
    <w:rsid w:val="004076EE"/>
    <w:rsid w:val="00412FAC"/>
    <w:rsid w:val="00412FC5"/>
    <w:rsid w:val="00422276"/>
    <w:rsid w:val="004242F1"/>
    <w:rsid w:val="0042667A"/>
    <w:rsid w:val="00433437"/>
    <w:rsid w:val="00435F67"/>
    <w:rsid w:val="00445A00"/>
    <w:rsid w:val="00451B0F"/>
    <w:rsid w:val="00454854"/>
    <w:rsid w:val="0046010E"/>
    <w:rsid w:val="004658AA"/>
    <w:rsid w:val="00482983"/>
    <w:rsid w:val="00487452"/>
    <w:rsid w:val="00491311"/>
    <w:rsid w:val="004977B1"/>
    <w:rsid w:val="004B052C"/>
    <w:rsid w:val="004C2EE3"/>
    <w:rsid w:val="004E4A22"/>
    <w:rsid w:val="00503051"/>
    <w:rsid w:val="005034BA"/>
    <w:rsid w:val="005034F4"/>
    <w:rsid w:val="005035C3"/>
    <w:rsid w:val="00511968"/>
    <w:rsid w:val="005154BD"/>
    <w:rsid w:val="005307CC"/>
    <w:rsid w:val="0054357F"/>
    <w:rsid w:val="005441F3"/>
    <w:rsid w:val="0055614C"/>
    <w:rsid w:val="005572FD"/>
    <w:rsid w:val="00572042"/>
    <w:rsid w:val="0057233F"/>
    <w:rsid w:val="0057615F"/>
    <w:rsid w:val="00581CA3"/>
    <w:rsid w:val="005B1D77"/>
    <w:rsid w:val="005B7ABA"/>
    <w:rsid w:val="005E14C2"/>
    <w:rsid w:val="005E2C01"/>
    <w:rsid w:val="005E2D12"/>
    <w:rsid w:val="005F17B3"/>
    <w:rsid w:val="005F362A"/>
    <w:rsid w:val="005F7CA4"/>
    <w:rsid w:val="00607BA5"/>
    <w:rsid w:val="0061180A"/>
    <w:rsid w:val="00620FEC"/>
    <w:rsid w:val="00621BD0"/>
    <w:rsid w:val="00623920"/>
    <w:rsid w:val="006251AD"/>
    <w:rsid w:val="00626EB6"/>
    <w:rsid w:val="006347A9"/>
    <w:rsid w:val="0063500A"/>
    <w:rsid w:val="0064658E"/>
    <w:rsid w:val="00647BD7"/>
    <w:rsid w:val="006535B0"/>
    <w:rsid w:val="0065531D"/>
    <w:rsid w:val="00655D03"/>
    <w:rsid w:val="0066224F"/>
    <w:rsid w:val="00672283"/>
    <w:rsid w:val="00683388"/>
    <w:rsid w:val="00683F84"/>
    <w:rsid w:val="00694529"/>
    <w:rsid w:val="00697399"/>
    <w:rsid w:val="0069797C"/>
    <w:rsid w:val="006A220B"/>
    <w:rsid w:val="006A6A81"/>
    <w:rsid w:val="006B2ADD"/>
    <w:rsid w:val="006D2F8F"/>
    <w:rsid w:val="006D47F3"/>
    <w:rsid w:val="006E17F7"/>
    <w:rsid w:val="006E268E"/>
    <w:rsid w:val="006E41A1"/>
    <w:rsid w:val="006E61A6"/>
    <w:rsid w:val="006F0313"/>
    <w:rsid w:val="006F513F"/>
    <w:rsid w:val="006F7393"/>
    <w:rsid w:val="0070224F"/>
    <w:rsid w:val="00706C16"/>
    <w:rsid w:val="007115F7"/>
    <w:rsid w:val="00715B2F"/>
    <w:rsid w:val="00721952"/>
    <w:rsid w:val="007248A6"/>
    <w:rsid w:val="00733CFB"/>
    <w:rsid w:val="0073536D"/>
    <w:rsid w:val="007377EC"/>
    <w:rsid w:val="007611B5"/>
    <w:rsid w:val="00766319"/>
    <w:rsid w:val="00785689"/>
    <w:rsid w:val="007868A2"/>
    <w:rsid w:val="00787307"/>
    <w:rsid w:val="00790CD4"/>
    <w:rsid w:val="0079754B"/>
    <w:rsid w:val="007A1E6D"/>
    <w:rsid w:val="007B0EB2"/>
    <w:rsid w:val="007B6CEB"/>
    <w:rsid w:val="007C1468"/>
    <w:rsid w:val="007D22AB"/>
    <w:rsid w:val="007E4A98"/>
    <w:rsid w:val="007E5164"/>
    <w:rsid w:val="007E7A66"/>
    <w:rsid w:val="00810B6F"/>
    <w:rsid w:val="00822CE0"/>
    <w:rsid w:val="008327F6"/>
    <w:rsid w:val="00841AB1"/>
    <w:rsid w:val="00852FA6"/>
    <w:rsid w:val="00870F90"/>
    <w:rsid w:val="008766F2"/>
    <w:rsid w:val="00884294"/>
    <w:rsid w:val="008843F8"/>
    <w:rsid w:val="00896AFA"/>
    <w:rsid w:val="008B3578"/>
    <w:rsid w:val="008C68F1"/>
    <w:rsid w:val="008F4C4C"/>
    <w:rsid w:val="00900505"/>
    <w:rsid w:val="00903D0D"/>
    <w:rsid w:val="00903DA5"/>
    <w:rsid w:val="009049C3"/>
    <w:rsid w:val="009051DB"/>
    <w:rsid w:val="00905EF0"/>
    <w:rsid w:val="00911512"/>
    <w:rsid w:val="00921803"/>
    <w:rsid w:val="00923CE1"/>
    <w:rsid w:val="00925978"/>
    <w:rsid w:val="009259CB"/>
    <w:rsid w:val="00926503"/>
    <w:rsid w:val="00926ECF"/>
    <w:rsid w:val="00944783"/>
    <w:rsid w:val="009622F1"/>
    <w:rsid w:val="0096501F"/>
    <w:rsid w:val="00966CC8"/>
    <w:rsid w:val="00972150"/>
    <w:rsid w:val="009726D8"/>
    <w:rsid w:val="00982E15"/>
    <w:rsid w:val="00995A3E"/>
    <w:rsid w:val="009B3B14"/>
    <w:rsid w:val="009B44A6"/>
    <w:rsid w:val="009B458D"/>
    <w:rsid w:val="009C1CA5"/>
    <w:rsid w:val="009C51C3"/>
    <w:rsid w:val="009E030E"/>
    <w:rsid w:val="009F76DB"/>
    <w:rsid w:val="00A32C3B"/>
    <w:rsid w:val="00A4314D"/>
    <w:rsid w:val="00A45F4F"/>
    <w:rsid w:val="00A46AC4"/>
    <w:rsid w:val="00A600A9"/>
    <w:rsid w:val="00A77D4E"/>
    <w:rsid w:val="00A8424A"/>
    <w:rsid w:val="00A846BA"/>
    <w:rsid w:val="00A973F4"/>
    <w:rsid w:val="00AA5558"/>
    <w:rsid w:val="00AA55B7"/>
    <w:rsid w:val="00AA5B9E"/>
    <w:rsid w:val="00AB2407"/>
    <w:rsid w:val="00AB37EE"/>
    <w:rsid w:val="00AB40F2"/>
    <w:rsid w:val="00AB53DF"/>
    <w:rsid w:val="00AD4CDB"/>
    <w:rsid w:val="00AE6FFA"/>
    <w:rsid w:val="00B07E5C"/>
    <w:rsid w:val="00B11D0B"/>
    <w:rsid w:val="00B15031"/>
    <w:rsid w:val="00B30016"/>
    <w:rsid w:val="00B35CF7"/>
    <w:rsid w:val="00B36BE1"/>
    <w:rsid w:val="00B42A19"/>
    <w:rsid w:val="00B45EB1"/>
    <w:rsid w:val="00B51532"/>
    <w:rsid w:val="00B5184A"/>
    <w:rsid w:val="00B636DA"/>
    <w:rsid w:val="00B80239"/>
    <w:rsid w:val="00B811F7"/>
    <w:rsid w:val="00B918CC"/>
    <w:rsid w:val="00BA5DC6"/>
    <w:rsid w:val="00BA6196"/>
    <w:rsid w:val="00BB17F1"/>
    <w:rsid w:val="00BB3AD3"/>
    <w:rsid w:val="00BC1337"/>
    <w:rsid w:val="00BC3E6A"/>
    <w:rsid w:val="00BC6D8C"/>
    <w:rsid w:val="00BD02EE"/>
    <w:rsid w:val="00BD1170"/>
    <w:rsid w:val="00BD13AE"/>
    <w:rsid w:val="00BD190A"/>
    <w:rsid w:val="00BD3152"/>
    <w:rsid w:val="00BE0F36"/>
    <w:rsid w:val="00BE2D88"/>
    <w:rsid w:val="00BE3590"/>
    <w:rsid w:val="00BF5513"/>
    <w:rsid w:val="00BF661F"/>
    <w:rsid w:val="00C16E52"/>
    <w:rsid w:val="00C31ACB"/>
    <w:rsid w:val="00C34006"/>
    <w:rsid w:val="00C34D11"/>
    <w:rsid w:val="00C426B1"/>
    <w:rsid w:val="00C66160"/>
    <w:rsid w:val="00C721AC"/>
    <w:rsid w:val="00C853C3"/>
    <w:rsid w:val="00C90D6A"/>
    <w:rsid w:val="00C97A0D"/>
    <w:rsid w:val="00CA1097"/>
    <w:rsid w:val="00CA247E"/>
    <w:rsid w:val="00CA5355"/>
    <w:rsid w:val="00CA7FA6"/>
    <w:rsid w:val="00CB25C1"/>
    <w:rsid w:val="00CC5FF4"/>
    <w:rsid w:val="00CC72B6"/>
    <w:rsid w:val="00CF3BAF"/>
    <w:rsid w:val="00CF42AA"/>
    <w:rsid w:val="00D0218D"/>
    <w:rsid w:val="00D150FE"/>
    <w:rsid w:val="00D25060"/>
    <w:rsid w:val="00D25FB5"/>
    <w:rsid w:val="00D368F9"/>
    <w:rsid w:val="00D438FC"/>
    <w:rsid w:val="00D44223"/>
    <w:rsid w:val="00D90BE8"/>
    <w:rsid w:val="00D948F7"/>
    <w:rsid w:val="00D95990"/>
    <w:rsid w:val="00DA2529"/>
    <w:rsid w:val="00DA7050"/>
    <w:rsid w:val="00DB1275"/>
    <w:rsid w:val="00DB130A"/>
    <w:rsid w:val="00DB2EBB"/>
    <w:rsid w:val="00DC10A1"/>
    <w:rsid w:val="00DC655F"/>
    <w:rsid w:val="00DD0B59"/>
    <w:rsid w:val="00DD30BE"/>
    <w:rsid w:val="00DD79B8"/>
    <w:rsid w:val="00DD7EBD"/>
    <w:rsid w:val="00DE15C3"/>
    <w:rsid w:val="00DF62B6"/>
    <w:rsid w:val="00DF6B48"/>
    <w:rsid w:val="00DF7BB5"/>
    <w:rsid w:val="00E054E3"/>
    <w:rsid w:val="00E07225"/>
    <w:rsid w:val="00E174AE"/>
    <w:rsid w:val="00E2252A"/>
    <w:rsid w:val="00E26B03"/>
    <w:rsid w:val="00E36F52"/>
    <w:rsid w:val="00E5409F"/>
    <w:rsid w:val="00E57EEC"/>
    <w:rsid w:val="00E61B50"/>
    <w:rsid w:val="00E9446E"/>
    <w:rsid w:val="00EA0221"/>
    <w:rsid w:val="00EA030A"/>
    <w:rsid w:val="00EB0E4D"/>
    <w:rsid w:val="00EB69EB"/>
    <w:rsid w:val="00ED28B2"/>
    <w:rsid w:val="00ED3E48"/>
    <w:rsid w:val="00ED3F55"/>
    <w:rsid w:val="00ED5BC5"/>
    <w:rsid w:val="00ED5CBC"/>
    <w:rsid w:val="00EE6488"/>
    <w:rsid w:val="00EF7E08"/>
    <w:rsid w:val="00F010E0"/>
    <w:rsid w:val="00F021FA"/>
    <w:rsid w:val="00F03D74"/>
    <w:rsid w:val="00F10531"/>
    <w:rsid w:val="00F35AC0"/>
    <w:rsid w:val="00F3764E"/>
    <w:rsid w:val="00F37658"/>
    <w:rsid w:val="00F461AF"/>
    <w:rsid w:val="00F62E97"/>
    <w:rsid w:val="00F64209"/>
    <w:rsid w:val="00F7704E"/>
    <w:rsid w:val="00F81223"/>
    <w:rsid w:val="00F85AB9"/>
    <w:rsid w:val="00F93BF5"/>
    <w:rsid w:val="00FA03B8"/>
    <w:rsid w:val="00FA26D3"/>
    <w:rsid w:val="00FC2077"/>
    <w:rsid w:val="00FC3558"/>
    <w:rsid w:val="00FC3F60"/>
    <w:rsid w:val="00FC555D"/>
    <w:rsid w:val="00FC5A18"/>
    <w:rsid w:val="00FC6EC9"/>
    <w:rsid w:val="00FE554E"/>
    <w:rsid w:val="00FE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94"/>
    <w:pPr>
      <w:widowControl w:val="0"/>
    </w:pPr>
    <w:rPr>
      <w:snapToGrid w:val="0"/>
      <w:kern w:val="28"/>
      <w:sz w:val="22"/>
    </w:rPr>
  </w:style>
  <w:style w:type="paragraph" w:styleId="Heading1">
    <w:name w:val="heading 1"/>
    <w:basedOn w:val="Normal"/>
    <w:next w:val="ParaNum"/>
    <w:qFormat/>
    <w:rsid w:val="008842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4294"/>
    <w:pPr>
      <w:keepNext/>
      <w:numPr>
        <w:ilvl w:val="1"/>
        <w:numId w:val="3"/>
      </w:numPr>
      <w:spacing w:after="120"/>
      <w:outlineLvl w:val="1"/>
    </w:pPr>
    <w:rPr>
      <w:b/>
    </w:rPr>
  </w:style>
  <w:style w:type="paragraph" w:styleId="Heading3">
    <w:name w:val="heading 3"/>
    <w:basedOn w:val="Normal"/>
    <w:next w:val="ParaNum"/>
    <w:qFormat/>
    <w:rsid w:val="00884294"/>
    <w:pPr>
      <w:keepNext/>
      <w:numPr>
        <w:ilvl w:val="2"/>
        <w:numId w:val="3"/>
      </w:numPr>
      <w:tabs>
        <w:tab w:val="left" w:pos="2160"/>
      </w:tabs>
      <w:spacing w:after="120"/>
      <w:outlineLvl w:val="2"/>
    </w:pPr>
    <w:rPr>
      <w:b/>
    </w:rPr>
  </w:style>
  <w:style w:type="paragraph" w:styleId="Heading4">
    <w:name w:val="heading 4"/>
    <w:basedOn w:val="Normal"/>
    <w:next w:val="ParaNum"/>
    <w:qFormat/>
    <w:rsid w:val="00884294"/>
    <w:pPr>
      <w:keepNext/>
      <w:numPr>
        <w:ilvl w:val="3"/>
        <w:numId w:val="3"/>
      </w:numPr>
      <w:tabs>
        <w:tab w:val="left" w:pos="2880"/>
      </w:tabs>
      <w:spacing w:after="120"/>
      <w:outlineLvl w:val="3"/>
    </w:pPr>
    <w:rPr>
      <w:b/>
    </w:rPr>
  </w:style>
  <w:style w:type="paragraph" w:styleId="Heading5">
    <w:name w:val="heading 5"/>
    <w:basedOn w:val="Normal"/>
    <w:next w:val="ParaNum"/>
    <w:qFormat/>
    <w:rsid w:val="008842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4294"/>
    <w:pPr>
      <w:numPr>
        <w:ilvl w:val="5"/>
        <w:numId w:val="3"/>
      </w:numPr>
      <w:tabs>
        <w:tab w:val="left" w:pos="4320"/>
      </w:tabs>
      <w:spacing w:after="120"/>
      <w:outlineLvl w:val="5"/>
    </w:pPr>
    <w:rPr>
      <w:b/>
    </w:rPr>
  </w:style>
  <w:style w:type="paragraph" w:styleId="Heading7">
    <w:name w:val="heading 7"/>
    <w:basedOn w:val="Normal"/>
    <w:next w:val="ParaNum"/>
    <w:qFormat/>
    <w:rsid w:val="008842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42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42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42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294"/>
  </w:style>
  <w:style w:type="paragraph" w:customStyle="1" w:styleId="ParaNum">
    <w:name w:val="ParaNum"/>
    <w:basedOn w:val="Normal"/>
    <w:rsid w:val="00884294"/>
    <w:pPr>
      <w:numPr>
        <w:numId w:val="2"/>
      </w:numPr>
      <w:tabs>
        <w:tab w:val="clear" w:pos="1080"/>
        <w:tab w:val="num" w:pos="1440"/>
      </w:tabs>
      <w:spacing w:after="120"/>
    </w:pPr>
  </w:style>
  <w:style w:type="paragraph" w:styleId="EndnoteText">
    <w:name w:val="endnote text"/>
    <w:basedOn w:val="Normal"/>
    <w:semiHidden/>
    <w:rsid w:val="00884294"/>
    <w:rPr>
      <w:sz w:val="20"/>
    </w:rPr>
  </w:style>
  <w:style w:type="character" w:styleId="EndnoteReference">
    <w:name w:val="endnote reference"/>
    <w:semiHidden/>
    <w:rsid w:val="00884294"/>
    <w:rPr>
      <w:vertAlign w:val="superscript"/>
    </w:rPr>
  </w:style>
  <w:style w:type="paragraph" w:styleId="FootnoteText">
    <w:name w:val="footnote text"/>
    <w:link w:val="FootnoteTextChar"/>
    <w:rsid w:val="00884294"/>
    <w:pPr>
      <w:spacing w:after="120"/>
    </w:pPr>
  </w:style>
  <w:style w:type="character" w:styleId="FootnoteReference">
    <w:name w:val="footnote reference"/>
    <w:rsid w:val="00884294"/>
    <w:rPr>
      <w:rFonts w:ascii="Times New Roman" w:hAnsi="Times New Roman"/>
      <w:dstrike w:val="0"/>
      <w:color w:val="auto"/>
      <w:sz w:val="20"/>
      <w:vertAlign w:val="superscript"/>
    </w:rPr>
  </w:style>
  <w:style w:type="paragraph" w:styleId="TOC1">
    <w:name w:val="toc 1"/>
    <w:basedOn w:val="Normal"/>
    <w:next w:val="Normal"/>
    <w:semiHidden/>
    <w:rsid w:val="008842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4294"/>
    <w:pPr>
      <w:tabs>
        <w:tab w:val="left" w:pos="720"/>
        <w:tab w:val="right" w:leader="dot" w:pos="9360"/>
      </w:tabs>
      <w:suppressAutoHyphens/>
      <w:ind w:left="720" w:right="720" w:hanging="360"/>
    </w:pPr>
    <w:rPr>
      <w:noProof/>
    </w:rPr>
  </w:style>
  <w:style w:type="paragraph" w:styleId="TOC3">
    <w:name w:val="toc 3"/>
    <w:basedOn w:val="Normal"/>
    <w:next w:val="Normal"/>
    <w:semiHidden/>
    <w:rsid w:val="008842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42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42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42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42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42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42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4294"/>
    <w:pPr>
      <w:tabs>
        <w:tab w:val="right" w:pos="9360"/>
      </w:tabs>
      <w:suppressAutoHyphens/>
    </w:pPr>
  </w:style>
  <w:style w:type="character" w:customStyle="1" w:styleId="EquationCaption">
    <w:name w:val="_Equation Caption"/>
    <w:rsid w:val="00884294"/>
  </w:style>
  <w:style w:type="paragraph" w:styleId="Header">
    <w:name w:val="header"/>
    <w:basedOn w:val="Normal"/>
    <w:autoRedefine/>
    <w:rsid w:val="00884294"/>
    <w:pPr>
      <w:tabs>
        <w:tab w:val="center" w:pos="4680"/>
        <w:tab w:val="right" w:pos="9360"/>
      </w:tabs>
    </w:pPr>
    <w:rPr>
      <w:b/>
    </w:rPr>
  </w:style>
  <w:style w:type="paragraph" w:styleId="Footer">
    <w:name w:val="footer"/>
    <w:basedOn w:val="Normal"/>
    <w:rsid w:val="00884294"/>
    <w:pPr>
      <w:tabs>
        <w:tab w:val="center" w:pos="4320"/>
        <w:tab w:val="right" w:pos="8640"/>
      </w:tabs>
    </w:pPr>
  </w:style>
  <w:style w:type="character" w:styleId="PageNumber">
    <w:name w:val="page number"/>
    <w:basedOn w:val="DefaultParagraphFont"/>
    <w:rsid w:val="00884294"/>
  </w:style>
  <w:style w:type="paragraph" w:styleId="BlockText">
    <w:name w:val="Block Text"/>
    <w:basedOn w:val="Normal"/>
    <w:rsid w:val="00884294"/>
    <w:pPr>
      <w:spacing w:after="240"/>
      <w:ind w:left="1440" w:right="1440"/>
    </w:pPr>
  </w:style>
  <w:style w:type="paragraph" w:customStyle="1" w:styleId="Paratitle">
    <w:name w:val="Para title"/>
    <w:basedOn w:val="Normal"/>
    <w:rsid w:val="00884294"/>
    <w:pPr>
      <w:tabs>
        <w:tab w:val="center" w:pos="9270"/>
      </w:tabs>
      <w:spacing w:after="240"/>
    </w:pPr>
    <w:rPr>
      <w:spacing w:val="-2"/>
    </w:rPr>
  </w:style>
  <w:style w:type="paragraph" w:customStyle="1" w:styleId="Bullet">
    <w:name w:val="Bullet"/>
    <w:basedOn w:val="Normal"/>
    <w:rsid w:val="00884294"/>
    <w:pPr>
      <w:tabs>
        <w:tab w:val="left" w:pos="2160"/>
      </w:tabs>
      <w:spacing w:after="220"/>
      <w:ind w:left="2160" w:hanging="720"/>
    </w:pPr>
  </w:style>
  <w:style w:type="paragraph" w:customStyle="1" w:styleId="TableFormat">
    <w:name w:val="TableFormat"/>
    <w:basedOn w:val="Bullet"/>
    <w:rsid w:val="00884294"/>
    <w:pPr>
      <w:tabs>
        <w:tab w:val="clear" w:pos="2160"/>
        <w:tab w:val="left" w:pos="5040"/>
      </w:tabs>
      <w:ind w:left="5040" w:hanging="3600"/>
    </w:pPr>
  </w:style>
  <w:style w:type="paragraph" w:customStyle="1" w:styleId="TOCTitle">
    <w:name w:val="TOC Title"/>
    <w:basedOn w:val="Normal"/>
    <w:rsid w:val="008842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4294"/>
    <w:pPr>
      <w:jc w:val="center"/>
    </w:pPr>
    <w:rPr>
      <w:rFonts w:ascii="Times New Roman Bold" w:hAnsi="Times New Roman Bold"/>
      <w:b/>
      <w:bCs/>
      <w:caps/>
      <w:szCs w:val="22"/>
    </w:rPr>
  </w:style>
  <w:style w:type="character" w:styleId="Hyperlink">
    <w:name w:val="Hyperlink"/>
    <w:rsid w:val="00884294"/>
    <w:rPr>
      <w:color w:val="0000FF"/>
      <w:u w:val="single"/>
    </w:rPr>
  </w:style>
  <w:style w:type="character" w:customStyle="1" w:styleId="FootnoteTextChar">
    <w:name w:val="Footnote Text Char"/>
    <w:basedOn w:val="DefaultParagraphFont"/>
    <w:link w:val="FootnoteText"/>
    <w:rsid w:val="000B7A21"/>
  </w:style>
  <w:style w:type="paragraph" w:styleId="NormalWeb">
    <w:name w:val="Normal (Web)"/>
    <w:basedOn w:val="Normal"/>
    <w:uiPriority w:val="99"/>
    <w:unhideWhenUsed/>
    <w:rsid w:val="003C056E"/>
    <w:pPr>
      <w:spacing w:before="100" w:beforeAutospacing="1" w:after="100" w:afterAutospacing="1"/>
    </w:pPr>
    <w:rPr>
      <w:sz w:val="24"/>
      <w:szCs w:val="24"/>
    </w:rPr>
  </w:style>
  <w:style w:type="character" w:styleId="CommentReference">
    <w:name w:val="annotation reference"/>
    <w:basedOn w:val="DefaultParagraphFont"/>
    <w:rsid w:val="007E5164"/>
    <w:rPr>
      <w:sz w:val="16"/>
      <w:szCs w:val="16"/>
    </w:rPr>
  </w:style>
  <w:style w:type="paragraph" w:styleId="CommentText">
    <w:name w:val="annotation text"/>
    <w:basedOn w:val="Normal"/>
    <w:link w:val="CommentTextChar"/>
    <w:rsid w:val="007E5164"/>
    <w:rPr>
      <w:sz w:val="20"/>
    </w:rPr>
  </w:style>
  <w:style w:type="character" w:customStyle="1" w:styleId="CommentTextChar">
    <w:name w:val="Comment Text Char"/>
    <w:basedOn w:val="DefaultParagraphFont"/>
    <w:link w:val="CommentText"/>
    <w:rsid w:val="007E5164"/>
    <w:rPr>
      <w:snapToGrid w:val="0"/>
      <w:kern w:val="28"/>
    </w:rPr>
  </w:style>
  <w:style w:type="paragraph" w:styleId="CommentSubject">
    <w:name w:val="annotation subject"/>
    <w:basedOn w:val="CommentText"/>
    <w:next w:val="CommentText"/>
    <w:link w:val="CommentSubjectChar"/>
    <w:rsid w:val="007E5164"/>
    <w:rPr>
      <w:b/>
      <w:bCs/>
    </w:rPr>
  </w:style>
  <w:style w:type="character" w:customStyle="1" w:styleId="CommentSubjectChar">
    <w:name w:val="Comment Subject Char"/>
    <w:basedOn w:val="CommentTextChar"/>
    <w:link w:val="CommentSubject"/>
    <w:rsid w:val="007E5164"/>
    <w:rPr>
      <w:b/>
      <w:bCs/>
      <w:snapToGrid w:val="0"/>
      <w:kern w:val="28"/>
    </w:rPr>
  </w:style>
  <w:style w:type="paragraph" w:styleId="BalloonText">
    <w:name w:val="Balloon Text"/>
    <w:basedOn w:val="Normal"/>
    <w:link w:val="BalloonTextChar"/>
    <w:rsid w:val="007E5164"/>
    <w:rPr>
      <w:rFonts w:ascii="Tahoma" w:hAnsi="Tahoma" w:cs="Tahoma"/>
      <w:sz w:val="16"/>
      <w:szCs w:val="16"/>
    </w:rPr>
  </w:style>
  <w:style w:type="character" w:customStyle="1" w:styleId="BalloonTextChar">
    <w:name w:val="Balloon Text Char"/>
    <w:basedOn w:val="DefaultParagraphFont"/>
    <w:link w:val="BalloonText"/>
    <w:rsid w:val="007E5164"/>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94"/>
    <w:pPr>
      <w:widowControl w:val="0"/>
    </w:pPr>
    <w:rPr>
      <w:snapToGrid w:val="0"/>
      <w:kern w:val="28"/>
      <w:sz w:val="22"/>
    </w:rPr>
  </w:style>
  <w:style w:type="paragraph" w:styleId="Heading1">
    <w:name w:val="heading 1"/>
    <w:basedOn w:val="Normal"/>
    <w:next w:val="ParaNum"/>
    <w:qFormat/>
    <w:rsid w:val="008842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4294"/>
    <w:pPr>
      <w:keepNext/>
      <w:numPr>
        <w:ilvl w:val="1"/>
        <w:numId w:val="3"/>
      </w:numPr>
      <w:spacing w:after="120"/>
      <w:outlineLvl w:val="1"/>
    </w:pPr>
    <w:rPr>
      <w:b/>
    </w:rPr>
  </w:style>
  <w:style w:type="paragraph" w:styleId="Heading3">
    <w:name w:val="heading 3"/>
    <w:basedOn w:val="Normal"/>
    <w:next w:val="ParaNum"/>
    <w:qFormat/>
    <w:rsid w:val="00884294"/>
    <w:pPr>
      <w:keepNext/>
      <w:numPr>
        <w:ilvl w:val="2"/>
        <w:numId w:val="3"/>
      </w:numPr>
      <w:tabs>
        <w:tab w:val="left" w:pos="2160"/>
      </w:tabs>
      <w:spacing w:after="120"/>
      <w:outlineLvl w:val="2"/>
    </w:pPr>
    <w:rPr>
      <w:b/>
    </w:rPr>
  </w:style>
  <w:style w:type="paragraph" w:styleId="Heading4">
    <w:name w:val="heading 4"/>
    <w:basedOn w:val="Normal"/>
    <w:next w:val="ParaNum"/>
    <w:qFormat/>
    <w:rsid w:val="00884294"/>
    <w:pPr>
      <w:keepNext/>
      <w:numPr>
        <w:ilvl w:val="3"/>
        <w:numId w:val="3"/>
      </w:numPr>
      <w:tabs>
        <w:tab w:val="left" w:pos="2880"/>
      </w:tabs>
      <w:spacing w:after="120"/>
      <w:outlineLvl w:val="3"/>
    </w:pPr>
    <w:rPr>
      <w:b/>
    </w:rPr>
  </w:style>
  <w:style w:type="paragraph" w:styleId="Heading5">
    <w:name w:val="heading 5"/>
    <w:basedOn w:val="Normal"/>
    <w:next w:val="ParaNum"/>
    <w:qFormat/>
    <w:rsid w:val="008842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4294"/>
    <w:pPr>
      <w:numPr>
        <w:ilvl w:val="5"/>
        <w:numId w:val="3"/>
      </w:numPr>
      <w:tabs>
        <w:tab w:val="left" w:pos="4320"/>
      </w:tabs>
      <w:spacing w:after="120"/>
      <w:outlineLvl w:val="5"/>
    </w:pPr>
    <w:rPr>
      <w:b/>
    </w:rPr>
  </w:style>
  <w:style w:type="paragraph" w:styleId="Heading7">
    <w:name w:val="heading 7"/>
    <w:basedOn w:val="Normal"/>
    <w:next w:val="ParaNum"/>
    <w:qFormat/>
    <w:rsid w:val="008842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42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42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42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4294"/>
  </w:style>
  <w:style w:type="paragraph" w:customStyle="1" w:styleId="ParaNum">
    <w:name w:val="ParaNum"/>
    <w:basedOn w:val="Normal"/>
    <w:rsid w:val="00884294"/>
    <w:pPr>
      <w:numPr>
        <w:numId w:val="2"/>
      </w:numPr>
      <w:tabs>
        <w:tab w:val="clear" w:pos="1080"/>
        <w:tab w:val="num" w:pos="1440"/>
      </w:tabs>
      <w:spacing w:after="120"/>
    </w:pPr>
  </w:style>
  <w:style w:type="paragraph" w:styleId="EndnoteText">
    <w:name w:val="endnote text"/>
    <w:basedOn w:val="Normal"/>
    <w:semiHidden/>
    <w:rsid w:val="00884294"/>
    <w:rPr>
      <w:sz w:val="20"/>
    </w:rPr>
  </w:style>
  <w:style w:type="character" w:styleId="EndnoteReference">
    <w:name w:val="endnote reference"/>
    <w:semiHidden/>
    <w:rsid w:val="00884294"/>
    <w:rPr>
      <w:vertAlign w:val="superscript"/>
    </w:rPr>
  </w:style>
  <w:style w:type="paragraph" w:styleId="FootnoteText">
    <w:name w:val="footnote text"/>
    <w:link w:val="FootnoteTextChar"/>
    <w:rsid w:val="00884294"/>
    <w:pPr>
      <w:spacing w:after="120"/>
    </w:pPr>
  </w:style>
  <w:style w:type="character" w:styleId="FootnoteReference">
    <w:name w:val="footnote reference"/>
    <w:rsid w:val="00884294"/>
    <w:rPr>
      <w:rFonts w:ascii="Times New Roman" w:hAnsi="Times New Roman"/>
      <w:dstrike w:val="0"/>
      <w:color w:val="auto"/>
      <w:sz w:val="20"/>
      <w:vertAlign w:val="superscript"/>
    </w:rPr>
  </w:style>
  <w:style w:type="paragraph" w:styleId="TOC1">
    <w:name w:val="toc 1"/>
    <w:basedOn w:val="Normal"/>
    <w:next w:val="Normal"/>
    <w:semiHidden/>
    <w:rsid w:val="008842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4294"/>
    <w:pPr>
      <w:tabs>
        <w:tab w:val="left" w:pos="720"/>
        <w:tab w:val="right" w:leader="dot" w:pos="9360"/>
      </w:tabs>
      <w:suppressAutoHyphens/>
      <w:ind w:left="720" w:right="720" w:hanging="360"/>
    </w:pPr>
    <w:rPr>
      <w:noProof/>
    </w:rPr>
  </w:style>
  <w:style w:type="paragraph" w:styleId="TOC3">
    <w:name w:val="toc 3"/>
    <w:basedOn w:val="Normal"/>
    <w:next w:val="Normal"/>
    <w:semiHidden/>
    <w:rsid w:val="008842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42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42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42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42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42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42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4294"/>
    <w:pPr>
      <w:tabs>
        <w:tab w:val="right" w:pos="9360"/>
      </w:tabs>
      <w:suppressAutoHyphens/>
    </w:pPr>
  </w:style>
  <w:style w:type="character" w:customStyle="1" w:styleId="EquationCaption">
    <w:name w:val="_Equation Caption"/>
    <w:rsid w:val="00884294"/>
  </w:style>
  <w:style w:type="paragraph" w:styleId="Header">
    <w:name w:val="header"/>
    <w:basedOn w:val="Normal"/>
    <w:autoRedefine/>
    <w:rsid w:val="00884294"/>
    <w:pPr>
      <w:tabs>
        <w:tab w:val="center" w:pos="4680"/>
        <w:tab w:val="right" w:pos="9360"/>
      </w:tabs>
    </w:pPr>
    <w:rPr>
      <w:b/>
    </w:rPr>
  </w:style>
  <w:style w:type="paragraph" w:styleId="Footer">
    <w:name w:val="footer"/>
    <w:basedOn w:val="Normal"/>
    <w:rsid w:val="00884294"/>
    <w:pPr>
      <w:tabs>
        <w:tab w:val="center" w:pos="4320"/>
        <w:tab w:val="right" w:pos="8640"/>
      </w:tabs>
    </w:pPr>
  </w:style>
  <w:style w:type="character" w:styleId="PageNumber">
    <w:name w:val="page number"/>
    <w:basedOn w:val="DefaultParagraphFont"/>
    <w:rsid w:val="00884294"/>
  </w:style>
  <w:style w:type="paragraph" w:styleId="BlockText">
    <w:name w:val="Block Text"/>
    <w:basedOn w:val="Normal"/>
    <w:rsid w:val="00884294"/>
    <w:pPr>
      <w:spacing w:after="240"/>
      <w:ind w:left="1440" w:right="1440"/>
    </w:pPr>
  </w:style>
  <w:style w:type="paragraph" w:customStyle="1" w:styleId="Paratitle">
    <w:name w:val="Para title"/>
    <w:basedOn w:val="Normal"/>
    <w:rsid w:val="00884294"/>
    <w:pPr>
      <w:tabs>
        <w:tab w:val="center" w:pos="9270"/>
      </w:tabs>
      <w:spacing w:after="240"/>
    </w:pPr>
    <w:rPr>
      <w:spacing w:val="-2"/>
    </w:rPr>
  </w:style>
  <w:style w:type="paragraph" w:customStyle="1" w:styleId="Bullet">
    <w:name w:val="Bullet"/>
    <w:basedOn w:val="Normal"/>
    <w:rsid w:val="00884294"/>
    <w:pPr>
      <w:tabs>
        <w:tab w:val="left" w:pos="2160"/>
      </w:tabs>
      <w:spacing w:after="220"/>
      <w:ind w:left="2160" w:hanging="720"/>
    </w:pPr>
  </w:style>
  <w:style w:type="paragraph" w:customStyle="1" w:styleId="TableFormat">
    <w:name w:val="TableFormat"/>
    <w:basedOn w:val="Bullet"/>
    <w:rsid w:val="00884294"/>
    <w:pPr>
      <w:tabs>
        <w:tab w:val="clear" w:pos="2160"/>
        <w:tab w:val="left" w:pos="5040"/>
      </w:tabs>
      <w:ind w:left="5040" w:hanging="3600"/>
    </w:pPr>
  </w:style>
  <w:style w:type="paragraph" w:customStyle="1" w:styleId="TOCTitle">
    <w:name w:val="TOC Title"/>
    <w:basedOn w:val="Normal"/>
    <w:rsid w:val="008842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4294"/>
    <w:pPr>
      <w:jc w:val="center"/>
    </w:pPr>
    <w:rPr>
      <w:rFonts w:ascii="Times New Roman Bold" w:hAnsi="Times New Roman Bold"/>
      <w:b/>
      <w:bCs/>
      <w:caps/>
      <w:szCs w:val="22"/>
    </w:rPr>
  </w:style>
  <w:style w:type="character" w:styleId="Hyperlink">
    <w:name w:val="Hyperlink"/>
    <w:rsid w:val="00884294"/>
    <w:rPr>
      <w:color w:val="0000FF"/>
      <w:u w:val="single"/>
    </w:rPr>
  </w:style>
  <w:style w:type="character" w:customStyle="1" w:styleId="FootnoteTextChar">
    <w:name w:val="Footnote Text Char"/>
    <w:basedOn w:val="DefaultParagraphFont"/>
    <w:link w:val="FootnoteText"/>
    <w:rsid w:val="000B7A21"/>
  </w:style>
  <w:style w:type="paragraph" w:styleId="NormalWeb">
    <w:name w:val="Normal (Web)"/>
    <w:basedOn w:val="Normal"/>
    <w:uiPriority w:val="99"/>
    <w:unhideWhenUsed/>
    <w:rsid w:val="003C056E"/>
    <w:pPr>
      <w:spacing w:before="100" w:beforeAutospacing="1" w:after="100" w:afterAutospacing="1"/>
    </w:pPr>
    <w:rPr>
      <w:sz w:val="24"/>
      <w:szCs w:val="24"/>
    </w:rPr>
  </w:style>
  <w:style w:type="character" w:styleId="CommentReference">
    <w:name w:val="annotation reference"/>
    <w:basedOn w:val="DefaultParagraphFont"/>
    <w:rsid w:val="007E5164"/>
    <w:rPr>
      <w:sz w:val="16"/>
      <w:szCs w:val="16"/>
    </w:rPr>
  </w:style>
  <w:style w:type="paragraph" w:styleId="CommentText">
    <w:name w:val="annotation text"/>
    <w:basedOn w:val="Normal"/>
    <w:link w:val="CommentTextChar"/>
    <w:rsid w:val="007E5164"/>
    <w:rPr>
      <w:sz w:val="20"/>
    </w:rPr>
  </w:style>
  <w:style w:type="character" w:customStyle="1" w:styleId="CommentTextChar">
    <w:name w:val="Comment Text Char"/>
    <w:basedOn w:val="DefaultParagraphFont"/>
    <w:link w:val="CommentText"/>
    <w:rsid w:val="007E5164"/>
    <w:rPr>
      <w:snapToGrid w:val="0"/>
      <w:kern w:val="28"/>
    </w:rPr>
  </w:style>
  <w:style w:type="paragraph" w:styleId="CommentSubject">
    <w:name w:val="annotation subject"/>
    <w:basedOn w:val="CommentText"/>
    <w:next w:val="CommentText"/>
    <w:link w:val="CommentSubjectChar"/>
    <w:rsid w:val="007E5164"/>
    <w:rPr>
      <w:b/>
      <w:bCs/>
    </w:rPr>
  </w:style>
  <w:style w:type="character" w:customStyle="1" w:styleId="CommentSubjectChar">
    <w:name w:val="Comment Subject Char"/>
    <w:basedOn w:val="CommentTextChar"/>
    <w:link w:val="CommentSubject"/>
    <w:rsid w:val="007E5164"/>
    <w:rPr>
      <w:b/>
      <w:bCs/>
      <w:snapToGrid w:val="0"/>
      <w:kern w:val="28"/>
    </w:rPr>
  </w:style>
  <w:style w:type="paragraph" w:styleId="BalloonText">
    <w:name w:val="Balloon Text"/>
    <w:basedOn w:val="Normal"/>
    <w:link w:val="BalloonTextChar"/>
    <w:rsid w:val="007E5164"/>
    <w:rPr>
      <w:rFonts w:ascii="Tahoma" w:hAnsi="Tahoma" w:cs="Tahoma"/>
      <w:sz w:val="16"/>
      <w:szCs w:val="16"/>
    </w:rPr>
  </w:style>
  <w:style w:type="character" w:customStyle="1" w:styleId="BalloonTextChar">
    <w:name w:val="Balloon Text Char"/>
    <w:basedOn w:val="DefaultParagraphFont"/>
    <w:link w:val="BalloonText"/>
    <w:rsid w:val="007E5164"/>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2643</Words>
  <Characters>15017</Characters>
  <Application>Microsoft Office Word</Application>
  <DocSecurity>0</DocSecurity>
  <Lines>234</Lines>
  <Paragraphs>50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2014-10-29T15:15:00Z</cp:lastPrinted>
  <dcterms:created xsi:type="dcterms:W3CDTF">2016-03-29T14:29:00Z</dcterms:created>
  <dcterms:modified xsi:type="dcterms:W3CDTF">2016-03-29T14:29:00Z</dcterms:modified>
  <cp:category> </cp:category>
  <cp:contentStatus> </cp:contentStatus>
</cp:coreProperties>
</file>