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1B" w:rsidRDefault="00744B1B" w:rsidP="00744B1B">
      <w:pPr>
        <w:jc w:val="center"/>
        <w:rPr>
          <w:rFonts w:ascii="Times New Roman Bold" w:hAnsi="Times New Roman Bold"/>
          <w:b/>
        </w:rPr>
      </w:pPr>
      <w:bookmarkStart w:id="0" w:name="_GoBack"/>
      <w:bookmarkEnd w:id="0"/>
      <w:r>
        <w:rPr>
          <w:rFonts w:ascii="Times New Roman Bold" w:hAnsi="Times New Roman Bold"/>
          <w:b/>
        </w:rPr>
        <w:t xml:space="preserve">Before the </w:t>
      </w:r>
    </w:p>
    <w:p w:rsidR="00744B1B" w:rsidRDefault="00744B1B" w:rsidP="00744B1B">
      <w:pPr>
        <w:jc w:val="center"/>
        <w:rPr>
          <w:rFonts w:ascii="Times New Roman Bold" w:hAnsi="Times New Roman Bold"/>
          <w:b/>
        </w:rPr>
      </w:pPr>
      <w:r>
        <w:rPr>
          <w:rFonts w:ascii="Times New Roman Bold" w:hAnsi="Times New Roman Bold"/>
          <w:b/>
        </w:rPr>
        <w:t>Federal Communications Commission</w:t>
      </w:r>
    </w:p>
    <w:p w:rsidR="00744B1B" w:rsidRPr="00D062F5" w:rsidRDefault="00744B1B" w:rsidP="00744B1B">
      <w:pPr>
        <w:jc w:val="center"/>
        <w:rPr>
          <w:rFonts w:ascii="Times New Roman Bold" w:hAnsi="Times New Roman Bold"/>
          <w:b/>
        </w:rPr>
      </w:pPr>
      <w:r w:rsidRPr="00D062F5">
        <w:rPr>
          <w:rFonts w:ascii="Times New Roman Bold" w:hAnsi="Times New Roman Bold"/>
          <w:b/>
        </w:rPr>
        <w:t>Washington, D.C. 20554</w:t>
      </w:r>
    </w:p>
    <w:p w:rsidR="00744B1B" w:rsidRDefault="00744B1B" w:rsidP="00744B1B">
      <w:pPr>
        <w:tabs>
          <w:tab w:val="left" w:pos="-720"/>
        </w:tabs>
        <w:rPr>
          <w:spacing w:val="-2"/>
        </w:rPr>
      </w:pPr>
    </w:p>
    <w:tbl>
      <w:tblPr>
        <w:tblW w:w="9576" w:type="dxa"/>
        <w:tblLayout w:type="fixed"/>
        <w:tblCellMar>
          <w:left w:w="10" w:type="dxa"/>
          <w:right w:w="10" w:type="dxa"/>
        </w:tblCellMar>
        <w:tblLook w:val="0000" w:firstRow="0" w:lastRow="0" w:firstColumn="0" w:lastColumn="0" w:noHBand="0" w:noVBand="0"/>
      </w:tblPr>
      <w:tblGrid>
        <w:gridCol w:w="4698"/>
        <w:gridCol w:w="630"/>
        <w:gridCol w:w="4248"/>
      </w:tblGrid>
      <w:tr w:rsidR="00744B1B" w:rsidTr="00123B49">
        <w:tc>
          <w:tcPr>
            <w:tcW w:w="4698" w:type="dxa"/>
            <w:shd w:val="clear" w:color="auto" w:fill="auto"/>
            <w:tcMar>
              <w:top w:w="0" w:type="dxa"/>
              <w:left w:w="108" w:type="dxa"/>
              <w:bottom w:w="0" w:type="dxa"/>
              <w:right w:w="108" w:type="dxa"/>
            </w:tcMar>
          </w:tcPr>
          <w:p w:rsidR="00744B1B" w:rsidRDefault="00744B1B" w:rsidP="00123B49">
            <w:pPr>
              <w:tabs>
                <w:tab w:val="center" w:pos="4680"/>
              </w:tabs>
            </w:pPr>
            <w:r>
              <w:rPr>
                <w:spacing w:val="-2"/>
              </w:rPr>
              <w:t xml:space="preserve">In the Matter of </w:t>
            </w:r>
          </w:p>
          <w:p w:rsidR="00744B1B" w:rsidRDefault="00744B1B" w:rsidP="00123B49">
            <w:pPr>
              <w:tabs>
                <w:tab w:val="center" w:pos="4680"/>
              </w:tabs>
              <w:rPr>
                <w:spacing w:val="-2"/>
              </w:rPr>
            </w:pPr>
          </w:p>
          <w:p w:rsidR="00744B1B" w:rsidRDefault="00744B1B" w:rsidP="00123B49">
            <w:pPr>
              <w:tabs>
                <w:tab w:val="right" w:pos="4482"/>
              </w:tabs>
            </w:pPr>
            <w:r>
              <w:t xml:space="preserve">Review of the Emergency Alert System; </w:t>
            </w:r>
            <w:r>
              <w:tab/>
            </w:r>
          </w:p>
          <w:p w:rsidR="00744B1B" w:rsidRDefault="00744B1B" w:rsidP="00123B49"/>
          <w:p w:rsidR="00744B1B" w:rsidRDefault="00744B1B" w:rsidP="00123B49">
            <w:r>
              <w:t>Independent Spanish Broadcasters Association, the Office of Communication of the United Church of Christ, Inc., and the Minority Media and Telecommunications Council, Petition for Immediate Relief</w:t>
            </w:r>
          </w:p>
          <w:p w:rsidR="00744B1B" w:rsidRDefault="00744B1B" w:rsidP="00123B49"/>
          <w:p w:rsidR="00744B1B" w:rsidRDefault="00744B1B" w:rsidP="00123B49">
            <w:r>
              <w:t>Randy Gehman Petition for Rulemaking</w:t>
            </w:r>
          </w:p>
        </w:tc>
        <w:tc>
          <w:tcPr>
            <w:tcW w:w="630" w:type="dxa"/>
            <w:shd w:val="clear" w:color="auto" w:fill="auto"/>
            <w:tcMar>
              <w:top w:w="0" w:type="dxa"/>
              <w:left w:w="108" w:type="dxa"/>
              <w:bottom w:w="0" w:type="dxa"/>
              <w:right w:w="108" w:type="dxa"/>
            </w:tcMar>
          </w:tcPr>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p w:rsidR="00744B1B" w:rsidRDefault="00744B1B" w:rsidP="00123B49">
            <w:pPr>
              <w:tabs>
                <w:tab w:val="center" w:pos="4680"/>
              </w:tabs>
            </w:pPr>
            <w:r>
              <w:rPr>
                <w:b/>
                <w:spacing w:val="-2"/>
              </w:rPr>
              <w:t>)</w:t>
            </w:r>
          </w:p>
        </w:tc>
        <w:tc>
          <w:tcPr>
            <w:tcW w:w="4248" w:type="dxa"/>
            <w:shd w:val="clear" w:color="auto" w:fill="auto"/>
            <w:tcMar>
              <w:top w:w="0" w:type="dxa"/>
              <w:left w:w="108" w:type="dxa"/>
              <w:bottom w:w="0" w:type="dxa"/>
              <w:right w:w="108" w:type="dxa"/>
            </w:tcMar>
          </w:tcPr>
          <w:p w:rsidR="00744B1B" w:rsidRDefault="00744B1B" w:rsidP="00123B49">
            <w:pPr>
              <w:tabs>
                <w:tab w:val="center" w:pos="4680"/>
              </w:tabs>
              <w:rPr>
                <w:spacing w:val="-2"/>
              </w:rPr>
            </w:pPr>
          </w:p>
          <w:p w:rsidR="00744B1B" w:rsidRDefault="00744B1B" w:rsidP="00123B49">
            <w:pPr>
              <w:tabs>
                <w:tab w:val="center" w:pos="4680"/>
              </w:tabs>
              <w:rPr>
                <w:spacing w:val="-2"/>
              </w:rPr>
            </w:pPr>
          </w:p>
          <w:p w:rsidR="00744B1B" w:rsidRDefault="00744B1B" w:rsidP="00123B49">
            <w:pPr>
              <w:pStyle w:val="TOAHeading"/>
              <w:tabs>
                <w:tab w:val="clear" w:pos="9360"/>
                <w:tab w:val="center" w:pos="4680"/>
              </w:tabs>
            </w:pPr>
            <w:r>
              <w:rPr>
                <w:spacing w:val="-2"/>
              </w:rPr>
              <w:t xml:space="preserve">EB Docket No. </w:t>
            </w:r>
            <w:bookmarkStart w:id="1" w:name="OLE_LINK3"/>
            <w:r>
              <w:rPr>
                <w:spacing w:val="-2"/>
              </w:rPr>
              <w:t>04-296</w:t>
            </w:r>
            <w:bookmarkEnd w:id="1"/>
          </w:p>
          <w:p w:rsidR="00744B1B" w:rsidRDefault="00744B1B" w:rsidP="00123B49"/>
          <w:p w:rsidR="00744B1B" w:rsidRDefault="00744B1B" w:rsidP="00123B49"/>
          <w:p w:rsidR="00744B1B" w:rsidRDefault="00744B1B" w:rsidP="00123B49"/>
          <w:p w:rsidR="00744B1B" w:rsidRDefault="00744B1B" w:rsidP="00123B49">
            <w:pPr>
              <w:tabs>
                <w:tab w:val="center" w:pos="4680"/>
              </w:tabs>
              <w:rPr>
                <w:spacing w:val="-2"/>
              </w:rPr>
            </w:pPr>
          </w:p>
        </w:tc>
      </w:tr>
    </w:tbl>
    <w:p w:rsidR="00744B1B" w:rsidRDefault="00744B1B" w:rsidP="00744B1B">
      <w:pPr>
        <w:tabs>
          <w:tab w:val="left" w:pos="-720"/>
        </w:tabs>
        <w:rPr>
          <w:spacing w:val="-2"/>
        </w:rPr>
      </w:pPr>
    </w:p>
    <w:p w:rsidR="00744B1B" w:rsidRDefault="00744B1B" w:rsidP="00744B1B">
      <w:pPr>
        <w:jc w:val="center"/>
        <w:rPr>
          <w:b/>
        </w:rPr>
      </w:pPr>
      <w:r>
        <w:rPr>
          <w:b/>
        </w:rPr>
        <w:t>ORDER</w:t>
      </w:r>
    </w:p>
    <w:p w:rsidR="00744B1B" w:rsidRDefault="00744B1B" w:rsidP="00744B1B">
      <w:pPr>
        <w:tabs>
          <w:tab w:val="left" w:pos="-720"/>
        </w:tabs>
        <w:rPr>
          <w:spacing w:val="-2"/>
        </w:rPr>
      </w:pPr>
    </w:p>
    <w:p w:rsidR="00744B1B" w:rsidRDefault="00744B1B" w:rsidP="00744B1B">
      <w:pPr>
        <w:tabs>
          <w:tab w:val="left" w:pos="720"/>
          <w:tab w:val="left" w:pos="5760"/>
        </w:tabs>
      </w:pPr>
      <w:r>
        <w:rPr>
          <w:b/>
          <w:spacing w:val="-2"/>
        </w:rPr>
        <w:t>Adopted: March 23, 2016</w:t>
      </w:r>
      <w:r>
        <w:rPr>
          <w:b/>
          <w:spacing w:val="-2"/>
        </w:rPr>
        <w:tab/>
        <w:t>Released: March 30, 2016</w:t>
      </w:r>
    </w:p>
    <w:p w:rsidR="00744B1B" w:rsidRDefault="00744B1B" w:rsidP="00744B1B">
      <w:pPr>
        <w:tabs>
          <w:tab w:val="left" w:pos="720"/>
          <w:tab w:val="left" w:pos="5760"/>
        </w:tabs>
        <w:rPr>
          <w:spacing w:val="-2"/>
        </w:rPr>
      </w:pPr>
    </w:p>
    <w:p w:rsidR="00744B1B" w:rsidRDefault="00744B1B" w:rsidP="00744B1B">
      <w:pPr>
        <w:tabs>
          <w:tab w:val="left" w:pos="1890"/>
        </w:tabs>
      </w:pPr>
      <w:r>
        <w:t>By the Commission:  Commissioner O’Rielly approving in part, dissenting in part and issuing a statement.</w:t>
      </w:r>
    </w:p>
    <w:p w:rsidR="00744B1B" w:rsidRDefault="00744B1B" w:rsidP="00744B1B">
      <w:pPr>
        <w:pStyle w:val="TOCTitle"/>
      </w:pPr>
      <w:bookmarkStart w:id="2" w:name="TOChere"/>
      <w:bookmarkStart w:id="3" w:name="_Toc280195524"/>
      <w:bookmarkStart w:id="4" w:name="_Ref284931770"/>
      <w:bookmarkStart w:id="5" w:name="_Toc285119875"/>
      <w:bookmarkStart w:id="6" w:name="_Toc293913134"/>
      <w:bookmarkStart w:id="7" w:name="_Toc294096246"/>
      <w:r>
        <w:t>Table of Contents</w:t>
      </w:r>
    </w:p>
    <w:p w:rsidR="00744B1B" w:rsidRDefault="00744B1B" w:rsidP="00744B1B">
      <w:pPr>
        <w:pStyle w:val="Paratitle"/>
      </w:pPr>
      <w:r>
        <w:t>Heading</w:t>
      </w:r>
      <w:r>
        <w:tab/>
        <w:t>Paragraph #</w:t>
      </w:r>
      <w:bookmarkStart w:id="8" w:name="start_here"/>
      <w:bookmarkEnd w:id="8"/>
    </w:p>
    <w:p w:rsidR="00744B1B" w:rsidRPr="00DF02B1" w:rsidRDefault="00744B1B" w:rsidP="00744B1B">
      <w:pPr>
        <w:pStyle w:val="TOC1"/>
        <w:rPr>
          <w:caps w:val="0"/>
        </w:rPr>
      </w:pPr>
      <w:r>
        <w:t>I.</w:t>
      </w:r>
      <w:r w:rsidRPr="00DF02B1">
        <w:rPr>
          <w:caps w:val="0"/>
        </w:rPr>
        <w:tab/>
      </w:r>
      <w:r>
        <w:t>Introduction</w:t>
      </w:r>
      <w:r>
        <w:tab/>
        <w:t>1</w:t>
      </w:r>
    </w:p>
    <w:p w:rsidR="00744B1B" w:rsidRPr="00DF02B1" w:rsidRDefault="00744B1B" w:rsidP="00744B1B">
      <w:pPr>
        <w:pStyle w:val="TOC1"/>
        <w:rPr>
          <w:caps w:val="0"/>
        </w:rPr>
      </w:pPr>
      <w:r w:rsidRPr="0001741C">
        <w:t>II.</w:t>
      </w:r>
      <w:r w:rsidRPr="00DF02B1">
        <w:rPr>
          <w:caps w:val="0"/>
        </w:rPr>
        <w:tab/>
      </w:r>
      <w:r>
        <w:t>BACKGROUND</w:t>
      </w:r>
      <w:r>
        <w:tab/>
        <w:t>3</w:t>
      </w:r>
    </w:p>
    <w:p w:rsidR="00744B1B" w:rsidRPr="00DF02B1" w:rsidRDefault="00744B1B" w:rsidP="00744B1B">
      <w:pPr>
        <w:pStyle w:val="TOC2"/>
        <w:tabs>
          <w:tab w:val="left" w:pos="360"/>
        </w:tabs>
      </w:pPr>
      <w:r>
        <w:t>A.</w:t>
      </w:r>
      <w:r w:rsidRPr="00DF02B1">
        <w:tab/>
      </w:r>
      <w:r w:rsidRPr="0001741C">
        <w:t>The EAS</w:t>
      </w:r>
      <w:r>
        <w:tab/>
        <w:t>3</w:t>
      </w:r>
    </w:p>
    <w:p w:rsidR="00744B1B" w:rsidRPr="00DF02B1" w:rsidRDefault="00744B1B" w:rsidP="00744B1B">
      <w:pPr>
        <w:pStyle w:val="TOC2"/>
        <w:tabs>
          <w:tab w:val="left" w:pos="360"/>
        </w:tabs>
      </w:pPr>
      <w:r>
        <w:t>B.</w:t>
      </w:r>
      <w:r w:rsidRPr="00DF02B1">
        <w:tab/>
      </w:r>
      <w:r w:rsidRPr="0001741C">
        <w:t>The Petition</w:t>
      </w:r>
      <w:r>
        <w:tab/>
        <w:t>10</w:t>
      </w:r>
    </w:p>
    <w:p w:rsidR="00744B1B" w:rsidRPr="00DF02B1" w:rsidRDefault="00744B1B" w:rsidP="00744B1B">
      <w:pPr>
        <w:pStyle w:val="TOC2"/>
        <w:tabs>
          <w:tab w:val="left" w:pos="360"/>
        </w:tabs>
      </w:pPr>
      <w:r>
        <w:t>C.</w:t>
      </w:r>
      <w:r w:rsidRPr="00DF02B1">
        <w:tab/>
      </w:r>
      <w:r w:rsidRPr="0001741C">
        <w:t>Procedural History</w:t>
      </w:r>
      <w:r>
        <w:tab/>
        <w:t>12</w:t>
      </w:r>
    </w:p>
    <w:p w:rsidR="00744B1B" w:rsidRPr="00DF02B1" w:rsidRDefault="00744B1B" w:rsidP="00744B1B">
      <w:pPr>
        <w:pStyle w:val="TOC1"/>
        <w:rPr>
          <w:caps w:val="0"/>
        </w:rPr>
      </w:pPr>
      <w:r>
        <w:t>III.</w:t>
      </w:r>
      <w:r w:rsidRPr="00DF02B1">
        <w:rPr>
          <w:caps w:val="0"/>
        </w:rPr>
        <w:tab/>
      </w:r>
      <w:r w:rsidRPr="0001741C">
        <w:t>Discussion</w:t>
      </w:r>
      <w:r>
        <w:tab/>
        <w:t>19</w:t>
      </w:r>
    </w:p>
    <w:p w:rsidR="00744B1B" w:rsidRPr="00DF02B1" w:rsidRDefault="00744B1B" w:rsidP="00744B1B">
      <w:pPr>
        <w:pStyle w:val="TOC2"/>
        <w:tabs>
          <w:tab w:val="left" w:pos="360"/>
        </w:tabs>
      </w:pPr>
      <w:r>
        <w:rPr>
          <w:caps/>
        </w:rPr>
        <w:t>A</w:t>
      </w:r>
      <w:r w:rsidRPr="0001741C">
        <w:rPr>
          <w:caps/>
        </w:rPr>
        <w:t>.</w:t>
      </w:r>
      <w:r w:rsidRPr="00DF02B1">
        <w:tab/>
      </w:r>
      <w:r w:rsidRPr="0001741C">
        <w:t xml:space="preserve">State EAS Plans Must Describe </w:t>
      </w:r>
      <w:r>
        <w:t xml:space="preserve">State </w:t>
      </w:r>
      <w:r w:rsidRPr="0001741C">
        <w:t>Multilingual EAS Alerting Activities</w:t>
      </w:r>
      <w:r>
        <w:tab/>
        <w:t>19</w:t>
      </w:r>
    </w:p>
    <w:p w:rsidR="00744B1B" w:rsidRPr="00DF02B1" w:rsidRDefault="00744B1B" w:rsidP="00744B1B">
      <w:pPr>
        <w:pStyle w:val="TOC2"/>
        <w:tabs>
          <w:tab w:val="left" w:pos="360"/>
        </w:tabs>
      </w:pPr>
      <w:r>
        <w:rPr>
          <w:caps/>
        </w:rPr>
        <w:t>B</w:t>
      </w:r>
      <w:r w:rsidRPr="0001741C">
        <w:rPr>
          <w:caps/>
        </w:rPr>
        <w:t>.</w:t>
      </w:r>
      <w:r w:rsidRPr="00DF02B1">
        <w:tab/>
      </w:r>
      <w:r w:rsidRPr="0001741C">
        <w:t>The Petition’s Proposals Are Unsupported and Lack Specificity</w:t>
      </w:r>
      <w:r>
        <w:tab/>
        <w:t>32</w:t>
      </w:r>
    </w:p>
    <w:p w:rsidR="00744B1B" w:rsidRPr="00DF02B1" w:rsidRDefault="00744B1B" w:rsidP="00744B1B">
      <w:pPr>
        <w:pStyle w:val="TOC1"/>
        <w:rPr>
          <w:caps w:val="0"/>
        </w:rPr>
      </w:pPr>
      <w:r>
        <w:t>IV.</w:t>
      </w:r>
      <w:r w:rsidRPr="00DF02B1">
        <w:rPr>
          <w:caps w:val="0"/>
        </w:rPr>
        <w:tab/>
      </w:r>
      <w:r>
        <w:t>PROCEDURAL MATTERS</w:t>
      </w:r>
      <w:r>
        <w:tab/>
        <w:t>35</w:t>
      </w:r>
    </w:p>
    <w:p w:rsidR="00744B1B" w:rsidRPr="00DF02B1" w:rsidRDefault="00744B1B" w:rsidP="00744B1B">
      <w:pPr>
        <w:pStyle w:val="TOC2"/>
        <w:tabs>
          <w:tab w:val="left" w:pos="360"/>
        </w:tabs>
      </w:pPr>
      <w:r>
        <w:t>A.</w:t>
      </w:r>
      <w:r w:rsidRPr="00DF02B1">
        <w:tab/>
      </w:r>
      <w:r>
        <w:t>Accessible Formats</w:t>
      </w:r>
      <w:r>
        <w:tab/>
        <w:t>35</w:t>
      </w:r>
    </w:p>
    <w:p w:rsidR="00744B1B" w:rsidRPr="00DF02B1" w:rsidRDefault="00744B1B" w:rsidP="00744B1B">
      <w:pPr>
        <w:pStyle w:val="TOC2"/>
        <w:tabs>
          <w:tab w:val="left" w:pos="360"/>
        </w:tabs>
      </w:pPr>
      <w:r>
        <w:t>B.</w:t>
      </w:r>
      <w:r w:rsidRPr="00DF02B1">
        <w:tab/>
      </w:r>
      <w:r>
        <w:t>Regulatory Flexibility Analysis</w:t>
      </w:r>
      <w:r>
        <w:tab/>
        <w:t>36</w:t>
      </w:r>
    </w:p>
    <w:p w:rsidR="00744B1B" w:rsidRPr="00DF02B1" w:rsidRDefault="00744B1B" w:rsidP="00744B1B">
      <w:pPr>
        <w:pStyle w:val="TOC2"/>
        <w:tabs>
          <w:tab w:val="left" w:pos="360"/>
        </w:tabs>
      </w:pPr>
      <w:r>
        <w:t>C.</w:t>
      </w:r>
      <w:r w:rsidRPr="00DF02B1">
        <w:tab/>
      </w:r>
      <w:r>
        <w:t>Paperwork Reduction Act Analysis</w:t>
      </w:r>
      <w:r>
        <w:tab/>
        <w:t>37</w:t>
      </w:r>
    </w:p>
    <w:p w:rsidR="00744B1B" w:rsidRPr="00DF02B1" w:rsidRDefault="00744B1B" w:rsidP="00744B1B">
      <w:pPr>
        <w:pStyle w:val="TOC2"/>
        <w:tabs>
          <w:tab w:val="left" w:pos="360"/>
        </w:tabs>
      </w:pPr>
      <w:r>
        <w:t>D.</w:t>
      </w:r>
      <w:r w:rsidRPr="00DF02B1">
        <w:tab/>
      </w:r>
      <w:r w:rsidRPr="0001741C">
        <w:t xml:space="preserve">Congressional Review </w:t>
      </w:r>
      <w:r>
        <w:t>Act</w:t>
      </w:r>
      <w:r>
        <w:tab/>
        <w:t>39</w:t>
      </w:r>
    </w:p>
    <w:p w:rsidR="00744B1B" w:rsidRPr="00DF02B1" w:rsidRDefault="00744B1B" w:rsidP="00744B1B">
      <w:pPr>
        <w:pStyle w:val="TOC1"/>
        <w:rPr>
          <w:caps w:val="0"/>
        </w:rPr>
      </w:pPr>
      <w:r>
        <w:t>V.</w:t>
      </w:r>
      <w:r w:rsidRPr="00DF02B1">
        <w:rPr>
          <w:caps w:val="0"/>
        </w:rPr>
        <w:tab/>
      </w:r>
      <w:r>
        <w:t>Ordering Clauses</w:t>
      </w:r>
      <w:r>
        <w:tab/>
        <w:t>40</w:t>
      </w:r>
    </w:p>
    <w:bookmarkEnd w:id="2"/>
    <w:p w:rsidR="00744B1B" w:rsidRDefault="00744B1B" w:rsidP="00744B1B">
      <w:r>
        <w:t xml:space="preserve">APPENDIX A – Final Rules </w:t>
      </w:r>
    </w:p>
    <w:p w:rsidR="00744B1B" w:rsidRDefault="00744B1B" w:rsidP="00744B1B">
      <w:r>
        <w:t>APPENDIX B – Final Regulatory Flexibility Analysis</w:t>
      </w:r>
    </w:p>
    <w:p w:rsidR="00744B1B" w:rsidRDefault="00744B1B" w:rsidP="00744B1B"/>
    <w:p w:rsidR="00744B1B" w:rsidRPr="0001741C" w:rsidRDefault="00744B1B" w:rsidP="00744B1B">
      <w:pPr>
        <w:pStyle w:val="Heading1"/>
      </w:pPr>
      <w:bookmarkStart w:id="9" w:name="_Toc405557601"/>
      <w:bookmarkStart w:id="10" w:name="_Toc405557711"/>
      <w:bookmarkStart w:id="11" w:name="_Toc405557976"/>
      <w:bookmarkStart w:id="12" w:name="_Toc405558256"/>
      <w:bookmarkStart w:id="13" w:name="_Toc405558632"/>
      <w:r w:rsidRPr="0001741C">
        <w:t>Introduction</w:t>
      </w:r>
      <w:bookmarkEnd w:id="3"/>
      <w:bookmarkEnd w:id="4"/>
      <w:bookmarkEnd w:id="5"/>
      <w:bookmarkEnd w:id="6"/>
      <w:bookmarkEnd w:id="7"/>
      <w:bookmarkEnd w:id="9"/>
      <w:bookmarkEnd w:id="10"/>
      <w:bookmarkEnd w:id="11"/>
      <w:bookmarkEnd w:id="12"/>
      <w:bookmarkEnd w:id="13"/>
    </w:p>
    <w:p w:rsidR="00744B1B" w:rsidRPr="00525387" w:rsidRDefault="00744B1B" w:rsidP="00744B1B">
      <w:pPr>
        <w:pStyle w:val="ParaNum"/>
        <w:numPr>
          <w:ilvl w:val="0"/>
          <w:numId w:val="8"/>
        </w:numPr>
        <w:tabs>
          <w:tab w:val="left" w:pos="1440"/>
        </w:tabs>
        <w:spacing w:before="120"/>
        <w:ind w:left="0" w:firstLine="720"/>
      </w:pPr>
      <w:bookmarkStart w:id="14" w:name="_Toc160335787"/>
      <w:bookmarkStart w:id="15" w:name="_Toc168316275"/>
      <w:bookmarkStart w:id="16" w:name="_Toc168317931"/>
      <w:bookmarkStart w:id="17" w:name="_Toc168317973"/>
      <w:bookmarkStart w:id="18" w:name="_Toc168811847"/>
      <w:bookmarkStart w:id="19" w:name="_Toc171915575"/>
      <w:bookmarkStart w:id="20" w:name="_Toc144188915"/>
      <w:bookmarkStart w:id="21" w:name="_Toc144189027"/>
      <w:bookmarkStart w:id="22" w:name="_Toc144189204"/>
      <w:bookmarkStart w:id="23" w:name="_Toc144200285"/>
      <w:bookmarkStart w:id="24" w:name="_Toc144201717"/>
      <w:bookmarkStart w:id="25" w:name="_Toc144715893"/>
      <w:bookmarkStart w:id="26" w:name="_Toc144721340"/>
      <w:bookmarkStart w:id="27" w:name="_Toc144805462"/>
      <w:bookmarkStart w:id="28" w:name="_Toc144873624"/>
      <w:bookmarkStart w:id="29" w:name="_Toc144876598"/>
      <w:bookmarkStart w:id="30" w:name="_Toc144876769"/>
      <w:bookmarkStart w:id="31" w:name="_Toc144876863"/>
      <w:bookmarkStart w:id="32" w:name="_Toc144882945"/>
      <w:bookmarkStart w:id="33" w:name="_Toc144885024"/>
      <w:bookmarkStart w:id="34" w:name="_Toc144888863"/>
      <w:bookmarkStart w:id="35" w:name="_Toc145322688"/>
      <w:r w:rsidRPr="007F6264">
        <w:t xml:space="preserve">In this </w:t>
      </w:r>
      <w:r w:rsidRPr="007F6264">
        <w:rPr>
          <w:i/>
        </w:rPr>
        <w:t>Order</w:t>
      </w:r>
      <w:r w:rsidRPr="00B861C9">
        <w:t xml:space="preserve"> we reaffirm our commitment to promoting the delivery of Emergency Alert System (EAS) alerts to as wide an audience as technically feasible, including </w:t>
      </w:r>
      <w:r>
        <w:t xml:space="preserve">to </w:t>
      </w:r>
      <w:r w:rsidRPr="00B861C9">
        <w:t xml:space="preserve">those who </w:t>
      </w:r>
      <w:r>
        <w:t>communicate in a language other than English</w:t>
      </w:r>
      <w:r w:rsidRPr="00B861C9">
        <w:t xml:space="preserve"> </w:t>
      </w:r>
      <w:r w:rsidRPr="007F6264">
        <w:t xml:space="preserve">or </w:t>
      </w:r>
      <w:r>
        <w:t xml:space="preserve">may </w:t>
      </w:r>
      <w:r w:rsidRPr="007F6264">
        <w:t xml:space="preserve">have </w:t>
      </w:r>
      <w:r>
        <w:t xml:space="preserve">a </w:t>
      </w:r>
      <w:r w:rsidRPr="007F6264">
        <w:t>limited understanding of the English lan</w:t>
      </w:r>
      <w:r w:rsidRPr="00B861C9">
        <w:t>guage.</w:t>
      </w:r>
      <w:r w:rsidRPr="007F6264">
        <w:t xml:space="preserve">  </w:t>
      </w:r>
      <w:r>
        <w:t>Specifically, t</w:t>
      </w:r>
      <w:r w:rsidRPr="00B861C9">
        <w:t xml:space="preserve">o promote and better understand the landscape of multilingual alerting across the country, </w:t>
      </w:r>
      <w:r w:rsidRPr="00B861C9">
        <w:lastRenderedPageBreak/>
        <w:t>we will now require State EAS Plans</w:t>
      </w:r>
      <w:r>
        <w:rPr>
          <w:rStyle w:val="FootnoteReference"/>
        </w:rPr>
        <w:footnoteReference w:id="2"/>
      </w:r>
      <w:r w:rsidRPr="00B861C9">
        <w:t xml:space="preserve"> to include a description of the manner, if any, in which </w:t>
      </w:r>
      <w:r>
        <w:t xml:space="preserve">EAS Participants (including </w:t>
      </w:r>
      <w:r w:rsidRPr="00B861C9">
        <w:t>broadcasters, cable systems, and other service providers</w:t>
      </w:r>
      <w:r w:rsidRPr="00F52F5F">
        <w:rPr>
          <w:kern w:val="3"/>
        </w:rPr>
        <w:t>)</w:t>
      </w:r>
      <w:r w:rsidRPr="00B861C9">
        <w:t>,</w:t>
      </w:r>
      <w:r>
        <w:rPr>
          <w:rStyle w:val="FootnoteReference"/>
        </w:rPr>
        <w:footnoteReference w:id="3"/>
      </w:r>
      <w:r w:rsidRPr="007F6264">
        <w:t xml:space="preserve"> make available EAS alert message content to persons who </w:t>
      </w:r>
      <w:r w:rsidRPr="00FA6240">
        <w:t>communicate in languages other than</w:t>
      </w:r>
      <w:r w:rsidRPr="007F6264">
        <w:t xml:space="preserve"> English</w:t>
      </w:r>
      <w:r w:rsidRPr="00B861C9">
        <w:t>.</w:t>
      </w:r>
      <w:r>
        <w:rPr>
          <w:rStyle w:val="FootnoteReference"/>
        </w:rPr>
        <w:footnoteReference w:id="4"/>
      </w:r>
      <w:r w:rsidRPr="007F6264">
        <w:t xml:space="preserve">  We will require EAS Participants to furnish such information to State Emergency Communications Committees (SECC) </w:t>
      </w:r>
      <w:r>
        <w:t xml:space="preserve">upon SECC request </w:t>
      </w:r>
      <w:r w:rsidRPr="007F6264">
        <w:t>so that the SECCs can compile this data and submit it as part of t</w:t>
      </w:r>
      <w:r w:rsidRPr="00B861C9">
        <w:t xml:space="preserve">heir State EAS Plan.  </w:t>
      </w:r>
    </w:p>
    <w:p w:rsidR="00744B1B" w:rsidRDefault="00744B1B" w:rsidP="00744B1B">
      <w:pPr>
        <w:pStyle w:val="ParaNum"/>
        <w:numPr>
          <w:ilvl w:val="0"/>
          <w:numId w:val="8"/>
        </w:numPr>
        <w:tabs>
          <w:tab w:val="left" w:pos="1440"/>
          <w:tab w:val="left" w:pos="1656"/>
        </w:tabs>
        <w:spacing w:before="120"/>
        <w:ind w:left="0" w:firstLine="720"/>
      </w:pPr>
      <w:r w:rsidRPr="008008BD">
        <w:t>We adopt</w:t>
      </w:r>
      <w:r w:rsidRPr="007B2EEB">
        <w:t xml:space="preserve"> these requirements in response to the Petition for Immediate Interim Relief (Petition) jointly filed by the Independent Spanish Broadcasters Association (ISBA), </w:t>
      </w:r>
      <w:r w:rsidRPr="00A952C5">
        <w:t>the Office of Communication of the United Church of Christ, Inc., and the Minority Media and Telecommunications Council (MMTC</w:t>
      </w:r>
      <w:r w:rsidRPr="008008BD">
        <w:t>) (collectively, “Petitioners”).</w:t>
      </w:r>
      <w:r w:rsidRPr="008008BD">
        <w:rPr>
          <w:rStyle w:val="FootnoteReference"/>
        </w:rPr>
        <w:footnoteReference w:id="5"/>
      </w:r>
      <w:r w:rsidRPr="008008BD">
        <w:t xml:space="preserve">  </w:t>
      </w:r>
      <w:r w:rsidRPr="00A37FF3">
        <w:rPr>
          <w:kern w:val="3"/>
        </w:rPr>
        <w:t xml:space="preserve">As </w:t>
      </w:r>
      <w:r w:rsidRPr="008008BD">
        <w:rPr>
          <w:kern w:val="3"/>
        </w:rPr>
        <w:t xml:space="preserve">discussed below, </w:t>
      </w:r>
      <w:r w:rsidRPr="007B2EEB">
        <w:rPr>
          <w:kern w:val="3"/>
        </w:rPr>
        <w:t>t</w:t>
      </w:r>
      <w:r w:rsidRPr="007B2EEB">
        <w:t>he Petition proposes</w:t>
      </w:r>
      <w:r w:rsidRPr="008008BD">
        <w:t xml:space="preserve"> various changes to our Part 11 rules governing the EAS to facilitate the dissemination of multilingual EAS alerts and non-EAS emergency information.  Although</w:t>
      </w:r>
      <w:r w:rsidRPr="00D942D1">
        <w:t xml:space="preserve"> </w:t>
      </w:r>
      <w:r w:rsidRPr="00A952C5">
        <w:rPr>
          <w:kern w:val="3"/>
        </w:rPr>
        <w:t xml:space="preserve">we do not find </w:t>
      </w:r>
      <w:r>
        <w:rPr>
          <w:kern w:val="3"/>
        </w:rPr>
        <w:t>that</w:t>
      </w:r>
      <w:r w:rsidRPr="00A952C5">
        <w:rPr>
          <w:kern w:val="3"/>
        </w:rPr>
        <w:t xml:space="preserve"> </w:t>
      </w:r>
      <w:r>
        <w:rPr>
          <w:kern w:val="3"/>
        </w:rPr>
        <w:t xml:space="preserve">the facts and record </w:t>
      </w:r>
      <w:r w:rsidRPr="00A952C5">
        <w:rPr>
          <w:kern w:val="3"/>
        </w:rPr>
        <w:t xml:space="preserve">support the Petitioners’ proposed Part 11 rule revisions, we find that the reporting requirements adopted in this item will, by other means, </w:t>
      </w:r>
      <w:r>
        <w:rPr>
          <w:kern w:val="3"/>
        </w:rPr>
        <w:t>provide information that may facilitate</w:t>
      </w:r>
      <w:r w:rsidRPr="00A952C5">
        <w:rPr>
          <w:kern w:val="3"/>
        </w:rPr>
        <w:t xml:space="preserve"> th</w:t>
      </w:r>
      <w:r w:rsidRPr="00A952C5">
        <w:t>e dissemination of multilingual local, state and national emergency information via the EAS.</w:t>
      </w:r>
      <w:r w:rsidRPr="00A952C5">
        <w:rPr>
          <w:rStyle w:val="FootnoteReference"/>
        </w:rPr>
        <w:footnoteReference w:id="6"/>
      </w:r>
      <w:r w:rsidRPr="00A952C5">
        <w:t xml:space="preserve">  Accordingly, we grant the Petition in part, to the extent that our actions herein </w:t>
      </w:r>
      <w:r>
        <w:t xml:space="preserve">are consistent with </w:t>
      </w:r>
      <w:r w:rsidRPr="00A952C5">
        <w:t xml:space="preserve">the Petition’s </w:t>
      </w:r>
      <w:r w:rsidRPr="00A952C5">
        <w:rPr>
          <w:kern w:val="3"/>
        </w:rPr>
        <w:t xml:space="preserve">stated purpose.  </w:t>
      </w:r>
      <w:r w:rsidRPr="00A952C5">
        <w:t xml:space="preserve">With respect to the Petition’s specific Part 11 </w:t>
      </w:r>
      <w:r w:rsidRPr="00D942D1">
        <w:t>proposals</w:t>
      </w:r>
      <w:r w:rsidRPr="008008BD">
        <w:t>, we find that</w:t>
      </w:r>
      <w:r w:rsidRPr="00D942D1">
        <w:t xml:space="preserve"> </w:t>
      </w:r>
      <w:r w:rsidRPr="00A952C5">
        <w:rPr>
          <w:kern w:val="3"/>
        </w:rPr>
        <w:t xml:space="preserve">implementing </w:t>
      </w:r>
      <w:r w:rsidRPr="008008BD">
        <w:rPr>
          <w:kern w:val="3"/>
        </w:rPr>
        <w:t>the</w:t>
      </w:r>
      <w:r w:rsidRPr="007B2EEB">
        <w:rPr>
          <w:kern w:val="3"/>
        </w:rPr>
        <w:t xml:space="preserve">m, even in modified form, would be difficult if not impossible to do </w:t>
      </w:r>
      <w:r w:rsidRPr="00A952C5">
        <w:t xml:space="preserve">within the existing </w:t>
      </w:r>
      <w:r w:rsidRPr="00A952C5">
        <w:rPr>
          <w:kern w:val="3"/>
        </w:rPr>
        <w:t xml:space="preserve">EAS architecture.  We also agree with commenters that argue that alert originators are best positioned to affect multilingual alerting, and that communities and states are best positioned to understand the language diversity and needs across their jurisdictions.  Further, we observe that alternative mechanisms </w:t>
      </w:r>
      <w:r w:rsidRPr="00A952C5">
        <w:t xml:space="preserve">and technologies </w:t>
      </w:r>
      <w:r w:rsidRPr="00A952C5">
        <w:rPr>
          <w:kern w:val="3"/>
        </w:rPr>
        <w:t xml:space="preserve">for providing </w:t>
      </w:r>
      <w:r w:rsidRPr="007B2EEB">
        <w:rPr>
          <w:kern w:val="3"/>
        </w:rPr>
        <w:t>multilingual alerting</w:t>
      </w:r>
      <w:r w:rsidRPr="00A952C5">
        <w:t xml:space="preserve"> have continued to advance since </w:t>
      </w:r>
      <w:r w:rsidRPr="00A952C5">
        <w:rPr>
          <w:kern w:val="3"/>
        </w:rPr>
        <w:t xml:space="preserve">the Petitioners </w:t>
      </w:r>
      <w:r w:rsidRPr="00A952C5">
        <w:t xml:space="preserve">initially </w:t>
      </w:r>
      <w:r w:rsidRPr="00A952C5">
        <w:rPr>
          <w:kern w:val="3"/>
        </w:rPr>
        <w:t>filed their Petition</w:t>
      </w:r>
      <w:r w:rsidRPr="00A952C5">
        <w:t>,</w:t>
      </w:r>
      <w:r w:rsidRPr="00A952C5">
        <w:rPr>
          <w:kern w:val="3"/>
        </w:rPr>
        <w:t xml:space="preserve"> and are likely to become more widely </w:t>
      </w:r>
      <w:r w:rsidRPr="00A952C5">
        <w:t>d</w:t>
      </w:r>
      <w:r w:rsidRPr="00A952C5">
        <w:rPr>
          <w:kern w:val="3"/>
        </w:rPr>
        <w:t>eployed</w:t>
      </w:r>
      <w:r w:rsidRPr="00A952C5">
        <w:t xml:space="preserve">. </w:t>
      </w:r>
      <w:r>
        <w:t xml:space="preserve"> </w:t>
      </w:r>
      <w:r w:rsidRPr="00A952C5">
        <w:t xml:space="preserve">Thus, we decline to grant the Petition’s proposed Part 11 rule changes, but adopt reporting requirements </w:t>
      </w:r>
      <w:r>
        <w:t>to acquire information that may facilitate</w:t>
      </w:r>
      <w:r w:rsidRPr="00D942D1">
        <w:rPr>
          <w:kern w:val="3"/>
        </w:rPr>
        <w:t xml:space="preserve"> th</w:t>
      </w:r>
      <w:r w:rsidRPr="00A952C5">
        <w:t xml:space="preserve">e </w:t>
      </w:r>
      <w:r w:rsidRPr="007B2EEB">
        <w:t>dissemination of multilingual local, state and national emergency information via</w:t>
      </w:r>
      <w:r w:rsidRPr="00A952C5">
        <w:t xml:space="preserve"> the EAS.</w:t>
      </w:r>
      <w:r>
        <w:t xml:space="preserve">  </w:t>
      </w:r>
      <w:r w:rsidRPr="00DA5E67">
        <w:t xml:space="preserve">   </w:t>
      </w:r>
    </w:p>
    <w:p w:rsidR="00744B1B" w:rsidRPr="0001741C" w:rsidRDefault="00744B1B" w:rsidP="00744B1B">
      <w:pPr>
        <w:pStyle w:val="Heading1"/>
      </w:pPr>
      <w:bookmarkStart w:id="36" w:name="_Toc405557602"/>
      <w:bookmarkStart w:id="37" w:name="_Toc405557712"/>
      <w:bookmarkStart w:id="38" w:name="_Toc405557977"/>
      <w:bookmarkStart w:id="39" w:name="_Toc405558257"/>
      <w:bookmarkStart w:id="40" w:name="_Toc405558633"/>
      <w:r w:rsidRPr="0001741C">
        <w:t>BACKGROUND</w:t>
      </w:r>
      <w:bookmarkEnd w:id="36"/>
      <w:bookmarkEnd w:id="37"/>
      <w:bookmarkEnd w:id="38"/>
      <w:bookmarkEnd w:id="39"/>
      <w:bookmarkEnd w:id="40"/>
    </w:p>
    <w:p w:rsidR="00744B1B" w:rsidRDefault="00744B1B" w:rsidP="00744B1B">
      <w:pPr>
        <w:pStyle w:val="Heading2"/>
      </w:pPr>
      <w:bookmarkStart w:id="41" w:name="_Toc405557603"/>
      <w:bookmarkStart w:id="42" w:name="_Toc405557713"/>
      <w:bookmarkStart w:id="43" w:name="_Toc405557978"/>
      <w:bookmarkStart w:id="44" w:name="_Toc405558258"/>
      <w:bookmarkStart w:id="45" w:name="_Toc405558634"/>
      <w:r>
        <w:t>The EAS</w:t>
      </w:r>
      <w:bookmarkEnd w:id="41"/>
      <w:bookmarkEnd w:id="42"/>
      <w:bookmarkEnd w:id="43"/>
      <w:bookmarkEnd w:id="44"/>
      <w:bookmarkEnd w:id="45"/>
    </w:p>
    <w:p w:rsidR="00744B1B" w:rsidRDefault="00744B1B" w:rsidP="00744B1B">
      <w:pPr>
        <w:pStyle w:val="ParaNum"/>
        <w:numPr>
          <w:ilvl w:val="0"/>
          <w:numId w:val="8"/>
        </w:numPr>
        <w:tabs>
          <w:tab w:val="left" w:pos="1440"/>
          <w:tab w:val="left" w:pos="1656"/>
        </w:tabs>
        <w:spacing w:before="120"/>
        <w:ind w:left="0" w:firstLine="720"/>
      </w:pPr>
      <w:r w:rsidRPr="007F6264">
        <w:t>The EAS is a national public warning system through which broadcasters, cable systems, and other EAS Participants deliver alerts to the public to warn them of impending emergencies and dangers to life and property.</w:t>
      </w:r>
      <w:r>
        <w:rPr>
          <w:rStyle w:val="FootnoteReference"/>
        </w:rPr>
        <w:footnoteReference w:id="7"/>
      </w:r>
      <w:r w:rsidRPr="007F6264">
        <w:t xml:space="preserve">  The primary purpose of the EAS is to provide the Presi</w:t>
      </w:r>
      <w:r>
        <w:t>dent with “the capability to provide immediate communications and information to the general public at the National, State and Local Area levels during periods of national emergency.”</w:t>
      </w:r>
      <w:r>
        <w:rPr>
          <w:rStyle w:val="FootnoteReference"/>
        </w:rPr>
        <w:footnoteReference w:id="8"/>
      </w:r>
      <w:r w:rsidRPr="007F6264">
        <w:t xml:space="preserve">  The EAS also is used to distribute alerts issued by state and local governments, as well as </w:t>
      </w:r>
      <w:r>
        <w:t>by the National Weather Service (NWS).</w:t>
      </w:r>
      <w:r>
        <w:rPr>
          <w:rStyle w:val="FootnoteReference"/>
        </w:rPr>
        <w:footnoteReference w:id="9"/>
      </w:r>
      <w:r w:rsidRPr="007F6264">
        <w:t xml:space="preserve">  Although EAS Participants are required to broadcast Presidential alerts, they participate in broadcasting state and local EAS alerts on a voluntary </w:t>
      </w:r>
      <w:r w:rsidRPr="004526BB">
        <w:t>basis</w:t>
      </w:r>
      <w:r w:rsidRPr="00914001">
        <w:t>.</w:t>
      </w:r>
      <w:r w:rsidRPr="00914001">
        <w:rPr>
          <w:rStyle w:val="FootnoteReference"/>
        </w:rPr>
        <w:footnoteReference w:id="10"/>
      </w:r>
      <w:r w:rsidRPr="00914001">
        <w:t xml:space="preserve">  </w:t>
      </w:r>
      <w:r w:rsidRPr="007F6264">
        <w:t>As the Commission noted previously in this docket, its authority to require participation in the EAS emanates from Sections 1, 4(i) and (o), 303(r), and 706 of the Communications Act.</w:t>
      </w:r>
      <w:r>
        <w:rPr>
          <w:rStyle w:val="FootnoteReference"/>
        </w:rPr>
        <w:footnoteReference w:id="11"/>
      </w:r>
      <w:r w:rsidRPr="007F6264">
        <w:t xml:space="preserve">  </w:t>
      </w:r>
      <w:r w:rsidRPr="00914001">
        <w:t>The Commission</w:t>
      </w:r>
      <w:r w:rsidRPr="007F6264">
        <w:t>, the Federal Emergency Management Agency (FEMA)</w:t>
      </w:r>
      <w:r>
        <w:t>,</w:t>
      </w:r>
      <w:r w:rsidRPr="007F6264">
        <w:t xml:space="preserve"> and the NWS implement the EAS at the federal level.</w:t>
      </w:r>
      <w:r>
        <w:rPr>
          <w:rStyle w:val="FootnoteReference"/>
        </w:rPr>
        <w:footnoteReference w:id="12"/>
      </w:r>
    </w:p>
    <w:p w:rsidR="00744B1B" w:rsidRPr="00412364" w:rsidRDefault="00744B1B" w:rsidP="00744B1B">
      <w:pPr>
        <w:pStyle w:val="ParaNum"/>
        <w:numPr>
          <w:ilvl w:val="0"/>
          <w:numId w:val="8"/>
        </w:numPr>
        <w:tabs>
          <w:tab w:val="left" w:pos="1440"/>
        </w:tabs>
        <w:spacing w:before="120"/>
        <w:ind w:left="0" w:firstLine="720"/>
        <w:rPr>
          <w:sz w:val="24"/>
          <w:szCs w:val="24"/>
        </w:rPr>
      </w:pPr>
      <w:r w:rsidRPr="007F6264">
        <w:t xml:space="preserve">The EAS is a broadcast-based, hierarchical alert message distribution system in which an alert message originator at the local, state or national level </w:t>
      </w:r>
      <w:r w:rsidRPr="00460C8F">
        <w:t>encodes (or arranges to have encoded) a mes</w:t>
      </w:r>
      <w:r w:rsidRPr="008F3E9B">
        <w:t>sage in the EAS Protocol</w:t>
      </w:r>
      <w:r>
        <w:t>.</w:t>
      </w:r>
      <w:r>
        <w:rPr>
          <w:rStyle w:val="FootnoteReference"/>
        </w:rPr>
        <w:footnoteReference w:id="13"/>
      </w:r>
      <w:r w:rsidRPr="007F6264">
        <w:t xml:space="preserve"> </w:t>
      </w:r>
      <w:r>
        <w:t xml:space="preserve"> The alert</w:t>
      </w:r>
      <w:r w:rsidRPr="007F6264">
        <w:t xml:space="preserve"> is </w:t>
      </w:r>
      <w:r>
        <w:t>then</w:t>
      </w:r>
      <w:r w:rsidRPr="007F6264">
        <w:t xml:space="preserve"> broadcast from </w:t>
      </w:r>
      <w:r w:rsidRPr="00460C8F">
        <w:t xml:space="preserve">one or more EAS Participants, and subsequently </w:t>
      </w:r>
      <w:r w:rsidRPr="008F3E9B">
        <w:t>relayed from one station to another until all affected EAS Participants have received the alert and delivered it to the pub</w:t>
      </w:r>
      <w:r w:rsidRPr="003A6DE2">
        <w:t>lic.</w:t>
      </w:r>
      <w:r>
        <w:rPr>
          <w:rStyle w:val="FootnoteReference"/>
        </w:rPr>
        <w:footnoteReference w:id="14"/>
      </w:r>
      <w:r w:rsidRPr="007F6264">
        <w:t xml:space="preserve">  This process of EAS </w:t>
      </w:r>
      <w:r w:rsidRPr="00460C8F">
        <w:t>alert distribution among EAS Participants is often referred as the “daisy chain” distribution architecture.</w:t>
      </w:r>
      <w:r w:rsidRPr="0047494B">
        <w:rPr>
          <w:rStyle w:val="FootnoteReference"/>
        </w:rPr>
        <w:footnoteReference w:id="15"/>
      </w:r>
      <w:r w:rsidRPr="007F6264">
        <w:t xml:space="preserve">  </w:t>
      </w:r>
      <w:r w:rsidRPr="007F6264">
        <w:rPr>
          <w:kern w:val="3"/>
        </w:rPr>
        <w:t>Because th</w:t>
      </w:r>
      <w:r>
        <w:rPr>
          <w:kern w:val="3"/>
        </w:rPr>
        <w:t>is</w:t>
      </w:r>
      <w:r w:rsidRPr="007F6264">
        <w:rPr>
          <w:kern w:val="3"/>
        </w:rPr>
        <w:t xml:space="preserve"> EAS architecture has been in place since the inception of the EAS, it is often referred to as the “legacy EAS.”  </w:t>
      </w:r>
      <w:r w:rsidRPr="00460C8F">
        <w:t xml:space="preserve">Since June 30, 2012, </w:t>
      </w:r>
      <w:r>
        <w:t xml:space="preserve">however, </w:t>
      </w:r>
      <w:r w:rsidRPr="00460C8F">
        <w:t>authorized emergency alert authorities also have been able to distribute EAS</w:t>
      </w:r>
      <w:r w:rsidRPr="008F3E9B">
        <w:t xml:space="preserve"> alerts over the Internet to EAS Participants (who in turn deliver the alert to the public) by formatting those </w:t>
      </w:r>
      <w:r w:rsidRPr="003A6DE2">
        <w:t xml:space="preserve">alerts in </w:t>
      </w:r>
      <w:r>
        <w:t xml:space="preserve">the </w:t>
      </w:r>
      <w:r w:rsidRPr="00412364">
        <w:t>C</w:t>
      </w:r>
      <w:r>
        <w:t xml:space="preserve">ommon </w:t>
      </w:r>
      <w:r w:rsidRPr="00412364">
        <w:t>A</w:t>
      </w:r>
      <w:r>
        <w:t xml:space="preserve">lerting </w:t>
      </w:r>
      <w:r w:rsidRPr="00412364">
        <w:t>P</w:t>
      </w:r>
      <w:r>
        <w:t>rotocol</w:t>
      </w:r>
      <w:r w:rsidRPr="007F6264">
        <w:t xml:space="preserve"> </w:t>
      </w:r>
      <w:r>
        <w:t xml:space="preserve">(CAP) </w:t>
      </w:r>
      <w:r w:rsidRPr="007F6264">
        <w:t>and delivering those alerts through the FEMA administered Integrated Pub</w:t>
      </w:r>
      <w:r w:rsidRPr="00460C8F">
        <w:t>lic Alert and Warning System (IPAWS).</w:t>
      </w:r>
      <w:r>
        <w:rPr>
          <w:rStyle w:val="FootnoteReference"/>
        </w:rPr>
        <w:footnoteReference w:id="16"/>
      </w:r>
      <w:r>
        <w:t xml:space="preserve">  This CAP-based process for distributing alerts to EAS Participants represents the “IP-based EAS.”   </w:t>
      </w:r>
    </w:p>
    <w:p w:rsidR="00744B1B" w:rsidRPr="007F6264" w:rsidRDefault="00744B1B" w:rsidP="00744B1B">
      <w:pPr>
        <w:pStyle w:val="ParaNum"/>
        <w:numPr>
          <w:ilvl w:val="0"/>
          <w:numId w:val="8"/>
        </w:numPr>
        <w:tabs>
          <w:tab w:val="left" w:pos="1440"/>
        </w:tabs>
        <w:spacing w:before="120"/>
        <w:ind w:left="0" w:firstLine="720"/>
      </w:pPr>
      <w:r>
        <w:t>Both t</w:t>
      </w:r>
      <w:r w:rsidRPr="007F6264">
        <w:t xml:space="preserve">he </w:t>
      </w:r>
      <w:r>
        <w:t xml:space="preserve">legacy and IP-based </w:t>
      </w:r>
      <w:r w:rsidRPr="007F6264">
        <w:t>EAS architecture</w:t>
      </w:r>
      <w:r>
        <w:t>s</w:t>
      </w:r>
      <w:r w:rsidRPr="007F6264">
        <w:t xml:space="preserve"> </w:t>
      </w:r>
      <w:r>
        <w:t>are</w:t>
      </w:r>
      <w:r w:rsidRPr="007F6264">
        <w:t xml:space="preserve"> designed so that </w:t>
      </w:r>
      <w:r>
        <w:t>EAS Participants deliver to the public</w:t>
      </w:r>
      <w:r w:rsidRPr="007F6264">
        <w:t xml:space="preserve"> the alert content </w:t>
      </w:r>
      <w:r>
        <w:t>they receive</w:t>
      </w:r>
      <w:r w:rsidRPr="007F6264">
        <w:t xml:space="preserve"> from the EAS sources they monitor.  Further, the EAS arch</w:t>
      </w:r>
      <w:r>
        <w:t xml:space="preserve">itecture and equipment is designed </w:t>
      </w:r>
      <w:r w:rsidRPr="00D04739">
        <w:t>to operate automatically, both t</w:t>
      </w:r>
      <w:r>
        <w:t xml:space="preserve">o minimize the risk of operator </w:t>
      </w:r>
      <w:r w:rsidRPr="006B4DC5">
        <w:t>error and to facilitate EAS operation at unattended stations.</w:t>
      </w:r>
      <w:r w:rsidRPr="00D04739">
        <w:rPr>
          <w:rStyle w:val="FootnoteReference"/>
        </w:rPr>
        <w:footnoteReference w:id="17"/>
      </w:r>
      <w:r w:rsidRPr="007F6264">
        <w:t xml:space="preserve">  Because the EAS is a top-down, closed, automat</w:t>
      </w:r>
      <w:r w:rsidRPr="006B4DC5">
        <w:t>ed</w:t>
      </w:r>
      <w:r>
        <w:t xml:space="preserve"> mes</w:t>
      </w:r>
      <w:r w:rsidRPr="006B4DC5">
        <w:t xml:space="preserve">sage distribution system </w:t>
      </w:r>
      <w:r>
        <w:t>in which</w:t>
      </w:r>
      <w:r w:rsidRPr="006B4DC5">
        <w:t xml:space="preserve"> alert messages are passed along from one entity to another – under tight technical tolerances required to ensure that the system functions properly </w:t>
      </w:r>
      <w:r>
        <w:t xml:space="preserve">– </w:t>
      </w:r>
      <w:r w:rsidRPr="006B4DC5">
        <w:t xml:space="preserve">EAS Participants </w:t>
      </w:r>
      <w:r>
        <w:t xml:space="preserve">currently </w:t>
      </w:r>
      <w:r w:rsidRPr="006B4DC5">
        <w:t>have a limited capacity to alter the content of the alert messages they receive</w:t>
      </w:r>
      <w:r>
        <w:t>, including translations of messages to alternate languages</w:t>
      </w:r>
      <w:r w:rsidRPr="006B4DC5">
        <w:t>.</w:t>
      </w:r>
      <w:r w:rsidRPr="006B4DC5">
        <w:rPr>
          <w:sz w:val="24"/>
          <w:szCs w:val="24"/>
        </w:rPr>
        <w:t xml:space="preserve"> </w:t>
      </w:r>
    </w:p>
    <w:p w:rsidR="00744B1B" w:rsidRPr="00240F09" w:rsidRDefault="00744B1B" w:rsidP="00744B1B">
      <w:pPr>
        <w:pStyle w:val="ParaNum"/>
        <w:numPr>
          <w:ilvl w:val="0"/>
          <w:numId w:val="8"/>
        </w:numPr>
        <w:tabs>
          <w:tab w:val="left" w:pos="1440"/>
        </w:tabs>
        <w:spacing w:before="120"/>
        <w:ind w:left="0" w:firstLine="720"/>
        <w:rPr>
          <w:sz w:val="20"/>
        </w:rPr>
      </w:pPr>
      <w:r w:rsidRPr="00F52F5F">
        <w:t xml:space="preserve">In particular, the EAS </w:t>
      </w:r>
      <w:r w:rsidRPr="00DA5E67">
        <w:t xml:space="preserve">header codes, End-of-Message code, and </w:t>
      </w:r>
      <w:r w:rsidRPr="00F52F5F">
        <w:t>audio message</w:t>
      </w:r>
      <w:r w:rsidRPr="00DA5E67">
        <w:t xml:space="preserve"> (if included) that comprise any given EAS alert a</w:t>
      </w:r>
      <w:r w:rsidRPr="00F52F5F">
        <w:t>re determined by the entity that originates the alert (typically, the NWS or state and local emergency management authorities).</w:t>
      </w:r>
      <w:r>
        <w:rPr>
          <w:rStyle w:val="FootnoteReference"/>
        </w:rPr>
        <w:footnoteReference w:id="18"/>
      </w:r>
      <w:r w:rsidRPr="00F52F5F">
        <w:t xml:space="preserve">  </w:t>
      </w:r>
      <w:r w:rsidRPr="00DA5E67">
        <w:t>The EAS equipment of EAS Participants that receive the EAS alert convert the header codes into visual crawls</w:t>
      </w:r>
      <w:r>
        <w:rPr>
          <w:rStyle w:val="FootnoteReference"/>
        </w:rPr>
        <w:footnoteReference w:id="19"/>
      </w:r>
      <w:r w:rsidRPr="00DA5E67">
        <w:t xml:space="preserve"> and broadcast the audio</w:t>
      </w:r>
      <w:r>
        <w:rPr>
          <w:rStyle w:val="FootnoteReference"/>
        </w:rPr>
        <w:footnoteReference w:id="20"/>
      </w:r>
      <w:r w:rsidRPr="00DA5E67">
        <w:t xml:space="preserve"> </w:t>
      </w:r>
      <w:r w:rsidRPr="006B4DC5">
        <w:t>–</w:t>
      </w:r>
      <w:r w:rsidRPr="00DA5E67">
        <w:t xml:space="preserve"> if the EAS Participant’s broadcasts are monitored by downstream stations, it will re-encode (regenerate) the alert so as to trigger EAS equipment in such monitoring stations, thus perpetuating the daisy chain alert distribution cycle.  All of </w:t>
      </w:r>
      <w:r w:rsidRPr="008959E5">
        <w:t>these functions are</w:t>
      </w:r>
      <w:r w:rsidRPr="00DA5E67">
        <w:t xml:space="preserve"> typically done automatically.  In terms of timing, state and local EAS alerts are required to be broadcast within 15 minutes of receipt, and the alert messages themselves are </w:t>
      </w:r>
      <w:r w:rsidRPr="008959E5">
        <w:t xml:space="preserve">typically </w:t>
      </w:r>
      <w:r w:rsidRPr="00DA5E67">
        <w:t>limited to a duration of two minutes.</w:t>
      </w:r>
      <w:r>
        <w:rPr>
          <w:rStyle w:val="FootnoteReference"/>
        </w:rPr>
        <w:footnoteReference w:id="21"/>
      </w:r>
      <w:r w:rsidRPr="00DA5E67">
        <w:t xml:space="preserve">  </w:t>
      </w:r>
      <w:r>
        <w:t>A</w:t>
      </w:r>
      <w:r w:rsidRPr="00DA5E67">
        <w:t xml:space="preserve">n EAS Participant seeking to broadcast a non-English language translation of the audio message contained in the EAS alert message it receives within the parameters of the EAS rules, would have to </w:t>
      </w:r>
      <w:r>
        <w:t xml:space="preserve">manually (1) </w:t>
      </w:r>
      <w:r w:rsidRPr="00DA5E67">
        <w:t>ensure the entire length of the alert</w:t>
      </w:r>
      <w:r>
        <w:t>,</w:t>
      </w:r>
      <w:r w:rsidRPr="00DA5E67">
        <w:t xml:space="preserve"> including the translated audio portion</w:t>
      </w:r>
      <w:r>
        <w:t>,</w:t>
      </w:r>
      <w:r w:rsidRPr="00DA5E67">
        <w:t xml:space="preserve"> did not exceed two minutes, and </w:t>
      </w:r>
      <w:r>
        <w:t xml:space="preserve">(2) </w:t>
      </w:r>
      <w:r w:rsidRPr="00DA5E67">
        <w:t>complete the translation and insertion processes within 15 minutes</w:t>
      </w:r>
      <w:r>
        <w:t>.</w:t>
      </w:r>
      <w:r>
        <w:rPr>
          <w:rStyle w:val="FootnoteReference"/>
        </w:rPr>
        <w:footnoteReference w:id="22"/>
      </w:r>
      <w:r w:rsidRPr="00DA5E67">
        <w:t xml:space="preserve">  Further, any such audio generated by that EAS Participant would be captured by downstream stations monitoring its broadcasts, thus raising the potential for the translated audio being rebroadcast (by the monitoring stations) to unintended audiences</w:t>
      </w:r>
      <w:r>
        <w:t xml:space="preserve">.  The same timing elements would hold true for the visual portion of the alert, which under the legacy system is a </w:t>
      </w:r>
      <w:r w:rsidRPr="008959E5">
        <w:t>textual</w:t>
      </w:r>
      <w:r>
        <w:t xml:space="preserve"> rendition of the location, event, time period and other relevant header code elements.    </w:t>
      </w:r>
    </w:p>
    <w:p w:rsidR="00744B1B" w:rsidRPr="0001741C" w:rsidRDefault="00744B1B" w:rsidP="00744B1B">
      <w:pPr>
        <w:pStyle w:val="ParaNum"/>
        <w:numPr>
          <w:ilvl w:val="0"/>
          <w:numId w:val="8"/>
        </w:numPr>
        <w:tabs>
          <w:tab w:val="left" w:pos="1440"/>
        </w:tabs>
        <w:spacing w:before="120"/>
        <w:ind w:left="0" w:firstLine="720"/>
        <w:rPr>
          <w:sz w:val="20"/>
        </w:rPr>
      </w:pPr>
      <w:r w:rsidRPr="007F6264">
        <w:t xml:space="preserve">Although EAS Participants currently </w:t>
      </w:r>
      <w:r w:rsidRPr="00AA7137">
        <w:t>have limited capacity to alter the alert message content they receive, the Part 11 rules allow EAS Participants that provide non-English language programming to broadcast state and local EAS announcements in the primary language of the EAS Participant.</w:t>
      </w:r>
      <w:r>
        <w:rPr>
          <w:rStyle w:val="FootnoteReference"/>
        </w:rPr>
        <w:footnoteReference w:id="23"/>
      </w:r>
      <w:r w:rsidRPr="007F6264">
        <w:t xml:space="preserve">  </w:t>
      </w:r>
      <w:r w:rsidRPr="00AA7137">
        <w:t>Accordingly, non-English language EAS Participants may, for example, broadcast required visual crawls</w:t>
      </w:r>
      <w:r>
        <w:t xml:space="preserve"> </w:t>
      </w:r>
      <w:r w:rsidRPr="00AA7137">
        <w:t>in their primary language and include in such crawls translations of other language(s), if their equipment permits.</w:t>
      </w:r>
      <w:r>
        <w:rPr>
          <w:rStyle w:val="FootnoteReference"/>
        </w:rPr>
        <w:footnoteReference w:id="24"/>
      </w:r>
      <w:r w:rsidRPr="007F6264">
        <w:t xml:space="preserve">  Further, CAP provides alert originators with the capab</w:t>
      </w:r>
      <w:r w:rsidRPr="00AA7137">
        <w:t xml:space="preserve">ility to provide </w:t>
      </w:r>
      <w:r>
        <w:t>both</w:t>
      </w:r>
      <w:r w:rsidRPr="00AA7137">
        <w:t xml:space="preserve"> enhanced text concerning an emergency condition (such as where to seek shelter) </w:t>
      </w:r>
      <w:r>
        <w:t xml:space="preserve">and </w:t>
      </w:r>
      <w:r w:rsidRPr="00AA7137">
        <w:t>multiple translations of such text.</w:t>
      </w:r>
      <w:r>
        <w:rPr>
          <w:rStyle w:val="FootnoteReference"/>
        </w:rPr>
        <w:footnoteReference w:id="25"/>
      </w:r>
      <w:r w:rsidRPr="007F6264">
        <w:t xml:space="preserve">  </w:t>
      </w:r>
      <w:r w:rsidRPr="00AA7137">
        <w:t>The Commission also permits, but does not require, EAS Participants to utilize Text-to-Speech (TTS) software, if configured in their EAS equipment, to generate multiple language audio translations of enhance</w:t>
      </w:r>
      <w:r>
        <w:t>d</w:t>
      </w:r>
      <w:r w:rsidRPr="007F6264">
        <w:t xml:space="preserve"> text con</w:t>
      </w:r>
      <w:r w:rsidRPr="00AA7137">
        <w:t>tained in a CAP alert message.</w:t>
      </w:r>
      <w:r>
        <w:rPr>
          <w:rStyle w:val="FootnoteReference"/>
        </w:rPr>
        <w:footnoteReference w:id="26"/>
      </w:r>
      <w:r w:rsidRPr="007F6264">
        <w:t xml:space="preserve">  Accordingly, there are mechanisms in place currently to distribute multi</w:t>
      </w:r>
      <w:r w:rsidRPr="00AA7137">
        <w:t xml:space="preserve">lingual EAS </w:t>
      </w:r>
      <w:r>
        <w:t>alerts</w:t>
      </w:r>
      <w:r w:rsidRPr="00AA7137">
        <w:t>.</w:t>
      </w:r>
      <w:r>
        <w:rPr>
          <w:rStyle w:val="FootnoteReference"/>
        </w:rPr>
        <w:footnoteReference w:id="27"/>
      </w:r>
      <w:r w:rsidRPr="007F6264">
        <w:t xml:space="preserve"> </w:t>
      </w:r>
    </w:p>
    <w:p w:rsidR="00744B1B" w:rsidRPr="00F52F5F" w:rsidRDefault="00744B1B" w:rsidP="00744B1B">
      <w:pPr>
        <w:pStyle w:val="ParaNum"/>
        <w:numPr>
          <w:ilvl w:val="0"/>
          <w:numId w:val="8"/>
        </w:numPr>
        <w:tabs>
          <w:tab w:val="left" w:pos="1440"/>
        </w:tabs>
        <w:spacing w:before="120"/>
        <w:ind w:left="0" w:firstLine="720"/>
        <w:rPr>
          <w:sz w:val="20"/>
        </w:rPr>
      </w:pPr>
      <w:r w:rsidRPr="007F6264">
        <w:t>In adopting rules to facilitate CAP alerting</w:t>
      </w:r>
      <w:r w:rsidRPr="00412DD1">
        <w:t xml:space="preserve"> in the </w:t>
      </w:r>
      <w:r w:rsidRPr="00DD49BF">
        <w:rPr>
          <w:i/>
        </w:rPr>
        <w:t>Fifth Report and Order</w:t>
      </w:r>
      <w:r w:rsidRPr="007F6264">
        <w:t>, the Commis</w:t>
      </w:r>
      <w:r w:rsidRPr="00412DD1">
        <w:t>sion concluded that it was necessary to maintain the legacy EAS alert distribution architecture.</w:t>
      </w:r>
      <w:r>
        <w:rPr>
          <w:rStyle w:val="FootnoteReference"/>
        </w:rPr>
        <w:footnoteReference w:id="28"/>
      </w:r>
      <w:r w:rsidRPr="007F6264">
        <w:t xml:space="preserve">  T</w:t>
      </w:r>
      <w:r w:rsidRPr="00412DD1">
        <w:t>he Commission therefore limited the CAP-related changes it made to the Part 11 EAS rules to ensuring that EAS Participants’ EAS equipment will be capable of receiving and converting CAP-formatted messages into a</w:t>
      </w:r>
      <w:r>
        <w:t>n</w:t>
      </w:r>
      <w:r w:rsidRPr="00412DD1">
        <w:t xml:space="preserve"> E</w:t>
      </w:r>
      <w:r>
        <w:t>AS Protocol</w:t>
      </w:r>
      <w:r w:rsidRPr="00412DD1">
        <w:t>-compliant message.</w:t>
      </w:r>
      <w:r>
        <w:rPr>
          <w:rStyle w:val="FootnoteReference"/>
        </w:rPr>
        <w:footnoteReference w:id="29"/>
      </w:r>
      <w:r w:rsidRPr="007F6264">
        <w:t xml:space="preserve">  In taking this approach, the Commission observed that the legacy</w:t>
      </w:r>
      <w:r w:rsidRPr="00412DD1">
        <w:t xml:space="preserve"> EAS architecture provided certain inherent oper</w:t>
      </w:r>
      <w:r w:rsidRPr="00F52F5F">
        <w:t>a</w:t>
      </w:r>
      <w:r w:rsidRPr="00412DD1">
        <w:t>tional benefits, including a robust capability to provide the public with alerts even after damage to the electrical power grid, and that replacing this legacy system altogether was both premature and technically unfeasible.</w:t>
      </w:r>
      <w:r>
        <w:rPr>
          <w:rStyle w:val="FootnoteReference"/>
        </w:rPr>
        <w:footnoteReference w:id="30"/>
      </w:r>
      <w:r w:rsidRPr="007F6264">
        <w:t xml:space="preserve">  The Commission also observed that its approach to CAP and its CAP EAS rules were co</w:t>
      </w:r>
      <w:r w:rsidRPr="00F52F5F">
        <w:t>n</w:t>
      </w:r>
      <w:r w:rsidRPr="00412DD1">
        <w:t>sistent with FEMA’s efforts to integrate the EAS with IPAWS.</w:t>
      </w:r>
      <w:r>
        <w:rPr>
          <w:rStyle w:val="FootnoteReference"/>
        </w:rPr>
        <w:footnoteReference w:id="31"/>
      </w:r>
      <w:r w:rsidRPr="007F6264">
        <w:t xml:space="preserve">  </w:t>
      </w:r>
      <w:r w:rsidRPr="00412DD1">
        <w:t>Accordingly, while CAP greatly e</w:t>
      </w:r>
      <w:r w:rsidRPr="00F52F5F">
        <w:t>x</w:t>
      </w:r>
      <w:r w:rsidRPr="00412DD1">
        <w:t>pands the scope of information that alert originators can distribute directly to EAS Participants, the legacy EAS remains the backbone for distributing information between EAS Participants via the daisy chain pr</w:t>
      </w:r>
      <w:r w:rsidRPr="00F52F5F">
        <w:t>o</w:t>
      </w:r>
      <w:r w:rsidRPr="00412DD1">
        <w:t>cess.</w:t>
      </w:r>
    </w:p>
    <w:p w:rsidR="00744B1B" w:rsidRPr="00930B58" w:rsidRDefault="00744B1B" w:rsidP="00744B1B">
      <w:pPr>
        <w:pStyle w:val="ParaNum"/>
        <w:numPr>
          <w:ilvl w:val="0"/>
          <w:numId w:val="8"/>
        </w:numPr>
        <w:tabs>
          <w:tab w:val="left" w:pos="1440"/>
        </w:tabs>
        <w:spacing w:before="120"/>
        <w:ind w:left="0" w:firstLine="720"/>
      </w:pPr>
      <w:r>
        <w:t xml:space="preserve">As indicated, state and local emergency management authorities use the EAS to originate state and localized emergency alert messages.  </w:t>
      </w:r>
      <w:r w:rsidRPr="00EE3C6C">
        <w:t xml:space="preserve">Section 11.21 of the EAS rules requires that </w:t>
      </w:r>
      <w:r>
        <w:t xml:space="preserve">state and local EAS operations must be described in </w:t>
      </w:r>
      <w:r w:rsidRPr="00EE3C6C">
        <w:t>State (and Local) EAS Plans</w:t>
      </w:r>
      <w:r>
        <w:t>, which must</w:t>
      </w:r>
      <w:r w:rsidRPr="00EE3C6C">
        <w:t xml:space="preserve"> be submitted to the Commission for approval so that the Commission can ensure that </w:t>
      </w:r>
      <w:r>
        <w:t>these</w:t>
      </w:r>
      <w:r w:rsidRPr="00EE3C6C">
        <w:t xml:space="preserve"> operations are consistent with national plans, FCC regulations, and </w:t>
      </w:r>
      <w:r>
        <w:t xml:space="preserve">national </w:t>
      </w:r>
      <w:r w:rsidRPr="00EE3C6C">
        <w:t>EAS operation</w:t>
      </w:r>
      <w:r>
        <w:t>s</w:t>
      </w:r>
      <w:r w:rsidRPr="00EE3C6C">
        <w:t>.</w:t>
      </w:r>
      <w:r w:rsidRPr="00EE3C6C">
        <w:rPr>
          <w:rStyle w:val="FootnoteReference"/>
        </w:rPr>
        <w:footnoteReference w:id="32"/>
      </w:r>
      <w:r w:rsidRPr="00EE3C6C">
        <w:t xml:space="preserve">  State EAS Plans are compiled and maintained by SECCs, and include information related to </w:t>
      </w:r>
      <w:r>
        <w:t>s</w:t>
      </w:r>
      <w:r w:rsidRPr="00EE3C6C">
        <w:t>tate and federal activations of the EAS.</w:t>
      </w:r>
      <w:r w:rsidRPr="00EE3C6C">
        <w:rPr>
          <w:rStyle w:val="FootnoteReference"/>
        </w:rPr>
        <w:footnoteReference w:id="33"/>
      </w:r>
    </w:p>
    <w:p w:rsidR="00744B1B" w:rsidRPr="007F6264" w:rsidRDefault="00744B1B" w:rsidP="00744B1B">
      <w:pPr>
        <w:pStyle w:val="Heading2"/>
      </w:pPr>
      <w:bookmarkStart w:id="47" w:name="_Toc405557604"/>
      <w:bookmarkStart w:id="48" w:name="_Toc405557714"/>
      <w:bookmarkStart w:id="49" w:name="_Toc405557979"/>
      <w:bookmarkStart w:id="50" w:name="_Toc405558259"/>
      <w:bookmarkStart w:id="51" w:name="_Toc405558635"/>
      <w:r w:rsidRPr="007F6264">
        <w:t>The Petition</w:t>
      </w:r>
      <w:bookmarkEnd w:id="47"/>
      <w:bookmarkEnd w:id="48"/>
      <w:bookmarkEnd w:id="49"/>
      <w:bookmarkEnd w:id="50"/>
      <w:bookmarkEnd w:id="51"/>
    </w:p>
    <w:p w:rsidR="00744B1B" w:rsidRDefault="00744B1B" w:rsidP="00744B1B">
      <w:pPr>
        <w:pStyle w:val="ParaNum"/>
        <w:widowControl/>
        <w:numPr>
          <w:ilvl w:val="0"/>
          <w:numId w:val="8"/>
        </w:numPr>
        <w:tabs>
          <w:tab w:val="left" w:pos="1440"/>
        </w:tabs>
        <w:spacing w:before="120"/>
        <w:ind w:left="0" w:firstLine="720"/>
      </w:pPr>
      <w:r>
        <w:t>The Petition proposes five modifications to the Commission’s Part 11 rules to “provide for the dissemination of multilingual local, state and national emergency information via the EAS.”</w:t>
      </w:r>
      <w:r>
        <w:rPr>
          <w:rStyle w:val="FootnoteReference"/>
        </w:rPr>
        <w:footnoteReference w:id="34"/>
      </w:r>
      <w:r w:rsidRPr="007F6264">
        <w:t xml:space="preserve">  Specifically:</w:t>
      </w:r>
    </w:p>
    <w:p w:rsidR="00744B1B" w:rsidRDefault="00744B1B" w:rsidP="00744B1B">
      <w:pPr>
        <w:pStyle w:val="ListParagraph"/>
        <w:numPr>
          <w:ilvl w:val="1"/>
          <w:numId w:val="14"/>
        </w:numPr>
        <w:tabs>
          <w:tab w:val="left" w:pos="1440"/>
        </w:tabs>
        <w:autoSpaceDE w:val="0"/>
      </w:pPr>
      <w:r>
        <w:t>“[M]odify Section 11.14 of the EAS rules to provide that the 34 PEP stations would air all Presidential level messages in both English and Spanish”;</w:t>
      </w:r>
    </w:p>
    <w:p w:rsidR="00744B1B" w:rsidRDefault="00744B1B" w:rsidP="00744B1B">
      <w:pPr>
        <w:pStyle w:val="ListParagraph"/>
        <w:numPr>
          <w:ilvl w:val="1"/>
          <w:numId w:val="14"/>
        </w:numPr>
        <w:tabs>
          <w:tab w:val="left" w:pos="1440"/>
        </w:tabs>
        <w:autoSpaceDE w:val="0"/>
      </w:pPr>
      <w:r>
        <w:t>“[M]odify Section 11.18(b) of the EAS rules to include a [“]Local Primary Spanish” (“LP-S”) designation and provide that state and local EAS plans would designate an LP-S station in each of the local areas in which an LP-1 has been designated”;</w:t>
      </w:r>
    </w:p>
    <w:p w:rsidR="00744B1B" w:rsidRDefault="00744B1B" w:rsidP="00744B1B">
      <w:pPr>
        <w:pStyle w:val="ListParagraph"/>
        <w:numPr>
          <w:ilvl w:val="1"/>
          <w:numId w:val="14"/>
        </w:numPr>
        <w:tabs>
          <w:tab w:val="left" w:pos="1440"/>
        </w:tabs>
        <w:autoSpaceDE w:val="0"/>
      </w:pPr>
      <w:r>
        <w:t>“[M]odify Section 11.18(b) of the EAS rules to include a [“]Local Primary Multilingual” (“LP-M”) designation in local areas where a substantial proportion of the population has its primary fluency in a language other than English or Spanish”;</w:t>
      </w:r>
    </w:p>
    <w:p w:rsidR="00744B1B" w:rsidRDefault="00744B1B" w:rsidP="00744B1B">
      <w:pPr>
        <w:pStyle w:val="ListParagraph"/>
        <w:numPr>
          <w:ilvl w:val="1"/>
          <w:numId w:val="14"/>
        </w:numPr>
        <w:tabs>
          <w:tab w:val="left" w:pos="1440"/>
        </w:tabs>
        <w:autoSpaceDE w:val="0"/>
      </w:pPr>
      <w:r>
        <w:t>“[M]odify Section 11.52(d) of the EAS rules to provide that at least one broadcast station in every market would monitor and rebroadcast emergency information carried by local LP-S and LP-M stations”; and</w:t>
      </w:r>
    </w:p>
    <w:p w:rsidR="00744B1B" w:rsidRDefault="00744B1B" w:rsidP="00744B1B">
      <w:pPr>
        <w:pStyle w:val="ListParagraph"/>
        <w:widowControl/>
        <w:numPr>
          <w:ilvl w:val="1"/>
          <w:numId w:val="14"/>
        </w:numPr>
        <w:tabs>
          <w:tab w:val="left" w:pos="1440"/>
        </w:tabs>
        <w:autoSpaceDE w:val="0"/>
        <w:ind w:left="1627"/>
      </w:pPr>
      <w:r>
        <w:t>“[M]odify Section 11.52(d) of the EAS rules to specify that if during an emergency a local LP-S or LP-M station[] loses its transmission capability, stations remaining on the air should broadcast emergency information in the affected languages (at least as part of their broadcasts) until the affected LP-S or LP-M station is restored to the air.”</w:t>
      </w:r>
      <w:r>
        <w:rPr>
          <w:rStyle w:val="FootnoteReference"/>
        </w:rPr>
        <w:footnoteReference w:id="35"/>
      </w:r>
      <w:r>
        <w:rPr>
          <w:rStyle w:val="FootnoteReference"/>
        </w:rPr>
        <w:t xml:space="preserve"> </w:t>
      </w:r>
    </w:p>
    <w:p w:rsidR="00744B1B" w:rsidRDefault="00744B1B" w:rsidP="00744B1B">
      <w:pPr>
        <w:autoSpaceDE w:val="0"/>
      </w:pPr>
    </w:p>
    <w:p w:rsidR="00744B1B" w:rsidRDefault="00744B1B" w:rsidP="00744B1B">
      <w:pPr>
        <w:autoSpaceDE w:val="0"/>
      </w:pPr>
      <w:r>
        <w:t>Petitioners also request that the Commission “should encourage all broadcasters to assist LP-S or LP-M stations that have been damaged during an emergency to return to the air as soon as possible.”</w:t>
      </w:r>
      <w:r>
        <w:rPr>
          <w:rStyle w:val="FootnoteReference"/>
        </w:rPr>
        <w:t xml:space="preserve"> </w:t>
      </w:r>
      <w:r>
        <w:rPr>
          <w:rStyle w:val="FootnoteReference"/>
        </w:rPr>
        <w:footnoteReference w:id="36"/>
      </w:r>
      <w:r>
        <w:t xml:space="preserve">  Petitioners subsequently referred to these proposals as the “Designated Hitter” model.</w:t>
      </w:r>
      <w:r>
        <w:rPr>
          <w:rStyle w:val="FootnoteReference"/>
        </w:rPr>
        <w:footnoteReference w:id="37"/>
      </w:r>
    </w:p>
    <w:p w:rsidR="00744B1B" w:rsidRDefault="00744B1B" w:rsidP="00744B1B">
      <w:pPr>
        <w:pStyle w:val="ParaNum"/>
        <w:numPr>
          <w:ilvl w:val="0"/>
          <w:numId w:val="8"/>
        </w:numPr>
        <w:tabs>
          <w:tab w:val="left" w:pos="1440"/>
        </w:tabs>
        <w:spacing w:before="120"/>
        <w:ind w:left="0" w:firstLine="720"/>
      </w:pPr>
      <w:r>
        <w:t xml:space="preserve">Subsequently, </w:t>
      </w:r>
      <w:r w:rsidRPr="007F6264">
        <w:t xml:space="preserve">MMTC has submitted various comments and </w:t>
      </w:r>
      <w:r w:rsidRPr="00252FCA">
        <w:t>ex parte</w:t>
      </w:r>
      <w:r>
        <w:t xml:space="preserve"> filings subsequent to the Petition’s filing that explicate its positions on the Petition and, more generally, multilingual emergency alerts and information.  For example, in 2010, MMTC stated that “the problem today is receiving information in-language during and after an emergency.”</w:t>
      </w:r>
      <w:r>
        <w:rPr>
          <w:rStyle w:val="FootnoteReference"/>
        </w:rPr>
        <w:footnoteReference w:id="38"/>
      </w:r>
      <w:r>
        <w:t xml:space="preserve">  </w:t>
      </w:r>
      <w:r w:rsidRPr="007F6264">
        <w:t xml:space="preserve">More recently, </w:t>
      </w:r>
      <w:r>
        <w:t>MMTC stated that the Commission should require “broadcasters to work together, and with state and market counterparts, to develop a plan that communicates each party’s responsibility based on likely contingencies.”</w:t>
      </w:r>
      <w:r>
        <w:rPr>
          <w:rStyle w:val="FootnoteReference"/>
        </w:rPr>
        <w:footnoteReference w:id="39"/>
      </w:r>
      <w:r>
        <w:t xml:space="preserve">  </w:t>
      </w:r>
      <w:r w:rsidRPr="007F6264">
        <w:t>MMTC asserted that “[s]uch a plan could be modeled after the current EAS structure that could include a designated hitter approach to identify which stations would step in to broadcast multili</w:t>
      </w:r>
      <w:r>
        <w:t>ngual information if the original non-English speaking station was knocked off air in the wake of a disaster.”</w:t>
      </w:r>
      <w:r>
        <w:rPr>
          <w:rStyle w:val="FootnoteReference"/>
        </w:rPr>
        <w:footnoteReference w:id="40"/>
      </w:r>
    </w:p>
    <w:p w:rsidR="00744B1B" w:rsidRDefault="00744B1B" w:rsidP="00744B1B">
      <w:pPr>
        <w:pStyle w:val="Heading2"/>
      </w:pPr>
      <w:bookmarkStart w:id="52" w:name="_Toc405557605"/>
      <w:bookmarkStart w:id="53" w:name="_Toc405557715"/>
      <w:bookmarkStart w:id="54" w:name="_Toc405557980"/>
      <w:bookmarkStart w:id="55" w:name="_Toc405558260"/>
      <w:bookmarkStart w:id="56" w:name="_Toc405558636"/>
      <w:r w:rsidRPr="007F6264">
        <w:t>Procedural History</w:t>
      </w:r>
      <w:bookmarkEnd w:id="52"/>
      <w:bookmarkEnd w:id="53"/>
      <w:bookmarkEnd w:id="54"/>
      <w:bookmarkEnd w:id="55"/>
      <w:bookmarkEnd w:id="56"/>
    </w:p>
    <w:p w:rsidR="00744B1B" w:rsidRDefault="00744B1B" w:rsidP="00744B1B">
      <w:pPr>
        <w:pStyle w:val="ParaNum"/>
        <w:numPr>
          <w:ilvl w:val="0"/>
          <w:numId w:val="8"/>
        </w:numPr>
        <w:tabs>
          <w:tab w:val="left" w:pos="1440"/>
        </w:tabs>
        <w:spacing w:before="120"/>
        <w:ind w:left="0" w:firstLine="720"/>
      </w:pPr>
      <w:bookmarkStart w:id="57" w:name="_Toc280195526"/>
      <w:bookmarkStart w:id="58" w:name="_Ref7921604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D7808">
        <w:t xml:space="preserve">The Commission formally sought comment on the Petition in the </w:t>
      </w:r>
      <w:r w:rsidRPr="006D7808">
        <w:rPr>
          <w:i/>
        </w:rPr>
        <w:t>First Report and Order and Further Notice of Proposed Rulemaking</w:t>
      </w:r>
      <w:r w:rsidRPr="006D7808">
        <w:t>,</w:t>
      </w:r>
      <w:r>
        <w:rPr>
          <w:rStyle w:val="FootnoteReference"/>
        </w:rPr>
        <w:footnoteReference w:id="41"/>
      </w:r>
      <w:r w:rsidRPr="007F6264">
        <w:t xml:space="preserve"> asking, among other things, how the Petition’s</w:t>
      </w:r>
      <w:r w:rsidRPr="006D7808">
        <w:t xml:space="preserve"> proposals could be implemented</w:t>
      </w:r>
      <w:r>
        <w:t xml:space="preserve"> </w:t>
      </w:r>
      <w:r w:rsidRPr="00412DD1">
        <w:t>and inviting comment on any other proposals regarding how best to provide alerts to non-Englis</w:t>
      </w:r>
      <w:r>
        <w:t>h speakers</w:t>
      </w:r>
      <w:r w:rsidRPr="007F6264">
        <w:t>.</w:t>
      </w:r>
      <w:r>
        <w:rPr>
          <w:rStyle w:val="FootnoteReference"/>
        </w:rPr>
        <w:footnoteReference w:id="42"/>
      </w:r>
      <w:r>
        <w:t xml:space="preserve">  </w:t>
      </w:r>
      <w:r w:rsidRPr="007F6264">
        <w:t>The Commission received five comments and reply comments addressing the Petition specifically, all of which (except for those filed by MMTC) opposed the Petition’s proposals.</w:t>
      </w:r>
      <w:r>
        <w:rPr>
          <w:rStyle w:val="FootnoteReference"/>
        </w:rPr>
        <w:footnoteReference w:id="43"/>
      </w:r>
      <w:r>
        <w:t xml:space="preserve">  </w:t>
      </w:r>
      <w:r w:rsidRPr="007F6264">
        <w:t>With respect to multilingual alerting generally, the majority of comments addressing this issue contended that responsibility for issuing multilingual alerts should rest with alert message originators, and that it would be impractical and unduly burdensome</w:t>
      </w:r>
      <w:r w:rsidRPr="006D7808">
        <w:t xml:space="preserve"> for EAS Participants to translate, transcribe or otherwise effect multilingual alerting at their facilities.</w:t>
      </w:r>
      <w:r>
        <w:rPr>
          <w:rStyle w:val="FootnoteReference"/>
        </w:rPr>
        <w:footnoteReference w:id="44"/>
      </w:r>
    </w:p>
    <w:p w:rsidR="00744B1B" w:rsidRDefault="00744B1B" w:rsidP="00744B1B">
      <w:pPr>
        <w:pStyle w:val="ParaNum"/>
        <w:numPr>
          <w:ilvl w:val="0"/>
          <w:numId w:val="8"/>
        </w:numPr>
        <w:tabs>
          <w:tab w:val="left" w:pos="1440"/>
        </w:tabs>
        <w:spacing w:before="120"/>
        <w:ind w:left="0" w:firstLine="720"/>
      </w:pPr>
      <w:r w:rsidRPr="007F6264">
        <w:t xml:space="preserve">The Commission subsequently took up the Petition in the </w:t>
      </w:r>
      <w:r w:rsidRPr="007F6264">
        <w:rPr>
          <w:i/>
        </w:rPr>
        <w:t>Second Report and Order</w:t>
      </w:r>
      <w:r>
        <w:t>.</w:t>
      </w:r>
      <w:r>
        <w:rPr>
          <w:rStyle w:val="FootnoteReference"/>
        </w:rPr>
        <w:footnoteReference w:id="45"/>
      </w:r>
      <w:r>
        <w:t xml:space="preserve">  Specifically</w:t>
      </w:r>
      <w:r w:rsidRPr="007F6264">
        <w:t xml:space="preserve">, the Commission </w:t>
      </w:r>
      <w:r>
        <w:t>observed</w:t>
      </w:r>
      <w:r w:rsidRPr="007F6264">
        <w:t xml:space="preserve"> that “Petitioners’ request is broader than the formal EAS structure</w:t>
      </w:r>
      <w:r>
        <w:t>.</w:t>
      </w:r>
      <w:r w:rsidRPr="007F6264">
        <w:t>”</w:t>
      </w:r>
      <w:r>
        <w:rPr>
          <w:rStyle w:val="FootnoteReference"/>
        </w:rPr>
        <w:footnoteReference w:id="46"/>
      </w:r>
      <w:r w:rsidRPr="007F6264">
        <w:t xml:space="preserve">  In the Further Notice </w:t>
      </w:r>
      <w:r>
        <w:t>portion of</w:t>
      </w:r>
      <w:r w:rsidRPr="007F6264">
        <w:t xml:space="preserve"> the </w:t>
      </w:r>
      <w:r w:rsidRPr="007F6264">
        <w:rPr>
          <w:i/>
        </w:rPr>
        <w:t>Second Report and Order,</w:t>
      </w:r>
      <w:r>
        <w:t xml:space="preserve"> the Commission sought more general comment on the technical, economic, practical, and legal issues involved in making emergency information accessible to persons whose primary language is not English.</w:t>
      </w:r>
      <w:r>
        <w:rPr>
          <w:rStyle w:val="FootnoteReference"/>
        </w:rPr>
        <w:footnoteReference w:id="47"/>
      </w:r>
      <w:r w:rsidRPr="007F6264">
        <w:t xml:space="preserve">  T</w:t>
      </w:r>
      <w:r>
        <w:t>he majority of responding</w:t>
      </w:r>
      <w:r w:rsidRPr="00DF3FF0">
        <w:t xml:space="preserve"> </w:t>
      </w:r>
      <w:r>
        <w:t>comments again opposed any obligation on EAS Participants to supply non-English alerts, contending that responsibility for issuing multilingual alerts should rest with alert message originators, and that it would be impractical for EAS Participants to effect multilingual alerting at their facilities.</w:t>
      </w:r>
      <w:r>
        <w:rPr>
          <w:rStyle w:val="FootnoteReference"/>
        </w:rPr>
        <w:footnoteReference w:id="48"/>
      </w:r>
    </w:p>
    <w:p w:rsidR="00744B1B" w:rsidRDefault="00744B1B" w:rsidP="00744B1B">
      <w:pPr>
        <w:pStyle w:val="ParaNum"/>
        <w:numPr>
          <w:ilvl w:val="0"/>
          <w:numId w:val="8"/>
        </w:numPr>
        <w:tabs>
          <w:tab w:val="left" w:pos="1440"/>
        </w:tabs>
        <w:spacing w:before="120"/>
        <w:ind w:left="0" w:firstLine="720"/>
      </w:pPr>
      <w:r w:rsidRPr="007F6264">
        <w:t xml:space="preserve">On March 25, 2010, the Bureau released the </w:t>
      </w:r>
      <w:r w:rsidRPr="007F6264">
        <w:rPr>
          <w:i/>
        </w:rPr>
        <w:t>Part 11 Public Notice</w:t>
      </w:r>
      <w:r>
        <w:t>, which sought comment regarding what changes to the Part 11 rules might be needed to fully implement the obligation to process CAP-formatted alerts.</w:t>
      </w:r>
      <w:r w:rsidRPr="00DF02B1">
        <w:rPr>
          <w:rStyle w:val="FootnoteReference"/>
        </w:rPr>
        <w:footnoteReference w:id="49"/>
      </w:r>
      <w:r w:rsidRPr="007F6264">
        <w:t xml:space="preserve">  Although the </w:t>
      </w:r>
      <w:r w:rsidRPr="007F6264">
        <w:rPr>
          <w:i/>
        </w:rPr>
        <w:t>Part 11 Public Notice</w:t>
      </w:r>
      <w:r w:rsidRPr="007F6264">
        <w:t xml:space="preserve"> did not seek comment specifically on the Petition, the Bureau invited comment generally on “what rules changes, if any, are necessary to our Part 11 rules to ensure access to a CAP-based EAS by people . . . who do not speak English.”</w:t>
      </w:r>
      <w:r w:rsidRPr="00DF02B1">
        <w:rPr>
          <w:rStyle w:val="FootnoteReference"/>
        </w:rPr>
        <w:footnoteReference w:id="50"/>
      </w:r>
      <w:r w:rsidRPr="00DF02B1">
        <w:rPr>
          <w:rFonts w:ascii="TimesNewRoman" w:hAnsi="TimesNewRoman"/>
          <w:color w:val="010101"/>
        </w:rPr>
        <w:t xml:space="preserve">  </w:t>
      </w:r>
      <w:r w:rsidRPr="007F6264">
        <w:t>Again, the vast majority of comments addressing this issue contended that alert message originators must be r</w:t>
      </w:r>
      <w:r>
        <w:t>esponsible for providing the alert in the languages of the area being alerted.</w:t>
      </w:r>
      <w:r>
        <w:rPr>
          <w:rStyle w:val="FootnoteReference"/>
        </w:rPr>
        <w:footnoteReference w:id="51"/>
      </w:r>
      <w:r w:rsidRPr="007F6264">
        <w:t xml:space="preserve">  For its part, MMTC argued that CAP “does not provide the comprehensive information pe</w:t>
      </w:r>
      <w:r>
        <w:t>ople need in an emergency – how to seek shelter; where to find food; when it is safe to return; how to be safe upon returning; where to obtain medical assistance; how to find missing loved ones[,]” adding, “[o]nly local terrestrial radio’s regular programming is suited to perform that vital function.”</w:t>
      </w:r>
      <w:r w:rsidRPr="00DF02B1">
        <w:rPr>
          <w:rStyle w:val="FootnoteReference"/>
        </w:rPr>
        <w:footnoteReference w:id="52"/>
      </w:r>
      <w:r w:rsidRPr="00DF02B1">
        <w:rPr>
          <w:color w:val="000000"/>
        </w:rPr>
        <w:t xml:space="preserve">  </w:t>
      </w:r>
      <w:r w:rsidRPr="007F6264">
        <w:t>MMTC therefore again requested that the Commis</w:t>
      </w:r>
      <w:r>
        <w:t>sion implement the Petition.</w:t>
      </w:r>
      <w:r w:rsidRPr="00DF02B1">
        <w:rPr>
          <w:rStyle w:val="FootnoteReference"/>
        </w:rPr>
        <w:footnoteReference w:id="53"/>
      </w:r>
    </w:p>
    <w:p w:rsidR="00744B1B" w:rsidRDefault="00744B1B" w:rsidP="00744B1B">
      <w:pPr>
        <w:pStyle w:val="ParaNum"/>
        <w:numPr>
          <w:ilvl w:val="0"/>
          <w:numId w:val="8"/>
        </w:numPr>
        <w:tabs>
          <w:tab w:val="left" w:pos="1440"/>
        </w:tabs>
        <w:spacing w:before="120"/>
        <w:ind w:left="0" w:firstLine="720"/>
      </w:pPr>
      <w:r w:rsidRPr="007F6264">
        <w:t xml:space="preserve">On March 11, 2014, the Bureau released the </w:t>
      </w:r>
      <w:r>
        <w:rPr>
          <w:i/>
        </w:rPr>
        <w:t>2014 Public Notice</w:t>
      </w:r>
      <w:r>
        <w:t>,</w:t>
      </w:r>
      <w:r>
        <w:rPr>
          <w:rStyle w:val="FootnoteReference"/>
        </w:rPr>
        <w:footnoteReference w:id="54"/>
      </w:r>
      <w:r w:rsidRPr="007F6264">
        <w:t xml:space="preserve"> which sought to refresh the record on the Petition</w:t>
      </w:r>
      <w:r>
        <w:t xml:space="preserve"> initiated by the </w:t>
      </w:r>
      <w:r w:rsidRPr="00B1194C">
        <w:rPr>
          <w:i/>
        </w:rPr>
        <w:t>First Report and Order and Further Notice of Proposed Rulemaking</w:t>
      </w:r>
      <w:r w:rsidRPr="00412DD1">
        <w:t xml:space="preserve">, by, </w:t>
      </w:r>
      <w:r>
        <w:t>among other things</w:t>
      </w:r>
      <w:r w:rsidRPr="00F52F5F">
        <w:t>, requesting updates on the state of multilingual EAS alerts and other possible solutions by which the Commission could facilitate multilingual EAS alerts</w:t>
      </w:r>
      <w:r w:rsidRPr="0001741C">
        <w:t>.</w:t>
      </w:r>
      <w:r>
        <w:rPr>
          <w:rStyle w:val="FootnoteReference"/>
        </w:rPr>
        <w:footnoteReference w:id="55"/>
      </w:r>
      <w:r w:rsidRPr="007F6264">
        <w:t xml:space="preserve">  The Bureau </w:t>
      </w:r>
      <w:r>
        <w:t xml:space="preserve">also </w:t>
      </w:r>
      <w:r w:rsidRPr="007F6264">
        <w:t xml:space="preserve">sought </w:t>
      </w:r>
      <w:r>
        <w:t xml:space="preserve">updated </w:t>
      </w:r>
      <w:r w:rsidRPr="007F6264">
        <w:t>comment on the specific proposals in the Petition as well as</w:t>
      </w:r>
      <w:r>
        <w:t xml:space="preserve"> on</w:t>
      </w:r>
      <w:r w:rsidRPr="007F6264">
        <w:t xml:space="preserve"> MMTC’s proposal, articulated in its December 12, 2013, </w:t>
      </w:r>
      <w:r w:rsidRPr="00252FCA">
        <w:t>ex parte</w:t>
      </w:r>
      <w:r>
        <w:t xml:space="preserve"> letter, that broadcast stations within any given market be required to enter into emergency communications plans to support each other in the case of an emergency.</w:t>
      </w:r>
      <w:r>
        <w:rPr>
          <w:rStyle w:val="FootnoteReference"/>
        </w:rPr>
        <w:footnoteReference w:id="56"/>
      </w:r>
      <w:r w:rsidRPr="007F6264">
        <w:t xml:space="preserve">  While all respondents generally supported the goals of the Petition, EAS Participant respondents opposed the me</w:t>
      </w:r>
      <w:r>
        <w:t>thods proposed to achieve them.  NAB argued that the circumstances that underpinned the Petition no longer apply and that State EAS Plans are inappropriate vehicles for implementing any policy concerning emergency communications plans.</w:t>
      </w:r>
      <w:r>
        <w:rPr>
          <w:rStyle w:val="FootnoteReference"/>
        </w:rPr>
        <w:footnoteReference w:id="57"/>
      </w:r>
      <w:r w:rsidRPr="007F6264">
        <w:t xml:space="preserve">  NAB also observed, for </w:t>
      </w:r>
      <w:r>
        <w:t>example, that the Commission’s establishment in 2007 of the Disaster Information Reporting System (DIRS)</w:t>
      </w:r>
      <w:r>
        <w:rPr>
          <w:rStyle w:val="FootnoteReference"/>
        </w:rPr>
        <w:footnoteReference w:id="58"/>
      </w:r>
      <w:r w:rsidRPr="007F6264">
        <w:t xml:space="preserve"> has provided a mechanism for sta</w:t>
      </w:r>
      <w:r>
        <w:t>tions incapacitated by an emergency event to report their status and obtain relief.</w:t>
      </w:r>
      <w:r>
        <w:rPr>
          <w:rStyle w:val="FootnoteReference"/>
        </w:rPr>
        <w:footnoteReference w:id="59"/>
      </w:r>
    </w:p>
    <w:p w:rsidR="00744B1B" w:rsidRDefault="00744B1B" w:rsidP="00744B1B">
      <w:pPr>
        <w:pStyle w:val="ParaNum"/>
        <w:widowControl/>
        <w:numPr>
          <w:ilvl w:val="0"/>
          <w:numId w:val="8"/>
        </w:numPr>
        <w:tabs>
          <w:tab w:val="left" w:pos="1440"/>
        </w:tabs>
        <w:spacing w:before="120"/>
        <w:ind w:left="0" w:firstLine="720"/>
      </w:pPr>
      <w:r w:rsidRPr="007F6264">
        <w:t>NAB and the Named State Broadcasters Associations (NSBA) opposed rules requiring the establishment of “emergency communications plans” in favor of locally-based, voluntary solutions.</w:t>
      </w:r>
      <w:r>
        <w:rPr>
          <w:rStyle w:val="FootnoteReference"/>
        </w:rPr>
        <w:footnoteReference w:id="60"/>
      </w:r>
      <w:r>
        <w:t xml:space="preserve">  </w:t>
      </w:r>
      <w:r w:rsidRPr="007F6264">
        <w:t>Several parties contended that EAS Participants simply pass through whatever alerts they receive from relevant emergency alert originators and, thus, responsibility for translating EAS alerts should rest with the alert originator.</w:t>
      </w:r>
      <w:r>
        <w:rPr>
          <w:rStyle w:val="FootnoteReference"/>
        </w:rPr>
        <w:footnoteReference w:id="61"/>
      </w:r>
    </w:p>
    <w:p w:rsidR="00744B1B" w:rsidRDefault="00744B1B" w:rsidP="00744B1B">
      <w:pPr>
        <w:pStyle w:val="ParaNum"/>
        <w:numPr>
          <w:ilvl w:val="0"/>
          <w:numId w:val="8"/>
        </w:numPr>
        <w:tabs>
          <w:tab w:val="left" w:pos="1440"/>
        </w:tabs>
        <w:spacing w:before="120"/>
        <w:ind w:left="0" w:firstLine="720"/>
      </w:pPr>
      <w:r w:rsidRPr="007F6264">
        <w:t>Non-EAS Participant parties supported MMTC’s goal of serving non-English speak</w:t>
      </w:r>
      <w:r>
        <w:t>ers, but either did not address or did not directly support the methods requested by the Petition.  For example, Asian Americans Advancing Justice (AAJC) supported “MMTC’s goal for broadcasters and authorities to develop plans to ensure that all Americans have a greater chance of receiving lifesaving information,” but urged the Commission to “do so in a realistic way that takes into account different operating situations stations are in and various resources available to them.”</w:t>
      </w:r>
      <w:r>
        <w:rPr>
          <w:rStyle w:val="FootnoteReference"/>
          <w:szCs w:val="24"/>
        </w:rPr>
        <w:footnoteReference w:id="62"/>
      </w:r>
      <w:r>
        <w:rPr>
          <w:szCs w:val="24"/>
        </w:rPr>
        <w:t xml:space="preserve">  </w:t>
      </w:r>
      <w:r w:rsidRPr="007F6264">
        <w:t xml:space="preserve">The Rehabilitation Engineering Research Center for Wireless Technologies </w:t>
      </w:r>
      <w:r>
        <w:t>(Wireless RERC) asserted that research associated with the 2011 national test of the EAS “revealed a need for EAS alerts and emergency information to be translated into American Sign Language (ASL).”</w:t>
      </w:r>
      <w:r>
        <w:rPr>
          <w:rStyle w:val="FootnoteReference"/>
        </w:rPr>
        <w:footnoteReference w:id="63"/>
      </w:r>
      <w:r w:rsidRPr="007F6264">
        <w:t xml:space="preserve">  FEMA supported “the work of MMTC to extend alerting to the non-English speaking Population” generally, and observed that alert originators can distribute multilin</w:t>
      </w:r>
      <w:r>
        <w:t>gual CAP alerts via IPAWS, but cautioned that some EAS equipment lack Text-to-Speech software to convert multilingual text in the CAP message into multilingual audio.</w:t>
      </w:r>
      <w:r>
        <w:rPr>
          <w:rStyle w:val="FootnoteReference"/>
        </w:rPr>
        <w:footnoteReference w:id="64"/>
      </w:r>
    </w:p>
    <w:p w:rsidR="00744B1B" w:rsidRDefault="00744B1B" w:rsidP="00744B1B">
      <w:pPr>
        <w:pStyle w:val="ParaNum"/>
        <w:widowControl/>
        <w:numPr>
          <w:ilvl w:val="0"/>
          <w:numId w:val="8"/>
        </w:numPr>
        <w:tabs>
          <w:tab w:val="left" w:pos="1440"/>
        </w:tabs>
        <w:spacing w:before="120"/>
        <w:ind w:left="0" w:firstLine="720"/>
      </w:pPr>
      <w:r w:rsidRPr="007F6264">
        <w:t>MMTC responded to objections that the Petition was inconsistent with the EAS a</w:t>
      </w:r>
      <w:r>
        <w:t>rchitecture by contending that while its proposals “include EAS alerts, the primary goal of [its emergency communications plan] proposal is to ensure broadcasters, in their capacity as public trustees, distribute emergency information before, during, and after an emergency in the languages understood by the communities they serve.”</w:t>
      </w:r>
      <w:r>
        <w:rPr>
          <w:rStyle w:val="FootnoteReference"/>
        </w:rPr>
        <w:footnoteReference w:id="65"/>
      </w:r>
      <w:r>
        <w:t xml:space="preserve">  </w:t>
      </w:r>
      <w:r w:rsidRPr="007F6264">
        <w:t>MMTC contended that translation technology “is not yet capable of capturing the nu</w:t>
      </w:r>
      <w:r>
        <w:t>ances of language through which critical information is transmitted, making it essential that a real person convey lifesaving information in a variety of languages,” and that “[u]nder the designated hitter model, multilingual messages should be translated at the point of origin or broadcast by a live person.”</w:t>
      </w:r>
      <w:r>
        <w:rPr>
          <w:rStyle w:val="FootnoteReference"/>
        </w:rPr>
        <w:footnoteReference w:id="66"/>
      </w:r>
      <w:r w:rsidRPr="007F6264">
        <w:t xml:space="preserve">  MMTC also contended that “[v]oluntary plans have not been put into place since Hurricane Katrina set this pro</w:t>
      </w:r>
      <w:r>
        <w:t>ceeding in motion,” and that “[n]one of the State EAS plans address multilingual EAS alerts.”</w:t>
      </w:r>
      <w:r>
        <w:rPr>
          <w:rStyle w:val="FootnoteReference"/>
        </w:rPr>
        <w:footnoteReference w:id="67"/>
      </w:r>
    </w:p>
    <w:p w:rsidR="00744B1B" w:rsidRDefault="00744B1B" w:rsidP="00744B1B">
      <w:pPr>
        <w:pStyle w:val="Heading1"/>
      </w:pPr>
      <w:bookmarkStart w:id="59" w:name="_Toc405557606"/>
      <w:bookmarkStart w:id="60" w:name="_Toc405557716"/>
      <w:bookmarkStart w:id="61" w:name="_Toc405557981"/>
      <w:bookmarkStart w:id="62" w:name="_Toc405558261"/>
      <w:bookmarkStart w:id="63" w:name="_Toc405558637"/>
      <w:r>
        <w:t>Discussion</w:t>
      </w:r>
      <w:bookmarkEnd w:id="59"/>
      <w:bookmarkEnd w:id="60"/>
      <w:bookmarkEnd w:id="61"/>
      <w:bookmarkEnd w:id="62"/>
      <w:bookmarkEnd w:id="63"/>
    </w:p>
    <w:p w:rsidR="00744B1B" w:rsidRPr="0001741C" w:rsidRDefault="00744B1B" w:rsidP="00744B1B">
      <w:pPr>
        <w:pStyle w:val="Heading2"/>
        <w:rPr>
          <w:caps/>
        </w:rPr>
      </w:pPr>
      <w:bookmarkStart w:id="64" w:name="_Toc405557607"/>
      <w:bookmarkStart w:id="65" w:name="_Toc405557717"/>
      <w:bookmarkStart w:id="66" w:name="_Toc405557982"/>
      <w:bookmarkStart w:id="67" w:name="_Toc405558262"/>
      <w:bookmarkStart w:id="68" w:name="_Toc405558638"/>
      <w:r w:rsidRPr="007F6264">
        <w:t>State EAS Plans Must Describe State Multilingual EAS Alerting Activities</w:t>
      </w:r>
      <w:bookmarkEnd w:id="64"/>
      <w:bookmarkEnd w:id="65"/>
      <w:bookmarkEnd w:id="66"/>
      <w:bookmarkEnd w:id="67"/>
      <w:bookmarkEnd w:id="68"/>
    </w:p>
    <w:p w:rsidR="00744B1B" w:rsidRDefault="00744B1B" w:rsidP="00744B1B">
      <w:pPr>
        <w:pStyle w:val="ParaNum"/>
        <w:numPr>
          <w:ilvl w:val="0"/>
          <w:numId w:val="8"/>
        </w:numPr>
        <w:tabs>
          <w:tab w:val="left" w:pos="1440"/>
        </w:tabs>
        <w:spacing w:before="120"/>
        <w:ind w:left="0" w:firstLine="720"/>
      </w:pPr>
      <w:r w:rsidRPr="007F6264">
        <w:t>Consistent with the record in this proceeding, we support the</w:t>
      </w:r>
      <w:r>
        <w:t xml:space="preserve"> </w:t>
      </w:r>
      <w:r w:rsidRPr="007F6264">
        <w:t>general goal of making emergency alert content distributed over the EAS more accessible to persons whose primary l</w:t>
      </w:r>
      <w:r>
        <w:t>anguage is not English  While providing multilingual translations of an EAS alert audio message as part of a state or local EAS alert that is processed in automated mode can only be effected by the alert originator, some capabilities do exist within the EAS structure for distributing non-English language translations of the alert content.  For example, the content of the EAS visual crawl information can be broadcast in various languages, if the EAS Participants’ EAS equipment has the capability to render such translations</w:t>
      </w:r>
      <w:r>
        <w:rPr>
          <w:rStyle w:val="FootnoteReference"/>
        </w:rPr>
        <w:footnoteReference w:id="68"/>
      </w:r>
      <w:r>
        <w:t xml:space="preserve"> and subject to the decoder reset time limit (typically, two minutes).  States and localities that have the capabilities to originate CAP-formatted alert messages have more flexibility to distribute EAS alerts – enhanced textual information and audio – in multiple languages.</w:t>
      </w:r>
      <w:r>
        <w:rPr>
          <w:rStyle w:val="FootnoteReference"/>
        </w:rPr>
        <w:footnoteReference w:id="69"/>
      </w:r>
      <w:r w:rsidRPr="007F6264">
        <w:t xml:space="preserve">  Moreover, states have always had the flexibility to implement state and local EAS alerting however they see fit, provided such implementations are consistent with the existing EAS technical and operational architecture and the Part 11 rules.  </w:t>
      </w:r>
      <w:r>
        <w:t>For example, a</w:t>
      </w:r>
      <w:r w:rsidRPr="007F6264">
        <w:t xml:space="preserve"> state, in cooperation with its EAS Participants, could arrange for EAS Partici</w:t>
      </w:r>
      <w:r>
        <w:t>pants in selected areas to run EAS visual crawls in multiple languages and possibly include a toll-free number and/or URL where additional information could be obtained in multiple languages (assuming that the EAS Participant’s EAS equipment had that capability).</w:t>
      </w:r>
      <w:r>
        <w:rPr>
          <w:rStyle w:val="FootnoteReference"/>
        </w:rPr>
        <w:footnoteReference w:id="70"/>
      </w:r>
    </w:p>
    <w:p w:rsidR="00744B1B" w:rsidRPr="003A1E0B" w:rsidRDefault="00744B1B" w:rsidP="00744B1B">
      <w:pPr>
        <w:pStyle w:val="ParaNum"/>
        <w:numPr>
          <w:ilvl w:val="0"/>
          <w:numId w:val="8"/>
        </w:numPr>
        <w:tabs>
          <w:tab w:val="left" w:pos="1440"/>
        </w:tabs>
        <w:spacing w:before="120"/>
        <w:ind w:left="0" w:firstLine="720"/>
      </w:pPr>
      <w:r>
        <w:t>W</w:t>
      </w:r>
      <w:r w:rsidRPr="007F6264">
        <w:t>e agree with the majority of commenters that alert originators are best</w:t>
      </w:r>
      <w:r w:rsidRPr="005D198D">
        <w:t xml:space="preserve"> positioned to effect multilingual alerting</w:t>
      </w:r>
      <w:r>
        <w:t>,</w:t>
      </w:r>
      <w:r w:rsidRPr="005D198D">
        <w:t xml:space="preserve"> since station operators simply pass down the EAS message as received within the allotted two minute timeframe and, by and large, do not have the necessary capabilities </w:t>
      </w:r>
      <w:r>
        <w:t xml:space="preserve">and/or time </w:t>
      </w:r>
      <w:r w:rsidRPr="007F6264">
        <w:t>to translate or originate that alert in another language.</w:t>
      </w:r>
      <w:r>
        <w:rPr>
          <w:rStyle w:val="FootnoteReference"/>
        </w:rPr>
        <w:footnoteReference w:id="71"/>
      </w:r>
      <w:r>
        <w:t xml:space="preserve">  </w:t>
      </w:r>
      <w:r w:rsidRPr="005D198D">
        <w:t xml:space="preserve">We observe that comments submitted in response to the </w:t>
      </w:r>
      <w:r w:rsidRPr="005D198D">
        <w:rPr>
          <w:i/>
        </w:rPr>
        <w:t>2014 Public Notice</w:t>
      </w:r>
      <w:r w:rsidRPr="005D198D">
        <w:t xml:space="preserve"> suggest that mandated “one size fits all” solutions to addressing the issue of multilingual EAS alert content and, more generally, non-EAS emergency information, may not account for the variance of key factors, such as the make-up of the local population, topography, etc., that applies in each market.</w:t>
      </w:r>
      <w:r>
        <w:rPr>
          <w:rStyle w:val="FootnoteReference"/>
        </w:rPr>
        <w:footnoteReference w:id="72"/>
      </w:r>
      <w:r w:rsidRPr="00C80758">
        <w:t xml:space="preserve">  </w:t>
      </w:r>
      <w:r w:rsidRPr="007F6264">
        <w:t xml:space="preserve">Rather, reliance by alert originators on </w:t>
      </w:r>
      <w:r w:rsidRPr="005D198D">
        <w:t>census data, community outreach and locally targeted demographic surveys will more appropriately dictate the particular multilingual needs and nuances of the listening area</w:t>
      </w:r>
      <w:r>
        <w:t xml:space="preserve"> – </w:t>
      </w:r>
      <w:r w:rsidRPr="005D198D">
        <w:t>nuances that cannot be properly assessed and addressed with an across</w:t>
      </w:r>
      <w:r>
        <w:t>-</w:t>
      </w:r>
      <w:r w:rsidRPr="005D198D">
        <w:t>the</w:t>
      </w:r>
      <w:r>
        <w:t>-</w:t>
      </w:r>
      <w:r w:rsidRPr="005D198D">
        <w:t>board mandate.</w:t>
      </w:r>
      <w:r>
        <w:rPr>
          <w:rStyle w:val="FootnoteReference"/>
        </w:rPr>
        <w:footnoteReference w:id="73"/>
      </w:r>
      <w:r>
        <w:t xml:space="preserve">  </w:t>
      </w:r>
      <w:r w:rsidRPr="007F6264">
        <w:t>Nor would such mandates account for the</w:t>
      </w:r>
      <w:r w:rsidRPr="005D198D">
        <w:t xml:space="preserve"> varying levels of resources available to EAS Participants to implement solutions.</w:t>
      </w:r>
      <w:r>
        <w:rPr>
          <w:rStyle w:val="FootnoteReference"/>
        </w:rPr>
        <w:footnoteReference w:id="74"/>
      </w:r>
      <w:r>
        <w:t xml:space="preserve">  </w:t>
      </w:r>
    </w:p>
    <w:p w:rsidR="00744B1B" w:rsidRDefault="00744B1B" w:rsidP="00744B1B">
      <w:pPr>
        <w:pStyle w:val="ParaNum"/>
        <w:numPr>
          <w:ilvl w:val="0"/>
          <w:numId w:val="8"/>
        </w:numPr>
        <w:tabs>
          <w:tab w:val="left" w:pos="1440"/>
        </w:tabs>
        <w:spacing w:before="120"/>
        <w:ind w:left="0" w:firstLine="720"/>
      </w:pPr>
      <w:r w:rsidRPr="007F6264">
        <w:t>We also observe, however, that State EAS Plans currently on file do not describe what actions the state or</w:t>
      </w:r>
      <w:r w:rsidRPr="00B36737">
        <w:t xml:space="preserve"> its localities, in conjunction with the EAS Participants therein, or the EAS Participants themselves, whether acting indiv</w:t>
      </w:r>
      <w:r w:rsidRPr="004807ED">
        <w:t>idually or collectively, are taking with respect to distributing EAS alert content to non-English speaking audiences.</w:t>
      </w:r>
      <w:r w:rsidRPr="00B36737">
        <w:rPr>
          <w:rStyle w:val="FootnoteReference"/>
        </w:rPr>
        <w:footnoteReference w:id="75"/>
      </w:r>
      <w:r w:rsidRPr="007F6264">
        <w:t xml:space="preserve">  Accordingly, to ensure that the Commission has sufficient and accurate information on any existing state and local mechanis</w:t>
      </w:r>
      <w:r w:rsidRPr="000053B6">
        <w:t>ms to distribute multilingual state and local EAS alert content, and more generally, to ensure that the issue of disseminating EAS alert content to non-English speaking audiences has been examined by EAS Participants and state and local emergency authorities, as coordinated by</w:t>
      </w:r>
      <w:r w:rsidRPr="0007168F">
        <w:t xml:space="preserve"> the SECC</w:t>
      </w:r>
      <w:r>
        <w:t>s</w:t>
      </w:r>
      <w:r w:rsidRPr="007F6264">
        <w:t>, we will require that State EAS Plans include a descrip</w:t>
      </w:r>
      <w:r w:rsidRPr="0007168F">
        <w:t>tion of what steps</w:t>
      </w:r>
      <w:r>
        <w:t>, if any,</w:t>
      </w:r>
      <w:r w:rsidRPr="0007168F">
        <w:t xml:space="preserve"> have been </w:t>
      </w:r>
      <w:r>
        <w:t xml:space="preserve">or will be </w:t>
      </w:r>
      <w:r w:rsidRPr="0007168F">
        <w:t>taken by EAS Participants, whether individually or in conjunction with state and local emergency authorities, to disseminate</w:t>
      </w:r>
      <w:r>
        <w:t>,</w:t>
      </w:r>
      <w:r w:rsidRPr="0007168F">
        <w:t xml:space="preserve"> broadcast, or otherwise make available, EAS alert content to non-English speaking audiences in such audiences’ primary language</w:t>
      </w:r>
      <w:r>
        <w:t xml:space="preserve">.  Such descriptions shall </w:t>
      </w:r>
      <w:r w:rsidRPr="00412DD1">
        <w:t>i</w:t>
      </w:r>
      <w:r w:rsidRPr="00F52F5F">
        <w:t>n</w:t>
      </w:r>
      <w:r w:rsidRPr="00412DD1">
        <w:t>clud</w:t>
      </w:r>
      <w:r>
        <w:t>e</w:t>
      </w:r>
      <w:r w:rsidRPr="00412DD1">
        <w:t xml:space="preserve"> relevant factors that explain the degree to which alerts have been disseminated or broadcast in multiple languages</w:t>
      </w:r>
      <w:r w:rsidRPr="0007168F">
        <w:t>.</w:t>
      </w:r>
      <w:r w:rsidRPr="007F6264">
        <w:t xml:space="preserve">  As a corollary to this reporting requirement, we will require EAS Participants to cooperate with state and local emergency authorities, and SECCs, to identify such information.  We man</w:t>
      </w:r>
      <w:r w:rsidRPr="0007168F">
        <w:t xml:space="preserve">date no specific compliance method, but rather wish to provide the broadest flexibility to state and local governments and EAS </w:t>
      </w:r>
      <w:r w:rsidRPr="005B666E">
        <w:t>Participants</w:t>
      </w:r>
      <w:r w:rsidRPr="006F24C5">
        <w:t xml:space="preserve"> </w:t>
      </w:r>
      <w:r w:rsidRPr="00B822AF">
        <w:t>to describe any steps that have been taken to provide multilingual EAS Alerts</w:t>
      </w:r>
      <w:r>
        <w:t xml:space="preserve"> for their respective communities</w:t>
      </w:r>
      <w:r w:rsidRPr="00D57DAD">
        <w:t>.  This requirement may be fulfilled by indicating that no steps have been taken</w:t>
      </w:r>
      <w:r>
        <w:t>.</w:t>
      </w:r>
      <w:r w:rsidRPr="0007168F">
        <w:t xml:space="preserve">   </w:t>
      </w:r>
    </w:p>
    <w:p w:rsidR="00744B1B" w:rsidRPr="0007168F" w:rsidRDefault="00744B1B" w:rsidP="00744B1B">
      <w:pPr>
        <w:pStyle w:val="ParaNum"/>
        <w:numPr>
          <w:ilvl w:val="0"/>
          <w:numId w:val="8"/>
        </w:numPr>
        <w:tabs>
          <w:tab w:val="left" w:pos="1440"/>
        </w:tabs>
        <w:spacing w:before="120"/>
        <w:ind w:left="0" w:firstLine="720"/>
      </w:pPr>
      <w:r w:rsidRPr="0007168F">
        <w:t>In order that we may assess these efforts, we require EAS Participants to provide the following information to their respective SECCs, who in turn will include such information in the State EAS Plan submitted to the Commission for approval:</w:t>
      </w:r>
    </w:p>
    <w:p w:rsidR="00744B1B" w:rsidRPr="006D7808" w:rsidRDefault="00744B1B" w:rsidP="00744B1B">
      <w:pPr>
        <w:pStyle w:val="ParaNum"/>
        <w:numPr>
          <w:ilvl w:val="0"/>
          <w:numId w:val="13"/>
        </w:numPr>
        <w:tabs>
          <w:tab w:val="left" w:pos="1440"/>
        </w:tabs>
        <w:spacing w:before="120"/>
        <w:rPr>
          <w:bCs/>
          <w:color w:val="000000"/>
          <w:shd w:val="clear" w:color="auto" w:fill="FFFFFF"/>
        </w:rPr>
      </w:pPr>
      <w:r>
        <w:t>A</w:t>
      </w:r>
      <w:r w:rsidRPr="00E820E9">
        <w:t xml:space="preserve"> description of any actions taken by the EAS Participant (acting individually, in conjunction with other EAS </w:t>
      </w:r>
      <w:r w:rsidRPr="004952A4">
        <w:t>Participants in the geographic area, and/or in consultation with state and local emergency authorities), to make EAS alert content available in languages other than E</w:t>
      </w:r>
      <w:r w:rsidRPr="00507D5A">
        <w:t>nglish to its non-English speaking audience(s)</w:t>
      </w:r>
      <w:r>
        <w:t>;</w:t>
      </w:r>
      <w:r w:rsidRPr="006D7808">
        <w:rPr>
          <w:bCs/>
          <w:color w:val="000000"/>
          <w:shd w:val="clear" w:color="auto" w:fill="FFFFFF"/>
        </w:rPr>
        <w:t xml:space="preserve"> </w:t>
      </w:r>
    </w:p>
    <w:p w:rsidR="00744B1B" w:rsidRPr="006D7808" w:rsidRDefault="00744B1B" w:rsidP="00744B1B">
      <w:pPr>
        <w:pStyle w:val="ParaNum"/>
        <w:numPr>
          <w:ilvl w:val="0"/>
          <w:numId w:val="13"/>
        </w:numPr>
        <w:tabs>
          <w:tab w:val="left" w:pos="1440"/>
        </w:tabs>
        <w:spacing w:before="120"/>
        <w:rPr>
          <w:bCs/>
          <w:color w:val="000000"/>
          <w:shd w:val="clear" w:color="auto" w:fill="FFFFFF"/>
        </w:rPr>
      </w:pPr>
      <w:r>
        <w:t>A</w:t>
      </w:r>
      <w:r w:rsidRPr="004952A4">
        <w:t xml:space="preserve"> description of any future actions planned by the EAS Participant, in consultation with state and local emergency authorities, to provide EAS alert content in languages other than English to its n</w:t>
      </w:r>
      <w:r w:rsidRPr="00507D5A">
        <w:t xml:space="preserve">on-English speaking audience(s), </w:t>
      </w:r>
      <w:r>
        <w:t>along with an explanation for the EAS Participant’s decision to plan or not plan such actions;</w:t>
      </w:r>
      <w:r w:rsidRPr="006D7808">
        <w:rPr>
          <w:bCs/>
          <w:color w:val="000000"/>
          <w:shd w:val="clear" w:color="auto" w:fill="FFFFFF"/>
        </w:rPr>
        <w:t xml:space="preserve"> and </w:t>
      </w:r>
    </w:p>
    <w:p w:rsidR="00744B1B" w:rsidRPr="006D7808" w:rsidRDefault="00744B1B" w:rsidP="00744B1B">
      <w:pPr>
        <w:pStyle w:val="ParaNum"/>
        <w:numPr>
          <w:ilvl w:val="0"/>
          <w:numId w:val="13"/>
        </w:numPr>
        <w:tabs>
          <w:tab w:val="left" w:pos="1440"/>
        </w:tabs>
        <w:spacing w:before="120"/>
        <w:rPr>
          <w:bCs/>
          <w:color w:val="000000"/>
          <w:shd w:val="clear" w:color="auto" w:fill="FFFFFF"/>
        </w:rPr>
      </w:pPr>
      <w:r>
        <w:rPr>
          <w:bCs/>
          <w:color w:val="000000"/>
          <w:shd w:val="clear" w:color="auto" w:fill="FFFFFF"/>
        </w:rPr>
        <w:t>A</w:t>
      </w:r>
      <w:r w:rsidRPr="00DC2DA8">
        <w:rPr>
          <w:bCs/>
          <w:color w:val="000000"/>
          <w:shd w:val="clear" w:color="auto" w:fill="FFFFFF"/>
        </w:rPr>
        <w:t xml:space="preserve">ny other relevant information that the EAS Participant may wish to provide, including state-specific demographics on languages other than English spoken within the state, and identification of resources used or necessary to originate current or proposed multilingual EAS alert content.  </w:t>
      </w:r>
      <w:r>
        <w:rPr>
          <w:bCs/>
          <w:color w:val="000000"/>
          <w:shd w:val="clear" w:color="auto" w:fill="FFFFFF"/>
        </w:rPr>
        <w:t>In particular we urge EAS Participants and SECCs to include any pilot projects or other initiatives that involve translation technologies or other innovative approaches to providing non-English alerts and emergency information to the public.</w:t>
      </w:r>
    </w:p>
    <w:p w:rsidR="00744B1B" w:rsidRPr="007B5340" w:rsidRDefault="00744B1B" w:rsidP="00744B1B">
      <w:pPr>
        <w:pStyle w:val="ParaNum"/>
        <w:numPr>
          <w:ilvl w:val="0"/>
          <w:numId w:val="8"/>
        </w:numPr>
        <w:tabs>
          <w:tab w:val="left" w:pos="1440"/>
        </w:tabs>
        <w:spacing w:before="120"/>
        <w:ind w:left="0" w:firstLine="720"/>
      </w:pPr>
      <w:r w:rsidRPr="007F6264">
        <w:t xml:space="preserve">This information will enable the Commission to ensure that any existing multilingual EAS alerting activities </w:t>
      </w:r>
      <w:r>
        <w:t>are consistent with the</w:t>
      </w:r>
      <w:r w:rsidRPr="007F6264">
        <w:t xml:space="preserve"> Part 11 rules, and</w:t>
      </w:r>
      <w:r w:rsidRPr="00F92E26">
        <w:t xml:space="preserve"> may </w:t>
      </w:r>
      <w:r w:rsidRPr="005D1E35">
        <w:t>provide insight into what mechanisms may work best.  Similar</w:t>
      </w:r>
      <w:r w:rsidRPr="00B419F0">
        <w:t xml:space="preserve">ly, </w:t>
      </w:r>
      <w:r w:rsidRPr="00F92E26">
        <w:t xml:space="preserve">information identifying why multilingual EAS activities are not being </w:t>
      </w:r>
      <w:r>
        <w:t xml:space="preserve">planned </w:t>
      </w:r>
      <w:r w:rsidRPr="005D1E35">
        <w:t xml:space="preserve">may provide insight </w:t>
      </w:r>
      <w:r w:rsidRPr="00F92E26">
        <w:t>into structural impediments that might be ameliorated by future Commission or federal action</w:t>
      </w:r>
      <w:r w:rsidRPr="005D1E35">
        <w:t>,, if appropriate.  The collection and availability of this information also will aid states, EAS Participants, non-governmental organizations and other interested parties in their efforts</w:t>
      </w:r>
      <w:r w:rsidRPr="00B419F0">
        <w:t>, if any, to establish mechanisms for disseminating multilingual EAS content and other emergency information.  In terms of mechanics, we will require that</w:t>
      </w:r>
      <w:r w:rsidRPr="00F92E26">
        <w:t xml:space="preserve"> EAS Participants furnish the required information to SECCs no later than one year from the effective date of this order, and that all required information be </w:t>
      </w:r>
      <w:r w:rsidRPr="005D1E35">
        <w:t xml:space="preserve">compiled and summarized by the SECCs and included in or submitted as amendments to </w:t>
      </w:r>
      <w:r w:rsidRPr="00B419F0">
        <w:t>the State EAS Plans no later than six months after that.  We conclude that one year is sufficient time for EAS Participants to gather, prepare and submit the required information, as the vast majority of the required information is alr</w:t>
      </w:r>
      <w:r w:rsidRPr="003D1ECE">
        <w:t>eady in their possession as it is required in their regular course of business</w:t>
      </w:r>
      <w:r w:rsidRPr="00B419F0">
        <w:t>.  We further conclude that the integration of this data into a State EAS P</w:t>
      </w:r>
      <w:r w:rsidRPr="003D1ECE">
        <w:t xml:space="preserve">lan, either as an amendment or a new plan, is a largely administrative process for which six months should be sufficient.  </w:t>
      </w:r>
      <w:r w:rsidRPr="008D3C10">
        <w:t xml:space="preserve">In the event that there is a material change to any of the information that </w:t>
      </w:r>
      <w:r w:rsidRPr="006E3672">
        <w:t>EAS Participants are required to furnish their respective SECCs</w:t>
      </w:r>
      <w:r w:rsidRPr="007B5340">
        <w:t>, EAS Participants must, within 60 days of</w:t>
      </w:r>
      <w:r w:rsidRPr="002D00C5">
        <w:t xml:space="preserve"> the occurrence of such</w:t>
      </w:r>
      <w:r w:rsidRPr="0055286D">
        <w:t xml:space="preserve"> material change, submit </w:t>
      </w:r>
      <w:r>
        <w:t xml:space="preserve">aa </w:t>
      </w:r>
      <w:r w:rsidRPr="0055286D">
        <w:t>letter</w:t>
      </w:r>
      <w:r>
        <w:t xml:space="preserve"> </w:t>
      </w:r>
      <w:r w:rsidRPr="00E9191F">
        <w:t>to their respective SECCs</w:t>
      </w:r>
      <w:r>
        <w:t xml:space="preserve">, copying the Bureau, </w:t>
      </w:r>
      <w:r w:rsidRPr="000B7BA1">
        <w:t xml:space="preserve"> that describe such change.  We will require SECCs to incorporate the information in such</w:t>
      </w:r>
      <w:r w:rsidRPr="006E3672">
        <w:t xml:space="preserve"> letters as amendments </w:t>
      </w:r>
      <w:r w:rsidRPr="00F92E26">
        <w:t>to the State EAS Plans</w:t>
      </w:r>
      <w:r w:rsidRPr="005D1E35">
        <w:t xml:space="preserve"> on file with the Bureau. </w:t>
      </w:r>
    </w:p>
    <w:p w:rsidR="00744B1B" w:rsidRPr="0001741C" w:rsidRDefault="00744B1B" w:rsidP="00744B1B">
      <w:pPr>
        <w:pStyle w:val="ParaNum"/>
        <w:widowControl/>
        <w:numPr>
          <w:ilvl w:val="0"/>
          <w:numId w:val="8"/>
        </w:numPr>
        <w:tabs>
          <w:tab w:val="left" w:pos="1440"/>
        </w:tabs>
        <w:spacing w:before="120"/>
        <w:ind w:left="0" w:firstLine="720"/>
        <w:rPr>
          <w:sz w:val="20"/>
        </w:rPr>
      </w:pPr>
      <w:r>
        <w:t>Beyond this reporting requirement, w</w:t>
      </w:r>
      <w:r w:rsidRPr="00BD5AAA">
        <w:t>e are not requiring any particular outcome with respect to what is done to facilitate access to multilingual EAS alert content.  EAS Participants may conclude that no specific actions to facilitate access to multilingua</w:t>
      </w:r>
      <w:r w:rsidRPr="005D2428">
        <w:t>l EAS alert content is warranted or feasible in their area for any number of reasons.  On the other hand, the mere process of examining this issue in coordination with state and local emergency authorities may lead to implementation of mechanisms that would expand access to EAS alert content, if appropriate</w:t>
      </w:r>
      <w:r w:rsidRPr="00977041">
        <w:t>.</w:t>
      </w:r>
      <w:r>
        <w:t xml:space="preserve">  </w:t>
      </w:r>
      <w:r w:rsidRPr="00731C2A">
        <w:t>If EAS Participants wish to examine the extent to which their communities may contain an underserved non-English-speaking population, they may draw from any source to choose the methodologies and data necessary.</w:t>
      </w:r>
      <w:r>
        <w:t xml:space="preserve"> Such sources could include data and methodologies submitted by MMTC on January 21, 2016, as a fact-supplement and update to the Petition.</w:t>
      </w:r>
      <w:r>
        <w:rPr>
          <w:rStyle w:val="FootnoteReference"/>
        </w:rPr>
        <w:footnoteReference w:id="76"/>
      </w:r>
    </w:p>
    <w:p w:rsidR="00744B1B" w:rsidRPr="00F52F5F" w:rsidRDefault="00744B1B" w:rsidP="00744B1B">
      <w:pPr>
        <w:pStyle w:val="ParaNum"/>
        <w:widowControl/>
        <w:numPr>
          <w:ilvl w:val="0"/>
          <w:numId w:val="8"/>
        </w:numPr>
        <w:tabs>
          <w:tab w:val="left" w:pos="1440"/>
        </w:tabs>
        <w:spacing w:before="120"/>
        <w:ind w:left="0" w:firstLine="720"/>
        <w:rPr>
          <w:color w:val="000000"/>
          <w:sz w:val="20"/>
        </w:rPr>
      </w:pPr>
      <w:r w:rsidRPr="007F6264">
        <w:t xml:space="preserve">We believe that the compliance costs to EAS Participants of the rules we adopt today will </w:t>
      </w:r>
      <w:r>
        <w:t xml:space="preserve">be minimal, and largely </w:t>
      </w:r>
      <w:r w:rsidRPr="007F6264">
        <w:t xml:space="preserve">limited to internal administrative charges associated with drafting a brief statement, </w:t>
      </w:r>
      <w:r>
        <w:t xml:space="preserve">and </w:t>
      </w:r>
      <w:r w:rsidRPr="007F6264">
        <w:t>submitting that statement</w:t>
      </w:r>
      <w:r>
        <w:t>,</w:t>
      </w:r>
      <w:r w:rsidRPr="007A0DDA">
        <w:t xml:space="preserve"> </w:t>
      </w:r>
      <w:r>
        <w:t xml:space="preserve">and any </w:t>
      </w:r>
      <w:r w:rsidRPr="00412DD1">
        <w:t>other relevant information that the EAS Participant may wish to provide</w:t>
      </w:r>
      <w:r w:rsidRPr="007F6264">
        <w:t xml:space="preserve"> to their SECC for inclusion into</w:t>
      </w:r>
      <w:r w:rsidRPr="007A0DDA">
        <w:t xml:space="preserve"> the </w:t>
      </w:r>
      <w:r>
        <w:t xml:space="preserve">State </w:t>
      </w:r>
      <w:r w:rsidRPr="007A0DDA">
        <w:t xml:space="preserve">EAS Plan for the state in which the EAS Participant operates.  </w:t>
      </w:r>
      <w:r>
        <w:t xml:space="preserve">Based on the fact that virtually no parties responding to our various requests for comment on this matter have identified multilingual EAS activities currently in progress, we suspect that few EAS Participants are actually engaged in multilingual EAS activities.  It therefore seems likely that </w:t>
      </w:r>
      <w:r w:rsidRPr="00CB10D1">
        <w:t xml:space="preserve">the vast majority of </w:t>
      </w:r>
      <w:r w:rsidRPr="007F6264">
        <w:t xml:space="preserve">EAS Participants will need to submit nothing more than </w:t>
      </w:r>
      <w:r w:rsidRPr="007A0DDA">
        <w:t xml:space="preserve">a very brief statement to their SECC explaining </w:t>
      </w:r>
      <w:r w:rsidRPr="00412DD1">
        <w:t xml:space="preserve">their decision to plan or </w:t>
      </w:r>
      <w:r w:rsidRPr="007F6264">
        <w:t xml:space="preserve">not </w:t>
      </w:r>
      <w:r w:rsidRPr="00412DD1">
        <w:t>plan future actions</w:t>
      </w:r>
      <w:r w:rsidRPr="007A0DDA">
        <w:t xml:space="preserve"> </w:t>
      </w:r>
      <w:r w:rsidRPr="00412DD1">
        <w:t>to provide</w:t>
      </w:r>
      <w:r w:rsidRPr="007F6264">
        <w:t xml:space="preserve"> EAS alert content in languages other than English to their non-English speaking audi</w:t>
      </w:r>
      <w:r w:rsidRPr="007A0DDA">
        <w:t>ence(s).</w:t>
      </w:r>
    </w:p>
    <w:p w:rsidR="00744B1B" w:rsidRPr="005D527B" w:rsidRDefault="00744B1B" w:rsidP="00744B1B">
      <w:pPr>
        <w:pStyle w:val="ParaNum"/>
        <w:numPr>
          <w:ilvl w:val="0"/>
          <w:numId w:val="8"/>
        </w:numPr>
        <w:tabs>
          <w:tab w:val="left" w:pos="1440"/>
        </w:tabs>
        <w:spacing w:before="120"/>
        <w:ind w:left="0" w:firstLine="720"/>
        <w:rPr>
          <w:color w:val="000000"/>
        </w:rPr>
      </w:pPr>
      <w:r w:rsidRPr="00C92ECF">
        <w:t>For the presumably small percentage of EAS Participants that actually are engaged in multilingual EAS activities, the filing will merely require that they supply</w:t>
      </w:r>
      <w:r w:rsidRPr="007F6264">
        <w:t xml:space="preserve"> a summary of actions they al</w:t>
      </w:r>
      <w:r w:rsidRPr="00C92ECF">
        <w:t xml:space="preserve">ready </w:t>
      </w:r>
      <w:r>
        <w:t xml:space="preserve">have </w:t>
      </w:r>
      <w:r w:rsidRPr="00C92ECF">
        <w:t>take</w:t>
      </w:r>
      <w:r>
        <w:t>n</w:t>
      </w:r>
      <w:r w:rsidRPr="00C92ECF">
        <w:t xml:space="preserve"> in this regard.  </w:t>
      </w:r>
      <w:r>
        <w:t>Because w</w:t>
      </w:r>
      <w:r w:rsidRPr="00412DD1">
        <w:t xml:space="preserve">e anticipate that the </w:t>
      </w:r>
      <w:r>
        <w:t xml:space="preserve">aggregate </w:t>
      </w:r>
      <w:r w:rsidRPr="00412DD1">
        <w:t>costs ass</w:t>
      </w:r>
      <w:r w:rsidRPr="00F52F5F">
        <w:t>o</w:t>
      </w:r>
      <w:r w:rsidRPr="00412DD1">
        <w:t xml:space="preserve">ciated with requiring EAS Participants to file </w:t>
      </w:r>
      <w:r>
        <w:t xml:space="preserve">summary statements or </w:t>
      </w:r>
      <w:r w:rsidRPr="00C92ECF">
        <w:t xml:space="preserve">activities </w:t>
      </w:r>
      <w:r>
        <w:t xml:space="preserve">reports </w:t>
      </w:r>
      <w:r w:rsidRPr="007F6264">
        <w:t xml:space="preserve">would </w:t>
      </w:r>
      <w:r>
        <w:t xml:space="preserve">be minimal, the </w:t>
      </w:r>
      <w:r w:rsidRPr="00CB10D1">
        <w:t xml:space="preserve">potential </w:t>
      </w:r>
      <w:r>
        <w:t xml:space="preserve">benefits of </w:t>
      </w:r>
      <w:r w:rsidRPr="005D527B">
        <w:t xml:space="preserve">promoting the delivery of alerts to </w:t>
      </w:r>
      <w:r>
        <w:t>t</w:t>
      </w:r>
      <w:r w:rsidRPr="005D527B">
        <w:t>hose who communicate in a language other than English or may have a limited understanding of the English language</w:t>
      </w:r>
      <w:r>
        <w:t xml:space="preserve"> will far exceed those costs imposed.</w:t>
      </w:r>
      <w:r w:rsidRPr="00A37FF3">
        <w:rPr>
          <w:rStyle w:val="FootnoteReference"/>
        </w:rPr>
        <w:footnoteReference w:id="77"/>
      </w:r>
    </w:p>
    <w:p w:rsidR="00744B1B" w:rsidRPr="00731C2A" w:rsidRDefault="00744B1B" w:rsidP="00744B1B">
      <w:pPr>
        <w:pStyle w:val="ParaNum"/>
        <w:numPr>
          <w:ilvl w:val="0"/>
          <w:numId w:val="8"/>
        </w:numPr>
        <w:tabs>
          <w:tab w:val="left" w:pos="1440"/>
        </w:tabs>
        <w:spacing w:before="120"/>
        <w:ind w:left="0" w:firstLine="720"/>
      </w:pPr>
      <w:r w:rsidRPr="00731C2A">
        <w:t>With regard to these benefits, we find that accurately understanding how the EAS is accessible to the entire public, including those who do not have a proficiency in English, will strengthen this already resilient public alert and warning tool in a manner that may help save lives and protect property during times of national, state, regional, and local emergencies.</w:t>
      </w:r>
      <w:r w:rsidRPr="00731C2A">
        <w:rPr>
          <w:rStyle w:val="FootnoteReference"/>
        </w:rPr>
        <w:footnoteReference w:id="78"/>
      </w:r>
      <w:r w:rsidRPr="00731C2A">
        <w:t xml:space="preserve">  To the extent that the reports suggest that these audiences are not receiving critical emergency information, the Commission and/or state and local EAS planning authorities can assess, if appropriate, what further steps should be taken.  Further, the information that we request today will enhance the transparency of state decision-making in this arena, thus helping consumers to understand the level of multilingual alerting in their communities, and allowing the public to better target specific requests for improvements.</w:t>
      </w:r>
    </w:p>
    <w:p w:rsidR="00744B1B" w:rsidRPr="00731C2A" w:rsidRDefault="00744B1B" w:rsidP="00744B1B">
      <w:pPr>
        <w:pStyle w:val="ParaNum"/>
        <w:widowControl/>
        <w:numPr>
          <w:ilvl w:val="0"/>
          <w:numId w:val="8"/>
        </w:numPr>
        <w:tabs>
          <w:tab w:val="left" w:pos="1440"/>
        </w:tabs>
        <w:spacing w:before="120"/>
        <w:ind w:left="0" w:firstLine="720"/>
      </w:pPr>
      <w:r w:rsidRPr="00731C2A">
        <w:t>While MMTC has objected to reliance on voluntary mechanisms for disseminating non-English emergency information,</w:t>
      </w:r>
      <w:r w:rsidRPr="00731C2A">
        <w:rPr>
          <w:rStyle w:val="FootnoteReference"/>
        </w:rPr>
        <w:footnoteReference w:id="79"/>
      </w:r>
      <w:r w:rsidRPr="00731C2A">
        <w:t xml:space="preserve"> state involvement in the EAS is itself voluntary, as is participation in state and local EAS systems by EAS Participants.  As a result, any action we take with respect to state and local EAS alert information is inherently voluntary in nature.  Beyond that, the determinative factors in disseminating non-English EAS alert content are largely localized (e.g., local area population demographics) and contingent upon EAS Participant and state and local EAS facility capabilities.  We find that making determinations in light of these factors, which will vary from locality to locality, is best rendered by the EAS Participants and state and local emergency authorities that occupy this space.  Our approach facilitates coordination and evaluation in the context of EAS alert content, and while we are not mandating the development of a “plan of action,” we believe these activities will make it more likely that such plans may result, if appropriate.  Moreover, adopting a one-size-fits-all mandate, apart from being impractical, if not impossible, would undermine state and local efforts to administer their state and local EAS systems in ways they deem most efficient and beneficial to their jurisdictions.</w:t>
      </w:r>
    </w:p>
    <w:p w:rsidR="00744B1B" w:rsidRPr="00397936" w:rsidRDefault="00744B1B" w:rsidP="00744B1B">
      <w:pPr>
        <w:pStyle w:val="ParaNum"/>
        <w:widowControl/>
        <w:numPr>
          <w:ilvl w:val="0"/>
          <w:numId w:val="8"/>
        </w:numPr>
        <w:tabs>
          <w:tab w:val="left" w:pos="1440"/>
        </w:tabs>
        <w:spacing w:before="120"/>
        <w:ind w:left="0" w:firstLine="720"/>
        <w:rPr>
          <w:sz w:val="20"/>
        </w:rPr>
      </w:pPr>
      <w:r w:rsidRPr="00731C2A">
        <w:t>NAB has argued that “state EAS plans are inappropriate vehicles for implementing any policy concerning emergency communications plans,”</w:t>
      </w:r>
      <w:r w:rsidRPr="00731C2A">
        <w:rPr>
          <w:rStyle w:val="FootnoteReference"/>
        </w:rPr>
        <w:footnoteReference w:id="80"/>
      </w:r>
      <w:r w:rsidRPr="00731C2A">
        <w:t xml:space="preserve"> </w:t>
      </w:r>
      <w:r>
        <w:t xml:space="preserve">but </w:t>
      </w:r>
      <w:r w:rsidRPr="007F6264">
        <w:t>that is not what we are doing here.  Again, we are only requiring that whatever ac</w:t>
      </w:r>
      <w:r>
        <w:t xml:space="preserve">tions are being taken by EAS Participants, both individually and in conjunction with state and/or local emergency alerting authorities, </w:t>
      </w:r>
      <w:r w:rsidRPr="00412DD1">
        <w:t>along with the relevant factors explai</w:t>
      </w:r>
      <w:r w:rsidRPr="00F52F5F">
        <w:t>n</w:t>
      </w:r>
      <w:r w:rsidRPr="00412DD1">
        <w:t>ing such actions</w:t>
      </w:r>
      <w:r w:rsidRPr="007F6264">
        <w:t>, are reported in the State EAS Plan.  As indicated, this informa</w:t>
      </w:r>
      <w:r>
        <w:t>tion will both allow the Commission to confirm that any such actions will not undermine</w:t>
      </w:r>
      <w:r w:rsidRPr="007F6264">
        <w:t xml:space="preserve"> national EAS operations, and provide a basis for the Commission to more acc</w:t>
      </w:r>
      <w:r>
        <w:t xml:space="preserve">urately assess </w:t>
      </w:r>
      <w:r w:rsidRPr="00394B9B">
        <w:t xml:space="preserve">multilingual </w:t>
      </w:r>
      <w:r w:rsidRPr="00DA0A1D">
        <w:t>alerting</w:t>
      </w:r>
      <w:r w:rsidRPr="001A2D3F">
        <w:t>.</w:t>
      </w:r>
    </w:p>
    <w:p w:rsidR="00744B1B" w:rsidRPr="00F52F5F" w:rsidRDefault="00744B1B" w:rsidP="00744B1B">
      <w:pPr>
        <w:pStyle w:val="ParaNum"/>
        <w:widowControl/>
        <w:numPr>
          <w:ilvl w:val="0"/>
          <w:numId w:val="8"/>
        </w:numPr>
        <w:tabs>
          <w:tab w:val="left" w:pos="1440"/>
        </w:tabs>
        <w:spacing w:before="120"/>
        <w:ind w:left="0" w:firstLine="720"/>
        <w:rPr>
          <w:kern w:val="3"/>
        </w:rPr>
      </w:pPr>
      <w:r w:rsidRPr="006105FF">
        <w:t>NSBA argued that “[t]he State Associations would regard any Commission-imposed obligation that a sta</w:t>
      </w:r>
      <w:r w:rsidRPr="00F52F5F">
        <w:rPr>
          <w:kern w:val="3"/>
        </w:rPr>
        <w:t>tion report, at renewal time or otherwise, whether it broadcasts emergency information in a language other than the language of its general format, as an ‘indirect’ requirement to be avoided,” and that “[s]uch reporting would be tantamount to the government imposing a direct speech requirement in violation of a station’s First Amendment rights.”</w:t>
      </w:r>
      <w:r>
        <w:rPr>
          <w:rStyle w:val="FootnoteReference"/>
        </w:rPr>
        <w:footnoteReference w:id="81"/>
      </w:r>
      <w:r w:rsidRPr="006105FF">
        <w:t xml:space="preserve">  </w:t>
      </w:r>
      <w:r w:rsidRPr="00F52F5F">
        <w:rPr>
          <w:kern w:val="3"/>
        </w:rPr>
        <w:t xml:space="preserve">We believe that NSBA’s constitutional objections are without merit.  The reporting requirement we are adopting today involves simple disclosure of factual information about the EAS Participant’s performance of a public safety endeavor that it has voluntarily undertaken.  We are not dictating any content, and we question the impact of this requirement on the EAS Participants’ speech, particularly since we have provided no consequence arising from their reported activities (or lack thereof).  Whatever slight impact or burden this requirement may have is outweighed by </w:t>
      </w:r>
      <w:r w:rsidRPr="009279F6">
        <w:rPr>
          <w:color w:val="000000"/>
        </w:rPr>
        <w:t>the public safety interest in Federal, state and local governments knowing what actions are being taken to disseminate alerts to multilingual audiences in times of emergencies so that they can take further steps, if appropriate, to improve access by non-English speaking consumers if the emergency alerting authorities determine these consumers are not receiving critical emergency information.  In this regard, the Supreme Court has held that similar disclosure requirements do not violate the First Amendment.</w:t>
      </w:r>
      <w:r w:rsidRPr="009279F6">
        <w:rPr>
          <w:color w:val="000000"/>
          <w:vertAlign w:val="superscript"/>
        </w:rPr>
        <w:footnoteReference w:id="82"/>
      </w:r>
      <w:r w:rsidRPr="009279F6">
        <w:rPr>
          <w:color w:val="000000"/>
        </w:rPr>
        <w:t xml:space="preserve">  Thus, we reject NSBA’s argument. </w:t>
      </w:r>
    </w:p>
    <w:p w:rsidR="00744B1B" w:rsidRDefault="00744B1B" w:rsidP="00744B1B">
      <w:pPr>
        <w:pStyle w:val="ParaNum"/>
        <w:widowControl/>
        <w:numPr>
          <w:ilvl w:val="0"/>
          <w:numId w:val="8"/>
        </w:numPr>
        <w:tabs>
          <w:tab w:val="left" w:pos="1440"/>
        </w:tabs>
        <w:spacing w:before="120"/>
        <w:ind w:left="0" w:firstLine="720"/>
      </w:pPr>
      <w:r>
        <w:t>Finally, o</w:t>
      </w:r>
      <w:r w:rsidRPr="007F6264">
        <w:t xml:space="preserve">ur decision here is limited to EAS content – </w:t>
      </w:r>
      <w:r w:rsidRPr="00397936">
        <w:t>i.e</w:t>
      </w:r>
      <w:r w:rsidRPr="00A37FF3">
        <w:rPr>
          <w:i/>
        </w:rPr>
        <w:t>.</w:t>
      </w:r>
      <w:r>
        <w:t>, information that is formatted in the EAS Protocol or CAP and processed over existing EAS equipment and facilities.  While MMTC has asserted that “the problem today is receiving information in-language during and after an emergency,”</w:t>
      </w:r>
      <w:r>
        <w:rPr>
          <w:rStyle w:val="FootnoteReference"/>
        </w:rPr>
        <w:footnoteReference w:id="83"/>
      </w:r>
      <w:r w:rsidRPr="007F6264">
        <w:t xml:space="preserve"> we observe that the EAS</w:t>
      </w:r>
      <w:r>
        <w:t xml:space="preserve"> is not designed to function as a conduit for non-EAS emergency information, and such </w:t>
      </w:r>
      <w:r w:rsidRPr="007F6264">
        <w:t>infor</w:t>
      </w:r>
      <w:r>
        <w:t>mation falls outside the scope of the EAS and the Part 11 rules.</w:t>
      </w:r>
      <w:r>
        <w:rPr>
          <w:rStyle w:val="FootnoteReference"/>
        </w:rPr>
        <w:footnoteReference w:id="84"/>
      </w:r>
      <w:r w:rsidRPr="007F6264">
        <w:t xml:space="preserve">  Nonetheless, </w:t>
      </w:r>
      <w:r>
        <w:t>we do encourage EAS Participants, and state and local emergency alerting authorities, to evaluate the necessity and feasibility of making such information available to non-English speaking audiences, including aiding non-English language stations that may be incapacitated due to an emergency, and make plans for implementing such distribution where they deem appropriate.  We encourage inclusion in the State EAS Plan of any such plans that may exist, and we encourage EAS Participants to describe any voluntary arrangements they may have entered for mutually aiding other in-market stations to distribute non-EAS emergency information in English and non-English languages.</w:t>
      </w:r>
    </w:p>
    <w:p w:rsidR="00744B1B" w:rsidRPr="0001741C" w:rsidRDefault="00744B1B" w:rsidP="00744B1B">
      <w:pPr>
        <w:pStyle w:val="Heading2"/>
        <w:rPr>
          <w:caps/>
        </w:rPr>
      </w:pPr>
      <w:bookmarkStart w:id="69" w:name="_Toc405557608"/>
      <w:bookmarkStart w:id="70" w:name="_Toc405557718"/>
      <w:bookmarkStart w:id="71" w:name="_Toc405557983"/>
      <w:bookmarkStart w:id="72" w:name="_Toc405558263"/>
      <w:bookmarkStart w:id="73" w:name="_Toc405558639"/>
      <w:r w:rsidRPr="0001741C">
        <w:t>The Petition’s Proposals Are Unsupported and Lack Specificity</w:t>
      </w:r>
      <w:bookmarkEnd w:id="69"/>
      <w:bookmarkEnd w:id="70"/>
      <w:bookmarkEnd w:id="71"/>
      <w:bookmarkEnd w:id="72"/>
      <w:bookmarkEnd w:id="73"/>
    </w:p>
    <w:p w:rsidR="00744B1B" w:rsidRPr="004807ED" w:rsidRDefault="00744B1B" w:rsidP="00744B1B">
      <w:pPr>
        <w:pStyle w:val="ParaNum"/>
        <w:numPr>
          <w:ilvl w:val="0"/>
          <w:numId w:val="8"/>
        </w:numPr>
        <w:tabs>
          <w:tab w:val="left" w:pos="1440"/>
        </w:tabs>
        <w:spacing w:before="120"/>
        <w:ind w:left="0" w:firstLine="720"/>
      </w:pPr>
      <w:r w:rsidRPr="009B208C">
        <w:rPr>
          <w:kern w:val="3"/>
        </w:rPr>
        <w:t>We have observed that the record in this proceeding provides scant support for the methods proposed by the Petition to achieve their outcomes.  Instead, as indicated, the vast majority of commenters have consistently argued that state and local authorities responsible for originating alerts are best positioned to distribute multilingual alerts, and therefore should be responsible for the language content of alerts.  The record also supports reliance upon voluntary arrangements among and between EAS Participants and other parties to achieve multilingual solutions that reflect the resources, localized needs and environmental characteristics of the communities they serve.</w:t>
      </w:r>
      <w:r>
        <w:rPr>
          <w:rStyle w:val="FootnoteReference"/>
          <w:kern w:val="3"/>
        </w:rPr>
        <w:footnoteReference w:id="85"/>
      </w:r>
      <w:r w:rsidRPr="009B208C">
        <w:rPr>
          <w:kern w:val="3"/>
        </w:rPr>
        <w:t xml:space="preserve">  </w:t>
      </w:r>
      <w:r>
        <w:rPr>
          <w:kern w:val="3"/>
        </w:rPr>
        <w:t xml:space="preserve">These facts and </w:t>
      </w:r>
      <w:r w:rsidRPr="009B208C">
        <w:rPr>
          <w:kern w:val="3"/>
        </w:rPr>
        <w:t>record do</w:t>
      </w:r>
      <w:r>
        <w:rPr>
          <w:kern w:val="3"/>
        </w:rPr>
        <w:t xml:space="preserve"> not </w:t>
      </w:r>
      <w:r w:rsidRPr="009B208C">
        <w:rPr>
          <w:kern w:val="3"/>
        </w:rPr>
        <w:t xml:space="preserve">support the </w:t>
      </w:r>
      <w:r>
        <w:rPr>
          <w:kern w:val="3"/>
        </w:rPr>
        <w:t>P</w:t>
      </w:r>
      <w:r w:rsidRPr="009B208C">
        <w:rPr>
          <w:kern w:val="3"/>
        </w:rPr>
        <w:t>etition</w:t>
      </w:r>
      <w:r>
        <w:rPr>
          <w:kern w:val="3"/>
        </w:rPr>
        <w:t>’</w:t>
      </w:r>
      <w:r w:rsidRPr="009B208C">
        <w:rPr>
          <w:kern w:val="3"/>
        </w:rPr>
        <w:t xml:space="preserve">s proposed </w:t>
      </w:r>
      <w:r>
        <w:rPr>
          <w:kern w:val="3"/>
        </w:rPr>
        <w:t>revisions to the P</w:t>
      </w:r>
      <w:r w:rsidRPr="009B208C">
        <w:rPr>
          <w:kern w:val="3"/>
        </w:rPr>
        <w:t>art 11 rules</w:t>
      </w:r>
      <w:r>
        <w:rPr>
          <w:kern w:val="3"/>
        </w:rPr>
        <w:t>.</w:t>
      </w:r>
    </w:p>
    <w:p w:rsidR="00744B1B" w:rsidRPr="004807ED" w:rsidRDefault="00744B1B" w:rsidP="00744B1B">
      <w:pPr>
        <w:pStyle w:val="ParaNum"/>
        <w:widowControl/>
        <w:numPr>
          <w:ilvl w:val="0"/>
          <w:numId w:val="8"/>
        </w:numPr>
        <w:tabs>
          <w:tab w:val="left" w:pos="1440"/>
        </w:tabs>
        <w:spacing w:before="120"/>
        <w:ind w:left="0" w:firstLine="720"/>
      </w:pPr>
      <w:r w:rsidRPr="007F6264">
        <w:rPr>
          <w:kern w:val="3"/>
        </w:rPr>
        <w:t xml:space="preserve">We also observe, as commenters have pointed out, that the Petition’s proposed methods for </w:t>
      </w:r>
      <w:r>
        <w:rPr>
          <w:kern w:val="3"/>
        </w:rPr>
        <w:t>implementing</w:t>
      </w:r>
      <w:r w:rsidRPr="00257EB5">
        <w:rPr>
          <w:kern w:val="3"/>
        </w:rPr>
        <w:t xml:space="preserve"> the Designated Hitter plan within the EAS architecture lack specificity, and it is therefore difficult to determine whether or how such implementation could be effected</w:t>
      </w:r>
      <w:r>
        <w:rPr>
          <w:kern w:val="3"/>
        </w:rPr>
        <w:t xml:space="preserve"> from the federal level</w:t>
      </w:r>
      <w:r w:rsidRPr="00257EB5">
        <w:rPr>
          <w:kern w:val="3"/>
        </w:rPr>
        <w:t>.</w:t>
      </w:r>
      <w:r>
        <w:rPr>
          <w:rStyle w:val="FootnoteReference"/>
          <w:kern w:val="3"/>
        </w:rPr>
        <w:footnoteReference w:id="86"/>
      </w:r>
      <w:r w:rsidRPr="007F6264">
        <w:rPr>
          <w:kern w:val="3"/>
        </w:rPr>
        <w:t xml:space="preserve">  </w:t>
      </w:r>
      <w:r w:rsidRPr="00257EB5">
        <w:rPr>
          <w:kern w:val="3"/>
        </w:rPr>
        <w:t xml:space="preserve">Commenters </w:t>
      </w:r>
      <w:r>
        <w:rPr>
          <w:kern w:val="3"/>
        </w:rPr>
        <w:t xml:space="preserve">also </w:t>
      </w:r>
      <w:r w:rsidRPr="00257EB5">
        <w:rPr>
          <w:kern w:val="3"/>
        </w:rPr>
        <w:t>have observed that the Petition’s proposals implicate technical problems that could compromise the operation of the EAS.</w:t>
      </w:r>
      <w:r>
        <w:rPr>
          <w:rStyle w:val="FootnoteReference"/>
          <w:kern w:val="3"/>
        </w:rPr>
        <w:footnoteReference w:id="87"/>
      </w:r>
      <w:r w:rsidRPr="007F6264">
        <w:rPr>
          <w:kern w:val="3"/>
        </w:rPr>
        <w:t xml:space="preserve">  </w:t>
      </w:r>
      <w:r w:rsidRPr="00460C8F">
        <w:t xml:space="preserve">In sum, we </w:t>
      </w:r>
      <w:r w:rsidRPr="008F3E9B">
        <w:t xml:space="preserve">conclude that the </w:t>
      </w:r>
      <w:r>
        <w:t>P</w:t>
      </w:r>
      <w:r w:rsidRPr="008F3E9B">
        <w:t xml:space="preserve">etition does not provide sufficient detail as to the precise </w:t>
      </w:r>
      <w:r w:rsidRPr="003A6DE2">
        <w:t>functionalities i</w:t>
      </w:r>
      <w:r w:rsidRPr="00A42C9D">
        <w:t xml:space="preserve">t seeks to achieve </w:t>
      </w:r>
      <w:r>
        <w:t xml:space="preserve">through its proposed Part 11 rule revisions </w:t>
      </w:r>
      <w:r w:rsidRPr="00A42C9D">
        <w:t>and how those could be implemented within the technical architecture, including the EAS Protocol and distribution mechanisms, of the EAS.</w:t>
      </w:r>
      <w:r>
        <w:t xml:space="preserve">  </w:t>
      </w:r>
    </w:p>
    <w:p w:rsidR="00744B1B" w:rsidRPr="003A1E0B" w:rsidRDefault="00744B1B" w:rsidP="00744B1B">
      <w:pPr>
        <w:pStyle w:val="ParaNum"/>
        <w:numPr>
          <w:ilvl w:val="0"/>
          <w:numId w:val="8"/>
        </w:numPr>
        <w:tabs>
          <w:tab w:val="left" w:pos="1440"/>
        </w:tabs>
        <w:spacing w:before="120"/>
        <w:ind w:left="0" w:firstLine="720"/>
      </w:pPr>
      <w:r w:rsidRPr="007F6264">
        <w:t xml:space="preserve">Against this backdrop, and </w:t>
      </w:r>
      <w:r w:rsidRPr="00460C8F">
        <w:t>given that options for effectuating multilingual EAS alerts at the local level</w:t>
      </w:r>
      <w:r w:rsidRPr="008F3E9B">
        <w:t xml:space="preserve"> necessitates voluntary solutions tailored to the relevant multilingual needs of the commun</w:t>
      </w:r>
      <w:r w:rsidRPr="003A6DE2">
        <w:t>i</w:t>
      </w:r>
      <w:r w:rsidRPr="00A42C9D">
        <w:t xml:space="preserve">ty served, we </w:t>
      </w:r>
      <w:r w:rsidRPr="00F573D4">
        <w:t xml:space="preserve">do not support </w:t>
      </w:r>
      <w:r>
        <w:t xml:space="preserve">moving </w:t>
      </w:r>
      <w:r w:rsidRPr="00F573D4">
        <w:t>forward with the Petition’s specific proposals</w:t>
      </w:r>
      <w:r w:rsidRPr="00F174FF">
        <w:t xml:space="preserve">.  </w:t>
      </w:r>
      <w:r w:rsidRPr="00F174FF">
        <w:rPr>
          <w:kern w:val="3"/>
        </w:rPr>
        <w:t xml:space="preserve">Accordingly, while we grant the Petition </w:t>
      </w:r>
      <w:r w:rsidRPr="00872FB5">
        <w:rPr>
          <w:kern w:val="3"/>
        </w:rPr>
        <w:t xml:space="preserve">to the extent our actions herein </w:t>
      </w:r>
      <w:r>
        <w:rPr>
          <w:kern w:val="3"/>
        </w:rPr>
        <w:t>are consistent with</w:t>
      </w:r>
      <w:r w:rsidRPr="00872FB5">
        <w:rPr>
          <w:kern w:val="3"/>
        </w:rPr>
        <w:t xml:space="preserve"> its stated purpose of facilitating th</w:t>
      </w:r>
      <w:r w:rsidRPr="00872FB5">
        <w:t xml:space="preserve">e dissemination of multilingual local, state and national emergency information via the EAS – </w:t>
      </w:r>
      <w:r w:rsidRPr="00397936">
        <w:t>i.e</w:t>
      </w:r>
      <w:r w:rsidRPr="00A37FF3">
        <w:rPr>
          <w:i/>
        </w:rPr>
        <w:t>.</w:t>
      </w:r>
      <w:r w:rsidRPr="00872FB5">
        <w:t xml:space="preserve">, by amending the Part 11 rules to incorporate the reporting requirements described above </w:t>
      </w:r>
      <w:r>
        <w:t>–</w:t>
      </w:r>
      <w:r w:rsidRPr="00872FB5">
        <w:t xml:space="preserve"> w</w:t>
      </w:r>
      <w:r w:rsidRPr="00872FB5">
        <w:rPr>
          <w:kern w:val="3"/>
        </w:rPr>
        <w:t xml:space="preserve">e </w:t>
      </w:r>
      <w:r w:rsidRPr="009E5483">
        <w:rPr>
          <w:kern w:val="3"/>
        </w:rPr>
        <w:t>otherwise deny the Petition.</w:t>
      </w:r>
      <w:r>
        <w:rPr>
          <w:kern w:val="3"/>
        </w:rPr>
        <w:t xml:space="preserve">  </w:t>
      </w:r>
    </w:p>
    <w:p w:rsidR="00744B1B" w:rsidRPr="00107E25" w:rsidRDefault="00744B1B" w:rsidP="00744B1B">
      <w:pPr>
        <w:pStyle w:val="Heading1"/>
        <w:rPr>
          <w:b w:val="0"/>
        </w:rPr>
      </w:pPr>
      <w:bookmarkStart w:id="74" w:name="_Toc133387989"/>
      <w:bookmarkStart w:id="75" w:name="_Toc133807922"/>
      <w:bookmarkStart w:id="76" w:name="_Toc133997354"/>
      <w:bookmarkStart w:id="77" w:name="_Toc134605998"/>
      <w:bookmarkStart w:id="78" w:name="_Toc135033556"/>
      <w:bookmarkStart w:id="79" w:name="_Toc135471946"/>
      <w:bookmarkStart w:id="80" w:name="_Toc137451011"/>
      <w:bookmarkStart w:id="81" w:name="_Toc137451623"/>
      <w:bookmarkStart w:id="82" w:name="_Toc137452132"/>
      <w:bookmarkStart w:id="83" w:name="_Toc137606558"/>
      <w:bookmarkStart w:id="84" w:name="_Toc138236684"/>
      <w:bookmarkStart w:id="85" w:name="_Toc138244030"/>
      <w:bookmarkStart w:id="86" w:name="_Toc138251051"/>
      <w:bookmarkStart w:id="87" w:name="_Toc139088284"/>
      <w:bookmarkStart w:id="88" w:name="_Toc139249458"/>
      <w:bookmarkStart w:id="89" w:name="_Toc139276090"/>
      <w:bookmarkStart w:id="90" w:name="_Toc139351032"/>
      <w:bookmarkStart w:id="91" w:name="_Toc139360994"/>
      <w:bookmarkStart w:id="92" w:name="_Toc139692636"/>
      <w:bookmarkStart w:id="93" w:name="_Toc139693250"/>
      <w:bookmarkStart w:id="94" w:name="_Toc139883555"/>
      <w:bookmarkStart w:id="95" w:name="_Toc139884150"/>
      <w:bookmarkStart w:id="96" w:name="_Toc140309517"/>
      <w:bookmarkStart w:id="97" w:name="_Toc140647599"/>
      <w:bookmarkStart w:id="98" w:name="_Toc140657779"/>
      <w:bookmarkStart w:id="99" w:name="_Toc140661136"/>
      <w:bookmarkStart w:id="100" w:name="_Toc142291009"/>
      <w:bookmarkStart w:id="101" w:name="_Toc142885176"/>
      <w:bookmarkStart w:id="102" w:name="_Toc143339089"/>
      <w:bookmarkStart w:id="103" w:name="_Toc143343402"/>
      <w:bookmarkStart w:id="104" w:name="_Toc144188949"/>
      <w:bookmarkStart w:id="105" w:name="_Toc144189061"/>
      <w:bookmarkStart w:id="106" w:name="_Toc144189238"/>
      <w:bookmarkStart w:id="107" w:name="_Toc144200318"/>
      <w:bookmarkStart w:id="108" w:name="_Toc144201750"/>
      <w:bookmarkStart w:id="109" w:name="_Toc144715926"/>
      <w:bookmarkStart w:id="110" w:name="_Toc144721373"/>
      <w:bookmarkStart w:id="111" w:name="_Toc144805495"/>
      <w:bookmarkStart w:id="112" w:name="_Toc144873657"/>
      <w:bookmarkStart w:id="113" w:name="_Toc144876631"/>
      <w:bookmarkStart w:id="114" w:name="_Toc144876802"/>
      <w:bookmarkStart w:id="115" w:name="_Toc144876896"/>
      <w:bookmarkStart w:id="116" w:name="_Toc144882978"/>
      <w:bookmarkStart w:id="117" w:name="_Toc144885057"/>
      <w:bookmarkStart w:id="118" w:name="_Toc144888896"/>
      <w:bookmarkStart w:id="119" w:name="_Toc145322721"/>
      <w:bookmarkStart w:id="120" w:name="_Toc160335815"/>
      <w:bookmarkStart w:id="121" w:name="_Toc168316303"/>
      <w:bookmarkStart w:id="122" w:name="_Toc168317959"/>
      <w:bookmarkStart w:id="123" w:name="_Toc168318001"/>
      <w:bookmarkStart w:id="124" w:name="_Toc168811875"/>
      <w:bookmarkStart w:id="125" w:name="_Toc171915603"/>
      <w:bookmarkStart w:id="126" w:name="_Toc248657831"/>
      <w:bookmarkStart w:id="127" w:name="_Toc248658654"/>
      <w:bookmarkStart w:id="128" w:name="_Toc248658862"/>
      <w:bookmarkStart w:id="129" w:name="_Toc248659099"/>
      <w:bookmarkStart w:id="130" w:name="_Toc280195535"/>
      <w:bookmarkStart w:id="131" w:name="_Toc284933866"/>
      <w:bookmarkStart w:id="132" w:name="_Toc285119897"/>
      <w:bookmarkStart w:id="133" w:name="_Toc405557984"/>
      <w:bookmarkStart w:id="134" w:name="_Toc405558264"/>
      <w:bookmarkStart w:id="135" w:name="_Toc405558640"/>
      <w:bookmarkEnd w:id="57"/>
      <w:bookmarkEnd w:id="58"/>
      <w:r w:rsidRPr="007F6264">
        <w:t>PROCEDURAL MATTERS</w:t>
      </w:r>
      <w:bookmarkStart w:id="136" w:name="_Toc115594599"/>
      <w:bookmarkStart w:id="137" w:name="_Toc115594678"/>
      <w:bookmarkStart w:id="138" w:name="_Toc11643914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744B1B" w:rsidRDefault="00744B1B" w:rsidP="00744B1B">
      <w:pPr>
        <w:pStyle w:val="Heading2"/>
        <w:numPr>
          <w:ilvl w:val="1"/>
          <w:numId w:val="17"/>
        </w:numPr>
      </w:pPr>
      <w:bookmarkStart w:id="139" w:name="_Toc168316306"/>
      <w:bookmarkStart w:id="140" w:name="_Toc168317962"/>
      <w:bookmarkStart w:id="141" w:name="_Toc168318004"/>
      <w:bookmarkStart w:id="142" w:name="_Toc115594601"/>
      <w:bookmarkStart w:id="143" w:name="_Toc115594680"/>
      <w:bookmarkStart w:id="144" w:name="_Toc116439151"/>
      <w:bookmarkStart w:id="145" w:name="_Toc133387990"/>
      <w:bookmarkStart w:id="146" w:name="_Toc133807923"/>
      <w:bookmarkStart w:id="147" w:name="_Toc133997355"/>
      <w:bookmarkStart w:id="148" w:name="_Toc134605999"/>
      <w:bookmarkStart w:id="149" w:name="_Toc135033557"/>
      <w:bookmarkStart w:id="150" w:name="_Toc135471947"/>
      <w:bookmarkStart w:id="151" w:name="_Toc137451012"/>
      <w:bookmarkStart w:id="152" w:name="_Toc137451624"/>
      <w:bookmarkStart w:id="153" w:name="_Toc137452133"/>
      <w:bookmarkStart w:id="154" w:name="_Toc137606559"/>
      <w:bookmarkStart w:id="155" w:name="_Toc138236685"/>
      <w:bookmarkStart w:id="156" w:name="_Toc138244031"/>
      <w:bookmarkStart w:id="157" w:name="_Toc138251052"/>
      <w:bookmarkStart w:id="158" w:name="_Toc139088285"/>
      <w:bookmarkStart w:id="159" w:name="_Toc139249459"/>
      <w:bookmarkStart w:id="160" w:name="_Toc139276091"/>
      <w:bookmarkStart w:id="161" w:name="_Toc139351033"/>
      <w:bookmarkStart w:id="162" w:name="_Toc139360995"/>
      <w:bookmarkStart w:id="163" w:name="_Toc139692637"/>
      <w:bookmarkStart w:id="164" w:name="_Toc139693251"/>
      <w:bookmarkStart w:id="165" w:name="_Toc139883556"/>
      <w:bookmarkStart w:id="166" w:name="_Toc139884151"/>
      <w:bookmarkStart w:id="167" w:name="_Toc140309518"/>
      <w:bookmarkStart w:id="168" w:name="_Toc140647600"/>
      <w:bookmarkStart w:id="169" w:name="_Toc140657780"/>
      <w:bookmarkStart w:id="170" w:name="_Toc140661137"/>
      <w:bookmarkStart w:id="171" w:name="_Toc142291010"/>
      <w:bookmarkStart w:id="172" w:name="_Toc142885177"/>
      <w:bookmarkStart w:id="173" w:name="_Toc143339090"/>
      <w:bookmarkStart w:id="174" w:name="_Toc143343403"/>
      <w:bookmarkStart w:id="175" w:name="_Toc144188950"/>
      <w:bookmarkStart w:id="176" w:name="_Toc144189062"/>
      <w:bookmarkStart w:id="177" w:name="_Toc144189239"/>
      <w:bookmarkStart w:id="178" w:name="_Toc144200319"/>
      <w:bookmarkStart w:id="179" w:name="_Toc144201751"/>
      <w:bookmarkStart w:id="180" w:name="_Toc144715927"/>
      <w:bookmarkStart w:id="181" w:name="_Toc144721374"/>
      <w:bookmarkStart w:id="182" w:name="_Toc144805496"/>
      <w:bookmarkStart w:id="183" w:name="_Toc144873658"/>
      <w:bookmarkStart w:id="184" w:name="_Toc144876632"/>
      <w:bookmarkStart w:id="185" w:name="_Toc144876803"/>
      <w:bookmarkStart w:id="186" w:name="_Toc144876897"/>
      <w:bookmarkStart w:id="187" w:name="_Toc144882979"/>
      <w:bookmarkStart w:id="188" w:name="_Toc144885058"/>
      <w:bookmarkStart w:id="189" w:name="_Toc144888897"/>
      <w:bookmarkStart w:id="190" w:name="_Toc145322722"/>
      <w:bookmarkStart w:id="191" w:name="_Toc160335816"/>
      <w:bookmarkStart w:id="192" w:name="_Toc168811878"/>
      <w:bookmarkStart w:id="193" w:name="_Toc171915606"/>
      <w:bookmarkStart w:id="194" w:name="_Toc248657834"/>
      <w:bookmarkStart w:id="195" w:name="_Toc248658657"/>
      <w:bookmarkStart w:id="196" w:name="_Toc248658865"/>
      <w:bookmarkStart w:id="197" w:name="_Toc248659102"/>
      <w:bookmarkStart w:id="198" w:name="_Toc280195538"/>
      <w:bookmarkStart w:id="199" w:name="_Toc284933869"/>
      <w:bookmarkStart w:id="200" w:name="_Toc285119900"/>
      <w:bookmarkStart w:id="201" w:name="_Toc405557609"/>
      <w:bookmarkStart w:id="202" w:name="_Toc405557719"/>
      <w:bookmarkStart w:id="203" w:name="_Toc405557985"/>
      <w:bookmarkStart w:id="204" w:name="_Toc405558265"/>
      <w:bookmarkStart w:id="205" w:name="_Toc405558641"/>
      <w:bookmarkEnd w:id="136"/>
      <w:bookmarkEnd w:id="137"/>
      <w:bookmarkEnd w:id="138"/>
      <w:r>
        <w:t>Accessible Formats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744B1B" w:rsidRPr="008F3E9B" w:rsidRDefault="00744B1B" w:rsidP="00744B1B">
      <w:pPr>
        <w:pStyle w:val="ParaNum"/>
        <w:numPr>
          <w:ilvl w:val="0"/>
          <w:numId w:val="8"/>
        </w:numPr>
        <w:tabs>
          <w:tab w:val="left" w:pos="1440"/>
        </w:tabs>
        <w:spacing w:before="120"/>
        <w:ind w:left="0" w:firstLine="720"/>
      </w:pPr>
      <w:r w:rsidRPr="007F6264">
        <w:t>To request materials in accessible formats for people with disabilities (Braille, large print, electronic files, audio format), send an e-mail to fcc504@fcc.gov or call the Consumer &amp; Governme</w:t>
      </w:r>
      <w:r w:rsidRPr="00460C8F">
        <w:t>ntal Affairs Bureau at 202-418-0530 (voice), 202-418-0432 (TTY).</w:t>
      </w:r>
    </w:p>
    <w:p w:rsidR="00744B1B" w:rsidRDefault="00744B1B" w:rsidP="00744B1B">
      <w:pPr>
        <w:pStyle w:val="Heading2"/>
        <w:numPr>
          <w:ilvl w:val="1"/>
          <w:numId w:val="17"/>
        </w:numPr>
      </w:pPr>
      <w:bookmarkStart w:id="206" w:name="_Toc168316307"/>
      <w:bookmarkStart w:id="207" w:name="_Toc168317963"/>
      <w:bookmarkStart w:id="208" w:name="_Toc168318005"/>
      <w:bookmarkStart w:id="209" w:name="_Toc115594602"/>
      <w:bookmarkStart w:id="210" w:name="_Toc115594681"/>
      <w:bookmarkStart w:id="211" w:name="_Toc116439152"/>
      <w:bookmarkStart w:id="212" w:name="_Toc133387991"/>
      <w:bookmarkStart w:id="213" w:name="_Toc133807924"/>
      <w:bookmarkStart w:id="214" w:name="_Toc133997356"/>
      <w:bookmarkStart w:id="215" w:name="_Toc134606000"/>
      <w:bookmarkStart w:id="216" w:name="_Toc135033558"/>
      <w:bookmarkStart w:id="217" w:name="_Toc135471948"/>
      <w:bookmarkStart w:id="218" w:name="_Toc137451013"/>
      <w:bookmarkStart w:id="219" w:name="_Toc137451625"/>
      <w:bookmarkStart w:id="220" w:name="_Toc137452134"/>
      <w:bookmarkStart w:id="221" w:name="_Toc137606560"/>
      <w:bookmarkStart w:id="222" w:name="_Toc138236686"/>
      <w:bookmarkStart w:id="223" w:name="_Toc138244032"/>
      <w:bookmarkStart w:id="224" w:name="_Toc138251053"/>
      <w:bookmarkStart w:id="225" w:name="_Toc139088286"/>
      <w:bookmarkStart w:id="226" w:name="_Toc139249460"/>
      <w:bookmarkStart w:id="227" w:name="_Toc139276092"/>
      <w:bookmarkStart w:id="228" w:name="_Toc139351034"/>
      <w:bookmarkStart w:id="229" w:name="_Toc139360996"/>
      <w:bookmarkStart w:id="230" w:name="_Toc139692638"/>
      <w:bookmarkStart w:id="231" w:name="_Toc139693252"/>
      <w:bookmarkStart w:id="232" w:name="_Toc139883557"/>
      <w:bookmarkStart w:id="233" w:name="_Toc139884152"/>
      <w:bookmarkStart w:id="234" w:name="_Toc140309519"/>
      <w:bookmarkStart w:id="235" w:name="_Toc140647601"/>
      <w:bookmarkStart w:id="236" w:name="_Toc140657781"/>
      <w:bookmarkStart w:id="237" w:name="_Toc140661138"/>
      <w:bookmarkStart w:id="238" w:name="_Toc142291011"/>
      <w:bookmarkStart w:id="239" w:name="_Toc142885178"/>
      <w:bookmarkStart w:id="240" w:name="_Toc143339091"/>
      <w:bookmarkStart w:id="241" w:name="_Toc143343404"/>
      <w:bookmarkStart w:id="242" w:name="_Toc144188951"/>
      <w:bookmarkStart w:id="243" w:name="_Toc144189063"/>
      <w:bookmarkStart w:id="244" w:name="_Toc144189240"/>
      <w:bookmarkStart w:id="245" w:name="_Toc144200320"/>
      <w:bookmarkStart w:id="246" w:name="_Toc144201752"/>
      <w:bookmarkStart w:id="247" w:name="_Toc144715928"/>
      <w:bookmarkStart w:id="248" w:name="_Toc144721375"/>
      <w:bookmarkStart w:id="249" w:name="_Toc144805497"/>
      <w:bookmarkStart w:id="250" w:name="_Toc144873659"/>
      <w:bookmarkStart w:id="251" w:name="_Toc144876633"/>
      <w:bookmarkStart w:id="252" w:name="_Toc144876804"/>
      <w:bookmarkStart w:id="253" w:name="_Toc144876898"/>
      <w:bookmarkStart w:id="254" w:name="_Toc144882980"/>
      <w:bookmarkStart w:id="255" w:name="_Toc144885059"/>
      <w:bookmarkStart w:id="256" w:name="_Toc144888898"/>
      <w:bookmarkStart w:id="257" w:name="_Toc145322723"/>
      <w:bookmarkStart w:id="258" w:name="_Toc160335817"/>
      <w:bookmarkStart w:id="259" w:name="_Toc168811879"/>
      <w:bookmarkStart w:id="260" w:name="_Toc171915607"/>
      <w:bookmarkStart w:id="261" w:name="_Toc248657835"/>
      <w:bookmarkStart w:id="262" w:name="_Toc248658658"/>
      <w:bookmarkStart w:id="263" w:name="_Toc248658866"/>
      <w:bookmarkStart w:id="264" w:name="_Toc248659103"/>
      <w:bookmarkStart w:id="265" w:name="_Toc280195539"/>
      <w:bookmarkStart w:id="266" w:name="_Toc284933870"/>
      <w:bookmarkStart w:id="267" w:name="_Toc285119901"/>
      <w:bookmarkStart w:id="268" w:name="_Toc405557610"/>
      <w:bookmarkStart w:id="269" w:name="_Toc405557720"/>
      <w:bookmarkStart w:id="270" w:name="_Toc405557986"/>
      <w:bookmarkStart w:id="271" w:name="_Toc405558266"/>
      <w:bookmarkStart w:id="272" w:name="_Toc405558642"/>
      <w:r>
        <w:t>Regulatory Flexibility Analysis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744B1B" w:rsidRPr="007F6264" w:rsidRDefault="00744B1B" w:rsidP="00744B1B">
      <w:pPr>
        <w:pStyle w:val="ParaNum"/>
        <w:numPr>
          <w:ilvl w:val="0"/>
          <w:numId w:val="8"/>
        </w:numPr>
        <w:tabs>
          <w:tab w:val="left" w:pos="1440"/>
        </w:tabs>
        <w:spacing w:before="120"/>
        <w:ind w:left="0" w:firstLine="720"/>
      </w:pPr>
      <w:r w:rsidRPr="007F6264">
        <w:t>As required by the Regulatory Flexibility Act of 1980, see 5 U.S.C. § 603, the Commi</w:t>
      </w:r>
      <w:r>
        <w:t>ssion has prepared a Final Regulatory Flexibility Analysis (FRFA) of the possible significant economic impact on small entities of the policies and rules addressed in this document.  The FRFA is set forth in Appendix B.</w:t>
      </w:r>
    </w:p>
    <w:p w:rsidR="00744B1B" w:rsidRDefault="00744B1B" w:rsidP="00744B1B">
      <w:pPr>
        <w:pStyle w:val="Heading2"/>
        <w:numPr>
          <w:ilvl w:val="1"/>
          <w:numId w:val="17"/>
        </w:numPr>
      </w:pPr>
      <w:bookmarkStart w:id="273" w:name="_Toc405557611"/>
      <w:bookmarkStart w:id="274" w:name="_Toc405557721"/>
      <w:bookmarkStart w:id="275" w:name="_Toc405557987"/>
      <w:bookmarkStart w:id="276" w:name="_Toc405558267"/>
      <w:bookmarkStart w:id="277" w:name="_Toc405558643"/>
      <w:r>
        <w:t>Paperwork Reduction Act Analysis</w:t>
      </w:r>
      <w:bookmarkEnd w:id="273"/>
      <w:bookmarkEnd w:id="274"/>
      <w:bookmarkEnd w:id="275"/>
      <w:bookmarkEnd w:id="276"/>
      <w:bookmarkEnd w:id="277"/>
    </w:p>
    <w:p w:rsidR="00744B1B" w:rsidRDefault="00744B1B" w:rsidP="00744B1B">
      <w:pPr>
        <w:pStyle w:val="ParaNum"/>
        <w:numPr>
          <w:ilvl w:val="0"/>
          <w:numId w:val="8"/>
        </w:numPr>
        <w:tabs>
          <w:tab w:val="left" w:pos="1440"/>
        </w:tabs>
        <w:spacing w:before="120"/>
        <w:ind w:left="0" w:firstLine="720"/>
      </w:pPr>
      <w:bookmarkStart w:id="278" w:name="_Toc116439154"/>
      <w:bookmarkStart w:id="279" w:name="_Toc115594683"/>
      <w:bookmarkStart w:id="280" w:name="_Toc115594604"/>
      <w:bookmarkStart w:id="281" w:name="_Toc137452137"/>
      <w:bookmarkStart w:id="282" w:name="_Toc137606563"/>
      <w:bookmarkStart w:id="283" w:name="_Toc138236689"/>
      <w:bookmarkStart w:id="284" w:name="_Toc138244035"/>
      <w:bookmarkStart w:id="285" w:name="_Toc138251056"/>
      <w:bookmarkStart w:id="286" w:name="_Toc139088289"/>
      <w:bookmarkStart w:id="287" w:name="_Toc139249463"/>
      <w:bookmarkStart w:id="288" w:name="_Toc139276095"/>
      <w:bookmarkStart w:id="289" w:name="_Toc139351037"/>
      <w:bookmarkStart w:id="290" w:name="_Toc139360999"/>
      <w:bookmarkStart w:id="291" w:name="_Toc139692641"/>
      <w:bookmarkStart w:id="292" w:name="_Toc139693255"/>
      <w:bookmarkStart w:id="293" w:name="_Toc139883560"/>
      <w:bookmarkStart w:id="294" w:name="_Toc139884155"/>
      <w:bookmarkStart w:id="295" w:name="_Toc140309522"/>
      <w:bookmarkStart w:id="296" w:name="_Toc140647604"/>
      <w:bookmarkStart w:id="297" w:name="_Toc140657784"/>
      <w:bookmarkStart w:id="298" w:name="_Toc140661141"/>
      <w:bookmarkStart w:id="299" w:name="_Toc142291014"/>
      <w:bookmarkStart w:id="300" w:name="_Toc142885181"/>
      <w:bookmarkStart w:id="301" w:name="_Toc143339094"/>
      <w:bookmarkStart w:id="302" w:name="_Toc143343407"/>
      <w:bookmarkStart w:id="303" w:name="_Toc144188954"/>
      <w:bookmarkStart w:id="304" w:name="_Toc144189066"/>
      <w:bookmarkStart w:id="305" w:name="_Toc144189243"/>
      <w:bookmarkStart w:id="306" w:name="_Toc144200323"/>
      <w:bookmarkStart w:id="307" w:name="_Toc144201755"/>
      <w:bookmarkStart w:id="308" w:name="_Toc144715931"/>
      <w:bookmarkStart w:id="309" w:name="_Toc144721378"/>
      <w:bookmarkStart w:id="310" w:name="_Toc144805500"/>
      <w:bookmarkStart w:id="311" w:name="_Toc144873662"/>
      <w:bookmarkStart w:id="312" w:name="_Toc144876636"/>
      <w:bookmarkStart w:id="313" w:name="_Toc144876807"/>
      <w:bookmarkStart w:id="314" w:name="_Toc144876901"/>
      <w:bookmarkStart w:id="315" w:name="_Toc144882983"/>
      <w:bookmarkStart w:id="316" w:name="_Toc144885062"/>
      <w:bookmarkStart w:id="317" w:name="_Toc144888901"/>
      <w:bookmarkStart w:id="318" w:name="_Toc145322726"/>
      <w:bookmarkStart w:id="319" w:name="_Toc160335820"/>
      <w:bookmarkStart w:id="320" w:name="_Toc168316310"/>
      <w:bookmarkStart w:id="321" w:name="_Toc168317966"/>
      <w:bookmarkStart w:id="322" w:name="_Toc168318008"/>
      <w:bookmarkStart w:id="323" w:name="_Toc168811882"/>
      <w:bookmarkStart w:id="324" w:name="_Toc171915610"/>
      <w:bookmarkStart w:id="325" w:name="_Toc248657838"/>
      <w:bookmarkStart w:id="326" w:name="_Toc248658661"/>
      <w:bookmarkStart w:id="327" w:name="_Toc248658869"/>
      <w:bookmarkStart w:id="328" w:name="_Toc248659106"/>
      <w:bookmarkStart w:id="329" w:name="_Toc280195542"/>
      <w:bookmarkStart w:id="330" w:name="_Toc284933873"/>
      <w:bookmarkStart w:id="331" w:name="_Toc285119904"/>
      <w:r w:rsidRPr="007F6264">
        <w:t>As indicated in paragraph</w:t>
      </w:r>
      <w:r w:rsidRPr="00460C8F">
        <w:t xml:space="preserve"> 24 of the Final Regulatory Flexibility Analysis, this document contains modified information collection requirements subject to the Paper</w:t>
      </w:r>
      <w:r w:rsidRPr="008F3E9B">
        <w:t>work Reduction Act of 1995 (PRA), Public Law 104-13. These modified requirements will be submitted to the Offic</w:t>
      </w:r>
      <w:r w:rsidRPr="003A6DE2">
        <w:t>e of Management and Budget (OMB) for review under Section 3507</w:t>
      </w:r>
      <w:r w:rsidRPr="00A42C9D">
        <w:t>(d) of the PRA. OMB, the general public, and other Federal agencies are invited to comment on the new or modified information collection requirements contained in this proceeding. In addition, we note that pursuant to the Small Business Paperwork Relief Act of 2002, Public Law 107-198, see 44 U.S.C. 3506(c)(4), we previously sought specific comment on how the Commission might further reduce the information collection burden for small business concerns with fewer than 25 employees.</w:t>
      </w:r>
    </w:p>
    <w:p w:rsidR="00744B1B" w:rsidRPr="00026DDE" w:rsidRDefault="00744B1B" w:rsidP="00744B1B">
      <w:pPr>
        <w:pStyle w:val="ParaNum"/>
        <w:numPr>
          <w:ilvl w:val="0"/>
          <w:numId w:val="8"/>
        </w:numPr>
        <w:tabs>
          <w:tab w:val="left" w:pos="1440"/>
        </w:tabs>
        <w:spacing w:before="120"/>
        <w:ind w:left="0" w:firstLine="720"/>
      </w:pPr>
      <w:r w:rsidRPr="007F6264">
        <w:t>In this present docume</w:t>
      </w:r>
      <w:r w:rsidRPr="00026DDE">
        <w:t>nt, we have assessed the effects of the information collection associated with the reporting requirements set forth in this Order, and find that because this information collection involves information that is readily available and easily accessible to all EAS Participants, none of these requirements should pose a substantial burden for businesses with fewer than 25 employees.</w:t>
      </w:r>
    </w:p>
    <w:p w:rsidR="00744B1B" w:rsidRDefault="00744B1B" w:rsidP="00744B1B">
      <w:pPr>
        <w:pStyle w:val="Heading2"/>
        <w:numPr>
          <w:ilvl w:val="1"/>
          <w:numId w:val="17"/>
        </w:numPr>
      </w:pPr>
      <w:bookmarkStart w:id="332" w:name="_Toc405557612"/>
      <w:bookmarkStart w:id="333" w:name="_Toc405557722"/>
      <w:bookmarkStart w:id="334" w:name="_Toc405557988"/>
      <w:bookmarkStart w:id="335" w:name="_Toc405558268"/>
      <w:bookmarkStart w:id="336" w:name="_Toc405558644"/>
      <w:r>
        <w:t>Congressional Review Act</w:t>
      </w:r>
      <w:bookmarkEnd w:id="332"/>
      <w:bookmarkEnd w:id="333"/>
      <w:bookmarkEnd w:id="334"/>
      <w:bookmarkEnd w:id="335"/>
      <w:bookmarkEnd w:id="336"/>
    </w:p>
    <w:p w:rsidR="00744B1B" w:rsidRPr="007F6264" w:rsidRDefault="00744B1B" w:rsidP="00744B1B">
      <w:pPr>
        <w:pStyle w:val="ParaNum"/>
        <w:numPr>
          <w:ilvl w:val="0"/>
          <w:numId w:val="8"/>
        </w:numPr>
        <w:tabs>
          <w:tab w:val="left" w:pos="1440"/>
        </w:tabs>
        <w:spacing w:before="120"/>
        <w:ind w:left="0" w:firstLine="720"/>
      </w:pPr>
      <w:r w:rsidRPr="007F6264">
        <w:t xml:space="preserve">The Commission will send a copy of this </w:t>
      </w:r>
      <w:r>
        <w:t>Order to Congress and the Government Accountability Office pursuant to the Congressional Review Act (“CRA”), see 5 U.S.C. § 801(a)(1)(A).</w:t>
      </w:r>
      <w:bookmarkEnd w:id="278"/>
      <w:bookmarkEnd w:id="279"/>
      <w:bookmarkEnd w:id="280"/>
    </w:p>
    <w:p w:rsidR="00744B1B" w:rsidRDefault="00744B1B" w:rsidP="00744B1B">
      <w:pPr>
        <w:pStyle w:val="Heading1"/>
      </w:pPr>
      <w:bookmarkStart w:id="337" w:name="_Toc405557989"/>
      <w:bookmarkStart w:id="338" w:name="_Toc405558269"/>
      <w:bookmarkStart w:id="339" w:name="_Toc405558645"/>
      <w:r w:rsidRPr="0001741C">
        <w:t>Ordering Clauses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7"/>
      <w:bookmarkEnd w:id="338"/>
      <w:bookmarkEnd w:id="339"/>
    </w:p>
    <w:p w:rsidR="00744B1B" w:rsidRDefault="00744B1B" w:rsidP="00744B1B">
      <w:pPr>
        <w:pStyle w:val="ParaNum"/>
        <w:numPr>
          <w:ilvl w:val="0"/>
          <w:numId w:val="8"/>
        </w:numPr>
        <w:tabs>
          <w:tab w:val="left" w:pos="1440"/>
        </w:tabs>
        <w:spacing w:before="120"/>
        <w:ind w:left="0" w:firstLine="720"/>
      </w:pPr>
      <w:r w:rsidRPr="007F6264">
        <w:t xml:space="preserve">Accordingly, IT IS ORDERED that pursuant to sections 1, 2, 4(i), 4(o), 301, 303(r), 303(v), 307, </w:t>
      </w:r>
      <w:r w:rsidRPr="00746F2D">
        <w:t>309</w:t>
      </w:r>
      <w:r>
        <w:t xml:space="preserve">, 335, 403, 624(g),706, and 715 of the Communications Act of 1934, as amended, 47 U.S.C. §§ 151, 152, 154(i), 154(o), 301, 303(r), 303(v), 307, 309, 335, 403, 544(g), 606, and 615, this Order IS ADOPTED, </w:t>
      </w:r>
      <w:r w:rsidRPr="00BF69B9">
        <w:t>and the Petition for Immediate Interim Relief filed by the Independent Spanish Broadcasters Association, the Office of Communication of the United Church of Christ, Inc., and the Minority Media and Telecommunications Council is hereby GRANTED as described herein</w:t>
      </w:r>
      <w:r>
        <w:t>,</w:t>
      </w:r>
      <w:r w:rsidRPr="00BF69B9">
        <w:t xml:space="preserve"> and otherwise DENIED</w:t>
      </w:r>
      <w:r>
        <w:t>.</w:t>
      </w:r>
    </w:p>
    <w:p w:rsidR="00744B1B" w:rsidRDefault="00744B1B" w:rsidP="00744B1B">
      <w:pPr>
        <w:pStyle w:val="ParaNum"/>
        <w:numPr>
          <w:ilvl w:val="0"/>
          <w:numId w:val="8"/>
        </w:numPr>
        <w:tabs>
          <w:tab w:val="left" w:pos="1440"/>
        </w:tabs>
        <w:spacing w:before="120"/>
        <w:ind w:left="0" w:firstLine="720"/>
      </w:pPr>
      <w:r w:rsidRPr="00B861C9">
        <w:t xml:space="preserve">IT IS FURTHER ORDERED that the rules adopted herein, which contain new or modified information collection requirements, WILL BECOME EFFECTIVE on the date specified in a Commission notice </w:t>
      </w:r>
      <w:r w:rsidRPr="00746F2D">
        <w:t>published</w:t>
      </w:r>
      <w:r w:rsidRPr="00B861C9">
        <w:t xml:space="preserve"> in the Federal Register announcing their approval under the Paperwork Reduction Act by the Office of Management and Budget</w:t>
      </w:r>
      <w:r>
        <w:t xml:space="preserve">, </w:t>
      </w:r>
      <w:r w:rsidRPr="00B861C9">
        <w:t>which date will be at least 30 days after the date that this Order and rules adopted herein are published in the Federal Register</w:t>
      </w:r>
      <w:r w:rsidRPr="007F6264">
        <w:t>.</w:t>
      </w:r>
    </w:p>
    <w:p w:rsidR="00744B1B" w:rsidRDefault="00744B1B" w:rsidP="00744B1B">
      <w:pPr>
        <w:pStyle w:val="ParaNum"/>
        <w:numPr>
          <w:ilvl w:val="0"/>
          <w:numId w:val="8"/>
        </w:numPr>
        <w:tabs>
          <w:tab w:val="left" w:pos="1440"/>
        </w:tabs>
        <w:spacing w:before="120"/>
        <w:ind w:left="0" w:right="-360" w:firstLine="720"/>
      </w:pPr>
      <w:r>
        <w:t xml:space="preserve">IT IS FURTHER ORDERED that the Commission’s Consumer and Governmental Affairs Bureau, Reference </w:t>
      </w:r>
      <w:r w:rsidRPr="00746F2D">
        <w:t>Information</w:t>
      </w:r>
      <w:r>
        <w:t xml:space="preserve"> Center, SHALL SEND a copy of this Order, including the Regulatory Flexibility Analysis, to the Chief Counsel for Advocacy of the Small Business Administration.</w:t>
      </w:r>
    </w:p>
    <w:p w:rsidR="00744B1B" w:rsidRDefault="00744B1B" w:rsidP="00744B1B">
      <w:r>
        <w:tab/>
      </w:r>
      <w:r>
        <w:tab/>
      </w:r>
      <w:r>
        <w:tab/>
      </w:r>
      <w:r>
        <w:tab/>
      </w:r>
      <w:r>
        <w:tab/>
      </w:r>
      <w:r>
        <w:tab/>
      </w:r>
    </w:p>
    <w:p w:rsidR="00744B1B" w:rsidRDefault="00744B1B" w:rsidP="00744B1B">
      <w:pPr>
        <w:ind w:left="3600" w:firstLine="720"/>
      </w:pPr>
      <w:r>
        <w:t>FEDERAL COMMUNICATIONS COMMISSION</w:t>
      </w:r>
    </w:p>
    <w:p w:rsidR="00744B1B" w:rsidRDefault="00744B1B" w:rsidP="00744B1B"/>
    <w:p w:rsidR="00744B1B" w:rsidRDefault="00744B1B" w:rsidP="00744B1B"/>
    <w:p w:rsidR="00744B1B" w:rsidRDefault="00744B1B" w:rsidP="00744B1B"/>
    <w:p w:rsidR="00744B1B" w:rsidRDefault="00744B1B" w:rsidP="00744B1B"/>
    <w:p w:rsidR="00744B1B" w:rsidRDefault="00744B1B" w:rsidP="00744B1B">
      <w:r>
        <w:tab/>
      </w:r>
      <w:r>
        <w:tab/>
      </w:r>
      <w:r>
        <w:tab/>
      </w:r>
      <w:r>
        <w:tab/>
      </w:r>
      <w:r>
        <w:tab/>
      </w:r>
      <w:r>
        <w:tab/>
        <w:t>Marlene H. Dortch</w:t>
      </w:r>
    </w:p>
    <w:p w:rsidR="00744B1B" w:rsidRDefault="00744B1B" w:rsidP="00744B1B">
      <w:r>
        <w:tab/>
      </w:r>
      <w:r>
        <w:tab/>
      </w:r>
      <w:r>
        <w:tab/>
      </w:r>
      <w:r>
        <w:tab/>
      </w:r>
      <w:r>
        <w:tab/>
      </w:r>
      <w:r>
        <w:tab/>
        <w:t>Secretary</w:t>
      </w:r>
    </w:p>
    <w:p w:rsidR="00744B1B" w:rsidRDefault="00744B1B" w:rsidP="00744B1B">
      <w:pPr>
        <w:pStyle w:val="ParaNum"/>
        <w:numPr>
          <w:ilvl w:val="0"/>
          <w:numId w:val="0"/>
        </w:numPr>
        <w:tabs>
          <w:tab w:val="left" w:pos="1440"/>
        </w:tabs>
        <w:spacing w:before="120"/>
        <w:ind w:left="720" w:right="-360"/>
      </w:pPr>
    </w:p>
    <w:p w:rsidR="00744B1B" w:rsidRDefault="00744B1B" w:rsidP="00744B1B">
      <w:pPr>
        <w:ind w:right="-360"/>
      </w:pPr>
      <w:r>
        <w:tab/>
      </w:r>
      <w:r>
        <w:tab/>
      </w:r>
      <w:r>
        <w:tab/>
      </w:r>
      <w:r>
        <w:tab/>
      </w:r>
      <w:r>
        <w:tab/>
      </w:r>
      <w:r>
        <w:tab/>
      </w:r>
    </w:p>
    <w:p w:rsidR="00744B1B" w:rsidRDefault="00744B1B" w:rsidP="00744B1B">
      <w:pPr>
        <w:autoSpaceDN w:val="0"/>
        <w:textAlignment w:val="baseline"/>
      </w:pPr>
      <w:r>
        <w:br w:type="page"/>
      </w:r>
    </w:p>
    <w:p w:rsidR="00744B1B" w:rsidRPr="00E73726" w:rsidRDefault="00744B1B" w:rsidP="00744B1B">
      <w:pPr>
        <w:jc w:val="center"/>
        <w:rPr>
          <w:b/>
        </w:rPr>
      </w:pPr>
      <w:r w:rsidRPr="00E73726">
        <w:rPr>
          <w:b/>
        </w:rPr>
        <w:t>APPENDIX A</w:t>
      </w:r>
    </w:p>
    <w:p w:rsidR="00744B1B" w:rsidRPr="0001741C" w:rsidRDefault="00744B1B" w:rsidP="00744B1B">
      <w:pPr>
        <w:jc w:val="center"/>
        <w:rPr>
          <w:b/>
        </w:rPr>
      </w:pPr>
    </w:p>
    <w:p w:rsidR="00744B1B" w:rsidRDefault="00744B1B" w:rsidP="00744B1B">
      <w:pPr>
        <w:jc w:val="center"/>
        <w:rPr>
          <w:b/>
        </w:rPr>
      </w:pPr>
      <w:r>
        <w:rPr>
          <w:b/>
        </w:rPr>
        <w:t>Final Rules</w:t>
      </w:r>
    </w:p>
    <w:p w:rsidR="00744B1B" w:rsidRDefault="00744B1B" w:rsidP="00744B1B">
      <w:pPr>
        <w:jc w:val="center"/>
        <w:rPr>
          <w:b/>
        </w:rPr>
      </w:pPr>
    </w:p>
    <w:p w:rsidR="00744B1B" w:rsidRDefault="00744B1B" w:rsidP="00744B1B">
      <w:pPr>
        <w:rPr>
          <w:color w:val="000000"/>
        </w:rPr>
      </w:pPr>
      <w:r>
        <w:rPr>
          <w:color w:val="000000"/>
        </w:rPr>
        <w:t xml:space="preserve">For the reasons discussed in the preamble, the Federal Communications Commission amends 47 CFR Part 11 to read as follows: </w:t>
      </w:r>
    </w:p>
    <w:p w:rsidR="00744B1B" w:rsidRDefault="00744B1B" w:rsidP="00744B1B">
      <w:pPr>
        <w:rPr>
          <w:color w:val="000000"/>
        </w:rPr>
      </w:pPr>
    </w:p>
    <w:p w:rsidR="00744B1B" w:rsidRDefault="00744B1B" w:rsidP="00744B1B">
      <w:pPr>
        <w:rPr>
          <w:b/>
        </w:rPr>
      </w:pPr>
      <w:r>
        <w:rPr>
          <w:b/>
        </w:rPr>
        <w:t>PART 11 – EMERGENCY ALERT SYSTEM (EAS)</w:t>
      </w:r>
    </w:p>
    <w:p w:rsidR="00744B1B" w:rsidRDefault="00744B1B" w:rsidP="00744B1B">
      <w:pPr>
        <w:rPr>
          <w:b/>
          <w:bCs/>
        </w:rPr>
      </w:pPr>
    </w:p>
    <w:p w:rsidR="00744B1B" w:rsidRDefault="00744B1B" w:rsidP="00744B1B">
      <w:r>
        <w:t>1.</w:t>
      </w:r>
      <w:r>
        <w:tab/>
        <w:t xml:space="preserve">The authority citation for part 11 continues to read as follows: </w:t>
      </w:r>
    </w:p>
    <w:p w:rsidR="00744B1B" w:rsidRDefault="00744B1B" w:rsidP="00744B1B"/>
    <w:p w:rsidR="00744B1B" w:rsidRDefault="00744B1B" w:rsidP="00744B1B">
      <w:r>
        <w:t>Authority: 47 U.S.C. 151, 154 (i) and (o), 303(r), 544(g) and 606.</w:t>
      </w:r>
    </w:p>
    <w:p w:rsidR="00744B1B" w:rsidRDefault="00744B1B" w:rsidP="00744B1B"/>
    <w:p w:rsidR="00744B1B" w:rsidRDefault="00744B1B" w:rsidP="00744B1B">
      <w:r>
        <w:t>2.</w:t>
      </w:r>
      <w:r>
        <w:tab/>
        <w:t>Revise § 11.21 to read as follows:</w:t>
      </w:r>
    </w:p>
    <w:p w:rsidR="00744B1B" w:rsidRDefault="00744B1B" w:rsidP="00744B1B"/>
    <w:p w:rsidR="00744B1B" w:rsidRDefault="00744B1B" w:rsidP="00744B1B">
      <w:r>
        <w:rPr>
          <w:b/>
          <w:bCs/>
          <w:u w:val="single"/>
        </w:rPr>
        <w:t>§ 11.21 State and Local Area plans and FCC Mapbook</w:t>
      </w:r>
      <w:r>
        <w:rPr>
          <w:b/>
          <w:bCs/>
        </w:rPr>
        <w:t>.</w:t>
      </w:r>
    </w:p>
    <w:p w:rsidR="00744B1B" w:rsidRDefault="00744B1B" w:rsidP="00744B1B">
      <w:pPr>
        <w:rPr>
          <w:bCs/>
        </w:rPr>
      </w:pPr>
    </w:p>
    <w:p w:rsidR="00744B1B" w:rsidRDefault="00744B1B" w:rsidP="00744B1B">
      <w:pPr>
        <w:ind w:firstLine="720"/>
        <w:rPr>
          <w:bCs/>
        </w:rPr>
      </w:pPr>
      <w:r w:rsidRPr="00E94BEE">
        <w:rPr>
          <w:bCs/>
        </w:rPr>
        <w:t xml:space="preserve">EAS plans contain guidelines which must be followed by EAS Participants' personnel, emergency officials, and National Weather Service (NWS) personnel to activate the EAS. The plans include the EAS header codes and messages that will be transmitted by key EAS sources (NP, LP, SP and SR). State and local plans contain </w:t>
      </w:r>
      <w:r w:rsidRPr="00DC7885">
        <w:rPr>
          <w:bCs/>
        </w:rPr>
        <w:t>unique methods of EAS message distribution such as the use of the Radio Broadcast Data System (RBDS). The plans also include information on actions taken by EAS Participants, in coordination with state and local governments, to ensure timely access to EAS alert content by non-English speaking populations.</w:t>
      </w:r>
      <w:r w:rsidRPr="00E94BEE">
        <w:rPr>
          <w:bCs/>
        </w:rPr>
        <w:t xml:space="preserve">  The plans must be reviewed and approved by the Chief, Public Safety and Homeland Security Bureau, prior to implementation to ensure that they are consistent with national plans, FCC regulations, and EAS operation.</w:t>
      </w:r>
    </w:p>
    <w:p w:rsidR="00744B1B" w:rsidRDefault="00744B1B" w:rsidP="00744B1B">
      <w:pPr>
        <w:ind w:firstLine="720"/>
        <w:rPr>
          <w:bCs/>
        </w:rPr>
      </w:pPr>
    </w:p>
    <w:p w:rsidR="00744B1B" w:rsidRDefault="00744B1B" w:rsidP="00744B1B">
      <w:pPr>
        <w:ind w:firstLine="720"/>
        <w:rPr>
          <w:bCs/>
        </w:rPr>
      </w:pPr>
      <w:r>
        <w:rPr>
          <w:bCs/>
        </w:rPr>
        <w:t xml:space="preserve"> * * * </w:t>
      </w:r>
    </w:p>
    <w:p w:rsidR="00744B1B" w:rsidRPr="00DC7885" w:rsidRDefault="00744B1B" w:rsidP="00744B1B">
      <w:pPr>
        <w:ind w:firstLine="720"/>
        <w:rPr>
          <w:bCs/>
        </w:rPr>
      </w:pPr>
    </w:p>
    <w:p w:rsidR="00744B1B" w:rsidRPr="00DC7885" w:rsidRDefault="00744B1B" w:rsidP="00744B1B">
      <w:r w:rsidRPr="00DC7885">
        <w:t>(d) EAS Participants are required to provide the following information to their respective State Emergency Communications Committees (SECC) within one year from the publication in the Federal Register of a notice announcing the approval by the Office of Management and Budget of the modified information collection requirements under the Paperwork Reduction Act of 1995 and an effective date of the rule amendment:</w:t>
      </w:r>
    </w:p>
    <w:p w:rsidR="00744B1B" w:rsidRPr="00DC7885" w:rsidRDefault="00744B1B" w:rsidP="00744B1B"/>
    <w:p w:rsidR="00744B1B" w:rsidRPr="00DC7885" w:rsidRDefault="00744B1B" w:rsidP="00744B1B">
      <w:pPr>
        <w:ind w:firstLine="720"/>
      </w:pPr>
      <w:r w:rsidRPr="00DC7885">
        <w:t xml:space="preserve">(i) a description of any actions taken by the EAS Participant (acting individually, in conjunction with other EAS Participants in the geographic area, and/or in consultation with state and local emergency authorities), to make EAS alert content available in languages other than English to its non-English speaking audience(s), </w:t>
      </w:r>
    </w:p>
    <w:p w:rsidR="00744B1B" w:rsidRPr="00DC7885" w:rsidRDefault="00744B1B" w:rsidP="00744B1B">
      <w:pPr>
        <w:ind w:firstLine="720"/>
      </w:pPr>
      <w:r w:rsidRPr="00DC7885">
        <w:t xml:space="preserve">(ii) a description of any future actions planned by the EAS Participant, in consultation with state and local emergency authorities, to provide EAS alert content available in languages other than English to its non-English speaking audience(s), along with an explanation for the Participant’s decision to plan or not plan such actions, and </w:t>
      </w:r>
    </w:p>
    <w:p w:rsidR="00744B1B" w:rsidRPr="00DC7885" w:rsidRDefault="00744B1B" w:rsidP="00744B1B">
      <w:pPr>
        <w:ind w:firstLine="720"/>
      </w:pPr>
      <w:r w:rsidRPr="00DC7885">
        <w:t xml:space="preserve">(iii) any other relevant information that the EAS Participant may wish to provide, including state-specific demographics on languages other than English spoken within the state, and identification of resources used or necessary to originate current or proposed multilingual EAS alert content. </w:t>
      </w:r>
    </w:p>
    <w:p w:rsidR="00744B1B" w:rsidRPr="00DC7885" w:rsidRDefault="00744B1B" w:rsidP="00744B1B">
      <w:pPr>
        <w:ind w:firstLine="720"/>
      </w:pPr>
    </w:p>
    <w:p w:rsidR="00744B1B" w:rsidRPr="00DC7885" w:rsidRDefault="00744B1B" w:rsidP="00744B1B">
      <w:r w:rsidRPr="00DC7885">
        <w:t>(e) Within six months of the expiration of the one-year period referred to in subsection (d) of this section, SECCs shall, as determined by the Commission’s Public Safety and Homeland Security Bureau, provide a summary of such information as an amendment to or as otherwise included as part of the State EAS Plan filed by the SECC pursuant to Section 11.21 of this Part.</w:t>
      </w:r>
    </w:p>
    <w:p w:rsidR="00744B1B" w:rsidRPr="00B805FB" w:rsidRDefault="00744B1B" w:rsidP="00744B1B">
      <w:pPr>
        <w:rPr>
          <w:b/>
        </w:rPr>
      </w:pPr>
    </w:p>
    <w:p w:rsidR="00744B1B" w:rsidRPr="00DC7885" w:rsidRDefault="00744B1B" w:rsidP="00744B1B">
      <w:r w:rsidRPr="00DC7885">
        <w:t>(f) EAS Participants shall, within 60 days of any material change to the information they have reported pursuant to subsections (d)(i) and (d)(ii), submit letters describing such change to both their respective SECCs and the Chief, Public Safety and Homeland Security Bureau.  SECCs shall incorporate the information in such letters as amendments to the State EAS Plans on file with the Bureau under section 11.21 of this Part.</w:t>
      </w:r>
    </w:p>
    <w:p w:rsidR="00744B1B" w:rsidRPr="00DC7885" w:rsidRDefault="00744B1B" w:rsidP="00744B1B">
      <w:pPr>
        <w:rPr>
          <w:bCs/>
        </w:rPr>
      </w:pPr>
    </w:p>
    <w:p w:rsidR="00744B1B" w:rsidRDefault="00744B1B" w:rsidP="00744B1B">
      <w:pPr>
        <w:rPr>
          <w:b/>
        </w:rPr>
        <w:sectPr w:rsidR="00744B1B" w:rsidSect="00A66E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99"/>
        </w:sectPr>
      </w:pPr>
    </w:p>
    <w:p w:rsidR="00744B1B" w:rsidRDefault="00744B1B" w:rsidP="00744B1B">
      <w:pPr>
        <w:rPr>
          <w:b/>
        </w:rPr>
      </w:pPr>
      <w:r>
        <w:rPr>
          <w:b/>
        </w:rPr>
        <w:br w:type="page"/>
      </w:r>
    </w:p>
    <w:p w:rsidR="00744B1B" w:rsidRDefault="00744B1B" w:rsidP="00744B1B">
      <w:pPr>
        <w:jc w:val="center"/>
        <w:rPr>
          <w:b/>
        </w:rPr>
      </w:pPr>
      <w:r>
        <w:rPr>
          <w:b/>
        </w:rPr>
        <w:t>APPENDIX B</w:t>
      </w:r>
    </w:p>
    <w:p w:rsidR="00744B1B" w:rsidRDefault="00744B1B" w:rsidP="00744B1B">
      <w:pPr>
        <w:jc w:val="center"/>
        <w:rPr>
          <w:b/>
        </w:rPr>
      </w:pPr>
    </w:p>
    <w:p w:rsidR="00744B1B" w:rsidRDefault="00744B1B" w:rsidP="00744B1B">
      <w:pPr>
        <w:jc w:val="center"/>
        <w:rPr>
          <w:b/>
        </w:rPr>
      </w:pPr>
      <w:r w:rsidRPr="00156FCC">
        <w:rPr>
          <w:b/>
        </w:rPr>
        <w:t>Final Regulatory Flexibility Analysis</w:t>
      </w:r>
    </w:p>
    <w:p w:rsidR="00744B1B" w:rsidRPr="00156FCC" w:rsidRDefault="00744B1B" w:rsidP="00744B1B">
      <w:pPr>
        <w:jc w:val="center"/>
        <w:rPr>
          <w:b/>
        </w:rPr>
      </w:pPr>
    </w:p>
    <w:p w:rsidR="00744B1B" w:rsidRDefault="00744B1B" w:rsidP="00744B1B">
      <w:pPr>
        <w:pStyle w:val="ParaNum"/>
        <w:numPr>
          <w:ilvl w:val="0"/>
          <w:numId w:val="12"/>
        </w:numPr>
        <w:tabs>
          <w:tab w:val="clear" w:pos="1080"/>
          <w:tab w:val="num" w:pos="1440"/>
        </w:tabs>
      </w:pPr>
      <w:r w:rsidRPr="00156FCC">
        <w:t>As required by the Regulatory Flexibility Act of 1980, as amended (RFA),</w:t>
      </w:r>
      <w:r w:rsidRPr="00156FCC">
        <w:rPr>
          <w:rStyle w:val="FootnoteReference"/>
        </w:rPr>
        <w:footnoteReference w:id="88"/>
      </w:r>
      <w:r w:rsidRPr="00156FCC">
        <w:t xml:space="preserve"> an Initial Regulatory Flexibility Analysis (IRFA) was incorporated into the First Report and Order and Further Notice of Proposed Rulemaking (</w:t>
      </w:r>
      <w:r w:rsidRPr="002E16DA">
        <w:rPr>
          <w:i/>
        </w:rPr>
        <w:t>First FNPRM</w:t>
      </w:r>
      <w:r w:rsidRPr="00156FCC">
        <w:t>) in this proceeding.</w:t>
      </w:r>
      <w:r w:rsidRPr="00156FCC">
        <w:rPr>
          <w:rStyle w:val="FootnoteReference"/>
        </w:rPr>
        <w:footnoteReference w:id="89"/>
      </w:r>
      <w:r w:rsidRPr="00156FCC">
        <w:t xml:space="preserve">   The Commission sought written comment on the proposals in the </w:t>
      </w:r>
      <w:r w:rsidRPr="002E16DA">
        <w:rPr>
          <w:i/>
        </w:rPr>
        <w:t>First FNPRM</w:t>
      </w:r>
      <w:r w:rsidRPr="00156FCC">
        <w:t>, including comment on the IRFA.  Because the Order</w:t>
      </w:r>
      <w:r w:rsidRPr="002E16DA">
        <w:rPr>
          <w:i/>
        </w:rPr>
        <w:t xml:space="preserve"> </w:t>
      </w:r>
      <w:r w:rsidRPr="00156FCC">
        <w:t>amends the Commission’s rules, this Final Regulatory Flexibility Analysis (FRFA) con</w:t>
      </w:r>
      <w:r>
        <w:t>forms to the RFA.</w:t>
      </w:r>
    </w:p>
    <w:p w:rsidR="00744B1B" w:rsidRPr="00A16D3E" w:rsidRDefault="00744B1B" w:rsidP="00744B1B">
      <w:pPr>
        <w:pStyle w:val="Heading2"/>
        <w:numPr>
          <w:ilvl w:val="1"/>
          <w:numId w:val="16"/>
        </w:numPr>
      </w:pPr>
      <w:bookmarkStart w:id="340" w:name="_Toc405557613"/>
      <w:bookmarkStart w:id="341" w:name="_Toc405557723"/>
      <w:bookmarkStart w:id="342" w:name="_Toc405557990"/>
      <w:bookmarkStart w:id="343" w:name="_Toc405558270"/>
      <w:bookmarkStart w:id="344" w:name="_Toc405558646"/>
      <w:r w:rsidRPr="007F6264">
        <w:t>Need for, and Objectives of, the Order</w:t>
      </w:r>
      <w:bookmarkEnd w:id="340"/>
      <w:bookmarkEnd w:id="341"/>
      <w:bookmarkEnd w:id="342"/>
      <w:bookmarkEnd w:id="343"/>
      <w:bookmarkEnd w:id="344"/>
    </w:p>
    <w:p w:rsidR="00744B1B" w:rsidRPr="00156FCC" w:rsidRDefault="00744B1B" w:rsidP="00744B1B">
      <w:pPr>
        <w:pStyle w:val="ParaNum"/>
      </w:pPr>
      <w:r w:rsidRPr="00012C4B">
        <w:t>This Order adopts changes to the Commission’s Part 11 rules governing the Emergency Alert System (EAS) to require that State EAS Plans include a description of what steps have been taken by broadcasters, cable systems, and other entities subject to the Part 11 rules (generally referred to as “EAS Participants”), whether individually or in conjunction with state and local emergency authorities, to disseminate or broadcast, or otherwise make available, EAS alert content to non-English speaking audiences in such audiences’ primary language.  This Order also requires that State EAS Plans include a description of any future actions planned by EAS Participants, in consultation with state and local emergency authorities, to provide EAS alert content available in languages other than English to its non-English speaking audience(s), along with an explanation for the Participant’s decision to plan or not plan such actions.  The objectives of this rule change are to ensure that the Commission has sufficient and accurate information on any existing state and local mechanisms to distribute multilingual state and local EAS alert content, and more generally, to ensure that the issue of disseminating EAS alert content to non-English speaking audiences has been examined by EAS Participants and state and local emergency authorities, as coordinated by the State Emergency Communications Committees.</w:t>
      </w:r>
    </w:p>
    <w:p w:rsidR="00744B1B" w:rsidRPr="00C320A7" w:rsidRDefault="00744B1B" w:rsidP="00744B1B">
      <w:pPr>
        <w:pStyle w:val="Heading2"/>
        <w:numPr>
          <w:ilvl w:val="1"/>
          <w:numId w:val="16"/>
        </w:numPr>
      </w:pPr>
      <w:bookmarkStart w:id="345" w:name="_Toc405557614"/>
      <w:bookmarkStart w:id="346" w:name="_Toc405557724"/>
      <w:bookmarkStart w:id="347" w:name="_Toc405557991"/>
      <w:bookmarkStart w:id="348" w:name="_Toc405558271"/>
      <w:bookmarkStart w:id="349" w:name="_Toc405558647"/>
      <w:r w:rsidRPr="007F6264">
        <w:t>Summary of Significant Issues Raised by Public Comments in Response to the IRFA</w:t>
      </w:r>
      <w:bookmarkEnd w:id="345"/>
      <w:bookmarkEnd w:id="346"/>
      <w:bookmarkEnd w:id="347"/>
      <w:bookmarkEnd w:id="348"/>
      <w:bookmarkEnd w:id="349"/>
    </w:p>
    <w:p w:rsidR="00744B1B" w:rsidRDefault="00744B1B" w:rsidP="00744B1B">
      <w:pPr>
        <w:pStyle w:val="ParaNum"/>
      </w:pPr>
      <w:r>
        <w:t>The Small Business Administration (</w:t>
      </w:r>
      <w:r w:rsidRPr="00156FCC">
        <w:t>SBA</w:t>
      </w:r>
      <w:r>
        <w:t>)</w:t>
      </w:r>
      <w:r w:rsidRPr="00156FCC">
        <w:t xml:space="preserve"> filed no comments in this proceeding, and there were no other comments specifically addressed to the IRFA.</w:t>
      </w:r>
    </w:p>
    <w:p w:rsidR="00744B1B" w:rsidRPr="00C320A7" w:rsidRDefault="00744B1B" w:rsidP="00744B1B">
      <w:pPr>
        <w:pStyle w:val="Heading2"/>
        <w:numPr>
          <w:ilvl w:val="1"/>
          <w:numId w:val="16"/>
        </w:numPr>
      </w:pPr>
      <w:bookmarkStart w:id="350" w:name="_Toc405557615"/>
      <w:bookmarkStart w:id="351" w:name="_Toc405557725"/>
      <w:bookmarkStart w:id="352" w:name="_Toc405557992"/>
      <w:bookmarkStart w:id="353" w:name="_Toc405558272"/>
      <w:bookmarkStart w:id="354" w:name="_Toc405558648"/>
      <w:r w:rsidRPr="007F6264">
        <w:t>Description and Estimate of the Number of Small Entities to Which Rules Will A</w:t>
      </w:r>
      <w:r>
        <w:t>p</w:t>
      </w:r>
      <w:r w:rsidRPr="00C320A7">
        <w:t>ply</w:t>
      </w:r>
      <w:bookmarkEnd w:id="350"/>
      <w:bookmarkEnd w:id="351"/>
      <w:bookmarkEnd w:id="352"/>
      <w:bookmarkEnd w:id="353"/>
      <w:bookmarkEnd w:id="354"/>
    </w:p>
    <w:p w:rsidR="00744B1B" w:rsidRPr="00156FCC" w:rsidRDefault="00744B1B" w:rsidP="00744B1B">
      <w:pPr>
        <w:pStyle w:val="ParaNum"/>
      </w:pPr>
      <w:r w:rsidRPr="00156FCC">
        <w:t xml:space="preserve">The RFA directs agencies to provide a description of and, where feasible, an estimate of, the number of small entities that may be affected by the rules adopted herein.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SBA. </w:t>
      </w:r>
    </w:p>
    <w:p w:rsidR="00744B1B" w:rsidRPr="00156FCC" w:rsidRDefault="00744B1B" w:rsidP="00744B1B">
      <w:pPr>
        <w:pStyle w:val="ParaNum"/>
      </w:pPr>
      <w:r w:rsidRPr="00156FCC">
        <w:rPr>
          <w:i/>
        </w:rPr>
        <w:t>Small Businesses, Small Organizations, and Small Governmental Jurisdictions</w:t>
      </w:r>
      <w:r w:rsidRPr="00156FCC">
        <w:t>.  Our action may, over time, affect small entities that are not easily categorized at present.  We therefore describe here, at the outset, three comprehensive, statutory small entity size standards.</w:t>
      </w:r>
      <w:r w:rsidRPr="00156FCC">
        <w:rPr>
          <w:vertAlign w:val="superscript"/>
        </w:rPr>
        <w:footnoteReference w:id="90"/>
      </w:r>
      <w:r w:rsidRPr="00156FCC">
        <w:t xml:space="preserve">  First, nationwide, there are a total of approximately 2</w:t>
      </w:r>
      <w:r>
        <w:t>8</w:t>
      </w:r>
      <w:r w:rsidRPr="00156FCC">
        <w:t>.</w:t>
      </w:r>
      <w:r>
        <w:t>2</w:t>
      </w:r>
      <w:r w:rsidRPr="00156FCC">
        <w:t xml:space="preserve"> million small businesses, according to the SBA.</w:t>
      </w:r>
      <w:r w:rsidRPr="00156FCC">
        <w:rPr>
          <w:vertAlign w:val="superscript"/>
        </w:rPr>
        <w:footnoteReference w:id="91"/>
      </w:r>
      <w:r w:rsidRPr="00156FCC">
        <w:t xml:space="preserve">  In addition, a “small organization” is generally “any not-for-profit enterprise which is independently owne</w:t>
      </w:r>
      <w:r w:rsidRPr="00156FCC">
        <w:rPr>
          <w:iCs/>
        </w:rPr>
        <w:t>d and operated and is not dominant in its field.”</w:t>
      </w:r>
      <w:r w:rsidRPr="00156FCC">
        <w:rPr>
          <w:iCs/>
          <w:vertAlign w:val="superscript"/>
        </w:rPr>
        <w:footnoteReference w:id="92"/>
      </w:r>
      <w:r w:rsidRPr="00156FCC">
        <w:rPr>
          <w:iCs/>
        </w:rPr>
        <w:t xml:space="preserve">  Nationwide, as of 2007, there were approximately 1,621,315 small organizations.</w:t>
      </w:r>
      <w:r w:rsidRPr="00156FCC">
        <w:rPr>
          <w:iCs/>
          <w:vertAlign w:val="superscript"/>
        </w:rPr>
        <w:footnoteReference w:id="93"/>
      </w:r>
      <w:r w:rsidRPr="00156FCC">
        <w:rPr>
          <w:iCs/>
        </w:rPr>
        <w:t xml:space="preserve">  Finally, the term “small governmenta</w:t>
      </w:r>
      <w:r w:rsidRPr="00156FCC">
        <w:t>l</w:t>
      </w:r>
      <w:r w:rsidRPr="00156FCC">
        <w:rPr>
          <w:iCs/>
        </w:rPr>
        <w:t xml:space="preserve"> jurisdiction” is defined generally as “governments of cities, towns, townships, villages, school districts, or special districts, with a population of less than fifty thousand.”</w:t>
      </w:r>
      <w:r w:rsidRPr="00156FCC">
        <w:rPr>
          <w:iCs/>
          <w:vertAlign w:val="superscript"/>
        </w:rPr>
        <w:footnoteReference w:id="94"/>
      </w:r>
      <w:r w:rsidRPr="00156FCC">
        <w:rPr>
          <w:iCs/>
        </w:rPr>
        <w:t xml:space="preserve">  Census Bureau data for 2011 indicate that there</w:t>
      </w:r>
      <w:r w:rsidRPr="00156FCC">
        <w:t xml:space="preserve"> were 89,476 local governmental jurisdictions in the United States.</w:t>
      </w:r>
      <w:r w:rsidRPr="00156FCC">
        <w:rPr>
          <w:vertAlign w:val="superscript"/>
        </w:rPr>
        <w:footnoteReference w:id="95"/>
      </w:r>
      <w:r w:rsidRPr="00156FCC">
        <w:t xml:space="preserve">  We estimate that, of this total, as many as 88,506 entities may qualify as “small governmental jurisdictions.”</w:t>
      </w:r>
      <w:r w:rsidRPr="00156FCC">
        <w:rPr>
          <w:vertAlign w:val="superscript"/>
        </w:rPr>
        <w:footnoteReference w:id="96"/>
      </w:r>
      <w:r w:rsidRPr="00156FCC">
        <w:t xml:space="preserve">  Thus, we estimate that most governmental jurisdictions are small.</w:t>
      </w:r>
    </w:p>
    <w:p w:rsidR="00744B1B" w:rsidRPr="00156FCC" w:rsidRDefault="00744B1B" w:rsidP="00744B1B">
      <w:pPr>
        <w:pStyle w:val="ParaNum"/>
      </w:pPr>
      <w:r w:rsidRPr="00156FCC">
        <w:rPr>
          <w:i/>
        </w:rPr>
        <w:t>Television Broadcasting</w:t>
      </w:r>
      <w:r w:rsidRPr="00156FCC">
        <w:t>.  The SBA defines a television broadcasting station that has no more than $35.5 million in annual receipts as a small business.</w:t>
      </w:r>
      <w:r w:rsidRPr="00156FCC">
        <w:rPr>
          <w:vertAlign w:val="superscript"/>
        </w:rPr>
        <w:footnoteReference w:id="97"/>
      </w:r>
      <w:r w:rsidRPr="00156FCC">
        <w:t xml:space="preserve">  Business concerns included in this industry are those primarily engaged in broadcasting images together with sound.</w:t>
      </w:r>
      <w:r w:rsidRPr="00156FCC">
        <w:rPr>
          <w:vertAlign w:val="superscript"/>
        </w:rPr>
        <w:footnoteReference w:id="98"/>
      </w:r>
      <w:r w:rsidRPr="00156FCC">
        <w:t xml:space="preserve">  These establishments operate television broadcasting studios and facilities for the programming and transmission of programs to the public.</w:t>
      </w:r>
      <w:r w:rsidRPr="00156FCC">
        <w:rPr>
          <w:vertAlign w:val="superscript"/>
        </w:rPr>
        <w:footnoteReference w:id="99"/>
      </w:r>
      <w:r w:rsidRPr="00156FCC">
        <w:t xml:space="preserve">  These establishments also produce or transmit visual programming to affiliated broadcast television stations, which in turn broadcast the programs to the public on a predetermined schedule.</w:t>
      </w:r>
      <w:r w:rsidRPr="00156FCC">
        <w:rPr>
          <w:vertAlign w:val="superscript"/>
        </w:rPr>
        <w:footnoteReference w:id="100"/>
      </w:r>
      <w:r w:rsidRPr="00156FCC">
        <w:t xml:space="preserve">  Programming may originate in the station’s own studio, from an affiliated network, or from an external source.</w:t>
      </w:r>
      <w:r w:rsidRPr="00156FCC">
        <w:rPr>
          <w:vertAlign w:val="superscript"/>
        </w:rPr>
        <w:footnoteReference w:id="101"/>
      </w:r>
      <w:r w:rsidRPr="00156FCC">
        <w:t xml:space="preserve"> </w:t>
      </w:r>
    </w:p>
    <w:p w:rsidR="00744B1B" w:rsidRPr="00156FCC" w:rsidRDefault="00744B1B" w:rsidP="00744B1B">
      <w:pPr>
        <w:pStyle w:val="ParaNum"/>
      </w:pPr>
      <w:r w:rsidRPr="00156FCC">
        <w:t>According to Commission staff review of the BIA Financial Network, Inc. Media Access Pro Television Database as of March 31, 2013, about 90 percent of an estimated 1,385 commercial television stations in the United States have revenues of $3</w:t>
      </w:r>
      <w:r>
        <w:t>8</w:t>
      </w:r>
      <w:r w:rsidRPr="00156FCC">
        <w:t>.5 million or less.  Based on this data and the associated size standard, we conclude that the majority of such establishments are small.  The Commission has estimated the number of licensed noncommercial educational (“NCE”) stations to be 396.</w:t>
      </w:r>
      <w:r w:rsidRPr="00156FCC">
        <w:rPr>
          <w:vertAlign w:val="superscript"/>
        </w:rPr>
        <w:footnoteReference w:id="102"/>
      </w:r>
      <w:r w:rsidRPr="00156FCC">
        <w:t xml:space="preserve">  We do not have revenue estimates for NCE stations.  These stations rely primarily on grants and contributions for their operations, so we will assume that all of these entities qualify as small businesses.  In addition, there are approximately 567 licensed Class A stations, 2,227 licensed low power television (“LPTV”) stations, and 4,518 licensed TV translators.</w:t>
      </w:r>
      <w:r w:rsidRPr="00156FCC">
        <w:rPr>
          <w:vertAlign w:val="superscript"/>
        </w:rPr>
        <w:footnoteReference w:id="103"/>
      </w:r>
      <w:r w:rsidRPr="00156FCC">
        <w:t xml:space="preserve">  Given the nature of these services, we will presume that all LPTV licensees qualify as small entities under the above SBA small business size standard.</w:t>
      </w:r>
    </w:p>
    <w:p w:rsidR="00744B1B" w:rsidRPr="00156FCC" w:rsidRDefault="00744B1B" w:rsidP="00744B1B">
      <w:pPr>
        <w:pStyle w:val="ParaNum"/>
      </w:pPr>
      <w:r w:rsidRPr="00156FCC">
        <w:t>We note that in assessing whether a business entity qualifies as small under the above definition, business control affiliations must be included.</w:t>
      </w:r>
      <w:r w:rsidRPr="00156FCC">
        <w:rPr>
          <w:vertAlign w:val="superscript"/>
        </w:rPr>
        <w:footnoteReference w:id="104"/>
      </w:r>
      <w:r w:rsidRPr="00156FCC">
        <w:t xml:space="preserve">  Our estimate, therefore, likely overstates the number of small entities affected by the proposed rules because the revenue figures on which this estimate is based do not include or aggregate revenues from affiliated companies.</w:t>
      </w:r>
    </w:p>
    <w:p w:rsidR="00744B1B" w:rsidRDefault="00744B1B" w:rsidP="00744B1B">
      <w:pPr>
        <w:pStyle w:val="ParaNum"/>
      </w:pPr>
      <w:r w:rsidRPr="00156FCC">
        <w:t>In addition, an element of the definition of “small business” is that the entity not be dominant in its field of operation.  The Commission is unable at this time and in this context to define or quantify the criteria that would establish whether a specific television station is dominant in its market of operation.  Accordingly, the foregoing estimate of small businesses to which the rules may apply does not exclude any television stations from the definition of a small business on this basis and is therefore over-inclusive to that extent.  An additional element of the definition of “small business” is that the entity must be independently owned and operated.  It is difficult at times to assess these criteria in the context of media entities, and our estimates of small businesses to which they apply may be over-inclusive to this extent.</w:t>
      </w:r>
    </w:p>
    <w:p w:rsidR="00744B1B" w:rsidRPr="00156FCC" w:rsidRDefault="00744B1B" w:rsidP="00744B1B">
      <w:pPr>
        <w:pStyle w:val="ParaNum"/>
      </w:pPr>
      <w:r w:rsidRPr="00156FCC">
        <w:rPr>
          <w:i/>
        </w:rPr>
        <w:t>Radio Stations</w:t>
      </w:r>
      <w:r w:rsidRPr="00156FCC">
        <w:t>.  This Economic Census category comprises establishments primarily engaged in broadcasting aural programs by radio to the public.  Programming may originate in the station’s own studio, from an affiliated network, or from an external source.</w:t>
      </w:r>
      <w:r w:rsidRPr="00156FCC">
        <w:rPr>
          <w:vertAlign w:val="superscript"/>
        </w:rPr>
        <w:footnoteReference w:id="105"/>
      </w:r>
      <w:r w:rsidRPr="00156FCC">
        <w:t xml:space="preserve">  The SBA defines a radio broadcasting entity that has $3</w:t>
      </w:r>
      <w:r>
        <w:t>8</w:t>
      </w:r>
      <w:r w:rsidRPr="00156FCC">
        <w:t>.5 million or less in annual receipts as a small business.</w:t>
      </w:r>
      <w:r w:rsidRPr="00156FCC">
        <w:rPr>
          <w:vertAlign w:val="superscript"/>
        </w:rPr>
        <w:footnoteReference w:id="106"/>
      </w:r>
      <w:r w:rsidRPr="00156FCC">
        <w:t xml:space="preserve">  According to Commission staff review of the BIA Kelsey Inc. Media Access Radio Analyzer Database as of June 5, 2013, about 90 percent of the 11,340 of commercial radio stations in the United States have revenues of $3</w:t>
      </w:r>
      <w:r>
        <w:t>8</w:t>
      </w:r>
      <w:r w:rsidRPr="00156FCC">
        <w:t>.5 million or less.  Therefore, the majority of such entities are small.  The Commission has estimated the number of licensed noncommercial radio stations to be 3,917.</w:t>
      </w:r>
      <w:r w:rsidRPr="00156FCC">
        <w:rPr>
          <w:vertAlign w:val="superscript"/>
        </w:rPr>
        <w:footnoteReference w:id="107"/>
      </w:r>
      <w:r w:rsidRPr="00156FCC">
        <w:t xml:space="preserve">  We do not have revenue data or revenue estimates for these stations.  These stations rely primarily on grants and contributions for their operations, so we will assume that all of these entities qualify as small businesses.  We note that in assessing whether a business entity qualifies as small under the above definition, business control affiliations must be included.</w:t>
      </w:r>
      <w:r w:rsidRPr="00156FCC">
        <w:rPr>
          <w:vertAlign w:val="superscript"/>
        </w:rPr>
        <w:footnoteReference w:id="108"/>
      </w:r>
      <w:r w:rsidRPr="00156FCC">
        <w:t xml:space="preserve">  In addition, to be determined to be a “small business,” the entity may not be dominant in its field of operation.</w:t>
      </w:r>
      <w:r w:rsidRPr="00156FCC">
        <w:rPr>
          <w:vertAlign w:val="superscript"/>
        </w:rPr>
        <w:footnoteReference w:id="109"/>
      </w:r>
      <w:r w:rsidRPr="00156FCC">
        <w:t xml:space="preserve">  We note that it is difficult at times to assess these criteria in the context of media entities, and our estimate of small businesses may therefore be over-inclusive.</w:t>
      </w:r>
    </w:p>
    <w:p w:rsidR="00744B1B" w:rsidRDefault="00744B1B" w:rsidP="00744B1B">
      <w:pPr>
        <w:pStyle w:val="ParaNum"/>
      </w:pPr>
      <w:r w:rsidRPr="00156FCC">
        <w:t>The same SBA definition that applies to radio broadcast licensees would apply to low power FM (“LPFM”) stations.  The SBA defines a radio broadcast station as a small business if such station has no more than $3</w:t>
      </w:r>
      <w:r>
        <w:t>8</w:t>
      </w:r>
      <w:r w:rsidRPr="00156FCC">
        <w:t>.5 million in annual receipts.  Currently, there are approximately 864 licensed LPFM stations.  Given the nature of these services, we will presume that all of these licensees qualify as small under the SBA definition.</w:t>
      </w:r>
    </w:p>
    <w:p w:rsidR="00744B1B" w:rsidRPr="00CD56DB" w:rsidRDefault="00744B1B" w:rsidP="00744B1B">
      <w:pPr>
        <w:pStyle w:val="ParaNum"/>
      </w:pPr>
      <w:r w:rsidRPr="002942A3">
        <w:rPr>
          <w:i/>
        </w:rPr>
        <w:t>Wired Telecommunications Carriers</w:t>
      </w:r>
      <w:r w:rsidRPr="002942A3">
        <w:t>.</w:t>
      </w:r>
      <w:r w:rsidRPr="00CD56DB">
        <w:t xml:space="preserve">  This </w:t>
      </w:r>
      <w:r w:rsidRPr="00CD56DB">
        <w:rPr>
          <w:lang w:val="en"/>
        </w:rPr>
        <w:t xml:space="preserve">industry comprises establishments </w:t>
      </w:r>
      <w:r>
        <w:rPr>
          <w:lang w:val="en"/>
        </w:rPr>
        <w:t>“</w:t>
      </w:r>
      <w:r w:rsidRPr="00CD56DB">
        <w:rPr>
          <w:lang w:val="en"/>
        </w:rPr>
        <w:t>primarily engaged in operating and/or providing access to transmission facilities and infrastructure that they own and/or lease for the transmission of voice, data, text, sound, and video using wired telecommunications networks.</w:t>
      </w:r>
      <w:r>
        <w:rPr>
          <w:lang w:val="en"/>
        </w:rPr>
        <w:t>”</w:t>
      </w:r>
      <w:r>
        <w:rPr>
          <w:rStyle w:val="FootnoteReference"/>
          <w:lang w:val="en"/>
        </w:rPr>
        <w:footnoteReference w:id="110"/>
      </w:r>
      <w:r w:rsidRPr="00CD56DB">
        <w:rPr>
          <w:lang w:val="en"/>
        </w:rPr>
        <w:t xml:space="preserve">  Transmission facilities </w:t>
      </w:r>
      <w:r>
        <w:rPr>
          <w:lang w:val="en"/>
        </w:rPr>
        <w:t>“</w:t>
      </w:r>
      <w:r w:rsidRPr="00CD56DB">
        <w:rPr>
          <w:lang w:val="en"/>
        </w:rPr>
        <w:t>may be based on a single technology or a combination of technologies.</w:t>
      </w:r>
      <w:r>
        <w:rPr>
          <w:lang w:val="en"/>
        </w:rPr>
        <w:t>”</w:t>
      </w:r>
      <w:r>
        <w:rPr>
          <w:rStyle w:val="FootnoteReference"/>
          <w:lang w:val="en"/>
        </w:rPr>
        <w:footnoteReference w:id="111"/>
      </w:r>
      <w:r w:rsidRPr="00CD56DB">
        <w:rPr>
          <w:lang w:val="en"/>
        </w:rP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lang w:val="en"/>
        </w:rPr>
        <w:footnoteReference w:id="112"/>
      </w:r>
      <w:r w:rsidRPr="00CD56DB">
        <w:rPr>
          <w:lang w:val="en"/>
        </w:rPr>
        <w:t xml:space="preserve">  By exception, </w:t>
      </w:r>
      <w:r>
        <w:rPr>
          <w:lang w:val="en"/>
        </w:rPr>
        <w:t>“</w:t>
      </w:r>
      <w:r w:rsidRPr="00CD56DB">
        <w:rPr>
          <w:lang w:val="en"/>
        </w:rPr>
        <w:t>establishments providing satellite television distribution services using facilities and infrastructure that they operate are included in this industry.”</w:t>
      </w:r>
      <w:r w:rsidRPr="00CD56DB">
        <w:rPr>
          <w:rStyle w:val="FootnoteReference"/>
          <w:lang w:val="en"/>
        </w:rPr>
        <w:footnoteReference w:id="113"/>
      </w:r>
      <w:r w:rsidRPr="00CD56DB">
        <w:rPr>
          <w:lang w:val="en"/>
        </w:rPr>
        <w:t xml:space="preserve">  </w:t>
      </w:r>
      <w:r w:rsidRPr="00CD56DB">
        <w:t>In this category, the SBA deems a wired telecommunications carrier to be small if it has 1,500 or fewer employees.</w:t>
      </w:r>
      <w:r w:rsidRPr="00CD56DB">
        <w:rPr>
          <w:rStyle w:val="FootnoteReference"/>
        </w:rPr>
        <w:footnoteReference w:id="114"/>
      </w:r>
      <w:r w:rsidRPr="00CD56DB">
        <w:t xml:space="preserve">  Census data for 2007 shows 3,188 firms in this category.</w:t>
      </w:r>
      <w:r>
        <w:rPr>
          <w:rStyle w:val="FootnoteReference"/>
        </w:rPr>
        <w:footnoteReference w:id="115"/>
      </w:r>
      <w:r w:rsidRPr="00CD56DB">
        <w:t xml:space="preserve"> </w:t>
      </w:r>
      <w:r>
        <w:t xml:space="preserve"> </w:t>
      </w:r>
      <w:r w:rsidRPr="00CD56DB">
        <w:t>Of these, 3,144 had fewer than 1,000 employees.</w:t>
      </w:r>
      <w:r>
        <w:rPr>
          <w:rStyle w:val="FootnoteReference"/>
        </w:rPr>
        <w:footnoteReference w:id="116"/>
      </w:r>
      <w:r w:rsidRPr="00CD56DB">
        <w:t xml:space="preserve">  On this basis, the Commission estimates that a substantial majority of the providers of wired telecommunications carriers are small.</w:t>
      </w:r>
      <w:r w:rsidRPr="00CD56DB">
        <w:rPr>
          <w:vertAlign w:val="superscript"/>
        </w:rPr>
        <w:footnoteReference w:id="117"/>
      </w:r>
    </w:p>
    <w:p w:rsidR="00744B1B" w:rsidRPr="00156FCC" w:rsidRDefault="00744B1B" w:rsidP="00744B1B">
      <w:pPr>
        <w:pStyle w:val="ParaNum"/>
      </w:pPr>
      <w:r w:rsidRPr="00156FCC">
        <w:rPr>
          <w:i/>
        </w:rPr>
        <w:t>Cable Television Distribution Services.</w:t>
      </w:r>
      <w:r w:rsidRPr="00156FCC">
        <w:t xml:space="preserve">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rPr>
        <w:footnoteReference w:id="118"/>
      </w:r>
      <w:r w:rsidRPr="00156FCC">
        <w:t xml:space="preserve">  The SBA has developed a small business size standard for this category, which is:  all such businesses having 1,500 or fewer employees.</w:t>
      </w:r>
      <w:r w:rsidRPr="00156FCC">
        <w:rPr>
          <w:rStyle w:val="FootnoteReference"/>
        </w:rPr>
        <w:footnoteReference w:id="119"/>
      </w:r>
      <w:r w:rsidRPr="00156FCC">
        <w:t xml:space="preserve">  </w:t>
      </w:r>
      <w:r w:rsidRPr="00CD56DB">
        <w:t>Census data for 2007 shows 3,188 firms in this category.</w:t>
      </w:r>
      <w:r>
        <w:rPr>
          <w:rStyle w:val="FootnoteReference"/>
        </w:rPr>
        <w:footnoteReference w:id="120"/>
      </w:r>
      <w:r w:rsidRPr="00CD56DB">
        <w:t xml:space="preserve"> </w:t>
      </w:r>
      <w:r>
        <w:t xml:space="preserve"> </w:t>
      </w:r>
      <w:r w:rsidRPr="00CD56DB">
        <w:t>Of these, 3,144 had fewer than 1,000 employees.</w:t>
      </w:r>
      <w:r>
        <w:rPr>
          <w:rStyle w:val="FootnoteReference"/>
        </w:rPr>
        <w:footnoteReference w:id="121"/>
      </w:r>
      <w:r w:rsidRPr="00CD56DB">
        <w:t xml:space="preserve">  </w:t>
      </w:r>
      <w:r w:rsidRPr="00156FCC">
        <w:t xml:space="preserve">Therefore, under this size standard, we estimate that the majority of </w:t>
      </w:r>
      <w:r>
        <w:t xml:space="preserve">these </w:t>
      </w:r>
      <w:r w:rsidRPr="00156FCC">
        <w:t>businesses can be considered small.</w:t>
      </w:r>
    </w:p>
    <w:p w:rsidR="00744B1B" w:rsidRPr="00156FCC" w:rsidRDefault="00744B1B" w:rsidP="00744B1B">
      <w:pPr>
        <w:pStyle w:val="ParaNum"/>
      </w:pPr>
      <w:r w:rsidRPr="00156FCC">
        <w:rPr>
          <w:i/>
        </w:rPr>
        <w:t>Cable Companies and Systems</w:t>
      </w:r>
      <w:r>
        <w:rPr>
          <w:i/>
        </w:rPr>
        <w:t xml:space="preserve"> </w:t>
      </w:r>
      <w:r w:rsidRPr="00905EDE">
        <w:rPr>
          <w:i/>
        </w:rPr>
        <w:t>(Rate Regulation).</w:t>
      </w:r>
      <w:r w:rsidRPr="00D27D7E">
        <w:t xml:space="preserve"> </w:t>
      </w:r>
      <w:r>
        <w:t xml:space="preserve"> </w:t>
      </w:r>
      <w:r w:rsidRPr="00D27D7E">
        <w:t xml:space="preserve">The Commission has developed its own small business size standards for the purpose of cable rate regulation. </w:t>
      </w:r>
      <w:r>
        <w:t xml:space="preserve"> </w:t>
      </w:r>
      <w:r w:rsidRPr="00D27D7E">
        <w:t>Under the Commission's rules, a “small cable company” is one serving 400,000 or fewer subscribers nationwide.</w:t>
      </w:r>
      <w:r w:rsidRPr="005162B4">
        <w:rPr>
          <w:vertAlign w:val="superscript"/>
        </w:rPr>
        <w:footnoteReference w:id="122"/>
      </w:r>
      <w:r>
        <w:t xml:space="preserve"> </w:t>
      </w:r>
      <w:r w:rsidRPr="00D27D7E">
        <w:t xml:space="preserve"> Industry data indicate that there are currently 4,600 active cable systems in the United States.</w:t>
      </w:r>
      <w:r w:rsidRPr="00D27D7E">
        <w:rPr>
          <w:vertAlign w:val="superscript"/>
        </w:rPr>
        <w:footnoteReference w:id="123"/>
      </w:r>
      <w:r w:rsidRPr="00D27D7E">
        <w:t xml:space="preserve">  Of this total, all but nine cable operators nationwide are small under the 400,000-subscriber size standard.</w:t>
      </w:r>
      <w:r w:rsidRPr="009944EC">
        <w:rPr>
          <w:vertAlign w:val="superscript"/>
        </w:rPr>
        <w:footnoteReference w:id="124"/>
      </w:r>
      <w:r w:rsidRPr="00D27D7E">
        <w:t xml:space="preserve">  In addition, under the Commission's rate regulation rules, a “small system” is a cable system serving 15,000 or fewer subscribers. </w:t>
      </w:r>
      <w:r w:rsidRPr="00397936">
        <w:footnoteReference w:id="125"/>
      </w:r>
      <w:r w:rsidRPr="00D27D7E">
        <w:t xml:space="preserve">  Current Commission records show 4,600 cable systems nationwide.</w:t>
      </w:r>
      <w:r w:rsidRPr="009944EC">
        <w:rPr>
          <w:vertAlign w:val="superscript"/>
        </w:rPr>
        <w:footnoteReference w:id="126"/>
      </w:r>
      <w:r w:rsidRPr="009944EC">
        <w:rPr>
          <w:vertAlign w:val="superscript"/>
        </w:rPr>
        <w:t xml:space="preserve"> </w:t>
      </w:r>
      <w:r>
        <w:rPr>
          <w:vertAlign w:val="superscript"/>
        </w:rPr>
        <w:t xml:space="preserve"> </w:t>
      </w:r>
      <w:r w:rsidRPr="00D27D7E">
        <w:t>Of this total, 3,900 cable systems have fewer than 15,000 subscribers, and 700 systems have 15,000 or more subscribers, based on the same records.</w:t>
      </w:r>
      <w:r w:rsidRPr="00D27D7E">
        <w:rPr>
          <w:vertAlign w:val="superscript"/>
        </w:rPr>
        <w:footnoteReference w:id="127"/>
      </w:r>
      <w:r w:rsidRPr="00D27D7E">
        <w:t xml:space="preserve"> </w:t>
      </w:r>
      <w:r>
        <w:t xml:space="preserve"> </w:t>
      </w:r>
      <w:r w:rsidRPr="00D27D7E">
        <w:t>Thus, under this standard as well, we estimate that most cable systems are small entities.</w:t>
      </w:r>
    </w:p>
    <w:p w:rsidR="00744B1B" w:rsidRPr="00905EDE" w:rsidRDefault="00744B1B" w:rsidP="00744B1B">
      <w:pPr>
        <w:pStyle w:val="ParaNum"/>
      </w:pPr>
      <w:r w:rsidRPr="00905EDE">
        <w:rPr>
          <w:i/>
        </w:rPr>
        <w:t>Cable System Operators (Telecom Act Standard)</w:t>
      </w:r>
      <w:r w:rsidRPr="00156FCC">
        <w:t>.</w:t>
      </w:r>
      <w:r w:rsidRPr="00905EDE">
        <w:rPr>
          <w:b/>
        </w:rPr>
        <w:t xml:space="preserve"> </w:t>
      </w:r>
      <w:r w:rsidRPr="00397936">
        <w:t xml:space="preserve"> </w:t>
      </w:r>
      <w:r w:rsidRPr="00905EDE">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7042FD">
        <w:rPr>
          <w:vertAlign w:val="superscript"/>
        </w:rPr>
        <w:footnoteReference w:id="128"/>
      </w:r>
      <w:r w:rsidRPr="007042FD">
        <w:rPr>
          <w:vertAlign w:val="superscript"/>
        </w:rPr>
        <w:t xml:space="preserve"> </w:t>
      </w:r>
      <w:r>
        <w:t xml:space="preserve"> </w:t>
      </w:r>
      <w:r w:rsidRPr="00905EDE">
        <w:t>There are approximately 52,403,705 cable video subscribers in the United States</w:t>
      </w:r>
      <w:r>
        <w:t xml:space="preserve"> </w:t>
      </w:r>
      <w:r w:rsidRPr="00905EDE">
        <w:t>today.</w:t>
      </w:r>
      <w:r w:rsidRPr="007042FD">
        <w:rPr>
          <w:vertAlign w:val="superscript"/>
        </w:rPr>
        <w:footnoteReference w:id="129"/>
      </w:r>
      <w:r w:rsidRPr="007042FD">
        <w:rPr>
          <w:vertAlign w:val="superscript"/>
        </w:rPr>
        <w:t xml:space="preserve"> </w:t>
      </w:r>
      <w:r w:rsidRPr="00905EDE">
        <w:t xml:space="preserve"> Accordingly, an operator serving fewer than 524,037 subscribers shall be deemed a small operator if its annual revenues, when combined with the total annual revenues of all its affiliates, do not exceed $250 million in the aggregate.</w:t>
      </w:r>
      <w:r w:rsidRPr="007042FD">
        <w:rPr>
          <w:vertAlign w:val="superscript"/>
        </w:rPr>
        <w:footnoteReference w:id="130"/>
      </w:r>
      <w:r w:rsidRPr="00905EDE">
        <w:t xml:space="preserve">  Based on available data, we find that all but nine incumbent cable operators are small entities under this size standard.</w:t>
      </w:r>
      <w:r w:rsidRPr="007042FD">
        <w:rPr>
          <w:vertAlign w:val="superscript"/>
        </w:rPr>
        <w:footnoteReference w:id="131"/>
      </w:r>
      <w:r w:rsidRPr="00905EDE">
        <w:t xml:space="preserve">  We note that the Commission neither requests nor collects information on whether cable system operators are affiliated with entities whose gross annual revenues exceed $250 million.</w:t>
      </w:r>
      <w:r w:rsidRPr="007042FD">
        <w:rPr>
          <w:vertAlign w:val="superscript"/>
        </w:rPr>
        <w:footnoteReference w:id="132"/>
      </w:r>
      <w:r w:rsidRPr="007042FD">
        <w:rPr>
          <w:vertAlign w:val="superscript"/>
        </w:rPr>
        <w:t xml:space="preserve"> </w:t>
      </w:r>
      <w:r w:rsidRPr="00905EDE">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744B1B" w:rsidRPr="00156FCC" w:rsidRDefault="00744B1B" w:rsidP="00744B1B">
      <w:pPr>
        <w:pStyle w:val="ParaNum"/>
      </w:pPr>
      <w:r w:rsidRPr="00156FCC">
        <w:rPr>
          <w:i/>
        </w:rPr>
        <w:t>Broadband Radio Service and Educational Broadband Service.</w:t>
      </w:r>
      <w:r w:rsidRPr="00156FCC">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156FCC">
        <w:rPr>
          <w:rStyle w:val="FootnoteReference"/>
        </w:rPr>
        <w:footnoteReference w:id="133"/>
      </w:r>
      <w:r w:rsidRPr="00156FCC">
        <w:t xml:space="preserve">  In connection with the 1996 BRS auction, the Commission established a “small business” as an entity that had annual average gross revenues of no more than $40 million in the previous three years.</w:t>
      </w:r>
      <w:r w:rsidRPr="00156FCC">
        <w:rPr>
          <w:rStyle w:val="FootnoteReference"/>
        </w:rPr>
        <w:footnoteReference w:id="134"/>
      </w:r>
      <w:r w:rsidRPr="00156FCC">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156FCC">
        <w:rPr>
          <w:rStyle w:val="FootnoteReference"/>
        </w:rPr>
        <w:footnoteReference w:id="135"/>
      </w:r>
      <w:r w:rsidRPr="00156FCC">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which resulted in the licensing of 78 authorizations in the BRS areas.</w:t>
      </w:r>
      <w:r w:rsidRPr="00156FCC">
        <w:rPr>
          <w:rStyle w:val="FootnoteReference"/>
        </w:rPr>
        <w:footnoteReference w:id="136"/>
      </w:r>
      <w:r w:rsidRPr="00156FCC">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156FCC">
        <w:rPr>
          <w:rStyle w:val="FootnoteReference"/>
        </w:rPr>
        <w:footnoteReference w:id="137"/>
      </w:r>
      <w:r w:rsidRPr="00156FCC">
        <w:t xml:space="preserve">  Auction 86 concluded in 2009 with the sale of 61 licenses.</w:t>
      </w:r>
      <w:r w:rsidRPr="00156FCC">
        <w:rPr>
          <w:rStyle w:val="FootnoteReference"/>
        </w:rPr>
        <w:footnoteReference w:id="138"/>
      </w:r>
      <w:r w:rsidRPr="00156FCC">
        <w:t xml:space="preserve">  Of the ten winning bidders, two bidders that claimed small business status won four licenses; one bidder that claimed very small business status won three licenses; and two bidders that claimed entrepreneur status won six licenses.</w:t>
      </w:r>
    </w:p>
    <w:p w:rsidR="00744B1B" w:rsidRPr="007F6264" w:rsidRDefault="00744B1B" w:rsidP="00744B1B">
      <w:pPr>
        <w:pStyle w:val="ParaNum"/>
      </w:pPr>
      <w:r w:rsidRPr="007F6264">
        <w:t>In addition, the SBA’s placement of Cable Television Distribution Services in the category of Wired Telecommunications Carriers is applicable to cable-based Educati</w:t>
      </w:r>
      <w:r w:rsidRPr="00156FCC">
        <w:t>onal Broadcasting Services.  Since 2007,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rPr>
        <w:footnoteReference w:id="139"/>
      </w:r>
      <w:r w:rsidRPr="007F6264">
        <w:t xml:space="preserve">  The SBA has developed a small business size standard for this category, which is:  all such businesses having 1,500 or fewe</w:t>
      </w:r>
      <w:r w:rsidRPr="00156FCC">
        <w:t>r employees.</w:t>
      </w:r>
      <w:r w:rsidRPr="00156FCC">
        <w:rPr>
          <w:rStyle w:val="FootnoteReference"/>
        </w:rPr>
        <w:footnoteReference w:id="140"/>
      </w:r>
      <w:r w:rsidRPr="007F6264">
        <w:t xml:space="preserve">  </w:t>
      </w:r>
      <w:r w:rsidRPr="00CD56DB">
        <w:t>Census data for 2007 shows 3,188 firms in this category.</w:t>
      </w:r>
      <w:r>
        <w:rPr>
          <w:rStyle w:val="FootnoteReference"/>
        </w:rPr>
        <w:footnoteReference w:id="141"/>
      </w:r>
      <w:r w:rsidRPr="00CD56DB">
        <w:t xml:space="preserve"> </w:t>
      </w:r>
      <w:r>
        <w:t xml:space="preserve"> </w:t>
      </w:r>
      <w:r w:rsidRPr="00CD56DB">
        <w:t>Of these, 3,144 had fewer than 1,000 employees.</w:t>
      </w:r>
      <w:r>
        <w:rPr>
          <w:rStyle w:val="FootnoteReference"/>
        </w:rPr>
        <w:footnoteReference w:id="142"/>
      </w:r>
      <w:r w:rsidRPr="00CD56DB">
        <w:t xml:space="preserve">  </w:t>
      </w:r>
      <w:r w:rsidRPr="00156FCC">
        <w:t xml:space="preserve">Therefore, under this size standard, we estimate that the majority of </w:t>
      </w:r>
      <w:r>
        <w:t xml:space="preserve">these </w:t>
      </w:r>
      <w:r w:rsidRPr="00156FCC">
        <w:t>businesses can be considered small.</w:t>
      </w:r>
      <w:r>
        <w:t xml:space="preserve">  </w:t>
      </w:r>
      <w:r w:rsidRPr="007F6264">
        <w:t>Therefore, under this size standard, we estimate that the majority of businesses can be considered small entities.  In addition to Census data, the Commission’s internal records indicate that as of September 2014, there are 2,207 active EBS licenses.</w:t>
      </w:r>
      <w:r w:rsidRPr="00156FCC">
        <w:rPr>
          <w:rStyle w:val="FootnoteReference"/>
        </w:rPr>
        <w:footnoteReference w:id="143"/>
      </w:r>
      <w:r w:rsidRPr="007F6264">
        <w:t xml:space="preserve">  T</w:t>
      </w:r>
      <w:r w:rsidRPr="00156FCC">
        <w:t>he Commission estimates that of these 2,207 licenses, the majority are held by non-profit educational institutions and school districts, which are by statute defined as small businesses.</w:t>
      </w:r>
      <w:r w:rsidRPr="00156FCC">
        <w:rPr>
          <w:rStyle w:val="FootnoteReference"/>
        </w:rPr>
        <w:footnoteReference w:id="144"/>
      </w:r>
    </w:p>
    <w:p w:rsidR="00744B1B" w:rsidRPr="00156FCC" w:rsidRDefault="00744B1B" w:rsidP="00744B1B">
      <w:pPr>
        <w:pStyle w:val="ParaNum"/>
        <w:widowControl/>
        <w:numPr>
          <w:ilvl w:val="0"/>
          <w:numId w:val="12"/>
        </w:numPr>
        <w:tabs>
          <w:tab w:val="clear" w:pos="1080"/>
          <w:tab w:val="num" w:pos="1440"/>
        </w:tabs>
      </w:pPr>
      <w:r w:rsidRPr="007641E0">
        <w:rPr>
          <w:i/>
        </w:rPr>
        <w:t>Wireless Telecommunications Carriers (except satellite).</w:t>
      </w:r>
      <w:r w:rsidRPr="00156FCC">
        <w:t xml:space="preserve">  This </w:t>
      </w:r>
      <w:r w:rsidRPr="0037463D">
        <w:t>industry comprises establishments engaged in operating and maintaining switching and transmission facilities to provide communications via the airwaves.</w:t>
      </w:r>
      <w:r>
        <w:rPr>
          <w:rStyle w:val="FootnoteReference"/>
        </w:rPr>
        <w:footnoteReference w:id="145"/>
      </w:r>
      <w:r w:rsidRPr="0037463D">
        <w:t xml:space="preserve">  Establishments in this industry have spectrum licenses and provide services using that spectrum, such as cellular phone services, paging services, wireless Internet access, and wireless video services.</w:t>
      </w:r>
      <w:r>
        <w:rPr>
          <w:rStyle w:val="FootnoteReference"/>
        </w:rPr>
        <w:footnoteReference w:id="146"/>
      </w:r>
      <w:r>
        <w:t xml:space="preserve">  </w:t>
      </w:r>
      <w:r w:rsidRPr="0037463D">
        <w:t xml:space="preserve">The appropriate size standard under SBA rules for the category </w:t>
      </w:r>
      <w:r>
        <w:t>“</w:t>
      </w:r>
      <w:r w:rsidRPr="0037463D">
        <w:t>Wireless Telecommunications Carriers (except satellite)</w:t>
      </w:r>
      <w:r>
        <w:t>”</w:t>
      </w:r>
      <w:r w:rsidRPr="0037463D">
        <w:t xml:space="preserve"> is that a business is small if it has 1,500 or fewer employees.</w:t>
      </w:r>
      <w:r>
        <w:rPr>
          <w:rStyle w:val="FootnoteReference"/>
        </w:rPr>
        <w:footnoteReference w:id="147"/>
      </w:r>
      <w:r w:rsidRPr="0037463D">
        <w:t xml:space="preserve">  Census data for 2007 show that there were 1,383 firms that operated for the entire year.</w:t>
      </w:r>
      <w:r>
        <w:rPr>
          <w:rStyle w:val="FootnoteReference"/>
        </w:rPr>
        <w:footnoteReference w:id="148"/>
      </w:r>
      <w:r>
        <w:t xml:space="preserve">  </w:t>
      </w:r>
      <w:r w:rsidRPr="0037463D">
        <w:t>Of this total, 1,368 firms had employment of fewer than 1000 employees.</w:t>
      </w:r>
      <w:r>
        <w:rPr>
          <w:rStyle w:val="FootnoteReference"/>
        </w:rPr>
        <w:footnoteReference w:id="149"/>
      </w:r>
      <w:r w:rsidRPr="0037463D">
        <w:t xml:space="preserve">  Thus under this category and the associated small business size standard, the Commission estimates that the majority of wireless telecommunications carriers (except satellite) are small.</w:t>
      </w:r>
      <w:r>
        <w:rPr>
          <w:rStyle w:val="FootnoteReference"/>
        </w:rPr>
        <w:footnoteReference w:id="150"/>
      </w:r>
    </w:p>
    <w:p w:rsidR="00744B1B" w:rsidRDefault="00744B1B" w:rsidP="00744B1B">
      <w:pPr>
        <w:pStyle w:val="ParaNum"/>
      </w:pPr>
      <w:r w:rsidRPr="007641E0">
        <w:rPr>
          <w:i/>
        </w:rPr>
        <w:t xml:space="preserve">Incumbent Local Exchange Carriers </w:t>
      </w:r>
      <w:r w:rsidRPr="00156FCC">
        <w:t>(</w:t>
      </w:r>
      <w:r w:rsidRPr="007641E0">
        <w:rPr>
          <w:i/>
        </w:rPr>
        <w:t>Incumbent LECs</w:t>
      </w:r>
      <w:r w:rsidRPr="00156FCC">
        <w:t>).  Neither the Commission nor the SBA has developed a size standard for small businesses specifically applicable to incumbent local exchange services.  The closest applicable size standard under SBA rules is for Wired Telecommunications Carriers.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151"/>
      </w:r>
      <w:r w:rsidRPr="00156FCC">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156FCC">
        <w:rPr>
          <w:rStyle w:val="FootnoteReference"/>
        </w:rPr>
        <w:footnoteReference w:id="152"/>
      </w:r>
      <w:r w:rsidRPr="00156FCC">
        <w:t xml:space="preserve">  The SBA has developed a small business size standard for this category, which is:  all such businesses having 1,500 or fewer employees.</w:t>
      </w:r>
      <w:r w:rsidRPr="00156FCC">
        <w:rPr>
          <w:rStyle w:val="FootnoteReference"/>
        </w:rPr>
        <w:footnoteReference w:id="153"/>
      </w:r>
      <w:r w:rsidRPr="00156FCC">
        <w:t xml:space="preserve">  </w:t>
      </w:r>
      <w:r w:rsidRPr="00CD56DB">
        <w:t>Census data for 2007 shows 3,188 firms in this category.</w:t>
      </w:r>
      <w:r>
        <w:rPr>
          <w:rStyle w:val="FootnoteReference"/>
        </w:rPr>
        <w:footnoteReference w:id="154"/>
      </w:r>
      <w:r w:rsidRPr="00CD56DB">
        <w:t xml:space="preserve"> </w:t>
      </w:r>
      <w:r>
        <w:t xml:space="preserve"> </w:t>
      </w:r>
      <w:r w:rsidRPr="00CD56DB">
        <w:t>Of these, 3,144 had fewer than 1,000 employees.</w:t>
      </w:r>
      <w:r>
        <w:rPr>
          <w:rStyle w:val="FootnoteReference"/>
        </w:rPr>
        <w:footnoteReference w:id="155"/>
      </w:r>
      <w:r w:rsidRPr="00CD56DB">
        <w:t xml:space="preserve">  </w:t>
      </w:r>
      <w:r w:rsidRPr="00156FCC">
        <w:t>Consequently, the Commission estimates that most providers of incumbent local exchange service are small businesses.</w:t>
      </w:r>
      <w:r>
        <w:t xml:space="preserve"> </w:t>
      </w:r>
    </w:p>
    <w:p w:rsidR="00744B1B" w:rsidRPr="00156FCC" w:rsidRDefault="00744B1B" w:rsidP="00744B1B">
      <w:pPr>
        <w:pStyle w:val="ParaNum"/>
      </w:pPr>
      <w:r>
        <w:t>W</w:t>
      </w:r>
      <w:r w:rsidRPr="00156FCC">
        <w:t xml:space="preserve">e have included small incumbent LECs in this present RFA analysis.  As noted above, a “small business” under the RFA is one that, </w:t>
      </w:r>
      <w:r w:rsidRPr="007641E0">
        <w:rPr>
          <w:i/>
          <w:iCs/>
        </w:rPr>
        <w:t>inter alia</w:t>
      </w:r>
      <w:r w:rsidRPr="00156FCC">
        <w:t>, meets the pertinent small business size standard (</w:t>
      </w:r>
      <w:r w:rsidRPr="007641E0">
        <w:rPr>
          <w:iCs/>
        </w:rPr>
        <w:t>e.g.</w:t>
      </w:r>
      <w:r w:rsidRPr="00156FCC">
        <w:t>, a telephone communications business having 1,500 or fewer employees), and “is not dominant in its field of operation.”</w:t>
      </w:r>
      <w:r w:rsidRPr="00156FCC">
        <w:rPr>
          <w:vertAlign w:val="superscript"/>
        </w:rPr>
        <w:footnoteReference w:id="156"/>
      </w:r>
      <w:r w:rsidRPr="00156FCC">
        <w:t xml:space="preserve">  The SBA’s Office of Advocacy contends that, for RFA purposes, small incumbent LECs are not dominant in their field of operation because any such dominance is not “national” in scope.</w:t>
      </w:r>
      <w:r w:rsidRPr="00156FCC">
        <w:rPr>
          <w:vertAlign w:val="superscript"/>
        </w:rPr>
        <w:footnoteReference w:id="157"/>
      </w:r>
      <w:r w:rsidRPr="00156FCC">
        <w:t xml:space="preserve">  We have therefore included small incumbent LECs in this RFA analysis, although we emphasize that this RFA action has no effect on Commission analyses and determinations in other, non-RFA contexts.</w:t>
      </w:r>
    </w:p>
    <w:p w:rsidR="00744B1B" w:rsidRDefault="00744B1B" w:rsidP="00744B1B">
      <w:pPr>
        <w:pStyle w:val="ParaNum"/>
      </w:pPr>
      <w:r w:rsidRPr="00156FCC">
        <w:rPr>
          <w:i/>
        </w:rPr>
        <w:t>Competitive Local Exchange Carriers (Competitive LECs), Competitive Access Providers (CAPs), Shared-Tenant Service Providers, and Other Local Service Providers.</w:t>
      </w:r>
      <w:r w:rsidRPr="00156FCC">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156FCC">
        <w:rPr>
          <w:vertAlign w:val="superscript"/>
        </w:rPr>
        <w:footnoteReference w:id="158"/>
      </w:r>
      <w:r w:rsidRPr="00156FCC">
        <w:t xml:space="preserve">  According to Commission data, 1,442 carriers reported that they were engaged in the provision of either competitive local exchange services or competitive access provider services.</w:t>
      </w:r>
      <w:r w:rsidRPr="00156FCC">
        <w:rPr>
          <w:vertAlign w:val="superscript"/>
        </w:rPr>
        <w:footnoteReference w:id="159"/>
      </w:r>
      <w:r w:rsidRPr="00156FCC">
        <w:t xml:space="preserve">  Of these 1,442 carriers, an estimated 1,256 have 1,500 or fewer employees and 186 have more than 1,500 employees.</w:t>
      </w:r>
      <w:r w:rsidRPr="00156FCC">
        <w:rPr>
          <w:vertAlign w:val="superscript"/>
        </w:rPr>
        <w:footnoteReference w:id="160"/>
      </w:r>
      <w:r w:rsidRPr="00156FCC">
        <w:t xml:space="preserve">  In addition, 17 carriers have reported that they are Shared-Tenant Service Providers, and all 17 are estimated to have 1,500 or fewer employees.</w:t>
      </w:r>
      <w:r w:rsidRPr="00156FCC">
        <w:rPr>
          <w:rStyle w:val="FootnoteReference"/>
        </w:rPr>
        <w:footnoteReference w:id="161"/>
      </w:r>
      <w:r w:rsidRPr="00156FCC">
        <w:t xml:space="preserve">  In addition, 72 carriers have reported that they are Other Local Service Providers.</w:t>
      </w:r>
      <w:r w:rsidRPr="00156FCC">
        <w:rPr>
          <w:rStyle w:val="FootnoteReference"/>
        </w:rPr>
        <w:footnoteReference w:id="162"/>
      </w:r>
      <w:r w:rsidRPr="00156FCC">
        <w:t xml:space="preserve">  Of the 72, seventy have 1,500 or fewer employees and two have more than 1,500 employees.</w:t>
      </w:r>
      <w:r w:rsidRPr="00156FCC">
        <w:rPr>
          <w:rStyle w:val="FootnoteReference"/>
        </w:rPr>
        <w:footnoteReference w:id="163"/>
      </w:r>
      <w:r w:rsidRPr="00156FCC">
        <w:t xml:space="preserve">  Consequently, the Commission estimates that most providers of competitive local exchange service, competitive access providers, Shared-Tenant Service Providers, and Other Local Service Providers are small.</w:t>
      </w:r>
    </w:p>
    <w:p w:rsidR="00744B1B" w:rsidRPr="008055BF" w:rsidRDefault="00744B1B" w:rsidP="00744B1B">
      <w:pPr>
        <w:pStyle w:val="ParaNum"/>
      </w:pPr>
      <w:r w:rsidRPr="00156FCC">
        <w:rPr>
          <w:i/>
        </w:rPr>
        <w:t>Satellite Telecommunications.</w:t>
      </w:r>
      <w:r w:rsidRPr="00156FCC">
        <w:t xml:space="preserve">  </w:t>
      </w:r>
      <w:r w:rsidRPr="008055BF">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8055BF">
        <w:rPr>
          <w:vertAlign w:val="superscript"/>
        </w:rPr>
        <w:footnoteReference w:id="164"/>
      </w:r>
      <w:r w:rsidRPr="008055BF">
        <w:t xml:space="preserve">  The category has a small business size standard of $32.5 million or less in average annual receipts, under SBA rules.</w:t>
      </w:r>
      <w:r w:rsidRPr="008055BF">
        <w:rPr>
          <w:vertAlign w:val="superscript"/>
        </w:rPr>
        <w:footnoteReference w:id="165"/>
      </w:r>
      <w:r w:rsidRPr="008055BF">
        <w:t xml:space="preserve">  For this category, Census Bureau data for 2007 show that there were a total of 512 firms that operated for the entire year.</w:t>
      </w:r>
      <w:r w:rsidRPr="008055BF">
        <w:rPr>
          <w:vertAlign w:val="superscript"/>
        </w:rPr>
        <w:footnoteReference w:id="166"/>
      </w:r>
      <w:r w:rsidRPr="008055BF">
        <w:t xml:space="preserve">  Of this total, 482 firms had annual receipts of less than $25 million.</w:t>
      </w:r>
      <w:r w:rsidRPr="008055BF">
        <w:rPr>
          <w:vertAlign w:val="superscript"/>
        </w:rPr>
        <w:footnoteReference w:id="167"/>
      </w:r>
      <w:r w:rsidRPr="008055BF">
        <w:t xml:space="preserve">  Consequently, we estimate that the majority of satellite telecommunications providers are small entities. </w:t>
      </w:r>
    </w:p>
    <w:p w:rsidR="00744B1B" w:rsidRPr="00B42601" w:rsidRDefault="00744B1B" w:rsidP="00744B1B">
      <w:pPr>
        <w:pStyle w:val="ParaNum"/>
      </w:pPr>
      <w:r w:rsidRPr="00397936">
        <w:rPr>
          <w:i/>
        </w:rPr>
        <w:t>All Other Telecommunications</w:t>
      </w:r>
      <w:r w:rsidRPr="001D2D15">
        <w:t>.</w:t>
      </w:r>
      <w:r w:rsidRPr="00F85A68">
        <w:rPr>
          <w:b/>
        </w:rPr>
        <w:t xml:space="preserve"> </w:t>
      </w:r>
      <w:r w:rsidRPr="00F00965">
        <w:t>“</w:t>
      </w:r>
      <w:r w:rsidRPr="00F85A68">
        <w:t xml:space="preserve">All Other Telecommunications” is defined as follows. “This U.S. industry comprises establishments primarily engaged in providing specialized telecommunications services, such as satellite tracking, communications telemetry, and radar station operation. </w:t>
      </w:r>
      <w:r>
        <w:t xml:space="preserve"> </w:t>
      </w:r>
      <w:r w:rsidRPr="00F85A68">
        <w:t xml:space="preserve">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397936">
        <w:t xml:space="preserve">Establishments providing Internet services or </w:t>
      </w:r>
      <w:r w:rsidRPr="00F85A68">
        <w:t>voice</w:t>
      </w:r>
      <w:r w:rsidRPr="00397936">
        <w:t xml:space="preserve"> over Internet </w:t>
      </w:r>
      <w:r w:rsidRPr="00F85A68">
        <w:t>protocol</w:t>
      </w:r>
      <w:r w:rsidRPr="00397936">
        <w:t xml:space="preserve"> (VoIP) services via client-supplied telecommunications connections are also included in this industry</w:t>
      </w:r>
      <w:r w:rsidRPr="00F85A68">
        <w:t>.</w:t>
      </w:r>
      <w:r w:rsidRPr="00F85A68">
        <w:rPr>
          <w:vertAlign w:val="superscript"/>
        </w:rPr>
        <w:footnoteReference w:id="168"/>
      </w:r>
      <w:r w:rsidRPr="00F85A68">
        <w:t xml:space="preserve">  </w:t>
      </w:r>
      <w:r w:rsidRPr="0037463D">
        <w:t xml:space="preserve">The SBA has developed a small business size standard for </w:t>
      </w:r>
      <w:r>
        <w:t>“</w:t>
      </w:r>
      <w:r w:rsidRPr="0037463D">
        <w:t>All Other Telecommunications,</w:t>
      </w:r>
      <w:r>
        <w:t>”</w:t>
      </w:r>
      <w:r w:rsidRPr="0037463D">
        <w:t xml:space="preserve"> which consists of all such firms with gross annual receipts of $32.5 million or less.</w:t>
      </w:r>
      <w:r>
        <w:rPr>
          <w:rStyle w:val="FootnoteReference"/>
        </w:rPr>
        <w:footnoteReference w:id="169"/>
      </w:r>
      <w:r>
        <w:t xml:space="preserve">  </w:t>
      </w:r>
      <w:r w:rsidRPr="0037463D">
        <w:t>For this category, census data for 2007 show that there were 2,383 firms that operated for the entire year.</w:t>
      </w:r>
      <w:r>
        <w:rPr>
          <w:rStyle w:val="FootnoteReference"/>
        </w:rPr>
        <w:footnoteReference w:id="170"/>
      </w:r>
      <w:r>
        <w:t xml:space="preserve">  </w:t>
      </w:r>
      <w:r w:rsidRPr="0037463D">
        <w:t>Of those firms, a total of 2,346 had gross annual receipts of less than $25 million.</w:t>
      </w:r>
      <w:r>
        <w:t xml:space="preserve">  </w:t>
      </w:r>
      <w:r w:rsidRPr="0037463D">
        <w:t xml:space="preserve">Thus, </w:t>
      </w:r>
      <w:r>
        <w:t>we estimate that the</w:t>
      </w:r>
      <w:r w:rsidRPr="0037463D">
        <w:t xml:space="preserve"> majority of All Other Telecommunications firms can be considered small.   </w:t>
      </w:r>
      <w:r w:rsidRPr="00F85A68">
        <w:t xml:space="preserve">   </w:t>
      </w:r>
    </w:p>
    <w:p w:rsidR="00744B1B" w:rsidRDefault="00744B1B" w:rsidP="00744B1B">
      <w:pPr>
        <w:pStyle w:val="ParaNum"/>
      </w:pPr>
      <w:r w:rsidRPr="007F6264">
        <w:rPr>
          <w:i/>
        </w:rPr>
        <w:t>Direct Broadcast Satellite (“DBS”) Service</w:t>
      </w:r>
      <w:r w:rsidRPr="00156FCC">
        <w:t>.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156FCC">
        <w:rPr>
          <w:rStyle w:val="FootnoteReference"/>
        </w:rPr>
        <w:footnoteReference w:id="171"/>
      </w:r>
      <w:r w:rsidRPr="007F6264">
        <w:t xml:space="preserve"> which was developed for small wireline businesses.  </w:t>
      </w:r>
      <w:r w:rsidRPr="00156FCC">
        <w:t>The SBA has developed a small business size standard for this category, which is:  all such businesses having 1,500 or fewer employees.</w:t>
      </w:r>
      <w:r w:rsidRPr="00156FCC">
        <w:rPr>
          <w:rStyle w:val="FootnoteReference"/>
        </w:rPr>
        <w:footnoteReference w:id="172"/>
      </w:r>
      <w:r w:rsidRPr="00156FCC">
        <w:t xml:space="preserve">  </w:t>
      </w:r>
      <w:r w:rsidRPr="00CD56DB">
        <w:t>Census data for 2007 shows 3,188 firms in this category.</w:t>
      </w:r>
      <w:r>
        <w:rPr>
          <w:rStyle w:val="FootnoteReference"/>
        </w:rPr>
        <w:footnoteReference w:id="173"/>
      </w:r>
      <w:r w:rsidRPr="00CD56DB">
        <w:t xml:space="preserve"> </w:t>
      </w:r>
      <w:r>
        <w:t xml:space="preserve"> </w:t>
      </w:r>
      <w:r w:rsidRPr="00CD56DB">
        <w:t>Of these, 3,144 had fewer than 1,000 employees.</w:t>
      </w:r>
      <w:r>
        <w:rPr>
          <w:rStyle w:val="FootnoteReference"/>
        </w:rPr>
        <w:footnoteReference w:id="174"/>
      </w:r>
      <w:r w:rsidRPr="00CD56DB">
        <w:t xml:space="preserve">  </w:t>
      </w:r>
      <w:r w:rsidRPr="007F6264">
        <w:t xml:space="preserve">Therefore, under this size standard, </w:t>
      </w:r>
      <w:r w:rsidRPr="00156FCC">
        <w:t>the majority of such businesses can be considered small.  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156FCC">
        <w:rPr>
          <w:rStyle w:val="FootnoteReference"/>
        </w:rPr>
        <w:footnoteReference w:id="175"/>
      </w:r>
      <w:r w:rsidRPr="007F6264">
        <w:t xml:space="preserve">  Currently, only two entities provide DBS se</w:t>
      </w:r>
      <w:r w:rsidRPr="00156FCC">
        <w:t>rvice, which requires a great investment of capital for operation:  DIRECTV and DISH Network.</w:t>
      </w:r>
      <w:r w:rsidRPr="00156FCC">
        <w:rPr>
          <w:rStyle w:val="FootnoteReference"/>
        </w:rPr>
        <w:footnoteReference w:id="176"/>
      </w:r>
      <w:r w:rsidRPr="007F6264">
        <w:t xml:space="preserve">  Each currently </w:t>
      </w:r>
      <w:r w:rsidRPr="00156FCC">
        <w:t>offers subscription services.  DIRECTV and DISH Network</w:t>
      </w:r>
      <w:r w:rsidRPr="00156FCC" w:rsidDel="00531308">
        <w:t xml:space="preserve"> </w:t>
      </w:r>
      <w:r w:rsidRPr="00156FCC">
        <w:t>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744B1B" w:rsidRPr="00C320A7" w:rsidRDefault="00744B1B" w:rsidP="00744B1B">
      <w:pPr>
        <w:pStyle w:val="Heading2"/>
        <w:numPr>
          <w:ilvl w:val="1"/>
          <w:numId w:val="16"/>
        </w:numPr>
      </w:pPr>
      <w:bookmarkStart w:id="355" w:name="_Toc405557616"/>
      <w:bookmarkStart w:id="356" w:name="_Toc405557726"/>
      <w:bookmarkStart w:id="357" w:name="_Toc405557993"/>
      <w:bookmarkStart w:id="358" w:name="_Toc405558273"/>
      <w:bookmarkStart w:id="359" w:name="_Toc405558649"/>
      <w:r w:rsidRPr="007F6264">
        <w:t>Description of Projected Reporting, Recordkeeping, and Other Compliance Requirements</w:t>
      </w:r>
      <w:bookmarkEnd w:id="355"/>
      <w:bookmarkEnd w:id="356"/>
      <w:bookmarkEnd w:id="357"/>
      <w:bookmarkEnd w:id="358"/>
      <w:bookmarkEnd w:id="359"/>
    </w:p>
    <w:p w:rsidR="00744B1B" w:rsidRDefault="00744B1B" w:rsidP="00744B1B">
      <w:pPr>
        <w:pStyle w:val="ParaNum"/>
        <w:widowControl/>
      </w:pPr>
      <w:r w:rsidRPr="00012C4B">
        <w:t>There are revisions to current Part 11 reporting, recordkeeping, or compliance requirements set forth in the Order.  Specifically, the Order revises section 11.21(a) to require that State EAS Plans include a description of what steps have been taken by broadcasters, cable systems, and other entities subject to the Part 11 rules (generally referred to as “EAS Participants”), whether individually or in conjunction with state and local emergency authorities, to disseminate or broadcast, or otherwise make available, EAS alert content to non-English speaking audiences in such audiences’ primary language.  This Order also requires that State EAS Plans include a description of any future actions planned by EAS Participants, in consultation with state and local emergency authorities, to provide EAS alert content available in languages other than English to its non-English speaking audience(s), along with an explanation for the Participant’s decision to plan or not plan such actions.  The objectives of these rule changes are to ensure that the Commission has sufficient and accurate information on any existing state and local mechanisms to distribute multilingual state and local EAS alert content, and more generally, to ensure that the issue of disseminating EAS alert content to non-English speaking audiences has been examined by EAS Participants and state and local emergency authorities, as coordinated by the SECCs.</w:t>
      </w:r>
    </w:p>
    <w:p w:rsidR="00744B1B" w:rsidRPr="00B933BF" w:rsidRDefault="00744B1B" w:rsidP="00744B1B">
      <w:pPr>
        <w:pStyle w:val="Heading2"/>
        <w:numPr>
          <w:ilvl w:val="1"/>
          <w:numId w:val="16"/>
        </w:numPr>
      </w:pPr>
      <w:r w:rsidRPr="00B933BF">
        <w:t>Steps Taken to Minimize the Significant Economic Impact on Small Entities and Significant Alternatives Considered</w:t>
      </w:r>
    </w:p>
    <w:p w:rsidR="00744B1B" w:rsidRPr="00B933BF" w:rsidRDefault="00744B1B" w:rsidP="00744B1B">
      <w:pPr>
        <w:pStyle w:val="ParaNum"/>
      </w:pPr>
      <w:r w:rsidRPr="00B933BF">
        <w:t xml:space="preserve">The RFA requires an agency to describe any significant, specifically small business alternatives that it has considered in reaching its conclusions,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 </w:t>
      </w:r>
    </w:p>
    <w:p w:rsidR="00744B1B" w:rsidRPr="00B933BF" w:rsidRDefault="00744B1B" w:rsidP="00744B1B">
      <w:pPr>
        <w:pStyle w:val="ParaNum"/>
        <w:widowControl/>
      </w:pPr>
      <w:r w:rsidRPr="00B933BF">
        <w:t xml:space="preserve">Based on the Commission’s review of the record, the Commission finds that it is practicable for all </w:t>
      </w:r>
      <w:r>
        <w:t xml:space="preserve">SECCs and </w:t>
      </w:r>
      <w:r w:rsidRPr="00B933BF">
        <w:t xml:space="preserve">EAS Participants, including small and rural EAS Participants, to </w:t>
      </w:r>
      <w:r>
        <w:t xml:space="preserve">comply with the minimal reporting requirements set forth in the Order </w:t>
      </w:r>
      <w:r w:rsidRPr="00B933BF">
        <w:t xml:space="preserve">without incurring unduly burdensome costs.  </w:t>
      </w:r>
      <w:r>
        <w:t>With respect to alternative approaches, t</w:t>
      </w:r>
      <w:r w:rsidRPr="00B933BF">
        <w:t xml:space="preserve">he </w:t>
      </w:r>
      <w:r>
        <w:t>Commission already has invited EAS Participants and other stakeholders to describe their multilingual alerting activities generally in the</w:t>
      </w:r>
      <w:r w:rsidRPr="000371E1">
        <w:t xml:space="preserve"> </w:t>
      </w:r>
      <w:r w:rsidRPr="000371E1">
        <w:rPr>
          <w:i/>
        </w:rPr>
        <w:t>2014 Public Notice</w:t>
      </w:r>
      <w:r w:rsidRPr="000371E1">
        <w:t>,</w:t>
      </w:r>
      <w:r>
        <w:rPr>
          <w:rStyle w:val="FootnoteReference"/>
        </w:rPr>
        <w:footnoteReference w:id="177"/>
      </w:r>
      <w:r w:rsidRPr="000371E1">
        <w:t xml:space="preserve"> </w:t>
      </w:r>
      <w:r>
        <w:t xml:space="preserve">but the response to that request for voluntary submission of information was sparse an inadequate.  </w:t>
      </w:r>
    </w:p>
    <w:p w:rsidR="00744B1B" w:rsidRDefault="00744B1B" w:rsidP="00744B1B">
      <w:pPr>
        <w:pStyle w:val="ParaNum"/>
      </w:pPr>
      <w:r w:rsidRPr="00B933BF">
        <w:t>Further, th</w:t>
      </w:r>
      <w:r>
        <w:t xml:space="preserve">is </w:t>
      </w:r>
      <w:r w:rsidRPr="00B933BF">
        <w:t xml:space="preserve">Order finds that the life-saving public safety benefits of imposing </w:t>
      </w:r>
      <w:r>
        <w:t xml:space="preserve">the reporting </w:t>
      </w:r>
      <w:r w:rsidRPr="00B933BF">
        <w:t>requirement</w:t>
      </w:r>
      <w:r>
        <w:t xml:space="preserve">s, which include improved Federal oversight of the EAS, potential </w:t>
      </w:r>
      <w:r w:rsidRPr="0097296A">
        <w:t>expan</w:t>
      </w:r>
      <w:r>
        <w:t>sion of</w:t>
      </w:r>
      <w:r w:rsidRPr="0097296A">
        <w:t xml:space="preserve"> access to EAS alert content</w:t>
      </w:r>
      <w:r>
        <w:t xml:space="preserve"> by those who communicate in a language other than English</w:t>
      </w:r>
      <w:r w:rsidRPr="00772B26">
        <w:t xml:space="preserve"> or </w:t>
      </w:r>
      <w:r>
        <w:t xml:space="preserve">may </w:t>
      </w:r>
      <w:r w:rsidRPr="00772B26">
        <w:t xml:space="preserve">have </w:t>
      </w:r>
      <w:r>
        <w:t xml:space="preserve">a </w:t>
      </w:r>
      <w:r w:rsidRPr="00772B26">
        <w:t>limited understanding of the English language</w:t>
      </w:r>
      <w:r>
        <w:t xml:space="preserve">, aiding state decision-making in multilingual EAS activities, and helping </w:t>
      </w:r>
      <w:r w:rsidRPr="009E1B1D">
        <w:t xml:space="preserve">consumers </w:t>
      </w:r>
      <w:r w:rsidRPr="00186459">
        <w:t>to</w:t>
      </w:r>
      <w:r w:rsidRPr="00B72201">
        <w:t xml:space="preserve"> </w:t>
      </w:r>
      <w:r w:rsidRPr="009E1B1D">
        <w:t xml:space="preserve">understand </w:t>
      </w:r>
      <w:r>
        <w:t xml:space="preserve">the </w:t>
      </w:r>
      <w:r w:rsidRPr="00A2689E">
        <w:t xml:space="preserve">level of multilingual alerting </w:t>
      </w:r>
      <w:r>
        <w:t xml:space="preserve">that </w:t>
      </w:r>
      <w:r w:rsidRPr="00A2689E">
        <w:t>exists</w:t>
      </w:r>
      <w:r w:rsidRPr="00B933BF">
        <w:t xml:space="preserve"> </w:t>
      </w:r>
      <w:r>
        <w:t xml:space="preserve">in their areas, </w:t>
      </w:r>
      <w:r w:rsidRPr="00B933BF">
        <w:t xml:space="preserve">far outweigh the </w:t>
      </w:r>
      <w:r>
        <w:t xml:space="preserve">one-time, minimal </w:t>
      </w:r>
      <w:r w:rsidRPr="00B933BF">
        <w:t>costs of such r</w:t>
      </w:r>
      <w:r>
        <w:t>equirements</w:t>
      </w:r>
      <w:r w:rsidRPr="00B933BF">
        <w:t>.</w:t>
      </w:r>
      <w:r>
        <w:t xml:space="preserve">  </w:t>
      </w:r>
    </w:p>
    <w:p w:rsidR="00744B1B" w:rsidRDefault="00744B1B" w:rsidP="00744B1B">
      <w:pPr>
        <w:pStyle w:val="ParaNum"/>
      </w:pPr>
      <w:r w:rsidRPr="00B933BF">
        <w:t>Finally, in the event that small entities face unique circumstances with respect to these r</w:t>
      </w:r>
      <w:r>
        <w:t>equirement</w:t>
      </w:r>
      <w:r w:rsidRPr="00B933BF">
        <w:t>s, such entities may request waiver relief from the Commission.  Accordingly, the Commission finds that it has discharged its duty to consider the burdens imposed on small entities.</w:t>
      </w:r>
    </w:p>
    <w:p w:rsidR="00744B1B" w:rsidRDefault="00744B1B" w:rsidP="00744B1B">
      <w:pPr>
        <w:pStyle w:val="ParaNum"/>
      </w:pPr>
      <w:r w:rsidRPr="00D5323D">
        <w:t>Report to Congress:  The Commission will send a copy of the Order, including this FRFA, in a report to be sent to Congress and the Government Accountability Office pursuant to the Congressional Review Act.   In addition, the Commission will send a copy of the Order, including this FRFA, to the Chief Counsel for Advocacy of the SBA.  A copy of the Order and FRFA (or summaries thereof) will also be published in</w:t>
      </w:r>
      <w:r>
        <w:t xml:space="preserve"> the Federal Register. </w:t>
      </w:r>
      <w:r>
        <w:br/>
      </w:r>
    </w:p>
    <w:p w:rsidR="00744B1B" w:rsidRDefault="00744B1B" w:rsidP="00744B1B">
      <w:pPr>
        <w:pStyle w:val="ParaNum"/>
        <w:sectPr w:rsidR="00744B1B" w:rsidSect="00A66E28">
          <w:footnotePr>
            <w:numRestart w:val="eachSect"/>
          </w:footnotePr>
          <w:type w:val="continuous"/>
          <w:pgSz w:w="12240" w:h="15840"/>
          <w:pgMar w:top="1440" w:right="1440" w:bottom="720" w:left="1440" w:header="720" w:footer="720" w:gutter="0"/>
          <w:cols w:space="720"/>
          <w:titlePg/>
        </w:sectPr>
      </w:pPr>
    </w:p>
    <w:p w:rsidR="00744B1B" w:rsidRPr="004A2A1A" w:rsidRDefault="00744B1B" w:rsidP="00744B1B">
      <w:pPr>
        <w:widowControl/>
        <w:autoSpaceDN w:val="0"/>
        <w:jc w:val="center"/>
        <w:textAlignment w:val="baseline"/>
        <w:rPr>
          <w:b/>
        </w:rPr>
      </w:pPr>
      <w:r w:rsidRPr="004A2A1A">
        <w:rPr>
          <w:b/>
        </w:rPr>
        <w:t>STATEMENT OF</w:t>
      </w:r>
    </w:p>
    <w:p w:rsidR="00744B1B" w:rsidRPr="004A2A1A" w:rsidRDefault="00744B1B" w:rsidP="00744B1B">
      <w:pPr>
        <w:widowControl/>
        <w:autoSpaceDN w:val="0"/>
        <w:jc w:val="center"/>
        <w:textAlignment w:val="baseline"/>
        <w:rPr>
          <w:b/>
        </w:rPr>
      </w:pPr>
      <w:r w:rsidRPr="004A2A1A">
        <w:rPr>
          <w:b/>
        </w:rPr>
        <w:t>COMMISSIONER MICHAEL O’RIELLY</w:t>
      </w:r>
    </w:p>
    <w:p w:rsidR="00744B1B" w:rsidRPr="004A2A1A" w:rsidRDefault="00744B1B" w:rsidP="00744B1B">
      <w:pPr>
        <w:widowControl/>
        <w:autoSpaceDN w:val="0"/>
        <w:jc w:val="center"/>
        <w:textAlignment w:val="baseline"/>
        <w:rPr>
          <w:b/>
        </w:rPr>
      </w:pPr>
      <w:r w:rsidRPr="004A2A1A">
        <w:rPr>
          <w:b/>
        </w:rPr>
        <w:t>APPROVING IN PART, DISSENTING IN PART</w:t>
      </w:r>
    </w:p>
    <w:p w:rsidR="00744B1B" w:rsidRDefault="00744B1B" w:rsidP="00744B1B">
      <w:pPr>
        <w:widowControl/>
        <w:autoSpaceDN w:val="0"/>
        <w:textAlignment w:val="baseline"/>
      </w:pPr>
    </w:p>
    <w:p w:rsidR="00744B1B" w:rsidRPr="004A2A1A" w:rsidRDefault="00744B1B" w:rsidP="00744B1B">
      <w:pPr>
        <w:widowControl/>
        <w:autoSpaceDN w:val="0"/>
        <w:textAlignment w:val="baseline"/>
        <w:rPr>
          <w:i/>
        </w:rPr>
      </w:pPr>
      <w:r w:rsidRPr="004A2A1A">
        <w:rPr>
          <w:i/>
        </w:rPr>
        <w:t xml:space="preserve">Re:  </w:t>
      </w:r>
      <w:r w:rsidRPr="004A2A1A">
        <w:rPr>
          <w:i/>
        </w:rPr>
        <w:tab/>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w:t>
      </w:r>
      <w:r w:rsidRPr="004A2A1A">
        <w:t>EB Docket No. 04-296</w:t>
      </w:r>
      <w:r>
        <w:t>.</w:t>
      </w:r>
    </w:p>
    <w:p w:rsidR="00744B1B" w:rsidRDefault="00744B1B" w:rsidP="00744B1B">
      <w:pPr>
        <w:widowControl/>
        <w:autoSpaceDN w:val="0"/>
        <w:textAlignment w:val="baseline"/>
      </w:pPr>
    </w:p>
    <w:p w:rsidR="00744B1B" w:rsidRDefault="00744B1B" w:rsidP="00744B1B">
      <w:pPr>
        <w:widowControl/>
        <w:autoSpaceDN w:val="0"/>
        <w:ind w:firstLine="720"/>
        <w:textAlignment w:val="baseline"/>
      </w:pPr>
      <w:r>
        <w:t>While I will support the majority of this order, I do so with one reservation.  This item requires that EAS participants report whether or not they are taking steps to provide EAS alerts in languages other than English.  In doing so, it recognizes that there are significant impediments to providing multilingual alerts.  While participants may fulfill the requirement by stating that no actions are being taken, I have learned that today’s reporting requirements tend to miraculously morph into tomorrow’s regulations, even if every entity complies.  Although I understand the importance of all Americans being able to understand emergency alerts, I am unlikely to support any actions down the road that use EAS participants’ legitimate disclosures that they are not implementing multilingual alerts as the sole basis for costly, burdensome rules.</w:t>
      </w:r>
    </w:p>
    <w:p w:rsidR="00744B1B" w:rsidRDefault="00744B1B" w:rsidP="00744B1B">
      <w:pPr>
        <w:widowControl/>
        <w:autoSpaceDN w:val="0"/>
        <w:ind w:firstLine="720"/>
        <w:textAlignment w:val="baseline"/>
      </w:pPr>
    </w:p>
    <w:p w:rsidR="00744B1B" w:rsidRDefault="00744B1B" w:rsidP="00744B1B">
      <w:pPr>
        <w:widowControl/>
        <w:autoSpaceDN w:val="0"/>
        <w:ind w:firstLine="720"/>
        <w:textAlignment w:val="baseline"/>
      </w:pPr>
      <w:r>
        <w:t>Relatedly, I must dissent in part to the non-existent cost-benefit analysis contained in this item.  Instead of an analysis, the item simply concludes that the anticipated costs will be minimal, so “the potential benefits of promoting the delivery of alerts to those who communicate in a language other than English or may have a limited understanding of the English language will far exceed those costs imposed.”</w:t>
      </w:r>
      <w:r w:rsidRPr="00293219">
        <w:rPr>
          <w:rStyle w:val="FootnoteReference"/>
          <w:szCs w:val="22"/>
        </w:rPr>
        <w:footnoteReference w:id="178"/>
      </w:r>
      <w:r>
        <w:t xml:space="preserve">  It adds in a footnote that this analysis is “consistent with [the] principles articulated” in two Executive Orders and that any burdens will be reviewed as part of OMB’s Paperwork Reduction Act (PRA) analysis.</w:t>
      </w:r>
      <w:r w:rsidRPr="00293219">
        <w:rPr>
          <w:rStyle w:val="FootnoteReference"/>
          <w:szCs w:val="22"/>
        </w:rPr>
        <w:footnoteReference w:id="179"/>
      </w:r>
      <w:r>
        <w:t xml:space="preserve"> </w:t>
      </w:r>
    </w:p>
    <w:p w:rsidR="00744B1B" w:rsidRDefault="00744B1B" w:rsidP="00744B1B">
      <w:pPr>
        <w:widowControl/>
        <w:autoSpaceDN w:val="0"/>
        <w:ind w:firstLine="720"/>
        <w:textAlignment w:val="baseline"/>
      </w:pPr>
    </w:p>
    <w:p w:rsidR="00744B1B" w:rsidRDefault="00744B1B" w:rsidP="00744B1B">
      <w:pPr>
        <w:widowControl/>
        <w:autoSpaceDN w:val="0"/>
        <w:ind w:firstLine="720"/>
        <w:textAlignment w:val="baseline"/>
      </w:pPr>
      <w:r>
        <w:t xml:space="preserve">While it may be true that the costs of this reporting requirement may not be substantial, an analysis should still be done to show this is the case.  In fact, the very Executive Orders cited in the order support such an undertaking.  Executive Order 12866, signed by President Clinton, states that:  </w:t>
      </w:r>
    </w:p>
    <w:p w:rsidR="00744B1B" w:rsidRDefault="00744B1B" w:rsidP="00744B1B">
      <w:pPr>
        <w:widowControl/>
        <w:autoSpaceDN w:val="0"/>
        <w:textAlignment w:val="baseline"/>
      </w:pPr>
    </w:p>
    <w:p w:rsidR="00744B1B" w:rsidRDefault="00744B1B" w:rsidP="00744B1B">
      <w:pPr>
        <w:widowControl/>
        <w:autoSpaceDN w:val="0"/>
        <w:ind w:left="720"/>
        <w:textAlignment w:val="baseline"/>
      </w:pPr>
      <w:r>
        <w:t>In deciding whether and how to regulate, agencies should assess all costs and benefits of available regulatory alternatives, including the alternative of not regulating.  Costs and benefits shall be understood to include both quantifiable measures (to the fullest extent that these can be usefully estimated) and qualitative measures of costs and benefits that are difficult to quantify, but nevertheless essential to consider.</w:t>
      </w:r>
      <w:r>
        <w:rPr>
          <w:rStyle w:val="FootnoteReference"/>
        </w:rPr>
        <w:footnoteReference w:id="180"/>
      </w:r>
      <w:r>
        <w:t xml:space="preserve"> </w:t>
      </w:r>
    </w:p>
    <w:p w:rsidR="00744B1B" w:rsidRDefault="00744B1B" w:rsidP="00744B1B">
      <w:pPr>
        <w:widowControl/>
        <w:autoSpaceDN w:val="0"/>
        <w:textAlignment w:val="baseline"/>
      </w:pPr>
    </w:p>
    <w:p w:rsidR="00744B1B" w:rsidRDefault="00744B1B" w:rsidP="00744B1B">
      <w:pPr>
        <w:widowControl/>
        <w:autoSpaceDN w:val="0"/>
        <w:ind w:firstLine="720"/>
        <w:textAlignment w:val="baseline"/>
      </w:pPr>
      <w:r>
        <w:t>To ensure consistency with this regulatory philosophy, it continues to say that agencies “shall assess both the costs and the benefits of the intended regulation and, recognizing that some costs and benefits are difficult to quantify, propose or adopt a regulation only upon a reasoned determination that the benefits of the intended regulation justify its costs.”</w:t>
      </w:r>
      <w:r w:rsidRPr="00293219">
        <w:rPr>
          <w:rStyle w:val="FootnoteReference"/>
          <w:szCs w:val="22"/>
        </w:rPr>
        <w:footnoteReference w:id="181"/>
      </w:r>
      <w:r>
        <w:t xml:space="preserve">  The Obama Administration reiterated these principles, in Executive Order 13563, stating that agencies must “propose or adopt a regulation only upon a reasoned determination that its benefits justify its costs” and that, in doing so, they should “use the best available techniques to quantify anticipated present and future benefits and costs as accurately as possible.”</w:t>
      </w:r>
      <w:r w:rsidRPr="00293219">
        <w:rPr>
          <w:rStyle w:val="FootnoteReference"/>
          <w:szCs w:val="22"/>
        </w:rPr>
        <w:footnoteReference w:id="182"/>
      </w:r>
      <w:r w:rsidRPr="00293219">
        <w:rPr>
          <w:szCs w:val="22"/>
        </w:rPr>
        <w:t xml:space="preserve"> </w:t>
      </w:r>
      <w:r>
        <w:t xml:space="preserve"> To the extent that some argue that independent agencies are not subject to these executive orders, even the Obama Administration, which this Commission seems keen on following in terms of direction, believes that such agencies should abide by the requirements.</w:t>
      </w:r>
      <w:r w:rsidRPr="00293219">
        <w:rPr>
          <w:rStyle w:val="FootnoteReference"/>
          <w:szCs w:val="22"/>
        </w:rPr>
        <w:footnoteReference w:id="183"/>
      </w:r>
      <w:r>
        <w:t xml:space="preserve">  </w:t>
      </w:r>
    </w:p>
    <w:p w:rsidR="00744B1B" w:rsidRDefault="00744B1B" w:rsidP="00744B1B">
      <w:pPr>
        <w:widowControl/>
        <w:autoSpaceDN w:val="0"/>
        <w:ind w:firstLine="720"/>
        <w:textAlignment w:val="baseline"/>
      </w:pPr>
    </w:p>
    <w:p w:rsidR="00744B1B" w:rsidRDefault="00744B1B" w:rsidP="00744B1B">
      <w:pPr>
        <w:widowControl/>
        <w:autoSpaceDN w:val="0"/>
        <w:ind w:firstLine="720"/>
        <w:textAlignment w:val="baseline"/>
      </w:pPr>
      <w:r>
        <w:t xml:space="preserve">In order to properly balance all of the competing concerns and objectives, our items need to quantify the costs and benefits of any rules being proposed or adopted.  This is the only way to make a </w:t>
      </w:r>
      <w:r w:rsidRPr="004A2A1A">
        <w:rPr>
          <w:i/>
        </w:rPr>
        <w:t>reasoned determination</w:t>
      </w:r>
      <w:r>
        <w:t xml:space="preserve"> that the benefits outweigh the burdens of regulation.  Further, the PRA process is separate and apart from and does not obviate the Commission’s obligation to determine whether regulation is justified.  Cost-benefit information is needed to inform Commissioners as to the validity of particular rules as they consider and vote an item, not after the fact when the PRA paperwork is done.  </w:t>
      </w:r>
    </w:p>
    <w:p w:rsidR="00744B1B" w:rsidRDefault="00744B1B" w:rsidP="00744B1B">
      <w:pPr>
        <w:widowControl/>
        <w:autoSpaceDN w:val="0"/>
        <w:ind w:firstLine="720"/>
        <w:textAlignment w:val="baseline"/>
      </w:pPr>
    </w:p>
    <w:p w:rsidR="00744B1B" w:rsidRDefault="00744B1B" w:rsidP="00744B1B">
      <w:pPr>
        <w:widowControl/>
        <w:autoSpaceDN w:val="0"/>
        <w:ind w:firstLine="720"/>
        <w:textAlignment w:val="baseline"/>
      </w:pPr>
      <w:r>
        <w:t xml:space="preserve">In this instance, there is the cost to each EAS participant to create, review and submit a report detailing the steps taken – or not taken – to implement multilingual EAS alerts; states then have to incorporate the information from all participants into their EAS Plans, which will undoubtedly go through layers of review; and this process must be repeated if there is any change in efforts.  The benefit is having information on hand about the state of multilingual alerting – whether this will promote these alerts is unproven.  I realize that determining costs and benefits is not an exact science, but to not even attempt an analysis to justify our actions is incomprehensible, bad policy and sets dangerous precedent.  </w:t>
      </w:r>
    </w:p>
    <w:p w:rsidR="00744B1B" w:rsidRDefault="00744B1B" w:rsidP="00744B1B">
      <w:pPr>
        <w:widowControl/>
        <w:autoSpaceDN w:val="0"/>
        <w:textAlignment w:val="baseline"/>
      </w:pPr>
    </w:p>
    <w:p w:rsidR="00744B1B" w:rsidRDefault="00744B1B" w:rsidP="00744B1B">
      <w:pPr>
        <w:widowControl/>
        <w:autoSpaceDN w:val="0"/>
        <w:ind w:firstLine="720"/>
        <w:textAlignment w:val="baseline"/>
      </w:pPr>
      <w:r>
        <w:t xml:space="preserve">Therefore, I vehemently disagree with this cost-benefit analysis – or, more appropriately, lack thereof contained within – and the Commission’s continued refusal to bother with such work until after burdens are already imposed.   </w:t>
      </w:r>
    </w:p>
    <w:p w:rsidR="00744B1B" w:rsidRDefault="00744B1B" w:rsidP="00744B1B">
      <w:pPr>
        <w:widowControl/>
        <w:autoSpaceDN w:val="0"/>
        <w:textAlignment w:val="baseline"/>
      </w:pPr>
    </w:p>
    <w:p w:rsidR="00744B1B" w:rsidRPr="0001741C" w:rsidRDefault="00744B1B" w:rsidP="00744B1B">
      <w:pPr>
        <w:pStyle w:val="ParaNum"/>
        <w:numPr>
          <w:ilvl w:val="0"/>
          <w:numId w:val="0"/>
        </w:numPr>
        <w:ind w:left="720"/>
      </w:pPr>
    </w:p>
    <w:p w:rsidR="00744B1B" w:rsidRPr="002C00E8" w:rsidRDefault="00744B1B" w:rsidP="00744B1B">
      <w:pPr>
        <w:pStyle w:val="Heading1"/>
        <w:numPr>
          <w:ilvl w:val="0"/>
          <w:numId w:val="0"/>
        </w:numPr>
        <w:ind w:left="720" w:hanging="720"/>
      </w:pPr>
    </w:p>
    <w:p w:rsidR="00744B1B" w:rsidRPr="002D3F2A" w:rsidRDefault="00744B1B" w:rsidP="00744B1B"/>
    <w:p w:rsidR="002C00E8" w:rsidRPr="00744B1B" w:rsidRDefault="002C00E8" w:rsidP="00744B1B"/>
    <w:sectPr w:rsidR="002C00E8" w:rsidRPr="00744B1B" w:rsidSect="00744B1B">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85" w:rsidRDefault="000D1585">
      <w:pPr>
        <w:spacing w:line="20" w:lineRule="exact"/>
      </w:pPr>
    </w:p>
  </w:endnote>
  <w:endnote w:type="continuationSeparator" w:id="0">
    <w:p w:rsidR="000D1585" w:rsidRDefault="000D1585">
      <w:r>
        <w:t xml:space="preserve"> </w:t>
      </w:r>
    </w:p>
  </w:endnote>
  <w:endnote w:type="continuationNotice" w:id="1">
    <w:p w:rsidR="000D1585" w:rsidRDefault="000D15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PNLI A+ Melio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charset w:val="00"/>
    <w:family w:val="auto"/>
    <w:pitch w:val="default"/>
  </w:font>
  <w:font w:name="TimesNewRoman">
    <w:altName w:val="MS Mincho"/>
    <w:panose1 w:val="00000000000000000000"/>
    <w:charset w:val="8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E4" w:rsidRDefault="00340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1B" w:rsidRDefault="00F55941">
    <w:pPr>
      <w:pStyle w:val="Footer"/>
      <w:jc w:val="center"/>
    </w:pPr>
    <w:r>
      <w:rPr>
        <w:noProof/>
      </w:rPr>
      <w:pict>
        <v:shapetype id="_x0000_t202" coordsize="21600,21600" o:spt="202" path="m,l,21600r21600,l21600,xe">
          <v:stroke joinstyle="miter"/>
          <v:path gradientshapeok="t" o:connecttype="rect"/>
        </v:shapetype>
        <v:shape id="Text Box 2" o:spid="_x0000_s2052" type="#_x0000_t202" style="position:absolute;left:0;text-align:left;margin-left:0;margin-top:.05pt;width:11.05pt;height:12.65pt;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" filled="f" stroked="f">
          <v:textbox style="mso-next-textbox:#Text Box 2;mso-fit-shape-to-text:t" inset="0,0,0,0">
            <w:txbxContent>
              <w:p w:rsidR="00744B1B" w:rsidRDefault="00744B1B">
                <w:pPr>
                  <w:pStyle w:val="Footer"/>
                </w:pPr>
                <w:r>
                  <w:rPr>
                    <w:rStyle w:val="PageNumber"/>
                  </w:rPr>
                  <w:fldChar w:fldCharType="begin"/>
                </w:r>
                <w:r>
                  <w:rPr>
                    <w:rStyle w:val="PageNumber"/>
                  </w:rPr>
                  <w:instrText xml:space="preserve"> PAGE </w:instrText>
                </w:r>
                <w:r>
                  <w:rPr>
                    <w:rStyle w:val="PageNumber"/>
                  </w:rPr>
                  <w:fldChar w:fldCharType="separate"/>
                </w:r>
                <w:r w:rsidR="009F218E">
                  <w:rPr>
                    <w:rStyle w:val="PageNumber"/>
                    <w:noProof/>
                  </w:rPr>
                  <w:t>2</w:t>
                </w:r>
                <w:r>
                  <w:rPr>
                    <w:rStyle w:val="PageNumber"/>
                  </w:rPr>
                  <w:fldChar w:fldCharType="end"/>
                </w:r>
              </w:p>
            </w:txbxContent>
          </v:textbox>
          <w10:wrap type="square"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E4" w:rsidRDefault="00340C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B1A15">
      <w:rPr>
        <w:noProof/>
      </w:rPr>
      <w:t>34</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85" w:rsidRDefault="000D1585">
      <w:r>
        <w:separator/>
      </w:r>
    </w:p>
  </w:footnote>
  <w:footnote w:type="continuationSeparator" w:id="0">
    <w:p w:rsidR="000D1585" w:rsidRDefault="000D1585" w:rsidP="00C721AC">
      <w:pPr>
        <w:spacing w:before="120"/>
        <w:rPr>
          <w:sz w:val="20"/>
        </w:rPr>
      </w:pPr>
      <w:r>
        <w:rPr>
          <w:sz w:val="20"/>
        </w:rPr>
        <w:t xml:space="preserve">(Continued from previous page)  </w:t>
      </w:r>
      <w:r>
        <w:rPr>
          <w:sz w:val="20"/>
        </w:rPr>
        <w:separator/>
      </w:r>
    </w:p>
  </w:footnote>
  <w:footnote w:type="continuationNotice" w:id="1">
    <w:p w:rsidR="000D1585" w:rsidRDefault="000D1585" w:rsidP="00C721AC">
      <w:pPr>
        <w:jc w:val="right"/>
        <w:rPr>
          <w:sz w:val="20"/>
        </w:rPr>
      </w:pPr>
      <w:r>
        <w:rPr>
          <w:sz w:val="20"/>
        </w:rPr>
        <w:t>(continued….)</w:t>
      </w:r>
    </w:p>
  </w:footnote>
  <w:footnote w:id="2">
    <w:p w:rsidR="00744B1B" w:rsidRDefault="00744B1B" w:rsidP="00744B1B">
      <w:pPr>
        <w:pStyle w:val="FootnoteText"/>
      </w:pPr>
      <w:r>
        <w:rPr>
          <w:rStyle w:val="FootnoteReference"/>
        </w:rPr>
        <w:footnoteRef/>
      </w:r>
      <w:r>
        <w:t xml:space="preserve"> </w:t>
      </w:r>
      <w:r w:rsidRPr="00E94BEE">
        <w:rPr>
          <w:i/>
        </w:rPr>
        <w:t>See</w:t>
      </w:r>
      <w:r>
        <w:t xml:space="preserve"> 47 U.S.C. § 11.21.  </w:t>
      </w:r>
      <w:r w:rsidRPr="006D7808">
        <w:rPr>
          <w:i/>
        </w:rPr>
        <w:t xml:space="preserve">See </w:t>
      </w:r>
      <w:r>
        <w:rPr>
          <w:i/>
        </w:rPr>
        <w:t xml:space="preserve">also </w:t>
      </w:r>
      <w:r w:rsidRPr="006D7808">
        <w:rPr>
          <w:i/>
        </w:rPr>
        <w:t>infra</w:t>
      </w:r>
      <w:r>
        <w:t xml:space="preserve"> para. 9.</w:t>
      </w:r>
    </w:p>
  </w:footnote>
  <w:footnote w:id="3">
    <w:p w:rsidR="00744B1B" w:rsidRDefault="00744B1B" w:rsidP="00744B1B">
      <w:pPr>
        <w:pStyle w:val="FootnoteText"/>
      </w:pPr>
      <w:r>
        <w:rPr>
          <w:rStyle w:val="FootnoteReference"/>
        </w:rPr>
        <w:footnoteRef/>
      </w:r>
      <w:r>
        <w:t xml:space="preserve"> The Commission’s rules currently define EAS Participants as analog radio broadcast stations, including AM, FM, and Low-power FM stations; digital audio broadcasting stations, including digital AM, FM, and Low-power FM stations; Class A television and Low-power TV stations; digital television broadcast stations, including digital Class A and digital Low-power TV stations; analog cable systems; digital cable systems; wireline video systems; wireless cable systems; direct broadcast satellite service providers; and digital audio radio service providers.  </w:t>
      </w:r>
      <w:r>
        <w:rPr>
          <w:i/>
        </w:rPr>
        <w:t>See</w:t>
      </w:r>
      <w:r>
        <w:t xml:space="preserve"> 47 C.F.R. § 11.11(a).   </w:t>
      </w:r>
    </w:p>
  </w:footnote>
  <w:footnote w:id="4">
    <w:p w:rsidR="00744B1B" w:rsidRDefault="00744B1B" w:rsidP="00744B1B">
      <w:pPr>
        <w:pStyle w:val="FootnoteText"/>
      </w:pPr>
      <w:r>
        <w:rPr>
          <w:rStyle w:val="FootnoteReference"/>
        </w:rPr>
        <w:footnoteRef/>
      </w:r>
      <w:r>
        <w:t xml:space="preserve"> </w:t>
      </w:r>
      <w:r w:rsidRPr="00397936">
        <w:rPr>
          <w:i/>
        </w:rPr>
        <w:t>See</w:t>
      </w:r>
      <w:r>
        <w:t xml:space="preserve"> </w:t>
      </w:r>
      <w:r w:rsidRPr="001D3F4C">
        <w:rPr>
          <w:i/>
        </w:rPr>
        <w:t>infra</w:t>
      </w:r>
      <w:r>
        <w:t xml:space="preserve"> paras. 22-24.</w:t>
      </w:r>
    </w:p>
  </w:footnote>
  <w:footnote w:id="5">
    <w:p w:rsidR="00744B1B" w:rsidRDefault="00744B1B" w:rsidP="00744B1B">
      <w:pPr>
        <w:pStyle w:val="FootnoteText"/>
      </w:pPr>
      <w:r>
        <w:rPr>
          <w:rStyle w:val="FootnoteReference"/>
        </w:rPr>
        <w:footnoteRef/>
      </w:r>
      <w:r>
        <w:t xml:space="preserve"> </w:t>
      </w:r>
      <w:r>
        <w:rPr>
          <w:i/>
          <w:szCs w:val="22"/>
        </w:rPr>
        <w:t>See</w:t>
      </w:r>
      <w:r>
        <w:rPr>
          <w:szCs w:val="22"/>
        </w:rPr>
        <w:t xml:space="preserve"> The Independent Spanish Broadcasters Association, the Office of Communication of the United Church of Christ, Inc., and the Minority Media and Telecommunications Council, Petition for Immediate Interim Relief, EB Docket 04-296 (filed Sept. 22, 2005) (“Petition”).  We note that MMTC is now called The Multicultural, Media, Telecom and Internet Council.</w:t>
      </w:r>
    </w:p>
  </w:footnote>
  <w:footnote w:id="6">
    <w:p w:rsidR="00744B1B" w:rsidRDefault="00744B1B" w:rsidP="00744B1B">
      <w:pPr>
        <w:pStyle w:val="FootnoteText"/>
      </w:pPr>
      <w:r>
        <w:rPr>
          <w:rStyle w:val="FootnoteReference"/>
        </w:rPr>
        <w:footnoteRef/>
      </w:r>
      <w:r>
        <w:t xml:space="preserve"> </w:t>
      </w:r>
      <w:r w:rsidRPr="00451565">
        <w:rPr>
          <w:i/>
        </w:rPr>
        <w:t>See</w:t>
      </w:r>
      <w:r>
        <w:t xml:space="preserve"> Petition at 2.  </w:t>
      </w:r>
    </w:p>
  </w:footnote>
  <w:footnote w:id="7">
    <w:p w:rsidR="00744B1B" w:rsidRDefault="00744B1B" w:rsidP="00744B1B">
      <w:pPr>
        <w:pStyle w:val="FootnoteText"/>
      </w:pPr>
      <w:r>
        <w:rPr>
          <w:rStyle w:val="FootnoteReference"/>
        </w:rPr>
        <w:footnoteRef/>
      </w:r>
      <w:r>
        <w:t xml:space="preserve"> </w:t>
      </w:r>
      <w:r>
        <w:rPr>
          <w:i/>
        </w:rPr>
        <w:t>See</w:t>
      </w:r>
      <w:r>
        <w:t xml:space="preserve"> </w:t>
      </w:r>
      <w:r w:rsidRPr="00397936">
        <w:rPr>
          <w:i/>
        </w:rPr>
        <w:t>Review of the Emergency Alert System; Independent Spanish Broadcasters Association, The Office of Communication of the United Church of Christ, Inc., and the Minority Media and Telecommunications Council, Petition for Immediate Relief</w:t>
      </w:r>
      <w:r>
        <w:t>, ET Docket No. 04</w:t>
      </w:r>
      <w:r>
        <w:noBreakHyphen/>
        <w:t xml:space="preserve">296, </w:t>
      </w:r>
      <w:r w:rsidRPr="00397936">
        <w:t>Fifth Report and Order</w:t>
      </w:r>
      <w:r>
        <w:t xml:space="preserve">, </w:t>
      </w:r>
      <w:r>
        <w:rPr>
          <w:iCs/>
        </w:rPr>
        <w:t>27 FCC Rcd 642, 646, para. 6 (2012) (</w:t>
      </w:r>
      <w:r>
        <w:rPr>
          <w:i/>
          <w:iCs/>
        </w:rPr>
        <w:t>Fifth Report and Order</w:t>
      </w:r>
      <w:r>
        <w:rPr>
          <w:iCs/>
        </w:rPr>
        <w:t xml:space="preserve">).  A more detailed </w:t>
      </w:r>
      <w:r>
        <w:t>history of the EAS is summarized in the first Notice of Proposed Rulemaking in this docket</w:t>
      </w:r>
      <w:r>
        <w:rPr>
          <w:i/>
        </w:rPr>
        <w:t xml:space="preserve">.  See </w:t>
      </w:r>
      <w:r w:rsidRPr="00397936">
        <w:rPr>
          <w:i/>
        </w:rPr>
        <w:t>Review of the Emergency Alert System</w:t>
      </w:r>
      <w:r>
        <w:t xml:space="preserve">, </w:t>
      </w:r>
      <w:r w:rsidRPr="00397936">
        <w:t>Notice of Proposed Rulemaking</w:t>
      </w:r>
      <w:r>
        <w:t xml:space="preserve">, 19 FCC Rcd 15775, 15776-77, paras. 6-8.  In addition, an overview of the present organization and functioning of the EAS system is included in the </w:t>
      </w:r>
      <w:r>
        <w:rPr>
          <w:i/>
        </w:rPr>
        <w:t>Second Report and Order</w:t>
      </w:r>
      <w:r>
        <w:t xml:space="preserve">.  </w:t>
      </w:r>
      <w:r>
        <w:rPr>
          <w:i/>
        </w:rPr>
        <w:t>See</w:t>
      </w:r>
      <w:r>
        <w:t xml:space="preserve"> </w:t>
      </w:r>
      <w:r w:rsidRPr="00397936">
        <w:rPr>
          <w:i/>
        </w:rPr>
        <w:t>Review of the Emergency Alert System; Independent Spanish Broadcasters Association, The Office of Communication of the United Church of Christ, Inc., and the Minority Media and Telecommunications Council, Petition for Immediate Relief</w:t>
      </w:r>
      <w:r>
        <w:t xml:space="preserve">, </w:t>
      </w:r>
      <w:r w:rsidRPr="00397936">
        <w:t>Second Report and Order and Further Notice of Proposed Rulemaking</w:t>
      </w:r>
      <w:r>
        <w:t xml:space="preserve">, </w:t>
      </w:r>
      <w:r>
        <w:rPr>
          <w:iCs/>
        </w:rPr>
        <w:t>22 FCC Rcd 13275, 13280-83, paras.</w:t>
      </w:r>
      <w:r>
        <w:t xml:space="preserve"> 11-14</w:t>
      </w:r>
      <w:r>
        <w:rPr>
          <w:iCs/>
        </w:rPr>
        <w:t xml:space="preserve"> (2007) (</w:t>
      </w:r>
      <w:r>
        <w:rPr>
          <w:i/>
          <w:iCs/>
        </w:rPr>
        <w:t>Second Report and Order</w:t>
      </w:r>
      <w:r>
        <w:rPr>
          <w:iCs/>
        </w:rPr>
        <w:t xml:space="preserve">).  </w:t>
      </w:r>
    </w:p>
  </w:footnote>
  <w:footnote w:id="8">
    <w:p w:rsidR="00744B1B" w:rsidRDefault="00744B1B" w:rsidP="00744B1B">
      <w:pPr>
        <w:pStyle w:val="FootnoteText"/>
      </w:pPr>
      <w:r>
        <w:rPr>
          <w:rStyle w:val="FootnoteReference"/>
        </w:rPr>
        <w:footnoteRef/>
      </w:r>
      <w:r>
        <w:t xml:space="preserve"> 47 C.F.R. § 11.1.  Under the Part 11 rules, national activation of the EAS for a Presidential alert message, initiated by the transmission of an Emergency Action Notification (EAN) event code, is designed to provide the President the capability to transmit an alert message (in particular, an audio alert message) to the American public within ten minutes from any location at any time and must take priority over any other alert message and preempt other alert messages in progress.  </w:t>
      </w:r>
      <w:r>
        <w:rPr>
          <w:i/>
        </w:rPr>
        <w:t>See</w:t>
      </w:r>
      <w:r>
        <w:t xml:space="preserve">, </w:t>
      </w:r>
      <w:r>
        <w:rPr>
          <w:i/>
        </w:rPr>
        <w:t>e.g.</w:t>
      </w:r>
      <w:r>
        <w:t xml:space="preserve">, </w:t>
      </w:r>
      <w:r w:rsidRPr="00397936">
        <w:rPr>
          <w:i/>
        </w:rPr>
        <w:t>Review of the Emergency Alert System</w:t>
      </w:r>
      <w:r>
        <w:t xml:space="preserve">, </w:t>
      </w:r>
      <w:r w:rsidRPr="00397936">
        <w:t>First Report and Order and Further Notice of Proposed Rulemaking</w:t>
      </w:r>
      <w:r>
        <w:t>, 20 FCC Rcd. 18625, 18628, para. 8 (2005) (</w:t>
      </w:r>
      <w:r>
        <w:rPr>
          <w:i/>
        </w:rPr>
        <w:t>First Report and Order and Further Notice of Proposed Rulemaking</w:t>
      </w:r>
      <w:r>
        <w:t xml:space="preserve">).  </w:t>
      </w:r>
      <w:r>
        <w:rPr>
          <w:i/>
        </w:rPr>
        <w:t>See also</w:t>
      </w:r>
      <w:r>
        <w:t xml:space="preserve">, </w:t>
      </w:r>
      <w:r>
        <w:rPr>
          <w:i/>
        </w:rPr>
        <w:t>e.g</w:t>
      </w:r>
      <w:r>
        <w:t xml:space="preserve">., 47 C.F.R. §§ 11.33(a)(11), 11.51(m), (n).  </w:t>
      </w:r>
    </w:p>
  </w:footnote>
  <w:footnote w:id="9">
    <w:p w:rsidR="00744B1B" w:rsidRDefault="00744B1B" w:rsidP="00744B1B">
      <w:pPr>
        <w:pStyle w:val="FootnoteText"/>
      </w:pPr>
      <w:r>
        <w:rPr>
          <w:rStyle w:val="FootnoteReference"/>
        </w:rPr>
        <w:footnoteRef/>
      </w:r>
      <w:r>
        <w:t xml:space="preserve"> </w:t>
      </w:r>
      <w:r>
        <w:rPr>
          <w:i/>
        </w:rPr>
        <w:t>See</w:t>
      </w:r>
      <w:r>
        <w:t xml:space="preserve">, </w:t>
      </w:r>
      <w:r>
        <w:rPr>
          <w:i/>
        </w:rPr>
        <w:t>e</w:t>
      </w:r>
      <w:r>
        <w:t>.</w:t>
      </w:r>
      <w:r>
        <w:rPr>
          <w:i/>
        </w:rPr>
        <w:t>g</w:t>
      </w:r>
      <w:r>
        <w:t xml:space="preserve">., </w:t>
      </w:r>
      <w:r w:rsidRPr="00397936">
        <w:rPr>
          <w:i/>
        </w:rPr>
        <w:t>Review of the Emergency Alert System; Independent Spanish Broadcasters Association, The Office of Communication of the United Church of Christ, Inc., and the Minority Media and Telecommunications Council, Petition for Immediate Relief</w:t>
      </w:r>
      <w:r>
        <w:t xml:space="preserve">, </w:t>
      </w:r>
      <w:r w:rsidRPr="00397936">
        <w:t>Third Further Notice of Proposed Rulemaking</w:t>
      </w:r>
      <w:r>
        <w:t xml:space="preserve">, </w:t>
      </w:r>
      <w:r>
        <w:rPr>
          <w:iCs/>
        </w:rPr>
        <w:t>26 FCC Rcd 8149</w:t>
      </w:r>
      <w:r>
        <w:t xml:space="preserve">, </w:t>
      </w:r>
      <w:r>
        <w:rPr>
          <w:bCs/>
        </w:rPr>
        <w:t xml:space="preserve">8152-53, para. 3 </w:t>
      </w:r>
      <w:r>
        <w:rPr>
          <w:iCs/>
        </w:rPr>
        <w:t>(2011) (</w:t>
      </w:r>
      <w:r>
        <w:rPr>
          <w:i/>
          <w:iCs/>
        </w:rPr>
        <w:t xml:space="preserve">Third </w:t>
      </w:r>
      <w:r>
        <w:rPr>
          <w:i/>
        </w:rPr>
        <w:t>Further Notice of Proposed Rulemaking</w:t>
      </w:r>
      <w:r>
        <w:rPr>
          <w:iCs/>
        </w:rPr>
        <w:t>).</w:t>
      </w:r>
      <w:r>
        <w:t xml:space="preserve">    </w:t>
      </w:r>
    </w:p>
  </w:footnote>
  <w:footnote w:id="10">
    <w:p w:rsidR="00744B1B" w:rsidRDefault="00744B1B" w:rsidP="00744B1B">
      <w:pPr>
        <w:pStyle w:val="FootnoteText"/>
      </w:pPr>
      <w:r>
        <w:rPr>
          <w:rStyle w:val="FootnoteReference"/>
        </w:rPr>
        <w:footnoteRef/>
      </w:r>
      <w:r>
        <w:t xml:space="preserve"> </w:t>
      </w:r>
      <w:r>
        <w:rPr>
          <w:i/>
        </w:rPr>
        <w:t>See</w:t>
      </w:r>
      <w:r>
        <w:t xml:space="preserve"> 47 C.F.R. § 11.55(a).  </w:t>
      </w:r>
      <w:r w:rsidRPr="004C388D">
        <w:rPr>
          <w:i/>
        </w:rPr>
        <w:t>See also</w:t>
      </w:r>
      <w:r>
        <w:t xml:space="preserve"> </w:t>
      </w:r>
      <w:r>
        <w:rPr>
          <w:i/>
        </w:rPr>
        <w:t>First Report and Order and Further Notice of Proposed Rule Making</w:t>
      </w:r>
      <w:r>
        <w:t xml:space="preserve">, 20 FCC Rcd at 18628, para. 8.   </w:t>
      </w:r>
      <w:r>
        <w:rPr>
          <w:rFonts w:ascii="TimesNewRoman,Bold" w:hAnsi="TimesNewRoman,Bold" w:cs="TimesNewRoman,Bold"/>
          <w:bCs/>
          <w:color w:val="010101"/>
          <w:sz w:val="22"/>
          <w:szCs w:val="22"/>
        </w:rPr>
        <w:t xml:space="preserve"> </w:t>
      </w:r>
      <w:r>
        <w:t xml:space="preserve">   </w:t>
      </w:r>
    </w:p>
  </w:footnote>
  <w:footnote w:id="11">
    <w:p w:rsidR="00744B1B" w:rsidRDefault="00744B1B" w:rsidP="00744B1B">
      <w:pPr>
        <w:pStyle w:val="FootnoteText"/>
      </w:pPr>
      <w:r>
        <w:rPr>
          <w:rStyle w:val="FootnoteReference"/>
        </w:rPr>
        <w:footnoteRef/>
      </w:r>
      <w:r>
        <w:t xml:space="preserve"> </w:t>
      </w:r>
      <w:r>
        <w:rPr>
          <w:i/>
        </w:rPr>
        <w:t>See</w:t>
      </w:r>
      <w:r>
        <w:t xml:space="preserve">, </w:t>
      </w:r>
      <w:r>
        <w:rPr>
          <w:i/>
        </w:rPr>
        <w:t>e</w:t>
      </w:r>
      <w:r>
        <w:t>.</w:t>
      </w:r>
      <w:r>
        <w:rPr>
          <w:i/>
        </w:rPr>
        <w:t>g</w:t>
      </w:r>
      <w:r>
        <w:t>.,</w:t>
      </w:r>
      <w:r>
        <w:rPr>
          <w:i/>
        </w:rPr>
        <w:t xml:space="preserve"> Fifth Report and Order</w:t>
      </w:r>
      <w:r>
        <w:t xml:space="preserve">, </w:t>
      </w:r>
      <w:r>
        <w:rPr>
          <w:iCs/>
        </w:rPr>
        <w:t>27 FCC Rcd at 642-3, para. 2</w:t>
      </w:r>
      <w:r>
        <w:t xml:space="preserve">. </w:t>
      </w:r>
    </w:p>
  </w:footnote>
  <w:footnote w:id="12">
    <w:p w:rsidR="00744B1B" w:rsidRDefault="00744B1B" w:rsidP="00744B1B">
      <w:pPr>
        <w:pStyle w:val="FootnoteText"/>
      </w:pPr>
      <w:r>
        <w:rPr>
          <w:rStyle w:val="FootnoteReference"/>
        </w:rPr>
        <w:footnoteRef/>
      </w:r>
      <w:r>
        <w:t xml:space="preserve"> </w:t>
      </w:r>
      <w:r w:rsidRPr="00BD4F15">
        <w:t xml:space="preserve">The respective roles of the Commission, FEMA, and NWS are defined in a series of Executive documents.  </w:t>
      </w:r>
      <w:r w:rsidRPr="006D7808">
        <w:rPr>
          <w:i/>
        </w:rPr>
        <w:t>See</w:t>
      </w:r>
      <w:r w:rsidRPr="00BD4F15">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Assignment of National Security and Emergency Preparedness Telecommunications Functions, Exec. Order No. 12472, 49 Fed. Reg. 13471 (1984); and Memorandum, Presidential Communications with the General Public During Periods of National Emergency, The White House (Sept. 15, 1995) (1995 Presidential Statement).</w:t>
      </w:r>
    </w:p>
  </w:footnote>
  <w:footnote w:id="13">
    <w:p w:rsidR="00744B1B" w:rsidRDefault="00744B1B" w:rsidP="00744B1B">
      <w:pPr>
        <w:pStyle w:val="FootnoteText"/>
      </w:pPr>
      <w:r>
        <w:rPr>
          <w:rStyle w:val="FootnoteReference"/>
        </w:rPr>
        <w:footnoteRef/>
      </w:r>
      <w:r>
        <w:t xml:space="preserve"> The message</w:t>
      </w:r>
      <w:r w:rsidRPr="007F6264">
        <w:t xml:space="preserve"> provides very basic information about the emergency involved</w:t>
      </w:r>
      <w:r>
        <w:rPr>
          <w:szCs w:val="22"/>
        </w:rPr>
        <w:t xml:space="preserve">.  </w:t>
      </w:r>
      <w:r>
        <w:rPr>
          <w:i/>
        </w:rPr>
        <w:t>See</w:t>
      </w:r>
      <w:r>
        <w:t xml:space="preserve"> 47 C.F.R. § 11.31.  Under this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w:t>
      </w:r>
      <w:r>
        <w:rPr>
          <w:i/>
        </w:rPr>
        <w:t>See</w:t>
      </w:r>
      <w:r>
        <w:t xml:space="preserve"> </w:t>
      </w:r>
      <w:r>
        <w:rPr>
          <w:i/>
        </w:rPr>
        <w:t>id</w:t>
      </w:r>
      <w:r>
        <w:t xml:space="preserve">. § 11.31(a).  Although the EAS Protocol specifies that the message can be audio, video, or text, in practice, only audio is sent.  </w:t>
      </w:r>
      <w:r w:rsidRPr="00390352">
        <w:t xml:space="preserve">  </w:t>
      </w:r>
    </w:p>
  </w:footnote>
  <w:footnote w:id="14">
    <w:p w:rsidR="00744B1B" w:rsidRDefault="00744B1B" w:rsidP="00744B1B">
      <w:pPr>
        <w:pStyle w:val="FootnoteText"/>
      </w:pPr>
      <w:r>
        <w:rPr>
          <w:rStyle w:val="FootnoteReference"/>
        </w:rPr>
        <w:footnoteRef/>
      </w:r>
      <w:r>
        <w:t xml:space="preserve"> </w:t>
      </w:r>
      <w:r w:rsidRPr="00F236EB">
        <w:t>The EAS Protocol is identical to the Specific Area Message Encoding (SAME) digital protocol utilized by NWS for weather alerts.</w:t>
      </w:r>
      <w:r>
        <w:rPr>
          <w:i/>
        </w:rPr>
        <w:t xml:space="preserve">  See</w:t>
      </w:r>
      <w:r>
        <w:t xml:space="preserve"> </w:t>
      </w:r>
      <w:r>
        <w:rPr>
          <w:i/>
        </w:rPr>
        <w:t>Third Further Notice of Proposed Rulemaking</w:t>
      </w:r>
      <w:r>
        <w:t xml:space="preserve">, </w:t>
      </w:r>
      <w:r>
        <w:rPr>
          <w:iCs/>
        </w:rPr>
        <w:t xml:space="preserve">26 FCC Rcd at </w:t>
      </w:r>
      <w:r>
        <w:t>8154, para. 5 (</w:t>
      </w:r>
      <w:r>
        <w:rPr>
          <w:i/>
        </w:rPr>
        <w:t>citing</w:t>
      </w:r>
      <w:r>
        <w:t xml:space="preserve"> NOAA Weather Radio SAME Info, </w:t>
      </w:r>
      <w:hyperlink r:id="rId1" w:history="1">
        <w:r>
          <w:rPr>
            <w:rStyle w:val="Hyperlink"/>
          </w:rPr>
          <w:t>http://www.nws.noaa.gov/nwr/nwrsame.htm</w:t>
        </w:r>
      </w:hyperlink>
      <w:r>
        <w:t xml:space="preserve">; Specific Area Message Encoding (SAME), National Weather Service Instruction 10-1712 (Feb. 12, 2007), </w:t>
      </w:r>
      <w:r>
        <w:rPr>
          <w:i/>
        </w:rPr>
        <w:t>available at</w:t>
      </w:r>
      <w:r>
        <w:t xml:space="preserve"> </w:t>
      </w:r>
      <w:r>
        <w:rPr>
          <w:rStyle w:val="Hyperlink"/>
        </w:rPr>
        <w:t>http://www.nws.noaa.gov/directives/010/pd01017012b.pdf</w:t>
      </w:r>
      <w:r>
        <w:t xml:space="preserve">).  </w:t>
      </w:r>
    </w:p>
  </w:footnote>
  <w:footnote w:id="15">
    <w:p w:rsidR="00744B1B" w:rsidRDefault="00744B1B" w:rsidP="00744B1B">
      <w:pPr>
        <w:pStyle w:val="FootnoteText"/>
      </w:pPr>
      <w:r>
        <w:rPr>
          <w:rStyle w:val="FootnoteReference"/>
        </w:rPr>
        <w:footnoteRef/>
      </w:r>
      <w:r w:rsidRPr="00D812E9">
        <w:t xml:space="preserve"> At the national level, EAS message distribution starts at P</w:t>
      </w:r>
      <w:r>
        <w:t>rimary Entry Point (P</w:t>
      </w:r>
      <w:r w:rsidRPr="00D812E9">
        <w:t>EP</w:t>
      </w:r>
      <w:r>
        <w:t>)</w:t>
      </w:r>
      <w:r w:rsidRPr="00D812E9">
        <w:t xml:space="preserve"> stations, which are </w:t>
      </w:r>
      <w:r>
        <w:t xml:space="preserve">a group of geographically diverse, high power radio stations </w:t>
      </w:r>
      <w:r w:rsidRPr="00D812E9">
        <w:t xml:space="preserve">designated and tasked by </w:t>
      </w:r>
      <w:r>
        <w:t>FEMA</w:t>
      </w:r>
      <w:r w:rsidRPr="00D812E9">
        <w:t xml:space="preserve"> to transmit “Presidential Level” messages initiated by FEMA.</w:t>
      </w:r>
      <w:bookmarkStart w:id="46" w:name="FN[FN28]"/>
      <w:bookmarkEnd w:id="46"/>
      <w:r w:rsidRPr="00D812E9">
        <w:t xml:space="preserve">  </w:t>
      </w:r>
      <w:r w:rsidRPr="00291879">
        <w:rPr>
          <w:i/>
        </w:rPr>
        <w:t>See</w:t>
      </w:r>
      <w:r w:rsidRPr="0054238A">
        <w:rPr>
          <w:i/>
        </w:rPr>
        <w:t xml:space="preserve"> </w:t>
      </w:r>
      <w:r>
        <w:rPr>
          <w:i/>
        </w:rPr>
        <w:t>Fifth Report and Order</w:t>
      </w:r>
      <w:r>
        <w:t xml:space="preserve">, </w:t>
      </w:r>
      <w:r>
        <w:rPr>
          <w:iCs/>
        </w:rPr>
        <w:t xml:space="preserve">27 FCC Rcd at 646-47, para. 7.  </w:t>
      </w:r>
      <w:r w:rsidRPr="00220DDA">
        <w:rPr>
          <w:szCs w:val="22"/>
        </w:rPr>
        <w:t xml:space="preserve">At the state level, state governors and state and local emergency operations managers activate the EAS by utilizing state-designated EAS entry points – specifically, State Primary stations and “State Relay” stations.  </w:t>
      </w:r>
      <w:r w:rsidRPr="00220DDA">
        <w:rPr>
          <w:i/>
          <w:szCs w:val="22"/>
        </w:rPr>
        <w:t>See</w:t>
      </w:r>
      <w:r w:rsidRPr="00220DDA">
        <w:rPr>
          <w:szCs w:val="22"/>
        </w:rPr>
        <w:t xml:space="preserve"> 47 C.F.R. § 11.20.  State Relay stations relay </w:t>
      </w:r>
      <w:r>
        <w:rPr>
          <w:szCs w:val="22"/>
        </w:rPr>
        <w:t xml:space="preserve">both national and </w:t>
      </w:r>
      <w:r w:rsidRPr="00220DDA">
        <w:rPr>
          <w:szCs w:val="22"/>
        </w:rPr>
        <w:t xml:space="preserve">state emergency messages to local areas.  </w:t>
      </w:r>
      <w:r w:rsidRPr="00220DDA">
        <w:rPr>
          <w:i/>
          <w:szCs w:val="22"/>
        </w:rPr>
        <w:t>See</w:t>
      </w:r>
      <w:r w:rsidRPr="00220DDA">
        <w:rPr>
          <w:szCs w:val="22"/>
        </w:rPr>
        <w:t xml:space="preserve"> 47 C.F.R. § 11.18(d)</w:t>
      </w:r>
      <w:r>
        <w:rPr>
          <w:szCs w:val="22"/>
        </w:rPr>
        <w:t>.</w:t>
      </w:r>
      <w:r>
        <w:rPr>
          <w:iCs/>
        </w:rPr>
        <w:t xml:space="preserve">  </w:t>
      </w:r>
    </w:p>
  </w:footnote>
  <w:footnote w:id="16">
    <w:p w:rsidR="00744B1B" w:rsidRDefault="00744B1B" w:rsidP="00744B1B">
      <w:pPr>
        <w:pStyle w:val="FootnoteText"/>
      </w:pPr>
      <w:r>
        <w:rPr>
          <w:rStyle w:val="FootnoteReference"/>
        </w:rPr>
        <w:footnoteRef/>
      </w:r>
      <w:r>
        <w:t xml:space="preserve"> </w:t>
      </w:r>
      <w:r>
        <w:rPr>
          <w:i/>
        </w:rPr>
        <w:t>See</w:t>
      </w:r>
      <w:r>
        <w:t xml:space="preserve"> 47 C.F.R. </w:t>
      </w:r>
      <w:r w:rsidRPr="0021010F">
        <w:t>§</w:t>
      </w:r>
      <w:r>
        <w:t xml:space="preserve"> </w:t>
      </w:r>
      <w:r w:rsidRPr="0021010F">
        <w:t>11.</w:t>
      </w:r>
      <w:r>
        <w:t xml:space="preserve">56; </w:t>
      </w:r>
      <w:r>
        <w:rPr>
          <w:i/>
        </w:rPr>
        <w:t>s</w:t>
      </w:r>
      <w:r w:rsidRPr="00D62431">
        <w:rPr>
          <w:i/>
        </w:rPr>
        <w:t>ee</w:t>
      </w:r>
      <w:r>
        <w:rPr>
          <w:i/>
        </w:rPr>
        <w:t xml:space="preserve"> also</w:t>
      </w:r>
      <w:r w:rsidRPr="00D62431">
        <w:rPr>
          <w:i/>
        </w:rPr>
        <w:t xml:space="preserve"> </w:t>
      </w:r>
      <w:r>
        <w:rPr>
          <w:i/>
        </w:rPr>
        <w:t>Fifth Report and Order</w:t>
      </w:r>
      <w:r>
        <w:t xml:space="preserve">, </w:t>
      </w:r>
      <w:r>
        <w:rPr>
          <w:iCs/>
        </w:rPr>
        <w:t xml:space="preserve">27 FCC Rcd at </w:t>
      </w:r>
      <w:r w:rsidRPr="000C45C1">
        <w:rPr>
          <w:iCs/>
        </w:rPr>
        <w:t>6</w:t>
      </w:r>
      <w:r>
        <w:rPr>
          <w:iCs/>
        </w:rPr>
        <w:t xml:space="preserve">44-45, para. 4.  </w:t>
      </w:r>
      <w:r w:rsidRPr="004E0BAA">
        <w:t xml:space="preserve">CAP </w:t>
      </w:r>
      <w:r>
        <w:t xml:space="preserve">is </w:t>
      </w:r>
      <w:r w:rsidRPr="004E0BAA">
        <w:t>an open, interoperable standard</w:t>
      </w:r>
      <w:r>
        <w:t xml:space="preserve"> developed by the </w:t>
      </w:r>
      <w:r w:rsidRPr="004928F8">
        <w:rPr>
          <w:szCs w:val="22"/>
        </w:rPr>
        <w:t>Organization for the Advancement of Structured Information Standards (OASIS)</w:t>
      </w:r>
      <w:r>
        <w:rPr>
          <w:szCs w:val="22"/>
        </w:rPr>
        <w:t>,</w:t>
      </w:r>
      <w:r w:rsidRPr="004E0BAA">
        <w:t xml:space="preserve"> </w:t>
      </w:r>
      <w:r>
        <w:t xml:space="preserve">and </w:t>
      </w:r>
      <w:r w:rsidRPr="004E0BAA">
        <w:t>incorporates a language developed and widely used for web documents</w:t>
      </w:r>
      <w:r>
        <w:t xml:space="preserve">.  </w:t>
      </w:r>
      <w:r w:rsidRPr="00D62431">
        <w:rPr>
          <w:i/>
        </w:rPr>
        <w:t>See</w:t>
      </w:r>
      <w:r>
        <w:rPr>
          <w:i/>
        </w:rPr>
        <w:t xml:space="preserve"> id</w:t>
      </w:r>
      <w:r>
        <w:t xml:space="preserve">. at </w:t>
      </w:r>
      <w:r w:rsidRPr="000C45C1">
        <w:rPr>
          <w:iCs/>
        </w:rPr>
        <w:t>6</w:t>
      </w:r>
      <w:r>
        <w:rPr>
          <w:iCs/>
        </w:rPr>
        <w:t xml:space="preserve">48-49, paras. </w:t>
      </w:r>
      <w:r>
        <w:t>10-11</w:t>
      </w:r>
      <w:r>
        <w:rPr>
          <w:iCs/>
        </w:rPr>
        <w:t xml:space="preserve">.  </w:t>
      </w:r>
      <w:r>
        <w:t xml:space="preserve">CAP-formatted alerts can include </w:t>
      </w:r>
      <w:r w:rsidRPr="004E0BAA">
        <w:t>audio</w:t>
      </w:r>
      <w:r>
        <w:t>,</w:t>
      </w:r>
      <w:r w:rsidRPr="004E0BAA">
        <w:t xml:space="preserve"> </w:t>
      </w:r>
      <w:r>
        <w:t xml:space="preserve">video </w:t>
      </w:r>
      <w:r w:rsidRPr="004E0BAA">
        <w:t>or data files</w:t>
      </w:r>
      <w:r>
        <w:t>;</w:t>
      </w:r>
      <w:r w:rsidRPr="004E0BAA">
        <w:t xml:space="preserve"> images</w:t>
      </w:r>
      <w:r>
        <w:t>;</w:t>
      </w:r>
      <w:r w:rsidRPr="004E0BAA">
        <w:t xml:space="preserve"> multilingual translations </w:t>
      </w:r>
      <w:r>
        <w:t xml:space="preserve">of </w:t>
      </w:r>
      <w:r w:rsidRPr="004E0BAA">
        <w:t>alert</w:t>
      </w:r>
      <w:r>
        <w:t>s;</w:t>
      </w:r>
      <w:r w:rsidRPr="004E0BAA">
        <w:t xml:space="preserve"> </w:t>
      </w:r>
      <w:r>
        <w:t xml:space="preserve">and </w:t>
      </w:r>
      <w:r w:rsidRPr="004E0BAA">
        <w:t xml:space="preserve">links providing </w:t>
      </w:r>
      <w:r>
        <w:t xml:space="preserve">more detailed </w:t>
      </w:r>
      <w:r w:rsidRPr="004E0BAA">
        <w:t>information</w:t>
      </w:r>
      <w:r>
        <w:t xml:space="preserve"> than what is contained in the initial alert (such as streaming audio or video)</w:t>
      </w:r>
      <w:r w:rsidRPr="004E0BAA">
        <w:t xml:space="preserve">.  </w:t>
      </w:r>
      <w:r w:rsidRPr="00A74F9C">
        <w:rPr>
          <w:i/>
        </w:rPr>
        <w:t>See id</w:t>
      </w:r>
      <w:r>
        <w:t>.  However, a</w:t>
      </w:r>
      <w:r w:rsidRPr="0047494B">
        <w:t xml:space="preserve">ny data contained in a CAP-formatted message beyond the EAS codes and audio message (if present), such as enhanced text or video files, can be utilized locally by the EAS Participant that receives it, but cannot be converted into the EAS Protocol and thus cannot be distributed via the daisy chain process.  The Part 11 rules reflect this reality.  </w:t>
      </w:r>
      <w:r w:rsidRPr="0001741C">
        <w:rPr>
          <w:i/>
        </w:rPr>
        <w:t>See</w:t>
      </w:r>
      <w:r w:rsidRPr="0047494B">
        <w:t xml:space="preserve">, </w:t>
      </w:r>
      <w:r w:rsidRPr="0001741C">
        <w:rPr>
          <w:i/>
        </w:rPr>
        <w:t>e.g</w:t>
      </w:r>
      <w:r w:rsidRPr="0047494B">
        <w:t xml:space="preserve">., 47 C.F.R. § 11.51(d), (g)(3), (h)(3), (j)(2).    </w:t>
      </w:r>
    </w:p>
  </w:footnote>
  <w:footnote w:id="17">
    <w:p w:rsidR="00744B1B" w:rsidRDefault="00744B1B" w:rsidP="00744B1B">
      <w:pPr>
        <w:pStyle w:val="FootnoteText"/>
      </w:pPr>
      <w:r>
        <w:rPr>
          <w:rStyle w:val="FootnoteReference"/>
        </w:rPr>
        <w:footnoteRef/>
      </w:r>
      <w:r>
        <w:t xml:space="preserve"> </w:t>
      </w:r>
      <w:r>
        <w:rPr>
          <w:i/>
        </w:rPr>
        <w:t xml:space="preserve">See </w:t>
      </w:r>
      <w:r w:rsidRPr="00397936">
        <w:rPr>
          <w:i/>
        </w:rPr>
        <w:t>Amendment of Part 73, Subpart G, of the Commission’s Rules Regarding the Emergency Broadcast System</w:t>
      </w:r>
      <w:r>
        <w:t xml:space="preserve">, </w:t>
      </w:r>
      <w:r w:rsidRPr="00397936">
        <w:t>Report and Order and Further Notice of Proposed Rulemaking</w:t>
      </w:r>
      <w:r>
        <w:t>, 10 FCC Rcd 1786, 1822-23, paras. 103-104 (1994) (subsequent history omitted) (</w:t>
      </w:r>
      <w:r>
        <w:rPr>
          <w:i/>
        </w:rPr>
        <w:t>1994 Report and Order</w:t>
      </w:r>
      <w:r>
        <w:t xml:space="preserve">).  </w:t>
      </w:r>
    </w:p>
  </w:footnote>
  <w:footnote w:id="18">
    <w:p w:rsidR="00744B1B" w:rsidRDefault="00744B1B" w:rsidP="00744B1B">
      <w:pPr>
        <w:pStyle w:val="FootnoteText"/>
      </w:pPr>
      <w:r>
        <w:rPr>
          <w:rStyle w:val="FootnoteReference"/>
        </w:rPr>
        <w:footnoteRef/>
      </w:r>
      <w:r>
        <w:t xml:space="preserve"> </w:t>
      </w:r>
      <w:r w:rsidRPr="00F52F5F">
        <w:rPr>
          <w:i/>
        </w:rPr>
        <w:t>See</w:t>
      </w:r>
      <w:r w:rsidRPr="00214810">
        <w:t xml:space="preserve"> 47 C.F.R. § 11.31.</w:t>
      </w:r>
    </w:p>
  </w:footnote>
  <w:footnote w:id="19">
    <w:p w:rsidR="00744B1B" w:rsidRDefault="00744B1B" w:rsidP="00744B1B">
      <w:pPr>
        <w:pStyle w:val="FootnoteText"/>
      </w:pPr>
      <w:r>
        <w:rPr>
          <w:rStyle w:val="FootnoteReference"/>
        </w:rPr>
        <w:footnoteRef/>
      </w:r>
      <w:r>
        <w:t xml:space="preserve"> </w:t>
      </w:r>
      <w:r w:rsidRPr="00F52F5F">
        <w:rPr>
          <w:i/>
        </w:rPr>
        <w:t>See</w:t>
      </w:r>
      <w:r>
        <w:t xml:space="preserve"> </w:t>
      </w:r>
      <w:r w:rsidRPr="0033009C">
        <w:t>47 C.F.R. § 11.51(d), (g)(3), (h)(3), (j)(2).</w:t>
      </w:r>
    </w:p>
  </w:footnote>
  <w:footnote w:id="20">
    <w:p w:rsidR="00744B1B" w:rsidRDefault="00744B1B" w:rsidP="00744B1B">
      <w:pPr>
        <w:pStyle w:val="FootnoteText"/>
      </w:pPr>
      <w:r>
        <w:rPr>
          <w:rStyle w:val="FootnoteReference"/>
        </w:rPr>
        <w:footnoteRef/>
      </w:r>
      <w:r>
        <w:t xml:space="preserve"> For state and local alerts, EAS Participants broadcast any accompanying audio message on a permissive basis, but are required to broadcast the Presidential audio associated with the federal Emergency Action Notification.  </w:t>
      </w:r>
      <w:r w:rsidRPr="00F52F5F">
        <w:rPr>
          <w:i/>
        </w:rPr>
        <w:t>See</w:t>
      </w:r>
      <w:r w:rsidRPr="0033009C">
        <w:t xml:space="preserve"> 47 C.F.R. § 11.51(</w:t>
      </w:r>
      <w:r>
        <w:t>a</w:t>
      </w:r>
      <w:r w:rsidRPr="0033009C">
        <w:t>), (</w:t>
      </w:r>
      <w:r>
        <w:t>b</w:t>
      </w:r>
      <w:r w:rsidRPr="0033009C">
        <w:t>)</w:t>
      </w:r>
      <w:r>
        <w:t>.</w:t>
      </w:r>
    </w:p>
  </w:footnote>
  <w:footnote w:id="21">
    <w:p w:rsidR="00744B1B" w:rsidRDefault="00744B1B" w:rsidP="00744B1B">
      <w:pPr>
        <w:pStyle w:val="FootnoteText"/>
      </w:pPr>
      <w:r>
        <w:rPr>
          <w:rStyle w:val="FootnoteReference"/>
        </w:rPr>
        <w:footnoteRef/>
      </w:r>
      <w:r>
        <w:t xml:space="preserve"> </w:t>
      </w:r>
      <w:r w:rsidRPr="00F52F5F">
        <w:rPr>
          <w:i/>
        </w:rPr>
        <w:t>See</w:t>
      </w:r>
      <w:r w:rsidRPr="00622B4E">
        <w:t xml:space="preserve"> 47 C.F.R. §§ 11.51(n)</w:t>
      </w:r>
      <w:r>
        <w:t xml:space="preserve">, </w:t>
      </w:r>
      <w:r w:rsidRPr="00622B4E">
        <w:t>11.</w:t>
      </w:r>
      <w:r>
        <w:t>33</w:t>
      </w:r>
      <w:r w:rsidRPr="00622B4E">
        <w:t>(</w:t>
      </w:r>
      <w:r>
        <w:t>a</w:t>
      </w:r>
      <w:r w:rsidRPr="00622B4E">
        <w:t>)</w:t>
      </w:r>
      <w:r>
        <w:t>(9)</w:t>
      </w:r>
      <w:r w:rsidRPr="00622B4E">
        <w:t xml:space="preserve">.  </w:t>
      </w:r>
    </w:p>
  </w:footnote>
  <w:footnote w:id="22">
    <w:p w:rsidR="00744B1B" w:rsidRDefault="00744B1B" w:rsidP="00744B1B">
      <w:pPr>
        <w:pStyle w:val="FootnoteText"/>
      </w:pPr>
      <w:r>
        <w:rPr>
          <w:rStyle w:val="FootnoteReference"/>
        </w:rPr>
        <w:footnoteRef/>
      </w:r>
      <w:r>
        <w:t xml:space="preserve"> The EAS Participant could not evade the 15 minute window by generating a new alert, because any such new alert would be rejected as a duplicate alert by EAS equipment of monitoring EAS Participants where the original version of such alert had previously been received via a second monitoring source.  </w:t>
      </w:r>
      <w:r w:rsidRPr="00334432">
        <w:rPr>
          <w:i/>
        </w:rPr>
        <w:t>See</w:t>
      </w:r>
      <w:r w:rsidRPr="0047494B">
        <w:t xml:space="preserve"> 47 C.F.R. § 11.</w:t>
      </w:r>
      <w:r w:rsidRPr="00622B4E">
        <w:t xml:space="preserve"> </w:t>
      </w:r>
      <w:r>
        <w:t>33</w:t>
      </w:r>
      <w:r w:rsidRPr="00622B4E">
        <w:t>(</w:t>
      </w:r>
      <w:r>
        <w:t>a</w:t>
      </w:r>
      <w:r w:rsidRPr="00622B4E">
        <w:t>)</w:t>
      </w:r>
      <w:r>
        <w:t xml:space="preserve">(10).  We observe that EAS equipment manufacturers are developing multilingual translation solutions for EAS equipment, although it is unclear whether these solutions currently include automatic, reliable speech-to-speech translation.  </w:t>
      </w:r>
      <w:r w:rsidRPr="00C46555">
        <w:rPr>
          <w:i/>
        </w:rPr>
        <w:t>See</w:t>
      </w:r>
      <w:r>
        <w:t xml:space="preserve">, </w:t>
      </w:r>
      <w:r w:rsidRPr="00C46555">
        <w:rPr>
          <w:i/>
        </w:rPr>
        <w:t>e</w:t>
      </w:r>
      <w:r>
        <w:t>.</w:t>
      </w:r>
      <w:r w:rsidRPr="00C46555">
        <w:rPr>
          <w:i/>
        </w:rPr>
        <w:t>g</w:t>
      </w:r>
      <w:r>
        <w:t xml:space="preserve">., </w:t>
      </w:r>
      <w:r w:rsidRPr="00C32E80">
        <w:rPr>
          <w:snapToGrid w:val="0"/>
        </w:rPr>
        <w:t xml:space="preserve">Michael Balderston, </w:t>
      </w:r>
      <w:r w:rsidRPr="00C46555">
        <w:rPr>
          <w:i/>
          <w:snapToGrid w:val="0"/>
        </w:rPr>
        <w:t>Digital Alert Systems Introduces Multilingual EAS Translation Software</w:t>
      </w:r>
      <w:r w:rsidRPr="00C32E80">
        <w:rPr>
          <w:snapToGrid w:val="0"/>
        </w:rPr>
        <w:t>, TVTechnology (May 5, 2015)</w:t>
      </w:r>
      <w:r>
        <w:rPr>
          <w:snapToGrid w:val="0"/>
        </w:rPr>
        <w:t xml:space="preserve">, </w:t>
      </w:r>
      <w:hyperlink r:id="rId2" w:history="1">
        <w:r w:rsidRPr="004675BD">
          <w:rPr>
            <w:rStyle w:val="Hyperlink"/>
            <w:snapToGrid w:val="0"/>
          </w:rPr>
          <w:t>http://www.tvtechnology.com/article/digital-alert-systems-introduces-multilingual-eas-translation-software/275815</w:t>
        </w:r>
      </w:hyperlink>
      <w:r>
        <w:rPr>
          <w:snapToGrid w:val="0"/>
        </w:rPr>
        <w:t xml:space="preserve">. </w:t>
      </w:r>
    </w:p>
  </w:footnote>
  <w:footnote w:id="23">
    <w:p w:rsidR="00744B1B" w:rsidRDefault="00744B1B" w:rsidP="00744B1B">
      <w:pPr>
        <w:pStyle w:val="FootnoteText"/>
      </w:pPr>
      <w:r>
        <w:rPr>
          <w:rStyle w:val="FootnoteReference"/>
        </w:rPr>
        <w:footnoteRef/>
      </w:r>
      <w:r>
        <w:t xml:space="preserve"> </w:t>
      </w:r>
      <w:r>
        <w:rPr>
          <w:i/>
        </w:rPr>
        <w:t>See</w:t>
      </w:r>
      <w:r>
        <w:t xml:space="preserve">, </w:t>
      </w:r>
      <w:r>
        <w:rPr>
          <w:i/>
        </w:rPr>
        <w:t>e.g</w:t>
      </w:r>
      <w:r>
        <w:t xml:space="preserve">., </w:t>
      </w:r>
      <w:r>
        <w:rPr>
          <w:szCs w:val="22"/>
        </w:rPr>
        <w:t xml:space="preserve">47 C.F.R. § </w:t>
      </w:r>
      <w:r>
        <w:t xml:space="preserve">11.55(c)(4).  </w:t>
      </w:r>
    </w:p>
  </w:footnote>
  <w:footnote w:id="24">
    <w:p w:rsidR="00744B1B" w:rsidRDefault="00744B1B" w:rsidP="00744B1B">
      <w:pPr>
        <w:pStyle w:val="FootnoteText"/>
      </w:pPr>
      <w:r>
        <w:rPr>
          <w:rStyle w:val="FootnoteReference"/>
        </w:rPr>
        <w:footnoteRef/>
      </w:r>
      <w:r>
        <w:t xml:space="preserve"> In the case of CAP-formatted messages, visual crawls also may include enhanced text data in translated languages, if such data is included in the CAP message. </w:t>
      </w:r>
      <w:r>
        <w:rPr>
          <w:i/>
          <w:szCs w:val="22"/>
        </w:rPr>
        <w:t>See</w:t>
      </w:r>
      <w:r>
        <w:rPr>
          <w:szCs w:val="22"/>
        </w:rPr>
        <w:t xml:space="preserve"> 47 C.F.R. § </w:t>
      </w:r>
      <w:r>
        <w:t xml:space="preserve">11.51(d), (g)(3), (h)(3), (j)(2).  As explained in the ECIG Implementation Guide, the visual crawl associated with any EAS alert is limited to 1,800 characters in total.  </w:t>
      </w:r>
      <w:r>
        <w:rPr>
          <w:i/>
        </w:rPr>
        <w:t>See</w:t>
      </w:r>
      <w:r>
        <w:t xml:space="preserve"> </w:t>
      </w:r>
      <w:r w:rsidRPr="004928F8">
        <w:rPr>
          <w:szCs w:val="22"/>
        </w:rPr>
        <w:t>Organization for the Advancement of Structured Information Standards (OASIS) Common Alerting Protocol Version 1.2 (July 1, 2010)</w:t>
      </w:r>
      <w:r>
        <w:t>, § 3.6.4.4 (“</w:t>
      </w:r>
      <w:r w:rsidRPr="008040A3">
        <w:t>ECIG Implementation Guide</w:t>
      </w:r>
      <w:r>
        <w:t xml:space="preserve">”) (this document is also available on ECIG’s web site at:  </w:t>
      </w:r>
      <w:hyperlink r:id="rId3" w:history="1">
        <w:r w:rsidRPr="00B81E3F">
          <w:rPr>
            <w:rStyle w:val="Hyperlink"/>
          </w:rPr>
          <w:t>http://eas-cap.org/documents.htm</w:t>
        </w:r>
      </w:hyperlink>
      <w:r>
        <w:t xml:space="preserve">) (last visited Oct. 20, 2014).  </w:t>
      </w:r>
      <w:r w:rsidRPr="00A862E1">
        <w:t>The ECIG Implementation Guide sets forth guidelines for CAP-enabled EAS equipment to process multilingual text and audio contained in CAP alerts.</w:t>
      </w:r>
      <w:r w:rsidRPr="008040A3">
        <w:t xml:space="preserve">  </w:t>
      </w:r>
      <w:r w:rsidRPr="00690E64">
        <w:t xml:space="preserve">EAS Participants </w:t>
      </w:r>
      <w:r>
        <w:t xml:space="preserve">are required to </w:t>
      </w:r>
      <w:r w:rsidRPr="00690E64">
        <w:t>convert CAP-formatted EAS messages into messages that comply with the EAS Protocol requirements, following the procedures for such conversion set forth in the ECIG Implementation Guide</w:t>
      </w:r>
      <w:r>
        <w:t xml:space="preserve">.  </w:t>
      </w:r>
      <w:r w:rsidRPr="006F78CA">
        <w:rPr>
          <w:i/>
        </w:rPr>
        <w:t>See</w:t>
      </w:r>
      <w:r>
        <w:t xml:space="preserve"> </w:t>
      </w:r>
      <w:r>
        <w:rPr>
          <w:szCs w:val="22"/>
        </w:rPr>
        <w:t xml:space="preserve">47 C.F.R. § </w:t>
      </w:r>
      <w:r>
        <w:t xml:space="preserve">11.56.  </w:t>
      </w:r>
    </w:p>
  </w:footnote>
  <w:footnote w:id="25">
    <w:p w:rsidR="00744B1B" w:rsidRDefault="00744B1B" w:rsidP="00744B1B">
      <w:pPr>
        <w:pStyle w:val="FootnoteText"/>
      </w:pPr>
      <w:r>
        <w:rPr>
          <w:rStyle w:val="FootnoteReference"/>
        </w:rPr>
        <w:footnoteRef/>
      </w:r>
      <w:r>
        <w:t xml:space="preserve"> </w:t>
      </w:r>
      <w:r>
        <w:rPr>
          <w:i/>
        </w:rPr>
        <w:t>See</w:t>
      </w:r>
      <w:r>
        <w:t xml:space="preserve"> </w:t>
      </w:r>
      <w:r w:rsidRPr="008040A3">
        <w:t>ECIG Implementation Guide, § 3.7.</w:t>
      </w:r>
      <w:r>
        <w:tab/>
      </w:r>
    </w:p>
  </w:footnote>
  <w:footnote w:id="26">
    <w:p w:rsidR="00744B1B" w:rsidRDefault="00744B1B" w:rsidP="00744B1B">
      <w:pPr>
        <w:pStyle w:val="FootnoteText"/>
      </w:pPr>
      <w:r>
        <w:rPr>
          <w:rStyle w:val="FootnoteReference"/>
        </w:rPr>
        <w:footnoteRef/>
      </w:r>
      <w:r>
        <w:t xml:space="preserve"> </w:t>
      </w:r>
      <w:r>
        <w:rPr>
          <w:i/>
        </w:rPr>
        <w:t>See</w:t>
      </w:r>
      <w:r>
        <w:t xml:space="preserve"> </w:t>
      </w:r>
      <w:r w:rsidRPr="00397936">
        <w:rPr>
          <w:i/>
        </w:rPr>
        <w:t>Review of the Emergency Alert System; Independent Spanish Broadcasters Association, The Office of Communication of the United Church of Christ, Inc., and the Minority Media and Telecommunications Council, Petition for Immediate Relief</w:t>
      </w:r>
      <w:r>
        <w:t>, ET Docket No. 04</w:t>
      </w:r>
      <w:r>
        <w:noBreakHyphen/>
        <w:t xml:space="preserve">296, </w:t>
      </w:r>
      <w:r w:rsidRPr="00397936">
        <w:t>Order on Reconsideration</w:t>
      </w:r>
      <w:r>
        <w:t xml:space="preserve">, </w:t>
      </w:r>
      <w:r>
        <w:rPr>
          <w:iCs/>
        </w:rPr>
        <w:t xml:space="preserve">27 FCC Rcd 4429, 4432, paras. 7-8 (2012).  </w:t>
      </w:r>
      <w:r>
        <w:t xml:space="preserve"> </w:t>
      </w:r>
    </w:p>
  </w:footnote>
  <w:footnote w:id="27">
    <w:p w:rsidR="00744B1B" w:rsidRPr="00252FCA" w:rsidRDefault="00744B1B" w:rsidP="00744B1B">
      <w:pPr>
        <w:pStyle w:val="FootnoteText"/>
        <w:rPr>
          <w:b/>
        </w:rPr>
      </w:pPr>
      <w:r>
        <w:rPr>
          <w:rStyle w:val="FootnoteReference"/>
        </w:rPr>
        <w:footnoteRef/>
      </w:r>
      <w:r>
        <w:t xml:space="preserve"> T</w:t>
      </w:r>
      <w:r w:rsidRPr="00DD13C3">
        <w:t>he Commission acknowledges that some individuals who are deaf, hard of hearing, and deaf-blind prefer American Sign Language (ASL) as their primary language, and that ASL cannot be readily conveyed over legacy EAS.  However, as technology evolves, EAS Participants and States are encouraged to explore ways to enable the delivery of video alerts in ASL</w:t>
      </w:r>
      <w:r>
        <w:t xml:space="preserve"> format,</w:t>
      </w:r>
      <w:r w:rsidRPr="00DD13C3">
        <w:t xml:space="preserve"> if possible.</w:t>
      </w:r>
      <w:r>
        <w:t xml:space="preserve">  We also observe that, on August 27, 2015, the Public Safety and Homeland Security Bureau </w:t>
      </w:r>
      <w:r w:rsidRPr="00252FCA">
        <w:t xml:space="preserve">and the Consumer and Governmental Affairs Bureau </w:t>
      </w:r>
      <w:r>
        <w:t xml:space="preserve">held a workshop on ways to improve the EAS that examined, among other things, </w:t>
      </w:r>
      <w:r w:rsidRPr="00252FCA">
        <w:t>how to improve the accessibility of alerts to people with disabilities</w:t>
      </w:r>
      <w:r>
        <w:t xml:space="preserve">.  </w:t>
      </w:r>
      <w:r w:rsidRPr="00252FCA">
        <w:rPr>
          <w:i/>
        </w:rPr>
        <w:t>See FCC Announces Workshop to Promote Wider Use of the Emergency Alert System</w:t>
      </w:r>
      <w:r>
        <w:t xml:space="preserve">, PS Docket No. 15-94, Public Notice, FCC Rcd 8226 (2015). </w:t>
      </w:r>
    </w:p>
  </w:footnote>
  <w:footnote w:id="28">
    <w:p w:rsidR="00744B1B" w:rsidRDefault="00744B1B" w:rsidP="00744B1B">
      <w:pPr>
        <w:pStyle w:val="FootnoteText"/>
      </w:pPr>
      <w:r>
        <w:rPr>
          <w:rStyle w:val="FootnoteReference"/>
        </w:rPr>
        <w:footnoteRef/>
      </w:r>
      <w:r>
        <w:t xml:space="preserve"> </w:t>
      </w:r>
      <w:r>
        <w:rPr>
          <w:i/>
        </w:rPr>
        <w:t>See Fifth Report and Order</w:t>
      </w:r>
      <w:r>
        <w:t xml:space="preserve">, </w:t>
      </w:r>
      <w:r>
        <w:rPr>
          <w:iCs/>
        </w:rPr>
        <w:t>27 FCC Rcd at 654-56, paras. 26-30</w:t>
      </w:r>
      <w:r>
        <w:t xml:space="preserve">.  </w:t>
      </w:r>
      <w:r>
        <w:rPr>
          <w:szCs w:val="22"/>
        </w:rPr>
        <w:tab/>
      </w:r>
    </w:p>
  </w:footnote>
  <w:footnote w:id="29">
    <w:p w:rsidR="00744B1B" w:rsidRDefault="00744B1B" w:rsidP="00744B1B">
      <w:pPr>
        <w:pStyle w:val="FootnoteText"/>
      </w:pPr>
      <w:r>
        <w:rPr>
          <w:rStyle w:val="FootnoteReference"/>
        </w:rPr>
        <w:footnoteRef/>
      </w:r>
      <w:r>
        <w:rPr>
          <w:szCs w:val="22"/>
        </w:rPr>
        <w:t xml:space="preserve"> </w:t>
      </w:r>
      <w:r>
        <w:rPr>
          <w:i/>
        </w:rPr>
        <w:t>See</w:t>
      </w:r>
      <w:r>
        <w:t xml:space="preserve"> 47 C.F.R. § 11.56.  </w:t>
      </w:r>
      <w:r w:rsidRPr="00690E64">
        <w:t>More specifically, the Commission required that EAS Participants must be able to convert CAP-formatted EAS messages into messages that comply with the EAS Protocol requirements, following the procedures for such conversion set forth in the ECIG Implementation Guide.</w:t>
      </w:r>
      <w:r>
        <w:rPr>
          <w:sz w:val="22"/>
          <w:szCs w:val="22"/>
        </w:rPr>
        <w:t xml:space="preserve">  </w:t>
      </w:r>
      <w:r>
        <w:rPr>
          <w:i/>
        </w:rPr>
        <w:t>S</w:t>
      </w:r>
      <w:r w:rsidRPr="0021010F">
        <w:rPr>
          <w:i/>
        </w:rPr>
        <w:t>ee</w:t>
      </w:r>
      <w:r>
        <w:rPr>
          <w:i/>
        </w:rPr>
        <w:t xml:space="preserve"> </w:t>
      </w:r>
      <w:r w:rsidRPr="002731DA">
        <w:rPr>
          <w:i/>
        </w:rPr>
        <w:t>id</w:t>
      </w:r>
      <w:r>
        <w:t>.;</w:t>
      </w:r>
      <w:r w:rsidRPr="002731DA">
        <w:rPr>
          <w:i/>
        </w:rPr>
        <w:t xml:space="preserve"> </w:t>
      </w:r>
      <w:r w:rsidRPr="00D62431">
        <w:rPr>
          <w:i/>
        </w:rPr>
        <w:t>Fifth Report and Order</w:t>
      </w:r>
      <w:r>
        <w:t xml:space="preserve">, </w:t>
      </w:r>
      <w:r w:rsidRPr="000C45C1">
        <w:rPr>
          <w:iCs/>
        </w:rPr>
        <w:t>27 FCC Rcd </w:t>
      </w:r>
      <w:r>
        <w:rPr>
          <w:iCs/>
        </w:rPr>
        <w:t xml:space="preserve">at </w:t>
      </w:r>
      <w:r w:rsidRPr="000C45C1">
        <w:rPr>
          <w:iCs/>
        </w:rPr>
        <w:t>6</w:t>
      </w:r>
      <w:r>
        <w:rPr>
          <w:iCs/>
        </w:rPr>
        <w:t xml:space="preserve">57-59, paras. 36-40. </w:t>
      </w:r>
    </w:p>
  </w:footnote>
  <w:footnote w:id="30">
    <w:p w:rsidR="00744B1B" w:rsidRDefault="00744B1B" w:rsidP="00744B1B">
      <w:pPr>
        <w:pStyle w:val="FootnoteText"/>
      </w:pPr>
      <w:r>
        <w:rPr>
          <w:rStyle w:val="FootnoteReference"/>
        </w:rPr>
        <w:footnoteRef/>
      </w:r>
      <w:r>
        <w:t xml:space="preserve"> </w:t>
      </w:r>
      <w:r>
        <w:rPr>
          <w:i/>
        </w:rPr>
        <w:t>See Fifth Report and Order</w:t>
      </w:r>
      <w:r>
        <w:t xml:space="preserve">, </w:t>
      </w:r>
      <w:r>
        <w:rPr>
          <w:iCs/>
        </w:rPr>
        <w:t>27 FCC Rcd at 654-55, para. 27.</w:t>
      </w:r>
      <w:r>
        <w:t xml:space="preserve">   </w:t>
      </w:r>
    </w:p>
  </w:footnote>
  <w:footnote w:id="31">
    <w:p w:rsidR="00744B1B" w:rsidRDefault="00744B1B" w:rsidP="00744B1B">
      <w:pPr>
        <w:pStyle w:val="FootnoteText"/>
      </w:pPr>
      <w:r>
        <w:rPr>
          <w:rStyle w:val="FootnoteReference"/>
        </w:rPr>
        <w:footnoteRef/>
      </w:r>
      <w:r>
        <w:t xml:space="preserve"> </w:t>
      </w:r>
      <w:r>
        <w:rPr>
          <w:i/>
          <w:szCs w:val="22"/>
        </w:rPr>
        <w:t>See id</w:t>
      </w:r>
      <w:r>
        <w:rPr>
          <w:szCs w:val="22"/>
        </w:rPr>
        <w:t xml:space="preserve">., </w:t>
      </w:r>
      <w:r>
        <w:t xml:space="preserve">643-44, para. 2.   </w:t>
      </w:r>
    </w:p>
  </w:footnote>
  <w:footnote w:id="32">
    <w:p w:rsidR="00744B1B" w:rsidRDefault="00744B1B" w:rsidP="00744B1B">
      <w:pPr>
        <w:pStyle w:val="FootnoteText"/>
      </w:pPr>
      <w:r>
        <w:rPr>
          <w:rStyle w:val="FootnoteReference"/>
        </w:rPr>
        <w:footnoteRef/>
      </w:r>
      <w:r>
        <w:t xml:space="preserve"> </w:t>
      </w:r>
      <w:r>
        <w:rPr>
          <w:i/>
        </w:rPr>
        <w:t xml:space="preserve">See </w:t>
      </w:r>
      <w:r w:rsidRPr="004816B2">
        <w:t xml:space="preserve">47 C.F.R. </w:t>
      </w:r>
      <w:r>
        <w:t xml:space="preserve">§ </w:t>
      </w:r>
      <w:r w:rsidRPr="004816B2">
        <w:t>11.21.</w:t>
      </w:r>
      <w:r>
        <w:rPr>
          <w:i/>
        </w:rPr>
        <w:t xml:space="preserve">  See also 1994 Report and Order</w:t>
      </w:r>
      <w:r>
        <w:t xml:space="preserve">, 10 FCC Rcd at 1835, para. 135.  </w:t>
      </w:r>
    </w:p>
  </w:footnote>
  <w:footnote w:id="33">
    <w:p w:rsidR="00744B1B" w:rsidRDefault="00744B1B" w:rsidP="00744B1B">
      <w:pPr>
        <w:pStyle w:val="FootnoteText"/>
      </w:pPr>
      <w:r>
        <w:rPr>
          <w:rStyle w:val="FootnoteReference"/>
        </w:rPr>
        <w:footnoteRef/>
      </w:r>
      <w:r>
        <w:t xml:space="preserve"> </w:t>
      </w:r>
      <w:r>
        <w:rPr>
          <w:i/>
        </w:rPr>
        <w:t>See 1994 Report and Order</w:t>
      </w:r>
      <w:r>
        <w:t xml:space="preserve">, 10 FCC Rcd at 1835, para. 135.  </w:t>
      </w:r>
    </w:p>
  </w:footnote>
  <w:footnote w:id="34">
    <w:p w:rsidR="00744B1B" w:rsidRDefault="00744B1B" w:rsidP="00744B1B">
      <w:pPr>
        <w:pStyle w:val="FootnoteText"/>
      </w:pPr>
      <w:r>
        <w:rPr>
          <w:rStyle w:val="FootnoteReference"/>
        </w:rPr>
        <w:footnoteRef/>
      </w:r>
      <w:r>
        <w:t xml:space="preserve"> Petition at 2.  </w:t>
      </w:r>
    </w:p>
  </w:footnote>
  <w:footnote w:id="35">
    <w:p w:rsidR="00744B1B" w:rsidRDefault="00744B1B" w:rsidP="00744B1B">
      <w:pPr>
        <w:pStyle w:val="FootnoteText"/>
      </w:pPr>
      <w:r>
        <w:rPr>
          <w:rStyle w:val="FootnoteReference"/>
        </w:rPr>
        <w:footnoteRef/>
      </w:r>
      <w:r>
        <w:t xml:space="preserve"> </w:t>
      </w:r>
      <w:r w:rsidRPr="00DF7872">
        <w:rPr>
          <w:i/>
        </w:rPr>
        <w:t>Id</w:t>
      </w:r>
      <w:r>
        <w:t xml:space="preserve">. at 14-15 </w:t>
      </w:r>
    </w:p>
  </w:footnote>
  <w:footnote w:id="36">
    <w:p w:rsidR="00744B1B" w:rsidRDefault="00744B1B" w:rsidP="00744B1B">
      <w:pPr>
        <w:pStyle w:val="FootnoteText"/>
      </w:pPr>
      <w:r>
        <w:rPr>
          <w:rStyle w:val="FootnoteReference"/>
        </w:rPr>
        <w:footnoteRef/>
      </w:r>
      <w:r>
        <w:t xml:space="preserve"> </w:t>
      </w:r>
      <w:r>
        <w:rPr>
          <w:i/>
        </w:rPr>
        <w:t>Id</w:t>
      </w:r>
      <w:r>
        <w:t xml:space="preserve">.  </w:t>
      </w:r>
    </w:p>
  </w:footnote>
  <w:footnote w:id="37">
    <w:p w:rsidR="00744B1B" w:rsidRDefault="00744B1B" w:rsidP="00744B1B">
      <w:pPr>
        <w:pStyle w:val="FootnoteText"/>
      </w:pPr>
      <w:r>
        <w:rPr>
          <w:rStyle w:val="FootnoteReference"/>
        </w:rPr>
        <w:footnoteRef/>
      </w:r>
      <w:r>
        <w:t xml:space="preserve"> </w:t>
      </w:r>
      <w:r>
        <w:rPr>
          <w:i/>
          <w:szCs w:val="22"/>
        </w:rPr>
        <w:t>See</w:t>
      </w:r>
      <w:r>
        <w:rPr>
          <w:szCs w:val="22"/>
        </w:rPr>
        <w:t xml:space="preserve">, </w:t>
      </w:r>
      <w:r>
        <w:rPr>
          <w:i/>
          <w:szCs w:val="22"/>
        </w:rPr>
        <w:t>e.g</w:t>
      </w:r>
      <w:r>
        <w:rPr>
          <w:szCs w:val="22"/>
        </w:rPr>
        <w:t xml:space="preserve">., </w:t>
      </w:r>
      <w:r>
        <w:t xml:space="preserve">Letter from the Minority Media and Telecommunications Council to Marlene H. Dortch, Secretary, FCC, ET Docket No. 04-296, filed June 18, 2008, at 3”; Letter from the Minority Media and Telecommunications Council to Marlene H. Dortch, Secretary, FCC, ET Docket No. 04-296, filed Aug. 17, 2012, at 2 n.2.  </w:t>
      </w:r>
    </w:p>
  </w:footnote>
  <w:footnote w:id="38">
    <w:p w:rsidR="00744B1B" w:rsidRDefault="00744B1B" w:rsidP="00744B1B">
      <w:pPr>
        <w:pStyle w:val="FootnoteText"/>
      </w:pPr>
      <w:r>
        <w:rPr>
          <w:rStyle w:val="FootnoteReference"/>
        </w:rPr>
        <w:footnoteRef/>
      </w:r>
      <w:r>
        <w:t xml:space="preserve"> Letter from </w:t>
      </w:r>
      <w:r>
        <w:rPr>
          <w:szCs w:val="22"/>
        </w:rPr>
        <w:t xml:space="preserve">the Minority Media and Telecommunications Council </w:t>
      </w:r>
      <w:r>
        <w:t xml:space="preserve">to Marlene H. Dortch, Secretary, FCC, EB Docket No. 04-296, filed Aug. 4, 2010 at 1 (MMTC Aug. 4, 2010, </w:t>
      </w:r>
      <w:r>
        <w:rPr>
          <w:i/>
        </w:rPr>
        <w:t>Ex Parte</w:t>
      </w:r>
      <w:r>
        <w:t>).</w:t>
      </w:r>
    </w:p>
  </w:footnote>
  <w:footnote w:id="39">
    <w:p w:rsidR="00744B1B" w:rsidRDefault="00744B1B" w:rsidP="00744B1B">
      <w:pPr>
        <w:pStyle w:val="FootnoteText"/>
      </w:pPr>
      <w:r>
        <w:rPr>
          <w:rStyle w:val="FootnoteReference"/>
        </w:rPr>
        <w:footnoteRef/>
      </w:r>
      <w:r>
        <w:t xml:space="preserve"> </w:t>
      </w:r>
      <w:r w:rsidRPr="0086371E">
        <w:rPr>
          <w:i/>
        </w:rPr>
        <w:t>See</w:t>
      </w:r>
      <w:r w:rsidRPr="0086371E">
        <w:t xml:space="preserve"> </w:t>
      </w:r>
      <w:r w:rsidRPr="00BD1433">
        <w:t xml:space="preserve">Letter from </w:t>
      </w:r>
      <w:r w:rsidRPr="00BD1433">
        <w:rPr>
          <w:szCs w:val="22"/>
        </w:rPr>
        <w:t xml:space="preserve">the Minority Media and Telecommunications Council </w:t>
      </w:r>
      <w:r w:rsidRPr="007A06DE">
        <w:t>to Marlene H. Dortch, Secretary, FCC, E</w:t>
      </w:r>
      <w:r>
        <w:t>B</w:t>
      </w:r>
      <w:r w:rsidRPr="007A06DE">
        <w:t xml:space="preserve"> Docket No. 04-296, filed </w:t>
      </w:r>
      <w:r>
        <w:t>Dec. 12</w:t>
      </w:r>
      <w:r w:rsidRPr="007A06DE">
        <w:t>, 201</w:t>
      </w:r>
      <w:r>
        <w:t>3,</w:t>
      </w:r>
      <w:r w:rsidRPr="007A06DE">
        <w:t xml:space="preserve"> at 1</w:t>
      </w:r>
      <w:r>
        <w:t>.</w:t>
      </w:r>
    </w:p>
  </w:footnote>
  <w:footnote w:id="40">
    <w:p w:rsidR="00744B1B" w:rsidRDefault="00744B1B" w:rsidP="00744B1B">
      <w:pPr>
        <w:pStyle w:val="FootnoteText"/>
      </w:pPr>
      <w:r>
        <w:rPr>
          <w:rStyle w:val="FootnoteReference"/>
        </w:rPr>
        <w:footnoteRef/>
      </w:r>
      <w:r>
        <w:t xml:space="preserve"> </w:t>
      </w:r>
      <w:r>
        <w:rPr>
          <w:i/>
        </w:rPr>
        <w:t>Id</w:t>
      </w:r>
      <w:r>
        <w:t>.</w:t>
      </w:r>
    </w:p>
  </w:footnote>
  <w:footnote w:id="41">
    <w:p w:rsidR="00744B1B" w:rsidRDefault="00744B1B" w:rsidP="00744B1B">
      <w:pPr>
        <w:pStyle w:val="FootnoteText"/>
      </w:pPr>
      <w:r>
        <w:rPr>
          <w:rStyle w:val="FootnoteReference"/>
        </w:rPr>
        <w:footnoteRef/>
      </w:r>
      <w:r>
        <w:t xml:space="preserve"> </w:t>
      </w:r>
      <w:r w:rsidRPr="003C4F15">
        <w:t>On October 14, 2005, before the Commission formally sought comment on the Petition, the National Association of Broadcasters (NAB) responded to the Petition by filing comments in which it supported the goals of the Petition, but opposed the Petition’s specific proposals on various grounds.</w:t>
      </w:r>
      <w:r>
        <w:t xml:space="preserve">  </w:t>
      </w:r>
      <w:r w:rsidRPr="0001741C">
        <w:rPr>
          <w:i/>
        </w:rPr>
        <w:t>See</w:t>
      </w:r>
      <w:r>
        <w:t xml:space="preserve"> The National Association of Broadcasters, Comments in Response to Petition for Immediate Interim Relief, EB Docket No. 04-296 (filed on Oct. 14, 2005) (NAB Initial Comments).  The Commission did not issue a Public Notice formally seeking comment on the Petition, but rather posted the Petition on ECFS in the instant docket on Oct. 4, 2005.  NAB filed its response pursuant to section 1.45 of the Commission’s rules, 47 C.F.R. </w:t>
      </w:r>
      <w:r>
        <w:rPr>
          <w:color w:val="000000"/>
          <w:szCs w:val="22"/>
        </w:rPr>
        <w:t xml:space="preserve">§ 1.45, using the Oct. 4, 2005, date as the petition’s filing date.  </w:t>
      </w:r>
      <w:r>
        <w:rPr>
          <w:i/>
          <w:color w:val="000000"/>
          <w:szCs w:val="22"/>
        </w:rPr>
        <w:t>See id</w:t>
      </w:r>
      <w:r>
        <w:rPr>
          <w:color w:val="000000"/>
          <w:szCs w:val="22"/>
        </w:rPr>
        <w:t xml:space="preserve">. at n.2.  </w:t>
      </w:r>
      <w:r w:rsidRPr="003C4F15">
        <w:t xml:space="preserve">Petitioners filed a timely response to NAB that opposed NAB’s arguments.  </w:t>
      </w:r>
      <w:r w:rsidRPr="0001741C">
        <w:rPr>
          <w:i/>
        </w:rPr>
        <w:t>See</w:t>
      </w:r>
      <w:r w:rsidRPr="003C4F15">
        <w:t xml:space="preserve"> </w:t>
      </w:r>
      <w:r w:rsidRPr="005D198D">
        <w:t>The Independent Spanish Broadcasters Association, the Office of Communication of the United Church of Christ, Inc., and the Minority Media and Telecommunications Council Reply (filed Oct. 18, 2005)</w:t>
      </w:r>
      <w:r w:rsidRPr="003C4F15">
        <w:t>.</w:t>
      </w:r>
      <w:r>
        <w:rPr>
          <w:szCs w:val="22"/>
        </w:rPr>
        <w:t xml:space="preserve"> </w:t>
      </w:r>
    </w:p>
  </w:footnote>
  <w:footnote w:id="42">
    <w:p w:rsidR="00744B1B" w:rsidRDefault="00744B1B" w:rsidP="00744B1B">
      <w:pPr>
        <w:pStyle w:val="FootnoteText"/>
      </w:pPr>
      <w:r>
        <w:rPr>
          <w:rStyle w:val="FootnoteReference"/>
        </w:rPr>
        <w:footnoteRef/>
      </w:r>
      <w:r>
        <w:t xml:space="preserve"> </w:t>
      </w:r>
      <w:r>
        <w:rPr>
          <w:i/>
        </w:rPr>
        <w:t>See</w:t>
      </w:r>
      <w:r>
        <w:t xml:space="preserve"> </w:t>
      </w:r>
      <w:r>
        <w:rPr>
          <w:i/>
        </w:rPr>
        <w:t>First Report and Order and Further Notice of Proposed Rulemaking</w:t>
      </w:r>
      <w:r>
        <w:t>, 20 FCC Rcd. at 18657-58, para. 81.</w:t>
      </w:r>
    </w:p>
  </w:footnote>
  <w:footnote w:id="43">
    <w:p w:rsidR="00744B1B" w:rsidRDefault="00744B1B" w:rsidP="00744B1B">
      <w:pPr>
        <w:pStyle w:val="FootnoteText"/>
      </w:pPr>
      <w:r>
        <w:rPr>
          <w:rStyle w:val="FootnoteReference"/>
        </w:rPr>
        <w:footnoteRef/>
      </w:r>
      <w:r>
        <w:t xml:space="preserve"> </w:t>
      </w:r>
      <w:r>
        <w:rPr>
          <w:i/>
        </w:rPr>
        <w:t>See</w:t>
      </w:r>
      <w:r>
        <w:t xml:space="preserve"> The National Association of Broadcasters Comments at 14 (filed on Jan. 24, 2006) (</w:t>
      </w:r>
      <w:r>
        <w:rPr>
          <w:bCs/>
          <w:color w:val="000000"/>
        </w:rPr>
        <w:t>NAB Jan. 24, 2006, Comments)</w:t>
      </w:r>
      <w:r>
        <w:t xml:space="preserve">; </w:t>
      </w:r>
      <w:r>
        <w:rPr>
          <w:bCs/>
          <w:color w:val="000000"/>
        </w:rPr>
        <w:t xml:space="preserve">The </w:t>
      </w:r>
      <w:r w:rsidRPr="00397936">
        <w:t>Named State Broadcasters Associations, Joint Comments</w:t>
      </w:r>
      <w:r w:rsidRPr="00187D9A">
        <w:t xml:space="preserve"> at 16-17 (</w:t>
      </w:r>
      <w:r w:rsidRPr="00397936">
        <w:t>filed Jan. 24, 2006) (NSBA Jan. 24, 2006, Comments); The Association For Maximum Service Television, Inc., Comments</w:t>
      </w:r>
      <w:r>
        <w:t xml:space="preserve"> </w:t>
      </w:r>
      <w:r w:rsidRPr="00187D9A">
        <w:t>at 12</w:t>
      </w:r>
      <w:r>
        <w:rPr>
          <w:bCs/>
          <w:color w:val="000000"/>
        </w:rPr>
        <w:t xml:space="preserve">, n.28 </w:t>
      </w:r>
      <w:r w:rsidRPr="00187D9A">
        <w:t>(</w:t>
      </w:r>
      <w:r w:rsidRPr="00397936">
        <w:t xml:space="preserve">filed Jan. 24, 2006) </w:t>
      </w:r>
      <w:r>
        <w:rPr>
          <w:bCs/>
          <w:color w:val="000000"/>
        </w:rPr>
        <w:t>(MSTV Jan. 24, 2006, Comments); The National Cable &amp; Telecommunications Association Reply at 2-5 (filed Feb. 23, 2006) (NCTA Feb. 23, 2006, Reply Comments).</w:t>
      </w:r>
      <w:r>
        <w:t xml:space="preserve">  </w:t>
      </w:r>
    </w:p>
  </w:footnote>
  <w:footnote w:id="44">
    <w:p w:rsidR="00744B1B" w:rsidRDefault="00744B1B" w:rsidP="00744B1B">
      <w:pPr>
        <w:pStyle w:val="FootnoteText"/>
      </w:pPr>
      <w:r>
        <w:rPr>
          <w:rStyle w:val="FootnoteReference"/>
        </w:rPr>
        <w:footnoteRef/>
      </w:r>
      <w:r>
        <w:t xml:space="preserve"> </w:t>
      </w:r>
      <w:r>
        <w:rPr>
          <w:i/>
        </w:rPr>
        <w:t xml:space="preserve">See supra </w:t>
      </w:r>
      <w:r w:rsidRPr="00252FCA">
        <w:t>note</w:t>
      </w:r>
      <w:r w:rsidRPr="00107E25">
        <w:rPr>
          <w:i/>
        </w:rPr>
        <w:t xml:space="preserve"> </w:t>
      </w:r>
      <w:r w:rsidRPr="00252FCA">
        <w:t>4</w:t>
      </w:r>
      <w:r>
        <w:t>2</w:t>
      </w:r>
      <w:r w:rsidRPr="00252FCA">
        <w:t>4</w:t>
      </w:r>
      <w:r>
        <w:t>2.</w:t>
      </w:r>
      <w:r>
        <w:rPr>
          <w:i/>
        </w:rPr>
        <w:t xml:space="preserve">  </w:t>
      </w:r>
      <w:r w:rsidRPr="006D7808">
        <w:rPr>
          <w:i/>
        </w:rPr>
        <w:t>See also</w:t>
      </w:r>
      <w:r>
        <w:t xml:space="preserve"> </w:t>
      </w:r>
      <w:r>
        <w:rPr>
          <w:bCs/>
          <w:color w:val="000000"/>
        </w:rPr>
        <w:t>The Community Broadcasters Association Comments at 4 (filed Jan. 24, 2006); The Association For Maximum Service Television, Inc., Reply at 9-10 (filed Feb. 23, 2006).</w:t>
      </w:r>
    </w:p>
  </w:footnote>
  <w:footnote w:id="45">
    <w:p w:rsidR="00744B1B" w:rsidRDefault="00744B1B" w:rsidP="00744B1B">
      <w:pPr>
        <w:pStyle w:val="FootnoteText"/>
      </w:pPr>
      <w:r>
        <w:rPr>
          <w:rStyle w:val="FootnoteReference"/>
        </w:rPr>
        <w:footnoteRef/>
      </w:r>
      <w:r>
        <w:t xml:space="preserve"> </w:t>
      </w:r>
      <w:r>
        <w:rPr>
          <w:i/>
        </w:rPr>
        <w:t>See</w:t>
      </w:r>
      <w:r>
        <w:t xml:space="preserve"> </w:t>
      </w:r>
      <w:r>
        <w:rPr>
          <w:i/>
        </w:rPr>
        <w:t>Second Report and Order</w:t>
      </w:r>
      <w:r>
        <w:t xml:space="preserve">, </w:t>
      </w:r>
      <w:r>
        <w:rPr>
          <w:iCs/>
        </w:rPr>
        <w:t>22 FCC Rcd at 13295 para. 41, 13306-07 para. 72.</w:t>
      </w:r>
      <w:r>
        <w:t xml:space="preserve">  </w:t>
      </w:r>
    </w:p>
  </w:footnote>
  <w:footnote w:id="46">
    <w:p w:rsidR="00744B1B" w:rsidRDefault="00744B1B" w:rsidP="00744B1B">
      <w:pPr>
        <w:pStyle w:val="FootnoteText"/>
      </w:pPr>
      <w:r>
        <w:rPr>
          <w:rStyle w:val="FootnoteReference"/>
        </w:rPr>
        <w:footnoteRef/>
      </w:r>
      <w:r>
        <w:t xml:space="preserve"> </w:t>
      </w:r>
      <w:r>
        <w:rPr>
          <w:i/>
        </w:rPr>
        <w:t>Id</w:t>
      </w:r>
      <w:r>
        <w:t>.</w:t>
      </w:r>
    </w:p>
  </w:footnote>
  <w:footnote w:id="47">
    <w:p w:rsidR="00744B1B" w:rsidRDefault="00744B1B" w:rsidP="00744B1B">
      <w:pPr>
        <w:pStyle w:val="FootnoteText"/>
      </w:pPr>
      <w:r>
        <w:rPr>
          <w:rStyle w:val="FootnoteReference"/>
        </w:rPr>
        <w:footnoteRef/>
      </w:r>
      <w:r>
        <w:t xml:space="preserve"> </w:t>
      </w:r>
      <w:r>
        <w:rPr>
          <w:i/>
        </w:rPr>
        <w:t>See id</w:t>
      </w:r>
      <w:r>
        <w:t xml:space="preserve">.  The Commission also directed the Public Safety and Homeland Security Bureau (Bureau) to convene a meeting of stakeholders to discuss the provision of emergency alert information to non-English speakers and to report back to the Commission about such meetings within 30 days of the </w:t>
      </w:r>
      <w:r>
        <w:rPr>
          <w:i/>
        </w:rPr>
        <w:t>Second Report and Order's</w:t>
      </w:r>
      <w:r>
        <w:t xml:space="preserve"> release.  </w:t>
      </w:r>
      <w:r>
        <w:rPr>
          <w:i/>
        </w:rPr>
        <w:t>See id</w:t>
      </w:r>
      <w:r>
        <w:t xml:space="preserve">.  The Bureau conducted a meeting with stakeholders, including Petitioners and NAB, on June 14, 2007, covering various topics related to multilingual alerting, including Petitioners' Designated Hitter plan, and submitted a progress report on August 13, 2007.  </w:t>
      </w:r>
      <w:r>
        <w:rPr>
          <w:i/>
        </w:rPr>
        <w:t>See</w:t>
      </w:r>
      <w:r>
        <w:t xml:space="preserve"> Letter from Derek K. Poarch, Chief, Public Safety and Homeland Security Bureau, to Marlene H. Dortch, Secretary, FCC, ET Docket No. 04-296 (filed Aug. 13, 2007).  Although no consensus positions on how to effect multilingual alerting were identified, several of the participating stakeholders subsequently entered discussions to develop joint approaches to multilingual alerting, including a plan to test the Designated Hitter model in the state of Florida, which prompted Petitioners to submit a request to defer action on the multilingual broadcasting issues in the </w:t>
      </w:r>
      <w:r>
        <w:rPr>
          <w:i/>
        </w:rPr>
        <w:t>Second Report and Order</w:t>
      </w:r>
      <w:r>
        <w:t xml:space="preserve"> until December 31, 2008.</w:t>
      </w:r>
      <w:r>
        <w:rPr>
          <w:sz w:val="24"/>
          <w:szCs w:val="24"/>
        </w:rPr>
        <w:t xml:space="preserve">  </w:t>
      </w:r>
      <w:r>
        <w:rPr>
          <w:i/>
          <w:szCs w:val="22"/>
        </w:rPr>
        <w:t>See</w:t>
      </w:r>
      <w:r>
        <w:rPr>
          <w:szCs w:val="22"/>
        </w:rPr>
        <w:t xml:space="preserve"> The Independent Spanish Broadcasters Association, the Office of Communication of the United Church of Christ, Inc., and the Minority Media and Telecommunications Council, Request to Defer Action </w:t>
      </w:r>
      <w:r>
        <w:t xml:space="preserve">on Multilingual Issues (filed June 5, 2008).  According to MMTC, that test ultimately did not come to fruition “due to the unwillingness of rank and file broadcasters to volunteer to be designated hitters.”  Letter from the Minority Media and Telecommunications Council to Marlene H. Dortch, Secretary, FCC, at 2 (filed Aug. 8, 2008).  As a result, MMTC argued that the Commission “will have to adopt rules requiring these plans.”  Letter from the Minority Media and Telecommunications Council to Marlene H. Dortch, Secretary, FCC, at 2 (filed Nov. 24, 2008).  </w:t>
      </w:r>
    </w:p>
  </w:footnote>
  <w:footnote w:id="48">
    <w:p w:rsidR="00744B1B" w:rsidRDefault="00744B1B" w:rsidP="00744B1B">
      <w:pPr>
        <w:pStyle w:val="FootnoteText"/>
      </w:pPr>
      <w:r>
        <w:rPr>
          <w:rStyle w:val="FootnoteReference"/>
        </w:rPr>
        <w:footnoteRef/>
      </w:r>
      <w:r>
        <w:t xml:space="preserve"> </w:t>
      </w:r>
      <w:r>
        <w:rPr>
          <w:i/>
        </w:rPr>
        <w:t>See</w:t>
      </w:r>
      <w:r>
        <w:t xml:space="preserve">, </w:t>
      </w:r>
      <w:r>
        <w:rPr>
          <w:i/>
        </w:rPr>
        <w:t>e.g</w:t>
      </w:r>
      <w:r>
        <w:t>., The Ohio, Virginia, And North Carolina Associations Of Broadcasters Joint Comments at 2-3 (filed Dec. 3, 2007); The Alaska Broadcasters Association and Alaska’s State Emergency Communications Committee Comments at 3-4 (filed Dec. 3, 2007) (Alaska Broadcasters Association Dec. 3, 2007, Comments); TFT, Inc., Comments, EB Docket No. 04-296 (filed Dec. 3, 2007) at 3 (TFT Dec. 3, 2007, Comments); Sage Alerting Systems, Inc., Comments at 1-2</w:t>
      </w:r>
      <w:r w:rsidRPr="00397936">
        <w:t xml:space="preserve"> </w:t>
      </w:r>
      <w:r>
        <w:rPr>
          <w:color w:val="000000"/>
        </w:rPr>
        <w:t xml:space="preserve">(filed Dec. 3, 2007); </w:t>
      </w:r>
      <w:r>
        <w:t xml:space="preserve"> AT&amp;T, Inc., Comments at 6</w:t>
      </w:r>
      <w:r w:rsidRPr="00397936">
        <w:t xml:space="preserve"> (filed Dec. 3, 2007</w:t>
      </w:r>
      <w:r w:rsidRPr="005A2BA8">
        <w:t>);</w:t>
      </w:r>
      <w:r w:rsidRPr="00397936">
        <w:t xml:space="preserve"> </w:t>
      </w:r>
      <w:r>
        <w:t>Verizon, Comments at 3-4</w:t>
      </w:r>
      <w:r w:rsidRPr="00397936">
        <w:t xml:space="preserve"> (filed Dec. 3, 2007</w:t>
      </w:r>
      <w:r w:rsidRPr="005A2BA8">
        <w:t>);</w:t>
      </w:r>
      <w:r w:rsidRPr="00397936">
        <w:t xml:space="preserve"> EchoStar Satellite L.L.C., Comments</w:t>
      </w:r>
      <w:r>
        <w:t xml:space="preserve"> at 5 </w:t>
      </w:r>
      <w:r w:rsidRPr="005A2BA8">
        <w:t>(</w:t>
      </w:r>
      <w:r>
        <w:t xml:space="preserve">filed Dec. 3, 2007) (EchoStar Dec. 3, 2007, Comments); National Cable &amp; Telecommunications Association Comments at 8-9 (filed Dec. 3, 2007) (NCTA Dec. 3, 2007, Comments).  The Commission received a total of 24 comments and reply comments addressing the topic of multilingual alerting.  No party, other than MMTC, specifically supported the Petition’s proposals.  The California Public Utilities Commission and the California Office of Emergency Services, in jointly filed comments, supported “the FCC’s further efforts to address the broader request made by [MMTC] to expand EAS to provide for multilingual EAS messages.”  The California Public Utilities Commission, the California Office of Emergency Services, and the People of the State of California Comments at 9 (filed Dec. 3, 2007) at 9.  In addition, XM Radio Inc. stated that if its EAS receivers were deployed in each radio station in communities where a designated Local Primary Multilingual (LPM) station went out of service, it could “simultaneously transmit both the English-language and foreign-language alerts received from FEMA on discrete channels to allow designated EAS participants to deliver either the English-language or the foreign-language alert, as appropriate within the EAS regulatory structure.”  XM Radio Inc. and Sirius Satellite Radio Inc., Comments at 8 (filed Dec. 3, 2007).  </w:t>
      </w:r>
    </w:p>
  </w:footnote>
  <w:footnote w:id="49">
    <w:p w:rsidR="00744B1B" w:rsidRDefault="00744B1B" w:rsidP="00744B1B">
      <w:pPr>
        <w:pStyle w:val="FootnoteText"/>
      </w:pPr>
      <w:r>
        <w:rPr>
          <w:rStyle w:val="FootnoteReference"/>
        </w:rPr>
        <w:footnoteRef/>
      </w:r>
      <w:r>
        <w:t xml:space="preserve"> </w:t>
      </w:r>
      <w:r>
        <w:rPr>
          <w:i/>
        </w:rPr>
        <w:t xml:space="preserve">See </w:t>
      </w:r>
      <w:r w:rsidRPr="00397936">
        <w:rPr>
          <w:i/>
        </w:rPr>
        <w:t>Public Safety and Homeland Security Bureau Seeks Informal Comment Regarding Revisions to the FCC’s Part 11 Rules Governing the Emergency Alert System Pending Adoption of the Common Alerting Protocol by the Federal Emergency Management Agency</w:t>
      </w:r>
      <w:r>
        <w:t xml:space="preserve">, </w:t>
      </w:r>
      <w:r w:rsidRPr="00397936">
        <w:t>Public Notice</w:t>
      </w:r>
      <w:r>
        <w:t>, 25 FCC Rcd 2845 (PSHSB 2010) (</w:t>
      </w:r>
      <w:r>
        <w:rPr>
          <w:i/>
        </w:rPr>
        <w:t>Part 11 Public Notice</w:t>
      </w:r>
      <w:r>
        <w:t xml:space="preserve">). </w:t>
      </w:r>
    </w:p>
  </w:footnote>
  <w:footnote w:id="50">
    <w:p w:rsidR="00744B1B" w:rsidRDefault="00744B1B" w:rsidP="00744B1B">
      <w:pPr>
        <w:pStyle w:val="FootnoteText"/>
      </w:pPr>
      <w:r>
        <w:rPr>
          <w:rStyle w:val="FootnoteReference"/>
        </w:rPr>
        <w:footnoteRef/>
      </w:r>
      <w:r>
        <w:t xml:space="preserve"> </w:t>
      </w:r>
      <w:r>
        <w:rPr>
          <w:i/>
        </w:rPr>
        <w:t>Id</w:t>
      </w:r>
      <w:r>
        <w:t>.</w:t>
      </w:r>
    </w:p>
  </w:footnote>
  <w:footnote w:id="51">
    <w:p w:rsidR="00744B1B" w:rsidRDefault="00744B1B" w:rsidP="00744B1B">
      <w:pPr>
        <w:pStyle w:val="FootnoteText"/>
      </w:pPr>
      <w:r>
        <w:rPr>
          <w:rStyle w:val="FootnoteReference"/>
        </w:rPr>
        <w:footnoteRef/>
      </w:r>
      <w:r>
        <w:t xml:space="preserve"> </w:t>
      </w:r>
      <w:r>
        <w:rPr>
          <w:i/>
        </w:rPr>
        <w:t>See</w:t>
      </w:r>
      <w:r>
        <w:t xml:space="preserve">, </w:t>
      </w:r>
      <w:r>
        <w:rPr>
          <w:i/>
        </w:rPr>
        <w:t>e.g</w:t>
      </w:r>
      <w:r>
        <w:t xml:space="preserve">., National Cable &amp; Telecommunications Association Comments at 5 (filed May 17, 2010) (asserting that “the key to providing multilingual EAS alerts is for the message originator, whether a federal, state or local government entity, to issue the message in English and another appropriate language,” adding, “[c]able operators simply pass the EAS message through in the two-minute window as received and generally do not have the capability to create or translate the message into additional languages.”); Sage Alerting Systems, Inc., Comments at 8 (filed May 17, 2010) (recommending that “the originator of the message be responsible for providing the alert in the common languages of the area being alerted,” and observing that “[c]omputer-based language translation is not reliable enough for use in broadcast emergency situations.”); Texas Association of Broadcasters Comments at 5 (filed May 17, 2010); Named State Broadcasters Associations Reply at 6 (filed May 17, 2010).  </w:t>
      </w:r>
      <w:r>
        <w:rPr>
          <w:i/>
        </w:rPr>
        <w:t>See also</w:t>
      </w:r>
      <w:r>
        <w:t xml:space="preserve"> Educational Media Foundation Comments at 3 (filed June 8, 2010) (asserting that “stations which offer programming in a language other than English should generate EAS activations in the primary language of its programming,” but adding that “if a station offers programming in English only, the Commission should allow the station to limit its EAS activations to English only.”).  The Commission received a total of nine comments and reply comments addressing the topic of multilingual alerting.  No party, other than MMTC, specifically supported the Petition’s proposals.</w:t>
      </w:r>
      <w:r>
        <w:rPr>
          <w:sz w:val="23"/>
          <w:szCs w:val="23"/>
        </w:rPr>
        <w:t xml:space="preserve">    </w:t>
      </w:r>
      <w:r>
        <w:t xml:space="preserve"> </w:t>
      </w:r>
    </w:p>
  </w:footnote>
  <w:footnote w:id="52">
    <w:p w:rsidR="00744B1B" w:rsidRDefault="00744B1B" w:rsidP="00744B1B">
      <w:pPr>
        <w:pStyle w:val="FootnoteText"/>
      </w:pPr>
      <w:r>
        <w:rPr>
          <w:rStyle w:val="FootnoteReference"/>
        </w:rPr>
        <w:footnoteRef/>
      </w:r>
      <w:r>
        <w:t xml:space="preserve"> T</w:t>
      </w:r>
      <w:r>
        <w:rPr>
          <w:szCs w:val="22"/>
        </w:rPr>
        <w:t xml:space="preserve">he Minority Media and Telecommunications Council Reply at 2 (filed June 14, 2010).  </w:t>
      </w:r>
    </w:p>
  </w:footnote>
  <w:footnote w:id="53">
    <w:p w:rsidR="00744B1B" w:rsidRDefault="00744B1B" w:rsidP="00744B1B">
      <w:pPr>
        <w:pStyle w:val="FootnoteText"/>
      </w:pPr>
      <w:r>
        <w:rPr>
          <w:rStyle w:val="FootnoteReference"/>
        </w:rPr>
        <w:footnoteRef/>
      </w:r>
      <w:r>
        <w:t xml:space="preserve"> </w:t>
      </w:r>
      <w:r>
        <w:rPr>
          <w:i/>
        </w:rPr>
        <w:t>See id</w:t>
      </w:r>
      <w:r>
        <w:t xml:space="preserve">. </w:t>
      </w:r>
    </w:p>
  </w:footnote>
  <w:footnote w:id="54">
    <w:p w:rsidR="00744B1B" w:rsidRDefault="00744B1B" w:rsidP="00744B1B">
      <w:pPr>
        <w:pStyle w:val="FootnoteText"/>
      </w:pPr>
      <w:r>
        <w:rPr>
          <w:rStyle w:val="FootnoteReference"/>
        </w:rPr>
        <w:footnoteRef/>
      </w:r>
      <w:r>
        <w:t xml:space="preserve"> </w:t>
      </w:r>
      <w:r w:rsidRPr="00184ED6">
        <w:rPr>
          <w:i/>
        </w:rPr>
        <w:t>See</w:t>
      </w:r>
      <w:r w:rsidRPr="00397936">
        <w:rPr>
          <w:i/>
        </w:rPr>
        <w:t xml:space="preserve"> Comment Requested To Refresh The Record In EB Docket No. 04-296, On Petition Filed By The Minority Media And Telecommunications Council Proposing Changes To Emergency Alert System (EAS) Rules To Support Multilingual EAS And Emergency Information</w:t>
      </w:r>
      <w:r w:rsidRPr="00184ED6">
        <w:t xml:space="preserve">, </w:t>
      </w:r>
      <w:r>
        <w:t>Public Notice, 29 FCC Rcd 2682 (PSHSB 2014) (</w:t>
      </w:r>
      <w:r w:rsidRPr="00184ED6">
        <w:rPr>
          <w:i/>
        </w:rPr>
        <w:t>2014 Public Notice</w:t>
      </w:r>
      <w:r>
        <w:t xml:space="preserve">).  At MMTC’s request, the Bureau extended the comment and reply comment filing deadlines from </w:t>
      </w:r>
      <w:r w:rsidRPr="00184ED6">
        <w:t xml:space="preserve">April 28 and May 12, 2014, respectively, to </w:t>
      </w:r>
      <w:r>
        <w:t xml:space="preserve">May 28 and June 12, 2014, respectively.  </w:t>
      </w:r>
      <w:r w:rsidRPr="00184ED6">
        <w:rPr>
          <w:i/>
        </w:rPr>
        <w:t>See</w:t>
      </w:r>
      <w:r w:rsidRPr="00B42601">
        <w:t xml:space="preserve"> </w:t>
      </w:r>
      <w:r w:rsidRPr="00397936">
        <w:rPr>
          <w:i/>
        </w:rPr>
        <w:t>Public Safety And Homeland Security Bureau Extends Comment Period For Public Notice Seeking To Refresh the Record In EB Docket No. 04-296, On Petition Filed By The Minority Media And Telecommunications Council Proposing Changes To Emergency Alert System (EAS) Rules To Support Multilingual EAS And Emergency Information</w:t>
      </w:r>
      <w:r>
        <w:t>, Public Notice, 29 FCC Rcd 4107 (PSHSB 2014).</w:t>
      </w:r>
    </w:p>
  </w:footnote>
  <w:footnote w:id="55">
    <w:p w:rsidR="00744B1B" w:rsidRDefault="00744B1B" w:rsidP="00744B1B">
      <w:pPr>
        <w:pStyle w:val="FootnoteText"/>
      </w:pPr>
      <w:r>
        <w:rPr>
          <w:rStyle w:val="FootnoteReference"/>
        </w:rPr>
        <w:footnoteRef/>
      </w:r>
      <w:r>
        <w:t xml:space="preserve"> </w:t>
      </w:r>
      <w:r>
        <w:rPr>
          <w:i/>
        </w:rPr>
        <w:t xml:space="preserve">See 2014 Public Notice, </w:t>
      </w:r>
      <w:r>
        <w:t>29 FCC Rcd at 2687-88</w:t>
      </w:r>
      <w:r>
        <w:rPr>
          <w:i/>
        </w:rPr>
        <w:t>.</w:t>
      </w:r>
    </w:p>
  </w:footnote>
  <w:footnote w:id="56">
    <w:p w:rsidR="00744B1B" w:rsidRDefault="00744B1B" w:rsidP="00744B1B">
      <w:pPr>
        <w:pStyle w:val="FootnoteText"/>
      </w:pPr>
      <w:r w:rsidRPr="00EC0112">
        <w:rPr>
          <w:rStyle w:val="FootnoteReference"/>
        </w:rPr>
        <w:footnoteRef/>
      </w:r>
      <w:r w:rsidRPr="00EC0112">
        <w:t xml:space="preserve"> </w:t>
      </w:r>
      <w:r>
        <w:rPr>
          <w:i/>
        </w:rPr>
        <w:t xml:space="preserve">See id. </w:t>
      </w:r>
      <w:r>
        <w:t>at 2685-86</w:t>
      </w:r>
      <w:r>
        <w:rPr>
          <w:i/>
        </w:rPr>
        <w:t xml:space="preserve">. </w:t>
      </w:r>
    </w:p>
  </w:footnote>
  <w:footnote w:id="57">
    <w:p w:rsidR="00744B1B" w:rsidRDefault="00744B1B" w:rsidP="00744B1B">
      <w:pPr>
        <w:pStyle w:val="FootnoteText"/>
      </w:pPr>
      <w:r>
        <w:rPr>
          <w:rStyle w:val="FootnoteReference"/>
        </w:rPr>
        <w:footnoteRef/>
      </w:r>
      <w:r>
        <w:t xml:space="preserve"> </w:t>
      </w:r>
      <w:r>
        <w:rPr>
          <w:i/>
        </w:rPr>
        <w:t>See</w:t>
      </w:r>
      <w:r>
        <w:t xml:space="preserve"> The National Association of Broadcasters Comments at 5-10 (filed on May 28, 2014) (NAB 2014 Public Notice Comments).  </w:t>
      </w:r>
      <w:r>
        <w:rPr>
          <w:i/>
        </w:rPr>
        <w:t>See also</w:t>
      </w:r>
      <w:r>
        <w:t xml:space="preserve"> </w:t>
      </w:r>
      <w:r>
        <w:rPr>
          <w:szCs w:val="24"/>
        </w:rPr>
        <w:t>Adrienne Abbott-Gutierrez (Chair of the Nevada SECC) Comments at 2</w:t>
      </w:r>
      <w:r w:rsidRPr="00397936">
        <w:t xml:space="preserve"> </w:t>
      </w:r>
      <w:r>
        <w:rPr>
          <w:bCs/>
          <w:color w:val="000000"/>
        </w:rPr>
        <w:t xml:space="preserve">(filed May 27, 2014) (questioning </w:t>
      </w:r>
      <w:r>
        <w:rPr>
          <w:szCs w:val="24"/>
        </w:rPr>
        <w:t xml:space="preserve">whether there is any demonstrated need for multilingual alerting rules, citing anecdotal data in Nevada) (Abbott-Gutierrez </w:t>
      </w:r>
      <w:r>
        <w:t xml:space="preserve">2014 Public Notice </w:t>
      </w:r>
      <w:r>
        <w:rPr>
          <w:szCs w:val="24"/>
        </w:rPr>
        <w:t>Comments).</w:t>
      </w:r>
      <w:r>
        <w:rPr>
          <w:bCs/>
          <w:color w:val="000000"/>
        </w:rPr>
        <w:t xml:space="preserve"> </w:t>
      </w:r>
    </w:p>
  </w:footnote>
  <w:footnote w:id="58">
    <w:p w:rsidR="00744B1B" w:rsidRDefault="00744B1B" w:rsidP="00744B1B">
      <w:pPr>
        <w:pStyle w:val="FootnoteText"/>
      </w:pPr>
      <w:r>
        <w:rPr>
          <w:rStyle w:val="FootnoteReference"/>
        </w:rPr>
        <w:footnoteRef/>
      </w:r>
      <w:r>
        <w:t xml:space="preserve"> DIRS is a voluntary, efficient, web-based system that communications providers, including wireless, wireline, broadcast, and cable providers, can use to report communications infrastructure status and situational awareness information during times of crisis.  </w:t>
      </w:r>
      <w:r w:rsidRPr="000E11A8">
        <w:rPr>
          <w:i/>
        </w:rPr>
        <w:t>See</w:t>
      </w:r>
      <w:r>
        <w:t xml:space="preserve"> </w:t>
      </w:r>
      <w:hyperlink r:id="rId4" w:history="1">
        <w:r w:rsidRPr="004675BD">
          <w:rPr>
            <w:rStyle w:val="Hyperlink"/>
          </w:rPr>
          <w:t>http://www.fcc.gov/document/commission-activates-disaster-information-reporting-system</w:t>
        </w:r>
      </w:hyperlink>
      <w:r>
        <w:t xml:space="preserve">. </w:t>
      </w:r>
    </w:p>
  </w:footnote>
  <w:footnote w:id="59">
    <w:p w:rsidR="00744B1B" w:rsidRDefault="00744B1B" w:rsidP="00744B1B">
      <w:pPr>
        <w:pStyle w:val="FootnoteText"/>
      </w:pPr>
      <w:r>
        <w:rPr>
          <w:rStyle w:val="FootnoteReference"/>
        </w:rPr>
        <w:footnoteRef/>
      </w:r>
      <w:r>
        <w:t xml:space="preserve"> </w:t>
      </w:r>
      <w:r>
        <w:rPr>
          <w:i/>
        </w:rPr>
        <w:t>See</w:t>
      </w:r>
      <w:r>
        <w:t xml:space="preserve"> NAB 2014 Public Notice Comments at 8 (“I</w:t>
      </w:r>
      <w:r>
        <w:rPr>
          <w:szCs w:val="24"/>
        </w:rPr>
        <w:t>f DIRS had existed during Hurricane Katrina, it would have helped Station KGLA-AM [the lone Spanish language station incapacitated during Hurricane Katrina that prompted the Petition’s filing] resume operations as quickly as possible.”).</w:t>
      </w:r>
      <w:r>
        <w:t xml:space="preserve"> </w:t>
      </w:r>
    </w:p>
  </w:footnote>
  <w:footnote w:id="60">
    <w:p w:rsidR="00744B1B" w:rsidRDefault="00744B1B" w:rsidP="00744B1B">
      <w:pPr>
        <w:pStyle w:val="FootnoteText"/>
      </w:pPr>
      <w:r>
        <w:rPr>
          <w:rStyle w:val="FootnoteReference"/>
        </w:rPr>
        <w:footnoteRef/>
      </w:r>
      <w:r>
        <w:t xml:space="preserve"> </w:t>
      </w:r>
      <w:r>
        <w:rPr>
          <w:i/>
        </w:rPr>
        <w:t>See</w:t>
      </w:r>
      <w:r>
        <w:t xml:space="preserve"> NAB 2014 Public Notice Comments at 4-5 (NAB provided various examples of voluntary cooperation between broadcast stations to respond to emergency situation (</w:t>
      </w:r>
      <w:r>
        <w:rPr>
          <w:i/>
        </w:rPr>
        <w:t>see</w:t>
      </w:r>
      <w:r>
        <w:t xml:space="preserve"> </w:t>
      </w:r>
      <w:r>
        <w:rPr>
          <w:i/>
        </w:rPr>
        <w:t>id</w:t>
      </w:r>
      <w:r>
        <w:t xml:space="preserve">. 7-8)); The </w:t>
      </w:r>
      <w:r>
        <w:rPr>
          <w:bCs/>
          <w:color w:val="000000"/>
        </w:rPr>
        <w:t>Named State Broadcasters Associations Joint Comments at 12 (filed May 28, 2014) (</w:t>
      </w:r>
      <w:r>
        <w:t>NSBA 2014 Public Notice Comments)</w:t>
      </w:r>
      <w:r>
        <w:rPr>
          <w:bCs/>
          <w:color w:val="000000"/>
        </w:rPr>
        <w:t xml:space="preserve">.  </w:t>
      </w:r>
      <w:r>
        <w:rPr>
          <w:bCs/>
          <w:i/>
          <w:color w:val="000000"/>
        </w:rPr>
        <w:t>See also</w:t>
      </w:r>
      <w:r>
        <w:rPr>
          <w:bCs/>
          <w:color w:val="000000"/>
        </w:rPr>
        <w:t xml:space="preserve"> </w:t>
      </w:r>
      <w:r>
        <w:rPr>
          <w:szCs w:val="24"/>
        </w:rPr>
        <w:t>Bill Croghan (Co-Chair, Southern Nevada/Inyo California EAS operational area) Comments at 1</w:t>
      </w:r>
      <w:r w:rsidRPr="00397936">
        <w:t xml:space="preserve"> </w:t>
      </w:r>
      <w:r>
        <w:rPr>
          <w:bCs/>
          <w:color w:val="000000"/>
        </w:rPr>
        <w:t>(filed May 2, 2014) (</w:t>
      </w:r>
      <w:r>
        <w:rPr>
          <w:szCs w:val="24"/>
        </w:rPr>
        <w:t xml:space="preserve">Bill Croghan </w:t>
      </w:r>
      <w:r>
        <w:rPr>
          <w:bCs/>
          <w:color w:val="000000"/>
        </w:rPr>
        <w:t xml:space="preserve">May 2, 2014, Comments). </w:t>
      </w:r>
    </w:p>
  </w:footnote>
  <w:footnote w:id="61">
    <w:p w:rsidR="00744B1B" w:rsidRDefault="00744B1B" w:rsidP="00744B1B">
      <w:pPr>
        <w:pStyle w:val="FootnoteText"/>
      </w:pPr>
      <w:r>
        <w:rPr>
          <w:rStyle w:val="FootnoteReference"/>
        </w:rPr>
        <w:footnoteRef/>
      </w:r>
      <w:r>
        <w:t xml:space="preserve"> </w:t>
      </w:r>
      <w:r>
        <w:rPr>
          <w:i/>
        </w:rPr>
        <w:t>See</w:t>
      </w:r>
      <w:r>
        <w:t xml:space="preserve">, </w:t>
      </w:r>
      <w:r>
        <w:rPr>
          <w:i/>
        </w:rPr>
        <w:t>e.g</w:t>
      </w:r>
      <w:r>
        <w:t xml:space="preserve">., NAB 2014 Public Notice Comments at 11-12; </w:t>
      </w:r>
      <w:r>
        <w:rPr>
          <w:bCs/>
          <w:color w:val="000000"/>
        </w:rPr>
        <w:t xml:space="preserve">NSBA </w:t>
      </w:r>
      <w:r>
        <w:t xml:space="preserve">2014 Public Notice </w:t>
      </w:r>
      <w:r>
        <w:rPr>
          <w:bCs/>
          <w:color w:val="000000"/>
        </w:rPr>
        <w:t xml:space="preserve">Comments at 5; </w:t>
      </w:r>
      <w:r>
        <w:t>National Cable &amp; Telecommunications Association Comments at 2-3 (filed May 28, 2014) (NCTA May 28, 2014, Comments); AT&amp;T Services, Inc., Comments at 2</w:t>
      </w:r>
      <w:r w:rsidRPr="00397936">
        <w:t xml:space="preserve"> </w:t>
      </w:r>
      <w:r>
        <w:rPr>
          <w:bCs/>
          <w:color w:val="000000"/>
        </w:rPr>
        <w:t xml:space="preserve">(filed May 28, 2014); </w:t>
      </w:r>
      <w:r w:rsidRPr="00397936">
        <w:t xml:space="preserve">Bill Croghan </w:t>
      </w:r>
      <w:r>
        <w:rPr>
          <w:bCs/>
          <w:color w:val="000000"/>
        </w:rPr>
        <w:t xml:space="preserve">May 2, 2014, Comments at 1; </w:t>
      </w:r>
      <w:r>
        <w:rPr>
          <w:szCs w:val="24"/>
        </w:rPr>
        <w:t xml:space="preserve">Abbott-Gutierrez </w:t>
      </w:r>
      <w:r>
        <w:t xml:space="preserve">2014 Public Notice </w:t>
      </w:r>
      <w:r>
        <w:rPr>
          <w:bCs/>
          <w:color w:val="000000"/>
        </w:rPr>
        <w:t>Comments</w:t>
      </w:r>
      <w:r>
        <w:rPr>
          <w:szCs w:val="24"/>
        </w:rPr>
        <w:t xml:space="preserve"> at 1.</w:t>
      </w:r>
    </w:p>
  </w:footnote>
  <w:footnote w:id="62">
    <w:p w:rsidR="00744B1B" w:rsidRDefault="00744B1B" w:rsidP="00744B1B">
      <w:pPr>
        <w:pStyle w:val="FootnoteText"/>
      </w:pPr>
      <w:r>
        <w:rPr>
          <w:rStyle w:val="FootnoteReference"/>
        </w:rPr>
        <w:footnoteRef/>
      </w:r>
      <w:r>
        <w:t xml:space="preserve"> Letter from Jason T. Lagria, Senior Staff Attorney, </w:t>
      </w:r>
      <w:r>
        <w:rPr>
          <w:color w:val="231F20"/>
          <w:szCs w:val="24"/>
        </w:rPr>
        <w:t>Asian Americans Advancing Justice</w:t>
      </w:r>
      <w:r>
        <w:t xml:space="preserve"> to Marlene H. Dortch, Secretary, FCC, EB Docket 04-296 at 3 (filed July 3, 2014) (AAJC </w:t>
      </w:r>
      <w:r w:rsidRPr="00460020">
        <w:rPr>
          <w:i/>
        </w:rPr>
        <w:t>Ex Parte</w:t>
      </w:r>
      <w:r>
        <w:t xml:space="preserve">).  AAJC also agreed </w:t>
      </w:r>
      <w:r>
        <w:rPr>
          <w:szCs w:val="24"/>
        </w:rPr>
        <w:t xml:space="preserve">with other commenters that “it is the primary responsibility of message originators to make every effort to provide EAS alerts in multiple languages.”  </w:t>
      </w:r>
      <w:r>
        <w:rPr>
          <w:i/>
          <w:szCs w:val="24"/>
        </w:rPr>
        <w:t>Id</w:t>
      </w:r>
      <w:r>
        <w:rPr>
          <w:szCs w:val="24"/>
        </w:rPr>
        <w:t xml:space="preserve">. at 2.  </w:t>
      </w:r>
    </w:p>
  </w:footnote>
  <w:footnote w:id="63">
    <w:p w:rsidR="00744B1B" w:rsidRDefault="00744B1B" w:rsidP="00744B1B">
      <w:pPr>
        <w:pStyle w:val="FootnoteText"/>
      </w:pPr>
      <w:r>
        <w:rPr>
          <w:rStyle w:val="FootnoteReference"/>
        </w:rPr>
        <w:footnoteRef/>
      </w:r>
      <w:r>
        <w:t xml:space="preserve"> Wireless RERC Comments at 3 (filed May 28, 2014) (Wireless RERC Comments).  The Commission intends to address accessibility issues in a related EAS rulemaking proceeding.  </w:t>
      </w:r>
      <w:r w:rsidRPr="00F52F5F">
        <w:rPr>
          <w:i/>
        </w:rPr>
        <w:t>See supra</w:t>
      </w:r>
      <w:r>
        <w:t xml:space="preserve"> note 26.</w:t>
      </w:r>
    </w:p>
  </w:footnote>
  <w:footnote w:id="64">
    <w:p w:rsidR="00744B1B" w:rsidRDefault="00744B1B" w:rsidP="00744B1B">
      <w:pPr>
        <w:pStyle w:val="FootnoteText"/>
      </w:pPr>
      <w:r>
        <w:rPr>
          <w:rStyle w:val="FootnoteReference"/>
        </w:rPr>
        <w:footnoteRef/>
      </w:r>
      <w:r>
        <w:t xml:space="preserve"> </w:t>
      </w:r>
      <w:r>
        <w:rPr>
          <w:bCs/>
          <w:color w:val="000000"/>
        </w:rPr>
        <w:t>FEMA IPAWS Program Office Comments at 1 (filed April 2, 2014).</w:t>
      </w:r>
    </w:p>
  </w:footnote>
  <w:footnote w:id="65">
    <w:p w:rsidR="00744B1B" w:rsidRDefault="00744B1B" w:rsidP="00744B1B">
      <w:pPr>
        <w:pStyle w:val="FootnoteText"/>
      </w:pPr>
      <w:r>
        <w:rPr>
          <w:rStyle w:val="FootnoteReference"/>
        </w:rPr>
        <w:footnoteRef/>
      </w:r>
      <w:r>
        <w:t xml:space="preserve"> Minority Media and Telecommunications Council Comments at 3 (filed May 28, 2014) (MMTC 2014 Public Notice </w:t>
      </w:r>
      <w:r>
        <w:rPr>
          <w:bCs/>
          <w:color w:val="000000"/>
        </w:rPr>
        <w:t>Comments</w:t>
      </w:r>
      <w:r>
        <w:t>).</w:t>
      </w:r>
    </w:p>
  </w:footnote>
  <w:footnote w:id="66">
    <w:p w:rsidR="00744B1B" w:rsidRDefault="00744B1B" w:rsidP="00744B1B">
      <w:pPr>
        <w:pStyle w:val="FootnoteText"/>
      </w:pPr>
      <w:r>
        <w:rPr>
          <w:rStyle w:val="FootnoteReference"/>
        </w:rPr>
        <w:footnoteRef/>
      </w:r>
      <w:r>
        <w:t xml:space="preserve"> </w:t>
      </w:r>
      <w:r>
        <w:rPr>
          <w:i/>
        </w:rPr>
        <w:t>Id</w:t>
      </w:r>
      <w:r>
        <w:t>. at 7-8.</w:t>
      </w:r>
    </w:p>
  </w:footnote>
  <w:footnote w:id="67">
    <w:p w:rsidR="00744B1B" w:rsidRDefault="00744B1B" w:rsidP="00744B1B">
      <w:pPr>
        <w:pStyle w:val="FootnoteText"/>
      </w:pPr>
      <w:r>
        <w:rPr>
          <w:rStyle w:val="FootnoteReference"/>
        </w:rPr>
        <w:footnoteRef/>
      </w:r>
      <w:r>
        <w:t xml:space="preserve"> Minority Media and Telecommunications Council Reply at 3 (filed June 12, 2014) (MMTC 2014 Public Notice Reply </w:t>
      </w:r>
      <w:r>
        <w:rPr>
          <w:bCs/>
          <w:color w:val="000000"/>
        </w:rPr>
        <w:t>Comments</w:t>
      </w:r>
      <w:r>
        <w:t>).</w:t>
      </w:r>
    </w:p>
  </w:footnote>
  <w:footnote w:id="68">
    <w:p w:rsidR="00744B1B" w:rsidRDefault="00744B1B" w:rsidP="00744B1B">
      <w:pPr>
        <w:pStyle w:val="FootnoteText"/>
      </w:pPr>
      <w:r>
        <w:rPr>
          <w:rStyle w:val="FootnoteReference"/>
        </w:rPr>
        <w:footnoteRef/>
      </w:r>
      <w:r>
        <w:t xml:space="preserve"> As indicated, EAS equipment manufacturers are developing multilingual translation solutions, including solutions for generating EAS visual crawls in multiple languages.  </w:t>
      </w:r>
      <w:r w:rsidRPr="00E77551">
        <w:rPr>
          <w:i/>
        </w:rPr>
        <w:t>See supra</w:t>
      </w:r>
      <w:r>
        <w:t xml:space="preserve"> note 2123.</w:t>
      </w:r>
    </w:p>
  </w:footnote>
  <w:footnote w:id="69">
    <w:p w:rsidR="00744B1B" w:rsidRDefault="00744B1B" w:rsidP="00744B1B">
      <w:pPr>
        <w:pStyle w:val="FootnoteText"/>
      </w:pPr>
      <w:r>
        <w:rPr>
          <w:rStyle w:val="FootnoteReference"/>
        </w:rPr>
        <w:footnoteRef/>
      </w:r>
      <w:r>
        <w:t xml:space="preserve"> </w:t>
      </w:r>
      <w:r w:rsidRPr="00EC02EF">
        <w:rPr>
          <w:i/>
        </w:rPr>
        <w:t xml:space="preserve">See </w:t>
      </w:r>
      <w:r w:rsidRPr="00317E21">
        <w:rPr>
          <w:i/>
        </w:rPr>
        <w:t>supra</w:t>
      </w:r>
      <w:r>
        <w:t xml:space="preserve"> para. 7.  </w:t>
      </w:r>
    </w:p>
  </w:footnote>
  <w:footnote w:id="70">
    <w:p w:rsidR="00744B1B" w:rsidRDefault="00744B1B" w:rsidP="00744B1B">
      <w:pPr>
        <w:pStyle w:val="FootnoteText"/>
      </w:pPr>
      <w:r>
        <w:rPr>
          <w:rStyle w:val="FootnoteReference"/>
        </w:rPr>
        <w:footnoteRef/>
      </w:r>
      <w:r>
        <w:t xml:space="preserve"> </w:t>
      </w:r>
      <w:r>
        <w:rPr>
          <w:i/>
        </w:rPr>
        <w:t>But s</w:t>
      </w:r>
      <w:r w:rsidRPr="00774075">
        <w:rPr>
          <w:i/>
        </w:rPr>
        <w:t>ee</w:t>
      </w:r>
      <w:r>
        <w:rPr>
          <w:i/>
        </w:rPr>
        <w:t xml:space="preserve"> </w:t>
      </w:r>
      <w:r>
        <w:t xml:space="preserve">Wireless RERC Comments at 3, 5-8, where the </w:t>
      </w:r>
      <w:r w:rsidRPr="00F52F5F">
        <w:t>Wireless RERC points out</w:t>
      </w:r>
      <w:r>
        <w:t xml:space="preserve"> that the text and audio content of legacy EAS alerts cannot transport video and so does not meet the visual-based, communication requirements of </w:t>
      </w:r>
      <w:r w:rsidRPr="00F52F5F">
        <w:t>“the hundreds of thousands to two million people for</w:t>
      </w:r>
      <w:r>
        <w:t xml:space="preserve"> </w:t>
      </w:r>
      <w:r w:rsidRPr="00F52F5F">
        <w:t>whom ASL is their primary form of communication</w:t>
      </w:r>
      <w:r>
        <w:t>.</w:t>
      </w:r>
      <w:r w:rsidRPr="00F52F5F">
        <w:t>”</w:t>
      </w:r>
      <w:r>
        <w:t xml:space="preserve">  Still, as Wireless RERC observes, CAP may provide some flexibility to deliver ASL-compatible alert content or otherwise operate in conjunction with some other application to render such content.  </w:t>
      </w:r>
      <w:r w:rsidRPr="00F52F5F">
        <w:rPr>
          <w:i/>
        </w:rPr>
        <w:t>See id</w:t>
      </w:r>
      <w:r>
        <w:t>. at 8.  A</w:t>
      </w:r>
      <w:r>
        <w:rPr>
          <w:snapToGrid w:val="0"/>
        </w:rPr>
        <w:t xml:space="preserve">ccordingly, we encourage EAS Participants and SECCS to explore ways to enable the delivery of video alerts in ASL format, if possible.  </w:t>
      </w:r>
      <w:r>
        <w:t xml:space="preserve">  </w:t>
      </w:r>
    </w:p>
  </w:footnote>
  <w:footnote w:id="71">
    <w:p w:rsidR="00744B1B" w:rsidRPr="000053B6" w:rsidRDefault="00744B1B" w:rsidP="00744B1B">
      <w:pPr>
        <w:pStyle w:val="FootnoteText"/>
      </w:pPr>
      <w:r>
        <w:rPr>
          <w:rStyle w:val="FootnoteReference"/>
        </w:rPr>
        <w:footnoteRef/>
      </w:r>
      <w:r>
        <w:t xml:space="preserve"> </w:t>
      </w:r>
      <w:r w:rsidRPr="00C95449">
        <w:rPr>
          <w:i/>
        </w:rPr>
        <w:t xml:space="preserve">See </w:t>
      </w:r>
      <w:r w:rsidRPr="00317E21">
        <w:rPr>
          <w:i/>
        </w:rPr>
        <w:t>supra</w:t>
      </w:r>
      <w:r w:rsidRPr="00EF335D">
        <w:t xml:space="preserve"> notes </w:t>
      </w:r>
      <w:r>
        <w:t>42, 43, 4747, 50, 60, 61.</w:t>
      </w:r>
      <w:r w:rsidRPr="00EF335D">
        <w:t xml:space="preserve">  </w:t>
      </w:r>
      <w:r>
        <w:rPr>
          <w:i/>
        </w:rPr>
        <w:t>See also</w:t>
      </w:r>
      <w:r>
        <w:t xml:space="preserve">, AAJC </w:t>
      </w:r>
      <w:r w:rsidRPr="00460020">
        <w:rPr>
          <w:i/>
        </w:rPr>
        <w:t>Ex Parte</w:t>
      </w:r>
      <w:r>
        <w:t xml:space="preserve"> at 2 (stating “[m]ultiple languages at the point of origin are . . . critical because in many markets–large, small, and rural–there are LEP Asian Americans with no broadcast station that serves them news and information in their native language.”).</w:t>
      </w:r>
    </w:p>
  </w:footnote>
  <w:footnote w:id="72">
    <w:p w:rsidR="00744B1B" w:rsidRDefault="00744B1B" w:rsidP="00744B1B">
      <w:pPr>
        <w:pStyle w:val="FootnoteText"/>
      </w:pPr>
      <w:r>
        <w:rPr>
          <w:rStyle w:val="FootnoteReference"/>
        </w:rPr>
        <w:footnoteRef/>
      </w:r>
      <w:r>
        <w:t xml:space="preserve"> </w:t>
      </w:r>
      <w:r w:rsidRPr="004807ED">
        <w:rPr>
          <w:i/>
        </w:rPr>
        <w:t>See supra</w:t>
      </w:r>
      <w:r>
        <w:t xml:space="preserve"> note 5959.</w:t>
      </w:r>
    </w:p>
  </w:footnote>
  <w:footnote w:id="73">
    <w:p w:rsidR="00744B1B" w:rsidRPr="00B36737" w:rsidRDefault="00744B1B" w:rsidP="00744B1B">
      <w:pPr>
        <w:pStyle w:val="FootnoteText"/>
      </w:pPr>
      <w:r>
        <w:rPr>
          <w:rStyle w:val="FootnoteReference"/>
        </w:rPr>
        <w:footnoteRef/>
      </w:r>
      <w:r>
        <w:t xml:space="preserve"> </w:t>
      </w:r>
      <w:r>
        <w:rPr>
          <w:i/>
        </w:rPr>
        <w:t>See e.g.</w:t>
      </w:r>
      <w:r>
        <w:t xml:space="preserve">, AAJC </w:t>
      </w:r>
      <w:r w:rsidRPr="00460020">
        <w:rPr>
          <w:i/>
        </w:rPr>
        <w:t>Ex Parte</w:t>
      </w:r>
      <w:r>
        <w:t xml:space="preserve"> at 1.  AAJC notes, for example, that language translation equipment is not typically effective for translating Asian languages.  </w:t>
      </w:r>
      <w:r>
        <w:rPr>
          <w:i/>
        </w:rPr>
        <w:t>See id.</w:t>
      </w:r>
      <w:r>
        <w:t xml:space="preserve"> at 3.</w:t>
      </w:r>
    </w:p>
  </w:footnote>
  <w:footnote w:id="74">
    <w:p w:rsidR="00744B1B" w:rsidRPr="000053B6" w:rsidRDefault="00744B1B" w:rsidP="00744B1B">
      <w:pPr>
        <w:pStyle w:val="FootnoteText"/>
      </w:pPr>
      <w:r>
        <w:rPr>
          <w:rStyle w:val="FootnoteReference"/>
        </w:rPr>
        <w:footnoteRef/>
      </w:r>
      <w:r>
        <w:t xml:space="preserve"> </w:t>
      </w:r>
      <w:r>
        <w:rPr>
          <w:i/>
        </w:rPr>
        <w:t>See id.</w:t>
      </w:r>
      <w:r>
        <w:t xml:space="preserve"> at 3 (stating that “most Asian American-owned TV stations are Class A and low power TV stations with limited budgets and personnel”).</w:t>
      </w:r>
    </w:p>
  </w:footnote>
  <w:footnote w:id="75">
    <w:p w:rsidR="00744B1B" w:rsidRDefault="00744B1B" w:rsidP="00744B1B">
      <w:pPr>
        <w:pStyle w:val="FootnoteText"/>
      </w:pPr>
      <w:r>
        <w:rPr>
          <w:rStyle w:val="FootnoteReference"/>
        </w:rPr>
        <w:footnoteRef/>
      </w:r>
      <w:r>
        <w:t xml:space="preserve"> In the </w:t>
      </w:r>
      <w:r w:rsidRPr="00184ED6">
        <w:rPr>
          <w:i/>
        </w:rPr>
        <w:t>2014 Public Notice</w:t>
      </w:r>
      <w:r>
        <w:t xml:space="preserve">, the Bureau specifically requested that commenters address whether and how EAS Participants and States are providing EAS alert content in languages other than English.  </w:t>
      </w:r>
      <w:r w:rsidRPr="00BF680E">
        <w:rPr>
          <w:i/>
        </w:rPr>
        <w:t>See</w:t>
      </w:r>
      <w:r>
        <w:t xml:space="preserve"> </w:t>
      </w:r>
      <w:r w:rsidRPr="00184ED6">
        <w:rPr>
          <w:i/>
        </w:rPr>
        <w:t>2014 Public Notice</w:t>
      </w:r>
      <w:r>
        <w:t xml:space="preserve"> at 8-9.  Only one commenter responded directly, alluding to some </w:t>
      </w:r>
      <w:r w:rsidRPr="00C70CF4">
        <w:rPr>
          <w:i/>
        </w:rPr>
        <w:t>ad hoc</w:t>
      </w:r>
      <w:r>
        <w:t xml:space="preserve"> cooperative arrangements wherein English language and non-English language stations have been active in disseminating emergency information in non-English languages.  </w:t>
      </w:r>
      <w:r w:rsidRPr="00C70CF4">
        <w:rPr>
          <w:i/>
        </w:rPr>
        <w:t>See</w:t>
      </w:r>
      <w:r>
        <w:t xml:space="preserve"> </w:t>
      </w:r>
      <w:r>
        <w:rPr>
          <w:szCs w:val="24"/>
        </w:rPr>
        <w:t xml:space="preserve">Abbott-Gutierrez </w:t>
      </w:r>
      <w:r>
        <w:t xml:space="preserve">2014 Public Notice </w:t>
      </w:r>
      <w:r>
        <w:rPr>
          <w:szCs w:val="24"/>
        </w:rPr>
        <w:t>Comments</w:t>
      </w:r>
      <w:r>
        <w:t xml:space="preserve"> at 3.  Neither the record in this docket nor State EAS Plans on file provide any significant account of whether or how EAS alert content is being disseminated in languages other than English.       </w:t>
      </w:r>
    </w:p>
  </w:footnote>
  <w:footnote w:id="76">
    <w:p w:rsidR="00744B1B" w:rsidRDefault="00744B1B" w:rsidP="00744B1B">
      <w:pPr>
        <w:pStyle w:val="FootnoteText"/>
      </w:pPr>
      <w:r>
        <w:rPr>
          <w:rStyle w:val="FootnoteReference"/>
        </w:rPr>
        <w:footnoteRef/>
      </w:r>
      <w:r>
        <w:t xml:space="preserve"> </w:t>
      </w:r>
      <w:r w:rsidRPr="00092A13">
        <w:rPr>
          <w:i/>
        </w:rPr>
        <w:t>See</w:t>
      </w:r>
      <w:r>
        <w:t xml:space="preserve"> </w:t>
      </w:r>
      <w:r w:rsidRPr="00FF5922">
        <w:t xml:space="preserve">Letter from </w:t>
      </w:r>
      <w:r>
        <w:t xml:space="preserve">Kim M. Keenen, President and Chief Executive Officer, </w:t>
      </w:r>
      <w:r w:rsidRPr="00FF5922">
        <w:t>Minority Media and Telecommunications Council</w:t>
      </w:r>
      <w:r>
        <w:t>,</w:t>
      </w:r>
      <w:r w:rsidRPr="00FF5922">
        <w:t xml:space="preserve"> to Marlene H. Dortch, Secretary, FCC, EB Docket No. 04-296</w:t>
      </w:r>
      <w:r>
        <w:t xml:space="preserve"> (</w:t>
      </w:r>
      <w:r w:rsidRPr="00FF5922">
        <w:t xml:space="preserve">filed </w:t>
      </w:r>
      <w:r>
        <w:t>Jan 21, 2016)</w:t>
      </w:r>
      <w:r w:rsidRPr="00FF5922">
        <w:t xml:space="preserve"> (MMTC </w:t>
      </w:r>
      <w:r>
        <w:t xml:space="preserve">Jan. 21, 2016, </w:t>
      </w:r>
      <w:r w:rsidRPr="00CC1214">
        <w:rPr>
          <w:i/>
        </w:rPr>
        <w:t>Ex Parte</w:t>
      </w:r>
      <w:r>
        <w:t xml:space="preserve">).  </w:t>
      </w:r>
      <w:r w:rsidRPr="00C60316">
        <w:rPr>
          <w:i/>
        </w:rPr>
        <w:t>See also</w:t>
      </w:r>
      <w:r>
        <w:t xml:space="preserve">, for example, the methods used by Minnesota ECHO to determine communities in need.  ECHO (Emergency and Community Health Outreach), About ECHO, </w:t>
      </w:r>
      <w:hyperlink r:id="rId5" w:history="1">
        <w:r w:rsidRPr="001B4285">
          <w:rPr>
            <w:rStyle w:val="Hyperlink"/>
          </w:rPr>
          <w:t>http://www.echominnesota.org/about</w:t>
        </w:r>
      </w:hyperlink>
      <w:r>
        <w:t xml:space="preserve"> (positive outreach to </w:t>
      </w:r>
      <w:r w:rsidRPr="001B20D9">
        <w:t xml:space="preserve">bridge the gap for </w:t>
      </w:r>
      <w:r>
        <w:t xml:space="preserve">non-English speakers </w:t>
      </w:r>
      <w:r w:rsidRPr="001B20D9">
        <w:t>in Minnesota</w:t>
      </w:r>
      <w:r>
        <w:t xml:space="preserve">) (last visited Feb. 9, 2016). EAS Participants may also include as part of their analysis the extent to which they employ the “Good Samaritan” initiative described by MMTC.  </w:t>
      </w:r>
      <w:r w:rsidRPr="0055275F">
        <w:rPr>
          <w:i/>
        </w:rPr>
        <w:t>See</w:t>
      </w:r>
      <w:r>
        <w:t xml:space="preserve"> </w:t>
      </w:r>
      <w:r w:rsidRPr="00346251">
        <w:t>MMTC Jan. 21, 2016</w:t>
      </w:r>
      <w:r>
        <w:t>,</w:t>
      </w:r>
      <w:r w:rsidRPr="00346251">
        <w:t xml:space="preserve"> </w:t>
      </w:r>
      <w:r w:rsidRPr="00346251">
        <w:rPr>
          <w:i/>
        </w:rPr>
        <w:t>Ex Parte</w:t>
      </w:r>
      <w:r>
        <w:t xml:space="preserve"> at 5.</w:t>
      </w:r>
    </w:p>
  </w:footnote>
  <w:footnote w:id="77">
    <w:p w:rsidR="00744B1B" w:rsidRDefault="00744B1B" w:rsidP="00744B1B">
      <w:pPr>
        <w:pStyle w:val="FootnoteText"/>
      </w:pPr>
      <w:r>
        <w:rPr>
          <w:rStyle w:val="FootnoteReference"/>
        </w:rPr>
        <w:footnoteRef/>
      </w:r>
      <w:r>
        <w:t xml:space="preserve"> </w:t>
      </w:r>
      <w:r>
        <w:rPr>
          <w:snapToGrid w:val="0"/>
        </w:rPr>
        <w:t>The description of anticipated costs and benefits herein is consistent with principles articulated in Exec. Order No. 13563, 76 Fed. Reg. 3821 (January 18, 2011) (Executive Order) (</w:t>
      </w:r>
      <w:r w:rsidRPr="00397936">
        <w:rPr>
          <w:i/>
        </w:rPr>
        <w:t>citing</w:t>
      </w:r>
      <w:r>
        <w:rPr>
          <w:snapToGrid w:val="0"/>
        </w:rPr>
        <w:t xml:space="preserve"> Exec. Order 12866, 58 Fed. Reg. 51735 (September 30, 1993) (affirming requirement that Executive Branch agencies must submit for review to the Office of Management and Budget (OMB) any regulatory actions that have an annual effect on the economy of $100 million or more).  We note that the burdens of these new rules will have full OMB review, as the rules contain modified information collection requirements subject to the Paperwork Reduction Act of 1995 (PRA), Public Law 104-13, and require a PRA analysis by OMB to address their burdens before they can become effective.  </w:t>
      </w:r>
      <w:r>
        <w:rPr>
          <w:i/>
          <w:snapToGrid w:val="0"/>
        </w:rPr>
        <w:t>See</w:t>
      </w:r>
      <w:r>
        <w:rPr>
          <w:snapToGrid w:val="0"/>
        </w:rPr>
        <w:t xml:space="preserve"> paragraph 37, </w:t>
      </w:r>
      <w:r>
        <w:rPr>
          <w:i/>
          <w:snapToGrid w:val="0"/>
        </w:rPr>
        <w:t>infra</w:t>
      </w:r>
      <w:r>
        <w:rPr>
          <w:snapToGrid w:val="0"/>
        </w:rPr>
        <w:t xml:space="preserve"> para. 37.  </w:t>
      </w:r>
    </w:p>
  </w:footnote>
  <w:footnote w:id="78">
    <w:p w:rsidR="00744B1B" w:rsidRPr="00CA6D54" w:rsidRDefault="00744B1B" w:rsidP="00744B1B">
      <w:pPr>
        <w:pStyle w:val="FootnoteText"/>
      </w:pPr>
      <w:r w:rsidRPr="00CA6D54">
        <w:rPr>
          <w:rStyle w:val="FootnoteReference"/>
        </w:rPr>
        <w:footnoteRef/>
      </w:r>
      <w:r w:rsidRPr="00CA6D54">
        <w:t xml:space="preserve"> </w:t>
      </w:r>
      <w:r w:rsidRPr="00CA6D54">
        <w:rPr>
          <w:i/>
        </w:rPr>
        <w:t>See Background on the Emergency Alert System (EAS</w:t>
      </w:r>
      <w:r w:rsidRPr="00CA6D54">
        <w:t xml:space="preserve">), </w:t>
      </w:r>
      <w:r w:rsidRPr="00CA6D54">
        <w:rPr>
          <w:smallCaps/>
        </w:rPr>
        <w:t>FEMA.gov</w:t>
      </w:r>
      <w:r w:rsidRPr="00CA6D54">
        <w:t xml:space="preserve"> (2014), </w:t>
      </w:r>
      <w:hyperlink r:id="rId6" w:anchor="1" w:history="1">
        <w:r w:rsidRPr="004675BD">
          <w:rPr>
            <w:rStyle w:val="Hyperlink"/>
          </w:rPr>
          <w:t>https://www.fema.gov/emergency-alert-system#1</w:t>
        </w:r>
      </w:hyperlink>
      <w:r>
        <w:t xml:space="preserve"> </w:t>
      </w:r>
      <w:r w:rsidRPr="00CA6D54">
        <w:t>(last visited Nov. 11, 2014).</w:t>
      </w:r>
    </w:p>
  </w:footnote>
  <w:footnote w:id="79">
    <w:p w:rsidR="00744B1B" w:rsidRPr="00C7679B" w:rsidRDefault="00744B1B" w:rsidP="00744B1B">
      <w:pPr>
        <w:pStyle w:val="FootnoteText"/>
      </w:pPr>
      <w:r>
        <w:rPr>
          <w:rStyle w:val="FootnoteReference"/>
        </w:rPr>
        <w:footnoteRef/>
      </w:r>
      <w:r>
        <w:t xml:space="preserve"> </w:t>
      </w:r>
      <w:r>
        <w:rPr>
          <w:i/>
        </w:rPr>
        <w:t>See</w:t>
      </w:r>
      <w:r>
        <w:t xml:space="preserve"> MMTC 2014 Public Notice Reply Comments at 3 (“Voluntary plans have not been put into place since Hurricane Katrina set this proceeding in Motion,” adding that “[n]one of the State EAS plans address multilingual EAS alerts.”).</w:t>
      </w:r>
    </w:p>
  </w:footnote>
  <w:footnote w:id="80">
    <w:p w:rsidR="00744B1B" w:rsidRDefault="00744B1B" w:rsidP="00744B1B">
      <w:pPr>
        <w:pStyle w:val="FootnoteText"/>
        <w:tabs>
          <w:tab w:val="center" w:pos="4680"/>
        </w:tabs>
      </w:pPr>
      <w:r>
        <w:rPr>
          <w:rStyle w:val="FootnoteReference"/>
        </w:rPr>
        <w:footnoteRef/>
      </w:r>
      <w:r>
        <w:t xml:space="preserve"> NAB 2014 Public Notice Comments at 8.  Among other things, NAB argued that SECCs lack the capacity to </w:t>
      </w:r>
      <w:r>
        <w:rPr>
          <w:szCs w:val="24"/>
        </w:rPr>
        <w:t xml:space="preserve">make cooperative arrangements concerning emergency programming.  </w:t>
      </w:r>
      <w:r>
        <w:rPr>
          <w:i/>
          <w:szCs w:val="24"/>
        </w:rPr>
        <w:t>See id</w:t>
      </w:r>
      <w:r>
        <w:rPr>
          <w:szCs w:val="24"/>
        </w:rPr>
        <w:t>. at 9.</w:t>
      </w:r>
      <w:r>
        <w:tab/>
      </w:r>
    </w:p>
  </w:footnote>
  <w:footnote w:id="81">
    <w:p w:rsidR="00744B1B" w:rsidRDefault="00744B1B" w:rsidP="00744B1B">
      <w:pPr>
        <w:pStyle w:val="FootnoteText"/>
      </w:pPr>
      <w:r>
        <w:rPr>
          <w:rStyle w:val="FootnoteReference"/>
        </w:rPr>
        <w:footnoteRef/>
      </w:r>
      <w:r>
        <w:t xml:space="preserve"> </w:t>
      </w:r>
      <w:r w:rsidRPr="00B8587E">
        <w:t xml:space="preserve">NSBA 2014 Public Notice Comments at 12.  </w:t>
      </w:r>
    </w:p>
  </w:footnote>
  <w:footnote w:id="82">
    <w:p w:rsidR="00744B1B" w:rsidRDefault="00744B1B" w:rsidP="00744B1B">
      <w:pPr>
        <w:pStyle w:val="FootnoteText"/>
      </w:pPr>
      <w:r>
        <w:rPr>
          <w:rStyle w:val="FootnoteReference"/>
        </w:rPr>
        <w:footnoteRef/>
      </w:r>
      <w:r w:rsidRPr="00A37FF3">
        <w:t xml:space="preserve"> </w:t>
      </w:r>
      <w:r w:rsidRPr="00252FCA">
        <w:rPr>
          <w:i/>
          <w:color w:val="000000"/>
        </w:rPr>
        <w:t>See</w:t>
      </w:r>
      <w:r w:rsidRPr="00274A8C">
        <w:rPr>
          <w:color w:val="000000"/>
        </w:rPr>
        <w:t>,</w:t>
      </w:r>
      <w:r w:rsidRPr="00252FCA">
        <w:rPr>
          <w:i/>
          <w:color w:val="000000"/>
        </w:rPr>
        <w:t xml:space="preserve"> e.g.</w:t>
      </w:r>
      <w:r w:rsidRPr="00274A8C">
        <w:rPr>
          <w:color w:val="000000"/>
        </w:rPr>
        <w:t xml:space="preserve">, </w:t>
      </w:r>
      <w:r w:rsidRPr="00252FCA">
        <w:rPr>
          <w:i/>
          <w:color w:val="000000"/>
        </w:rPr>
        <w:t>Citizens United v. Fed. Election Comm’n</w:t>
      </w:r>
      <w:r w:rsidRPr="0003330A">
        <w:rPr>
          <w:color w:val="000000"/>
        </w:rPr>
        <w:t>, 558 U.S. 310, 366-372 (2010) (upholding Bipartisan Campaign Reform Act of 2002 disclaimer and disclosure requirements for electioneering communications not funded by a candidate)</w:t>
      </w:r>
      <w:r>
        <w:rPr>
          <w:color w:val="000000"/>
        </w:rPr>
        <w:t xml:space="preserve">; </w:t>
      </w:r>
      <w:r w:rsidRPr="0003330A">
        <w:rPr>
          <w:color w:val="000000"/>
        </w:rPr>
        <w:t>)</w:t>
      </w:r>
      <w:r>
        <w:rPr>
          <w:color w:val="000000"/>
        </w:rPr>
        <w:t xml:space="preserve">; </w:t>
      </w:r>
      <w:r w:rsidRPr="00252FCA">
        <w:rPr>
          <w:i/>
          <w:color w:val="000000"/>
        </w:rPr>
        <w:t>Zauderer v. Office of Disciplinary Counsel</w:t>
      </w:r>
      <w:r w:rsidRPr="0003330A">
        <w:rPr>
          <w:color w:val="000000"/>
        </w:rPr>
        <w:t xml:space="preserve">, 471 U.S. 626, 651 (1985) (upholding requirement </w:t>
      </w:r>
      <w:r>
        <w:rPr>
          <w:color w:val="000000"/>
        </w:rPr>
        <w:t xml:space="preserve">that attorney advertising </w:t>
      </w:r>
      <w:r w:rsidRPr="0003330A">
        <w:rPr>
          <w:color w:val="000000"/>
        </w:rPr>
        <w:t xml:space="preserve">disclose </w:t>
      </w:r>
      <w:r>
        <w:rPr>
          <w:color w:val="000000"/>
        </w:rPr>
        <w:t xml:space="preserve">that clients in contingent-fee cases must </w:t>
      </w:r>
      <w:r w:rsidRPr="0003330A">
        <w:rPr>
          <w:color w:val="000000"/>
        </w:rPr>
        <w:t>pay legal costs</w:t>
      </w:r>
      <w:r>
        <w:rPr>
          <w:color w:val="000000"/>
        </w:rPr>
        <w:t xml:space="preserve"> even if their cases are </w:t>
      </w:r>
      <w:r w:rsidRPr="00CB10D1">
        <w:rPr>
          <w:color w:val="000000"/>
        </w:rPr>
        <w:t xml:space="preserve">unsuccessful);); </w:t>
      </w:r>
      <w:r w:rsidRPr="00252FCA">
        <w:rPr>
          <w:i/>
          <w:color w:val="000000"/>
        </w:rPr>
        <w:t>Am. Meat Inst. v. U.S. Dep’t of Agric.</w:t>
      </w:r>
      <w:r w:rsidRPr="0003330A">
        <w:rPr>
          <w:color w:val="000000"/>
        </w:rPr>
        <w:t xml:space="preserve">, 760 F.3d 18, 23-27 (D.C. Cir. 2014) (en banc) (upholding “purely factual and </w:t>
      </w:r>
      <w:r>
        <w:rPr>
          <w:color w:val="000000"/>
        </w:rPr>
        <w:t>un</w:t>
      </w:r>
      <w:r w:rsidRPr="0003330A">
        <w:rPr>
          <w:color w:val="000000"/>
        </w:rPr>
        <w:t xml:space="preserve">controversial” country-of-origin disclosure requirement); </w:t>
      </w:r>
      <w:r w:rsidRPr="00252FCA">
        <w:rPr>
          <w:i/>
          <w:color w:val="000000"/>
        </w:rPr>
        <w:t>N.Y. State Rest</w:t>
      </w:r>
      <w:r>
        <w:rPr>
          <w:i/>
          <w:color w:val="000000"/>
        </w:rPr>
        <w:t>.</w:t>
      </w:r>
      <w:r w:rsidRPr="00252FCA">
        <w:rPr>
          <w:i/>
          <w:color w:val="000000"/>
        </w:rPr>
        <w:t xml:space="preserve"> Ass’n v. N.Y. Bd. of Health</w:t>
      </w:r>
      <w:r w:rsidRPr="0003330A">
        <w:rPr>
          <w:color w:val="000000"/>
        </w:rPr>
        <w:t xml:space="preserve">, 556 F.3d 114, 131-137 (2nd Cir. 2009) (upholding </w:t>
      </w:r>
      <w:r>
        <w:rPr>
          <w:color w:val="000000"/>
        </w:rPr>
        <w:t>calorie</w:t>
      </w:r>
      <w:r w:rsidRPr="0003330A">
        <w:rPr>
          <w:color w:val="000000"/>
        </w:rPr>
        <w:t xml:space="preserve"> information </w:t>
      </w:r>
      <w:r>
        <w:rPr>
          <w:color w:val="000000"/>
        </w:rPr>
        <w:t xml:space="preserve">disclosure </w:t>
      </w:r>
      <w:r w:rsidRPr="0003330A">
        <w:rPr>
          <w:color w:val="000000"/>
        </w:rPr>
        <w:t xml:space="preserve">requirements); </w:t>
      </w:r>
      <w:r w:rsidRPr="00252FCA">
        <w:rPr>
          <w:i/>
          <w:color w:val="000000"/>
        </w:rPr>
        <w:t>Nat’l Elec. Mfrs. Ass’n v. Sorrell</w:t>
      </w:r>
      <w:r w:rsidRPr="0003330A">
        <w:rPr>
          <w:color w:val="000000"/>
        </w:rPr>
        <w:t xml:space="preserve">, 272 F.3d 104, 113-116 (2nd Cir. 2001) (upholding mercury disclosure requirements).  </w:t>
      </w:r>
      <w:r w:rsidRPr="00252FCA">
        <w:rPr>
          <w:i/>
          <w:color w:val="000000"/>
        </w:rPr>
        <w:t xml:space="preserve">But see Nat’l </w:t>
      </w:r>
      <w:r>
        <w:rPr>
          <w:i/>
          <w:color w:val="000000"/>
        </w:rPr>
        <w:t xml:space="preserve">Ass’n </w:t>
      </w:r>
      <w:r w:rsidRPr="00252FCA">
        <w:rPr>
          <w:i/>
          <w:color w:val="000000"/>
        </w:rPr>
        <w:t xml:space="preserve">of Mfrs. v. </w:t>
      </w:r>
      <w:r>
        <w:rPr>
          <w:i/>
          <w:color w:val="000000"/>
        </w:rPr>
        <w:t>SEC</w:t>
      </w:r>
      <w:r w:rsidRPr="0003330A">
        <w:rPr>
          <w:color w:val="000000"/>
        </w:rPr>
        <w:t xml:space="preserve">, No. 13-5252, at </w:t>
      </w:r>
      <w:r>
        <w:rPr>
          <w:color w:val="000000"/>
        </w:rPr>
        <w:t>7</w:t>
      </w:r>
      <w:r w:rsidRPr="0003330A">
        <w:rPr>
          <w:color w:val="000000"/>
        </w:rPr>
        <w:t>-</w:t>
      </w:r>
      <w:r>
        <w:rPr>
          <w:color w:val="000000"/>
        </w:rPr>
        <w:t>18</w:t>
      </w:r>
      <w:r w:rsidRPr="0003330A">
        <w:rPr>
          <w:color w:val="000000"/>
        </w:rPr>
        <w:t xml:space="preserve"> (D.C. Cir. Aug. 18, 2015) (on reh’g) (questioning </w:t>
      </w:r>
      <w:r w:rsidRPr="00744B1B">
        <w:t>extension</w:t>
      </w:r>
      <w:r w:rsidRPr="0003330A">
        <w:rPr>
          <w:color w:val="000000"/>
        </w:rPr>
        <w:t xml:space="preserve"> of </w:t>
      </w:r>
      <w:r w:rsidRPr="00252FCA">
        <w:rPr>
          <w:i/>
          <w:color w:val="000000"/>
        </w:rPr>
        <w:t>Zauderer</w:t>
      </w:r>
      <w:r w:rsidRPr="0003330A">
        <w:rPr>
          <w:color w:val="000000"/>
        </w:rPr>
        <w:t xml:space="preserve"> to disclosures beyond those in advertisements and product labels).  </w:t>
      </w:r>
      <w:r w:rsidRPr="00CB10D1">
        <w:rPr>
          <w:i/>
          <w:color w:val="000000"/>
        </w:rPr>
        <w:t>See also</w:t>
      </w:r>
      <w:r w:rsidRPr="00CB10D1">
        <w:rPr>
          <w:color w:val="000000"/>
        </w:rPr>
        <w:t xml:space="preserve"> </w:t>
      </w:r>
      <w:r w:rsidRPr="00CB10D1">
        <w:rPr>
          <w:i/>
          <w:color w:val="000000"/>
        </w:rPr>
        <w:t>U.S. v. Sindel</w:t>
      </w:r>
      <w:r w:rsidRPr="00CB10D1">
        <w:rPr>
          <w:color w:val="000000"/>
        </w:rPr>
        <w:t>, 53 F.3d 874, 877-78 (8th Cir. 1995) (upholding disclosure of payment information).</w:t>
      </w:r>
      <w:r w:rsidRPr="0003330A">
        <w:rPr>
          <w:color w:val="000000"/>
        </w:rPr>
        <w:t xml:space="preserve">  </w:t>
      </w:r>
      <w:r w:rsidRPr="00A37FF3">
        <w:t xml:space="preserve"> </w:t>
      </w:r>
    </w:p>
  </w:footnote>
  <w:footnote w:id="83">
    <w:p w:rsidR="00744B1B" w:rsidRDefault="00744B1B" w:rsidP="00744B1B">
      <w:pPr>
        <w:pStyle w:val="FootnoteText"/>
      </w:pPr>
      <w:r>
        <w:rPr>
          <w:rStyle w:val="FootnoteReference"/>
        </w:rPr>
        <w:footnoteRef/>
      </w:r>
      <w:r>
        <w:t xml:space="preserve"> MMTC Aug. 4, 2010, </w:t>
      </w:r>
      <w:r>
        <w:rPr>
          <w:i/>
        </w:rPr>
        <w:t>Ex Parte</w:t>
      </w:r>
      <w:r>
        <w:t xml:space="preserve"> at 1.  </w:t>
      </w:r>
    </w:p>
  </w:footnote>
  <w:footnote w:id="84">
    <w:p w:rsidR="00744B1B" w:rsidRDefault="00744B1B" w:rsidP="00744B1B">
      <w:pPr>
        <w:pStyle w:val="FootnoteText"/>
      </w:pPr>
      <w:r>
        <w:rPr>
          <w:rStyle w:val="FootnoteReference"/>
        </w:rPr>
        <w:footnoteRef/>
      </w:r>
      <w:r>
        <w:t xml:space="preserve"> </w:t>
      </w:r>
      <w:r>
        <w:rPr>
          <w:i/>
        </w:rPr>
        <w:t>See supra</w:t>
      </w:r>
      <w:r>
        <w:t xml:space="preserve"> paras. 4-6. </w:t>
      </w:r>
    </w:p>
  </w:footnote>
  <w:footnote w:id="85">
    <w:p w:rsidR="00744B1B" w:rsidRDefault="00744B1B" w:rsidP="00744B1B">
      <w:pPr>
        <w:pStyle w:val="FootnoteText"/>
      </w:pPr>
      <w:r>
        <w:rPr>
          <w:rStyle w:val="FootnoteReference"/>
        </w:rPr>
        <w:footnoteRef/>
      </w:r>
      <w:r>
        <w:t xml:space="preserve"> </w:t>
      </w:r>
      <w:r w:rsidRPr="00C95449">
        <w:rPr>
          <w:i/>
        </w:rPr>
        <w:t>See supra</w:t>
      </w:r>
      <w:r w:rsidRPr="00EF335D">
        <w:t xml:space="preserve"> note </w:t>
      </w:r>
      <w:r>
        <w:t>5959.</w:t>
      </w:r>
      <w:r w:rsidRPr="00EF335D">
        <w:t xml:space="preserve">  </w:t>
      </w:r>
      <w:r w:rsidRPr="003A1E0B">
        <w:rPr>
          <w:i/>
        </w:rPr>
        <w:t>See also</w:t>
      </w:r>
      <w:r>
        <w:t xml:space="preserve"> EchoStar Dec. 3, 2007, Comments</w:t>
      </w:r>
      <w:r w:rsidRPr="00132335">
        <w:t xml:space="preserve"> at 5</w:t>
      </w:r>
      <w:r>
        <w:t xml:space="preserve"> (“</w:t>
      </w:r>
      <w:r w:rsidRPr="003A1E0B">
        <w:t>[The] uneven distribution of non-English speaking populations favors a remedy that relies on local solutions.</w:t>
      </w:r>
      <w:r>
        <w:t>”); The Alaska Broadcasters Association Dec. 3, 2007, Comments at 4 (“</w:t>
      </w:r>
      <w:r w:rsidRPr="003A1E0B">
        <w:t>This traditionally state and local matter should stay a state</w:t>
      </w:r>
      <w:r>
        <w:t xml:space="preserve"> </w:t>
      </w:r>
      <w:r w:rsidRPr="003A1E0B">
        <w:t>and local matter – because those closest to the problem have proven that they are best-placed to</w:t>
      </w:r>
      <w:r>
        <w:t xml:space="preserve"> </w:t>
      </w:r>
      <w:r w:rsidRPr="003A1E0B">
        <w:t>solve it.</w:t>
      </w:r>
      <w:r>
        <w:t xml:space="preserve">”); TFT Dec. 3, 2007, Comments at 3 </w:t>
      </w:r>
      <w:r w:rsidRPr="003A1E0B">
        <w:t>(“The most reasonable approach appears to be on a local, voluntary basis with available</w:t>
      </w:r>
      <w:r>
        <w:t xml:space="preserve"> </w:t>
      </w:r>
      <w:r w:rsidRPr="003A1E0B">
        <w:t>local resources.”).</w:t>
      </w:r>
    </w:p>
  </w:footnote>
  <w:footnote w:id="86">
    <w:p w:rsidR="00744B1B" w:rsidRDefault="00744B1B" w:rsidP="00744B1B">
      <w:pPr>
        <w:pStyle w:val="FootnoteText"/>
      </w:pPr>
      <w:r>
        <w:rPr>
          <w:rStyle w:val="FootnoteReference"/>
        </w:rPr>
        <w:footnoteRef/>
      </w:r>
      <w:r>
        <w:t xml:space="preserve"> </w:t>
      </w:r>
      <w:r>
        <w:rPr>
          <w:i/>
        </w:rPr>
        <w:t>See</w:t>
      </w:r>
      <w:r>
        <w:t xml:space="preserve">, </w:t>
      </w:r>
      <w:r w:rsidRPr="004807ED">
        <w:rPr>
          <w:i/>
        </w:rPr>
        <w:t>e.g</w:t>
      </w:r>
      <w:r>
        <w:t xml:space="preserve">., </w:t>
      </w:r>
      <w:r>
        <w:rPr>
          <w:bCs/>
          <w:color w:val="000000"/>
        </w:rPr>
        <w:t>NAB Jan. 24, 2006, Comments</w:t>
      </w:r>
      <w:r>
        <w:t xml:space="preserve"> at 14-16; </w:t>
      </w:r>
      <w:r>
        <w:rPr>
          <w:bCs/>
          <w:color w:val="000000"/>
        </w:rPr>
        <w:t xml:space="preserve">NSBA Jan. 24, 2006, Comments at 16-17; MSTV Jan. 24, 2006, Comments at 12, n.28; NCTA Feb. 23, 2006, Reply Comments at 2-5; </w:t>
      </w:r>
      <w:r>
        <w:t>Educational Media Foundation Comments at 2 (filed May 23, 2014)</w:t>
      </w:r>
      <w:r>
        <w:rPr>
          <w:bCs/>
          <w:color w:val="000000"/>
        </w:rPr>
        <w:t>.</w:t>
      </w:r>
      <w:r>
        <w:t xml:space="preserve"> </w:t>
      </w:r>
      <w:r>
        <w:rPr>
          <w:kern w:val="3"/>
        </w:rPr>
        <w:t>It is unclear, for example, how a designated hitter station would know whether an LP-S or LP-M station in its geographic area had become incapacitated due to an emergency, or how the designated hitter station could effect a translation of the EAS alert content within the framework of the EAS architecture without significant local consent and coordination.</w:t>
      </w:r>
    </w:p>
  </w:footnote>
  <w:footnote w:id="87">
    <w:p w:rsidR="00744B1B" w:rsidRDefault="00744B1B" w:rsidP="00744B1B">
      <w:pPr>
        <w:pStyle w:val="FootnoteText"/>
      </w:pPr>
      <w:r>
        <w:rPr>
          <w:rStyle w:val="FootnoteReference"/>
        </w:rPr>
        <w:footnoteRef/>
      </w:r>
      <w:r>
        <w:t xml:space="preserve"> </w:t>
      </w:r>
      <w:r w:rsidRPr="003A1E0B">
        <w:rPr>
          <w:i/>
        </w:rPr>
        <w:t>See</w:t>
      </w:r>
      <w:r>
        <w:t xml:space="preserve">, </w:t>
      </w:r>
      <w:r w:rsidRPr="003A1E0B">
        <w:rPr>
          <w:i/>
        </w:rPr>
        <w:t>e.g</w:t>
      </w:r>
      <w:r>
        <w:t>., NAB Initial Comments</w:t>
      </w:r>
      <w:r w:rsidRPr="008B31A7">
        <w:t xml:space="preserve"> </w:t>
      </w:r>
      <w:r>
        <w:t xml:space="preserve">at 4-6;  NAB Jan. 24, 2006, Comments at 15-16;  </w:t>
      </w:r>
      <w:r>
        <w:rPr>
          <w:bCs/>
          <w:color w:val="000000"/>
        </w:rPr>
        <w:t>NSBA Jan. 24, 2006, Comments</w:t>
      </w:r>
      <w:r w:rsidRPr="00BB4077">
        <w:t xml:space="preserve"> at 17</w:t>
      </w:r>
      <w:r>
        <w:t xml:space="preserve">;  </w:t>
      </w:r>
      <w:r>
        <w:rPr>
          <w:bCs/>
          <w:color w:val="000000"/>
        </w:rPr>
        <w:t>NCTA Feb. 23, 2006, Reply Comments</w:t>
      </w:r>
      <w:r w:rsidRPr="00C7679B">
        <w:t xml:space="preserve"> at </w:t>
      </w:r>
      <w:r>
        <w:t>3-5;</w:t>
      </w:r>
      <w:r w:rsidRPr="00C7679B">
        <w:t xml:space="preserve"> </w:t>
      </w:r>
      <w:r>
        <w:rPr>
          <w:bCs/>
          <w:color w:val="000000"/>
        </w:rPr>
        <w:t>MSTV Jan. 24, 2006, Comments</w:t>
      </w:r>
      <w:r w:rsidRPr="00C7679B">
        <w:t xml:space="preserve"> at 12, n.28;</w:t>
      </w:r>
      <w:r>
        <w:t xml:space="preserve">  NCTA Dec. </w:t>
      </w:r>
      <w:r w:rsidRPr="008B31A7">
        <w:t>3, 200</w:t>
      </w:r>
      <w:r>
        <w:t>7, Comments at 7-10; NCTA May 28, 2014, Comments</w:t>
      </w:r>
      <w:r w:rsidRPr="00C7679B">
        <w:t xml:space="preserve"> at </w:t>
      </w:r>
      <w:r>
        <w:t xml:space="preserve">3-5; NAB 2014 Public Notice Comments at 10-11.  </w:t>
      </w:r>
      <w:r>
        <w:rPr>
          <w:kern w:val="3"/>
        </w:rPr>
        <w:t>For example, NCTA has pointed out that the two-minute duration of state and local EAS alert messages constrains the number of translations that can practically be included in any legacy EAS alert, while originating multiple alerts, each in a separate language, would likely result in EAS decoders rejecting of all but the initial version as duplicates.</w:t>
      </w:r>
      <w:r w:rsidRPr="009812E1">
        <w:rPr>
          <w:i/>
        </w:rPr>
        <w:t xml:space="preserve"> </w:t>
      </w:r>
      <w:r>
        <w:rPr>
          <w:i/>
        </w:rPr>
        <w:t xml:space="preserve"> </w:t>
      </w:r>
      <w:r w:rsidRPr="004807ED">
        <w:rPr>
          <w:i/>
        </w:rPr>
        <w:t>See</w:t>
      </w:r>
      <w:r>
        <w:t xml:space="preserve">, </w:t>
      </w:r>
      <w:r w:rsidRPr="004807ED">
        <w:rPr>
          <w:i/>
        </w:rPr>
        <w:t>e.g</w:t>
      </w:r>
      <w:r>
        <w:t xml:space="preserve">., </w:t>
      </w:r>
      <w:r>
        <w:rPr>
          <w:bCs/>
          <w:color w:val="000000"/>
        </w:rPr>
        <w:t xml:space="preserve">NCTA Feb. 23, 2006, Reply Comments at 3-5; </w:t>
      </w:r>
      <w:r>
        <w:t xml:space="preserve">NCTA Dec. </w:t>
      </w:r>
      <w:r w:rsidRPr="008B31A7">
        <w:t>3, 200</w:t>
      </w:r>
      <w:r>
        <w:t>7, Comments</w:t>
      </w:r>
      <w:r>
        <w:rPr>
          <w:bCs/>
          <w:color w:val="000000"/>
        </w:rPr>
        <w:t xml:space="preserve"> at 8-10.</w:t>
      </w:r>
    </w:p>
  </w:footnote>
  <w:footnote w:id="88">
    <w:p w:rsidR="00744B1B" w:rsidRPr="003E39D3" w:rsidRDefault="00744B1B" w:rsidP="00744B1B">
      <w:pPr>
        <w:pStyle w:val="FootnoteText"/>
      </w:pPr>
      <w:r>
        <w:rPr>
          <w:rStyle w:val="FootnoteReference"/>
        </w:rPr>
        <w:footnoteRef/>
      </w:r>
      <w:r>
        <w:t xml:space="preserve"> </w:t>
      </w:r>
      <w:r w:rsidRPr="003E39D3">
        <w:rPr>
          <w:i/>
        </w:rPr>
        <w:t>See</w:t>
      </w:r>
      <w:r w:rsidRPr="003E39D3">
        <w:t xml:space="preserve"> 5 U.S.C. § 603.  The RFA, </w:t>
      </w:r>
      <w:r w:rsidRPr="003E39D3">
        <w:rPr>
          <w:i/>
        </w:rPr>
        <w:t>see</w:t>
      </w:r>
      <w:r w:rsidRPr="003E39D3">
        <w:t xml:space="preserve"> 5 U.S.C. §§ 601-612, has been amended by the Small Business Enforcement Fairness Act of 1996 (SBREFA), Pub. L. No. 104-121, Title II, 110 Stat. 857 (1996).</w:t>
      </w:r>
    </w:p>
  </w:footnote>
  <w:footnote w:id="89">
    <w:p w:rsidR="00744B1B" w:rsidRDefault="00744B1B" w:rsidP="00744B1B">
      <w:pPr>
        <w:pStyle w:val="FootnoteText"/>
      </w:pPr>
      <w:r>
        <w:rPr>
          <w:rStyle w:val="FootnoteReference"/>
        </w:rPr>
        <w:footnoteRef/>
      </w:r>
      <w:r>
        <w:t xml:space="preserve"> </w:t>
      </w:r>
      <w:r w:rsidRPr="003E39D3">
        <w:rPr>
          <w:i/>
        </w:rPr>
        <w:t>See</w:t>
      </w:r>
      <w:r w:rsidRPr="003E39D3">
        <w:t xml:space="preserve"> Review of the Emergency Alert System, EB Docket No. 04-296, First Report and Order and Further Notice of Proposed Rulemaking, 20 FCC Rcd. 18625, Appendix E (2005) (</w:t>
      </w:r>
      <w:r w:rsidRPr="003E39D3">
        <w:rPr>
          <w:i/>
        </w:rPr>
        <w:t>First FNPRM</w:t>
      </w:r>
      <w:r w:rsidRPr="003E39D3">
        <w:t>).</w:t>
      </w:r>
    </w:p>
  </w:footnote>
  <w:footnote w:id="90">
    <w:p w:rsidR="00744B1B" w:rsidRPr="003E39D3" w:rsidRDefault="00744B1B" w:rsidP="00744B1B">
      <w:pPr>
        <w:pStyle w:val="FootnoteText"/>
      </w:pPr>
      <w:r>
        <w:rPr>
          <w:rStyle w:val="FootnoteReference"/>
        </w:rPr>
        <w:footnoteRef/>
      </w:r>
      <w:r>
        <w:t xml:space="preserve"> </w:t>
      </w:r>
      <w:r w:rsidRPr="003E39D3">
        <w:rPr>
          <w:i/>
        </w:rPr>
        <w:t>See</w:t>
      </w:r>
      <w:r w:rsidRPr="003E39D3">
        <w:t xml:space="preserve"> 5 U.S.C. §§ 601(3)–(6).</w:t>
      </w:r>
    </w:p>
  </w:footnote>
  <w:footnote w:id="91">
    <w:p w:rsidR="00744B1B" w:rsidRPr="003E39D3" w:rsidRDefault="00744B1B" w:rsidP="00744B1B">
      <w:pPr>
        <w:pStyle w:val="FootnoteText"/>
      </w:pPr>
      <w:r>
        <w:rPr>
          <w:rStyle w:val="FootnoteReference"/>
        </w:rPr>
        <w:footnoteRef/>
      </w:r>
      <w:r>
        <w:t xml:space="preserve"> </w:t>
      </w:r>
      <w:r w:rsidRPr="003E39D3">
        <w:rPr>
          <w:i/>
        </w:rPr>
        <w:t>See</w:t>
      </w:r>
      <w:r w:rsidRPr="003E39D3">
        <w:t xml:space="preserve"> SBA, Office of Advocacy, “Frequently Asked Questions,” http://web.sba.gov/faqs (showing figures are from </w:t>
      </w:r>
      <w:r w:rsidRPr="00CB2894">
        <w:t>March 2014</w:t>
      </w:r>
      <w:r w:rsidRPr="003E39D3">
        <w:t>).</w:t>
      </w:r>
    </w:p>
  </w:footnote>
  <w:footnote w:id="92">
    <w:p w:rsidR="00744B1B" w:rsidRPr="003E39D3" w:rsidRDefault="00744B1B" w:rsidP="00744B1B">
      <w:pPr>
        <w:pStyle w:val="FootnoteText"/>
      </w:pPr>
      <w:r w:rsidRPr="003E39D3">
        <w:rPr>
          <w:rStyle w:val="FootnoteReference"/>
        </w:rPr>
        <w:footnoteRef/>
      </w:r>
      <w:r w:rsidRPr="003E39D3">
        <w:t xml:space="preserve"> </w:t>
      </w:r>
      <w:r w:rsidRPr="003E39D3">
        <w:rPr>
          <w:spacing w:val="-2"/>
        </w:rPr>
        <w:t>5 U.S.C.</w:t>
      </w:r>
      <w:r w:rsidRPr="003E39D3">
        <w:t xml:space="preserve"> § 601(4).</w:t>
      </w:r>
    </w:p>
  </w:footnote>
  <w:footnote w:id="93">
    <w:p w:rsidR="00744B1B" w:rsidRPr="003E39D3" w:rsidRDefault="00744B1B" w:rsidP="00744B1B">
      <w:pPr>
        <w:pStyle w:val="FootnoteText"/>
      </w:pPr>
      <w:r w:rsidRPr="003E39D3">
        <w:rPr>
          <w:rStyle w:val="FootnoteReference"/>
        </w:rPr>
        <w:footnoteRef/>
      </w:r>
      <w:r w:rsidRPr="003E39D3">
        <w:t xml:space="preserve"> </w:t>
      </w:r>
      <w:r w:rsidRPr="003E39D3">
        <w:rPr>
          <w:smallCaps/>
        </w:rPr>
        <w:t>Independent Sector</w:t>
      </w:r>
      <w:r w:rsidRPr="003E39D3">
        <w:t xml:space="preserve">, </w:t>
      </w:r>
      <w:r w:rsidRPr="003E39D3">
        <w:rPr>
          <w:smallCaps/>
        </w:rPr>
        <w:t>The New Nonprofit Almanac &amp; Desk Reference</w:t>
      </w:r>
      <w:r w:rsidRPr="003E39D3">
        <w:t xml:space="preserve"> (2010).</w:t>
      </w:r>
    </w:p>
  </w:footnote>
  <w:footnote w:id="94">
    <w:p w:rsidR="00744B1B" w:rsidRPr="003E39D3" w:rsidRDefault="00744B1B" w:rsidP="00744B1B">
      <w:pPr>
        <w:pStyle w:val="FootnoteText"/>
      </w:pPr>
      <w:r w:rsidRPr="003E39D3">
        <w:rPr>
          <w:rStyle w:val="FootnoteReference"/>
          <w:spacing w:val="-2"/>
        </w:rPr>
        <w:footnoteRef/>
      </w:r>
      <w:r w:rsidRPr="003E39D3">
        <w:t xml:space="preserve"> 5 U.S.C. § 601(5).</w:t>
      </w:r>
    </w:p>
  </w:footnote>
  <w:footnote w:id="95">
    <w:p w:rsidR="00744B1B" w:rsidRPr="003E39D3" w:rsidRDefault="00744B1B" w:rsidP="00744B1B">
      <w:pPr>
        <w:pStyle w:val="FootnoteText"/>
      </w:pPr>
      <w:r w:rsidRPr="003E39D3">
        <w:rPr>
          <w:rStyle w:val="FootnoteReference"/>
          <w:spacing w:val="-2"/>
        </w:rPr>
        <w:footnoteRef/>
      </w:r>
      <w:r w:rsidRPr="003E39D3">
        <w:t xml:space="preserve"> </w:t>
      </w:r>
      <w:r w:rsidRPr="003E39D3">
        <w:rPr>
          <w:smallCaps/>
        </w:rPr>
        <w:t>U.S. Census Bureau, Statistical Abstract of the United States: 2011</w:t>
      </w:r>
      <w:r w:rsidRPr="003E39D3">
        <w:t xml:space="preserve">, Table 427 (2007) </w:t>
      </w:r>
    </w:p>
  </w:footnote>
  <w:footnote w:id="96">
    <w:p w:rsidR="00744B1B" w:rsidRPr="003E39D3" w:rsidRDefault="00744B1B" w:rsidP="00744B1B">
      <w:pPr>
        <w:pStyle w:val="FootnoteText"/>
      </w:pPr>
      <w:r w:rsidRPr="003E39D3">
        <w:rPr>
          <w:rStyle w:val="FootnoteReference"/>
        </w:rPr>
        <w:footnoteRef/>
      </w:r>
      <w:r w:rsidRPr="003E39D3">
        <w:t xml:space="preserve"> The 2007 U.S Census data for small governmental organizations are not presented based on the size of the population in each such organization. There were 89</w:t>
      </w:r>
      <w:r>
        <w:t>,</w:t>
      </w:r>
      <w:r w:rsidRPr="003E39D3">
        <w:t>476 small governmental organizations in 2007. If we assume that county, municipal, township and school district organizations are more likely than larger governmental organizations to have populations of 50,000 or less</w:t>
      </w:r>
      <w:r>
        <w:t xml:space="preserve">, </w:t>
      </w:r>
      <w:r w:rsidRPr="003E39D3">
        <w:t>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88,506 may be considered small under the applicable standard.  This data may overestimate the number of such organizations that ha</w:t>
      </w:r>
      <w:r>
        <w:t>ve</w:t>
      </w:r>
      <w:r w:rsidRPr="003E39D3">
        <w:t xml:space="preserve"> a population of 50,000 or less. </w:t>
      </w:r>
      <w:r w:rsidRPr="003E39D3">
        <w:rPr>
          <w:smallCaps/>
        </w:rPr>
        <w:t>U.S. Census Bureau, Statistical Abstract Of The United States 2011</w:t>
      </w:r>
      <w:r w:rsidRPr="003E39D3">
        <w:t>, Tables 427, 426 (Data cited therein are from 2007)</w:t>
      </w:r>
      <w:r w:rsidRPr="003E39D3">
        <w:rPr>
          <w:i/>
        </w:rPr>
        <w:t>.</w:t>
      </w:r>
    </w:p>
  </w:footnote>
  <w:footnote w:id="97">
    <w:p w:rsidR="00744B1B" w:rsidRPr="003E39D3" w:rsidRDefault="00744B1B" w:rsidP="00744B1B">
      <w:pPr>
        <w:pStyle w:val="FootnoteText"/>
      </w:pPr>
      <w:r w:rsidRPr="003E39D3">
        <w:rPr>
          <w:rStyle w:val="FootnoteReference"/>
        </w:rPr>
        <w:footnoteRef/>
      </w:r>
      <w:r w:rsidRPr="003E39D3">
        <w:t xml:space="preserve"> Television broadcasting stations with no more </w:t>
      </w:r>
      <w:r w:rsidRPr="00CC7ABB">
        <w:t>than $38.5 million</w:t>
      </w:r>
      <w:r w:rsidRPr="003E39D3">
        <w:t xml:space="preserve"> in annual receipts are considered a small business pursuant to the SBA’s standards.  </w:t>
      </w:r>
      <w:r w:rsidRPr="00CC7ABB">
        <w:rPr>
          <w:i/>
        </w:rPr>
        <w:t xml:space="preserve">See </w:t>
      </w:r>
      <w:r w:rsidRPr="00CC7ABB">
        <w:rPr>
          <w:smallCaps/>
        </w:rPr>
        <w:t>U. S. Small Business Administration</w:t>
      </w:r>
      <w:r w:rsidRPr="00CC7ABB">
        <w:t xml:space="preserve">, </w:t>
      </w:r>
      <w:r w:rsidRPr="00CC7ABB">
        <w:rPr>
          <w:smallCaps/>
        </w:rPr>
        <w:t>Table of Small Business Size Standards</w:t>
      </w:r>
      <w:r w:rsidRPr="00CC7ABB">
        <w:t xml:space="preserve">, </w:t>
      </w:r>
      <w:r w:rsidRPr="00CC7ABB">
        <w:rPr>
          <w:smallCaps/>
        </w:rPr>
        <w:t>Matched to North American Industry Classification System Codes</w:t>
      </w:r>
      <w:r w:rsidRPr="00CC7ABB">
        <w:t xml:space="preserve"> (July 14, 2014), </w:t>
      </w:r>
      <w:hyperlink r:id="rId7" w:history="1">
        <w:r w:rsidRPr="00CC7ABB">
          <w:rPr>
            <w:rStyle w:val="Hyperlink"/>
          </w:rPr>
          <w:t>https://www.sba.gov/sites/default/files/files/Size_Standards_Table.pdf</w:t>
        </w:r>
      </w:hyperlink>
      <w:r w:rsidRPr="00CC7ABB">
        <w:t xml:space="preserve"> (</w:t>
      </w:r>
      <w:r w:rsidRPr="00CC7ABB">
        <w:rPr>
          <w:i/>
        </w:rPr>
        <w:t>codified at</w:t>
      </w:r>
      <w:r w:rsidRPr="00CC7ABB">
        <w:t xml:space="preserve"> 13 C.F.R. </w:t>
      </w:r>
      <w:r w:rsidRPr="003E39D3">
        <w:t>§</w:t>
      </w:r>
      <w:r>
        <w:t xml:space="preserve"> </w:t>
      </w:r>
      <w:r w:rsidRPr="00CC7ABB">
        <w:t>121.201 (2015)</w:t>
      </w:r>
      <w:r>
        <w:t>.</w:t>
      </w:r>
    </w:p>
  </w:footnote>
  <w:footnote w:id="98">
    <w:p w:rsidR="00744B1B" w:rsidRPr="003E39D3" w:rsidRDefault="00744B1B" w:rsidP="00744B1B">
      <w:pPr>
        <w:pStyle w:val="FootnoteText"/>
      </w:pPr>
      <w:r w:rsidRPr="003E39D3">
        <w:rPr>
          <w:rStyle w:val="FootnoteReference"/>
        </w:rPr>
        <w:footnoteRef/>
      </w:r>
      <w:r w:rsidRPr="003E39D3">
        <w:t xml:space="preserve"> </w:t>
      </w:r>
      <w:r w:rsidRPr="003E39D3">
        <w:rPr>
          <w:i/>
        </w:rPr>
        <w:t>See</w:t>
      </w:r>
      <w:r w:rsidRPr="003E39D3">
        <w:t xml:space="preserve"> 13 C.F.R. § 121.201, NAICS Code 515120 (2007).</w:t>
      </w:r>
    </w:p>
  </w:footnote>
  <w:footnote w:id="99">
    <w:p w:rsidR="00744B1B" w:rsidRPr="003E39D3" w:rsidRDefault="00744B1B" w:rsidP="00744B1B">
      <w:pPr>
        <w:pStyle w:val="FootnoteText"/>
        <w:rPr>
          <w:i/>
        </w:rPr>
      </w:pPr>
      <w:r w:rsidRPr="003E39D3">
        <w:rPr>
          <w:rStyle w:val="FootnoteReference"/>
        </w:rPr>
        <w:footnoteRef/>
      </w:r>
      <w:r w:rsidRPr="003E39D3">
        <w:t xml:space="preserve"> </w:t>
      </w:r>
      <w:r w:rsidRPr="003E39D3">
        <w:rPr>
          <w:i/>
        </w:rPr>
        <w:t>Id.</w:t>
      </w:r>
    </w:p>
  </w:footnote>
  <w:footnote w:id="100">
    <w:p w:rsidR="00744B1B" w:rsidRPr="003E39D3" w:rsidRDefault="00744B1B" w:rsidP="00744B1B">
      <w:pPr>
        <w:pStyle w:val="FootnoteText"/>
        <w:rPr>
          <w:i/>
        </w:rPr>
      </w:pPr>
      <w:r w:rsidRPr="003E39D3">
        <w:rPr>
          <w:rStyle w:val="FootnoteReference"/>
        </w:rPr>
        <w:footnoteRef/>
      </w:r>
      <w:r w:rsidRPr="003E39D3">
        <w:t xml:space="preserve"> </w:t>
      </w:r>
      <w:r w:rsidRPr="003E39D3">
        <w:rPr>
          <w:i/>
        </w:rPr>
        <w:t>Id.</w:t>
      </w:r>
    </w:p>
  </w:footnote>
  <w:footnote w:id="101">
    <w:p w:rsidR="00744B1B" w:rsidRDefault="00744B1B" w:rsidP="00744B1B">
      <w:pPr>
        <w:pStyle w:val="FootnoteText"/>
        <w:rPr>
          <w:color w:val="000000"/>
        </w:rPr>
      </w:pPr>
      <w:r w:rsidRPr="003E39D3">
        <w:rPr>
          <w:rStyle w:val="FootnoteReference"/>
        </w:rPr>
        <w:footnoteRef/>
      </w:r>
      <w:r w:rsidRPr="003E39D3">
        <w:t xml:space="preserve"> </w:t>
      </w:r>
      <w:r w:rsidRPr="003E39D3">
        <w:rPr>
          <w:color w:val="000000"/>
        </w:rPr>
        <w:t xml:space="preserve">U.S. </w:t>
      </w:r>
      <w:r w:rsidRPr="003E39D3">
        <w:t>Census</w:t>
      </w:r>
      <w:r w:rsidRPr="003E39D3">
        <w:rPr>
          <w:color w:val="000000"/>
        </w:rPr>
        <w:t xml:space="preserve"> Bureau, 2007 NAICS Definitions, “515112 Radio Stations”; </w:t>
      </w:r>
      <w:hyperlink r:id="rId8" w:history="1">
        <w:r w:rsidRPr="003E39D3">
          <w:rPr>
            <w:rStyle w:val="Hyperlink"/>
          </w:rPr>
          <w:t>http://www.census.gov/cgi-bin/sssd/naics/naicsrch?code=515112&amp;search=2007 NAICS Search</w:t>
        </w:r>
      </w:hyperlink>
      <w:r w:rsidRPr="003E39D3">
        <w:rPr>
          <w:color w:val="000000"/>
        </w:rPr>
        <w:t>.</w:t>
      </w:r>
      <w:r>
        <w:rPr>
          <w:color w:val="000000"/>
        </w:rPr>
        <w:t xml:space="preserve"> </w:t>
      </w:r>
    </w:p>
  </w:footnote>
  <w:footnote w:id="102">
    <w:p w:rsidR="00744B1B" w:rsidRPr="003E39D3" w:rsidRDefault="00744B1B" w:rsidP="00744B1B">
      <w:pPr>
        <w:pStyle w:val="FootnoteText"/>
      </w:pPr>
      <w:r w:rsidRPr="003E39D3">
        <w:rPr>
          <w:rStyle w:val="FootnoteReference"/>
        </w:rPr>
        <w:footnoteRef/>
      </w:r>
      <w:r w:rsidRPr="003E39D3">
        <w:t xml:space="preserve"> News Release, </w:t>
      </w:r>
      <w:r w:rsidRPr="003E39D3">
        <w:rPr>
          <w:i/>
        </w:rPr>
        <w:t>Broadcast Station Totals as of March 31, 2013</w:t>
      </w:r>
      <w:r w:rsidRPr="003E39D3">
        <w:t xml:space="preserve"> (MB rel. Apr. 12, 2013) (“</w:t>
      </w:r>
      <w:r w:rsidRPr="003E39D3">
        <w:rPr>
          <w:i/>
        </w:rPr>
        <w:t>March 31, 2013 Broadcast Station Totals Press Release</w:t>
      </w:r>
      <w:r w:rsidRPr="003E39D3">
        <w:t xml:space="preserve">”), </w:t>
      </w:r>
      <w:r w:rsidRPr="003E39D3">
        <w:rPr>
          <w:i/>
        </w:rPr>
        <w:t xml:space="preserve">available at </w:t>
      </w:r>
      <w:hyperlink r:id="rId9" w:history="1">
        <w:r w:rsidRPr="003E39D3">
          <w:rPr>
            <w:rStyle w:val="Hyperlink"/>
          </w:rPr>
          <w:t>http://transition.fcc.gov/Daily_Releases/Daily_Business/2013/db0412/DOC-320138A1.pdf</w:t>
        </w:r>
      </w:hyperlink>
      <w:r w:rsidRPr="003E39D3">
        <w:t xml:space="preserve">. </w:t>
      </w:r>
    </w:p>
  </w:footnote>
  <w:footnote w:id="103">
    <w:p w:rsidR="00744B1B" w:rsidRPr="003E39D3" w:rsidRDefault="00744B1B" w:rsidP="00744B1B">
      <w:pPr>
        <w:pStyle w:val="FootnoteText"/>
      </w:pPr>
      <w:r w:rsidRPr="003E39D3">
        <w:rPr>
          <w:rStyle w:val="FootnoteReference"/>
        </w:rPr>
        <w:footnoteRef/>
      </w:r>
      <w:r w:rsidRPr="003E39D3">
        <w:t xml:space="preserve"> </w:t>
      </w:r>
      <w:r w:rsidRPr="003E39D3">
        <w:rPr>
          <w:i/>
        </w:rPr>
        <w:t>See</w:t>
      </w:r>
      <w:r w:rsidRPr="003E39D3">
        <w:t xml:space="preserve"> </w:t>
      </w:r>
      <w:r w:rsidRPr="003E39D3">
        <w:rPr>
          <w:i/>
        </w:rPr>
        <w:t>March 31, 2013 Broadcast Station Totals Press Release</w:t>
      </w:r>
      <w:r w:rsidRPr="003E39D3">
        <w:t>.</w:t>
      </w:r>
    </w:p>
  </w:footnote>
  <w:footnote w:id="104">
    <w:p w:rsidR="00744B1B" w:rsidRPr="003E39D3" w:rsidRDefault="00744B1B" w:rsidP="00744B1B">
      <w:pPr>
        <w:pStyle w:val="FootnoteText"/>
      </w:pPr>
      <w:r w:rsidRPr="003E39D3">
        <w:rPr>
          <w:rStyle w:val="FootnoteReference"/>
        </w:rPr>
        <w:footnoteRef/>
      </w:r>
      <w:r w:rsidRPr="003E39D3">
        <w:t xml:space="preserve"> “[Businesses] are affiliates of each other when one [business] controls or has the power to control the other, or a third party or parties controls or has the power to control both.”  13 C.F.R. § 121.103(a)(1).</w:t>
      </w:r>
    </w:p>
  </w:footnote>
  <w:footnote w:id="105">
    <w:p w:rsidR="00744B1B" w:rsidRPr="003E39D3" w:rsidRDefault="00744B1B" w:rsidP="00744B1B">
      <w:pPr>
        <w:pStyle w:val="FootnoteText"/>
      </w:pPr>
      <w:r w:rsidRPr="003E39D3">
        <w:rPr>
          <w:rStyle w:val="FootnoteReference"/>
        </w:rPr>
        <w:footnoteRef/>
      </w:r>
      <w:r w:rsidRPr="003E39D3">
        <w:t xml:space="preserve"> </w:t>
      </w:r>
      <w:r w:rsidRPr="003E39D3">
        <w:rPr>
          <w:color w:val="000000"/>
        </w:rPr>
        <w:t xml:space="preserve">U.S. Census Bureau, 2007 NAICS Definitions, “515112 Radio Stations”; </w:t>
      </w:r>
      <w:hyperlink r:id="rId10" w:history="1">
        <w:r w:rsidRPr="003E39D3">
          <w:rPr>
            <w:rStyle w:val="Hyperlink"/>
          </w:rPr>
          <w:t>http://www.census.gov/cgi-bin/sssd/naics/naicsrch?code=515112&amp;search=2007 NAICS Search</w:t>
        </w:r>
      </w:hyperlink>
      <w:r w:rsidRPr="003E39D3">
        <w:rPr>
          <w:color w:val="000000"/>
        </w:rPr>
        <w:t xml:space="preserve">. </w:t>
      </w:r>
      <w:r w:rsidRPr="003E39D3">
        <w:t xml:space="preserve"> </w:t>
      </w:r>
    </w:p>
  </w:footnote>
  <w:footnote w:id="106">
    <w:p w:rsidR="00744B1B" w:rsidRPr="003E39D3" w:rsidRDefault="00744B1B" w:rsidP="00744B1B">
      <w:pPr>
        <w:pStyle w:val="FootnoteText"/>
      </w:pPr>
      <w:r w:rsidRPr="003E39D3">
        <w:rPr>
          <w:rStyle w:val="FootnoteReference"/>
        </w:rPr>
        <w:footnoteRef/>
      </w:r>
      <w:r w:rsidRPr="003E39D3">
        <w:t xml:space="preserve"> </w:t>
      </w:r>
      <w:r w:rsidRPr="003E39D3">
        <w:rPr>
          <w:i/>
        </w:rPr>
        <w:t xml:space="preserve">See </w:t>
      </w:r>
      <w:r w:rsidRPr="003E39D3">
        <w:t xml:space="preserve">13 C.F.R. § 121.201, NAICS Code 515112.  </w:t>
      </w:r>
      <w:r w:rsidRPr="003E39D3">
        <w:rPr>
          <w:i/>
        </w:rPr>
        <w:t xml:space="preserve">See also </w:t>
      </w:r>
      <w:r w:rsidRPr="003E39D3">
        <w:t>Small Business Size Standards, 77 Fed. Reg. at 72704.</w:t>
      </w:r>
    </w:p>
  </w:footnote>
  <w:footnote w:id="107">
    <w:p w:rsidR="00744B1B" w:rsidRPr="003E39D3" w:rsidRDefault="00744B1B" w:rsidP="00744B1B">
      <w:pPr>
        <w:pStyle w:val="FootnoteText"/>
      </w:pPr>
      <w:r w:rsidRPr="003E39D3">
        <w:rPr>
          <w:rStyle w:val="FootnoteReference"/>
        </w:rPr>
        <w:footnoteRef/>
      </w:r>
      <w:r w:rsidRPr="003E39D3">
        <w:t xml:space="preserve"> </w:t>
      </w:r>
      <w:r w:rsidRPr="003E39D3">
        <w:rPr>
          <w:i/>
        </w:rPr>
        <w:t>March 31, 2013 Broadcast Station Totals Press Release</w:t>
      </w:r>
      <w:r w:rsidRPr="003E39D3">
        <w:t>.</w:t>
      </w:r>
    </w:p>
  </w:footnote>
  <w:footnote w:id="108">
    <w:p w:rsidR="00744B1B" w:rsidRDefault="00744B1B" w:rsidP="00744B1B">
      <w:pPr>
        <w:pStyle w:val="FootnoteText"/>
      </w:pPr>
      <w:r w:rsidRPr="003E39D3">
        <w:rPr>
          <w:rStyle w:val="FootnoteReference"/>
        </w:rPr>
        <w:footnoteRef/>
      </w:r>
      <w:r w:rsidRPr="003E39D3">
        <w:t xml:space="preserve"> “[Businesses] are affiliates of each other when one [business] controls or has the power to control the other or a third party or parties controls or has the power to control both.”  13 C.F.R. § 121.103(a)(1).</w:t>
      </w:r>
    </w:p>
  </w:footnote>
  <w:footnote w:id="109">
    <w:p w:rsidR="00744B1B" w:rsidRPr="003E39D3" w:rsidRDefault="00744B1B" w:rsidP="00744B1B">
      <w:pPr>
        <w:pStyle w:val="FootnoteText"/>
      </w:pPr>
      <w:r w:rsidRPr="007F6264">
        <w:rPr>
          <w:rStyle w:val="FootnoteReference"/>
        </w:rPr>
        <w:footnoteRef/>
      </w:r>
      <w:r w:rsidRPr="003E39D3">
        <w:t xml:space="preserve"> </w:t>
      </w:r>
      <w:r w:rsidRPr="003E39D3">
        <w:rPr>
          <w:i/>
        </w:rPr>
        <w:t>See</w:t>
      </w:r>
      <w:r w:rsidRPr="003E39D3">
        <w:t xml:space="preserve"> 13 C.F.R. § 121.102(b).</w:t>
      </w:r>
    </w:p>
  </w:footnote>
  <w:footnote w:id="110">
    <w:p w:rsidR="00744B1B" w:rsidRDefault="00744B1B" w:rsidP="00744B1B">
      <w:pPr>
        <w:autoSpaceDE w:val="0"/>
        <w:adjustRightInd w:val="0"/>
        <w:spacing w:after="120"/>
      </w:pPr>
      <w:r>
        <w:rPr>
          <w:rStyle w:val="FootnoteReference"/>
        </w:rPr>
        <w:footnoteRef/>
      </w:r>
      <w:r>
        <w:t xml:space="preserve"> </w:t>
      </w:r>
      <w:r w:rsidRPr="00033125">
        <w:rPr>
          <w:i/>
          <w:sz w:val="20"/>
        </w:rPr>
        <w:t>See</w:t>
      </w:r>
      <w:r w:rsidRPr="00033125">
        <w:rPr>
          <w:sz w:val="20"/>
        </w:rPr>
        <w:t xml:space="preserve"> U.S. Census Bureau, 2007 NAICS Definitions, 517110 Wired Telecommunications Carriers,</w:t>
      </w:r>
      <w:r>
        <w:rPr>
          <w:sz w:val="20"/>
        </w:rPr>
        <w:t xml:space="preserve"> </w:t>
      </w:r>
      <w:r w:rsidRPr="00033125">
        <w:rPr>
          <w:sz w:val="20"/>
        </w:rPr>
        <w:t>http://www.census.gov/cgi-bin/sssd/naics/naicsrch?code=517110&amp;search=2007 NAICS Search.</w:t>
      </w:r>
    </w:p>
  </w:footnote>
  <w:footnote w:id="111">
    <w:p w:rsidR="00744B1B" w:rsidRDefault="00744B1B" w:rsidP="00744B1B">
      <w:pPr>
        <w:pStyle w:val="FootnoteText"/>
      </w:pPr>
      <w:r>
        <w:rPr>
          <w:rStyle w:val="FootnoteReference"/>
        </w:rPr>
        <w:footnoteRef/>
      </w:r>
      <w:r>
        <w:t xml:space="preserve"> </w:t>
      </w:r>
      <w:r w:rsidRPr="00033125">
        <w:rPr>
          <w:i/>
        </w:rPr>
        <w:t>Id</w:t>
      </w:r>
      <w:r>
        <w:t>.</w:t>
      </w:r>
    </w:p>
  </w:footnote>
  <w:footnote w:id="112">
    <w:p w:rsidR="00744B1B" w:rsidRDefault="00744B1B" w:rsidP="00744B1B">
      <w:pPr>
        <w:pStyle w:val="FootnoteText"/>
      </w:pPr>
      <w:r>
        <w:rPr>
          <w:rStyle w:val="FootnoteReference"/>
        </w:rPr>
        <w:footnoteRef/>
      </w:r>
      <w:r>
        <w:t xml:space="preserve"> </w:t>
      </w:r>
      <w:r w:rsidRPr="00033125">
        <w:rPr>
          <w:i/>
        </w:rPr>
        <w:t>See id</w:t>
      </w:r>
      <w:r>
        <w:t>.</w:t>
      </w:r>
    </w:p>
  </w:footnote>
  <w:footnote w:id="113">
    <w:p w:rsidR="00744B1B" w:rsidRDefault="00744B1B" w:rsidP="00744B1B">
      <w:pPr>
        <w:pStyle w:val="FootnoteText"/>
      </w:pPr>
      <w:r>
        <w:rPr>
          <w:rStyle w:val="FootnoteReference"/>
        </w:rPr>
        <w:footnoteRef/>
      </w:r>
      <w:r>
        <w:t xml:space="preserve"> </w:t>
      </w:r>
      <w:r w:rsidRPr="00033125">
        <w:rPr>
          <w:i/>
        </w:rPr>
        <w:t>Id</w:t>
      </w:r>
      <w:r>
        <w:t>.</w:t>
      </w:r>
    </w:p>
  </w:footnote>
  <w:footnote w:id="114">
    <w:p w:rsidR="00744B1B" w:rsidRDefault="00744B1B" w:rsidP="00744B1B">
      <w:pPr>
        <w:pStyle w:val="FootnoteText"/>
      </w:pPr>
      <w:r>
        <w:rPr>
          <w:rStyle w:val="FootnoteReference"/>
        </w:rPr>
        <w:footnoteRef/>
      </w:r>
      <w:r>
        <w:t xml:space="preserve"> </w:t>
      </w:r>
      <w:r w:rsidRPr="00363433">
        <w:rPr>
          <w:i/>
        </w:rPr>
        <w:t>See</w:t>
      </w:r>
      <w:r>
        <w:t xml:space="preserve"> 13 C.F.R. § 121.201, NAICS Code 517110.</w:t>
      </w:r>
      <w:r w:rsidRPr="00033125">
        <w:rPr>
          <w:i/>
        </w:rPr>
        <w:t xml:space="preserve"> </w:t>
      </w:r>
    </w:p>
  </w:footnote>
  <w:footnote w:id="115">
    <w:p w:rsidR="00744B1B" w:rsidRDefault="00744B1B" w:rsidP="00744B1B">
      <w:pPr>
        <w:pStyle w:val="FootnoteText"/>
      </w:pPr>
      <w:r>
        <w:rPr>
          <w:rStyle w:val="FootnoteReference"/>
        </w:rPr>
        <w:footnoteRef/>
      </w:r>
      <w:r>
        <w:t xml:space="preserve"> </w:t>
      </w:r>
      <w:r w:rsidRPr="00033125">
        <w:rPr>
          <w:i/>
        </w:rPr>
        <w:t>See</w:t>
      </w:r>
      <w:r>
        <w:t xml:space="preserve"> </w:t>
      </w:r>
      <w:r w:rsidRPr="003E39D3">
        <w:t>U.S. Census Bureau, American FactFinder, “Information: Subject Series – Estab and Firm Size: Employment Size of Establishments for the United States: 2007 – 2007 Economic Census,” NAICS code 517110; available at</w:t>
      </w:r>
      <w:r>
        <w:t xml:space="preserve">, </w:t>
      </w:r>
      <w:r w:rsidRPr="009F11FB">
        <w:t>http://factfinder.census.gov/faces/tableservices/jsf/pages/productview.xhtml?pid=ECN_2007_US_51SSSZ5&amp;prodType=table</w:t>
      </w:r>
      <w:r>
        <w:t>.</w:t>
      </w:r>
    </w:p>
  </w:footnote>
  <w:footnote w:id="116">
    <w:p w:rsidR="00744B1B" w:rsidRDefault="00744B1B" w:rsidP="00744B1B">
      <w:pPr>
        <w:pStyle w:val="FootnoteText"/>
      </w:pPr>
      <w:r>
        <w:rPr>
          <w:rStyle w:val="FootnoteReference"/>
        </w:rPr>
        <w:footnoteRef/>
      </w:r>
      <w:r>
        <w:t xml:space="preserve"> </w:t>
      </w:r>
      <w:r w:rsidRPr="009F11FB">
        <w:rPr>
          <w:i/>
        </w:rPr>
        <w:t>See id</w:t>
      </w:r>
      <w:r>
        <w:t>.</w:t>
      </w:r>
    </w:p>
  </w:footnote>
  <w:footnote w:id="117">
    <w:p w:rsidR="00744B1B" w:rsidRDefault="00744B1B" w:rsidP="00744B1B">
      <w:pPr>
        <w:pStyle w:val="FootnoteText"/>
      </w:pPr>
      <w:r>
        <w:rPr>
          <w:rStyle w:val="FootnoteReference"/>
        </w:rPr>
        <w:footnoteRef/>
      </w:r>
      <w:r>
        <w:t xml:space="preserve"> </w:t>
      </w:r>
      <w:r>
        <w:rPr>
          <w:i/>
        </w:rPr>
        <w:t xml:space="preserve">Id. </w:t>
      </w:r>
    </w:p>
  </w:footnote>
  <w:footnote w:id="118">
    <w:p w:rsidR="00744B1B" w:rsidRPr="003E39D3" w:rsidRDefault="00744B1B" w:rsidP="00744B1B">
      <w:pPr>
        <w:pStyle w:val="FootnoteText"/>
        <w:spacing w:line="120" w:lineRule="atLeast"/>
      </w:pPr>
      <w:r w:rsidRPr="007F6264">
        <w:rPr>
          <w:rStyle w:val="FootnoteReference"/>
        </w:rPr>
        <w:footnoteRef/>
      </w:r>
      <w:r w:rsidRPr="003E39D3">
        <w:t xml:space="preserve"> </w:t>
      </w:r>
      <w:r w:rsidRPr="00CF54F4">
        <w:rPr>
          <w:i/>
        </w:rPr>
        <w:t>See id</w:t>
      </w:r>
      <w:r w:rsidRPr="003E39D3">
        <w:rPr>
          <w:bCs/>
        </w:rPr>
        <w:t>.  Examples of this category are: broadband Internet service providers (</w:t>
      </w:r>
      <w:r w:rsidRPr="003E39D3">
        <w:rPr>
          <w:bCs/>
          <w:i/>
        </w:rPr>
        <w:t>e.g.</w:t>
      </w:r>
      <w:r w:rsidRPr="003E39D3">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19">
    <w:p w:rsidR="00744B1B" w:rsidRPr="003E39D3" w:rsidRDefault="00744B1B" w:rsidP="00744B1B">
      <w:pPr>
        <w:pStyle w:val="FootnoteText"/>
        <w:rPr>
          <w:lang w:val="fr-FR"/>
        </w:rPr>
      </w:pPr>
      <w:r w:rsidRPr="007F6264">
        <w:rPr>
          <w:rStyle w:val="FootnoteReference"/>
        </w:rPr>
        <w:footnoteRef/>
      </w:r>
      <w:r w:rsidRPr="003E39D3">
        <w:rPr>
          <w:lang w:val="fr-FR"/>
        </w:rPr>
        <w:t xml:space="preserve"> </w:t>
      </w:r>
      <w:r w:rsidRPr="009F11FB">
        <w:rPr>
          <w:i/>
        </w:rPr>
        <w:t>See supra</w:t>
      </w:r>
      <w:r>
        <w:t xml:space="preserve"> note 28.</w:t>
      </w:r>
    </w:p>
  </w:footnote>
  <w:footnote w:id="120">
    <w:p w:rsidR="00744B1B" w:rsidRDefault="00744B1B" w:rsidP="00744B1B">
      <w:pPr>
        <w:pStyle w:val="FootnoteText"/>
      </w:pPr>
      <w:r>
        <w:rPr>
          <w:rStyle w:val="FootnoteReference"/>
        </w:rPr>
        <w:footnoteRef/>
      </w:r>
      <w:r>
        <w:t xml:space="preserve"> </w:t>
      </w:r>
      <w:r w:rsidRPr="00033125">
        <w:rPr>
          <w:i/>
        </w:rPr>
        <w:t>See</w:t>
      </w:r>
      <w:r>
        <w:t xml:space="preserve"> </w:t>
      </w:r>
      <w:r w:rsidRPr="009F11FB">
        <w:rPr>
          <w:i/>
        </w:rPr>
        <w:t>supra</w:t>
      </w:r>
      <w:r>
        <w:t xml:space="preserve"> note 29. </w:t>
      </w:r>
    </w:p>
  </w:footnote>
  <w:footnote w:id="121">
    <w:p w:rsidR="00744B1B" w:rsidRDefault="00744B1B" w:rsidP="00744B1B">
      <w:pPr>
        <w:pStyle w:val="FootnoteText"/>
      </w:pPr>
      <w:r>
        <w:rPr>
          <w:rStyle w:val="FootnoteReference"/>
        </w:rPr>
        <w:footnoteRef/>
      </w:r>
      <w:r>
        <w:t xml:space="preserve"> </w:t>
      </w:r>
      <w:r w:rsidRPr="009F11FB">
        <w:rPr>
          <w:i/>
        </w:rPr>
        <w:t>See id</w:t>
      </w:r>
      <w:r>
        <w:t>.</w:t>
      </w:r>
    </w:p>
  </w:footnote>
  <w:footnote w:id="122">
    <w:p w:rsidR="00744B1B" w:rsidRDefault="00744B1B" w:rsidP="00744B1B">
      <w:pPr>
        <w:pStyle w:val="FootnoteText"/>
      </w:pPr>
      <w:r>
        <w:rPr>
          <w:rStyle w:val="FootnoteReference"/>
        </w:rPr>
        <w:footnoteRef/>
      </w:r>
      <w:r>
        <w:t xml:space="preserve"> 47.C.F.R 76.901 (e )</w:t>
      </w:r>
    </w:p>
  </w:footnote>
  <w:footnote w:id="123">
    <w:p w:rsidR="00744B1B" w:rsidRDefault="00744B1B" w:rsidP="00744B1B">
      <w:pPr>
        <w:pStyle w:val="FootnoteText"/>
      </w:pPr>
      <w:r>
        <w:rPr>
          <w:rStyle w:val="FootnoteReference"/>
        </w:rPr>
        <w:footnoteRef/>
      </w:r>
      <w:r>
        <w:t xml:space="preserve"> </w:t>
      </w:r>
      <w:r w:rsidRPr="006568B4">
        <w:t xml:space="preserve">The number of active, registered cable systems comes from the Commission’s Cable Operations and Licensing System (COALS) database on August 15, 2015.  </w:t>
      </w:r>
      <w:r w:rsidRPr="006568B4">
        <w:rPr>
          <w:i/>
        </w:rPr>
        <w:t>See</w:t>
      </w:r>
      <w:r w:rsidRPr="006568B4">
        <w:t xml:space="preserve"> www.fcc.gov/coals.</w:t>
      </w:r>
    </w:p>
  </w:footnote>
  <w:footnote w:id="124">
    <w:p w:rsidR="00744B1B" w:rsidRDefault="00744B1B" w:rsidP="00744B1B">
      <w:pPr>
        <w:pStyle w:val="FootnoteText"/>
      </w:pPr>
      <w:r>
        <w:rPr>
          <w:rStyle w:val="FootnoteReference"/>
        </w:rPr>
        <w:footnoteRef/>
      </w:r>
      <w:r>
        <w:t xml:space="preserve"> </w:t>
      </w:r>
      <w:r w:rsidRPr="009944EC">
        <w:rPr>
          <w:i/>
        </w:rPr>
        <w:t>See</w:t>
      </w:r>
      <w:r w:rsidRPr="009944EC">
        <w:t xml:space="preserve"> SNL KAGAN, htpps://www.snl.com/Interactivex/TopCable MSOs.aspx.</w:t>
      </w:r>
    </w:p>
  </w:footnote>
  <w:footnote w:id="125">
    <w:p w:rsidR="00744B1B" w:rsidRDefault="00744B1B" w:rsidP="00744B1B">
      <w:pPr>
        <w:pStyle w:val="FootnoteText"/>
      </w:pPr>
      <w:r>
        <w:rPr>
          <w:rStyle w:val="FootnoteReference"/>
        </w:rPr>
        <w:footnoteRef/>
      </w:r>
      <w:r>
        <w:t xml:space="preserve"> </w:t>
      </w:r>
      <w:r w:rsidRPr="009944EC">
        <w:rPr>
          <w:i/>
        </w:rPr>
        <w:t>See</w:t>
      </w:r>
      <w:r>
        <w:t xml:space="preserve"> 47 C.F.R 76.901(c).</w:t>
      </w:r>
    </w:p>
  </w:footnote>
  <w:footnote w:id="126">
    <w:p w:rsidR="00744B1B" w:rsidRDefault="00744B1B" w:rsidP="00744B1B">
      <w:pPr>
        <w:pStyle w:val="FootnoteText"/>
      </w:pPr>
      <w:r>
        <w:rPr>
          <w:rStyle w:val="FootnoteReference"/>
        </w:rPr>
        <w:footnoteRef/>
      </w:r>
      <w:r>
        <w:t xml:space="preserve"> </w:t>
      </w:r>
      <w:r w:rsidRPr="000F1D15">
        <w:rPr>
          <w:i/>
        </w:rPr>
        <w:t>See</w:t>
      </w:r>
      <w:r>
        <w:t xml:space="preserve"> </w:t>
      </w:r>
      <w:r w:rsidRPr="000F1D15">
        <w:rPr>
          <w:i/>
        </w:rPr>
        <w:t>supra</w:t>
      </w:r>
      <w:r>
        <w:t xml:space="preserve"> note 28.</w:t>
      </w:r>
    </w:p>
  </w:footnote>
  <w:footnote w:id="127">
    <w:p w:rsidR="00744B1B" w:rsidRDefault="00744B1B" w:rsidP="00744B1B">
      <w:pPr>
        <w:pStyle w:val="FootnoteText"/>
      </w:pPr>
      <w:r>
        <w:rPr>
          <w:rStyle w:val="FootnoteReference"/>
        </w:rPr>
        <w:footnoteRef/>
      </w:r>
      <w:r>
        <w:t xml:space="preserve"> </w:t>
      </w:r>
      <w:r w:rsidRPr="000F1D15">
        <w:rPr>
          <w:i/>
        </w:rPr>
        <w:t>See</w:t>
      </w:r>
      <w:r>
        <w:t xml:space="preserve"> </w:t>
      </w:r>
      <w:r w:rsidRPr="000F1D15">
        <w:rPr>
          <w:i/>
        </w:rPr>
        <w:t>supra</w:t>
      </w:r>
      <w:r>
        <w:t xml:space="preserve"> note 38.</w:t>
      </w:r>
    </w:p>
  </w:footnote>
  <w:footnote w:id="128">
    <w:p w:rsidR="00744B1B" w:rsidRDefault="00744B1B" w:rsidP="00744B1B">
      <w:pPr>
        <w:pStyle w:val="FootnoteText"/>
      </w:pPr>
      <w:r>
        <w:rPr>
          <w:rStyle w:val="FootnoteReference"/>
        </w:rPr>
        <w:footnoteRef/>
      </w:r>
      <w:r>
        <w:t xml:space="preserve"> </w:t>
      </w:r>
      <w:r w:rsidRPr="003E39D3">
        <w:t xml:space="preserve">47 U.S.C. § 543(m)(2); 47 C.F.R. § 76.901(f) </w:t>
      </w:r>
      <w:r>
        <w:t>and</w:t>
      </w:r>
      <w:r w:rsidRPr="003E39D3">
        <w:t xml:space="preserve"> nn. 1-3.</w:t>
      </w:r>
    </w:p>
  </w:footnote>
  <w:footnote w:id="129">
    <w:p w:rsidR="00744B1B" w:rsidRDefault="00744B1B" w:rsidP="00744B1B">
      <w:pPr>
        <w:pStyle w:val="FootnoteText"/>
      </w:pPr>
      <w:r>
        <w:rPr>
          <w:rStyle w:val="FootnoteReference"/>
        </w:rPr>
        <w:footnoteRef/>
      </w:r>
      <w:r w:rsidRPr="001D183F">
        <w:t xml:space="preserve"> </w:t>
      </w:r>
      <w:r w:rsidRPr="006568B4">
        <w:rPr>
          <w:i/>
        </w:rPr>
        <w:t>See</w:t>
      </w:r>
      <w:r w:rsidRPr="006568B4">
        <w:t xml:space="preserve"> SNL KAGAN</w:t>
      </w:r>
      <w:r>
        <w:t>,</w:t>
      </w:r>
      <w:r w:rsidRPr="006568B4">
        <w:t xml:space="preserve"> htpps://www.snl.com/interactivex/MultichannelIndustryBenchmarks.aspx</w:t>
      </w:r>
      <w:r>
        <w:t>.</w:t>
      </w:r>
    </w:p>
  </w:footnote>
  <w:footnote w:id="130">
    <w:p w:rsidR="00744B1B" w:rsidRDefault="00744B1B" w:rsidP="00744B1B">
      <w:pPr>
        <w:pStyle w:val="FootnoteText"/>
      </w:pPr>
      <w:r>
        <w:rPr>
          <w:rStyle w:val="FootnoteReference"/>
        </w:rPr>
        <w:footnoteRef/>
      </w:r>
      <w:r>
        <w:t xml:space="preserve"> </w:t>
      </w:r>
      <w:r w:rsidRPr="007042FD">
        <w:rPr>
          <w:i/>
        </w:rPr>
        <w:t>See</w:t>
      </w:r>
      <w:r w:rsidRPr="007042FD">
        <w:t xml:space="preserve"> 47 § C.F.R 901(f), nn ff. 1, 2, and 3</w:t>
      </w:r>
      <w:r w:rsidRPr="001D183F">
        <w:t>.</w:t>
      </w:r>
    </w:p>
  </w:footnote>
  <w:footnote w:id="131">
    <w:p w:rsidR="00744B1B" w:rsidRDefault="00744B1B" w:rsidP="00744B1B">
      <w:pPr>
        <w:pStyle w:val="FootnoteText"/>
      </w:pPr>
      <w:r>
        <w:rPr>
          <w:rStyle w:val="FootnoteReference"/>
        </w:rPr>
        <w:footnoteRef/>
      </w:r>
      <w:r>
        <w:t xml:space="preserve"> </w:t>
      </w:r>
      <w:r w:rsidRPr="007042FD">
        <w:rPr>
          <w:i/>
        </w:rPr>
        <w:t>See</w:t>
      </w:r>
      <w:r w:rsidRPr="007042FD">
        <w:t xml:space="preserve"> SNL KAGAN, htpps://www.snl.com/Interactivex/TopCable MSOs.aspx</w:t>
      </w:r>
    </w:p>
  </w:footnote>
  <w:footnote w:id="132">
    <w:p w:rsidR="00744B1B" w:rsidRDefault="00744B1B" w:rsidP="00744B1B">
      <w:pPr>
        <w:pStyle w:val="FootnoteText"/>
      </w:pPr>
      <w:r>
        <w:rPr>
          <w:rStyle w:val="FootnoteReference"/>
        </w:rPr>
        <w:footnoteRef/>
      </w:r>
      <w:r>
        <w:t xml:space="preserve"> </w:t>
      </w:r>
      <w:r w:rsidRPr="001D183F">
        <w:t xml:space="preserve">The Commission does receive such information on a case-by-case basis if a cable operator appeals a local franchise </w:t>
      </w:r>
      <w:r w:rsidRPr="003E39D3">
        <w:t>authority’s</w:t>
      </w:r>
      <w:r w:rsidRPr="001D183F">
        <w:t xml:space="preserve"> finding that the operator does not qualify as a small cable operator pursuant to § 76.901(f) of the </w:t>
      </w:r>
      <w:r w:rsidRPr="003E39D3">
        <w:t>Commission’s</w:t>
      </w:r>
      <w:r w:rsidRPr="001D183F">
        <w:t xml:space="preserve"> rules. </w:t>
      </w:r>
      <w:r w:rsidRPr="007042FD">
        <w:rPr>
          <w:i/>
        </w:rPr>
        <w:t>See</w:t>
      </w:r>
      <w:r w:rsidRPr="001D183F">
        <w:t xml:space="preserve"> 47 C.F.R. § 76.901(f).</w:t>
      </w:r>
    </w:p>
  </w:footnote>
  <w:footnote w:id="133">
    <w:p w:rsidR="00744B1B" w:rsidRPr="003E39D3" w:rsidRDefault="00744B1B" w:rsidP="00744B1B">
      <w:pPr>
        <w:pStyle w:val="FootnoteText"/>
      </w:pPr>
      <w:r w:rsidRPr="007F6264">
        <w:rPr>
          <w:rStyle w:val="FootnoteReference"/>
        </w:rPr>
        <w:footnoteRef/>
      </w:r>
      <w:r w:rsidRPr="003E39D3">
        <w:rPr>
          <w:i/>
        </w:rPr>
        <w:t xml:space="preserve"> </w:t>
      </w:r>
      <w:r w:rsidRPr="003E39D3">
        <w:t xml:space="preserve">Amendment of Parts 21 and 74 of the Commission’s Rules with Regard to Filing Procedures in the Multipoint Distribution Service and in the Instructional Television Fixed Service, MM Dkt. No. 94-131, </w:t>
      </w:r>
      <w:r w:rsidRPr="003E39D3">
        <w:rPr>
          <w:i/>
        </w:rPr>
        <w:t>Report and Order</w:t>
      </w:r>
      <w:r w:rsidRPr="003E39D3">
        <w:t>, 10 FCC Rcd 9589, 9593 ¶ 7 (1995).</w:t>
      </w:r>
    </w:p>
  </w:footnote>
  <w:footnote w:id="134">
    <w:p w:rsidR="00744B1B" w:rsidRPr="003E39D3" w:rsidRDefault="00744B1B" w:rsidP="00744B1B">
      <w:pPr>
        <w:pStyle w:val="FootnoteText"/>
      </w:pPr>
      <w:r w:rsidRPr="007F6264">
        <w:rPr>
          <w:rStyle w:val="FootnoteReference"/>
        </w:rPr>
        <w:footnoteRef/>
      </w:r>
      <w:r w:rsidRPr="003E39D3">
        <w:t xml:space="preserve"> </w:t>
      </w:r>
      <w:r w:rsidRPr="003E39D3">
        <w:rPr>
          <w:i/>
        </w:rPr>
        <w:t xml:space="preserve">Id. </w:t>
      </w:r>
      <w:r w:rsidRPr="003E39D3">
        <w:t xml:space="preserve">at 9670-73, </w:t>
      </w:r>
      <w:r w:rsidRPr="003E39D3">
        <w:rPr>
          <w:rStyle w:val="Footnote"/>
        </w:rPr>
        <w:t>¶¶ 190-92</w:t>
      </w:r>
      <w:r w:rsidRPr="003E39D3">
        <w:t>.</w:t>
      </w:r>
    </w:p>
  </w:footnote>
  <w:footnote w:id="135">
    <w:p w:rsidR="00744B1B" w:rsidRPr="003E39D3" w:rsidRDefault="00744B1B" w:rsidP="00744B1B">
      <w:pPr>
        <w:pStyle w:val="FootnoteText"/>
      </w:pPr>
      <w:r w:rsidRPr="007F6264">
        <w:rPr>
          <w:rStyle w:val="FootnoteReference"/>
        </w:rPr>
        <w:footnoteRef/>
      </w:r>
      <w:r w:rsidRPr="003E39D3">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36">
    <w:p w:rsidR="00744B1B" w:rsidRPr="003E39D3" w:rsidRDefault="00744B1B" w:rsidP="00744B1B">
      <w:pPr>
        <w:pStyle w:val="FootnoteText"/>
      </w:pPr>
      <w:r w:rsidRPr="007F6264">
        <w:rPr>
          <w:rStyle w:val="FootnoteReference"/>
        </w:rPr>
        <w:footnoteRef/>
      </w:r>
      <w:r w:rsidRPr="003E39D3">
        <w:rPr>
          <w:i/>
        </w:rPr>
        <w:t xml:space="preserve"> </w:t>
      </w:r>
      <w:r w:rsidRPr="003E39D3">
        <w:t xml:space="preserve">Auction of Broadband Radio Service (BRS) Licenses, Scheduled for October 27, 2009, Notice and Filing Requirements, Minimum Opening Bids, Upfront Payments, and Other Procedures for Auction 86, </w:t>
      </w:r>
      <w:r w:rsidRPr="003E39D3">
        <w:rPr>
          <w:i/>
        </w:rPr>
        <w:t>Public Notice</w:t>
      </w:r>
      <w:r w:rsidRPr="003E39D3">
        <w:t>, 24 FCC Rcd 8277 (2009).</w:t>
      </w:r>
    </w:p>
  </w:footnote>
  <w:footnote w:id="137">
    <w:p w:rsidR="00744B1B" w:rsidRPr="003E39D3" w:rsidRDefault="00744B1B" w:rsidP="00744B1B">
      <w:pPr>
        <w:pStyle w:val="FootnoteText"/>
      </w:pPr>
      <w:r w:rsidRPr="007F6264">
        <w:rPr>
          <w:rStyle w:val="FootnoteReference"/>
        </w:rPr>
        <w:footnoteRef/>
      </w:r>
      <w:r w:rsidRPr="003E39D3">
        <w:rPr>
          <w:i/>
        </w:rPr>
        <w:t xml:space="preserve"> Id.</w:t>
      </w:r>
      <w:r w:rsidRPr="003E39D3">
        <w:t xml:space="preserve"> at 8296 ¶ 73.</w:t>
      </w:r>
    </w:p>
  </w:footnote>
  <w:footnote w:id="138">
    <w:p w:rsidR="00744B1B" w:rsidRPr="003E39D3" w:rsidRDefault="00744B1B" w:rsidP="00744B1B">
      <w:pPr>
        <w:pStyle w:val="FootnoteText"/>
      </w:pPr>
      <w:r w:rsidRPr="007F6264">
        <w:rPr>
          <w:rStyle w:val="FootnoteReference"/>
        </w:rPr>
        <w:footnoteRef/>
      </w:r>
      <w:r w:rsidRPr="003E39D3">
        <w:rPr>
          <w:i/>
        </w:rPr>
        <w:t xml:space="preserve"> </w:t>
      </w:r>
      <w:r w:rsidRPr="003E39D3">
        <w:t xml:space="preserve">Auction of Broadband Radio Service Licenses Closes, Winning Bidders Announced for Auction 86, </w:t>
      </w:r>
      <w:r w:rsidRPr="003E39D3">
        <w:rPr>
          <w:i/>
        </w:rPr>
        <w:t>Public Notice</w:t>
      </w:r>
      <w:r w:rsidRPr="003E39D3">
        <w:t>, 24 FCC Rcd 13572 (2009).</w:t>
      </w:r>
    </w:p>
  </w:footnote>
  <w:footnote w:id="139">
    <w:p w:rsidR="00744B1B" w:rsidRPr="003E39D3" w:rsidRDefault="00744B1B" w:rsidP="00744B1B">
      <w:pPr>
        <w:pStyle w:val="FootnoteText"/>
        <w:spacing w:line="120" w:lineRule="atLeast"/>
      </w:pPr>
      <w:r w:rsidRPr="007F6264">
        <w:rPr>
          <w:rStyle w:val="FootnoteReference"/>
        </w:rPr>
        <w:footnoteRef/>
      </w:r>
      <w:r w:rsidRPr="003E39D3">
        <w:t xml:space="preserve"> U.S. Census Bureau, 2012 NAICS Definitions, “</w:t>
      </w:r>
      <w:r w:rsidRPr="003E39D3">
        <w:rPr>
          <w:bCs/>
        </w:rPr>
        <w:t xml:space="preserve">517110 Wired Telecommunications Carriers” (partial definition) at </w:t>
      </w:r>
      <w:hyperlink r:id="rId11" w:history="1">
        <w:r w:rsidRPr="003E39D3">
          <w:rPr>
            <w:rStyle w:val="Hyperlink"/>
          </w:rPr>
          <w:t>http://www.census.gov/cgi-bin/sssd/naics/naicsrch</w:t>
        </w:r>
      </w:hyperlink>
      <w:r w:rsidRPr="003E39D3">
        <w:rPr>
          <w:bCs/>
        </w:rPr>
        <w:t>.  Examples of this category are: broadband Internet service providers (</w:t>
      </w:r>
      <w:r w:rsidRPr="003E39D3">
        <w:rPr>
          <w:bCs/>
          <w:i/>
        </w:rPr>
        <w:t>e.g.</w:t>
      </w:r>
      <w:r w:rsidRPr="003E39D3">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140">
    <w:p w:rsidR="00744B1B" w:rsidRPr="003E39D3" w:rsidRDefault="00744B1B" w:rsidP="00744B1B">
      <w:pPr>
        <w:pStyle w:val="FootnoteText"/>
        <w:rPr>
          <w:lang w:val="fr-FR"/>
        </w:rPr>
      </w:pPr>
      <w:r w:rsidRPr="007F6264">
        <w:rPr>
          <w:rStyle w:val="FootnoteReference"/>
        </w:rPr>
        <w:footnoteRef/>
      </w:r>
      <w:r w:rsidRPr="003E39D3">
        <w:rPr>
          <w:lang w:val="fr-FR"/>
        </w:rPr>
        <w:t xml:space="preserve"> 13 C.F.R. § 121.201; 2012 NAICS code 517110.</w:t>
      </w:r>
    </w:p>
  </w:footnote>
  <w:footnote w:id="141">
    <w:p w:rsidR="00744B1B" w:rsidRDefault="00744B1B" w:rsidP="00744B1B">
      <w:pPr>
        <w:pStyle w:val="FootnoteText"/>
      </w:pPr>
      <w:r>
        <w:rPr>
          <w:rStyle w:val="FootnoteReference"/>
        </w:rPr>
        <w:footnoteRef/>
      </w:r>
      <w:r>
        <w:t xml:space="preserve"> </w:t>
      </w:r>
      <w:r w:rsidRPr="00033125">
        <w:rPr>
          <w:i/>
        </w:rPr>
        <w:t>See</w:t>
      </w:r>
      <w:r>
        <w:t xml:space="preserve"> </w:t>
      </w:r>
      <w:r w:rsidRPr="003E39D3">
        <w:t>U.S. Census Bureau, American FactFinder, “Information: Subject Series – Estab and Firm Size: Employment Size of Establishments for the United States: 2007 – 2007 Economic Census,” NAICS code 517110; available at</w:t>
      </w:r>
      <w:r>
        <w:t xml:space="preserve">, </w:t>
      </w:r>
      <w:r w:rsidRPr="009F11FB">
        <w:t>http://factfinder.census.gov/faces/tableservices/jsf/pages/productview.xhtml?pid=ECN_2007_US_51SSSZ5&amp;prodType=table</w:t>
      </w:r>
      <w:r>
        <w:t xml:space="preserve">. </w:t>
      </w:r>
    </w:p>
  </w:footnote>
  <w:footnote w:id="142">
    <w:p w:rsidR="00744B1B" w:rsidRDefault="00744B1B" w:rsidP="00744B1B">
      <w:pPr>
        <w:pStyle w:val="FootnoteText"/>
      </w:pPr>
      <w:r>
        <w:rPr>
          <w:rStyle w:val="FootnoteReference"/>
        </w:rPr>
        <w:footnoteRef/>
      </w:r>
      <w:r>
        <w:t xml:space="preserve"> </w:t>
      </w:r>
      <w:r w:rsidRPr="009F11FB">
        <w:rPr>
          <w:i/>
        </w:rPr>
        <w:t>See id</w:t>
      </w:r>
      <w:r>
        <w:t>.</w:t>
      </w:r>
    </w:p>
  </w:footnote>
  <w:footnote w:id="143">
    <w:p w:rsidR="00744B1B" w:rsidRPr="003E39D3" w:rsidRDefault="00744B1B" w:rsidP="00744B1B">
      <w:pPr>
        <w:pStyle w:val="FootnoteText"/>
      </w:pPr>
      <w:r w:rsidRPr="007F6264">
        <w:rPr>
          <w:rStyle w:val="FootnoteReference"/>
        </w:rPr>
        <w:footnoteRef/>
      </w:r>
      <w:r w:rsidRPr="003E39D3">
        <w:t xml:space="preserve"> </w:t>
      </w:r>
      <w:r w:rsidRPr="00252FCA">
        <w:rPr>
          <w:i/>
        </w:rPr>
        <w:t>See</w:t>
      </w:r>
      <w:r w:rsidRPr="003E39D3">
        <w:t xml:space="preserve"> http://wireless2.fcc.gov/UlsApp/UlsSearch/results.jsp;JSESSIONID_ULSSEARCH=wJ50JkbCQKvNWBJjv1s0ZZWQQs1FnmNDjQwvSHsDG2FHSyGV6hdf!203694623!-701794836</w:t>
      </w:r>
      <w:r>
        <w:t>.</w:t>
      </w:r>
    </w:p>
  </w:footnote>
  <w:footnote w:id="144">
    <w:p w:rsidR="00744B1B" w:rsidRPr="003E39D3" w:rsidRDefault="00744B1B" w:rsidP="00744B1B">
      <w:pPr>
        <w:pStyle w:val="FootnoteText"/>
        <w:spacing w:line="120" w:lineRule="atLeast"/>
      </w:pPr>
      <w:r w:rsidRPr="007F6264">
        <w:rPr>
          <w:rStyle w:val="FootnoteReference"/>
        </w:rPr>
        <w:footnoteRef/>
      </w:r>
      <w:r w:rsidRPr="003E39D3">
        <w:t xml:space="preserve"> The term “small entity” within SBREFA applies to small organizations (non-profits) and to small governmental jurisdictions (</w:t>
      </w:r>
      <w:r w:rsidRPr="003E39D3">
        <w:rPr>
          <w:bCs/>
        </w:rPr>
        <w:t>cities</w:t>
      </w:r>
      <w:r w:rsidRPr="003E39D3">
        <w:t xml:space="preserve">, counties, </w:t>
      </w:r>
      <w:r w:rsidRPr="003E39D3">
        <w:rPr>
          <w:bCs/>
        </w:rPr>
        <w:t>towns</w:t>
      </w:r>
      <w:r w:rsidRPr="003E39D3">
        <w:t xml:space="preserve">, townships, villages, school districts, and special districts with populations of less than 50,000).  </w:t>
      </w:r>
      <w:hyperlink r:id="rId12" w:history="1">
        <w:r w:rsidRPr="003E39D3">
          <w:t>5 U.S.C. §§ 601(4)</w:t>
        </w:r>
      </w:hyperlink>
      <w:r w:rsidRPr="003E39D3">
        <w:t>-</w:t>
      </w:r>
      <w:hyperlink r:id="rId13" w:history="1">
        <w:r w:rsidRPr="003E39D3">
          <w:t>(6)</w:t>
        </w:r>
      </w:hyperlink>
      <w:r w:rsidRPr="003E39D3">
        <w:t>.</w:t>
      </w:r>
    </w:p>
  </w:footnote>
  <w:footnote w:id="145">
    <w:p w:rsidR="00744B1B" w:rsidRDefault="00744B1B" w:rsidP="00744B1B">
      <w:pPr>
        <w:pStyle w:val="FootnoteText"/>
      </w:pPr>
      <w:r>
        <w:rPr>
          <w:rStyle w:val="FootnoteReference"/>
        </w:rPr>
        <w:footnoteRef/>
      </w:r>
      <w:r>
        <w:t xml:space="preserve"> </w:t>
      </w:r>
      <w:r w:rsidRPr="00033125">
        <w:rPr>
          <w:i/>
        </w:rPr>
        <w:t>See</w:t>
      </w:r>
      <w:r w:rsidRPr="00033125">
        <w:t xml:space="preserve"> U.S. Census Bureau, 2007 NAICS Definitions, 517</w:t>
      </w:r>
      <w:r>
        <w:t>2</w:t>
      </w:r>
      <w:r w:rsidRPr="00033125">
        <w:t>10 Wired Telecommunications Carriers,</w:t>
      </w:r>
      <w:r>
        <w:t xml:space="preserve"> </w:t>
      </w:r>
      <w:r w:rsidRPr="00033125">
        <w:t>http://www.census.gov/cgi-bin/sssd/naics/naicsrch?code=517</w:t>
      </w:r>
      <w:r>
        <w:t>2</w:t>
      </w:r>
      <w:r w:rsidRPr="00033125">
        <w:t>10&amp;search=2007 NAICS Search.</w:t>
      </w:r>
    </w:p>
  </w:footnote>
  <w:footnote w:id="146">
    <w:p w:rsidR="00744B1B" w:rsidRDefault="00744B1B" w:rsidP="00744B1B">
      <w:pPr>
        <w:pStyle w:val="FootnoteText"/>
      </w:pPr>
      <w:r>
        <w:rPr>
          <w:rStyle w:val="FootnoteReference"/>
        </w:rPr>
        <w:footnoteRef/>
      </w:r>
      <w:r>
        <w:t xml:space="preserve"> </w:t>
      </w:r>
      <w:r w:rsidRPr="007B0930">
        <w:rPr>
          <w:i/>
        </w:rPr>
        <w:t>See</w:t>
      </w:r>
      <w:r>
        <w:rPr>
          <w:i/>
        </w:rPr>
        <w:t xml:space="preserve"> id</w:t>
      </w:r>
      <w:r w:rsidRPr="007B0930">
        <w:t>.</w:t>
      </w:r>
    </w:p>
  </w:footnote>
  <w:footnote w:id="147">
    <w:p w:rsidR="00744B1B" w:rsidRDefault="00744B1B" w:rsidP="00744B1B">
      <w:pPr>
        <w:pStyle w:val="FootnoteText"/>
      </w:pPr>
      <w:r w:rsidRPr="00387B1A">
        <w:rPr>
          <w:rStyle w:val="FootnoteReference"/>
        </w:rPr>
        <w:footnoteRef/>
      </w:r>
      <w:r w:rsidRPr="00387B1A">
        <w:t xml:space="preserve"> </w:t>
      </w:r>
      <w:r w:rsidRPr="009C5C2A">
        <w:rPr>
          <w:i/>
        </w:rPr>
        <w:t>See</w:t>
      </w:r>
      <w:r w:rsidRPr="009C5C2A">
        <w:t xml:space="preserve"> 13 C.F.R. § 121.201, NAICS code 517</w:t>
      </w:r>
      <w:r>
        <w:t>2</w:t>
      </w:r>
      <w:r w:rsidRPr="009C5C2A">
        <w:t>10</w:t>
      </w:r>
      <w:r w:rsidRPr="00387B1A">
        <w:t>.</w:t>
      </w:r>
    </w:p>
  </w:footnote>
  <w:footnote w:id="148">
    <w:p w:rsidR="00744B1B" w:rsidRDefault="00744B1B" w:rsidP="00744B1B">
      <w:pPr>
        <w:pStyle w:val="FootnoteText"/>
      </w:pPr>
      <w:r>
        <w:rPr>
          <w:rStyle w:val="FootnoteReference"/>
        </w:rPr>
        <w:footnoteRef/>
      </w:r>
      <w:r>
        <w:t xml:space="preserve"> </w:t>
      </w:r>
      <w:r w:rsidRPr="006646D5">
        <w:rPr>
          <w:i/>
        </w:rPr>
        <w:t>See</w:t>
      </w:r>
      <w:r>
        <w:t xml:space="preserve"> </w:t>
      </w:r>
      <w:r w:rsidRPr="003E39D3">
        <w:t>U.S. Census Bureau, American FactFinder, “Information: Subject Series – Estab and Firm Size: Employment Size of Establishments for the United States: 2007 – 2007 Economic Census,” NAICS code 517</w:t>
      </w:r>
      <w:r>
        <w:t>2</w:t>
      </w:r>
      <w:r w:rsidRPr="003E39D3">
        <w:t>10; available at</w:t>
      </w:r>
      <w:r>
        <w:t xml:space="preserve">, </w:t>
      </w:r>
      <w:r w:rsidRPr="009F11FB">
        <w:t>http://factfinder.census.gov/faces/tableservices/jsf/pages/productview.xhtml?pid=ECN_2007_US_51SSSZ5&amp;prodType=table</w:t>
      </w:r>
      <w:r>
        <w:t>.</w:t>
      </w:r>
    </w:p>
  </w:footnote>
  <w:footnote w:id="149">
    <w:p w:rsidR="00744B1B" w:rsidRDefault="00744B1B" w:rsidP="00744B1B">
      <w:pPr>
        <w:pStyle w:val="FootnoteText"/>
      </w:pPr>
      <w:r>
        <w:rPr>
          <w:rStyle w:val="FootnoteReference"/>
        </w:rPr>
        <w:footnoteRef/>
      </w:r>
      <w:r>
        <w:t xml:space="preserve"> </w:t>
      </w:r>
      <w:r w:rsidRPr="00387B1A">
        <w:rPr>
          <w:i/>
        </w:rPr>
        <w:t>See id</w:t>
      </w:r>
      <w:r w:rsidRPr="00897387">
        <w:t xml:space="preserve">. </w:t>
      </w:r>
      <w:r>
        <w:t xml:space="preserve"> </w:t>
      </w:r>
      <w:r w:rsidRPr="00897387">
        <w:t xml:space="preserve">Available census data do not provide a more precise estimate of the number of firms that have employment of 1,500 or fewer employees. </w:t>
      </w:r>
      <w:r>
        <w:t xml:space="preserve"> </w:t>
      </w:r>
      <w:r w:rsidRPr="00897387">
        <w:t>The largest category provided is for firms with “1,000 employees or more</w:t>
      </w:r>
      <w:r>
        <w:t>.</w:t>
      </w:r>
      <w:r w:rsidRPr="00897387">
        <w:t>”</w:t>
      </w:r>
    </w:p>
  </w:footnote>
  <w:footnote w:id="150">
    <w:p w:rsidR="00744B1B" w:rsidRDefault="00744B1B" w:rsidP="00744B1B">
      <w:pPr>
        <w:pStyle w:val="FootnoteText"/>
      </w:pPr>
      <w:r>
        <w:rPr>
          <w:rStyle w:val="FootnoteReference"/>
        </w:rPr>
        <w:footnoteRef/>
      </w:r>
      <w:r>
        <w:t xml:space="preserve"> </w:t>
      </w:r>
      <w:r w:rsidRPr="009C5C2A">
        <w:rPr>
          <w:i/>
        </w:rPr>
        <w:t>See id</w:t>
      </w:r>
      <w:r>
        <w:t>.</w:t>
      </w:r>
    </w:p>
  </w:footnote>
  <w:footnote w:id="151">
    <w:p w:rsidR="00744B1B" w:rsidRDefault="00744B1B" w:rsidP="00744B1B">
      <w:pPr>
        <w:pStyle w:val="FootnoteText"/>
      </w:pPr>
      <w:r>
        <w:rPr>
          <w:rStyle w:val="FootnoteReference"/>
        </w:rPr>
        <w:footnoteRef/>
      </w:r>
      <w:r>
        <w:t xml:space="preserve"> </w:t>
      </w:r>
      <w:r w:rsidRPr="00033125">
        <w:rPr>
          <w:i/>
        </w:rPr>
        <w:t>See</w:t>
      </w:r>
      <w:r w:rsidRPr="00033125">
        <w:t xml:space="preserve"> U.S. Census Bureau, 2007 NAICS Definitions, 517110 Wired Telecommunications Carriers,</w:t>
      </w:r>
      <w:r>
        <w:t xml:space="preserve"> </w:t>
      </w:r>
      <w:r w:rsidRPr="00033125">
        <w:t>http://www.census.gov/cgi-bin/sssd/naics/naicsrch?code=517110&amp;search=2007 NAICS Search.</w:t>
      </w:r>
    </w:p>
  </w:footnote>
  <w:footnote w:id="152">
    <w:p w:rsidR="00744B1B" w:rsidRPr="003E39D3" w:rsidRDefault="00744B1B" w:rsidP="00744B1B">
      <w:pPr>
        <w:pStyle w:val="FootnoteText"/>
        <w:spacing w:line="120" w:lineRule="atLeast"/>
      </w:pPr>
      <w:r w:rsidRPr="007F6264">
        <w:rPr>
          <w:rStyle w:val="FootnoteReference"/>
        </w:rPr>
        <w:footnoteRef/>
      </w:r>
      <w:r w:rsidRPr="003E39D3">
        <w:t xml:space="preserve"> </w:t>
      </w:r>
      <w:r w:rsidRPr="00CF54F4">
        <w:rPr>
          <w:i/>
        </w:rPr>
        <w:t>See id</w:t>
      </w:r>
      <w:r w:rsidRPr="003E39D3">
        <w:rPr>
          <w:bCs/>
        </w:rPr>
        <w:t>.  Examples of this category are: broadband Internet service providers (</w:t>
      </w:r>
      <w:r w:rsidRPr="003E39D3">
        <w:rPr>
          <w:bCs/>
          <w:i/>
        </w:rPr>
        <w:t>e.g.</w:t>
      </w:r>
      <w:r w:rsidRPr="003E39D3">
        <w:rPr>
          <w:bCs/>
        </w:rPr>
        <w:t xml:space="preserve">, cable, DSL); local telephone carriers (wired); cable television distribution services; long-distance telephone carriers (wired); CCTV services; VoIP service providers, using own operated wired telecommunications infrastructure; </w:t>
      </w:r>
      <w:r>
        <w:rPr>
          <w:bCs/>
        </w:rPr>
        <w:t>DTH</w:t>
      </w:r>
      <w:r w:rsidRPr="003E39D3">
        <w:rPr>
          <w:bCs/>
        </w:rPr>
        <w:t xml:space="preserve"> services; telecommunications carriers (wired); satellite television distribution systems; and MMDS.</w:t>
      </w:r>
    </w:p>
  </w:footnote>
  <w:footnote w:id="153">
    <w:p w:rsidR="00744B1B" w:rsidRPr="003E39D3" w:rsidRDefault="00744B1B" w:rsidP="00744B1B">
      <w:pPr>
        <w:pStyle w:val="FootnoteText"/>
        <w:rPr>
          <w:lang w:val="fr-FR"/>
        </w:rPr>
      </w:pPr>
      <w:r w:rsidRPr="007F6264">
        <w:rPr>
          <w:rStyle w:val="FootnoteReference"/>
        </w:rPr>
        <w:footnoteRef/>
      </w:r>
      <w:r w:rsidRPr="003E39D3">
        <w:rPr>
          <w:lang w:val="fr-FR"/>
        </w:rPr>
        <w:t xml:space="preserve"> </w:t>
      </w:r>
      <w:r w:rsidRPr="00363433">
        <w:rPr>
          <w:i/>
        </w:rPr>
        <w:t>See</w:t>
      </w:r>
      <w:r>
        <w:t xml:space="preserve"> 13 C.F.R. § 121.201, NAICS Code 517110.</w:t>
      </w:r>
    </w:p>
  </w:footnote>
  <w:footnote w:id="154">
    <w:p w:rsidR="00744B1B" w:rsidRDefault="00744B1B" w:rsidP="00744B1B">
      <w:pPr>
        <w:pStyle w:val="FootnoteText"/>
      </w:pPr>
      <w:r>
        <w:rPr>
          <w:rStyle w:val="FootnoteReference"/>
        </w:rPr>
        <w:footnoteRef/>
      </w:r>
      <w:r>
        <w:t xml:space="preserve"> </w:t>
      </w:r>
      <w:r w:rsidRPr="00033125">
        <w:rPr>
          <w:i/>
        </w:rPr>
        <w:t>See</w:t>
      </w:r>
      <w:r>
        <w:t xml:space="preserve"> </w:t>
      </w:r>
      <w:r w:rsidRPr="003E39D3">
        <w:t>U.S. Census Bureau, American FactFinder, “Information: Subject Series – Estab and Firm Size: Employment Size of Establishments for the United States: 2007 – 2007 Economic Census,” NAICS code 517110; available at</w:t>
      </w:r>
      <w:r>
        <w:t xml:space="preserve">, </w:t>
      </w:r>
      <w:r w:rsidRPr="009F11FB">
        <w:t>http://factfinder.census.gov/faces/tableservices/jsf/pages/productview.xhtml?pid=ECN_2007_US_51SSSZ5&amp;prodType=table</w:t>
      </w:r>
      <w:r>
        <w:t xml:space="preserve">. </w:t>
      </w:r>
    </w:p>
  </w:footnote>
  <w:footnote w:id="155">
    <w:p w:rsidR="00744B1B" w:rsidRDefault="00744B1B" w:rsidP="00744B1B">
      <w:pPr>
        <w:pStyle w:val="FootnoteText"/>
      </w:pPr>
      <w:r>
        <w:rPr>
          <w:rStyle w:val="FootnoteReference"/>
        </w:rPr>
        <w:footnoteRef/>
      </w:r>
      <w:r>
        <w:t xml:space="preserve"> </w:t>
      </w:r>
      <w:r w:rsidRPr="009F11FB">
        <w:rPr>
          <w:i/>
        </w:rPr>
        <w:t>See id</w:t>
      </w:r>
      <w:r>
        <w:t>.</w:t>
      </w:r>
    </w:p>
  </w:footnote>
  <w:footnote w:id="156">
    <w:p w:rsidR="00744B1B" w:rsidRPr="003E39D3" w:rsidRDefault="00744B1B" w:rsidP="00744B1B">
      <w:pPr>
        <w:pStyle w:val="FootnoteText"/>
      </w:pPr>
      <w:r w:rsidRPr="007F6264">
        <w:rPr>
          <w:rStyle w:val="FootnoteReference"/>
        </w:rPr>
        <w:footnoteRef/>
      </w:r>
      <w:r w:rsidRPr="003E39D3">
        <w:t xml:space="preserve"> 5 U.S.C. § 601(3). </w:t>
      </w:r>
    </w:p>
  </w:footnote>
  <w:footnote w:id="157">
    <w:p w:rsidR="00744B1B" w:rsidRPr="003E39D3" w:rsidRDefault="00744B1B" w:rsidP="00744B1B">
      <w:pPr>
        <w:pStyle w:val="FootnoteText"/>
      </w:pPr>
      <w:r w:rsidRPr="007F6264">
        <w:rPr>
          <w:rStyle w:val="FootnoteReference"/>
        </w:rPr>
        <w:footnoteRef/>
      </w:r>
      <w:r w:rsidRPr="003E39D3">
        <w:t xml:space="preserve"> </w:t>
      </w:r>
      <w:r w:rsidRPr="003E39D3">
        <w:rPr>
          <w:i/>
        </w:rPr>
        <w:t xml:space="preserve">See </w:t>
      </w:r>
      <w:r w:rsidRPr="003E39D3">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3E39D3">
        <w:rPr>
          <w:i/>
        </w:rPr>
        <w:t>See</w:t>
      </w:r>
      <w:r w:rsidRPr="003E39D3">
        <w:t xml:space="preserve"> 15 U.S.C. § 632(a); </w:t>
      </w:r>
      <w:r w:rsidRPr="003E39D3">
        <w:rPr>
          <w:i/>
        </w:rPr>
        <w:t xml:space="preserve">see also </w:t>
      </w:r>
      <w:r w:rsidRPr="003E39D3">
        <w:t xml:space="preserve">5 U.S.C. § 601(3).  SBA regulations interpret “small business concern” to include the concept of dominance on a national basis.  </w:t>
      </w:r>
      <w:r w:rsidRPr="003E39D3">
        <w:rPr>
          <w:i/>
        </w:rPr>
        <w:t xml:space="preserve">See </w:t>
      </w:r>
      <w:r w:rsidRPr="003E39D3">
        <w:t>13 C.F.R. § 121.102(b).</w:t>
      </w:r>
    </w:p>
  </w:footnote>
  <w:footnote w:id="158">
    <w:p w:rsidR="00744B1B" w:rsidRPr="003E39D3" w:rsidRDefault="00744B1B" w:rsidP="00744B1B">
      <w:pPr>
        <w:pStyle w:val="FootnoteText"/>
      </w:pPr>
      <w:r w:rsidRPr="007F6264">
        <w:rPr>
          <w:rStyle w:val="FootnoteReference"/>
        </w:rPr>
        <w:footnoteRef/>
      </w:r>
      <w:r w:rsidRPr="003E39D3">
        <w:t xml:space="preserve"> </w:t>
      </w:r>
      <w:r w:rsidRPr="003E39D3">
        <w:rPr>
          <w:i/>
        </w:rPr>
        <w:t xml:space="preserve">See </w:t>
      </w:r>
      <w:r w:rsidRPr="003E39D3">
        <w:t>13 C.F.R. § 121.201, NAICS code 517110.</w:t>
      </w:r>
    </w:p>
  </w:footnote>
  <w:footnote w:id="159">
    <w:p w:rsidR="00744B1B" w:rsidRPr="003E39D3" w:rsidRDefault="00744B1B" w:rsidP="00744B1B">
      <w:pPr>
        <w:pStyle w:val="FootnoteText"/>
      </w:pPr>
      <w:r w:rsidRPr="007F6264">
        <w:rPr>
          <w:rStyle w:val="FootnoteReference"/>
        </w:rPr>
        <w:footnoteRef/>
      </w:r>
      <w:r w:rsidRPr="003E39D3">
        <w:t xml:space="preserve"> </w:t>
      </w:r>
      <w:r w:rsidRPr="003E39D3">
        <w:rPr>
          <w:i/>
        </w:rPr>
        <w:t>See Trends in Telephone Service</w:t>
      </w:r>
      <w:r w:rsidRPr="003E39D3">
        <w:t xml:space="preserve"> at Table 5.3.</w:t>
      </w:r>
    </w:p>
  </w:footnote>
  <w:footnote w:id="160">
    <w:p w:rsidR="00744B1B" w:rsidRPr="003E39D3" w:rsidRDefault="00744B1B" w:rsidP="00744B1B">
      <w:pPr>
        <w:pStyle w:val="FootnoteText"/>
      </w:pPr>
      <w:r w:rsidRPr="007F6264">
        <w:rPr>
          <w:rStyle w:val="FootnoteReference"/>
        </w:rPr>
        <w:footnoteRef/>
      </w:r>
      <w:r w:rsidRPr="003E39D3">
        <w:t xml:space="preserve"> </w:t>
      </w:r>
      <w:r w:rsidRPr="003E39D3">
        <w:rPr>
          <w:i/>
        </w:rPr>
        <w:t>See id.</w:t>
      </w:r>
    </w:p>
  </w:footnote>
  <w:footnote w:id="161">
    <w:p w:rsidR="00744B1B" w:rsidRPr="003E39D3" w:rsidRDefault="00744B1B" w:rsidP="00744B1B">
      <w:pPr>
        <w:pStyle w:val="FootnoteText"/>
      </w:pPr>
      <w:r w:rsidRPr="007F6264">
        <w:rPr>
          <w:rStyle w:val="FootnoteReference"/>
        </w:rPr>
        <w:footnoteRef/>
      </w:r>
      <w:r w:rsidRPr="003E39D3">
        <w:t xml:space="preserve"> </w:t>
      </w:r>
      <w:r w:rsidRPr="003E39D3">
        <w:rPr>
          <w:i/>
        </w:rPr>
        <w:t>See id</w:t>
      </w:r>
      <w:r w:rsidRPr="003E39D3">
        <w:t>.</w:t>
      </w:r>
    </w:p>
  </w:footnote>
  <w:footnote w:id="162">
    <w:p w:rsidR="00744B1B" w:rsidRPr="003E39D3" w:rsidRDefault="00744B1B" w:rsidP="00744B1B">
      <w:pPr>
        <w:pStyle w:val="FootnoteText"/>
      </w:pPr>
      <w:r w:rsidRPr="007F6264">
        <w:rPr>
          <w:rStyle w:val="FootnoteReference"/>
        </w:rPr>
        <w:footnoteRef/>
      </w:r>
      <w:r w:rsidRPr="003E39D3">
        <w:t xml:space="preserve"> </w:t>
      </w:r>
      <w:r w:rsidRPr="003E39D3">
        <w:rPr>
          <w:i/>
        </w:rPr>
        <w:t>See id</w:t>
      </w:r>
      <w:r w:rsidRPr="003E39D3">
        <w:t>.</w:t>
      </w:r>
    </w:p>
  </w:footnote>
  <w:footnote w:id="163">
    <w:p w:rsidR="00744B1B" w:rsidRPr="003E39D3" w:rsidRDefault="00744B1B" w:rsidP="00744B1B">
      <w:pPr>
        <w:pStyle w:val="FootnoteText"/>
      </w:pPr>
      <w:r w:rsidRPr="007F6264">
        <w:rPr>
          <w:rStyle w:val="FootnoteReference"/>
        </w:rPr>
        <w:footnoteRef/>
      </w:r>
      <w:r w:rsidRPr="003E39D3">
        <w:t xml:space="preserve"> </w:t>
      </w:r>
      <w:r w:rsidRPr="003E39D3">
        <w:rPr>
          <w:i/>
        </w:rPr>
        <w:t>See id</w:t>
      </w:r>
      <w:r w:rsidRPr="003E39D3">
        <w:t>.</w:t>
      </w:r>
    </w:p>
  </w:footnote>
  <w:footnote w:id="164">
    <w:p w:rsidR="00744B1B" w:rsidRPr="00397936" w:rsidRDefault="00744B1B" w:rsidP="00744B1B">
      <w:pPr>
        <w:pStyle w:val="FootnoteText"/>
      </w:pPr>
      <w:r>
        <w:rPr>
          <w:rStyle w:val="FootnoteReference"/>
        </w:rPr>
        <w:footnoteRef/>
      </w:r>
      <w:r w:rsidRPr="00397936">
        <w:t xml:space="preserve"> U.S. Census Bureau, 2007 NAICS </w:t>
      </w:r>
      <w:r>
        <w:t>Definitions</w:t>
      </w:r>
      <w:r w:rsidRPr="00397936">
        <w:t xml:space="preserve">, “517410 Satellite </w:t>
      </w:r>
      <w:r>
        <w:t>Telecommunications”; &lt;http://www.census.gov/naics/2007/def/ND517410.HTM&gt; .</w:t>
      </w:r>
    </w:p>
  </w:footnote>
  <w:footnote w:id="165">
    <w:p w:rsidR="00744B1B" w:rsidRDefault="00744B1B" w:rsidP="00744B1B">
      <w:pPr>
        <w:pStyle w:val="FootnoteText"/>
      </w:pPr>
      <w:r>
        <w:rPr>
          <w:rStyle w:val="FootnoteReference"/>
        </w:rPr>
        <w:footnoteRef/>
      </w:r>
      <w:r>
        <w:t xml:space="preserve"> 13 C.F.R. § 121.201, NAICS code 517410.</w:t>
      </w:r>
    </w:p>
  </w:footnote>
  <w:footnote w:id="166">
    <w:p w:rsidR="00744B1B" w:rsidRDefault="00744B1B" w:rsidP="00744B1B">
      <w:pPr>
        <w:pStyle w:val="FootnoteText"/>
      </w:pPr>
      <w:r>
        <w:rPr>
          <w:rStyle w:val="FootnoteReference"/>
        </w:rPr>
        <w:footnoteRef/>
      </w:r>
      <w:r>
        <w:t xml:space="preserve">  U.S. Census Bureau, </w:t>
      </w:r>
      <w:r>
        <w:rPr>
          <w:bCs/>
          <w:i/>
        </w:rPr>
        <w:t>2007 Economic Census of the United States</w:t>
      </w:r>
      <w:r>
        <w:t xml:space="preserve">, Table EC0751SSSZ4, Information: Subject Series - Estab and Firm Size: </w:t>
      </w:r>
      <w:r>
        <w:rPr>
          <w:bCs/>
        </w:rPr>
        <w:t>Receipts Size of Firms for the United States: 2007</w:t>
      </w:r>
      <w:r>
        <w:t xml:space="preserve">, NAICS code 517410 </w:t>
      </w:r>
      <w:r w:rsidRPr="000B5B0F">
        <w:t>http://factfinder.census.gov/faces/tableservices/jsf/pages/productview.xhtml?pid=ECN_2007_US_51SSSZ4&amp;prodType=table</w:t>
      </w:r>
    </w:p>
  </w:footnote>
  <w:footnote w:id="167">
    <w:p w:rsidR="00744B1B" w:rsidRDefault="00744B1B" w:rsidP="00744B1B">
      <w:pPr>
        <w:pStyle w:val="FootnoteText"/>
      </w:pPr>
      <w:r>
        <w:rPr>
          <w:rStyle w:val="FootnoteReference"/>
        </w:rPr>
        <w:footnoteRef/>
      </w:r>
      <w:r>
        <w:t xml:space="preserve">  </w:t>
      </w:r>
      <w:r w:rsidRPr="00F00965">
        <w:rPr>
          <w:i/>
        </w:rPr>
        <w:t>Id</w:t>
      </w:r>
      <w:r>
        <w:t>.</w:t>
      </w:r>
    </w:p>
  </w:footnote>
  <w:footnote w:id="168">
    <w:p w:rsidR="00744B1B" w:rsidRDefault="00744B1B" w:rsidP="00744B1B">
      <w:pPr>
        <w:pStyle w:val="FootnoteText"/>
      </w:pPr>
      <w:r>
        <w:rPr>
          <w:rStyle w:val="FootnoteReference"/>
        </w:rPr>
        <w:footnoteRef/>
      </w:r>
      <w:r>
        <w:t xml:space="preserve"> U.S. Census Bureau, North American Industry Classification System, Definition of “All Other Telecommunications,” NAICS code 517919, </w:t>
      </w:r>
      <w:r>
        <w:rPr>
          <w:i/>
        </w:rPr>
        <w:t>available at</w:t>
      </w:r>
      <w:r>
        <w:t xml:space="preserve"> &lt;http://www.census.gov/cgi-bin/sssd/naics/naicsrch.</w:t>
      </w:r>
    </w:p>
  </w:footnote>
  <w:footnote w:id="169">
    <w:p w:rsidR="00744B1B" w:rsidRDefault="00744B1B" w:rsidP="00744B1B">
      <w:pPr>
        <w:pStyle w:val="FootnoteText"/>
      </w:pPr>
      <w:r>
        <w:rPr>
          <w:rStyle w:val="FootnoteReference"/>
        </w:rPr>
        <w:footnoteRef/>
      </w:r>
      <w:r>
        <w:t xml:space="preserve"> </w:t>
      </w:r>
      <w:r w:rsidRPr="009C5C2A">
        <w:rPr>
          <w:i/>
        </w:rPr>
        <w:t>See</w:t>
      </w:r>
      <w:r w:rsidRPr="009C5C2A">
        <w:t xml:space="preserve"> 13 C.F.R. § 121.201, NAICS code 517</w:t>
      </w:r>
      <w:r>
        <w:t>919</w:t>
      </w:r>
      <w:r w:rsidRPr="009C5C2A">
        <w:t>.</w:t>
      </w:r>
    </w:p>
  </w:footnote>
  <w:footnote w:id="170">
    <w:p w:rsidR="00744B1B" w:rsidRDefault="00744B1B" w:rsidP="00744B1B">
      <w:pPr>
        <w:pStyle w:val="FootnoteText"/>
      </w:pPr>
      <w:r>
        <w:rPr>
          <w:rStyle w:val="FootnoteReference"/>
        </w:rPr>
        <w:footnoteRef/>
      </w:r>
      <w:r>
        <w:t xml:space="preserve"> </w:t>
      </w:r>
      <w:r w:rsidRPr="00C337E7">
        <w:rPr>
          <w:i/>
        </w:rPr>
        <w:t>See</w:t>
      </w:r>
      <w:r>
        <w:t xml:space="preserve"> </w:t>
      </w:r>
      <w:r w:rsidRPr="003E39D3">
        <w:t>U.S. Census Bureau, American FactFinder, “Information: Subject Series – Estab and Firm Size: Employment Size of Establishments for the United States: 2007 – 2007 Economic Census,” NAICS code 517</w:t>
      </w:r>
      <w:r>
        <w:t>919</w:t>
      </w:r>
      <w:r w:rsidRPr="003E39D3">
        <w:t>; available at</w:t>
      </w:r>
      <w:r>
        <w:t xml:space="preserve">, </w:t>
      </w:r>
      <w:r w:rsidRPr="009F11FB">
        <w:t>http://factfinder.census.gov/faces/tableservices/jsf/pages/productview.xhtml?pid=ECN_2007_US_51SSSZ5&amp;prodType=table</w:t>
      </w:r>
      <w:r>
        <w:t>.</w:t>
      </w:r>
    </w:p>
  </w:footnote>
  <w:footnote w:id="171">
    <w:p w:rsidR="00744B1B" w:rsidRPr="003E39D3" w:rsidRDefault="00744B1B" w:rsidP="00744B1B">
      <w:pPr>
        <w:pStyle w:val="FootnoteText"/>
      </w:pPr>
      <w:r w:rsidRPr="007F6264">
        <w:rPr>
          <w:rStyle w:val="FootnoteReference"/>
        </w:rPr>
        <w:footnoteRef/>
      </w:r>
      <w:r w:rsidRPr="003E39D3">
        <w:t xml:space="preserve"> </w:t>
      </w:r>
      <w:r w:rsidRPr="003E39D3">
        <w:rPr>
          <w:i/>
        </w:rPr>
        <w:t>See</w:t>
      </w:r>
      <w:r w:rsidRPr="003E39D3">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3E39D3">
        <w:rPr>
          <w:i/>
          <w:u w:val="single"/>
        </w:rPr>
        <w:t>By exception, establishments providing satellite television distribution services using facilities and infrastructure that they operate are included in this industry.</w:t>
      </w:r>
      <w:r w:rsidRPr="003E39D3">
        <w:t>” (</w:t>
      </w:r>
      <w:r w:rsidRPr="003E39D3">
        <w:rPr>
          <w:i/>
          <w:u w:val="single"/>
        </w:rPr>
        <w:t>Emphasis</w:t>
      </w:r>
      <w:r w:rsidRPr="003E39D3">
        <w:t xml:space="preserve"> added to text relevant to satellite services.)</w:t>
      </w:r>
      <w:r w:rsidRPr="007F6264">
        <w:rPr>
          <w:rStyle w:val="FootnoteReference"/>
        </w:rPr>
        <w:t xml:space="preserve"> </w:t>
      </w:r>
      <w:r w:rsidRPr="003E39D3">
        <w:t xml:space="preserve">  U.S. Census Bureau, 2012 NAICS Definitions, “</w:t>
      </w:r>
      <w:r w:rsidRPr="003E39D3">
        <w:rPr>
          <w:bCs/>
        </w:rPr>
        <w:t xml:space="preserve">517110 Wired Telecommunications Carriers” at </w:t>
      </w:r>
      <w:hyperlink r:id="rId14" w:history="1">
        <w:r w:rsidRPr="003E39D3">
          <w:rPr>
            <w:rStyle w:val="Hyperlink"/>
          </w:rPr>
          <w:t>http://www.census.gov/cgi-bin/sssd/naics/naicsrch</w:t>
        </w:r>
      </w:hyperlink>
      <w:r w:rsidRPr="003E39D3">
        <w:rPr>
          <w:bCs/>
        </w:rPr>
        <w:t>.</w:t>
      </w:r>
    </w:p>
  </w:footnote>
  <w:footnote w:id="172">
    <w:p w:rsidR="00744B1B" w:rsidRPr="003E39D3" w:rsidRDefault="00744B1B" w:rsidP="00744B1B">
      <w:pPr>
        <w:pStyle w:val="FootnoteText"/>
        <w:rPr>
          <w:lang w:val="fr-FR"/>
        </w:rPr>
      </w:pPr>
      <w:r w:rsidRPr="007F6264">
        <w:rPr>
          <w:rStyle w:val="FootnoteReference"/>
        </w:rPr>
        <w:footnoteRef/>
      </w:r>
      <w:r w:rsidRPr="003E39D3">
        <w:rPr>
          <w:lang w:val="fr-FR"/>
        </w:rPr>
        <w:t xml:space="preserve"> </w:t>
      </w:r>
      <w:r w:rsidRPr="00363433">
        <w:rPr>
          <w:i/>
        </w:rPr>
        <w:t>See</w:t>
      </w:r>
      <w:r>
        <w:t xml:space="preserve"> 13 C.F.R. § 121.201, NAICS Code 517110.</w:t>
      </w:r>
    </w:p>
  </w:footnote>
  <w:footnote w:id="173">
    <w:p w:rsidR="00744B1B" w:rsidRDefault="00744B1B" w:rsidP="00744B1B">
      <w:pPr>
        <w:pStyle w:val="FootnoteText"/>
      </w:pPr>
      <w:r>
        <w:rPr>
          <w:rStyle w:val="FootnoteReference"/>
        </w:rPr>
        <w:footnoteRef/>
      </w:r>
      <w:r>
        <w:t xml:space="preserve"> </w:t>
      </w:r>
      <w:r w:rsidRPr="00033125">
        <w:rPr>
          <w:i/>
        </w:rPr>
        <w:t>See</w:t>
      </w:r>
      <w:r>
        <w:t xml:space="preserve"> </w:t>
      </w:r>
      <w:r w:rsidRPr="003E39D3">
        <w:t>U.S. Census Bureau, American FactFinder, “Information: Subject Series – Estab and Firm Size: Employment Size of Establishments for the United States: 2007 – 2007 Economic Census,” NAICS code 517110; available at</w:t>
      </w:r>
      <w:r>
        <w:t xml:space="preserve">, </w:t>
      </w:r>
      <w:r w:rsidRPr="009F11FB">
        <w:t>http://factfinder.census.gov/faces/tableservices/jsf/pages/productview.xhtml?pid=ECN_2007_US_51SSSZ5&amp;prodType=table</w:t>
      </w:r>
      <w:r>
        <w:t xml:space="preserve">. </w:t>
      </w:r>
    </w:p>
  </w:footnote>
  <w:footnote w:id="174">
    <w:p w:rsidR="00744B1B" w:rsidRDefault="00744B1B" w:rsidP="00744B1B">
      <w:pPr>
        <w:pStyle w:val="FootnoteText"/>
      </w:pPr>
      <w:r>
        <w:rPr>
          <w:rStyle w:val="FootnoteReference"/>
        </w:rPr>
        <w:footnoteRef/>
      </w:r>
      <w:r>
        <w:t xml:space="preserve"> </w:t>
      </w:r>
      <w:r w:rsidRPr="009F11FB">
        <w:rPr>
          <w:i/>
        </w:rPr>
        <w:t>See id</w:t>
      </w:r>
      <w:r>
        <w:t>.</w:t>
      </w:r>
    </w:p>
  </w:footnote>
  <w:footnote w:id="175">
    <w:p w:rsidR="00744B1B" w:rsidRPr="003E39D3" w:rsidRDefault="00744B1B" w:rsidP="00744B1B">
      <w:pPr>
        <w:pStyle w:val="FootnoteText"/>
        <w:rPr>
          <w:lang w:val="fr-FR"/>
        </w:rPr>
      </w:pPr>
      <w:r w:rsidRPr="007F6264">
        <w:rPr>
          <w:rStyle w:val="FootnoteReference"/>
        </w:rPr>
        <w:footnoteRef/>
      </w:r>
      <w:r w:rsidRPr="003E39D3">
        <w:rPr>
          <w:lang w:val="fr-FR"/>
        </w:rPr>
        <w:t xml:space="preserve"> 13 C.F.R. § 121.201; NAICS code 517510 (2002).</w:t>
      </w:r>
    </w:p>
  </w:footnote>
  <w:footnote w:id="176">
    <w:p w:rsidR="00744B1B" w:rsidRPr="003E39D3" w:rsidRDefault="00744B1B" w:rsidP="00744B1B">
      <w:pPr>
        <w:pStyle w:val="FootnoteText"/>
      </w:pPr>
      <w:r w:rsidRPr="007F6264">
        <w:rPr>
          <w:rStyle w:val="FootnoteReference"/>
        </w:rPr>
        <w:footnoteRef/>
      </w:r>
      <w:r w:rsidRPr="003E39D3">
        <w:t xml:space="preserve"> S</w:t>
      </w:r>
      <w:r w:rsidRPr="003E39D3">
        <w:rPr>
          <w:i/>
        </w:rPr>
        <w:t>ee 15</w:t>
      </w:r>
      <w:r w:rsidRPr="003E39D3">
        <w:rPr>
          <w:i/>
          <w:vertAlign w:val="superscript"/>
        </w:rPr>
        <w:t>th</w:t>
      </w:r>
      <w:r w:rsidRPr="003E39D3">
        <w:rPr>
          <w:i/>
        </w:rPr>
        <w:t xml:space="preserve"> Annual Competition Report</w:t>
      </w:r>
      <w:r w:rsidRPr="003E39D3">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3E39D3">
        <w:rPr>
          <w:i/>
        </w:rPr>
        <w:t>Id</w:t>
      </w:r>
      <w:r w:rsidRPr="003E39D3">
        <w:t>. at ¶¶ 27, 110-11.</w:t>
      </w:r>
    </w:p>
  </w:footnote>
  <w:footnote w:id="177">
    <w:p w:rsidR="00744B1B" w:rsidRDefault="00744B1B" w:rsidP="00744B1B">
      <w:pPr>
        <w:pStyle w:val="FootnoteText"/>
      </w:pPr>
      <w:r>
        <w:rPr>
          <w:rStyle w:val="FootnoteReference"/>
        </w:rPr>
        <w:footnoteRef/>
      </w:r>
      <w:r>
        <w:t xml:space="preserve"> </w:t>
      </w:r>
      <w:r w:rsidRPr="000371E1">
        <w:rPr>
          <w:i/>
        </w:rPr>
        <w:t>See</w:t>
      </w:r>
      <w:r w:rsidRPr="000371E1">
        <w:t xml:space="preserve"> Public Notice, Comment Requested To Refresh The Record In EB Docket No. 04-296, On Petition Filed By The Minority Media And Telecommunications Council Proposing Changes To Emergency Alert System (EAS) Rules To Support Multilingual EAS And Emergency Information, 29 FCC Rcd 2682 (PSHSB 2014) (2014 Public Notice).  </w:t>
      </w:r>
    </w:p>
  </w:footnote>
  <w:footnote w:id="178">
    <w:p w:rsidR="00744B1B" w:rsidRDefault="00744B1B" w:rsidP="00744B1B">
      <w:pPr>
        <w:pStyle w:val="FootnoteText"/>
      </w:pPr>
      <w:r>
        <w:rPr>
          <w:rStyle w:val="FootnoteReference"/>
        </w:rPr>
        <w:footnoteRef/>
      </w:r>
      <w:r>
        <w:t xml:space="preserve"> </w:t>
      </w:r>
      <w:r w:rsidRPr="00A10873">
        <w:rPr>
          <w:i/>
        </w:rPr>
        <w:t>Supra</w:t>
      </w:r>
      <w:r>
        <w:t xml:space="preserve"> para. 26.</w:t>
      </w:r>
    </w:p>
  </w:footnote>
  <w:footnote w:id="179">
    <w:p w:rsidR="00744B1B" w:rsidRDefault="00744B1B" w:rsidP="00744B1B">
      <w:pPr>
        <w:pStyle w:val="FootnoteText"/>
      </w:pPr>
      <w:r>
        <w:rPr>
          <w:rStyle w:val="FootnoteReference"/>
        </w:rPr>
        <w:footnoteRef/>
      </w:r>
      <w:r>
        <w:t xml:space="preserve"> </w:t>
      </w:r>
      <w:r w:rsidRPr="00A10873">
        <w:rPr>
          <w:i/>
        </w:rPr>
        <w:t>Supra</w:t>
      </w:r>
      <w:r>
        <w:t xml:space="preserve"> note 76.</w:t>
      </w:r>
    </w:p>
  </w:footnote>
  <w:footnote w:id="180">
    <w:p w:rsidR="00744B1B" w:rsidRDefault="00744B1B" w:rsidP="00744B1B">
      <w:pPr>
        <w:pStyle w:val="FootnoteText"/>
      </w:pPr>
      <w:r>
        <w:rPr>
          <w:rStyle w:val="FootnoteReference"/>
        </w:rPr>
        <w:footnoteRef/>
      </w:r>
      <w:r>
        <w:t xml:space="preserve"> </w:t>
      </w:r>
      <w:r w:rsidRPr="00A10873">
        <w:t>Exec. Order No. 12866, 58 Fed. Reg. 51,735 (Oct. 4, 1993).</w:t>
      </w:r>
    </w:p>
  </w:footnote>
  <w:footnote w:id="181">
    <w:p w:rsidR="00744B1B" w:rsidRDefault="00744B1B" w:rsidP="00744B1B">
      <w:pPr>
        <w:pStyle w:val="FootnoteText"/>
      </w:pPr>
      <w:r>
        <w:rPr>
          <w:rStyle w:val="FootnoteReference"/>
        </w:rPr>
        <w:footnoteRef/>
      </w:r>
      <w:r>
        <w:t xml:space="preserve"> </w:t>
      </w:r>
      <w:r w:rsidRPr="00293219">
        <w:rPr>
          <w:i/>
        </w:rPr>
        <w:t>Id</w:t>
      </w:r>
      <w:r w:rsidRPr="00293219">
        <w:t>. at 51,736</w:t>
      </w:r>
      <w:r>
        <w:t>.</w:t>
      </w:r>
    </w:p>
  </w:footnote>
  <w:footnote w:id="182">
    <w:p w:rsidR="00744B1B" w:rsidRDefault="00744B1B" w:rsidP="00744B1B">
      <w:pPr>
        <w:pStyle w:val="FootnoteText"/>
      </w:pPr>
      <w:r>
        <w:rPr>
          <w:rStyle w:val="FootnoteReference"/>
        </w:rPr>
        <w:footnoteRef/>
      </w:r>
      <w:r>
        <w:t xml:space="preserve"> </w:t>
      </w:r>
      <w:r w:rsidRPr="00293219">
        <w:t>Exec. Order No. 13,563, 76 Fed. Reg. 3821 (Jan. 21, 2011).</w:t>
      </w:r>
    </w:p>
  </w:footnote>
  <w:footnote w:id="183">
    <w:p w:rsidR="00744B1B" w:rsidRDefault="00744B1B" w:rsidP="00744B1B">
      <w:pPr>
        <w:pStyle w:val="FootnoteText"/>
      </w:pPr>
      <w:r>
        <w:rPr>
          <w:rStyle w:val="FootnoteReference"/>
        </w:rPr>
        <w:footnoteRef/>
      </w:r>
      <w:r>
        <w:t xml:space="preserve"> </w:t>
      </w:r>
      <w:r w:rsidRPr="00293219">
        <w:t>Exec. Order No. 13,579, 76 Fed. Reg. 41,587 (July 14, 2011); Memorandum from Cass R. Sunstein, Administrator, Executive Office of the President, Office of Management and Budget to the Heads of Executive Departments and Agencies, and of Independent Regulatory Agencies (Feb. 2, 2011), https://www.whitehouse.gov/sites/default/files/omb/memoranda/2011/m11-10.pdf.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E4" w:rsidRDefault="00340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1B" w:rsidRDefault="00744B1B">
    <w:pPr>
      <w:pStyle w:val="Header"/>
      <w:tabs>
        <w:tab w:val="right" w:pos="9270"/>
      </w:tabs>
    </w:pPr>
    <w:r>
      <w:tab/>
      <w:t>Federal Communications Commission</w:t>
    </w:r>
    <w:r>
      <w:tab/>
      <w:t xml:space="preserve">FCC 16-32   </w:t>
    </w:r>
  </w:p>
  <w:p w:rsidR="00744B1B" w:rsidRDefault="00F55941">
    <w:pPr>
      <w:pStyle w:val="Header"/>
    </w:pPr>
    <w:r>
      <w:rPr>
        <w:noProof/>
      </w:rPr>
      <w:pict>
        <v:shapetype id="_x0000_t32" coordsize="21600,21600" o:spt="32" o:oned="t" path="m,l21600,21600e" filled="f">
          <v:path arrowok="t" fillok="f" o:connecttype="none"/>
          <o:lock v:ext="edit" shapetype="t"/>
        </v:shapetype>
        <v:shape id="Line 1" o:spid="_x0000_s2051" type="#_x0000_t32" style="position:absolute;margin-left:0;margin-top:1.75pt;width:46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" strokeweight=".52906mm"/>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1B" w:rsidRDefault="00744B1B">
    <w:pPr>
      <w:pStyle w:val="Header"/>
      <w:tabs>
        <w:tab w:val="right" w:pos="9270"/>
      </w:tabs>
    </w:pPr>
    <w:r>
      <w:tab/>
      <w:t>Federal Communications Commission</w:t>
    </w:r>
    <w:r>
      <w:tab/>
      <w:t xml:space="preserve">FCC 16-32  </w:t>
    </w:r>
  </w:p>
  <w:p w:rsidR="00744B1B" w:rsidRDefault="00F55941">
    <w:pPr>
      <w:pStyle w:val="Header"/>
    </w:pPr>
    <w:r>
      <w:rPr>
        <w:noProof/>
      </w:rPr>
      <w:pict>
        <v:shapetype id="_x0000_t32" coordsize="21600,21600" o:spt="32" o:oned="t" path="m,l21600,21600e" filled="f">
          <v:path arrowok="t" fillok="f" o:connecttype="none"/>
          <o:lock v:ext="edit" shapetype="t"/>
        </v:shapetype>
        <v:shape id="Line 2" o:spid="_x0000_s2053" type="#_x0000_t32" style="position:absolute;margin-left:0;margin-top:1.75pt;width:468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" strokeweight=".52906mm"/>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B1A15">
      <w:t>FCC 16-32</w:t>
    </w:r>
  </w:p>
  <w:p w:rsidR="00D25FB5" w:rsidRDefault="00F55941">
    <w:pPr>
      <w:tabs>
        <w:tab w:val="left" w:pos="-720"/>
      </w:tabs>
      <w:suppressAutoHyphens/>
      <w:spacing w:line="19" w:lineRule="exact"/>
      <w:rPr>
        <w:spacing w:val="-2"/>
      </w:rPr>
    </w:pPr>
    <w:r>
      <w:rPr>
        <w:noProof/>
      </w:rPr>
      <w:pict>
        <v:rect id="Rectangle 1" o:spid="_x0000_s2050" style="position:absolute;margin-left:0;margin-top:0;width:468pt;height:.9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55941" w:rsidP="00810B6F">
    <w:pPr>
      <w:pStyle w:val="Header"/>
      <w:rPr>
        <w:b w:val="0"/>
      </w:rPr>
    </w:pPr>
    <w:r>
      <w:rPr>
        <w:noProof/>
      </w:rPr>
      <w:pict>
        <v:rect id="Rectangle 3" o:spid="_x0000_s2049" style="position:absolute;margin-left:.6pt;margin-top:12.65pt;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44B1B">
      <w:rPr>
        <w:spacing w:val="-2"/>
      </w:rPr>
      <w:t>FCC 16-32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7108E3"/>
    <w:multiLevelType w:val="multilevel"/>
    <w:tmpl w:val="27E85246"/>
    <w:lvl w:ilvl="0">
      <w:start w:val="1"/>
      <w:numFmt w:val="decimal"/>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1"/>
      <w:numFmt w:val="decimal"/>
      <w:lvlText w:val="%2)"/>
      <w:lvlJc w:val="left"/>
      <w:pPr>
        <w:ind w:left="1620" w:hanging="360"/>
      </w:p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210033BA"/>
    <w:multiLevelType w:val="multilevel"/>
    <w:tmpl w:val="414A269C"/>
    <w:lvl w:ilvl="0">
      <w:start w:val="1"/>
      <w:numFmt w:val="decimal"/>
      <w:lvlText w:val="%1."/>
      <w:lvlJc w:val="left"/>
      <w:pPr>
        <w:ind w:left="720" w:firstLine="0"/>
      </w:pPr>
      <w:rPr>
        <w:rFonts w:ascii="Times New Roman" w:hAnsi="Times New Roman" w:cs="Times New Roman"/>
        <w:b w:val="0"/>
        <w:i w:val="0"/>
        <w:strike w:val="0"/>
        <w:dstrike w:val="0"/>
        <w:vanish w:val="0"/>
        <w:position w:val="0"/>
        <w:sz w:val="22"/>
        <w:u w:val="none"/>
        <w:vertAlign w:val="baseline"/>
      </w:rPr>
    </w:lvl>
    <w:lvl w:ilvl="1">
      <w:start w:val="1"/>
      <w:numFmt w:val="lowerLetter"/>
      <w:lvlText w:val="%2."/>
      <w:lvlJc w:val="left"/>
      <w:pPr>
        <w:ind w:left="1710" w:hanging="360"/>
      </w:pPr>
      <w:rPr>
        <w:rFonts w:cs="Times New Roman"/>
      </w:rPr>
    </w:lvl>
    <w:lvl w:ilvl="2">
      <w:start w:val="1"/>
      <w:numFmt w:val="lowerRoman"/>
      <w:lvlText w:val="%3."/>
      <w:lvlJc w:val="right"/>
      <w:pPr>
        <w:ind w:left="2430" w:hanging="180"/>
      </w:pPr>
      <w:rPr>
        <w:rFonts w:cs="Times New Roman"/>
      </w:rPr>
    </w:lvl>
    <w:lvl w:ilvl="3">
      <w:start w:val="1"/>
      <w:numFmt w:val="decimal"/>
      <w:lvlText w:val="%4."/>
      <w:lvlJc w:val="left"/>
      <w:pPr>
        <w:ind w:left="3150" w:hanging="360"/>
      </w:pPr>
      <w:rPr>
        <w:rFonts w:cs="Times New Roman"/>
      </w:rPr>
    </w:lvl>
    <w:lvl w:ilvl="4">
      <w:start w:val="1"/>
      <w:numFmt w:val="lowerLetter"/>
      <w:lvlText w:val="%5."/>
      <w:lvlJc w:val="left"/>
      <w:pPr>
        <w:ind w:left="3870" w:hanging="360"/>
      </w:pPr>
      <w:rPr>
        <w:rFonts w:cs="Times New Roman"/>
      </w:rPr>
    </w:lvl>
    <w:lvl w:ilvl="5">
      <w:start w:val="1"/>
      <w:numFmt w:val="lowerRoman"/>
      <w:lvlText w:val="%6."/>
      <w:lvlJc w:val="right"/>
      <w:pPr>
        <w:ind w:left="4590" w:hanging="180"/>
      </w:pPr>
      <w:rPr>
        <w:rFonts w:cs="Times New Roman"/>
      </w:rPr>
    </w:lvl>
    <w:lvl w:ilvl="6">
      <w:start w:val="1"/>
      <w:numFmt w:val="decimal"/>
      <w:lvlText w:val="%7."/>
      <w:lvlJc w:val="left"/>
      <w:pPr>
        <w:ind w:left="5310" w:hanging="360"/>
      </w:pPr>
      <w:rPr>
        <w:rFonts w:cs="Times New Roman"/>
      </w:rPr>
    </w:lvl>
    <w:lvl w:ilvl="7">
      <w:start w:val="1"/>
      <w:numFmt w:val="lowerLetter"/>
      <w:lvlText w:val="%8."/>
      <w:lvlJc w:val="left"/>
      <w:pPr>
        <w:ind w:left="6030" w:hanging="360"/>
      </w:pPr>
      <w:rPr>
        <w:rFonts w:cs="Times New Roman"/>
      </w:rPr>
    </w:lvl>
    <w:lvl w:ilvl="8">
      <w:start w:val="1"/>
      <w:numFmt w:val="lowerRoman"/>
      <w:lvlText w:val="%9."/>
      <w:lvlJc w:val="right"/>
      <w:pPr>
        <w:ind w:left="6750" w:hanging="18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4504D6"/>
    <w:multiLevelType w:val="hybridMultilevel"/>
    <w:tmpl w:val="492808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7E45506"/>
    <w:multiLevelType w:val="multilevel"/>
    <w:tmpl w:val="79CE55EC"/>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b/>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lowerRoman"/>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4320" w:firstLine="0"/>
      </w:pPr>
      <w:rPr>
        <w:rFonts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9">
    <w:nsid w:val="389323AA"/>
    <w:multiLevelType w:val="multilevel"/>
    <w:tmpl w:val="74C066FC"/>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lowerRoman"/>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4320" w:firstLine="0"/>
      </w:pPr>
      <w:rPr>
        <w:rFonts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10">
    <w:nsid w:val="38BD6EF1"/>
    <w:multiLevelType w:val="hybridMultilevel"/>
    <w:tmpl w:val="8092E1D0"/>
    <w:lvl w:ilvl="0" w:tplc="A1163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CC0404"/>
    <w:multiLevelType w:val="hybridMultilevel"/>
    <w:tmpl w:val="24EE2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6C380E"/>
    <w:multiLevelType w:val="hybridMultilevel"/>
    <w:tmpl w:val="DA1C1F26"/>
    <w:lvl w:ilvl="0" w:tplc="92F6855E">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5F96D13"/>
    <w:multiLevelType w:val="multilevel"/>
    <w:tmpl w:val="9BF0C46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815462D"/>
    <w:multiLevelType w:val="hybridMultilevel"/>
    <w:tmpl w:val="F1A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11051"/>
    <w:multiLevelType w:val="hybridMultilevel"/>
    <w:tmpl w:val="6C9E5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A32B7E"/>
    <w:multiLevelType w:val="multilevel"/>
    <w:tmpl w:val="80B6541E"/>
    <w:styleLink w:val="LFO4"/>
    <w:lvl w:ilvl="0">
      <w:start w:val="1"/>
      <w:numFmt w:val="lowerRoman"/>
      <w:pStyle w:val="Head5"/>
      <w:lvlText w:val="%1."/>
      <w:lvlJc w:val="right"/>
      <w:pPr>
        <w:ind w:left="720" w:firstLine="0"/>
      </w:pPr>
      <w:rPr>
        <w:rFonts w:ascii="Times New Roman Bold" w:hAnsi="Times New Roman Bold"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20">
    <w:nsid w:val="79D06619"/>
    <w:multiLevelType w:val="multilevel"/>
    <w:tmpl w:val="4B8EF93C"/>
    <w:styleLink w:val="1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F180915"/>
    <w:multiLevelType w:val="multilevel"/>
    <w:tmpl w:val="481A9446"/>
    <w:lvl w:ilvl="0">
      <w:start w:val="1"/>
      <w:numFmt w:val="decimal"/>
      <w:lvlText w:val="%1)"/>
      <w:lvlJc w:val="left"/>
      <w:pPr>
        <w:ind w:left="1620" w:hanging="360"/>
      </w:pPr>
      <w:rPr>
        <w:rFonts w:cs="Times New Roman"/>
        <w:b w:val="0"/>
        <w:i w:val="0"/>
        <w:strike w:val="0"/>
        <w:dstrike w:val="0"/>
        <w:vanish w:val="0"/>
        <w:position w:val="0"/>
        <w:sz w:val="22"/>
        <w:szCs w:val="22"/>
        <w:u w:val="none"/>
        <w:vertAlign w:val="baseline"/>
      </w:rPr>
    </w:lvl>
    <w:lvl w:ilvl="1">
      <w:start w:val="4"/>
      <w:numFmt w:val="upperLetter"/>
      <w:lvlText w:val="%2."/>
      <w:lvlJc w:val="left"/>
      <w:pPr>
        <w:ind w:left="1440" w:hanging="360"/>
      </w:pPr>
      <w:rPr>
        <w:rFonts w:cs="Times New Roman"/>
      </w:rPr>
    </w:lvl>
    <w:lvl w:ilvl="2">
      <w:start w:val="3"/>
      <w:numFmt w:val="lowerLetter"/>
      <w:lvlText w:val="%3."/>
      <w:lvlJc w:val="left"/>
      <w:pPr>
        <w:ind w:left="2340" w:hanging="360"/>
      </w:pPr>
      <w:rPr>
        <w:rFonts w:cs="Times New Roman"/>
      </w:rPr>
    </w:lvl>
    <w:lvl w:ilvl="3">
      <w:start w:val="5"/>
      <w:numFmt w:val="lowerRoman"/>
      <w:lvlText w:val="(%4)"/>
      <w:lvlJc w:val="left"/>
      <w:pPr>
        <w:ind w:left="3240" w:hanging="720"/>
      </w:pPr>
      <w:rPr>
        <w:rFonts w:cs="Times New Roman"/>
        <w:i/>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15"/>
  </w:num>
  <w:num w:numId="3">
    <w:abstractNumId w:val="7"/>
  </w:num>
  <w:num w:numId="4">
    <w:abstractNumId w:val="13"/>
  </w:num>
  <w:num w:numId="5">
    <w:abstractNumId w:val="5"/>
  </w:num>
  <w:num w:numId="6">
    <w:abstractNumId w:val="1"/>
  </w:num>
  <w:num w:numId="7">
    <w:abstractNumId w:val="20"/>
  </w:num>
  <w:num w:numId="8">
    <w:abstractNumId w:val="0"/>
    <w:lvlOverride w:ilvl="0">
      <w:lvl w:ilvl="0">
        <w:start w:val="1"/>
        <w:numFmt w:val="decimal"/>
        <w:pStyle w:val="StyleParaNumLeft"/>
        <w:lvlText w:val="%1."/>
        <w:lvlJc w:val="left"/>
        <w:pPr>
          <w:ind w:left="7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9">
    <w:abstractNumId w:val="18"/>
  </w:num>
  <w:num w:numId="10">
    <w:abstractNumId w:val="9"/>
  </w:num>
  <w:num w:numId="11">
    <w:abstractNumId w:val="0"/>
  </w:num>
  <w:num w:numId="12">
    <w:abstractNumId w:val="15"/>
    <w:lvlOverride w:ilvl="0">
      <w:startOverride w:val="1"/>
    </w:lvlOverride>
  </w:num>
  <w:num w:numId="13">
    <w:abstractNumId w:val="19"/>
  </w:num>
  <w:num w:numId="14">
    <w:abstractNumId w:val="2"/>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3"/>
  </w:num>
  <w:num w:numId="21">
    <w:abstractNumId w:val="17"/>
  </w:num>
  <w:num w:numId="22">
    <w:abstractNumId w:val="6"/>
  </w:num>
  <w:num w:numId="23">
    <w:abstractNumId w:val="16"/>
  </w:num>
  <w:num w:numId="24">
    <w:abstractNumId w:val="11"/>
  </w:num>
  <w:num w:numId="25">
    <w:abstractNumId w:val="10"/>
  </w:num>
  <w:num w:numId="26">
    <w:abstractNumId w:val="0"/>
    <w:lvlOverride w:ilvl="0">
      <w:startOverride w:val="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startOverride w:val="4"/>
      <w:lvl w:ilvl="1">
        <w:start w:val="4"/>
        <w:numFmt w:val="upperLetter"/>
        <w:lvlText w:val="%2."/>
        <w:lvlJc w:val="left"/>
        <w:pPr>
          <w:ind w:left="1800" w:hanging="360"/>
        </w:pPr>
        <w:rPr>
          <w:rFonts w:cs="Times New Roman"/>
        </w:rPr>
      </w:lvl>
    </w:lvlOverride>
    <w:lvlOverride w:ilvl="2">
      <w:startOverride w:val="3"/>
      <w:lvl w:ilvl="2">
        <w:start w:val="3"/>
        <w:numFmt w:val="lowerLetter"/>
        <w:lvlText w:val="%3."/>
        <w:lvlJc w:val="left"/>
        <w:pPr>
          <w:ind w:left="2700" w:hanging="360"/>
        </w:pPr>
        <w:rPr>
          <w:rFonts w:cs="Times New Roman"/>
        </w:rPr>
      </w:lvl>
    </w:lvlOverride>
    <w:lvlOverride w:ilvl="3">
      <w:startOverride w:val="5"/>
      <w:lvl w:ilvl="3">
        <w:start w:val="5"/>
        <w:numFmt w:val="lowerRoman"/>
        <w:lvlText w:val="(%4)"/>
        <w:lvlJc w:val="left"/>
        <w:pPr>
          <w:ind w:left="3600" w:hanging="720"/>
        </w:pPr>
        <w:rPr>
          <w:rFonts w:cs="Times New Roman"/>
          <w:i/>
        </w:rPr>
      </w:lvl>
    </w:lvlOverride>
    <w:lvlOverride w:ilvl="4">
      <w:startOverride w:val="1"/>
      <w:lvl w:ilvl="4">
        <w:start w:val="1"/>
        <w:numFmt w:val="decimal"/>
        <w:lvlText w:val="%5)"/>
        <w:lvlJc w:val="left"/>
        <w:pPr>
          <w:ind w:left="3960" w:hanging="360"/>
        </w:pPr>
        <w:rPr>
          <w:rFonts w:cs="Times New Roman"/>
        </w:rPr>
      </w:lvl>
    </w:lvlOverride>
    <w:lvlOverride w:ilvl="5">
      <w:startOverride w:val="1"/>
      <w:lvl w:ilvl="5">
        <w:start w:val="1"/>
        <w:numFmt w:val="lowerRoman"/>
        <w:lvlText w:val="%6."/>
        <w:lvlJc w:val="right"/>
        <w:pPr>
          <w:ind w:left="4680" w:hanging="180"/>
        </w:pPr>
        <w:rPr>
          <w:rFonts w:cs="Times New Roman"/>
        </w:rPr>
      </w:lvl>
    </w:lvlOverride>
    <w:lvlOverride w:ilvl="6">
      <w:startOverride w:val="1"/>
      <w:lvl w:ilvl="6">
        <w:start w:val="1"/>
        <w:numFmt w:val="decimal"/>
        <w:lvlText w:val="%7."/>
        <w:lvlJc w:val="left"/>
        <w:pPr>
          <w:ind w:left="5400" w:hanging="360"/>
        </w:pPr>
        <w:rPr>
          <w:rFonts w:cs="Times New Roman"/>
        </w:rPr>
      </w:lvl>
    </w:lvlOverride>
    <w:lvlOverride w:ilvl="7">
      <w:startOverride w:val="1"/>
      <w:lvl w:ilvl="7">
        <w:start w:val="1"/>
        <w:numFmt w:val="lowerLetter"/>
        <w:lvlText w:val="%8."/>
        <w:lvlJc w:val="left"/>
        <w:pPr>
          <w:ind w:left="6120" w:hanging="360"/>
        </w:pPr>
        <w:rPr>
          <w:rFonts w:cs="Times New Roman"/>
        </w:rPr>
      </w:lvl>
    </w:lvlOverride>
    <w:lvlOverride w:ilvl="8">
      <w:startOverride w:val="1"/>
      <w:lvl w:ilvl="8">
        <w:start w:val="1"/>
        <w:numFmt w:val="lowerRoman"/>
        <w:lvlText w:val="%9."/>
        <w:lvlJc w:val="right"/>
        <w:pPr>
          <w:ind w:left="6840" w:hanging="180"/>
        </w:pPr>
        <w:rPr>
          <w:rFonts w:cs="Times New Roman"/>
        </w:rPr>
      </w:lvl>
    </w:lvlOverride>
  </w:num>
  <w:num w:numId="27">
    <w:abstractNumId w:val="12"/>
  </w:num>
  <w:num w:numId="28">
    <w:abstractNumId w:val="0"/>
    <w:lvlOverride w:ilvl="0">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rules v:ext="edit">
        <o:r id="V:Rule3" type="connector" idref="#Line 2"/>
        <o:r id="V:Rule4" type="connector" idref="#Line 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B1B"/>
    <w:rsid w:val="00036039"/>
    <w:rsid w:val="00037F90"/>
    <w:rsid w:val="000875BF"/>
    <w:rsid w:val="00096D8C"/>
    <w:rsid w:val="000C0B65"/>
    <w:rsid w:val="000D1585"/>
    <w:rsid w:val="000E05FE"/>
    <w:rsid w:val="000E3D42"/>
    <w:rsid w:val="00122BD5"/>
    <w:rsid w:val="00133F79"/>
    <w:rsid w:val="00194A66"/>
    <w:rsid w:val="001D6BCF"/>
    <w:rsid w:val="001E01CA"/>
    <w:rsid w:val="00275CF5"/>
    <w:rsid w:val="0028301F"/>
    <w:rsid w:val="00285017"/>
    <w:rsid w:val="002A2D2E"/>
    <w:rsid w:val="002C00E8"/>
    <w:rsid w:val="00340CE4"/>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44B1B"/>
    <w:rsid w:val="00785689"/>
    <w:rsid w:val="0079754B"/>
    <w:rsid w:val="007A1E6D"/>
    <w:rsid w:val="007B0EB2"/>
    <w:rsid w:val="00810B6F"/>
    <w:rsid w:val="00822CE0"/>
    <w:rsid w:val="00841AB1"/>
    <w:rsid w:val="008C68F1"/>
    <w:rsid w:val="00921803"/>
    <w:rsid w:val="00926503"/>
    <w:rsid w:val="009726D8"/>
    <w:rsid w:val="009F218E"/>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3A8F"/>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20E6"/>
    <w:rsid w:val="00EE6488"/>
    <w:rsid w:val="00F021FA"/>
    <w:rsid w:val="00F55941"/>
    <w:rsid w:val="00F62E97"/>
    <w:rsid w:val="00F64209"/>
    <w:rsid w:val="00F93BF5"/>
    <w:rsid w:val="00FB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rPr>
      <w:sz w:val="20"/>
    </w:rPr>
  </w:style>
  <w:style w:type="character" w:styleId="EndnoteReference">
    <w:name w:val="endnote reference"/>
    <w:rPr>
      <w:vertAlign w:val="superscript"/>
    </w:rPr>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 Cha,fn,f,ALTS FOOTNOTE"/>
    <w:link w:val="FootnoteTextChar"/>
    <w:rsid w:val="000E3D42"/>
    <w:pPr>
      <w:spacing w:after="120"/>
    </w:pPr>
  </w:style>
  <w:style w:type="character" w:styleId="FootnoteReference">
    <w:name w:val="footnote reference"/>
    <w:aliases w:val="Appel note de bas de p,Style 12,(NECG) Footnote Reference,Style 124,o,fr,Style 3,Style 13,Style 17,FR,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rsid w:val="00744B1B"/>
    <w:rPr>
      <w:b/>
      <w:caps/>
      <w:sz w:val="22"/>
      <w:lang w:val="en-US" w:eastAsia="en-US"/>
    </w:rPr>
  </w:style>
  <w:style w:type="character" w:customStyle="1" w:styleId="Heading2Char">
    <w:name w:val="Heading 2 Char"/>
    <w:rsid w:val="00744B1B"/>
    <w:rPr>
      <w:b/>
      <w:sz w:val="22"/>
      <w:lang w:val="en-US" w:eastAsia="en-US"/>
    </w:rPr>
  </w:style>
  <w:style w:type="character" w:customStyle="1" w:styleId="Heading3Char2">
    <w:name w:val="Heading 3 Char2"/>
    <w:rsid w:val="00744B1B"/>
    <w:rPr>
      <w:b/>
      <w:kern w:val="3"/>
      <w:sz w:val="20"/>
    </w:rPr>
  </w:style>
  <w:style w:type="character" w:customStyle="1" w:styleId="Heading4Char3">
    <w:name w:val="Heading 4 Char3"/>
    <w:rsid w:val="00744B1B"/>
    <w:rPr>
      <w:b/>
      <w:kern w:val="3"/>
      <w:sz w:val="20"/>
    </w:rPr>
  </w:style>
  <w:style w:type="character" w:customStyle="1" w:styleId="Heading5Char1">
    <w:name w:val="Heading 5 Char1"/>
    <w:rsid w:val="00744B1B"/>
    <w:rPr>
      <w:b/>
      <w:kern w:val="3"/>
      <w:sz w:val="22"/>
      <w:lang w:val="en-US" w:eastAsia="en-US"/>
    </w:rPr>
  </w:style>
  <w:style w:type="character" w:customStyle="1" w:styleId="Heading6Char">
    <w:name w:val="Heading 6 Char"/>
    <w:rsid w:val="00744B1B"/>
    <w:rPr>
      <w:b/>
      <w:sz w:val="22"/>
      <w:lang w:val="en-US" w:eastAsia="en-US"/>
    </w:rPr>
  </w:style>
  <w:style w:type="character" w:customStyle="1" w:styleId="Heading7Char1">
    <w:name w:val="Heading 7 Char1"/>
    <w:rsid w:val="00744B1B"/>
    <w:rPr>
      <w:b/>
      <w:kern w:val="3"/>
      <w:sz w:val="20"/>
    </w:rPr>
  </w:style>
  <w:style w:type="character" w:customStyle="1" w:styleId="Heading8Char">
    <w:name w:val="Heading 8 Char"/>
    <w:rsid w:val="00744B1B"/>
    <w:rPr>
      <w:b/>
      <w:kern w:val="3"/>
      <w:sz w:val="22"/>
      <w:lang w:val="en-US" w:eastAsia="en-US"/>
    </w:rPr>
  </w:style>
  <w:style w:type="character" w:customStyle="1" w:styleId="Heading9Char">
    <w:name w:val="Heading 9 Char"/>
    <w:rsid w:val="00744B1B"/>
    <w:rPr>
      <w:b/>
      <w:sz w:val="22"/>
      <w:lang w:val="en-US" w:eastAsia="en-US"/>
    </w:rPr>
  </w:style>
  <w:style w:type="paragraph" w:styleId="BalloonText">
    <w:name w:val="Balloon Text"/>
    <w:basedOn w:val="Normal"/>
    <w:link w:val="BalloonTextChar"/>
    <w:rsid w:val="00744B1B"/>
    <w:rPr>
      <w:sz w:val="20"/>
    </w:rPr>
  </w:style>
  <w:style w:type="character" w:customStyle="1" w:styleId="BalloonTextChar">
    <w:name w:val="Balloon Text Char"/>
    <w:basedOn w:val="DefaultParagraphFont"/>
    <w:link w:val="BalloonText"/>
    <w:rsid w:val="00744B1B"/>
    <w:rPr>
      <w:snapToGrid w:val="0"/>
      <w:kern w:val="28"/>
    </w:rPr>
  </w:style>
  <w:style w:type="character" w:customStyle="1" w:styleId="Heading1Char1">
    <w:name w:val="Heading 1 Char1"/>
    <w:rsid w:val="00744B1B"/>
    <w:rPr>
      <w:rFonts w:ascii="Times New Roman Bold" w:hAnsi="Times New Roman Bold"/>
      <w:b/>
      <w:caps/>
      <w:kern w:val="3"/>
      <w:sz w:val="20"/>
    </w:rPr>
  </w:style>
  <w:style w:type="character" w:customStyle="1" w:styleId="Heading2Char2">
    <w:name w:val="Heading 2 Char2"/>
    <w:rsid w:val="00744B1B"/>
    <w:rPr>
      <w:b/>
      <w:kern w:val="3"/>
    </w:rPr>
  </w:style>
  <w:style w:type="character" w:customStyle="1" w:styleId="Heading5Char2">
    <w:name w:val="Heading 5 Char2"/>
    <w:rsid w:val="00744B1B"/>
    <w:rPr>
      <w:b/>
      <w:kern w:val="3"/>
      <w:sz w:val="20"/>
    </w:rPr>
  </w:style>
  <w:style w:type="character" w:customStyle="1" w:styleId="Heading6Char1">
    <w:name w:val="Heading 6 Char1"/>
    <w:rsid w:val="00744B1B"/>
    <w:rPr>
      <w:b/>
      <w:kern w:val="3"/>
      <w:sz w:val="20"/>
    </w:rPr>
  </w:style>
  <w:style w:type="character" w:customStyle="1" w:styleId="Heading8Char1">
    <w:name w:val="Heading 8 Char1"/>
    <w:rsid w:val="00744B1B"/>
    <w:rPr>
      <w:b/>
      <w:kern w:val="3"/>
      <w:sz w:val="20"/>
    </w:rPr>
  </w:style>
  <w:style w:type="character" w:customStyle="1" w:styleId="Heading9Char1">
    <w:name w:val="Heading 9 Char1"/>
    <w:rsid w:val="00744B1B"/>
    <w:rPr>
      <w:b/>
      <w:kern w:val="3"/>
      <w:sz w:val="20"/>
    </w:rPr>
  </w:style>
  <w:style w:type="character" w:customStyle="1" w:styleId="BalloonTextChar1">
    <w:name w:val="Balloon Text Char1"/>
    <w:rsid w:val="00744B1B"/>
    <w:rPr>
      <w:sz w:val="20"/>
    </w:rPr>
  </w:style>
  <w:style w:type="character" w:customStyle="1" w:styleId="EndnoteTextChar">
    <w:name w:val="Endnote Text Char"/>
    <w:rsid w:val="00744B1B"/>
    <w:rPr>
      <w:kern w:val="3"/>
      <w:lang w:val="en-US" w:eastAsia="en-US"/>
    </w:rPr>
  </w:style>
  <w:style w:type="character" w:customStyle="1" w:styleId="EndnoteTextChar1">
    <w:name w:val="Endnote Text Char1"/>
    <w:rsid w:val="00744B1B"/>
    <w:rPr>
      <w:kern w:val="3"/>
    </w:rPr>
  </w:style>
  <w:style w:type="character" w:customStyle="1" w:styleId="FootnoteTextChar1">
    <w:name w:val="Footnote Text Char1"/>
    <w:rsid w:val="00744B1B"/>
    <w:rPr>
      <w:sz w:val="20"/>
    </w:rPr>
  </w:style>
  <w:style w:type="character" w:customStyle="1" w:styleId="HeaderChar">
    <w:name w:val="Header Char"/>
    <w:rsid w:val="00744B1B"/>
    <w:rPr>
      <w:b/>
      <w:kern w:val="3"/>
      <w:sz w:val="22"/>
      <w:lang w:val="en-US" w:eastAsia="en-US"/>
    </w:rPr>
  </w:style>
  <w:style w:type="character" w:customStyle="1" w:styleId="HeaderChar1">
    <w:name w:val="Header Char1"/>
    <w:rsid w:val="00744B1B"/>
    <w:rPr>
      <w:b/>
      <w:kern w:val="3"/>
      <w:sz w:val="22"/>
    </w:rPr>
  </w:style>
  <w:style w:type="character" w:customStyle="1" w:styleId="FooterChar1">
    <w:name w:val="Footer Char1"/>
    <w:rsid w:val="00744B1B"/>
    <w:rPr>
      <w:kern w:val="3"/>
      <w:sz w:val="22"/>
      <w:lang w:val="en-US" w:eastAsia="en-US"/>
    </w:rPr>
  </w:style>
  <w:style w:type="character" w:customStyle="1" w:styleId="FooterChar2">
    <w:name w:val="Footer Char2"/>
    <w:rsid w:val="00744B1B"/>
    <w:rPr>
      <w:kern w:val="3"/>
      <w:sz w:val="22"/>
    </w:rPr>
  </w:style>
  <w:style w:type="paragraph" w:styleId="Caption">
    <w:name w:val="caption"/>
    <w:basedOn w:val="Normal"/>
    <w:next w:val="Normal"/>
    <w:rsid w:val="00744B1B"/>
    <w:pPr>
      <w:spacing w:before="120" w:after="120"/>
    </w:pPr>
    <w:rPr>
      <w:b/>
    </w:rPr>
  </w:style>
  <w:style w:type="character" w:styleId="CommentReference">
    <w:name w:val="annotation reference"/>
    <w:rsid w:val="00744B1B"/>
    <w:rPr>
      <w:rFonts w:cs="Times New Roman"/>
      <w:sz w:val="16"/>
    </w:rPr>
  </w:style>
  <w:style w:type="paragraph" w:styleId="CommentText">
    <w:name w:val="annotation text"/>
    <w:basedOn w:val="Normal"/>
    <w:link w:val="CommentTextChar"/>
    <w:rsid w:val="00744B1B"/>
    <w:rPr>
      <w:sz w:val="20"/>
    </w:rPr>
  </w:style>
  <w:style w:type="character" w:customStyle="1" w:styleId="CommentTextChar">
    <w:name w:val="Comment Text Char"/>
    <w:basedOn w:val="DefaultParagraphFont"/>
    <w:link w:val="CommentText"/>
    <w:rsid w:val="00744B1B"/>
    <w:rPr>
      <w:snapToGrid w:val="0"/>
      <w:kern w:val="28"/>
    </w:rPr>
  </w:style>
  <w:style w:type="character" w:customStyle="1" w:styleId="CommentTextChar1">
    <w:name w:val="Comment Text Char1"/>
    <w:rsid w:val="00744B1B"/>
    <w:rPr>
      <w:sz w:val="20"/>
    </w:rPr>
  </w:style>
  <w:style w:type="character" w:customStyle="1" w:styleId="cover-title">
    <w:name w:val="cover-title"/>
    <w:rsid w:val="00744B1B"/>
  </w:style>
  <w:style w:type="character" w:customStyle="1" w:styleId="FootnoteTextChar11">
    <w:name w:val="Footnote Text Char11"/>
    <w:rsid w:val="00744B1B"/>
    <w:rPr>
      <w:lang w:val="en-US" w:eastAsia="en-US"/>
    </w:rPr>
  </w:style>
  <w:style w:type="character" w:customStyle="1" w:styleId="FootnoteTextChar2">
    <w:name w:val="Footnote Text Char2"/>
    <w:aliases w:val="Footnote Text Char5 Char Char Char,Footnote Text Char Char Char Char Char,Footnote Text Char4 Char Char1 Char Char Char,Footnote Text Char2 Char Char2 Char2 Char Char Char"/>
    <w:rsid w:val="00744B1B"/>
    <w:rPr>
      <w:lang w:val="en-US" w:eastAsia="en-US"/>
    </w:rPr>
  </w:style>
  <w:style w:type="character" w:styleId="FollowedHyperlink">
    <w:name w:val="FollowedHyperlink"/>
    <w:rsid w:val="00744B1B"/>
    <w:rPr>
      <w:rFonts w:cs="Times New Roman"/>
      <w:color w:val="800080"/>
      <w:u w:val="single"/>
    </w:rPr>
  </w:style>
  <w:style w:type="paragraph" w:styleId="HTMLPreformatted">
    <w:name w:val="HTML Preformatted"/>
    <w:basedOn w:val="Normal"/>
    <w:link w:val="HTMLPreformattedChar"/>
    <w:rsid w:val="0074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744B1B"/>
    <w:rPr>
      <w:rFonts w:ascii="Courier New" w:hAnsi="Courier New"/>
      <w:snapToGrid w:val="0"/>
      <w:kern w:val="28"/>
    </w:rPr>
  </w:style>
  <w:style w:type="character" w:customStyle="1" w:styleId="HTMLPreformattedChar1">
    <w:name w:val="HTML Preformatted Char1"/>
    <w:rsid w:val="00744B1B"/>
    <w:rPr>
      <w:rFonts w:ascii="Courier New" w:hAnsi="Courier New"/>
      <w:sz w:val="20"/>
    </w:rPr>
  </w:style>
  <w:style w:type="paragraph" w:styleId="DocumentMap">
    <w:name w:val="Document Map"/>
    <w:basedOn w:val="Normal"/>
    <w:link w:val="DocumentMapChar"/>
    <w:rsid w:val="00744B1B"/>
    <w:pPr>
      <w:shd w:val="clear" w:color="auto" w:fill="000080"/>
    </w:pPr>
    <w:rPr>
      <w:sz w:val="2"/>
    </w:rPr>
  </w:style>
  <w:style w:type="character" w:customStyle="1" w:styleId="DocumentMapChar">
    <w:name w:val="Document Map Char"/>
    <w:basedOn w:val="DefaultParagraphFont"/>
    <w:link w:val="DocumentMap"/>
    <w:rsid w:val="00744B1B"/>
    <w:rPr>
      <w:snapToGrid w:val="0"/>
      <w:kern w:val="28"/>
      <w:sz w:val="2"/>
      <w:shd w:val="clear" w:color="auto" w:fill="000080"/>
    </w:rPr>
  </w:style>
  <w:style w:type="character" w:customStyle="1" w:styleId="DocumentMapChar1">
    <w:name w:val="Document Map Char1"/>
    <w:rsid w:val="00744B1B"/>
    <w:rPr>
      <w:sz w:val="2"/>
    </w:rPr>
  </w:style>
  <w:style w:type="character" w:customStyle="1" w:styleId="FootnoteTextCharChar3">
    <w:name w:val="Footnote Text Char Char3"/>
    <w:rsid w:val="00744B1B"/>
    <w:rPr>
      <w:kern w:val="3"/>
      <w:sz w:val="22"/>
      <w:lang w:val="en-US" w:eastAsia="en-US"/>
    </w:rPr>
  </w:style>
  <w:style w:type="character" w:customStyle="1" w:styleId="CharCharCharCharCharChar">
    <w:name w:val="Char Char Char Char Char Char"/>
    <w:rsid w:val="00744B1B"/>
    <w:rPr>
      <w:lang w:val="en-US" w:eastAsia="en-US"/>
    </w:rPr>
  </w:style>
  <w:style w:type="paragraph" w:styleId="CommentSubject">
    <w:name w:val="annotation subject"/>
    <w:basedOn w:val="CommentText"/>
    <w:next w:val="CommentText"/>
    <w:link w:val="CommentSubjectChar"/>
    <w:rsid w:val="00744B1B"/>
    <w:rPr>
      <w:b/>
    </w:rPr>
  </w:style>
  <w:style w:type="character" w:customStyle="1" w:styleId="CommentSubjectChar">
    <w:name w:val="Comment Subject Char"/>
    <w:basedOn w:val="CommentTextChar"/>
    <w:link w:val="CommentSubject"/>
    <w:rsid w:val="00744B1B"/>
    <w:rPr>
      <w:b/>
      <w:snapToGrid w:val="0"/>
      <w:kern w:val="28"/>
    </w:rPr>
  </w:style>
  <w:style w:type="character" w:customStyle="1" w:styleId="CommentSubjectChar1">
    <w:name w:val="Comment Subject Char1"/>
    <w:rsid w:val="00744B1B"/>
    <w:rPr>
      <w:b/>
      <w:sz w:val="20"/>
    </w:rPr>
  </w:style>
  <w:style w:type="character" w:customStyle="1" w:styleId="documentbody1">
    <w:name w:val="documentbody1"/>
    <w:rsid w:val="00744B1B"/>
    <w:rPr>
      <w:rFonts w:ascii="Verdana" w:hAnsi="Verdana"/>
      <w:sz w:val="19"/>
      <w:shd w:val="clear" w:color="auto" w:fill="FFFFFF"/>
    </w:rPr>
  </w:style>
  <w:style w:type="character" w:customStyle="1" w:styleId="FootnoteTextChar1Char1">
    <w:name w:val="Footnote Text Char1 Char1"/>
    <w:rsid w:val="00744B1B"/>
    <w:rPr>
      <w:sz w:val="24"/>
      <w:lang w:val="en-US" w:eastAsia="en-US"/>
    </w:rPr>
  </w:style>
  <w:style w:type="character" w:customStyle="1" w:styleId="FootnoteTextCharCharCharCharCharChar2Char">
    <w:name w:val="Footnote Text Char Char Char Char Char Char2 Char"/>
    <w:rsid w:val="00744B1B"/>
    <w:rPr>
      <w:sz w:val="24"/>
      <w:lang w:val="en-US" w:eastAsia="en-US"/>
    </w:rPr>
  </w:style>
  <w:style w:type="character" w:customStyle="1" w:styleId="FootnoteTextChar4Char">
    <w:name w:val="Footnote Text Char4 Char"/>
    <w:rsid w:val="00744B1B"/>
    <w:rPr>
      <w:lang w:val="en-US" w:eastAsia="en-US"/>
    </w:rPr>
  </w:style>
  <w:style w:type="paragraph" w:styleId="ListBullet3">
    <w:name w:val="List Bullet 3"/>
    <w:basedOn w:val="Normal"/>
    <w:autoRedefine/>
    <w:rsid w:val="00744B1B"/>
    <w:pPr>
      <w:tabs>
        <w:tab w:val="left" w:pos="1440"/>
      </w:tabs>
      <w:ind w:left="1440" w:hanging="360"/>
    </w:pPr>
  </w:style>
  <w:style w:type="character" w:customStyle="1" w:styleId="FootnoteTextChar1CharCharCharChar2CharChar">
    <w:name w:val="Footnote Text Char1 Char Char Char Char2 Char Char"/>
    <w:rsid w:val="00744B1B"/>
    <w:rPr>
      <w:kern w:val="3"/>
      <w:sz w:val="22"/>
      <w:lang w:val="en-US" w:eastAsia="en-US"/>
    </w:rPr>
  </w:style>
  <w:style w:type="character" w:customStyle="1" w:styleId="FootnoteTextChar3CharCharChar1">
    <w:name w:val="Footnote Text Char3 Char Char Char1"/>
    <w:rsid w:val="00744B1B"/>
    <w:rPr>
      <w:kern w:val="3"/>
      <w:sz w:val="22"/>
      <w:lang w:val="en-US" w:eastAsia="en-US"/>
    </w:rPr>
  </w:style>
  <w:style w:type="paragraph" w:styleId="NormalWeb">
    <w:name w:val="Normal (Web)"/>
    <w:basedOn w:val="Normal"/>
    <w:uiPriority w:val="99"/>
    <w:rsid w:val="00744B1B"/>
    <w:pPr>
      <w:spacing w:before="100" w:after="100"/>
    </w:pPr>
  </w:style>
  <w:style w:type="character" w:customStyle="1" w:styleId="resultsublistitemfull1">
    <w:name w:val="resultsublistitemfull1"/>
    <w:rsid w:val="00744B1B"/>
    <w:rPr>
      <w:rFonts w:ascii="Arial" w:hAnsi="Arial"/>
      <w:color w:val="636363"/>
      <w:sz w:val="16"/>
    </w:rPr>
  </w:style>
  <w:style w:type="character" w:styleId="Emphasis">
    <w:name w:val="Emphasis"/>
    <w:rsid w:val="00744B1B"/>
    <w:rPr>
      <w:rFonts w:cs="Times New Roman"/>
      <w:i/>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rsid w:val="00744B1B"/>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rsid w:val="00744B1B"/>
    <w:rPr>
      <w:kern w:val="3"/>
      <w:sz w:val="22"/>
      <w:lang w:val="en-US" w:eastAsia="en-US"/>
    </w:rPr>
  </w:style>
  <w:style w:type="character" w:customStyle="1" w:styleId="Footnote">
    <w:name w:val="Footnote"/>
    <w:uiPriority w:val="99"/>
    <w:rsid w:val="00744B1B"/>
  </w:style>
  <w:style w:type="character" w:styleId="Strong">
    <w:name w:val="Strong"/>
    <w:uiPriority w:val="22"/>
    <w:qFormat/>
    <w:rsid w:val="00744B1B"/>
    <w:rPr>
      <w:rFonts w:cs="Times New Roman"/>
      <w:b/>
    </w:rPr>
  </w:style>
  <w:style w:type="paragraph" w:customStyle="1" w:styleId="tabletitle">
    <w:name w:val="table_title"/>
    <w:basedOn w:val="Normal"/>
    <w:rsid w:val="00744B1B"/>
    <w:pPr>
      <w:spacing w:before="100" w:after="100"/>
      <w:jc w:val="center"/>
    </w:pPr>
    <w:rPr>
      <w:b/>
      <w:bCs/>
    </w:rPr>
  </w:style>
  <w:style w:type="paragraph" w:customStyle="1" w:styleId="Paranum0">
    <w:name w:val="Para num"/>
    <w:basedOn w:val="Normal"/>
    <w:rsid w:val="00744B1B"/>
    <w:pPr>
      <w:spacing w:line="480" w:lineRule="auto"/>
      <w:ind w:left="270"/>
    </w:pPr>
  </w:style>
  <w:style w:type="paragraph" w:customStyle="1" w:styleId="Default">
    <w:name w:val="Default"/>
    <w:rsid w:val="00744B1B"/>
    <w:pPr>
      <w:suppressAutoHyphens/>
      <w:autoSpaceDE w:val="0"/>
      <w:autoSpaceDN w:val="0"/>
      <w:textAlignment w:val="baseline"/>
    </w:pPr>
    <w:rPr>
      <w:color w:val="000000"/>
      <w:sz w:val="24"/>
      <w:szCs w:val="24"/>
    </w:rPr>
  </w:style>
  <w:style w:type="character" w:customStyle="1" w:styleId="updatebodytest1">
    <w:name w:val="updatebodytest1"/>
    <w:rsid w:val="00744B1B"/>
    <w:rPr>
      <w:rFonts w:ascii="Arial" w:hAnsi="Arial"/>
      <w:sz w:val="18"/>
    </w:rPr>
  </w:style>
  <w:style w:type="paragraph" w:customStyle="1" w:styleId="tablenote">
    <w:name w:val="table_note"/>
    <w:basedOn w:val="Normal"/>
    <w:rsid w:val="00744B1B"/>
    <w:pPr>
      <w:spacing w:before="100" w:after="100"/>
    </w:pPr>
  </w:style>
  <w:style w:type="paragraph" w:styleId="ListParagraph">
    <w:name w:val="List Paragraph"/>
    <w:basedOn w:val="Normal"/>
    <w:qFormat/>
    <w:rsid w:val="00744B1B"/>
    <w:pPr>
      <w:ind w:left="720"/>
    </w:pPr>
  </w:style>
  <w:style w:type="paragraph" w:customStyle="1" w:styleId="answer">
    <w:name w:val="answer"/>
    <w:basedOn w:val="Normal"/>
    <w:rsid w:val="00744B1B"/>
    <w:pPr>
      <w:spacing w:after="100"/>
      <w:ind w:left="600"/>
    </w:pPr>
    <w:rPr>
      <w:rFonts w:ascii="Arial" w:hAnsi="Arial" w:cs="Arial"/>
      <w:color w:val="000000"/>
      <w:sz w:val="20"/>
    </w:rPr>
  </w:style>
  <w:style w:type="character" w:customStyle="1" w:styleId="ParaNumChar">
    <w:name w:val="ParaNum Char"/>
    <w:rsid w:val="00744B1B"/>
    <w:rPr>
      <w:kern w:val="3"/>
      <w:sz w:val="20"/>
      <w:szCs w:val="20"/>
    </w:rPr>
  </w:style>
  <w:style w:type="character" w:customStyle="1" w:styleId="documentbody">
    <w:name w:val="documentbody"/>
    <w:rsid w:val="00744B1B"/>
  </w:style>
  <w:style w:type="character" w:customStyle="1" w:styleId="normalChar">
    <w:name w:val="normal Char"/>
    <w:rsid w:val="00744B1B"/>
    <w:rPr>
      <w:rFonts w:ascii="Arial" w:hAnsi="Arial"/>
    </w:rPr>
  </w:style>
  <w:style w:type="paragraph" w:customStyle="1" w:styleId="Normal1">
    <w:name w:val="Normal1"/>
    <w:basedOn w:val="Normal"/>
    <w:rsid w:val="00744B1B"/>
    <w:pPr>
      <w:spacing w:after="100"/>
    </w:pPr>
    <w:rPr>
      <w:rFonts w:ascii="Arial" w:hAnsi="Arial"/>
      <w:sz w:val="20"/>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rsid w:val="00744B1B"/>
    <w:rPr>
      <w:lang w:val="en-US" w:eastAsia="en-US"/>
    </w:rPr>
  </w:style>
  <w:style w:type="character" w:customStyle="1" w:styleId="ParaNumChar1">
    <w:name w:val="ParaNum Char1"/>
    <w:rsid w:val="00744B1B"/>
    <w:rPr>
      <w:kern w:val="3"/>
      <w:sz w:val="22"/>
      <w:lang w:val="en-US" w:eastAsia="en-US"/>
    </w:rPr>
  </w:style>
  <w:style w:type="character" w:customStyle="1" w:styleId="EmailStyle851">
    <w:name w:val="EmailStyle851"/>
    <w:rsid w:val="00744B1B"/>
    <w:rPr>
      <w:rFonts w:ascii="Arial" w:hAnsi="Arial"/>
      <w:color w:val="auto"/>
      <w:sz w:val="22"/>
      <w:u w:val="none"/>
    </w:rPr>
  </w:style>
  <w:style w:type="character" w:customStyle="1" w:styleId="EmailStyle86">
    <w:name w:val="EmailStyle86"/>
    <w:rsid w:val="00744B1B"/>
    <w:rPr>
      <w:rFonts w:ascii="Arial" w:hAnsi="Arial"/>
      <w:color w:val="auto"/>
      <w:sz w:val="22"/>
      <w:u w:val="none"/>
    </w:rPr>
  </w:style>
  <w:style w:type="character" w:customStyle="1" w:styleId="EmailStyle87">
    <w:name w:val="EmailStyle87"/>
    <w:rsid w:val="00744B1B"/>
    <w:rPr>
      <w:rFonts w:ascii="Arial" w:hAnsi="Arial"/>
      <w:color w:val="auto"/>
      <w:sz w:val="22"/>
      <w:u w:val="none"/>
    </w:rPr>
  </w:style>
  <w:style w:type="character" w:customStyle="1" w:styleId="CharChar1">
    <w:name w:val="Char Char1"/>
    <w:rsid w:val="00744B1B"/>
    <w:rPr>
      <w:rFonts w:ascii="Times New Roman Bold" w:hAnsi="Times New Roman Bold"/>
      <w:b/>
      <w:caps/>
      <w:sz w:val="24"/>
      <w:lang w:val="en-US" w:eastAsia="en-US"/>
    </w:rPr>
  </w:style>
  <w:style w:type="character" w:customStyle="1" w:styleId="EmailStyle103">
    <w:name w:val="EmailStyle103"/>
    <w:rsid w:val="00744B1B"/>
    <w:rPr>
      <w:rFonts w:ascii="Arial" w:hAnsi="Arial"/>
      <w:color w:val="auto"/>
      <w:sz w:val="22"/>
      <w:u w:val="none"/>
    </w:rPr>
  </w:style>
  <w:style w:type="character" w:customStyle="1" w:styleId="EmailStyle104">
    <w:name w:val="EmailStyle104"/>
    <w:rsid w:val="00744B1B"/>
    <w:rPr>
      <w:rFonts w:ascii="Arial" w:hAnsi="Arial"/>
      <w:color w:val="auto"/>
      <w:sz w:val="22"/>
      <w:u w:val="none"/>
    </w:rPr>
  </w:style>
  <w:style w:type="character" w:customStyle="1" w:styleId="EmailStyle105">
    <w:name w:val="EmailStyle105"/>
    <w:rsid w:val="00744B1B"/>
    <w:rPr>
      <w:rFonts w:ascii="Arial" w:hAnsi="Arial"/>
      <w:color w:val="auto"/>
      <w:sz w:val="22"/>
      <w:u w:val="none"/>
    </w:rPr>
  </w:style>
  <w:style w:type="character" w:customStyle="1" w:styleId="highlightedsearchterm">
    <w:name w:val="highlightedsearchterm"/>
    <w:rsid w:val="00744B1B"/>
  </w:style>
  <w:style w:type="character" w:customStyle="1" w:styleId="EmailStyle1081">
    <w:name w:val="EmailStyle1081"/>
    <w:rsid w:val="00744B1B"/>
    <w:rPr>
      <w:rFonts w:ascii="Arial" w:hAnsi="Arial"/>
      <w:color w:val="auto"/>
      <w:sz w:val="22"/>
      <w:u w:val="none"/>
    </w:rPr>
  </w:style>
  <w:style w:type="character" w:customStyle="1" w:styleId="EmailStyle109">
    <w:name w:val="EmailStyle109"/>
    <w:rsid w:val="00744B1B"/>
    <w:rPr>
      <w:rFonts w:ascii="Arial" w:hAnsi="Arial"/>
      <w:color w:val="auto"/>
      <w:sz w:val="22"/>
      <w:u w:val="none"/>
    </w:rPr>
  </w:style>
  <w:style w:type="character" w:customStyle="1" w:styleId="EmailStyle1031">
    <w:name w:val="EmailStyle1031"/>
    <w:rsid w:val="00744B1B"/>
    <w:rPr>
      <w:rFonts w:ascii="Arial" w:hAnsi="Arial"/>
      <w:color w:val="auto"/>
      <w:sz w:val="22"/>
      <w:u w:val="none"/>
    </w:rPr>
  </w:style>
  <w:style w:type="character" w:customStyle="1" w:styleId="EmailStyle1041">
    <w:name w:val="EmailStyle1041"/>
    <w:rsid w:val="00744B1B"/>
    <w:rPr>
      <w:rFonts w:ascii="Arial" w:hAnsi="Arial"/>
      <w:color w:val="auto"/>
      <w:sz w:val="22"/>
      <w:u w:val="none"/>
    </w:rPr>
  </w:style>
  <w:style w:type="character" w:customStyle="1" w:styleId="EmailStyle1051">
    <w:name w:val="EmailStyle1051"/>
    <w:rsid w:val="00744B1B"/>
    <w:rPr>
      <w:rFonts w:ascii="Arial" w:hAnsi="Arial"/>
      <w:color w:val="auto"/>
      <w:sz w:val="22"/>
      <w:u w:val="none"/>
    </w:rPr>
  </w:style>
  <w:style w:type="character" w:customStyle="1" w:styleId="EmailStyle108">
    <w:name w:val="EmailStyle108"/>
    <w:rsid w:val="00744B1B"/>
    <w:rPr>
      <w:rFonts w:ascii="Arial" w:hAnsi="Arial"/>
      <w:color w:val="auto"/>
      <w:sz w:val="22"/>
      <w:u w:val="none"/>
    </w:rPr>
  </w:style>
  <w:style w:type="paragraph" w:customStyle="1" w:styleId="Head5">
    <w:name w:val="Head 5"/>
    <w:basedOn w:val="Normal"/>
    <w:rsid w:val="00744B1B"/>
    <w:pPr>
      <w:numPr>
        <w:numId w:val="9"/>
      </w:numPr>
      <w:spacing w:after="120"/>
    </w:pPr>
  </w:style>
  <w:style w:type="character" w:customStyle="1" w:styleId="StyleFootnoteReferenceStyle13Style12NECGFootnoteReferenc">
    <w:name w:val="Style Footnote ReferenceStyle 13Style 12(NECG) Footnote Referenc..."/>
    <w:uiPriority w:val="99"/>
    <w:rsid w:val="00744B1B"/>
    <w:rPr>
      <w:rFonts w:ascii="Times New Roman" w:hAnsi="Times New Roman"/>
      <w:color w:val="auto"/>
      <w:position w:val="0"/>
      <w:sz w:val="20"/>
      <w:vertAlign w:val="superscript"/>
    </w:rPr>
  </w:style>
  <w:style w:type="paragraph" w:customStyle="1" w:styleId="msonormal1">
    <w:name w:val="msonormal1"/>
    <w:rsid w:val="00744B1B"/>
    <w:pPr>
      <w:suppressAutoHyphens/>
      <w:autoSpaceDN w:val="0"/>
      <w:spacing w:after="200" w:line="276" w:lineRule="auto"/>
      <w:textAlignment w:val="baseline"/>
    </w:pPr>
    <w:rPr>
      <w:sz w:val="22"/>
      <w:szCs w:val="22"/>
    </w:rPr>
  </w:style>
  <w:style w:type="paragraph" w:styleId="Revision">
    <w:name w:val="Revision"/>
    <w:rsid w:val="00744B1B"/>
    <w:pPr>
      <w:suppressAutoHyphens/>
      <w:autoSpaceDN w:val="0"/>
      <w:textAlignment w:val="baseline"/>
    </w:pPr>
    <w:rPr>
      <w:kern w:val="3"/>
      <w:sz w:val="22"/>
    </w:rPr>
  </w:style>
  <w:style w:type="character" w:customStyle="1" w:styleId="EmailStyle1181">
    <w:name w:val="EmailStyle1181"/>
    <w:rsid w:val="00744B1B"/>
    <w:rPr>
      <w:rFonts w:ascii="Arial" w:hAnsi="Arial"/>
      <w:color w:val="auto"/>
      <w:sz w:val="22"/>
      <w:u w:val="none"/>
    </w:rPr>
  </w:style>
  <w:style w:type="paragraph" w:customStyle="1" w:styleId="CM9">
    <w:name w:val="CM9"/>
    <w:basedOn w:val="Normal"/>
    <w:next w:val="Normal"/>
    <w:rsid w:val="00744B1B"/>
    <w:pPr>
      <w:autoSpaceDE w:val="0"/>
    </w:pPr>
    <w:rPr>
      <w:rFonts w:ascii="NPNLI A+ Melior" w:hAnsi="NPNLI A+ Melior"/>
      <w:sz w:val="24"/>
      <w:szCs w:val="24"/>
    </w:rPr>
  </w:style>
  <w:style w:type="paragraph" w:customStyle="1" w:styleId="CM2">
    <w:name w:val="CM2"/>
    <w:basedOn w:val="Normal"/>
    <w:next w:val="Normal"/>
    <w:rsid w:val="00744B1B"/>
    <w:pPr>
      <w:autoSpaceDE w:val="0"/>
      <w:spacing w:line="200" w:lineRule="atLeast"/>
    </w:pPr>
    <w:rPr>
      <w:rFonts w:ascii="NPNLI A+ Melior" w:hAnsi="NPNLI A+ Melior"/>
      <w:sz w:val="24"/>
      <w:szCs w:val="24"/>
    </w:rPr>
  </w:style>
  <w:style w:type="paragraph" w:customStyle="1" w:styleId="CM3">
    <w:name w:val="CM3"/>
    <w:basedOn w:val="Normal"/>
    <w:next w:val="Normal"/>
    <w:rsid w:val="00744B1B"/>
    <w:pPr>
      <w:autoSpaceDE w:val="0"/>
      <w:spacing w:line="198" w:lineRule="atLeast"/>
    </w:pPr>
    <w:rPr>
      <w:rFonts w:ascii="NPNLI A+ Melior" w:hAnsi="NPNLI A+ Melior"/>
      <w:sz w:val="24"/>
      <w:szCs w:val="24"/>
    </w:rPr>
  </w:style>
  <w:style w:type="paragraph" w:customStyle="1" w:styleId="CM10">
    <w:name w:val="CM10"/>
    <w:basedOn w:val="Default"/>
    <w:next w:val="Default"/>
    <w:rsid w:val="00744B1B"/>
    <w:pPr>
      <w:widowControl w:val="0"/>
    </w:pPr>
    <w:rPr>
      <w:rFonts w:ascii="NPNLI A+ Melior" w:hAnsi="NPNLI A+ Melior"/>
      <w:color w:val="auto"/>
    </w:rPr>
  </w:style>
  <w:style w:type="paragraph" w:customStyle="1" w:styleId="CM4">
    <w:name w:val="CM4"/>
    <w:basedOn w:val="Default"/>
    <w:next w:val="Default"/>
    <w:rsid w:val="00744B1B"/>
    <w:pPr>
      <w:widowControl w:val="0"/>
      <w:spacing w:line="200" w:lineRule="atLeast"/>
    </w:pPr>
    <w:rPr>
      <w:rFonts w:ascii="NPNLI A+ Melior" w:hAnsi="NPNLI A+ Melior"/>
      <w:color w:val="auto"/>
    </w:rPr>
  </w:style>
  <w:style w:type="paragraph" w:customStyle="1" w:styleId="CM5">
    <w:name w:val="CM5"/>
    <w:basedOn w:val="Default"/>
    <w:next w:val="Default"/>
    <w:rsid w:val="00744B1B"/>
    <w:pPr>
      <w:widowControl w:val="0"/>
      <w:spacing w:line="200" w:lineRule="atLeast"/>
    </w:pPr>
    <w:rPr>
      <w:rFonts w:ascii="NPNLI A+ Melior" w:hAnsi="NPNLI A+ Melior"/>
      <w:color w:val="auto"/>
    </w:rPr>
  </w:style>
  <w:style w:type="paragraph" w:customStyle="1" w:styleId="StyleParaNumLeft">
    <w:name w:val="Style ParaNum + Left"/>
    <w:basedOn w:val="ParaNum"/>
    <w:rsid w:val="00744B1B"/>
    <w:pPr>
      <w:numPr>
        <w:numId w:val="8"/>
      </w:numPr>
      <w:tabs>
        <w:tab w:val="left" w:pos="1260"/>
        <w:tab w:val="left" w:pos="1656"/>
      </w:tabs>
      <w:spacing w:after="220"/>
      <w:ind w:left="1620"/>
    </w:pPr>
  </w:style>
  <w:style w:type="character" w:customStyle="1" w:styleId="documentbody5">
    <w:name w:val="documentbody5"/>
    <w:rsid w:val="00744B1B"/>
    <w:rPr>
      <w:rFonts w:ascii="Verdana" w:hAnsi="Verdana"/>
      <w:sz w:val="19"/>
    </w:rPr>
  </w:style>
  <w:style w:type="character" w:customStyle="1" w:styleId="searchterm3">
    <w:name w:val="searchterm3"/>
    <w:rsid w:val="00744B1B"/>
    <w:rPr>
      <w:b/>
      <w:shd w:val="clear" w:color="auto" w:fill="FFFF00"/>
    </w:rPr>
  </w:style>
  <w:style w:type="character" w:customStyle="1" w:styleId="searchterm2">
    <w:name w:val="searchterm2"/>
    <w:rsid w:val="00744B1B"/>
    <w:rPr>
      <w:b/>
      <w:shd w:val="clear" w:color="auto" w:fill="FFFF00"/>
    </w:rPr>
  </w:style>
  <w:style w:type="paragraph" w:styleId="List">
    <w:name w:val="List"/>
    <w:basedOn w:val="Normal"/>
    <w:rsid w:val="00744B1B"/>
    <w:pPr>
      <w:ind w:left="360" w:hanging="360"/>
    </w:pPr>
  </w:style>
  <w:style w:type="paragraph" w:styleId="List3">
    <w:name w:val="List 3"/>
    <w:basedOn w:val="Normal"/>
    <w:rsid w:val="00744B1B"/>
    <w:pPr>
      <w:ind w:left="1080" w:hanging="360"/>
    </w:pPr>
  </w:style>
  <w:style w:type="paragraph" w:styleId="ListBullet">
    <w:name w:val="List Bullet"/>
    <w:basedOn w:val="Normal"/>
    <w:rsid w:val="00744B1B"/>
    <w:pPr>
      <w:tabs>
        <w:tab w:val="left" w:pos="720"/>
      </w:tabs>
      <w:ind w:left="720" w:hanging="720"/>
    </w:pPr>
  </w:style>
  <w:style w:type="paragraph" w:styleId="BodyText">
    <w:name w:val="Body Text"/>
    <w:basedOn w:val="Normal"/>
    <w:link w:val="BodyTextChar"/>
    <w:rsid w:val="00744B1B"/>
    <w:pPr>
      <w:spacing w:after="120"/>
    </w:pPr>
    <w:rPr>
      <w:sz w:val="20"/>
    </w:rPr>
  </w:style>
  <w:style w:type="character" w:customStyle="1" w:styleId="BodyTextChar">
    <w:name w:val="Body Text Char"/>
    <w:basedOn w:val="DefaultParagraphFont"/>
    <w:link w:val="BodyText"/>
    <w:rsid w:val="00744B1B"/>
    <w:rPr>
      <w:snapToGrid w:val="0"/>
      <w:kern w:val="28"/>
    </w:rPr>
  </w:style>
  <w:style w:type="paragraph" w:styleId="BodyTextIndent">
    <w:name w:val="Body Text Indent"/>
    <w:basedOn w:val="Normal"/>
    <w:link w:val="BodyTextIndentChar"/>
    <w:rsid w:val="00744B1B"/>
    <w:pPr>
      <w:spacing w:after="120"/>
      <w:ind w:left="360"/>
    </w:pPr>
    <w:rPr>
      <w:sz w:val="20"/>
    </w:rPr>
  </w:style>
  <w:style w:type="character" w:customStyle="1" w:styleId="BodyTextIndentChar">
    <w:name w:val="Body Text Indent Char"/>
    <w:basedOn w:val="DefaultParagraphFont"/>
    <w:link w:val="BodyTextIndent"/>
    <w:rsid w:val="00744B1B"/>
    <w:rPr>
      <w:snapToGrid w:val="0"/>
      <w:kern w:val="28"/>
    </w:rPr>
  </w:style>
  <w:style w:type="paragraph" w:styleId="Subtitle">
    <w:name w:val="Subtitle"/>
    <w:basedOn w:val="Normal"/>
    <w:link w:val="SubtitleChar"/>
    <w:rsid w:val="00744B1B"/>
    <w:pPr>
      <w:spacing w:after="60"/>
      <w:jc w:val="center"/>
      <w:outlineLvl w:val="1"/>
    </w:pPr>
    <w:rPr>
      <w:rFonts w:ascii="Cambria" w:hAnsi="Cambria"/>
      <w:sz w:val="24"/>
    </w:rPr>
  </w:style>
  <w:style w:type="character" w:customStyle="1" w:styleId="SubtitleChar">
    <w:name w:val="Subtitle Char"/>
    <w:basedOn w:val="DefaultParagraphFont"/>
    <w:link w:val="Subtitle"/>
    <w:rsid w:val="00744B1B"/>
    <w:rPr>
      <w:rFonts w:ascii="Cambria" w:hAnsi="Cambria"/>
      <w:snapToGrid w:val="0"/>
      <w:kern w:val="28"/>
      <w:sz w:val="24"/>
    </w:rPr>
  </w:style>
  <w:style w:type="paragraph" w:customStyle="1" w:styleId="Byline">
    <w:name w:val="Byline"/>
    <w:basedOn w:val="BodyText"/>
    <w:rsid w:val="00744B1B"/>
  </w:style>
  <w:style w:type="paragraph" w:styleId="BodyTextFirstIndent2">
    <w:name w:val="Body Text First Indent 2"/>
    <w:basedOn w:val="BodyTextIndent"/>
    <w:link w:val="BodyTextFirstIndent2Char"/>
    <w:rsid w:val="00744B1B"/>
    <w:pPr>
      <w:ind w:firstLine="210"/>
    </w:pPr>
  </w:style>
  <w:style w:type="character" w:customStyle="1" w:styleId="BodyTextFirstIndent2Char">
    <w:name w:val="Body Text First Indent 2 Char"/>
    <w:basedOn w:val="BodyTextIndentChar"/>
    <w:link w:val="BodyTextFirstIndent2"/>
    <w:rsid w:val="00744B1B"/>
    <w:rPr>
      <w:snapToGrid w:val="0"/>
      <w:kern w:val="28"/>
    </w:rPr>
  </w:style>
  <w:style w:type="paragraph" w:customStyle="1" w:styleId="ParaNumCharChar1">
    <w:name w:val="ParaNum Char Char1"/>
    <w:basedOn w:val="Normal"/>
    <w:rsid w:val="00744B1B"/>
    <w:pPr>
      <w:tabs>
        <w:tab w:val="left" w:pos="1080"/>
        <w:tab w:val="left" w:pos="1440"/>
      </w:tabs>
      <w:spacing w:after="220"/>
      <w:ind w:firstLine="720"/>
      <w:jc w:val="both"/>
    </w:pPr>
  </w:style>
  <w:style w:type="character" w:customStyle="1" w:styleId="EmailStyle1521">
    <w:name w:val="EmailStyle1521"/>
    <w:rsid w:val="00744B1B"/>
    <w:rPr>
      <w:rFonts w:ascii="Arial" w:hAnsi="Arial"/>
      <w:color w:val="auto"/>
      <w:sz w:val="22"/>
      <w:u w:val="none"/>
    </w:rPr>
  </w:style>
  <w:style w:type="character" w:customStyle="1" w:styleId="apple-converted-space">
    <w:name w:val="apple-converted-space"/>
    <w:rsid w:val="00744B1B"/>
  </w:style>
  <w:style w:type="character" w:customStyle="1" w:styleId="apple-style-span">
    <w:name w:val="apple-style-span"/>
    <w:rsid w:val="00744B1B"/>
  </w:style>
  <w:style w:type="paragraph" w:customStyle="1" w:styleId="figurecaption">
    <w:name w:val="figurecaption"/>
    <w:basedOn w:val="Normal"/>
    <w:rsid w:val="00744B1B"/>
    <w:pPr>
      <w:keepNext/>
      <w:spacing w:after="260"/>
      <w:jc w:val="center"/>
    </w:pPr>
    <w:rPr>
      <w:rFonts w:ascii="Arial" w:hAnsi="Arial" w:cs="Arial"/>
      <w:b/>
      <w:bCs/>
      <w:sz w:val="20"/>
    </w:rPr>
  </w:style>
  <w:style w:type="character" w:customStyle="1" w:styleId="EmailStyle1561">
    <w:name w:val="EmailStyle1561"/>
    <w:rsid w:val="00744B1B"/>
    <w:rPr>
      <w:rFonts w:ascii="Arial" w:hAnsi="Arial"/>
      <w:color w:val="0000FF"/>
      <w:sz w:val="22"/>
      <w:u w:val="none"/>
    </w:rPr>
  </w:style>
  <w:style w:type="character" w:customStyle="1" w:styleId="EmailStyle157">
    <w:name w:val="EmailStyle157"/>
    <w:rsid w:val="00744B1B"/>
    <w:rPr>
      <w:rFonts w:ascii="Arial" w:hAnsi="Arial"/>
      <w:color w:val="auto"/>
      <w:sz w:val="22"/>
      <w:u w:val="none"/>
    </w:rPr>
  </w:style>
  <w:style w:type="character" w:customStyle="1" w:styleId="EmailStyle158">
    <w:name w:val="EmailStyle158"/>
    <w:rsid w:val="00744B1B"/>
    <w:rPr>
      <w:rFonts w:ascii="Arial" w:hAnsi="Arial"/>
      <w:color w:val="auto"/>
      <w:sz w:val="22"/>
      <w:u w:val="none"/>
    </w:rPr>
  </w:style>
  <w:style w:type="character" w:customStyle="1" w:styleId="CharChar13">
    <w:name w:val="Char Char13"/>
    <w:rsid w:val="00744B1B"/>
    <w:rPr>
      <w:b/>
      <w:kern w:val="3"/>
      <w:sz w:val="22"/>
      <w:lang w:val="en-US" w:eastAsia="en-US"/>
    </w:rPr>
  </w:style>
  <w:style w:type="character" w:customStyle="1" w:styleId="EmailStyle1601">
    <w:name w:val="EmailStyle1601"/>
    <w:rsid w:val="00744B1B"/>
    <w:rPr>
      <w:rFonts w:ascii="Arial" w:hAnsi="Arial"/>
      <w:color w:val="auto"/>
      <w:sz w:val="22"/>
      <w:u w:val="none"/>
    </w:rPr>
  </w:style>
  <w:style w:type="character" w:customStyle="1" w:styleId="EmailStyle1611">
    <w:name w:val="EmailStyle1611"/>
    <w:rsid w:val="00744B1B"/>
    <w:rPr>
      <w:rFonts w:ascii="Arial" w:hAnsi="Arial"/>
      <w:color w:val="auto"/>
      <w:sz w:val="22"/>
      <w:u w:val="none"/>
    </w:rPr>
  </w:style>
  <w:style w:type="numbering" w:customStyle="1" w:styleId="1111111">
    <w:name w:val="1 / 1.1 / 1.1.11"/>
    <w:basedOn w:val="NoList"/>
    <w:rsid w:val="00744B1B"/>
    <w:pPr>
      <w:numPr>
        <w:numId w:val="7"/>
      </w:numPr>
    </w:pPr>
  </w:style>
  <w:style w:type="numbering" w:customStyle="1" w:styleId="LFO1">
    <w:name w:val="LFO1"/>
    <w:basedOn w:val="NoList"/>
    <w:rsid w:val="00744B1B"/>
    <w:pPr>
      <w:numPr>
        <w:numId w:val="11"/>
      </w:numPr>
    </w:pPr>
  </w:style>
  <w:style w:type="numbering" w:customStyle="1" w:styleId="LFO4">
    <w:name w:val="LFO4"/>
    <w:basedOn w:val="NoList"/>
    <w:rsid w:val="00744B1B"/>
    <w:pPr>
      <w:numPr>
        <w:numId w:val="9"/>
      </w:numPr>
    </w:pPr>
  </w:style>
  <w:style w:type="character" w:customStyle="1" w:styleId="FootnoteTextChar">
    <w:name w:val="Footnote Text Char"/>
    <w:aliases w:val="Footnote Text Char3 Char,Footnote Text Char1 Char Char,Footnote Text Char Char Char Char,Footnote Text Char2 Char Char Char Char,Footnote Text Char3 Char1 Char Char Char Char,Footnote Text Char2 Char1 Char1 Char Char Char Char,fn Char"/>
    <w:link w:val="FootnoteText"/>
    <w:locked/>
    <w:rsid w:val="00744B1B"/>
  </w:style>
  <w:style w:type="character" w:customStyle="1" w:styleId="FooterChar">
    <w:name w:val="Footer Char"/>
    <w:link w:val="Footer"/>
    <w:rsid w:val="00744B1B"/>
    <w:rPr>
      <w:snapToGrid w:val="0"/>
      <w:kern w:val="28"/>
      <w:sz w:val="22"/>
    </w:rPr>
  </w:style>
  <w:style w:type="paragraph" w:styleId="NoSpacing">
    <w:name w:val="No Spacing"/>
    <w:uiPriority w:val="1"/>
    <w:qFormat/>
    <w:rsid w:val="00744B1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LFO1"/>
    <w:pPr>
      <w:numPr>
        <w:numId w:val="11"/>
      </w:numPr>
    </w:pPr>
  </w:style>
  <w:style w:type="numbering" w:customStyle="1" w:styleId="EndnoteText">
    <w:name w:val="LFO4"/>
    <w:pPr>
      <w:numPr>
        <w:numId w:val="9"/>
      </w:numPr>
    </w:pPr>
  </w:style>
  <w:style w:type="numbering" w:customStyle="1" w:styleId="EndnoteReference">
    <w:name w:val="1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5112&amp;search=2007%20NAICS%20Search" TargetMode="External"/><Relationship Id="rId13"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3" Type="http://schemas.openxmlformats.org/officeDocument/2006/relationships/hyperlink" Target="http://eas-cap.org/documents.htm" TargetMode="External"/><Relationship Id="rId7" Type="http://schemas.openxmlformats.org/officeDocument/2006/relationships/hyperlink" Target="https://www.sba.gov/sites/default/files/files/Size_Standards_Table.pdf" TargetMode="External"/><Relationship Id="rId12"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2" Type="http://schemas.openxmlformats.org/officeDocument/2006/relationships/hyperlink" Target="http://www.tvtechnology.com/article/digital-alert-systems-introduces-multilingual-eas-translation-software/275815" TargetMode="External"/><Relationship Id="rId1" Type="http://schemas.openxmlformats.org/officeDocument/2006/relationships/hyperlink" Target="http://www.nws.noaa.gov/nwr/nwrsame.htm" TargetMode="External"/><Relationship Id="rId6" Type="http://schemas.openxmlformats.org/officeDocument/2006/relationships/hyperlink" Target="https://www.fema.gov/emergency-alert-system" TargetMode="External"/><Relationship Id="rId11" Type="http://schemas.openxmlformats.org/officeDocument/2006/relationships/hyperlink" Target="http://www.census.gov/cgi-bin/sssd/naics/naicsrch" TargetMode="External"/><Relationship Id="rId5" Type="http://schemas.openxmlformats.org/officeDocument/2006/relationships/hyperlink" Target="http://www.echominnesota.org/about" TargetMode="External"/><Relationship Id="rId10" Type="http://schemas.openxmlformats.org/officeDocument/2006/relationships/hyperlink" Target="http://www.census.gov/cgi-bin/sssd/naics/naicsrch?code=515112&amp;search=2007%20NAICS%20Search" TargetMode="External"/><Relationship Id="rId4" Type="http://schemas.openxmlformats.org/officeDocument/2006/relationships/hyperlink" Target="http://www.fcc.gov/document/commission-activates-disaster-information-reporting-system" TargetMode="External"/><Relationship Id="rId9" Type="http://schemas.openxmlformats.org/officeDocument/2006/relationships/hyperlink" Target="http://transition.fcc.gov/Daily_Releases/Daily_Business/2013/db0412/DOC-320138A1.pdf" TargetMode="External"/><Relationship Id="rId14"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12278</Words>
  <Characters>69130</Characters>
  <Application>Microsoft Office Word</Application>
  <DocSecurity>0</DocSecurity>
  <Lines>973</Lines>
  <Paragraphs>173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81658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2016-03-30T18:34:00Z</cp:lastPrinted>
  <dcterms:created xsi:type="dcterms:W3CDTF">2016-03-30T18:55:00Z</dcterms:created>
  <dcterms:modified xsi:type="dcterms:W3CDTF">2016-03-30T18:55:00Z</dcterms:modified>
  <cp:category> </cp:category>
  <cp:contentStatus> </cp:contentStatus>
</cp:coreProperties>
</file>