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CD5" w:rsidRDefault="00324CD5" w:rsidP="00324CD5">
      <w:pPr>
        <w:jc w:val="center"/>
        <w:rPr>
          <w:b/>
        </w:rPr>
      </w:pPr>
      <w:bookmarkStart w:id="0" w:name="_Toc440575558"/>
      <w:bookmarkStart w:id="1" w:name="_Toc440575828"/>
      <w:bookmarkStart w:id="2" w:name="_GoBack"/>
      <w:bookmarkEnd w:id="2"/>
      <w:r w:rsidRPr="0070224F">
        <w:rPr>
          <w:rFonts w:ascii="Times New Roman Bold" w:hAnsi="Times New Roman Bold"/>
          <w:b/>
          <w:kern w:val="0"/>
          <w:szCs w:val="22"/>
        </w:rPr>
        <w:t>Before</w:t>
      </w:r>
      <w:r>
        <w:rPr>
          <w:b/>
        </w:rPr>
        <w:t xml:space="preserve"> the</w:t>
      </w:r>
    </w:p>
    <w:p w:rsidR="00324CD5" w:rsidRDefault="00324CD5" w:rsidP="00324CD5">
      <w:pPr>
        <w:pStyle w:val="StyleBoldCentered"/>
      </w:pPr>
      <w:r>
        <w:t>F</w:t>
      </w:r>
      <w:r>
        <w:rPr>
          <w:caps w:val="0"/>
        </w:rPr>
        <w:t>ederal Communications Commission</w:t>
      </w:r>
    </w:p>
    <w:p w:rsidR="00324CD5" w:rsidRDefault="00324CD5" w:rsidP="00324CD5">
      <w:pPr>
        <w:pStyle w:val="StyleBoldCentered"/>
      </w:pPr>
      <w:r>
        <w:rPr>
          <w:caps w:val="0"/>
        </w:rPr>
        <w:t>Washington, D.C. 20554</w:t>
      </w:r>
    </w:p>
    <w:p w:rsidR="00324CD5" w:rsidRDefault="00324CD5" w:rsidP="00324CD5"/>
    <w:p w:rsidR="00324CD5" w:rsidRDefault="00324CD5" w:rsidP="00324CD5"/>
    <w:tbl>
      <w:tblPr>
        <w:tblW w:w="0" w:type="auto"/>
        <w:tblLayout w:type="fixed"/>
        <w:tblLook w:val="0000" w:firstRow="0" w:lastRow="0" w:firstColumn="0" w:lastColumn="0" w:noHBand="0" w:noVBand="0"/>
      </w:tblPr>
      <w:tblGrid>
        <w:gridCol w:w="4698"/>
        <w:gridCol w:w="630"/>
        <w:gridCol w:w="4248"/>
      </w:tblGrid>
      <w:tr w:rsidR="00324CD5" w:rsidTr="00324CD5">
        <w:tc>
          <w:tcPr>
            <w:tcW w:w="4698" w:type="dxa"/>
          </w:tcPr>
          <w:p w:rsidR="00324CD5" w:rsidRDefault="00324CD5" w:rsidP="00324CD5">
            <w:pPr>
              <w:tabs>
                <w:tab w:val="center" w:pos="4680"/>
              </w:tabs>
              <w:suppressAutoHyphens/>
              <w:rPr>
                <w:spacing w:val="-2"/>
              </w:rPr>
            </w:pPr>
            <w:r>
              <w:rPr>
                <w:spacing w:val="-2"/>
              </w:rPr>
              <w:t>In the Matter of</w:t>
            </w:r>
          </w:p>
          <w:p w:rsidR="00324CD5" w:rsidRDefault="00324CD5" w:rsidP="00324CD5">
            <w:pPr>
              <w:tabs>
                <w:tab w:val="center" w:pos="4680"/>
              </w:tabs>
              <w:suppressAutoHyphens/>
              <w:rPr>
                <w:spacing w:val="-2"/>
              </w:rPr>
            </w:pPr>
          </w:p>
          <w:p w:rsidR="00324CD5" w:rsidRPr="007115F7" w:rsidRDefault="00324CD5" w:rsidP="00324CD5">
            <w:pPr>
              <w:tabs>
                <w:tab w:val="center" w:pos="4680"/>
              </w:tabs>
              <w:suppressAutoHyphens/>
              <w:rPr>
                <w:spacing w:val="-2"/>
              </w:rPr>
            </w:pPr>
            <w:r>
              <w:rPr>
                <w:spacing w:val="-2"/>
              </w:rPr>
              <w:t>Protecting the Privacy</w:t>
            </w:r>
            <w:r w:rsidR="00C107A5">
              <w:rPr>
                <w:spacing w:val="-2"/>
              </w:rPr>
              <w:t xml:space="preserve"> of Customers of Broadband and O</w:t>
            </w:r>
            <w:r>
              <w:rPr>
                <w:spacing w:val="-2"/>
              </w:rPr>
              <w:t>ther Telecommunications Services</w:t>
            </w:r>
          </w:p>
        </w:tc>
        <w:tc>
          <w:tcPr>
            <w:tcW w:w="630" w:type="dxa"/>
          </w:tcPr>
          <w:p w:rsidR="00324CD5" w:rsidRDefault="00324CD5" w:rsidP="00324CD5">
            <w:pPr>
              <w:tabs>
                <w:tab w:val="center" w:pos="4680"/>
              </w:tabs>
              <w:suppressAutoHyphens/>
              <w:rPr>
                <w:b/>
                <w:spacing w:val="-2"/>
              </w:rPr>
            </w:pPr>
            <w:r>
              <w:rPr>
                <w:b/>
                <w:spacing w:val="-2"/>
              </w:rPr>
              <w:t>)</w:t>
            </w:r>
          </w:p>
          <w:p w:rsidR="00324CD5" w:rsidRDefault="00324CD5" w:rsidP="00324CD5">
            <w:pPr>
              <w:tabs>
                <w:tab w:val="center" w:pos="4680"/>
              </w:tabs>
              <w:suppressAutoHyphens/>
              <w:rPr>
                <w:b/>
                <w:spacing w:val="-2"/>
              </w:rPr>
            </w:pPr>
            <w:r>
              <w:rPr>
                <w:b/>
                <w:spacing w:val="-2"/>
              </w:rPr>
              <w:t>)</w:t>
            </w:r>
          </w:p>
          <w:p w:rsidR="00324CD5" w:rsidRDefault="00324CD5" w:rsidP="00324CD5">
            <w:pPr>
              <w:tabs>
                <w:tab w:val="center" w:pos="4680"/>
              </w:tabs>
              <w:suppressAutoHyphens/>
              <w:rPr>
                <w:b/>
                <w:spacing w:val="-2"/>
              </w:rPr>
            </w:pPr>
            <w:r>
              <w:rPr>
                <w:b/>
                <w:spacing w:val="-2"/>
              </w:rPr>
              <w:t>)</w:t>
            </w:r>
          </w:p>
          <w:p w:rsidR="00324CD5" w:rsidRPr="0078353F" w:rsidRDefault="00324CD5" w:rsidP="00324CD5">
            <w:pPr>
              <w:tabs>
                <w:tab w:val="center" w:pos="4680"/>
              </w:tabs>
              <w:suppressAutoHyphens/>
              <w:rPr>
                <w:b/>
                <w:spacing w:val="-2"/>
              </w:rPr>
            </w:pPr>
            <w:r>
              <w:rPr>
                <w:b/>
                <w:spacing w:val="-2"/>
              </w:rPr>
              <w:t>)</w:t>
            </w:r>
          </w:p>
        </w:tc>
        <w:tc>
          <w:tcPr>
            <w:tcW w:w="4248" w:type="dxa"/>
          </w:tcPr>
          <w:p w:rsidR="00324CD5" w:rsidRDefault="00324CD5" w:rsidP="00324CD5">
            <w:pPr>
              <w:tabs>
                <w:tab w:val="center" w:pos="4680"/>
              </w:tabs>
              <w:suppressAutoHyphens/>
              <w:rPr>
                <w:spacing w:val="-2"/>
              </w:rPr>
            </w:pPr>
          </w:p>
          <w:p w:rsidR="00324CD5" w:rsidRDefault="00324CD5" w:rsidP="00324CD5">
            <w:pPr>
              <w:pStyle w:val="TOAHeading"/>
              <w:tabs>
                <w:tab w:val="clear" w:pos="9360"/>
                <w:tab w:val="center" w:pos="4680"/>
              </w:tabs>
              <w:rPr>
                <w:spacing w:val="-2"/>
              </w:rPr>
            </w:pPr>
          </w:p>
          <w:p w:rsidR="00324CD5" w:rsidRDefault="00FB0864" w:rsidP="00324CD5">
            <w:pPr>
              <w:tabs>
                <w:tab w:val="center" w:pos="4680"/>
              </w:tabs>
              <w:suppressAutoHyphens/>
              <w:rPr>
                <w:spacing w:val="-2"/>
              </w:rPr>
            </w:pPr>
            <w:r>
              <w:rPr>
                <w:spacing w:val="-2"/>
              </w:rPr>
              <w:t>WC Docket No. 16-106</w:t>
            </w:r>
          </w:p>
        </w:tc>
      </w:tr>
    </w:tbl>
    <w:p w:rsidR="00324CD5" w:rsidRDefault="00324CD5" w:rsidP="00324CD5"/>
    <w:p w:rsidR="00324CD5" w:rsidRDefault="00324CD5" w:rsidP="00324CD5">
      <w:pPr>
        <w:pStyle w:val="StyleBoldCentered"/>
      </w:pPr>
      <w:r>
        <w:t>Notice of Proposed Rulemaking</w:t>
      </w:r>
    </w:p>
    <w:p w:rsidR="00324CD5" w:rsidRDefault="00324CD5" w:rsidP="00324CD5">
      <w:pPr>
        <w:tabs>
          <w:tab w:val="left" w:pos="-720"/>
        </w:tabs>
        <w:suppressAutoHyphens/>
        <w:spacing w:line="227" w:lineRule="auto"/>
        <w:rPr>
          <w:spacing w:val="-2"/>
        </w:rPr>
      </w:pPr>
    </w:p>
    <w:p w:rsidR="00324CD5" w:rsidRDefault="00324CD5" w:rsidP="00324CD5">
      <w:pPr>
        <w:tabs>
          <w:tab w:val="left" w:pos="720"/>
          <w:tab w:val="right" w:pos="9360"/>
        </w:tabs>
        <w:suppressAutoHyphens/>
        <w:spacing w:line="227" w:lineRule="auto"/>
        <w:rPr>
          <w:spacing w:val="-2"/>
        </w:rPr>
      </w:pPr>
      <w:r>
        <w:rPr>
          <w:b/>
          <w:spacing w:val="-2"/>
        </w:rPr>
        <w:t xml:space="preserve">Adopted:  </w:t>
      </w:r>
      <w:r w:rsidR="00FB0864">
        <w:rPr>
          <w:b/>
          <w:spacing w:val="-2"/>
        </w:rPr>
        <w:t>March 31, 2016</w:t>
      </w:r>
      <w:r>
        <w:rPr>
          <w:b/>
          <w:spacing w:val="-2"/>
        </w:rPr>
        <w:tab/>
        <w:t xml:space="preserve">Released:  </w:t>
      </w:r>
      <w:r w:rsidR="007C28A9">
        <w:rPr>
          <w:b/>
          <w:spacing w:val="-2"/>
        </w:rPr>
        <w:t>April 1</w:t>
      </w:r>
      <w:r w:rsidR="00FB0864">
        <w:rPr>
          <w:b/>
          <w:spacing w:val="-2"/>
        </w:rPr>
        <w:t>, 2016</w:t>
      </w:r>
    </w:p>
    <w:p w:rsidR="00324CD5" w:rsidRDefault="00324CD5" w:rsidP="00324CD5"/>
    <w:p w:rsidR="00324CD5" w:rsidRPr="00F365AF" w:rsidRDefault="00324CD5" w:rsidP="00324CD5">
      <w:pPr>
        <w:rPr>
          <w:b/>
        </w:rPr>
      </w:pPr>
      <w:r w:rsidRPr="00F365AF">
        <w:rPr>
          <w:b/>
        </w:rPr>
        <w:t>Comment Date:</w:t>
      </w:r>
      <w:r w:rsidRPr="00F365AF">
        <w:rPr>
          <w:b/>
        </w:rPr>
        <w:tab/>
        <w:t xml:space="preserve"> May 27, 2016</w:t>
      </w:r>
    </w:p>
    <w:p w:rsidR="00324CD5" w:rsidRPr="00F365AF" w:rsidRDefault="00324CD5" w:rsidP="00324CD5">
      <w:pPr>
        <w:rPr>
          <w:b/>
        </w:rPr>
      </w:pPr>
      <w:r w:rsidRPr="00F365AF">
        <w:rPr>
          <w:b/>
        </w:rPr>
        <w:t>Reply Comment Date:  June 27, 2016</w:t>
      </w:r>
    </w:p>
    <w:p w:rsidR="00324CD5" w:rsidRDefault="00324CD5" w:rsidP="00324CD5"/>
    <w:p w:rsidR="008A38C4" w:rsidRDefault="00324CD5" w:rsidP="005619D4">
      <w:pPr>
        <w:ind w:left="1890" w:hanging="1890"/>
        <w:rPr>
          <w:snapToGrid/>
          <w:kern w:val="0"/>
          <w:sz w:val="24"/>
        </w:rPr>
      </w:pPr>
      <w:r>
        <w:t xml:space="preserve">By the </w:t>
      </w:r>
      <w:r>
        <w:rPr>
          <w:spacing w:val="-2"/>
        </w:rPr>
        <w:t>Commission:</w:t>
      </w:r>
      <w:r w:rsidR="008A38C4">
        <w:rPr>
          <w:spacing w:val="-2"/>
        </w:rPr>
        <w:t xml:space="preserve">  </w:t>
      </w:r>
      <w:r w:rsidR="008A38C4" w:rsidRPr="008A38C4">
        <w:t>Chairman Wheeler and Commissioners Clyburn and Rosenworcel issuing separate statements; Commissioners Pai and O’Rielly dissenting and issuing separate statements.</w:t>
      </w:r>
    </w:p>
    <w:p w:rsidR="00324CD5" w:rsidRDefault="00324CD5" w:rsidP="00324CD5">
      <w:pPr>
        <w:rPr>
          <w:spacing w:val="-2"/>
        </w:rPr>
      </w:pPr>
    </w:p>
    <w:p w:rsidR="00EB6074" w:rsidRDefault="00EB6074" w:rsidP="00EB6074">
      <w:pPr>
        <w:pStyle w:val="TOCTitle"/>
      </w:pPr>
      <w:bookmarkStart w:id="3" w:name="TOChere"/>
      <w:r>
        <w:t>Table of Contents</w:t>
      </w:r>
    </w:p>
    <w:p w:rsidR="00EB6074" w:rsidRDefault="00EB6074" w:rsidP="00EB6074">
      <w:pPr>
        <w:pStyle w:val="Paratitle"/>
      </w:pPr>
      <w:r>
        <w:tab/>
        <w:t>Para</w:t>
      </w:r>
      <w:bookmarkStart w:id="4" w:name="start_here"/>
      <w:bookmarkEnd w:id="4"/>
      <w:r w:rsidR="00764B25">
        <w:t>.</w:t>
      </w:r>
    </w:p>
    <w:p w:rsidR="00EB6074" w:rsidRPr="00902DA0" w:rsidRDefault="00EB6074" w:rsidP="00EB6074">
      <w:pPr>
        <w:pStyle w:val="TOC1"/>
        <w:rPr>
          <w:rFonts w:ascii="Calibri" w:hAnsi="Calibri"/>
          <w:caps w:val="0"/>
          <w:snapToGrid/>
          <w:kern w:val="0"/>
          <w:szCs w:val="22"/>
        </w:rPr>
      </w:pPr>
      <w:r>
        <w:t>I.</w:t>
      </w:r>
      <w:r w:rsidRPr="00902DA0">
        <w:rPr>
          <w:rFonts w:ascii="Calibri" w:hAnsi="Calibri"/>
          <w:caps w:val="0"/>
          <w:snapToGrid/>
          <w:kern w:val="0"/>
          <w:szCs w:val="22"/>
        </w:rPr>
        <w:tab/>
      </w:r>
      <w:r>
        <w:t>Introduction</w:t>
      </w:r>
      <w:r>
        <w:tab/>
        <w:t>1</w:t>
      </w:r>
    </w:p>
    <w:p w:rsidR="00EB6074" w:rsidRPr="00902DA0" w:rsidRDefault="00EB6074" w:rsidP="00EB6074">
      <w:pPr>
        <w:pStyle w:val="TOC1"/>
        <w:rPr>
          <w:rFonts w:ascii="Calibri" w:hAnsi="Calibri"/>
          <w:caps w:val="0"/>
          <w:snapToGrid/>
          <w:kern w:val="0"/>
          <w:szCs w:val="22"/>
        </w:rPr>
      </w:pPr>
      <w:r>
        <w:t>II.</w:t>
      </w:r>
      <w:r w:rsidRPr="00902DA0">
        <w:rPr>
          <w:rFonts w:ascii="Calibri" w:hAnsi="Calibri"/>
          <w:caps w:val="0"/>
          <w:snapToGrid/>
          <w:kern w:val="0"/>
          <w:szCs w:val="22"/>
        </w:rPr>
        <w:tab/>
      </w:r>
      <w:r>
        <w:t>Executive Summary</w:t>
      </w:r>
      <w:r>
        <w:tab/>
        <w:t>14</w:t>
      </w:r>
    </w:p>
    <w:p w:rsidR="00EB6074" w:rsidRPr="00902DA0" w:rsidRDefault="00EB6074" w:rsidP="00EB6074">
      <w:pPr>
        <w:pStyle w:val="TOC1"/>
        <w:rPr>
          <w:rFonts w:ascii="Calibri" w:hAnsi="Calibri"/>
          <w:caps w:val="0"/>
          <w:snapToGrid/>
          <w:kern w:val="0"/>
          <w:szCs w:val="22"/>
        </w:rPr>
      </w:pPr>
      <w:r>
        <w:t>III.</w:t>
      </w:r>
      <w:r w:rsidRPr="00902DA0">
        <w:rPr>
          <w:rFonts w:ascii="Calibri" w:hAnsi="Calibri"/>
          <w:caps w:val="0"/>
          <w:snapToGrid/>
          <w:kern w:val="0"/>
          <w:szCs w:val="22"/>
        </w:rPr>
        <w:tab/>
      </w:r>
      <w:r>
        <w:t>Ensuring Privacy Protections for Customers of Broadband Services</w:t>
      </w:r>
      <w:r>
        <w:tab/>
        <w:t>27</w:t>
      </w:r>
    </w:p>
    <w:p w:rsidR="00EB6074" w:rsidRPr="00902DA0" w:rsidRDefault="00EB6074" w:rsidP="00EB6074">
      <w:pPr>
        <w:pStyle w:val="TOC2"/>
        <w:tabs>
          <w:tab w:val="left" w:pos="360"/>
        </w:tabs>
        <w:rPr>
          <w:rFonts w:ascii="Calibri" w:hAnsi="Calibri"/>
          <w:snapToGrid/>
          <w:kern w:val="0"/>
          <w:szCs w:val="22"/>
        </w:rPr>
      </w:pPr>
      <w:r>
        <w:t>A.</w:t>
      </w:r>
      <w:r w:rsidRPr="00902DA0">
        <w:rPr>
          <w:rFonts w:ascii="Calibri" w:hAnsi="Calibri"/>
          <w:snapToGrid/>
          <w:kern w:val="0"/>
          <w:szCs w:val="22"/>
        </w:rPr>
        <w:tab/>
      </w:r>
      <w:r>
        <w:t>Defining Key Terms</w:t>
      </w:r>
      <w:r>
        <w:tab/>
        <w:t>28</w:t>
      </w:r>
    </w:p>
    <w:p w:rsidR="00EB6074" w:rsidRPr="00902DA0" w:rsidRDefault="00EB6074" w:rsidP="00EB6074">
      <w:pPr>
        <w:pStyle w:val="TOC3"/>
        <w:tabs>
          <w:tab w:val="left" w:pos="360"/>
        </w:tabs>
        <w:rPr>
          <w:rFonts w:ascii="Calibri" w:hAnsi="Calibri"/>
          <w:snapToGrid/>
          <w:kern w:val="0"/>
          <w:szCs w:val="22"/>
        </w:rPr>
      </w:pPr>
      <w:r>
        <w:t>1.</w:t>
      </w:r>
      <w:r w:rsidRPr="00902DA0">
        <w:rPr>
          <w:rFonts w:ascii="Calibri" w:hAnsi="Calibri"/>
          <w:snapToGrid/>
          <w:kern w:val="0"/>
          <w:szCs w:val="22"/>
        </w:rPr>
        <w:tab/>
      </w:r>
      <w:r>
        <w:t>Defining BIAS and BIAS Provider</w:t>
      </w:r>
      <w:r>
        <w:tab/>
        <w:t>29</w:t>
      </w:r>
    </w:p>
    <w:p w:rsidR="00EB6074" w:rsidRPr="00902DA0" w:rsidRDefault="00EB6074" w:rsidP="00EB6074">
      <w:pPr>
        <w:pStyle w:val="TOC3"/>
        <w:tabs>
          <w:tab w:val="left" w:pos="360"/>
        </w:tabs>
        <w:rPr>
          <w:rFonts w:ascii="Calibri" w:hAnsi="Calibri"/>
          <w:snapToGrid/>
          <w:kern w:val="0"/>
          <w:szCs w:val="22"/>
        </w:rPr>
      </w:pPr>
      <w:r>
        <w:t>2.</w:t>
      </w:r>
      <w:r w:rsidRPr="00902DA0">
        <w:rPr>
          <w:rFonts w:ascii="Calibri" w:hAnsi="Calibri"/>
          <w:snapToGrid/>
          <w:kern w:val="0"/>
          <w:szCs w:val="22"/>
        </w:rPr>
        <w:tab/>
      </w:r>
      <w:r>
        <w:t>Defining Affiliate</w:t>
      </w:r>
      <w:r>
        <w:tab/>
        <w:t>30</w:t>
      </w:r>
    </w:p>
    <w:p w:rsidR="00EB6074" w:rsidRPr="00902DA0" w:rsidRDefault="00EB6074" w:rsidP="00EB6074">
      <w:pPr>
        <w:pStyle w:val="TOC3"/>
        <w:tabs>
          <w:tab w:val="left" w:pos="360"/>
        </w:tabs>
        <w:rPr>
          <w:rFonts w:ascii="Calibri" w:hAnsi="Calibri"/>
          <w:snapToGrid/>
          <w:kern w:val="0"/>
          <w:szCs w:val="22"/>
        </w:rPr>
      </w:pPr>
      <w:r>
        <w:t>3.</w:t>
      </w:r>
      <w:r w:rsidRPr="00902DA0">
        <w:rPr>
          <w:rFonts w:ascii="Calibri" w:hAnsi="Calibri"/>
          <w:snapToGrid/>
          <w:kern w:val="0"/>
          <w:szCs w:val="22"/>
        </w:rPr>
        <w:tab/>
      </w:r>
      <w:r>
        <w:t>Defining Customer</w:t>
      </w:r>
      <w:r>
        <w:tab/>
        <w:t>31</w:t>
      </w:r>
    </w:p>
    <w:p w:rsidR="00EB6074" w:rsidRPr="00902DA0" w:rsidRDefault="00EB6074" w:rsidP="00EB6074">
      <w:pPr>
        <w:pStyle w:val="TOC3"/>
        <w:tabs>
          <w:tab w:val="left" w:pos="360"/>
        </w:tabs>
        <w:rPr>
          <w:rFonts w:ascii="Calibri" w:hAnsi="Calibri"/>
          <w:snapToGrid/>
          <w:kern w:val="0"/>
          <w:szCs w:val="22"/>
        </w:rPr>
      </w:pPr>
      <w:r>
        <w:t>4.</w:t>
      </w:r>
      <w:r w:rsidRPr="00902DA0">
        <w:rPr>
          <w:rFonts w:ascii="Calibri" w:hAnsi="Calibri"/>
          <w:snapToGrid/>
          <w:kern w:val="0"/>
          <w:szCs w:val="22"/>
        </w:rPr>
        <w:tab/>
      </w:r>
      <w:r>
        <w:t>Defining CPNI in the Broadband Context</w:t>
      </w:r>
      <w:r>
        <w:tab/>
        <w:t>38</w:t>
      </w:r>
    </w:p>
    <w:p w:rsidR="00EB6074" w:rsidRPr="00902DA0" w:rsidRDefault="00EB6074" w:rsidP="00EB6074">
      <w:pPr>
        <w:pStyle w:val="TOC3"/>
        <w:tabs>
          <w:tab w:val="left" w:pos="360"/>
        </w:tabs>
        <w:rPr>
          <w:rFonts w:ascii="Calibri" w:hAnsi="Calibri"/>
          <w:snapToGrid/>
          <w:kern w:val="0"/>
          <w:szCs w:val="22"/>
        </w:rPr>
      </w:pPr>
      <w:r>
        <w:t>5.</w:t>
      </w:r>
      <w:r w:rsidRPr="00902DA0">
        <w:rPr>
          <w:rFonts w:ascii="Calibri" w:hAnsi="Calibri"/>
          <w:snapToGrid/>
          <w:kern w:val="0"/>
          <w:szCs w:val="22"/>
        </w:rPr>
        <w:tab/>
      </w:r>
      <w:r>
        <w:t>Defining Customer Proprietary Information</w:t>
      </w:r>
      <w:r>
        <w:tab/>
        <w:t>56</w:t>
      </w:r>
    </w:p>
    <w:p w:rsidR="00EB6074" w:rsidRPr="00902DA0" w:rsidRDefault="00EB6074" w:rsidP="00EB6074">
      <w:pPr>
        <w:pStyle w:val="TOC3"/>
        <w:tabs>
          <w:tab w:val="left" w:pos="360"/>
        </w:tabs>
        <w:rPr>
          <w:rFonts w:ascii="Calibri" w:hAnsi="Calibri"/>
          <w:snapToGrid/>
          <w:kern w:val="0"/>
          <w:szCs w:val="22"/>
        </w:rPr>
      </w:pPr>
      <w:r>
        <w:t>6.</w:t>
      </w:r>
      <w:r w:rsidRPr="00902DA0">
        <w:rPr>
          <w:rFonts w:ascii="Calibri" w:hAnsi="Calibri"/>
          <w:snapToGrid/>
          <w:kern w:val="0"/>
          <w:szCs w:val="22"/>
        </w:rPr>
        <w:tab/>
      </w:r>
      <w:r>
        <w:t>Defining Personally Identifiable Information</w:t>
      </w:r>
      <w:r>
        <w:tab/>
        <w:t>60</w:t>
      </w:r>
    </w:p>
    <w:p w:rsidR="00EB6074" w:rsidRPr="00902DA0" w:rsidRDefault="00EB6074" w:rsidP="00EB6074">
      <w:pPr>
        <w:pStyle w:val="TOC3"/>
        <w:tabs>
          <w:tab w:val="left" w:pos="360"/>
        </w:tabs>
        <w:rPr>
          <w:rFonts w:ascii="Calibri" w:hAnsi="Calibri"/>
          <w:snapToGrid/>
          <w:kern w:val="0"/>
          <w:szCs w:val="22"/>
        </w:rPr>
      </w:pPr>
      <w:r>
        <w:t>7.</w:t>
      </w:r>
      <w:r w:rsidRPr="00902DA0">
        <w:rPr>
          <w:rFonts w:ascii="Calibri" w:hAnsi="Calibri"/>
          <w:snapToGrid/>
          <w:kern w:val="0"/>
          <w:szCs w:val="22"/>
        </w:rPr>
        <w:tab/>
      </w:r>
      <w:r>
        <w:t>Content of Customer Communications</w:t>
      </w:r>
      <w:r>
        <w:tab/>
        <w:t>67</w:t>
      </w:r>
    </w:p>
    <w:p w:rsidR="00EB6074" w:rsidRPr="00902DA0" w:rsidRDefault="00EB6074" w:rsidP="00EB6074">
      <w:pPr>
        <w:pStyle w:val="TOC3"/>
        <w:tabs>
          <w:tab w:val="left" w:pos="360"/>
        </w:tabs>
        <w:rPr>
          <w:rFonts w:ascii="Calibri" w:hAnsi="Calibri"/>
          <w:snapToGrid/>
          <w:kern w:val="0"/>
          <w:szCs w:val="22"/>
        </w:rPr>
      </w:pPr>
      <w:r>
        <w:t>8.</w:t>
      </w:r>
      <w:r w:rsidRPr="00902DA0">
        <w:rPr>
          <w:rFonts w:ascii="Calibri" w:hAnsi="Calibri"/>
          <w:snapToGrid/>
          <w:kern w:val="0"/>
          <w:szCs w:val="22"/>
        </w:rPr>
        <w:tab/>
      </w:r>
      <w:r>
        <w:t>Defining Opt-Out and Opt-In Approval</w:t>
      </w:r>
      <w:r>
        <w:tab/>
        <w:t>68</w:t>
      </w:r>
    </w:p>
    <w:p w:rsidR="00EB6074" w:rsidRPr="00902DA0" w:rsidRDefault="00EB6074" w:rsidP="00EB6074">
      <w:pPr>
        <w:pStyle w:val="TOC3"/>
        <w:tabs>
          <w:tab w:val="left" w:pos="360"/>
        </w:tabs>
        <w:rPr>
          <w:rFonts w:ascii="Calibri" w:hAnsi="Calibri"/>
          <w:snapToGrid/>
          <w:kern w:val="0"/>
          <w:szCs w:val="22"/>
        </w:rPr>
      </w:pPr>
      <w:r>
        <w:t>9.</w:t>
      </w:r>
      <w:r w:rsidRPr="00902DA0">
        <w:rPr>
          <w:rFonts w:ascii="Calibri" w:hAnsi="Calibri"/>
          <w:snapToGrid/>
          <w:kern w:val="0"/>
          <w:szCs w:val="22"/>
        </w:rPr>
        <w:tab/>
      </w:r>
      <w:r>
        <w:t>Defining Communications-Related Services and Related Terms</w:t>
      </w:r>
      <w:r>
        <w:tab/>
        <w:t>71</w:t>
      </w:r>
    </w:p>
    <w:p w:rsidR="00EB6074" w:rsidRPr="00902DA0" w:rsidRDefault="00EB6074" w:rsidP="00EB6074">
      <w:pPr>
        <w:pStyle w:val="TOC3"/>
        <w:tabs>
          <w:tab w:val="left" w:pos="360"/>
        </w:tabs>
        <w:rPr>
          <w:rFonts w:ascii="Calibri" w:hAnsi="Calibri"/>
          <w:snapToGrid/>
          <w:kern w:val="0"/>
          <w:szCs w:val="22"/>
        </w:rPr>
      </w:pPr>
      <w:r>
        <w:t>10.</w:t>
      </w:r>
      <w:r w:rsidRPr="00902DA0">
        <w:rPr>
          <w:rFonts w:ascii="Calibri" w:hAnsi="Calibri"/>
          <w:snapToGrid/>
          <w:kern w:val="0"/>
          <w:szCs w:val="22"/>
        </w:rPr>
        <w:tab/>
      </w:r>
      <w:r>
        <w:t>Defining Aggregate Customer PI</w:t>
      </w:r>
      <w:r>
        <w:tab/>
        <w:t>74</w:t>
      </w:r>
    </w:p>
    <w:p w:rsidR="00EB6074" w:rsidRPr="00902DA0" w:rsidRDefault="00EB6074" w:rsidP="00EB6074">
      <w:pPr>
        <w:pStyle w:val="TOC3"/>
        <w:tabs>
          <w:tab w:val="left" w:pos="360"/>
        </w:tabs>
        <w:rPr>
          <w:rFonts w:ascii="Calibri" w:hAnsi="Calibri"/>
          <w:snapToGrid/>
          <w:kern w:val="0"/>
          <w:szCs w:val="22"/>
        </w:rPr>
      </w:pPr>
      <w:r>
        <w:t>11.</w:t>
      </w:r>
      <w:r w:rsidRPr="00902DA0">
        <w:rPr>
          <w:rFonts w:ascii="Calibri" w:hAnsi="Calibri"/>
          <w:snapToGrid/>
          <w:kern w:val="0"/>
          <w:szCs w:val="22"/>
        </w:rPr>
        <w:tab/>
      </w:r>
      <w:r>
        <w:t>Defining Breach</w:t>
      </w:r>
      <w:r>
        <w:tab/>
        <w:t>75</w:t>
      </w:r>
    </w:p>
    <w:p w:rsidR="00EB6074" w:rsidRPr="00902DA0" w:rsidRDefault="00EB6074" w:rsidP="00EB6074">
      <w:pPr>
        <w:pStyle w:val="TOC3"/>
        <w:tabs>
          <w:tab w:val="left" w:pos="360"/>
        </w:tabs>
        <w:rPr>
          <w:rFonts w:ascii="Calibri" w:hAnsi="Calibri"/>
          <w:snapToGrid/>
          <w:kern w:val="0"/>
          <w:szCs w:val="22"/>
        </w:rPr>
      </w:pPr>
      <w:r>
        <w:t>12.</w:t>
      </w:r>
      <w:r w:rsidRPr="00902DA0">
        <w:rPr>
          <w:rFonts w:ascii="Calibri" w:hAnsi="Calibri"/>
          <w:snapToGrid/>
          <w:kern w:val="0"/>
          <w:szCs w:val="22"/>
        </w:rPr>
        <w:tab/>
      </w:r>
      <w:r>
        <w:t>Other Definitions</w:t>
      </w:r>
      <w:r>
        <w:tab/>
        <w:t>78</w:t>
      </w:r>
    </w:p>
    <w:p w:rsidR="00EB6074" w:rsidRPr="00902DA0" w:rsidRDefault="00EB6074" w:rsidP="00EB6074">
      <w:pPr>
        <w:pStyle w:val="TOC2"/>
        <w:tabs>
          <w:tab w:val="left" w:pos="360"/>
        </w:tabs>
        <w:rPr>
          <w:rFonts w:ascii="Calibri" w:hAnsi="Calibri"/>
          <w:snapToGrid/>
          <w:kern w:val="0"/>
          <w:szCs w:val="22"/>
        </w:rPr>
      </w:pPr>
      <w:r>
        <w:t>B.</w:t>
      </w:r>
      <w:r w:rsidRPr="00902DA0">
        <w:rPr>
          <w:rFonts w:ascii="Calibri" w:hAnsi="Calibri"/>
          <w:snapToGrid/>
          <w:kern w:val="0"/>
          <w:szCs w:val="22"/>
        </w:rPr>
        <w:tab/>
      </w:r>
      <w:r>
        <w:t>Providing Meaningful Notice of Privacy Policies</w:t>
      </w:r>
      <w:r>
        <w:tab/>
        <w:t>82</w:t>
      </w:r>
    </w:p>
    <w:p w:rsidR="00EB6074" w:rsidRPr="00902DA0" w:rsidRDefault="00EB6074" w:rsidP="00EB6074">
      <w:pPr>
        <w:pStyle w:val="TOC3"/>
        <w:tabs>
          <w:tab w:val="left" w:pos="360"/>
        </w:tabs>
        <w:rPr>
          <w:rFonts w:ascii="Calibri" w:hAnsi="Calibri"/>
          <w:snapToGrid/>
          <w:kern w:val="0"/>
          <w:szCs w:val="22"/>
        </w:rPr>
      </w:pPr>
      <w:r>
        <w:t>1.</w:t>
      </w:r>
      <w:r w:rsidRPr="00902DA0">
        <w:rPr>
          <w:rFonts w:ascii="Calibri" w:hAnsi="Calibri"/>
          <w:snapToGrid/>
          <w:kern w:val="0"/>
          <w:szCs w:val="22"/>
        </w:rPr>
        <w:tab/>
      </w:r>
      <w:r>
        <w:t>Privacy Notice Requirements</w:t>
      </w:r>
      <w:r>
        <w:tab/>
        <w:t>83</w:t>
      </w:r>
    </w:p>
    <w:p w:rsidR="00EB6074" w:rsidRPr="00902DA0" w:rsidRDefault="00EB6074" w:rsidP="00EB6074">
      <w:pPr>
        <w:pStyle w:val="TOC3"/>
        <w:tabs>
          <w:tab w:val="left" w:pos="360"/>
        </w:tabs>
        <w:rPr>
          <w:rFonts w:ascii="Calibri" w:hAnsi="Calibri"/>
          <w:snapToGrid/>
          <w:kern w:val="0"/>
          <w:szCs w:val="22"/>
        </w:rPr>
      </w:pPr>
      <w:r>
        <w:t>2.</w:t>
      </w:r>
      <w:r w:rsidRPr="00902DA0">
        <w:rPr>
          <w:rFonts w:ascii="Calibri" w:hAnsi="Calibri"/>
          <w:snapToGrid/>
          <w:kern w:val="0"/>
          <w:szCs w:val="22"/>
        </w:rPr>
        <w:tab/>
      </w:r>
      <w:r>
        <w:t>Providing Notice of Material Changes in BIAS Providers’ Privacy Policies</w:t>
      </w:r>
      <w:r>
        <w:tab/>
        <w:t>96</w:t>
      </w:r>
    </w:p>
    <w:p w:rsidR="00EB6074" w:rsidRPr="00902DA0" w:rsidRDefault="00EB6074" w:rsidP="00EB6074">
      <w:pPr>
        <w:pStyle w:val="TOC3"/>
        <w:tabs>
          <w:tab w:val="left" w:pos="360"/>
        </w:tabs>
        <w:rPr>
          <w:rFonts w:ascii="Calibri" w:hAnsi="Calibri"/>
          <w:snapToGrid/>
          <w:kern w:val="0"/>
          <w:szCs w:val="22"/>
        </w:rPr>
      </w:pPr>
      <w:r>
        <w:t>3.</w:t>
      </w:r>
      <w:r w:rsidRPr="00902DA0">
        <w:rPr>
          <w:rFonts w:ascii="Calibri" w:hAnsi="Calibri"/>
          <w:snapToGrid/>
          <w:kern w:val="0"/>
          <w:szCs w:val="22"/>
        </w:rPr>
        <w:tab/>
      </w:r>
      <w:r>
        <w:t>Mobile-Specific Considerations</w:t>
      </w:r>
      <w:r>
        <w:tab/>
        <w:t>102</w:t>
      </w:r>
    </w:p>
    <w:p w:rsidR="00EB6074" w:rsidRPr="00902DA0" w:rsidRDefault="00EB6074" w:rsidP="00EB6074">
      <w:pPr>
        <w:pStyle w:val="TOC3"/>
        <w:tabs>
          <w:tab w:val="left" w:pos="360"/>
        </w:tabs>
        <w:rPr>
          <w:rFonts w:ascii="Calibri" w:hAnsi="Calibri"/>
          <w:snapToGrid/>
          <w:kern w:val="0"/>
          <w:szCs w:val="22"/>
        </w:rPr>
      </w:pPr>
      <w:r>
        <w:t>4.</w:t>
      </w:r>
      <w:r w:rsidRPr="00902DA0">
        <w:rPr>
          <w:rFonts w:ascii="Calibri" w:hAnsi="Calibri"/>
          <w:snapToGrid/>
          <w:kern w:val="0"/>
          <w:szCs w:val="22"/>
        </w:rPr>
        <w:tab/>
      </w:r>
      <w:r>
        <w:t>Harmonizing Notices for Voice, Video, and Broadband Services</w:t>
      </w:r>
      <w:r>
        <w:tab/>
        <w:t>103</w:t>
      </w:r>
    </w:p>
    <w:p w:rsidR="00EB6074" w:rsidRPr="00902DA0" w:rsidRDefault="00EB6074" w:rsidP="00EB6074">
      <w:pPr>
        <w:pStyle w:val="TOC2"/>
        <w:tabs>
          <w:tab w:val="left" w:pos="360"/>
        </w:tabs>
        <w:rPr>
          <w:rFonts w:ascii="Calibri" w:hAnsi="Calibri"/>
          <w:snapToGrid/>
          <w:kern w:val="0"/>
          <w:szCs w:val="22"/>
        </w:rPr>
      </w:pPr>
      <w:r>
        <w:t>C.</w:t>
      </w:r>
      <w:r w:rsidRPr="00902DA0">
        <w:rPr>
          <w:rFonts w:ascii="Calibri" w:hAnsi="Calibri"/>
          <w:snapToGrid/>
          <w:kern w:val="0"/>
          <w:szCs w:val="22"/>
        </w:rPr>
        <w:tab/>
      </w:r>
      <w:r>
        <w:t>Customer Approval Requirements for the Use and Disclosure of Customer PI</w:t>
      </w:r>
      <w:r>
        <w:tab/>
        <w:t>106</w:t>
      </w:r>
    </w:p>
    <w:p w:rsidR="00EB6074" w:rsidRPr="00902DA0" w:rsidRDefault="00EB6074" w:rsidP="00EB6074">
      <w:pPr>
        <w:pStyle w:val="TOC3"/>
        <w:tabs>
          <w:tab w:val="left" w:pos="360"/>
        </w:tabs>
        <w:rPr>
          <w:rFonts w:ascii="Calibri" w:hAnsi="Calibri"/>
          <w:snapToGrid/>
          <w:kern w:val="0"/>
          <w:szCs w:val="22"/>
        </w:rPr>
      </w:pPr>
      <w:r>
        <w:t>1.</w:t>
      </w:r>
      <w:r w:rsidRPr="00902DA0">
        <w:rPr>
          <w:rFonts w:ascii="Calibri" w:hAnsi="Calibri"/>
          <w:snapToGrid/>
          <w:kern w:val="0"/>
          <w:szCs w:val="22"/>
        </w:rPr>
        <w:tab/>
      </w:r>
      <w:r>
        <w:t>Types of Approval Required for Use and Disclosure of Customer PI</w:t>
      </w:r>
      <w:r>
        <w:tab/>
        <w:t>109</w:t>
      </w:r>
    </w:p>
    <w:p w:rsidR="00EB6074" w:rsidRPr="00902DA0" w:rsidRDefault="00EB6074" w:rsidP="00EB6074">
      <w:pPr>
        <w:pStyle w:val="TOC3"/>
        <w:tabs>
          <w:tab w:val="left" w:pos="360"/>
        </w:tabs>
        <w:rPr>
          <w:rFonts w:ascii="Calibri" w:hAnsi="Calibri"/>
          <w:snapToGrid/>
          <w:kern w:val="0"/>
          <w:szCs w:val="22"/>
        </w:rPr>
      </w:pPr>
      <w:r>
        <w:t>2.</w:t>
      </w:r>
      <w:r w:rsidRPr="00902DA0">
        <w:rPr>
          <w:rFonts w:ascii="Calibri" w:hAnsi="Calibri"/>
          <w:snapToGrid/>
          <w:kern w:val="0"/>
          <w:szCs w:val="22"/>
        </w:rPr>
        <w:tab/>
      </w:r>
      <w:r>
        <w:t>Requirements for Soliciting Customer Opt-Out and Opt-In Approval</w:t>
      </w:r>
      <w:r>
        <w:tab/>
        <w:t>139</w:t>
      </w:r>
    </w:p>
    <w:p w:rsidR="00EB6074" w:rsidRPr="00902DA0" w:rsidRDefault="00EB6074" w:rsidP="00EB6074">
      <w:pPr>
        <w:pStyle w:val="TOC3"/>
        <w:tabs>
          <w:tab w:val="left" w:pos="360"/>
        </w:tabs>
        <w:rPr>
          <w:rFonts w:ascii="Calibri" w:hAnsi="Calibri"/>
          <w:snapToGrid/>
          <w:kern w:val="0"/>
          <w:szCs w:val="22"/>
        </w:rPr>
      </w:pPr>
      <w:r>
        <w:t>3.</w:t>
      </w:r>
      <w:r w:rsidRPr="00902DA0">
        <w:rPr>
          <w:rFonts w:ascii="Calibri" w:hAnsi="Calibri"/>
          <w:snapToGrid/>
          <w:kern w:val="0"/>
          <w:szCs w:val="22"/>
        </w:rPr>
        <w:tab/>
      </w:r>
      <w:r>
        <w:t>Documenting Compliance with Proposed Customer Consent Requirements</w:t>
      </w:r>
      <w:r>
        <w:tab/>
        <w:t>149</w:t>
      </w:r>
    </w:p>
    <w:p w:rsidR="00EB6074" w:rsidRPr="00902DA0" w:rsidRDefault="00EB6074" w:rsidP="00EB6074">
      <w:pPr>
        <w:pStyle w:val="TOC3"/>
        <w:tabs>
          <w:tab w:val="left" w:pos="360"/>
        </w:tabs>
        <w:rPr>
          <w:rFonts w:ascii="Calibri" w:hAnsi="Calibri"/>
          <w:snapToGrid/>
          <w:kern w:val="0"/>
          <w:szCs w:val="22"/>
        </w:rPr>
      </w:pPr>
      <w:r>
        <w:t>4.</w:t>
      </w:r>
      <w:r w:rsidRPr="00902DA0">
        <w:rPr>
          <w:rFonts w:ascii="Calibri" w:hAnsi="Calibri"/>
          <w:snapToGrid/>
          <w:kern w:val="0"/>
          <w:szCs w:val="22"/>
        </w:rPr>
        <w:tab/>
      </w:r>
      <w:r>
        <w:t>Small BIAS Providers</w:t>
      </w:r>
      <w:r>
        <w:tab/>
        <w:t>151</w:t>
      </w:r>
    </w:p>
    <w:p w:rsidR="00EB6074" w:rsidRPr="00902DA0" w:rsidRDefault="00EB6074" w:rsidP="00EB6074">
      <w:pPr>
        <w:pStyle w:val="TOC3"/>
        <w:tabs>
          <w:tab w:val="left" w:pos="360"/>
        </w:tabs>
        <w:rPr>
          <w:rFonts w:ascii="Calibri" w:hAnsi="Calibri"/>
          <w:snapToGrid/>
          <w:kern w:val="0"/>
          <w:szCs w:val="22"/>
        </w:rPr>
      </w:pPr>
      <w:r>
        <w:t>5.</w:t>
      </w:r>
      <w:r w:rsidRPr="00902DA0">
        <w:rPr>
          <w:rFonts w:ascii="Calibri" w:hAnsi="Calibri"/>
          <w:snapToGrid/>
          <w:kern w:val="0"/>
          <w:szCs w:val="22"/>
        </w:rPr>
        <w:tab/>
      </w:r>
      <w:r>
        <w:t xml:space="preserve">Harmonizing Customer Approval Requirements </w:t>
      </w:r>
      <w:r>
        <w:tab/>
        <w:t>152</w:t>
      </w:r>
    </w:p>
    <w:p w:rsidR="00EB6074" w:rsidRPr="00902DA0" w:rsidRDefault="00EB6074" w:rsidP="00EB6074">
      <w:pPr>
        <w:pStyle w:val="TOC2"/>
        <w:tabs>
          <w:tab w:val="left" w:pos="360"/>
        </w:tabs>
        <w:rPr>
          <w:rFonts w:ascii="Calibri" w:hAnsi="Calibri"/>
          <w:snapToGrid/>
          <w:kern w:val="0"/>
          <w:szCs w:val="22"/>
        </w:rPr>
      </w:pPr>
      <w:r>
        <w:t>D.</w:t>
      </w:r>
      <w:r w:rsidRPr="00902DA0">
        <w:rPr>
          <w:rFonts w:ascii="Calibri" w:hAnsi="Calibri"/>
          <w:snapToGrid/>
          <w:kern w:val="0"/>
          <w:szCs w:val="22"/>
        </w:rPr>
        <w:tab/>
      </w:r>
      <w:r>
        <w:t>Use and Disclosure of Aggregate Customer PI</w:t>
      </w:r>
      <w:r>
        <w:tab/>
        <w:t>154</w:t>
      </w:r>
    </w:p>
    <w:p w:rsidR="00EB6074" w:rsidRPr="00902DA0" w:rsidRDefault="00EB6074" w:rsidP="00EB6074">
      <w:pPr>
        <w:pStyle w:val="TOC2"/>
        <w:tabs>
          <w:tab w:val="left" w:pos="360"/>
        </w:tabs>
        <w:rPr>
          <w:rFonts w:ascii="Calibri" w:hAnsi="Calibri"/>
          <w:snapToGrid/>
          <w:kern w:val="0"/>
          <w:szCs w:val="22"/>
        </w:rPr>
      </w:pPr>
      <w:r>
        <w:t>E.</w:t>
      </w:r>
      <w:r w:rsidRPr="00902DA0">
        <w:rPr>
          <w:rFonts w:ascii="Calibri" w:hAnsi="Calibri"/>
          <w:snapToGrid/>
          <w:kern w:val="0"/>
          <w:szCs w:val="22"/>
        </w:rPr>
        <w:tab/>
      </w:r>
      <w:r>
        <w:t>Securing Customer Proprietary Information</w:t>
      </w:r>
      <w:r>
        <w:tab/>
        <w:t>167</w:t>
      </w:r>
    </w:p>
    <w:p w:rsidR="00EB6074" w:rsidRPr="00902DA0" w:rsidRDefault="00EB6074" w:rsidP="00EB6074">
      <w:pPr>
        <w:pStyle w:val="TOC3"/>
        <w:tabs>
          <w:tab w:val="left" w:pos="360"/>
        </w:tabs>
        <w:rPr>
          <w:rFonts w:ascii="Calibri" w:hAnsi="Calibri"/>
          <w:snapToGrid/>
          <w:kern w:val="0"/>
          <w:szCs w:val="22"/>
        </w:rPr>
      </w:pPr>
      <w:r>
        <w:t>1.</w:t>
      </w:r>
      <w:r w:rsidRPr="00902DA0">
        <w:rPr>
          <w:rFonts w:ascii="Calibri" w:hAnsi="Calibri"/>
          <w:snapToGrid/>
          <w:kern w:val="0"/>
          <w:szCs w:val="22"/>
        </w:rPr>
        <w:tab/>
      </w:r>
      <w:r>
        <w:t>General Standard</w:t>
      </w:r>
      <w:r>
        <w:tab/>
        <w:t>170</w:t>
      </w:r>
    </w:p>
    <w:p w:rsidR="00EB6074" w:rsidRPr="00902DA0" w:rsidRDefault="00EB6074" w:rsidP="00EB6074">
      <w:pPr>
        <w:pStyle w:val="TOC3"/>
        <w:tabs>
          <w:tab w:val="left" w:pos="360"/>
        </w:tabs>
        <w:rPr>
          <w:rFonts w:ascii="Calibri" w:hAnsi="Calibri"/>
          <w:snapToGrid/>
          <w:kern w:val="0"/>
          <w:szCs w:val="22"/>
        </w:rPr>
      </w:pPr>
      <w:r w:rsidRPr="00090C4B">
        <w:rPr>
          <w:rFonts w:eastAsia="Calibri"/>
        </w:rPr>
        <w:t>2.</w:t>
      </w:r>
      <w:r w:rsidRPr="00902DA0">
        <w:rPr>
          <w:rFonts w:ascii="Calibri" w:hAnsi="Calibri"/>
          <w:snapToGrid/>
          <w:kern w:val="0"/>
          <w:szCs w:val="22"/>
        </w:rPr>
        <w:tab/>
      </w:r>
      <w:r w:rsidRPr="00090C4B">
        <w:rPr>
          <w:rFonts w:eastAsia="Calibri"/>
        </w:rPr>
        <w:t>Protecting Against Unauthorized Use or Disclosure of Customer PI</w:t>
      </w:r>
      <w:r>
        <w:tab/>
        <w:t>174</w:t>
      </w:r>
    </w:p>
    <w:p w:rsidR="00EB6074" w:rsidRPr="00902DA0" w:rsidRDefault="00EB6074" w:rsidP="00EB6074">
      <w:pPr>
        <w:pStyle w:val="TOC3"/>
        <w:tabs>
          <w:tab w:val="left" w:pos="360"/>
        </w:tabs>
        <w:rPr>
          <w:rFonts w:ascii="Calibri" w:hAnsi="Calibri"/>
          <w:snapToGrid/>
          <w:kern w:val="0"/>
          <w:szCs w:val="22"/>
        </w:rPr>
      </w:pPr>
      <w:r>
        <w:t>3.</w:t>
      </w:r>
      <w:r w:rsidRPr="00902DA0">
        <w:rPr>
          <w:rFonts w:ascii="Calibri" w:hAnsi="Calibri"/>
          <w:snapToGrid/>
          <w:kern w:val="0"/>
          <w:szCs w:val="22"/>
        </w:rPr>
        <w:tab/>
      </w:r>
      <w:r>
        <w:t>Factors for Consideration in Implementing Proposed Customer Data Security Measures</w:t>
      </w:r>
      <w:r>
        <w:tab/>
        <w:t>217</w:t>
      </w:r>
    </w:p>
    <w:p w:rsidR="00EB6074" w:rsidRPr="00902DA0" w:rsidRDefault="00EB6074" w:rsidP="00EB6074">
      <w:pPr>
        <w:pStyle w:val="TOC3"/>
        <w:tabs>
          <w:tab w:val="left" w:pos="360"/>
        </w:tabs>
        <w:rPr>
          <w:rFonts w:ascii="Calibri" w:hAnsi="Calibri"/>
          <w:snapToGrid/>
          <w:kern w:val="0"/>
          <w:szCs w:val="22"/>
        </w:rPr>
      </w:pPr>
      <w:r>
        <w:t>4.</w:t>
      </w:r>
      <w:r w:rsidRPr="00902DA0">
        <w:rPr>
          <w:rFonts w:ascii="Calibri" w:hAnsi="Calibri"/>
          <w:snapToGrid/>
          <w:kern w:val="0"/>
          <w:szCs w:val="22"/>
        </w:rPr>
        <w:tab/>
      </w:r>
      <w:r>
        <w:t>Limiting Collection, Retention, and Disposal of Data</w:t>
      </w:r>
      <w:r>
        <w:tab/>
        <w:t>221</w:t>
      </w:r>
    </w:p>
    <w:p w:rsidR="00EB6074" w:rsidRPr="00902DA0" w:rsidRDefault="00EB6074" w:rsidP="00EB6074">
      <w:pPr>
        <w:pStyle w:val="TOC2"/>
        <w:tabs>
          <w:tab w:val="left" w:pos="360"/>
        </w:tabs>
        <w:rPr>
          <w:rFonts w:ascii="Calibri" w:hAnsi="Calibri"/>
          <w:snapToGrid/>
          <w:kern w:val="0"/>
          <w:szCs w:val="22"/>
        </w:rPr>
      </w:pPr>
      <w:r>
        <w:t>F.</w:t>
      </w:r>
      <w:r w:rsidRPr="00902DA0">
        <w:rPr>
          <w:rFonts w:ascii="Calibri" w:hAnsi="Calibri"/>
          <w:snapToGrid/>
          <w:kern w:val="0"/>
          <w:szCs w:val="22"/>
        </w:rPr>
        <w:tab/>
      </w:r>
      <w:r>
        <w:t>Data Breach Notification Requirements</w:t>
      </w:r>
      <w:r>
        <w:tab/>
        <w:t>233</w:t>
      </w:r>
    </w:p>
    <w:p w:rsidR="00EB6074" w:rsidRPr="00902DA0" w:rsidRDefault="00EB6074" w:rsidP="00EB6074">
      <w:pPr>
        <w:pStyle w:val="TOC3"/>
        <w:tabs>
          <w:tab w:val="left" w:pos="360"/>
        </w:tabs>
        <w:rPr>
          <w:rFonts w:ascii="Calibri" w:hAnsi="Calibri"/>
          <w:snapToGrid/>
          <w:kern w:val="0"/>
          <w:szCs w:val="22"/>
        </w:rPr>
      </w:pPr>
      <w:r>
        <w:t>1.</w:t>
      </w:r>
      <w:r w:rsidRPr="00902DA0">
        <w:rPr>
          <w:rFonts w:ascii="Calibri" w:hAnsi="Calibri"/>
          <w:snapToGrid/>
          <w:kern w:val="0"/>
          <w:szCs w:val="22"/>
        </w:rPr>
        <w:tab/>
      </w:r>
      <w:r>
        <w:t>Customer Notification</w:t>
      </w:r>
      <w:r>
        <w:tab/>
        <w:t>236</w:t>
      </w:r>
    </w:p>
    <w:p w:rsidR="00EB6074" w:rsidRPr="00902DA0" w:rsidRDefault="00EB6074" w:rsidP="00EB6074">
      <w:pPr>
        <w:pStyle w:val="TOC3"/>
        <w:tabs>
          <w:tab w:val="left" w:pos="360"/>
        </w:tabs>
        <w:rPr>
          <w:rFonts w:ascii="Calibri" w:hAnsi="Calibri"/>
          <w:snapToGrid/>
          <w:kern w:val="0"/>
          <w:szCs w:val="22"/>
        </w:rPr>
      </w:pPr>
      <w:r>
        <w:t>2.</w:t>
      </w:r>
      <w:r w:rsidRPr="00902DA0">
        <w:rPr>
          <w:rFonts w:ascii="Calibri" w:hAnsi="Calibri"/>
          <w:snapToGrid/>
          <w:kern w:val="0"/>
          <w:szCs w:val="22"/>
        </w:rPr>
        <w:tab/>
      </w:r>
      <w:r>
        <w:t>Notification to Federal Law Enforcement and the Commission</w:t>
      </w:r>
      <w:r>
        <w:tab/>
        <w:t>246</w:t>
      </w:r>
    </w:p>
    <w:p w:rsidR="00EB6074" w:rsidRPr="00902DA0" w:rsidRDefault="00EB6074" w:rsidP="00EB6074">
      <w:pPr>
        <w:pStyle w:val="TOC3"/>
        <w:tabs>
          <w:tab w:val="left" w:pos="360"/>
        </w:tabs>
        <w:rPr>
          <w:rFonts w:ascii="Calibri" w:hAnsi="Calibri"/>
          <w:snapToGrid/>
          <w:kern w:val="0"/>
          <w:szCs w:val="22"/>
        </w:rPr>
      </w:pPr>
      <w:r>
        <w:t>3.</w:t>
      </w:r>
      <w:r w:rsidRPr="00902DA0">
        <w:rPr>
          <w:rFonts w:ascii="Calibri" w:hAnsi="Calibri"/>
          <w:snapToGrid/>
          <w:kern w:val="0"/>
          <w:szCs w:val="22"/>
        </w:rPr>
        <w:tab/>
      </w:r>
      <w:r>
        <w:t>Record Retention</w:t>
      </w:r>
      <w:r>
        <w:tab/>
        <w:t>252</w:t>
      </w:r>
    </w:p>
    <w:p w:rsidR="00EB6074" w:rsidRPr="00902DA0" w:rsidRDefault="00EB6074" w:rsidP="00EB6074">
      <w:pPr>
        <w:pStyle w:val="TOC3"/>
        <w:tabs>
          <w:tab w:val="left" w:pos="360"/>
        </w:tabs>
        <w:rPr>
          <w:rFonts w:ascii="Calibri" w:hAnsi="Calibri"/>
          <w:snapToGrid/>
          <w:kern w:val="0"/>
          <w:szCs w:val="22"/>
        </w:rPr>
      </w:pPr>
      <w:r>
        <w:t>4.</w:t>
      </w:r>
      <w:r w:rsidRPr="00902DA0">
        <w:rPr>
          <w:rFonts w:ascii="Calibri" w:hAnsi="Calibri"/>
          <w:snapToGrid/>
          <w:kern w:val="0"/>
          <w:szCs w:val="22"/>
        </w:rPr>
        <w:tab/>
      </w:r>
      <w:r>
        <w:t>Harmonization</w:t>
      </w:r>
      <w:r>
        <w:tab/>
        <w:t>254</w:t>
      </w:r>
    </w:p>
    <w:p w:rsidR="00EB6074" w:rsidRPr="00902DA0" w:rsidRDefault="00EB6074" w:rsidP="00EB6074">
      <w:pPr>
        <w:pStyle w:val="TOC3"/>
        <w:tabs>
          <w:tab w:val="left" w:pos="360"/>
        </w:tabs>
        <w:rPr>
          <w:rFonts w:ascii="Calibri" w:hAnsi="Calibri"/>
          <w:snapToGrid/>
          <w:kern w:val="0"/>
          <w:szCs w:val="22"/>
        </w:rPr>
      </w:pPr>
      <w:r>
        <w:t>5.</w:t>
      </w:r>
      <w:r w:rsidRPr="00902DA0">
        <w:rPr>
          <w:rFonts w:ascii="Calibri" w:hAnsi="Calibri"/>
          <w:snapToGrid/>
          <w:kern w:val="0"/>
          <w:szCs w:val="22"/>
        </w:rPr>
        <w:tab/>
      </w:r>
      <w:r>
        <w:t>Third-Party Data Breach Notification</w:t>
      </w:r>
      <w:r>
        <w:tab/>
        <w:t>255</w:t>
      </w:r>
    </w:p>
    <w:p w:rsidR="00EB6074" w:rsidRPr="00902DA0" w:rsidRDefault="00EB6074" w:rsidP="00EB6074">
      <w:pPr>
        <w:pStyle w:val="TOC2"/>
        <w:tabs>
          <w:tab w:val="left" w:pos="360"/>
        </w:tabs>
        <w:rPr>
          <w:rFonts w:ascii="Calibri" w:hAnsi="Calibri"/>
          <w:snapToGrid/>
          <w:kern w:val="0"/>
          <w:szCs w:val="22"/>
        </w:rPr>
      </w:pPr>
      <w:r>
        <w:t>G.</w:t>
      </w:r>
      <w:r w:rsidRPr="00902DA0">
        <w:rPr>
          <w:rFonts w:ascii="Calibri" w:hAnsi="Calibri"/>
          <w:snapToGrid/>
          <w:kern w:val="0"/>
          <w:szCs w:val="22"/>
        </w:rPr>
        <w:tab/>
      </w:r>
      <w:r>
        <w:t>Practices Implicating Privacy that May Be Prohibited Under the Act</w:t>
      </w:r>
      <w:r>
        <w:tab/>
        <w:t>256</w:t>
      </w:r>
    </w:p>
    <w:p w:rsidR="00EB6074" w:rsidRPr="00902DA0" w:rsidRDefault="00EB6074" w:rsidP="00EB6074">
      <w:pPr>
        <w:pStyle w:val="TOC2"/>
        <w:tabs>
          <w:tab w:val="left" w:pos="360"/>
        </w:tabs>
        <w:rPr>
          <w:rFonts w:ascii="Calibri" w:hAnsi="Calibri"/>
          <w:snapToGrid/>
          <w:kern w:val="0"/>
          <w:szCs w:val="22"/>
        </w:rPr>
      </w:pPr>
      <w:r>
        <w:t>H.</w:t>
      </w:r>
      <w:r w:rsidRPr="00902DA0">
        <w:rPr>
          <w:rFonts w:ascii="Calibri" w:hAnsi="Calibri"/>
          <w:snapToGrid/>
          <w:kern w:val="0"/>
          <w:szCs w:val="22"/>
        </w:rPr>
        <w:tab/>
      </w:r>
      <w:r>
        <w:t>Dispute Resolution</w:t>
      </w:r>
      <w:r>
        <w:tab/>
        <w:t>273</w:t>
      </w:r>
    </w:p>
    <w:p w:rsidR="00EB6074" w:rsidRPr="00902DA0" w:rsidRDefault="00EB6074" w:rsidP="00EB6074">
      <w:pPr>
        <w:pStyle w:val="TOC2"/>
        <w:tabs>
          <w:tab w:val="left" w:pos="360"/>
        </w:tabs>
        <w:rPr>
          <w:rFonts w:ascii="Calibri" w:hAnsi="Calibri"/>
          <w:snapToGrid/>
          <w:kern w:val="0"/>
          <w:szCs w:val="22"/>
        </w:rPr>
      </w:pPr>
      <w:r>
        <w:t>I.</w:t>
      </w:r>
      <w:r w:rsidRPr="00902DA0">
        <w:rPr>
          <w:rFonts w:ascii="Calibri" w:hAnsi="Calibri"/>
          <w:snapToGrid/>
          <w:kern w:val="0"/>
          <w:szCs w:val="22"/>
        </w:rPr>
        <w:tab/>
      </w:r>
      <w:r>
        <w:t>Preemption of State Law</w:t>
      </w:r>
      <w:r>
        <w:tab/>
        <w:t>276</w:t>
      </w:r>
    </w:p>
    <w:p w:rsidR="00EB6074" w:rsidRPr="00902DA0" w:rsidRDefault="00EB6074" w:rsidP="00EB6074">
      <w:pPr>
        <w:pStyle w:val="TOC2"/>
        <w:tabs>
          <w:tab w:val="left" w:pos="360"/>
        </w:tabs>
        <w:rPr>
          <w:rFonts w:ascii="Calibri" w:hAnsi="Calibri"/>
          <w:snapToGrid/>
          <w:kern w:val="0"/>
          <w:szCs w:val="22"/>
        </w:rPr>
      </w:pPr>
      <w:r>
        <w:t>J.</w:t>
      </w:r>
      <w:r w:rsidRPr="00902DA0">
        <w:rPr>
          <w:rFonts w:ascii="Calibri" w:hAnsi="Calibri"/>
          <w:snapToGrid/>
          <w:kern w:val="0"/>
          <w:szCs w:val="22"/>
        </w:rPr>
        <w:tab/>
      </w:r>
      <w:r>
        <w:t>Other Proposed Frameworks and Recommendations</w:t>
      </w:r>
      <w:r>
        <w:tab/>
        <w:t>278</w:t>
      </w:r>
    </w:p>
    <w:p w:rsidR="00EB6074" w:rsidRPr="00902DA0" w:rsidRDefault="00EB6074" w:rsidP="00EB6074">
      <w:pPr>
        <w:pStyle w:val="TOC2"/>
        <w:tabs>
          <w:tab w:val="left" w:pos="360"/>
        </w:tabs>
        <w:rPr>
          <w:rFonts w:ascii="Calibri" w:hAnsi="Calibri"/>
          <w:snapToGrid/>
          <w:kern w:val="0"/>
          <w:szCs w:val="22"/>
        </w:rPr>
      </w:pPr>
      <w:r>
        <w:t>K.</w:t>
      </w:r>
      <w:r w:rsidRPr="00902DA0">
        <w:rPr>
          <w:rFonts w:ascii="Calibri" w:hAnsi="Calibri"/>
          <w:snapToGrid/>
          <w:kern w:val="0"/>
          <w:szCs w:val="22"/>
        </w:rPr>
        <w:tab/>
      </w:r>
      <w:r>
        <w:t>Multi-Stakeholder Processes</w:t>
      </w:r>
      <w:r>
        <w:tab/>
        <w:t>293</w:t>
      </w:r>
    </w:p>
    <w:p w:rsidR="00EB6074" w:rsidRPr="00902DA0" w:rsidRDefault="00EB6074" w:rsidP="00EB6074">
      <w:pPr>
        <w:pStyle w:val="TOC1"/>
        <w:rPr>
          <w:rFonts w:ascii="Calibri" w:hAnsi="Calibri"/>
          <w:caps w:val="0"/>
          <w:snapToGrid/>
          <w:kern w:val="0"/>
          <w:szCs w:val="22"/>
        </w:rPr>
      </w:pPr>
      <w:r>
        <w:t>IV.</w:t>
      </w:r>
      <w:r w:rsidRPr="00902DA0">
        <w:rPr>
          <w:rFonts w:ascii="Calibri" w:hAnsi="Calibri"/>
          <w:caps w:val="0"/>
          <w:snapToGrid/>
          <w:kern w:val="0"/>
          <w:szCs w:val="22"/>
        </w:rPr>
        <w:tab/>
      </w:r>
      <w:r>
        <w:t>Legal Authority</w:t>
      </w:r>
      <w:r>
        <w:tab/>
        <w:t>294</w:t>
      </w:r>
    </w:p>
    <w:p w:rsidR="00EB6074" w:rsidRPr="00902DA0" w:rsidRDefault="00EB6074" w:rsidP="00EB6074">
      <w:pPr>
        <w:pStyle w:val="TOC2"/>
        <w:tabs>
          <w:tab w:val="left" w:pos="360"/>
        </w:tabs>
        <w:rPr>
          <w:rFonts w:ascii="Calibri" w:hAnsi="Calibri"/>
          <w:snapToGrid/>
          <w:kern w:val="0"/>
          <w:szCs w:val="22"/>
        </w:rPr>
      </w:pPr>
      <w:r>
        <w:t>A.</w:t>
      </w:r>
      <w:r w:rsidRPr="00902DA0">
        <w:rPr>
          <w:rFonts w:ascii="Calibri" w:hAnsi="Calibri"/>
          <w:snapToGrid/>
          <w:kern w:val="0"/>
          <w:szCs w:val="22"/>
        </w:rPr>
        <w:tab/>
      </w:r>
      <w:r>
        <w:t>Section 222 of the Communications Act</w:t>
      </w:r>
      <w:r>
        <w:tab/>
        <w:t>296</w:t>
      </w:r>
    </w:p>
    <w:p w:rsidR="00EB6074" w:rsidRPr="00902DA0" w:rsidRDefault="00EB6074" w:rsidP="00EB6074">
      <w:pPr>
        <w:pStyle w:val="TOC2"/>
        <w:tabs>
          <w:tab w:val="left" w:pos="360"/>
        </w:tabs>
        <w:rPr>
          <w:rFonts w:ascii="Calibri" w:hAnsi="Calibri"/>
          <w:snapToGrid/>
          <w:kern w:val="0"/>
          <w:szCs w:val="22"/>
        </w:rPr>
      </w:pPr>
      <w:r>
        <w:t>B.</w:t>
      </w:r>
      <w:r w:rsidRPr="00902DA0">
        <w:rPr>
          <w:rFonts w:ascii="Calibri" w:hAnsi="Calibri"/>
          <w:snapToGrid/>
          <w:kern w:val="0"/>
          <w:szCs w:val="22"/>
        </w:rPr>
        <w:tab/>
      </w:r>
      <w:r>
        <w:t>Additional Statutory Authority</w:t>
      </w:r>
      <w:r>
        <w:tab/>
        <w:t>304</w:t>
      </w:r>
    </w:p>
    <w:p w:rsidR="00EB6074" w:rsidRPr="00902DA0" w:rsidRDefault="00EB6074" w:rsidP="00EB6074">
      <w:pPr>
        <w:pStyle w:val="TOC3"/>
        <w:tabs>
          <w:tab w:val="left" w:pos="360"/>
        </w:tabs>
        <w:rPr>
          <w:rFonts w:ascii="Calibri" w:hAnsi="Calibri"/>
          <w:snapToGrid/>
          <w:kern w:val="0"/>
          <w:szCs w:val="22"/>
        </w:rPr>
      </w:pPr>
      <w:r>
        <w:t>1.</w:t>
      </w:r>
      <w:r w:rsidRPr="00902DA0">
        <w:rPr>
          <w:rFonts w:ascii="Calibri" w:hAnsi="Calibri"/>
          <w:snapToGrid/>
          <w:kern w:val="0"/>
          <w:szCs w:val="22"/>
        </w:rPr>
        <w:tab/>
      </w:r>
      <w:r>
        <w:t>Sections 201-202 of the Communications Act</w:t>
      </w:r>
      <w:r>
        <w:tab/>
        <w:t>305</w:t>
      </w:r>
    </w:p>
    <w:p w:rsidR="00EB6074" w:rsidRPr="00902DA0" w:rsidRDefault="00EB6074" w:rsidP="00EB6074">
      <w:pPr>
        <w:pStyle w:val="TOC3"/>
        <w:tabs>
          <w:tab w:val="left" w:pos="360"/>
        </w:tabs>
        <w:rPr>
          <w:rFonts w:ascii="Calibri" w:hAnsi="Calibri"/>
          <w:snapToGrid/>
          <w:kern w:val="0"/>
          <w:szCs w:val="22"/>
        </w:rPr>
      </w:pPr>
      <w:r>
        <w:t>2.</w:t>
      </w:r>
      <w:r w:rsidRPr="00902DA0">
        <w:rPr>
          <w:rFonts w:ascii="Calibri" w:hAnsi="Calibri"/>
          <w:snapToGrid/>
          <w:kern w:val="0"/>
          <w:szCs w:val="22"/>
        </w:rPr>
        <w:tab/>
      </w:r>
      <w:r>
        <w:t>Section 705 of the Communications Act</w:t>
      </w:r>
      <w:r>
        <w:tab/>
        <w:t>307</w:t>
      </w:r>
    </w:p>
    <w:p w:rsidR="00EB6074" w:rsidRPr="00902DA0" w:rsidRDefault="00EB6074" w:rsidP="00EB6074">
      <w:pPr>
        <w:pStyle w:val="TOC3"/>
        <w:tabs>
          <w:tab w:val="left" w:pos="360"/>
        </w:tabs>
        <w:rPr>
          <w:rFonts w:ascii="Calibri" w:hAnsi="Calibri"/>
          <w:snapToGrid/>
          <w:kern w:val="0"/>
          <w:szCs w:val="22"/>
        </w:rPr>
      </w:pPr>
      <w:r>
        <w:t>3.</w:t>
      </w:r>
      <w:r w:rsidRPr="00902DA0">
        <w:rPr>
          <w:rFonts w:ascii="Calibri" w:hAnsi="Calibri"/>
          <w:snapToGrid/>
          <w:kern w:val="0"/>
          <w:szCs w:val="22"/>
        </w:rPr>
        <w:tab/>
      </w:r>
      <w:r>
        <w:t>Section 706 of the Telecommunications Act of 1996</w:t>
      </w:r>
      <w:r>
        <w:tab/>
        <w:t>308</w:t>
      </w:r>
    </w:p>
    <w:p w:rsidR="00EB6074" w:rsidRPr="00902DA0" w:rsidRDefault="00EB6074" w:rsidP="00EB6074">
      <w:pPr>
        <w:pStyle w:val="TOC3"/>
        <w:tabs>
          <w:tab w:val="left" w:pos="360"/>
        </w:tabs>
        <w:rPr>
          <w:rFonts w:ascii="Calibri" w:hAnsi="Calibri"/>
          <w:snapToGrid/>
          <w:kern w:val="0"/>
          <w:szCs w:val="22"/>
        </w:rPr>
      </w:pPr>
      <w:r>
        <w:t>4.</w:t>
      </w:r>
      <w:r w:rsidRPr="00902DA0">
        <w:rPr>
          <w:rFonts w:ascii="Calibri" w:hAnsi="Calibri"/>
          <w:snapToGrid/>
          <w:kern w:val="0"/>
          <w:szCs w:val="22"/>
        </w:rPr>
        <w:tab/>
      </w:r>
      <w:r>
        <w:t>Title III of the Communications Act</w:t>
      </w:r>
      <w:r>
        <w:tab/>
        <w:t>310</w:t>
      </w:r>
    </w:p>
    <w:p w:rsidR="00EB6074" w:rsidRPr="00902DA0" w:rsidRDefault="00EB6074" w:rsidP="00EB6074">
      <w:pPr>
        <w:pStyle w:val="TOC1"/>
        <w:rPr>
          <w:rFonts w:ascii="Calibri" w:hAnsi="Calibri"/>
          <w:caps w:val="0"/>
          <w:snapToGrid/>
          <w:kern w:val="0"/>
          <w:szCs w:val="22"/>
        </w:rPr>
      </w:pPr>
      <w:r w:rsidRPr="00090C4B">
        <w:rPr>
          <w:rFonts w:eastAsia="Georgia"/>
        </w:rPr>
        <w:t>V.</w:t>
      </w:r>
      <w:r w:rsidRPr="00902DA0">
        <w:rPr>
          <w:rFonts w:ascii="Calibri" w:hAnsi="Calibri"/>
          <w:caps w:val="0"/>
          <w:snapToGrid/>
          <w:kern w:val="0"/>
          <w:szCs w:val="22"/>
        </w:rPr>
        <w:tab/>
      </w:r>
      <w:r w:rsidRPr="00090C4B">
        <w:rPr>
          <w:rFonts w:eastAsia="Georgia"/>
        </w:rPr>
        <w:t>Procedural Matters</w:t>
      </w:r>
      <w:r>
        <w:tab/>
        <w:t>311</w:t>
      </w:r>
    </w:p>
    <w:p w:rsidR="00EB6074" w:rsidRPr="00902DA0" w:rsidRDefault="00EB6074" w:rsidP="00EB6074">
      <w:pPr>
        <w:pStyle w:val="TOC2"/>
        <w:tabs>
          <w:tab w:val="left" w:pos="360"/>
        </w:tabs>
        <w:rPr>
          <w:rFonts w:ascii="Calibri" w:hAnsi="Calibri"/>
          <w:snapToGrid/>
          <w:kern w:val="0"/>
          <w:szCs w:val="22"/>
        </w:rPr>
      </w:pPr>
      <w:r>
        <w:t>A.</w:t>
      </w:r>
      <w:r w:rsidRPr="00902DA0">
        <w:rPr>
          <w:rFonts w:ascii="Calibri" w:hAnsi="Calibri"/>
          <w:snapToGrid/>
          <w:kern w:val="0"/>
          <w:szCs w:val="22"/>
        </w:rPr>
        <w:tab/>
      </w:r>
      <w:r w:rsidRPr="00090C4B">
        <w:rPr>
          <w:i/>
        </w:rPr>
        <w:t>Ex Parte</w:t>
      </w:r>
      <w:r>
        <w:t xml:space="preserve"> Rules</w:t>
      </w:r>
      <w:r>
        <w:tab/>
        <w:t>311</w:t>
      </w:r>
    </w:p>
    <w:p w:rsidR="00EB6074" w:rsidRPr="00902DA0" w:rsidRDefault="00EB6074" w:rsidP="00EB6074">
      <w:pPr>
        <w:pStyle w:val="TOC2"/>
        <w:tabs>
          <w:tab w:val="left" w:pos="360"/>
        </w:tabs>
        <w:rPr>
          <w:rFonts w:ascii="Calibri" w:hAnsi="Calibri"/>
          <w:snapToGrid/>
          <w:kern w:val="0"/>
          <w:szCs w:val="22"/>
        </w:rPr>
      </w:pPr>
      <w:r>
        <w:t>B.</w:t>
      </w:r>
      <w:r w:rsidRPr="00902DA0">
        <w:rPr>
          <w:rFonts w:ascii="Calibri" w:hAnsi="Calibri"/>
          <w:snapToGrid/>
          <w:kern w:val="0"/>
          <w:szCs w:val="22"/>
        </w:rPr>
        <w:tab/>
      </w:r>
      <w:r>
        <w:t>Comment Filing Procedures</w:t>
      </w:r>
      <w:r>
        <w:tab/>
        <w:t>312</w:t>
      </w:r>
    </w:p>
    <w:p w:rsidR="00EB6074" w:rsidRPr="00902DA0" w:rsidRDefault="00EB6074" w:rsidP="00EB6074">
      <w:pPr>
        <w:pStyle w:val="TOC2"/>
        <w:tabs>
          <w:tab w:val="left" w:pos="360"/>
        </w:tabs>
        <w:rPr>
          <w:rFonts w:ascii="Calibri" w:hAnsi="Calibri"/>
          <w:snapToGrid/>
          <w:kern w:val="0"/>
          <w:szCs w:val="22"/>
        </w:rPr>
      </w:pPr>
      <w:r>
        <w:t>C.</w:t>
      </w:r>
      <w:r w:rsidRPr="00902DA0">
        <w:rPr>
          <w:rFonts w:ascii="Calibri" w:hAnsi="Calibri"/>
          <w:snapToGrid/>
          <w:kern w:val="0"/>
          <w:szCs w:val="22"/>
        </w:rPr>
        <w:tab/>
      </w:r>
      <w:r>
        <w:t>Accessible Formats</w:t>
      </w:r>
      <w:r>
        <w:tab/>
        <w:t>313</w:t>
      </w:r>
    </w:p>
    <w:p w:rsidR="00EB6074" w:rsidRPr="00902DA0" w:rsidRDefault="00EB6074" w:rsidP="00EB6074">
      <w:pPr>
        <w:pStyle w:val="TOC2"/>
        <w:tabs>
          <w:tab w:val="left" w:pos="360"/>
        </w:tabs>
        <w:rPr>
          <w:rFonts w:ascii="Calibri" w:hAnsi="Calibri"/>
          <w:snapToGrid/>
          <w:kern w:val="0"/>
          <w:szCs w:val="22"/>
        </w:rPr>
      </w:pPr>
      <w:r>
        <w:t>D.</w:t>
      </w:r>
      <w:r w:rsidRPr="00902DA0">
        <w:rPr>
          <w:rFonts w:ascii="Calibri" w:hAnsi="Calibri"/>
          <w:snapToGrid/>
          <w:kern w:val="0"/>
          <w:szCs w:val="22"/>
        </w:rPr>
        <w:tab/>
      </w:r>
      <w:r>
        <w:t>Initial Regulatory Flexibility Analysis</w:t>
      </w:r>
      <w:r>
        <w:tab/>
        <w:t>314</w:t>
      </w:r>
    </w:p>
    <w:p w:rsidR="00EB6074" w:rsidRPr="00902DA0" w:rsidRDefault="00EB6074" w:rsidP="00EB6074">
      <w:pPr>
        <w:pStyle w:val="TOC2"/>
        <w:tabs>
          <w:tab w:val="left" w:pos="360"/>
        </w:tabs>
        <w:rPr>
          <w:rFonts w:ascii="Calibri" w:hAnsi="Calibri"/>
          <w:snapToGrid/>
          <w:kern w:val="0"/>
          <w:szCs w:val="22"/>
        </w:rPr>
      </w:pPr>
      <w:r>
        <w:t>E.</w:t>
      </w:r>
      <w:r w:rsidRPr="00902DA0">
        <w:rPr>
          <w:rFonts w:ascii="Calibri" w:hAnsi="Calibri"/>
          <w:snapToGrid/>
          <w:kern w:val="0"/>
          <w:szCs w:val="22"/>
        </w:rPr>
        <w:tab/>
      </w:r>
      <w:r>
        <w:t>Paperwork Reduction Act</w:t>
      </w:r>
      <w:r>
        <w:tab/>
        <w:t>315</w:t>
      </w:r>
    </w:p>
    <w:p w:rsidR="00EB6074" w:rsidRPr="00902DA0" w:rsidRDefault="00EB6074" w:rsidP="00EB6074">
      <w:pPr>
        <w:pStyle w:val="TOC2"/>
        <w:tabs>
          <w:tab w:val="left" w:pos="360"/>
        </w:tabs>
        <w:rPr>
          <w:rFonts w:ascii="Calibri" w:hAnsi="Calibri"/>
          <w:snapToGrid/>
          <w:kern w:val="0"/>
          <w:szCs w:val="22"/>
        </w:rPr>
      </w:pPr>
      <w:r>
        <w:t>F.</w:t>
      </w:r>
      <w:r w:rsidRPr="00902DA0">
        <w:rPr>
          <w:rFonts w:ascii="Calibri" w:hAnsi="Calibri"/>
          <w:snapToGrid/>
          <w:kern w:val="0"/>
          <w:szCs w:val="22"/>
        </w:rPr>
        <w:tab/>
      </w:r>
      <w:r>
        <w:t>Contact Person</w:t>
      </w:r>
      <w:r>
        <w:tab/>
        <w:t>316</w:t>
      </w:r>
    </w:p>
    <w:p w:rsidR="00EB6074" w:rsidRPr="00902DA0" w:rsidRDefault="00EB6074" w:rsidP="00EB6074">
      <w:pPr>
        <w:pStyle w:val="TOC1"/>
        <w:rPr>
          <w:rFonts w:ascii="Calibri" w:hAnsi="Calibri"/>
          <w:caps w:val="0"/>
          <w:snapToGrid/>
          <w:kern w:val="0"/>
          <w:szCs w:val="22"/>
        </w:rPr>
      </w:pPr>
      <w:r>
        <w:t>VI.</w:t>
      </w:r>
      <w:r w:rsidRPr="00902DA0">
        <w:rPr>
          <w:rFonts w:ascii="Calibri" w:hAnsi="Calibri"/>
          <w:caps w:val="0"/>
          <w:snapToGrid/>
          <w:kern w:val="0"/>
          <w:szCs w:val="22"/>
        </w:rPr>
        <w:tab/>
      </w:r>
      <w:r>
        <w:t>Ordering Clauses</w:t>
      </w:r>
      <w:r>
        <w:tab/>
        <w:t>317</w:t>
      </w:r>
    </w:p>
    <w:bookmarkEnd w:id="3"/>
    <w:p w:rsidR="00324CD5" w:rsidRDefault="001E7592" w:rsidP="00324CD5">
      <w:pPr>
        <w:rPr>
          <w:spacing w:val="-2"/>
        </w:rPr>
      </w:pPr>
      <w:r>
        <w:rPr>
          <w:spacing w:val="-2"/>
        </w:rPr>
        <w:t>APPENDIX</w:t>
      </w:r>
      <w:r w:rsidR="00324CD5">
        <w:rPr>
          <w:spacing w:val="-2"/>
        </w:rPr>
        <w:t xml:space="preserve"> A – Proposed Rules</w:t>
      </w:r>
    </w:p>
    <w:p w:rsidR="00324CD5" w:rsidRDefault="001E7592" w:rsidP="00324CD5">
      <w:pPr>
        <w:rPr>
          <w:spacing w:val="-2"/>
        </w:rPr>
      </w:pPr>
      <w:r>
        <w:rPr>
          <w:spacing w:val="-2"/>
        </w:rPr>
        <w:t>APPENDIX</w:t>
      </w:r>
      <w:r w:rsidR="00324CD5">
        <w:rPr>
          <w:spacing w:val="-2"/>
        </w:rPr>
        <w:t xml:space="preserve"> B – Initial Regulatory Flexibility Analysis</w:t>
      </w:r>
    </w:p>
    <w:p w:rsidR="00324CD5" w:rsidRDefault="00324CD5" w:rsidP="00324CD5"/>
    <w:p w:rsidR="00324CD5" w:rsidRDefault="00324CD5" w:rsidP="00324CD5">
      <w:pPr>
        <w:pStyle w:val="Heading1"/>
      </w:pPr>
      <w:bookmarkStart w:id="5" w:name="_Toc443049913"/>
      <w:bookmarkStart w:id="6" w:name="_Toc443660078"/>
      <w:bookmarkStart w:id="7" w:name="_Toc444095719"/>
      <w:bookmarkStart w:id="8" w:name="_Toc445192925"/>
      <w:bookmarkStart w:id="9" w:name="_Toc445193021"/>
      <w:bookmarkStart w:id="10" w:name="_Toc445193107"/>
      <w:bookmarkStart w:id="11" w:name="_Toc445276240"/>
      <w:bookmarkStart w:id="12" w:name="_Toc445367829"/>
      <w:bookmarkStart w:id="13" w:name="_Toc446937438"/>
      <w:bookmarkStart w:id="14" w:name="_Toc447116310"/>
      <w:bookmarkStart w:id="15" w:name="_Toc447121199"/>
      <w:bookmarkEnd w:id="0"/>
      <w:bookmarkEnd w:id="1"/>
      <w:r>
        <w:t>Introduction</w:t>
      </w:r>
      <w:bookmarkEnd w:id="5"/>
      <w:bookmarkEnd w:id="6"/>
      <w:bookmarkEnd w:id="7"/>
      <w:bookmarkEnd w:id="8"/>
      <w:bookmarkEnd w:id="9"/>
      <w:bookmarkEnd w:id="10"/>
      <w:bookmarkEnd w:id="11"/>
      <w:bookmarkEnd w:id="12"/>
      <w:bookmarkEnd w:id="13"/>
      <w:bookmarkEnd w:id="14"/>
      <w:bookmarkEnd w:id="15"/>
      <w:r>
        <w:t xml:space="preserve">  </w:t>
      </w:r>
    </w:p>
    <w:p w:rsidR="00324CD5" w:rsidRDefault="00324CD5" w:rsidP="00324CD5">
      <w:pPr>
        <w:pStyle w:val="ParaNum"/>
      </w:pPr>
      <w:r>
        <w:t>The intersection of privacy and technology is not new.  In 1890, Samuel Warren and Louis Brandeis inaugurated the modern age of privacy protection when they warned that “numerous mechanical devices threaten to make good the prediction that ‘what is whispered in the closet should be proclaimed from the house-tops.’”</w:t>
      </w:r>
      <w:r>
        <w:rPr>
          <w:rStyle w:val="FootnoteReference"/>
        </w:rPr>
        <w:footnoteReference w:id="2"/>
      </w:r>
      <w:r>
        <w:t xml:space="preserve">  The new technology they had in mind?  The portable camera.</w:t>
      </w:r>
    </w:p>
    <w:p w:rsidR="00324CD5" w:rsidRDefault="00324CD5" w:rsidP="00324CD5">
      <w:pPr>
        <w:pStyle w:val="ParaNum"/>
      </w:pPr>
      <w:r>
        <w:t xml:space="preserve">In this Notice of Proposed Rulemaking (NPRM or Notice), we propose to apply the traditional privacy requirements of the Communications Act to the most significant communications technology of today: broadband Internet access service (BIAS).  This is important because both consumers and Internet Service Providers (ISPs) would benefit from additional, concrete guidance explaining the privacy responsibilities created by the Communications Act.  To that end, our approach can be simply stated: </w:t>
      </w:r>
      <w:r w:rsidRPr="00AE267B">
        <w:rPr>
          <w:u w:val="single"/>
        </w:rPr>
        <w:t>First</w:t>
      </w:r>
      <w:r>
        <w:t xml:space="preserve">, consumers must be able to protect their privacy, which requires transparency, choice, and data security.  </w:t>
      </w:r>
      <w:r w:rsidRPr="00AE267B">
        <w:rPr>
          <w:u w:val="single"/>
        </w:rPr>
        <w:t>Second</w:t>
      </w:r>
      <w:r>
        <w:t xml:space="preserve">, ISPs are the most important and extensive conduits of consumer information and thus have access to very sensitive and very personal information that could threaten a person’s financial security, reveal embarrassing or even harmful details of medical history, or disclose to prying eyes the intimate details of interests, physical presence, or fears.  But, </w:t>
      </w:r>
      <w:r w:rsidRPr="0019350A">
        <w:rPr>
          <w:u w:val="single"/>
        </w:rPr>
        <w:t>t</w:t>
      </w:r>
      <w:r w:rsidRPr="00AE267B">
        <w:rPr>
          <w:u w:val="single"/>
        </w:rPr>
        <w:t>hird</w:t>
      </w:r>
      <w:r>
        <w:t xml:space="preserve">, the current federal privacy regime, including the important leadership of the Federal Trade Commission (FTC) and the Administration efforts to protect consumer privacy, does not now comprehensively apply the traditional principles of privacy protection to these 21st Century telecommunications services provided by broadband networks.  That is a gap that must be closed, and this NPRM proposes a way to do so by securing what Congress has commanded – the ability of every telecommunications user to protect his or her privacy. </w:t>
      </w:r>
    </w:p>
    <w:p w:rsidR="00324CD5" w:rsidRDefault="00324CD5" w:rsidP="00324CD5">
      <w:pPr>
        <w:pStyle w:val="ParaNum"/>
      </w:pPr>
      <w:r>
        <w:t>Privacy protects important personal interests.  Not just freedom from identity theft,  financial loss</w:t>
      </w:r>
      <w:r w:rsidR="007F701F">
        <w:t>,</w:t>
      </w:r>
      <w:r>
        <w:t xml:space="preserve"> or other economic harms but also from concerns that intimate, personal details could become grist for the mills of public embarrassment or harassment or the basis for opaque, but harmful judgments, including discrimination.  The power of modern broadband networks is that they allow consumers to reach from their homes (or cars or sidewalks) to the whole wide world instantaneously.  The accompanying concern is that those broadband networks can now follow the activities of every subscriber who surfs the web, sends an email or text, or even walks down a street carrying a mobile device.  Absent legally-binding principles, those networks have the commercial motivation to use and share extensive and personal information about their customers.  The protection of privacy thus both protects individuals and encourages use of broadband networks, by building trust. </w:t>
      </w:r>
    </w:p>
    <w:p w:rsidR="00324CD5" w:rsidRDefault="00324CD5" w:rsidP="00324CD5">
      <w:pPr>
        <w:pStyle w:val="ParaNum"/>
      </w:pPr>
      <w:r>
        <w:t>Today, as the FTC has explained, ISPs are “in a position to develop highly detailed and comprehensive profiles of their customers – and to do so in a manner that may be completely invisible.”</w:t>
      </w:r>
      <w:r>
        <w:rPr>
          <w:rStyle w:val="FootnoteReference"/>
        </w:rPr>
        <w:footnoteReference w:id="3"/>
      </w:r>
      <w:r>
        <w:t xml:space="preserve">  This is particularly true because a consumer, once signed up for a broadband service, simply cannot avoid that network in the same manner as a consumer can instantaneously (and without penalty) switch search engines (including to ones that provide extra privacy protections), surf among competing websites, and select among diverse applications.  Indeed, the whole purpose of the customer-provider relationship is that the network becomes an essential means of communications with destinations chosen by the customer; which means that, absent use of encryption, the broadband network has the technical capacity to monitor traffic transmitted between the consumer and each destination, including its content.  Although the ability to monitor such traffic is not limitless, it is ubiquitous.  Even when traffic is encrypted, the provider has access to, for example, what websites a customer has visited, how long and during what hours of the day the customer visited various websites, the customer’s location, and what mobile device the customer used to access those websites.  Providers of BIAS (“broadband providers”) thus have the ability to capture a breadth of data that an individual streaming video provider, search engine or even e-commerce site simply does not.  And they have control of a great deal of data that must be protected against data breaches.  To those who say that broadband providers and edge providers must be treated the same, this NPR</w:t>
      </w:r>
      <w:r w:rsidR="007F701F">
        <w:t>M proposes rules that recognize</w:t>
      </w:r>
      <w:r>
        <w:t xml:space="preserve"> that broadband networks are not, in fact, the same as edge providers in all relevant respects.  But this NPRM looks to learnings from the FTC and other privacy regimes to provide complementary guidance. </w:t>
      </w:r>
    </w:p>
    <w:p w:rsidR="00324CD5" w:rsidRDefault="00324CD5" w:rsidP="00324CD5">
      <w:pPr>
        <w:pStyle w:val="ParaNum"/>
      </w:pPr>
      <w:r>
        <w:t>The core privacy principles – transparency, choice, and security – underlie the critical steps that the federal government has taken to protect the privacy of many specific forms of data.  Indeed, these three principles are the heart of the internationally recognized Fair Information Practices Principles (FIPPs)</w:t>
      </w:r>
      <w:bookmarkStart w:id="16" w:name="_Ref446590429"/>
      <w:r>
        <w:rPr>
          <w:rStyle w:val="FootnoteReference"/>
        </w:rPr>
        <w:footnoteReference w:id="4"/>
      </w:r>
      <w:bookmarkEnd w:id="16"/>
      <w:r>
        <w:t xml:space="preserve"> that have informed our nation’s thinking on privacy best practices while providing the framework for most of our federal privacy statutes.  For example, in the Privacy Act of 1974, Congress applied the FIPPs to the privacy practices of the government itself.</w:t>
      </w:r>
      <w:r>
        <w:rPr>
          <w:rStyle w:val="FootnoteReference"/>
        </w:rPr>
        <w:footnoteReference w:id="5"/>
      </w:r>
      <w:r>
        <w:t xml:space="preserve">  In the 1980s Congress passed a bill protecting the simple act of renting a videotape without fear of disclosure of personal information by the rental company.</w:t>
      </w:r>
      <w:r>
        <w:rPr>
          <w:rStyle w:val="FootnoteReference"/>
        </w:rPr>
        <w:footnoteReference w:id="6"/>
      </w:r>
      <w:r>
        <w:t xml:space="preserve">  Additional sector-specific federal privacy requirements protect healthcare data, student records, and financial information.</w:t>
      </w:r>
      <w:r>
        <w:rPr>
          <w:rStyle w:val="FootnoteReference"/>
        </w:rPr>
        <w:footnoteReference w:id="7"/>
      </w:r>
    </w:p>
    <w:p w:rsidR="00324CD5" w:rsidRDefault="00324CD5" w:rsidP="00324CD5">
      <w:pPr>
        <w:pStyle w:val="ParaNum"/>
      </w:pPr>
      <w:r>
        <w:t>The Federal Communications Commission (Commission) itself has a long history of protecting privacy.  O</w:t>
      </w:r>
      <w:r w:rsidRPr="00586D2C">
        <w:t>ne of the most fundamental and oldest sector-specific privacy requirements protects the privacy of information carried by communications service providers.</w:t>
      </w:r>
      <w:r>
        <w:rPr>
          <w:rStyle w:val="FootnoteReference"/>
        </w:rPr>
        <w:footnoteReference w:id="8"/>
      </w:r>
      <w:r>
        <w:t xml:space="preserve">  For example, in the Cable Communications Policy Act of 1984, Congress incorporated Section 631 into the Communications Act to protect the privacy of cable subscribers.</w:t>
      </w:r>
      <w:r>
        <w:rPr>
          <w:rStyle w:val="FootnoteReference"/>
        </w:rPr>
        <w:footnoteReference w:id="9"/>
      </w:r>
      <w:r>
        <w:t xml:space="preserve">  Throughout the 1980s and 1990s, the Commission imposed limitations on incumbent telephone companies’ use and sharing of customer information.</w:t>
      </w:r>
      <w:r>
        <w:rPr>
          <w:rStyle w:val="FootnoteReference"/>
        </w:rPr>
        <w:footnoteReference w:id="10"/>
      </w:r>
      <w:r>
        <w:t xml:space="preserve">  Then, in 1996, Congress enacted Section 222 of the Communications Act providing statutory protections to the privacy of the data that telecommunications carriers collect from their customers.  Congress recognized that telecommunications networks have the ability to collect information from consumers who are merely using networks as conduits to move information from one place to another “without change in the form or content” of the communications.</w:t>
      </w:r>
      <w:r>
        <w:rPr>
          <w:rStyle w:val="FootnoteReference"/>
        </w:rPr>
        <w:footnoteReference w:id="11"/>
      </w:r>
      <w:r>
        <w:t xml:space="preserve">  </w:t>
      </w:r>
    </w:p>
    <w:p w:rsidR="00324CD5" w:rsidRDefault="00324CD5" w:rsidP="00324CD5">
      <w:pPr>
        <w:pStyle w:val="ParaNum"/>
      </w:pPr>
      <w:r>
        <w:t>Today, the Commission is empowered to protect the private information collected by telecommunications, cable, and satellite companies in Sections 222,</w:t>
      </w:r>
      <w:r>
        <w:rPr>
          <w:rStyle w:val="FootnoteReference"/>
        </w:rPr>
        <w:footnoteReference w:id="12"/>
      </w:r>
      <w:r>
        <w:t xml:space="preserve"> 631,</w:t>
      </w:r>
      <w:r>
        <w:rPr>
          <w:rStyle w:val="FootnoteReference"/>
        </w:rPr>
        <w:footnoteReference w:id="13"/>
      </w:r>
      <w:r>
        <w:t xml:space="preserve"> and 338</w:t>
      </w:r>
      <w:r>
        <w:rPr>
          <w:rStyle w:val="FootnoteReference"/>
        </w:rPr>
        <w:footnoteReference w:id="14"/>
      </w:r>
      <w:r>
        <w:t xml:space="preserve"> of the Communications Act and the Commission has recognized the importance of longstanding privacy principles in adop</w:t>
      </w:r>
      <w:r w:rsidR="005417C0">
        <w:t>ting and refining its existing S</w:t>
      </w:r>
      <w:r>
        <w:t>ection 222 rules</w:t>
      </w:r>
      <w:r>
        <w:rPr>
          <w:rStyle w:val="FootnoteReference"/>
        </w:rPr>
        <w:footnoteReference w:id="15"/>
      </w:r>
      <w:r>
        <w:t xml:space="preserve"> and enforcing privacy requirements.</w:t>
      </w:r>
      <w:r>
        <w:rPr>
          <w:rStyle w:val="FootnoteReference"/>
        </w:rPr>
        <w:footnoteReference w:id="16"/>
      </w:r>
      <w:r>
        <w:t xml:space="preserve"> Thus, from the outset of its implementation of Section 222, the Commission has focused on ensuring that consumers have the tools to give their approval for the use and sharing of protected information.</w:t>
      </w:r>
      <w:r>
        <w:rPr>
          <w:rStyle w:val="FootnoteReference"/>
        </w:rPr>
        <w:footnoteReference w:id="17"/>
      </w:r>
      <w:r>
        <w:t xml:space="preserve">  As practices have changed, the Commission has refined its Customer Proprietary Network Information (CPNI) rules.  For example, when a nationwide cottage industry of third parties appeared that was devoted to “pretexting” – the practice of improperly accessing and selling details of residential telephone calls – the Commission strengthen</w:t>
      </w:r>
      <w:r w:rsidR="007F701F">
        <w:t>ed its S</w:t>
      </w:r>
      <w:r>
        <w:t>ection 222 rules to add customer authentication and data breach notification requirements.</w:t>
      </w:r>
      <w:r>
        <w:rPr>
          <w:rStyle w:val="FootnoteReference"/>
        </w:rPr>
        <w:footnoteReference w:id="18"/>
      </w:r>
    </w:p>
    <w:p w:rsidR="00324CD5" w:rsidRPr="00324CD5" w:rsidRDefault="00324CD5" w:rsidP="00324CD5">
      <w:pPr>
        <w:pStyle w:val="ParaNum"/>
        <w:rPr>
          <w:rFonts w:eastAsia="Calibri"/>
        </w:rPr>
      </w:pPr>
      <w:r>
        <w:t>Meanwhile, as consumer use of the Internet exploded, the FTC, using its authority to prohibit “unfair or deceptive acts or practices in or affecting commerce,”</w:t>
      </w:r>
      <w:r>
        <w:rPr>
          <w:rStyle w:val="FootnoteReference"/>
        </w:rPr>
        <w:footnoteReference w:id="19"/>
      </w:r>
      <w:r>
        <w:t xml:space="preserve"> entered into a series of precedent-setting consent orders addressing privacy practices on the Internet.  Taken together, the FTC’s online privacy cases focus on the importance of transparency; honoring consumers’ expectations about the use of their personal information and the choices they have made about sharing that information; and the obligation of companies that collect personal information to adopt reasonable data security practices.  The FTC’s 2011 complaints against Facebook and Google are just two in a series of complaints brought by the FTC alleging that a company’s decision to collect personal information or to share personal information with advertisers or the public in violation of its publicly stated privacy policies is a deceptive act or practice.</w:t>
      </w:r>
      <w:r>
        <w:rPr>
          <w:rStyle w:val="FootnoteReference"/>
        </w:rPr>
        <w:footnoteReference w:id="20"/>
      </w:r>
      <w:r>
        <w:t xml:space="preserve">  In the </w:t>
      </w:r>
      <w:r w:rsidRPr="00FA1D60">
        <w:rPr>
          <w:i/>
        </w:rPr>
        <w:t>Facebook</w:t>
      </w:r>
      <w:r>
        <w:t xml:space="preserve"> case, </w:t>
      </w:r>
      <w:r w:rsidRPr="0073303E">
        <w:t xml:space="preserve">the FTC also alleged that Facebook acted unfairly when, after representing to its users that it would honor their privacy preferences and not share certain personal </w:t>
      </w:r>
      <w:r>
        <w:t xml:space="preserve">information </w:t>
      </w:r>
      <w:r w:rsidRPr="0073303E">
        <w:t>with third parties</w:t>
      </w:r>
      <w:r w:rsidR="007F701F">
        <w:t>,</w:t>
      </w:r>
      <w:r w:rsidRPr="0073303E">
        <w:t xml:space="preserve"> it retroactively and without sufficiently clear notice to its customers began to share such information with the public.</w:t>
      </w:r>
      <w:r>
        <w:rPr>
          <w:rStyle w:val="FootnoteReference"/>
        </w:rPr>
        <w:footnoteReference w:id="21"/>
      </w:r>
      <w:r w:rsidRPr="0073303E">
        <w:t xml:space="preserve">  </w:t>
      </w:r>
      <w:r>
        <w:t xml:space="preserve">Beginning with the </w:t>
      </w:r>
      <w:r>
        <w:rPr>
          <w:i/>
        </w:rPr>
        <w:t>BJ’s Wholesale Club</w:t>
      </w:r>
      <w:r>
        <w:t xml:space="preserve"> case in 2005, the FTC has found that </w:t>
      </w:r>
      <w:r w:rsidRPr="00324CD5">
        <w:rPr>
          <w:rFonts w:eastAsia="Calibri"/>
        </w:rPr>
        <w:t>failure to provide reasonable and appropriate security for personal information collected by a company is an unfair act or practice.</w:t>
      </w:r>
      <w:r w:rsidRPr="00324CD5">
        <w:rPr>
          <w:rStyle w:val="FootnoteReference"/>
          <w:rFonts w:eastAsia="Calibri"/>
        </w:rPr>
        <w:footnoteReference w:id="22"/>
      </w:r>
      <w:r w:rsidRPr="00324CD5">
        <w:rPr>
          <w:rFonts w:eastAsia="Calibri"/>
        </w:rPr>
        <w:t xml:space="preserve">  </w:t>
      </w:r>
      <w:r w:rsidRPr="00516924">
        <w:t xml:space="preserve">Although the application of Section 222 to BIAS has implications for the jurisdiction of the </w:t>
      </w:r>
      <w:r>
        <w:t>FTC</w:t>
      </w:r>
      <w:r w:rsidRPr="00516924">
        <w:t xml:space="preserve">, that agency’s leadership </w:t>
      </w:r>
      <w:r>
        <w:t>is</w:t>
      </w:r>
      <w:r w:rsidRPr="00516924">
        <w:t xml:space="preserve"> critically important in this sphere and the Commission is determined to </w:t>
      </w:r>
      <w:r>
        <w:t xml:space="preserve">continue its close </w:t>
      </w:r>
      <w:r w:rsidRPr="00516924">
        <w:t>work</w:t>
      </w:r>
      <w:r>
        <w:t>ing relationship</w:t>
      </w:r>
      <w:r w:rsidRPr="00516924">
        <w:t xml:space="preserve"> with the FTC.  Most recently, the two agencies entered into a consumer protection Memorandum of Understanding (MOU).  In the MOU each agency recognizes the others</w:t>
      </w:r>
      <w:r>
        <w:t>’</w:t>
      </w:r>
      <w:r w:rsidRPr="00516924">
        <w:t xml:space="preserve"> expertise and we each agreed to coordinate and consult on areas of mutual interest.</w:t>
      </w:r>
      <w:r>
        <w:rPr>
          <w:rStyle w:val="FootnoteReference"/>
        </w:rPr>
        <w:footnoteReference w:id="23"/>
      </w:r>
    </w:p>
    <w:p w:rsidR="00324CD5" w:rsidRDefault="00324CD5" w:rsidP="00324CD5">
      <w:pPr>
        <w:pStyle w:val="ParaNum"/>
      </w:pPr>
      <w:r w:rsidRPr="00362A39">
        <w:t>In sum, t</w:t>
      </w:r>
      <w:r w:rsidRPr="00AD7EE9">
        <w:t xml:space="preserve">his </w:t>
      </w:r>
      <w:r>
        <w:t>Notice focuses on transparency, choice, and data security in a manner that is consistent with the Commission’s history of protecting privacy, the FTC’s leadership,</w:t>
      </w:r>
      <w:r>
        <w:rPr>
          <w:rStyle w:val="FootnoteReference"/>
        </w:rPr>
        <w:footnoteReference w:id="24"/>
      </w:r>
      <w:r>
        <w:t xml:space="preserve"> and the various sector-specific statutory approaches,</w:t>
      </w:r>
      <w:r>
        <w:rPr>
          <w:rStyle w:val="FootnoteReference"/>
        </w:rPr>
        <w:footnoteReference w:id="25"/>
      </w:r>
      <w:r>
        <w:t xml:space="preserve"> tailored to the particular circumstances that consumers face when they use broadband networks </w:t>
      </w:r>
      <w:r w:rsidRPr="00DC4F15">
        <w:t>and with an understanding of the particular nature and technologies underlying those networks</w:t>
      </w:r>
      <w:r>
        <w:t>.  We recognize that consumers cannot give their permission for the use of protected data unless relevant broadband-provider practices are transparent.</w:t>
      </w:r>
    </w:p>
    <w:p w:rsidR="00324CD5" w:rsidRDefault="00324CD5" w:rsidP="00324CD5">
      <w:pPr>
        <w:pStyle w:val="ParaNum"/>
      </w:pPr>
      <w:r w:rsidRPr="00362A39">
        <w:t xml:space="preserve">The NPRM looks, as well, to existing private </w:t>
      </w:r>
      <w:r>
        <w:t xml:space="preserve">sector </w:t>
      </w:r>
      <w:r w:rsidRPr="00362A39">
        <w:t>practices.</w:t>
      </w:r>
      <w:r>
        <w:rPr>
          <w:rStyle w:val="FootnoteReference"/>
        </w:rPr>
        <w:footnoteReference w:id="26"/>
      </w:r>
      <w:r>
        <w:rPr>
          <w:b/>
        </w:rPr>
        <w:t xml:space="preserve">  </w:t>
      </w:r>
      <w:r>
        <w:t xml:space="preserve">The importance of privacy protection is certainly not new to the nation’s largest broadband providers, all of which have publicly available privacy policies, describing their use and sharing of confidential customer information.  Beyond the policies, many broadband providers have chief privacy officers, and together with their staffs and colleagues, they work to improve their companies’ abilities to inform consumers of privacy practices, provide consumers with meaningful opportunities to control consumers’ own data, and ward off attempts to breach the security of their broadband networks.  This NPRM looks, as well, to those innovations and efforts, particularly in proposing to leave to individual entities the discretion to decide how best to satisfy many of the regulatory standards we propose today. </w:t>
      </w:r>
    </w:p>
    <w:p w:rsidR="00324CD5" w:rsidRDefault="00324CD5" w:rsidP="00324CD5">
      <w:pPr>
        <w:pStyle w:val="ParaNum"/>
      </w:pPr>
      <w:r w:rsidRPr="005000BE">
        <w:t>T</w:t>
      </w:r>
      <w:r>
        <w:t>his collective private and public experience in privacy protection demonstrates that consumers need not choose between continued broadband investment and deployment, on the one hand, and protection of their privacy and data security on the other.</w:t>
      </w:r>
      <w:r>
        <w:rPr>
          <w:rStyle w:val="FootnoteReference"/>
        </w:rPr>
        <w:footnoteReference w:id="27"/>
      </w:r>
      <w:r>
        <w:t xml:space="preserve">  The largest investment ever in wireline networks came during those years in which DSL Internet access services were regulated under Title II.</w:t>
      </w:r>
      <w:r>
        <w:rPr>
          <w:rStyle w:val="FootnoteReference"/>
        </w:rPr>
        <w:footnoteReference w:id="28"/>
      </w:r>
      <w:r>
        <w:t xml:space="preserve">  Indeed, we have previously found that protection of privacy encourages broadband usage that, in turn, encourages investment in broadband networks.</w:t>
      </w:r>
      <w:r>
        <w:rPr>
          <w:rStyle w:val="FootnoteReference"/>
        </w:rPr>
        <w:footnoteReference w:id="29"/>
      </w:r>
      <w:r>
        <w:t xml:space="preserve">  And the Congress,</w:t>
      </w:r>
      <w:r>
        <w:rPr>
          <w:rStyle w:val="FootnoteReference"/>
        </w:rPr>
        <w:footnoteReference w:id="30"/>
      </w:r>
      <w:r>
        <w:t xml:space="preserve"> the Commission, and the Courts have rightly described the purpose of Section 222 as protecting consumers.</w:t>
      </w:r>
      <w:r>
        <w:rPr>
          <w:rStyle w:val="FootnoteReference"/>
        </w:rPr>
        <w:footnoteReference w:id="31"/>
      </w:r>
      <w:r>
        <w:t xml:space="preserve">  There is no legitimate investment interest that requires consumer protections to be abolished or rendered inadequate.  Moreover, broadband provider practices that discourage broadband use can harm the interests of and innovations from edge providers, whose business models depend on the existence of consumers who feel comfortable and secure in the use of their broadband connections.</w:t>
      </w:r>
      <w:r>
        <w:rPr>
          <w:rStyle w:val="FootnoteReference"/>
        </w:rPr>
        <w:footnoteReference w:id="32"/>
      </w:r>
    </w:p>
    <w:p w:rsidR="00324CD5" w:rsidRDefault="00324CD5" w:rsidP="00324CD5">
      <w:pPr>
        <w:pStyle w:val="ParaNum"/>
      </w:pPr>
      <w:r>
        <w:t>In fact, this NPRM supports the ability of broadband networks to be able to provide personalized services, including advertising, to consumers – while reaping the financial rewards therefrom.  For example, many consumers want targeted advertising that provides very useful information in a timely (sometimes immediate) manner.  Nothing in this NPRM stops consumers from receiving targeted recommendations – or any other form of content they wish to consume.  But well-functioning commercial marketplaces rest on informed consent.  Permission is required before purchasers can be said to agree to buy a product; permission is needed before owners of property transfer their interests in that property.  This NPRM embraces the basic economic principle that informed choice is necessary to protect the fundamental interest in privacy.  Thus, the consumer who possesses private information must provide the broadband provider advanced approval for the use of that data.  In many instances, that approval is inherent in the use of the broadband Internet access service (for example, the routing of communications to or from the consumer), but where it is not, this NPRM proposes that separate consent must be obtained.  This is good for consumers and it is good business, as the success of opt-in provisions in other contexts demonstrates.</w:t>
      </w:r>
      <w:r>
        <w:rPr>
          <w:rStyle w:val="FootnoteReference"/>
        </w:rPr>
        <w:footnoteReference w:id="33"/>
      </w:r>
      <w:r>
        <w:t xml:space="preserve">  For example, many websites – ranging from Fandango to Weather.com – seek express consent before collecting consumers’ geo-location information.</w:t>
      </w:r>
      <w:r w:rsidR="00101089">
        <w:rPr>
          <w:rStyle w:val="FootnoteReference"/>
        </w:rPr>
        <w:footnoteReference w:id="34"/>
      </w:r>
      <w:r>
        <w:t xml:space="preserve">  Indeed, consumers have grown accustomed to mobile applications seeking permission to collect and use their geo-location information. </w:t>
      </w:r>
    </w:p>
    <w:p w:rsidR="00324CD5" w:rsidRDefault="00324CD5" w:rsidP="00324CD5">
      <w:pPr>
        <w:pStyle w:val="ParaNum"/>
      </w:pPr>
      <w:r>
        <w:t xml:space="preserve">In the </w:t>
      </w:r>
      <w:r w:rsidRPr="00677ED1">
        <w:rPr>
          <w:i/>
        </w:rPr>
        <w:t>2015 Open Internet Order</w:t>
      </w:r>
      <w:r>
        <w:t>, we concluded that Section 222 should be applied to the broadband connections consumers use to reach the Internet, the newly-reclassified Title II service defined as “Broadband Internet Access Service” (BIAS).</w:t>
      </w:r>
      <w:r>
        <w:rPr>
          <w:rStyle w:val="FootnoteReference"/>
        </w:rPr>
        <w:footnoteReference w:id="35"/>
      </w:r>
      <w:r>
        <w:t xml:space="preserve">  Section 222 is a sector-specific statute that includes detailed requirements that Congress requires be applied to the provision of telecommunications services, but not to the provision of other services by broadband providers</w:t>
      </w:r>
      <w:r>
        <w:rPr>
          <w:rStyle w:val="FootnoteReference"/>
        </w:rPr>
        <w:footnoteReference w:id="36"/>
      </w:r>
      <w:r>
        <w:t xml:space="preserve"> nor to information providers at the edge of the network.  Thus, this NPRM applies existing statutory authority solely to the existing class of services that Congress included within the scope of Title II, namely the delivery of telecommunications services. </w:t>
      </w:r>
    </w:p>
    <w:p w:rsidR="00324CD5" w:rsidRDefault="00324CD5" w:rsidP="00324CD5">
      <w:pPr>
        <w:pStyle w:val="Heading1"/>
      </w:pPr>
      <w:bookmarkStart w:id="17" w:name="_Toc444095720"/>
      <w:bookmarkStart w:id="18" w:name="_Toc445276241"/>
      <w:bookmarkStart w:id="19" w:name="_Toc445367830"/>
      <w:bookmarkStart w:id="20" w:name="_Toc446937439"/>
      <w:bookmarkStart w:id="21" w:name="_Toc447116311"/>
      <w:bookmarkStart w:id="22" w:name="_Toc447121200"/>
      <w:r>
        <w:t>Executive Summary</w:t>
      </w:r>
      <w:bookmarkEnd w:id="17"/>
      <w:bookmarkEnd w:id="18"/>
      <w:bookmarkEnd w:id="19"/>
      <w:bookmarkEnd w:id="20"/>
      <w:bookmarkEnd w:id="21"/>
      <w:bookmarkEnd w:id="22"/>
    </w:p>
    <w:p w:rsidR="00324CD5" w:rsidRPr="00BC41D0" w:rsidRDefault="00324CD5" w:rsidP="00324CD5">
      <w:pPr>
        <w:pStyle w:val="ParaNum"/>
      </w:pPr>
      <w:r>
        <w:t>Today the Commission issues this NPRM proposing a framework for applying the traditional privacy requirements of the Communications Act to BIAS.  Throughout, we seek public comment on our proposals and pose questions on the best approach to protecting consumers’ privacy when they use broadband services.  Proposals are not decisions, which is why comment from individuals, industry, interested public-interest organizations, academics, and federal and state agencies is so critical.  We implement the core principles of transparency, choice, and security by proposing regulations to ensure that consumers (i) have the information needed to understand what data the BIAS provider is collecting and what it does with that information, (ii) can decide how their information is used, and (iii) are protected against the unauthorized disclosure of their information.</w:t>
      </w:r>
    </w:p>
    <w:p w:rsidR="00324CD5" w:rsidRDefault="00324CD5" w:rsidP="00324CD5">
      <w:pPr>
        <w:pStyle w:val="ParaNum"/>
      </w:pPr>
      <w:r>
        <w:t>In this Notice, we first propose to define the information that would be protected under Section 222 as customer proprietary information (customer PI).</w:t>
      </w:r>
      <w:r>
        <w:rPr>
          <w:rStyle w:val="FootnoteReference"/>
        </w:rPr>
        <w:footnoteReference w:id="37"/>
      </w:r>
      <w:r>
        <w:t xml:space="preserve">  We propose to include within the definition of customer PI protected by Section 222(a) both </w:t>
      </w:r>
      <w:r w:rsidR="007F701F">
        <w:t>CPNI as established by Section 222(h</w:t>
      </w:r>
      <w:r>
        <w:t>);</w:t>
      </w:r>
      <w:r>
        <w:rPr>
          <w:rStyle w:val="FootnoteReference"/>
        </w:rPr>
        <w:footnoteReference w:id="38"/>
      </w:r>
      <w:r>
        <w:t xml:space="preserve"> and personally identifiable information (PII) collected by the broadband providers through their provision of BIAS.</w:t>
      </w:r>
    </w:p>
    <w:p w:rsidR="00324CD5" w:rsidRDefault="00324CD5" w:rsidP="00324CD5">
      <w:pPr>
        <w:pStyle w:val="ParaNum"/>
      </w:pPr>
      <w:r>
        <w:t>The Notice then proposes rules protecting consumer privacy using the three foundations of privacy – transparency, choice, and security:</w:t>
      </w:r>
    </w:p>
    <w:p w:rsidR="00324CD5" w:rsidRDefault="00324CD5" w:rsidP="005619D4">
      <w:pPr>
        <w:pStyle w:val="ParaNum"/>
        <w:widowControl/>
      </w:pPr>
      <w:r w:rsidRPr="00C17FA0">
        <w:rPr>
          <w:i/>
        </w:rPr>
        <w:t>Transparency</w:t>
      </w:r>
      <w:r>
        <w:t>.  In recognition of the widespread agreement that companies should inform consumers about their privacy practices,</w:t>
      </w:r>
      <w:bookmarkStart w:id="23" w:name="_Ref445364891"/>
      <w:r>
        <w:rPr>
          <w:rStyle w:val="FootnoteReference"/>
        </w:rPr>
        <w:footnoteReference w:id="39"/>
      </w:r>
      <w:bookmarkEnd w:id="23"/>
      <w:r>
        <w:t xml:space="preserve"> w</w:t>
      </w:r>
      <w:r w:rsidRPr="00B05B66">
        <w:t xml:space="preserve">e propose </w:t>
      </w:r>
      <w:r>
        <w:t xml:space="preserve">rules to enhance the ability of consumers to make informed choices through effective disclosure of broadband providers’ privacy policies that would include: </w:t>
      </w:r>
    </w:p>
    <w:p w:rsidR="00324CD5" w:rsidRPr="00C17FA0" w:rsidRDefault="00324CD5" w:rsidP="005619D4">
      <w:pPr>
        <w:pStyle w:val="ParaNum"/>
        <w:widowControl/>
        <w:numPr>
          <w:ilvl w:val="0"/>
          <w:numId w:val="12"/>
        </w:numPr>
      </w:pPr>
      <w:r w:rsidRPr="00C17FA0">
        <w:t xml:space="preserve">What customer </w:t>
      </w:r>
      <w:r>
        <w:t xml:space="preserve">information </w:t>
      </w:r>
      <w:r w:rsidRPr="00C17FA0">
        <w:t xml:space="preserve">they collect and for what purposes; </w:t>
      </w:r>
    </w:p>
    <w:p w:rsidR="00324CD5" w:rsidRPr="00C17FA0" w:rsidRDefault="00324CD5" w:rsidP="005619D4">
      <w:pPr>
        <w:pStyle w:val="ParaNum"/>
        <w:widowControl/>
        <w:numPr>
          <w:ilvl w:val="0"/>
          <w:numId w:val="12"/>
        </w:numPr>
      </w:pPr>
      <w:r w:rsidRPr="00C17FA0">
        <w:t xml:space="preserve">What customer </w:t>
      </w:r>
      <w:r>
        <w:t>information</w:t>
      </w:r>
      <w:r w:rsidRPr="00C17FA0">
        <w:t xml:space="preserve"> they share and with what types of entities; and</w:t>
      </w:r>
    </w:p>
    <w:p w:rsidR="00324CD5" w:rsidRPr="00C17FA0" w:rsidRDefault="00324CD5" w:rsidP="005619D4">
      <w:pPr>
        <w:pStyle w:val="ParaNum"/>
        <w:widowControl/>
        <w:numPr>
          <w:ilvl w:val="0"/>
          <w:numId w:val="12"/>
        </w:numPr>
      </w:pPr>
      <w:r w:rsidRPr="00C17FA0">
        <w:t>How</w:t>
      </w:r>
      <w:r>
        <w:t>, and to what extent,</w:t>
      </w:r>
      <w:r w:rsidRPr="00C17FA0">
        <w:t xml:space="preserve"> customers can opt</w:t>
      </w:r>
      <w:r>
        <w:t xml:space="preserve"> </w:t>
      </w:r>
      <w:r w:rsidRPr="00C17FA0">
        <w:t>in or opt</w:t>
      </w:r>
      <w:r>
        <w:t xml:space="preserve"> </w:t>
      </w:r>
      <w:r w:rsidRPr="00C17FA0">
        <w:t xml:space="preserve">out of use and sharing of their </w:t>
      </w:r>
      <w:r>
        <w:t>personal</w:t>
      </w:r>
      <w:r w:rsidRPr="00C17FA0">
        <w:t xml:space="preserve"> information.</w:t>
      </w:r>
    </w:p>
    <w:p w:rsidR="00324CD5" w:rsidRDefault="00324CD5" w:rsidP="005619D4">
      <w:pPr>
        <w:pStyle w:val="ParaNum"/>
        <w:widowControl/>
      </w:pPr>
      <w:r w:rsidRPr="00BC41D0">
        <w:rPr>
          <w:i/>
        </w:rPr>
        <w:t>Choice</w:t>
      </w:r>
      <w:r>
        <w:t xml:space="preserve">.  Because broadband providers are able to view vast swathes of customer data, some of it highly sensitive, including healthcare and financial information, consumers must be empowered to decide how broadband providers may use and share their data.  Of course, the use of information for the delivery of broadband services is inherent in the customer-broadband provider relationship.  But beyond that important questions arise, including, for example, when customer data can be used for other purposes or when it can be shared with affiliates and third parties.  Thus, the </w:t>
      </w:r>
      <w:r w:rsidRPr="002C2D86">
        <w:t>section on customer choice proposes rules aimed at empowering customers to decide the extent to which broadband providers can use and share a cust</w:t>
      </w:r>
      <w:r>
        <w:t>omer’s proprietary information, while providing guidance to broadband providers about the nature of their obligations.  It looks to the framework of best practices for providing consumers with privacy choices that was recommended by the FTC in its 2012 Privacy Report</w:t>
      </w:r>
      <w:r>
        <w:rPr>
          <w:rStyle w:val="FootnoteReference"/>
        </w:rPr>
        <w:footnoteReference w:id="40"/>
      </w:r>
      <w:r>
        <w:t xml:space="preserve"> and proposes a tiered approach to choice, by reference to consumer expectations and context that recognizes three categories of approval with respect to use of customer PI obtained by virtue of providing the broadband service:</w:t>
      </w:r>
    </w:p>
    <w:p w:rsidR="00324CD5" w:rsidRPr="002C2D86" w:rsidRDefault="00324CD5" w:rsidP="00DD1589">
      <w:pPr>
        <w:pStyle w:val="ParaNum"/>
        <w:numPr>
          <w:ilvl w:val="0"/>
          <w:numId w:val="13"/>
        </w:numPr>
      </w:pPr>
      <w:r w:rsidRPr="002C2D86">
        <w:rPr>
          <w:i/>
        </w:rPr>
        <w:t xml:space="preserve">Approval </w:t>
      </w:r>
      <w:r>
        <w:rPr>
          <w:i/>
        </w:rPr>
        <w:t xml:space="preserve">that </w:t>
      </w:r>
      <w:r w:rsidRPr="002C2D86">
        <w:rPr>
          <w:i/>
        </w:rPr>
        <w:t>is inherent in the creation of the customer-broadband provider relationship</w:t>
      </w:r>
      <w:r w:rsidRPr="002C2D86">
        <w:t xml:space="preserve">.  </w:t>
      </w:r>
      <w:r>
        <w:t>Consistent with the statute, t</w:t>
      </w:r>
      <w:r w:rsidRPr="002C2D86">
        <w:t xml:space="preserve">he NPRM proposes rules that </w:t>
      </w:r>
      <w:r>
        <w:t xml:space="preserve">always </w:t>
      </w:r>
      <w:r w:rsidRPr="002C2D86">
        <w:t xml:space="preserve">allow broadband providers to </w:t>
      </w:r>
      <w:r w:rsidR="007F701F">
        <w:t>use</w:t>
      </w:r>
      <w:r w:rsidRPr="002C2D86">
        <w:t xml:space="preserve"> and share customer data in order to provide broadban</w:t>
      </w:r>
      <w:r>
        <w:t>d services (for example to ensure that a communication destined for a particular person reaches that destination)</w:t>
      </w:r>
      <w:r w:rsidRPr="002C2D86">
        <w:t xml:space="preserve">, and for certain other purposes </w:t>
      </w:r>
      <w:r>
        <w:t xml:space="preserve">that make sense within the context of the broadband providers’ relationships with their customers </w:t>
      </w:r>
      <w:r w:rsidRPr="002C2D86">
        <w:t xml:space="preserve">without additional approval from the customer.  </w:t>
      </w:r>
    </w:p>
    <w:p w:rsidR="00324CD5" w:rsidRPr="002C2D86" w:rsidRDefault="00324CD5" w:rsidP="00DD1589">
      <w:pPr>
        <w:pStyle w:val="ParaNum"/>
        <w:numPr>
          <w:ilvl w:val="0"/>
          <w:numId w:val="13"/>
        </w:numPr>
      </w:pPr>
      <w:r w:rsidRPr="002C2D86">
        <w:rPr>
          <w:i/>
        </w:rPr>
        <w:t>Opt-out approval</w:t>
      </w:r>
      <w:r w:rsidRPr="002C2D86">
        <w:t xml:space="preserve">.  The NPRM proposes to allow broadband providers </w:t>
      </w:r>
      <w:r>
        <w:t xml:space="preserve">themselves (or through their affiliates that provide communications-related services) </w:t>
      </w:r>
      <w:r w:rsidRPr="002C2D86">
        <w:t xml:space="preserve">to use </w:t>
      </w:r>
      <w:r>
        <w:t xml:space="preserve">customer PI to market other communications-related services </w:t>
      </w:r>
      <w:r w:rsidRPr="002C2D86">
        <w:t xml:space="preserve">subject to opt-out approval of the customer. </w:t>
      </w:r>
      <w:r>
        <w:t xml:space="preserve"> Opt-out must be clearly disclosed,</w:t>
      </w:r>
      <w:r w:rsidRPr="002C2D86">
        <w:t xml:space="preserve"> </w:t>
      </w:r>
      <w:r>
        <w:t>easily used,</w:t>
      </w:r>
      <w:r w:rsidRPr="002C2D86">
        <w:t xml:space="preserve"> and</w:t>
      </w:r>
      <w:r>
        <w:t xml:space="preserve"> continuously</w:t>
      </w:r>
      <w:r w:rsidRPr="002C2D86">
        <w:t xml:space="preserve"> available.</w:t>
      </w:r>
      <w:r>
        <w:t xml:space="preserve">  As proposed, communications-related services would not include edge services offered by the broadband provider.</w:t>
      </w:r>
    </w:p>
    <w:p w:rsidR="00324CD5" w:rsidRDefault="00324CD5" w:rsidP="00DD1589">
      <w:pPr>
        <w:pStyle w:val="ParaNum"/>
        <w:numPr>
          <w:ilvl w:val="0"/>
          <w:numId w:val="13"/>
        </w:numPr>
      </w:pPr>
      <w:r w:rsidRPr="002C2D86">
        <w:rPr>
          <w:i/>
        </w:rPr>
        <w:t>Opt-in approval.</w:t>
      </w:r>
      <w:r w:rsidRPr="002C2D86">
        <w:t xml:space="preserve">  The NPRM proposes to require broadband providers to receive opt-in approval from their customers</w:t>
      </w:r>
      <w:r>
        <w:t xml:space="preserve"> before </w:t>
      </w:r>
      <w:r w:rsidRPr="002C2D86">
        <w:t xml:space="preserve">sharing </w:t>
      </w:r>
      <w:r>
        <w:t>customer information with non-communications-related affiliates or third parties or before using customer information themselves (or through their communications-related affiliates) for any purpose outside of those described above.  We believe that, in an era in which broadband providers are or may be affiliated with content providers, social networks, or companies that serve online ads and forms of social media, opt-in approval is needed to protect the reasonable expectations of consumers, who may not understand that their broadband provider can sell or otherwise share their information with unrelated companies for diverse purposes (such as targeted advertising), or can repurpose customer information for such purposes.  A familiar example of opt-in practices appears when a mobile application asks for permission to use geo-location information, contact lists, or photographs on a consumer’s smartphone.</w:t>
      </w:r>
    </w:p>
    <w:p w:rsidR="00324CD5" w:rsidRDefault="00324CD5" w:rsidP="00324CD5">
      <w:pPr>
        <w:pStyle w:val="ParaNum"/>
      </w:pPr>
      <w:r>
        <w:t>The NPRM also seeks comment on the precise boundaries of these three categories.  Should we draw a distinction between affiliates whose relationship to the broadband provider is clear to the consumer, for example, where the affiliate and the broadband provider operate under the same brand?  Should a broadband provider obtain some form of consumer consent before combining data acquired from third parties with information it obtained by virtue of providing the broadband service?</w:t>
      </w:r>
      <w:r>
        <w:rPr>
          <w:rStyle w:val="FootnoteReference"/>
        </w:rPr>
        <w:footnoteReference w:id="41"/>
      </w:r>
      <w:r>
        <w:t xml:space="preserve"> </w:t>
      </w:r>
    </w:p>
    <w:p w:rsidR="00324CD5" w:rsidRDefault="00324CD5" w:rsidP="00324CD5">
      <w:pPr>
        <w:pStyle w:val="ParaNum"/>
      </w:pPr>
      <w:r>
        <w:rPr>
          <w:i/>
        </w:rPr>
        <w:t>Content.</w:t>
      </w:r>
      <w:r w:rsidRPr="005F636A">
        <w:t xml:space="preserve"> </w:t>
      </w:r>
      <w:r>
        <w:t xml:space="preserve"> The NPRM recognizes that the sensitivity and confidentiality of personal communications is one of the oldest and most established cornerstones of privacy law.</w:t>
      </w:r>
      <w:r>
        <w:rPr>
          <w:rStyle w:val="FootnoteReference"/>
        </w:rPr>
        <w:footnoteReference w:id="42"/>
      </w:r>
      <w:r>
        <w:t xml:space="preserve">  We recognize that other federal laws, including Section 705 of the Communications Act and the Electronic Communications Privacy Act (including those provisions known as the Wiretap Act) already protect content carried over broadband networks.  Is more protection needed?  We seek comment on whether, and how, Section 222 should be applied to provide additional protection to some or all forms of content or to otherwise complement the effectiveness of existing federal laws. </w:t>
      </w:r>
    </w:p>
    <w:p w:rsidR="00324CD5" w:rsidRDefault="00324CD5" w:rsidP="00324CD5">
      <w:pPr>
        <w:pStyle w:val="ParaNum"/>
      </w:pPr>
      <w:r>
        <w:rPr>
          <w:i/>
        </w:rPr>
        <w:t xml:space="preserve">Heightened Protection for Certain Types of </w:t>
      </w:r>
      <w:r w:rsidRPr="0069546A">
        <w:rPr>
          <w:i/>
        </w:rPr>
        <w:t>Information</w:t>
      </w:r>
      <w:r>
        <w:t>.  The NPRM also seeks comment on whether there are particular types of information, for example, Social Security numbers, financial account information</w:t>
      </w:r>
      <w:r w:rsidR="007F701F">
        <w:t>,</w:t>
      </w:r>
      <w:r>
        <w:t xml:space="preserve"> or geo-location</w:t>
      </w:r>
      <w:r w:rsidR="007F701F">
        <w:t xml:space="preserve"> information</w:t>
      </w:r>
      <w:r>
        <w:t xml:space="preserve"> that, although included within the definition of customer PI, are so sensitive that they deserve special treatment.  If so, should the Commission create a separate category of highly sensitive information, what should be included, how should such information be treated, and how would such a regime be administered in practice?</w:t>
      </w:r>
    </w:p>
    <w:p w:rsidR="00324CD5" w:rsidRDefault="00324CD5" w:rsidP="00324CD5">
      <w:pPr>
        <w:pStyle w:val="ParaNum"/>
      </w:pPr>
      <w:r>
        <w:rPr>
          <w:i/>
        </w:rPr>
        <w:t xml:space="preserve">Data </w:t>
      </w:r>
      <w:r w:rsidRPr="00117896">
        <w:rPr>
          <w:i/>
        </w:rPr>
        <w:t>Security</w:t>
      </w:r>
      <w:r>
        <w:rPr>
          <w:i/>
        </w:rPr>
        <w:t xml:space="preserve"> and Breach Notification</w:t>
      </w:r>
      <w:r w:rsidRPr="00604BCA">
        <w:t>.</w:t>
      </w:r>
      <w:r>
        <w:t xml:space="preserve">  </w:t>
      </w:r>
      <w:r w:rsidRPr="00117896">
        <w:t xml:space="preserve">Threats to data security are now the stuff of the daily news – an </w:t>
      </w:r>
      <w:r>
        <w:t>everyday</w:t>
      </w:r>
      <w:r w:rsidRPr="00117896">
        <w:t xml:space="preserve"> concern.</w:t>
      </w:r>
      <w:r>
        <w:t xml:space="preserve"> </w:t>
      </w:r>
      <w:r w:rsidRPr="00117896">
        <w:t xml:space="preserve"> </w:t>
      </w:r>
      <w:r>
        <w:t xml:space="preserve">The starting point for the Commission’s analysis is this: privacy and security are inexorably linked.  Indeed, the unauthorized breach of personal data is a pernicious ingredient in identity theft.  The Commission recognizes – and applauds – the efforts that </w:t>
      </w:r>
      <w:r w:rsidRPr="00117896">
        <w:t xml:space="preserve">America’s broadband </w:t>
      </w:r>
      <w:r>
        <w:t>providers</w:t>
      </w:r>
      <w:r w:rsidRPr="00117896">
        <w:t xml:space="preserve"> </w:t>
      </w:r>
      <w:r>
        <w:t>take</w:t>
      </w:r>
      <w:r w:rsidRPr="00117896">
        <w:t xml:space="preserve"> to </w:t>
      </w:r>
      <w:r>
        <w:t>protect</w:t>
      </w:r>
      <w:r w:rsidRPr="00117896">
        <w:t xml:space="preserve"> the data that they </w:t>
      </w:r>
      <w:r>
        <w:t>carry</w:t>
      </w:r>
      <w:r w:rsidRPr="00117896">
        <w:t xml:space="preserve"> from unauthorized </w:t>
      </w:r>
      <w:r>
        <w:t xml:space="preserve">access or </w:t>
      </w:r>
      <w:r w:rsidRPr="00117896">
        <w:t>disclosure.</w:t>
      </w:r>
      <w:r>
        <w:t xml:space="preserve"> </w:t>
      </w:r>
      <w:r w:rsidRPr="00117896">
        <w:t xml:space="preserve"> </w:t>
      </w:r>
      <w:r>
        <w:t>Drawing on FTC guidance, t</w:t>
      </w:r>
      <w:r w:rsidRPr="00117896">
        <w:t>he N</w:t>
      </w:r>
      <w:r>
        <w:t>PRM</w:t>
      </w:r>
      <w:r w:rsidRPr="00117896">
        <w:t xml:space="preserve"> </w:t>
      </w:r>
      <w:r>
        <w:t>proposes</w:t>
      </w:r>
      <w:r w:rsidRPr="00117896">
        <w:t xml:space="preserve"> that consumers should be able to rely on their broadband provider to take reasonable steps to safeguard customer </w:t>
      </w:r>
      <w:r>
        <w:t>information</w:t>
      </w:r>
      <w:r w:rsidRPr="00117896">
        <w:t xml:space="preserve"> from unauthorized use</w:t>
      </w:r>
      <w:r>
        <w:t>,</w:t>
      </w:r>
      <w:r w:rsidRPr="00117896">
        <w:t xml:space="preserve"> disclosure</w:t>
      </w:r>
      <w:r>
        <w:t>, or access</w:t>
      </w:r>
      <w:r w:rsidRPr="00117896">
        <w:t>.</w:t>
      </w:r>
      <w:r>
        <w:t xml:space="preserve"> </w:t>
      </w:r>
      <w:r w:rsidRPr="00117896">
        <w:t xml:space="preserve"> It also seeks comment on whether there are other data security requirements that the Commission should adopt, such as data minimization requirements</w:t>
      </w:r>
      <w:r>
        <w:t xml:space="preserve">. </w:t>
      </w:r>
    </w:p>
    <w:p w:rsidR="00324CD5" w:rsidRPr="00117896" w:rsidRDefault="00324CD5" w:rsidP="005619D4">
      <w:pPr>
        <w:pStyle w:val="ParaNum"/>
        <w:widowControl/>
      </w:pPr>
      <w:r>
        <w:t>The NPRM also considers how and when consumers should be notified about data breaches, so that they can take steps to protect themselves.  We acknowledge the myriad state laws requiring data breach notification, which inform our proposal.  Recognizing the harms inherent in over-notification (or “notice fatigue”)</w:t>
      </w:r>
      <w:r w:rsidRPr="008274A0">
        <w:t>,</w:t>
      </w:r>
      <w:r>
        <w:t xml:space="preserve"> the NPRM </w:t>
      </w:r>
      <w:r w:rsidRPr="008274A0">
        <w:t>propose</w:t>
      </w:r>
      <w:r>
        <w:t>s</w:t>
      </w:r>
      <w:r w:rsidRPr="008274A0">
        <w:t xml:space="preserve"> to adopt a trigger </w:t>
      </w:r>
      <w:r>
        <w:t xml:space="preserve">as to when notice is needed, and seeks comment on under what circumstances BIAS providers should be required to notify customers of a breach of their PI.  The NPRM proposes to require broadband providers to </w:t>
      </w:r>
      <w:r w:rsidRPr="00117896">
        <w:t xml:space="preserve">notify </w:t>
      </w:r>
      <w:r>
        <w:t>a</w:t>
      </w:r>
      <w:r w:rsidRPr="00117896">
        <w:t>ffected customers within</w:t>
      </w:r>
      <w:r>
        <w:t xml:space="preserve"> 10 days of the discovery of a</w:t>
      </w:r>
      <w:r w:rsidRPr="00117896">
        <w:t xml:space="preserve"> breach</w:t>
      </w:r>
      <w:r>
        <w:t xml:space="preserve"> that triggers customer notification requirements, proposes to define a “breach,” and seeks comment on whether, in addition, broadband providers should notify customers after discovery of conduct that could reasonably be tied to a breach.  It proposes to require that the Commission be notified of all data breaches, and that other federal law enforcement be notified of </w:t>
      </w:r>
      <w:r w:rsidRPr="00C05B83">
        <w:t>breaches that impact more than 5,000 customers</w:t>
      </w:r>
      <w:r>
        <w:t xml:space="preserve">.  It </w:t>
      </w:r>
      <w:r w:rsidRPr="00C05B83">
        <w:t>also proposes to require notificat</w:t>
      </w:r>
      <w:r>
        <w:t xml:space="preserve">ion to federal law enforcement within seven </w:t>
      </w:r>
      <w:r w:rsidRPr="00C05B83">
        <w:t>days of discovery of such a breach</w:t>
      </w:r>
      <w:r>
        <w:t>, and three</w:t>
      </w:r>
      <w:r w:rsidRPr="00C05B83">
        <w:t xml:space="preserve"> days before notification to the customer</w:t>
      </w:r>
      <w:r>
        <w:t xml:space="preserve">.  </w:t>
      </w:r>
      <w:r w:rsidRPr="00C05B83">
        <w:t>It allows law enforcement to seek delay of cust</w:t>
      </w:r>
      <w:r>
        <w:t>omer notification</w:t>
      </w:r>
      <w:r w:rsidRPr="00C05B83">
        <w:t>.</w:t>
      </w:r>
    </w:p>
    <w:p w:rsidR="00324CD5" w:rsidRDefault="00324CD5" w:rsidP="005619D4">
      <w:pPr>
        <w:pStyle w:val="ParaNum"/>
        <w:widowControl/>
      </w:pPr>
      <w:r>
        <w:t xml:space="preserve">In addition, the NPRM asks for public comment on a series of closely-related questions including, for example, whether we should update rules that govern the application of Section 222 to traditional telephone service and interconnected VoIP service in order to harmonize them with the results of this proceeding.  </w:t>
      </w:r>
      <w:r w:rsidR="00713D6F">
        <w:t xml:space="preserve">Likewise, </w:t>
      </w:r>
      <w:r w:rsidR="0021262B">
        <w:t>we seek comment on adopting</w:t>
      </w:r>
      <w:r w:rsidR="00713D6F">
        <w:t xml:space="preserve"> rules that harmonize the privacy requirements for cable and satellite providers under Sections 631 and 338(i) of the Communications Act with the rules f</w:t>
      </w:r>
      <w:r w:rsidR="0021262B">
        <w:t>or telecommunications providers.</w:t>
      </w:r>
      <w:r w:rsidR="00713D6F">
        <w:t xml:space="preserve">  </w:t>
      </w:r>
      <w:r>
        <w:t xml:space="preserve">More generally, the NPRM inquires whether there are any uses of data collected by virtue of providing the broadband service that should be prohibited altogether or otherwise subject to particular requirements, for example, the practice of conditioning price discounts on a consumer’s willingness to waive certain privacy interests.  Recognizing the importance of giving customers control over their data, the Notice also asks what barriers may exist to the ability of consumers to resolve disputes and it recognizes the </w:t>
      </w:r>
      <w:r w:rsidRPr="00117896">
        <w:t xml:space="preserve">right to access and correct the customer </w:t>
      </w:r>
      <w:r>
        <w:t>information</w:t>
      </w:r>
      <w:r w:rsidRPr="00117896">
        <w:t xml:space="preserve"> their broadband provider maintains about them</w:t>
      </w:r>
      <w:r>
        <w:t xml:space="preserve">.  </w:t>
      </w:r>
    </w:p>
    <w:p w:rsidR="00324CD5" w:rsidRDefault="00324CD5" w:rsidP="00324CD5">
      <w:pPr>
        <w:pStyle w:val="ParaNum"/>
      </w:pPr>
      <w:r>
        <w:t>The Notice also seeks comment on a variety of other proposed frameworks for protecting the privacy of broadband customers, and it seeks comment on using multi-stakeholder processes to further the privacy principles we espouse in this NPRM.</w:t>
      </w:r>
    </w:p>
    <w:p w:rsidR="00324CD5" w:rsidRDefault="00324CD5" w:rsidP="00324CD5">
      <w:pPr>
        <w:pStyle w:val="ParaNum"/>
      </w:pPr>
      <w:r>
        <w:t xml:space="preserve">The NPRM closes by discussing and inviting comment on our legal authority to adopt these proposed rules.  As noted above, the Notice relies on Section 222.  The Notice asks for comment on whether there are additional sources of statutory authority for any of the issues identified as a proposal or for which comment is sought.  For example, the </w:t>
      </w:r>
      <w:r w:rsidRPr="00516924">
        <w:rPr>
          <w:i/>
        </w:rPr>
        <w:t>2015 Open Internet Order</w:t>
      </w:r>
      <w:r>
        <w:t xml:space="preserve"> explained how Sections 201 and 202 protect customer information for purposes of the application of its General Conduct rule.</w:t>
      </w:r>
      <w:r>
        <w:rPr>
          <w:rStyle w:val="FootnoteReference"/>
        </w:rPr>
        <w:footnoteReference w:id="43"/>
      </w:r>
      <w:r>
        <w:t xml:space="preserve">  Similarly, the Commission has recognized that consumers fearful of the loss of privacy may be less likely to use broadband connectivity, thus decreasing the demand for broadband investment and deployment.</w:t>
      </w:r>
      <w:r>
        <w:rPr>
          <w:rStyle w:val="FootnoteReference"/>
        </w:rPr>
        <w:footnoteReference w:id="44"/>
      </w:r>
      <w:r>
        <w:t xml:space="preserve">  In addition, Section 705 of the Communications Act provides protection for the content of communications.</w:t>
      </w:r>
      <w:r w:rsidRPr="00AC6EC5">
        <w:t xml:space="preserve"> </w:t>
      </w:r>
      <w:r>
        <w:t xml:space="preserve">  </w:t>
      </w:r>
    </w:p>
    <w:p w:rsidR="00324CD5" w:rsidRDefault="00324CD5" w:rsidP="00324CD5">
      <w:pPr>
        <w:pStyle w:val="Heading1"/>
      </w:pPr>
      <w:bookmarkStart w:id="24" w:name="_Toc441849931"/>
      <w:bookmarkStart w:id="25" w:name="_Toc443049915"/>
      <w:bookmarkStart w:id="26" w:name="_Toc443660080"/>
      <w:bookmarkStart w:id="27" w:name="_Toc444095721"/>
      <w:bookmarkStart w:id="28" w:name="_Toc445192927"/>
      <w:bookmarkStart w:id="29" w:name="_Toc445193023"/>
      <w:bookmarkStart w:id="30" w:name="_Toc445193109"/>
      <w:bookmarkStart w:id="31" w:name="_Toc445276242"/>
      <w:bookmarkStart w:id="32" w:name="_Toc445367831"/>
      <w:bookmarkStart w:id="33" w:name="_Toc446937440"/>
      <w:bookmarkStart w:id="34" w:name="_Toc447116312"/>
      <w:bookmarkStart w:id="35" w:name="_Toc447121201"/>
      <w:bookmarkStart w:id="36" w:name="_Toc440575566"/>
      <w:bookmarkStart w:id="37" w:name="_Toc440575836"/>
      <w:r>
        <w:t>Ensuring Privacy Protections for Customers of Broadband Services</w:t>
      </w:r>
      <w:bookmarkEnd w:id="24"/>
      <w:bookmarkEnd w:id="25"/>
      <w:bookmarkEnd w:id="26"/>
      <w:bookmarkEnd w:id="27"/>
      <w:bookmarkEnd w:id="28"/>
      <w:bookmarkEnd w:id="29"/>
      <w:bookmarkEnd w:id="30"/>
      <w:bookmarkEnd w:id="31"/>
      <w:bookmarkEnd w:id="32"/>
      <w:bookmarkEnd w:id="33"/>
      <w:bookmarkEnd w:id="34"/>
      <w:bookmarkEnd w:id="35"/>
    </w:p>
    <w:p w:rsidR="00324CD5" w:rsidRDefault="00324CD5" w:rsidP="00324CD5">
      <w:pPr>
        <w:pStyle w:val="ParaNum"/>
      </w:pPr>
      <w:r>
        <w:t xml:space="preserve">In this section, we propose and seek comment on a set of rules designed to protect the privacy of broadband customers.  Our proposals build on the Commission’s prior decisions and existing Section 222 rules; other federal privacy laws; state privacy laws; and recognized privacy best practices, and offer a framework focused on providing transparency of BIAS providers’ privacy practices; ensuring BIAS customers have meaningful choice about the use and disclosure of their customer PI; and requiring BIAS providers to adopt robust data security practices for customer PI.  </w:t>
      </w:r>
    </w:p>
    <w:p w:rsidR="00324CD5" w:rsidRDefault="00324CD5" w:rsidP="00DD1589">
      <w:pPr>
        <w:pStyle w:val="ParaNum"/>
        <w:numPr>
          <w:ilvl w:val="0"/>
          <w:numId w:val="9"/>
        </w:numPr>
      </w:pPr>
      <w:r>
        <w:t xml:space="preserve">First, we propose definitions for key terms as they are used in the context of our proposed rules.  </w:t>
      </w:r>
    </w:p>
    <w:p w:rsidR="00324CD5" w:rsidRDefault="00324CD5" w:rsidP="00DD1589">
      <w:pPr>
        <w:pStyle w:val="ParaNum"/>
        <w:numPr>
          <w:ilvl w:val="0"/>
          <w:numId w:val="9"/>
        </w:numPr>
      </w:pPr>
      <w:r>
        <w:t>Second, in recognition of the widespread agreement that companies should inform consumers about their privacy practices, w</w:t>
      </w:r>
      <w:r w:rsidRPr="00B05B66">
        <w:t>e propose</w:t>
      </w:r>
      <w:r>
        <w:t xml:space="preserve"> and seek comment on</w:t>
      </w:r>
      <w:r w:rsidRPr="00B05B66">
        <w:t xml:space="preserve"> </w:t>
      </w:r>
      <w:r>
        <w:t xml:space="preserve">rules designed to provide customers with meaningful notice of their BIAS providers’ privacy policies while simultaneously minimizing the burden of compliance levied upon those providers.  </w:t>
      </w:r>
    </w:p>
    <w:p w:rsidR="00324CD5" w:rsidRDefault="00324CD5" w:rsidP="004F400E">
      <w:pPr>
        <w:pStyle w:val="ParaNum"/>
        <w:widowControl/>
        <w:numPr>
          <w:ilvl w:val="0"/>
          <w:numId w:val="9"/>
        </w:numPr>
      </w:pPr>
      <w:r>
        <w:t xml:space="preserve">Third, recognizing that customer choice is a key pillar in protecting the confidentiality of broadband customers’ proprietary information, we propose a framework that will give broadband customers tools to make informed and timely decisions about how BIAS providers can use, disclose, or permit access to customer proprietary information for purposes other than providing BIAS service, and services necessary to or used in the provision of BIAS.  </w:t>
      </w:r>
    </w:p>
    <w:p w:rsidR="00324CD5" w:rsidRDefault="00324CD5" w:rsidP="004F400E">
      <w:pPr>
        <w:pStyle w:val="ParaNum"/>
        <w:widowControl/>
        <w:numPr>
          <w:ilvl w:val="0"/>
          <w:numId w:val="9"/>
        </w:numPr>
      </w:pPr>
      <w:r>
        <w:t xml:space="preserve">Fourth, we seek comment on the use and disclosure of aggregate customer information.  </w:t>
      </w:r>
    </w:p>
    <w:p w:rsidR="00324CD5" w:rsidRPr="00672741" w:rsidRDefault="00324CD5" w:rsidP="004F400E">
      <w:pPr>
        <w:pStyle w:val="ParaNum"/>
        <w:widowControl/>
        <w:numPr>
          <w:ilvl w:val="0"/>
          <w:numId w:val="9"/>
        </w:numPr>
      </w:pPr>
      <w:r>
        <w:t xml:space="preserve">Fifth, </w:t>
      </w:r>
      <w:r w:rsidRPr="00A9228A">
        <w:rPr>
          <w:rFonts w:eastAsia="Georgia"/>
        </w:rPr>
        <w:t xml:space="preserve">we propose a series of data security safeguards designed to protect customers’ information and instill customer confidence in the security of their private data.  </w:t>
      </w:r>
    </w:p>
    <w:p w:rsidR="00324CD5" w:rsidRDefault="00324CD5" w:rsidP="00DD1589">
      <w:pPr>
        <w:pStyle w:val="ParaNum"/>
        <w:numPr>
          <w:ilvl w:val="0"/>
          <w:numId w:val="9"/>
        </w:numPr>
      </w:pPr>
      <w:r>
        <w:rPr>
          <w:rFonts w:eastAsia="Georgia"/>
        </w:rPr>
        <w:t>Sixth</w:t>
      </w:r>
      <w:r w:rsidRPr="00A9228A">
        <w:rPr>
          <w:rFonts w:eastAsia="Georgia"/>
        </w:rPr>
        <w:t xml:space="preserve">, we propose rules to </w:t>
      </w:r>
      <w:r>
        <w:t xml:space="preserve">ensure BIAS providers notify customers and the appropriate federal authorities when customer PI is used, disclosed, or accessed in violation of the provider’s obligations to protect that data.  To that end, we propose to adopt a single rule that applies such an obligation to all providers of telecommunications services and providers of interconnected voice over Internet protocol (VoIP), superseding the breach notification rule the Commission adopted as part of the Section 222 rules in 2007.  </w:t>
      </w:r>
    </w:p>
    <w:p w:rsidR="00324CD5" w:rsidRDefault="00324CD5" w:rsidP="00DD1589">
      <w:pPr>
        <w:pStyle w:val="ParaNum"/>
        <w:numPr>
          <w:ilvl w:val="0"/>
          <w:numId w:val="9"/>
        </w:numPr>
      </w:pPr>
      <w:r>
        <w:t xml:space="preserve">Seventh, we seek comment on </w:t>
      </w:r>
      <w:r w:rsidRPr="00970EE6">
        <w:t>whether there are</w:t>
      </w:r>
      <w:r>
        <w:t xml:space="preserve"> certain broadband provider</w:t>
      </w:r>
      <w:r w:rsidRPr="00970EE6">
        <w:t xml:space="preserve"> </w:t>
      </w:r>
      <w:r>
        <w:t xml:space="preserve">practices that should be prohibited, or to which heightened notice and choice requirements should apply because they are inconsistent with preserving customer choice and with protecting the confidentiality of end users’ information.  </w:t>
      </w:r>
    </w:p>
    <w:p w:rsidR="00324CD5" w:rsidRDefault="00324CD5" w:rsidP="00DD1589">
      <w:pPr>
        <w:pStyle w:val="ParaNum"/>
        <w:numPr>
          <w:ilvl w:val="0"/>
          <w:numId w:val="9"/>
        </w:numPr>
      </w:pPr>
      <w:r>
        <w:t xml:space="preserve">Eighth, because dispute resolution rights are often considered one of the fair information practices principles, we seek comment whether we should require BIAS providers to offer dispute resolution mechanisms with respect to the use and disclosure of customer information covered by these rules. </w:t>
      </w:r>
    </w:p>
    <w:p w:rsidR="00324CD5" w:rsidRDefault="00324CD5" w:rsidP="00DD1589">
      <w:pPr>
        <w:pStyle w:val="ParaNum"/>
        <w:numPr>
          <w:ilvl w:val="0"/>
          <w:numId w:val="9"/>
        </w:numPr>
      </w:pPr>
      <w:r>
        <w:t>Ninth, we seek comment on the appropriate treatment of state laws concerning customer proprietary information collected by broadband providers and propose to preempt state laws only to the extent that they are inconsistent with any rules adopted by the Commission, without the presumption that more restrictive state requirements are inconsistent with our rules.</w:t>
      </w:r>
    </w:p>
    <w:p w:rsidR="00324CD5" w:rsidRDefault="00324CD5" w:rsidP="00DD1589">
      <w:pPr>
        <w:pStyle w:val="ParaNum"/>
        <w:numPr>
          <w:ilvl w:val="0"/>
          <w:numId w:val="9"/>
        </w:numPr>
      </w:pPr>
      <w:r>
        <w:t xml:space="preserve">Finally, we seek comment on possible use of multi-stakeholder processes and various broadband privacy frameworks set forth by stakeholders.  </w:t>
      </w:r>
    </w:p>
    <w:p w:rsidR="00324CD5" w:rsidRDefault="00324CD5" w:rsidP="00324CD5">
      <w:pPr>
        <w:pStyle w:val="Heading2"/>
      </w:pPr>
      <w:bookmarkStart w:id="38" w:name="_Toc441849932"/>
      <w:bookmarkStart w:id="39" w:name="_Toc443049916"/>
      <w:bookmarkStart w:id="40" w:name="_Toc443660081"/>
      <w:bookmarkStart w:id="41" w:name="_Toc444095722"/>
      <w:bookmarkStart w:id="42" w:name="_Toc445192928"/>
      <w:bookmarkStart w:id="43" w:name="_Toc445193024"/>
      <w:bookmarkStart w:id="44" w:name="_Toc445193110"/>
      <w:bookmarkStart w:id="45" w:name="_Toc445276243"/>
      <w:bookmarkStart w:id="46" w:name="_Toc445367832"/>
      <w:bookmarkStart w:id="47" w:name="_Ref446518454"/>
      <w:bookmarkStart w:id="48" w:name="_Toc446937441"/>
      <w:bookmarkStart w:id="49" w:name="_Toc447116313"/>
      <w:bookmarkStart w:id="50" w:name="_Toc447121202"/>
      <w:r>
        <w:t>Defining Key Terms</w:t>
      </w:r>
      <w:bookmarkEnd w:id="38"/>
      <w:bookmarkEnd w:id="39"/>
      <w:bookmarkEnd w:id="40"/>
      <w:bookmarkEnd w:id="41"/>
      <w:bookmarkEnd w:id="42"/>
      <w:bookmarkEnd w:id="43"/>
      <w:bookmarkEnd w:id="44"/>
      <w:bookmarkEnd w:id="45"/>
      <w:bookmarkEnd w:id="46"/>
      <w:bookmarkEnd w:id="47"/>
      <w:bookmarkEnd w:id="48"/>
      <w:bookmarkEnd w:id="49"/>
      <w:bookmarkEnd w:id="50"/>
    </w:p>
    <w:p w:rsidR="00324CD5" w:rsidRDefault="00324CD5" w:rsidP="00324CD5">
      <w:pPr>
        <w:pStyle w:val="ParaNum"/>
      </w:pPr>
      <w:r>
        <w:t>To provide guidance to both broadband providers and customers regarding the scope of the privacy protections we propose today, in this section we propose to define the entities to which our rules apply and the scope of information covered by such rules.  We also propose to define other key terms, including what constitutes “opt-out” and “opt-in” for purposes of giving customers control over the use of their confidential information, what constitutes aggregate customer proprietary information, and what constitutes a “breach” for purposes of our proposed data security and data breach notification rules.  Finally, we seek comment on whether and how we should modify any of the current Section 222 definitions, either to update those definitions or harmonize them with the rules we propose to adopt with respect to BIAS providers.</w:t>
      </w:r>
      <w:r>
        <w:rPr>
          <w:rStyle w:val="FootnoteReference"/>
        </w:rPr>
        <w:footnoteReference w:id="45"/>
      </w:r>
      <w:r>
        <w:t xml:space="preserve">  We recognize there will be an interplay between commenters’ proposals about what substantive rules we should adopt to protect BIAS customers’ privacy interests and how we should define key terms and we invite commenters to explore in detail the relationships between the two.</w:t>
      </w:r>
    </w:p>
    <w:p w:rsidR="00324CD5" w:rsidRPr="00442F73" w:rsidRDefault="00324CD5" w:rsidP="00324CD5">
      <w:pPr>
        <w:pStyle w:val="Heading3"/>
      </w:pPr>
      <w:bookmarkStart w:id="51" w:name="_Toc438643664"/>
      <w:bookmarkStart w:id="52" w:name="_Toc438650263"/>
      <w:bookmarkStart w:id="53" w:name="_Toc438719860"/>
      <w:bookmarkStart w:id="54" w:name="_Toc438720123"/>
      <w:bookmarkStart w:id="55" w:name="_Toc440016668"/>
      <w:bookmarkStart w:id="56" w:name="_Toc440575559"/>
      <w:bookmarkStart w:id="57" w:name="_Toc440575829"/>
      <w:bookmarkStart w:id="58" w:name="_Toc441849933"/>
      <w:bookmarkStart w:id="59" w:name="_Toc443049917"/>
      <w:bookmarkStart w:id="60" w:name="_Toc443660082"/>
      <w:bookmarkStart w:id="61" w:name="_Toc444095723"/>
      <w:bookmarkStart w:id="62" w:name="_Toc445192929"/>
      <w:bookmarkStart w:id="63" w:name="_Toc445193025"/>
      <w:bookmarkStart w:id="64" w:name="_Toc445193111"/>
      <w:bookmarkStart w:id="65" w:name="_Toc445276244"/>
      <w:bookmarkStart w:id="66" w:name="_Toc445367833"/>
      <w:bookmarkStart w:id="67" w:name="_Toc446937442"/>
      <w:bookmarkStart w:id="68" w:name="_Toc447116314"/>
      <w:bookmarkStart w:id="69" w:name="_Toc447121203"/>
      <w:r>
        <w:t>Defining BIAS and BIAS Provider</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324CD5" w:rsidRDefault="00324CD5" w:rsidP="00324CD5">
      <w:pPr>
        <w:pStyle w:val="ParaNum"/>
      </w:pPr>
      <w:r>
        <w:t xml:space="preserve">We propose to apply the definition of “Broadband Internet Access Services” or “BIAS” that we used in the </w:t>
      </w:r>
      <w:r w:rsidRPr="00522C19">
        <w:rPr>
          <w:i/>
        </w:rPr>
        <w:t>2015 Open Internet Order</w:t>
      </w:r>
      <w:r>
        <w:t>.  In that proceeding, we defined BIAS to mean “[a] mass-market retail service by wire or radio that provides the capability to transmit data to and receive data from all or substantially all Internet endpoints, including any capabilities that are incidental to and enable the operation of the communications service, but excluding dial-up Internet access service.  This term also encompasses any service that the Commission finds to be providing a functional equivalent of the service described in the previous sentence, or that is used to evade the protections set forth in this part.”</w:t>
      </w:r>
      <w:r>
        <w:rPr>
          <w:rStyle w:val="FootnoteReference"/>
        </w:rPr>
        <w:footnoteReference w:id="46"/>
      </w:r>
      <w:r>
        <w:t xml:space="preserve">  We propose to define “broadband Internet access service provider” (BIAS provider) as a person or entity engaged in the provision of BIAS.</w:t>
      </w:r>
      <w:r w:rsidRPr="008C6D68">
        <w:t xml:space="preserve"> </w:t>
      </w:r>
      <w:r>
        <w:t xml:space="preserve"> </w:t>
      </w:r>
    </w:p>
    <w:p w:rsidR="00324CD5" w:rsidRDefault="00324CD5" w:rsidP="00324CD5">
      <w:pPr>
        <w:pStyle w:val="Heading3"/>
      </w:pPr>
      <w:bookmarkStart w:id="70" w:name="_Toc443660083"/>
      <w:bookmarkStart w:id="71" w:name="_Toc444095724"/>
      <w:bookmarkStart w:id="72" w:name="_Toc445192930"/>
      <w:bookmarkStart w:id="73" w:name="_Toc445193026"/>
      <w:bookmarkStart w:id="74" w:name="_Toc445193112"/>
      <w:bookmarkStart w:id="75" w:name="_Toc445276245"/>
      <w:bookmarkStart w:id="76" w:name="_Ref445295141"/>
      <w:bookmarkStart w:id="77" w:name="_Toc445367834"/>
      <w:bookmarkStart w:id="78" w:name="_Ref446518467"/>
      <w:bookmarkStart w:id="79" w:name="_Toc446937443"/>
      <w:bookmarkStart w:id="80" w:name="_Toc447116315"/>
      <w:bookmarkStart w:id="81" w:name="_Toc447121204"/>
      <w:bookmarkStart w:id="82" w:name="_Toc438643665"/>
      <w:bookmarkStart w:id="83" w:name="_Toc438650264"/>
      <w:bookmarkStart w:id="84" w:name="_Toc438719861"/>
      <w:bookmarkStart w:id="85" w:name="_Toc438720124"/>
      <w:bookmarkStart w:id="86" w:name="_Toc440016669"/>
      <w:bookmarkStart w:id="87" w:name="_Toc440575560"/>
      <w:bookmarkStart w:id="88" w:name="_Toc440575830"/>
      <w:bookmarkStart w:id="89" w:name="_Toc441849934"/>
      <w:bookmarkStart w:id="90" w:name="_Toc443049918"/>
      <w:r>
        <w:t>Defining Affiliate</w:t>
      </w:r>
      <w:bookmarkEnd w:id="70"/>
      <w:bookmarkEnd w:id="71"/>
      <w:bookmarkEnd w:id="72"/>
      <w:bookmarkEnd w:id="73"/>
      <w:bookmarkEnd w:id="74"/>
      <w:bookmarkEnd w:id="75"/>
      <w:bookmarkEnd w:id="76"/>
      <w:bookmarkEnd w:id="77"/>
      <w:bookmarkEnd w:id="78"/>
      <w:bookmarkEnd w:id="79"/>
      <w:bookmarkEnd w:id="80"/>
      <w:bookmarkEnd w:id="81"/>
    </w:p>
    <w:p w:rsidR="00324CD5" w:rsidRPr="00E9171C" w:rsidRDefault="00324CD5" w:rsidP="00324CD5">
      <w:pPr>
        <w:pStyle w:val="ParaNum"/>
      </w:pPr>
      <w:r>
        <w:t>W</w:t>
      </w:r>
      <w:r w:rsidRPr="001E0C87">
        <w:t xml:space="preserve">e seek comment on how we should define “affiliate” for purposes of our proposed rules.  The Act, as amended, </w:t>
      </w:r>
      <w:r>
        <w:t xml:space="preserve">and our current rules, </w:t>
      </w:r>
      <w:r w:rsidRPr="001E0C87">
        <w:t>define “affiliate” to mean “a person that (directly or indirectly) owns or controls, is owned or controlled by, or is under common ownership or control with, another person,” where the term “own” is defined to mean “to own an equity interest (or the equivalent there</w:t>
      </w:r>
      <w:r>
        <w:t>of) of more than 10 percent.”</w:t>
      </w:r>
      <w:r>
        <w:rPr>
          <w:rStyle w:val="FootnoteReference"/>
        </w:rPr>
        <w:footnoteReference w:id="47"/>
      </w:r>
      <w:r w:rsidRPr="001E0C87">
        <w:t xml:space="preserve">  We seek comment on whether we should adopt this definition </w:t>
      </w:r>
      <w:r>
        <w:t xml:space="preserve">or another definition </w:t>
      </w:r>
      <w:r w:rsidRPr="001E0C87">
        <w:t xml:space="preserve">for purposes of our proposed </w:t>
      </w:r>
      <w:r>
        <w:t>rules, as well as any associated benefits and burdens, particularly for small providers</w:t>
      </w:r>
      <w:r w:rsidRPr="001E0C87">
        <w:t>.</w:t>
      </w:r>
      <w:r>
        <w:t xml:space="preserve">  </w:t>
      </w:r>
    </w:p>
    <w:p w:rsidR="00324CD5" w:rsidRDefault="00324CD5" w:rsidP="00324CD5">
      <w:pPr>
        <w:pStyle w:val="Heading3"/>
      </w:pPr>
      <w:bookmarkStart w:id="91" w:name="_Toc443660084"/>
      <w:bookmarkStart w:id="92" w:name="_Toc444095725"/>
      <w:bookmarkStart w:id="93" w:name="_Toc445192931"/>
      <w:bookmarkStart w:id="94" w:name="_Toc445193027"/>
      <w:bookmarkStart w:id="95" w:name="_Toc445193113"/>
      <w:bookmarkStart w:id="96" w:name="_Toc445276246"/>
      <w:bookmarkStart w:id="97" w:name="_Toc445367835"/>
      <w:bookmarkStart w:id="98" w:name="_Ref446518477"/>
      <w:bookmarkStart w:id="99" w:name="_Toc446937444"/>
      <w:bookmarkStart w:id="100" w:name="_Toc447116316"/>
      <w:bookmarkStart w:id="101" w:name="_Toc447121205"/>
      <w:r>
        <w:t>Defining Customer</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324CD5" w:rsidRDefault="00324CD5" w:rsidP="00324CD5">
      <w:pPr>
        <w:pStyle w:val="ParaNum"/>
      </w:pPr>
      <w:r>
        <w:t xml:space="preserve">We propose to define “customer” to mean 1) a current or former, paying or non-paying subscriber to broadband Internet access service; and 2) an applicant for broadband Internet access service.  We seek comment on our proposal and on whether we should harmonize the existing Section 222 definition of customer with our proposed broadband definition. </w:t>
      </w:r>
      <w:r w:rsidRPr="00192871">
        <w:t xml:space="preserve"> </w:t>
      </w:r>
    </w:p>
    <w:p w:rsidR="00324CD5" w:rsidRDefault="00324CD5" w:rsidP="00324CD5">
      <w:pPr>
        <w:pStyle w:val="ParaNum"/>
      </w:pPr>
      <w:r>
        <w:t>Under our current Section 222 rules, “[a]</w:t>
      </w:r>
      <w:r w:rsidRPr="00390B96">
        <w:t xml:space="preserve"> customer of a telecommunications carrier is a person or entity to which the telecommunications carrier is currently providing service</w:t>
      </w:r>
      <w:r>
        <w:t>.”</w:t>
      </w:r>
      <w:r>
        <w:rPr>
          <w:rStyle w:val="FootnoteReference"/>
        </w:rPr>
        <w:footnoteReference w:id="48"/>
      </w:r>
      <w:r>
        <w:t xml:space="preserve">  We believe that the existing rule’s limitation to current subscribers is insufficiently narrow, perhaps particularly as applied to the broadband context.  As technological capabilities have progressed, data retention and processing have increased, concomitantly increasing the incentives for retaining, using, and selling personal information of applicants and of former customers.  Because BIAS providers have the ability to retain and reuse applicant and former customer proprietary information long after the application process is over, or the former customer has discontinued its subscription, we propose to define customer for BIAS purposes to include both applicants for BIAS and former BIAS customers.  </w:t>
      </w:r>
      <w:r w:rsidRPr="007C784D">
        <w:t xml:space="preserve">We recognize that not all aspects of our proposed rules will be applicable to all </w:t>
      </w:r>
      <w:r>
        <w:t xml:space="preserve">such </w:t>
      </w:r>
      <w:r w:rsidRPr="007C784D">
        <w:t>customers in every situation (</w:t>
      </w:r>
      <w:r w:rsidRPr="00B07699">
        <w:rPr>
          <w:iCs/>
        </w:rPr>
        <w:t>e.g.</w:t>
      </w:r>
      <w:r w:rsidRPr="007C784D">
        <w:t xml:space="preserve">, a data breach may impact some customers but not others).  For the purposes of these proposed rules we </w:t>
      </w:r>
      <w:r>
        <w:t xml:space="preserve">sometimes </w:t>
      </w:r>
      <w:r w:rsidRPr="007C784D">
        <w:t>refer to “affected customers” or “existing customers” to designate a subset of customers, as appropriate.</w:t>
      </w:r>
      <w:r>
        <w:t xml:space="preserve"> </w:t>
      </w:r>
    </w:p>
    <w:p w:rsidR="00324CD5" w:rsidRDefault="00324CD5" w:rsidP="00324CD5">
      <w:pPr>
        <w:pStyle w:val="ParaNum"/>
      </w:pPr>
      <w:r>
        <w:t xml:space="preserve">In seeking comment on our proposed definition of “customer” we inquire as to whether, without the privacy protections of Section 222, consumers may be hesitant to apply for BIAS or current BIAS users may be apprehensive about switching service providers out of concern that their current provider may stop protecting their privacy after they switch providers.  Could such apprehension inhibit competition and innovation in the BIAS marketplace?    </w:t>
      </w:r>
    </w:p>
    <w:p w:rsidR="00324CD5" w:rsidRDefault="00324CD5" w:rsidP="00324CD5">
      <w:pPr>
        <w:pStyle w:val="ParaNum"/>
      </w:pPr>
      <w:r>
        <w:t xml:space="preserve">We recognize that a single BIAS subscription is often used by multiple people.  Residential fixed broadband services typically have a single subscriber, but are used by all members of a household, and often by their visitors.  Some mobile BIAS providers offer friends and family plans in which multiple people are enrolled on one BIAS account, each with their own identified device(s) or user login.  Should the definition of customer reflect the possibility of multiple broadband users?  Should each member of a group plan or each user with a login be treated as a distinct customer who must receive individualized notices and consent requests?  Is such a definition of “customer” appropriately consistent with the definition of “end user” adopted in the </w:t>
      </w:r>
      <w:r>
        <w:rPr>
          <w:i/>
        </w:rPr>
        <w:t>2015 Open Internet Order</w:t>
      </w:r>
      <w:r>
        <w:t>?</w:t>
      </w:r>
      <w:r w:rsidRPr="00B62A2C">
        <w:rPr>
          <w:rStyle w:val="FootnoteReference"/>
        </w:rPr>
        <w:t xml:space="preserve"> </w:t>
      </w:r>
      <w:r>
        <w:rPr>
          <w:rStyle w:val="FootnoteReference"/>
        </w:rPr>
        <w:footnoteReference w:id="49"/>
      </w:r>
      <w:r>
        <w:t xml:space="preserve">  Under such an interpretation, how would or should BIAS providers treat members of a group plan who are minors or are otherwise unable to understand notice and consent?</w:t>
      </w:r>
      <w:r>
        <w:rPr>
          <w:rStyle w:val="FootnoteReference"/>
        </w:rPr>
        <w:footnoteReference w:id="50"/>
      </w:r>
      <w:r>
        <w:t xml:space="preserve">  How can we ensure that BIAS providers protect the information of all users of broadband Internet access service, given that the contract is between the BIAS provider </w:t>
      </w:r>
      <w:r w:rsidR="00042EDF">
        <w:t xml:space="preserve">and </w:t>
      </w:r>
      <w:r>
        <w:t xml:space="preserve">its subscriber?  Should we define “subscriber” as any person about whom broadband providers hold customer information?  How should we treat the interests of persons using corporate accounts, for example, including the employees of a small business?  We seek comment on these issues and the benefits and burdens of any proffered alternatives.  </w:t>
      </w:r>
    </w:p>
    <w:p w:rsidR="00324CD5" w:rsidRDefault="00324CD5" w:rsidP="00324CD5">
      <w:pPr>
        <w:pStyle w:val="ParaNum"/>
      </w:pPr>
      <w:r>
        <w:t>At the same time, we are cognizant of the potential burdens that defining the term “customer” too broadly could place on BIAS providers, and we believe that the definition we propose today strikes the right balance between minimizing the burdens on BIAS providers and protecting customer proprietary information.  We believe that our proposed definition will minimize the burden on BIAS providers by limiting the proposed notice and consent requirements to interactions with a single account holder, as opposed to every individual who connects to a broadband service over that subscription.  Do commenters agree?  We seek comment on the benefits and burdens associated with our proposed definition, and any alternatives, including, in particular, burdens on small providers.</w:t>
      </w:r>
    </w:p>
    <w:p w:rsidR="00324CD5" w:rsidRDefault="00713D6F" w:rsidP="00324CD5">
      <w:pPr>
        <w:pStyle w:val="ParaNum"/>
      </w:pPr>
      <w:r>
        <w:t>W</w:t>
      </w:r>
      <w:r w:rsidR="00324CD5">
        <w:t xml:space="preserve">e </w:t>
      </w:r>
      <w:r>
        <w:t xml:space="preserve">also </w:t>
      </w:r>
      <w:r w:rsidR="00324CD5">
        <w:t>seek comment on whether we should revise the definition of “customer”</w:t>
      </w:r>
      <w:r w:rsidR="00324CD5">
        <w:rPr>
          <w:rStyle w:val="FootnoteReference"/>
        </w:rPr>
        <w:footnoteReference w:id="51"/>
      </w:r>
      <w:r w:rsidR="00324CD5">
        <w:t xml:space="preserve"> in the existing CPNI rules to be consistent with our proposed definition of “customer” in the BIAS context.  At least some of the concerns we identified above in regard to BIAS customers are not unique to BIAS; voice customers in today’s world of big data face similar issues related to the protection of their own private information when they apply for and after they have terminated service.</w:t>
      </w:r>
      <w:r w:rsidR="00324CD5">
        <w:rPr>
          <w:rStyle w:val="FootnoteReference"/>
        </w:rPr>
        <w:footnoteReference w:id="52"/>
      </w:r>
      <w:r w:rsidR="00324CD5">
        <w:t xml:space="preserve">  Given these concerns, we seek comment whether we should harmonize the definition of “customer” across voice and broadband platforms for purposes of protecting customer privacy.</w:t>
      </w:r>
    </w:p>
    <w:p w:rsidR="00713D6F" w:rsidRDefault="00713D6F" w:rsidP="00324CD5">
      <w:pPr>
        <w:pStyle w:val="ParaNum"/>
      </w:pPr>
      <w:r>
        <w:t xml:space="preserve">Finally, to the extent we adopt rules that harmonize </w:t>
      </w:r>
      <w:r w:rsidR="005417C0">
        <w:t>the privacy requirements under S</w:t>
      </w:r>
      <w:r>
        <w:t>ection 222 with the requirements for cable and satellite providers under Sections 631 and 338(i), should we understand the term “subscriber” in those provisions of the Act to be coextensive with the term “customer” we propose here?</w:t>
      </w:r>
    </w:p>
    <w:p w:rsidR="00324CD5" w:rsidRDefault="00324CD5" w:rsidP="00324CD5">
      <w:pPr>
        <w:pStyle w:val="Heading3"/>
      </w:pPr>
      <w:bookmarkStart w:id="102" w:name="_Toc438643669"/>
      <w:bookmarkStart w:id="103" w:name="_Toc438650268"/>
      <w:bookmarkStart w:id="104" w:name="_Toc438719862"/>
      <w:bookmarkStart w:id="105" w:name="_Toc438720125"/>
      <w:bookmarkStart w:id="106" w:name="_Toc440016670"/>
      <w:bookmarkStart w:id="107" w:name="_Toc440575561"/>
      <w:bookmarkStart w:id="108" w:name="_Toc440575831"/>
      <w:bookmarkStart w:id="109" w:name="_Toc441849935"/>
      <w:bookmarkStart w:id="110" w:name="_Toc443049919"/>
      <w:bookmarkStart w:id="111" w:name="_Toc443660085"/>
      <w:bookmarkStart w:id="112" w:name="_Toc444095726"/>
      <w:bookmarkStart w:id="113" w:name="_Toc445192932"/>
      <w:bookmarkStart w:id="114" w:name="_Toc445193028"/>
      <w:bookmarkStart w:id="115" w:name="_Toc445193114"/>
      <w:bookmarkStart w:id="116" w:name="_Toc445276247"/>
      <w:bookmarkStart w:id="117" w:name="_Toc445367836"/>
      <w:bookmarkStart w:id="118" w:name="_Ref446518488"/>
      <w:bookmarkStart w:id="119" w:name="_Toc446937445"/>
      <w:bookmarkStart w:id="120" w:name="_Toc447116317"/>
      <w:bookmarkStart w:id="121" w:name="_Toc447121206"/>
      <w:r>
        <w:t>Defining CPNI</w:t>
      </w:r>
      <w:bookmarkEnd w:id="102"/>
      <w:bookmarkEnd w:id="103"/>
      <w:bookmarkEnd w:id="104"/>
      <w:bookmarkEnd w:id="105"/>
      <w:r>
        <w:t xml:space="preserve"> in the Broadband Context</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rsidR="00324CD5" w:rsidRDefault="00324CD5" w:rsidP="00324CD5">
      <w:pPr>
        <w:pStyle w:val="ParaNum"/>
      </w:pPr>
      <w:bookmarkStart w:id="122" w:name="_Ref446510920"/>
      <w:r>
        <w:t>As with the existing CPNI rules, we propose to adopt the statutory definition of CPNI for use in the broadband context.</w:t>
      </w:r>
      <w:r>
        <w:rPr>
          <w:rStyle w:val="FootnoteReference"/>
        </w:rPr>
        <w:footnoteReference w:id="53"/>
      </w:r>
      <w:r>
        <w:t xml:space="preserve">  Section 222(h)(1) defines CPNI to mean “information that relates to the quantity, technical configuration, type, destination, location, and amount of use of a telecommunications service subscribed to by any customer of a telecommunications carrier, and that is made available to the carrier by the customer solely by virtue of the carrier-customer relationship” and “information contained in the bills pertaining to telephone exchange service or telephone toll service received by a customer or a carrier,” except that CPNI “does not include subscriber list information.”</w:t>
      </w:r>
      <w:r>
        <w:rPr>
          <w:rStyle w:val="FootnoteReference"/>
        </w:rPr>
        <w:footnoteReference w:id="54"/>
      </w:r>
      <w:r w:rsidRPr="005F7D8E">
        <w:t xml:space="preserve"> </w:t>
      </w:r>
      <w:r>
        <w:t xml:space="preserve"> We seek comment on this proposal.  Is there any need to include the second part of that definition in our rules regarding BIAS services, given its applicability only to telephone exchange service and telephone toll service?</w:t>
      </w:r>
      <w:bookmarkEnd w:id="122"/>
    </w:p>
    <w:p w:rsidR="00324CD5" w:rsidRDefault="00324CD5" w:rsidP="00324CD5">
      <w:pPr>
        <w:pStyle w:val="ParaNum"/>
      </w:pPr>
      <w:r>
        <w:t xml:space="preserve">We propose to interpret the phrase “made available to the carrier by the customer solely by virtue of the carrier-customer relationship” in the definition of CPNI to include any information falling within a CPNI category, as discussed below, that the BIAS provider collects or accesses in connection with the provision of BIAS.  Consistent with the Commission’s </w:t>
      </w:r>
      <w:r>
        <w:rPr>
          <w:i/>
        </w:rPr>
        <w:t>2013 CPNI</w:t>
      </w:r>
      <w:r w:rsidRPr="002D4295">
        <w:rPr>
          <w:i/>
        </w:rPr>
        <w:t xml:space="preserve"> Declaratory Ruling</w:t>
      </w:r>
      <w:r>
        <w:t>, this includes information that a BIAS provider causes to be collected and stored on customer premises equipment (CPE)</w:t>
      </w:r>
      <w:r>
        <w:rPr>
          <w:rStyle w:val="FootnoteReference"/>
        </w:rPr>
        <w:footnoteReference w:id="55"/>
      </w:r>
      <w:r>
        <w:t xml:space="preserve"> or other devices, including mobile devices, in order to allow the carrier to collect or access the information.</w:t>
      </w:r>
      <w:r>
        <w:rPr>
          <w:rStyle w:val="FootnoteReference"/>
        </w:rPr>
        <w:footnoteReference w:id="56"/>
      </w:r>
      <w:r>
        <w:t xml:space="preserve">  As the Commission held, the “fact that CPNI is on a device and has not yet been transmitted to the carrier’s own servers also does not remove the data from the definition of CPNI, if the collection has been done at the carrier’s direction.”</w:t>
      </w:r>
      <w:r>
        <w:rPr>
          <w:rStyle w:val="FootnoteReference"/>
        </w:rPr>
        <w:footnoteReference w:id="57"/>
      </w:r>
      <w:r>
        <w:t xml:space="preserve">  We also recognize that a BIAS provider has the ability to create and append CPNI to a customer’s Internet traffic, such as by inserting a user ID header (UIDH).</w:t>
      </w:r>
      <w:r>
        <w:rPr>
          <w:rStyle w:val="FootnoteReference"/>
        </w:rPr>
        <w:footnoteReference w:id="58"/>
      </w:r>
      <w:r>
        <w:t xml:space="preserve">  We interpret any information the BIAS provider attaches to a customer’s Internet traffic to be CPNI if it falls within one of the categories delineated in Section 222(h)(1)(A).  We seek comment on our approach.</w:t>
      </w:r>
    </w:p>
    <w:p w:rsidR="00324CD5" w:rsidRDefault="00324CD5" w:rsidP="00324CD5">
      <w:pPr>
        <w:pStyle w:val="ParaNum"/>
      </w:pPr>
      <w:r>
        <w:t>In order to provide guidance to consumers and to BIAS providers, we propose to provide specific examples of the types of information that we consider CPNI in the broadband context.  In the context of the existing CPNI rules, the Commission has explicitly declined to set out a comprehensive list of data elements that do or do not satisfy the statutory definition of CPNI, and we propose to continue to follow that model in the broadband context.</w:t>
      </w:r>
      <w:r>
        <w:rPr>
          <w:rStyle w:val="FootnoteReference"/>
        </w:rPr>
        <w:footnoteReference w:id="59"/>
      </w:r>
      <w:r>
        <w:t xml:space="preserve">  The Commission has, however, enumerated certain data elements that it considers to be CPNI—including call detail records (including caller and recipient phone numbers, and the frequency, duration, and timing of calls) and any services purchased by the consumer, such as call waiting</w:t>
      </w:r>
      <w:r>
        <w:rPr>
          <w:rStyle w:val="FootnoteReference"/>
        </w:rPr>
        <w:footnoteReference w:id="60"/>
      </w:r>
      <w:r>
        <w:t xml:space="preserve">—and we propose to delineate similar non-exhaustive examples of the types of information that we would consider to constitute CPNI in the broadband context.  We believe that such guidance will help provide direction regarding the scope of broadband providers’ obligations and help to increase consumers’ confidence in the security of their confidential information as technology continues to advance.  We seek </w:t>
      </w:r>
      <w:r w:rsidRPr="00DE2220">
        <w:t>comment on this approach</w:t>
      </w:r>
      <w:r>
        <w:t>, alternatives, and any associated benefits and burdens, particularly for small providers</w:t>
      </w:r>
      <w:r w:rsidRPr="00DE2220">
        <w:t xml:space="preserve">.  </w:t>
      </w:r>
    </w:p>
    <w:p w:rsidR="00324CD5" w:rsidRPr="00DE2220" w:rsidRDefault="00324CD5" w:rsidP="00324CD5">
      <w:pPr>
        <w:pStyle w:val="Heading4"/>
      </w:pPr>
      <w:bookmarkStart w:id="123" w:name="_Toc445192933"/>
      <w:bookmarkStart w:id="124" w:name="_Toc445193029"/>
      <w:r>
        <w:t>Types of Information t</w:t>
      </w:r>
      <w:r w:rsidRPr="00DE2220">
        <w:t>hat Meet the Statutory Definition of CPNI</w:t>
      </w:r>
      <w:bookmarkEnd w:id="123"/>
      <w:bookmarkEnd w:id="124"/>
    </w:p>
    <w:p w:rsidR="00324CD5" w:rsidRDefault="00324CD5" w:rsidP="00324CD5">
      <w:pPr>
        <w:pStyle w:val="ParaNum"/>
      </w:pPr>
      <w:r>
        <w:t>W</w:t>
      </w:r>
      <w:r w:rsidRPr="00DE2220">
        <w:t xml:space="preserve">e propose that, at a minimum, </w:t>
      </w:r>
      <w:r>
        <w:t xml:space="preserve">we consider </w:t>
      </w:r>
      <w:r w:rsidRPr="00DE2220">
        <w:t xml:space="preserve">the following </w:t>
      </w:r>
      <w:r>
        <w:t xml:space="preserve">types of information </w:t>
      </w:r>
      <w:r w:rsidRPr="00DE2220">
        <w:t>to constitute CPNI in the broadband</w:t>
      </w:r>
      <w:r>
        <w:t xml:space="preserve"> context: (1) service plan information, including type of service (</w:t>
      </w:r>
      <w:r w:rsidRPr="004D4C97">
        <w:t>e.g</w:t>
      </w:r>
      <w:r w:rsidRPr="00427BEF">
        <w:rPr>
          <w:i/>
        </w:rPr>
        <w:t>.</w:t>
      </w:r>
      <w:r w:rsidRPr="007C784D">
        <w:t>,</w:t>
      </w:r>
      <w:r>
        <w:t xml:space="preserve"> cable, fiber, or mobile), service tier (</w:t>
      </w:r>
      <w:r w:rsidRPr="004D4C97">
        <w:t>e.g</w:t>
      </w:r>
      <w:r>
        <w:t>., speed), pricing, and capacity (</w:t>
      </w:r>
      <w:r w:rsidRPr="004D4C97">
        <w:t>e.g.</w:t>
      </w:r>
      <w:r w:rsidRPr="00C7639B">
        <w:t>,</w:t>
      </w:r>
      <w:r>
        <w:t xml:space="preserve"> information pertaining to data caps); (2) geo-location; (3) media access control (MAC) addresses and other device identifiers; (4) source and destination Internet Protocol (IP) addresses and domain name information; and (5) traffic statistics.  Below we offer explanations for why we consider each of these type of data to fall within our proposed definition of CPNI with respect to BIAS.  We seek comment on our proposed interpretations.  We ask that commenters explain their responses to our proposed interpretations and identify any other element of the definition of CPNI which commenters believe covers any of the specific data elements described below.  </w:t>
      </w:r>
    </w:p>
    <w:p w:rsidR="00324CD5" w:rsidRDefault="00324CD5" w:rsidP="00324CD5">
      <w:pPr>
        <w:pStyle w:val="ParaNum"/>
      </w:pPr>
      <w:r>
        <w:rPr>
          <w:i/>
        </w:rPr>
        <w:t>Broadband Service Plans</w:t>
      </w:r>
      <w:r>
        <w:t>.  We propose to consider information related to a customer’s broadband service plan as CPNI in the broadband context.  Broadband service plans are analogous to voice telephony service plans, which the Commission has long considered to be CPNI under the existing CPNI rules.</w:t>
      </w:r>
      <w:r>
        <w:rPr>
          <w:rStyle w:val="FootnoteReference"/>
        </w:rPr>
        <w:footnoteReference w:id="61"/>
      </w:r>
      <w:r>
        <w:t xml:space="preserve">  We believe that information related to the telecommunications services the BIAS provider provides to the customer, including type of service (</w:t>
      </w:r>
      <w:r w:rsidRPr="004D4C97">
        <w:t>e.g</w:t>
      </w:r>
      <w:r w:rsidRPr="00C7639B">
        <w:t>.,</w:t>
      </w:r>
      <w:r>
        <w:t xml:space="preserve"> fixed or mobile; cable or fiber; prepaid or term contract), speed, pricing, and capacity (including information pertaining to data caps) is information relating to the “quantity,” “technical configuration,” “type,” and “amount of use” of a telecommunications service subscribed to by a customer.</w:t>
      </w:r>
      <w:r>
        <w:rPr>
          <w:rStyle w:val="FootnoteReference"/>
        </w:rPr>
        <w:footnoteReference w:id="62"/>
      </w:r>
      <w:r>
        <w:t xml:space="preserve">  We seek comment on this proposed interpretation.  Are there other data elements that are analogous to those included in a voice telephony service plan that we should consider CPNI in the broadband context?</w:t>
      </w:r>
    </w:p>
    <w:p w:rsidR="00324CD5" w:rsidRDefault="00324CD5" w:rsidP="00324CD5">
      <w:pPr>
        <w:pStyle w:val="ParaNum"/>
      </w:pPr>
      <w:r>
        <w:rPr>
          <w:i/>
        </w:rPr>
        <w:t>Geo-location</w:t>
      </w:r>
      <w:r>
        <w:t>.  We propose to consider information related to the physical or geographical location of a customer or the customer’s device(s) (geo-location), regardless of the particular technological method a BIAS provider uses to obtain this information, to be CPNI in the broadband context.  The statutory definition of CPNI includes information related to “location” of a telecommunications services subscribed to by a customer.</w:t>
      </w:r>
      <w:r>
        <w:rPr>
          <w:rStyle w:val="FootnoteReference"/>
        </w:rPr>
        <w:footnoteReference w:id="63"/>
      </w:r>
      <w:r>
        <w:t xml:space="preserve">  The Commission has held that “[t]he location of a customer’s use of a telecommunications service also clearly qualifies as CPNI.”</w:t>
      </w:r>
      <w:r>
        <w:rPr>
          <w:rStyle w:val="FootnoteReference"/>
        </w:rPr>
        <w:footnoteReference w:id="64"/>
      </w:r>
      <w:r>
        <w:t xml:space="preserve">  We seek comment on this proposed interpretation.  </w:t>
      </w:r>
    </w:p>
    <w:p w:rsidR="00324CD5" w:rsidRDefault="00324CD5" w:rsidP="004F400E">
      <w:pPr>
        <w:pStyle w:val="ParaNum"/>
        <w:widowControl/>
      </w:pPr>
      <w:r w:rsidRPr="00AE5C3D">
        <w:rPr>
          <w:i/>
        </w:rPr>
        <w:t>M</w:t>
      </w:r>
      <w:r>
        <w:rPr>
          <w:i/>
        </w:rPr>
        <w:t>edia Access Control (MAC) Addresses and Other Device Identifiers</w:t>
      </w:r>
      <w:r>
        <w:t>.  We propose to consider any MAC address associated with a customer’s device to be CPNI in the broadband context.</w:t>
      </w:r>
      <w:r>
        <w:rPr>
          <w:rStyle w:val="FootnoteReference"/>
        </w:rPr>
        <w:footnoteReference w:id="65"/>
      </w:r>
      <w:r>
        <w:t xml:space="preserve">  A MAC address uniquely identifies the network interface on a device, and thus uniquely identifies the device itself (including the device manufacturer and often the model);</w:t>
      </w:r>
      <w:bookmarkStart w:id="125" w:name="_Ref446511271"/>
      <w:r>
        <w:rPr>
          <w:rStyle w:val="FootnoteReference"/>
        </w:rPr>
        <w:footnoteReference w:id="66"/>
      </w:r>
      <w:bookmarkEnd w:id="125"/>
      <w:r>
        <w:t xml:space="preserve"> as such, we believe it is analogous to the IMEI</w:t>
      </w:r>
      <w:r>
        <w:rPr>
          <w:rStyle w:val="FootnoteReference"/>
        </w:rPr>
        <w:footnoteReference w:id="67"/>
      </w:r>
      <w:r>
        <w:t xml:space="preserve"> mobile device identifier in the voice telephony context.  Because BIAS providers use MAC addresses to route data packets to the end user,</w:t>
      </w:r>
      <w:r>
        <w:rPr>
          <w:rStyle w:val="FootnoteReference"/>
        </w:rPr>
        <w:footnoteReference w:id="68"/>
      </w:r>
      <w:r>
        <w:t xml:space="preserve"> we believe that we should consider such information “destination” and “technical configuration” information under Section 222(h)(1)(A).  Similarly, we propose to consider other device identifiers and other information in link layer protocol headers to be CPNI in the broadband context.  We seek comment on our proposed interpretation.  We also seek comment on other types of device identifiers that meet the statutory definition of CPNI.  For example, our TRS rules recognize that a unique device identifier such as an “electronic serial number” is “call</w:t>
      </w:r>
      <w:r w:rsidRPr="00342636">
        <w:t xml:space="preserve"> </w:t>
      </w:r>
      <w:r>
        <w:t>data information” in the TRS CPNI context.</w:t>
      </w:r>
      <w:r>
        <w:rPr>
          <w:rStyle w:val="FootnoteReference"/>
        </w:rPr>
        <w:footnoteReference w:id="69"/>
      </w:r>
      <w:r>
        <w:t xml:space="preserve">  </w:t>
      </w:r>
    </w:p>
    <w:p w:rsidR="00324CD5" w:rsidRDefault="00324CD5" w:rsidP="004F400E">
      <w:pPr>
        <w:pStyle w:val="ParaNum"/>
        <w:widowControl/>
      </w:pPr>
      <w:r>
        <w:rPr>
          <w:i/>
        </w:rPr>
        <w:t>Internet Protocol (IP) Addresses and Domain Name Information</w:t>
      </w:r>
      <w:r>
        <w:t>.  We propose to consider both source and destination IP addresses as CPNI in the broadband context.</w:t>
      </w:r>
      <w:r>
        <w:rPr>
          <w:rStyle w:val="FootnoteReference"/>
        </w:rPr>
        <w:footnoteReference w:id="70"/>
      </w:r>
      <w:r>
        <w:t xml:space="preserve">  An IP address is the routable address for each device on an IP network,</w:t>
      </w:r>
      <w:r>
        <w:rPr>
          <w:rStyle w:val="FootnoteReference"/>
        </w:rPr>
        <w:footnoteReference w:id="71"/>
      </w:r>
      <w:r>
        <w:t xml:space="preserve"> and BIAS providers use the end user’s and edge provider’s IP addresses to route data traffic between them.</w:t>
      </w:r>
      <w:r>
        <w:rPr>
          <w:rStyle w:val="FootnoteReference"/>
        </w:rPr>
        <w:footnoteReference w:id="72"/>
      </w:r>
      <w:r>
        <w:t xml:space="preserve">  As such, IP addresses are roughly analogous to telephone numbers in the voice telephony context, and the Commission has previously held telephone numbers dialed to be CPNI.</w:t>
      </w:r>
      <w:r>
        <w:rPr>
          <w:rStyle w:val="FootnoteReference"/>
        </w:rPr>
        <w:footnoteReference w:id="73"/>
      </w:r>
      <w:r>
        <w:t xml:space="preserve">  Further, our CPNI rules for TRS providers recognize IP addresses as call data information.</w:t>
      </w:r>
      <w:r>
        <w:rPr>
          <w:rStyle w:val="FootnoteReference"/>
        </w:rPr>
        <w:footnoteReference w:id="74"/>
      </w:r>
      <w:r>
        <w:t xml:space="preserve">  IP addresses are also frequently used in geo-location.</w:t>
      </w:r>
      <w:r>
        <w:rPr>
          <w:rStyle w:val="FootnoteReference"/>
        </w:rPr>
        <w:footnoteReference w:id="75"/>
      </w:r>
      <w:r>
        <w:t xml:space="preserve">  As such, we believe that we should consider IP addresses to be “destination” and “location” information under Section 222(h)(1)(A).</w:t>
      </w:r>
      <w:r>
        <w:rPr>
          <w:rStyle w:val="FootnoteReference"/>
        </w:rPr>
        <w:footnoteReference w:id="76"/>
      </w:r>
      <w:r>
        <w:t xml:space="preserve">  Similarly, we propose to consider other information in Internet layer protocol headers to be CPNI in the broadband context, because they may indicate the “type” and “amount of use” of a telecommunication service.  We seek comment on this proposed interpretation.</w:t>
      </w:r>
    </w:p>
    <w:p w:rsidR="00324CD5" w:rsidRDefault="00324CD5" w:rsidP="00324CD5">
      <w:pPr>
        <w:pStyle w:val="ParaNum"/>
      </w:pPr>
      <w:r>
        <w:t>Similarly, we propose to consider the domain names with which an end user communicates CPNI in the broadband context.  Domain names (</w:t>
      </w:r>
      <w:r w:rsidRPr="004D4C97">
        <w:t>e.g.</w:t>
      </w:r>
      <w:r w:rsidRPr="00C7639B">
        <w:t>,</w:t>
      </w:r>
      <w:r>
        <w:t xml:space="preserve"> “www.fcc.gov”) are common monikers that the end user uses to identify the endpoint to which they seek to connect.  Domain names also translate into IP addresses, which we propose to consider CPNI.  We therefore propose to treat domain names as destination and location information.  We seek comment on this proposed interpretation.</w:t>
      </w:r>
    </w:p>
    <w:p w:rsidR="00324CD5" w:rsidRDefault="00324CD5" w:rsidP="004F400E">
      <w:pPr>
        <w:pStyle w:val="ParaNum"/>
        <w:widowControl/>
      </w:pPr>
      <w:bookmarkStart w:id="126" w:name="_Ref446512186"/>
      <w:r>
        <w:rPr>
          <w:i/>
        </w:rPr>
        <w:t>Traffic Statistics</w:t>
      </w:r>
      <w:r>
        <w:t>.  We propose to consider traffic statistics to be CPNI pertaining to the “type” and “amount of use” of a telecommunications service.  We believe that “amount of use” encompasses quantifications of communications traffic, including short-term measurements (</w:t>
      </w:r>
      <w:r w:rsidRPr="004D4C97">
        <w:t>e.g.,</w:t>
      </w:r>
      <w:r>
        <w:rPr>
          <w:i/>
        </w:rPr>
        <w:t xml:space="preserve"> </w:t>
      </w:r>
      <w:r>
        <w:t>packet sizes and spacing) and long-term measurements (</w:t>
      </w:r>
      <w:r w:rsidRPr="004D4C97">
        <w:t>e.g</w:t>
      </w:r>
      <w:r>
        <w:rPr>
          <w:i/>
        </w:rPr>
        <w:t>.</w:t>
      </w:r>
      <w:r w:rsidRPr="00555F1E">
        <w:t>,</w:t>
      </w:r>
      <w:r>
        <w:rPr>
          <w:i/>
        </w:rPr>
        <w:t xml:space="preserve"> </w:t>
      </w:r>
      <w:r>
        <w:t>monthly data consumption, average speed, or frequency of contact with particular domains and IP addresses).</w:t>
      </w:r>
      <w:r>
        <w:rPr>
          <w:rStyle w:val="FootnoteReference"/>
        </w:rPr>
        <w:footnoteReference w:id="77"/>
      </w:r>
      <w:r>
        <w:t xml:space="preserve">  We recognize that modern technology enables easily collecting and analyzing traffic statistics to draw powerful inferences that implicate customer privacy.  For example, a BIAS provider could deduce the type of application (</w:t>
      </w:r>
      <w:r w:rsidRPr="004D4C97">
        <w:t>e.g.</w:t>
      </w:r>
      <w:r w:rsidRPr="00C7639B">
        <w:t>,</w:t>
      </w:r>
      <w:r w:rsidRPr="009878AD">
        <w:t xml:space="preserve"> VoIP or web browsing)</w:t>
      </w:r>
      <w:r>
        <w:t xml:space="preserve"> that a customer is using</w:t>
      </w:r>
      <w:r w:rsidRPr="009878AD">
        <w:t xml:space="preserve">, and thus the purpose of the communication.  Further, </w:t>
      </w:r>
      <w:r>
        <w:t>traffic statistics can be used to determine the date, time, and duration of use, and deduce usage patterns such as when the customer is at home, at work, or elsewhere.  We believe traffic statistics are analogous to call detail information regarding the “duration[] and timing of [phone] calls” and aggregate minutes in the voice telephony context.</w:t>
      </w:r>
      <w:r>
        <w:rPr>
          <w:rStyle w:val="FootnoteReference"/>
        </w:rPr>
        <w:footnoteReference w:id="78"/>
      </w:r>
      <w:r>
        <w:t xml:space="preserve">  We seek comment on our proposed interpretation.</w:t>
      </w:r>
      <w:bookmarkEnd w:id="126"/>
    </w:p>
    <w:p w:rsidR="00324CD5" w:rsidRPr="001A3854" w:rsidRDefault="00324CD5" w:rsidP="004F400E">
      <w:pPr>
        <w:pStyle w:val="Heading4"/>
        <w:widowControl/>
      </w:pPr>
      <w:bookmarkStart w:id="127" w:name="_Toc445192934"/>
      <w:bookmarkStart w:id="128" w:name="_Toc445193030"/>
      <w:r>
        <w:t>Other Broadband Data Elements that Could Meet the Statutory Definition of CPNI</w:t>
      </w:r>
      <w:bookmarkEnd w:id="127"/>
      <w:bookmarkEnd w:id="128"/>
    </w:p>
    <w:p w:rsidR="00324CD5" w:rsidRPr="006A7D86" w:rsidRDefault="00324CD5" w:rsidP="004F400E">
      <w:pPr>
        <w:pStyle w:val="ParaNum"/>
        <w:widowControl/>
        <w:rPr>
          <w:snapToGrid/>
          <w:kern w:val="0"/>
          <w:sz w:val="24"/>
          <w:szCs w:val="24"/>
        </w:rPr>
      </w:pPr>
      <w:r>
        <w:t>We also seek comment on whether we should consider other types of information to fall within the statutory definition of CPNI in the broadband context, including: (1) port information; (2) application header</w:t>
      </w:r>
      <w:r w:rsidR="00042EDF">
        <w:t>s</w:t>
      </w:r>
      <w:r>
        <w:t>; (3) application usage; and (4) CPE information.</w:t>
      </w:r>
    </w:p>
    <w:p w:rsidR="00324CD5" w:rsidRDefault="00324CD5" w:rsidP="004F400E">
      <w:pPr>
        <w:pStyle w:val="ParaNum"/>
        <w:widowControl/>
      </w:pPr>
      <w:r>
        <w:rPr>
          <w:i/>
        </w:rPr>
        <w:t>Port Information</w:t>
      </w:r>
      <w:r>
        <w:t>.</w:t>
      </w:r>
      <w:r>
        <w:rPr>
          <w:i/>
        </w:rPr>
        <w:t xml:space="preserve">  </w:t>
      </w:r>
      <w:r>
        <w:t xml:space="preserve">We seek comment on whether we should consider port information to be “technical configuration,” “type,” “destination” information, and/or any other category of CPNI under Section 222(h)(1)(A).  A port is a logical endpoint of communication with the sender or receiver’s application.  The destination port number determines which application receives the communication.  We believe that port destinations are analogous to telephone </w:t>
      </w:r>
      <w:r w:rsidR="00042EDF">
        <w:t>extensions in the voice context</w:t>
      </w:r>
      <w:r>
        <w:t>.  Port numbers identify or at least provide a strong indication of the type of application used, and thus the purpose of the communication, such as email or web browsing.</w:t>
      </w:r>
      <w:r>
        <w:rPr>
          <w:rStyle w:val="FootnoteReference"/>
        </w:rPr>
        <w:footnoteReference w:id="79"/>
      </w:r>
      <w:r>
        <w:t xml:space="preserve">  We understand that </w:t>
      </w:r>
      <w:r w:rsidRPr="001E7A5B">
        <w:t>BIAS provider</w:t>
      </w:r>
      <w:r>
        <w:t>s sometimes configure their networks using port information f</w:t>
      </w:r>
      <w:r w:rsidRPr="001E7A5B">
        <w:t>or n</w:t>
      </w:r>
      <w:r>
        <w:t>etwork management purposes, such as</w:t>
      </w:r>
      <w:r w:rsidRPr="001E7A5B">
        <w:t xml:space="preserve"> to block certain ports </w:t>
      </w:r>
      <w:r>
        <w:t>to ensure network security.  We seek comment on whether we should consider port numbers and other information regarding port usage CPNI in the broadband context.  Similarly, we seek comment on whether we should consider other information in transport layer protocol headers to be CPNI in the broadband context, for instance because it may be information that relates to the “technical configuration” or “amount of use” of a telecommunications service.</w:t>
      </w:r>
    </w:p>
    <w:p w:rsidR="00324CD5" w:rsidRPr="00357227" w:rsidRDefault="00324CD5" w:rsidP="00324CD5">
      <w:pPr>
        <w:pStyle w:val="ParaNum"/>
        <w:rPr>
          <w:szCs w:val="22"/>
        </w:rPr>
      </w:pPr>
      <w:r>
        <w:rPr>
          <w:i/>
          <w:szCs w:val="22"/>
        </w:rPr>
        <w:t>Application H</w:t>
      </w:r>
      <w:r w:rsidRPr="00357227">
        <w:rPr>
          <w:i/>
          <w:szCs w:val="22"/>
        </w:rPr>
        <w:t>eader</w:t>
      </w:r>
      <w:r w:rsidRPr="00357227">
        <w:rPr>
          <w:szCs w:val="22"/>
        </w:rPr>
        <w:t xml:space="preserve">.  We seek comment </w:t>
      </w:r>
      <w:r>
        <w:rPr>
          <w:szCs w:val="22"/>
        </w:rPr>
        <w:t xml:space="preserve">on </w:t>
      </w:r>
      <w:r w:rsidRPr="00357227">
        <w:rPr>
          <w:szCs w:val="22"/>
        </w:rPr>
        <w:t xml:space="preserve">whether </w:t>
      </w:r>
      <w:r>
        <w:rPr>
          <w:szCs w:val="22"/>
        </w:rPr>
        <w:t xml:space="preserve">we should consider </w:t>
      </w:r>
      <w:r w:rsidRPr="00357227">
        <w:rPr>
          <w:szCs w:val="22"/>
        </w:rPr>
        <w:t xml:space="preserve">application headers “technical configuration,” “type,” and/or “destination” </w:t>
      </w:r>
      <w:r>
        <w:rPr>
          <w:szCs w:val="22"/>
        </w:rPr>
        <w:t>information, or any other category of CPNI under Section 222(h)(1)(A)</w:t>
      </w:r>
      <w:r w:rsidRPr="00357227">
        <w:rPr>
          <w:szCs w:val="22"/>
        </w:rPr>
        <w:t>.  App</w:t>
      </w:r>
      <w:r>
        <w:rPr>
          <w:szCs w:val="22"/>
        </w:rPr>
        <w:t>lication</w:t>
      </w:r>
      <w:r w:rsidRPr="00357227">
        <w:rPr>
          <w:szCs w:val="22"/>
        </w:rPr>
        <w:t xml:space="preserve"> headers are </w:t>
      </w:r>
      <w:r>
        <w:rPr>
          <w:szCs w:val="22"/>
        </w:rPr>
        <w:t xml:space="preserve">application-specific data that assist with or otherwise relate to requesting and conveying application-specific content. </w:t>
      </w:r>
      <w:r w:rsidRPr="00656B0B">
        <w:rPr>
          <w:sz w:val="20"/>
        </w:rPr>
        <w:t xml:space="preserve"> </w:t>
      </w:r>
      <w:r w:rsidRPr="00EA4E1D">
        <w:t xml:space="preserve">The application header communicates information </w:t>
      </w:r>
      <w:r>
        <w:t>between</w:t>
      </w:r>
      <w:r w:rsidRPr="00EA4E1D">
        <w:t xml:space="preserve"> the application on the end user’s device </w:t>
      </w:r>
      <w:r>
        <w:t>and</w:t>
      </w:r>
      <w:r w:rsidRPr="00EA4E1D">
        <w:t xml:space="preserve"> </w:t>
      </w:r>
      <w:r>
        <w:t>the corresponding application at the other endpoint(s) with which the user communicates</w:t>
      </w:r>
      <w:r w:rsidRPr="00EA4E1D">
        <w:t>.</w:t>
      </w:r>
      <w:r>
        <w:rPr>
          <w:rStyle w:val="FootnoteReference"/>
          <w:szCs w:val="22"/>
        </w:rPr>
        <w:footnoteReference w:id="80"/>
      </w:r>
      <w:r>
        <w:rPr>
          <w:szCs w:val="22"/>
        </w:rPr>
        <w:t xml:space="preserve">  For example, </w:t>
      </w:r>
      <w:r>
        <w:t>a</w:t>
      </w:r>
      <w:r w:rsidRPr="00CD587C">
        <w:t>pp</w:t>
      </w:r>
      <w:r>
        <w:t>lication</w:t>
      </w:r>
      <w:r w:rsidRPr="00CD587C">
        <w:t xml:space="preserve"> headers for web browsing </w:t>
      </w:r>
      <w:r>
        <w:t xml:space="preserve">typically </w:t>
      </w:r>
      <w:r w:rsidRPr="00CD587C">
        <w:t xml:space="preserve">contain the </w:t>
      </w:r>
      <w:r w:rsidR="001358BC">
        <w:t>Uniform Resource Locator (</w:t>
      </w:r>
      <w:r w:rsidRPr="00CD587C">
        <w:t>URL</w:t>
      </w:r>
      <w:r w:rsidR="001358BC">
        <w:t>)</w:t>
      </w:r>
      <w:r w:rsidRPr="00CD587C">
        <w:t>, operating system, and web browser</w:t>
      </w:r>
      <w:r>
        <w:t>; a</w:t>
      </w:r>
      <w:r w:rsidRPr="00CD587C">
        <w:t>pp</w:t>
      </w:r>
      <w:r>
        <w:t>lication</w:t>
      </w:r>
      <w:r w:rsidRPr="00CD587C">
        <w:t xml:space="preserve"> headers for email </w:t>
      </w:r>
      <w:r>
        <w:t xml:space="preserve">typically </w:t>
      </w:r>
      <w:r w:rsidRPr="00CD587C">
        <w:t xml:space="preserve">contain the source </w:t>
      </w:r>
      <w:r>
        <w:t xml:space="preserve">and destination </w:t>
      </w:r>
      <w:r w:rsidRPr="00CD587C">
        <w:t>email address</w:t>
      </w:r>
      <w:r>
        <w:t>es.</w:t>
      </w:r>
      <w:r>
        <w:rPr>
          <w:rStyle w:val="FootnoteReference"/>
        </w:rPr>
        <w:footnoteReference w:id="81"/>
      </w:r>
      <w:r>
        <w:t xml:space="preserve">  </w:t>
      </w:r>
      <w:r w:rsidRPr="00357227">
        <w:rPr>
          <w:szCs w:val="22"/>
        </w:rPr>
        <w:t xml:space="preserve">The type of applications used, the </w:t>
      </w:r>
      <w:r>
        <w:rPr>
          <w:szCs w:val="22"/>
        </w:rPr>
        <w:t>URLs</w:t>
      </w:r>
      <w:r w:rsidRPr="00357227">
        <w:rPr>
          <w:szCs w:val="22"/>
        </w:rPr>
        <w:t xml:space="preserve"> requested,</w:t>
      </w:r>
      <w:r>
        <w:rPr>
          <w:rStyle w:val="FootnoteReference"/>
          <w:szCs w:val="22"/>
        </w:rPr>
        <w:footnoteReference w:id="82"/>
      </w:r>
      <w:r w:rsidRPr="00357227">
        <w:rPr>
          <w:szCs w:val="22"/>
        </w:rPr>
        <w:t xml:space="preserve"> </w:t>
      </w:r>
      <w:r>
        <w:rPr>
          <w:szCs w:val="22"/>
        </w:rPr>
        <w:t xml:space="preserve">and the </w:t>
      </w:r>
      <w:r w:rsidRPr="00357227">
        <w:rPr>
          <w:szCs w:val="22"/>
        </w:rPr>
        <w:t>email destination</w:t>
      </w:r>
      <w:r>
        <w:rPr>
          <w:szCs w:val="22"/>
        </w:rPr>
        <w:t xml:space="preserve"> all convey</w:t>
      </w:r>
      <w:r w:rsidRPr="00357227">
        <w:rPr>
          <w:szCs w:val="22"/>
        </w:rPr>
        <w:t xml:space="preserve"> information </w:t>
      </w:r>
      <w:r>
        <w:t>intended for use by the edge provider to render its service</w:t>
      </w:r>
      <w:r w:rsidRPr="00357227">
        <w:rPr>
          <w:szCs w:val="22"/>
        </w:rPr>
        <w:t xml:space="preserve">.  </w:t>
      </w:r>
      <w:r>
        <w:rPr>
          <w:szCs w:val="22"/>
        </w:rPr>
        <w:t xml:space="preserve">We understand that </w:t>
      </w:r>
      <w:r w:rsidRPr="00357227">
        <w:rPr>
          <w:szCs w:val="22"/>
        </w:rPr>
        <w:t xml:space="preserve">BIAS providers </w:t>
      </w:r>
      <w:r>
        <w:rPr>
          <w:szCs w:val="22"/>
        </w:rPr>
        <w:t xml:space="preserve">sometimes </w:t>
      </w:r>
      <w:r w:rsidRPr="00357227">
        <w:rPr>
          <w:szCs w:val="22"/>
        </w:rPr>
        <w:t>configure their networks using app</w:t>
      </w:r>
      <w:r>
        <w:rPr>
          <w:szCs w:val="22"/>
        </w:rPr>
        <w:t>lication</w:t>
      </w:r>
      <w:r w:rsidRPr="00357227">
        <w:rPr>
          <w:szCs w:val="22"/>
        </w:rPr>
        <w:t xml:space="preserve"> headers for network management purposes.  </w:t>
      </w:r>
      <w:r>
        <w:rPr>
          <w:szCs w:val="22"/>
        </w:rPr>
        <w:t>We believe that access to a</w:t>
      </w:r>
      <w:r w:rsidRPr="00357227">
        <w:rPr>
          <w:szCs w:val="22"/>
        </w:rPr>
        <w:t>pp</w:t>
      </w:r>
      <w:r>
        <w:rPr>
          <w:szCs w:val="22"/>
        </w:rPr>
        <w:t>lication</w:t>
      </w:r>
      <w:r w:rsidRPr="00357227">
        <w:rPr>
          <w:szCs w:val="22"/>
        </w:rPr>
        <w:t xml:space="preserve"> headers </w:t>
      </w:r>
      <w:r>
        <w:rPr>
          <w:szCs w:val="22"/>
        </w:rPr>
        <w:t>is</w:t>
      </w:r>
      <w:r w:rsidRPr="00357227">
        <w:rPr>
          <w:szCs w:val="22"/>
        </w:rPr>
        <w:t xml:space="preserve"> analogous in the voice telephony context to</w:t>
      </w:r>
      <w:r>
        <w:rPr>
          <w:szCs w:val="22"/>
        </w:rPr>
        <w:t xml:space="preserve"> accessing a customer’s choices within</w:t>
      </w:r>
      <w:r w:rsidRPr="00357227">
        <w:rPr>
          <w:szCs w:val="22"/>
        </w:rPr>
        <w:t xml:space="preserve"> telephone menus used to route calls within an organization (</w:t>
      </w:r>
      <w:r w:rsidRPr="004D4C97">
        <w:rPr>
          <w:szCs w:val="22"/>
        </w:rPr>
        <w:t>e.g.</w:t>
      </w:r>
      <w:r w:rsidRPr="00C7639B">
        <w:rPr>
          <w:szCs w:val="22"/>
        </w:rPr>
        <w:t>,</w:t>
      </w:r>
      <w:r w:rsidRPr="00357227">
        <w:rPr>
          <w:szCs w:val="22"/>
        </w:rPr>
        <w:t xml:space="preserve"> “Push 1 </w:t>
      </w:r>
      <w:r>
        <w:rPr>
          <w:szCs w:val="22"/>
        </w:rPr>
        <w:t>for sales.</w:t>
      </w:r>
      <w:r w:rsidRPr="00357227">
        <w:rPr>
          <w:szCs w:val="22"/>
        </w:rPr>
        <w:t xml:space="preserve"> </w:t>
      </w:r>
      <w:r w:rsidR="00555F1E">
        <w:rPr>
          <w:szCs w:val="22"/>
        </w:rPr>
        <w:t xml:space="preserve"> </w:t>
      </w:r>
      <w:r w:rsidRPr="00357227">
        <w:rPr>
          <w:szCs w:val="22"/>
        </w:rPr>
        <w:t xml:space="preserve">Push 2 </w:t>
      </w:r>
      <w:r>
        <w:rPr>
          <w:szCs w:val="22"/>
        </w:rPr>
        <w:t>for billing.</w:t>
      </w:r>
      <w:r w:rsidRPr="00357227">
        <w:rPr>
          <w:szCs w:val="22"/>
        </w:rPr>
        <w:t xml:space="preserve">”). </w:t>
      </w:r>
      <w:r>
        <w:rPr>
          <w:szCs w:val="22"/>
        </w:rPr>
        <w:t xml:space="preserve"> </w:t>
      </w:r>
      <w:r w:rsidRPr="00357227">
        <w:rPr>
          <w:szCs w:val="22"/>
        </w:rPr>
        <w:t xml:space="preserve">We seek comment on whether </w:t>
      </w:r>
      <w:r>
        <w:rPr>
          <w:szCs w:val="22"/>
        </w:rPr>
        <w:t xml:space="preserve">we should consider </w:t>
      </w:r>
      <w:r w:rsidRPr="00357227">
        <w:rPr>
          <w:szCs w:val="22"/>
        </w:rPr>
        <w:t>app</w:t>
      </w:r>
      <w:r>
        <w:rPr>
          <w:szCs w:val="22"/>
        </w:rPr>
        <w:t>lication</w:t>
      </w:r>
      <w:r w:rsidRPr="00357227">
        <w:rPr>
          <w:szCs w:val="22"/>
        </w:rPr>
        <w:t xml:space="preserve"> headers CPNI </w:t>
      </w:r>
      <w:r>
        <w:rPr>
          <w:szCs w:val="22"/>
        </w:rPr>
        <w:t xml:space="preserve">in the broadband context.  </w:t>
      </w:r>
      <w:r>
        <w:t>Similarly, we seek comment on whether we should consider any other application layer information to be CPNI in the broadband context</w:t>
      </w:r>
      <w:r>
        <w:rPr>
          <w:szCs w:val="22"/>
        </w:rPr>
        <w:t>.</w:t>
      </w:r>
    </w:p>
    <w:p w:rsidR="00324CD5" w:rsidRDefault="00324CD5" w:rsidP="00324CD5">
      <w:pPr>
        <w:pStyle w:val="ParaNum"/>
      </w:pPr>
      <w:bookmarkStart w:id="129" w:name="_Ref446512213"/>
      <w:r>
        <w:rPr>
          <w:i/>
        </w:rPr>
        <w:t>Application Usage</w:t>
      </w:r>
      <w:r>
        <w:t xml:space="preserve">.  </w:t>
      </w:r>
      <w:r w:rsidRPr="009844AB">
        <w:t xml:space="preserve">We seek comment whether and under what circumstances we should consider information the broadband provider collects about the use of applications to meet the statutory definition of CPNI.  As the Commission discussed in the </w:t>
      </w:r>
      <w:r>
        <w:rPr>
          <w:i/>
        </w:rPr>
        <w:t>2013 CPNI</w:t>
      </w:r>
      <w:r w:rsidRPr="009844AB">
        <w:rPr>
          <w:i/>
        </w:rPr>
        <w:t xml:space="preserve"> Declaratory Ruling</w:t>
      </w:r>
      <w:r w:rsidRPr="009844AB">
        <w:t xml:space="preserve">, if such information meets the terms of </w:t>
      </w:r>
      <w:r>
        <w:t>Section</w:t>
      </w:r>
      <w:r w:rsidRPr="009844AB">
        <w:t xml:space="preserve"> 222(h)(1)(A) and the broadband provider directs the collection or storage of the information, it is CPNI.</w:t>
      </w:r>
      <w:r w:rsidRPr="009844AB">
        <w:rPr>
          <w:vertAlign w:val="superscript"/>
        </w:rPr>
        <w:footnoteReference w:id="83"/>
      </w:r>
      <w:r w:rsidRPr="009844AB">
        <w:t xml:space="preserve">  Based on this clarification, should we conclude that information the broadband provider collects about the usage of applications is CPNI in the broadband context, if the broadband provider directs such collection and the information collected falls within the statutory elements of CPNI?  Based on the principles discussed in the </w:t>
      </w:r>
      <w:r>
        <w:rPr>
          <w:i/>
        </w:rPr>
        <w:t>2013 CPNI</w:t>
      </w:r>
      <w:r w:rsidRPr="009844AB">
        <w:rPr>
          <w:i/>
        </w:rPr>
        <w:t xml:space="preserve"> Declaratory Ruling</w:t>
      </w:r>
      <w:r w:rsidRPr="009844AB">
        <w:t>, could application usage that does not result in transmission also qualify as CPNI?</w:t>
      </w:r>
      <w:r w:rsidRPr="009844AB">
        <w:rPr>
          <w:vertAlign w:val="superscript"/>
        </w:rPr>
        <w:footnoteReference w:id="84"/>
      </w:r>
      <w:bookmarkEnd w:id="129"/>
      <w:r w:rsidRPr="009844AB">
        <w:t xml:space="preserve"> </w:t>
      </w:r>
    </w:p>
    <w:p w:rsidR="00324CD5" w:rsidRDefault="00324CD5" w:rsidP="00324CD5">
      <w:pPr>
        <w:pStyle w:val="ParaNum"/>
      </w:pPr>
      <w:bookmarkStart w:id="130" w:name="_Ref446512733"/>
      <w:r>
        <w:rPr>
          <w:i/>
        </w:rPr>
        <w:t>Customer Premises Equipment (CPE) Information</w:t>
      </w:r>
      <w:r>
        <w:t>.  We seek comment whether we should consider information regar</w:t>
      </w:r>
      <w:r w:rsidR="00555F1E">
        <w:t>ding CPE as “relat[ing] to the . . .</w:t>
      </w:r>
      <w:r>
        <w:t xml:space="preserve"> technic</w:t>
      </w:r>
      <w:r w:rsidR="00555F1E">
        <w:t>al configuration” and/or “type . . .</w:t>
      </w:r>
      <w:r>
        <w:t xml:space="preserve"> of use of a telecommunication service,” or any other category under the statutory definition of CPNI.  CPE is defined in the Act as “equipment employed on the premises of a person (other than a carrier) to originate, route, or terminate telecommunications.”</w:t>
      </w:r>
      <w:r>
        <w:rPr>
          <w:rStyle w:val="FootnoteReference"/>
        </w:rPr>
        <w:footnoteReference w:id="85"/>
      </w:r>
      <w:r>
        <w:t xml:space="preserve">  In the broadband context, we believe CPE would include, but not be limited to, a customer’s smartphone, tablet, computer, modem, router, videophone, or IP caption phone.</w:t>
      </w:r>
      <w:r>
        <w:rPr>
          <w:rStyle w:val="FootnoteReference"/>
        </w:rPr>
        <w:footnoteReference w:id="86"/>
      </w:r>
      <w:r>
        <w:t xml:space="preserve">  The nature of a customer’s device may impact the technical configuration of the broadband service based on the communications protocol that the device uses and may also identify the type of service to which the customer subscribes (</w:t>
      </w:r>
      <w:r w:rsidRPr="004D4C97">
        <w:t>e.g.</w:t>
      </w:r>
      <w:r w:rsidRPr="00C7639B">
        <w:t>,</w:t>
      </w:r>
      <w:r>
        <w:rPr>
          <w:i/>
        </w:rPr>
        <w:t xml:space="preserve"> </w:t>
      </w:r>
      <w:r>
        <w:t>fixed vs. mobile, cable vs. fiber).  We seek comment whether we should consider CPE information CPNI in the broadband context.</w:t>
      </w:r>
      <w:bookmarkEnd w:id="130"/>
    </w:p>
    <w:p w:rsidR="00324CD5" w:rsidRDefault="00324CD5" w:rsidP="00324CD5">
      <w:pPr>
        <w:pStyle w:val="ParaNum"/>
      </w:pPr>
      <w:r>
        <w:rPr>
          <w:i/>
        </w:rPr>
        <w:t xml:space="preserve">Other. </w:t>
      </w:r>
      <w:r>
        <w:t xml:space="preserve"> We seek comment on what other customer information there is to which a BIAS provider has access by virtue of its provision of BIAS, whether such information should appropriately be considered CPNI, and why.  We also seek comment on whether we should include any additional information in the definition of CPNI in the mobile context.  If we find that any of the information discussed in this section is not CPNI, we seek comment on whether and how it should be protected.  </w:t>
      </w:r>
    </w:p>
    <w:p w:rsidR="00324CD5" w:rsidRDefault="00324CD5" w:rsidP="00324CD5">
      <w:pPr>
        <w:pStyle w:val="ParaNum"/>
      </w:pPr>
      <w:r>
        <w:t>We also seek comment on whether we should consider adopting a broader definition of CPNI and include additional categories of customer information into CPNI.  If so, what should that definition be and what should it include?  Is adopting a broader definition of CPNI the best way to provide consumers with robust privacy protections?  What are the benefits and drawbacks to adopting a broader definition of CPNI?</w:t>
      </w:r>
    </w:p>
    <w:p w:rsidR="00324CD5" w:rsidRPr="00442F73" w:rsidRDefault="00324CD5" w:rsidP="00324CD5">
      <w:pPr>
        <w:pStyle w:val="ParaNum"/>
      </w:pPr>
      <w:r>
        <w:t>Finally, we seek comment on any other issues we should address in conjunction with the definition of CPNI, as well as the benefits and burdens associated with any proposals to remedy those concerns, and in particular any associated benefits and burdens for small providers.</w:t>
      </w:r>
    </w:p>
    <w:p w:rsidR="00324CD5" w:rsidRDefault="00324CD5" w:rsidP="00324CD5">
      <w:pPr>
        <w:pStyle w:val="Heading3"/>
      </w:pPr>
      <w:bookmarkStart w:id="131" w:name="_Toc438643670"/>
      <w:bookmarkStart w:id="132" w:name="_Toc438650269"/>
      <w:bookmarkStart w:id="133" w:name="_Toc438719863"/>
      <w:bookmarkStart w:id="134" w:name="_Toc438720126"/>
      <w:bookmarkStart w:id="135" w:name="_Toc440016671"/>
      <w:bookmarkStart w:id="136" w:name="_Toc440575564"/>
      <w:bookmarkStart w:id="137" w:name="_Toc440575834"/>
      <w:bookmarkStart w:id="138" w:name="_Toc441849938"/>
      <w:bookmarkStart w:id="139" w:name="_Toc443049920"/>
      <w:bookmarkStart w:id="140" w:name="_Toc443660088"/>
      <w:bookmarkStart w:id="141" w:name="_Toc444095727"/>
      <w:bookmarkStart w:id="142" w:name="_Toc445192935"/>
      <w:bookmarkStart w:id="143" w:name="_Toc445193031"/>
      <w:bookmarkStart w:id="144" w:name="_Toc445193115"/>
      <w:bookmarkStart w:id="145" w:name="_Toc445276248"/>
      <w:bookmarkStart w:id="146" w:name="_Toc445367837"/>
      <w:bookmarkStart w:id="147" w:name="_Ref446518556"/>
      <w:bookmarkStart w:id="148" w:name="_Toc446937446"/>
      <w:bookmarkStart w:id="149" w:name="_Toc447116318"/>
      <w:bookmarkStart w:id="150" w:name="_Toc447121207"/>
      <w:r>
        <w:t>Defining Customer Proprietary Information</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rsidR="00324CD5" w:rsidRDefault="00324CD5" w:rsidP="00324CD5">
      <w:pPr>
        <w:pStyle w:val="ParaNum"/>
      </w:pPr>
      <w:r>
        <w:t xml:space="preserve"> </w:t>
      </w:r>
      <w:r w:rsidRPr="00C752BC">
        <w:t xml:space="preserve">Section 222(a) imposes a general duty on telecommunications carriers </w:t>
      </w:r>
      <w:r>
        <w:t>“</w:t>
      </w:r>
      <w:r w:rsidRPr="00C752BC">
        <w:t>to protect the confidentiali</w:t>
      </w:r>
      <w:r>
        <w:t>ty of proprietary information of, and relating to, . . . customers.”</w:t>
      </w:r>
      <w:r>
        <w:rPr>
          <w:rStyle w:val="FootnoteReference"/>
        </w:rPr>
        <w:footnoteReference w:id="87"/>
      </w:r>
      <w:r>
        <w:t xml:space="preserve">  Although the Commission’s previous rulemakings addressing Section 222 have been limited to CPNI, subsection (a) by its terms does not appear to be limited to protecting customer information defined as CPNI.  In its initial Section 222 rulemaking, the Commission limited itself to adopting rules impleme</w:t>
      </w:r>
      <w:r w:rsidR="00555F1E">
        <w:t>nting the CPNI requirements of S</w:t>
      </w:r>
      <w:r>
        <w:t>ections 222(c)-(f) in response to a petition from local exchange carrier associations.</w:t>
      </w:r>
      <w:r>
        <w:rPr>
          <w:rStyle w:val="FootnoteReference"/>
        </w:rPr>
        <w:footnoteReference w:id="88"/>
      </w:r>
      <w:r w:rsidRPr="00C752BC">
        <w:t xml:space="preserve"> </w:t>
      </w:r>
      <w:r>
        <w:t xml:space="preserve"> More recently, however, the Commission recognized the obligation of providers to protect the confidentiality of customer proprietary information pursuant to Section 222(a) in the enforcement context.</w:t>
      </w:r>
      <w:r w:rsidRPr="007A3DC5">
        <w:rPr>
          <w:rStyle w:val="cosearchterm"/>
          <w:vertAlign w:val="superscript"/>
        </w:rPr>
        <w:footnoteReference w:id="89"/>
      </w:r>
      <w:r>
        <w:t xml:space="preserve">  In the </w:t>
      </w:r>
      <w:r w:rsidRPr="00A429E6">
        <w:rPr>
          <w:i/>
        </w:rPr>
        <w:t>TerraCom</w:t>
      </w:r>
      <w:r>
        <w:t xml:space="preserve"> </w:t>
      </w:r>
      <w:r w:rsidRPr="00672741">
        <w:rPr>
          <w:i/>
        </w:rPr>
        <w:t>NAL</w:t>
      </w:r>
      <w:r>
        <w:t xml:space="preserve"> we interpreted customer “proprietary information” as “clearly encompassing private information that customers have an interest in protecting from public exposure,” including, but not limited to, “privileged information, trade secrets, and personally identifiable information.”</w:t>
      </w:r>
      <w:r w:rsidRPr="007A3DC5">
        <w:rPr>
          <w:rStyle w:val="cosearchterm"/>
          <w:vertAlign w:val="superscript"/>
        </w:rPr>
        <w:footnoteReference w:id="90"/>
      </w:r>
      <w:r w:rsidRPr="00A429E6">
        <w:rPr>
          <w:vertAlign w:val="superscript"/>
        </w:rPr>
        <w:t xml:space="preserve"> </w:t>
      </w:r>
      <w:r>
        <w:t xml:space="preserve"> We explained that, in the context of Section 222, “it is clear that Congress used the term ‘proprietary information’ broadly to encompass all types of information that should not be exposed widely to the public, whether because that information is sensitive for economic reasons or for reasons of personal privacy.”</w:t>
      </w:r>
      <w:r>
        <w:rPr>
          <w:rStyle w:val="FootnoteReference"/>
        </w:rPr>
        <w:footnoteReference w:id="91"/>
      </w:r>
      <w:r>
        <w:t xml:space="preserve">  </w:t>
      </w:r>
    </w:p>
    <w:p w:rsidR="00324CD5" w:rsidRDefault="00324CD5" w:rsidP="00324CD5">
      <w:pPr>
        <w:pStyle w:val="ParaNum"/>
      </w:pPr>
      <w:r>
        <w:t>In keeping with that interpretation of Section 222(a), we propose to define “proprietary information of, and relating to . . . customers” to include private information that customers have an interest in protecting from public disclosure, and consider such information to fall into two categories: (1) customer proprietary network information (CPNI); and (2) personally identifiable information (PII) the BIAS provider acquires in connection with its provision of BIAS.  We refer to these two categories of data together as “customer proprietary information” or “customer PI.”  We believe Section 222(a) protects CPNI because customer proprietary network information is a specific subtype of customer proprietary information generally.</w:t>
      </w:r>
      <w:r>
        <w:rPr>
          <w:rStyle w:val="FootnoteReference"/>
        </w:rPr>
        <w:footnoteReference w:id="92"/>
      </w:r>
      <w:r>
        <w:t xml:space="preserve">  As described in more detail below, consistent with well-developed concepts of what constitutes personally identifiable information in the modern world, we propose to define PII to mean any information that is linked or linkable to an individual.</w:t>
      </w:r>
      <w:r>
        <w:rPr>
          <w:rStyle w:val="FootnoteReference"/>
        </w:rPr>
        <w:footnoteReference w:id="93"/>
      </w:r>
      <w:r>
        <w:t xml:space="preserve">  Protecting personally identifiable information from breaches of confidentiality is a core value of most privacy regimes.</w:t>
      </w:r>
      <w:r>
        <w:rPr>
          <w:rStyle w:val="FootnoteReference"/>
        </w:rPr>
        <w:footnoteReference w:id="94"/>
      </w:r>
      <w:r>
        <w:t xml:space="preserve">  We seek comment on our proposal.   </w:t>
      </w:r>
    </w:p>
    <w:p w:rsidR="00324CD5" w:rsidRDefault="00324CD5" w:rsidP="00324CD5">
      <w:pPr>
        <w:pStyle w:val="ParaNum"/>
      </w:pPr>
      <w:r>
        <w:t>Providing protection for PII as well as CPNI will benefit consumers, while having limited adverse impacts on BIAS providers, as both are types of information that customers reasonably expect their BIAS provider to keep secure and confidential.</w:t>
      </w:r>
      <w:r>
        <w:rPr>
          <w:rStyle w:val="FootnoteReference"/>
        </w:rPr>
        <w:footnoteReference w:id="95"/>
      </w:r>
      <w:r>
        <w:t xml:space="preserve">  We expect that, for the most part, broadband providers already keep such information secure and treat it with some degree of confidentiality based on, among other things, FTC guidance that BIAS providers would have reasonably understood applied to them prior to the reclassification of broadband in the </w:t>
      </w:r>
      <w:r w:rsidRPr="00710B44">
        <w:rPr>
          <w:i/>
        </w:rPr>
        <w:t>2015 Open Internet Order</w:t>
      </w:r>
      <w:r>
        <w:t>.</w:t>
      </w:r>
      <w:r>
        <w:rPr>
          <w:rStyle w:val="FootnoteReference"/>
        </w:rPr>
        <w:footnoteReference w:id="96"/>
      </w:r>
      <w:r>
        <w:t xml:space="preserve">  We seek comment on whether there are other categories of information that should be treated as falling under Section 222(a) in the broadband context, and for which customers and providers expect protection.  Are there any categories of information that are specific to the mobile BIAS context?</w:t>
      </w:r>
    </w:p>
    <w:p w:rsidR="00324CD5" w:rsidRDefault="00324CD5" w:rsidP="00324CD5">
      <w:pPr>
        <w:pStyle w:val="ParaNum"/>
      </w:pPr>
      <w:r>
        <w:t>We also seek comment on whether we should harmonize the existing CPNI rules with our proposed rules for broadband providers by adopting one unified definition of customer PI, and on the benefits and burdens of such an approach.  We recognize that because the Commission has not previously focused its attention on adopting rules defining the scope of information protected by Section 222(a), our existing Section 222 rules do not separately define customer PI.</w:t>
      </w:r>
      <w:r>
        <w:rPr>
          <w:rStyle w:val="FootnoteReference"/>
        </w:rPr>
        <w:footnoteReference w:id="97"/>
      </w:r>
      <w:r>
        <w:t xml:space="preserve">  Are voice telecommunications providers’ obligations to protect customer PI sufficiently clear, or would it be helpful to have a codified definition?  Further, we observe that many telecommunications carriers also provide both voice and broadband services.  Would a harmonized standard help reduce burdens for such companies, especially for small providers?  </w:t>
      </w:r>
    </w:p>
    <w:p w:rsidR="00324CD5" w:rsidRPr="004448CD" w:rsidRDefault="00324CD5" w:rsidP="00324CD5">
      <w:pPr>
        <w:pStyle w:val="Heading3"/>
      </w:pPr>
      <w:bookmarkStart w:id="151" w:name="_Toc443660089"/>
      <w:bookmarkStart w:id="152" w:name="_Toc444095728"/>
      <w:bookmarkStart w:id="153" w:name="_Toc445192936"/>
      <w:bookmarkStart w:id="154" w:name="_Toc445193032"/>
      <w:bookmarkStart w:id="155" w:name="_Toc445193116"/>
      <w:bookmarkStart w:id="156" w:name="_Toc445276249"/>
      <w:bookmarkStart w:id="157" w:name="_Toc445367838"/>
      <w:bookmarkStart w:id="158" w:name="_Ref446511884"/>
      <w:bookmarkStart w:id="159" w:name="_Toc446937447"/>
      <w:bookmarkStart w:id="160" w:name="_Toc447116319"/>
      <w:bookmarkStart w:id="161" w:name="_Toc447121208"/>
      <w:r w:rsidRPr="004448CD">
        <w:t>Defining Personally Identifiable Information</w:t>
      </w:r>
      <w:bookmarkEnd w:id="151"/>
      <w:bookmarkEnd w:id="152"/>
      <w:bookmarkEnd w:id="153"/>
      <w:bookmarkEnd w:id="154"/>
      <w:bookmarkEnd w:id="155"/>
      <w:bookmarkEnd w:id="156"/>
      <w:bookmarkEnd w:id="157"/>
      <w:bookmarkEnd w:id="158"/>
      <w:bookmarkEnd w:id="159"/>
      <w:bookmarkEnd w:id="160"/>
      <w:bookmarkEnd w:id="161"/>
      <w:r w:rsidRPr="004448CD">
        <w:t xml:space="preserve">  </w:t>
      </w:r>
    </w:p>
    <w:p w:rsidR="00324CD5" w:rsidRDefault="00324CD5" w:rsidP="00324CD5">
      <w:pPr>
        <w:pStyle w:val="ParaNum"/>
      </w:pPr>
      <w:bookmarkStart w:id="162" w:name="_Ref446511951"/>
      <w:r>
        <w:t xml:space="preserve">Protecting personally identifiable information is at the heart of most privacy regimes.  We propose to define personally identifiable information, or PII, as any information that is linked or linkable to an individual.  </w:t>
      </w:r>
      <w:r w:rsidRPr="00B52CFB">
        <w:t>We recognize that, historically, legal definitions of PII adopted different approaches. Some incorporated checklists of specific types of information; others deferred to auditing controls. Advances in computer science, however, have demonstrated that seemingly anonymous information can often (and easily) be re-associated with identified individuals.</w:t>
      </w:r>
      <w:r>
        <w:rPr>
          <w:rStyle w:val="FootnoteReference"/>
        </w:rPr>
        <w:footnoteReference w:id="98"/>
      </w:r>
      <w:r w:rsidRPr="00B52CFB">
        <w:t xml:space="preserve"> </w:t>
      </w:r>
      <w:r>
        <w:t xml:space="preserve"> </w:t>
      </w:r>
      <w:r w:rsidRPr="00B52CFB">
        <w:t xml:space="preserve">Our proposal incorporates this modern understanding of data privacy, which is reflected in our recent enforcement actions, </w:t>
      </w:r>
      <w:r>
        <w:t>and tracks the</w:t>
      </w:r>
      <w:r w:rsidRPr="00EE4354">
        <w:t xml:space="preserve"> </w:t>
      </w:r>
      <w:r>
        <w:t>FTC and National Institute of Standards and Technology (NIST) guidelines on PII.</w:t>
      </w:r>
      <w:r>
        <w:rPr>
          <w:rStyle w:val="FootnoteReference"/>
        </w:rPr>
        <w:footnoteReference w:id="99"/>
      </w:r>
      <w:r>
        <w:t xml:space="preserve">  We propose to define PII broadly because of both the interrelated nature of different types of personal information and the large risks posed by unauthorized uses and disclosures.</w:t>
      </w:r>
      <w:r>
        <w:rPr>
          <w:rStyle w:val="FootnoteReference"/>
        </w:rPr>
        <w:footnoteReference w:id="100"/>
      </w:r>
      <w:r>
        <w:t xml:space="preserve">  We seek comment on our proposal.</w:t>
      </w:r>
      <w:bookmarkEnd w:id="162"/>
    </w:p>
    <w:p w:rsidR="00324CD5" w:rsidRDefault="00324CD5" w:rsidP="00324CD5">
      <w:pPr>
        <w:pStyle w:val="ParaNum"/>
      </w:pPr>
      <w:r>
        <w:rPr>
          <w:i/>
        </w:rPr>
        <w:t>Linked and linkable i</w:t>
      </w:r>
      <w:r w:rsidRPr="008420E9">
        <w:rPr>
          <w:i/>
        </w:rPr>
        <w:t>nformation</w:t>
      </w:r>
      <w:r>
        <w:t>.  We propose that information is “linked” or “linkable” to an individual if it can be used on its own, in context, or in combination to identify an individual or to logically associate with other information about a specific individual.  The “linked or linkable” standard for determining the metes and bounds of personally identifiable information is well established.  In addition to NIST</w:t>
      </w:r>
      <w:r>
        <w:rPr>
          <w:rStyle w:val="FootnoteReference"/>
        </w:rPr>
        <w:footnoteReference w:id="101"/>
      </w:r>
      <w:r>
        <w:t xml:space="preserve"> and the FTC,</w:t>
      </w:r>
      <w:r>
        <w:rPr>
          <w:rStyle w:val="FootnoteReference"/>
        </w:rPr>
        <w:footnoteReference w:id="102"/>
      </w:r>
      <w:r>
        <w:t xml:space="preserve"> the Department of Education,</w:t>
      </w:r>
      <w:r>
        <w:rPr>
          <w:rStyle w:val="FootnoteReference"/>
        </w:rPr>
        <w:footnoteReference w:id="103"/>
      </w:r>
      <w:r>
        <w:t xml:space="preserve"> the Securities and Exchange Commission,</w:t>
      </w:r>
      <w:r>
        <w:rPr>
          <w:rStyle w:val="FootnoteReference"/>
        </w:rPr>
        <w:footnoteReference w:id="104"/>
      </w:r>
      <w:r>
        <w:t xml:space="preserve"> the Department of Defense,</w:t>
      </w:r>
      <w:r>
        <w:rPr>
          <w:rStyle w:val="FootnoteReference"/>
        </w:rPr>
        <w:footnoteReference w:id="105"/>
      </w:r>
      <w:r>
        <w:t xml:space="preserve"> the Department of Homeland Security,</w:t>
      </w:r>
      <w:r>
        <w:rPr>
          <w:rStyle w:val="FootnoteReference"/>
        </w:rPr>
        <w:footnoteReference w:id="106"/>
      </w:r>
      <w:r>
        <w:t xml:space="preserve"> the Department of Health and Human Services,</w:t>
      </w:r>
      <w:r>
        <w:rPr>
          <w:rStyle w:val="FootnoteReference"/>
        </w:rPr>
        <w:footnoteReference w:id="107"/>
      </w:r>
      <w:r>
        <w:t xml:space="preserve"> and the Office of Management and Budget</w:t>
      </w:r>
      <w:r>
        <w:rPr>
          <w:rStyle w:val="FootnoteReference"/>
        </w:rPr>
        <w:footnoteReference w:id="108"/>
      </w:r>
      <w:r>
        <w:t xml:space="preserve"> all use a version of this standard in their regulations.  We seek comment on our approach.</w:t>
      </w:r>
    </w:p>
    <w:p w:rsidR="00324CD5" w:rsidRDefault="00324CD5" w:rsidP="00324CD5">
      <w:pPr>
        <w:pStyle w:val="ParaNum"/>
      </w:pPr>
      <w:bookmarkStart w:id="163" w:name="_Ref446511219"/>
      <w:r>
        <w:t>We propose to offer illustrative, non-exhaustive guidance regarding the types of data that are PII.  In order to provide such guidance, we look to a number of sources, including our prior orders,</w:t>
      </w:r>
      <w:r>
        <w:rPr>
          <w:rStyle w:val="FootnoteReference"/>
        </w:rPr>
        <w:footnoteReference w:id="109"/>
      </w:r>
      <w:r>
        <w:t xml:space="preserve"> NIST,</w:t>
      </w:r>
      <w:r>
        <w:rPr>
          <w:rStyle w:val="FootnoteReference"/>
        </w:rPr>
        <w:footnoteReference w:id="110"/>
      </w:r>
      <w:r>
        <w:t xml:space="preserve"> the FTC,</w:t>
      </w:r>
      <w:r>
        <w:rPr>
          <w:rStyle w:val="FootnoteReference"/>
        </w:rPr>
        <w:footnoteReference w:id="111"/>
      </w:r>
      <w:r>
        <w:t xml:space="preserve"> the White House’s proposed Consumer Privacy Bill of Rights,</w:t>
      </w:r>
      <w:bookmarkStart w:id="164" w:name="_Ref446590414"/>
      <w:r>
        <w:rPr>
          <w:rStyle w:val="FootnoteReference"/>
        </w:rPr>
        <w:footnoteReference w:id="112"/>
      </w:r>
      <w:bookmarkEnd w:id="164"/>
      <w:r>
        <w:t xml:space="preserve"> and other federal and state statutes and regulations.</w:t>
      </w:r>
      <w:r>
        <w:rPr>
          <w:rStyle w:val="FootnoteReference"/>
        </w:rPr>
        <w:footnoteReference w:id="113"/>
      </w:r>
      <w:r>
        <w:t xml:space="preserve">  We propose that types of PII include, but are not limited to: </w:t>
      </w:r>
      <w:r w:rsidR="00555F1E">
        <w:t>name; Social S</w:t>
      </w:r>
      <w:r w:rsidRPr="00A429E6">
        <w:t>ecurity number; date and place of birth; mother’s maiden name; unique government identification numbers (</w:t>
      </w:r>
      <w:r w:rsidRPr="004D4C97">
        <w:t>e.g.</w:t>
      </w:r>
      <w:r w:rsidRPr="009B33FA">
        <w:t>,</w:t>
      </w:r>
      <w:r w:rsidRPr="00A429E6">
        <w:t xml:space="preserve"> driver’s license, passport, taxpayer identification); physical address; email address or other online contact information; phone numbers; MAC address or other unique device identifiers; </w:t>
      </w:r>
      <w:r>
        <w:t xml:space="preserve">IP addresses; </w:t>
      </w:r>
      <w:r w:rsidRPr="00A429E6">
        <w:t>persistent online</w:t>
      </w:r>
      <w:r>
        <w:t xml:space="preserve"> </w:t>
      </w:r>
      <w:r w:rsidRPr="00A429E6">
        <w:t>identifiers</w:t>
      </w:r>
      <w:r>
        <w:t xml:space="preserve"> (e.g., unique cookies)</w:t>
      </w:r>
      <w:r w:rsidRPr="00A429E6">
        <w:t>;</w:t>
      </w:r>
      <w:r>
        <w:rPr>
          <w:rStyle w:val="FootnoteReference"/>
        </w:rPr>
        <w:footnoteReference w:id="114"/>
      </w:r>
      <w:r w:rsidRPr="00A429E6">
        <w:t xml:space="preserve"> </w:t>
      </w:r>
      <w:r>
        <w:t xml:space="preserve">eponymous and non-eponymous </w:t>
      </w:r>
      <w:r w:rsidRPr="00A429E6">
        <w:t xml:space="preserve">online </w:t>
      </w:r>
      <w:r>
        <w:t>identities</w:t>
      </w:r>
      <w:r w:rsidRPr="00A429E6">
        <w:t xml:space="preserve">; </w:t>
      </w:r>
      <w:r>
        <w:t>account numbers and other account information, including account login information; Internet browsing history;</w:t>
      </w:r>
      <w:r>
        <w:rPr>
          <w:rStyle w:val="FootnoteReference"/>
        </w:rPr>
        <w:footnoteReference w:id="115"/>
      </w:r>
      <w:r>
        <w:t xml:space="preserve"> traffic statistics;</w:t>
      </w:r>
      <w:r>
        <w:rPr>
          <w:rStyle w:val="FootnoteReference"/>
        </w:rPr>
        <w:footnoteReference w:id="116"/>
      </w:r>
      <w:r>
        <w:t xml:space="preserve"> application usage data;</w:t>
      </w:r>
      <w:r>
        <w:rPr>
          <w:rStyle w:val="FootnoteReference"/>
        </w:rPr>
        <w:footnoteReference w:id="117"/>
      </w:r>
      <w:r>
        <w:t xml:space="preserve"> </w:t>
      </w:r>
      <w:r w:rsidRPr="00A429E6">
        <w:t>current or historical</w:t>
      </w:r>
      <w:r>
        <w:t xml:space="preserve"> geo-location; financial information (</w:t>
      </w:r>
      <w:r w:rsidRPr="00A82496">
        <w:t>e.g.</w:t>
      </w:r>
      <w:r w:rsidRPr="00F702C3">
        <w:t>,</w:t>
      </w:r>
      <w:r>
        <w:t xml:space="preserve"> account numbers, credit or debit card numbers, credit history); shopping records; medical and health information; the fact of a disability and any additional information about a customer’s disability; biometric information; education information; employment information; information relating to family members; race; religion; sexual identity or orientation; other demographic information; and information identifying personally owned property (</w:t>
      </w:r>
      <w:r w:rsidRPr="00A82496">
        <w:t>e.g</w:t>
      </w:r>
      <w:r w:rsidRPr="00F702C3">
        <w:t>.,</w:t>
      </w:r>
      <w:r>
        <w:t xml:space="preserve"> license plates, device serial numbers).  We recognize and acknowledge that several of these data elements may overlap with our proposed interpretation of the terms of the CPNI definition.  We seek comment on these examples and whether there are other categories of linked or linkable information that we should recognize.</w:t>
      </w:r>
      <w:r>
        <w:rPr>
          <w:rStyle w:val="FootnoteReference"/>
        </w:rPr>
        <w:footnoteReference w:id="118"/>
      </w:r>
      <w:bookmarkEnd w:id="163"/>
      <w:r>
        <w:t xml:space="preserve">  </w:t>
      </w:r>
    </w:p>
    <w:p w:rsidR="00324CD5" w:rsidRDefault="00324CD5" w:rsidP="00324CD5">
      <w:pPr>
        <w:pStyle w:val="ParaNum"/>
      </w:pPr>
      <w:r w:rsidRPr="00ED7B34">
        <w:rPr>
          <w:i/>
        </w:rPr>
        <w:t xml:space="preserve">Other PII Considerations.  </w:t>
      </w:r>
      <w:r>
        <w:t xml:space="preserve">Consistent with a widespread understanding of what constitutes PII, we </w:t>
      </w:r>
      <w:r w:rsidRPr="00ED7B34">
        <w:t>propose</w:t>
      </w:r>
      <w:r>
        <w:t xml:space="preserve"> to consider a BIAS customer’s</w:t>
      </w:r>
      <w:r w:rsidRPr="00ED7B34">
        <w:t xml:space="preserve"> name, postal address, and telephone number a</w:t>
      </w:r>
      <w:r>
        <w:t>s</w:t>
      </w:r>
      <w:r w:rsidRPr="00ED7B34">
        <w:t xml:space="preserve"> PII and</w:t>
      </w:r>
      <w:r>
        <w:t>,</w:t>
      </w:r>
      <w:r w:rsidRPr="00ED7B34">
        <w:t xml:space="preserve"> consequently</w:t>
      </w:r>
      <w:r>
        <w:t>, that</w:t>
      </w:r>
      <w:r w:rsidRPr="00ED7B34">
        <w:t xml:space="preserve"> </w:t>
      </w:r>
      <w:r>
        <w:t xml:space="preserve">they </w:t>
      </w:r>
      <w:r w:rsidRPr="00ED7B34">
        <w:t xml:space="preserve">are customer PI protected by </w:t>
      </w:r>
      <w:r>
        <w:t>Section</w:t>
      </w:r>
      <w:r w:rsidRPr="00ED7B34">
        <w:t xml:space="preserve"> 222(a) in the broadband context</w:t>
      </w:r>
      <w:r w:rsidRPr="009679C5">
        <w:t xml:space="preserve">.  We recognize that </w:t>
      </w:r>
      <w:r>
        <w:t xml:space="preserve">because of the unique history of telephone directory information, </w:t>
      </w:r>
      <w:r w:rsidRPr="009679C5">
        <w:t xml:space="preserve">the Commission has previously treated such information as not falling within the </w:t>
      </w:r>
      <w:r w:rsidRPr="005A19F4">
        <w:t>statutory definition of CPNI in the voice telephony cont</w:t>
      </w:r>
      <w:r>
        <w:t>ext.  Indeed, the statutory definition of CPNI “does not include subscriber list information,” which the Act defines as information “(A) identifying the listed names of subscribers of a carrier and such subscribers’ telephone numbers, addresses, or primary advertising classifications . . . and (B) that the carrier or an affiliate has published, caused to be published, or accepted for publication in any directory format.”</w:t>
      </w:r>
      <w:r>
        <w:rPr>
          <w:rStyle w:val="FootnoteReference"/>
        </w:rPr>
        <w:footnoteReference w:id="119"/>
      </w:r>
      <w:r>
        <w:t xml:space="preserve">  </w:t>
      </w:r>
      <w:r w:rsidRPr="003D2E58">
        <w:t xml:space="preserve">  </w:t>
      </w:r>
    </w:p>
    <w:p w:rsidR="00324CD5" w:rsidRDefault="00324CD5" w:rsidP="00324CD5">
      <w:pPr>
        <w:pStyle w:val="ParaNum"/>
      </w:pPr>
      <w:r>
        <w:t xml:space="preserve">Unlike fixed voice providers in the 1990s, today’s broadband providers do not publish directories of customer information.  Even in the voice context, mobile providers have never published subscriber list information, and in the fixed context, customers have long had the option to request such customer information not be disclosed </w:t>
      </w:r>
      <w:r w:rsidRPr="009B33FA">
        <w:t>(</w:t>
      </w:r>
      <w:r w:rsidRPr="004D4C97">
        <w:t>i.e</w:t>
      </w:r>
      <w:r w:rsidRPr="007C784D">
        <w:rPr>
          <w:i/>
        </w:rPr>
        <w:t>.</w:t>
      </w:r>
      <w:r>
        <w:t>, that the customer be “unlisted”), inherently recognizing the personal nature of such information.  Further, by signing up for broadband service, customers do not think they are consenting to the public release of their name, postal address, and telephone number, none of which play the same rol</w:t>
      </w:r>
      <w:r w:rsidR="006234FD">
        <w:t>e in the context of BIAS</w:t>
      </w:r>
      <w:r>
        <w:t>, as they do in the context of telephone service.  As such, we propose that there is no subscriber list information in the broadband context, and therefore that BIAS customers’ names, postal addresses, and telephone numbers should be treated as PII, and seek comment on our approach.</w:t>
      </w:r>
      <w:r w:rsidRPr="00ED7B34">
        <w:rPr>
          <w:rStyle w:val="FootnoteReference"/>
        </w:rPr>
        <w:footnoteReference w:id="120"/>
      </w:r>
      <w:r>
        <w:t xml:space="preserve">  We also seek comment on whether we should treat such information as CPNI.  We also propose to harmonize our voice and broadband rules and treat such information as customer PI in the voice context, except where such information is published subscriber list information.  We seek comment on this proposal.  Do commenters agree that this approach is consistent with current customer expectations?  What are the positive and negative ramifications from this proposal?  Is there another approach we can take that will give consumers control over their personal information?</w:t>
      </w:r>
    </w:p>
    <w:p w:rsidR="008269AC" w:rsidRPr="005A19F4" w:rsidRDefault="008269AC" w:rsidP="004F400E">
      <w:pPr>
        <w:pStyle w:val="ParaNum"/>
        <w:widowControl/>
      </w:pPr>
      <w:r>
        <w:t>If we adopt rules harmonizing the privacy requirements of Sections 222, 631, and 338(i), how should we interpret the term “personally identifiable information” as used in Sections 631 and 338(i)?</w:t>
      </w:r>
      <w:r>
        <w:rPr>
          <w:rStyle w:val="FootnoteReference"/>
        </w:rPr>
        <w:footnoteReference w:id="121"/>
      </w:r>
      <w:r>
        <w:t xml:space="preserve">  Should we use the same definition we propose here?</w:t>
      </w:r>
    </w:p>
    <w:p w:rsidR="00324CD5" w:rsidRDefault="00324CD5" w:rsidP="004F400E">
      <w:pPr>
        <w:pStyle w:val="ParaNum"/>
        <w:widowControl/>
      </w:pPr>
      <w:r>
        <w:t xml:space="preserve">Finally, we seek comment on alternative approaches to defining PII.  For example, instead of defining the term PII, what are the benefits and burdens of leaving that term undefined and simply providing guidance on what types of information qualify?  What are the benefits and burdens any alternative approaches?  </w:t>
      </w:r>
    </w:p>
    <w:p w:rsidR="00324CD5" w:rsidRDefault="00324CD5" w:rsidP="00324CD5">
      <w:pPr>
        <w:pStyle w:val="Heading3"/>
      </w:pPr>
      <w:bookmarkStart w:id="165" w:name="_Toc441849940"/>
      <w:bookmarkStart w:id="166" w:name="_Toc443660090"/>
      <w:bookmarkStart w:id="167" w:name="_Toc444095729"/>
      <w:bookmarkStart w:id="168" w:name="_Toc445192937"/>
      <w:bookmarkStart w:id="169" w:name="_Toc445193033"/>
      <w:bookmarkStart w:id="170" w:name="_Toc445193117"/>
      <w:bookmarkStart w:id="171" w:name="_Toc445276250"/>
      <w:bookmarkStart w:id="172" w:name="_Ref445295935"/>
      <w:bookmarkStart w:id="173" w:name="_Toc445367839"/>
      <w:bookmarkStart w:id="174" w:name="_Toc446937448"/>
      <w:bookmarkStart w:id="175" w:name="_Toc447116320"/>
      <w:bookmarkStart w:id="176" w:name="_Toc447121209"/>
      <w:r>
        <w:t>Content of Customer Communications</w:t>
      </w:r>
      <w:bookmarkEnd w:id="165"/>
      <w:bookmarkEnd w:id="166"/>
      <w:bookmarkEnd w:id="167"/>
      <w:bookmarkEnd w:id="168"/>
      <w:bookmarkEnd w:id="169"/>
      <w:bookmarkEnd w:id="170"/>
      <w:bookmarkEnd w:id="171"/>
      <w:bookmarkEnd w:id="172"/>
      <w:bookmarkEnd w:id="173"/>
      <w:bookmarkEnd w:id="174"/>
      <w:bookmarkEnd w:id="175"/>
      <w:bookmarkEnd w:id="176"/>
    </w:p>
    <w:p w:rsidR="00324CD5" w:rsidRPr="00152207" w:rsidRDefault="00324CD5" w:rsidP="00324CD5">
      <w:pPr>
        <w:pStyle w:val="ParaNum"/>
        <w:rPr>
          <w:rStyle w:val="CommentReference"/>
          <w:sz w:val="22"/>
          <w:szCs w:val="20"/>
        </w:rPr>
      </w:pPr>
      <w:bookmarkStart w:id="177" w:name="_Ref445294709"/>
      <w:r>
        <w:t xml:space="preserve">We seek comment on how we should define and treat the content of customer communications.  </w:t>
      </w:r>
      <w:r w:rsidRPr="00B07699">
        <w:t>The sensitivity</w:t>
      </w:r>
      <w:r>
        <w:t xml:space="preserve"> and</w:t>
      </w:r>
      <w:r w:rsidRPr="00B07699">
        <w:t xml:space="preserve"> confidentiality of the content of personal communications is one of the oldest and most-established cornerstones of privacy law.</w:t>
      </w:r>
      <w:r w:rsidRPr="00B07699">
        <w:rPr>
          <w:rStyle w:val="FootnoteReference"/>
        </w:rPr>
        <w:footnoteReference w:id="122"/>
      </w:r>
      <w:r>
        <w:t xml:space="preserve">  Other federal and state laws, including the Electronic Communications Privacy Act (ECPA), </w:t>
      </w:r>
      <w:r w:rsidR="00B5038C">
        <w:t>the Communications Assistance for</w:t>
      </w:r>
      <w:r>
        <w:t xml:space="preserve"> Law Enforcement Act (CALEA), and Section 705 of the Communications Act</w:t>
      </w:r>
      <w:r w:rsidR="00B5038C">
        <w:t>,</w:t>
      </w:r>
      <w:r>
        <w:t xml:space="preserve"> provide strong protections for the content of communications carried over broadband and public switched telephone networks.</w:t>
      </w:r>
      <w:r>
        <w:rPr>
          <w:rStyle w:val="FootnoteReference"/>
        </w:rPr>
        <w:footnoteReference w:id="123"/>
      </w:r>
      <w:r>
        <w:t xml:space="preserve">  In light of the strong protections for the content of communications offered by other laws, we seek comment on how we should treat content under Section 222.  As a threshold matter, should some or all forms of content should also be understood as customer PI under Section 222(a) or CPNI under Section 222(h)?  What are the implications of considering content as being covered by Section 222(a) or (h), as well as by other relevant federal and state laws?  We do not think that providers should ever use or share the content of communications that they carry on their network without having sought and received express, affirmative consent for the use and sharing of content.  We therefore seek comment on whether there is a need to provide heightened privacy protections to content of communications beyond Section 705 and ECPA, and if there is, what additional protections should be provided.  Given that Section 705 provides an additional basis for requiring heightened protections for content, should we consider regulations under Section 705</w:t>
      </w:r>
      <w:r w:rsidRPr="00A82496">
        <w:t>?</w:t>
      </w:r>
      <w:r w:rsidRPr="00B07699">
        <w:rPr>
          <w:b/>
        </w:rPr>
        <w:t xml:space="preserve">  </w:t>
      </w:r>
      <w:r>
        <w:t>We invite commenters to address any legal authorities affecting commenters’ conclusions regarding content, including relevant provisions of the ECPA</w:t>
      </w:r>
      <w:r>
        <w:rPr>
          <w:rStyle w:val="FootnoteReference"/>
        </w:rPr>
        <w:footnoteReference w:id="124"/>
      </w:r>
      <w:r>
        <w:t xml:space="preserve"> and Section 705 of the Communications Act.</w:t>
      </w:r>
      <w:r>
        <w:rPr>
          <w:rStyle w:val="FootnoteReference"/>
        </w:rPr>
        <w:footnoteReference w:id="125"/>
      </w:r>
      <w:bookmarkEnd w:id="177"/>
      <w:r>
        <w:t xml:space="preserve">  </w:t>
      </w:r>
    </w:p>
    <w:p w:rsidR="00324CD5" w:rsidRDefault="00324CD5" w:rsidP="00324CD5">
      <w:pPr>
        <w:pStyle w:val="Heading3"/>
        <w:rPr>
          <w:rStyle w:val="CommentReference"/>
          <w:sz w:val="22"/>
          <w:szCs w:val="22"/>
        </w:rPr>
      </w:pPr>
      <w:bookmarkStart w:id="178" w:name="_Toc441849941"/>
      <w:bookmarkStart w:id="179" w:name="_Toc443049921"/>
      <w:bookmarkStart w:id="180" w:name="_Toc443660091"/>
      <w:bookmarkStart w:id="181" w:name="_Toc444095730"/>
      <w:bookmarkStart w:id="182" w:name="_Toc445192938"/>
      <w:bookmarkStart w:id="183" w:name="_Toc445193034"/>
      <w:bookmarkStart w:id="184" w:name="_Toc445193118"/>
      <w:bookmarkStart w:id="185" w:name="_Toc445276251"/>
      <w:bookmarkStart w:id="186" w:name="_Toc445367840"/>
      <w:bookmarkStart w:id="187" w:name="_Ref446518571"/>
      <w:bookmarkStart w:id="188" w:name="_Toc446937449"/>
      <w:bookmarkStart w:id="189" w:name="_Toc447116321"/>
      <w:bookmarkStart w:id="190" w:name="_Toc447121210"/>
      <w:r w:rsidRPr="00197699">
        <w:rPr>
          <w:rStyle w:val="CommentReference"/>
          <w:sz w:val="22"/>
          <w:szCs w:val="22"/>
        </w:rPr>
        <w:t>Defining Opt-Out and</w:t>
      </w:r>
      <w:r w:rsidRPr="008C03D5">
        <w:rPr>
          <w:rStyle w:val="CommentReference"/>
          <w:sz w:val="22"/>
          <w:szCs w:val="22"/>
        </w:rPr>
        <w:t xml:space="preserve"> Opt-In</w:t>
      </w:r>
      <w:r>
        <w:rPr>
          <w:rStyle w:val="CommentReference"/>
          <w:sz w:val="22"/>
          <w:szCs w:val="22"/>
        </w:rPr>
        <w:t xml:space="preserve"> Approval</w:t>
      </w:r>
      <w:bookmarkEnd w:id="178"/>
      <w:bookmarkEnd w:id="179"/>
      <w:bookmarkEnd w:id="180"/>
      <w:bookmarkEnd w:id="181"/>
      <w:bookmarkEnd w:id="182"/>
      <w:bookmarkEnd w:id="183"/>
      <w:bookmarkEnd w:id="184"/>
      <w:bookmarkEnd w:id="185"/>
      <w:bookmarkEnd w:id="186"/>
      <w:bookmarkEnd w:id="187"/>
      <w:bookmarkEnd w:id="188"/>
      <w:bookmarkEnd w:id="189"/>
      <w:bookmarkEnd w:id="190"/>
    </w:p>
    <w:p w:rsidR="00324CD5" w:rsidRDefault="00324CD5" w:rsidP="00324CD5">
      <w:pPr>
        <w:pStyle w:val="ParaNum"/>
      </w:pPr>
      <w:r>
        <w:t>We propose to define the term “opt-out approval” as a method for obtaining customer consent to use, disclose, or permit access to the customer’s proprietary information in which a customer is deemed to have consented to the use, disclosure, or access to the customer’s covered information if the customer has failed to object thereto after the customer is provided appropriate notification of the BIAS provider’s request for consent</w:t>
      </w:r>
      <w:r w:rsidRPr="00553C5C">
        <w:t xml:space="preserve"> </w:t>
      </w:r>
      <w:r>
        <w:t>consistent with the proposed requirements set forth below in Section 64.7002 of the proposed rules.</w:t>
      </w:r>
      <w:r>
        <w:rPr>
          <w:rStyle w:val="FootnoteReference"/>
        </w:rPr>
        <w:footnoteReference w:id="126"/>
      </w:r>
      <w:r>
        <w:t xml:space="preserve">  We base our proposal on the definition for “opt-out approval” in the Commission’s existing CPNI rules.</w:t>
      </w:r>
      <w:r>
        <w:rPr>
          <w:rStyle w:val="FootnoteReference"/>
        </w:rPr>
        <w:footnoteReference w:id="127"/>
      </w:r>
      <w:r>
        <w:t xml:space="preserve">  In the broadband context, we propose to expand the Commission’s existing definition to encompass all customer PI (rather than limiting it to CPNI), and eliminate the existing 30-day waiting period currently required to make a voice customer’s opt-out approval effective, as the existing definition of opt-out approval for voice providers requires.</w:t>
      </w:r>
      <w:r>
        <w:rPr>
          <w:rStyle w:val="FootnoteReference"/>
        </w:rPr>
        <w:footnoteReference w:id="128"/>
      </w:r>
      <w:r>
        <w:t xml:space="preserve">  We believe that, given our proposed requirements that customers must be able to opt out at any time and with minimal effort,</w:t>
      </w:r>
      <w:r>
        <w:rPr>
          <w:rStyle w:val="FootnoteReference"/>
        </w:rPr>
        <w:footnoteReference w:id="129"/>
      </w:r>
      <w:r>
        <w:t xml:space="preserve"> a 30-day period may prove more cumbersome than a customer’s rapid expressions of preference.  Since BIAS providers come into contact with many types of customer PI beyond CPNI in their provision of broadband services, we think it appropriate under Section 222(a) to include all customer PI so that customers can exercise more control over the use and sharing of all their private information.</w:t>
      </w:r>
    </w:p>
    <w:p w:rsidR="00324CD5" w:rsidRDefault="00324CD5" w:rsidP="00324CD5">
      <w:pPr>
        <w:pStyle w:val="ParaNum"/>
      </w:pPr>
      <w:r>
        <w:t>We propose to define the term “opt-in approval” as a method for obtaining customer consent to use, disclose, or permit access to the customer’s proprietary information that requires that the BIAS provider obtain from the customer affirmative, express consent allowing the requested usage, disclosure, or access to the covered information after the customer is provided appropriate notification of the provider’s request consistent with the requirements set forth below in Section 64.7002 of the proposed rules and before any use of, disclosure of, or access to such information.</w:t>
      </w:r>
      <w:r>
        <w:rPr>
          <w:rStyle w:val="FootnoteReference"/>
        </w:rPr>
        <w:footnoteReference w:id="130"/>
      </w:r>
      <w:r>
        <w:t xml:space="preserve">  We base our proposal on the definition for “opt-in approval” in the Commission’s existing CPNI rules for voice providers.</w:t>
      </w:r>
      <w:r>
        <w:rPr>
          <w:rStyle w:val="FootnoteReference"/>
        </w:rPr>
        <w:footnoteReference w:id="131"/>
      </w:r>
      <w:r>
        <w:t xml:space="preserve"> </w:t>
      </w:r>
    </w:p>
    <w:p w:rsidR="00324CD5" w:rsidRDefault="00324CD5" w:rsidP="00324CD5">
      <w:pPr>
        <w:pStyle w:val="ParaNum"/>
      </w:pPr>
      <w:r>
        <w:t>We seek comment on these proposed definitions, and more specifically, whether there any changes to them that can be made to (1) adapt them more appropriately to the BIAS context, or (2) provide additional clarity for consumers and providers alike.  We seek comment on alternative approaches to defining these terms.  We invite commenters to offer real-world examples of choice-mechanisms and discuss whether they would satisfy these definitions.</w:t>
      </w:r>
    </w:p>
    <w:p w:rsidR="00324CD5" w:rsidRDefault="00324CD5" w:rsidP="00324CD5">
      <w:pPr>
        <w:pStyle w:val="Heading3"/>
      </w:pPr>
      <w:bookmarkStart w:id="191" w:name="_Toc444095731"/>
      <w:bookmarkStart w:id="192" w:name="_Toc445192939"/>
      <w:bookmarkStart w:id="193" w:name="_Toc445193035"/>
      <w:bookmarkStart w:id="194" w:name="_Toc445193119"/>
      <w:bookmarkStart w:id="195" w:name="_Toc445276252"/>
      <w:bookmarkStart w:id="196" w:name="_Ref445295157"/>
      <w:bookmarkStart w:id="197" w:name="_Toc445367841"/>
      <w:bookmarkStart w:id="198" w:name="_Ref446518587"/>
      <w:bookmarkStart w:id="199" w:name="_Toc446937450"/>
      <w:bookmarkStart w:id="200" w:name="_Toc447116322"/>
      <w:bookmarkStart w:id="201" w:name="_Toc447121211"/>
      <w:bookmarkStart w:id="202" w:name="_Toc443049922"/>
      <w:bookmarkStart w:id="203" w:name="_Toc443660092"/>
      <w:r>
        <w:t>Defining Communications-Related Services and Related Terms</w:t>
      </w:r>
      <w:bookmarkEnd w:id="191"/>
      <w:bookmarkEnd w:id="192"/>
      <w:bookmarkEnd w:id="193"/>
      <w:bookmarkEnd w:id="194"/>
      <w:bookmarkEnd w:id="195"/>
      <w:bookmarkEnd w:id="196"/>
      <w:bookmarkEnd w:id="197"/>
      <w:bookmarkEnd w:id="198"/>
      <w:bookmarkEnd w:id="199"/>
      <w:bookmarkEnd w:id="200"/>
      <w:bookmarkEnd w:id="201"/>
    </w:p>
    <w:p w:rsidR="00324CD5" w:rsidRDefault="00324CD5" w:rsidP="00324CD5">
      <w:pPr>
        <w:pStyle w:val="ParaNum"/>
      </w:pPr>
      <w:r>
        <w:t>We seek comment on how best to define “communications-related services” for purposes of our proposal to allow BIAS providers to use customer PI to market communications-related services to their subscribers, and to disclose customer PI to their communications-related affiliates for the purpose of marketing communications-related services subject to opt-out approval.</w:t>
      </w:r>
      <w:r>
        <w:rPr>
          <w:rStyle w:val="FootnoteReference"/>
        </w:rPr>
        <w:footnoteReference w:id="132"/>
      </w:r>
      <w:r>
        <w:t xml:space="preserve">  Should we limit communications-related services to telecommunications, cable, and satellite services regulated by the Commission?  If so, how should we treat services that compete directly with services that are subject to Commission jurisdiction?  Alternatively, should we delineate other types of services that we would consider communications-related?    </w:t>
      </w:r>
    </w:p>
    <w:p w:rsidR="00324CD5" w:rsidRDefault="00324CD5" w:rsidP="00324CD5">
      <w:pPr>
        <w:pStyle w:val="ParaNum"/>
      </w:pPr>
      <w:r>
        <w:t>The current Section 222 rules define communications-related services to mean “telecommunications services, information services typically provided by telecommunications carriers, and services related to the provision or maintenance of customer premises equipment.”</w:t>
      </w:r>
      <w:r w:rsidRPr="00AD4868">
        <w:rPr>
          <w:rStyle w:val="FootnoteReference"/>
        </w:rPr>
        <w:footnoteReference w:id="133"/>
      </w:r>
      <w:r>
        <w:t xml:space="preserve">  The current Section 222 rules define “information services typically provided by telecommunications carriers” to mean information services as defined in the Communication Act of 1934, as amended, that are typically provided by telecommunications carriers, such as Internet access or voice mail services.</w:t>
      </w:r>
      <w:r>
        <w:rPr>
          <w:rStyle w:val="FootnoteReference"/>
        </w:rPr>
        <w:footnoteReference w:id="134"/>
      </w:r>
      <w:r>
        <w:t xml:space="preserve">  The definition further specifies that “such phrase ‘information services typically provided by telecommunications carriers,’ as used in this subpart, shall not include retail consumer services provided using Internet Web sites (such as travel reservation services or mortgage lending services), whether or not such services may otherwise be considered to be information services.”</w:t>
      </w:r>
      <w:r>
        <w:rPr>
          <w:rStyle w:val="FootnoteReference"/>
        </w:rPr>
        <w:footnoteReference w:id="135"/>
      </w:r>
      <w:r>
        <w:t xml:space="preserve">   If used in the BIAS context the combination of those definitions would include a broad array of services.  We are not inclined to adopt such an expansive reading of “communications-related services,” so we seek comment on how we might amend the current definitions to narrow the scope of services we would treat as “communications-related services” in the broadband context.  We also seek comment on how we can best limit the definitions of “communications-related services” and, if necessary, “information services typically provided by a telecommunications provider” to align with consumer expectations about the extent to which BIAS providers use and share customer PI with communications-related affiliates.</w:t>
      </w:r>
      <w:r>
        <w:rPr>
          <w:rStyle w:val="FootnoteReference"/>
        </w:rPr>
        <w:footnoteReference w:id="136"/>
      </w:r>
      <w:r>
        <w:t xml:space="preserve">  </w:t>
      </w:r>
    </w:p>
    <w:p w:rsidR="00324CD5" w:rsidRDefault="00324CD5" w:rsidP="00324CD5">
      <w:pPr>
        <w:pStyle w:val="ParaNum"/>
        <w:tabs>
          <w:tab w:val="num" w:pos="720"/>
        </w:tabs>
      </w:pPr>
      <w:r>
        <w:t xml:space="preserve">Even if we adopt a narrower definition of communications-related services for purposes of the BIAS rules, we propose to amend the definition of “information services typically provided by telecommunications carriers” for purposes of the voice rules, in light of the reclassification of broadband Internet access service as a telecommunications service in the </w:t>
      </w:r>
      <w:r w:rsidRPr="005F35B1">
        <w:rPr>
          <w:i/>
        </w:rPr>
        <w:t>2015 Open Internet Order</w:t>
      </w:r>
      <w:r>
        <w:t xml:space="preserve">, and to align with current consumer expectations about the extent to which telecommunications carriers (other than BIAS providers) use and share customer PI with communications-related affiliates for purposes of marketing communications-related services.  Should we harmonize the meaning of “communications-related services” across BIAS and other telecommunications services?  Relatedly, we seek comment on what constitutes “marketing” for the purposes of this proposed rule.    </w:t>
      </w:r>
    </w:p>
    <w:p w:rsidR="00324CD5" w:rsidRDefault="00324CD5" w:rsidP="00324CD5">
      <w:pPr>
        <w:pStyle w:val="Heading3"/>
      </w:pPr>
      <w:bookmarkStart w:id="204" w:name="_Toc444095732"/>
      <w:bookmarkStart w:id="205" w:name="_Toc445192940"/>
      <w:bookmarkStart w:id="206" w:name="_Toc445193036"/>
      <w:bookmarkStart w:id="207" w:name="_Toc445193120"/>
      <w:bookmarkStart w:id="208" w:name="_Toc445276253"/>
      <w:bookmarkStart w:id="209" w:name="_Toc445367842"/>
      <w:bookmarkStart w:id="210" w:name="_Toc446937451"/>
      <w:bookmarkStart w:id="211" w:name="_Toc447116323"/>
      <w:bookmarkStart w:id="212" w:name="_Toc447121212"/>
      <w:r>
        <w:t>Defining Aggregate Customer PI</w:t>
      </w:r>
      <w:bookmarkEnd w:id="202"/>
      <w:bookmarkEnd w:id="203"/>
      <w:bookmarkEnd w:id="204"/>
      <w:bookmarkEnd w:id="205"/>
      <w:bookmarkEnd w:id="206"/>
      <w:bookmarkEnd w:id="207"/>
      <w:bookmarkEnd w:id="208"/>
      <w:bookmarkEnd w:id="209"/>
      <w:bookmarkEnd w:id="210"/>
      <w:bookmarkEnd w:id="211"/>
      <w:bookmarkEnd w:id="212"/>
    </w:p>
    <w:p w:rsidR="00324CD5" w:rsidRPr="00197699" w:rsidRDefault="00324CD5" w:rsidP="00324CD5">
      <w:pPr>
        <w:pStyle w:val="ParaNum"/>
      </w:pPr>
      <w:r>
        <w:t>We propose to define aggregate customer proprietary information as collective data that relates to a group or category of services or customers, from which individual customer identities and characteristics have been removed.  We observe that our proposed definition for “aggregate customer proprietary information” mirrors the statutory definition for the term “aggregate customer information” in Section 222(h)(2).</w:t>
      </w:r>
      <w:r>
        <w:rPr>
          <w:rStyle w:val="FootnoteReference"/>
        </w:rPr>
        <w:footnoteReference w:id="137"/>
      </w:r>
      <w:r>
        <w:t xml:space="preserve">  We use slightly different terminology to make clear that our proposed rules addressing the use of aggregate customer information are intended to address the use of all aggregate customer PI and not just aggregate CPNI.</w:t>
      </w:r>
      <w:r>
        <w:rPr>
          <w:rStyle w:val="FootnoteReference"/>
        </w:rPr>
        <w:footnoteReference w:id="138"/>
      </w:r>
      <w:r>
        <w:t xml:space="preserve">  We seek comment on our proposal.  Are there any reasons we should restrict our definition to include only aggregate CPNI, or alternatively, to mirror the statute’s terminology of “aggregate customer information”?  Do any additional security concerns arise from the use of aggregate customer PI, in the fixed or mobile context, that would not arise if our definition were restricted to including only CPNI?  Would adopting the statutory term “aggregate customer information” lead to any enforcement concerns regarding what information is covered?  Should our proposed definition of aggregate customer PI apply to both voice telephony and BIAS services?  Are there any reasons that the same definition of aggregate customer PI should not be used for both of these types of services?</w:t>
      </w:r>
    </w:p>
    <w:p w:rsidR="00324CD5" w:rsidRDefault="00324CD5" w:rsidP="00324CD5">
      <w:pPr>
        <w:pStyle w:val="Heading3"/>
      </w:pPr>
      <w:bookmarkStart w:id="213" w:name="_Toc441849942"/>
      <w:bookmarkStart w:id="214" w:name="_Toc443049923"/>
      <w:bookmarkStart w:id="215" w:name="_Toc443660093"/>
      <w:bookmarkStart w:id="216" w:name="_Toc444095733"/>
      <w:bookmarkStart w:id="217" w:name="_Toc445192941"/>
      <w:bookmarkStart w:id="218" w:name="_Toc445193037"/>
      <w:bookmarkStart w:id="219" w:name="_Toc445193121"/>
      <w:bookmarkStart w:id="220" w:name="_Toc445276254"/>
      <w:bookmarkStart w:id="221" w:name="_Toc445367843"/>
      <w:bookmarkStart w:id="222" w:name="_Ref446518617"/>
      <w:bookmarkStart w:id="223" w:name="_Toc446937452"/>
      <w:bookmarkStart w:id="224" w:name="_Toc447116324"/>
      <w:bookmarkStart w:id="225" w:name="_Toc447121213"/>
      <w:bookmarkStart w:id="226" w:name="_Toc440016672"/>
      <w:bookmarkStart w:id="227" w:name="_Toc440575565"/>
      <w:bookmarkStart w:id="228" w:name="_Toc440575835"/>
      <w:r>
        <w:t>Defining Breach</w:t>
      </w:r>
      <w:bookmarkEnd w:id="213"/>
      <w:bookmarkEnd w:id="214"/>
      <w:bookmarkEnd w:id="215"/>
      <w:bookmarkEnd w:id="216"/>
      <w:bookmarkEnd w:id="217"/>
      <w:bookmarkEnd w:id="218"/>
      <w:bookmarkEnd w:id="219"/>
      <w:bookmarkEnd w:id="220"/>
      <w:bookmarkEnd w:id="221"/>
      <w:bookmarkEnd w:id="222"/>
      <w:bookmarkEnd w:id="223"/>
      <w:bookmarkEnd w:id="224"/>
      <w:bookmarkEnd w:id="225"/>
    </w:p>
    <w:p w:rsidR="00324CD5" w:rsidRDefault="00324CD5" w:rsidP="00324CD5">
      <w:pPr>
        <w:pStyle w:val="ParaNum"/>
      </w:pPr>
      <w:r>
        <w:t>For purposes of our proposed data breach notification requirements, we propose to define “breach” as any instance in which “a person, without authorization or exceeding authorization, has gained access to, used, or disclosed customer proprietary information.”</w:t>
      </w:r>
      <w:r>
        <w:rPr>
          <w:rStyle w:val="FootnoteReference"/>
        </w:rPr>
        <w:footnoteReference w:id="139"/>
      </w:r>
      <w:r>
        <w:t xml:space="preserve">  Unlike the “breach” definition in our current Section 222 rules, our proposal does not include an intent element, and it covers all customer PI, not just CPNI.  In defining breach we also look to state data breach notification laws, many of which do not include an intent requirement.</w:t>
      </w:r>
      <w:r>
        <w:rPr>
          <w:rStyle w:val="FootnoteReference"/>
        </w:rPr>
        <w:footnoteReference w:id="140"/>
      </w:r>
      <w:r>
        <w:t xml:space="preserve">  We seek comment on this approach.  </w:t>
      </w:r>
    </w:p>
    <w:p w:rsidR="00324CD5" w:rsidRDefault="00324CD5" w:rsidP="00324CD5">
      <w:pPr>
        <w:pStyle w:val="ParaNum"/>
      </w:pPr>
      <w:r>
        <w:t>Not including a requirement that the unauthorized access be intentional in the definition of “breach” will ensure data breach notification in the case of inadvertent breaches that have potentially negative consequences for customers.  We seek comment on this approach.  Do commenters believe it is appropriate to require customer notification of all breaches, whether inadvertent or intentional?  What are the burdens and benefits associated with this proposal?  Should we retain the intentionality requirement in certain contexts?  If so, what contexts and why?  State statutes often include a provision exempting from the definition of breach a good-faith acquisition of covered data by an employee or agent of the company where such information is not used improperly or further disclosed.</w:t>
      </w:r>
      <w:r>
        <w:rPr>
          <w:rStyle w:val="FootnoteReference"/>
        </w:rPr>
        <w:footnoteReference w:id="141"/>
      </w:r>
      <w:r>
        <w:t xml:space="preserve">  Should we include such an exemption in our definition of “breach” or is such a provision unnecessary or otherwise unadvisable?  Are there any alternative proposals we should consider for the definition of breach?</w:t>
      </w:r>
    </w:p>
    <w:p w:rsidR="00324CD5" w:rsidRPr="008C03D5" w:rsidRDefault="00324CD5" w:rsidP="00324CD5">
      <w:pPr>
        <w:pStyle w:val="ParaNum"/>
      </w:pPr>
      <w:r>
        <w:t xml:space="preserve">We propose to include customer PI within the definition of breach, which will have the effect of applying our data breach notification requirements to breaches of customer proprietary information.  Although CPNI covers many categories of confidential information, we believe that it is equally important that customers, the Commission, and </w:t>
      </w:r>
      <w:r w:rsidR="00BD7AC3">
        <w:t xml:space="preserve">other </w:t>
      </w:r>
      <w:r>
        <w:t xml:space="preserve">law enforcement (in certain circumstances) receive notice of a breach of other customer PI </w:t>
      </w:r>
      <w:r w:rsidRPr="00AD3700">
        <w:t>from or about the customer</w:t>
      </w:r>
      <w:r>
        <w:t>.  Section 222(a) requires carriers to protect the confidentiality of “proprietary information” of and relating to customers.  As such, we believe we have authority to extend our proposed breach reporting requirements to breaches of all customer PI, to ensure that customers receive critical protection for this broader subset of information.  We seek comment on our proposal and on our authority to require breach reporting for breaches of all customer PI.  What are the burdens and benefits of our proposed expansion of our requirements?  How will our proposal affect small businesses?</w:t>
      </w:r>
    </w:p>
    <w:p w:rsidR="00324CD5" w:rsidRDefault="00324CD5" w:rsidP="00324CD5">
      <w:pPr>
        <w:pStyle w:val="Heading3"/>
      </w:pPr>
      <w:bookmarkStart w:id="229" w:name="_Toc441849943"/>
      <w:bookmarkStart w:id="230" w:name="_Toc443049924"/>
      <w:bookmarkStart w:id="231" w:name="_Toc443660094"/>
      <w:bookmarkStart w:id="232" w:name="_Toc444095734"/>
      <w:bookmarkStart w:id="233" w:name="_Toc445192942"/>
      <w:bookmarkStart w:id="234" w:name="_Toc445193038"/>
      <w:bookmarkStart w:id="235" w:name="_Toc445193122"/>
      <w:bookmarkStart w:id="236" w:name="_Toc445276255"/>
      <w:bookmarkStart w:id="237" w:name="_Toc445367844"/>
      <w:bookmarkStart w:id="238" w:name="_Ref446518632"/>
      <w:bookmarkStart w:id="239" w:name="_Toc446937453"/>
      <w:bookmarkStart w:id="240" w:name="_Toc447116325"/>
      <w:bookmarkStart w:id="241" w:name="_Toc447121214"/>
      <w:r>
        <w:t>Other Definitions</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rsidR="00324CD5" w:rsidRDefault="00324CD5" w:rsidP="00324CD5">
      <w:pPr>
        <w:pStyle w:val="ParaNum"/>
      </w:pPr>
      <w:r>
        <w:t xml:space="preserve">We seek comment on whether there are other terms we should define as part of adopting rules to protect the privacy of BIAS customers’ proprietary information, or voice telecommunications definitions that we should revise in light of our proposals today.  </w:t>
      </w:r>
    </w:p>
    <w:p w:rsidR="00324CD5" w:rsidRDefault="00324CD5" w:rsidP="00324CD5">
      <w:pPr>
        <w:pStyle w:val="ParaNum"/>
      </w:pPr>
      <w:bookmarkStart w:id="242" w:name="_Ref446511043"/>
      <w:r>
        <w:t>For example, the existing CPNI rules define the term “customer premises equipment” (CPE) to mean “equipment employed on the premises of a person (other than a carrier) to originate, route, or terminate telecommunications.”</w:t>
      </w:r>
      <w:r>
        <w:rPr>
          <w:rStyle w:val="FootnoteReference"/>
        </w:rPr>
        <w:footnoteReference w:id="142"/>
      </w:r>
      <w:r>
        <w:t xml:space="preserve">  We seek comment whether we should adopt this definition for purposes of the proposed broadband privacy rules.  What would be the scope of covered devices under the statutory definition or any alternatives?</w:t>
      </w:r>
      <w:r>
        <w:rPr>
          <w:rStyle w:val="FootnoteReference"/>
        </w:rPr>
        <w:footnoteReference w:id="143"/>
      </w:r>
      <w:r>
        <w:t xml:space="preserve">  Would “premises of a person” include Internet-connected devices carried outside one’s home or office?  With large numbers of consumer products becoming networked devices (</w:t>
      </w:r>
      <w:r w:rsidRPr="004D4C97">
        <w:t>e.g</w:t>
      </w:r>
      <w:r w:rsidRPr="00B76F12">
        <w:t>.,</w:t>
      </w:r>
      <w:r>
        <w:t xml:space="preserve"> thermostats, cars, home appliances, and others), are there particular types of uses, activities, or devices that operate over broadband Internet access service that we should or should not include within the definition of CPE?  Are there other terms the Commission should define for the broadband privacy context?</w:t>
      </w:r>
      <w:bookmarkEnd w:id="242"/>
    </w:p>
    <w:p w:rsidR="00324CD5" w:rsidRDefault="00324CD5" w:rsidP="00324CD5">
      <w:pPr>
        <w:pStyle w:val="ParaNum"/>
      </w:pPr>
      <w:r>
        <w:t>We also seek comment on whether there are any other terms from the existing CPNI rules that we need to revise, either to differentiate them or to harmonize them with our proposed broadband privacy rules, and to address the existing forbearance for BIAS.  We propose to revise the existing rules to make clear that they apply only to telecommunications services other than BIAS, by revising the definition of “telecommunications carrier” to exclude a provider of BIAS for purposes of the existing rules.</w:t>
      </w:r>
      <w:r>
        <w:rPr>
          <w:rStyle w:val="FootnoteReference"/>
        </w:rPr>
        <w:footnoteReference w:id="144"/>
      </w:r>
      <w:r>
        <w:t xml:space="preserve">  We seek comment on this approach, as well as alternative approaches for doing so.  Are any other changes to the definitions necessary to preserve the existing voice CPNI rules following the reclassification of broadband Internet access service?  What are the benefits and burdens of updating or not updating any of these definitions, particularly for small providers?  With regard to all of the current definitions, should we merely update them and keep them applicable solely to voice services, or should we craft one uniform set of definitions for both voice and broadband CPNI?  Is there any reason not to harmonize these or other definitions as applied to voice and broadband providers?  What are the benefits and burdens of harmonizing versus not harmonizing the definitions, particularly for small providers?    </w:t>
      </w:r>
    </w:p>
    <w:p w:rsidR="00324CD5" w:rsidRDefault="00324CD5" w:rsidP="00324CD5">
      <w:pPr>
        <w:pStyle w:val="ParaNum"/>
      </w:pPr>
      <w:r>
        <w:t>We recognize that if we do update any definitions, we may need to revise other aspects of the current CPNI rules to align with any revised definitions.  Likewise, if we revise any of the current substantive rules we may need to revise additional definitions.  Below, we seek comment on harmonizing the current rules with our proposed rules.  Here we also seek comment on what other provisions of the current CPNI rules we should revise and why.  For example, our current rules permit wireless providers to “use, disclose, or permit access to CPNI derived from its provision of CMRS, without customer approval, for the provision of CPE and information service(s).”</w:t>
      </w:r>
      <w:r>
        <w:rPr>
          <w:rStyle w:val="FootnoteReference"/>
        </w:rPr>
        <w:footnoteReference w:id="145"/>
      </w:r>
      <w:r>
        <w:t xml:space="preserve">  At the time of adoption, BIAS was classified as an “information service,” and as such, this rule was intended to cover such services.  We seek comment on how we should revise this rule to reflect our reclassification of BIAS as a telecommunications service.  </w:t>
      </w:r>
      <w:bookmarkEnd w:id="36"/>
      <w:bookmarkEnd w:id="37"/>
    </w:p>
    <w:p w:rsidR="00324CD5" w:rsidRDefault="00324CD5" w:rsidP="00324CD5">
      <w:pPr>
        <w:pStyle w:val="Heading2"/>
      </w:pPr>
      <w:bookmarkStart w:id="243" w:name="_Toc443049925"/>
      <w:bookmarkStart w:id="244" w:name="_Toc443660095"/>
      <w:bookmarkStart w:id="245" w:name="_Toc444095735"/>
      <w:bookmarkStart w:id="246" w:name="_Toc445192943"/>
      <w:bookmarkStart w:id="247" w:name="_Toc445193039"/>
      <w:bookmarkStart w:id="248" w:name="_Toc445193123"/>
      <w:bookmarkStart w:id="249" w:name="_Toc445276256"/>
      <w:bookmarkStart w:id="250" w:name="_Ref445296132"/>
      <w:bookmarkStart w:id="251" w:name="_Toc445367845"/>
      <w:bookmarkStart w:id="252" w:name="_Ref446516649"/>
      <w:bookmarkStart w:id="253" w:name="_Ref446518962"/>
      <w:bookmarkStart w:id="254" w:name="_Toc446937454"/>
      <w:bookmarkStart w:id="255" w:name="_Toc447116326"/>
      <w:bookmarkStart w:id="256" w:name="_Toc447121215"/>
      <w:r>
        <w:t>Providing Meaningful Notice of Privacy Policies</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rsidR="00324CD5" w:rsidRDefault="00324CD5" w:rsidP="00324CD5">
      <w:pPr>
        <w:pStyle w:val="ParaNum"/>
      </w:pPr>
      <w:bookmarkStart w:id="257" w:name="_Ref445303367"/>
      <w:r>
        <w:t>Transparency is one of the core fair information practice principles.  Indeed, there is widespread agreement that companies should provide customers with clear, conspicuous, and understandable information about their privacy practices.</w:t>
      </w:r>
      <w:r>
        <w:rPr>
          <w:rStyle w:val="FootnoteReference"/>
        </w:rPr>
        <w:footnoteReference w:id="146"/>
      </w:r>
      <w:r>
        <w:t xml:space="preserve">  There is also widespread agreement about the challenge of providing useful and accessible privacy disclosures to consumers.</w:t>
      </w:r>
      <w:r>
        <w:rPr>
          <w:rStyle w:val="FootnoteReference"/>
        </w:rPr>
        <w:footnoteReference w:id="147"/>
      </w:r>
      <w:r>
        <w:t xml:space="preserve">  In recognition of the importance of transparency, we</w:t>
      </w:r>
      <w:r w:rsidRPr="00B05B66">
        <w:t xml:space="preserve"> propose </w:t>
      </w:r>
      <w:r>
        <w:t>rules requiring</w:t>
      </w:r>
      <w:r w:rsidRPr="00B05B66">
        <w:t xml:space="preserve"> BIAS providers to </w:t>
      </w:r>
      <w:r>
        <w:t>provide customers with clear</w:t>
      </w:r>
      <w:r w:rsidRPr="00B05B66">
        <w:t xml:space="preserve"> and</w:t>
      </w:r>
      <w:r>
        <w:t xml:space="preserve"> conspicuous notice of their privacy practices at the point of sale and on an on-going basis through a link on the provider’s homepage, mobile application, and any functional equivalent.  In order to ensure customers have the information they need about BIAS providers’ privacy practices, we propose to provide specific direction about what information must be provided in BIAS providers’ privacy notices, and we propose to require BIAS providers to provide existing customers with advanced notice of material changes in their privacy policies.  To ensure that the information that BIAS providers provide about their privacy policies is accessible to consumers, we seek comment on standardizing the formatting of broadband privacy notices and of notices regarding material changes to privacy policies.  We also seek comment on ways to harmonize our proposed notice requirements with privacy notice requirements for providers of voice and video services.</w:t>
      </w:r>
      <w:bookmarkEnd w:id="257"/>
    </w:p>
    <w:p w:rsidR="00324CD5" w:rsidRPr="000F60F5" w:rsidRDefault="00324CD5" w:rsidP="00324CD5">
      <w:pPr>
        <w:pStyle w:val="Heading3"/>
      </w:pPr>
      <w:bookmarkStart w:id="258" w:name="_Toc443049926"/>
      <w:bookmarkStart w:id="259" w:name="_Toc443660096"/>
      <w:bookmarkStart w:id="260" w:name="_Toc444095736"/>
      <w:bookmarkStart w:id="261" w:name="_Toc445192944"/>
      <w:bookmarkStart w:id="262" w:name="_Toc445193040"/>
      <w:bookmarkStart w:id="263" w:name="_Toc445193124"/>
      <w:bookmarkStart w:id="264" w:name="_Toc445276257"/>
      <w:bookmarkStart w:id="265" w:name="_Ref445296012"/>
      <w:bookmarkStart w:id="266" w:name="_Ref445296045"/>
      <w:bookmarkStart w:id="267" w:name="_Ref445296406"/>
      <w:bookmarkStart w:id="268" w:name="_Toc445367846"/>
      <w:bookmarkStart w:id="269" w:name="_Ref446516672"/>
      <w:bookmarkStart w:id="270" w:name="_Toc446937455"/>
      <w:bookmarkStart w:id="271" w:name="_Toc447116327"/>
      <w:bookmarkStart w:id="272" w:name="_Toc447121216"/>
      <w:bookmarkStart w:id="273" w:name="_Toc440575567"/>
      <w:bookmarkStart w:id="274" w:name="_Toc440575837"/>
      <w:r>
        <w:t>Privacy Notice Requirements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t xml:space="preserve"> </w:t>
      </w:r>
      <w:bookmarkEnd w:id="273"/>
      <w:bookmarkEnd w:id="274"/>
    </w:p>
    <w:p w:rsidR="00324CD5" w:rsidRDefault="00324CD5" w:rsidP="00324CD5">
      <w:pPr>
        <w:pStyle w:val="ParaNum"/>
        <w:rPr>
          <w:szCs w:val="22"/>
        </w:rPr>
      </w:pPr>
      <w:r>
        <w:t xml:space="preserve"> </w:t>
      </w:r>
      <w:bookmarkStart w:id="275" w:name="_Ref445303720"/>
      <w:r>
        <w:t>In proposing specific disclosure requirements for BIAS providers’ privacy and security policies, we look to the Commission’s open Internet transparency rule and the existing notice obligations for traditional telecommunications carriers under Section 64.2008 of the Commission’s rules, as well as the notice provisions of the Cable Privacy Act.</w:t>
      </w:r>
      <w:r>
        <w:rPr>
          <w:rStyle w:val="FootnoteReference"/>
          <w:szCs w:val="22"/>
        </w:rPr>
        <w:footnoteReference w:id="148"/>
      </w:r>
      <w:r w:rsidRPr="00B52FE1">
        <w:t xml:space="preserve">  </w:t>
      </w:r>
      <w:r>
        <w:t>We also look to the California Online Privacy Protection Act, which establishes privacy policy requirements for online services, and to numerous best practices regimes, including those proposed by the FTC and the National Telecommunications and Information Administration (NTIA).</w:t>
      </w:r>
      <w:r>
        <w:rPr>
          <w:rStyle w:val="FootnoteReference"/>
        </w:rPr>
        <w:footnoteReference w:id="149"/>
      </w:r>
      <w:r>
        <w:t xml:space="preserve">  We also find various trade association recommendations informative, including those adopted by the Digital Advertising Alliance and the Network Advertising Initiative.</w:t>
      </w:r>
      <w:r>
        <w:rPr>
          <w:rStyle w:val="FootnoteReference"/>
        </w:rPr>
        <w:footnoteReference w:id="150"/>
      </w:r>
      <w:r>
        <w:t xml:space="preserve">  In so doing, we propose rules that would impose the following notice requirements with respect to BIAS providers’ privacy policies:</w:t>
      </w:r>
      <w:r>
        <w:rPr>
          <w:rStyle w:val="FootnoteReference"/>
        </w:rPr>
        <w:footnoteReference w:id="151"/>
      </w:r>
      <w:bookmarkEnd w:id="275"/>
    </w:p>
    <w:p w:rsidR="00324CD5" w:rsidRPr="006A76DD" w:rsidRDefault="00324CD5" w:rsidP="00DD1589">
      <w:pPr>
        <w:pStyle w:val="ParaNum"/>
        <w:numPr>
          <w:ilvl w:val="0"/>
          <w:numId w:val="11"/>
        </w:numPr>
        <w:rPr>
          <w:szCs w:val="22"/>
        </w:rPr>
      </w:pPr>
      <w:r w:rsidRPr="006A76DD">
        <w:rPr>
          <w:i/>
        </w:rPr>
        <w:t>Types of Customer PI Collected and How They Are Used and Disclosed</w:t>
      </w:r>
      <w:r>
        <w:t xml:space="preserve">.  The notice must specify and describe: </w:t>
      </w:r>
    </w:p>
    <w:p w:rsidR="00324CD5" w:rsidRDefault="00324CD5" w:rsidP="00DD1589">
      <w:pPr>
        <w:pStyle w:val="ParaNum"/>
        <w:numPr>
          <w:ilvl w:val="0"/>
          <w:numId w:val="10"/>
        </w:numPr>
        <w:ind w:left="1800"/>
        <w:rPr>
          <w:szCs w:val="22"/>
        </w:rPr>
      </w:pPr>
      <w:r>
        <w:t>The types of customer PI that the BIAS provider collects by virtue of its provision of broadband service;</w:t>
      </w:r>
    </w:p>
    <w:p w:rsidR="00324CD5" w:rsidRDefault="00324CD5" w:rsidP="00DD1589">
      <w:pPr>
        <w:pStyle w:val="ParaNum"/>
        <w:numPr>
          <w:ilvl w:val="0"/>
          <w:numId w:val="10"/>
        </w:numPr>
        <w:ind w:left="1800"/>
        <w:rPr>
          <w:szCs w:val="22"/>
        </w:rPr>
      </w:pPr>
      <w:r>
        <w:t>How the BIAS provider uses, and under what circumstances it discloses, each type of customer PI that it collects; and</w:t>
      </w:r>
    </w:p>
    <w:p w:rsidR="00324CD5" w:rsidRDefault="00324CD5" w:rsidP="00DD1589">
      <w:pPr>
        <w:pStyle w:val="ParaNum"/>
        <w:numPr>
          <w:ilvl w:val="0"/>
          <w:numId w:val="10"/>
        </w:numPr>
        <w:ind w:left="1800"/>
        <w:rPr>
          <w:szCs w:val="22"/>
        </w:rPr>
      </w:pPr>
      <w:r>
        <w:t>The categories of entities that will receive the customer PI from the BIAS provider and the purposes for which the customer PI will be used by each category of entities.</w:t>
      </w:r>
    </w:p>
    <w:p w:rsidR="00324CD5" w:rsidRPr="005A7E41" w:rsidRDefault="00324CD5" w:rsidP="00DD1589">
      <w:pPr>
        <w:pStyle w:val="ParaNum"/>
        <w:numPr>
          <w:ilvl w:val="0"/>
          <w:numId w:val="3"/>
        </w:numPr>
        <w:rPr>
          <w:szCs w:val="22"/>
        </w:rPr>
      </w:pPr>
      <w:r>
        <w:rPr>
          <w:i/>
        </w:rPr>
        <w:t>Customers’ Rights With Respect to Their PI</w:t>
      </w:r>
      <w:r>
        <w:t>.  The notice must:</w:t>
      </w:r>
    </w:p>
    <w:p w:rsidR="00324CD5" w:rsidRDefault="00324CD5" w:rsidP="00DD1589">
      <w:pPr>
        <w:pStyle w:val="ParaNum"/>
        <w:numPr>
          <w:ilvl w:val="1"/>
          <w:numId w:val="3"/>
        </w:numPr>
      </w:pPr>
      <w:r>
        <w:t>Advise customers of their opt-in and opt-out rights with respect to their own PI, and provide access to a simple, easy-to-access method for customers to provide or withdraw consent to use, disclose, or provide access to customer PI for purposes other than the provision of broadband services.  Such method shall be persistently available and made available at no additional cost to the customer.</w:t>
      </w:r>
      <w:r>
        <w:rPr>
          <w:rStyle w:val="FootnoteReference"/>
        </w:rPr>
        <w:footnoteReference w:id="152"/>
      </w:r>
    </w:p>
    <w:p w:rsidR="00324CD5" w:rsidRDefault="00324CD5" w:rsidP="00DD1589">
      <w:pPr>
        <w:pStyle w:val="ParaNum"/>
        <w:numPr>
          <w:ilvl w:val="1"/>
          <w:numId w:val="3"/>
        </w:numPr>
      </w:pPr>
      <w:r>
        <w:t>Explain that a denial of approval to use, disclose, or permit access to customer PI for purposes other than providing BIAS will not affect the provision of any services to which the customer subscribes.  However, the provider may provide a brief description, in clear and neutral language, describing any consequences directly resulting from the lack of access to the customer PI.</w:t>
      </w:r>
    </w:p>
    <w:p w:rsidR="00324CD5" w:rsidRDefault="00324CD5" w:rsidP="00DD1589">
      <w:pPr>
        <w:pStyle w:val="ParaNum"/>
        <w:numPr>
          <w:ilvl w:val="1"/>
          <w:numId w:val="3"/>
        </w:numPr>
      </w:pPr>
      <w:r>
        <w:t>Explain that any approval, denial, or withdrawal of approval for the use of the customer PI for any purposes other than providing BIAS is valid until the customer affirmatively revokes such approval or denial, and inform the customer of his or her right to deny or withdraw access to such PI at any time.  However, the notification must also explain that the provider may be compelled to disclose a customer’s PI, when such disclosure is provided for by other laws.</w:t>
      </w:r>
    </w:p>
    <w:p w:rsidR="00324CD5" w:rsidRDefault="00324CD5" w:rsidP="00DD1589">
      <w:pPr>
        <w:pStyle w:val="ParaNum"/>
        <w:numPr>
          <w:ilvl w:val="0"/>
          <w:numId w:val="3"/>
        </w:numPr>
      </w:pPr>
      <w:r w:rsidRPr="00B84001">
        <w:rPr>
          <w:i/>
        </w:rPr>
        <w:t xml:space="preserve">Requirements Intended to Increase </w:t>
      </w:r>
      <w:r>
        <w:rPr>
          <w:i/>
        </w:rPr>
        <w:t>Transparency</w:t>
      </w:r>
      <w:r w:rsidRPr="00B84001">
        <w:rPr>
          <w:i/>
        </w:rPr>
        <w:t xml:space="preserve"> of Privacy Notices</w:t>
      </w:r>
      <w:r>
        <w:t>.  To ensure customers can understand BIAS privacy notices, such notices must:</w:t>
      </w:r>
    </w:p>
    <w:p w:rsidR="00324CD5" w:rsidRDefault="00324CD5" w:rsidP="00DD1589">
      <w:pPr>
        <w:pStyle w:val="ParaNum"/>
        <w:numPr>
          <w:ilvl w:val="1"/>
          <w:numId w:val="3"/>
        </w:numPr>
      </w:pPr>
      <w:r>
        <w:t>Be comprehensible and not misleading;</w:t>
      </w:r>
    </w:p>
    <w:p w:rsidR="00324CD5" w:rsidRDefault="00324CD5" w:rsidP="00DD1589">
      <w:pPr>
        <w:pStyle w:val="ParaNum"/>
        <w:numPr>
          <w:ilvl w:val="1"/>
          <w:numId w:val="3"/>
        </w:numPr>
      </w:pPr>
      <w:r>
        <w:t>Be clearly legible, use sufficiently large type, and be displayed in an area so as to be readily apparent to the customer; and</w:t>
      </w:r>
    </w:p>
    <w:p w:rsidR="00324CD5" w:rsidRDefault="00324CD5" w:rsidP="00DD1589">
      <w:pPr>
        <w:pStyle w:val="ParaNum"/>
        <w:numPr>
          <w:ilvl w:val="1"/>
          <w:numId w:val="3"/>
        </w:numPr>
      </w:pPr>
      <w:r>
        <w:t>Be completely translated into another language if any portion of the notice is translated into that language.</w:t>
      </w:r>
    </w:p>
    <w:p w:rsidR="00324CD5" w:rsidRDefault="00324CD5" w:rsidP="00DD1589">
      <w:pPr>
        <w:pStyle w:val="ParaNum"/>
        <w:numPr>
          <w:ilvl w:val="0"/>
          <w:numId w:val="3"/>
        </w:numPr>
      </w:pPr>
      <w:r w:rsidRPr="006A76DD">
        <w:rPr>
          <w:i/>
        </w:rPr>
        <w:t>Timing of Notice</w:t>
      </w:r>
      <w:r>
        <w:t>.  To ensure customers receive timely and persistent notice of a BIAS provider’s privacy policies, the notice must:</w:t>
      </w:r>
    </w:p>
    <w:p w:rsidR="00324CD5" w:rsidRPr="00225057" w:rsidRDefault="00324CD5" w:rsidP="00DD1589">
      <w:pPr>
        <w:pStyle w:val="ParaNum"/>
        <w:numPr>
          <w:ilvl w:val="1"/>
          <w:numId w:val="3"/>
        </w:numPr>
      </w:pPr>
      <w:r>
        <w:t xml:space="preserve">Be made available to prospective customers at the point of sale, prior to the purchase of BIAS, whether such purchase is being made in person, online, over </w:t>
      </w:r>
      <w:r w:rsidRPr="00225057">
        <w:t xml:space="preserve">the </w:t>
      </w:r>
      <w:r>
        <w:t>tele</w:t>
      </w:r>
      <w:r w:rsidRPr="00225057">
        <w:t>phone, or via some other means;</w:t>
      </w:r>
    </w:p>
    <w:p w:rsidR="00324CD5" w:rsidRPr="00225057" w:rsidRDefault="00324CD5" w:rsidP="00DD1589">
      <w:pPr>
        <w:pStyle w:val="ParaNum"/>
        <w:numPr>
          <w:ilvl w:val="1"/>
          <w:numId w:val="3"/>
        </w:numPr>
      </w:pPr>
      <w:r w:rsidRPr="00225057">
        <w:t xml:space="preserve">Be </w:t>
      </w:r>
      <w:r>
        <w:t xml:space="preserve">made </w:t>
      </w:r>
      <w:r w:rsidRPr="00225057">
        <w:t>persistently available:</w:t>
      </w:r>
    </w:p>
    <w:p w:rsidR="00324CD5" w:rsidRPr="00225057" w:rsidRDefault="00324CD5" w:rsidP="00DD1589">
      <w:pPr>
        <w:pStyle w:val="ParaNum"/>
        <w:numPr>
          <w:ilvl w:val="2"/>
          <w:numId w:val="3"/>
        </w:numPr>
      </w:pPr>
      <w:r w:rsidRPr="00225057">
        <w:t>Via a link on the BIAS provider’s homepage;</w:t>
      </w:r>
    </w:p>
    <w:p w:rsidR="00324CD5" w:rsidRPr="001973E5" w:rsidRDefault="00324CD5" w:rsidP="00DD1589">
      <w:pPr>
        <w:pStyle w:val="ParaNum"/>
        <w:numPr>
          <w:ilvl w:val="2"/>
          <w:numId w:val="3"/>
        </w:numPr>
      </w:pPr>
      <w:r w:rsidRPr="001973E5">
        <w:t>Through the BIAS provider’s mobile application; and</w:t>
      </w:r>
    </w:p>
    <w:p w:rsidR="00324CD5" w:rsidRDefault="00324CD5" w:rsidP="00DD1589">
      <w:pPr>
        <w:pStyle w:val="ParaNum"/>
        <w:numPr>
          <w:ilvl w:val="2"/>
          <w:numId w:val="3"/>
        </w:numPr>
      </w:pPr>
      <w:r>
        <w:t>Through any functional equivalent to the provider’s homepage or mobile application.</w:t>
      </w:r>
    </w:p>
    <w:p w:rsidR="00324CD5" w:rsidRDefault="00324CD5" w:rsidP="00324CD5">
      <w:pPr>
        <w:pStyle w:val="ParaNum"/>
      </w:pPr>
      <w:bookmarkStart w:id="276" w:name="_Ref446580069"/>
      <w:r>
        <w:t xml:space="preserve">We seek comment on these proposed notice requirements.  To what extent are these practices already being followed by some or most BIAS providers?  To what extent are these practices consistent with the best practices of other industries?  Will the proposed requirements </w:t>
      </w:r>
      <w:r w:rsidRPr="000A648F">
        <w:t xml:space="preserve">provide </w:t>
      </w:r>
      <w:r>
        <w:t>BIAS customers</w:t>
      </w:r>
      <w:r w:rsidRPr="000A648F">
        <w:t xml:space="preserve"> with </w:t>
      </w:r>
      <w:r>
        <w:t xml:space="preserve">(1) </w:t>
      </w:r>
      <w:r w:rsidRPr="000A648F">
        <w:t>clear and adequate notice of their BIAS provider’s privacy policies</w:t>
      </w:r>
      <w:r>
        <w:t>, and (2) sufficient information to enable them to make informed decisions about their use and purchase of BIAS services?  Will the proposed requirements ensure that BIAS customers receive sufficient information to give them confidence that their broadband provider is protecting the confidentiality of their proprietary information and providing them with sufficient ability to</w:t>
      </w:r>
      <w:r w:rsidR="00901B0E">
        <w:t xml:space="preserve"> decide whether and when to opt </w:t>
      </w:r>
      <w:r>
        <w:t>in to the sharing of data with third parties?  Are there additional specific requirements that we should adopt so that privacy policy information is accessible to customers with a disability, such as, for example, a link to a video of the notice conveyed in American Sign Language (ASL)?</w:t>
      </w:r>
      <w:bookmarkEnd w:id="276"/>
      <w:r>
        <w:t xml:space="preserve"> </w:t>
      </w:r>
    </w:p>
    <w:p w:rsidR="00324CD5" w:rsidRPr="003D72CC" w:rsidRDefault="00324CD5" w:rsidP="00324CD5">
      <w:pPr>
        <w:pStyle w:val="ParaNum"/>
        <w:rPr>
          <w:szCs w:val="22"/>
        </w:rPr>
      </w:pPr>
      <w:r>
        <w:rPr>
          <w:i/>
        </w:rPr>
        <w:t xml:space="preserve">Required </w:t>
      </w:r>
      <w:r w:rsidRPr="006A76DD">
        <w:rPr>
          <w:i/>
        </w:rPr>
        <w:t>Disclosures</w:t>
      </w:r>
      <w:r>
        <w:t>.  We seek comment whether there are other types of information that we should require BIAS providers to include in the notices of their privacy policies, or if there are any categories of information we propose including that should not be required.  For example, should we require BIAS providers to provide customers with information concerning their data security practices or their policies concerning the retention and deletion of customer PI?</w:t>
      </w:r>
      <w:r>
        <w:rPr>
          <w:szCs w:val="22"/>
        </w:rPr>
        <w:t xml:space="preserve">  Further, t</w:t>
      </w:r>
      <w:r>
        <w:t xml:space="preserve">o the extent that we determine that the content of customer communications is covered by the transparency requirements we propose to adopt, how can we ensure that customers have adequate notice concerning how BIAS providers treat such information?  In addition, would it </w:t>
      </w:r>
      <w:r w:rsidRPr="004F65CF">
        <w:rPr>
          <w:szCs w:val="22"/>
        </w:rPr>
        <w:t xml:space="preserve">be technically and/or practically feasible to require that BIAS providers provide consumers with notice of the specific entities with which they intend to share their </w:t>
      </w:r>
      <w:r>
        <w:t>customer PI</w:t>
      </w:r>
      <w:r w:rsidRPr="004F65CF">
        <w:rPr>
          <w:szCs w:val="22"/>
        </w:rPr>
        <w:t>, rather than the categories of entities, as we propose above?  We note that California’s Shine the Light law requires businesses, upon request, to provide to their customers, free of charge and within 30 days: (1) a list of the categories of personal information d</w:t>
      </w:r>
      <w:r w:rsidRPr="003D72CC">
        <w:rPr>
          <w:szCs w:val="22"/>
        </w:rPr>
        <w:t>isclosed by the business to third parties for the third parties’ marketing purposes; (2) the names and addresses of all the third parties that received personal information from the business in the preceding calendar year; and (3) if the nature of the third parties’ busine</w:t>
      </w:r>
      <w:r w:rsidRPr="004F65CF">
        <w:rPr>
          <w:szCs w:val="22"/>
        </w:rPr>
        <w:t>ss cannot be reasonably determined by the third parties’ name, examples of the products or services marketed by the third party.</w:t>
      </w:r>
      <w:r>
        <w:rPr>
          <w:rStyle w:val="FootnoteReference"/>
          <w:szCs w:val="22"/>
        </w:rPr>
        <w:footnoteReference w:id="153"/>
      </w:r>
      <w:r w:rsidRPr="004F65CF">
        <w:rPr>
          <w:szCs w:val="22"/>
        </w:rPr>
        <w:t xml:space="preserve">  We seek comment on whether we should adopt a similar requirement.  </w:t>
      </w:r>
      <w:r w:rsidRPr="003D72CC">
        <w:rPr>
          <w:szCs w:val="22"/>
        </w:rPr>
        <w:t>Would such a requirement place too onerous a burden on BIAS providers?  What are the estimated costs of compliance associated with such a requirement, if any?  Are these costs outweighed by the potential benefit to customers of disclosing this information?</w:t>
      </w:r>
    </w:p>
    <w:p w:rsidR="00324CD5" w:rsidRDefault="00324CD5" w:rsidP="00324CD5">
      <w:pPr>
        <w:pStyle w:val="ParaNum"/>
      </w:pPr>
      <w:r>
        <w:t>Although our current Section 222 rules do not require voice providers to have privacy notices, many of the categories of information we propose to require in BIAS providers’ privacy notices are required as part of the current Section 222 requirements for notice before seeking approval for using or sharing CPNI.</w:t>
      </w:r>
      <w:r>
        <w:rPr>
          <w:rStyle w:val="FootnoteReference"/>
        </w:rPr>
        <w:footnoteReference w:id="154"/>
      </w:r>
      <w:r>
        <w:t xml:space="preserve">  We seek comment from providers and other stakeholders on their experience with privacy disclosures in that context and on how those experiences should inform the privacy notice rules we propose to adopt for BIAS providers.</w:t>
      </w:r>
    </w:p>
    <w:p w:rsidR="00324CD5" w:rsidRDefault="00324CD5" w:rsidP="00324CD5">
      <w:pPr>
        <w:pStyle w:val="ParaNum"/>
      </w:pPr>
      <w:r>
        <w:rPr>
          <w:i/>
        </w:rPr>
        <w:t>Timing and Placement of Privacy Notices.</w:t>
      </w:r>
      <w:r>
        <w:t xml:space="preserve">  We seek comment on our proposal regarding the timing and placement of privacy notices.  We believe that by requiring point-of-sale notices and requiring that notices of a BIAS provider’s privacy policies be persistently available through a link on the provider’s homepage and through its mobile application, gives providers two existing, user-friendly avenues for providing customers with notice of their privacy policies, while also leaving open a technology-neutral, “functional equivalent” option in the event that future innovations in technology offer new and innovative ways to provide customers with transparency.  Do commenters agree?  Are homepages and mobile applications two platforms through which customers are likely to interface with privacy policies?  Are there any other times and points at which providers should provide customers with notice of their privacy practices, other than those we discuss above?</w:t>
      </w:r>
      <w:r>
        <w:rPr>
          <w:rStyle w:val="FootnoteReference"/>
        </w:rPr>
        <w:footnoteReference w:id="155"/>
      </w:r>
      <w:r>
        <w:t xml:space="preserve">  If so, how should such notice be delivered?  Should it be provided through email or another agreed-upon means of electronic communication, or should it perhaps be included regularly on custom</w:t>
      </w:r>
      <w:r w:rsidR="00901B0E">
        <w:t>ers’ bills for BIAS</w:t>
      </w:r>
      <w:r>
        <w:t xml:space="preserve">?  What would be the cost of compliance, if any, of supplying customers with privacy practice notifications via email or as part of the customer’s regular bill?  </w:t>
      </w:r>
      <w:r w:rsidRPr="00F46F86">
        <w:t>Are there technical means of conveying pri</w:t>
      </w:r>
      <w:r>
        <w:t>vacy notices that we might adopt?</w:t>
      </w:r>
      <w:r w:rsidRPr="00F46F86">
        <w:t xml:space="preserve">     </w:t>
      </w:r>
      <w:r>
        <w:t xml:space="preserve">   </w:t>
      </w:r>
    </w:p>
    <w:p w:rsidR="00324CD5" w:rsidRDefault="00324CD5" w:rsidP="00324CD5">
      <w:pPr>
        <w:pStyle w:val="ParaNum"/>
      </w:pPr>
      <w:r>
        <w:t>Some rules and laws require annual or bi-annual notification of privacy rights.</w:t>
      </w:r>
      <w:r>
        <w:rPr>
          <w:rStyle w:val="FootnoteReference"/>
        </w:rPr>
        <w:footnoteReference w:id="156"/>
      </w:r>
      <w:r>
        <w:t xml:space="preserve">  The Commission’s existing voice notification rules require </w:t>
      </w:r>
      <w:r w:rsidRPr="00B513F4">
        <w:t xml:space="preserve">carriers using the opt-out mechanism </w:t>
      </w:r>
      <w:r>
        <w:t xml:space="preserve">to </w:t>
      </w:r>
      <w:r w:rsidRPr="00B513F4">
        <w:t>provide notices to their customers every two years.</w:t>
      </w:r>
      <w:r>
        <w:rPr>
          <w:rStyle w:val="FootnoteReference"/>
          <w:szCs w:val="22"/>
        </w:rPr>
        <w:footnoteReference w:id="157"/>
      </w:r>
      <w:r>
        <w:t xml:space="preserve">  Because we require BIAS providers to have easy-to-access links to their privacy notices that are persistently available on their homepage, through their mobile applications, and through any functional equivalent, we do not think it is a good use of resources to require BIAS providers to periodically provide their privacy notices to their customers.  We invite comment on that approach.  When customers receive regular privacy notices, do they typically review and understand such annual notices?  Do customers typically take any action in regard to such notices?  Would the administrative costs of providing such annual notices outweigh the benefits to the customer of receiving annual notices?  If we do adopt a regular privacy notice requirement, how should the notice be sent to BIAS customers?  Would email notice to the customer’s email address of record be sufficient?  Should we require that any such annual notices be sent by mail to the address of record?  Is there another, more effective way of providing annual notices to BIAS customers?</w:t>
      </w:r>
    </w:p>
    <w:p w:rsidR="00324CD5" w:rsidRDefault="00324CD5" w:rsidP="00324CD5">
      <w:pPr>
        <w:pStyle w:val="ParaNum"/>
        <w:widowControl/>
        <w:rPr>
          <w:szCs w:val="22"/>
        </w:rPr>
      </w:pPr>
      <w:bookmarkStart w:id="277" w:name="_Ref446580101"/>
      <w:r>
        <w:rPr>
          <w:i/>
          <w:szCs w:val="22"/>
        </w:rPr>
        <w:t>Compliance Burden</w:t>
      </w:r>
      <w:r>
        <w:rPr>
          <w:szCs w:val="22"/>
        </w:rPr>
        <w:t>.  We seek comment on the burdens associated with complying with our proposed privacy notice framework for BIAS providers.  What are the estimated costs of compliance, if any, that this notice framework will impose on providers, given that they are already obligated to provide notice of their privacy policies to customers under the open Internet transparency rule?  We believe that the benefits to customer privacy of providing end users, edge providers, and the general public with meaningful information about the privacy policies of BIAS providers outweigh the administrative and regulatory costs of the proposed notice requirements.</w:t>
      </w:r>
      <w:r>
        <w:rPr>
          <w:rStyle w:val="FootnoteReference"/>
          <w:szCs w:val="22"/>
        </w:rPr>
        <w:footnoteReference w:id="158"/>
      </w:r>
      <w:r>
        <w:rPr>
          <w:szCs w:val="22"/>
        </w:rPr>
        <w:t xml:space="preserve">  We seek comment on this conclusion.  Are there any alternatives that would reduce the burdens on BIAS providers, particularly small providers, while still ensuring that BIAS providers’ privacy practices are sufficiently transparent?</w:t>
      </w:r>
      <w:bookmarkEnd w:id="277"/>
    </w:p>
    <w:p w:rsidR="00324CD5" w:rsidRPr="00B4007E" w:rsidRDefault="00324CD5" w:rsidP="00324CD5">
      <w:pPr>
        <w:pStyle w:val="ParaNum"/>
      </w:pPr>
      <w:bookmarkStart w:id="278" w:name="_Ref446580163"/>
      <w:r w:rsidRPr="00B4007E">
        <w:rPr>
          <w:i/>
          <w:szCs w:val="22"/>
        </w:rPr>
        <w:t>Standardization of Privacy Notices</w:t>
      </w:r>
      <w:r w:rsidRPr="00B4007E">
        <w:rPr>
          <w:szCs w:val="22"/>
        </w:rPr>
        <w:t xml:space="preserve">.  </w:t>
      </w:r>
      <w:r>
        <w:t>We also seek comment on whether BIAS providers’ privacy policy notices should be standardized to enable better comprehension and comparison of privacy practices by customers and to reduce the burden of regulatory compliance on BIAS providers</w:t>
      </w:r>
      <w:r w:rsidRPr="00B4007E">
        <w:rPr>
          <w:szCs w:val="22"/>
        </w:rPr>
        <w:t>.  There is broad recognition of the importance of simplifying and standardizing privacy notices to make them more accessible to consumers.</w:t>
      </w:r>
      <w:r>
        <w:rPr>
          <w:rStyle w:val="FootnoteReference"/>
          <w:szCs w:val="22"/>
        </w:rPr>
        <w:footnoteReference w:id="159"/>
      </w:r>
      <w:r w:rsidRPr="00B4007E">
        <w:rPr>
          <w:szCs w:val="22"/>
        </w:rPr>
        <w:t xml:space="preserve">  In its 2012 Privacy Report, </w:t>
      </w:r>
      <w:r>
        <w:rPr>
          <w:szCs w:val="22"/>
        </w:rPr>
        <w:t xml:space="preserve">for example, </w:t>
      </w:r>
      <w:r w:rsidRPr="00B4007E">
        <w:rPr>
          <w:szCs w:val="22"/>
        </w:rPr>
        <w:t>the FTC recognized that privacy policies in different industries would need to reflect those differences, but called for the standardization of some elements of privacy policies, including formatting and terminology “to allow consumers to compare the privacy practices of different companies and to encourage companies</w:t>
      </w:r>
      <w:r>
        <w:rPr>
          <w:szCs w:val="22"/>
        </w:rPr>
        <w:t xml:space="preserve"> </w:t>
      </w:r>
      <w:r w:rsidRPr="00B4007E">
        <w:rPr>
          <w:szCs w:val="22"/>
        </w:rPr>
        <w:t>to compete on privacy.</w:t>
      </w:r>
      <w:r>
        <w:rPr>
          <w:szCs w:val="22"/>
        </w:rPr>
        <w:t>”</w:t>
      </w:r>
      <w:r>
        <w:rPr>
          <w:rStyle w:val="FootnoteReference"/>
          <w:szCs w:val="22"/>
        </w:rPr>
        <w:footnoteReference w:id="160"/>
      </w:r>
      <w:r>
        <w:rPr>
          <w:szCs w:val="22"/>
        </w:rPr>
        <w:t xml:space="preserve">  The following year, NTIA released a voluntary code of conduct detailing a uniform set of guidelines for mobile application providers to use in crafting short form privacy notices.</w:t>
      </w:r>
      <w:r>
        <w:rPr>
          <w:rStyle w:val="FootnoteReference"/>
          <w:szCs w:val="22"/>
        </w:rPr>
        <w:footnoteReference w:id="161"/>
      </w:r>
      <w:r>
        <w:rPr>
          <w:szCs w:val="22"/>
        </w:rPr>
        <w:t xml:space="preserve">  In drafting the code, NTIA acknowledged that the “transparency created by displaying information about application practices in a consistent way . . . is intended to help consumers compare and contrast data practices of apps.”</w:t>
      </w:r>
      <w:r>
        <w:rPr>
          <w:rStyle w:val="FootnoteReference"/>
          <w:szCs w:val="22"/>
        </w:rPr>
        <w:footnoteReference w:id="162"/>
      </w:r>
      <w:bookmarkEnd w:id="278"/>
    </w:p>
    <w:p w:rsidR="00324CD5" w:rsidRDefault="00324CD5" w:rsidP="00324CD5">
      <w:pPr>
        <w:pStyle w:val="ParaNum"/>
      </w:pPr>
      <w:r>
        <w:t xml:space="preserve">We seek comment on whether we should adopt a standardized approach for BIAS providers’ privacy notices in this proceeding.  Would a one-size-fits-all approach provide clear, conspicuous, and understandable information?  Are there models we should look to in crafting our privacy notice requirements?  For example, in the </w:t>
      </w:r>
      <w:r>
        <w:rPr>
          <w:i/>
        </w:rPr>
        <w:t>2015 Open Internet Order</w:t>
      </w:r>
      <w:r>
        <w:t>, we directed the Consumer Advisory Committee (CAC), composed of both industry and consumer interests, to formulate and submit to the Commission a proposed consumer-facing disclosure for purposes of complying with the transparency rule.</w:t>
      </w:r>
      <w:r>
        <w:rPr>
          <w:rStyle w:val="FootnoteReference"/>
        </w:rPr>
        <w:footnoteReference w:id="163"/>
      </w:r>
      <w:r>
        <w:t xml:space="preserve">  Should we follow a similar approach?  In a recent study of online privacy notices, researchers at Carnegie Mellon University found that certain, specific discrepancies exist between companies’ actual privacy practices and users’ expectations of how their information is being used or shared.</w:t>
      </w:r>
      <w:r>
        <w:rPr>
          <w:rStyle w:val="FootnoteReference"/>
        </w:rPr>
        <w:footnoteReference w:id="164"/>
      </w:r>
      <w:r>
        <w:t xml:space="preserve">  The study concluded by suggesting that companies could develop shorter, user-facing privacy notices that specifically emphasize those practices where mismatches exist between a company’s actual use and disclosure policies and consumers’ expectations.</w:t>
      </w:r>
      <w:r>
        <w:rPr>
          <w:rStyle w:val="FootnoteReference"/>
        </w:rPr>
        <w:footnoteReference w:id="165"/>
      </w:r>
      <w:r>
        <w:t xml:space="preserve">  By using models of people’s privacy expectations, the study’s authors suggest that companies could selectively highlight or display those elements of privacy policies that are likely to be most relevant to users.</w:t>
      </w:r>
      <w:r>
        <w:rPr>
          <w:rStyle w:val="FootnoteReference"/>
        </w:rPr>
        <w:footnoteReference w:id="166"/>
      </w:r>
      <w:r>
        <w:t xml:space="preserve">  We seek comment on whether we should use such a model in developing a standardized template for privacy notices.  Would such a model, or one similar to it, lessen the burden on providers of providing privacy notices while also ensuring that customers are kept adequately informed as to how their BIAS providers use and share their information?  Or, should we consider multiple but structurally similar privacy policy disclosures?</w:t>
      </w:r>
    </w:p>
    <w:p w:rsidR="00324CD5" w:rsidRDefault="00324CD5" w:rsidP="00324CD5">
      <w:pPr>
        <w:pStyle w:val="ParaNum"/>
      </w:pPr>
      <w:bookmarkStart w:id="279" w:name="_Ref446580208"/>
      <w:r>
        <w:t>In addition, we seek comment on whether such a standardized disclosure should be adopted as a voluntary safe harbor for any adopted privacy notice requirements.  Would a safe harbor ease the regulatory burden on BIAS providers, particularly small providers?</w:t>
      </w:r>
      <w:r>
        <w:rPr>
          <w:rStyle w:val="FootnoteReference"/>
        </w:rPr>
        <w:footnoteReference w:id="167"/>
      </w:r>
      <w:r>
        <w:t xml:space="preserve">  How could we ensure that a notice provided under such a safe harbor provision still allows consumers adequate opportunity to consider and comprehend the privacy policies of their respective BIAS providers?</w:t>
      </w:r>
      <w:bookmarkEnd w:id="279"/>
      <w:r>
        <w:t xml:space="preserve">    </w:t>
      </w:r>
    </w:p>
    <w:p w:rsidR="00324CD5" w:rsidRPr="00F120F4" w:rsidRDefault="00324CD5" w:rsidP="00324CD5">
      <w:pPr>
        <w:pStyle w:val="ParaNum"/>
      </w:pPr>
      <w:bookmarkStart w:id="280" w:name="_Ref445296677"/>
      <w:r>
        <w:t>We recognize that not all privacy policies may conform to a uniform template.  Is there a risk that using a uniform template for privacy notices may result in the omission of crucial information and ensuing consumer confusion or mistake?  What is the best way to ensure that BIAS providers are able to convey this privacy policy information in accessible formats, like ASL?  Are more general guidelines that allow for flexibility preferable to the creation of a uniform template?  Should we, for example, look to the model code of conduct for mobile application short-form privacy notices that came out of the multi-stakeholder process convened by the NTIA at the Department of Commerce in 2012 and 2013?  If so, what elements from that model will work well in the BIAS context and which will need to be adjusted?</w:t>
      </w:r>
      <w:bookmarkEnd w:id="280"/>
      <w:r>
        <w:t xml:space="preserve">  </w:t>
      </w:r>
    </w:p>
    <w:p w:rsidR="00324CD5" w:rsidRDefault="00324CD5" w:rsidP="00324CD5">
      <w:pPr>
        <w:pStyle w:val="ParaNum"/>
      </w:pPr>
      <w:r>
        <w:t>Are there other approaches we can take to simplifying privacy notices?  For example, should we require a layered privacy notice that includes a plain-language disclosure policy in addition to a more in-depth disclosure?</w:t>
      </w:r>
      <w:bookmarkStart w:id="281" w:name="_Ref446337427"/>
      <w:r>
        <w:rPr>
          <w:rStyle w:val="FootnoteReference"/>
        </w:rPr>
        <w:footnoteReference w:id="168"/>
      </w:r>
      <w:bookmarkEnd w:id="281"/>
      <w:r>
        <w:t xml:space="preserve">  If so, what should go into the different layers of such privacy notices?</w:t>
      </w:r>
    </w:p>
    <w:p w:rsidR="00324CD5" w:rsidRDefault="00324CD5" w:rsidP="00324CD5">
      <w:pPr>
        <w:pStyle w:val="ParaNum"/>
      </w:pPr>
      <w:r>
        <w:rPr>
          <w:szCs w:val="22"/>
        </w:rPr>
        <w:t xml:space="preserve">In addition to simplifying and standardizing privacy notices, we seek comment on whether we should take further steps to ensure (1) that customers have access to sufficient information regarding their BIAS provider’s privacy policies, and (2) that such information is presented in a form that is both palatable and easily comprehensible for customers.  In particular, we seek comment on whether </w:t>
      </w:r>
      <w:r w:rsidRPr="006D0377">
        <w:rPr>
          <w:szCs w:val="22"/>
        </w:rPr>
        <w:t xml:space="preserve">the Commission should require </w:t>
      </w:r>
      <w:r>
        <w:rPr>
          <w:szCs w:val="22"/>
        </w:rPr>
        <w:t xml:space="preserve">BIAS providers to create a </w:t>
      </w:r>
      <w:r w:rsidRPr="007E39FF">
        <w:rPr>
          <w:szCs w:val="22"/>
        </w:rPr>
        <w:t xml:space="preserve">consumer-facing privacy dashboard that </w:t>
      </w:r>
      <w:r>
        <w:rPr>
          <w:szCs w:val="22"/>
        </w:rPr>
        <w:t>would allow</w:t>
      </w:r>
      <w:r w:rsidRPr="007E39FF">
        <w:rPr>
          <w:szCs w:val="22"/>
        </w:rPr>
        <w:t xml:space="preserve"> customers to</w:t>
      </w:r>
      <w:r>
        <w:rPr>
          <w:szCs w:val="22"/>
        </w:rPr>
        <w:t>:</w:t>
      </w:r>
      <w:r w:rsidRPr="007E39FF">
        <w:rPr>
          <w:szCs w:val="22"/>
        </w:rPr>
        <w:t xml:space="preserve"> (1) see the types and categories of </w:t>
      </w:r>
      <w:r>
        <w:rPr>
          <w:szCs w:val="22"/>
        </w:rPr>
        <w:t>customer PI</w:t>
      </w:r>
      <w:r w:rsidRPr="007E39FF">
        <w:rPr>
          <w:szCs w:val="22"/>
        </w:rPr>
        <w:t xml:space="preserve"> collected by </w:t>
      </w:r>
      <w:r>
        <w:rPr>
          <w:szCs w:val="22"/>
        </w:rPr>
        <w:t>BIAS</w:t>
      </w:r>
      <w:r w:rsidRPr="007E39FF">
        <w:rPr>
          <w:szCs w:val="22"/>
        </w:rPr>
        <w:t xml:space="preserve"> providers; (2) </w:t>
      </w:r>
      <w:r>
        <w:rPr>
          <w:szCs w:val="22"/>
        </w:rPr>
        <w:t>see the categories of entities</w:t>
      </w:r>
      <w:r w:rsidRPr="007E39FF">
        <w:rPr>
          <w:szCs w:val="22"/>
        </w:rPr>
        <w:t xml:space="preserve"> </w:t>
      </w:r>
      <w:r>
        <w:rPr>
          <w:szCs w:val="22"/>
        </w:rPr>
        <w:t xml:space="preserve">with whom </w:t>
      </w:r>
      <w:r w:rsidRPr="007E39FF">
        <w:rPr>
          <w:szCs w:val="22"/>
        </w:rPr>
        <w:t xml:space="preserve">that </w:t>
      </w:r>
      <w:r>
        <w:rPr>
          <w:szCs w:val="22"/>
        </w:rPr>
        <w:t>customer PI</w:t>
      </w:r>
      <w:r w:rsidRPr="007E39FF">
        <w:rPr>
          <w:szCs w:val="22"/>
        </w:rPr>
        <w:t xml:space="preserve"> is shared; (3)</w:t>
      </w:r>
      <w:r>
        <w:rPr>
          <w:szCs w:val="22"/>
        </w:rPr>
        <w:t xml:space="preserve"> grant or deny approval for the use or disclosure of customer PI; (4)</w:t>
      </w:r>
      <w:r w:rsidRPr="007E39FF">
        <w:rPr>
          <w:szCs w:val="22"/>
        </w:rPr>
        <w:t xml:space="preserve"> </w:t>
      </w:r>
      <w:r>
        <w:rPr>
          <w:szCs w:val="22"/>
        </w:rPr>
        <w:t xml:space="preserve">see what privacy selection the customer has made (i.e., whether the customer has chosen to opt in, opt out, or take no action at all with regards to the use or disclosure of her PI), and the consequences of this selection, including a description of what types and categories of customer PI may or may not be used or disclosed by a provider depending on the customer’s privacy selection; (5) </w:t>
      </w:r>
      <w:r w:rsidRPr="007E39FF">
        <w:rPr>
          <w:szCs w:val="22"/>
        </w:rPr>
        <w:t>request correc</w:t>
      </w:r>
      <w:r>
        <w:rPr>
          <w:szCs w:val="22"/>
        </w:rPr>
        <w:t>tion of inaccurate customer PI</w:t>
      </w:r>
      <w:r w:rsidRPr="007E39FF">
        <w:rPr>
          <w:szCs w:val="22"/>
        </w:rPr>
        <w:t>; and (</w:t>
      </w:r>
      <w:r>
        <w:rPr>
          <w:szCs w:val="22"/>
        </w:rPr>
        <w:t>6</w:t>
      </w:r>
      <w:r w:rsidRPr="007E39FF">
        <w:rPr>
          <w:szCs w:val="22"/>
        </w:rPr>
        <w:t>) request</w:t>
      </w:r>
      <w:r>
        <w:rPr>
          <w:szCs w:val="22"/>
        </w:rPr>
        <w:t xml:space="preserve"> deletion of any categories of customer </w:t>
      </w:r>
      <w:r w:rsidRPr="007E39FF">
        <w:rPr>
          <w:szCs w:val="22"/>
        </w:rPr>
        <w:t xml:space="preserve">PI that the customer no longer wants the </w:t>
      </w:r>
      <w:r>
        <w:rPr>
          <w:szCs w:val="22"/>
        </w:rPr>
        <w:t>BIAS</w:t>
      </w:r>
      <w:r w:rsidRPr="007E39FF">
        <w:rPr>
          <w:szCs w:val="22"/>
        </w:rPr>
        <w:t xml:space="preserve"> provider to maintain (</w:t>
      </w:r>
      <w:r w:rsidRPr="004D4C97">
        <w:rPr>
          <w:szCs w:val="22"/>
        </w:rPr>
        <w:t>e.g.</w:t>
      </w:r>
      <w:r w:rsidRPr="00960F40">
        <w:rPr>
          <w:szCs w:val="22"/>
        </w:rPr>
        <w:t>,</w:t>
      </w:r>
      <w:r w:rsidRPr="007E39FF">
        <w:rPr>
          <w:szCs w:val="22"/>
        </w:rPr>
        <w:t xml:space="preserve"> online activity data), so long as </w:t>
      </w:r>
      <w:r>
        <w:rPr>
          <w:szCs w:val="22"/>
        </w:rPr>
        <w:t>such data</w:t>
      </w:r>
      <w:r w:rsidRPr="007E39FF">
        <w:rPr>
          <w:szCs w:val="22"/>
        </w:rPr>
        <w:t xml:space="preserve"> is not </w:t>
      </w:r>
      <w:r>
        <w:rPr>
          <w:szCs w:val="22"/>
        </w:rPr>
        <w:t>necessary</w:t>
      </w:r>
      <w:r w:rsidRPr="007E39FF">
        <w:rPr>
          <w:szCs w:val="22"/>
        </w:rPr>
        <w:t xml:space="preserve"> to provide the</w:t>
      </w:r>
      <w:r>
        <w:rPr>
          <w:szCs w:val="22"/>
        </w:rPr>
        <w:t xml:space="preserve"> underlying</w:t>
      </w:r>
      <w:r w:rsidRPr="007E39FF">
        <w:rPr>
          <w:szCs w:val="22"/>
        </w:rPr>
        <w:t xml:space="preserve"> </w:t>
      </w:r>
      <w:r>
        <w:rPr>
          <w:szCs w:val="22"/>
        </w:rPr>
        <w:t>broadband</w:t>
      </w:r>
      <w:r w:rsidRPr="007E39FF">
        <w:rPr>
          <w:szCs w:val="22"/>
        </w:rPr>
        <w:t xml:space="preserve"> service or </w:t>
      </w:r>
      <w:r>
        <w:rPr>
          <w:szCs w:val="22"/>
        </w:rPr>
        <w:t xml:space="preserve">needed </w:t>
      </w:r>
      <w:r w:rsidRPr="007E39FF">
        <w:rPr>
          <w:szCs w:val="22"/>
        </w:rPr>
        <w:t xml:space="preserve">for </w:t>
      </w:r>
      <w:r>
        <w:rPr>
          <w:szCs w:val="22"/>
        </w:rPr>
        <w:t xml:space="preserve">purposes of </w:t>
      </w:r>
      <w:r w:rsidRPr="007E39FF">
        <w:rPr>
          <w:szCs w:val="22"/>
        </w:rPr>
        <w:t>law enforcement</w:t>
      </w:r>
      <w:r>
        <w:rPr>
          <w:szCs w:val="22"/>
        </w:rPr>
        <w:t>.</w:t>
      </w:r>
      <w:r>
        <w:rPr>
          <w:rStyle w:val="FootnoteReference"/>
          <w:szCs w:val="22"/>
        </w:rPr>
        <w:footnoteReference w:id="169"/>
      </w:r>
      <w:r w:rsidRPr="007E39FF">
        <w:rPr>
          <w:szCs w:val="22"/>
        </w:rPr>
        <w:t xml:space="preserve">  </w:t>
      </w:r>
      <w:r>
        <w:rPr>
          <w:szCs w:val="22"/>
        </w:rPr>
        <w:t xml:space="preserve">We seek comment </w:t>
      </w:r>
      <w:r w:rsidRPr="007E39FF">
        <w:rPr>
          <w:szCs w:val="22"/>
        </w:rPr>
        <w:t>on the costs and ben</w:t>
      </w:r>
      <w:r>
        <w:rPr>
          <w:szCs w:val="22"/>
        </w:rPr>
        <w:t>efits of requiring the creation of such a</w:t>
      </w:r>
      <w:r w:rsidRPr="007E39FF">
        <w:rPr>
          <w:szCs w:val="22"/>
        </w:rPr>
        <w:t xml:space="preserve"> dashboard, and any alternatives the Commission should consider to minimize the burden</w:t>
      </w:r>
      <w:r>
        <w:rPr>
          <w:szCs w:val="22"/>
        </w:rPr>
        <w:t>s of such a program</w:t>
      </w:r>
      <w:r w:rsidRPr="007E39FF">
        <w:rPr>
          <w:szCs w:val="22"/>
        </w:rPr>
        <w:t xml:space="preserve"> on small providers.</w:t>
      </w:r>
      <w:r>
        <w:rPr>
          <w:rStyle w:val="FootnoteReference"/>
          <w:szCs w:val="22"/>
        </w:rPr>
        <w:footnoteReference w:id="170"/>
      </w:r>
      <w:bookmarkStart w:id="282" w:name="_Toc440575569"/>
      <w:bookmarkStart w:id="283" w:name="_Toc440575839"/>
    </w:p>
    <w:p w:rsidR="00324CD5" w:rsidRDefault="00324CD5" w:rsidP="00324CD5">
      <w:pPr>
        <w:pStyle w:val="Heading3"/>
      </w:pPr>
      <w:bookmarkStart w:id="284" w:name="_Toc443049927"/>
      <w:bookmarkStart w:id="285" w:name="_Toc443660097"/>
      <w:bookmarkStart w:id="286" w:name="_Toc444095737"/>
      <w:bookmarkStart w:id="287" w:name="_Toc445192945"/>
      <w:bookmarkStart w:id="288" w:name="_Toc445193041"/>
      <w:bookmarkStart w:id="289" w:name="_Toc445193125"/>
      <w:bookmarkStart w:id="290" w:name="_Toc445276258"/>
      <w:bookmarkStart w:id="291" w:name="_Toc445367847"/>
      <w:bookmarkStart w:id="292" w:name="_Toc446937456"/>
      <w:bookmarkStart w:id="293" w:name="_Toc447116328"/>
      <w:bookmarkStart w:id="294" w:name="_Toc447121217"/>
      <w:r>
        <w:t>Providing Notice of Material Changes in BIAS Providers’ Privacy Policies</w:t>
      </w:r>
      <w:bookmarkEnd w:id="282"/>
      <w:bookmarkEnd w:id="283"/>
      <w:bookmarkEnd w:id="284"/>
      <w:bookmarkEnd w:id="285"/>
      <w:bookmarkEnd w:id="286"/>
      <w:bookmarkEnd w:id="287"/>
      <w:bookmarkEnd w:id="288"/>
      <w:bookmarkEnd w:id="289"/>
      <w:bookmarkEnd w:id="290"/>
      <w:bookmarkEnd w:id="291"/>
      <w:bookmarkEnd w:id="292"/>
      <w:bookmarkEnd w:id="293"/>
      <w:bookmarkEnd w:id="294"/>
    </w:p>
    <w:p w:rsidR="00324CD5" w:rsidRPr="00352411" w:rsidRDefault="00324CD5" w:rsidP="00324CD5">
      <w:pPr>
        <w:pStyle w:val="ParaNum"/>
        <w:rPr>
          <w:szCs w:val="22"/>
        </w:rPr>
      </w:pPr>
      <w:r>
        <w:t xml:space="preserve">In order to ensure that BIAS customers are fully informed of their providers’ privacy policies, and can exercise informed decisions about consenting to the use or sharing of customer PI, we propose to require BIAS providers to (1) notify their </w:t>
      </w:r>
      <w:r w:rsidRPr="00E5209C">
        <w:t>existing customers in advance</w:t>
      </w:r>
      <w:r>
        <w:t xml:space="preserve"> of any material changes in the BIAS provider’s privacy policies, and (2) include specific types of information within these notices of material changes.  Our proposal is consistent with, but more extensive than, the requirement we adopted in the </w:t>
      </w:r>
      <w:r w:rsidRPr="00352411">
        <w:rPr>
          <w:i/>
        </w:rPr>
        <w:t xml:space="preserve">2015 Open Internet Order </w:t>
      </w:r>
      <w:r>
        <w:t>that BIAS providers update the disclosure of their network practices, performance characteristics, and commercial terms (including privacy practices)</w:t>
      </w:r>
      <w:r>
        <w:rPr>
          <w:rStyle w:val="FootnoteReference"/>
        </w:rPr>
        <w:footnoteReference w:id="171"/>
      </w:r>
      <w:r>
        <w:t xml:space="preserve"> whenever there is a material change in that disclosure.</w:t>
      </w:r>
      <w:r>
        <w:rPr>
          <w:rStyle w:val="FootnoteReference"/>
        </w:rPr>
        <w:footnoteReference w:id="172"/>
      </w:r>
      <w:r>
        <w:t xml:space="preserve">  More specifically, we propose that a notice of material changes must:  </w:t>
      </w:r>
    </w:p>
    <w:p w:rsidR="00324CD5" w:rsidRDefault="00324CD5" w:rsidP="00DD1589">
      <w:pPr>
        <w:pStyle w:val="ParaNum"/>
        <w:numPr>
          <w:ilvl w:val="0"/>
          <w:numId w:val="6"/>
        </w:numPr>
        <w:rPr>
          <w:szCs w:val="22"/>
        </w:rPr>
      </w:pPr>
      <w:r>
        <w:rPr>
          <w:szCs w:val="22"/>
        </w:rPr>
        <w:t>Be clearly and conspicuously provided through (1) email or another electronic means of communication agreed upon by the customer and BIAS provider, (2) on customers’ bills for BIAS, and (3) via a link on the BIAS provider’s homepage, mobile application, and any functional equivalent.</w:t>
      </w:r>
    </w:p>
    <w:p w:rsidR="00324CD5" w:rsidRPr="00E31FAC" w:rsidRDefault="00324CD5" w:rsidP="00DD1589">
      <w:pPr>
        <w:pStyle w:val="ParaNum"/>
        <w:numPr>
          <w:ilvl w:val="0"/>
          <w:numId w:val="6"/>
        </w:numPr>
        <w:rPr>
          <w:szCs w:val="22"/>
        </w:rPr>
      </w:pPr>
      <w:r w:rsidRPr="00E31FAC">
        <w:rPr>
          <w:szCs w:val="22"/>
        </w:rPr>
        <w:t>Provide</w:t>
      </w:r>
      <w:r>
        <w:rPr>
          <w:szCs w:val="22"/>
        </w:rPr>
        <w:t xml:space="preserve"> a clear, conspicuous, and comprehensible</w:t>
      </w:r>
      <w:r w:rsidRPr="00E31FAC">
        <w:rPr>
          <w:szCs w:val="22"/>
        </w:rPr>
        <w:t xml:space="preserve"> explanation of:</w:t>
      </w:r>
    </w:p>
    <w:p w:rsidR="00324CD5" w:rsidRPr="00E31FAC" w:rsidRDefault="00324CD5" w:rsidP="00DD1589">
      <w:pPr>
        <w:pStyle w:val="ParaNum"/>
        <w:numPr>
          <w:ilvl w:val="0"/>
          <w:numId w:val="4"/>
        </w:numPr>
        <w:ind w:left="1800"/>
        <w:rPr>
          <w:szCs w:val="22"/>
        </w:rPr>
      </w:pPr>
      <w:r w:rsidRPr="00E31FAC">
        <w:rPr>
          <w:szCs w:val="22"/>
        </w:rPr>
        <w:t xml:space="preserve">The changes </w:t>
      </w:r>
      <w:r>
        <w:rPr>
          <w:szCs w:val="22"/>
        </w:rPr>
        <w:t xml:space="preserve">made to the BIAS provider’s </w:t>
      </w:r>
      <w:r w:rsidRPr="00E31FAC">
        <w:rPr>
          <w:szCs w:val="22"/>
        </w:rPr>
        <w:t>privacy policies, including any changes to what customer PI the BIAS provider collects, and how it uses</w:t>
      </w:r>
      <w:r>
        <w:rPr>
          <w:szCs w:val="22"/>
        </w:rPr>
        <w:t>, discloses, or permits access to</w:t>
      </w:r>
      <w:r w:rsidRPr="00E31FAC">
        <w:rPr>
          <w:szCs w:val="22"/>
        </w:rPr>
        <w:t xml:space="preserve"> such information;</w:t>
      </w:r>
    </w:p>
    <w:p w:rsidR="00324CD5" w:rsidRPr="00E31FAC" w:rsidRDefault="00324CD5" w:rsidP="00DD1589">
      <w:pPr>
        <w:pStyle w:val="ParaNum"/>
        <w:numPr>
          <w:ilvl w:val="0"/>
          <w:numId w:val="4"/>
        </w:numPr>
        <w:ind w:left="1800"/>
        <w:rPr>
          <w:szCs w:val="22"/>
        </w:rPr>
      </w:pPr>
      <w:r w:rsidRPr="00E31FAC">
        <w:rPr>
          <w:szCs w:val="22"/>
        </w:rPr>
        <w:t>The extent to which the customer has a right to disapprove such uses</w:t>
      </w:r>
      <w:r>
        <w:rPr>
          <w:szCs w:val="22"/>
        </w:rPr>
        <w:t>, disclosures, or access to</w:t>
      </w:r>
      <w:r w:rsidRPr="00E31FAC">
        <w:rPr>
          <w:szCs w:val="22"/>
        </w:rPr>
        <w:t xml:space="preserve"> such information and to deny or withdraw access to the customer PI at any time; and</w:t>
      </w:r>
    </w:p>
    <w:p w:rsidR="00324CD5" w:rsidRDefault="00324CD5" w:rsidP="00DD1589">
      <w:pPr>
        <w:pStyle w:val="ParaNum"/>
        <w:numPr>
          <w:ilvl w:val="0"/>
          <w:numId w:val="4"/>
        </w:numPr>
        <w:ind w:left="1800"/>
        <w:rPr>
          <w:szCs w:val="22"/>
        </w:rPr>
      </w:pPr>
      <w:r w:rsidRPr="005C00A0">
        <w:rPr>
          <w:szCs w:val="22"/>
        </w:rPr>
        <w:t xml:space="preserve">The precise steps the customer must take in order to grant or deny access to the </w:t>
      </w:r>
      <w:r>
        <w:rPr>
          <w:szCs w:val="22"/>
        </w:rPr>
        <w:t xml:space="preserve">customer’s </w:t>
      </w:r>
      <w:r w:rsidRPr="005C00A0">
        <w:rPr>
          <w:szCs w:val="22"/>
        </w:rPr>
        <w:t xml:space="preserve">PI.  The notice must clearly </w:t>
      </w:r>
      <w:r>
        <w:rPr>
          <w:szCs w:val="22"/>
        </w:rPr>
        <w:t>explain</w:t>
      </w:r>
      <w:r w:rsidRPr="005C00A0">
        <w:rPr>
          <w:szCs w:val="22"/>
        </w:rPr>
        <w:t xml:space="preserve"> that a denial of approval will not affect the provision of any services to which the customer subscribes.  However, the provider may provide a brief statement, in clear and neutral language, describing consequences directly resulting from the lack of access to the </w:t>
      </w:r>
      <w:r>
        <w:rPr>
          <w:szCs w:val="22"/>
        </w:rPr>
        <w:t>customer’s PI</w:t>
      </w:r>
      <w:r w:rsidRPr="005C00A0">
        <w:rPr>
          <w:szCs w:val="22"/>
        </w:rPr>
        <w:t>.</w:t>
      </w:r>
      <w:r>
        <w:rPr>
          <w:szCs w:val="22"/>
        </w:rPr>
        <w:t xml:space="preserve">  If accurate, a provider may also explain in the notice that the customer’s approval to use the customer’s PI may enhance the provider’s ability to offer products and services tailored to the customer’s needs.</w:t>
      </w:r>
    </w:p>
    <w:p w:rsidR="00324CD5" w:rsidRDefault="00324CD5" w:rsidP="00DD1589">
      <w:pPr>
        <w:pStyle w:val="ParaNum"/>
        <w:numPr>
          <w:ilvl w:val="0"/>
          <w:numId w:val="5"/>
        </w:numPr>
        <w:ind w:left="1080"/>
        <w:rPr>
          <w:szCs w:val="22"/>
        </w:rPr>
      </w:pPr>
      <w:r>
        <w:rPr>
          <w:szCs w:val="22"/>
        </w:rPr>
        <w:t xml:space="preserve">Explain that any approval or denial of approval for the use of </w:t>
      </w:r>
      <w:r>
        <w:t>customer PI</w:t>
      </w:r>
      <w:r>
        <w:rPr>
          <w:szCs w:val="22"/>
        </w:rPr>
        <w:t xml:space="preserve"> for purposes other than providing BIAS is valid until the customer affirmatively revokes such approval or denial.</w:t>
      </w:r>
    </w:p>
    <w:p w:rsidR="00324CD5" w:rsidRDefault="00324CD5" w:rsidP="00DD1589">
      <w:pPr>
        <w:pStyle w:val="ParaNum"/>
        <w:numPr>
          <w:ilvl w:val="0"/>
          <w:numId w:val="5"/>
        </w:numPr>
        <w:ind w:left="1080"/>
        <w:rPr>
          <w:szCs w:val="22"/>
        </w:rPr>
      </w:pPr>
      <w:r>
        <w:rPr>
          <w:szCs w:val="22"/>
        </w:rPr>
        <w:t>Be comprehensible and not misleading.</w:t>
      </w:r>
    </w:p>
    <w:p w:rsidR="00324CD5" w:rsidRDefault="00324CD5" w:rsidP="00DD1589">
      <w:pPr>
        <w:pStyle w:val="ParaNum"/>
        <w:numPr>
          <w:ilvl w:val="0"/>
          <w:numId w:val="5"/>
        </w:numPr>
        <w:ind w:left="1080"/>
        <w:rPr>
          <w:szCs w:val="22"/>
        </w:rPr>
      </w:pPr>
      <w:r>
        <w:rPr>
          <w:szCs w:val="22"/>
        </w:rPr>
        <w:t>Be clearly legible, use sufficiently large type, and be placed in an area so as to be readily apparent to customers.</w:t>
      </w:r>
    </w:p>
    <w:p w:rsidR="00324CD5" w:rsidRDefault="00324CD5" w:rsidP="00DD1589">
      <w:pPr>
        <w:pStyle w:val="ParaNum"/>
        <w:numPr>
          <w:ilvl w:val="0"/>
          <w:numId w:val="5"/>
        </w:numPr>
        <w:ind w:left="1080"/>
        <w:rPr>
          <w:szCs w:val="22"/>
        </w:rPr>
      </w:pPr>
      <w:r>
        <w:rPr>
          <w:szCs w:val="22"/>
        </w:rPr>
        <w:t>Have all portions of the notice translated into another language if any portion of the notice is translated into that language.</w:t>
      </w:r>
    </w:p>
    <w:p w:rsidR="00324CD5" w:rsidRDefault="00324CD5" w:rsidP="00324CD5">
      <w:pPr>
        <w:pStyle w:val="ParaNum"/>
      </w:pPr>
      <w:r>
        <w:t xml:space="preserve">We seek comment on our proposal.  In particular, we seek comment on whether the elements and disclosures that we propose to require as part of the notification of material changes are sufficient to provide customers with adequate and comprehensible notice of any material changes in their BIAS providers’ privacy policies.  Are there any additional disclosures not included in this proposed framework that might be helpful to consumers?  Are any of the proposed requirements unnecessary or potentially unhelpful to consumers?  Should we require that the notification triggered by this proposed provision occur within a specified timeframe in advance of the effectiveness of the provider’s material change?  If so, what is an appropriate timeframe during which BIAS providers should provide the notification?  The </w:t>
      </w:r>
      <w:r w:rsidRPr="007F7A5B">
        <w:rPr>
          <w:i/>
        </w:rPr>
        <w:t xml:space="preserve">2015 Open Internet Order </w:t>
      </w:r>
      <w:r>
        <w:t>defined a “material” change as “any change that a reasonable consumer or edge provider would consider important to their decisions on their choice of provider, service, or application.”</w:t>
      </w:r>
      <w:r>
        <w:rPr>
          <w:rStyle w:val="FootnoteReference"/>
        </w:rPr>
        <w:footnoteReference w:id="173"/>
      </w:r>
      <w:r>
        <w:t xml:space="preserve">  Do we need to update this definition to more clearly address privacy concerns raised by material changes?  </w:t>
      </w:r>
    </w:p>
    <w:p w:rsidR="00324CD5" w:rsidRDefault="00324CD5" w:rsidP="00324CD5">
      <w:pPr>
        <w:pStyle w:val="ParaNum"/>
      </w:pPr>
      <w:r>
        <w:t>Our proposal is consistent with industry guidelines and other standards regarding customer notice of material changes to privacy policies.</w:t>
      </w:r>
      <w:r>
        <w:rPr>
          <w:rStyle w:val="FootnoteReference"/>
        </w:rPr>
        <w:footnoteReference w:id="174"/>
      </w:r>
      <w:r>
        <w:t xml:space="preserve">  Our proposed rules build on these existing regulatory frameworks and our own existing material change disclosure requirement in an attempt to ensure that customers receive proper notice of any material changes in their BIAS providers’ privacy policies that may affect how those customers’ PI is used or disseminated, </w:t>
      </w:r>
      <w:r w:rsidRPr="00522C32">
        <w:rPr>
          <w:i/>
        </w:rPr>
        <w:t>before</w:t>
      </w:r>
      <w:r>
        <w:t xml:space="preserve"> such material changes are made.  We believe that by requiring BIAS providers to furnish their customers with advance notice of material changes to their privacy policies, our proposed requirement will help to ensure that the manner in which customer PI is being used and disclosed will remain transparent to customers, and will also enable customers to make informed decisions about whether to approve or disapprove any new uses or disclosures of their PI.  </w:t>
      </w:r>
    </w:p>
    <w:p w:rsidR="00324CD5" w:rsidRDefault="00324CD5" w:rsidP="00324CD5">
      <w:pPr>
        <w:pStyle w:val="ParaNum"/>
      </w:pPr>
      <w:r>
        <w:t>We believe that our proposal will also help to ensure that BIAS providers cannot materially alter their privacy practices and use or share customer PI in a way in which customers may not approve or may not envision prior to customers even being made aware of such an alteration in the first place.  Further, our proposed requirements that notices of material changes be clearly legible, placed in an area so as to be readily apparent to customers, and be provided through email or another electronic means of communication agreed upon by the customer and BIAS provider – as well as on customers’ bills for BIAS services and through a link on the BIAS provider’s homepage, mobile app, and any functional equivalent – will help ensure that customers have ample opportunity to learn of any material changes in their BIAS providers’ privacy practices.  This will also have the added benefit of informing interested members of the public, including privacy advocates, of any such material changes.</w:t>
      </w:r>
      <w:r>
        <w:rPr>
          <w:rStyle w:val="FootnoteReference"/>
        </w:rPr>
        <w:footnoteReference w:id="175"/>
      </w:r>
    </w:p>
    <w:p w:rsidR="00324CD5" w:rsidRDefault="00324CD5" w:rsidP="00324CD5">
      <w:pPr>
        <w:pStyle w:val="ParaNum"/>
      </w:pPr>
      <w:r>
        <w:t>We are particularly concerned about material changes to privacy policies that BIAS providers seek to make retroactive.  Our sister agency, the FTC, has also long held as a “bedrock principle” that companies should obtain affirmative express consent before making material retroactive changes to their privacy policies.</w:t>
      </w:r>
      <w:r>
        <w:rPr>
          <w:rStyle w:val="FootnoteReference"/>
        </w:rPr>
        <w:footnoteReference w:id="176"/>
      </w:r>
      <w:r>
        <w:t xml:space="preserve">  This principle is echoed in the Organization for Economic Cooperation and Development’s privacy guidelines, which require that data controllers specify the purpose of data use whenever those purposes change.</w:t>
      </w:r>
      <w:r>
        <w:rPr>
          <w:rStyle w:val="FootnoteReference"/>
        </w:rPr>
        <w:footnoteReference w:id="177"/>
      </w:r>
      <w:r>
        <w:t xml:space="preserve">  We seek comment on whether our proposed rules are sufficient to ensure that providers seeking to retroactively change their privacy policies obtain consent to any new or newly disclosed use or sharing of customer PI, and that they honor consumers’ decisions.   </w:t>
      </w:r>
    </w:p>
    <w:p w:rsidR="00324CD5" w:rsidRDefault="00324CD5" w:rsidP="00324CD5">
      <w:pPr>
        <w:pStyle w:val="ParaNum"/>
      </w:pPr>
      <w:bookmarkStart w:id="295" w:name="_Ref446580341"/>
      <w:r>
        <w:t>Finally, we seek comment on the burden that our proposed material change notice requirements will place on BIAS providers, particularly small providers.  What are the estimated costs of compliance, if any, that this framework will impose on BIAS providers?  Is there any way to modify our proposed material change rules so as to lessen the burden of these requirements on small providers while still achieving the Commission’s stated goals of increasing transparency in the BIAS market and keeping consumers well-informed of their BIAS providers’ privacy practices?</w:t>
      </w:r>
      <w:bookmarkEnd w:id="295"/>
    </w:p>
    <w:p w:rsidR="00324CD5" w:rsidRDefault="00324CD5" w:rsidP="00324CD5">
      <w:pPr>
        <w:pStyle w:val="Heading3"/>
      </w:pPr>
      <w:bookmarkStart w:id="296" w:name="_Toc440575570"/>
      <w:bookmarkStart w:id="297" w:name="_Toc440575840"/>
      <w:bookmarkStart w:id="298" w:name="_Toc443049928"/>
      <w:bookmarkStart w:id="299" w:name="_Toc443660098"/>
      <w:bookmarkStart w:id="300" w:name="_Toc444095738"/>
      <w:bookmarkStart w:id="301" w:name="_Toc445192946"/>
      <w:bookmarkStart w:id="302" w:name="_Toc445193042"/>
      <w:bookmarkStart w:id="303" w:name="_Toc445193126"/>
      <w:bookmarkStart w:id="304" w:name="_Toc445276259"/>
      <w:bookmarkStart w:id="305" w:name="_Toc445367848"/>
      <w:bookmarkStart w:id="306" w:name="_Toc446937457"/>
      <w:bookmarkStart w:id="307" w:name="_Toc447116329"/>
      <w:bookmarkStart w:id="308" w:name="_Toc447121218"/>
      <w:r>
        <w:t>Mobile-Specific Considerations</w:t>
      </w:r>
      <w:bookmarkEnd w:id="296"/>
      <w:bookmarkEnd w:id="297"/>
      <w:bookmarkEnd w:id="298"/>
      <w:bookmarkEnd w:id="299"/>
      <w:bookmarkEnd w:id="300"/>
      <w:bookmarkEnd w:id="301"/>
      <w:bookmarkEnd w:id="302"/>
      <w:bookmarkEnd w:id="303"/>
      <w:bookmarkEnd w:id="304"/>
      <w:bookmarkEnd w:id="305"/>
      <w:bookmarkEnd w:id="306"/>
      <w:bookmarkEnd w:id="307"/>
      <w:bookmarkEnd w:id="308"/>
    </w:p>
    <w:p w:rsidR="00324CD5" w:rsidRDefault="00324CD5" w:rsidP="00324CD5">
      <w:pPr>
        <w:pStyle w:val="ParaNum"/>
      </w:pPr>
      <w:r>
        <w:t>As a general matter, we do not see a justification for treating fixed and mobile BIAS differently.  However, we understand that there are fundamental differences between the two technologies: specifically, their mobility.  We therefore seek comment on whether there are any mobile-specific considerations to the notice requirements we have proposed above.  Given the increasing ubiquity of mobile devices in today’s society, we recognize that many consumers may utilize BIAS via a mobile platform—some to the exclusion of fixed devices.</w:t>
      </w:r>
      <w:r>
        <w:rPr>
          <w:rStyle w:val="FootnoteReference"/>
        </w:rPr>
        <w:footnoteReference w:id="178"/>
      </w:r>
      <w:r>
        <w:t xml:space="preserve">  We seek comment on the technical feasibility of our proposed notice requirements for mobile BIAS providers.  Are there any practical difficulties for providers of mobile BIAS in providing customers with adequate notice?  For instance, are there any ways in which our existing and proposed notice requirements can or should be tailored to the unique characteristics of mobile services and smaller screens?  Are our existing and proposed methods of notice adequate to ensure that mobile customers, specifically, are kept well-informed of their providers’ respective privacy policies, as well as any material changes to such policies?  What other types of notice, if any, should be required, specific to mobile BIAS providers?  Is there any reason to hold mobile BIAS providers to different notice requirements, or should they be obligated to comply with the same framework as non-mobile BIAS providers?  Why or why not?  How would any such mobile-specific requirements benefit users of mobile BIAS?  What would be the effect, if any, on broadband competition from having a different set of notice requirements applicable to mobile versus fixed BIAS providers?</w:t>
      </w:r>
    </w:p>
    <w:p w:rsidR="00324CD5" w:rsidRDefault="00324CD5" w:rsidP="00324CD5">
      <w:pPr>
        <w:pStyle w:val="Heading3"/>
      </w:pPr>
      <w:bookmarkStart w:id="309" w:name="_Toc440575571"/>
      <w:bookmarkStart w:id="310" w:name="_Toc440575841"/>
      <w:bookmarkStart w:id="311" w:name="_Toc443049929"/>
      <w:bookmarkStart w:id="312" w:name="_Toc443660099"/>
      <w:bookmarkStart w:id="313" w:name="_Toc444095739"/>
      <w:bookmarkStart w:id="314" w:name="_Toc445192947"/>
      <w:bookmarkStart w:id="315" w:name="_Toc445193043"/>
      <w:bookmarkStart w:id="316" w:name="_Toc445193127"/>
      <w:bookmarkStart w:id="317" w:name="_Toc445276260"/>
      <w:bookmarkStart w:id="318" w:name="_Toc445367849"/>
      <w:bookmarkStart w:id="319" w:name="_Ref446516692"/>
      <w:bookmarkStart w:id="320" w:name="_Toc446937458"/>
      <w:bookmarkStart w:id="321" w:name="_Toc447116330"/>
      <w:bookmarkStart w:id="322" w:name="_Toc447121219"/>
      <w:r>
        <w:t>Harmonizing Notices for Voice, Video, and Broadband Services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rsidR="00324CD5" w:rsidRDefault="00324CD5" w:rsidP="00324CD5">
      <w:pPr>
        <w:pStyle w:val="ParaNum"/>
      </w:pPr>
      <w:r>
        <w:t>We seek comment on whether the Commission should harmonize required privacy notices regarding the use of customer information for voice, video, and broadband services.  Section 64.2008 of the Commission’s rules requires telecommunications carriers to provide individual notice to customers when soliciting approval to use, disclose, or permit access to customers’ CPNI.</w:t>
      </w:r>
      <w:r>
        <w:rPr>
          <w:rStyle w:val="FootnoteReference"/>
        </w:rPr>
        <w:footnoteReference w:id="179"/>
      </w:r>
      <w:r>
        <w:t xml:space="preserve">  Additionally, Sections 631 and 338(i) of the Act require cable operators and satellite carriers to provide notice to their subscribers of the collection, use, and disclosure of subscribers’ personally identifiable information.</w:t>
      </w:r>
      <w:r>
        <w:rPr>
          <w:rStyle w:val="FootnoteReference"/>
        </w:rPr>
        <w:footnoteReference w:id="180"/>
      </w:r>
      <w:r>
        <w:t xml:space="preserve">  This notice must be provided at the point of sale and at least once a year thereafter.</w:t>
      </w:r>
      <w:r>
        <w:rPr>
          <w:rStyle w:val="FootnoteReference"/>
        </w:rPr>
        <w:footnoteReference w:id="181"/>
      </w:r>
      <w:r>
        <w:t xml:space="preserve">  We seek comment on the best way to harmonize privacy notice requirements for providers of voice, video, and broadband Internet access services.  </w:t>
      </w:r>
    </w:p>
    <w:p w:rsidR="00324CD5" w:rsidRDefault="00324CD5" w:rsidP="00324CD5">
      <w:pPr>
        <w:pStyle w:val="ParaNum"/>
      </w:pPr>
      <w:r>
        <w:t xml:space="preserve"> We observe that in today’s market of bundled communications services, many voice, broadband, and video providers offer multiple services.  Indeed, many companies currently offer double or triple play packages that typically include both BIAS and video services, or BIAS, video, and voice services, respectively.</w:t>
      </w:r>
      <w:bookmarkStart w:id="323" w:name="_Ref445295328"/>
      <w:r>
        <w:rPr>
          <w:rStyle w:val="FootnoteReference"/>
        </w:rPr>
        <w:footnoteReference w:id="182"/>
      </w:r>
      <w:bookmarkEnd w:id="323"/>
      <w:r>
        <w:t xml:space="preserve">  In a variety of proceedings, the </w:t>
      </w:r>
      <w:r w:rsidRPr="00AB7CAA">
        <w:t xml:space="preserve">Commission has recognized the nexus between providing </w:t>
      </w:r>
      <w:r>
        <w:t>broadband</w:t>
      </w:r>
      <w:r w:rsidRPr="00AB7CAA">
        <w:t xml:space="preserve"> a</w:t>
      </w:r>
      <w:r>
        <w:t>nd “triple play”</w:t>
      </w:r>
      <w:r w:rsidRPr="00AB7CAA">
        <w:t xml:space="preserve"> packages that include other services such as video p</w:t>
      </w:r>
      <w:r>
        <w:t>rogramming, and we have acknowledged that “‘a provider’</w:t>
      </w:r>
      <w:r w:rsidRPr="00AB7CAA">
        <w:t>s ability to offer video service and to deploy broadband networks are linked intrinsically, and the federal goals of enhanced cable competition and rapid broadband deployment are interrelated.</w:t>
      </w:r>
      <w:r>
        <w:t>’”</w:t>
      </w:r>
      <w:r>
        <w:rPr>
          <w:rStyle w:val="FootnoteReference"/>
        </w:rPr>
        <w:footnoteReference w:id="183"/>
      </w:r>
      <w:r>
        <w:t xml:space="preserve">  In light of the pre-existing notice requirements for providers of voice and video services, we seek comment on how we can minimize the burden of the notification processes proposed in this NPRM on BIAS providers.  </w:t>
      </w:r>
    </w:p>
    <w:p w:rsidR="00324CD5" w:rsidRDefault="00324CD5" w:rsidP="00324CD5">
      <w:pPr>
        <w:pStyle w:val="ParaNum"/>
      </w:pPr>
      <w:r>
        <w:t>We observe that some BIAS providers already provide one privacy notice for all of their bundled services on their websites.</w:t>
      </w:r>
      <w:r>
        <w:rPr>
          <w:rStyle w:val="FootnoteReference"/>
        </w:rPr>
        <w:footnoteReference w:id="184"/>
      </w:r>
      <w:r>
        <w:t xml:space="preserve">  Given that many providers are already providing a single notice of their privacy policies on their websites to all their voice, video, and BIAS customers, we seek comment on whether harmonizing the privacy notice requirements for these various types of services could lessen the burden imposed on providers.  More specifically, if a BIAS provider also provides privacy notices to customers under our voice rules and/or cable and satellite statutory requirements, should we allow that provider to combine the notices so that their customers only receive one notice as opposed to two or three?  Should we reconcile the types of information that are required to be in consumer privacy notices across voice, video, and broadband Internet access platforms so that a provider of these services need only send a single notice to customers regarding its privacy practices?  Is combining such notices likely to confuse customers?  Will requiring separate privacy notices for voice, video, and broadband Internet access services be more easily understood by customers?  Do the administrative costs of providing separate notices under the proposed rules as well as our voice and video rules outweigh any benefits to consumers of receiving these notices separately?</w:t>
      </w:r>
    </w:p>
    <w:p w:rsidR="00324CD5" w:rsidRDefault="00324CD5" w:rsidP="00324CD5">
      <w:pPr>
        <w:pStyle w:val="Heading2"/>
      </w:pPr>
      <w:bookmarkStart w:id="324" w:name="_Toc443660100"/>
      <w:bookmarkStart w:id="325" w:name="_Toc444095740"/>
      <w:bookmarkStart w:id="326" w:name="_Toc445192948"/>
      <w:bookmarkStart w:id="327" w:name="_Toc445193044"/>
      <w:bookmarkStart w:id="328" w:name="_Toc445193128"/>
      <w:bookmarkStart w:id="329" w:name="_Toc445276261"/>
      <w:bookmarkStart w:id="330" w:name="_Ref445284954"/>
      <w:bookmarkStart w:id="331" w:name="_Ref445294017"/>
      <w:bookmarkStart w:id="332" w:name="_Ref445294043"/>
      <w:bookmarkStart w:id="333" w:name="_Toc445367850"/>
      <w:bookmarkStart w:id="334" w:name="_Ref446516707"/>
      <w:bookmarkStart w:id="335" w:name="_Ref446518882"/>
      <w:bookmarkStart w:id="336" w:name="_Toc446937459"/>
      <w:bookmarkStart w:id="337" w:name="_Toc447116331"/>
      <w:bookmarkStart w:id="338" w:name="_Toc447121220"/>
      <w:bookmarkStart w:id="339" w:name="_Toc441849965"/>
      <w:bookmarkStart w:id="340" w:name="_Toc443049936"/>
      <w:bookmarkStart w:id="341" w:name="_Toc440575589"/>
      <w:bookmarkStart w:id="342" w:name="_Toc440575859"/>
      <w:bookmarkStart w:id="343" w:name="_Toc441849966"/>
      <w:r>
        <w:t>Customer Approval Requirements for the Use and Disclosure of Customer PI</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rsidR="00324CD5" w:rsidRDefault="00324CD5" w:rsidP="00324CD5">
      <w:pPr>
        <w:pStyle w:val="ParaNum"/>
      </w:pPr>
      <w:r>
        <w:t>In this section, we propose a framework that empowers customers to make informed decisions about the extent to which they will allow their BIAS providers to use, disclose, or permit access to customer proprietary information for purposes other than providing BIAS.</w:t>
      </w:r>
      <w:r>
        <w:rPr>
          <w:rStyle w:val="FootnoteReference"/>
        </w:rPr>
        <w:footnoteReference w:id="185"/>
      </w:r>
      <w:r>
        <w:t xml:space="preserve">  Choice is a critical component of protecting the confidentiality of customer proprietary information.  When armed with clear, truthful, and complete notice of how their information is being used, customers can still only protect their privacy if they have the ability to exercise their privacy choices in a meaningful way.</w:t>
      </w:r>
      <w:bookmarkStart w:id="344" w:name="_Ref446337492"/>
      <w:r>
        <w:rPr>
          <w:rStyle w:val="FootnoteReference"/>
        </w:rPr>
        <w:footnoteReference w:id="186"/>
      </w:r>
      <w:bookmarkEnd w:id="344"/>
      <w:r>
        <w:t xml:space="preserve">  Empowering customers with control over their information does not, however, mean prohibiting all uses of their information, or bombarding them with constant solicitations for approval.</w:t>
      </w:r>
      <w:bookmarkStart w:id="345" w:name="_Ref445295756"/>
      <w:r>
        <w:rPr>
          <w:rStyle w:val="FootnoteReference"/>
        </w:rPr>
        <w:footnoteReference w:id="187"/>
      </w:r>
      <w:bookmarkEnd w:id="345"/>
      <w:r>
        <w:t xml:space="preserve">  BIAS providers may make many beneficial uses and disclosures of customer PI, and we do not propose to prevent these, so long as customers can exercise their choice in the matter.  We therefore offer a proposed consumer choice framework that allows BIAS providers to engage in certain necessary and beneficial uses and sharing of information without the need for additional customer approval (such as providing service itself, or facilitating emergency response to 911 calls), as well as an efficient means of facilitating customer decisions regarding BIAS provider use and sharing of customer PI.</w:t>
      </w:r>
    </w:p>
    <w:p w:rsidR="00324CD5" w:rsidRDefault="00324CD5" w:rsidP="00324CD5">
      <w:pPr>
        <w:pStyle w:val="ParaNum"/>
      </w:pPr>
      <w:r>
        <w:t>We begin this section by addressing the types of customer approval we propose to require for BIAS providers to use customer PI, and for BIAS providers to disclose customer PI to their affiliates and third parties.  Section 222 and our current CPNI rules provide different levels of customer approval depending on the type of uses and the user, and we propose to do the same here.</w:t>
      </w:r>
      <w:r>
        <w:rPr>
          <w:rStyle w:val="FootnoteReference"/>
        </w:rPr>
        <w:footnoteReference w:id="188"/>
      </w:r>
      <w:r>
        <w:t xml:space="preserve">  Specifically, we propose to require BIAS providers to give a customer the opportunity to opt out of the use or sharing of her customer PI prior to the BIAS provider (1) using the customer’s PI to market other communications-related services to the customer; or (2) sharing the customer’s PI with affiliates that provide communications-related services, in order to market those communications-related services to the customer.  We also propose to require BIAS providers to solicit and receive opt-in approval from a customer before using customer PI for other purposes and before disclosing customer PI to (1) affiliates that do not provide communications-related services and (2) all non-affiliate third parties.  We also seek comment on other approaches to seeking customer approval.</w:t>
      </w:r>
    </w:p>
    <w:p w:rsidR="00324CD5" w:rsidRDefault="00324CD5" w:rsidP="00324CD5">
      <w:pPr>
        <w:pStyle w:val="ParaNum"/>
      </w:pPr>
      <w:r>
        <w:t>Second, we propose and seek comment on when BIAS providers should notify customers of their opportunities to approve or disapprove the use or disclosure of their information; the forms that such notification and solicitation should take, including how customers should be able to exercise their approval or disapproval; and how and when customers’ choices take effect.  Third, we propose and seek comment on how BIAS providers should document their compliance with the proposed rules.  Fourth, we seek comment on the applicability of these proposals to small BIAS providers.  Fifth, recognizing that the framework proposed here differs from the current framework in place for voice providers, we seek comment on whether we should harmonize the two frameworks, or otherwise revise and modernize the existing voice framework.</w:t>
      </w:r>
      <w:r w:rsidR="009721BF">
        <w:t xml:space="preserve">  We also seek comment on harmonizing the approval requirements for cable and satellite providers under Sections 631 and 338(i) of the Act with those we propose for BIAS providers.</w:t>
      </w:r>
      <w:r>
        <w:t xml:space="preserve"> </w:t>
      </w:r>
    </w:p>
    <w:p w:rsidR="00324CD5" w:rsidRDefault="00324CD5" w:rsidP="00324CD5">
      <w:pPr>
        <w:pStyle w:val="Heading3"/>
      </w:pPr>
      <w:bookmarkStart w:id="346" w:name="_Toc443049931"/>
      <w:bookmarkStart w:id="347" w:name="_Toc443660101"/>
      <w:bookmarkStart w:id="348" w:name="_Toc444095741"/>
      <w:bookmarkStart w:id="349" w:name="_Toc445192949"/>
      <w:bookmarkStart w:id="350" w:name="_Toc445193045"/>
      <w:bookmarkStart w:id="351" w:name="_Toc445193129"/>
      <w:bookmarkStart w:id="352" w:name="_Toc445276262"/>
      <w:bookmarkStart w:id="353" w:name="_Toc445367851"/>
      <w:bookmarkStart w:id="354" w:name="_Ref446516831"/>
      <w:bookmarkStart w:id="355" w:name="_Toc446937460"/>
      <w:bookmarkStart w:id="356" w:name="_Toc447116332"/>
      <w:bookmarkStart w:id="357" w:name="_Toc447121221"/>
      <w:bookmarkStart w:id="358" w:name="_Ref440452432"/>
      <w:bookmarkStart w:id="359" w:name="_Toc440575573"/>
      <w:bookmarkStart w:id="360" w:name="_Toc440575843"/>
      <w:r>
        <w:t>Types of Approval Required for Use and Disclosure of Customer PI</w:t>
      </w:r>
      <w:bookmarkEnd w:id="346"/>
      <w:bookmarkEnd w:id="347"/>
      <w:bookmarkEnd w:id="348"/>
      <w:bookmarkEnd w:id="349"/>
      <w:bookmarkEnd w:id="350"/>
      <w:bookmarkEnd w:id="351"/>
      <w:bookmarkEnd w:id="352"/>
      <w:bookmarkEnd w:id="353"/>
      <w:bookmarkEnd w:id="354"/>
      <w:bookmarkEnd w:id="355"/>
      <w:bookmarkEnd w:id="356"/>
      <w:bookmarkEnd w:id="357"/>
    </w:p>
    <w:p w:rsidR="00324CD5" w:rsidRDefault="00324CD5" w:rsidP="00324CD5">
      <w:pPr>
        <w:pStyle w:val="ParaNum"/>
      </w:pPr>
      <w:r>
        <w:t>In this section, we propose rules addressing the type of customer approval required for the use and sharing of customer PI.  Customers’ privacy is affected differently depending upon the entity using or accessing their private information and the purposes for which that information is being used.  Each of these factors can independently affect the privacy impact of a given practice.  For instance, customers who would not object to their BIAS provider using information about their bandwidth use to market a different monthly plan may object to that same information being disclosed to third parties.</w:t>
      </w:r>
      <w:r>
        <w:rPr>
          <w:rStyle w:val="FootnoteReference"/>
        </w:rPr>
        <w:footnoteReference w:id="189"/>
      </w:r>
      <w:r>
        <w:t xml:space="preserve">  Meanwhile, customers may object even to uses of the same information for unexpected purposes, such as marketing wholly unrelated services to the customer.</w:t>
      </w:r>
      <w:r>
        <w:rPr>
          <w:rStyle w:val="FootnoteReference"/>
        </w:rPr>
        <w:footnoteReference w:id="190"/>
      </w:r>
      <w:r>
        <w:t xml:space="preserve">  We therefore propose a framework to take these factors into account.  We welcome comment on this approach.</w:t>
      </w:r>
    </w:p>
    <w:p w:rsidR="00324CD5" w:rsidRDefault="00324CD5" w:rsidP="00324CD5">
      <w:pPr>
        <w:pStyle w:val="ParaNum"/>
      </w:pPr>
      <w:r>
        <w:t xml:space="preserve">Below, we first address uses and disclosure that do not require approval, or for which we propose to treat customer approval as implied.  We then address the circumstances under which we propose to require customer opt-out and opt-in approval for the use and disclosure of customer PI.  Finally, we seek comment on alternative frameworks for customer choice.   </w:t>
      </w:r>
    </w:p>
    <w:p w:rsidR="00324CD5" w:rsidRDefault="00324CD5" w:rsidP="00324CD5">
      <w:pPr>
        <w:pStyle w:val="Heading4"/>
      </w:pPr>
      <w:bookmarkStart w:id="361" w:name="_Toc441849951"/>
      <w:bookmarkStart w:id="362" w:name="_Toc443660102"/>
      <w:bookmarkStart w:id="363" w:name="_Toc445192950"/>
      <w:bookmarkStart w:id="364" w:name="_Toc445193046"/>
      <w:bookmarkStart w:id="365" w:name="_Ref445294974"/>
      <w:bookmarkStart w:id="366" w:name="_Ref445295031"/>
      <w:bookmarkStart w:id="367" w:name="_Ref445295059"/>
      <w:bookmarkStart w:id="368" w:name="_Ref445295412"/>
      <w:bookmarkStart w:id="369" w:name="_Ref445295511"/>
      <w:bookmarkStart w:id="370" w:name="_Ref446516728"/>
      <w:r>
        <w:t>Permissible Uses and Disclosures of Customer PI For Which Customer Approval Is Implied</w:t>
      </w:r>
      <w:bookmarkEnd w:id="358"/>
      <w:bookmarkEnd w:id="359"/>
      <w:bookmarkEnd w:id="360"/>
      <w:bookmarkEnd w:id="361"/>
      <w:r>
        <w:t xml:space="preserve"> or Unnecessary</w:t>
      </w:r>
      <w:bookmarkEnd w:id="362"/>
      <w:bookmarkEnd w:id="363"/>
      <w:bookmarkEnd w:id="364"/>
      <w:bookmarkEnd w:id="365"/>
      <w:bookmarkEnd w:id="366"/>
      <w:bookmarkEnd w:id="367"/>
      <w:bookmarkEnd w:id="368"/>
      <w:bookmarkEnd w:id="369"/>
      <w:bookmarkEnd w:id="370"/>
    </w:p>
    <w:p w:rsidR="00324CD5" w:rsidRDefault="00324CD5" w:rsidP="00324CD5">
      <w:pPr>
        <w:pStyle w:val="ParaNum"/>
      </w:pPr>
      <w:r>
        <w:t>In this section, we seek comment on how to implement Section 222(c)(1)’s direction that broadband providers may use, disclose, or permit access to individually identifiable CPNI without customer approval in their provision of BIAS or “services necessary to, or used in, the provision” of BIAS.</w:t>
      </w:r>
      <w:r>
        <w:rPr>
          <w:rStyle w:val="FootnoteReference"/>
        </w:rPr>
        <w:footnoteReference w:id="191"/>
      </w:r>
      <w:r>
        <w:t xml:space="preserve">  We also propose to implement the goals of the statutory exceptions found in Section 222(d)—which permit BIAS providers to use, disclose, or permit access to CPNI without customer approval</w:t>
      </w:r>
      <w:r w:rsidRPr="00B62CAA">
        <w:t xml:space="preserve"> </w:t>
      </w:r>
      <w:r>
        <w:t>in specifically enumerated circumstances—to all customer PI in the broadband context, and below, propose rules that adapt those provisions to BIAS.  We believe that our proposed implementation of these provisions in the broadband context is consistent with customer expectations, necessary for the efficient delivery of BIAS, and essential to allow emergency and law enforcement personnel to respond quickly and effectively during those times when their services are needed the most.</w:t>
      </w:r>
    </w:p>
    <w:p w:rsidR="00324CD5" w:rsidRDefault="00324CD5" w:rsidP="00324CD5">
      <w:pPr>
        <w:pStyle w:val="ParaNum"/>
      </w:pPr>
      <w:r>
        <w:rPr>
          <w:i/>
        </w:rPr>
        <w:t xml:space="preserve">Services for Which Consent to the Use of Customer PI Is </w:t>
      </w:r>
      <w:r w:rsidRPr="009F3E05">
        <w:rPr>
          <w:i/>
        </w:rPr>
        <w:t>Implied</w:t>
      </w:r>
      <w:r>
        <w:t>.  Section 222(c)(1) permits a BIAS provider to “use, disclose, or permit access to individually identifiable [CPNI] in its provision of (A) the telecommunications service from which such information is derived, or (B) services necessary to, or used in, the provision of such telecommunications service.”</w:t>
      </w:r>
      <w:r>
        <w:rPr>
          <w:rStyle w:val="FootnoteReference"/>
        </w:rPr>
        <w:footnoteReference w:id="192"/>
      </w:r>
      <w:r>
        <w:t xml:space="preserve">  We seek comment on how to apply this in the broadband context.  In particular, how should we interpret the scope of activities that are “in the provision” of BIAS?  We also seek comment on how we should interpret the clause “services necessary to, or used in, the provision” of broadband service in the BIAS context.  </w:t>
      </w:r>
    </w:p>
    <w:p w:rsidR="00324CD5" w:rsidRDefault="00324CD5" w:rsidP="00324CD5">
      <w:pPr>
        <w:pStyle w:val="ParaNum"/>
      </w:pPr>
      <w:r>
        <w:t>We propose to allow BIAS providers to use any customer PI, and not only CPNI, for the purpose of providing BIAS or services necessary to, or used in, the provision of BIAS.  Is such a permissive expansion consistent with Congress’ direction that telecommunications carriers “protect the confidentiality of proprietary information of, and relating to . . . customers”?</w:t>
      </w:r>
      <w:r>
        <w:rPr>
          <w:rStyle w:val="FootnoteReference"/>
        </w:rPr>
        <w:footnoteReference w:id="193"/>
      </w:r>
      <w:r>
        <w:t xml:space="preserve">  Why or why not?  Is it necessary for BIAS providers to use customer PI other than CPNI to provide BIAS?  We also note that Section 222(c)(1) does not restrict uses or disclosures of CPNI that are “required by law,” and seek comment whether our rules need to explicitly recognize that BIAS providers may disclose any customer PI as required by law, including information that is not specifically CPNI.</w:t>
      </w:r>
    </w:p>
    <w:p w:rsidR="00324CD5" w:rsidRDefault="00324CD5" w:rsidP="00324CD5">
      <w:pPr>
        <w:pStyle w:val="ParaNum"/>
      </w:pPr>
      <w:r>
        <w:t>We also propose to adopt rules permitting BIAS providers to use customer PI for the purpose of marketing additional BIAS offerings in the same category of service (</w:t>
      </w:r>
      <w:r w:rsidRPr="00942EC2">
        <w:t>e.g.,</w:t>
      </w:r>
      <w:r>
        <w:t xml:space="preserve"> fixed or mobile BIAS) to the customer, when the customer already subscribes to that category of service from the same provider without providing the opportunity to provide opt-out or opt-in consent.  We observe that the current Section 222 rules permit carriers to “use, disclose, or permit access to CPNI for the purpose of . . . marketing service offerings among the categories of service (</w:t>
      </w:r>
      <w:r>
        <w:rPr>
          <w:i/>
        </w:rPr>
        <w:t>i.e.</w:t>
      </w:r>
      <w:r>
        <w:t>, local, interexchange, and commercial mobile radio service (CMRS)) to which the customer already subscribes from the same carrier, without customer approval.”</w:t>
      </w:r>
      <w:r>
        <w:rPr>
          <w:rStyle w:val="FootnoteReference"/>
        </w:rPr>
        <w:footnoteReference w:id="194"/>
      </w:r>
      <w:r>
        <w:t xml:space="preserve">  Given the additional types of customer PI and CPNI available to BIAS providers today, and the ways such information may impact the privacy of customers,</w:t>
      </w:r>
      <w:r>
        <w:rPr>
          <w:rStyle w:val="FootnoteReference"/>
        </w:rPr>
        <w:footnoteReference w:id="195"/>
      </w:r>
      <w:r>
        <w:t xml:space="preserve"> will permitting BIAS providers to use customer PI for their own BIAS marketing purposes without explicit customer approval adequately protect customer privacy in the broadband context?  Are there some forms of customer PI that a BIAS provider should not be permitted to use in this context without receiving additional consent from its subscribers?  As discussed above, if we find that Section 222 provides protections for the content of communications, we think that use of content should be subject to heightened approval requirements.</w:t>
      </w:r>
      <w:r>
        <w:rPr>
          <w:rStyle w:val="FootnoteReference"/>
        </w:rPr>
        <w:footnoteReference w:id="196"/>
      </w:r>
      <w:r>
        <w:t xml:space="preserve">  What sort of requirements should we apply to a provider’s use of content for purposes of marketing BIAS to an existing BIAS customer?  We also seek comment whether (1) permitting broadband providers to use customer PI to market broadband services to the customers in this manner is within the bounds of authority contemplated by the statute, and (2) whether we should revise our existing Section 222 rules to limit the exception to “use” of CPNI, or otherwise revise our rules.    </w:t>
      </w:r>
    </w:p>
    <w:p w:rsidR="00324CD5" w:rsidRDefault="00324CD5" w:rsidP="00324CD5">
      <w:pPr>
        <w:pStyle w:val="ParaNum"/>
      </w:pPr>
      <w:r>
        <w:rPr>
          <w:i/>
        </w:rPr>
        <w:t>Statutory Exceptions.</w:t>
      </w:r>
      <w:r>
        <w:t xml:space="preserve">  Under Section 222(d) of the Act, providers may use, disclose, or permit access to CPNI, without customer notice or approval, to: (1) initiate, render, bill, and collect for broadband services; (2) protect the rights or property of the provider, or to protect users and other providers from fraudulent, abusive, or unlawful use of, or subscription to, broadband services; (3) provide any inbound telemarketing, referral, or administrative services to the customer for the duration of a call, if such call was initiated by the customer and the customer approves of the use of such information to provide service; and (4) provide call location information concerning the user of a commercial mobile radio service or an IP-enabled voice service in certain specified emergency situations.</w:t>
      </w:r>
      <w:r>
        <w:rPr>
          <w:rStyle w:val="FootnoteReference"/>
        </w:rPr>
        <w:footnoteReference w:id="197"/>
      </w:r>
      <w:r>
        <w:t xml:space="preserve">  We propose to adopt these exceptions, tailored to the broadband context, to the use or disclosure of all customer PI.  We seek comment on our proposal and on potential alternatives.</w:t>
      </w:r>
    </w:p>
    <w:p w:rsidR="00324CD5" w:rsidRPr="00EE00B8" w:rsidRDefault="00324CD5" w:rsidP="00324CD5">
      <w:pPr>
        <w:pStyle w:val="ParaNum"/>
      </w:pPr>
      <w:r w:rsidRPr="00EE00B8">
        <w:t>Section</w:t>
      </w:r>
      <w:r w:rsidRPr="000F58CE">
        <w:t xml:space="preserve"> 222(d)(4) permits providers to use and disclose CPNI to provide “call location information” concerning the user of a commercial mobile service for public safety</w:t>
      </w:r>
      <w:r w:rsidRPr="00EE00B8">
        <w:t>.</w:t>
      </w:r>
      <w:r w:rsidRPr="00EE00B8">
        <w:rPr>
          <w:rStyle w:val="FootnoteReference"/>
        </w:rPr>
        <w:footnoteReference w:id="198"/>
      </w:r>
      <w:r w:rsidRPr="000F58CE">
        <w:t xml:space="preserve">  We believe that the critical public safety purposes </w:t>
      </w:r>
      <w:r>
        <w:t>that</w:t>
      </w:r>
      <w:r w:rsidRPr="000F58CE">
        <w:t xml:space="preserve"> underlie this </w:t>
      </w:r>
      <w:r w:rsidRPr="00EE00B8">
        <w:t>provision</w:t>
      </w:r>
      <w:r w:rsidRPr="000F58CE">
        <w:t xml:space="preserve"> counsel in favor of </w:t>
      </w:r>
      <w:r w:rsidRPr="00EE00B8">
        <w:t xml:space="preserve">applying a similar rule in the broadband context, </w:t>
      </w:r>
      <w:r>
        <w:t xml:space="preserve">and that </w:t>
      </w:r>
      <w:r w:rsidRPr="00EE00B8">
        <w:t>providing customer PI to emergency services</w:t>
      </w:r>
      <w:r>
        <w:t>, to immediate family members in case of emergency, or to providers of information or database management services for the delivery of emergency services,</w:t>
      </w:r>
      <w:r w:rsidRPr="00EE00B8">
        <w:t xml:space="preserve"> </w:t>
      </w:r>
      <w:r>
        <w:t>are uses</w:t>
      </w:r>
      <w:r w:rsidRPr="00EE00B8">
        <w:t xml:space="preserve"> for which customer approval is implied.</w:t>
      </w:r>
      <w:r>
        <w:t xml:space="preserve">  We </w:t>
      </w:r>
      <w:r w:rsidRPr="00EE00B8">
        <w:t xml:space="preserve">therefore propose </w:t>
      </w:r>
      <w:r>
        <w:t xml:space="preserve">to allow </w:t>
      </w:r>
      <w:r w:rsidRPr="00EE00B8">
        <w:t xml:space="preserve">BIAS providers </w:t>
      </w:r>
      <w:r>
        <w:t>to use or disclose</w:t>
      </w:r>
      <w:r w:rsidRPr="00EE00B8">
        <w:t xml:space="preserve"> any geo</w:t>
      </w:r>
      <w:r>
        <w:t>-</w:t>
      </w:r>
      <w:r w:rsidRPr="00EE00B8">
        <w:t>location information, or other customer PI, for these purposes</w:t>
      </w:r>
      <w:r w:rsidRPr="000F58CE">
        <w:t>.  We also propose to permit BIAS providers to use or disclose location information to support Public Safety Answering Point (PSAP) queries pursuant to the full range of next generation 911 (NG911) calling alternatives, including voice, text, video, and data, in addition to the circumstances delineated by statute.</w:t>
      </w:r>
      <w:r w:rsidRPr="000F58CE">
        <w:rPr>
          <w:rStyle w:val="FootnoteReference"/>
        </w:rPr>
        <w:footnoteReference w:id="199"/>
      </w:r>
      <w:r w:rsidRPr="000F58CE">
        <w:t xml:space="preserve">  Our </w:t>
      </w:r>
      <w:r w:rsidRPr="00EE00B8">
        <w:t>proposal</w:t>
      </w:r>
      <w:r w:rsidRPr="000F58CE">
        <w:t xml:space="preserve"> will help ensure that PSAPs and emergency personnel have timely access to the </w:t>
      </w:r>
      <w:r w:rsidRPr="00EE00B8">
        <w:t xml:space="preserve">full set of </w:t>
      </w:r>
      <w:r w:rsidRPr="000F58CE">
        <w:t>information they</w:t>
      </w:r>
      <w:r w:rsidRPr="00EE00B8">
        <w:t xml:space="preserve"> may</w:t>
      </w:r>
      <w:r w:rsidRPr="000F58CE">
        <w:t xml:space="preserve"> need to respond quickly and effectively to locate and aid not only users of legacy voice services, but users of data, video, and text services as well.  </w:t>
      </w:r>
      <w:r>
        <w:t xml:space="preserve">We also seek comment whether BIAS providers must support automated requests from PSAPs, to ensure that emergency response is not hampered by time-consuming or inefficient processes for necessary information.  </w:t>
      </w:r>
      <w:r w:rsidRPr="000F58CE">
        <w:t xml:space="preserve">We seek comment on our proposed application of this statutory provision in the broadband context and on potential alternative approaches to the </w:t>
      </w:r>
      <w:r>
        <w:t>Section</w:t>
      </w:r>
      <w:r w:rsidRPr="000F58CE">
        <w:t xml:space="preserve"> 222(d)(4) exception.  </w:t>
      </w:r>
      <w:r w:rsidRPr="00EE00B8">
        <w:t xml:space="preserve">Alternatively, we seek comment whether we could directly apply the provisions of </w:t>
      </w:r>
      <w:r>
        <w:t>Section</w:t>
      </w:r>
      <w:r w:rsidRPr="00EE00B8">
        <w:t xml:space="preserve"> 222(d)(4) to BIAS, by interpreting “call location information” to mean “broadband usage location information.”  </w:t>
      </w:r>
    </w:p>
    <w:p w:rsidR="00324CD5" w:rsidRDefault="00324CD5" w:rsidP="00324CD5">
      <w:pPr>
        <w:pStyle w:val="ParaNum"/>
      </w:pPr>
      <w:r>
        <w:t>In addition, we propose to interpret Section 222(d)(2) to permit BIAS providers to use or disclose CPNI whenever reasonably necessary to protect themselves or others from cyber security threats or vulnerabilities.</w:t>
      </w:r>
      <w:r>
        <w:rPr>
          <w:rStyle w:val="FootnoteReference"/>
        </w:rPr>
        <w:footnoteReference w:id="200"/>
      </w:r>
      <w:r>
        <w:t xml:space="preserve">  Section 222(d)(2) permits providers to use CPNI to </w:t>
      </w:r>
      <w:r w:rsidRPr="00C8528A">
        <w:t>protect the rights or property of the carrier, or to protect users of those services and other carriers from fraudulent, abusive, or unlawful use of, or subscription to, such services</w:t>
      </w:r>
      <w:r>
        <w:t xml:space="preserve">.  We believe that this proposal comports with the statute, because cyber security threats and vulnerabilities frequently harm the rights or property of providers, and typically harm users </w:t>
      </w:r>
      <w:r w:rsidRPr="00E26AEA">
        <w:t xml:space="preserve">of those services and other carriers </w:t>
      </w:r>
      <w:r>
        <w:t>through the</w:t>
      </w:r>
      <w:r w:rsidRPr="00E26AEA">
        <w:t xml:space="preserve"> fraudulent, abusive, or unlawful use of, or subscription to, such services</w:t>
      </w:r>
      <w:r>
        <w:t>.  Furthermore, we note that other statutes explicitly permit particular types of disclosure, which may encompass customer PI.</w:t>
      </w:r>
      <w:r>
        <w:rPr>
          <w:rStyle w:val="FootnoteReference"/>
        </w:rPr>
        <w:footnoteReference w:id="201"/>
      </w:r>
      <w:r>
        <w:t xml:space="preserve">  We seek comment on this proposal.  Should we extend this exception to include all customer PI?  What, if any, guidance should we provide about what constitutes a cybersecurity threat entitled to this exception?</w:t>
      </w:r>
    </w:p>
    <w:p w:rsidR="00324CD5" w:rsidRDefault="00324CD5" w:rsidP="00324CD5">
      <w:pPr>
        <w:pStyle w:val="ParaNum"/>
      </w:pPr>
      <w:r>
        <w:t>We also propose to interpret Section 222(d)(2) to allow telecommunications carriers to use or disclose calling party phone numbers, including phone numbers being spoofed by callers, without additional customer consent when doing so will help protect customers from abusive, fraudulent or unlawful robocalls.  Month after month, unwanted voice robocalls and texts (together, “robocalls”) top the list of consumer complaints we receive at the Commission.</w:t>
      </w:r>
      <w:r>
        <w:rPr>
          <w:rStyle w:val="FootnoteReference"/>
        </w:rPr>
        <w:footnoteReference w:id="202"/>
      </w:r>
      <w:r>
        <w:t xml:space="preserve">  At best, robocalls represent an annoyance; at worst they can lead to abuse and fraud.</w:t>
      </w:r>
      <w:r>
        <w:rPr>
          <w:rStyle w:val="FootnoteReference"/>
        </w:rPr>
        <w:footnoteReference w:id="203"/>
      </w:r>
      <w:r>
        <w:t xml:space="preserve">  All concerned parties—regulators, providers, and consumer advocates—agree that better call blocking and filtering solutions are critical to helping consumers.</w:t>
      </w:r>
      <w:r>
        <w:rPr>
          <w:rStyle w:val="FootnoteReference"/>
        </w:rPr>
        <w:footnoteReference w:id="204"/>
      </w:r>
      <w:r>
        <w:t xml:space="preserve">  To that end, we recently clarified that voice providers may offer their customers call blocking solutions without violating their call completion requirements, and encouraged providers to offer those solutions.</w:t>
      </w:r>
      <w:r>
        <w:rPr>
          <w:rStyle w:val="FootnoteReference"/>
        </w:rPr>
        <w:footnoteReference w:id="205"/>
      </w:r>
      <w:r>
        <w:t xml:space="preserve">  We expect that sharing of calling party information to prevent robocalls will benefit consumers. We seek comment on this proposal, and on how well it fits within the framework of 222(d)(2).  Is it consistent with customer expectations?   </w:t>
      </w:r>
    </w:p>
    <w:p w:rsidR="00324CD5" w:rsidRDefault="00324CD5" w:rsidP="00324CD5">
      <w:pPr>
        <w:pStyle w:val="ParaNum"/>
      </w:pPr>
      <w:r>
        <w:t>We also seek comment on what other customer PI telecommunications carriers, including interconnected VoIP providers, should be allowed to use or share without additional consumer consent pursuant to Section 222(d)(2) in order to prevent abusive, fraudulent</w:t>
      </w:r>
      <w:r w:rsidR="00746CA3">
        <w:t>,</w:t>
      </w:r>
      <w:r>
        <w:t xml:space="preserve"> or unlawful robocalls.</w:t>
      </w:r>
      <w:r w:rsidRPr="00B6137D">
        <w:t xml:space="preserve"> </w:t>
      </w:r>
      <w:r>
        <w:t xml:space="preserve"> What other types of customer PI could help prevent robocalls, if shared with other providers and third party robocall solution providers</w:t>
      </w:r>
      <w:r w:rsidRPr="00B6137D">
        <w:t xml:space="preserve">? </w:t>
      </w:r>
      <w:r>
        <w:t xml:space="preserve"> Are BIAS or other providers already using or sharing some types of customer PI to mitigate the propagation of traffic that is fraudulent, abusive, or unlawful?  If so, are there lessons that can be learned about the use or sharing of information that will assist in the fight against robocalls?</w:t>
      </w:r>
    </w:p>
    <w:p w:rsidR="00324CD5" w:rsidRDefault="00324CD5" w:rsidP="00324CD5">
      <w:pPr>
        <w:pStyle w:val="ParaNum"/>
      </w:pPr>
      <w:r>
        <w:t>We also seek comment on whether we should expand the exceptions in Section 222(d) in the broadband context to permit broadband providers to use all customer PI for these delineated purposes.  Is there any reason why providers would need to use customer PI that is not CPNI for the purposes Congress enumerated?  If so, would such needs be outweighed by the countervailing interest in protecting the privacy of customer information?</w:t>
      </w:r>
    </w:p>
    <w:p w:rsidR="00324CD5" w:rsidRDefault="00324CD5" w:rsidP="004F400E">
      <w:pPr>
        <w:pStyle w:val="ParaNum"/>
        <w:widowControl/>
      </w:pPr>
      <w:r>
        <w:t>Finally, consistent with our findings in the voice context, we propose to permit broadband providers to use CPNI without customer approval in the provision of inside wiring installation, maintenance, and repair services.</w:t>
      </w:r>
      <w:r>
        <w:rPr>
          <w:rStyle w:val="FootnoteReference"/>
        </w:rPr>
        <w:footnoteReference w:id="206"/>
      </w:r>
      <w:r>
        <w:t xml:space="preserve">  We seek comment on this proposal, and specifically whether commenters believe there is any reason not to apply this provision in the broadband context.  We also seek comment whether we should establish any other exceptions to our proposed framework.  For instance, the existing CPNI rules permit providers to use or disclose information for the limited purpose of conducting research on the health effects of CMRS.</w:t>
      </w:r>
      <w:r>
        <w:rPr>
          <w:rStyle w:val="FootnoteReference"/>
        </w:rPr>
        <w:footnoteReference w:id="207"/>
      </w:r>
      <w:r>
        <w:t xml:space="preserve">  Should a similar exception apply in the BIAS context?  We encourage commenters to identify why any such exceptions would be consistent with Section 222 or other applicable laws.  </w:t>
      </w:r>
    </w:p>
    <w:p w:rsidR="00324CD5" w:rsidRDefault="00324CD5" w:rsidP="004F400E">
      <w:pPr>
        <w:pStyle w:val="Heading4"/>
        <w:widowControl/>
      </w:pPr>
      <w:bookmarkStart w:id="371" w:name="_Toc443660103"/>
      <w:bookmarkStart w:id="372" w:name="_Toc445192951"/>
      <w:bookmarkStart w:id="373" w:name="_Toc445193047"/>
      <w:bookmarkStart w:id="374" w:name="_Ref445295523"/>
      <w:bookmarkStart w:id="375" w:name="_Ref446512387"/>
      <w:bookmarkStart w:id="376" w:name="_Ref446512626"/>
      <w:bookmarkStart w:id="377" w:name="_Ref446516744"/>
      <w:r>
        <w:t>Customer Approval Required for Use and Disclosure of Customer PI</w:t>
      </w:r>
      <w:bookmarkEnd w:id="371"/>
      <w:r>
        <w:t xml:space="preserve"> for Marketing Communications-Related Services</w:t>
      </w:r>
      <w:bookmarkEnd w:id="372"/>
      <w:bookmarkEnd w:id="373"/>
      <w:bookmarkEnd w:id="374"/>
      <w:bookmarkEnd w:id="375"/>
      <w:bookmarkEnd w:id="376"/>
      <w:bookmarkEnd w:id="377"/>
    </w:p>
    <w:p w:rsidR="00324CD5" w:rsidRDefault="00324CD5" w:rsidP="004F400E">
      <w:pPr>
        <w:pStyle w:val="ParaNum"/>
        <w:widowControl/>
      </w:pPr>
      <w:bookmarkStart w:id="378" w:name="_Ref445303574"/>
      <w:r>
        <w:t>FTC best practices counsel that consumer choice turns on the extent to which the practice is consistent with the context of the transaction or the consumer’s existing relationship with the business.</w:t>
      </w:r>
      <w:r>
        <w:rPr>
          <w:rStyle w:val="FootnoteReference"/>
        </w:rPr>
        <w:footnoteReference w:id="208"/>
      </w:r>
      <w:r>
        <w:t xml:space="preserve">  Consistent with this and our existing rules, we propose that, except as permitted above in Part </w:t>
      </w:r>
      <w:r>
        <w:fldChar w:fldCharType="begin"/>
      </w:r>
      <w:r>
        <w:instrText xml:space="preserve"> REF _Ref445295031 \w \h </w:instrText>
      </w:r>
      <w:r>
        <w:fldChar w:fldCharType="separate"/>
      </w:r>
      <w:r w:rsidR="00327397">
        <w:t>III.C.1.a</w:t>
      </w:r>
      <w:r>
        <w:fldChar w:fldCharType="end"/>
      </w:r>
      <w:r>
        <w:t>,</w:t>
      </w:r>
      <w:r>
        <w:rPr>
          <w:rStyle w:val="FootnoteReference"/>
        </w:rPr>
        <w:footnoteReference w:id="209"/>
      </w:r>
      <w:r>
        <w:t xml:space="preserve"> BIAS providers must provide a customer with notice and the opportunity to opt out before they may use that customer’s PI, or share such information with an affiliate that provides communications-related services, to market communications-related services to that customer.</w:t>
      </w:r>
      <w:r>
        <w:rPr>
          <w:rStyle w:val="FootnoteReference"/>
        </w:rPr>
        <w:footnoteReference w:id="210"/>
      </w:r>
      <w:r>
        <w:t xml:space="preserve">  We seek comment on this proposal.</w:t>
      </w:r>
      <w:bookmarkEnd w:id="378"/>
    </w:p>
    <w:p w:rsidR="00324CD5" w:rsidRDefault="00324CD5" w:rsidP="00324CD5">
      <w:pPr>
        <w:pStyle w:val="ParaNum"/>
      </w:pPr>
      <w:r>
        <w:t>This approach is similar to the approach taken by our current Section 222 rules, and we believe it is consistent with customers’ expectations.</w:t>
      </w:r>
      <w:r>
        <w:rPr>
          <w:rStyle w:val="FootnoteReference"/>
        </w:rPr>
        <w:footnoteReference w:id="211"/>
      </w:r>
      <w:r>
        <w:t xml:space="preserve">  However, we invite comment on this approach, specifically on customers’ expectations and preferences regarding how their broadband provider may itself use customer PI; and for what purposes it should be allowed to share information with its affiliates subject to opt-out approval.  Given the prevalence of bundled service offerings,</w:t>
      </w:r>
      <w:r>
        <w:rPr>
          <w:rStyle w:val="FootnoteReference"/>
        </w:rPr>
        <w:footnoteReference w:id="212"/>
      </w:r>
      <w:r>
        <w:t xml:space="preserve"> do customers expect that their broadband providers could or should themselves use or share the customers’ proprietary information with affiliates to market voice, video, or any types of communications-related services tailored to their needs and preferences without their express or implied approval?  Or would customers prefer and expect to have their customer PI used or shared with affiliates only after the customers have affirmatively consented to such use or sharing?  Do customers’ expectations depend as much on the type of customer PI that is being shared as with the purpose of the sharing or the parties with whom the information is being shared?  For example, below, we seek comment on whether we should require heightened consent obligations for highly sensitive information, including geo-location information.</w:t>
      </w:r>
      <w:r>
        <w:rPr>
          <w:rStyle w:val="FootnoteReference"/>
        </w:rPr>
        <w:footnoteReference w:id="213"/>
      </w:r>
      <w:r>
        <w:t xml:space="preserve">  </w:t>
      </w:r>
    </w:p>
    <w:p w:rsidR="00324CD5" w:rsidRPr="00E01A19" w:rsidRDefault="00324CD5" w:rsidP="00324CD5">
      <w:pPr>
        <w:pStyle w:val="ParaNum"/>
      </w:pPr>
      <w:r>
        <w:t>We are mindful that in adopting a framework for customer approval for use by and disclosure to affiliates of customer PI, we do not want to inadvertently encourage corporate restructuring or gamesmanship driven by an interest in enabling use or sharing of customer PI subject to less stringent customer approval requirements.  We believe that we can discourage such gamesmanship by treating use by an affiliate as subject to the same limits as use by a BIAS provider.  We seek comment on this proposal.  We also seek comment on w</w:t>
      </w:r>
      <w:r w:rsidDel="00AE4E77">
        <w:t>hat effect our proposed</w:t>
      </w:r>
      <w:r>
        <w:t xml:space="preserve"> choice</w:t>
      </w:r>
      <w:r w:rsidDel="00AE4E77">
        <w:t xml:space="preserve"> requirements </w:t>
      </w:r>
      <w:r>
        <w:t xml:space="preserve">will </w:t>
      </w:r>
      <w:r w:rsidDel="00AE4E77">
        <w:t>have on marketing of broadband and related services, as well as on the digital advertising industry</w:t>
      </w:r>
      <w:r>
        <w:t>.</w:t>
      </w:r>
      <w:r>
        <w:rPr>
          <w:rStyle w:val="FootnoteReference"/>
        </w:rPr>
        <w:footnoteReference w:id="214"/>
      </w:r>
      <w:r>
        <w:t xml:space="preserve"> </w:t>
      </w:r>
      <w:r w:rsidDel="00AE4E77">
        <w:t xml:space="preserve"> What effect will they have on competition between BIAS providers and over-the-top (OTT) service providers that offer services that </w:t>
      </w:r>
      <w:r>
        <w:t xml:space="preserve">may be a competitive threat or a potential competitor to </w:t>
      </w:r>
      <w:r w:rsidDel="00AE4E77">
        <w:t>separate voice, video, or information services offered by broadband providers, and which are not subject to our rules?</w:t>
      </w:r>
      <w:r>
        <w:rPr>
          <w:rStyle w:val="FootnoteReference"/>
        </w:rPr>
        <w:footnoteReference w:id="215"/>
      </w:r>
    </w:p>
    <w:p w:rsidR="00324CD5" w:rsidRDefault="00324CD5" w:rsidP="00324CD5">
      <w:pPr>
        <w:pStyle w:val="ParaNum"/>
      </w:pPr>
      <w:r>
        <w:t>We also observe that in adopting the existing Section 222 rules for the sharing of CPNI with affiliates, the Commission concluded that because principles of agency law hold carriers responsible for their agents’ improper uses or disclosures of CPNI, carriers have greater incentives to maintain appropriate control of CPNI disclosed to agents.</w:t>
      </w:r>
      <w:r>
        <w:rPr>
          <w:rStyle w:val="FootnoteReference"/>
        </w:rPr>
        <w:footnoteReference w:id="216"/>
      </w:r>
      <w:r>
        <w:t xml:space="preserve">  The Commission concluded that an opt-out regime for the sharing of CPNI with affiliates that offer communications-related services for purposes of marketing such services would adequately protect consumers’ privacy because a carrier’s need to maintain a continuing relationship with its customer, and the risk of being held responsible for the misuse of customer information by an affiliate, would incentivize the carrier to prevent privacy harms.</w:t>
      </w:r>
      <w:r>
        <w:rPr>
          <w:rStyle w:val="FootnoteReference"/>
        </w:rPr>
        <w:footnoteReference w:id="217"/>
      </w:r>
      <w:r>
        <w:t xml:space="preserve">  We believe such findings to be relevant in the broadband context as well, and seek comment on whether such findings are applicable to BIAS.  Do consumers have a different expectation of privacy when it comes to BIAS, as opposed to voice, affiliates?  Does the changing nature of affiliate relationships</w:t>
      </w:r>
      <w:r>
        <w:rPr>
          <w:rStyle w:val="FootnoteReference"/>
        </w:rPr>
        <w:footnoteReference w:id="218"/>
      </w:r>
      <w:r>
        <w:t xml:space="preserve"> require more caution in the BIAS context than the voice context?  </w:t>
      </w:r>
    </w:p>
    <w:p w:rsidR="00324CD5" w:rsidRDefault="00324CD5" w:rsidP="00324CD5">
      <w:pPr>
        <w:pStyle w:val="ParaNum"/>
      </w:pPr>
      <w:r>
        <w:t xml:space="preserve">Alternatively, we seek comment whether we should require BIAS providers to obtain customer opt-in approval for the use and sharing of all customer PI, except as described in Part </w:t>
      </w:r>
      <w:r>
        <w:fldChar w:fldCharType="begin"/>
      </w:r>
      <w:r>
        <w:instrText xml:space="preserve"> REF _Ref445295412 \w \h </w:instrText>
      </w:r>
      <w:r>
        <w:fldChar w:fldCharType="separate"/>
      </w:r>
      <w:r w:rsidR="00327397">
        <w:t>III.C.1.a</w:t>
      </w:r>
      <w:r>
        <w:fldChar w:fldCharType="end"/>
      </w:r>
      <w:r>
        <w:t xml:space="preserve">.  Would such an approach be “narrowly tailored” to materially advance the government’s interest under </w:t>
      </w:r>
      <w:r>
        <w:rPr>
          <w:i/>
        </w:rPr>
        <w:t>Central Hudson</w:t>
      </w:r>
      <w:r>
        <w:t xml:space="preserve">?  Conversely, would a requirement of opt-out approval be </w:t>
      </w:r>
      <w:r w:rsidRPr="005D25A6">
        <w:t xml:space="preserve">more appropriate for </w:t>
      </w:r>
      <w:r w:rsidRPr="003A1BCE">
        <w:rPr>
          <w:i/>
        </w:rPr>
        <w:t>all</w:t>
      </w:r>
      <w:r>
        <w:t xml:space="preserve"> BIAS</w:t>
      </w:r>
      <w:r w:rsidRPr="005D25A6">
        <w:t xml:space="preserve"> provider use</w:t>
      </w:r>
      <w:r>
        <w:t>s</w:t>
      </w:r>
      <w:r w:rsidRPr="005D25A6">
        <w:t xml:space="preserve"> of customer </w:t>
      </w:r>
      <w:r>
        <w:t>PI and sharing with affiliates?  Should we adopt the FTC’s recommendation that affiliates generally be treated as “third parties . . . unless the affiliate relationship is clear to consumers”?</w:t>
      </w:r>
      <w:r>
        <w:rPr>
          <w:rStyle w:val="FootnoteReference"/>
        </w:rPr>
        <w:footnoteReference w:id="219"/>
      </w:r>
      <w:r>
        <w:t xml:space="preserve">  If so, how would we determine if the relationship is clear to consumers?  Would co-branding suffice?  We also seek comment on whether we should treat all affiliates as third parties, that is, requiring opt-in consent from customers for any sharing with any affiliates.</w:t>
      </w:r>
      <w:r>
        <w:rPr>
          <w:rStyle w:val="FootnoteReference"/>
        </w:rPr>
        <w:footnoteReference w:id="220"/>
      </w:r>
      <w:r>
        <w:t xml:space="preserve">  Would such a rule be properly tailored to meet the substantial interest in protecting customer privacy?  Would it promote gamesmanship in the corporate structure of BIAS providers? </w:t>
      </w:r>
      <w:r w:rsidR="00E04B0C">
        <w:t xml:space="preserve"> </w:t>
      </w:r>
      <w:r>
        <w:t xml:space="preserve">We also seek comment on how we should treat third parties acting as contractors and performing functions for or on behalf of </w:t>
      </w:r>
      <w:r w:rsidR="00E04B0C">
        <w:t>a BIAS provider.</w:t>
      </w:r>
      <w:r>
        <w:t xml:space="preserve"> Should they be treated differently than other types of third parties?</w:t>
      </w:r>
    </w:p>
    <w:p w:rsidR="00324CD5" w:rsidRDefault="00324CD5" w:rsidP="00324CD5">
      <w:pPr>
        <w:pStyle w:val="Heading4"/>
      </w:pPr>
      <w:bookmarkStart w:id="379" w:name="_Toc443660104"/>
      <w:bookmarkStart w:id="380" w:name="_Toc445192952"/>
      <w:bookmarkStart w:id="381" w:name="_Toc445193048"/>
      <w:bookmarkStart w:id="382" w:name="_Ref445295487"/>
      <w:bookmarkStart w:id="383" w:name="_Ref445295565"/>
      <w:bookmarkStart w:id="384" w:name="_Ref446512588"/>
      <w:bookmarkStart w:id="385" w:name="_Ref446516754"/>
      <w:r>
        <w:t xml:space="preserve">Customer Approval Required for </w:t>
      </w:r>
      <w:bookmarkEnd w:id="379"/>
      <w:r>
        <w:t>Use and Disclosure of Customer PI for All Other Purposes</w:t>
      </w:r>
      <w:bookmarkEnd w:id="380"/>
      <w:bookmarkEnd w:id="381"/>
      <w:bookmarkEnd w:id="382"/>
      <w:bookmarkEnd w:id="383"/>
      <w:bookmarkEnd w:id="384"/>
      <w:bookmarkEnd w:id="385"/>
    </w:p>
    <w:p w:rsidR="00324CD5" w:rsidRDefault="00324CD5" w:rsidP="004F400E">
      <w:pPr>
        <w:pStyle w:val="ParaNum"/>
        <w:widowControl/>
      </w:pPr>
      <w:r>
        <w:t>Consistent with the existing voice rules and other privacy frameworks,</w:t>
      </w:r>
      <w:r>
        <w:rPr>
          <w:rStyle w:val="FootnoteReference"/>
        </w:rPr>
        <w:footnoteReference w:id="221"/>
      </w:r>
      <w:r>
        <w:t xml:space="preserve"> we propose to require BIAS providers to seek and receive opt-in approval from their customers before using or sharing customer PI for all uses and sharing other than those described above in Parts </w:t>
      </w:r>
      <w:r>
        <w:fldChar w:fldCharType="begin"/>
      </w:r>
      <w:r>
        <w:instrText xml:space="preserve"> REF _Ref445295511 \w \h </w:instrText>
      </w:r>
      <w:r>
        <w:fldChar w:fldCharType="separate"/>
      </w:r>
      <w:r w:rsidR="00327397">
        <w:t>III.C.1.a</w:t>
      </w:r>
      <w:r>
        <w:fldChar w:fldCharType="end"/>
      </w:r>
      <w:r>
        <w:t xml:space="preserve"> and </w:t>
      </w:r>
      <w:r>
        <w:fldChar w:fldCharType="begin"/>
      </w:r>
      <w:r>
        <w:instrText xml:space="preserve"> REF _Ref445295523 \w \h </w:instrText>
      </w:r>
      <w:r>
        <w:fldChar w:fldCharType="separate"/>
      </w:r>
      <w:r w:rsidR="00327397">
        <w:t>III.C.1.b</w:t>
      </w:r>
      <w:r>
        <w:fldChar w:fldCharType="end"/>
      </w:r>
      <w:r>
        <w:t>.   Specifically, we propose to require BIAS providers to obtain customer opt-in approval before (1) using customer PI for purposes other than marketing communications-related service; (2) sharing customer PI with affiliates providing communications-related services for purposes other than marketing those communications-related services; and (3) sharing customer PI with all other affiliates and third parties.</w:t>
      </w:r>
      <w:r>
        <w:rPr>
          <w:rStyle w:val="FootnoteReference"/>
        </w:rPr>
        <w:footnoteReference w:id="222"/>
      </w:r>
      <w:r>
        <w:t xml:space="preserve">  We believe that customers desire and expect the opportunity to affirmatively choose how their information is used for purposes other than marketing communications-related services by their provider and its affiliates.  We seek comment on this proposal and on potential alternatives to these requirements.  </w:t>
      </w:r>
    </w:p>
    <w:p w:rsidR="00324CD5" w:rsidRDefault="00324CD5" w:rsidP="004F400E">
      <w:pPr>
        <w:pStyle w:val="ParaNum"/>
        <w:widowControl/>
      </w:pPr>
      <w:bookmarkStart w:id="386" w:name="_Ref446337782"/>
      <w:r>
        <w:rPr>
          <w:i/>
        </w:rPr>
        <w:t>BIAS Providers and Affiliates</w:t>
      </w:r>
      <w:r>
        <w:t>.</w:t>
      </w:r>
      <w:r>
        <w:rPr>
          <w:i/>
        </w:rPr>
        <w:t xml:space="preserve">  </w:t>
      </w:r>
      <w:r>
        <w:t>We seek comment whether BIAS providers need or benefit from using customer PI for purposes other than marketing communications-related services.  If so, what are those uses, and are they consistent with customer expectations?  What are the privacy risks for customers from those additional uses?  We observe that many companies can meet the Act’s definition of “affiliate” while bearing little resemblance—in the services offered, or even in their name—to what customers recognize as their provider.</w:t>
      </w:r>
      <w:r>
        <w:rPr>
          <w:rStyle w:val="FootnoteReference"/>
        </w:rPr>
        <w:footnoteReference w:id="223"/>
      </w:r>
      <w:r>
        <w:t xml:space="preserve">  This, combined with lack of competition between BIAS providers and with high switching costs,</w:t>
      </w:r>
      <w:r>
        <w:rPr>
          <w:rStyle w:val="FootnoteReference"/>
        </w:rPr>
        <w:footnoteReference w:id="224"/>
      </w:r>
      <w:r>
        <w:t xml:space="preserve"> could negatively impact BIAS providers’ incentives in protecting the customer-carrier relationship with respect to use and disclosure of customer PI to affiliates.</w:t>
      </w:r>
      <w:r>
        <w:rPr>
          <w:rStyle w:val="FootnoteReference"/>
        </w:rPr>
        <w:footnoteReference w:id="225"/>
      </w:r>
      <w:r>
        <w:t xml:space="preserve">   Does obtaining opt-in permission for these uses or disclosures prevent BIAS providers or consumers from making valuable use of this information?  Does our proposed approach align with customer expectations of how their PI should be treated by their BIAS provider and the provider’s affiliates?  Should opt-in consent be required for disclosure or use of certain customer PI in the mobile context?  Most notably, should we require opt-in consent in the mobile context for sharing geo-location data with affiliates, regardless of whether it is required in the fixed context?  Does this proposal accommodate the expanded scope of uses and services now provided by BIAS affiliates and others, particularly given the above-noted concerns about the breadth of affiliates in today’s BIAS environment?</w:t>
      </w:r>
      <w:bookmarkEnd w:id="386"/>
      <w:r>
        <w:t xml:space="preserve"> </w:t>
      </w:r>
    </w:p>
    <w:p w:rsidR="00324CD5" w:rsidRDefault="00324CD5" w:rsidP="00324CD5">
      <w:pPr>
        <w:pStyle w:val="ParaNum"/>
      </w:pPr>
      <w:r>
        <w:rPr>
          <w:i/>
        </w:rPr>
        <w:t xml:space="preserve">Third Parties. </w:t>
      </w:r>
      <w:r>
        <w:t xml:space="preserve"> The Commission has a substantial government interest in protecting the privacy of customer information, and our proposal is designed to materially advance that interest.  Research demonstrates that customers view the use of their personal information by their broadband provider differently than disclosure to or use by a third party for a variety of reasons.</w:t>
      </w:r>
      <w:r>
        <w:rPr>
          <w:rStyle w:val="FootnoteReference"/>
        </w:rPr>
        <w:footnoteReference w:id="226"/>
      </w:r>
      <w:r>
        <w:t xml:space="preserve">  More recently, studies from the Pew Research Center show that the vast majority of adults deem it important to control </w:t>
      </w:r>
      <w:r w:rsidRPr="00133F40">
        <w:t>who</w:t>
      </w:r>
      <w:r w:rsidRPr="003067DA">
        <w:rPr>
          <w:i/>
        </w:rPr>
        <w:t xml:space="preserve"> </w:t>
      </w:r>
      <w:r>
        <w:t>can get information about them.</w:t>
      </w:r>
      <w:r>
        <w:rPr>
          <w:rStyle w:val="FootnoteReference"/>
        </w:rPr>
        <w:footnoteReference w:id="227"/>
      </w:r>
      <w:r>
        <w:t xml:space="preserve">  Increasing the number of entities that have access to customer PI logically increases the risk of unauthorized disclosure by both insiders and computer intrusion.</w:t>
      </w:r>
      <w:r>
        <w:rPr>
          <w:rStyle w:val="FootnoteReference"/>
        </w:rPr>
        <w:footnoteReference w:id="228"/>
      </w:r>
      <w:r>
        <w:t xml:space="preserve">  Risk of harm to the customer is exacerbated by the fact that third-party entities receiving customer information have no direct business relationship with the consumer and, hence, a reduced or absent incentive to honor the privacy expectations of those customers.</w:t>
      </w:r>
      <w:r>
        <w:rPr>
          <w:rStyle w:val="FootnoteReference"/>
        </w:rPr>
        <w:footnoteReference w:id="229"/>
      </w:r>
      <w:r>
        <w:t xml:space="preserve">  As the Commission has found in the voice context, once confidential customer information “enters the stream of commerce, consumers are without meaningful recourse to limit further access to, or disclosure of, that personal information.”</w:t>
      </w:r>
      <w:r>
        <w:rPr>
          <w:rStyle w:val="FootnoteReference"/>
        </w:rPr>
        <w:footnoteReference w:id="230"/>
      </w:r>
      <w:r>
        <w:t xml:space="preserve">  We anticipate that this is equally true for other forms of customer PI.  </w:t>
      </w:r>
    </w:p>
    <w:p w:rsidR="00324CD5" w:rsidRPr="00352CD1" w:rsidRDefault="00324CD5" w:rsidP="00324CD5">
      <w:pPr>
        <w:pStyle w:val="ParaNum"/>
      </w:pPr>
      <w:r>
        <w:t>For these reasons, and because the use of customers’ personal information might fall outside the protections of Section 222 once that information is disclosed to third parties,</w:t>
      </w:r>
      <w:r>
        <w:rPr>
          <w:rStyle w:val="FootnoteReference"/>
        </w:rPr>
        <w:footnoteReference w:id="231"/>
      </w:r>
      <w:r>
        <w:t xml:space="preserve"> we believe that the threat to broadband customers’ privacy interest from having their personal information disclosed to such entities without their affirmative approval is a substantial one, and there is a greater need to ensure express consent from an approval mechanism for third party disclosure.  We seek comment on this analysis, and in particular, the threat to broadband customers’ privacy stemming from disclosure of customer information to third parties.    </w:t>
      </w:r>
    </w:p>
    <w:p w:rsidR="00324CD5" w:rsidRPr="005D25A6" w:rsidRDefault="00324CD5" w:rsidP="00324CD5">
      <w:pPr>
        <w:pStyle w:val="ParaNum"/>
      </w:pPr>
      <w:bookmarkStart w:id="387" w:name="_Ref445303908"/>
      <w:r w:rsidRPr="005D25A6">
        <w:t>We seek comment on the burdens that the proposed opt-in framework for disclosure to third parties would impose on broadband providers.  Are such costs outweighed by the providers’ duty to protect their customers’ priva</w:t>
      </w:r>
      <w:r>
        <w:t>te</w:t>
      </w:r>
      <w:r w:rsidRPr="005D25A6">
        <w:t xml:space="preserve"> information and customers’ interest in mainta</w:t>
      </w:r>
      <w:r>
        <w:t>ining control over their private information?  We note that our current voice rules require opt-in approval for disclosure to most third parties.</w:t>
      </w:r>
      <w:r>
        <w:rPr>
          <w:rStyle w:val="FootnoteReference"/>
        </w:rPr>
        <w:footnoteReference w:id="232"/>
      </w:r>
      <w:r>
        <w:t xml:space="preserve">  Further, some state laws also require customer permission for </w:t>
      </w:r>
      <w:r w:rsidR="00E04B0C">
        <w:t>ISPs</w:t>
      </w:r>
      <w:r>
        <w:t xml:space="preserve"> to disclose information if the disclosure is not in the ordinary course of the ISP’s business.</w:t>
      </w:r>
      <w:r>
        <w:rPr>
          <w:rStyle w:val="FootnoteReference"/>
        </w:rPr>
        <w:footnoteReference w:id="233"/>
      </w:r>
      <w:r>
        <w:t xml:space="preserve">  </w:t>
      </w:r>
      <w:r w:rsidRPr="005D25A6">
        <w:t>We also seek comment on the effect that our proposal will have on small providers.</w:t>
      </w:r>
      <w:r w:rsidRPr="005D25A6">
        <w:rPr>
          <w:rStyle w:val="FootnoteReference"/>
        </w:rPr>
        <w:footnoteReference w:id="234"/>
      </w:r>
      <w:bookmarkEnd w:id="387"/>
    </w:p>
    <w:p w:rsidR="00324CD5" w:rsidRPr="005D25A6" w:rsidRDefault="00324CD5" w:rsidP="00324CD5">
      <w:pPr>
        <w:pStyle w:val="ParaNum"/>
      </w:pPr>
      <w:bookmarkStart w:id="388" w:name="_Ref445303243"/>
      <w:r>
        <w:t>We seek comment on w</w:t>
      </w:r>
      <w:r w:rsidRPr="005D25A6">
        <w:t xml:space="preserve">hat effect, if any, our proposed opt-in approval framework </w:t>
      </w:r>
      <w:r>
        <w:t xml:space="preserve">will </w:t>
      </w:r>
      <w:r w:rsidRPr="005D25A6">
        <w:t>have on marketing in the broadband ecosystem, over-the-top providers of competing services, the larger Internet ecosystem, and t</w:t>
      </w:r>
      <w:r>
        <w:t>he digital advertising industry.</w:t>
      </w:r>
      <w:r w:rsidRPr="005D25A6">
        <w:t xml:space="preserve">  We recognize that edge providers, who may have access to </w:t>
      </w:r>
      <w:r>
        <w:t xml:space="preserve">some </w:t>
      </w:r>
      <w:r w:rsidRPr="005D25A6">
        <w:t xml:space="preserve">similar customer PI, are not subject to the same regulatory framework, and that this regulatory disparity could have competitive ripple effects.  However, we believe this circumstance is mitigated by three important factors.  First, the FTC </w:t>
      </w:r>
      <w:r>
        <w:t xml:space="preserve">actively </w:t>
      </w:r>
      <w:r w:rsidRPr="005D25A6">
        <w:t xml:space="preserve">enforces </w:t>
      </w:r>
      <w:r>
        <w:t xml:space="preserve">the prohibitions in its organic statute against </w:t>
      </w:r>
      <w:r w:rsidRPr="005D25A6">
        <w:t>unfair and deceptive practices</w:t>
      </w:r>
      <w:r>
        <w:t xml:space="preserve"> against companies in the broadband ecosystem that are within its jurisdiction and that are engaged in practices that violate customers’ privacy expectations.</w:t>
      </w:r>
      <w:r>
        <w:rPr>
          <w:rStyle w:val="FootnoteReference"/>
        </w:rPr>
        <w:footnoteReference w:id="235"/>
      </w:r>
      <w:r w:rsidRPr="005D25A6">
        <w:t xml:space="preserve"> </w:t>
      </w:r>
      <w:r>
        <w:t xml:space="preserve"> We have no doubt that the FTC will continue its robust privacy enforcement practice.  </w:t>
      </w:r>
      <w:r w:rsidRPr="005D25A6">
        <w:t xml:space="preserve">Second, the industry has developed guidelines recommending obtaining express consent before sharing </w:t>
      </w:r>
      <w:r>
        <w:t xml:space="preserve">some sensitive </w:t>
      </w:r>
      <w:r w:rsidRPr="005D25A6">
        <w:t>information</w:t>
      </w:r>
      <w:r>
        <w:t>, particularly geo-location information,</w:t>
      </w:r>
      <w:r w:rsidRPr="005D25A6">
        <w:t xml:space="preserve"> with third parties,</w:t>
      </w:r>
      <w:r>
        <w:rPr>
          <w:rStyle w:val="FootnoteReference"/>
        </w:rPr>
        <w:footnoteReference w:id="236"/>
      </w:r>
      <w:r w:rsidRPr="005D25A6">
        <w:t xml:space="preserve"> and large edge providers are increasingly adopting opt-in regimes for sharing of </w:t>
      </w:r>
      <w:r>
        <w:t>some types of sensitive</w:t>
      </w:r>
      <w:r w:rsidRPr="005D25A6">
        <w:t xml:space="preserve"> information.</w:t>
      </w:r>
      <w:bookmarkStart w:id="389" w:name="_Ref445303279"/>
      <w:r>
        <w:rPr>
          <w:rStyle w:val="FootnoteReference"/>
        </w:rPr>
        <w:footnoteReference w:id="237"/>
      </w:r>
      <w:bookmarkEnd w:id="389"/>
      <w:r w:rsidRPr="005D25A6">
        <w:t xml:space="preserve">  Third, edge providers only have </w:t>
      </w:r>
      <w:r>
        <w:t xml:space="preserve">direct </w:t>
      </w:r>
      <w:r w:rsidRPr="005D25A6">
        <w:t xml:space="preserve">access to the information that customers choose to share with them by virtue of engaging their services; in contrast, broadband providers have </w:t>
      </w:r>
      <w:r>
        <w:t xml:space="preserve">direct </w:t>
      </w:r>
      <w:r w:rsidRPr="005D25A6">
        <w:t>access to</w:t>
      </w:r>
      <w:r>
        <w:t xml:space="preserve"> potentially</w:t>
      </w:r>
      <w:r w:rsidRPr="005D25A6">
        <w:t xml:space="preserve"> </w:t>
      </w:r>
      <w:r w:rsidRPr="005D25A6">
        <w:rPr>
          <w:i/>
        </w:rPr>
        <w:t xml:space="preserve">all </w:t>
      </w:r>
      <w:r w:rsidRPr="005D25A6">
        <w:t>customer information,</w:t>
      </w:r>
      <w:r>
        <w:rPr>
          <w:rStyle w:val="FootnoteReference"/>
        </w:rPr>
        <w:footnoteReference w:id="238"/>
      </w:r>
      <w:r w:rsidRPr="005D25A6">
        <w:t xml:space="preserve"> including such information that is not directed at the broadband provider itself to enable use of the service.</w:t>
      </w:r>
      <w:r>
        <w:rPr>
          <w:rStyle w:val="FootnoteReference"/>
        </w:rPr>
        <w:footnoteReference w:id="239"/>
      </w:r>
      <w:r w:rsidRPr="005D25A6">
        <w:t xml:space="preserve">  We seek comment on these expectations.  Do commenters agree that these factors mitigate any</w:t>
      </w:r>
      <w:r>
        <w:t xml:space="preserve"> potential</w:t>
      </w:r>
      <w:r w:rsidRPr="005D25A6">
        <w:t xml:space="preserve"> competitive effects that might result from our proposed opt-in framework for disclosure of customer </w:t>
      </w:r>
      <w:r>
        <w:t>PI</w:t>
      </w:r>
      <w:r w:rsidRPr="005D25A6">
        <w:t xml:space="preserve"> to third parties?  What other factors counsel for or against it?</w:t>
      </w:r>
      <w:bookmarkEnd w:id="388"/>
    </w:p>
    <w:p w:rsidR="00324CD5" w:rsidRDefault="00324CD5" w:rsidP="00324CD5">
      <w:pPr>
        <w:pStyle w:val="ParaNum"/>
      </w:pPr>
      <w:r w:rsidRPr="00F27CAE">
        <w:rPr>
          <w:i/>
        </w:rPr>
        <w:t>Alternatives.</w:t>
      </w:r>
      <w:r>
        <w:t xml:space="preserve">  </w:t>
      </w:r>
      <w:r w:rsidRPr="005D25A6">
        <w:t>In the alternative, we seek comment whether an opt-out approval framework wo</w:t>
      </w:r>
      <w:r>
        <w:t xml:space="preserve">uld be more appropriate for BIAS providers’ (and their affiliates’) use of customer PI for purposes other than marketing communications-related services, and for </w:t>
      </w:r>
      <w:r w:rsidRPr="005D25A6">
        <w:t xml:space="preserve">disclosure of </w:t>
      </w:r>
      <w:r>
        <w:t>customer PI</w:t>
      </w:r>
      <w:r w:rsidRPr="005D25A6">
        <w:t xml:space="preserve"> to third parties, or for some subset of such activities.  </w:t>
      </w:r>
      <w:r w:rsidRPr="005D25A6" w:rsidDel="00AC5ECB">
        <w:t xml:space="preserve">Are there reasons why </w:t>
      </w:r>
      <w:r>
        <w:t xml:space="preserve">such uses and </w:t>
      </w:r>
      <w:r w:rsidRPr="005D25A6" w:rsidDel="00AC5ECB">
        <w:t>disclosures of customer PI</w:t>
      </w:r>
      <w:r>
        <w:t>—</w:t>
      </w:r>
      <w:r w:rsidRPr="005D25A6" w:rsidDel="00AC5ECB">
        <w:t>or some subset of disclosures</w:t>
      </w:r>
      <w:r>
        <w:t>—</w:t>
      </w:r>
      <w:r w:rsidRPr="005D25A6" w:rsidDel="00AC5ECB">
        <w:t>should be subject to a more lenient standard of consent, such as opt-out approval</w:t>
      </w:r>
      <w:r w:rsidDel="00AC5ECB">
        <w:t>?</w:t>
      </w:r>
      <w:r w:rsidRPr="005D25A6" w:rsidDel="00AC5ECB">
        <w:t xml:space="preserve">  </w:t>
      </w:r>
      <w:r w:rsidRPr="005D25A6">
        <w:t>Why or why not?  Would opt-out approval be an effective means of protecting customers from the harms that are attendant upon unknowing and unwanted third party disclosures</w:t>
      </w:r>
      <w:r>
        <w:t>, or from unexpected uses of their customer PI by their broadband providers</w:t>
      </w:r>
      <w:r w:rsidRPr="005D25A6">
        <w:t>?</w:t>
      </w:r>
      <w:r>
        <w:t xml:space="preserve">  If so, are there particular types of uses, data, or third parties for which a heightened standard of approval should be required?      </w:t>
      </w:r>
    </w:p>
    <w:p w:rsidR="00324CD5" w:rsidRDefault="00324CD5" w:rsidP="00324CD5">
      <w:pPr>
        <w:pStyle w:val="Heading4"/>
      </w:pPr>
      <w:bookmarkStart w:id="390" w:name="_Toc445192953"/>
      <w:bookmarkStart w:id="391" w:name="_Toc445193049"/>
      <w:bookmarkStart w:id="392" w:name="_Ref445295452"/>
      <w:bookmarkStart w:id="393" w:name="_Ref446516770"/>
      <w:r>
        <w:t>Other Choice Frameworks</w:t>
      </w:r>
      <w:bookmarkEnd w:id="390"/>
      <w:bookmarkEnd w:id="391"/>
      <w:bookmarkEnd w:id="392"/>
      <w:bookmarkEnd w:id="393"/>
    </w:p>
    <w:p w:rsidR="00324CD5" w:rsidRDefault="00324CD5" w:rsidP="004F400E">
      <w:pPr>
        <w:pStyle w:val="ParaNum"/>
        <w:widowControl/>
      </w:pPr>
      <w:r>
        <w:t xml:space="preserve">We have sought comment on one framework for approaching the types of control to give consumers over their customer PI.  We also invite commenters to propose other frameworks for ensuring that broadband customers are given the ability to control the use and disclosure of their confidential information. </w:t>
      </w:r>
    </w:p>
    <w:p w:rsidR="00324CD5" w:rsidRDefault="00324CD5" w:rsidP="004F400E">
      <w:pPr>
        <w:pStyle w:val="ParaNum"/>
        <w:widowControl/>
      </w:pPr>
      <w:r>
        <w:t>Are there other ways of differentiating between expected and unexpected uses and contexts for BIAS provider use of customers’ PI that would be more useful?  How should different types and contexts of information and usage be assigned different levels of required approval?  Given the various types of information at issue, is there the risk that customers could be overwhelmed by choice and allow default options to stand?</w:t>
      </w:r>
      <w:r>
        <w:rPr>
          <w:rStyle w:val="FootnoteReference"/>
        </w:rPr>
        <w:footnoteReference w:id="240"/>
      </w:r>
      <w:r>
        <w:t xml:space="preserve">  Would this militate towards requiring opt-in approval for more types of information?  What approach, if any, best balances consumer benefits with minimizing regulatory burdens on broadband providers?  </w:t>
      </w:r>
    </w:p>
    <w:p w:rsidR="00324CD5" w:rsidRDefault="00324CD5" w:rsidP="00324CD5">
      <w:pPr>
        <w:pStyle w:val="ParaNum"/>
      </w:pPr>
      <w:r>
        <w:t>In particular, we seek comment whether certain types of “highly sensitive” customer information should be used by BIAS providers, even for the provision of the service, or shared with their affiliates offering communications-related services, only after receiving opt-in approval from customers.  For example, the FTC has recognized certain types of information as particularly sensitive, including Social Security numbers and financial information,</w:t>
      </w:r>
      <w:r>
        <w:rPr>
          <w:rStyle w:val="FootnoteReference"/>
        </w:rPr>
        <w:footnoteReference w:id="241"/>
      </w:r>
      <w:r>
        <w:t xml:space="preserve"> geo-location information, </w:t>
      </w:r>
      <w:r w:rsidRPr="00E8169C">
        <w:rPr>
          <w:rStyle w:val="FootnoteReference"/>
        </w:rPr>
        <w:t xml:space="preserve"> </w:t>
      </w:r>
      <w:r>
        <w:t>children’s information,</w:t>
      </w:r>
      <w:r>
        <w:rPr>
          <w:rStyle w:val="FootnoteReference"/>
        </w:rPr>
        <w:footnoteReference w:id="242"/>
      </w:r>
      <w:r>
        <w:t xml:space="preserve"> and health information.</w:t>
      </w:r>
      <w:r>
        <w:rPr>
          <w:rStyle w:val="FootnoteReference"/>
        </w:rPr>
        <w:footnoteReference w:id="243"/>
      </w:r>
      <w:r>
        <w:t xml:space="preserve">  Given the highly sensitive nature of such information, customers may have an interest in ensuring that such data is not used without their prior, affirmative authorization.  We seek comment on these issues.  For example, location-based information—particularly mobile geo-location data—that reveals a customer’s residence or current location is particularly sensitive in nature,</w:t>
      </w:r>
      <w:r>
        <w:rPr>
          <w:rStyle w:val="FootnoteReference"/>
        </w:rPr>
        <w:footnoteReference w:id="244"/>
      </w:r>
      <w:r>
        <w:t xml:space="preserve"> and consumers may have a keen interest in safeguarding such data out of concerns for both safety and basic privacy.</w:t>
      </w:r>
      <w:r w:rsidRPr="00C63808">
        <w:rPr>
          <w:rStyle w:val="FootnoteReference"/>
        </w:rPr>
        <w:footnoteReference w:id="245"/>
      </w:r>
      <w:r>
        <w:t xml:space="preserve">  In the voice context, Congress recognized that use of “call location information” should not be used or disclosed without the “express prior authorization of the customer.”</w:t>
      </w:r>
      <w:r>
        <w:rPr>
          <w:rStyle w:val="FootnoteReference"/>
        </w:rPr>
        <w:footnoteReference w:id="246"/>
      </w:r>
      <w:r>
        <w:t xml:space="preserve">  How should we consider treatment of location information in the broadband context?   Likewise, we seek comment on what steps we could take to ensure knowing consent regarding the customer PI of children.  </w:t>
      </w:r>
      <w:r w:rsidR="00686496">
        <w:t xml:space="preserve">Are there other types of information that we should treat as highly-sensitive and subject to opt-in protection?  For example, should practices that involve </w:t>
      </w:r>
      <w:r w:rsidR="00727BCB">
        <w:t>using or sharing</w:t>
      </w:r>
      <w:r w:rsidR="00686496">
        <w:t xml:space="preserve"> a customer’s race</w:t>
      </w:r>
      <w:r w:rsidR="00172112">
        <w:t xml:space="preserve"> or</w:t>
      </w:r>
      <w:r w:rsidR="00686496">
        <w:t xml:space="preserve"> ethnicity</w:t>
      </w:r>
      <w:r w:rsidR="00324D73">
        <w:t>,</w:t>
      </w:r>
      <w:r w:rsidR="00727BCB">
        <w:t xml:space="preserve"> or other demographic information about a customer</w:t>
      </w:r>
      <w:r w:rsidR="00686496">
        <w:t xml:space="preserve"> be subject to heightened privacy protections?  </w:t>
      </w:r>
      <w:r>
        <w:t>Are there any types of information that BIAS providers should never use for purposes other than providing BIAS services?</w:t>
      </w:r>
    </w:p>
    <w:p w:rsidR="00324CD5" w:rsidRDefault="00324CD5" w:rsidP="00324CD5">
      <w:pPr>
        <w:pStyle w:val="ParaNum"/>
      </w:pPr>
      <w:r>
        <w:t>We also seek comment on how to treat the content of communication, if we determine that it is covered by Section 222.</w:t>
      </w:r>
      <w:r>
        <w:rPr>
          <w:rStyle w:val="FootnoteReference"/>
        </w:rPr>
        <w:footnoteReference w:id="247"/>
      </w:r>
      <w:r>
        <w:t xml:space="preserve">  The content of communications contain a wide variety of highly personal and sensitive information.  Congress has also recognized that content of communications should be protected in all but the most exceptional circumstances.</w:t>
      </w:r>
      <w:r>
        <w:rPr>
          <w:rStyle w:val="FootnoteReference"/>
        </w:rPr>
        <w:footnoteReference w:id="248"/>
      </w:r>
      <w:r>
        <w:t xml:space="preserve">  In addition to personal privacy implications, provider use of communications content raises competitive issues.  A broadband provider may be able to glean competitively sensitive information from the contents of customers’ communications.  Would such conduct be prohibited under the Commission’s general conduct rule prohibiting carriers from unreasonably interfering with or unreasonably disadvantaging end users’ ability to select, access, and use broadband Internet access service or the lawful Internet content applications, services, or devices of their choice?</w:t>
      </w:r>
      <w:r>
        <w:rPr>
          <w:rStyle w:val="FootnoteReference"/>
        </w:rPr>
        <w:footnoteReference w:id="249"/>
      </w:r>
      <w:r>
        <w:t xml:space="preserve">  We seek comment on whether the use or sharing, including with affiliates, of the content of customer communications should be subject to opt-in approval.  We also seek comment on other approaches to the use of the content of customer communications, including how such approaches interact with our treatment of other types of information covered by Section 222.  </w:t>
      </w:r>
    </w:p>
    <w:p w:rsidR="00324CD5" w:rsidRDefault="00324CD5" w:rsidP="00324CD5">
      <w:pPr>
        <w:pStyle w:val="ParaNum"/>
      </w:pPr>
      <w:r>
        <w:t xml:space="preserve">Finally, we seek comment </w:t>
      </w:r>
      <w:r>
        <w:rPr>
          <w:snapToGrid/>
          <w:szCs w:val="22"/>
        </w:rPr>
        <w:t>whether customers expect their BIAS providers to treat their PI differently depending on how the provider acquires it, and whether BIAS providers do and should treat such information differently.  Should a broadband provider obtain some form of consumer consent before combining data acquired from third-parties with information it obtained by virtue of providing the broadband service?</w:t>
      </w:r>
    </w:p>
    <w:p w:rsidR="00324CD5" w:rsidRDefault="00324CD5" w:rsidP="00324CD5">
      <w:pPr>
        <w:pStyle w:val="Heading3"/>
      </w:pPr>
      <w:bookmarkStart w:id="394" w:name="_Toc441849955"/>
      <w:bookmarkStart w:id="395" w:name="_Toc443049932"/>
      <w:bookmarkStart w:id="396" w:name="_Toc443660106"/>
      <w:bookmarkStart w:id="397" w:name="_Toc444095742"/>
      <w:bookmarkStart w:id="398" w:name="_Toc445192954"/>
      <w:bookmarkStart w:id="399" w:name="_Toc445193050"/>
      <w:bookmarkStart w:id="400" w:name="_Toc445193130"/>
      <w:bookmarkStart w:id="401" w:name="_Toc445276263"/>
      <w:bookmarkStart w:id="402" w:name="_Ref445292056"/>
      <w:bookmarkStart w:id="403" w:name="_Toc445367852"/>
      <w:bookmarkStart w:id="404" w:name="_Ref446512436"/>
      <w:bookmarkStart w:id="405" w:name="_Ref446512459"/>
      <w:bookmarkStart w:id="406" w:name="_Ref446512598"/>
      <w:bookmarkStart w:id="407" w:name="_Ref446516849"/>
      <w:bookmarkStart w:id="408" w:name="_Toc446937461"/>
      <w:bookmarkStart w:id="409" w:name="_Toc447116333"/>
      <w:bookmarkStart w:id="410" w:name="_Toc447121222"/>
      <w:bookmarkStart w:id="411" w:name="_Toc438643688"/>
      <w:bookmarkStart w:id="412" w:name="_Toc438650287"/>
      <w:bookmarkStart w:id="413" w:name="_Toc438719881"/>
      <w:bookmarkStart w:id="414" w:name="_Toc438720146"/>
      <w:bookmarkStart w:id="415" w:name="_Toc440016681"/>
      <w:bookmarkStart w:id="416" w:name="_Toc440575588"/>
      <w:bookmarkStart w:id="417" w:name="_Toc440575858"/>
      <w:r>
        <w:t>Requirements for Soliciting Customer Opt-Out and Opt-In Approval</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rsidR="00324CD5" w:rsidRDefault="00324CD5" w:rsidP="00324CD5">
      <w:pPr>
        <w:pStyle w:val="ParaNum"/>
      </w:pPr>
      <w:r>
        <w:t xml:space="preserve">In this section, we seek comment on the appropriate procedures and practices for BIAS providers to obtain meaningful customer approval for the use or disclosure of customer PI.  To that end, we first propose to require BIAS providers to solicit customer approval the first time that a BIAS provider intends to use or disclose the customer’s PI in a manner that requires customer approval under our proposed rules.  Second, we seek comment on the format of BIAS provider solicitations for customer approval, as well as the methods and formats by which customers may exercise their privacy choices.  Specifically, we propose that BIAS providers must give customers a convenient and persistent ability to express their approval or disapproval of the use or disclosure of their information, at no cost to the customer.  Third, we propose that a customer’s choice must persist until it is altered by the customer, and that it should take effect promptly after the customer’s expression of her choice.  Fourth, we seek comment whether to apply the voice notice requirements specific to one-time usage of CPNI to BIAS providers’ one-time usage of customer PI.  We seek comment on these proposals, and reasonable alternatives thereto.  </w:t>
      </w:r>
    </w:p>
    <w:p w:rsidR="00324CD5" w:rsidRPr="00F207B1" w:rsidRDefault="00324CD5" w:rsidP="00324CD5">
      <w:pPr>
        <w:pStyle w:val="ParaNum"/>
      </w:pPr>
      <w:bookmarkStart w:id="418" w:name="_Toc441849956"/>
      <w:bookmarkStart w:id="419" w:name="_Ref445281662"/>
      <w:r w:rsidRPr="000F138A">
        <w:rPr>
          <w:i/>
        </w:rPr>
        <w:t>Notice and Solicitation of Customer Approval Required Prior to Use or Disclosure of Customer PI</w:t>
      </w:r>
      <w:bookmarkEnd w:id="418"/>
      <w:r w:rsidRPr="000F138A">
        <w:rPr>
          <w:i/>
        </w:rPr>
        <w:t>.</w:t>
      </w:r>
      <w:r>
        <w:t xml:space="preserve">  </w:t>
      </w:r>
      <w:r w:rsidRPr="000F138A">
        <w:rPr>
          <w:szCs w:val="22"/>
        </w:rPr>
        <w:t xml:space="preserve">To ensure that customers provide meaningful approval, we propose to require BIAS providers to solicit customer approval—subsequent to the point-of-sale—when a BIAS provider </w:t>
      </w:r>
      <w:r>
        <w:rPr>
          <w:szCs w:val="22"/>
        </w:rPr>
        <w:t xml:space="preserve">first </w:t>
      </w:r>
      <w:r w:rsidRPr="000F138A">
        <w:rPr>
          <w:szCs w:val="22"/>
        </w:rPr>
        <w:t xml:space="preserve">intends to use or disclose the customer’s proprietary information in a manner that requires customer approval.  To ensure that customers’ approval is </w:t>
      </w:r>
      <w:r>
        <w:rPr>
          <w:szCs w:val="22"/>
        </w:rPr>
        <w:t xml:space="preserve">fully </w:t>
      </w:r>
      <w:r w:rsidRPr="000F138A">
        <w:rPr>
          <w:szCs w:val="22"/>
        </w:rPr>
        <w:t>informed, we propose to require BIAS providers to notify customers of the</w:t>
      </w:r>
      <w:r>
        <w:rPr>
          <w:szCs w:val="22"/>
        </w:rPr>
        <w:t xml:space="preserve"> types of customer PI for which the provider is seeking customer approval to use, disclose or permit access to; the purposes for which such customer PI will be used; and the entity or types of entities with which such customer PI will be shared.</w:t>
      </w:r>
      <w:r w:rsidR="00686496">
        <w:rPr>
          <w:szCs w:val="22"/>
        </w:rPr>
        <w:t xml:space="preserve">  We seek comment on this approach.  Is there other information that a provider should be required to share as part of receiving opt-out or opt-in consent for the use or disclosure of customer information?  For example, should a provider be required to share </w:t>
      </w:r>
      <w:r w:rsidR="00AA5A22">
        <w:rPr>
          <w:szCs w:val="22"/>
        </w:rPr>
        <w:t>information</w:t>
      </w:r>
      <w:r w:rsidR="00686496">
        <w:rPr>
          <w:szCs w:val="22"/>
        </w:rPr>
        <w:t xml:space="preserve"> about the arrangements it has made with third parties for the use of customer PI?</w:t>
      </w:r>
      <w:r>
        <w:rPr>
          <w:szCs w:val="22"/>
        </w:rPr>
        <w:t xml:space="preserve">  </w:t>
      </w:r>
      <w:r w:rsidR="00AA5A22">
        <w:rPr>
          <w:szCs w:val="22"/>
        </w:rPr>
        <w:t xml:space="preserve">If so, what information should they be required to share?  </w:t>
      </w:r>
      <w:r w:rsidRPr="000F138A">
        <w:rPr>
          <w:szCs w:val="22"/>
        </w:rPr>
        <w:t xml:space="preserve">We </w:t>
      </w:r>
      <w:r>
        <w:rPr>
          <w:szCs w:val="22"/>
        </w:rPr>
        <w:t xml:space="preserve">also seek comment on whether providers should be required to provide a link to the provider’s privacy policy notice or other information when seeking approval for the use or sharing of customer PI.  We are cognizant of the risk of information-overload if consumers are given more information than they need to make an informed decision.  We believe that our proposal, combined with the requirement to have a persistent and easily available longer privacy policy notice strikes the right balance, but we invite comment on whether there is other or different information that BIAS customers will need to make well informed opt-in and opt-out decisions.  Also, while we </w:t>
      </w:r>
      <w:r w:rsidRPr="000F138A">
        <w:rPr>
          <w:szCs w:val="22"/>
        </w:rPr>
        <w:t>believe that notice of a BIAS provider’s privacy policies and customers’ approval rights at the time of sale is necessary to help customers make an informed decision on which broadband service to purchase, such notice can often be too remote in time from when the information is actually used to give customers meaningful choice.  Therefore, we believe that customers’ informed approval requires notification and solicitation the</w:t>
      </w:r>
      <w:r>
        <w:rPr>
          <w:szCs w:val="22"/>
        </w:rPr>
        <w:t xml:space="preserve"> first</w:t>
      </w:r>
      <w:r w:rsidRPr="000F138A">
        <w:rPr>
          <w:szCs w:val="22"/>
        </w:rPr>
        <w:t xml:space="preserve"> time </w:t>
      </w:r>
      <w:r>
        <w:rPr>
          <w:szCs w:val="22"/>
        </w:rPr>
        <w:t>that</w:t>
      </w:r>
      <w:r w:rsidRPr="000F138A">
        <w:rPr>
          <w:szCs w:val="22"/>
        </w:rPr>
        <w:t xml:space="preserve"> a BIAS provider will actually use or disclose a customer’s PI.  </w:t>
      </w:r>
      <w:r w:rsidR="002D38EF">
        <w:rPr>
          <w:szCs w:val="22"/>
        </w:rPr>
        <w:t>We seek comment on our proposal</w:t>
      </w:r>
      <w:r w:rsidRPr="000F138A">
        <w:rPr>
          <w:szCs w:val="22"/>
        </w:rPr>
        <w:t>.</w:t>
      </w:r>
      <w:bookmarkEnd w:id="419"/>
      <w:r w:rsidRPr="000F138A">
        <w:rPr>
          <w:szCs w:val="22"/>
        </w:rPr>
        <w:t xml:space="preserve">  </w:t>
      </w:r>
    </w:p>
    <w:p w:rsidR="00324CD5" w:rsidRPr="005C79C6" w:rsidRDefault="00324CD5" w:rsidP="00324CD5">
      <w:pPr>
        <w:pStyle w:val="ParaNum"/>
      </w:pPr>
      <w:r>
        <w:t>As the FTC has concluded, in order to be most effective, choice mechanisms that allow consumers control over how their data is used should be provided “at a time and in a context that is relevant to consumers.”</w:t>
      </w:r>
      <w:r>
        <w:rPr>
          <w:rStyle w:val="FootnoteReference"/>
        </w:rPr>
        <w:footnoteReference w:id="250"/>
      </w:r>
      <w:r w:rsidRPr="0042703E">
        <w:rPr>
          <w:szCs w:val="22"/>
        </w:rPr>
        <w:t xml:space="preserve">  </w:t>
      </w:r>
      <w:r>
        <w:t xml:space="preserve">We believe that providing notice and soliciting customer choice at this time may give customers useful information when it is most relevant to them, offsetting the risk that customers will be presented with so much information at the point of sale that they will not be able to meaningfully read and understand the privacy policies.  Further, providing notice and soliciting choice before a provider wishes to use or disclose customer PI may also reduce the need for annual or other periodic notices.  </w:t>
      </w:r>
      <w:r w:rsidRPr="0042703E">
        <w:rPr>
          <w:szCs w:val="22"/>
        </w:rPr>
        <w:t xml:space="preserve">We seek comment on our proposal. </w:t>
      </w:r>
      <w:r>
        <w:rPr>
          <w:szCs w:val="22"/>
        </w:rPr>
        <w:t xml:space="preserve"> Could notices upon use or disclosure contribute to “notice fatigue” over time, instead of lessening its impact at point of sale?  </w:t>
      </w:r>
    </w:p>
    <w:p w:rsidR="00324CD5" w:rsidRDefault="00324CD5" w:rsidP="00324CD5">
      <w:pPr>
        <w:pStyle w:val="ParaNum"/>
      </w:pPr>
      <w:r>
        <w:rPr>
          <w:szCs w:val="22"/>
        </w:rPr>
        <w:t xml:space="preserve">We also seek comment whether we should require BIAS providers to notify customers of their privacy </w:t>
      </w:r>
      <w:r w:rsidRPr="00505E75">
        <w:rPr>
          <w:szCs w:val="22"/>
        </w:rPr>
        <w:t xml:space="preserve">choices </w:t>
      </w:r>
      <w:r w:rsidRPr="00B07699">
        <w:rPr>
          <w:shd w:val="clear" w:color="auto" w:fill="FFFFFF"/>
        </w:rPr>
        <w:t xml:space="preserve">and solicit customer approval at other prominent points in time.  </w:t>
      </w:r>
      <w:r w:rsidRPr="00505E75">
        <w:t xml:space="preserve">For </w:t>
      </w:r>
      <w:r>
        <w:t>example, should broadband providers be required to solicit customers’ “just-in-time” approval whenever the relevant customer PI is collected or each time the broadband provider intends to use or disclose the relevant customer PI?</w:t>
      </w:r>
      <w:r>
        <w:rPr>
          <w:rStyle w:val="FootnoteReference"/>
        </w:rPr>
        <w:footnoteReference w:id="251"/>
      </w:r>
      <w:r>
        <w:t xml:space="preserve">  What are the practical and technical realities of any such approaches?  Are there any mobile-specific considerations that the Commission should consider in determining when the opportunity to provide customer approval should be given?  </w:t>
      </w:r>
    </w:p>
    <w:p w:rsidR="00324CD5" w:rsidRDefault="00324CD5" w:rsidP="00324CD5">
      <w:pPr>
        <w:pStyle w:val="ParaNum"/>
      </w:pPr>
      <w:bookmarkStart w:id="420" w:name="_Ref445281668"/>
      <w:r>
        <w:rPr>
          <w:i/>
        </w:rPr>
        <w:t xml:space="preserve">Notice and Solicitation Methods. </w:t>
      </w:r>
      <w:r>
        <w:t xml:space="preserve">  We seek comment on how BIAS providers should notify customers of upcoming uses and disclosures of their PI, and solicit customer approval for those uses and disclosures.  Should we permit each BIAS provider to determine the best method for soliciting customer approval, such as through email or another agreed upon means of electronic communication; separately by postal mail to the customer address of record; included on customer bills; or through some other method?  Are there other technological solutions to providing customers notice that would minimize the burden on providers, and that would be equally or more efficient than these methods, such as, for example, a “notification” on the customer’s device that accesses the broadband service?  Alternatively, should we require BIAS providers to use a specific method or methods?  We seek comment on any particular requirements that should apply for any of the above methods of soliciting approval.</w:t>
      </w:r>
      <w:r>
        <w:rPr>
          <w:rStyle w:val="FootnoteReference"/>
        </w:rPr>
        <w:footnoteReference w:id="252"/>
      </w:r>
      <w:bookmarkEnd w:id="420"/>
      <w:r w:rsidRPr="002147A9">
        <w:t xml:space="preserve"> </w:t>
      </w:r>
      <w:r>
        <w:t xml:space="preserve">  </w:t>
      </w:r>
    </w:p>
    <w:p w:rsidR="00324CD5" w:rsidRDefault="00324CD5" w:rsidP="00324CD5">
      <w:pPr>
        <w:pStyle w:val="ParaNum"/>
      </w:pPr>
      <w:bookmarkStart w:id="421" w:name="_Ref445282838"/>
      <w:r>
        <w:rPr>
          <w:i/>
        </w:rPr>
        <w:t xml:space="preserve">Customer Approval Methods. </w:t>
      </w:r>
      <w:r>
        <w:t xml:space="preserve"> We propose to require BIAS providers to make available to customers a clearly disclosed, easy-to-use method for the customer to deny or grant approval, such as through a dashboard or other user interface that is readily apparent and easy to comprehend, and be made available at no cost to the customer.</w:t>
      </w:r>
      <w:r>
        <w:rPr>
          <w:rStyle w:val="FootnoteReference"/>
        </w:rPr>
        <w:footnoteReference w:id="253"/>
      </w:r>
      <w:r>
        <w:t xml:space="preserve">  We propose that such approval method should be persistently available to customers, such as via a link on a BIAS provider’s homepage and mobile application, as well as any functional equivalents to them.  We believe that this proposed requirement will directly and materially protect customer privacy by ensuring that customers have the ample opportunity to exercise their approval rights.  Customers cannot effectively exercise their approval if the interface for expressing that choice is difficult to use, or if it is only rarely or sporadically available.</w:t>
      </w:r>
      <w:bookmarkEnd w:id="421"/>
    </w:p>
    <w:p w:rsidR="00324CD5" w:rsidRDefault="00324CD5" w:rsidP="004F400E">
      <w:pPr>
        <w:pStyle w:val="ParaNum"/>
        <w:widowControl/>
      </w:pPr>
      <w:r>
        <w:rPr>
          <w:szCs w:val="22"/>
        </w:rPr>
        <w:t xml:space="preserve">We seek comment on our proposal, </w:t>
      </w:r>
      <w:r>
        <w:t>and on any further requirements we should impose on the opportunity to grant or deny approval that may enhance customer comprehension.</w:t>
      </w:r>
      <w:r>
        <w:rPr>
          <w:rStyle w:val="FootnoteReference"/>
        </w:rPr>
        <w:footnoteReference w:id="254"/>
      </w:r>
      <w:r>
        <w:t xml:space="preserve">  Should customers be given the ability to approve or disapprove uses within the text of the notice or solicitation, in addition to a dashboard or other persistent mechanism?  And, given that some customers are unaccustomed to interacting with their provider via applications or the provider’s homepage, should we require broadband providers to provide customers with the ability to provide customer approval via other written, electronic, or oral means, </w:t>
      </w:r>
      <w:r w:rsidRPr="00584933">
        <w:t>e.g.</w:t>
      </w:r>
      <w:r>
        <w:t>, through written correspondence, a toll-free number, or dedicated email address?</w:t>
      </w:r>
      <w:r>
        <w:rPr>
          <w:rStyle w:val="FootnoteReference"/>
        </w:rPr>
        <w:footnoteReference w:id="255"/>
      </w:r>
      <w:r>
        <w:t xml:space="preserve">  How would such a requirement affect provider burdens?    </w:t>
      </w:r>
      <w:r>
        <w:rPr>
          <w:szCs w:val="22"/>
        </w:rPr>
        <w:t xml:space="preserve">  </w:t>
      </w:r>
    </w:p>
    <w:p w:rsidR="00324CD5" w:rsidRPr="0032455F" w:rsidRDefault="00324CD5" w:rsidP="004F400E">
      <w:pPr>
        <w:pStyle w:val="ParaNum"/>
        <w:widowControl/>
      </w:pPr>
      <w:bookmarkStart w:id="422" w:name="_Ref445282841"/>
      <w:r>
        <w:t>We also seek comment on whether there are any mobile-specific considerations that we should consider in determining how the opportunity to provide customer approval should be given.  For example, since mobile BIAS may be more accessible to children beyond parental supervision, are different approval methods necessary regarding consent of minors on mobile devices?  Finally, we seek comment whether any of our proposed requirements are unnecessary or unlikely to aid customers.</w:t>
      </w:r>
      <w:bookmarkEnd w:id="422"/>
    </w:p>
    <w:p w:rsidR="00324CD5" w:rsidRPr="0032455F" w:rsidRDefault="00324CD5" w:rsidP="00324CD5">
      <w:pPr>
        <w:pStyle w:val="ParaNum"/>
      </w:pPr>
      <w:r>
        <w:rPr>
          <w:i/>
        </w:rPr>
        <w:t xml:space="preserve">Effectiveness of Customer Choice.  </w:t>
      </w:r>
      <w:r>
        <w:t>We propose that approval or disapproval to use, disclose, or permit access to customer PI obtained by a broadband provider must remain in effect until the customer revokes or limits such approval or disapproval, and seek comment on this proposal.</w:t>
      </w:r>
      <w:r>
        <w:rPr>
          <w:rStyle w:val="FootnoteReference"/>
        </w:rPr>
        <w:footnoteReference w:id="256"/>
      </w:r>
      <w:r>
        <w:t xml:space="preserve">  Are there particular considerations (for instance, with already-collected information) when customers disapprove of uses that they have previously approved, or vice versa?   </w:t>
      </w:r>
      <w:r>
        <w:rPr>
          <w:szCs w:val="22"/>
        </w:rPr>
        <w:t>We also propose that BIAS providers must act upon customers’ privacy choices “promptly” after customers provide or withdraw consent for the use or disclosure of their information.  We seek comment whether it is necessary for the Commission to establish guidelines for what “promptly” means in this context.  Why or why not?  If so, we seek comment on what the guidelines and time frame might be.  If a customer later reconsiders and changes his approval, how long should the provider be given to update this consent choice?  Should the two lengths of time be the same?  How does this proposal affect potential rules limiting data retention and requiring disposal of customer data?  Would a customer’s withdrawal of consent require disposal of her already-collected data immediately, after a period of time, or not at all?</w:t>
      </w:r>
    </w:p>
    <w:p w:rsidR="00324CD5" w:rsidRPr="00415198" w:rsidRDefault="00324CD5" w:rsidP="00324CD5">
      <w:pPr>
        <w:pStyle w:val="ParaNum"/>
        <w:rPr>
          <w:szCs w:val="22"/>
        </w:rPr>
      </w:pPr>
      <w:r w:rsidRPr="000F138A">
        <w:rPr>
          <w:i/>
        </w:rPr>
        <w:t>Notice Requirements for One-Time Usage of Customer PI.</w:t>
      </w:r>
      <w:r>
        <w:t xml:space="preserve">  Additionally, we seek comment on whether to apply or adapt the current voice notice requirements specific to one-time usage of CPNI to BIAS providers’ one-time usage of customer PI.</w:t>
      </w:r>
      <w:r>
        <w:rPr>
          <w:rStyle w:val="FootnoteReference"/>
          <w:szCs w:val="22"/>
        </w:rPr>
        <w:footnoteReference w:id="257"/>
      </w:r>
      <w:r>
        <w:t xml:space="preserve">  The current voice rules</w:t>
      </w:r>
      <w:r>
        <w:rPr>
          <w:szCs w:val="22"/>
        </w:rPr>
        <w:t xml:space="preserve"> allow a more flexible process for providing notice and accepting consent, so long as the approval granted is for the limited purposes of the particular interaction, such as during the duration of a customer service call or during a real-time chat.  Do these or some other requirements make sense in the broadband context?  Do they make sense as extended to all customer proprietary information?  </w:t>
      </w:r>
    </w:p>
    <w:p w:rsidR="00324CD5" w:rsidRDefault="00324CD5" w:rsidP="00324CD5">
      <w:pPr>
        <w:pStyle w:val="Heading3"/>
      </w:pPr>
      <w:bookmarkStart w:id="423" w:name="_Toc441849962"/>
      <w:bookmarkStart w:id="424" w:name="_Toc443049933"/>
      <w:bookmarkStart w:id="425" w:name="_Toc443660107"/>
      <w:bookmarkStart w:id="426" w:name="_Toc444095743"/>
      <w:bookmarkStart w:id="427" w:name="_Toc445192955"/>
      <w:bookmarkStart w:id="428" w:name="_Toc445193051"/>
      <w:bookmarkStart w:id="429" w:name="_Toc445193131"/>
      <w:bookmarkStart w:id="430" w:name="_Toc445276264"/>
      <w:bookmarkStart w:id="431" w:name="_Toc445367853"/>
      <w:bookmarkStart w:id="432" w:name="_Ref446516862"/>
      <w:bookmarkStart w:id="433" w:name="_Toc446937462"/>
      <w:bookmarkStart w:id="434" w:name="_Toc447116334"/>
      <w:bookmarkStart w:id="435" w:name="_Toc447121223"/>
      <w:r>
        <w:t>Documenting Compliance with Proposed Customer Consent Requirements</w:t>
      </w:r>
      <w:bookmarkEnd w:id="411"/>
      <w:bookmarkEnd w:id="412"/>
      <w:bookmarkEnd w:id="413"/>
      <w:bookmarkEnd w:id="414"/>
      <w:bookmarkEnd w:id="415"/>
      <w:bookmarkEnd w:id="416"/>
      <w:bookmarkEnd w:id="417"/>
      <w:bookmarkEnd w:id="423"/>
      <w:bookmarkEnd w:id="424"/>
      <w:bookmarkEnd w:id="425"/>
      <w:bookmarkEnd w:id="426"/>
      <w:bookmarkEnd w:id="427"/>
      <w:bookmarkEnd w:id="428"/>
      <w:bookmarkEnd w:id="429"/>
      <w:bookmarkEnd w:id="430"/>
      <w:bookmarkEnd w:id="431"/>
      <w:bookmarkEnd w:id="432"/>
      <w:bookmarkEnd w:id="433"/>
      <w:bookmarkEnd w:id="434"/>
      <w:bookmarkEnd w:id="435"/>
    </w:p>
    <w:p w:rsidR="00324CD5" w:rsidRDefault="00324CD5" w:rsidP="00324CD5">
      <w:pPr>
        <w:pStyle w:val="ParaNum"/>
      </w:pPr>
      <w:r>
        <w:t>In order to ensure that the requisite approval is clearly established before the use or disclosure of customer PI, and also that the approval can be demonstrated after the use or disclosure</w:t>
      </w:r>
      <w:r w:rsidR="00935FE1">
        <w:t xml:space="preserve">, we propose to require BIAS providers to document the status of a customer’s approval for the use and disclosure of customer PI, and we seek comment on that proposal.  </w:t>
      </w:r>
      <w:r>
        <w:t>We base our proposal on the existing rules governing safeguards on the use and disclosure of customer PI for voice telecommunications services.</w:t>
      </w:r>
      <w:r>
        <w:rPr>
          <w:rStyle w:val="FootnoteReference"/>
        </w:rPr>
        <w:footnoteReference w:id="258"/>
      </w:r>
      <w:r>
        <w:t xml:space="preserve">  Specifically, we propose requiring BIAS providers to (1) maintain records on customer PI disclosure to third parties for at least one year, (2) maintain records of customer notices and approval for at least one year, (3) adequately train and supervise their personnel on customer PI access, (4) establish supervisory review processes, and (5) provide prompt notice to the Commission of unauthorized uses or disclosures.  With these proposed rules, we seek to promote consumer confidence that BIAS providers are adequately protecting customers’ PI, to provide clear rules of the road to BIAS providers about their obligations, and to maintain consistency with existing legal requirements and customer expectations.  Are there any other or different requirements that we should adopt in order to ensure that providers document their compliance with our customer consent requirements?  Should we require BIAS providers to file an annual compliance certification wit</w:t>
      </w:r>
      <w:r w:rsidR="00935FE1">
        <w:t>h the Commission, as is required</w:t>
      </w:r>
      <w:r w:rsidR="005417C0">
        <w:t xml:space="preserve"> under the current S</w:t>
      </w:r>
      <w:r>
        <w:t>ection 222 rules?</w:t>
      </w:r>
      <w:r>
        <w:rPr>
          <w:rStyle w:val="FootnoteReference"/>
        </w:rPr>
        <w:footnoteReference w:id="259"/>
      </w:r>
      <w:r>
        <w:t xml:space="preserve">  Are there alternative approaches to safeguard customers’ proprietary information and boost customer confidence in the privacy of their customer PI that we should consider? </w:t>
      </w:r>
    </w:p>
    <w:p w:rsidR="00324CD5" w:rsidRDefault="00324CD5" w:rsidP="00324CD5">
      <w:pPr>
        <w:pStyle w:val="ParaNum"/>
      </w:pPr>
      <w:r>
        <w:t xml:space="preserve"> Finally, in addition to the above proposals, we seek comment on any other mechanisms or alternatives that would help document compliance with our proposed customer approval framework, boost customer confidence in BIAS provider safeguards of customer PI, and harmonize the proposed rules with existing legal requirements and customer expectations.</w:t>
      </w:r>
    </w:p>
    <w:p w:rsidR="00324CD5" w:rsidRPr="008F1217" w:rsidRDefault="00324CD5" w:rsidP="00324CD5">
      <w:pPr>
        <w:pStyle w:val="Heading3"/>
      </w:pPr>
      <w:bookmarkStart w:id="436" w:name="_Toc441849963"/>
      <w:bookmarkStart w:id="437" w:name="_Toc443049934"/>
      <w:bookmarkStart w:id="438" w:name="_Toc443660108"/>
      <w:bookmarkStart w:id="439" w:name="_Toc444095744"/>
      <w:bookmarkStart w:id="440" w:name="_Toc445192956"/>
      <w:bookmarkStart w:id="441" w:name="_Toc445193052"/>
      <w:bookmarkStart w:id="442" w:name="_Toc445193132"/>
      <w:bookmarkStart w:id="443" w:name="_Toc445276265"/>
      <w:bookmarkStart w:id="444" w:name="_Toc445367854"/>
      <w:bookmarkStart w:id="445" w:name="_Ref446516878"/>
      <w:bookmarkStart w:id="446" w:name="_Ref446518947"/>
      <w:bookmarkStart w:id="447" w:name="_Toc446937463"/>
      <w:bookmarkStart w:id="448" w:name="_Toc447116335"/>
      <w:bookmarkStart w:id="449" w:name="_Toc447121224"/>
      <w:r w:rsidRPr="008F1217">
        <w:t>Small BIAS Providers</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r w:rsidRPr="008F1217">
        <w:t xml:space="preserve"> </w:t>
      </w:r>
    </w:p>
    <w:p w:rsidR="00324CD5" w:rsidRDefault="00324CD5" w:rsidP="00324CD5">
      <w:pPr>
        <w:pStyle w:val="ParaNum"/>
      </w:pPr>
      <w:r>
        <w:t>W</w:t>
      </w:r>
      <w:r w:rsidRPr="009258E2">
        <w:t xml:space="preserve">e seek comment on ways to minimize the burden of our proposed </w:t>
      </w:r>
      <w:r>
        <w:t>customer choice framework</w:t>
      </w:r>
      <w:r w:rsidRPr="009258E2">
        <w:t xml:space="preserve"> on small BIAS providers. </w:t>
      </w:r>
      <w:r>
        <w:t xml:space="preserve"> </w:t>
      </w:r>
      <w:r w:rsidRPr="009258E2">
        <w:t xml:space="preserve">In particular, we seek comment on whether there are any small-provider-specific exemptions that we might build into our proposed </w:t>
      </w:r>
      <w:r>
        <w:t>approval framework</w:t>
      </w:r>
      <w:r w:rsidRPr="009258E2">
        <w:t>.</w:t>
      </w:r>
      <w:r>
        <w:t xml:space="preserve">  For example, should we allow small providers who have already obtained customer approval to use their customers’ proprietary information to grandfather in those approvals?  Should this be allowed for disclosure to third parties?  </w:t>
      </w:r>
      <w:r w:rsidRPr="009258E2">
        <w:t>Should we exempt providers that collect data from fewer than 5,000 customers a year, provided they do not share customer data with third parties?  Are there other such policies that would minimize the burden of our proposed rules on small providers?</w:t>
      </w:r>
      <w:r>
        <w:t xml:space="preserve">  If so, would the</w:t>
      </w:r>
      <w:r w:rsidRPr="009258E2">
        <w:t xml:space="preserve"> benefits to small providers of </w:t>
      </w:r>
      <w:r>
        <w:t>any suggested exemptions</w:t>
      </w:r>
      <w:r w:rsidRPr="009258E2">
        <w:t xml:space="preserve"> outweigh the potential negative impact of such an exemption on the privacy interests of </w:t>
      </w:r>
      <w:r>
        <w:t xml:space="preserve">the </w:t>
      </w:r>
      <w:r w:rsidRPr="009258E2">
        <w:t xml:space="preserve">customers </w:t>
      </w:r>
      <w:r>
        <w:t>who contract for the provision of BIAS with</w:t>
      </w:r>
      <w:r w:rsidRPr="009258E2">
        <w:t xml:space="preserve"> small providers?</w:t>
      </w:r>
      <w:r>
        <w:t xml:space="preserve">  Further, were we to adopt an exemption, how would we define what constitutes a “small provider” for purposes of that exemption?</w:t>
      </w:r>
    </w:p>
    <w:p w:rsidR="00324CD5" w:rsidRDefault="00324CD5" w:rsidP="00324CD5">
      <w:pPr>
        <w:pStyle w:val="Heading3"/>
      </w:pPr>
      <w:bookmarkStart w:id="450" w:name="_Toc441849964"/>
      <w:bookmarkStart w:id="451" w:name="_Toc443049935"/>
      <w:bookmarkStart w:id="452" w:name="_Toc443660109"/>
      <w:bookmarkStart w:id="453" w:name="_Toc444095745"/>
      <w:bookmarkStart w:id="454" w:name="_Toc445192957"/>
      <w:bookmarkStart w:id="455" w:name="_Toc445193053"/>
      <w:bookmarkStart w:id="456" w:name="_Toc445193133"/>
      <w:bookmarkStart w:id="457" w:name="_Toc445276266"/>
      <w:bookmarkStart w:id="458" w:name="_Toc445367855"/>
      <w:bookmarkStart w:id="459" w:name="_Ref446516895"/>
      <w:bookmarkStart w:id="460" w:name="_Toc446937464"/>
      <w:bookmarkStart w:id="461" w:name="_Toc447116336"/>
      <w:bookmarkStart w:id="462" w:name="_Toc447121225"/>
      <w:r>
        <w:t xml:space="preserve">Harmonizing Customer Approval Requirements </w:t>
      </w:r>
      <w:bookmarkEnd w:id="450"/>
      <w:bookmarkEnd w:id="451"/>
      <w:bookmarkEnd w:id="452"/>
      <w:bookmarkEnd w:id="453"/>
      <w:bookmarkEnd w:id="454"/>
      <w:bookmarkEnd w:id="455"/>
      <w:bookmarkEnd w:id="456"/>
      <w:bookmarkEnd w:id="457"/>
      <w:bookmarkEnd w:id="458"/>
      <w:bookmarkEnd w:id="459"/>
      <w:bookmarkEnd w:id="460"/>
      <w:bookmarkEnd w:id="461"/>
      <w:bookmarkEnd w:id="462"/>
    </w:p>
    <w:p w:rsidR="00324CD5" w:rsidRDefault="00324CD5" w:rsidP="00324CD5">
      <w:pPr>
        <w:pStyle w:val="ParaNum"/>
      </w:pPr>
      <w:r>
        <w:t xml:space="preserve">We seek comment on whether we should take steps to harmonize the existing customer approval requirements for voice services with those requirements we have proposed for broadband providers to ensure that the privacy of customers’ PI is protected, and that our regulations are competitively neutral, across all platforms.  Are there aspects of the existing rules that should be more explicitly incorporated into our proposal, or eliminated to better comport with our proposal?  Are there aspects of the proposed rules that should be applied in the voice context?  Would harmonizing these rules benefit traditional voice subscribers?  Would harmonizing our existing and proposed rules benefit providers who offer both services by clarifying and streamlining the customer approval requirements applicable to both types of services?  In harmonizing the existing voice rules with our proposed rules for BIAS providers, how should we address voice services provided to large enterprise customers, which are currently not subject to the voice rules?  Are there other changes that can be made to our rules that govern the marketing of service offerings that might improve them in the voice context? </w:t>
      </w:r>
      <w:r w:rsidR="00935FE1">
        <w:t xml:space="preserve"> </w:t>
      </w:r>
      <w:r w:rsidR="009721BF">
        <w:t>W</w:t>
      </w:r>
      <w:r>
        <w:t xml:space="preserve">e also seek comment on how our reclassification of BIAS as a telecommunications service affects the obligations of voice carriers under our rules.  </w:t>
      </w:r>
    </w:p>
    <w:p w:rsidR="009721BF" w:rsidRPr="00AB3094" w:rsidRDefault="009721BF" w:rsidP="00324CD5">
      <w:pPr>
        <w:pStyle w:val="ParaNum"/>
      </w:pPr>
      <w:r>
        <w:t xml:space="preserve">We also seek comment on whether we should adopt rules harmonizing the approval requirements we propose for BIAS customers with the approval requirements for use of subscriber information in Sections 631 and 338(i).  We note that those provisions of the Act </w:t>
      </w:r>
      <w:r w:rsidR="00327397">
        <w:t>prohibit the use of the cable or satellite system to collect, use, or share personally identifiable information for purposes other than provision of the underlying services and other very limited purposes, absent the express written or electronic consent of the subscriber, except to provide the underlying service and for certain other very limited purposes</w:t>
      </w:r>
      <w:r>
        <w:t>.</w:t>
      </w:r>
      <w:r>
        <w:rPr>
          <w:rStyle w:val="FootnoteReference"/>
        </w:rPr>
        <w:footnoteReference w:id="260"/>
      </w:r>
    </w:p>
    <w:p w:rsidR="00324CD5" w:rsidRDefault="00324CD5" w:rsidP="00324CD5">
      <w:pPr>
        <w:pStyle w:val="Heading2"/>
      </w:pPr>
      <w:bookmarkStart w:id="463" w:name="_Toc443660110"/>
      <w:bookmarkStart w:id="464" w:name="_Toc444095746"/>
      <w:bookmarkStart w:id="465" w:name="_Toc445192958"/>
      <w:bookmarkStart w:id="466" w:name="_Toc445193054"/>
      <w:bookmarkStart w:id="467" w:name="_Toc445193134"/>
      <w:bookmarkStart w:id="468" w:name="_Toc445276267"/>
      <w:bookmarkStart w:id="469" w:name="_Toc445367856"/>
      <w:bookmarkStart w:id="470" w:name="_Ref446512667"/>
      <w:bookmarkStart w:id="471" w:name="_Ref446516907"/>
      <w:bookmarkStart w:id="472" w:name="_Ref446518855"/>
      <w:bookmarkStart w:id="473" w:name="_Toc446937465"/>
      <w:bookmarkStart w:id="474" w:name="_Toc447116337"/>
      <w:bookmarkStart w:id="475" w:name="_Toc447121226"/>
      <w:bookmarkStart w:id="476" w:name="_Ref447124015"/>
      <w:r>
        <w:t xml:space="preserve">Use and Disclosure of Aggregate Customer </w:t>
      </w:r>
      <w:bookmarkEnd w:id="339"/>
      <w:r>
        <w:t>PI</w:t>
      </w:r>
      <w:bookmarkEnd w:id="340"/>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rsidR="00324CD5" w:rsidRDefault="00324CD5" w:rsidP="00324CD5">
      <w:pPr>
        <w:pStyle w:val="ParaNum"/>
      </w:pPr>
      <w:r>
        <w:t>Because of the complexity of the issues surrounding aggregation, de-identification, and re-identification of the data that BIAS providers collect about their customers, we propose to address separately the use of, disclosure of, and access to aggregate customer information.  Consistent with reasonable consumer expectations, existing best practices guidance from the FTC and NIST, and Section 222(c)(3)’s treatment of aggregate CPNI, we propose to allow BIAS providers to use, disclose, and permit access to aggregate customer PI if the provider (1) determines that the aggregated customer PI is not reasonably linkable to a specific individual or device;</w:t>
      </w:r>
      <w:r w:rsidDel="00583612">
        <w:rPr>
          <w:rStyle w:val="FootnoteReference"/>
        </w:rPr>
        <w:t xml:space="preserve"> </w:t>
      </w:r>
      <w:r>
        <w:t xml:space="preserve"> (2) publicly commits to maintain and use the aggregate data in a non-individually identifiable fashion and to not attempt to re-identify the data; (3) contractually prohibits any entity to which it discloses or permits access to the aggregate data from attempting to re-identify the data; and (4) exercises reasonable monitoring to ensure that those contracts are not violated.  We also propose that the burden of proving that individual customer identities and characteristics have been removed from aggregate customer PI rests with the BIAS provider.  </w:t>
      </w:r>
    </w:p>
    <w:p w:rsidR="00324CD5" w:rsidRDefault="00324CD5" w:rsidP="00324CD5">
      <w:pPr>
        <w:pStyle w:val="ParaNum"/>
      </w:pPr>
      <w:r>
        <w:t>Recognizing that aggregate, non-identifiable customer information can be useful to BIAS providers and the companies they do business with, and not pose a risk to the privacy of consumers, Section 222(c)(3) permits telecommunications carriers to use, disclose, or permit access to aggregate customer information—collective data that relates to a group or category of services or customers, from which individual customer identities and cha</w:t>
      </w:r>
      <w:r w:rsidR="00935FE1">
        <w:t>racteristics have been removed—</w:t>
      </w:r>
      <w:r>
        <w:t>without seeking customer approval.</w:t>
      </w:r>
      <w:r>
        <w:rPr>
          <w:rStyle w:val="FootnoteReference"/>
        </w:rPr>
        <w:footnoteReference w:id="261"/>
      </w:r>
      <w:r>
        <w:t xml:space="preserve">  Our proposed rule expands this concept to include all customer PI, and imposes safeguards to ensure that such information is in fact aggregated and non-identifiable, and that safeguards have been put in place to prevent re-identification of this information.  </w:t>
      </w:r>
    </w:p>
    <w:p w:rsidR="00324CD5" w:rsidRDefault="00324CD5" w:rsidP="00324CD5">
      <w:pPr>
        <w:pStyle w:val="ParaNum"/>
      </w:pPr>
      <w:r>
        <w:t xml:space="preserve"> We believe our multi-pronged proposal, grounded in FTC guidance, will give providers enough flexibility to ensure that as technology changes, customer information is protected, while at the same time minimizing burdens and maintaining the utility of aggregate customer information.</w:t>
      </w:r>
      <w:bookmarkStart w:id="477" w:name="_Ref446574035"/>
      <w:r>
        <w:rPr>
          <w:rStyle w:val="FootnoteReference"/>
        </w:rPr>
        <w:footnoteReference w:id="262"/>
      </w:r>
      <w:bookmarkEnd w:id="477"/>
      <w:r>
        <w:t xml:space="preserve">  Below we discuss and seek comment on each of </w:t>
      </w:r>
      <w:r w:rsidR="00935FE1">
        <w:t>the prongs of our proposed rule</w:t>
      </w:r>
      <w:r>
        <w:t xml:space="preserve"> regarding the use and disclosure of aggregate customer PI.  We also seek comment on whether we should extend our proposed rule to providers of voice telecommunications services.  To the greatest extent possible, we ask that commenters ground their comments in practical examples: what kinds of aggregate, non-identifiable information do or can BIAS providers use and share?  </w:t>
      </w:r>
    </w:p>
    <w:p w:rsidR="00324CD5" w:rsidRDefault="00324CD5" w:rsidP="00324CD5">
      <w:pPr>
        <w:pStyle w:val="ParaNum"/>
      </w:pPr>
      <w:r>
        <w:t xml:space="preserve"> </w:t>
      </w:r>
      <w:bookmarkStart w:id="478" w:name="_Ref446512059"/>
      <w:r>
        <w:rPr>
          <w:i/>
        </w:rPr>
        <w:t>Not Reasonably Linkable</w:t>
      </w:r>
      <w:r>
        <w:t xml:space="preserve">.  </w:t>
      </w:r>
      <w:r w:rsidRPr="002A6BE3">
        <w:t>In</w:t>
      </w:r>
      <w:r>
        <w:t xml:space="preserve"> order to protect the confidentiality of individual customers’ proprietary information, the first prong of our approach would require providers to ensure the aggregated customer PI is not reasonably linkable to a specific individual or device.</w:t>
      </w:r>
      <w:r>
        <w:rPr>
          <w:rStyle w:val="FootnoteReference"/>
        </w:rPr>
        <w:footnoteReference w:id="263"/>
      </w:r>
      <w:r>
        <w:t xml:space="preserve">  Our proposal recognizes that techniques that once appeared to prevent re-identification of aggregate information have increasingly become less effective.</w:t>
      </w:r>
      <w:r>
        <w:rPr>
          <w:rStyle w:val="FootnoteReference"/>
        </w:rPr>
        <w:footnoteReference w:id="264"/>
      </w:r>
      <w:r>
        <w:t xml:space="preserve">  It is also </w:t>
      </w:r>
      <w:r w:rsidRPr="000E3BF4">
        <w:t>consistent with FTC guidance which recommends that companies take reasonable measures to ensure that the data is de-identified, and recommends that this determination should be based on the particular circumstances, including the available methods and technologies, the nature of the data at issue, and the purposes for which it will be used.</w:t>
      </w:r>
      <w:bookmarkEnd w:id="478"/>
      <w:r w:rsidRPr="000E3BF4">
        <w:t xml:space="preserve">   </w:t>
      </w:r>
    </w:p>
    <w:p w:rsidR="00324CD5" w:rsidRDefault="00324CD5" w:rsidP="00324CD5">
      <w:pPr>
        <w:pStyle w:val="ParaNum"/>
      </w:pPr>
      <w:r w:rsidRPr="000E3BF4">
        <w:t>We se</w:t>
      </w:r>
      <w:r>
        <w:t>ek comment on this proposal.  Ar</w:t>
      </w:r>
      <w:r w:rsidRPr="000E3BF4">
        <w:t xml:space="preserve">e the factors identified by the FTC </w:t>
      </w:r>
      <w:r>
        <w:t xml:space="preserve">well-suited to determining whether a BIAS provider </w:t>
      </w:r>
      <w:r w:rsidRPr="000E3BF4">
        <w:t>has taken reasonable measures to de-identify</w:t>
      </w:r>
      <w:r>
        <w:t xml:space="preserve"> data</w:t>
      </w:r>
      <w:r w:rsidRPr="000E3BF4">
        <w:t xml:space="preserve">?  Are there other factors that we should expect providers to take into account?  </w:t>
      </w:r>
      <w:r>
        <w:t>Should we provide guidance on what we mean by linked and linkable information?  NIST defines linked information as “information about or related to an individual that is logically associated with other information about the individual,” and linkable information as “information about or related to an individual for which there is a possibility of logical association with other information about the individual.”</w:t>
      </w:r>
      <w:r>
        <w:rPr>
          <w:rStyle w:val="FootnoteReference"/>
        </w:rPr>
        <w:footnoteReference w:id="265"/>
      </w:r>
      <w:r>
        <w:t xml:space="preserve">  Should we adopt either or both of these standards?  Are there other approaches we should use to decide whether information is reasonably linkable?  For example, HIPAA permits covered entities to de-identify data through statistical de-identification, whereby a properly qualified statistician, using accepted analytic techniques, concludes that the risk is substantially limited that the information might be used, alone or in combination with other reasonably available information, to identify the subject of the information.</w:t>
      </w:r>
      <w:r>
        <w:rPr>
          <w:rStyle w:val="FootnoteReference"/>
        </w:rPr>
        <w:footnoteReference w:id="266"/>
      </w:r>
      <w:r>
        <w:t xml:space="preserve">  </w:t>
      </w:r>
    </w:p>
    <w:p w:rsidR="00324CD5" w:rsidRDefault="00324CD5" w:rsidP="00324CD5">
      <w:pPr>
        <w:pStyle w:val="ParaNum"/>
      </w:pPr>
      <w:r>
        <w:t xml:space="preserve">We seek comment on alternative approaches to this prong and the comparative merits of each possible approach.  We also seek comment whether we should require BIAS providers to retain documentation that outlines the methods and results of the analysis showing that information that it has treated as aggregate information has been rendered not reasonably linkable. </w:t>
      </w:r>
    </w:p>
    <w:p w:rsidR="00324CD5" w:rsidRDefault="00324CD5" w:rsidP="00324CD5">
      <w:pPr>
        <w:pStyle w:val="ParaNum"/>
      </w:pPr>
      <w:r>
        <w:rPr>
          <w:i/>
        </w:rPr>
        <w:t>Public Commitments</w:t>
      </w:r>
      <w:r>
        <w:t>.  Prong two of our proposal would require BIAS providers to publicly commit to maintain and use aggregate customer PI in a non-individually identifiable fashion and to not attempt to re-identify the data.  Such public commitments would help ensure transparency and accountability, and accommodate new developments in the rapidly evolving field of privacy science.  This prong and the next are consistent with FTC guidance and the Administration’s draft privacy bill recommending that companies publicly commit not to re-identify data and contractually prohibit any entity with which a company shares customer data from attempting to re-identify it.</w:t>
      </w:r>
      <w:r>
        <w:rPr>
          <w:rStyle w:val="FootnoteReference"/>
        </w:rPr>
        <w:footnoteReference w:id="267"/>
      </w:r>
      <w:r>
        <w:t xml:space="preserve">  We seek comment on this proposal.  Would this requirement help ensure that providers are protecting the confidentiality of customer PI?  How could or should a BIAS provider satisfy the requirement to make a public commitment not to re-identify aggregate customer PI?  For example, would a statement in a BIAS provider’s privacy policy be sufficient?</w:t>
      </w:r>
    </w:p>
    <w:p w:rsidR="00324CD5" w:rsidRDefault="00324CD5" w:rsidP="00324CD5">
      <w:pPr>
        <w:pStyle w:val="ParaNum"/>
      </w:pPr>
      <w:r>
        <w:rPr>
          <w:i/>
        </w:rPr>
        <w:t>Limits on Other Entities</w:t>
      </w:r>
      <w:r>
        <w:t xml:space="preserve">.  </w:t>
      </w:r>
      <w:r w:rsidRPr="00BF7454">
        <w:t>The</w:t>
      </w:r>
      <w:r>
        <w:t xml:space="preserve"> third prong of our proposal would require providers to contractually prohibit any entity to which the BIAS provider discloses or permits access to the aggregate customer data from attempting to re-identify the data.  This proposal presents a modern approach to the difficulties of ensuring the privacy of aggregate information, recognizing that businesses are often in the best position to control each other’s practices.  Researchers have argued that such contractual prohibitions are an important part of protecting consumers’ privacy, because making data completely non-individually identifiable may not be possible or even desirable.</w:t>
      </w:r>
      <w:r>
        <w:rPr>
          <w:rStyle w:val="FootnoteReference"/>
        </w:rPr>
        <w:footnoteReference w:id="268"/>
      </w:r>
      <w:r>
        <w:t xml:space="preserve">  We recognize that the categories of what can potentially be reasonably linkable information will continue to evolve, and we believe these contractual provisions provide a critical layer of privacy protection that remains constant regardless of changes in the technology.  </w:t>
      </w:r>
    </w:p>
    <w:p w:rsidR="00324CD5" w:rsidRPr="00554560" w:rsidRDefault="00324CD5" w:rsidP="00324CD5">
      <w:pPr>
        <w:pStyle w:val="ParaNum"/>
      </w:pPr>
      <w:r>
        <w:rPr>
          <w:i/>
        </w:rPr>
        <w:t xml:space="preserve">Reasonable Monitoring.  </w:t>
      </w:r>
      <w:r>
        <w:t>Related to the requirements for prong three, the fourth prong of our approach requires BIAS providers to exercise reasonable monitoring of the contractual obligations relating to aggregate information and to take reasonable steps to ensure that the if compliance problems arise they are immediately resolved.  This prong is a logical outgrowth of the previous prongs, and it is consistent with the 2012 FTC Privacy Report.</w:t>
      </w:r>
      <w:r>
        <w:rPr>
          <w:rStyle w:val="FootnoteReference"/>
        </w:rPr>
        <w:footnoteReference w:id="269"/>
      </w:r>
      <w:r>
        <w:t xml:space="preserve">  We seek comment regarding the types of monitoring and remediation steps BIAS providers should be required to take to ensure that entities with which they have shared aggregate customer PI are not attempting to re-identify the data.  What potential burdens and benefits would arise from this proposal?  </w:t>
      </w:r>
    </w:p>
    <w:p w:rsidR="00324CD5" w:rsidRDefault="00324CD5" w:rsidP="00324CD5">
      <w:pPr>
        <w:pStyle w:val="ParaNum"/>
      </w:pPr>
      <w:r>
        <w:rPr>
          <w:i/>
        </w:rPr>
        <w:t xml:space="preserve">Alternatives.  </w:t>
      </w:r>
      <w:r>
        <w:t>Alternatively, we seek comment whether we should develop a list of identifiers that must be removed from data in order to determine that “individual customer identities and characteristics have been removed.”  If we take such an approach, should it replace all, a portion of, or be in addition to our current proposal?  HIPAA incorporates such a standard, and under this approach, a covered entity or its business associate may de-identify information by removing 18 specific identifiers.</w:t>
      </w:r>
      <w:r>
        <w:rPr>
          <w:rStyle w:val="FootnoteReference"/>
        </w:rPr>
        <w:footnoteReference w:id="270"/>
      </w:r>
      <w:r>
        <w:t xml:space="preserve">  Under HIPAA, the covered entity must also lack a</w:t>
      </w:r>
      <w:r w:rsidRPr="004F78EC">
        <w:t>ctual knowledge that the information could be used alone or in combination with other information to identify an individual who is a subject of the information.</w:t>
      </w:r>
      <w:r>
        <w:rPr>
          <w:rStyle w:val="FootnoteReference"/>
        </w:rPr>
        <w:footnoteReference w:id="271"/>
      </w:r>
      <w:r>
        <w:t xml:space="preserve">  We are aware of criticisms that the approach taken by HIPAA no longer provides the levels of protection previously assumed.  One legal scholar, for example, argues that “[t]he idea that we can single out fields of information that are more linkable to identity than others has lost its scientific basis and must be abandoned.”</w:t>
      </w:r>
      <w:r>
        <w:rPr>
          <w:rStyle w:val="FootnoteReference"/>
        </w:rPr>
        <w:footnoteReference w:id="272"/>
      </w:r>
      <w:r>
        <w:t xml:space="preserve">  Are such concerns valid?  Were we to adopt a similar standard to that in HIPAA, what categories of identifiers would be relevant in the broadband context?  And, given the wide variety of customer data to which BIAS providers have access by virtue of their provision of BIAS, is such a list even feasible?  Is it likely that any list developed would be rendered obsolete by technological developments in the data re-identification field?  How could we best ensure that the categories we identify remain adequate to prevent aggregate customer PI from being re-identified?  Should we adopt a catch-all to address evolving methods of de-identification and re-identification of aggregate customer PI, and if so, how would such a process work?  We also seek comment whether, if </w:t>
      </w:r>
      <w:r w:rsidR="00C76FF5">
        <w:t>we</w:t>
      </w:r>
      <w:r>
        <w:t xml:space="preserve"> wer</w:t>
      </w:r>
      <w:r w:rsidR="00C76FF5">
        <w:t>e to pursue such an approach, we</w:t>
      </w:r>
      <w:r>
        <w:t xml:space="preserve"> should also adopt an “actual knowledge” standard, as HIPAA includes.  How would the Commission enforce such a standard, and would it encourage willful ignorance on the part of broadband providers?  </w:t>
      </w:r>
    </w:p>
    <w:p w:rsidR="00324CD5" w:rsidRDefault="00324CD5" w:rsidP="00A1147F">
      <w:pPr>
        <w:pStyle w:val="ParaNum"/>
        <w:widowControl/>
      </w:pPr>
      <w:r>
        <w:t xml:space="preserve">Are there any additional or alternative requirements we should adopt that might make aggregate customer information less susceptible to re-identification?  If so, what are they, and why would they be preferable to the procedures we have proposed above?  As commenters consider whether we should adopt each of the prongs of our proposed rule, and any proposed alternatives, we welcome comment on how providers would demonstrate compliance with each prong of the proposal, and of any alternative proposals.  Are there specific record keeping requirements we should impose on providers to demonstrate compliance?  We also seek comment on the costs and benefits of each prong and of all of them collectively.  We invite proposals on how we could limit any burdens associated with compliance, particularly for smaller providers.  </w:t>
      </w:r>
    </w:p>
    <w:p w:rsidR="00324CD5" w:rsidRDefault="00324CD5" w:rsidP="00A1147F">
      <w:pPr>
        <w:pStyle w:val="ParaNum"/>
        <w:widowControl/>
      </w:pPr>
      <w:r>
        <w:t>We also seek comment on how de-identified, but non-collective data should be treated under Section 222 and our rules.</w:t>
      </w:r>
      <w:r>
        <w:rPr>
          <w:rStyle w:val="FootnoteReference"/>
        </w:rPr>
        <w:footnoteReference w:id="273"/>
      </w:r>
      <w:r>
        <w:t xml:space="preserve">  We do not believe that the use and disclosure of such information would fall under the exception for use and disclosure of aggregate customer data enumerated in Section 222(c)(3), because by definition aggregate data must be collective data.  Do commenters agree?  Does Section 222 require us to conclude that all CPNI should be considered individually identifiable unless it meets the definition of aggregate, </w:t>
      </w:r>
      <w:r w:rsidRPr="004D4C97">
        <w:t>i.e</w:t>
      </w:r>
      <w:r w:rsidRPr="00C7735E">
        <w:t xml:space="preserve">., </w:t>
      </w:r>
      <w:r>
        <w:t>is both de-identified and collective?  Does the use and disclosure of such information then fall under the general use and disclosure prohibitions of Section 222(c)(1)?  Does Section 222(a) provide the Commission authority to adopt privacy protections regarding all such data that is customer PI?  We seek comment whether de-identified but non-collective data should be subject to the proposed opt-out and opt-in customer consent requirements described above.</w:t>
      </w:r>
      <w:r>
        <w:rPr>
          <w:rStyle w:val="FootnoteReference"/>
        </w:rPr>
        <w:footnoteReference w:id="274"/>
      </w:r>
      <w:r>
        <w:t xml:space="preserve">  </w:t>
      </w:r>
    </w:p>
    <w:p w:rsidR="00324CD5" w:rsidRDefault="00324CD5" w:rsidP="00324CD5">
      <w:pPr>
        <w:pStyle w:val="ParaNum"/>
      </w:pPr>
      <w:r>
        <w:t>We seek comment on whether we should, for the sake of harmonization, apply our proposed rules for BIAS providers’ use and disclosure of, and access to, aggregate customer proprietary i</w:t>
      </w:r>
      <w:r w:rsidRPr="00A41BF8">
        <w:t>nformation</w:t>
      </w:r>
      <w:r>
        <w:t xml:space="preserve"> to all other telecommunications carriers.  </w:t>
      </w:r>
      <w:r w:rsidR="003F05A8">
        <w:t xml:space="preserve">Likewise, should we adopt rules harmonizing the treatment of aggregate information by cable and satellite providers with the treatment of aggregate information by telecommunications carriers?  </w:t>
      </w:r>
      <w:r>
        <w:t>We note that neither Section 222 nor the Commission’s currently existing implementing rules explicitly restrict carriers’ use of aggregate customer PI.  However, as noted above, as technology has evolved, information that previously appeared to be aggregate may no longer be.  We think this is true whether a company offers voice telephony or BIAS.  Providers, researchers, and others make valuable use of aggregate customer information, but this use must comport with contemporary understandings of how to ensure the information is aggregate information and not re-identifiable.  Accordingly, we ask commenters to explain whether our proposed rules should apply to all providers regardless of the technology used to provide service.</w:t>
      </w:r>
      <w:bookmarkEnd w:id="341"/>
      <w:bookmarkEnd w:id="342"/>
      <w:bookmarkEnd w:id="343"/>
    </w:p>
    <w:p w:rsidR="00324CD5" w:rsidRDefault="00324CD5" w:rsidP="00324CD5">
      <w:pPr>
        <w:pStyle w:val="Heading2"/>
      </w:pPr>
      <w:bookmarkStart w:id="479" w:name="_Toc443049937"/>
      <w:bookmarkStart w:id="480" w:name="_Toc443660111"/>
      <w:bookmarkStart w:id="481" w:name="_Toc444095747"/>
      <w:bookmarkStart w:id="482" w:name="_Toc445192959"/>
      <w:bookmarkStart w:id="483" w:name="_Toc445193055"/>
      <w:bookmarkStart w:id="484" w:name="_Toc445193135"/>
      <w:bookmarkStart w:id="485" w:name="_Toc445276268"/>
      <w:bookmarkStart w:id="486" w:name="_Toc445367857"/>
      <w:bookmarkStart w:id="487" w:name="_Ref446516981"/>
      <w:bookmarkStart w:id="488" w:name="_Ref446518835"/>
      <w:bookmarkStart w:id="489" w:name="_Toc446937466"/>
      <w:bookmarkStart w:id="490" w:name="_Toc447116338"/>
      <w:bookmarkStart w:id="491" w:name="_Toc447121227"/>
      <w:r>
        <w:t>Securing Customer Proprietary Information</w:t>
      </w:r>
      <w:bookmarkEnd w:id="479"/>
      <w:bookmarkEnd w:id="480"/>
      <w:bookmarkEnd w:id="481"/>
      <w:bookmarkEnd w:id="482"/>
      <w:bookmarkEnd w:id="483"/>
      <w:bookmarkEnd w:id="484"/>
      <w:bookmarkEnd w:id="485"/>
      <w:bookmarkEnd w:id="486"/>
      <w:bookmarkEnd w:id="487"/>
      <w:bookmarkEnd w:id="488"/>
      <w:bookmarkEnd w:id="489"/>
      <w:bookmarkEnd w:id="490"/>
      <w:bookmarkEnd w:id="491"/>
      <w:r>
        <w:t xml:space="preserve"> </w:t>
      </w:r>
    </w:p>
    <w:p w:rsidR="00324CD5" w:rsidRDefault="00324CD5" w:rsidP="00324CD5">
      <w:pPr>
        <w:pStyle w:val="ParaNum"/>
      </w:pPr>
      <w:r>
        <w:t>Strong data security protections are crucial to protecting the confidentiality of customer PI.  As the FTC has observed, there is “widespread evidence of data breaches and vulnerabilities related to consumer information,”</w:t>
      </w:r>
      <w:r>
        <w:rPr>
          <w:rStyle w:val="FootnoteReference"/>
        </w:rPr>
        <w:footnoteReference w:id="275"/>
      </w:r>
      <w:r>
        <w:t xml:space="preserve"> and such incidents “undermine consumer trust, which is essential for business growth and innovation.”</w:t>
      </w:r>
      <w:r>
        <w:rPr>
          <w:rStyle w:val="FootnoteReference"/>
        </w:rPr>
        <w:footnoteReference w:id="276"/>
      </w:r>
      <w:r>
        <w:t xml:space="preserve">  Therefore, to protect confidential customer information from misappropriation, breach, and unlawful disclosure, we propose robust and flexible data security requirements for BIAS providers.  We propose both a general data security requirement for BIAS providers and specific types of practices they must engage in to comply with the overarching requirement.  </w:t>
      </w:r>
    </w:p>
    <w:p w:rsidR="00324CD5" w:rsidRDefault="00324CD5" w:rsidP="00A1147F">
      <w:pPr>
        <w:pStyle w:val="ParaNum"/>
        <w:widowControl/>
      </w:pPr>
      <w:bookmarkStart w:id="492" w:name="_Ref445303640"/>
      <w:r>
        <w:t>Our proposal to adopt a general standard and identify specific activities the provider must engage in to comply with that standard is informed by existing federal data security laws and regulations and proposed best practices that recognize that privacy and security are inextricably linked and require affirmative safeguards to protect against unauthorized access of consumer data.  In proposing this two-step approach to data security we look to HIPAA and its implementing regulations,</w:t>
      </w:r>
      <w:r>
        <w:rPr>
          <w:rStyle w:val="FootnoteReference"/>
        </w:rPr>
        <w:footnoteReference w:id="277"/>
      </w:r>
      <w:r>
        <w:t xml:space="preserve"> GLBA and its implementing regulations,</w:t>
      </w:r>
      <w:r>
        <w:rPr>
          <w:rStyle w:val="FootnoteReference"/>
        </w:rPr>
        <w:footnoteReference w:id="278"/>
      </w:r>
      <w:r>
        <w:t xml:space="preserve"> the FTC’s best practices guidance,</w:t>
      </w:r>
      <w:r>
        <w:rPr>
          <w:rStyle w:val="FootnoteReference"/>
        </w:rPr>
        <w:footnoteReference w:id="279"/>
      </w:r>
      <w:r>
        <w:t xml:space="preserve"> FTC and FCC settlements of specific data security investigations,</w:t>
      </w:r>
      <w:r>
        <w:rPr>
          <w:rStyle w:val="FootnoteReference"/>
        </w:rPr>
        <w:footnoteReference w:id="280"/>
      </w:r>
      <w:r>
        <w:t xml:space="preserve"> and state laws.</w:t>
      </w:r>
      <w:r>
        <w:rPr>
          <w:rStyle w:val="FootnoteReference"/>
        </w:rPr>
        <w:footnoteReference w:id="281"/>
      </w:r>
      <w:bookmarkEnd w:id="492"/>
      <w:r>
        <w:t xml:space="preserve">  </w:t>
      </w:r>
    </w:p>
    <w:p w:rsidR="00324CD5" w:rsidRDefault="00324CD5" w:rsidP="00A1147F">
      <w:pPr>
        <w:pStyle w:val="ParaNum"/>
        <w:widowControl/>
      </w:pPr>
      <w:r>
        <w:t xml:space="preserve">Specifically, we propose to require </w:t>
      </w:r>
      <w:r w:rsidRPr="00D65A5F">
        <w:t xml:space="preserve">BIAS providers </w:t>
      </w:r>
      <w:r>
        <w:t>to protect the security and confidentiality</w:t>
      </w:r>
      <w:r w:rsidRPr="00945F48">
        <w:rPr>
          <w:rFonts w:eastAsia="Georgia"/>
        </w:rPr>
        <w:t xml:space="preserve"> of all </w:t>
      </w:r>
      <w:r>
        <w:t>customer proprietary information from unauthorized uses or disclosures by adopting security practices calibrated to the nature and scope of the BIAS provider’s activities, the sensitivity of the underlying data, and technical feasibility</w:t>
      </w:r>
      <w:r w:rsidRPr="008D7D3B">
        <w:t>.</w:t>
      </w:r>
      <w:r>
        <w:t xml:space="preserve">  T</w:t>
      </w:r>
      <w:r w:rsidRPr="008D7D3B">
        <w:t xml:space="preserve">o </w:t>
      </w:r>
      <w:r>
        <w:t>ensure compliance with</w:t>
      </w:r>
      <w:r w:rsidRPr="008D7D3B">
        <w:t xml:space="preserve"> this </w:t>
      </w:r>
      <w:r>
        <w:t xml:space="preserve">obligation, we propose to require BIAS providers to, at a minimum, </w:t>
      </w:r>
      <w:r w:rsidR="00C76FF5">
        <w:rPr>
          <w:rFonts w:eastAsia="Georgia"/>
        </w:rPr>
        <w:t>adopt risk management practices,</w:t>
      </w:r>
      <w:r w:rsidRPr="00945F48">
        <w:rPr>
          <w:rFonts w:eastAsia="Georgia"/>
        </w:rPr>
        <w:t xml:space="preserve"> institute </w:t>
      </w:r>
      <w:r w:rsidRPr="00E5625B">
        <w:rPr>
          <w:rFonts w:eastAsia="Georgia"/>
        </w:rPr>
        <w:t>personnel training practices</w:t>
      </w:r>
      <w:r>
        <w:rPr>
          <w:rFonts w:eastAsia="Georgia"/>
        </w:rPr>
        <w:t>,</w:t>
      </w:r>
      <w:r w:rsidRPr="00E5625B">
        <w:rPr>
          <w:rFonts w:eastAsia="Georgia"/>
        </w:rPr>
        <w:t xml:space="preserve"> </w:t>
      </w:r>
      <w:r w:rsidR="00E82937">
        <w:rPr>
          <w:rFonts w:eastAsia="Georgia"/>
        </w:rPr>
        <w:t>adopt</w:t>
      </w:r>
      <w:r w:rsidRPr="00F612F2">
        <w:rPr>
          <w:rFonts w:eastAsia="Georgia"/>
        </w:rPr>
        <w:t xml:space="preserve"> customer authentication requirements</w:t>
      </w:r>
      <w:r>
        <w:rPr>
          <w:rFonts w:eastAsia="Georgia"/>
        </w:rPr>
        <w:t>,</w:t>
      </w:r>
      <w:r w:rsidRPr="00F612F2">
        <w:rPr>
          <w:rFonts w:eastAsia="Georgia"/>
        </w:rPr>
        <w:t xml:space="preserve"> identify a senior manager responsible for data security</w:t>
      </w:r>
      <w:r>
        <w:rPr>
          <w:rFonts w:eastAsia="Georgia"/>
        </w:rPr>
        <w:t>,</w:t>
      </w:r>
      <w:r w:rsidRPr="00283601">
        <w:rPr>
          <w:rFonts w:eastAsia="Georgia"/>
        </w:rPr>
        <w:t xml:space="preserve"> and </w:t>
      </w:r>
      <w:r>
        <w:rPr>
          <w:rFonts w:eastAsia="Georgia"/>
        </w:rPr>
        <w:t>assume accountability for the use and protection of customer PI when shared with third parties</w:t>
      </w:r>
      <w:r w:rsidRPr="00283601">
        <w:rPr>
          <w:rFonts w:eastAsia="Georgia"/>
        </w:rPr>
        <w:t xml:space="preserve">.  </w:t>
      </w:r>
      <w:r>
        <w:rPr>
          <w:rFonts w:eastAsia="Georgia"/>
        </w:rPr>
        <w:t>I</w:t>
      </w:r>
      <w:r w:rsidRPr="00945F48">
        <w:rPr>
          <w:szCs w:val="22"/>
        </w:rPr>
        <w:t>n addition,</w:t>
      </w:r>
      <w:r w:rsidRPr="00F612F2">
        <w:rPr>
          <w:rFonts w:eastAsia="Calibri"/>
          <w:szCs w:val="22"/>
        </w:rPr>
        <w:t xml:space="preserve"> we seek comment on whether we should also include </w:t>
      </w:r>
      <w:r w:rsidRPr="00F612F2">
        <w:rPr>
          <w:rFonts w:eastAsia="Calibri"/>
        </w:rPr>
        <w:t xml:space="preserve">data </w:t>
      </w:r>
      <w:r w:rsidRPr="00283601">
        <w:rPr>
          <w:rFonts w:eastAsia="Calibri"/>
        </w:rPr>
        <w:t>minimization, retention, and destruction standards in any data security regime we adopt.</w:t>
      </w:r>
      <w:r>
        <w:t xml:space="preserve">  Finally, we seek comment on harmonizing the data security requirements for BIAS providers and those for voice providers</w:t>
      </w:r>
      <w:r w:rsidR="003F05A8">
        <w:t>, and on adopting harmonized data security requirements for cable and satellite providers</w:t>
      </w:r>
      <w:r>
        <w:t xml:space="preserve">.    </w:t>
      </w:r>
    </w:p>
    <w:p w:rsidR="00324CD5" w:rsidRDefault="00324CD5" w:rsidP="00324CD5">
      <w:pPr>
        <w:pStyle w:val="Heading3"/>
      </w:pPr>
      <w:bookmarkStart w:id="493" w:name="_Toc441849967"/>
      <w:bookmarkStart w:id="494" w:name="_Toc443049938"/>
      <w:bookmarkStart w:id="495" w:name="_Toc443660112"/>
      <w:bookmarkStart w:id="496" w:name="_Toc444095748"/>
      <w:bookmarkStart w:id="497" w:name="_Toc445192960"/>
      <w:bookmarkStart w:id="498" w:name="_Toc445193056"/>
      <w:bookmarkStart w:id="499" w:name="_Toc445193136"/>
      <w:bookmarkStart w:id="500" w:name="_Toc445276269"/>
      <w:bookmarkStart w:id="501" w:name="_Ref445296446"/>
      <w:bookmarkStart w:id="502" w:name="_Toc445367858"/>
      <w:bookmarkStart w:id="503" w:name="_Toc446937467"/>
      <w:bookmarkStart w:id="504" w:name="_Toc447116339"/>
      <w:bookmarkStart w:id="505" w:name="_Toc447121228"/>
      <w:r>
        <w:t>General Standard</w:t>
      </w:r>
      <w:bookmarkEnd w:id="493"/>
      <w:bookmarkEnd w:id="494"/>
      <w:bookmarkEnd w:id="495"/>
      <w:bookmarkEnd w:id="496"/>
      <w:bookmarkEnd w:id="497"/>
      <w:bookmarkEnd w:id="498"/>
      <w:bookmarkEnd w:id="499"/>
      <w:bookmarkEnd w:id="500"/>
      <w:bookmarkEnd w:id="501"/>
      <w:bookmarkEnd w:id="502"/>
      <w:bookmarkEnd w:id="503"/>
      <w:bookmarkEnd w:id="504"/>
      <w:bookmarkEnd w:id="505"/>
    </w:p>
    <w:p w:rsidR="00324CD5" w:rsidRDefault="00324CD5" w:rsidP="00324CD5">
      <w:pPr>
        <w:pStyle w:val="ParaNum"/>
      </w:pPr>
      <w:r>
        <w:t>We believe that Section 222(a)</w:t>
      </w:r>
      <w:r w:rsidRPr="00D65A5F">
        <w:t xml:space="preserve"> require</w:t>
      </w:r>
      <w:r>
        <w:t>s</w:t>
      </w:r>
      <w:r w:rsidRPr="00D65A5F">
        <w:t xml:space="preserve"> BIAS providers to</w:t>
      </w:r>
      <w:r>
        <w:t xml:space="preserve"> protect the security, confidentiality, and integrity of customer PI that such BIAS provider receives, maintains, uses, discloses, or permits access to from any unauthorized uses or disclosures, by adopting security practices appropriately calibrated to the nature and scope of the BIAS provider’s activities, the sensitivity of the underlying data, and technical feasibility</w:t>
      </w:r>
      <w:r w:rsidRPr="008D7D3B">
        <w:t>.</w:t>
      </w:r>
      <w:r>
        <w:rPr>
          <w:rStyle w:val="FootnoteReference"/>
        </w:rPr>
        <w:footnoteReference w:id="282"/>
      </w:r>
      <w:r>
        <w:t xml:space="preserve">  We propose to adopt a rule codifying this obligation. </w:t>
      </w:r>
      <w:r w:rsidR="00C76FF5">
        <w:t xml:space="preserve"> </w:t>
      </w:r>
      <w:r>
        <w:t>We seek comment on this proposal.</w:t>
      </w:r>
      <w:r w:rsidRPr="006579BE">
        <w:rPr>
          <w:rStyle w:val="FootnoteReference"/>
        </w:rPr>
        <w:t xml:space="preserve"> </w:t>
      </w:r>
      <w:r>
        <w:t xml:space="preserve"> </w:t>
      </w:r>
    </w:p>
    <w:p w:rsidR="00324CD5" w:rsidRPr="00E5625B" w:rsidRDefault="00324CD5" w:rsidP="00324CD5">
      <w:pPr>
        <w:pStyle w:val="ParaNum"/>
      </w:pPr>
      <w:bookmarkStart w:id="506" w:name="_Ref445303984"/>
      <w:r>
        <w:t>Data security is one of the core principles of the FIPPs.</w:t>
      </w:r>
      <w:bookmarkStart w:id="507" w:name="_Ref446334682"/>
      <w:r>
        <w:rPr>
          <w:rStyle w:val="FootnoteReference"/>
        </w:rPr>
        <w:footnoteReference w:id="283"/>
      </w:r>
      <w:bookmarkEnd w:id="507"/>
      <w:r>
        <w:t xml:space="preserve">  The FIPPs call for o</w:t>
      </w:r>
      <w:r w:rsidRPr="00C27422">
        <w:t>rganizations</w:t>
      </w:r>
      <w:r>
        <w:t xml:space="preserve"> to protect personal information “</w:t>
      </w:r>
      <w:r w:rsidRPr="00C27422">
        <w:t>through appropriate security safeguards against risks such as loss, unauthorized access or use, destruction, modification, or unintended or inappropriate disclosure.”</w:t>
      </w:r>
      <w:r>
        <w:rPr>
          <w:rStyle w:val="FootnoteReference"/>
        </w:rPr>
        <w:footnoteReference w:id="284"/>
      </w:r>
      <w:r>
        <w:t xml:space="preserve">  As a result, numerous federal and state laws have adopted general data security requirements for the entities they cover.  The Satellite and Cable Privacy Acts, for example, require cable and satellite operators to “take such actions as are necessary to prevent unauthorized access to [personally identifiable] information by a person other than the subscriber or cable operator [or satellite carrier].”</w:t>
      </w:r>
      <w:r>
        <w:rPr>
          <w:rStyle w:val="FootnoteReference"/>
          <w:szCs w:val="22"/>
        </w:rPr>
        <w:footnoteReference w:id="285"/>
      </w:r>
      <w:r>
        <w:t xml:space="preserve">  HIPAA</w:t>
      </w:r>
      <w:r w:rsidRPr="00F612F2">
        <w:t xml:space="preserve"> </w:t>
      </w:r>
      <w:r>
        <w:t xml:space="preserve">requires the adoption of </w:t>
      </w:r>
      <w:r w:rsidRPr="00F612F2">
        <w:t xml:space="preserve">security regulations </w:t>
      </w:r>
      <w:r>
        <w:t xml:space="preserve">to protect the </w:t>
      </w:r>
      <w:r w:rsidRPr="00F612F2">
        <w:t>integrity, confidenti</w:t>
      </w:r>
      <w:r>
        <w:t>ality, and availability of electronic health records that are</w:t>
      </w:r>
      <w:r w:rsidRPr="00F612F2">
        <w:t xml:space="preserve"> held or transmitted by covered entities.</w:t>
      </w:r>
      <w:r>
        <w:rPr>
          <w:rStyle w:val="FootnoteReference"/>
        </w:rPr>
        <w:footnoteReference w:id="286"/>
      </w:r>
      <w:r w:rsidRPr="00F612F2">
        <w:t xml:space="preserve"> </w:t>
      </w:r>
      <w:r>
        <w:t xml:space="preserve"> Similarly, the Safeguards Rule, adopted by the FTC to implement </w:t>
      </w:r>
      <w:r>
        <w:rPr>
          <w:szCs w:val="22"/>
        </w:rPr>
        <w:t xml:space="preserve">GLBA, </w:t>
      </w:r>
      <w:r w:rsidRPr="00D93D34">
        <w:rPr>
          <w:szCs w:val="22"/>
        </w:rPr>
        <w:t xml:space="preserve">requires financial institutions under the FTC’s jurisdiction </w:t>
      </w:r>
      <w:r>
        <w:rPr>
          <w:szCs w:val="22"/>
        </w:rPr>
        <w:t>to “[i]</w:t>
      </w:r>
      <w:r w:rsidRPr="00D93D34">
        <w:rPr>
          <w:szCs w:val="22"/>
        </w:rPr>
        <w:t>nsure the security and confidentiality of customer information</w:t>
      </w:r>
      <w:r>
        <w:rPr>
          <w:szCs w:val="22"/>
        </w:rPr>
        <w:t>”; “[p]</w:t>
      </w:r>
      <w:r w:rsidRPr="00D93D34">
        <w:rPr>
          <w:szCs w:val="22"/>
        </w:rPr>
        <w:t>rotect against any anticipated threats or hazards to the security or integrity of such information</w:t>
      </w:r>
      <w:r>
        <w:rPr>
          <w:szCs w:val="22"/>
        </w:rPr>
        <w:t>”;</w:t>
      </w:r>
      <w:r w:rsidRPr="00D93D34">
        <w:rPr>
          <w:szCs w:val="22"/>
        </w:rPr>
        <w:t xml:space="preserve"> and</w:t>
      </w:r>
      <w:r>
        <w:rPr>
          <w:szCs w:val="22"/>
        </w:rPr>
        <w:t xml:space="preserve"> “[p]</w:t>
      </w:r>
      <w:r w:rsidRPr="00D93D34">
        <w:rPr>
          <w:szCs w:val="22"/>
        </w:rPr>
        <w:t>rotect against unauthorized access to or use of such information that could result in substantial harm or inconvenience to any customer.</w:t>
      </w:r>
      <w:r>
        <w:rPr>
          <w:szCs w:val="22"/>
        </w:rPr>
        <w:t>”</w:t>
      </w:r>
      <w:r>
        <w:rPr>
          <w:rStyle w:val="FootnoteReference"/>
          <w:szCs w:val="22"/>
        </w:rPr>
        <w:footnoteReference w:id="287"/>
      </w:r>
      <w:bookmarkEnd w:id="506"/>
    </w:p>
    <w:p w:rsidR="00324CD5" w:rsidRDefault="00324CD5" w:rsidP="00324CD5">
      <w:pPr>
        <w:pStyle w:val="ParaNum"/>
      </w:pPr>
      <w:r>
        <w:t>Our proposal is also consistent with the approach that the FTC has taken in providing guidance on best practices for all companies under its jurisdiction, and in using</w:t>
      </w:r>
      <w:r w:rsidRPr="003206A6">
        <w:t xml:space="preserve"> the “unfairness” prong</w:t>
      </w:r>
      <w:r>
        <w:t xml:space="preserve"> of Section 5 of the FTC Act in its enforcement work.</w:t>
      </w:r>
      <w:r w:rsidRPr="003206A6">
        <w:rPr>
          <w:rStyle w:val="FootnoteReference"/>
        </w:rPr>
        <w:footnoteReference w:id="288"/>
      </w:r>
      <w:r w:rsidRPr="003206A6">
        <w:t xml:space="preserve">  </w:t>
      </w:r>
      <w:r>
        <w:t>T</w:t>
      </w:r>
      <w:r w:rsidRPr="003206A6">
        <w:t>he FTC has taken enforcement action in cases where companies have failed to take “reasonable and appropriate” steps to protect consumer data, including several dozen cases against businesses that failed to protect consumers’ personal information.</w:t>
      </w:r>
      <w:r>
        <w:rPr>
          <w:rStyle w:val="FootnoteReference"/>
        </w:rPr>
        <w:footnoteReference w:id="289"/>
      </w:r>
      <w:r w:rsidRPr="003206A6">
        <w:t xml:space="preserve">  </w:t>
      </w:r>
      <w:r>
        <w:t>It is also worth noting that a number of states h</w:t>
      </w:r>
      <w:r w:rsidRPr="000A12F5">
        <w:t>ave</w:t>
      </w:r>
      <w:r>
        <w:t xml:space="preserve"> </w:t>
      </w:r>
      <w:r w:rsidRPr="000A12F5">
        <w:t xml:space="preserve">enacted legislation requiring </w:t>
      </w:r>
      <w:r>
        <w:t>regulated</w:t>
      </w:r>
      <w:r w:rsidRPr="000A12F5">
        <w:t xml:space="preserve"> entities </w:t>
      </w:r>
      <w:r w:rsidRPr="00F50079">
        <w:rPr>
          <w:szCs w:val="22"/>
        </w:rPr>
        <w:t xml:space="preserve">to take reasonable measures to protect and secure </w:t>
      </w:r>
      <w:r w:rsidRPr="00D873D6">
        <w:rPr>
          <w:szCs w:val="22"/>
        </w:rPr>
        <w:t>personal data from unauthorized use or disclo</w:t>
      </w:r>
      <w:r w:rsidRPr="00F50079">
        <w:rPr>
          <w:szCs w:val="22"/>
        </w:rPr>
        <w:t>sure.</w:t>
      </w:r>
      <w:r w:rsidRPr="00C413AF">
        <w:rPr>
          <w:rStyle w:val="FootnoteReference"/>
          <w:szCs w:val="22"/>
        </w:rPr>
        <w:footnoteReference w:id="290"/>
      </w:r>
      <w:r w:rsidRPr="00F50079">
        <w:rPr>
          <w:szCs w:val="22"/>
        </w:rPr>
        <w:t xml:space="preserve">  </w:t>
      </w:r>
    </w:p>
    <w:p w:rsidR="00324CD5" w:rsidRDefault="00324CD5" w:rsidP="00324CD5">
      <w:pPr>
        <w:pStyle w:val="ParaNum"/>
      </w:pPr>
      <w:r>
        <w:t>We seek comment on how we should interpret the terms “security, confidentiality, and integrity” in our proposed overarching data security requirement.  For example, the HIPAA implementing rules define confidentiality as “the property that data or information i</w:t>
      </w:r>
      <w:r w:rsidRPr="008D2A55">
        <w:t>s</w:t>
      </w:r>
      <w:r>
        <w:t xml:space="preserve"> not made available or disclosed to unauthorized persons or processes” and integrity as “the property that data or </w:t>
      </w:r>
      <w:r w:rsidRPr="008D2A55">
        <w:t>information have</w:t>
      </w:r>
      <w:r>
        <w:t xml:space="preserve"> not been altered or destroyed in an unauthorized manner.”</w:t>
      </w:r>
      <w:r>
        <w:rPr>
          <w:rStyle w:val="FootnoteReference"/>
        </w:rPr>
        <w:footnoteReference w:id="291"/>
      </w:r>
      <w:r>
        <w:t xml:space="preserve">  Conversely, while the GLBA requires organizations to “insure the security and confidentiality </w:t>
      </w:r>
      <w:r w:rsidRPr="00A056A8">
        <w:t xml:space="preserve">of customer </w:t>
      </w:r>
      <w:r>
        <w:t xml:space="preserve">records and </w:t>
      </w:r>
      <w:r w:rsidRPr="00A056A8">
        <w:t>information</w:t>
      </w:r>
      <w:r>
        <w:t>,”</w:t>
      </w:r>
      <w:r>
        <w:rPr>
          <w:rStyle w:val="FootnoteReference"/>
        </w:rPr>
        <w:footnoteReference w:id="292"/>
      </w:r>
      <w:r>
        <w:t xml:space="preserve"> it does not separately define the terms “security” and “confidentiality.”  We seek comment whether we should define these terms and, if so, how we should define them.  Are these terms already firmly established in the data security context and in other laws or should we rely on some other definition?  Do these terms indicate three separate duties under Section 222</w:t>
      </w:r>
      <w:r w:rsidR="004D72C6">
        <w:t>,</w:t>
      </w:r>
      <w:r>
        <w:t xml:space="preserve"> or are they all elements of the single, overarching duty under our proposed data security requirements?  Further, to the extent that we determine that contents of customer communications may be considered CPNI, PII, or neither, how can we ensure that broadband providers appropriately protect such information?</w:t>
      </w:r>
    </w:p>
    <w:p w:rsidR="00324CD5" w:rsidRDefault="00324CD5" w:rsidP="00324CD5">
      <w:pPr>
        <w:pStyle w:val="Heading3"/>
        <w:rPr>
          <w:rFonts w:eastAsia="Calibri"/>
        </w:rPr>
      </w:pPr>
      <w:bookmarkStart w:id="508" w:name="_Toc439240686"/>
      <w:bookmarkStart w:id="509" w:name="_Toc439858558"/>
      <w:bookmarkStart w:id="510" w:name="_Toc440016683"/>
      <w:bookmarkStart w:id="511" w:name="_Toc440575590"/>
      <w:bookmarkStart w:id="512" w:name="_Toc440575860"/>
      <w:bookmarkStart w:id="513" w:name="_Toc441849968"/>
      <w:bookmarkStart w:id="514" w:name="_Toc443049939"/>
      <w:bookmarkStart w:id="515" w:name="_Toc443660113"/>
      <w:bookmarkStart w:id="516" w:name="_Toc444095749"/>
      <w:bookmarkStart w:id="517" w:name="_Toc445192961"/>
      <w:bookmarkStart w:id="518" w:name="_Toc445193057"/>
      <w:bookmarkStart w:id="519" w:name="_Toc445193137"/>
      <w:bookmarkStart w:id="520" w:name="_Toc445276270"/>
      <w:bookmarkStart w:id="521" w:name="_Ref445296463"/>
      <w:bookmarkStart w:id="522" w:name="_Toc445367859"/>
      <w:bookmarkStart w:id="523" w:name="_Ref446579591"/>
      <w:bookmarkStart w:id="524" w:name="_Toc446937468"/>
      <w:bookmarkStart w:id="525" w:name="_Toc447116340"/>
      <w:bookmarkStart w:id="526" w:name="_Toc447121229"/>
      <w:r>
        <w:rPr>
          <w:rFonts w:eastAsia="Calibri"/>
          <w:szCs w:val="22"/>
        </w:rPr>
        <w:t>Protecting Against Unauthorized Use or Disclosure of C</w:t>
      </w:r>
      <w:r>
        <w:rPr>
          <w:rFonts w:eastAsia="Calibri"/>
        </w:rPr>
        <w:t>ustomer PI</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rsidR="00324CD5" w:rsidRDefault="00324CD5" w:rsidP="00324CD5">
      <w:pPr>
        <w:pStyle w:val="ParaNum"/>
        <w:rPr>
          <w:rFonts w:eastAsia="Georgia"/>
        </w:rPr>
      </w:pPr>
      <w:r>
        <w:rPr>
          <w:rFonts w:eastAsia="Georgia"/>
        </w:rPr>
        <w:t>To ensure BIAS providers comply with our proposed overarching requirement to protect the security, confidentiality, and integrity of customer PI, w</w:t>
      </w:r>
      <w:r w:rsidRPr="000A53A5">
        <w:rPr>
          <w:rFonts w:eastAsia="Georgia"/>
        </w:rPr>
        <w:t>e propose</w:t>
      </w:r>
      <w:r>
        <w:rPr>
          <w:rFonts w:eastAsia="Georgia"/>
        </w:rPr>
        <w:t xml:space="preserve"> in this section to require every BIAS provider to:</w:t>
      </w:r>
    </w:p>
    <w:p w:rsidR="00324CD5" w:rsidRPr="000C6BFB" w:rsidRDefault="00324CD5" w:rsidP="00DD1589">
      <w:pPr>
        <w:pStyle w:val="ParaNum"/>
        <w:numPr>
          <w:ilvl w:val="0"/>
          <w:numId w:val="14"/>
        </w:numPr>
        <w:rPr>
          <w:rFonts w:eastAsia="Georgia"/>
        </w:rPr>
      </w:pPr>
      <w:r w:rsidRPr="002E2E0F">
        <w:rPr>
          <w:rFonts w:eastAsia="Calibri"/>
        </w:rPr>
        <w:t xml:space="preserve">Establish and perform regular risk management assessments and </w:t>
      </w:r>
      <w:r>
        <w:rPr>
          <w:rFonts w:eastAsia="Calibri"/>
        </w:rPr>
        <w:t xml:space="preserve">promptly address any weaknesses in the provider’s data security system identified by such assessments; </w:t>
      </w:r>
    </w:p>
    <w:p w:rsidR="00324CD5" w:rsidRPr="000C6BFB" w:rsidRDefault="00324CD5" w:rsidP="00DD1589">
      <w:pPr>
        <w:pStyle w:val="ParaNum"/>
        <w:numPr>
          <w:ilvl w:val="0"/>
          <w:numId w:val="14"/>
        </w:numPr>
        <w:rPr>
          <w:rFonts w:eastAsia="Georgia"/>
        </w:rPr>
      </w:pPr>
      <w:r>
        <w:rPr>
          <w:rFonts w:eastAsia="Calibri"/>
        </w:rPr>
        <w:t>T</w:t>
      </w:r>
      <w:r w:rsidRPr="002E2E0F">
        <w:rPr>
          <w:rFonts w:eastAsia="Calibri"/>
        </w:rPr>
        <w:t xml:space="preserve">rain </w:t>
      </w:r>
      <w:r w:rsidRPr="00CB56DB">
        <w:rPr>
          <w:rFonts w:eastAsia="Calibri"/>
        </w:rPr>
        <w:t xml:space="preserve">employees, contractors, and affiliates </w:t>
      </w:r>
      <w:r>
        <w:rPr>
          <w:rFonts w:eastAsia="Calibri"/>
        </w:rPr>
        <w:t>that</w:t>
      </w:r>
      <w:r w:rsidRPr="00CB56DB">
        <w:rPr>
          <w:rFonts w:eastAsia="Calibri"/>
        </w:rPr>
        <w:t xml:space="preserve"> handle </w:t>
      </w:r>
      <w:r>
        <w:rPr>
          <w:rFonts w:eastAsia="Calibri"/>
        </w:rPr>
        <w:t>customer PI about the BIAS provider’s</w:t>
      </w:r>
      <w:r w:rsidRPr="00CB56DB">
        <w:rPr>
          <w:rFonts w:eastAsia="Calibri"/>
        </w:rPr>
        <w:t xml:space="preserve"> data security procedures</w:t>
      </w:r>
      <w:r>
        <w:rPr>
          <w:rFonts w:eastAsia="Calibri"/>
        </w:rPr>
        <w:t>;</w:t>
      </w:r>
    </w:p>
    <w:p w:rsidR="00324CD5" w:rsidRPr="00CB56DB" w:rsidRDefault="00324CD5" w:rsidP="00DD1589">
      <w:pPr>
        <w:pStyle w:val="ParaNum"/>
        <w:numPr>
          <w:ilvl w:val="0"/>
          <w:numId w:val="14"/>
        </w:numPr>
        <w:rPr>
          <w:rFonts w:eastAsia="Georgia"/>
        </w:rPr>
      </w:pPr>
      <w:r w:rsidRPr="00CB56DB">
        <w:rPr>
          <w:rFonts w:eastAsia="Calibri"/>
        </w:rPr>
        <w:t xml:space="preserve">Ensure </w:t>
      </w:r>
      <w:r w:rsidRPr="00CB56DB">
        <w:rPr>
          <w:rFonts w:eastAsia="Georgia"/>
        </w:rPr>
        <w:t xml:space="preserve">due diligence and oversight of these security requirements by designating </w:t>
      </w:r>
      <w:r w:rsidRPr="00CB56DB">
        <w:rPr>
          <w:rFonts w:eastAsia="Calibri"/>
        </w:rPr>
        <w:t xml:space="preserve">a senior management official with </w:t>
      </w:r>
      <w:r w:rsidRPr="00CB56DB">
        <w:rPr>
          <w:rFonts w:eastAsia="Georgia"/>
        </w:rPr>
        <w:t xml:space="preserve">responsibility for implementing and maintaining the </w:t>
      </w:r>
      <w:r>
        <w:rPr>
          <w:rFonts w:eastAsia="Georgia"/>
        </w:rPr>
        <w:t>BIAS provider</w:t>
      </w:r>
      <w:r w:rsidRPr="00CB56DB">
        <w:rPr>
          <w:rFonts w:eastAsia="Georgia"/>
        </w:rPr>
        <w:t>’s data security procedure</w:t>
      </w:r>
      <w:r>
        <w:rPr>
          <w:rFonts w:eastAsia="Georgia"/>
        </w:rPr>
        <w:t>s;</w:t>
      </w:r>
    </w:p>
    <w:p w:rsidR="00324CD5" w:rsidRDefault="00324CD5" w:rsidP="00DD1589">
      <w:pPr>
        <w:pStyle w:val="ParaNum"/>
        <w:numPr>
          <w:ilvl w:val="0"/>
          <w:numId w:val="14"/>
        </w:numPr>
        <w:rPr>
          <w:rFonts w:eastAsia="Georgia"/>
        </w:rPr>
      </w:pPr>
      <w:r w:rsidRPr="00CB56DB">
        <w:rPr>
          <w:rFonts w:eastAsia="Calibri"/>
        </w:rPr>
        <w:t>Establish</w:t>
      </w:r>
      <w:r>
        <w:rPr>
          <w:rFonts w:eastAsia="Calibri"/>
        </w:rPr>
        <w:t xml:space="preserve"> and use robust customer authentication procedures to grant</w:t>
      </w:r>
      <w:r w:rsidRPr="00CB56DB">
        <w:rPr>
          <w:rFonts w:eastAsia="Calibri"/>
        </w:rPr>
        <w:t xml:space="preserve"> customers or their designees’ access to customer PI; and</w:t>
      </w:r>
    </w:p>
    <w:p w:rsidR="00324CD5" w:rsidRPr="000C6BFB" w:rsidRDefault="00324CD5" w:rsidP="00DD1589">
      <w:pPr>
        <w:pStyle w:val="ParaNum"/>
        <w:numPr>
          <w:ilvl w:val="0"/>
          <w:numId w:val="14"/>
        </w:numPr>
        <w:rPr>
          <w:rFonts w:eastAsia="Georgia"/>
        </w:rPr>
      </w:pPr>
      <w:r>
        <w:rPr>
          <w:rFonts w:eastAsia="Georgia"/>
        </w:rPr>
        <w:t>Take responsibility for the use of customer PI by third parties with whom they share such information</w:t>
      </w:r>
      <w:r>
        <w:rPr>
          <w:rFonts w:eastAsia="Calibri"/>
        </w:rPr>
        <w:t>.</w:t>
      </w:r>
      <w:r w:rsidRPr="00CB56DB">
        <w:rPr>
          <w:rFonts w:eastAsia="Calibri"/>
        </w:rPr>
        <w:t xml:space="preserve">  </w:t>
      </w:r>
    </w:p>
    <w:p w:rsidR="00324CD5" w:rsidRDefault="00324CD5" w:rsidP="00324CD5">
      <w:pPr>
        <w:pStyle w:val="ParaNum"/>
        <w:rPr>
          <w:rFonts w:eastAsia="Georgia"/>
        </w:rPr>
      </w:pPr>
      <w:r>
        <w:rPr>
          <w:rFonts w:eastAsia="Georgia"/>
        </w:rPr>
        <w:t>This proposed data security framework is intended to be robust and flexible and to help ensure that BIAS providers protect the confidentiality of their customers’ information, and enhance their customers’ ability to effectively decide under what circumstances the BIAS provider should use and share customer confidential information.  As discussed in more detail below, it is also consistent with a variety of federal laws and regulations, and best practices.  We seek comment on this proposed framework.</w:t>
      </w:r>
    </w:p>
    <w:p w:rsidR="00324CD5" w:rsidRDefault="00324CD5" w:rsidP="00324CD5">
      <w:pPr>
        <w:pStyle w:val="ParaNum"/>
        <w:rPr>
          <w:rFonts w:eastAsia="Georgia"/>
        </w:rPr>
      </w:pPr>
      <w:r>
        <w:t xml:space="preserve">In order to </w:t>
      </w:r>
      <w:r w:rsidRPr="00B97C31">
        <w:t>allow</w:t>
      </w:r>
      <w:r>
        <w:t xml:space="preserve"> </w:t>
      </w:r>
      <w:r w:rsidRPr="00B97C31">
        <w:t>flexibility for practices to evolve as technology advances, while requiring the regulated entities to install protocols and safeguards that are available and economically justified</w:t>
      </w:r>
      <w:r>
        <w:t>, we propose not to specify technical measures for implementing the data security requirements outlined below.  This follows the regulatory approaches taken at other federal agencies.</w:t>
      </w:r>
      <w:r>
        <w:rPr>
          <w:rStyle w:val="FootnoteReference"/>
        </w:rPr>
        <w:footnoteReference w:id="293"/>
      </w:r>
      <w:r>
        <w:t xml:space="preserve">  We believe this approach will encourage BIAS providers to design security measures that can easily adapt to new and different technologies.  We seek comment on this approach.  </w:t>
      </w:r>
    </w:p>
    <w:p w:rsidR="00324CD5" w:rsidRPr="003B1AB1" w:rsidRDefault="00324CD5" w:rsidP="00324CD5">
      <w:pPr>
        <w:pStyle w:val="ParaNum"/>
        <w:rPr>
          <w:rFonts w:eastAsia="Georgia"/>
        </w:rPr>
      </w:pPr>
      <w:bookmarkStart w:id="527" w:name="_Ref446580773"/>
      <w:r w:rsidRPr="003B1AB1">
        <w:rPr>
          <w:rFonts w:eastAsia="Georgia"/>
        </w:rPr>
        <w:t>Are there additional data security obligations that would help to ensure th</w:t>
      </w:r>
      <w:r>
        <w:rPr>
          <w:rFonts w:eastAsia="Georgia"/>
        </w:rPr>
        <w:t>e</w:t>
      </w:r>
      <w:r w:rsidRPr="003B1AB1">
        <w:rPr>
          <w:rFonts w:eastAsia="Georgia"/>
        </w:rPr>
        <w:t xml:space="preserve"> security, confidentiality, and integrity of customer PI?</w:t>
      </w:r>
      <w:r w:rsidRPr="00EA73D5">
        <w:rPr>
          <w:rFonts w:eastAsia="Georgia"/>
        </w:rPr>
        <w:t xml:space="preserve">  </w:t>
      </w:r>
      <w:r w:rsidRPr="00EA73D5">
        <w:rPr>
          <w:rFonts w:eastAsia="Calibri"/>
        </w:rPr>
        <w:t>Are any of</w:t>
      </w:r>
      <w:r w:rsidRPr="004C33F7">
        <w:rPr>
          <w:rFonts w:eastAsia="Calibri"/>
        </w:rPr>
        <w:t xml:space="preserve"> our proposed requirements not needed?  </w:t>
      </w:r>
      <w:r w:rsidRPr="00273C57">
        <w:rPr>
          <w:rFonts w:eastAsia="Georgia"/>
        </w:rPr>
        <w:t xml:space="preserve">We recognize that most </w:t>
      </w:r>
      <w:r>
        <w:rPr>
          <w:rFonts w:eastAsia="Georgia"/>
        </w:rPr>
        <w:t>BIAS provider</w:t>
      </w:r>
      <w:r w:rsidRPr="00273C57">
        <w:rPr>
          <w:rFonts w:eastAsia="Georgia"/>
        </w:rPr>
        <w:t>s already have robust data security measures in place.</w:t>
      </w:r>
      <w:r w:rsidRPr="00273C57">
        <w:rPr>
          <w:rFonts w:eastAsia="Calibri"/>
        </w:rPr>
        <w:t xml:space="preserve">  </w:t>
      </w:r>
      <w:r w:rsidRPr="003B1AB1">
        <w:rPr>
          <w:rFonts w:eastAsia="Calibri"/>
        </w:rPr>
        <w:t xml:space="preserve">To what extent are some or all BIAS providers already engaged in these </w:t>
      </w:r>
      <w:r>
        <w:rPr>
          <w:rFonts w:eastAsia="Calibri"/>
        </w:rPr>
        <w:t>or</w:t>
      </w:r>
      <w:r w:rsidRPr="003B1AB1">
        <w:rPr>
          <w:rFonts w:eastAsia="Calibri"/>
        </w:rPr>
        <w:t xml:space="preserve"> other data security measures?  </w:t>
      </w:r>
      <w:r>
        <w:t>What are the costs involved with each element of our proposal, and of any other proposed elements?  Are there any costs or burdens unique to small entities?</w:t>
      </w:r>
      <w:r>
        <w:rPr>
          <w:rStyle w:val="FootnoteReference"/>
        </w:rPr>
        <w:footnoteReference w:id="294"/>
      </w:r>
      <w:r>
        <w:t xml:space="preserve">  How would the security measures contemplated under our proposed rules impact small businesses?  We also seek comment on whether there are alternative actions that BIAS providers could employ to meet the same goals.</w:t>
      </w:r>
      <w:bookmarkEnd w:id="527"/>
    </w:p>
    <w:p w:rsidR="00324CD5" w:rsidRPr="00F03B20" w:rsidRDefault="00324CD5" w:rsidP="00324CD5">
      <w:pPr>
        <w:pStyle w:val="ParaNum"/>
        <w:rPr>
          <w:rFonts w:eastAsia="Georgia"/>
        </w:rPr>
      </w:pPr>
      <w:bookmarkStart w:id="528" w:name="_Ref445296736"/>
      <w:r>
        <w:t>We also seek comment whether we should establish safe harbors or convene stakeholders to establish best practices similar to NTIA’s privacy multi-stakeholder processes.</w:t>
      </w:r>
      <w:r>
        <w:rPr>
          <w:rStyle w:val="FootnoteReference"/>
        </w:rPr>
        <w:footnoteReference w:id="295"/>
      </w:r>
      <w:r>
        <w:t xml:space="preserve">  If we were to undertake a similar multi-stakeholder process, how could we facilitate the success of such a process?  How could we ensure that any developed best-practices evolved over time?</w:t>
      </w:r>
      <w:bookmarkEnd w:id="528"/>
    </w:p>
    <w:p w:rsidR="00324CD5" w:rsidRPr="0038099D" w:rsidRDefault="00324CD5" w:rsidP="00324CD5">
      <w:pPr>
        <w:pStyle w:val="ParaNum"/>
      </w:pPr>
      <w:r>
        <w:t>Alternatively, we seek comment on whether we should prescribe specific administrative, technical, and physical conditions that must be included as part of a BIAS provider’s plan to secure customer proprietary information</w:t>
      </w:r>
      <w:r w:rsidRPr="00A30261">
        <w:rPr>
          <w:szCs w:val="22"/>
        </w:rPr>
        <w:t>.</w:t>
      </w:r>
      <w:r>
        <w:rPr>
          <w:szCs w:val="22"/>
        </w:rPr>
        <w:t xml:space="preserve">  </w:t>
      </w:r>
      <w:r w:rsidRPr="00A30261">
        <w:rPr>
          <w:szCs w:val="22"/>
        </w:rPr>
        <w:t>Would prescr</w:t>
      </w:r>
      <w:r>
        <w:rPr>
          <w:szCs w:val="22"/>
        </w:rPr>
        <w:t>ibing specific, technologically-</w:t>
      </w:r>
      <w:r w:rsidRPr="00A30261">
        <w:rPr>
          <w:szCs w:val="22"/>
        </w:rPr>
        <w:t xml:space="preserve">motivated security measures unnecessarily limit additional protective measures that a </w:t>
      </w:r>
      <w:r>
        <w:rPr>
          <w:szCs w:val="22"/>
        </w:rPr>
        <w:t>BIAS provider</w:t>
      </w:r>
      <w:r w:rsidRPr="00A30261">
        <w:rPr>
          <w:szCs w:val="22"/>
        </w:rPr>
        <w:t xml:space="preserve"> would otherwise implement instead of, or in addition to, the prescribed measures?  Would specific data security measures reduce </w:t>
      </w:r>
      <w:r>
        <w:rPr>
          <w:szCs w:val="22"/>
        </w:rPr>
        <w:t>BIAS</w:t>
      </w:r>
      <w:r w:rsidRPr="00A30261">
        <w:rPr>
          <w:szCs w:val="22"/>
        </w:rPr>
        <w:t xml:space="preserve"> providers</w:t>
      </w:r>
      <w:r>
        <w:rPr>
          <w:szCs w:val="22"/>
        </w:rPr>
        <w:t>’</w:t>
      </w:r>
      <w:r w:rsidRPr="00A30261">
        <w:rPr>
          <w:szCs w:val="22"/>
        </w:rPr>
        <w:t xml:space="preserve"> incentives to be more innovative with security</w:t>
      </w:r>
      <w:r>
        <w:rPr>
          <w:szCs w:val="22"/>
        </w:rPr>
        <w:t xml:space="preserve"> or have an </w:t>
      </w:r>
      <w:r w:rsidRPr="00A30261">
        <w:rPr>
          <w:szCs w:val="22"/>
        </w:rPr>
        <w:t>impact</w:t>
      </w:r>
      <w:r>
        <w:rPr>
          <w:szCs w:val="22"/>
        </w:rPr>
        <w:t xml:space="preserve"> on </w:t>
      </w:r>
      <w:r w:rsidRPr="00A30261">
        <w:rPr>
          <w:szCs w:val="22"/>
        </w:rPr>
        <w:t xml:space="preserve">competition, assuming </w:t>
      </w:r>
      <w:r>
        <w:rPr>
          <w:szCs w:val="22"/>
        </w:rPr>
        <w:t>BIAS provider</w:t>
      </w:r>
      <w:r w:rsidRPr="00A30261">
        <w:rPr>
          <w:szCs w:val="22"/>
        </w:rPr>
        <w:t xml:space="preserve">s compete on the level of security employed?  How would having specific security measures help or hamper enforcement efforts?  </w:t>
      </w:r>
      <w:r>
        <w:rPr>
          <w:szCs w:val="22"/>
        </w:rPr>
        <w:t>Below we invite comment on each of the areas that we propose to require BIAS providers to incorporate into their data security practices.</w:t>
      </w:r>
    </w:p>
    <w:p w:rsidR="00324CD5" w:rsidRDefault="00324CD5" w:rsidP="00324CD5">
      <w:pPr>
        <w:pStyle w:val="Heading4"/>
        <w:rPr>
          <w:rFonts w:eastAsia="Georgia"/>
        </w:rPr>
      </w:pPr>
      <w:bookmarkStart w:id="529" w:name="_Toc439858559"/>
      <w:bookmarkStart w:id="530" w:name="_Toc440016684"/>
      <w:bookmarkStart w:id="531" w:name="_Toc445192962"/>
      <w:bookmarkStart w:id="532" w:name="_Toc445193058"/>
      <w:bookmarkStart w:id="533" w:name="_Ref446517020"/>
      <w:bookmarkStart w:id="534" w:name="_Toc440575591"/>
      <w:bookmarkStart w:id="535" w:name="_Toc440575861"/>
      <w:bookmarkStart w:id="536" w:name="_Toc441849969"/>
      <w:bookmarkStart w:id="537" w:name="_Toc443660114"/>
      <w:r>
        <w:rPr>
          <w:rFonts w:eastAsia="Calibri"/>
        </w:rPr>
        <w:t>Risk Management Assessments</w:t>
      </w:r>
      <w:bookmarkEnd w:id="529"/>
      <w:bookmarkEnd w:id="530"/>
      <w:bookmarkEnd w:id="531"/>
      <w:bookmarkEnd w:id="532"/>
      <w:bookmarkEnd w:id="533"/>
      <w:r>
        <w:rPr>
          <w:rFonts w:eastAsia="Calibri"/>
        </w:rPr>
        <w:t xml:space="preserve"> </w:t>
      </w:r>
      <w:bookmarkEnd w:id="534"/>
      <w:bookmarkEnd w:id="535"/>
      <w:bookmarkEnd w:id="536"/>
      <w:bookmarkEnd w:id="537"/>
      <w:r>
        <w:rPr>
          <w:rFonts w:eastAsia="Calibri"/>
        </w:rPr>
        <w:t xml:space="preserve"> </w:t>
      </w:r>
    </w:p>
    <w:p w:rsidR="00324CD5" w:rsidRPr="00F62928" w:rsidRDefault="00324CD5" w:rsidP="00324CD5">
      <w:pPr>
        <w:pStyle w:val="ParaNum"/>
        <w:rPr>
          <w:rFonts w:eastAsia="Georgia"/>
        </w:rPr>
      </w:pPr>
      <w:r w:rsidRPr="00F62928">
        <w:rPr>
          <w:rFonts w:eastAsia="Georgia"/>
        </w:rPr>
        <w:t>T</w:t>
      </w:r>
      <w:r w:rsidRPr="00F62928">
        <w:rPr>
          <w:rFonts w:eastAsia="Calibri"/>
        </w:rPr>
        <w:t xml:space="preserve">o </w:t>
      </w:r>
      <w:r>
        <w:rPr>
          <w:rFonts w:eastAsia="Calibri"/>
        </w:rPr>
        <w:t xml:space="preserve">help </w:t>
      </w:r>
      <w:r w:rsidRPr="00F62928">
        <w:rPr>
          <w:rFonts w:eastAsia="Calibri"/>
        </w:rPr>
        <w:t xml:space="preserve">identify and protect </w:t>
      </w:r>
      <w:r>
        <w:rPr>
          <w:rFonts w:eastAsia="Calibri"/>
        </w:rPr>
        <w:t xml:space="preserve">against risks to </w:t>
      </w:r>
      <w:r w:rsidRPr="00F62928">
        <w:rPr>
          <w:rFonts w:eastAsia="Calibri"/>
          <w:szCs w:val="22"/>
        </w:rPr>
        <w:t xml:space="preserve">the security, confidentiality, </w:t>
      </w:r>
      <w:r>
        <w:rPr>
          <w:rFonts w:eastAsia="Calibri"/>
          <w:szCs w:val="22"/>
        </w:rPr>
        <w:t xml:space="preserve">and </w:t>
      </w:r>
      <w:r w:rsidRPr="00F62928">
        <w:rPr>
          <w:rFonts w:eastAsia="Calibri"/>
          <w:szCs w:val="22"/>
        </w:rPr>
        <w:t xml:space="preserve">integrity of </w:t>
      </w:r>
      <w:r w:rsidRPr="00F62928">
        <w:rPr>
          <w:rFonts w:eastAsia="Calibri"/>
        </w:rPr>
        <w:t>customer PI</w:t>
      </w:r>
      <w:r w:rsidRPr="00F62928">
        <w:rPr>
          <w:rFonts w:eastAsia="Calibri"/>
          <w:szCs w:val="22"/>
        </w:rPr>
        <w:t xml:space="preserve">, </w:t>
      </w:r>
      <w:r>
        <w:t xml:space="preserve">we propose requiring BIAS providers to </w:t>
      </w:r>
      <w:r w:rsidRPr="00F62928">
        <w:rPr>
          <w:rFonts w:eastAsia="Calibri"/>
        </w:rPr>
        <w:t>establish and perform regular risk management assessments</w:t>
      </w:r>
      <w:r>
        <w:rPr>
          <w:rFonts w:eastAsia="Calibri"/>
        </w:rPr>
        <w:t xml:space="preserve"> and promptly remedy any security vulnerabilities identified by such assessments</w:t>
      </w:r>
      <w:r w:rsidRPr="00F62928">
        <w:rPr>
          <w:rFonts w:eastAsia="Calibri"/>
          <w:szCs w:val="22"/>
        </w:rPr>
        <w:t xml:space="preserve">.  </w:t>
      </w:r>
      <w:r>
        <w:rPr>
          <w:rFonts w:eastAsia="Calibri"/>
          <w:szCs w:val="22"/>
        </w:rPr>
        <w:t>In combination with the other safeguards we propose today, we believe that r</w:t>
      </w:r>
      <w:r w:rsidRPr="00F62928">
        <w:rPr>
          <w:rFonts w:eastAsia="Calibri"/>
          <w:szCs w:val="22"/>
        </w:rPr>
        <w:t xml:space="preserve">egular risk management assessments will </w:t>
      </w:r>
      <w:r>
        <w:rPr>
          <w:rFonts w:eastAsia="Calibri"/>
          <w:szCs w:val="22"/>
        </w:rPr>
        <w:t xml:space="preserve">help </w:t>
      </w:r>
      <w:r w:rsidRPr="00F62928">
        <w:rPr>
          <w:rFonts w:eastAsia="Calibri"/>
          <w:szCs w:val="22"/>
        </w:rPr>
        <w:t xml:space="preserve">enable </w:t>
      </w:r>
      <w:r>
        <w:rPr>
          <w:rFonts w:eastAsia="Calibri"/>
          <w:szCs w:val="22"/>
        </w:rPr>
        <w:t>BIAS</w:t>
      </w:r>
      <w:r w:rsidRPr="00F62928">
        <w:rPr>
          <w:rFonts w:eastAsia="Calibri"/>
          <w:szCs w:val="22"/>
        </w:rPr>
        <w:t xml:space="preserve"> providers to adequately protect </w:t>
      </w:r>
      <w:r w:rsidRPr="00F62928">
        <w:rPr>
          <w:rFonts w:eastAsia="Calibri"/>
        </w:rPr>
        <w:t>customer PI</w:t>
      </w:r>
      <w:r w:rsidRPr="00F62928">
        <w:rPr>
          <w:rFonts w:eastAsia="Calibri"/>
          <w:szCs w:val="22"/>
        </w:rPr>
        <w:t xml:space="preserve"> from reasonably foreseeable risks</w:t>
      </w:r>
      <w:r>
        <w:rPr>
          <w:rFonts w:eastAsia="Calibri"/>
          <w:szCs w:val="22"/>
        </w:rPr>
        <w:t xml:space="preserve"> to the data’s security, confidentiality, and integrity</w:t>
      </w:r>
      <w:r w:rsidRPr="00F62928">
        <w:rPr>
          <w:rFonts w:eastAsia="Calibri"/>
          <w:szCs w:val="22"/>
        </w:rPr>
        <w:t xml:space="preserve">.  </w:t>
      </w:r>
      <w:r>
        <w:rPr>
          <w:rFonts w:eastAsia="Calibri"/>
          <w:szCs w:val="22"/>
        </w:rPr>
        <w:t>We propose to allow each BIAS provider to determine the</w:t>
      </w:r>
      <w:r w:rsidRPr="00F62928">
        <w:rPr>
          <w:rFonts w:eastAsia="Calibri"/>
          <w:szCs w:val="22"/>
        </w:rPr>
        <w:t xml:space="preserve"> particulars of </w:t>
      </w:r>
      <w:r>
        <w:rPr>
          <w:rFonts w:eastAsia="Calibri"/>
          <w:szCs w:val="22"/>
        </w:rPr>
        <w:t xml:space="preserve">and design its own </w:t>
      </w:r>
      <w:r w:rsidRPr="00F62928">
        <w:rPr>
          <w:rFonts w:eastAsia="Calibri"/>
          <w:szCs w:val="22"/>
        </w:rPr>
        <w:t>risk management program</w:t>
      </w:r>
      <w:r>
        <w:rPr>
          <w:rFonts w:eastAsia="Calibri"/>
          <w:szCs w:val="22"/>
        </w:rPr>
        <w:t>, taking into account the</w:t>
      </w:r>
      <w:r w:rsidRPr="000A53A5">
        <w:rPr>
          <w:rFonts w:eastAsia="Georgia"/>
        </w:rPr>
        <w:t xml:space="preserve"> probability </w:t>
      </w:r>
      <w:r>
        <w:rPr>
          <w:rFonts w:eastAsia="Georgia"/>
        </w:rPr>
        <w:t xml:space="preserve">and criticality </w:t>
      </w:r>
      <w:r w:rsidRPr="000A53A5">
        <w:rPr>
          <w:rFonts w:eastAsia="Georgia"/>
        </w:rPr>
        <w:t>of threats and vulnerabilit</w:t>
      </w:r>
      <w:r>
        <w:rPr>
          <w:rFonts w:eastAsia="Georgia"/>
        </w:rPr>
        <w:t xml:space="preserve">ies </w:t>
      </w:r>
      <w:r w:rsidRPr="000A53A5">
        <w:rPr>
          <w:rFonts w:eastAsia="Georgia"/>
        </w:rPr>
        <w:t>that</w:t>
      </w:r>
      <w:r>
        <w:rPr>
          <w:rFonts w:eastAsia="Georgia"/>
        </w:rPr>
        <w:t xml:space="preserve"> may impact the confidentiality of customer PI used, disclosed, or maintained by the BIAS provider.</w:t>
      </w:r>
      <w:r>
        <w:rPr>
          <w:rStyle w:val="FootnoteReference"/>
          <w:rFonts w:eastAsia="Calibri"/>
          <w:szCs w:val="22"/>
        </w:rPr>
        <w:footnoteReference w:id="296"/>
      </w:r>
      <w:r w:rsidRPr="00F62928">
        <w:rPr>
          <w:rFonts w:eastAsia="Calibri"/>
          <w:szCs w:val="22"/>
        </w:rPr>
        <w:t xml:space="preserve">  </w:t>
      </w:r>
      <w:r>
        <w:rPr>
          <w:szCs w:val="22"/>
        </w:rPr>
        <w:t xml:space="preserve">We seek comment on our proposal and rationale. </w:t>
      </w:r>
    </w:p>
    <w:p w:rsidR="00324CD5" w:rsidRPr="00FD0D64" w:rsidRDefault="00324CD5" w:rsidP="00324CD5">
      <w:pPr>
        <w:pStyle w:val="ParaNum"/>
        <w:rPr>
          <w:szCs w:val="22"/>
        </w:rPr>
      </w:pPr>
      <w:r>
        <w:t xml:space="preserve">Our proposal aligns </w:t>
      </w:r>
      <w:r w:rsidRPr="006D0D98">
        <w:t xml:space="preserve">with the data security process established under GLBA, which requires financial institutions to </w:t>
      </w:r>
      <w:r w:rsidRPr="00BB52B1">
        <w:t>perform risk assessments to “</w:t>
      </w:r>
      <w:r>
        <w:t>[</w:t>
      </w:r>
      <w:r w:rsidRPr="00BB52B1">
        <w:t>i</w:t>
      </w:r>
      <w:r>
        <w:t>]</w:t>
      </w:r>
      <w:r w:rsidRPr="00BB52B1">
        <w:t>dentify reasonably foreseeable internal and external risks to the security, confidentiality, and integrity of customer information” in their possession</w:t>
      </w:r>
      <w:r w:rsidRPr="006D0D98">
        <w:rPr>
          <w:szCs w:val="22"/>
        </w:rPr>
        <w:t>.</w:t>
      </w:r>
      <w:r w:rsidRPr="006D0D98">
        <w:rPr>
          <w:rStyle w:val="FootnoteReference"/>
          <w:szCs w:val="22"/>
        </w:rPr>
        <w:footnoteReference w:id="297"/>
      </w:r>
      <w:r w:rsidRPr="006D0D98">
        <w:rPr>
          <w:szCs w:val="22"/>
        </w:rPr>
        <w:t xml:space="preserve">  </w:t>
      </w:r>
      <w:r w:rsidRPr="00926F97">
        <w:rPr>
          <w:szCs w:val="22"/>
        </w:rPr>
        <w:t xml:space="preserve">Similarly, </w:t>
      </w:r>
      <w:r>
        <w:rPr>
          <w:szCs w:val="22"/>
        </w:rPr>
        <w:t>under the</w:t>
      </w:r>
      <w:r w:rsidRPr="00926F97">
        <w:rPr>
          <w:szCs w:val="22"/>
        </w:rPr>
        <w:t xml:space="preserve"> Security Rule,</w:t>
      </w:r>
      <w:r>
        <w:rPr>
          <w:szCs w:val="22"/>
        </w:rPr>
        <w:t xml:space="preserve"> implementing HIPAA,</w:t>
      </w:r>
      <w:r w:rsidRPr="00926F97">
        <w:rPr>
          <w:szCs w:val="22"/>
        </w:rPr>
        <w:t xml:space="preserve"> organizations must “[i]mplement policies and procedures to prevent, detect, contain, and correct security violations,” which includes a requirement for risk analysis.</w:t>
      </w:r>
      <w:r>
        <w:rPr>
          <w:rStyle w:val="FootnoteReference"/>
          <w:szCs w:val="22"/>
        </w:rPr>
        <w:footnoteReference w:id="298"/>
      </w:r>
      <w:r w:rsidRPr="00926F97">
        <w:rPr>
          <w:rStyle w:val="FootnoteReference"/>
          <w:szCs w:val="22"/>
        </w:rPr>
        <w:t xml:space="preserve"> </w:t>
      </w:r>
      <w:r w:rsidRPr="00926F97">
        <w:rPr>
          <w:szCs w:val="22"/>
        </w:rPr>
        <w:t xml:space="preserve"> </w:t>
      </w:r>
      <w:r>
        <w:rPr>
          <w:szCs w:val="22"/>
        </w:rPr>
        <w:t>The HIPAA Security Rule also requires that, a</w:t>
      </w:r>
      <w:r w:rsidRPr="00926F97">
        <w:rPr>
          <w:szCs w:val="22"/>
        </w:rPr>
        <w:t xml:space="preserve">s part of the risk analysis, </w:t>
      </w:r>
      <w:r>
        <w:rPr>
          <w:szCs w:val="22"/>
        </w:rPr>
        <w:t xml:space="preserve">covered </w:t>
      </w:r>
      <w:r w:rsidRPr="00926F97">
        <w:rPr>
          <w:szCs w:val="22"/>
        </w:rPr>
        <w:t>organizations “conduct an accurate and thorough assessment of the potential risks and vulnerabilities to the confidentiality, integrity, and availability of electronic</w:t>
      </w:r>
      <w:r>
        <w:rPr>
          <w:szCs w:val="22"/>
        </w:rPr>
        <w:t xml:space="preserve"> </w:t>
      </w:r>
      <w:r w:rsidRPr="00926F97">
        <w:rPr>
          <w:szCs w:val="22"/>
        </w:rPr>
        <w:t>protected health informa</w:t>
      </w:r>
      <w:r>
        <w:rPr>
          <w:szCs w:val="22"/>
        </w:rPr>
        <w:t>tion held by the [organization].”</w:t>
      </w:r>
      <w:r>
        <w:rPr>
          <w:rStyle w:val="FootnoteReference"/>
          <w:szCs w:val="22"/>
        </w:rPr>
        <w:footnoteReference w:id="299"/>
      </w:r>
      <w:r>
        <w:rPr>
          <w:szCs w:val="22"/>
        </w:rPr>
        <w:t xml:space="preserve">  </w:t>
      </w:r>
      <w:r w:rsidRPr="0036663E">
        <w:rPr>
          <w:szCs w:val="22"/>
        </w:rPr>
        <w:t xml:space="preserve">We base our proposal </w:t>
      </w:r>
      <w:r>
        <w:rPr>
          <w:szCs w:val="22"/>
        </w:rPr>
        <w:t xml:space="preserve">on </w:t>
      </w:r>
      <w:r w:rsidRPr="0036663E">
        <w:rPr>
          <w:szCs w:val="22"/>
        </w:rPr>
        <w:t xml:space="preserve">these well-established </w:t>
      </w:r>
      <w:r>
        <w:rPr>
          <w:szCs w:val="22"/>
        </w:rPr>
        <w:t>frameworks</w:t>
      </w:r>
      <w:r w:rsidRPr="0036663E">
        <w:rPr>
          <w:szCs w:val="22"/>
        </w:rPr>
        <w:t xml:space="preserve"> and seek comment on whether there are additional models or frameworks we should </w:t>
      </w:r>
      <w:r>
        <w:rPr>
          <w:szCs w:val="22"/>
        </w:rPr>
        <w:t>consider</w:t>
      </w:r>
      <w:r w:rsidRPr="0036663E">
        <w:rPr>
          <w:szCs w:val="22"/>
        </w:rPr>
        <w:t>.</w:t>
      </w:r>
      <w:r>
        <w:rPr>
          <w:szCs w:val="22"/>
        </w:rPr>
        <w:t xml:space="preserve">  Should we require technical audits such as penetration tests, given concerns about the adequacy of survey-based risk assessments?  Are there any elements that would be inapplicable in the broadband context?</w:t>
      </w:r>
      <w:r w:rsidRPr="0036663E">
        <w:rPr>
          <w:szCs w:val="22"/>
        </w:rPr>
        <w:t xml:space="preserve">  </w:t>
      </w:r>
      <w:r w:rsidRPr="00FD0D64">
        <w:rPr>
          <w:rFonts w:eastAsia="Calibri"/>
        </w:rPr>
        <w:t xml:space="preserve">  </w:t>
      </w:r>
    </w:p>
    <w:p w:rsidR="00324CD5" w:rsidRPr="0036663E" w:rsidRDefault="00324CD5" w:rsidP="00324CD5">
      <w:pPr>
        <w:pStyle w:val="ParaNum"/>
        <w:rPr>
          <w:rFonts w:eastAsia="Calibri"/>
        </w:rPr>
      </w:pPr>
      <w:r>
        <w:rPr>
          <w:rFonts w:eastAsia="Calibri"/>
        </w:rPr>
        <w:t>Alternatively, w</w:t>
      </w:r>
      <w:r w:rsidRPr="0036663E">
        <w:rPr>
          <w:rFonts w:eastAsia="Calibri"/>
        </w:rPr>
        <w:t xml:space="preserve">e seek comment whether </w:t>
      </w:r>
      <w:r>
        <w:rPr>
          <w:rFonts w:eastAsia="Calibri"/>
        </w:rPr>
        <w:t xml:space="preserve">we </w:t>
      </w:r>
      <w:r w:rsidRPr="0036663E">
        <w:rPr>
          <w:rFonts w:eastAsia="Calibri"/>
        </w:rPr>
        <w:t xml:space="preserve">should specify the manner in which the risk management assessments should be designed and conducted instead of allowing the </w:t>
      </w:r>
      <w:r>
        <w:rPr>
          <w:rFonts w:eastAsia="Calibri"/>
        </w:rPr>
        <w:t>BIAS provider</w:t>
      </w:r>
      <w:r w:rsidRPr="0036663E">
        <w:rPr>
          <w:rFonts w:eastAsia="Calibri"/>
        </w:rPr>
        <w:t xml:space="preserve"> to determine the specifics</w:t>
      </w:r>
      <w:r>
        <w:rPr>
          <w:rFonts w:eastAsia="Calibri"/>
        </w:rPr>
        <w:t>.</w:t>
      </w:r>
      <w:r w:rsidRPr="0036663E">
        <w:rPr>
          <w:rFonts w:eastAsia="Calibri"/>
        </w:rPr>
        <w:t xml:space="preserve">  </w:t>
      </w:r>
      <w:r>
        <w:rPr>
          <w:rFonts w:eastAsia="Calibri"/>
        </w:rPr>
        <w:t>HIPAA</w:t>
      </w:r>
      <w:r w:rsidRPr="0036663E">
        <w:rPr>
          <w:rFonts w:eastAsia="Calibri"/>
        </w:rPr>
        <w:t xml:space="preserve"> risk analys</w:t>
      </w:r>
      <w:r>
        <w:rPr>
          <w:rFonts w:eastAsia="Calibri"/>
        </w:rPr>
        <w:t>e</w:t>
      </w:r>
      <w:r w:rsidRPr="0036663E">
        <w:rPr>
          <w:rFonts w:eastAsia="Calibri"/>
        </w:rPr>
        <w:t xml:space="preserve">s </w:t>
      </w:r>
      <w:r>
        <w:rPr>
          <w:rFonts w:eastAsia="Calibri"/>
        </w:rPr>
        <w:t>under the Security Rule must include:</w:t>
      </w:r>
      <w:r w:rsidDel="002C330E">
        <w:rPr>
          <w:rStyle w:val="FootnoteReference"/>
          <w:rFonts w:eastAsia="Calibri"/>
        </w:rPr>
        <w:t xml:space="preserve"> </w:t>
      </w:r>
      <w:r>
        <w:rPr>
          <w:rFonts w:eastAsia="Calibri"/>
        </w:rPr>
        <w:t xml:space="preserve"> the scope</w:t>
      </w:r>
      <w:r w:rsidRPr="0036663E">
        <w:rPr>
          <w:rFonts w:eastAsia="Calibri"/>
        </w:rPr>
        <w:t xml:space="preserve"> </w:t>
      </w:r>
      <w:r>
        <w:rPr>
          <w:rFonts w:eastAsia="Calibri"/>
        </w:rPr>
        <w:t>of the analysis, data collection, identification and documentation of potential threats and vulnerabilities, assessment of current security measures, determination of the likelihood and potential impact of the threat occurrence, determination of the level of risk, and documentation of these efforts.</w:t>
      </w:r>
      <w:r>
        <w:rPr>
          <w:rStyle w:val="FootnoteReference"/>
          <w:rFonts w:eastAsia="Calibri"/>
        </w:rPr>
        <w:footnoteReference w:id="300"/>
      </w:r>
      <w:r>
        <w:rPr>
          <w:rFonts w:eastAsia="Calibri"/>
        </w:rPr>
        <w:t xml:space="preserve">  We seek comment on whether we should follow a similar approach and impose specific risk management requirements on BIAS providers.  Or, should we instead establish a safe harbor with specific criteria to be included in a risk management assessment in order to qualify for the safe harbor?  Under either circumstance, what should the specific requirements be?</w:t>
      </w:r>
    </w:p>
    <w:p w:rsidR="00324CD5" w:rsidRPr="00FD0D64" w:rsidRDefault="00324CD5" w:rsidP="00324CD5">
      <w:pPr>
        <w:pStyle w:val="ParaNum"/>
        <w:rPr>
          <w:rFonts w:eastAsia="Georgia"/>
        </w:rPr>
      </w:pPr>
      <w:r>
        <w:rPr>
          <w:rFonts w:eastAsia="Calibri"/>
        </w:rPr>
        <w:t xml:space="preserve">We also seek comment on whether we should define “regular” as part of the “regular risk assessment” requirement.  If so, how often should we require BIAS providers to conduct risk assessments?  Should the required frequency of risk assessment differ based on the sensitivity of the underlying information?    </w:t>
      </w:r>
    </w:p>
    <w:p w:rsidR="00324CD5" w:rsidRPr="001A37E6" w:rsidRDefault="00324CD5" w:rsidP="00324CD5">
      <w:pPr>
        <w:pStyle w:val="ParaNum"/>
        <w:rPr>
          <w:rFonts w:eastAsia="Georgia"/>
        </w:rPr>
      </w:pPr>
      <w:r>
        <w:rPr>
          <w:rFonts w:eastAsia="Calibri"/>
        </w:rPr>
        <w:t xml:space="preserve">Finally, to ensure the effectiveness of the risk management assessments, we propose that a BIAS provider should be required to promptly remedy any data security vulnerabilities it identifies through such assessments.  We seek comment on this proposal.  </w:t>
      </w:r>
      <w:r w:rsidRPr="0036663E">
        <w:rPr>
          <w:rFonts w:eastAsia="Calibri"/>
        </w:rPr>
        <w:t xml:space="preserve">Should </w:t>
      </w:r>
      <w:r>
        <w:rPr>
          <w:rFonts w:eastAsia="Calibri"/>
        </w:rPr>
        <w:t xml:space="preserve">we </w:t>
      </w:r>
      <w:r w:rsidRPr="0036663E">
        <w:rPr>
          <w:rFonts w:eastAsia="Calibri"/>
        </w:rPr>
        <w:t>define “</w:t>
      </w:r>
      <w:r>
        <w:rPr>
          <w:rFonts w:eastAsia="Calibri"/>
        </w:rPr>
        <w:t>promptly</w:t>
      </w:r>
      <w:r w:rsidRPr="0036663E">
        <w:rPr>
          <w:rFonts w:eastAsia="Calibri"/>
        </w:rPr>
        <w:t xml:space="preserve">” as part of the requirement </w:t>
      </w:r>
      <w:r>
        <w:rPr>
          <w:rFonts w:eastAsia="Calibri"/>
        </w:rPr>
        <w:t>to “promptly address</w:t>
      </w:r>
      <w:r w:rsidRPr="0036663E">
        <w:rPr>
          <w:rFonts w:eastAsia="Calibri"/>
        </w:rPr>
        <w:t>”</w:t>
      </w:r>
      <w:r>
        <w:rPr>
          <w:rFonts w:eastAsia="Calibri"/>
        </w:rPr>
        <w:t xml:space="preserve"> any weaknesses identified</w:t>
      </w:r>
      <w:r w:rsidRPr="0036663E">
        <w:rPr>
          <w:rFonts w:eastAsia="Calibri"/>
        </w:rPr>
        <w:t xml:space="preserve">?  If so, what would be a reasonable amount of time to qualify as </w:t>
      </w:r>
      <w:r>
        <w:rPr>
          <w:rFonts w:eastAsia="Calibri"/>
        </w:rPr>
        <w:t>“promptly</w:t>
      </w:r>
      <w:r w:rsidRPr="0036663E">
        <w:rPr>
          <w:rFonts w:eastAsia="Calibri"/>
        </w:rPr>
        <w:t xml:space="preserve">” to adequately protect customers while allowing the </w:t>
      </w:r>
      <w:r>
        <w:rPr>
          <w:rFonts w:eastAsia="Calibri"/>
        </w:rPr>
        <w:t>BIAS provider</w:t>
      </w:r>
      <w:r w:rsidRPr="0036663E">
        <w:rPr>
          <w:rFonts w:eastAsia="Calibri"/>
        </w:rPr>
        <w:t xml:space="preserve"> an opportunity to react appropriately to the security risk at hand?  </w:t>
      </w:r>
    </w:p>
    <w:p w:rsidR="00324CD5" w:rsidRPr="001A37E6" w:rsidRDefault="00324CD5" w:rsidP="00324CD5">
      <w:pPr>
        <w:pStyle w:val="Heading4"/>
        <w:rPr>
          <w:rFonts w:eastAsia="Georgia"/>
        </w:rPr>
      </w:pPr>
      <w:bookmarkStart w:id="538" w:name="_Toc439240688"/>
      <w:bookmarkStart w:id="539" w:name="_Toc439858560"/>
      <w:bookmarkStart w:id="540" w:name="_Toc440016685"/>
      <w:bookmarkStart w:id="541" w:name="_Toc440575592"/>
      <w:bookmarkStart w:id="542" w:name="_Toc440575862"/>
      <w:bookmarkStart w:id="543" w:name="_Toc441849970"/>
      <w:bookmarkStart w:id="544" w:name="_Toc443660115"/>
      <w:bookmarkStart w:id="545" w:name="_Toc445192963"/>
      <w:bookmarkStart w:id="546" w:name="_Toc445193059"/>
      <w:bookmarkStart w:id="547" w:name="_Ref446517032"/>
      <w:r>
        <w:t xml:space="preserve">Employee Training to </w:t>
      </w:r>
      <w:r w:rsidRPr="00F62928">
        <w:t xml:space="preserve">Protect Against </w:t>
      </w:r>
      <w:r>
        <w:t>Unauthorized Use</w:t>
      </w:r>
      <w:r w:rsidRPr="00F62928">
        <w:t xml:space="preserve"> or Disclosure</w:t>
      </w:r>
      <w:bookmarkEnd w:id="538"/>
      <w:r>
        <w:t xml:space="preserve"> of Customer PI</w:t>
      </w:r>
      <w:bookmarkEnd w:id="539"/>
      <w:bookmarkEnd w:id="540"/>
      <w:bookmarkEnd w:id="541"/>
      <w:bookmarkEnd w:id="542"/>
      <w:bookmarkEnd w:id="543"/>
      <w:bookmarkEnd w:id="544"/>
      <w:bookmarkEnd w:id="545"/>
      <w:bookmarkEnd w:id="546"/>
      <w:bookmarkEnd w:id="547"/>
      <w:r w:rsidRPr="005C4B9D">
        <w:t xml:space="preserve"> </w:t>
      </w:r>
      <w:r>
        <w:t xml:space="preserve"> </w:t>
      </w:r>
    </w:p>
    <w:p w:rsidR="00324CD5" w:rsidRPr="00AF45C2" w:rsidRDefault="00324CD5" w:rsidP="00324CD5">
      <w:pPr>
        <w:pStyle w:val="ParaNum"/>
        <w:rPr>
          <w:rFonts w:eastAsia="Georgia"/>
        </w:rPr>
      </w:pPr>
      <w:r>
        <w:rPr>
          <w:rFonts w:eastAsia="Calibri"/>
        </w:rPr>
        <w:t>We</w:t>
      </w:r>
      <w:r w:rsidRPr="00F62928">
        <w:rPr>
          <w:rFonts w:eastAsia="Calibri"/>
        </w:rPr>
        <w:t xml:space="preserve"> </w:t>
      </w:r>
      <w:r>
        <w:rPr>
          <w:rFonts w:eastAsia="Calibri"/>
        </w:rPr>
        <w:t xml:space="preserve">also </w:t>
      </w:r>
      <w:r w:rsidRPr="00F62928">
        <w:rPr>
          <w:rFonts w:eastAsia="Calibri"/>
        </w:rPr>
        <w:t xml:space="preserve">propose </w:t>
      </w:r>
      <w:r>
        <w:rPr>
          <w:rFonts w:eastAsia="Calibri"/>
        </w:rPr>
        <w:t>to require BIAS provider</w:t>
      </w:r>
      <w:r w:rsidRPr="00F62928">
        <w:rPr>
          <w:rFonts w:eastAsia="Calibri"/>
        </w:rPr>
        <w:t xml:space="preserve">s </w:t>
      </w:r>
      <w:r>
        <w:rPr>
          <w:rFonts w:eastAsia="Calibri"/>
        </w:rPr>
        <w:t xml:space="preserve">to </w:t>
      </w:r>
      <w:r w:rsidRPr="00F62928">
        <w:rPr>
          <w:rFonts w:eastAsia="Calibri"/>
        </w:rPr>
        <w:t xml:space="preserve">protect against </w:t>
      </w:r>
      <w:r>
        <w:rPr>
          <w:rFonts w:eastAsia="Calibri"/>
        </w:rPr>
        <w:t xml:space="preserve">unauthorized </w:t>
      </w:r>
      <w:r w:rsidRPr="00F62928">
        <w:rPr>
          <w:rFonts w:eastAsia="Calibri"/>
        </w:rPr>
        <w:t xml:space="preserve">uses or disclosures of customer PI </w:t>
      </w:r>
      <w:r>
        <w:rPr>
          <w:rFonts w:eastAsia="Calibri"/>
        </w:rPr>
        <w:t>by training their employees, agents, and contractors that</w:t>
      </w:r>
      <w:r w:rsidRPr="00F62928">
        <w:rPr>
          <w:rFonts w:eastAsia="Calibri"/>
        </w:rPr>
        <w:t xml:space="preserve"> handle customer PI</w:t>
      </w:r>
      <w:r>
        <w:rPr>
          <w:rFonts w:eastAsia="Calibri"/>
        </w:rPr>
        <w:t xml:space="preserve"> on the data security measures employed by the BIAS provider and by sanctioning any such employees, agents, or contractors for violations of those security measures.  Data security training is well recognized as a key component of strong data security practices.</w:t>
      </w:r>
      <w:r>
        <w:rPr>
          <w:rStyle w:val="FootnoteReference"/>
          <w:rFonts w:eastAsia="Calibri"/>
        </w:rPr>
        <w:footnoteReference w:id="301"/>
      </w:r>
      <w:r>
        <w:rPr>
          <w:rFonts w:eastAsia="Calibri"/>
        </w:rPr>
        <w:t xml:space="preserve">  A training</w:t>
      </w:r>
      <w:r w:rsidRPr="00F62928">
        <w:rPr>
          <w:rFonts w:eastAsia="Calibri"/>
        </w:rPr>
        <w:t xml:space="preserve"> requirement is a well-established part of the Commission’s treatment of CPNI for voice </w:t>
      </w:r>
      <w:r>
        <w:rPr>
          <w:rFonts w:eastAsia="Calibri"/>
        </w:rPr>
        <w:t>providers</w:t>
      </w:r>
      <w:r w:rsidRPr="00F62928">
        <w:rPr>
          <w:rFonts w:eastAsia="Calibri"/>
        </w:rPr>
        <w:t>.</w:t>
      </w:r>
      <w:r>
        <w:rPr>
          <w:rStyle w:val="FootnoteReference"/>
          <w:rFonts w:eastAsia="Calibri"/>
          <w:szCs w:val="22"/>
        </w:rPr>
        <w:footnoteReference w:id="302"/>
      </w:r>
      <w:r w:rsidRPr="00F62928">
        <w:rPr>
          <w:rFonts w:eastAsia="Calibri"/>
        </w:rPr>
        <w:t xml:space="preserve">  The Commission adopted a personnel training safeguard as part of its original 1998 CPNI rules, requiring </w:t>
      </w:r>
      <w:r>
        <w:rPr>
          <w:rFonts w:eastAsia="Calibri"/>
        </w:rPr>
        <w:t xml:space="preserve">that carriers train </w:t>
      </w:r>
      <w:r w:rsidRPr="00F62928">
        <w:rPr>
          <w:rFonts w:eastAsia="Calibri"/>
        </w:rPr>
        <w:t xml:space="preserve">all employees with access to customer records as to when they can and cannot access CPNI and </w:t>
      </w:r>
      <w:r>
        <w:rPr>
          <w:rFonts w:eastAsia="Calibri"/>
        </w:rPr>
        <w:t>that they</w:t>
      </w:r>
      <w:r w:rsidRPr="00F62928">
        <w:rPr>
          <w:rFonts w:eastAsia="Calibri"/>
        </w:rPr>
        <w:t xml:space="preserve"> maintain internal procedures for managing employees that misuse CPNI.</w:t>
      </w:r>
      <w:r>
        <w:rPr>
          <w:rStyle w:val="FootnoteReference"/>
          <w:rFonts w:eastAsia="Calibri"/>
          <w:szCs w:val="22"/>
        </w:rPr>
        <w:footnoteReference w:id="303"/>
      </w:r>
      <w:r w:rsidRPr="00F62928">
        <w:rPr>
          <w:rFonts w:eastAsia="Calibri"/>
        </w:rPr>
        <w:t xml:space="preserve"> </w:t>
      </w:r>
      <w:r>
        <w:rPr>
          <w:rFonts w:eastAsia="Calibri"/>
        </w:rPr>
        <w:t xml:space="preserve"> In its data security consent orders, the Enforcement Bureau has also adopted training requirements to help </w:t>
      </w:r>
      <w:r>
        <w:t>“</w:t>
      </w:r>
      <w:r w:rsidRPr="008F4B62">
        <w:t>ensure that consumers can trust that carriers have taken appropriate steps to ensure that unauthorized persons are not accessing, viewing or misusing their personal information.</w:t>
      </w:r>
      <w:r>
        <w:t>”</w:t>
      </w:r>
      <w:r>
        <w:rPr>
          <w:rStyle w:val="FootnoteReference"/>
        </w:rPr>
        <w:footnoteReference w:id="304"/>
      </w:r>
      <w:r>
        <w:t xml:space="preserve">  </w:t>
      </w:r>
      <w:r>
        <w:rPr>
          <w:rFonts w:eastAsia="Calibri"/>
        </w:rPr>
        <w:t xml:space="preserve">We seek comment on our proposal and our rationale.  </w:t>
      </w:r>
    </w:p>
    <w:p w:rsidR="00324CD5" w:rsidRPr="00182919" w:rsidRDefault="00324CD5" w:rsidP="00A1147F">
      <w:pPr>
        <w:pStyle w:val="ParaNum"/>
        <w:widowControl/>
        <w:rPr>
          <w:rFonts w:eastAsia="Georgia"/>
        </w:rPr>
      </w:pPr>
      <w:r w:rsidRPr="00182919">
        <w:rPr>
          <w:rFonts w:eastAsia="Calibri"/>
          <w:szCs w:val="22"/>
        </w:rPr>
        <w:t xml:space="preserve">Our proposal </w:t>
      </w:r>
      <w:r>
        <w:rPr>
          <w:rFonts w:eastAsia="Calibri"/>
          <w:szCs w:val="22"/>
        </w:rPr>
        <w:t xml:space="preserve">also </w:t>
      </w:r>
      <w:r w:rsidRPr="00182919">
        <w:rPr>
          <w:rFonts w:eastAsia="Calibri"/>
          <w:szCs w:val="22"/>
        </w:rPr>
        <w:t xml:space="preserve">aligns with </w:t>
      </w:r>
      <w:r>
        <w:t xml:space="preserve">the FTC’s rules implementing GLBA, which requires staff training as part of a covered entity’s security program as well as </w:t>
      </w:r>
      <w:r w:rsidRPr="00182919">
        <w:rPr>
          <w:color w:val="000000"/>
          <w:shd w:val="clear" w:color="auto" w:fill="FFFFFF"/>
        </w:rPr>
        <w:t>taking steps to ensure that their affiliates and service providers safeguard customer information in their care</w:t>
      </w:r>
      <w:r>
        <w:t>.</w:t>
      </w:r>
      <w:r>
        <w:rPr>
          <w:rStyle w:val="FootnoteReference"/>
        </w:rPr>
        <w:footnoteReference w:id="305"/>
      </w:r>
      <w:r>
        <w:t xml:space="preserve">  The rules implementing HIPAA also require data security training, although those rules are focused on the employees of a covered entity and not its agents or contractors.</w:t>
      </w:r>
      <w:r>
        <w:rPr>
          <w:rStyle w:val="FootnoteReference"/>
        </w:rPr>
        <w:footnoteReference w:id="306"/>
      </w:r>
      <w:r>
        <w:t xml:space="preserve">  </w:t>
      </w:r>
    </w:p>
    <w:p w:rsidR="00324CD5" w:rsidRPr="00457312" w:rsidRDefault="00324CD5" w:rsidP="00A1147F">
      <w:pPr>
        <w:pStyle w:val="ParaNum"/>
        <w:widowControl/>
        <w:rPr>
          <w:rFonts w:eastAsia="Georgia"/>
        </w:rPr>
      </w:pPr>
      <w:r>
        <w:rPr>
          <w:rFonts w:eastAsia="Georgia"/>
        </w:rPr>
        <w:t>The existing training programs required by the HIPAA and GLBA rules do not specify all the topics that must be included under the training program, nor do they mandate the frequency or length of training.  We seek comment whether we should follow this approach or provide further clarifications on the training process.  We also seek comment whether we should require training be done on an annual basis or with some other specified frequency, or establish a minimum frequency.</w:t>
      </w:r>
      <w:r>
        <w:rPr>
          <w:rStyle w:val="FootnoteReference"/>
          <w:rFonts w:eastAsia="Georgia"/>
        </w:rPr>
        <w:footnoteReference w:id="307"/>
      </w:r>
      <w:r>
        <w:rPr>
          <w:rFonts w:eastAsia="Georgia"/>
        </w:rPr>
        <w:t xml:space="preserve">  </w:t>
      </w:r>
      <w:r w:rsidRPr="00953487">
        <w:t>Are there additional entities to wh</w:t>
      </w:r>
      <w:r>
        <w:t>ich</w:t>
      </w:r>
      <w:r w:rsidRPr="00953487">
        <w:t xml:space="preserve"> these train</w:t>
      </w:r>
      <w:r>
        <w:t xml:space="preserve">ing requirements should apply? </w:t>
      </w:r>
    </w:p>
    <w:p w:rsidR="00324CD5" w:rsidRPr="00626945" w:rsidRDefault="00324CD5" w:rsidP="00324CD5">
      <w:pPr>
        <w:pStyle w:val="Heading4"/>
        <w:rPr>
          <w:rFonts w:eastAsia="Georgia"/>
        </w:rPr>
      </w:pPr>
      <w:bookmarkStart w:id="548" w:name="_Toc440016686"/>
      <w:bookmarkStart w:id="549" w:name="_Toc440575593"/>
      <w:bookmarkStart w:id="550" w:name="_Toc440575863"/>
      <w:bookmarkStart w:id="551" w:name="_Toc441849971"/>
      <w:bookmarkStart w:id="552" w:name="_Toc443660116"/>
      <w:bookmarkStart w:id="553" w:name="_Toc445192964"/>
      <w:bookmarkStart w:id="554" w:name="_Toc445193060"/>
      <w:bookmarkStart w:id="555" w:name="_Ref446517049"/>
      <w:r>
        <w:rPr>
          <w:rFonts w:eastAsia="Georgia"/>
        </w:rPr>
        <w:t>Ensuring Reasonable Due Diligence and Corporate Accountability</w:t>
      </w:r>
      <w:bookmarkEnd w:id="548"/>
      <w:bookmarkEnd w:id="549"/>
      <w:bookmarkEnd w:id="550"/>
      <w:bookmarkEnd w:id="551"/>
      <w:bookmarkEnd w:id="552"/>
      <w:bookmarkEnd w:id="553"/>
      <w:bookmarkEnd w:id="554"/>
      <w:bookmarkEnd w:id="555"/>
    </w:p>
    <w:p w:rsidR="00324CD5" w:rsidRPr="000C6BFB" w:rsidRDefault="00324CD5" w:rsidP="00324CD5">
      <w:pPr>
        <w:pStyle w:val="ParaNum"/>
        <w:rPr>
          <w:rFonts w:eastAsia="Georgia"/>
        </w:rPr>
      </w:pPr>
      <w:r>
        <w:rPr>
          <w:rFonts w:eastAsia="Calibri"/>
        </w:rPr>
        <w:t xml:space="preserve">To ensure that BIAS providers have a robust data security program that includes any requirements that we ultimately adopt, we propose requiring BIAS providers to designate a senior management official with </w:t>
      </w:r>
      <w:r>
        <w:rPr>
          <w:rFonts w:eastAsia="Georgia"/>
        </w:rPr>
        <w:t xml:space="preserve">responsibility for implementing and maintaining the BIAS provider’s information security program to </w:t>
      </w:r>
      <w:r>
        <w:t xml:space="preserve">ensure that someone with authority in the company has personal knowledge of and responsibility for the BIAS provider’s data security practices.  </w:t>
      </w:r>
      <w:r>
        <w:rPr>
          <w:rFonts w:eastAsia="Georgia"/>
        </w:rPr>
        <w:t>As with the other data security requirements we propose, this proposal is firmly rooted in existing privacy regimes.</w:t>
      </w:r>
      <w:r>
        <w:t xml:space="preserve">  </w:t>
      </w:r>
      <w:r>
        <w:rPr>
          <w:rFonts w:eastAsia="Georgia"/>
        </w:rPr>
        <w:t xml:space="preserve">For example, the </w:t>
      </w:r>
      <w:r>
        <w:t>HIPAA rules require each covered entity to designate a privacy official.</w:t>
      </w:r>
      <w:r>
        <w:rPr>
          <w:rStyle w:val="FootnoteReference"/>
        </w:rPr>
        <w:footnoteReference w:id="308"/>
      </w:r>
      <w:r>
        <w:t xml:space="preserve">  </w:t>
      </w:r>
    </w:p>
    <w:p w:rsidR="00324CD5" w:rsidRPr="005678C7" w:rsidRDefault="00324CD5" w:rsidP="00324CD5">
      <w:pPr>
        <w:pStyle w:val="ParaNum"/>
        <w:rPr>
          <w:rFonts w:eastAsia="Georgia"/>
        </w:rPr>
      </w:pPr>
      <w:bookmarkStart w:id="556" w:name="_Ref445304572"/>
      <w:r>
        <w:t>In fact, since the Commission first promulgated its CPNI rules, corporate oversight has been included as part of the data security requirements</w:t>
      </w:r>
      <w:r w:rsidRPr="00190B34">
        <w:t>.</w:t>
      </w:r>
      <w:r w:rsidRPr="00190B34">
        <w:rPr>
          <w:rStyle w:val="FootnoteReference"/>
        </w:rPr>
        <w:footnoteReference w:id="309"/>
      </w:r>
      <w:r w:rsidRPr="00190B34">
        <w:t xml:space="preserve">  </w:t>
      </w:r>
      <w:r>
        <w:t xml:space="preserve">As the </w:t>
      </w:r>
      <w:r w:rsidRPr="00190B34">
        <w:t xml:space="preserve">Commission </w:t>
      </w:r>
      <w:r>
        <w:t>explained, having a corporate officer attest to having personal knowledge of the carrier’s data security compliance is “</w:t>
      </w:r>
      <w:r w:rsidRPr="00190B34">
        <w:t xml:space="preserve">an </w:t>
      </w:r>
      <w:r w:rsidRPr="002F2DA8">
        <w:t>appropriate and effective additional safeguard.”</w:t>
      </w:r>
      <w:r w:rsidRPr="002F2DA8">
        <w:rPr>
          <w:rStyle w:val="FootnoteReference"/>
        </w:rPr>
        <w:footnoteReference w:id="310"/>
      </w:r>
      <w:r w:rsidRPr="002F2DA8">
        <w:t xml:space="preserve">  We </w:t>
      </w:r>
      <w:r>
        <w:t xml:space="preserve">seek comment on our proposal to require BIAS providers to designate a senior management official to implement and maintain </w:t>
      </w:r>
      <w:r w:rsidRPr="000E18A0">
        <w:rPr>
          <w:rFonts w:eastAsia="Calibri"/>
        </w:rPr>
        <w:t xml:space="preserve">the provisions of the </w:t>
      </w:r>
      <w:r>
        <w:rPr>
          <w:rFonts w:eastAsia="Calibri"/>
        </w:rPr>
        <w:t>BIAS provider</w:t>
      </w:r>
      <w:r w:rsidRPr="000E18A0">
        <w:rPr>
          <w:rFonts w:eastAsia="Calibri"/>
        </w:rPr>
        <w:t>s’ data security procedures</w:t>
      </w:r>
      <w:r>
        <w:t>.  We recognize that many BIAS providers currently have senior officials responsible for privacy and data security and seek comment on the burden of this requirement, in light of BIAS providers’ existing management and compliance structures.</w:t>
      </w:r>
      <w:bookmarkEnd w:id="556"/>
      <w:r>
        <w:t xml:space="preserve">    </w:t>
      </w:r>
    </w:p>
    <w:p w:rsidR="00324CD5" w:rsidRPr="002A53E3" w:rsidRDefault="00324CD5" w:rsidP="00A1147F">
      <w:pPr>
        <w:pStyle w:val="ParaNum"/>
        <w:widowControl/>
        <w:rPr>
          <w:rFonts w:eastAsia="Georgia"/>
        </w:rPr>
      </w:pPr>
      <w:r>
        <w:t>We also seek comment</w:t>
      </w:r>
      <w:r w:rsidRPr="0073671C">
        <w:t xml:space="preserve"> whether we should require additional information or verification measures as part of this requirement</w:t>
      </w:r>
      <w:r>
        <w:t xml:space="preserve"> for oversight</w:t>
      </w:r>
      <w:r w:rsidRPr="0073671C">
        <w:t xml:space="preserve">.  </w:t>
      </w:r>
      <w:r>
        <w:t>For example, should we specify qualifications that a senior management official should or must have to serve in this capacity?  Are there any other specifications that we should or should not include as part of this requirement?</w:t>
      </w:r>
    </w:p>
    <w:p w:rsidR="00324CD5" w:rsidRDefault="00324CD5" w:rsidP="00A1147F">
      <w:pPr>
        <w:pStyle w:val="Heading4"/>
        <w:widowControl/>
      </w:pPr>
      <w:bookmarkStart w:id="557" w:name="_Toc439240689"/>
      <w:bookmarkStart w:id="558" w:name="_Toc439858561"/>
      <w:bookmarkStart w:id="559" w:name="_Toc440016687"/>
      <w:bookmarkStart w:id="560" w:name="_Toc440575594"/>
      <w:bookmarkStart w:id="561" w:name="_Toc440575864"/>
      <w:bookmarkStart w:id="562" w:name="_Toc441849972"/>
      <w:bookmarkStart w:id="563" w:name="_Toc443660117"/>
      <w:bookmarkStart w:id="564" w:name="_Toc445192965"/>
      <w:bookmarkStart w:id="565" w:name="_Toc445193061"/>
      <w:bookmarkStart w:id="566" w:name="_Ref446517068"/>
      <w:r>
        <w:t>Customer Authentication Requirements for</w:t>
      </w:r>
      <w:r w:rsidRPr="009C3F6F">
        <w:t xml:space="preserve"> Access</w:t>
      </w:r>
      <w:r>
        <w:t xml:space="preserve"> to Customer Proprietary Information</w:t>
      </w:r>
      <w:bookmarkEnd w:id="557"/>
      <w:bookmarkEnd w:id="558"/>
      <w:bookmarkEnd w:id="559"/>
      <w:bookmarkEnd w:id="560"/>
      <w:bookmarkEnd w:id="561"/>
      <w:bookmarkEnd w:id="562"/>
      <w:bookmarkEnd w:id="563"/>
      <w:bookmarkEnd w:id="564"/>
      <w:bookmarkEnd w:id="565"/>
      <w:bookmarkEnd w:id="566"/>
      <w:r>
        <w:t xml:space="preserve"> </w:t>
      </w:r>
    </w:p>
    <w:p w:rsidR="00324CD5" w:rsidRDefault="00324CD5" w:rsidP="00A1147F">
      <w:pPr>
        <w:pStyle w:val="ParaNum"/>
        <w:widowControl/>
        <w:rPr>
          <w:rFonts w:eastAsia="Georgia"/>
        </w:rPr>
      </w:pPr>
      <w:r>
        <w:t xml:space="preserve">To honor customers’ rights to access their personal information while ensuring that BIAS providers comply with their duty to safeguard confidential customer data, we propose to require BIAS providers to adopt robust customer authentication requirements.  We seek comment on whether we should require providers to use, at a minimum, </w:t>
      </w:r>
      <w:r w:rsidRPr="00E319B3">
        <w:t xml:space="preserve">a multi-factor authentication </w:t>
      </w:r>
      <w:r>
        <w:t xml:space="preserve">before granting a </w:t>
      </w:r>
      <w:r w:rsidRPr="00E319B3">
        <w:t xml:space="preserve">customer access to </w:t>
      </w:r>
      <w:r>
        <w:t xml:space="preserve">the customer’s PI or before accepting another person as that customer’s designee with a right to access a </w:t>
      </w:r>
      <w:r w:rsidRPr="00E319B3">
        <w:t>customer’s PI</w:t>
      </w:r>
      <w:r>
        <w:t>.</w:t>
      </w:r>
      <w:r w:rsidRPr="004248F9">
        <w:rPr>
          <w:rStyle w:val="FootnoteReference"/>
        </w:rPr>
        <w:t xml:space="preserve"> </w:t>
      </w:r>
      <w:r>
        <w:rPr>
          <w:rStyle w:val="FootnoteReference"/>
        </w:rPr>
        <w:footnoteReference w:id="311"/>
      </w:r>
      <w:r>
        <w:t xml:space="preserve">  We also propose to require BIAS providers to notify customers of account changes to protect against fraudulent authentication attempts.  Relatedly, w</w:t>
      </w:r>
      <w:r w:rsidRPr="00975C50">
        <w:rPr>
          <w:szCs w:val="22"/>
        </w:rPr>
        <w:t xml:space="preserve">e also seek comment on the methods by which consumers should be allowed to access their customer PI </w:t>
      </w:r>
      <w:r w:rsidRPr="000D19F1">
        <w:rPr>
          <w:szCs w:val="22"/>
        </w:rPr>
        <w:t xml:space="preserve">and </w:t>
      </w:r>
      <w:r w:rsidRPr="000D19F1">
        <w:rPr>
          <w:rFonts w:eastAsia="Georgia"/>
        </w:rPr>
        <w:t xml:space="preserve">whether </w:t>
      </w:r>
      <w:r>
        <w:rPr>
          <w:rFonts w:eastAsia="Georgia"/>
        </w:rPr>
        <w:t>we</w:t>
      </w:r>
      <w:r w:rsidRPr="000D19F1">
        <w:rPr>
          <w:rFonts w:eastAsia="Georgia"/>
        </w:rPr>
        <w:t xml:space="preserve"> should adopt rules requiring </w:t>
      </w:r>
      <w:r>
        <w:rPr>
          <w:rFonts w:eastAsia="Georgia"/>
        </w:rPr>
        <w:t>BIAS provider</w:t>
      </w:r>
      <w:r w:rsidRPr="000D19F1">
        <w:rPr>
          <w:rFonts w:eastAsia="Georgia"/>
        </w:rPr>
        <w:t xml:space="preserve">s to correct inaccurate customer PI.  </w:t>
      </w:r>
    </w:p>
    <w:p w:rsidR="00324CD5" w:rsidRPr="003278CF" w:rsidRDefault="00324CD5" w:rsidP="00324CD5">
      <w:pPr>
        <w:pStyle w:val="Heading5"/>
        <w:rPr>
          <w:rFonts w:eastAsia="Georgia"/>
        </w:rPr>
      </w:pPr>
      <w:bookmarkStart w:id="567" w:name="_Toc440016688"/>
      <w:bookmarkStart w:id="568" w:name="_Toc440575595"/>
      <w:bookmarkStart w:id="569" w:name="_Toc440575865"/>
      <w:bookmarkStart w:id="570" w:name="_Toc441849973"/>
      <w:bookmarkStart w:id="571" w:name="_Toc445192966"/>
      <w:bookmarkStart w:id="572" w:name="_Ref446580982"/>
      <w:r>
        <w:t>Robust Authentication</w:t>
      </w:r>
      <w:bookmarkEnd w:id="567"/>
      <w:bookmarkEnd w:id="568"/>
      <w:bookmarkEnd w:id="569"/>
      <w:bookmarkEnd w:id="570"/>
      <w:r>
        <w:t xml:space="preserve"> Requirements</w:t>
      </w:r>
      <w:bookmarkEnd w:id="571"/>
      <w:bookmarkEnd w:id="572"/>
      <w:r>
        <w:t xml:space="preserve"> </w:t>
      </w:r>
    </w:p>
    <w:p w:rsidR="00324CD5" w:rsidRPr="00AD7606" w:rsidRDefault="00324CD5" w:rsidP="00324CD5">
      <w:pPr>
        <w:pStyle w:val="ParaNum"/>
        <w:rPr>
          <w:rFonts w:eastAsia="Georgia"/>
        </w:rPr>
      </w:pPr>
      <w:r>
        <w:t xml:space="preserve">In order to protect against unauthorized access to customer PI, we propose to require BIAS providers to adopt robust customer authentication and we seek comment on requiring the use of multi-factor authentication.  </w:t>
      </w:r>
      <w:r>
        <w:rPr>
          <w:rFonts w:eastAsia="Georgia"/>
        </w:rPr>
        <w:t>We believe that customer authentication is a critical element in ensuring that the confidentiality of customers’ PI is protected.</w:t>
      </w:r>
      <w:r>
        <w:rPr>
          <w:rStyle w:val="FootnoteReference"/>
          <w:rFonts w:eastAsia="Georgia"/>
        </w:rPr>
        <w:footnoteReference w:id="312"/>
      </w:r>
      <w:r>
        <w:rPr>
          <w:rFonts w:eastAsia="Georgia"/>
        </w:rPr>
        <w:t xml:space="preserve">  We seek comment on our proposals. </w:t>
      </w:r>
    </w:p>
    <w:p w:rsidR="00324CD5" w:rsidRDefault="00324CD5" w:rsidP="00324CD5">
      <w:pPr>
        <w:pStyle w:val="ParaNum"/>
      </w:pPr>
      <w:r>
        <w:t xml:space="preserve">We do not currently propose to require BIAS providers to adopt multi-factor authentication or, more granularly, specific types of multi-factor authentication methods, because we recognize that there is no perfect and permanent approach to customer authentication.  Technology develops over time.  </w:t>
      </w:r>
      <w:r w:rsidRPr="00F95108">
        <w:t>Multi-factor authentication requires users to authenticate through multiple elements in order to prove one’s identity</w:t>
      </w:r>
      <w:r>
        <w:t xml:space="preserve">, under the assumption that it </w:t>
      </w:r>
      <w:r w:rsidRPr="00F95108">
        <w:t xml:space="preserve">is unlikely that an unauthorized actor will </w:t>
      </w:r>
      <w:r>
        <w:t>be able to succeed at more than o</w:t>
      </w:r>
      <w:r w:rsidRPr="00F95108">
        <w:t xml:space="preserve">ne form of </w:t>
      </w:r>
      <w:r>
        <w:t>authentication.  We understand that currently used authentication mechanisms vary by company, by industry, and often by the sensitivity of the underlying data.  Types of authentication credentials currentl</w:t>
      </w:r>
      <w:r w:rsidR="00A63814">
        <w:t>y fall into one of three categories</w:t>
      </w:r>
      <w:r>
        <w:t>:  (i) something people know, such as a password or a personal identification number (PIN); (ii) something people possess, such as a token or access key; and (iii) something people are, such as biometric information based on typing patterns or fingerprints.</w:t>
      </w:r>
      <w:r>
        <w:rPr>
          <w:rStyle w:val="FootnoteReference"/>
        </w:rPr>
        <w:footnoteReference w:id="313"/>
      </w:r>
      <w:r>
        <w:t xml:space="preserve">  Multi-factor authentication typically combines at least two of these categories, requiring, for example, that users provide a password in addition to an access key code that is maintained on a separate device.  As a result, multi-factor authentication is widely considered to be one of the most secure authentication methods currently available.</w:t>
      </w:r>
      <w:r>
        <w:rPr>
          <w:rStyle w:val="FootnoteReference"/>
        </w:rPr>
        <w:footnoteReference w:id="314"/>
      </w:r>
      <w:r>
        <w:t xml:space="preserve">  </w:t>
      </w:r>
    </w:p>
    <w:p w:rsidR="00324CD5" w:rsidRDefault="00324CD5" w:rsidP="00324CD5">
      <w:pPr>
        <w:pStyle w:val="ParaNum"/>
      </w:pPr>
      <w:r>
        <w:t xml:space="preserve">We seek comment on the advantages and disadvantages of requiring multi-factor authentication.  Are there security risks associated with multi-factor authentication that we should take into account?  How would consumers be affected by a multi-factor authentication requirement?  What would be the additional costs imposed on BIAS providers and/or consumers?  If a cell phone number or email address is used to provide new information after authentication, how can the provider be certain that neither has been compromised?  Are there customers that would not be able to take advantage of a multi-factor authentication process based on lack of access to specific types of technology?  If so, what alternatives should be available, and should we require providers to make these alternatives available?  Would a multi-factor authentication requirement unduly burden small providers?  How would a multi-factor authentication regime work for interactions that are off-line, </w:t>
      </w:r>
      <w:r w:rsidRPr="00A72E67">
        <w:t>i.e.</w:t>
      </w:r>
      <w:r>
        <w:t xml:space="preserve">, in-person access to customer PI via a face-to-face interaction at the BIAS provider’s regional offices or via a telephone call?  Are there specific issues with respect to multi-factor authentication and customers with disabilities that we should take into account?  </w:t>
      </w:r>
    </w:p>
    <w:p w:rsidR="00324CD5" w:rsidRDefault="00324CD5" w:rsidP="00324CD5">
      <w:pPr>
        <w:pStyle w:val="ParaNum"/>
      </w:pPr>
      <w:bookmarkStart w:id="573" w:name="_Ref446334812"/>
      <w:r>
        <w:t xml:space="preserve">We seek comment on other robust methods of customer authentication.  </w:t>
      </w:r>
      <w:r w:rsidRPr="00B54C1F">
        <w:rPr>
          <w:rFonts w:eastAsia="Georgia"/>
        </w:rPr>
        <w:t xml:space="preserve">FTC guidance </w:t>
      </w:r>
      <w:r w:rsidRPr="00B54C1F">
        <w:t>encourages “</w:t>
      </w:r>
      <w:r w:rsidR="00FB6CC8">
        <w:t>[</w:t>
      </w:r>
      <w:r w:rsidRPr="00B54C1F">
        <w:t>c</w:t>
      </w:r>
      <w:r w:rsidR="00FB6CC8">
        <w:t>]</w:t>
      </w:r>
      <w:r w:rsidRPr="00B54C1F">
        <w:t>ompanies engaged in providing data for making eligibility determinations [to] develop best practices for authenticating consumers for access purposes,” and highlights the security work of the private sector such as Payment Card Institute Data Security Standards for payment card data, the Better Business Bureau, and the Direct Marketing Association that developed and implemented best practices for authenticating consumer accounts.</w:t>
      </w:r>
      <w:r>
        <w:rPr>
          <w:rStyle w:val="FootnoteReference"/>
        </w:rPr>
        <w:footnoteReference w:id="315"/>
      </w:r>
      <w:r w:rsidRPr="00B54C1F">
        <w:t xml:space="preserve">  Further, NIST’s cybersecurity standards recommend authentication standards based on risk models, noting that “the level of authentication required for online banking is likely to differ from that required to access an online magazine subscription.”</w:t>
      </w:r>
      <w:r w:rsidRPr="00B54C1F">
        <w:rPr>
          <w:rStyle w:val="FootnoteReference"/>
        </w:rPr>
        <w:footnoteReference w:id="316"/>
      </w:r>
      <w:r w:rsidRPr="00B54C1F">
        <w:t xml:space="preserve">  We seek comment on application of these authentication practices</w:t>
      </w:r>
      <w:r>
        <w:t xml:space="preserve"> and standards</w:t>
      </w:r>
      <w:r w:rsidRPr="00B54C1F">
        <w:t xml:space="preserve"> to the relationship between </w:t>
      </w:r>
      <w:r>
        <w:t>BIAS provider</w:t>
      </w:r>
      <w:r w:rsidRPr="00B54C1F">
        <w:t>s and their customers, as well as the benefits and drawbacks of adopting any of these methods as requirements in the broadband context.</w:t>
      </w:r>
      <w:r>
        <w:t xml:space="preserve">  Are there any authentication methods being used that we should discourage or even prohibit because they are outdated, present their own privacy or data security risks, are unworkable for people with certain types of disabilities, or for other reasons?  For example, do authentication methods that rely on additional, less mutable, personal information, such as fingerprints or other biometric information, raise particular concerns in the case of a breach of that personal information or other scenarios?</w:t>
      </w:r>
      <w:r>
        <w:rPr>
          <w:rStyle w:val="FootnoteReference"/>
        </w:rPr>
        <w:footnoteReference w:id="317"/>
      </w:r>
      <w:r>
        <w:t xml:space="preserve">  Would BIAS providers need to employ additional safeguards to secure this authentication-specific information?  Should our rules prohibit BIAS providers from requiring their customers to provide biometric information as part of any authentication scheme?</w:t>
      </w:r>
      <w:bookmarkEnd w:id="573"/>
      <w:r>
        <w:t xml:space="preserve"> </w:t>
      </w:r>
    </w:p>
    <w:p w:rsidR="00324CD5" w:rsidRDefault="00324CD5" w:rsidP="00324CD5">
      <w:pPr>
        <w:pStyle w:val="ParaNum"/>
      </w:pPr>
      <w:r>
        <w:t xml:space="preserve">We also seek comment on whether we should require password protection.  </w:t>
      </w:r>
      <w:r>
        <w:rPr>
          <w:rFonts w:eastAsia="Georgia"/>
        </w:rPr>
        <w:t xml:space="preserve">Our </w:t>
      </w:r>
      <w:r w:rsidRPr="00FF718C">
        <w:rPr>
          <w:rFonts w:eastAsia="Georgia"/>
        </w:rPr>
        <w:t xml:space="preserve">existing voice </w:t>
      </w:r>
      <w:r>
        <w:rPr>
          <w:rFonts w:eastAsia="Georgia"/>
        </w:rPr>
        <w:t>r</w:t>
      </w:r>
      <w:r w:rsidRPr="00FF718C">
        <w:rPr>
          <w:rFonts w:eastAsia="Georgia"/>
        </w:rPr>
        <w:t xml:space="preserve">ules </w:t>
      </w:r>
      <w:r>
        <w:rPr>
          <w:rFonts w:eastAsia="Georgia"/>
        </w:rPr>
        <w:t xml:space="preserve">rely on authenticating customers based on a password the customer must </w:t>
      </w:r>
      <w:r>
        <w:t>establish before seeking to obtain call-detail information over the telephone or via online access.</w:t>
      </w:r>
      <w:r>
        <w:rPr>
          <w:rStyle w:val="FootnoteReference"/>
        </w:rPr>
        <w:footnoteReference w:id="318"/>
      </w:r>
      <w:r>
        <w:t xml:space="preserve">  These measures were implemented to address the problem of pretexting, where parties </w:t>
      </w:r>
      <w:r w:rsidRPr="008B55C9">
        <w:t>pretend to be a particular customer or other authorized person in order to obtain access to that customer’s call detail or other private communications records.</w:t>
      </w:r>
      <w:r>
        <w:rPr>
          <w:rStyle w:val="FootnoteReference"/>
        </w:rPr>
        <w:footnoteReference w:id="319"/>
      </w:r>
      <w:r w:rsidRPr="008B55C9">
        <w:t xml:space="preserve">  </w:t>
      </w:r>
    </w:p>
    <w:p w:rsidR="00324CD5" w:rsidRDefault="00324CD5" w:rsidP="00324CD5">
      <w:pPr>
        <w:pStyle w:val="ParaNum"/>
      </w:pPr>
      <w:r>
        <w:t>However, given the frequency with which passwords are compromised due to phishing attacks, password database leaks, and reuse of passwords across multiple websites and service offerings, we have concerns whether a password is a sufficient safeguard when a customer requests access to customer PI over a customer-initiated phone call or via online access in the broadband context.  We seek comment generally on the efficacy of password authentication in this context.</w:t>
      </w:r>
      <w:r>
        <w:rPr>
          <w:rStyle w:val="FootnoteReference"/>
        </w:rPr>
        <w:footnoteReference w:id="320"/>
      </w:r>
      <w:r>
        <w:t xml:space="preserve">  If commenters agree that password protection should be part of a robust customer authentication mechanism, should we prescribe additional requirements, such as mandating</w:t>
      </w:r>
      <w:r w:rsidRPr="006E1CF9">
        <w:rPr>
          <w:szCs w:val="22"/>
        </w:rPr>
        <w:t xml:space="preserve"> </w:t>
      </w:r>
      <w:r>
        <w:rPr>
          <w:szCs w:val="22"/>
        </w:rPr>
        <w:t>the use of secret questions or</w:t>
      </w:r>
      <w:r w:rsidRPr="006E1CF9">
        <w:rPr>
          <w:szCs w:val="22"/>
        </w:rPr>
        <w:t xml:space="preserve"> character limitations</w:t>
      </w:r>
      <w:r>
        <w:rPr>
          <w:szCs w:val="22"/>
        </w:rPr>
        <w:t xml:space="preserve"> on passwords?  Or should we establish a particular standard with respect to password protection and leave it up to the provider to determine the best way to meet that standard?</w:t>
      </w:r>
    </w:p>
    <w:p w:rsidR="00324CD5" w:rsidRDefault="00324CD5" w:rsidP="00324CD5">
      <w:pPr>
        <w:pStyle w:val="ParaNum"/>
      </w:pPr>
      <w:r w:rsidRPr="001521EE">
        <w:t xml:space="preserve"> </w:t>
      </w:r>
      <w:r>
        <w:t>We also seek</w:t>
      </w:r>
      <w:r w:rsidRPr="00A84A52">
        <w:t xml:space="preserve"> comment whether</w:t>
      </w:r>
      <w:r>
        <w:t xml:space="preserve"> we should</w:t>
      </w:r>
      <w:r w:rsidRPr="00A84A52">
        <w:t xml:space="preserve"> adopt specific authentication procedures for </w:t>
      </w:r>
      <w:r>
        <w:t>particular</w:t>
      </w:r>
      <w:r w:rsidRPr="00A84A52">
        <w:t xml:space="preserve"> scenarios, </w:t>
      </w:r>
      <w:r>
        <w:t xml:space="preserve">as our existing Section 222 rules do with respect to customer authentication over a </w:t>
      </w:r>
      <w:r w:rsidRPr="00A84A52">
        <w:t xml:space="preserve">telephone </w:t>
      </w:r>
      <w:r>
        <w:t>call,</w:t>
      </w:r>
      <w:r>
        <w:rPr>
          <w:rStyle w:val="FootnoteReference"/>
        </w:rPr>
        <w:footnoteReference w:id="321"/>
      </w:r>
      <w:r>
        <w:t xml:space="preserve"> or should instead adopt a flexible system like that which we propose for data security measures.  If the former, what should such authentication procedures be, and under what scenarios should they be required?  What are the advantages and disadvantages of each regime?  What are the implications for BIAS providers of requiring a particular type of authentication measure?  Would adopting a particular authentication model or practice stifle development of new technologies that may provide improved security, or possibly provide a specific target for bad actors to work around, in effect making the practice less effective as a security precaution?  We also seek comment on how to ensure that any ultimate authentication requirement we adopt is flexible enough to incorporate and encourage the latest technological advances.</w:t>
      </w:r>
      <w:bookmarkStart w:id="574" w:name="_Ref446334557"/>
      <w:r>
        <w:rPr>
          <w:rStyle w:val="FootnoteReference"/>
        </w:rPr>
        <w:footnoteReference w:id="322"/>
      </w:r>
      <w:bookmarkEnd w:id="574"/>
      <w:r>
        <w:t xml:space="preserve">  </w:t>
      </w:r>
    </w:p>
    <w:p w:rsidR="00324CD5" w:rsidRPr="002B2776" w:rsidRDefault="00324CD5" w:rsidP="00A1147F">
      <w:pPr>
        <w:pStyle w:val="ParaNum"/>
        <w:widowControl/>
        <w:rPr>
          <w:snapToGrid/>
          <w:kern w:val="0"/>
          <w:sz w:val="24"/>
        </w:rPr>
      </w:pPr>
      <w:r>
        <w:t>We also seek comment on whether there are other authentication methods that BIAS providers can employ to make the authentication process less cumbersome for consumers.  For example, are there ways for BIAS providers to work with existing edge providers that already authenticate their users to simplify customer authentication?  Allowing third-party credentials can save time and resources in managing identities for both customers and businesses.  The benefits to organizations and individuals can be significant, but there is also a concern that these connections meant to improve security can create opportunities for increased tracking of users.</w:t>
      </w:r>
      <w:r>
        <w:rPr>
          <w:rStyle w:val="FootnoteReference"/>
        </w:rPr>
        <w:footnoteReference w:id="323"/>
      </w:r>
      <w:r>
        <w:t xml:space="preserve">  We seek comment whether and how the proposed rules should and can accommodate such innovations.</w:t>
      </w:r>
    </w:p>
    <w:p w:rsidR="00324CD5" w:rsidRPr="00595A7B" w:rsidRDefault="00324CD5" w:rsidP="00A1147F">
      <w:pPr>
        <w:pStyle w:val="ParaNum"/>
        <w:widowControl/>
      </w:pPr>
      <w:r>
        <w:t>Finally, we seek comment on whether we should harmonize the existing authentication requirements for voice providers with the authentication method we ultimately adopt for BIAS providers.  Do the existing voice authentication rules, with their emphasis on passwords following a customer-initiated request, continue to be both relevant and effective?  Should we update these rules to require robust customer authentication similar to what we propose for BIAS?  Why or why not?  Are there other steps we should take to harmonize the authentication requirements for voice and BIAS providers?</w:t>
      </w:r>
      <w:r>
        <w:rPr>
          <w:rStyle w:val="FootnoteReference"/>
        </w:rPr>
        <w:footnoteReference w:id="324"/>
      </w:r>
      <w:r>
        <w:t xml:space="preserve">  </w:t>
      </w:r>
      <w:r w:rsidR="00C67767">
        <w:t>Are there specific customer authentication rules we should adopt for cable and satellite providers in light of their obligation to prevent unauthorized access to a subscriber’s personally identifiable information?</w:t>
      </w:r>
      <w:r w:rsidR="00C67767">
        <w:rPr>
          <w:rStyle w:val="FootnoteReference"/>
        </w:rPr>
        <w:footnoteReference w:id="325"/>
      </w:r>
      <w:r w:rsidR="00C67767">
        <w:t xml:space="preserve">  </w:t>
      </w:r>
      <w:r>
        <w:t>In addition, we seek comment on whether we should adopt employee and contractor authentication requirements to permit access to customer PI.  If so, what standards should we adopt?</w:t>
      </w:r>
    </w:p>
    <w:p w:rsidR="00324CD5" w:rsidRDefault="00324CD5" w:rsidP="00324CD5">
      <w:pPr>
        <w:pStyle w:val="Heading5"/>
        <w:rPr>
          <w:rFonts w:eastAsia="Georgia"/>
        </w:rPr>
      </w:pPr>
      <w:bookmarkStart w:id="575" w:name="_Toc441849974"/>
      <w:bookmarkStart w:id="576" w:name="_Toc445192967"/>
      <w:bookmarkStart w:id="577" w:name="_Ref446580936"/>
      <w:r w:rsidRPr="003278CF">
        <w:rPr>
          <w:rFonts w:eastAsia="Georgia"/>
        </w:rPr>
        <w:t>Notification of Account Changes</w:t>
      </w:r>
      <w:bookmarkEnd w:id="575"/>
      <w:bookmarkEnd w:id="576"/>
      <w:bookmarkEnd w:id="577"/>
      <w:r>
        <w:rPr>
          <w:rFonts w:eastAsia="Georgia"/>
        </w:rPr>
        <w:t xml:space="preserve">  </w:t>
      </w:r>
    </w:p>
    <w:p w:rsidR="00324CD5" w:rsidRPr="000237A2" w:rsidRDefault="00324CD5" w:rsidP="00324CD5">
      <w:pPr>
        <w:pStyle w:val="ParaNum"/>
        <w:rPr>
          <w:rFonts w:eastAsia="Georgia"/>
        </w:rPr>
      </w:pPr>
      <w:r w:rsidRPr="000237A2">
        <w:rPr>
          <w:rFonts w:eastAsia="Georgia"/>
        </w:rPr>
        <w:t xml:space="preserve">We also propose requiring </w:t>
      </w:r>
      <w:r>
        <w:rPr>
          <w:rFonts w:eastAsia="Georgia"/>
        </w:rPr>
        <w:t>BIAS provider</w:t>
      </w:r>
      <w:r w:rsidRPr="000237A2">
        <w:rPr>
          <w:rFonts w:eastAsia="Georgia"/>
        </w:rPr>
        <w:t xml:space="preserve">s to notify customers of account changes, and attempted account changes, as </w:t>
      </w:r>
      <w:r>
        <w:rPr>
          <w:rFonts w:eastAsia="Georgia"/>
        </w:rPr>
        <w:t xml:space="preserve">an </w:t>
      </w:r>
      <w:r w:rsidRPr="000237A2">
        <w:rPr>
          <w:rFonts w:eastAsia="Georgia"/>
        </w:rPr>
        <w:t xml:space="preserve">additional check against fraudulent account access. </w:t>
      </w:r>
      <w:r>
        <w:rPr>
          <w:rFonts w:eastAsia="Georgia"/>
        </w:rPr>
        <w:t xml:space="preserve"> </w:t>
      </w:r>
      <w:r w:rsidRPr="000237A2">
        <w:rPr>
          <w:rFonts w:eastAsia="Georgia"/>
        </w:rPr>
        <w:t xml:space="preserve">The change notification requirement we propose today is similar to the requirement under our existing </w:t>
      </w:r>
      <w:r>
        <w:rPr>
          <w:rFonts w:eastAsia="Georgia"/>
        </w:rPr>
        <w:t xml:space="preserve">Section 222 </w:t>
      </w:r>
      <w:r w:rsidRPr="000237A2">
        <w:rPr>
          <w:rFonts w:eastAsia="Georgia"/>
        </w:rPr>
        <w:t>rules</w:t>
      </w:r>
      <w:r>
        <w:rPr>
          <w:rFonts w:eastAsia="Georgia"/>
        </w:rPr>
        <w:t>,</w:t>
      </w:r>
      <w:r w:rsidRPr="000237A2">
        <w:rPr>
          <w:rFonts w:eastAsia="Georgia"/>
        </w:rPr>
        <w:t xml:space="preserve"> </w:t>
      </w:r>
      <w:r>
        <w:rPr>
          <w:rFonts w:eastAsia="Georgia"/>
        </w:rPr>
        <w:t xml:space="preserve">which </w:t>
      </w:r>
      <w:r w:rsidRPr="000237A2">
        <w:rPr>
          <w:rFonts w:eastAsia="Georgia"/>
        </w:rPr>
        <w:t>requir</w:t>
      </w:r>
      <w:r>
        <w:rPr>
          <w:rFonts w:eastAsia="Georgia"/>
        </w:rPr>
        <w:t>es</w:t>
      </w:r>
      <w:r w:rsidRPr="000237A2">
        <w:rPr>
          <w:rFonts w:eastAsia="Georgia"/>
        </w:rPr>
        <w:t xml:space="preserve"> carriers to </w:t>
      </w:r>
      <w:r w:rsidR="004D72C6">
        <w:rPr>
          <w:rFonts w:eastAsia="Georgia"/>
        </w:rPr>
        <w:t>“</w:t>
      </w:r>
      <w:r w:rsidRPr="000237A2">
        <w:rPr>
          <w:rFonts w:eastAsia="Georgia"/>
        </w:rPr>
        <w:t>notify customers immediately whenever a password, customer response to a back-up means of authentication for lost or forgotten passwords, online account, or address of record is created or changed</w:t>
      </w:r>
      <w:r>
        <w:t>.</w:t>
      </w:r>
      <w:r w:rsidR="004D72C6">
        <w:t>”</w:t>
      </w:r>
      <w:r>
        <w:rPr>
          <w:rStyle w:val="FootnoteReference"/>
        </w:rPr>
        <w:footnoteReference w:id="326"/>
      </w:r>
      <w:r>
        <w:t xml:space="preserve">  As the Commission explained in 2007, account change notification is an important tool that allows customers to monitor their accounts’ security and protects customers from data thieves that might otherwise manage to circumvent a provider’s authentication protections.</w:t>
      </w:r>
      <w:r>
        <w:rPr>
          <w:rStyle w:val="FootnoteReference"/>
        </w:rPr>
        <w:footnoteReference w:id="327"/>
      </w:r>
      <w:r>
        <w:t xml:space="preserve">  </w:t>
      </w:r>
    </w:p>
    <w:p w:rsidR="00324CD5" w:rsidRPr="00E37626" w:rsidRDefault="00324CD5" w:rsidP="00324CD5">
      <w:pPr>
        <w:pStyle w:val="ParaNum"/>
        <w:rPr>
          <w:rFonts w:eastAsia="Georgia"/>
        </w:rPr>
      </w:pPr>
      <w:r>
        <w:t>We recognize that notifying customers of account changes is a best practice already followed by many BIAS providers, as well as other companies</w:t>
      </w:r>
      <w:r w:rsidR="00A63814">
        <w:t xml:space="preserve"> operating in the broadband eco</w:t>
      </w:r>
      <w:r>
        <w:t>system.  We seek comment, particularly those which are grounded on practical experience, on how our proposal for notification of account changes can be implemented with minimal burdens to customers and BIAS providers.  How can we ensure that our proposal does not result in customer “notice fatigue,” lessening the usefulness of notices?</w:t>
      </w:r>
      <w:r>
        <w:rPr>
          <w:rStyle w:val="FootnoteReference"/>
        </w:rPr>
        <w:footnoteReference w:id="328"/>
      </w:r>
      <w:r>
        <w:t xml:space="preserve">  Similarly, how can we ensure that notice requirement does not impose an undue burden on BIAS providers, particularly smaller providers?  When sending an authentication notice, should BIAS providers be required to send the notification to another form of customer contact information than what is listed as the point of contact for any multi-factor authentication mechanism?  What if a customer has only one means of being immediately notified (i.e., a phone number but no email address)?  How can BIAS providers be sure that they are sending the authentication notification to the correct customer and not the bad actor attempting to fraudulently authenticate the customer account?  Are there other potential risks and benefits from this proposal we should consider?  </w:t>
      </w:r>
    </w:p>
    <w:p w:rsidR="00324CD5" w:rsidRPr="00E37626" w:rsidRDefault="00324CD5" w:rsidP="00A1147F">
      <w:pPr>
        <w:pStyle w:val="ParaNum"/>
        <w:widowControl/>
        <w:rPr>
          <w:rFonts w:eastAsia="Georgia"/>
        </w:rPr>
      </w:pPr>
      <w:r>
        <w:t>We also propose to require BIAS providers to notify customers when someone has unsuccessfully attempted to access the customer’s account or change account information.  Providing such notice will alert the customer of possible data breach attempts.  We seek comment on this proposal.  Might it risk additional customer notice fatigue?  Do the benefits outweigh the burdens?</w:t>
      </w:r>
    </w:p>
    <w:p w:rsidR="00324CD5" w:rsidRPr="003E1026" w:rsidRDefault="00324CD5" w:rsidP="00A1147F">
      <w:pPr>
        <w:pStyle w:val="ParaNum"/>
        <w:widowControl/>
        <w:rPr>
          <w:rFonts w:eastAsia="Georgia"/>
        </w:rPr>
      </w:pPr>
      <w:r>
        <w:t>We also seek comment on whether we should harmonize our account change notification requirements for voice and BIAS providers. Are there reasons that customer change notification regimes should be different for voice and BIAS providers?</w:t>
      </w:r>
      <w:r w:rsidR="001372B0">
        <w:t xml:space="preserve">  Should we have harmonized account change notification requirements for cable and satellite providers?</w:t>
      </w:r>
    </w:p>
    <w:p w:rsidR="00324CD5" w:rsidRPr="003E1026" w:rsidRDefault="00324CD5" w:rsidP="00A1147F">
      <w:pPr>
        <w:pStyle w:val="Heading5"/>
        <w:widowControl/>
        <w:rPr>
          <w:rFonts w:eastAsia="Georgia"/>
        </w:rPr>
      </w:pPr>
      <w:bookmarkStart w:id="578" w:name="_Toc445192968"/>
      <w:r>
        <w:t>Right to Access and Correct Customer Data</w:t>
      </w:r>
      <w:bookmarkEnd w:id="578"/>
    </w:p>
    <w:p w:rsidR="00324CD5" w:rsidRDefault="00324CD5" w:rsidP="00A1147F">
      <w:pPr>
        <w:pStyle w:val="ParaNum"/>
        <w:widowControl/>
      </w:pPr>
      <w:bookmarkStart w:id="579" w:name="_Ref445283117"/>
      <w:r>
        <w:t>We also seek comment on whether to adopt rules requiring BIAS providers to provide their customers with access to all customer PI in their possession, including all CPNI, and a right to correct that data.  Access and correction rights are one of the FIPPs.</w:t>
      </w:r>
      <w:r>
        <w:rPr>
          <w:rStyle w:val="FootnoteReference"/>
        </w:rPr>
        <w:footnoteReference w:id="329"/>
      </w:r>
      <w:r>
        <w:t xml:space="preserve">  We ask commenters to address how we can best balance </w:t>
      </w:r>
      <w:r>
        <w:rPr>
          <w:szCs w:val="22"/>
        </w:rPr>
        <w:t xml:space="preserve">the </w:t>
      </w:r>
      <w:r w:rsidRPr="001220B4">
        <w:rPr>
          <w:szCs w:val="22"/>
        </w:rPr>
        <w:t>benefits of providing c</w:t>
      </w:r>
      <w:r>
        <w:rPr>
          <w:szCs w:val="22"/>
        </w:rPr>
        <w:t>ustomer</w:t>
      </w:r>
      <w:r w:rsidRPr="001220B4">
        <w:rPr>
          <w:szCs w:val="22"/>
        </w:rPr>
        <w:t xml:space="preserve">s with access </w:t>
      </w:r>
      <w:r>
        <w:rPr>
          <w:szCs w:val="22"/>
        </w:rPr>
        <w:t xml:space="preserve">and the right to correct </w:t>
      </w:r>
      <w:r w:rsidRPr="001220B4">
        <w:rPr>
          <w:szCs w:val="22"/>
        </w:rPr>
        <w:t>their personal information with</w:t>
      </w:r>
      <w:r>
        <w:rPr>
          <w:szCs w:val="22"/>
        </w:rPr>
        <w:t>out imposing undue</w:t>
      </w:r>
      <w:r w:rsidRPr="001220B4">
        <w:rPr>
          <w:szCs w:val="22"/>
        </w:rPr>
        <w:t xml:space="preserve"> burdens </w:t>
      </w:r>
      <w:r w:rsidRPr="00A8715E">
        <w:rPr>
          <w:szCs w:val="22"/>
        </w:rPr>
        <w:t>on</w:t>
      </w:r>
      <w:r>
        <w:rPr>
          <w:szCs w:val="22"/>
        </w:rPr>
        <w:t xml:space="preserve"> BIAS providers that </w:t>
      </w:r>
      <w:r w:rsidRPr="00A8715E">
        <w:rPr>
          <w:szCs w:val="22"/>
        </w:rPr>
        <w:t>collect such data.</w:t>
      </w:r>
      <w:r>
        <w:rPr>
          <w:rStyle w:val="FootnoteReference"/>
          <w:szCs w:val="22"/>
        </w:rPr>
        <w:footnoteReference w:id="330"/>
      </w:r>
      <w:bookmarkEnd w:id="579"/>
    </w:p>
    <w:p w:rsidR="00324CD5" w:rsidRDefault="00324CD5" w:rsidP="00324CD5">
      <w:pPr>
        <w:pStyle w:val="ParaNum"/>
      </w:pPr>
      <w:r>
        <w:t xml:space="preserve">As we consider these questions, we </w:t>
      </w:r>
      <w:r w:rsidRPr="00D54828">
        <w:t xml:space="preserve">seek comment on the different forms that </w:t>
      </w:r>
      <w:r>
        <w:t>customer PI</w:t>
      </w:r>
      <w:r w:rsidRPr="00D54828">
        <w:t xml:space="preserve"> could take when collected and retained by broadband providers, and whether these different types of information may require different c</w:t>
      </w:r>
      <w:r>
        <w:t>ustome</w:t>
      </w:r>
      <w:r w:rsidRPr="00D54828">
        <w:t xml:space="preserve">r access regimes.  For example, if </w:t>
      </w:r>
      <w:r>
        <w:t>BIAS provider</w:t>
      </w:r>
      <w:r w:rsidRPr="00D54828">
        <w:t xml:space="preserve">s possess </w:t>
      </w:r>
      <w:r>
        <w:t>customer PI</w:t>
      </w:r>
      <w:r w:rsidRPr="00D54828">
        <w:t xml:space="preserve"> in a machine-readable format, shoul</w:t>
      </w:r>
      <w:r>
        <w:t>d they be required to provide custom</w:t>
      </w:r>
      <w:r w:rsidRPr="00D54828">
        <w:t xml:space="preserve">ers with access to such data in a different form?  What are the burdens likely to be associated with such a requirement?  </w:t>
      </w:r>
      <w:r w:rsidRPr="00EE1419">
        <w:t xml:space="preserve">Are there certain sensitive classes of </w:t>
      </w:r>
      <w:r>
        <w:t>customer PI</w:t>
      </w:r>
      <w:r w:rsidRPr="00EE1419">
        <w:t xml:space="preserve">, such </w:t>
      </w:r>
      <w:r w:rsidRPr="003F70D8">
        <w:t xml:space="preserve">as </w:t>
      </w:r>
      <w:r w:rsidRPr="00F620F6">
        <w:t>search and browsing history</w:t>
      </w:r>
      <w:r w:rsidRPr="003E1026">
        <w:t xml:space="preserve"> or location data</w:t>
      </w:r>
      <w:r>
        <w:t>, that a BIAS customer</w:t>
      </w:r>
      <w:r w:rsidRPr="00EE1419">
        <w:t xml:space="preserve"> should always have the ability to access?  </w:t>
      </w:r>
      <w:r>
        <w:t>Alternatively, are there certain classes of customer PI that are inherently not sensitive, or fundamentally technical, thereby decreasing consumers’ interest in obtaining disclosure of such data?  Recognizing that there are economic costs associated with any disclosure regime, how should we take into account any competitive effects that may flow from the development of customer access rules applicable to broadband providers?</w:t>
      </w:r>
      <w:r>
        <w:rPr>
          <w:rStyle w:val="FootnoteReference"/>
        </w:rPr>
        <w:footnoteReference w:id="331"/>
      </w:r>
      <w:r>
        <w:t xml:space="preserve">  We note that edge providers, data brokers, and other entities in the Internet ecosystem also collect, process, retain, and distribute large quantities of sensitive consumer data.</w:t>
      </w:r>
      <w:r>
        <w:rPr>
          <w:rStyle w:val="FootnoteReference"/>
          <w:szCs w:val="22"/>
        </w:rPr>
        <w:footnoteReference w:id="332"/>
      </w:r>
      <w:r>
        <w:t xml:space="preserve">  Should we consider the restrictions, or lack thereof, that are currently placed on edge providers or other entities in crafting rules for broadband providers?  </w:t>
      </w:r>
    </w:p>
    <w:p w:rsidR="00324CD5" w:rsidRDefault="00324CD5" w:rsidP="00324CD5">
      <w:pPr>
        <w:pStyle w:val="ParaNum"/>
      </w:pPr>
      <w:r>
        <w:t>We observe that, while the Cable and Satellite Privacy Acts explicitly provide a mechanism for subscribers to correct their personal information,</w:t>
      </w:r>
      <w:r>
        <w:rPr>
          <w:rStyle w:val="FootnoteReference"/>
        </w:rPr>
        <w:footnoteReference w:id="333"/>
      </w:r>
      <w:r>
        <w:t xml:space="preserve"> Section 222 does not, and our current CPNI rules contain no such provision.  How should this impact our assessment of whether to incorporate a right to correct customer PI into our broadband rules?  What economic burdens or other risks would accompany application of this right to the information collected by broadband service providers?  What are the data security risks that would attend customer access rights?  On the other hand, what consumer protection benefits are likely to result from codifying a right to correct customer PI?  </w:t>
      </w:r>
    </w:p>
    <w:p w:rsidR="00324CD5" w:rsidRPr="00D9092C" w:rsidRDefault="00324CD5" w:rsidP="00324CD5">
      <w:pPr>
        <w:pStyle w:val="ParaNum"/>
      </w:pPr>
      <w:r>
        <w:t>Relatedly, w</w:t>
      </w:r>
      <w:r w:rsidRPr="00273C57">
        <w:t xml:space="preserve">e recognize that </w:t>
      </w:r>
      <w:r>
        <w:t>Section</w:t>
      </w:r>
      <w:r w:rsidRPr="00273C57">
        <w:t xml:space="preserve"> 222(c)(2) grants the right of access to CPNI to “any pe</w:t>
      </w:r>
      <w:r>
        <w:t>rson designated by the customer.</w:t>
      </w:r>
      <w:r w:rsidRPr="00273C57">
        <w:t>”</w:t>
      </w:r>
      <w:r>
        <w:rPr>
          <w:rStyle w:val="FootnoteReference"/>
          <w:szCs w:val="22"/>
        </w:rPr>
        <w:footnoteReference w:id="334"/>
      </w:r>
      <w:r w:rsidRPr="00273C57">
        <w:t xml:space="preserve">  However, our existing CPNI rules do not currently contain any special provisions for voice customers to authorize third party access to their CPNI.</w:t>
      </w:r>
      <w:r>
        <w:rPr>
          <w:rStyle w:val="FootnoteReference"/>
          <w:szCs w:val="22"/>
        </w:rPr>
        <w:footnoteReference w:id="335"/>
      </w:r>
      <w:r w:rsidRPr="00273C57">
        <w:t xml:space="preserve">  Are such regulations necessary in the broadband context?  If so, are they also necessary in the voice context?  Should we harmonize our BIAS and voice services rules with respect to rights of access to </w:t>
      </w:r>
      <w:r>
        <w:t>c</w:t>
      </w:r>
      <w:r w:rsidRPr="00273C57">
        <w:t>ustomer PI?</w:t>
      </w:r>
    </w:p>
    <w:p w:rsidR="00324CD5" w:rsidRPr="002E3013" w:rsidRDefault="00324CD5" w:rsidP="00A47F5A">
      <w:pPr>
        <w:pStyle w:val="ParaNum"/>
        <w:tabs>
          <w:tab w:val="clear" w:pos="1440"/>
          <w:tab w:val="num" w:pos="1080"/>
        </w:tabs>
        <w:rPr>
          <w:rFonts w:eastAsia="Georgia"/>
        </w:rPr>
      </w:pPr>
      <w:bookmarkStart w:id="580" w:name="_Ref445283120"/>
      <w:r>
        <w:t>If we do adopt rules requiring providers to make customer PI accessible to customers, should we also adopt rules requiring BIAS providers to give their customers clear and conspicuous notice of their right of access, along with a simple, easily accessible method of requesting their customer PI?  How should such notice and access be structured?</w:t>
      </w:r>
      <w:r w:rsidRPr="0064035B">
        <w:t xml:space="preserve"> </w:t>
      </w:r>
      <w:r>
        <w:t xml:space="preserve"> If we do adopt right of access rules, how should we ensure that customers with disabilities achieve the same level of access?</w:t>
      </w:r>
      <w:bookmarkEnd w:id="580"/>
      <w:r w:rsidR="002E3013">
        <w:t xml:space="preserve">  If we do adopt such rules for BIAS providers, should we adopt rules harmonizing cable and satellite righ</w:t>
      </w:r>
      <w:r w:rsidR="005417C0">
        <w:t>ts of access obligations under S</w:t>
      </w:r>
      <w:r w:rsidR="002E3013">
        <w:t>ections 631 and 338(i)?</w:t>
      </w:r>
    </w:p>
    <w:p w:rsidR="00324CD5" w:rsidRDefault="00324CD5" w:rsidP="00324CD5">
      <w:pPr>
        <w:pStyle w:val="Heading4"/>
      </w:pPr>
      <w:r w:rsidRPr="00EF5FAF">
        <w:t xml:space="preserve"> </w:t>
      </w:r>
      <w:bookmarkStart w:id="581" w:name="_Toc443660118"/>
      <w:bookmarkStart w:id="582" w:name="_Toc445192969"/>
      <w:bookmarkStart w:id="583" w:name="_Toc445193062"/>
      <w:bookmarkStart w:id="584" w:name="_Ref446517085"/>
      <w:r>
        <w:t>Accountability for Third Party Misuse of Customer PI</w:t>
      </w:r>
      <w:bookmarkEnd w:id="581"/>
      <w:bookmarkEnd w:id="582"/>
      <w:bookmarkEnd w:id="583"/>
      <w:bookmarkEnd w:id="584"/>
    </w:p>
    <w:p w:rsidR="00324CD5" w:rsidRDefault="00324CD5" w:rsidP="00324CD5">
      <w:pPr>
        <w:pStyle w:val="ParaNum"/>
      </w:pPr>
      <w:r>
        <w:t>We seek comment on how best to ensure that the security, confidentiality, and integrity of customer PI is protected once a BIAS provider shares it with a third party and it is out of the BIAS provider’s immediate control.  Our goal is to promote customers’ confidence that their information is secure not only with their BIAS provider, but also with anyone with whom the customer has provided approval for the BIAS provider to share his or her data.</w:t>
      </w:r>
      <w:r>
        <w:rPr>
          <w:rStyle w:val="FootnoteReference"/>
        </w:rPr>
        <w:footnoteReference w:id="336"/>
      </w:r>
      <w:r>
        <w:t xml:space="preserve">  Consumers may be apprehensive about disclosing their personal information to BIAS providers if they cannot trust that their data will not be misused downstream.  They may also be less likely to provide consent via an opt-out or opt-in mechanism if that information will no longer be protected in the recipients’ hands.</w:t>
      </w:r>
      <w:r>
        <w:rPr>
          <w:rStyle w:val="FootnoteReference"/>
        </w:rPr>
        <w:footnoteReference w:id="337"/>
      </w:r>
      <w:r>
        <w:t xml:space="preserve">  As the Commission has previously found, “[i]n the absence of” downstream safeguards, “the important consumer protections enacted by Congress in </w:t>
      </w:r>
      <w:r w:rsidR="005417C0">
        <w:t>[S]</w:t>
      </w:r>
      <w:r w:rsidR="004D72C6">
        <w:t xml:space="preserve">ection </w:t>
      </w:r>
      <w:r>
        <w:t>222 may be vitiated by the actions of agents.”</w:t>
      </w:r>
      <w:r>
        <w:rPr>
          <w:rStyle w:val="FootnoteReference"/>
        </w:rPr>
        <w:footnoteReference w:id="338"/>
      </w:r>
      <w:r>
        <w:t xml:space="preserve">  We believe that these risks are even greater in the broadband context than the voice telephony context because of the vast wealth of sensitive personal information handled by BIAS providers and exchanged through broadband Internet access services.</w:t>
      </w:r>
    </w:p>
    <w:p w:rsidR="00324CD5" w:rsidRDefault="00324CD5" w:rsidP="00324CD5">
      <w:pPr>
        <w:pStyle w:val="ParaNum"/>
      </w:pPr>
      <w:r>
        <w:t>We believe that Section 222(a) requires BIAS providers to ensure the confidentiality of customer PI when shared with third parties.  The Commission has held that “a carrier’s Section 222 duty to protect CPNI extends to situations where a carrier shares CPNI with its joint venture partners and independent contractors”</w:t>
      </w:r>
      <w:r>
        <w:rPr>
          <w:rStyle w:val="FootnoteReference"/>
        </w:rPr>
        <w:footnoteReference w:id="339"/>
      </w:r>
      <w:r>
        <w:t xml:space="preserve"> and has held carriers accountable for privacy violations of such third parties.</w:t>
      </w:r>
      <w:r>
        <w:rPr>
          <w:rStyle w:val="FootnoteReference"/>
        </w:rPr>
        <w:footnoteReference w:id="340"/>
      </w:r>
      <w:r>
        <w:t xml:space="preserve">  Some economic literature suggests that holding a provider vicariously liable would maximize their incentives to ensure the data is protected.</w:t>
      </w:r>
      <w:r>
        <w:rPr>
          <w:rStyle w:val="FootnoteReference"/>
        </w:rPr>
        <w:footnoteReference w:id="341"/>
      </w:r>
      <w:r>
        <w:t xml:space="preserve">  What are the benefits and drawbacks of holding providers accountable for the data security practices of its contractors, joint-venture partners, or any other third parties with which it contracts and shares customer PI?  We seek comment on that approach.  Is it too stringent?  Should BIAS providers be held accountable for third party recipients’ handling of customer PI for the entire lifecycle of the data or for a more limited duration</w:t>
      </w:r>
      <w:r w:rsidR="004D72C6">
        <w:t>?</w:t>
      </w:r>
    </w:p>
    <w:p w:rsidR="00324CD5" w:rsidRDefault="00324CD5" w:rsidP="00324CD5">
      <w:pPr>
        <w:pStyle w:val="ParaNum"/>
      </w:pPr>
      <w:r>
        <w:t>Another way BIAS providers can help to ensure that third parties protect customer data shared by the BIAS provider is to obtain contractual commitments from third parties to safeguard such data prior to disclosing customer PI to those third parties.  Such safeguards are a fundamental part of the best practices guidance the FTC provides to companies about data security practices.</w:t>
      </w:r>
      <w:r>
        <w:rPr>
          <w:rStyle w:val="FootnoteReference"/>
        </w:rPr>
        <w:footnoteReference w:id="342"/>
      </w:r>
      <w:r>
        <w:t xml:space="preserve">  In the past, the Commission recognized that telecommunications services providers can protect against third party misuse through their own private contract arrangements.</w:t>
      </w:r>
      <w:r>
        <w:rPr>
          <w:rStyle w:val="FootnoteReference"/>
        </w:rPr>
        <w:footnoteReference w:id="343"/>
      </w:r>
      <w:r>
        <w:t xml:space="preserve">  Should we follow that example here?  Or, should we require BIAS providers to obtain specific contractual commitments from third party recipients of customer PI to ensure the protection of such data?  If so, what should such contracts include?  Should the third party commit to, for example, (1) limit the use and disclosure of customer PI to the specific purpose for which the provider shared the customer PI with the third party </w:t>
      </w:r>
      <w:r w:rsidRPr="00CE16A3">
        <w:t>and to which the customer provided approval</w:t>
      </w:r>
      <w:r>
        <w:t xml:space="preserve">; (2) take precautions to protect the customer PI from unauthorized use, disclosure, or access; (3) train its employees on the provisions of its information security program and monitor compliance; (4) follow the same data security requirements that we adopt for BIAS providers; (5) follow the data breach notification procedures we adopt for BIAS providers; (6) notify the BIAS provider of any breach of security involving customer PI as expeditiously as possible and without unreasonable delay; (7) institute data retention limits and minimization procedures; and/or (8) document of compliance with these contractual commitments, including records of the use and/or disclosure of customer PI, as appropriate?  What are the benefits and burdens of each of these options, in particular on small providers, and would the benefits of such obligations outweigh the burdens associated with compliance? </w:t>
      </w:r>
    </w:p>
    <w:p w:rsidR="00324CD5" w:rsidRDefault="00324CD5" w:rsidP="00324CD5">
      <w:pPr>
        <w:pStyle w:val="ParaNum"/>
      </w:pPr>
      <w:r>
        <w:t xml:space="preserve">Relatedly, we seek comment on whether we should require </w:t>
      </w:r>
      <w:r w:rsidRPr="0029242B">
        <w:t xml:space="preserve">mobile BIAS providers </w:t>
      </w:r>
      <w:r>
        <w:t xml:space="preserve">to </w:t>
      </w:r>
      <w:r w:rsidRPr="0029242B">
        <w:t xml:space="preserve">use their contractual relationship with mobile device or mobile </w:t>
      </w:r>
      <w:r>
        <w:t>operating system (</w:t>
      </w:r>
      <w:r w:rsidRPr="0029242B">
        <w:t>OS</w:t>
      </w:r>
      <w:r>
        <w:t>)</w:t>
      </w:r>
      <w:r w:rsidRPr="0029242B">
        <w:t xml:space="preserve"> manufacturers that manufacture the devices and hardwar</w:t>
      </w:r>
      <w:r>
        <w:t>e that operate on the mobile BIA</w:t>
      </w:r>
      <w:r w:rsidRPr="0029242B">
        <w:t>S provider’s network to obtain the contractual commitments described above</w:t>
      </w:r>
      <w:r>
        <w:t>.  How do providers’ contracts with device manufacture</w:t>
      </w:r>
      <w:r w:rsidR="00A63814">
        <w:t>r</w:t>
      </w:r>
      <w:r>
        <w:t>s and mobile OS manufacturers currently handle the treatment of customer PI?  What would be the benefits and drawbacks of imposing security-specific obligations in those contracts?</w:t>
      </w:r>
      <w:r w:rsidRPr="0029242B">
        <w:t xml:space="preserve">  </w:t>
      </w:r>
    </w:p>
    <w:p w:rsidR="00324CD5" w:rsidRDefault="00324CD5" w:rsidP="00324CD5">
      <w:pPr>
        <w:pStyle w:val="ParaNum"/>
      </w:pPr>
      <w:r>
        <w:t xml:space="preserve">Finally, we seek comment on other alternatives that we should consider regarding BIAS provider accountability for downstream privacy violations, as well as whether we should take any actions to either harmonize or distinguish our proposal from the existing voice CPNI rules.  </w:t>
      </w:r>
    </w:p>
    <w:p w:rsidR="00324CD5" w:rsidRDefault="00324CD5" w:rsidP="00324CD5">
      <w:pPr>
        <w:pStyle w:val="Heading4"/>
      </w:pPr>
      <w:bookmarkStart w:id="585" w:name="_Toc440575599"/>
      <w:bookmarkStart w:id="586" w:name="_Toc440575869"/>
      <w:bookmarkStart w:id="587" w:name="_Toc441849976"/>
      <w:bookmarkStart w:id="588" w:name="_Toc443660119"/>
      <w:bookmarkStart w:id="589" w:name="_Toc445192970"/>
      <w:bookmarkStart w:id="590" w:name="_Toc445193063"/>
      <w:r>
        <w:t>Other Safeguards</w:t>
      </w:r>
      <w:bookmarkEnd w:id="585"/>
      <w:bookmarkEnd w:id="586"/>
      <w:bookmarkEnd w:id="587"/>
      <w:bookmarkEnd w:id="588"/>
      <w:bookmarkEnd w:id="589"/>
      <w:bookmarkEnd w:id="590"/>
      <w:r>
        <w:tab/>
      </w:r>
    </w:p>
    <w:p w:rsidR="00324CD5" w:rsidRPr="00D3682B" w:rsidRDefault="00324CD5" w:rsidP="00324CD5">
      <w:pPr>
        <w:pStyle w:val="ParaNum"/>
        <w:rPr>
          <w:rFonts w:eastAsia="Georgia"/>
        </w:rPr>
      </w:pPr>
      <w:r>
        <w:t xml:space="preserve">In addition to the safeguards we propose above, we seek comment on whether there are other safeguards that BIAS providers should employ to protect against </w:t>
      </w:r>
      <w:r w:rsidR="00E82937">
        <w:t xml:space="preserve">reasonably anticipated </w:t>
      </w:r>
      <w:r>
        <w:t>unauthorized use or disclosure of customer PI by the BIAS provider, its employees, agents, and contractors.  For example,</w:t>
      </w:r>
      <w:r>
        <w:rPr>
          <w:rFonts w:eastAsia="Georgia"/>
        </w:rPr>
        <w:t xml:space="preserve"> we </w:t>
      </w:r>
      <w:r w:rsidRPr="00D95E53">
        <w:rPr>
          <w:rFonts w:eastAsia="Georgia"/>
        </w:rPr>
        <w:t>seek comment</w:t>
      </w:r>
      <w:r>
        <w:rPr>
          <w:rFonts w:eastAsia="Georgia"/>
        </w:rPr>
        <w:t xml:space="preserve"> on</w:t>
      </w:r>
      <w:r w:rsidRPr="00D95E53">
        <w:rPr>
          <w:rFonts w:eastAsia="Georgia"/>
        </w:rPr>
        <w:t xml:space="preserve"> whether </w:t>
      </w:r>
      <w:r>
        <w:t>restricting access to sensitive data; setting criteria for secure passwords; segmenting networks; requiring secure access for employees, agents and contractors; and keeping software patched and updated would be useful security measures to reduce the probability of threats.</w:t>
      </w:r>
      <w:r>
        <w:rPr>
          <w:rStyle w:val="FootnoteReference"/>
        </w:rPr>
        <w:footnoteReference w:id="344"/>
      </w:r>
      <w:r>
        <w:t xml:space="preserve">  If so, should we require them?  If not, what other security measures should we consider?  </w:t>
      </w:r>
    </w:p>
    <w:p w:rsidR="00324CD5" w:rsidRPr="00787A4E" w:rsidRDefault="00324CD5" w:rsidP="00A1147F">
      <w:pPr>
        <w:pStyle w:val="ParaNum"/>
        <w:widowControl/>
      </w:pPr>
      <w:r>
        <w:t xml:space="preserve">In addition we seek comment whether we should require or encourage BIAS providers to use standard </w:t>
      </w:r>
      <w:r w:rsidRPr="0075250D">
        <w:t xml:space="preserve">encryption </w:t>
      </w:r>
      <w:r>
        <w:t>when</w:t>
      </w:r>
      <w:r w:rsidRPr="0075250D">
        <w:t xml:space="preserve"> handling and storing personal information</w:t>
      </w:r>
      <w:r>
        <w:t>.</w:t>
      </w:r>
      <w:r>
        <w:rPr>
          <w:rStyle w:val="FootnoteReference"/>
        </w:rPr>
        <w:footnoteReference w:id="345"/>
      </w:r>
      <w:r>
        <w:t xml:space="preserve">  The FTC established best practices for maintaining industry-standard security, SSL encryption among them, which it considers to be a “reasonable and appropriate” step to secure user data.</w:t>
      </w:r>
      <w:r>
        <w:rPr>
          <w:rStyle w:val="FootnoteReference"/>
        </w:rPr>
        <w:footnoteReference w:id="346"/>
      </w:r>
      <w:r>
        <w:t xml:space="preserve">  Should we mandate that customer PI be encrypted when stored by BIAS providers</w:t>
      </w:r>
      <w:r w:rsidRPr="0075250D">
        <w:t>?</w:t>
      </w:r>
    </w:p>
    <w:p w:rsidR="00324CD5" w:rsidRDefault="00324CD5" w:rsidP="00A1147F">
      <w:pPr>
        <w:pStyle w:val="Heading3"/>
        <w:widowControl/>
      </w:pPr>
      <w:bookmarkStart w:id="591" w:name="_Toc439858565"/>
      <w:bookmarkStart w:id="592" w:name="_Toc440016692"/>
      <w:bookmarkStart w:id="593" w:name="_Toc440575600"/>
      <w:bookmarkStart w:id="594" w:name="_Toc440575870"/>
      <w:bookmarkStart w:id="595" w:name="_Toc441849977"/>
      <w:bookmarkStart w:id="596" w:name="_Toc443049940"/>
      <w:bookmarkStart w:id="597" w:name="_Toc443660120"/>
      <w:bookmarkStart w:id="598" w:name="_Toc444095750"/>
      <w:bookmarkStart w:id="599" w:name="_Toc445192971"/>
      <w:bookmarkStart w:id="600" w:name="_Toc445193064"/>
      <w:bookmarkStart w:id="601" w:name="_Toc445193138"/>
      <w:bookmarkStart w:id="602" w:name="_Toc445276271"/>
      <w:bookmarkStart w:id="603" w:name="_Toc445367860"/>
      <w:bookmarkStart w:id="604" w:name="_Ref446518434"/>
      <w:bookmarkStart w:id="605" w:name="_Ref446519061"/>
      <w:bookmarkStart w:id="606" w:name="_Toc446937469"/>
      <w:bookmarkStart w:id="607" w:name="_Toc447116341"/>
      <w:bookmarkStart w:id="608" w:name="_Toc447121230"/>
      <w:bookmarkStart w:id="609" w:name="_Toc439240694"/>
      <w:r>
        <w:t>Factors for Consideration in Implementing Proposed Customer Data Security Measures</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rsidR="00324CD5" w:rsidRDefault="00324CD5" w:rsidP="00A1147F">
      <w:pPr>
        <w:pStyle w:val="ParaNum"/>
        <w:widowControl/>
        <w:rPr>
          <w:rFonts w:eastAsia="Georgia"/>
        </w:rPr>
      </w:pPr>
      <w:r>
        <w:t>In determining how to implement the data security requirements outlined above, we believe that a BIAS provider should, at a minimum, take into account the nature and scope of the BIAS provider’s activities and the sensitivity of the underlying data, and we propose to codify it as a rule.  We derive our proposal from existing privacy statutes and frameworks, including the GLBA and the FTC’s Privacy Framework.</w:t>
      </w:r>
      <w:r>
        <w:rPr>
          <w:rStyle w:val="FootnoteReference"/>
        </w:rPr>
        <w:footnoteReference w:id="347"/>
      </w:r>
      <w:r>
        <w:t xml:space="preserve">  Our proposed approach also mirrors our existing CPNI rules for voice providers, which permit telecommunications carriers to individually determine the specific “reasonable measures” that will enable them to comply with the general duty to discover and protect against unauthorized access to proprietary information.</w:t>
      </w:r>
      <w:r>
        <w:rPr>
          <w:rStyle w:val="FootnoteReference"/>
        </w:rPr>
        <w:footnoteReference w:id="348"/>
      </w:r>
      <w:r>
        <w:t xml:space="preserve">  </w:t>
      </w:r>
      <w:r>
        <w:rPr>
          <w:rFonts w:eastAsia="Georgia"/>
        </w:rPr>
        <w:t>We seek comment on our proposal.</w:t>
      </w:r>
    </w:p>
    <w:p w:rsidR="00324CD5" w:rsidRDefault="00324CD5" w:rsidP="00324CD5">
      <w:pPr>
        <w:pStyle w:val="ParaNum"/>
      </w:pPr>
      <w:r>
        <w:t>We believe that Section 222(a) requires BIAS providers to, at a minimum, consider these factors when designing their safeguards to protect the confidentiality, integrity, and security of customer PI, and we seek comment on the inclusion of these factors and whether there are additional factors that we should consider.  What are the benefits and drawbacks of such an approach to customers and BIAS providers?  Would any of the factors discussed below not be considered “reasonable” in the broadband context?  How does such an approach conform to existing industry standards?  Does such an approach allow for sufficient innovation and flexibility as technology advances?</w:t>
      </w:r>
    </w:p>
    <w:p w:rsidR="00324CD5" w:rsidRPr="006261C9" w:rsidRDefault="00324CD5" w:rsidP="00324CD5">
      <w:pPr>
        <w:pStyle w:val="ParaNum"/>
      </w:pPr>
      <w:r w:rsidRPr="00381963">
        <w:rPr>
          <w:rFonts w:eastAsia="Calibri"/>
          <w:i/>
        </w:rPr>
        <w:t xml:space="preserve">Nature and Scope of </w:t>
      </w:r>
      <w:r>
        <w:rPr>
          <w:rFonts w:eastAsia="Calibri"/>
          <w:i/>
        </w:rPr>
        <w:t>BIAS Provider</w:t>
      </w:r>
      <w:r w:rsidRPr="00381963">
        <w:rPr>
          <w:rFonts w:eastAsia="Calibri"/>
          <w:i/>
        </w:rPr>
        <w:t xml:space="preserve"> Activities</w:t>
      </w:r>
      <w:r w:rsidRPr="00381963">
        <w:rPr>
          <w:rFonts w:eastAsia="Calibri"/>
        </w:rPr>
        <w:t xml:space="preserve">. </w:t>
      </w:r>
      <w:r>
        <w:rPr>
          <w:rFonts w:eastAsia="Calibri"/>
        </w:rPr>
        <w:t xml:space="preserve"> We propose that a</w:t>
      </w:r>
      <w:r w:rsidRPr="00381963">
        <w:rPr>
          <w:rFonts w:eastAsia="Calibri"/>
        </w:rPr>
        <w:t xml:space="preserve">ny specific security measures employed by a </w:t>
      </w:r>
      <w:r>
        <w:rPr>
          <w:rFonts w:eastAsia="Calibri"/>
        </w:rPr>
        <w:t>BIAS provider</w:t>
      </w:r>
      <w:r w:rsidRPr="00381963">
        <w:rPr>
          <w:rFonts w:eastAsia="Calibri"/>
        </w:rPr>
        <w:t xml:space="preserve"> </w:t>
      </w:r>
      <w:r>
        <w:rPr>
          <w:rFonts w:eastAsia="Calibri"/>
        </w:rPr>
        <w:t xml:space="preserve">should take into </w:t>
      </w:r>
      <w:r w:rsidRPr="00381963">
        <w:rPr>
          <w:rFonts w:eastAsia="Calibri"/>
        </w:rPr>
        <w:t>consider</w:t>
      </w:r>
      <w:r>
        <w:rPr>
          <w:rFonts w:eastAsia="Calibri"/>
        </w:rPr>
        <w:t>ation</w:t>
      </w:r>
      <w:r w:rsidRPr="00381963">
        <w:rPr>
          <w:rFonts w:eastAsia="Calibri"/>
        </w:rPr>
        <w:t xml:space="preserve"> the nature and scope of the </w:t>
      </w:r>
      <w:r>
        <w:rPr>
          <w:rFonts w:eastAsia="Calibri"/>
        </w:rPr>
        <w:t>BIAS provider</w:t>
      </w:r>
      <w:r w:rsidRPr="00381963">
        <w:rPr>
          <w:rFonts w:eastAsia="Calibri"/>
        </w:rPr>
        <w:t>’s activities.  We believe this sliding scale approach affords sufficient flexibility for small providers while still protecting the</w:t>
      </w:r>
      <w:r>
        <w:rPr>
          <w:rFonts w:eastAsia="Calibri"/>
        </w:rPr>
        <w:t>ir</w:t>
      </w:r>
      <w:r w:rsidRPr="00381963">
        <w:rPr>
          <w:rFonts w:eastAsia="Calibri"/>
        </w:rPr>
        <w:t xml:space="preserve"> customers.  </w:t>
      </w:r>
      <w:r>
        <w:t>The Commission has previously explained that “privacy is a concern which applies regardless of carrier size or market share.”</w:t>
      </w:r>
      <w:r>
        <w:rPr>
          <w:rStyle w:val="FootnoteReference"/>
        </w:rPr>
        <w:footnoteReference w:id="349"/>
      </w:r>
      <w:r w:rsidRPr="00381963">
        <w:t xml:space="preserve">  </w:t>
      </w:r>
      <w:r>
        <w:t xml:space="preserve">However, we recognize that the same data security protections may not be necessary in all cases.  For example, a small provider with only a few customers may not store, use, or disclose customer PI in the same manner as a large provider.  In such a case, what constitutes a “reasonable” safeguard might be different.        </w:t>
      </w:r>
    </w:p>
    <w:p w:rsidR="00324CD5" w:rsidRPr="007107B8" w:rsidRDefault="00324CD5" w:rsidP="00324CD5">
      <w:pPr>
        <w:pStyle w:val="ParaNum"/>
      </w:pPr>
      <w:r w:rsidRPr="00BF5050">
        <w:rPr>
          <w:i/>
        </w:rPr>
        <w:t>Sensitivity of Customer PI</w:t>
      </w:r>
      <w:r>
        <w:t>.  We also propose that the security measures a BIAS provider employs should consider the sensitivity of the underlying customer PI.  This sliding scale approach follows the FTC’s proposed Privacy Framework, which includes a recommendation for allowing consumers to access the data companies maintain on them, with the level of access “proportionate to the sensitivity of the data and the nature of its use.”</w:t>
      </w:r>
      <w:r>
        <w:rPr>
          <w:rStyle w:val="FootnoteReference"/>
        </w:rPr>
        <w:footnoteReference w:id="350"/>
      </w:r>
      <w:r>
        <w:t xml:space="preserve">  Likewise, NIST also ranks the sensitivity of PII on different “impact levels,” ranging from low, moderate, or high, based on the effect of the disclosure of the underlying information.</w:t>
      </w:r>
      <w:r>
        <w:rPr>
          <w:rStyle w:val="FootnoteReference"/>
        </w:rPr>
        <w:footnoteReference w:id="351"/>
      </w:r>
      <w:r>
        <w:t xml:space="preserve">    We seek comment on this proposal and our rationale for it. </w:t>
      </w:r>
    </w:p>
    <w:p w:rsidR="00324CD5" w:rsidRDefault="00324CD5" w:rsidP="00324CD5">
      <w:pPr>
        <w:pStyle w:val="Heading3"/>
      </w:pPr>
      <w:bookmarkStart w:id="610" w:name="_Toc439858566"/>
      <w:bookmarkStart w:id="611" w:name="_Toc440016693"/>
      <w:bookmarkStart w:id="612" w:name="_Toc440575601"/>
      <w:bookmarkStart w:id="613" w:name="_Toc440575871"/>
      <w:bookmarkStart w:id="614" w:name="_Toc441849978"/>
      <w:bookmarkStart w:id="615" w:name="_Toc443049941"/>
      <w:bookmarkStart w:id="616" w:name="_Toc443660121"/>
      <w:bookmarkStart w:id="617" w:name="_Toc444095751"/>
      <w:bookmarkStart w:id="618" w:name="_Toc445192972"/>
      <w:bookmarkStart w:id="619" w:name="_Toc445193065"/>
      <w:bookmarkStart w:id="620" w:name="_Toc445193139"/>
      <w:bookmarkStart w:id="621" w:name="_Toc445276272"/>
      <w:bookmarkStart w:id="622" w:name="_Toc445367861"/>
      <w:bookmarkStart w:id="623" w:name="_Ref446517117"/>
      <w:bookmarkStart w:id="624" w:name="_Toc446937470"/>
      <w:bookmarkStart w:id="625" w:name="_Toc447116342"/>
      <w:bookmarkStart w:id="626" w:name="_Toc447121231"/>
      <w:bookmarkEnd w:id="609"/>
      <w:r>
        <w:t>Limiting Collection, Retention, and Disposal of Data</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rsidR="00324CD5" w:rsidRPr="00F66A7A" w:rsidRDefault="00324CD5" w:rsidP="00324CD5">
      <w:pPr>
        <w:pStyle w:val="ParaNum"/>
      </w:pPr>
      <w:r w:rsidRPr="00A46CDA">
        <w:rPr>
          <w:rFonts w:eastAsia="Georgia"/>
        </w:rPr>
        <w:t>The more</w:t>
      </w:r>
      <w:r>
        <w:rPr>
          <w:rFonts w:eastAsia="Georgia"/>
        </w:rPr>
        <w:t xml:space="preserve"> customer</w:t>
      </w:r>
      <w:r w:rsidRPr="00A46CDA">
        <w:rPr>
          <w:rFonts w:eastAsia="Georgia"/>
        </w:rPr>
        <w:t xml:space="preserve"> information </w:t>
      </w:r>
      <w:r>
        <w:rPr>
          <w:rFonts w:eastAsia="Georgia"/>
        </w:rPr>
        <w:t xml:space="preserve">that a BIAS provider </w:t>
      </w:r>
      <w:r w:rsidRPr="00A46CDA">
        <w:rPr>
          <w:rFonts w:eastAsia="Georgia"/>
        </w:rPr>
        <w:t>maintain</w:t>
      </w:r>
      <w:r>
        <w:rPr>
          <w:rFonts w:eastAsia="Georgia"/>
        </w:rPr>
        <w:t>s</w:t>
      </w:r>
      <w:r w:rsidRPr="00A46CDA">
        <w:rPr>
          <w:rFonts w:eastAsia="Georgia"/>
        </w:rPr>
        <w:t xml:space="preserve">, </w:t>
      </w:r>
      <w:r>
        <w:rPr>
          <w:rFonts w:eastAsia="Georgia"/>
        </w:rPr>
        <w:t xml:space="preserve">and the more sensitive that information is, </w:t>
      </w:r>
      <w:r w:rsidRPr="00A46CDA">
        <w:rPr>
          <w:rFonts w:eastAsia="Georgia"/>
        </w:rPr>
        <w:t>the</w:t>
      </w:r>
      <w:r>
        <w:rPr>
          <w:rFonts w:eastAsia="Georgia"/>
        </w:rPr>
        <w:t xml:space="preserve"> stronger the data security measures a BIAS provider will need to employ to protect the confidentiality of that information.  In this section, we seek comment on data minimization, including whether we should impose reasonable data collection and retention limits.  We also seek comment on whether we should prescribe specific data destruction policies as part of any data retention limits.  </w:t>
      </w:r>
    </w:p>
    <w:p w:rsidR="00324CD5" w:rsidRDefault="00324CD5" w:rsidP="00324CD5">
      <w:pPr>
        <w:pStyle w:val="Heading4"/>
      </w:pPr>
      <w:bookmarkStart w:id="627" w:name="_Toc439240697"/>
      <w:bookmarkStart w:id="628" w:name="_Toc439858567"/>
      <w:bookmarkStart w:id="629" w:name="_Toc440016694"/>
      <w:bookmarkStart w:id="630" w:name="_Toc440575602"/>
      <w:bookmarkStart w:id="631" w:name="_Toc440575872"/>
      <w:bookmarkStart w:id="632" w:name="_Toc441849979"/>
      <w:bookmarkStart w:id="633" w:name="_Toc443660122"/>
      <w:bookmarkStart w:id="634" w:name="_Toc445192973"/>
      <w:bookmarkStart w:id="635" w:name="_Toc445193066"/>
      <w:r>
        <w:t>Limiting Colle</w:t>
      </w:r>
      <w:r w:rsidRPr="007E39FF">
        <w:t xml:space="preserve">ction of </w:t>
      </w:r>
      <w:r>
        <w:t>Sensitive Customer</w:t>
      </w:r>
      <w:r w:rsidRPr="007E39FF">
        <w:t xml:space="preserve"> Information</w:t>
      </w:r>
      <w:bookmarkEnd w:id="627"/>
      <w:bookmarkEnd w:id="628"/>
      <w:bookmarkEnd w:id="629"/>
      <w:bookmarkEnd w:id="630"/>
      <w:bookmarkEnd w:id="631"/>
      <w:bookmarkEnd w:id="632"/>
      <w:bookmarkEnd w:id="633"/>
      <w:bookmarkEnd w:id="634"/>
      <w:bookmarkEnd w:id="635"/>
    </w:p>
    <w:p w:rsidR="00324CD5" w:rsidRDefault="00324CD5" w:rsidP="00324CD5">
      <w:pPr>
        <w:pStyle w:val="ParaNum"/>
        <w:rPr>
          <w:szCs w:val="22"/>
        </w:rPr>
      </w:pPr>
      <w:r>
        <w:rPr>
          <w:szCs w:val="22"/>
        </w:rPr>
        <w:t>We seek comment on whether we should adopt rules limiting BIAS providers’ collection of sensitive customer information, or providing customer control over the collection of such information.  The FIPPs indicate that “[o]rganizations should only collect PII that is directly relevant and necessary to accomplish the specified purpose(s) and only retain PII for as long as is necessary to fulfill the specified purpose(s).”</w:t>
      </w:r>
      <w:r>
        <w:rPr>
          <w:rStyle w:val="FootnoteReference"/>
          <w:szCs w:val="22"/>
        </w:rPr>
        <w:footnoteReference w:id="352"/>
      </w:r>
      <w:r>
        <w:rPr>
          <w:szCs w:val="22"/>
        </w:rPr>
        <w:t xml:space="preserve"> </w:t>
      </w:r>
      <w:r>
        <w:rPr>
          <w:rFonts w:cs="Myriad Pro"/>
          <w:color w:val="000000"/>
          <w:szCs w:val="22"/>
        </w:rPr>
        <w:t xml:space="preserve"> We recognize that w</w:t>
      </w:r>
      <w:r>
        <w:rPr>
          <w:rFonts w:cs="Myriad Pro"/>
          <w:szCs w:val="22"/>
        </w:rPr>
        <w:t xml:space="preserve">hile </w:t>
      </w:r>
      <w:r>
        <w:rPr>
          <w:rFonts w:cs="Myriad Pro"/>
          <w:color w:val="000000"/>
          <w:szCs w:val="22"/>
        </w:rPr>
        <w:t>the Cable and Satellite Privacy Acts prohibit operators from using the cable or satellite systems to collect PII concerning any subscriber without the prior written or electronic consent of the subscriber concerned,</w:t>
      </w:r>
      <w:r>
        <w:rPr>
          <w:rStyle w:val="FootnoteReference"/>
          <w:rFonts w:cs="Myriad Pro"/>
          <w:szCs w:val="22"/>
        </w:rPr>
        <w:footnoteReference w:id="353"/>
      </w:r>
      <w:r>
        <w:rPr>
          <w:rFonts w:cs="Myriad Pro"/>
          <w:color w:val="000000"/>
          <w:szCs w:val="22"/>
        </w:rPr>
        <w:t xml:space="preserve"> Section 222 does not contain an analogous provision regarding the collection of customer information.  Likewise, the Commission’s existing privacy rules </w:t>
      </w:r>
      <w:r>
        <w:rPr>
          <w:szCs w:val="22"/>
        </w:rPr>
        <w:t xml:space="preserve">do not contain any blanket limitations on the ability of communications service providers to collect certain types of customer data.    </w:t>
      </w:r>
    </w:p>
    <w:p w:rsidR="00324CD5" w:rsidRPr="00A9125A" w:rsidRDefault="00324CD5" w:rsidP="00324CD5">
      <w:pPr>
        <w:pStyle w:val="ParaNum"/>
        <w:rPr>
          <w:snapToGrid/>
          <w:szCs w:val="22"/>
        </w:rPr>
      </w:pPr>
      <w:r w:rsidRPr="001220B4">
        <w:rPr>
          <w:szCs w:val="22"/>
        </w:rPr>
        <w:t xml:space="preserve">We seek comment on whether </w:t>
      </w:r>
      <w:r>
        <w:rPr>
          <w:szCs w:val="22"/>
        </w:rPr>
        <w:t>we</w:t>
      </w:r>
      <w:r w:rsidRPr="001220B4">
        <w:rPr>
          <w:szCs w:val="22"/>
        </w:rPr>
        <w:t xml:space="preserve"> should adopt </w:t>
      </w:r>
      <w:r w:rsidRPr="001220B4">
        <w:rPr>
          <w:i/>
          <w:szCs w:val="22"/>
        </w:rPr>
        <w:t xml:space="preserve">ex ante </w:t>
      </w:r>
      <w:r w:rsidRPr="001220B4">
        <w:rPr>
          <w:szCs w:val="22"/>
        </w:rPr>
        <w:t>rules regulating the collection of customer data by broadband service providers</w:t>
      </w:r>
      <w:r>
        <w:rPr>
          <w:szCs w:val="22"/>
        </w:rPr>
        <w:t xml:space="preserve">.  We recognize that </w:t>
      </w:r>
      <w:r w:rsidRPr="00914B01">
        <w:rPr>
          <w:szCs w:val="22"/>
        </w:rPr>
        <w:t>declining data storage costs may mean that customer data, once collected, can be retained indefinitely.</w:t>
      </w:r>
      <w:r>
        <w:rPr>
          <w:rStyle w:val="FootnoteReference"/>
          <w:szCs w:val="22"/>
        </w:rPr>
        <w:footnoteReference w:id="354"/>
      </w:r>
      <w:r w:rsidRPr="00914B01">
        <w:rPr>
          <w:szCs w:val="22"/>
        </w:rPr>
        <w:t xml:space="preserve">  This in turn may present data security risks that impact a provider’s obligation to protect customer data pursuant to </w:t>
      </w:r>
      <w:r>
        <w:rPr>
          <w:szCs w:val="22"/>
        </w:rPr>
        <w:t>Section</w:t>
      </w:r>
      <w:r w:rsidRPr="00914B01">
        <w:rPr>
          <w:szCs w:val="22"/>
        </w:rPr>
        <w:t xml:space="preserve"> 222(a).</w:t>
      </w:r>
      <w:r>
        <w:rPr>
          <w:rStyle w:val="FootnoteReference"/>
          <w:szCs w:val="22"/>
        </w:rPr>
        <w:footnoteReference w:id="355"/>
      </w:r>
      <w:r w:rsidRPr="00914B01">
        <w:rPr>
          <w:szCs w:val="22"/>
        </w:rPr>
        <w:t xml:space="preserve">  </w:t>
      </w:r>
      <w:r>
        <w:rPr>
          <w:szCs w:val="22"/>
        </w:rPr>
        <w:t xml:space="preserve">  </w:t>
      </w:r>
    </w:p>
    <w:p w:rsidR="00324CD5" w:rsidRPr="00495131" w:rsidRDefault="00324CD5" w:rsidP="00A1147F">
      <w:pPr>
        <w:pStyle w:val="ParaNum"/>
        <w:widowControl/>
        <w:rPr>
          <w:snapToGrid/>
          <w:szCs w:val="22"/>
        </w:rPr>
      </w:pPr>
      <w:r>
        <w:rPr>
          <w:snapToGrid/>
          <w:szCs w:val="22"/>
        </w:rPr>
        <w:t>We seek comment on the effect of</w:t>
      </w:r>
      <w:r w:rsidRPr="00914B01">
        <w:rPr>
          <w:snapToGrid/>
          <w:szCs w:val="22"/>
        </w:rPr>
        <w:t xml:space="preserve"> unrestricted data collection practices </w:t>
      </w:r>
      <w:r>
        <w:rPr>
          <w:snapToGrid/>
          <w:szCs w:val="22"/>
        </w:rPr>
        <w:t xml:space="preserve">on data security, as well as the relationship to the concept of </w:t>
      </w:r>
      <w:r w:rsidRPr="00914B01">
        <w:rPr>
          <w:snapToGrid/>
          <w:szCs w:val="22"/>
        </w:rPr>
        <w:t>privacy</w:t>
      </w:r>
      <w:r>
        <w:rPr>
          <w:snapToGrid/>
          <w:szCs w:val="22"/>
        </w:rPr>
        <w:t>-</w:t>
      </w:r>
      <w:r w:rsidRPr="00914B01">
        <w:rPr>
          <w:snapToGrid/>
          <w:szCs w:val="22"/>
        </w:rPr>
        <w:t>by</w:t>
      </w:r>
      <w:r>
        <w:rPr>
          <w:snapToGrid/>
          <w:szCs w:val="22"/>
        </w:rPr>
        <w:t>-</w:t>
      </w:r>
      <w:r w:rsidRPr="00914B01">
        <w:rPr>
          <w:snapToGrid/>
          <w:szCs w:val="22"/>
        </w:rPr>
        <w:t>design</w:t>
      </w:r>
      <w:r>
        <w:rPr>
          <w:snapToGrid/>
          <w:szCs w:val="22"/>
        </w:rPr>
        <w:t>.</w:t>
      </w:r>
      <w:r>
        <w:rPr>
          <w:rStyle w:val="FootnoteReference"/>
          <w:snapToGrid/>
          <w:szCs w:val="22"/>
        </w:rPr>
        <w:footnoteReference w:id="356"/>
      </w:r>
      <w:r w:rsidRPr="00914B01">
        <w:rPr>
          <w:snapToGrid/>
          <w:szCs w:val="22"/>
        </w:rPr>
        <w:t xml:space="preserve">  If </w:t>
      </w:r>
      <w:r>
        <w:rPr>
          <w:snapToGrid/>
          <w:szCs w:val="22"/>
        </w:rPr>
        <w:t xml:space="preserve">we do adopt rules </w:t>
      </w:r>
      <w:r w:rsidRPr="00914B01">
        <w:rPr>
          <w:snapToGrid/>
          <w:szCs w:val="22"/>
        </w:rPr>
        <w:t>restrict</w:t>
      </w:r>
      <w:r>
        <w:rPr>
          <w:snapToGrid/>
          <w:szCs w:val="22"/>
        </w:rPr>
        <w:t>ing</w:t>
      </w:r>
      <w:r w:rsidRPr="00914B01">
        <w:rPr>
          <w:snapToGrid/>
          <w:szCs w:val="22"/>
        </w:rPr>
        <w:t xml:space="preserve"> the types of data </w:t>
      </w:r>
      <w:r>
        <w:rPr>
          <w:snapToGrid/>
          <w:szCs w:val="22"/>
        </w:rPr>
        <w:t>BIAS provider</w:t>
      </w:r>
      <w:r w:rsidRPr="00914B01">
        <w:rPr>
          <w:snapToGrid/>
          <w:szCs w:val="22"/>
        </w:rPr>
        <w:t>s c</w:t>
      </w:r>
      <w:r>
        <w:rPr>
          <w:snapToGrid/>
          <w:szCs w:val="22"/>
        </w:rPr>
        <w:t>an</w:t>
      </w:r>
      <w:r w:rsidRPr="00914B01">
        <w:rPr>
          <w:snapToGrid/>
          <w:szCs w:val="22"/>
        </w:rPr>
        <w:t xml:space="preserve"> collect, w</w:t>
      </w:r>
      <w:r>
        <w:rPr>
          <w:snapToGrid/>
          <w:szCs w:val="22"/>
        </w:rPr>
        <w:t>ill</w:t>
      </w:r>
      <w:r w:rsidRPr="00914B01">
        <w:rPr>
          <w:snapToGrid/>
          <w:szCs w:val="22"/>
        </w:rPr>
        <w:t xml:space="preserve"> there be negative societal consequences?  For example, data collected in conjunction with other online services has yielded services such as spam filters that use a variety of data for “machine learning.”</w:t>
      </w:r>
      <w:r w:rsidRPr="007E39FF">
        <w:rPr>
          <w:rStyle w:val="FootnoteReference"/>
          <w:snapToGrid/>
          <w:sz w:val="22"/>
          <w:szCs w:val="22"/>
        </w:rPr>
        <w:footnoteReference w:id="357"/>
      </w:r>
      <w:r w:rsidRPr="00914B01">
        <w:rPr>
          <w:snapToGrid/>
          <w:szCs w:val="22"/>
        </w:rPr>
        <w:t xml:space="preserve">  Are there particular types of customer data</w:t>
      </w:r>
      <w:r>
        <w:rPr>
          <w:snapToGrid/>
          <w:szCs w:val="22"/>
        </w:rPr>
        <w:t>, such as health</w:t>
      </w:r>
      <w:r w:rsidRPr="00914B01">
        <w:rPr>
          <w:snapToGrid/>
          <w:szCs w:val="22"/>
        </w:rPr>
        <w:t xml:space="preserve"> information</w:t>
      </w:r>
      <w:r w:rsidRPr="001220B4">
        <w:rPr>
          <w:snapToGrid/>
          <w:szCs w:val="22"/>
        </w:rPr>
        <w:t>, that a provider should be prohibited from collecting</w:t>
      </w:r>
      <w:r>
        <w:rPr>
          <w:snapToGrid/>
          <w:szCs w:val="22"/>
        </w:rPr>
        <w:t>?  Could such a requirement be implemented and operationalized without undue burden?  Is it possible for a BIAS provider to reasonably distinguish between types of data that it collects such that it could comply with such a requirement?</w:t>
      </w:r>
    </w:p>
    <w:p w:rsidR="00324CD5" w:rsidRPr="000144AF" w:rsidRDefault="00324CD5" w:rsidP="00A1147F">
      <w:pPr>
        <w:pStyle w:val="Heading4"/>
        <w:widowControl/>
      </w:pPr>
      <w:bookmarkStart w:id="636" w:name="_Toc439858569"/>
      <w:bookmarkStart w:id="637" w:name="_Toc440016695"/>
      <w:bookmarkStart w:id="638" w:name="_Toc440575603"/>
      <w:bookmarkStart w:id="639" w:name="_Toc440575873"/>
      <w:bookmarkStart w:id="640" w:name="_Toc441849980"/>
      <w:bookmarkStart w:id="641" w:name="_Toc443660123"/>
      <w:bookmarkStart w:id="642" w:name="_Toc445192974"/>
      <w:bookmarkStart w:id="643" w:name="_Toc445193067"/>
      <w:r>
        <w:rPr>
          <w:rFonts w:eastAsia="Georgia"/>
        </w:rPr>
        <w:t>Data Retention Limits</w:t>
      </w:r>
      <w:bookmarkEnd w:id="636"/>
      <w:bookmarkEnd w:id="637"/>
      <w:bookmarkEnd w:id="638"/>
      <w:bookmarkEnd w:id="639"/>
      <w:bookmarkEnd w:id="640"/>
      <w:bookmarkEnd w:id="641"/>
      <w:bookmarkEnd w:id="642"/>
      <w:bookmarkEnd w:id="643"/>
      <w:r w:rsidRPr="000144AF">
        <w:rPr>
          <w:rFonts w:eastAsia="Georgia"/>
        </w:rPr>
        <w:t xml:space="preserve">  </w:t>
      </w:r>
    </w:p>
    <w:p w:rsidR="00324CD5" w:rsidRPr="00E37626" w:rsidRDefault="00324CD5" w:rsidP="00A1147F">
      <w:pPr>
        <w:pStyle w:val="ParaNum"/>
        <w:widowControl/>
      </w:pPr>
      <w:r w:rsidRPr="00EA63BA">
        <w:rPr>
          <w:rFonts w:eastAsia="Georgia"/>
        </w:rPr>
        <w:t xml:space="preserve">Similarly, we seek comment on whether we should require BIAS providers to set reasonable retention limits for customer PI. </w:t>
      </w:r>
      <w:r>
        <w:rPr>
          <w:rFonts w:eastAsia="Georgia"/>
        </w:rPr>
        <w:t xml:space="preserve"> </w:t>
      </w:r>
      <w:r w:rsidRPr="00EA63BA">
        <w:rPr>
          <w:rFonts w:eastAsia="Georgia"/>
        </w:rPr>
        <w:t xml:space="preserve">If so, what should those retention limits be?  </w:t>
      </w:r>
      <w:r>
        <w:rPr>
          <w:rFonts w:eastAsia="Georgia"/>
        </w:rPr>
        <w:t>D</w:t>
      </w:r>
      <w:r w:rsidRPr="00EA63BA">
        <w:rPr>
          <w:rFonts w:eastAsia="Georgia"/>
        </w:rPr>
        <w:t xml:space="preserve">ata retention limits </w:t>
      </w:r>
      <w:r>
        <w:rPr>
          <w:rFonts w:eastAsia="Georgia"/>
        </w:rPr>
        <w:t>can also reduce</w:t>
      </w:r>
      <w:r w:rsidRPr="00EA63BA">
        <w:rPr>
          <w:rFonts w:eastAsia="Georgia"/>
        </w:rPr>
        <w:t xml:space="preserve"> the burden of data security.  Limiting data retention is </w:t>
      </w:r>
      <w:r>
        <w:rPr>
          <w:rFonts w:eastAsia="Georgia"/>
        </w:rPr>
        <w:t xml:space="preserve">also </w:t>
      </w:r>
      <w:r w:rsidRPr="00EA63BA">
        <w:rPr>
          <w:rFonts w:eastAsia="Georgia"/>
        </w:rPr>
        <w:t>one of the seven principles of the FIPPs.</w:t>
      </w:r>
      <w:r>
        <w:rPr>
          <w:rStyle w:val="FootnoteReference"/>
          <w:rFonts w:eastAsia="Georgia"/>
        </w:rPr>
        <w:footnoteReference w:id="358"/>
      </w:r>
      <w:r w:rsidRPr="00EA63BA">
        <w:rPr>
          <w:rFonts w:eastAsia="Georgia"/>
        </w:rPr>
        <w:t xml:space="preserve">  </w:t>
      </w:r>
      <w:r>
        <w:rPr>
          <w:rFonts w:eastAsia="Georgia"/>
        </w:rPr>
        <w:t xml:space="preserve">Many </w:t>
      </w:r>
      <w:r>
        <w:t xml:space="preserve">privacy-by-design regimes, where consumer </w:t>
      </w:r>
      <w:r w:rsidRPr="009C4EFB">
        <w:t xml:space="preserve">privacy </w:t>
      </w:r>
      <w:r>
        <w:t>is built into e</w:t>
      </w:r>
      <w:r w:rsidRPr="009C4EFB">
        <w:t>very stage of product development</w:t>
      </w:r>
      <w:r>
        <w:t>, include data retention limitations as a fundamental part of their designs.</w:t>
      </w:r>
      <w:r>
        <w:rPr>
          <w:rStyle w:val="FootnoteReference"/>
        </w:rPr>
        <w:footnoteReference w:id="359"/>
      </w:r>
      <w:r>
        <w:t xml:space="preserve">    FT</w:t>
      </w:r>
      <w:r w:rsidRPr="00EA63BA">
        <w:rPr>
          <w:rFonts w:eastAsia="Georgia"/>
        </w:rPr>
        <w:t>C guidance emphasizes the importance of data retention limits, recommending that entities retain customer data only as long as necessary for the legitimate purpose for which it was collected with the caveat that reten</w:t>
      </w:r>
      <w:r w:rsidRPr="00F94959">
        <w:rPr>
          <w:rFonts w:eastAsia="Georgia"/>
        </w:rPr>
        <w:t>tion periods “can be flexible and scaled according to the type of relationship and use of the data.”</w:t>
      </w:r>
      <w:r>
        <w:rPr>
          <w:rStyle w:val="FootnoteReference"/>
          <w:rFonts w:eastAsia="Georgia"/>
        </w:rPr>
        <w:footnoteReference w:id="360"/>
      </w:r>
      <w:r w:rsidRPr="00EA63BA">
        <w:rPr>
          <w:rFonts w:eastAsia="Georgia"/>
        </w:rPr>
        <w:t xml:space="preserve">  </w:t>
      </w:r>
    </w:p>
    <w:p w:rsidR="00324CD5" w:rsidRPr="00C347CC" w:rsidRDefault="00324CD5" w:rsidP="00324CD5">
      <w:pPr>
        <w:pStyle w:val="ParaNum"/>
      </w:pPr>
      <w:r>
        <w:rPr>
          <w:rFonts w:eastAsia="Georgia"/>
        </w:rPr>
        <w:t xml:space="preserve">The </w:t>
      </w:r>
      <w:r w:rsidRPr="00EA63BA">
        <w:rPr>
          <w:rFonts w:eastAsia="Georgia"/>
        </w:rPr>
        <w:t>FTC recommends that data retention periods should be based on the underlying nature of protected information, suggesting that data relating to children should have a shorter retention period than data relating to adults.</w:t>
      </w:r>
      <w:r>
        <w:rPr>
          <w:rStyle w:val="FootnoteReference"/>
          <w:rFonts w:eastAsia="Georgia"/>
        </w:rPr>
        <w:footnoteReference w:id="361"/>
      </w:r>
      <w:r w:rsidRPr="00EA63BA">
        <w:rPr>
          <w:rFonts w:eastAsia="Georgia"/>
        </w:rPr>
        <w:t xml:space="preserve">  The </w:t>
      </w:r>
      <w:r w:rsidRPr="006B3636">
        <w:t xml:space="preserve">Cable and Satellite Privacy Acts </w:t>
      </w:r>
      <w:r>
        <w:t xml:space="preserve">require entities to </w:t>
      </w:r>
      <w:r w:rsidRPr="000A12F5">
        <w:t>destroy personal data if the information is no longer necessary for the purpose for which it was collected</w:t>
      </w:r>
      <w:r>
        <w:t>,</w:t>
      </w:r>
      <w:r w:rsidRPr="000A12F5">
        <w:rPr>
          <w:rStyle w:val="FootnoteReference"/>
        </w:rPr>
        <w:footnoteReference w:id="362"/>
      </w:r>
      <w:r>
        <w:t xml:space="preserve"> and the Video Privacy Protection Act requires </w:t>
      </w:r>
      <w:r w:rsidRPr="000A12F5">
        <w:t>records</w:t>
      </w:r>
      <w:r>
        <w:t xml:space="preserve"> with protected information to b</w:t>
      </w:r>
      <w:r w:rsidRPr="000A12F5">
        <w:t>e destroyed as soon as practicable.</w:t>
      </w:r>
      <w:r w:rsidRPr="000A12F5">
        <w:rPr>
          <w:rStyle w:val="FootnoteReference"/>
        </w:rPr>
        <w:footnoteReference w:id="363"/>
      </w:r>
      <w:r>
        <w:t xml:space="preserve">  While these limits are often contextually based on what is “reasonable” for a particular use or industry, there are circumstances where long term retention of customer data is unlikely to be reasonable.</w:t>
      </w:r>
      <w:r>
        <w:rPr>
          <w:rStyle w:val="FootnoteReference"/>
        </w:rPr>
        <w:footnoteReference w:id="364"/>
      </w:r>
      <w:r w:rsidR="002E3013">
        <w:t xml:space="preserve">  Should we adopt rules harmonizing data retention requirements for telecommunications carriers with those provided for cable and satellite providers under Sections 631 and 338(i)?</w:t>
      </w:r>
      <w:r>
        <w:t xml:space="preserve">  </w:t>
      </w:r>
    </w:p>
    <w:p w:rsidR="00324CD5" w:rsidRPr="00E032E1" w:rsidRDefault="00324CD5" w:rsidP="00324CD5">
      <w:pPr>
        <w:pStyle w:val="ParaNum"/>
        <w:rPr>
          <w:rFonts w:eastAsia="Georgia"/>
          <w:szCs w:val="22"/>
        </w:rPr>
      </w:pPr>
      <w:r>
        <w:t xml:space="preserve">We seek comment whether it would be appropriate to apply any of these standards in the broadband context.  Why or why not?  Are there other data retention policies utilized by industry that we should look to as a guide?  We also seek comment whether </w:t>
      </w:r>
      <w:r>
        <w:rPr>
          <w:rFonts w:eastAsia="Georgia"/>
        </w:rPr>
        <w:t xml:space="preserve">we should adopt a specific timeframe or a flexible standard for data retention by BIAS providers.  </w:t>
      </w:r>
      <w:r>
        <w:t xml:space="preserve">For example, should we adopt a specific retention period for customer data </w:t>
      </w:r>
      <w:r w:rsidRPr="005773B3">
        <w:rPr>
          <w:rFonts w:eastAsia="Georgia"/>
        </w:rPr>
        <w:t>upon termination of the broadband service and the carrier-customer relationship</w:t>
      </w:r>
      <w:r>
        <w:t xml:space="preserve"> (</w:t>
      </w:r>
      <w:r w:rsidRPr="006E0EE2">
        <w:t>i.e</w:t>
      </w:r>
      <w:r w:rsidRPr="00CF6D70">
        <w:t>.,</w:t>
      </w:r>
      <w:r w:rsidRPr="003E21AD">
        <w:t xml:space="preserve"> </w:t>
      </w:r>
      <w:r>
        <w:t xml:space="preserve">a former customer)?  </w:t>
      </w:r>
      <w:r>
        <w:rPr>
          <w:rFonts w:eastAsia="Georgia"/>
        </w:rPr>
        <w:t xml:space="preserve">Should the same data retention standard </w:t>
      </w:r>
      <w:r w:rsidRPr="003A0814">
        <w:rPr>
          <w:rFonts w:eastAsia="Georgia"/>
        </w:rPr>
        <w:t xml:space="preserve">apply </w:t>
      </w:r>
      <w:r>
        <w:rPr>
          <w:rFonts w:eastAsia="Georgia"/>
        </w:rPr>
        <w:t xml:space="preserve">to a BIAS provider’s retention of customer PI for existing customers?  </w:t>
      </w:r>
      <w:r>
        <w:t xml:space="preserve">What should be the appropriate retention period if someone merely completes the information form for a service but does not obtain that service?  </w:t>
      </w:r>
      <w:r w:rsidRPr="00E4707C">
        <w:rPr>
          <w:rFonts w:eastAsia="Georgia"/>
        </w:rPr>
        <w:t xml:space="preserve"> </w:t>
      </w:r>
      <w:r>
        <w:rPr>
          <w:rFonts w:eastAsia="Georgia"/>
        </w:rPr>
        <w:t xml:space="preserve"> </w:t>
      </w:r>
      <w:r>
        <w:t xml:space="preserve"> </w:t>
      </w:r>
    </w:p>
    <w:p w:rsidR="00324CD5" w:rsidRPr="00102361" w:rsidRDefault="00324CD5" w:rsidP="00324CD5">
      <w:pPr>
        <w:pStyle w:val="ParaNum"/>
        <w:rPr>
          <w:rFonts w:eastAsia="Georgia"/>
          <w:szCs w:val="22"/>
        </w:rPr>
      </w:pPr>
      <w:r>
        <w:t xml:space="preserve">Should we adopt different data retention limits for different categories of data?  If so, how should we define those categories of data, and what would those retention periods be? </w:t>
      </w:r>
      <w:r w:rsidRPr="00843484">
        <w:t xml:space="preserve"> </w:t>
      </w:r>
      <w:r>
        <w:t>For example, should a separate standard exist for data that has been de-identified?  In addition, how could we ensure any retention periods are s</w:t>
      </w:r>
      <w:r w:rsidRPr="00042EC3">
        <w:t>ufficiently flexible to accommodate requests from law enforcement or legitimate business purpose</w:t>
      </w:r>
      <w:r>
        <w:t>s</w:t>
      </w:r>
      <w:r w:rsidRPr="00042EC3">
        <w:t>?</w:t>
      </w:r>
      <w:r w:rsidRPr="005773B3">
        <w:rPr>
          <w:rFonts w:eastAsia="Georgia"/>
          <w:szCs w:val="22"/>
        </w:rPr>
        <w:t xml:space="preserve">  </w:t>
      </w:r>
    </w:p>
    <w:p w:rsidR="00324CD5" w:rsidRDefault="00324CD5" w:rsidP="00324CD5">
      <w:pPr>
        <w:pStyle w:val="ParaNum"/>
      </w:pPr>
      <w:r>
        <w:t>On the other hand, we recognize that some data retention can be beneficial.  Historic data can be useful to individuals and serve broader social goals.  For example, as the FTC Staff Report on Privacy explains, data retention limits could limit innovation by requiring the destruction of data that could be used in the future to develop new products that can potentially benefit customers.</w:t>
      </w:r>
      <w:r>
        <w:rPr>
          <w:rStyle w:val="FootnoteReference"/>
        </w:rPr>
        <w:footnoteReference w:id="365"/>
      </w:r>
      <w:r>
        <w:t xml:space="preserve">  We seek comment on whether and how our rules should take into account these potential benefits of data retention.</w:t>
      </w:r>
    </w:p>
    <w:p w:rsidR="00324CD5" w:rsidRDefault="00324CD5" w:rsidP="00324CD5">
      <w:pPr>
        <w:pStyle w:val="Heading4"/>
      </w:pPr>
      <w:bookmarkStart w:id="644" w:name="_Toc443660124"/>
      <w:bookmarkStart w:id="645" w:name="_Toc445192975"/>
      <w:bookmarkStart w:id="646" w:name="_Toc445193068"/>
      <w:bookmarkStart w:id="647" w:name="_Ref446581016"/>
      <w:r>
        <w:t>Destruction of Customer Proprietary Information</w:t>
      </w:r>
      <w:bookmarkEnd w:id="644"/>
      <w:bookmarkEnd w:id="645"/>
      <w:bookmarkEnd w:id="646"/>
      <w:bookmarkEnd w:id="647"/>
    </w:p>
    <w:p w:rsidR="00324CD5" w:rsidRPr="00843484" w:rsidRDefault="00324CD5" w:rsidP="00324CD5">
      <w:pPr>
        <w:pStyle w:val="ParaNum"/>
        <w:rPr>
          <w:rFonts w:eastAsia="Georgia"/>
          <w:szCs w:val="22"/>
        </w:rPr>
      </w:pPr>
      <w:r>
        <w:rPr>
          <w:rFonts w:eastAsia="Georgia"/>
        </w:rPr>
        <w:t xml:space="preserve">We also seek comment whether we should </w:t>
      </w:r>
      <w:r w:rsidRPr="00AF2CBB">
        <w:rPr>
          <w:rFonts w:eastAsia="Georgia"/>
        </w:rPr>
        <w:t xml:space="preserve">implement specific measures for </w:t>
      </w:r>
      <w:r w:rsidR="000A09B5">
        <w:rPr>
          <w:rFonts w:eastAsia="Georgia"/>
        </w:rPr>
        <w:t>BIAS providers</w:t>
      </w:r>
      <w:r w:rsidRPr="00AF2CBB">
        <w:rPr>
          <w:rFonts w:eastAsia="Georgia"/>
        </w:rPr>
        <w:t xml:space="preserve"> when disposing of </w:t>
      </w:r>
      <w:r>
        <w:rPr>
          <w:rFonts w:eastAsia="Georgia"/>
        </w:rPr>
        <w:t>customer PI.</w:t>
      </w:r>
      <w:r w:rsidRPr="00AF2CBB">
        <w:rPr>
          <w:rFonts w:eastAsia="Georgia"/>
        </w:rPr>
        <w:t xml:space="preserve">  </w:t>
      </w:r>
      <w:r>
        <w:rPr>
          <w:rFonts w:eastAsia="Georgia"/>
        </w:rPr>
        <w:t xml:space="preserve">Alternatively, we seek comment whether we should </w:t>
      </w:r>
      <w:r w:rsidRPr="00AF2CBB">
        <w:rPr>
          <w:rFonts w:eastAsia="Georgia"/>
        </w:rPr>
        <w:t xml:space="preserve">establish </w:t>
      </w:r>
      <w:r>
        <w:rPr>
          <w:rFonts w:eastAsia="Georgia"/>
        </w:rPr>
        <w:t xml:space="preserve">a general data destruction </w:t>
      </w:r>
      <w:r w:rsidRPr="00AF2CBB">
        <w:rPr>
          <w:rFonts w:eastAsia="Georgia"/>
        </w:rPr>
        <w:t xml:space="preserve">requirement </w:t>
      </w:r>
      <w:r>
        <w:rPr>
          <w:rFonts w:eastAsia="Georgia"/>
        </w:rPr>
        <w:t xml:space="preserve">but </w:t>
      </w:r>
      <w:r w:rsidRPr="00AF2CBB">
        <w:rPr>
          <w:rFonts w:eastAsia="Georgia"/>
        </w:rPr>
        <w:t xml:space="preserve">allow industry to determine best </w:t>
      </w:r>
      <w:r>
        <w:rPr>
          <w:rFonts w:eastAsia="Georgia"/>
        </w:rPr>
        <w:t>practices for data disposal in this area.</w:t>
      </w:r>
      <w:r w:rsidRPr="00AF2CBB">
        <w:rPr>
          <w:rFonts w:eastAsia="Georgia"/>
        </w:rPr>
        <w:t xml:space="preserve"> </w:t>
      </w:r>
      <w:r>
        <w:rPr>
          <w:rFonts w:eastAsia="Georgia"/>
        </w:rPr>
        <w:t xml:space="preserve"> What types of data destruction practices do BIAS providers currently abide by?  What are the current industry standards, if any?  </w:t>
      </w:r>
    </w:p>
    <w:p w:rsidR="00324CD5" w:rsidRPr="00843484" w:rsidRDefault="00324CD5" w:rsidP="00324CD5">
      <w:pPr>
        <w:pStyle w:val="ParaNum"/>
        <w:rPr>
          <w:rFonts w:eastAsia="Georgia"/>
          <w:szCs w:val="22"/>
        </w:rPr>
      </w:pPr>
      <w:r>
        <w:t>We seek comment on whether we should adopt data destruction requirements and, if so, how sensitive data should be disposed of when it is no longer needed</w:t>
      </w:r>
      <w:r>
        <w:rPr>
          <w:rFonts w:eastAsia="Georgia"/>
        </w:rPr>
        <w:t xml:space="preserve">.  Should we follow the model laid out by the Fair and Accurate Credit Transactions Act (FACTA), which requires the </w:t>
      </w:r>
      <w:r>
        <w:t>proper disposal of information contained in consumer reports and records?</w:t>
      </w:r>
      <w:r>
        <w:rPr>
          <w:rStyle w:val="FootnoteReference"/>
        </w:rPr>
        <w:footnoteReference w:id="366"/>
      </w:r>
      <w:r>
        <w:t xml:space="preserve">  Under the FTC disposal rule, which implements FACTA with respect to companies under the FTC’s jurisdiction, companies must “tak[e] </w:t>
      </w:r>
      <w:r w:rsidRPr="00DA5B11">
        <w:t xml:space="preserve">reasonable measures to protect against unauthorized access to or use of </w:t>
      </w:r>
      <w:r>
        <w:t>[consumer]</w:t>
      </w:r>
      <w:r w:rsidRPr="00DA5B11">
        <w:t xml:space="preserve"> information in connection with its disposal</w:t>
      </w:r>
      <w:r>
        <w:t>.”</w:t>
      </w:r>
      <w:r>
        <w:rPr>
          <w:rStyle w:val="FootnoteReference"/>
        </w:rPr>
        <w:footnoteReference w:id="367"/>
      </w:r>
      <w:r>
        <w:t xml:space="preserve">  The rule offers a non-exhaustive list of such reasonable measures that includes burning, pulverizing, or shredding paper so that they are unreadable and cannot be practicably reconstructed and destroying or erasing electronic media such that it cannot be practicably read or reconstructed.</w:t>
      </w:r>
      <w:r>
        <w:rPr>
          <w:rStyle w:val="FootnoteReference"/>
        </w:rPr>
        <w:footnoteReference w:id="368"/>
      </w:r>
      <w:r>
        <w:t xml:space="preserve">  Should we take a similar approach here?  Several states have also enacted laws regarding the disposal of records that contain personal information.</w:t>
      </w:r>
      <w:r>
        <w:rPr>
          <w:rStyle w:val="FootnoteReference"/>
        </w:rPr>
        <w:footnoteReference w:id="369"/>
      </w:r>
      <w:r>
        <w:t xml:space="preserve">  Should we look to any such state laws for guidance? </w:t>
      </w:r>
    </w:p>
    <w:p w:rsidR="00324CD5" w:rsidRDefault="00324CD5" w:rsidP="00324CD5">
      <w:pPr>
        <w:pStyle w:val="ParaNum"/>
      </w:pPr>
      <w:r>
        <w:t xml:space="preserve">We also seek comment on the </w:t>
      </w:r>
      <w:r>
        <w:rPr>
          <w:rFonts w:eastAsia="Georgia"/>
        </w:rPr>
        <w:t xml:space="preserve">potential costs and correlating burdens of imposing such requirements.  Would the requirements be particularly costly or burdensome for small BIAS providers?  Could the costs of a data destruction program be absorbed by the BIAS provider or would any additional cost be passed on to customers?  Is there a meaningful way to quantify the privacy benefits to consumers to justify any additional costs or benefits?  Is there a way for BIAS providers to ensure that a customer’s data has been properly disposed of and communicate that to the customer? </w:t>
      </w:r>
      <w:r w:rsidRPr="00E27104">
        <w:rPr>
          <w:rFonts w:eastAsia="Georgia"/>
        </w:rPr>
        <w:t xml:space="preserve"> </w:t>
      </w:r>
      <w:r>
        <w:rPr>
          <w:rFonts w:eastAsia="Georgia"/>
        </w:rPr>
        <w:t>If we adopt data destruction requirements for BIAS providers, should we also adopt them for voice providers?</w:t>
      </w:r>
      <w:r>
        <w:t xml:space="preserve"> </w:t>
      </w:r>
      <w:bookmarkStart w:id="648" w:name="_Toc439240696"/>
      <w:bookmarkEnd w:id="648"/>
    </w:p>
    <w:p w:rsidR="00324CD5" w:rsidRDefault="00324CD5" w:rsidP="00324CD5">
      <w:pPr>
        <w:pStyle w:val="Heading2"/>
      </w:pPr>
      <w:bookmarkStart w:id="649" w:name="_Toc443049942"/>
      <w:bookmarkStart w:id="650" w:name="_Toc443660125"/>
      <w:bookmarkStart w:id="651" w:name="_Toc444095752"/>
      <w:bookmarkStart w:id="652" w:name="_Toc445192976"/>
      <w:bookmarkStart w:id="653" w:name="_Toc445193069"/>
      <w:bookmarkStart w:id="654" w:name="_Toc445193140"/>
      <w:bookmarkStart w:id="655" w:name="_Toc445276273"/>
      <w:bookmarkStart w:id="656" w:name="_Ref445294305"/>
      <w:bookmarkStart w:id="657" w:name="_Toc445367862"/>
      <w:bookmarkStart w:id="658" w:name="_Ref446512117"/>
      <w:bookmarkStart w:id="659" w:name="_Ref446512124"/>
      <w:bookmarkStart w:id="660" w:name="_Ref446517244"/>
      <w:bookmarkStart w:id="661" w:name="_Ref446518814"/>
      <w:bookmarkStart w:id="662" w:name="_Toc446937471"/>
      <w:bookmarkStart w:id="663" w:name="_Toc447116343"/>
      <w:bookmarkStart w:id="664" w:name="_Toc447121232"/>
      <w:bookmarkStart w:id="665" w:name="_Toc440575614"/>
      <w:bookmarkStart w:id="666" w:name="_Toc440575884"/>
      <w:bookmarkStart w:id="667" w:name="_Toc441849992"/>
      <w:bookmarkStart w:id="668" w:name="_Toc438643699"/>
      <w:bookmarkStart w:id="669" w:name="_Toc438650298"/>
      <w:bookmarkStart w:id="670" w:name="_Toc438719897"/>
      <w:bookmarkStart w:id="671" w:name="_Toc438720162"/>
      <w:bookmarkStart w:id="672" w:name="_Toc440016698"/>
      <w:r>
        <w:t>Data Breach Notification Requirements</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rsidR="00324CD5" w:rsidRDefault="00324CD5" w:rsidP="00324CD5">
      <w:pPr>
        <w:pStyle w:val="ParaNum"/>
      </w:pPr>
      <w:r>
        <w:t xml:space="preserve">In order to encourage providers to protect the confidentiality of customer proprietary information, and to give consumers and law enforcement notice of failures to protect such information, in this section, we propose data breach notification requirements for BIAS providers and providers of other telecommunications services.  The importance of customer and law enforcement notification in the event of a data breach is widely recognized.  Our existing Section 222 rules impose data breach obligations on voice providers; 47 states, </w:t>
      </w:r>
      <w:r w:rsidRPr="004E2964">
        <w:t>the District of Columbia, Guam, Puerto Rico and the Virgin Islands</w:t>
      </w:r>
      <w:r>
        <w:t xml:space="preserve"> have adopted data breach notification laws; and the FTC has repeatedly testified in support of federal data breach legislation.</w:t>
      </w:r>
      <w:r w:rsidRPr="00683030">
        <w:rPr>
          <w:rStyle w:val="FootnoteReference"/>
        </w:rPr>
        <w:footnoteReference w:id="370"/>
      </w:r>
      <w:r>
        <w:t xml:space="preserve">  The rules we propose today seek to incorporate the lessons learned from existing and proposed data breach notification frameworks, while addressing the extensive sets of customer data available to providers of telecommunications services, and our role in helping to identify and protect against network vulnerabilities. </w:t>
      </w:r>
    </w:p>
    <w:p w:rsidR="00324CD5" w:rsidRDefault="00324CD5" w:rsidP="00324CD5">
      <w:pPr>
        <w:pStyle w:val="ParaNum"/>
      </w:pPr>
      <w:r w:rsidRPr="006E7BC4">
        <w:t xml:space="preserve">We propose </w:t>
      </w:r>
      <w:r>
        <w:t xml:space="preserve">and seek comment on </w:t>
      </w:r>
      <w:r w:rsidRPr="006E7BC4">
        <w:t xml:space="preserve">specific </w:t>
      </w:r>
      <w:r>
        <w:t xml:space="preserve">data breach notification requirements for providers of </w:t>
      </w:r>
      <w:r w:rsidRPr="006E7BC4">
        <w:t xml:space="preserve">telecommunications </w:t>
      </w:r>
      <w:r>
        <w:t xml:space="preserve">services.  We think harmonizing these requirements is a common-sense approach to ensuring that customers of all telecommunications services, the Commission, and </w:t>
      </w:r>
      <w:r w:rsidR="002207DE">
        <w:t xml:space="preserve">other </w:t>
      </w:r>
      <w:r>
        <w:t>federal law enforcement receive timely notice of data breaches of customer PI.  We structure these proposals with the goal of ensuring that affected customers, the Commission, and other federal law enforcement agencies receive timely notice of data breaches so they can take appropriate action to mitigate the impact of such breaches and prevent future breaches.</w:t>
      </w:r>
      <w:r>
        <w:rPr>
          <w:rStyle w:val="FootnoteReference"/>
        </w:rPr>
        <w:footnoteReference w:id="371"/>
      </w:r>
      <w:r w:rsidRPr="006E7BC4">
        <w:t xml:space="preserve">  Specifically</w:t>
      </w:r>
      <w:r>
        <w:t>, we propose that in the event of a breach carriers shall:</w:t>
      </w:r>
    </w:p>
    <w:p w:rsidR="00324CD5" w:rsidRPr="00B40FB9" w:rsidRDefault="00324CD5" w:rsidP="00DD1589">
      <w:pPr>
        <w:pStyle w:val="ParaNum"/>
        <w:numPr>
          <w:ilvl w:val="0"/>
          <w:numId w:val="7"/>
        </w:numPr>
        <w:spacing w:after="0"/>
        <w:ind w:left="1080"/>
      </w:pPr>
      <w:r w:rsidRPr="00A43322">
        <w:rPr>
          <w:rFonts w:ascii="Times New Roman,Georgia" w:eastAsia="Times New Roman,Georgia" w:hAnsi="Times New Roman,Georgia" w:cs="Times New Roman,Georgia"/>
          <w:szCs w:val="22"/>
        </w:rPr>
        <w:t xml:space="preserve">Notify affected customers of breaches of </w:t>
      </w:r>
      <w:r>
        <w:rPr>
          <w:rFonts w:ascii="Times New Roman,Georgia" w:eastAsia="Times New Roman,Georgia" w:hAnsi="Times New Roman,Georgia" w:cs="Times New Roman,Georgia"/>
          <w:szCs w:val="22"/>
        </w:rPr>
        <w:t xml:space="preserve">customer PI </w:t>
      </w:r>
      <w:r w:rsidRPr="00A43322">
        <w:rPr>
          <w:rFonts w:ascii="Times New Roman,Georgia" w:eastAsia="Times New Roman,Georgia" w:hAnsi="Times New Roman,Georgia" w:cs="Times New Roman,Georgia"/>
          <w:szCs w:val="22"/>
        </w:rPr>
        <w:t>no later than 10 days after the discovery of the breach, subject to law enforcement needs</w:t>
      </w:r>
      <w:r>
        <w:rPr>
          <w:rFonts w:ascii="Times New Roman,Georgia" w:eastAsia="Times New Roman,Georgia" w:hAnsi="Times New Roman,Georgia" w:cs="Times New Roman,Georgia"/>
          <w:szCs w:val="22"/>
        </w:rPr>
        <w:t>, under circumstances enumerated by the Commission</w:t>
      </w:r>
      <w:r w:rsidRPr="00A43322">
        <w:rPr>
          <w:rFonts w:ascii="Times New Roman,Georgia" w:eastAsia="Times New Roman,Georgia" w:hAnsi="Times New Roman,Georgia" w:cs="Times New Roman,Georgia"/>
          <w:szCs w:val="22"/>
        </w:rPr>
        <w:t>.</w:t>
      </w:r>
    </w:p>
    <w:p w:rsidR="00324CD5" w:rsidRDefault="00324CD5" w:rsidP="00DD1589">
      <w:pPr>
        <w:pStyle w:val="ParaNum"/>
        <w:numPr>
          <w:ilvl w:val="0"/>
          <w:numId w:val="7"/>
        </w:numPr>
        <w:spacing w:after="0"/>
        <w:ind w:left="1080"/>
      </w:pPr>
      <w:r>
        <w:t>N</w:t>
      </w:r>
      <w:r w:rsidRPr="00022874">
        <w:t>otify the</w:t>
      </w:r>
      <w:r>
        <w:t xml:space="preserve"> Commission of any breach of customer PI no later than 7 days after discovery of the breach.</w:t>
      </w:r>
    </w:p>
    <w:p w:rsidR="00324CD5" w:rsidRDefault="00324CD5" w:rsidP="00DD1589">
      <w:pPr>
        <w:pStyle w:val="ParaNum"/>
        <w:numPr>
          <w:ilvl w:val="0"/>
          <w:numId w:val="7"/>
        </w:numPr>
        <w:spacing w:after="0"/>
        <w:ind w:left="1080"/>
        <w:rPr>
          <w:rFonts w:ascii="Times New Roman,Calibri" w:eastAsia="Times New Roman,Calibri" w:hAnsi="Times New Roman,Calibri" w:cs="Times New Roman,Calibri"/>
          <w:szCs w:val="22"/>
        </w:rPr>
      </w:pPr>
      <w:r>
        <w:t xml:space="preserve">Notify the Federal Bureau of Investigation (FBI) and the U.S. Secret Service (Secret Service) </w:t>
      </w:r>
      <w:r w:rsidRPr="00022874">
        <w:t>of breach</w:t>
      </w:r>
      <w:r>
        <w:t xml:space="preserve">es of customer PI reasonably believed to relate to more than 5,000 </w:t>
      </w:r>
      <w:r w:rsidRPr="00022874">
        <w:t>customers</w:t>
      </w:r>
      <w:r>
        <w:t xml:space="preserve"> </w:t>
      </w:r>
      <w:r w:rsidRPr="004652BD">
        <w:rPr>
          <w:rFonts w:ascii="Times New Roman,Calibri" w:eastAsia="Times New Roman,Calibri" w:hAnsi="Times New Roman,Calibri" w:cs="Times New Roman,Calibri"/>
          <w:szCs w:val="22"/>
        </w:rPr>
        <w:t>no later than 7 days after discovery of the breach, and at least 3 days before notification to the customers.</w:t>
      </w:r>
    </w:p>
    <w:p w:rsidR="00324CD5" w:rsidRPr="00C81DEB" w:rsidRDefault="00324CD5" w:rsidP="00324CD5">
      <w:pPr>
        <w:pStyle w:val="ParaNum"/>
        <w:numPr>
          <w:ilvl w:val="0"/>
          <w:numId w:val="0"/>
        </w:numPr>
        <w:spacing w:after="0"/>
        <w:ind w:left="1080"/>
        <w:rPr>
          <w:rFonts w:ascii="Times New Roman,Calibri" w:eastAsia="Times New Roman,Calibri" w:hAnsi="Times New Roman,Calibri" w:cs="Times New Roman,Calibri"/>
          <w:szCs w:val="22"/>
        </w:rPr>
      </w:pPr>
    </w:p>
    <w:p w:rsidR="00324CD5" w:rsidRPr="00653E83" w:rsidRDefault="00324CD5" w:rsidP="00324CD5">
      <w:pPr>
        <w:pStyle w:val="ParaNum"/>
      </w:pPr>
      <w:r>
        <w:t>We discuss and seek comment on each of these proposals in detail below, but as an initial matter we seek comment on our proposals generally.  Below, we first discuss our requirements for notifying customers and federal law enforcement of data breaches.  We also seek comment on what information should be provided to customers and law enforcement as part of the data breach notification, whether we should impose record keeping requirements with respect to data breach notification, and whether we should, in fact, harmonize our voice and broadband data breach notification rules</w:t>
      </w:r>
      <w:r w:rsidR="002E3013">
        <w:t>, and on whether we should adopt harmonizing rules for cable and satellite providers</w:t>
      </w:r>
      <w:r>
        <w:t xml:space="preserve">.  Finally, we seek comment on appropriate breach notification requirements in response to a breach of data received by a third party.  </w:t>
      </w:r>
    </w:p>
    <w:p w:rsidR="00324CD5" w:rsidRDefault="00324CD5" w:rsidP="00324CD5">
      <w:pPr>
        <w:pStyle w:val="Heading3"/>
      </w:pPr>
      <w:bookmarkStart w:id="673" w:name="_Toc440575610"/>
      <w:bookmarkStart w:id="674" w:name="_Toc440575880"/>
      <w:bookmarkStart w:id="675" w:name="_Toc441849987"/>
      <w:bookmarkStart w:id="676" w:name="_Toc443049943"/>
      <w:bookmarkStart w:id="677" w:name="_Toc443660126"/>
      <w:bookmarkStart w:id="678" w:name="_Toc444095753"/>
      <w:bookmarkStart w:id="679" w:name="_Toc445192977"/>
      <w:bookmarkStart w:id="680" w:name="_Toc445193070"/>
      <w:bookmarkStart w:id="681" w:name="_Toc445193141"/>
      <w:bookmarkStart w:id="682" w:name="_Toc445276274"/>
      <w:bookmarkStart w:id="683" w:name="_Ref445294224"/>
      <w:bookmarkStart w:id="684" w:name="_Ref445294234"/>
      <w:bookmarkStart w:id="685" w:name="_Toc445367863"/>
      <w:bookmarkStart w:id="686" w:name="_Ref446517271"/>
      <w:bookmarkStart w:id="687" w:name="_Toc446937472"/>
      <w:bookmarkStart w:id="688" w:name="_Toc447116344"/>
      <w:bookmarkStart w:id="689" w:name="_Toc447121233"/>
      <w:bookmarkStart w:id="690" w:name="_Toc440575609"/>
      <w:bookmarkStart w:id="691" w:name="_Toc440575879"/>
      <w:r>
        <w:t>Customer Notification</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rsidR="00324CD5" w:rsidRDefault="00324CD5" w:rsidP="007332B9">
      <w:pPr>
        <w:pStyle w:val="ParaNum"/>
        <w:widowControl/>
      </w:pPr>
      <w:r>
        <w:t>We propose to require BIAS providers and other telecommunications carriers to notify customers of breaches of customer PI no later than 10 days after discovery of the breach, absent a request by federal law enforcement to delay customer notification.  Recognizing the harms inherent in over-notification</w:t>
      </w:r>
      <w:r w:rsidRPr="008274A0">
        <w:t>,</w:t>
      </w:r>
      <w:r>
        <w:t xml:space="preserve"> we </w:t>
      </w:r>
      <w:r w:rsidRPr="008274A0">
        <w:t xml:space="preserve">propose to adopt a trigger to limit breach notification in certain circumstances. </w:t>
      </w:r>
      <w:r>
        <w:t xml:space="preserve"> We seek comment on this proposal.</w:t>
      </w:r>
    </w:p>
    <w:p w:rsidR="00324CD5" w:rsidRDefault="00324CD5" w:rsidP="007332B9">
      <w:pPr>
        <w:pStyle w:val="ParaNum"/>
        <w:widowControl/>
      </w:pPr>
      <w:r>
        <w:t>We seek comment on under what circumstances BIAS providers should be required to notify customers of a breach of customer PI.</w:t>
      </w:r>
      <w:r w:rsidRPr="008274A0">
        <w:t xml:space="preserve"> </w:t>
      </w:r>
      <w:r>
        <w:t xml:space="preserve"> </w:t>
      </w:r>
      <w:r w:rsidRPr="00C91C38">
        <w:t xml:space="preserve"> </w:t>
      </w:r>
      <w:r>
        <w:t xml:space="preserve">For consistency and to minimize burdens on breached entities, we look to other federal statutes and other jurisdictions as a basis for determining when it is appropriate to notify, or not notify, consumers of a breach of customer PI.  Various state regulations employ a variety of triggers to address this challenge.  We seek comment on whether some of these state requirements would also effectively serve our purpose.  For example, some states do not require disclosure </w:t>
      </w:r>
      <w:r w:rsidRPr="008274A0">
        <w:t>if, after an appropriate investigation, the covered entity determines that there is not a reasonable likelihood that harm to the consumers will result from the breach.</w:t>
      </w:r>
      <w:r>
        <w:rPr>
          <w:rStyle w:val="FootnoteReference"/>
        </w:rPr>
        <w:footnoteReference w:id="372"/>
      </w:r>
      <w:r w:rsidRPr="00F6368A">
        <w:rPr>
          <w:color w:val="1F497D"/>
        </w:rPr>
        <w:t xml:space="preserve">  </w:t>
      </w:r>
      <w:r>
        <w:t>Should we require breach reporting based on the likelihood of misuse of the data that has been breached or of harm to the consumer?</w:t>
      </w:r>
      <w:r>
        <w:rPr>
          <w:rStyle w:val="FootnoteReference"/>
        </w:rPr>
        <w:footnoteReference w:id="373"/>
      </w:r>
      <w:r>
        <w:t xml:space="preserve">  If so, how would broadband providers, and the Commission, determine the likelihood of misuse or harm?  If we adopted such a standard, is it necessary to clarify what is meant by “misuse” or “harm”?</w:t>
      </w:r>
      <w:r>
        <w:rPr>
          <w:rStyle w:val="FootnoteReference"/>
        </w:rPr>
        <w:footnoteReference w:id="374"/>
      </w:r>
      <w:r>
        <w:t xml:space="preserve">  Is it necessary to also require the provider to consult with federal law enforcement when determining whether there is a reasonable likelihood of harm or misuse?</w:t>
      </w:r>
      <w:r>
        <w:rPr>
          <w:rStyle w:val="FootnoteReference"/>
        </w:rPr>
        <w:footnoteReference w:id="375"/>
      </w:r>
      <w:r>
        <w:t xml:space="preserve">    </w:t>
      </w:r>
    </w:p>
    <w:p w:rsidR="00324CD5" w:rsidRDefault="00324CD5" w:rsidP="00324CD5">
      <w:pPr>
        <w:pStyle w:val="ParaNum"/>
      </w:pPr>
      <w:r>
        <w:t>Alternatively, should the requirement to notify customers of a breach be calibrated to a particular type of misuse or harm?</w:t>
      </w:r>
      <w:r>
        <w:rPr>
          <w:rStyle w:val="FootnoteReference"/>
        </w:rPr>
        <w:footnoteReference w:id="376"/>
      </w:r>
      <w:r>
        <w:t xml:space="preserve">  Should it be calibrated to the sensitivity of the information?  If we allow time for an appropriate investigation, how much time should providers have before they need to make their determination or disclose the breach to customers?  If the provider determines that harm to the customer is likely to occur, how quickly thereafter would the provider need to notify the customer of the breach?  Are there other triggers we should consider, such as the number of affected consumers?  Should different triggers apply to different types of customer PI?  Are there other factors that we should consider before requiring breach notifications?   What are the potential enforcement and compliance implications associated with this approach?  </w:t>
      </w:r>
    </w:p>
    <w:p w:rsidR="00324CD5" w:rsidRDefault="00324CD5" w:rsidP="00324CD5">
      <w:pPr>
        <w:pStyle w:val="ParaNum"/>
      </w:pPr>
      <w:r>
        <w:t>Our existing Section 222 rule does not specify how quickly affected customers must be notified of a data breach involving CPNI.  Instead it requires that seven full business days pass after notification to the FBI and the Secret Service before the carrier may notify customers or disclose the breach to the public.</w:t>
      </w:r>
      <w:r>
        <w:rPr>
          <w:rStyle w:val="FootnoteReference"/>
        </w:rPr>
        <w:footnoteReference w:id="377"/>
      </w:r>
      <w:r>
        <w:t xml:space="preserve">  Notifying affected customers no later than 10 days following discovery of the breach will allow customers to take any measures they need to address the breach in as timely a manner as possible.  We seek comment on this proposal and on potential alternatives.   </w:t>
      </w:r>
    </w:p>
    <w:p w:rsidR="00324CD5" w:rsidRDefault="00324CD5" w:rsidP="00324CD5">
      <w:pPr>
        <w:pStyle w:val="ParaNum"/>
      </w:pPr>
      <w:r>
        <w:t xml:space="preserve">Consistent with our current Section 222 rules, our proposed rules allow federal law enforcement to direct a provider to delay customer notification </w:t>
      </w:r>
      <w:r w:rsidRPr="008F216F">
        <w:rPr>
          <w:rFonts w:ascii="Times New Roman,Georgia" w:eastAsia="Times New Roman,Georgia" w:hAnsi="Times New Roman,Georgia" w:cs="Times New Roman,Georgia"/>
          <w:szCs w:val="22"/>
        </w:rPr>
        <w:t>if notification would interfere with a criminal or national security investigation</w:t>
      </w:r>
      <w:r>
        <w:t>.</w:t>
      </w:r>
      <w:r>
        <w:rPr>
          <w:rStyle w:val="FootnoteReference"/>
        </w:rPr>
        <w:footnoteReference w:id="378"/>
      </w:r>
      <w:r>
        <w:t xml:space="preserve">  We seek comment on this proposal.  Should we delay customer notification in every—or in any—instances because of the potential for such notification to interfere with an investigation?  The Commission adopted the staggered notification system at the request of federal law enforcement.</w:t>
      </w:r>
      <w:r>
        <w:rPr>
          <w:rStyle w:val="FootnoteReference"/>
        </w:rPr>
        <w:footnoteReference w:id="379"/>
      </w:r>
      <w:r>
        <w:t xml:space="preserve">  But, is that still an approach recommended by law enforcement and other stakeholders?  Our current Section 222 rules allow carriers to notify affected customers sooner than otherwise required in order to avoid immediate and irreparable harm, but only after consultation with the relevant investigating agency.</w:t>
      </w:r>
      <w:r>
        <w:rPr>
          <w:rStyle w:val="FootnoteReference"/>
        </w:rPr>
        <w:footnoteReference w:id="380"/>
      </w:r>
      <w:r>
        <w:t xml:space="preserve">  Should we include such an exception in any new rules?  </w:t>
      </w:r>
    </w:p>
    <w:p w:rsidR="00324CD5" w:rsidRDefault="00324CD5" w:rsidP="00324CD5">
      <w:pPr>
        <w:pStyle w:val="ParaNum"/>
      </w:pPr>
      <w:r>
        <w:t>Instead of requiring customer notification of a data breach within a specific period of time, should we adopt a more flexible standard for the timing of customer notification?  For example, many state data breach statutes impose an “expeditiously as practicable” or “without unreasonable delay” standard instead of a set timeframe for reporting.</w:t>
      </w:r>
      <w:r>
        <w:rPr>
          <w:rStyle w:val="FootnoteReference"/>
        </w:rPr>
        <w:footnoteReference w:id="381"/>
      </w:r>
      <w:r>
        <w:t xml:space="preserve">  What are the benefits and drawbacks to such an approach?  If we were to adopt such a standard, should we provide guidance on what would be considered a “reasonable” delay?  Under such an approach, how could the Commission ensure that both federal law enforcement agencies and customers are notified in a timely manner?  Could the Commission effectively enforce these requirements with such an approach?  Should the Commission consider establishing any exceptions to this requirement?  Or, should breaches of voice customer PI be distinguished from breaches of broadband customer PI for the reporting requirement?  What would the impact of this requirement be on small providers?   </w:t>
      </w:r>
    </w:p>
    <w:p w:rsidR="00324CD5" w:rsidRDefault="00324CD5" w:rsidP="00324CD5">
      <w:pPr>
        <w:pStyle w:val="ParaNum"/>
      </w:pPr>
      <w:r>
        <w:t xml:space="preserve"> </w:t>
      </w:r>
      <w:bookmarkStart w:id="692" w:name="_Ref445294138"/>
      <w:r>
        <w:t>Although we propose to require notice to customers only after discovery of a breach, we seek comment on whether we should require notice when the telecommunications carrier discovers conduct that would reasonably lead to exposure of customer PI.  Should any such requirement be adopted in addition to or in place of a requirement to provide notice upon discovery of a breach?</w:t>
      </w:r>
      <w:bookmarkEnd w:id="692"/>
      <w:r>
        <w:t xml:space="preserve">  </w:t>
      </w:r>
    </w:p>
    <w:p w:rsidR="00324CD5" w:rsidRDefault="00324CD5" w:rsidP="00324CD5">
      <w:pPr>
        <w:pStyle w:val="ParaNum"/>
      </w:pPr>
      <w:r>
        <w:rPr>
          <w:i/>
        </w:rPr>
        <w:t xml:space="preserve">Content of customer data breach </w:t>
      </w:r>
      <w:r w:rsidRPr="00E70555">
        <w:rPr>
          <w:i/>
        </w:rPr>
        <w:t>notification</w:t>
      </w:r>
      <w:r>
        <w:t xml:space="preserve">.  </w:t>
      </w:r>
      <w:r w:rsidRPr="00E70555">
        <w:t>We</w:t>
      </w:r>
      <w:r>
        <w:t xml:space="preserve"> propose to require that the customer data breach notice include basic information about the breach sufficient to convey an understanding of the scope of the breach, any harm that might result, and whether customers should take action in response.  Specifically we propose to require that a carrier’s notification to affected customers include the following:</w:t>
      </w:r>
    </w:p>
    <w:p w:rsidR="00324CD5" w:rsidRDefault="00324CD5" w:rsidP="00DD1589">
      <w:pPr>
        <w:pStyle w:val="ListParagraph"/>
        <w:numPr>
          <w:ilvl w:val="0"/>
          <w:numId w:val="8"/>
        </w:numPr>
        <w:tabs>
          <w:tab w:val="clear" w:pos="2160"/>
          <w:tab w:val="left" w:pos="1440"/>
        </w:tabs>
      </w:pPr>
      <w:r>
        <w:t>The date, estimated date, or estimated date range of the breach;</w:t>
      </w:r>
      <w:r>
        <w:rPr>
          <w:rStyle w:val="FootnoteReference"/>
        </w:rPr>
        <w:footnoteReference w:id="382"/>
      </w:r>
    </w:p>
    <w:p w:rsidR="00324CD5" w:rsidRDefault="00324CD5" w:rsidP="00DD1589">
      <w:pPr>
        <w:pStyle w:val="ListParagraph"/>
        <w:numPr>
          <w:ilvl w:val="0"/>
          <w:numId w:val="8"/>
        </w:numPr>
        <w:tabs>
          <w:tab w:val="left" w:pos="1440"/>
        </w:tabs>
      </w:pPr>
      <w:r>
        <w:t xml:space="preserve">A description of the customer PI that was </w:t>
      </w:r>
      <w:r>
        <w:rPr>
          <w:rFonts w:eastAsia="Calibri"/>
          <w:szCs w:val="22"/>
        </w:rPr>
        <w:t>used,</w:t>
      </w:r>
      <w:r w:rsidRPr="00C3333A">
        <w:rPr>
          <w:rFonts w:eastAsia="Calibri"/>
          <w:szCs w:val="22"/>
        </w:rPr>
        <w:t xml:space="preserve"> disclosed, or accessed, or reasonably believed to have been used, disclosed, or accessed, by a person without authorization or exceeding authorization as a part of the breach of security;</w:t>
      </w:r>
      <w:r>
        <w:rPr>
          <w:rStyle w:val="FootnoteReference"/>
          <w:rFonts w:eastAsia="Calibri"/>
          <w:szCs w:val="22"/>
        </w:rPr>
        <w:footnoteReference w:id="383"/>
      </w:r>
    </w:p>
    <w:p w:rsidR="00324CD5" w:rsidRDefault="00324CD5" w:rsidP="00DD1589">
      <w:pPr>
        <w:pStyle w:val="ListParagraph"/>
        <w:numPr>
          <w:ilvl w:val="0"/>
          <w:numId w:val="8"/>
        </w:numPr>
        <w:tabs>
          <w:tab w:val="left" w:pos="1440"/>
        </w:tabs>
      </w:pPr>
      <w:r>
        <w:t>Information the customer can use to contact the telecommunications provider to inquire about the breach of security and the customer PI that the carrier maintains about the customer;</w:t>
      </w:r>
      <w:r>
        <w:rPr>
          <w:rStyle w:val="FootnoteReference"/>
        </w:rPr>
        <w:footnoteReference w:id="384"/>
      </w:r>
    </w:p>
    <w:p w:rsidR="00324CD5" w:rsidRDefault="00324CD5" w:rsidP="00DD1589">
      <w:pPr>
        <w:pStyle w:val="ListParagraph"/>
        <w:numPr>
          <w:ilvl w:val="0"/>
          <w:numId w:val="8"/>
        </w:numPr>
        <w:tabs>
          <w:tab w:val="left" w:pos="1440"/>
        </w:tabs>
      </w:pPr>
      <w:r>
        <w:t>Information about how to contact the Federal Communications Commission and any state regulatory agencies relevant to the customer and the service;</w:t>
      </w:r>
      <w:r>
        <w:rPr>
          <w:rStyle w:val="FootnoteReference"/>
        </w:rPr>
        <w:footnoteReference w:id="385"/>
      </w:r>
      <w:r>
        <w:t xml:space="preserve"> and</w:t>
      </w:r>
    </w:p>
    <w:p w:rsidR="00324CD5" w:rsidRDefault="00324CD5" w:rsidP="00DD1589">
      <w:pPr>
        <w:pStyle w:val="ListParagraph"/>
        <w:numPr>
          <w:ilvl w:val="0"/>
          <w:numId w:val="8"/>
        </w:numPr>
        <w:tabs>
          <w:tab w:val="left" w:pos="1440"/>
        </w:tabs>
      </w:pPr>
      <w:r>
        <w:t xml:space="preserve">Information about national credit-reporting agencies and the steps </w:t>
      </w:r>
      <w:r w:rsidRPr="00C3333A">
        <w:t xml:space="preserve">customers can take to guard against identity theft, including any credit monitoring or reporting the </w:t>
      </w:r>
      <w:r>
        <w:t>telecommunications</w:t>
      </w:r>
      <w:r w:rsidRPr="00C3333A">
        <w:t xml:space="preserve"> provider is offering customers affected by the breach of security.</w:t>
      </w:r>
      <w:r>
        <w:rPr>
          <w:rStyle w:val="FootnoteReference"/>
        </w:rPr>
        <w:footnoteReference w:id="386"/>
      </w:r>
    </w:p>
    <w:p w:rsidR="00324CD5" w:rsidRDefault="00324CD5" w:rsidP="00324CD5">
      <w:pPr>
        <w:pStyle w:val="ParaNum"/>
      </w:pPr>
      <w:bookmarkStart w:id="693" w:name="_Ref446579773"/>
      <w:r>
        <w:t>We seek comment on this proposal and potential alternatives.  The existing Section 222 breach notification rule does not specify the content of customer notification.  In 2007, the Commission declined to do so, leaving the contents to the discretion of carriers to tailor the language and method to the circumstances.</w:t>
      </w:r>
      <w:r>
        <w:rPr>
          <w:rStyle w:val="FootnoteReference"/>
        </w:rPr>
        <w:footnoteReference w:id="387"/>
      </w:r>
      <w:r>
        <w:t xml:space="preserve">  Although we continue to believe that breached entities should have discretion to tailor the language and method of notification to the circumstances, we believe that it is appropriate to specify the above as a baseline of fundamental information that should be provided to affected individuals to ensure customers receive an adequate level of protection.  Does our proposal include the information that customers will likely need in order to take measures to address a breach and its ramifications?  Is there additional information that we should require providers to include in their data breach notifications to customers?  Should any of the proposed content requirements be revised, and should any be removed?  Should content requirements vary based on the type of information breached, the number of customers affected, the extent of economic harm, if any, or other factors?  If so, how should the requirements vary?</w:t>
      </w:r>
      <w:bookmarkEnd w:id="693"/>
      <w:r>
        <w:t xml:space="preserve">  </w:t>
      </w:r>
    </w:p>
    <w:p w:rsidR="00324CD5" w:rsidRDefault="00324CD5" w:rsidP="00324CD5">
      <w:pPr>
        <w:pStyle w:val="ParaNum"/>
      </w:pPr>
      <w:r>
        <w:rPr>
          <w:i/>
        </w:rPr>
        <w:t xml:space="preserve">Method of customer data breach notification.  </w:t>
      </w:r>
      <w:r>
        <w:t>In order to inform customers about breaches, we propose that the telecommunications carrier should provide written notification to the customer’s address of record, email address, or by contacting the customer by other electronic means using contact information the customer has provided for such purposes.  This framework ensures that customers receive prompt notification in the manner in which they expect to be contacted by their telecommunications carriers.  In 2007, the Commission chose not to specify the method by which carriers would notify their affected customers of a breach.</w:t>
      </w:r>
      <w:r>
        <w:rPr>
          <w:rStyle w:val="FootnoteReference"/>
        </w:rPr>
        <w:footnoteReference w:id="388"/>
      </w:r>
      <w:r>
        <w:t xml:space="preserve">  Our proposal is consistent with the HIPAA breach rule</w:t>
      </w:r>
      <w:r>
        <w:rPr>
          <w:rStyle w:val="FootnoteReference"/>
        </w:rPr>
        <w:footnoteReference w:id="389"/>
      </w:r>
      <w:r>
        <w:t xml:space="preserve"> and many state breach notification rules</w:t>
      </w:r>
      <w:r>
        <w:rPr>
          <w:rStyle w:val="FootnoteReference"/>
        </w:rPr>
        <w:footnoteReference w:id="390"/>
      </w:r>
      <w:r>
        <w:t xml:space="preserve"> that specify that notification can be by mail, by e-mail, or by other electronic means using contact information the customer has provided.  Service providers should be in the best position to know how to reach their customers with important notifications and should have already established how to communicate important notifications to their customers.  We seek comment on our proposal, and whether a more specific notification method is necessary or desirable to protect customers.  </w:t>
      </w:r>
    </w:p>
    <w:p w:rsidR="00324CD5" w:rsidRDefault="00324CD5" w:rsidP="00324CD5">
      <w:pPr>
        <w:pStyle w:val="Heading3"/>
      </w:pPr>
      <w:bookmarkStart w:id="694" w:name="_Toc443049944"/>
      <w:bookmarkStart w:id="695" w:name="_Toc443660127"/>
      <w:bookmarkStart w:id="696" w:name="_Toc444095754"/>
      <w:bookmarkStart w:id="697" w:name="_Toc441849988"/>
      <w:bookmarkStart w:id="698" w:name="_Toc445192978"/>
      <w:bookmarkStart w:id="699" w:name="_Toc445193071"/>
      <w:bookmarkStart w:id="700" w:name="_Toc445193142"/>
      <w:bookmarkStart w:id="701" w:name="_Toc445276275"/>
      <w:bookmarkStart w:id="702" w:name="_Toc445367864"/>
      <w:bookmarkStart w:id="703" w:name="_Ref446517310"/>
      <w:bookmarkStart w:id="704" w:name="_Toc446937473"/>
      <w:bookmarkStart w:id="705" w:name="_Toc447116345"/>
      <w:bookmarkStart w:id="706" w:name="_Toc447121234"/>
      <w:r>
        <w:t xml:space="preserve">Notification to Federal Law Enforcement </w:t>
      </w:r>
      <w:bookmarkEnd w:id="690"/>
      <w:bookmarkEnd w:id="691"/>
      <w:bookmarkEnd w:id="694"/>
      <w:bookmarkEnd w:id="695"/>
      <w:bookmarkEnd w:id="696"/>
      <w:bookmarkEnd w:id="697"/>
      <w:r>
        <w:t>and the Commission</w:t>
      </w:r>
      <w:bookmarkEnd w:id="698"/>
      <w:bookmarkEnd w:id="699"/>
      <w:bookmarkEnd w:id="700"/>
      <w:bookmarkEnd w:id="701"/>
      <w:bookmarkEnd w:id="702"/>
      <w:bookmarkEnd w:id="703"/>
      <w:bookmarkEnd w:id="704"/>
      <w:bookmarkEnd w:id="705"/>
      <w:bookmarkEnd w:id="706"/>
      <w:r>
        <w:t xml:space="preserve"> </w:t>
      </w:r>
    </w:p>
    <w:p w:rsidR="00324CD5" w:rsidRDefault="00324CD5" w:rsidP="00324CD5">
      <w:pPr>
        <w:pStyle w:val="ParaNum"/>
      </w:pPr>
      <w:r>
        <w:t xml:space="preserve">In order to ensure that law enforcement has timely notice to conduct confidential investigations into data breaches, we propose to require telecommunications providers to notify the Commission no later than seven days after discovering any breach of customer PI, and to notify the FBI and the Secret Service no later than seven days after discovery a breach of customer PI reasonably believed to have affected at least 5,000 customers.  With regard to federal law enforcement notification, we further require that such notifications occur at least three days before a provider notifies its affected customers, except as discussed above.  We seek comment on our proposal.  </w:t>
      </w:r>
    </w:p>
    <w:p w:rsidR="00324CD5" w:rsidRDefault="00324CD5" w:rsidP="00324CD5">
      <w:pPr>
        <w:pStyle w:val="ParaNum"/>
      </w:pPr>
      <w:bookmarkStart w:id="707" w:name="_Ref446581075"/>
      <w:r>
        <w:t>Our proposal, which aims to balance the importance of data breach notifications with the administrative burdens on telecommunications carriers and law enforcement agencies from excessive reporting, is consistent with many state statutes requiring notice to state law enforcement authorities,</w:t>
      </w:r>
      <w:r>
        <w:rPr>
          <w:rStyle w:val="FootnoteReference"/>
        </w:rPr>
        <w:footnoteReference w:id="391"/>
      </w:r>
      <w:r>
        <w:t xml:space="preserve"> proposed federal legislation,</w:t>
      </w:r>
      <w:r>
        <w:rPr>
          <w:rStyle w:val="FootnoteReference"/>
        </w:rPr>
        <w:footnoteReference w:id="392"/>
      </w:r>
      <w:r>
        <w:t xml:space="preserve"> and the Executive Branch’s legislative proposal, each of which require law enforcement notification of large breaches.</w:t>
      </w:r>
      <w:r>
        <w:rPr>
          <w:rStyle w:val="FootnoteReference"/>
        </w:rPr>
        <w:footnoteReference w:id="393"/>
      </w:r>
      <w:r>
        <w:t xml:space="preserve">  We do not want over-reporting to the FBI and the Secret Service to impose an excessive burden on their resources.  We seek comment on our proposed threshold of 5,000 affected customers before a provider must report a data breach to the FBI and the Secret Service.  Should we have a threshold for such reporting?  If so, is 5,000 affected customers the correct threshold?  For example, although a slightly different context, we note that some states have a minimum threshold of 10,000 affected customers for reporting to the consumer reporting agencies.</w:t>
      </w:r>
      <w:r>
        <w:rPr>
          <w:rStyle w:val="FootnoteReference"/>
        </w:rPr>
        <w:footnoteReference w:id="394"/>
      </w:r>
      <w:r>
        <w:t xml:space="preserve">  We observe that our proposed threshold would reduce the burden on existing voice telecommunications carriers, which are currently required to report </w:t>
      </w:r>
      <w:r w:rsidRPr="00EF19EF">
        <w:rPr>
          <w:i/>
        </w:rPr>
        <w:t>all</w:t>
      </w:r>
      <w:r>
        <w:t xml:space="preserve"> breaches to the FBI and Secret Service.  Does the proposed reporting threshold meet the needs of law enforcement and provide adequate safeguards?  We also seek comment on whether other or different federal law enforcement agencies should receive data breach notification reports from providers.  In addition to other federal law enforcement agencies, we also seek comment about whether we should require telecommunications carriers to report breaches to relevant state law enforcement agencies.  What are the benefits and drawbacks of this proposal, particularly for small providers?</w:t>
      </w:r>
      <w:bookmarkEnd w:id="707"/>
    </w:p>
    <w:p w:rsidR="00324CD5" w:rsidRDefault="00324CD5" w:rsidP="00324CD5">
      <w:pPr>
        <w:pStyle w:val="ParaNum"/>
      </w:pPr>
      <w:r>
        <w:t xml:space="preserve">We propose to require providers to give the Commission notice of all data breaches, not just those affecting 5,000 or more customers.  As the agency responsible for regulating telecommunications services, we have a responsibility to know about problems arising in the telecommunications industry.  Breaches affecting smaller numbers of customers may not cause the same law enforcement concerns as larger breaches because they may be less likely to reflect coordinated attacks on customer PI.  They may, however, provide a strong indication to Commission staff about existing data security vulnerabilities that Commission staff can help providers address through informal coordination and guidance.  They may also shed light on providers’ ongoing compliance with our rules.  We invite commenters to explain whether the Commission should be notified of all data breaches.  Are there reasons that the Commission should not be notified of all data breaches?  How much of an incremental burden is associated with notifying the Commission of all data breaches as opposed to only notifying customers of all data breaches?  </w:t>
      </w:r>
    </w:p>
    <w:p w:rsidR="00324CD5" w:rsidRDefault="00324CD5" w:rsidP="00324CD5">
      <w:pPr>
        <w:pStyle w:val="ParaNum"/>
      </w:pPr>
      <w:r>
        <w:t>We also propose that notification to federal law enforcement, when required, should be made no later than seven days after discovery of the breach, and at least three days before notification of a customer.  We seek comment on this proposal and on potential alternative approaches.  Will the proposed time-frames for reporting to law enforcement agencies be effective?  The Commission’s existing rule provides that such notification must be made “[a]</w:t>
      </w:r>
      <w:r w:rsidRPr="0081269C">
        <w:t>s soon as practicable, and in no event later than seven (7) business days, after reasonable determination of the breach</w:t>
      </w:r>
      <w:r>
        <w:t>.”</w:t>
      </w:r>
      <w:r>
        <w:rPr>
          <w:rStyle w:val="FootnoteReference"/>
        </w:rPr>
        <w:footnoteReference w:id="395"/>
      </w:r>
      <w:r>
        <w:t xml:space="preserve">   </w:t>
      </w:r>
    </w:p>
    <w:p w:rsidR="00324CD5" w:rsidRDefault="00324CD5" w:rsidP="00324CD5">
      <w:pPr>
        <w:pStyle w:val="ParaNum"/>
      </w:pPr>
      <w:r>
        <w:t>Although we propose to require notice to law enforcement only upon discovery of a breach, we seek comment on whether we should require notice when the telecommunications provider discovers conduct that would reasonably lead to exposure of customer PI.</w:t>
      </w:r>
      <w:r>
        <w:rPr>
          <w:rStyle w:val="FootnoteReference"/>
        </w:rPr>
        <w:footnoteReference w:id="396"/>
      </w:r>
      <w:r>
        <w:t xml:space="preserve">  Should any such requirement be adopted in addition to or in place of a requirement to provide notice upon discovery of a breach?  Is such a requirement overly-broad to achieve our purposes?  Would such a duty help protect customers against breaches and against the effects of being unaware that their information has been breached?  If we do adopt such a requirement, should we require that the provider reasonably believe that the potential breach could affect a certain number of customers?</w:t>
      </w:r>
    </w:p>
    <w:p w:rsidR="00324CD5" w:rsidRDefault="00324CD5" w:rsidP="00324CD5">
      <w:pPr>
        <w:pStyle w:val="ParaNum"/>
      </w:pPr>
      <w:r w:rsidRPr="007452DE">
        <w:rPr>
          <w:i/>
        </w:rPr>
        <w:t>The method and content of data breach notification to federal law enforcement</w:t>
      </w:r>
      <w:r>
        <w:t>.  We propose to extend our existing Section 222 requirements for both the method and substance of the data breach notification to federal law enforcement agencies to include notice to the Commission, and to impose the same obligations on BIAS providers.  Our current breach notification rule requires that voice providers notify the FBI and Secret Service “through a central reporting facility” to which the Commission maintains a link on its website.</w:t>
      </w:r>
      <w:r>
        <w:rPr>
          <w:rStyle w:val="FootnoteReference"/>
        </w:rPr>
        <w:footnoteReference w:id="397"/>
      </w:r>
      <w:r>
        <w:t xml:space="preserve">  We believe that the information currently submitted through the FBI/Secret Service reporting facility is sufficient, and that the same information should be reported under the rule we propose here.  We seek comment on our proposal.  Are there any additional or alternative categories of information or methods of communication that should be included in these disclosures?  To protect individuals’ privacy, we do not propose requiring that any personal information about individuals be included in breach reports submitted to the Commission or to other governmental entities.  Are there any reasons such personal information should be included, and how could we ensure that any such requirement would be consistent with our goal of protecting the privacy of individuals?  Alternatively, should we affirmatively prohibit customer PI from being included in reports submitted to the Commission or other governmental entities?  </w:t>
      </w:r>
    </w:p>
    <w:p w:rsidR="00324CD5" w:rsidRDefault="00324CD5" w:rsidP="00324CD5">
      <w:pPr>
        <w:pStyle w:val="Heading3"/>
      </w:pPr>
      <w:bookmarkStart w:id="708" w:name="_Toc443049945"/>
      <w:bookmarkStart w:id="709" w:name="_Toc443660128"/>
      <w:bookmarkStart w:id="710" w:name="_Toc444095755"/>
      <w:bookmarkStart w:id="711" w:name="_Toc445192979"/>
      <w:bookmarkStart w:id="712" w:name="_Toc445193072"/>
      <w:bookmarkStart w:id="713" w:name="_Toc445193143"/>
      <w:bookmarkStart w:id="714" w:name="_Toc445276276"/>
      <w:bookmarkStart w:id="715" w:name="_Toc445367865"/>
      <w:bookmarkStart w:id="716" w:name="_Ref446517332"/>
      <w:bookmarkStart w:id="717" w:name="_Ref446581121"/>
      <w:bookmarkStart w:id="718" w:name="_Toc446937474"/>
      <w:bookmarkStart w:id="719" w:name="_Toc447116346"/>
      <w:bookmarkStart w:id="720" w:name="_Toc447121235"/>
      <w:r w:rsidRPr="00D95D21">
        <w:t>Record Retention</w:t>
      </w:r>
      <w:bookmarkEnd w:id="708"/>
      <w:bookmarkEnd w:id="709"/>
      <w:bookmarkEnd w:id="710"/>
      <w:bookmarkEnd w:id="711"/>
      <w:bookmarkEnd w:id="712"/>
      <w:bookmarkEnd w:id="713"/>
      <w:bookmarkEnd w:id="714"/>
      <w:bookmarkEnd w:id="715"/>
      <w:bookmarkEnd w:id="716"/>
      <w:bookmarkEnd w:id="717"/>
      <w:bookmarkEnd w:id="718"/>
      <w:bookmarkEnd w:id="719"/>
      <w:bookmarkEnd w:id="720"/>
      <w:r>
        <w:t xml:space="preserve">  </w:t>
      </w:r>
    </w:p>
    <w:p w:rsidR="00324CD5" w:rsidRDefault="00324CD5" w:rsidP="00324CD5">
      <w:pPr>
        <w:pStyle w:val="ParaNum"/>
      </w:pPr>
      <w:r>
        <w:t>We propose to extend our existing Section 222 record retention requirements regarding data breaches to BIAS providers.  Currently, voice providers are required to maintain a record of any discovered breaches and notifications to the FBI, the Secret Service, and customers regarding those breaches for a period of at least two years.  This record must include, if available, the date that the carrier discovered the breach, the date that the carrier notified the Secret Service and the FBI, a detailed description of the CPNI that was breached, and the circumstances of the breach.</w:t>
      </w:r>
      <w:r>
        <w:rPr>
          <w:rStyle w:val="FootnoteReference"/>
        </w:rPr>
        <w:footnoteReference w:id="398"/>
      </w:r>
      <w:r>
        <w:t xml:space="preserve">  As with the rest of our proposal, we propose to extend this requirement to include a detailed description of the customer PI that was breached.  We seek comment on this proposal.</w:t>
      </w:r>
    </w:p>
    <w:p w:rsidR="00324CD5" w:rsidRDefault="00324CD5" w:rsidP="00324CD5">
      <w:pPr>
        <w:pStyle w:val="ParaNum"/>
      </w:pPr>
      <w:r>
        <w:t>We seek comment on how telecommunications carriers subject to our existing Section 222 rules have found the current Section 222 requirement to work in practice.  What have been the costs for compliance with this provision?  Is any of the information that we propose to be retained unnecessary?  Are there additional categories of information that should be retained?  We also seek comment whether this requirement has proved useful to law enforcement needs.  We seek comment on other potential alternatives.  What are the benefits and drawbacks of any alternative approaches?</w:t>
      </w:r>
      <w:r w:rsidDel="00027CBE">
        <w:t xml:space="preserve"> </w:t>
      </w:r>
    </w:p>
    <w:p w:rsidR="00324CD5" w:rsidRDefault="00324CD5" w:rsidP="00324CD5">
      <w:pPr>
        <w:pStyle w:val="Heading3"/>
      </w:pPr>
      <w:bookmarkStart w:id="721" w:name="_Toc441849991"/>
      <w:bookmarkStart w:id="722" w:name="_Toc443049946"/>
      <w:bookmarkStart w:id="723" w:name="_Toc443660129"/>
      <w:bookmarkStart w:id="724" w:name="_Toc444095756"/>
      <w:bookmarkStart w:id="725" w:name="_Toc445192980"/>
      <w:bookmarkStart w:id="726" w:name="_Toc445193073"/>
      <w:bookmarkStart w:id="727" w:name="_Toc445193144"/>
      <w:bookmarkStart w:id="728" w:name="_Toc445276277"/>
      <w:bookmarkStart w:id="729" w:name="_Ref445294264"/>
      <w:bookmarkStart w:id="730" w:name="_Toc445367866"/>
      <w:bookmarkStart w:id="731" w:name="_Toc446937475"/>
      <w:bookmarkStart w:id="732" w:name="_Toc447116347"/>
      <w:bookmarkStart w:id="733" w:name="_Toc447121236"/>
      <w:r>
        <w:t>Harmonization</w:t>
      </w:r>
      <w:bookmarkEnd w:id="721"/>
      <w:bookmarkEnd w:id="722"/>
      <w:bookmarkEnd w:id="723"/>
      <w:bookmarkEnd w:id="724"/>
      <w:bookmarkEnd w:id="725"/>
      <w:bookmarkEnd w:id="726"/>
      <w:bookmarkEnd w:id="727"/>
      <w:bookmarkEnd w:id="728"/>
      <w:bookmarkEnd w:id="729"/>
      <w:bookmarkEnd w:id="730"/>
      <w:bookmarkEnd w:id="731"/>
      <w:bookmarkEnd w:id="732"/>
      <w:bookmarkEnd w:id="733"/>
    </w:p>
    <w:p w:rsidR="00324CD5" w:rsidRDefault="00324CD5" w:rsidP="00324CD5">
      <w:pPr>
        <w:pStyle w:val="ParaNum"/>
      </w:pPr>
      <w:r>
        <w:t xml:space="preserve">We seek comment on our proposal to apply new data breach notification requirements to both voice and BIAS providers.  Both BIAS providers and providers of voice telephony receive sensitive information from customers, including about usage of the service provided.  When this information is compromised, customers may suffer substantial financial, privacy-related, and other harms.  Accordingly, we ask commenters to explain whether our proposed rules should apply equally to all providers of telecommunications services.  We are interested in understanding any efficiencies gained or potential problems caused by harmonizing the data breach notification rules across technologies.  Are there any reasons that BIAS providers and other telecommunications carriers should have different notification requirements for breaches of customer PI?  If so, what requirements should we adopt in the BIAS and voice contexts?   </w:t>
      </w:r>
      <w:r w:rsidR="002E3013">
        <w:t>We also seek comment on whether we should adopt harmonizing rules for cable and satellite providers.</w:t>
      </w:r>
    </w:p>
    <w:p w:rsidR="00324CD5" w:rsidRDefault="00324CD5" w:rsidP="00324CD5">
      <w:pPr>
        <w:pStyle w:val="Heading3"/>
      </w:pPr>
      <w:bookmarkStart w:id="734" w:name="_Toc443049947"/>
      <w:bookmarkStart w:id="735" w:name="_Toc443660130"/>
      <w:bookmarkStart w:id="736" w:name="_Toc444095757"/>
      <w:bookmarkStart w:id="737" w:name="_Toc445192981"/>
      <w:bookmarkStart w:id="738" w:name="_Toc445193074"/>
      <w:bookmarkStart w:id="739" w:name="_Toc445193145"/>
      <w:bookmarkStart w:id="740" w:name="_Toc445276278"/>
      <w:bookmarkStart w:id="741" w:name="_Toc445367867"/>
      <w:bookmarkStart w:id="742" w:name="_Ref446517366"/>
      <w:bookmarkStart w:id="743" w:name="_Toc446937476"/>
      <w:bookmarkStart w:id="744" w:name="_Toc447116348"/>
      <w:bookmarkStart w:id="745" w:name="_Toc447121237"/>
      <w:r>
        <w:t>Third-Party Data Breach Notification</w:t>
      </w:r>
      <w:bookmarkEnd w:id="734"/>
      <w:bookmarkEnd w:id="735"/>
      <w:bookmarkEnd w:id="736"/>
      <w:bookmarkEnd w:id="737"/>
      <w:bookmarkEnd w:id="738"/>
      <w:bookmarkEnd w:id="739"/>
      <w:bookmarkEnd w:id="740"/>
      <w:bookmarkEnd w:id="741"/>
      <w:bookmarkEnd w:id="742"/>
      <w:bookmarkEnd w:id="743"/>
      <w:bookmarkEnd w:id="744"/>
      <w:bookmarkEnd w:id="745"/>
    </w:p>
    <w:p w:rsidR="00324CD5" w:rsidRDefault="00324CD5" w:rsidP="00324CD5">
      <w:pPr>
        <w:pStyle w:val="ParaNum"/>
      </w:pPr>
      <w:r w:rsidRPr="009F0E2F">
        <w:t xml:space="preserve">As a final matter, we seek comment on how our rules should treat data breaches by third parties with </w:t>
      </w:r>
      <w:r>
        <w:t>which</w:t>
      </w:r>
      <w:r w:rsidRPr="009F0E2F">
        <w:t xml:space="preserve"> a BIAS provider has shared customer PI.  Should we require BIAS providers to contractually require third parties with wh</w:t>
      </w:r>
      <w:r>
        <w:t>ich</w:t>
      </w:r>
      <w:r w:rsidRPr="009F0E2F">
        <w:t xml:space="preserve"> they share customer PI to follow the same breach notification rules we adopt for BIAS?</w:t>
      </w:r>
      <w:r>
        <w:rPr>
          <w:rStyle w:val="FootnoteReference"/>
        </w:rPr>
        <w:footnoteReference w:id="399"/>
      </w:r>
      <w:r>
        <w:t xml:space="preserve"> </w:t>
      </w:r>
      <w:r w:rsidRPr="009F0E2F">
        <w:t> Are such contractual safeguards necessary to ensure that third-party breaches are discovered and the relevant parties notified on a timely basis?  Should we permit BIAS providers and third parties to determine by contract which party will provide the notifications required under our rules when there is a third-party breach?  Where third parties are contractually obligated to provide these notifications, should BIAS providers be required to provide notifications of their own?  Could such dual notifications confuse or overwhelm consumers, or would they rather help consumers better understand the circumstances of a breach and hold their providers accountable for their data management practices?  Which approach best serves the needs of law enforcement?  Are there alternative approaches to third-party data breach notification that we should consider?</w:t>
      </w:r>
      <w:r w:rsidRPr="00551C42" w:rsidDel="00551C42">
        <w:t xml:space="preserve"> </w:t>
      </w:r>
    </w:p>
    <w:p w:rsidR="00324CD5" w:rsidRPr="00A775EB" w:rsidRDefault="00324CD5" w:rsidP="00324CD5">
      <w:pPr>
        <w:pStyle w:val="Heading2"/>
      </w:pPr>
      <w:bookmarkStart w:id="746" w:name="_Toc445192982"/>
      <w:bookmarkStart w:id="747" w:name="_Toc445193075"/>
      <w:bookmarkStart w:id="748" w:name="_Toc445193146"/>
      <w:bookmarkStart w:id="749" w:name="_Toc443049948"/>
      <w:bookmarkStart w:id="750" w:name="_Toc443660131"/>
      <w:bookmarkStart w:id="751" w:name="_Toc444095758"/>
      <w:bookmarkStart w:id="752" w:name="_Toc445276279"/>
      <w:bookmarkStart w:id="753" w:name="_Toc445367868"/>
      <w:bookmarkStart w:id="754" w:name="_Ref446517432"/>
      <w:bookmarkStart w:id="755" w:name="_Ref446518793"/>
      <w:bookmarkStart w:id="756" w:name="_Toc446937477"/>
      <w:bookmarkStart w:id="757" w:name="_Toc447116349"/>
      <w:bookmarkStart w:id="758" w:name="_Toc447121238"/>
      <w:r>
        <w:t>Practices Implicating Privacy that May Be Prohibited Under the</w:t>
      </w:r>
      <w:bookmarkEnd w:id="746"/>
      <w:bookmarkEnd w:id="747"/>
      <w:bookmarkEnd w:id="748"/>
      <w:r>
        <w:t xml:space="preserve"> </w:t>
      </w:r>
      <w:bookmarkEnd w:id="665"/>
      <w:bookmarkEnd w:id="666"/>
      <w:bookmarkEnd w:id="667"/>
      <w:bookmarkEnd w:id="749"/>
      <w:bookmarkEnd w:id="750"/>
      <w:bookmarkEnd w:id="751"/>
      <w:r>
        <w:t>Act</w:t>
      </w:r>
      <w:bookmarkEnd w:id="752"/>
      <w:bookmarkEnd w:id="753"/>
      <w:bookmarkEnd w:id="754"/>
      <w:bookmarkEnd w:id="755"/>
      <w:bookmarkEnd w:id="756"/>
      <w:bookmarkEnd w:id="757"/>
      <w:bookmarkEnd w:id="758"/>
    </w:p>
    <w:p w:rsidR="00324CD5" w:rsidRDefault="00324CD5" w:rsidP="00324CD5">
      <w:pPr>
        <w:pStyle w:val="ParaNum"/>
      </w:pPr>
      <w:r w:rsidRPr="00970EE6">
        <w:t>We seek comment on whether there are</w:t>
      </w:r>
      <w:r>
        <w:t xml:space="preserve"> certain BIAS provider</w:t>
      </w:r>
      <w:r w:rsidRPr="00970EE6">
        <w:t xml:space="preserve"> </w:t>
      </w:r>
      <w:r>
        <w:t xml:space="preserve">practices implicating privacy that our rules should prohibit, or to which we should apply heightened notice and choice requirements.  In particular, we propose to prohibit the offering of broadband services contingent on the waiver of privacy rights by consumers, and seek comment on whether practices involving (1) the offering of higher-priced broadband services for heightened privacy protections, (2) the use of deep packet inspection (DPI) for purposes other than network management, and (3) persistent identifiers should be prohibited or subject to heightened privacy protections.  </w:t>
      </w:r>
      <w:r w:rsidR="002207DE">
        <w:t xml:space="preserve">On what statutory basis could we rely to prohibit such practices?  </w:t>
      </w:r>
      <w:r>
        <w:t xml:space="preserve">We seek comment on whether such practices are consistent with preserving customer choice, protecting the confidentiality of customer proprietary information, and the public interest.  We also seek comment on the restrictions imposed on carriers’ use of proprietary information in Section 222(b).  </w:t>
      </w:r>
    </w:p>
    <w:p w:rsidR="00324CD5" w:rsidRDefault="00324CD5" w:rsidP="00324CD5">
      <w:pPr>
        <w:pStyle w:val="ParaNum"/>
      </w:pPr>
      <w:r>
        <w:t>We encourage commenters who suggest heightened notice and choice requirements for certain practices to describe the consent regime that they propose, explain why it is appropriate for the practice at issue, and identify the statutory authority that supports such requirements.  For instance, would requiring carriers to “refresh” opt-in or opt-out consent periodically for certain practices be appropriate?  Should more prominent notice or specific prescribed text be required in certain instances?</w:t>
      </w:r>
      <w:r>
        <w:rPr>
          <w:rStyle w:val="FootnoteReference"/>
        </w:rPr>
        <w:footnoteReference w:id="400"/>
      </w:r>
      <w:r>
        <w:t xml:space="preserve">  Should we work with interested stakeholders to develop privacy best practices guidelines and create a “privacy protection seal” that BIAS providers could display on their websites to indicate compliance with those guidelines?  For any alternatives commenters propose, we ask that they also comment on the benefits and burdens of their proposals, particularly for small providers.  Are there certain types of practices for which a notice-and-choice regime is insufficient to protect consumer privacy?  Why or why not?  What are viable alternatives to notice and choice and what are their associated benefits and burdens, particularly for small providers?  Are there ways that the Commission can encourage BIAS providers to engage in privacy-by-design practices to build privacy protections into new or existing systems and products?</w:t>
      </w:r>
    </w:p>
    <w:p w:rsidR="00324CD5" w:rsidRDefault="00324CD5" w:rsidP="00324CD5">
      <w:pPr>
        <w:pStyle w:val="ParaNum"/>
      </w:pPr>
      <w:r>
        <w:rPr>
          <w:i/>
        </w:rPr>
        <w:t>Service Offers Conditioned on the Waiver of Privacy Rights</w:t>
      </w:r>
      <w:r>
        <w:t>.  We propose to prohibit BIAS providers from making service offers contingent on a customer surrendering his or her privacy</w:t>
      </w:r>
      <w:r w:rsidRPr="00666345">
        <w:t xml:space="preserve"> </w:t>
      </w:r>
      <w:r>
        <w:t xml:space="preserve">rights.  </w:t>
      </w:r>
      <w:r>
        <w:rPr>
          <w:snapToGrid/>
        </w:rPr>
        <w:t>The FTC has raised concerns about these kinds of arrangements by broadband providers, noting that “[w]</w:t>
      </w:r>
      <w:r w:rsidRPr="009434DE">
        <w:rPr>
          <w:snapToGrid/>
        </w:rPr>
        <w:t>hen consumers have few options for broadband service, the take-it-or-leave-it</w:t>
      </w:r>
      <w:r>
        <w:rPr>
          <w:snapToGrid/>
        </w:rPr>
        <w:t xml:space="preserve"> </w:t>
      </w:r>
      <w:r w:rsidRPr="00914B01">
        <w:rPr>
          <w:snapToGrid/>
        </w:rPr>
        <w:t xml:space="preserve">approach </w:t>
      </w:r>
      <w:r>
        <w:rPr>
          <w:snapToGrid/>
        </w:rPr>
        <w:t xml:space="preserve">[to privacy] </w:t>
      </w:r>
      <w:r w:rsidRPr="00914B01">
        <w:rPr>
          <w:snapToGrid/>
        </w:rPr>
        <w:t>becomes one-sided in favor of the service provider</w:t>
      </w:r>
      <w:r>
        <w:rPr>
          <w:snapToGrid/>
        </w:rPr>
        <w:t>.”</w:t>
      </w:r>
      <w:r>
        <w:rPr>
          <w:rStyle w:val="FootnoteReference"/>
          <w:snapToGrid/>
        </w:rPr>
        <w:footnoteReference w:id="401"/>
      </w:r>
      <w:r>
        <w:rPr>
          <w:snapToGrid/>
        </w:rPr>
        <w:t xml:space="preserve">  In such situations, the FTC found, for example, that “</w:t>
      </w:r>
      <w:r w:rsidRPr="009434DE">
        <w:rPr>
          <w:snapToGrid/>
        </w:rPr>
        <w:t>the service provider should</w:t>
      </w:r>
      <w:r>
        <w:rPr>
          <w:snapToGrid/>
        </w:rPr>
        <w:t xml:space="preserve"> </w:t>
      </w:r>
      <w:r w:rsidRPr="00914B01">
        <w:rPr>
          <w:snapToGrid/>
        </w:rPr>
        <w:t>not condition the provision of broadband on the customer’s agreeing to</w:t>
      </w:r>
      <w:r>
        <w:rPr>
          <w:snapToGrid/>
        </w:rPr>
        <w:t xml:space="preserve"> . . .</w:t>
      </w:r>
      <w:r w:rsidRPr="00914B01">
        <w:rPr>
          <w:snapToGrid/>
        </w:rPr>
        <w:t xml:space="preserve"> allow the service</w:t>
      </w:r>
      <w:r>
        <w:rPr>
          <w:snapToGrid/>
        </w:rPr>
        <w:t xml:space="preserve"> </w:t>
      </w:r>
      <w:r w:rsidRPr="00914B01">
        <w:rPr>
          <w:snapToGrid/>
        </w:rPr>
        <w:t>provider to track all of the customer’s online activity for marketing purposes.</w:t>
      </w:r>
      <w:r>
        <w:rPr>
          <w:snapToGrid/>
        </w:rPr>
        <w:t>”</w:t>
      </w:r>
      <w:r>
        <w:rPr>
          <w:rStyle w:val="FootnoteReference"/>
          <w:snapToGrid/>
        </w:rPr>
        <w:footnoteReference w:id="402"/>
      </w:r>
      <w:r>
        <w:rPr>
          <w:snapToGrid/>
        </w:rPr>
        <w:t xml:space="preserve">  We seek comment on our proposal to prohibit these types of arrangements, and on alternative approaches </w:t>
      </w:r>
      <w:r w:rsidR="002207DE">
        <w:rPr>
          <w:snapToGrid/>
        </w:rPr>
        <w:t>we</w:t>
      </w:r>
      <w:r>
        <w:rPr>
          <w:snapToGrid/>
        </w:rPr>
        <w:t xml:space="preserve"> might take to protect broadband consumers from potentially coercive service offerings.  Notwithstanding their risks, are there countervailing consumer benefits associated with these types of offers to provide BIAS?  </w:t>
      </w:r>
    </w:p>
    <w:p w:rsidR="00324CD5" w:rsidRDefault="00324CD5" w:rsidP="00324CD5">
      <w:pPr>
        <w:pStyle w:val="ParaNum"/>
      </w:pPr>
      <w:r>
        <w:rPr>
          <w:i/>
          <w:snapToGrid/>
        </w:rPr>
        <w:t>Financial Inducement Practices</w:t>
      </w:r>
      <w:r>
        <w:rPr>
          <w:snapToGrid/>
        </w:rPr>
        <w:t>.</w:t>
      </w:r>
      <w:r>
        <w:rPr>
          <w:i/>
          <w:snapToGrid/>
        </w:rPr>
        <w:t xml:space="preserve">  </w:t>
      </w:r>
      <w:r>
        <w:rPr>
          <w:snapToGrid/>
        </w:rPr>
        <w:t>We also seek comment on whether business practices that offer customers financial inducements, such as lower monthly rates, for their consent to use and share their confidential information, are permitted under the Communications Act.  Certain broadband providers, including AT&amp;T, have begun to experiment with these types of business models.  For example, AT&amp;T’s Gigapower fiber-to-the-premises (FTTP) service currently offers consumers a “Premiere” pricing option, which, in exchange for a rate that is roughly $30 off of the standard $100 monthly subscription fee, allows AT&amp;T to use “</w:t>
      </w:r>
      <w:r w:rsidRPr="0099022D">
        <w:rPr>
          <w:snapToGrid/>
        </w:rPr>
        <w:t>individual Web browsing information</w:t>
      </w:r>
      <w:r>
        <w:rPr>
          <w:snapToGrid/>
        </w:rPr>
        <w:t>,” including search and browsing history “</w:t>
      </w:r>
      <w:r w:rsidRPr="0099022D">
        <w:rPr>
          <w:snapToGrid/>
        </w:rPr>
        <w:t xml:space="preserve">to tailor ads and offers to </w:t>
      </w:r>
      <w:r>
        <w:rPr>
          <w:snapToGrid/>
        </w:rPr>
        <w:t>[customers’]</w:t>
      </w:r>
      <w:r w:rsidRPr="0099022D">
        <w:rPr>
          <w:snapToGrid/>
        </w:rPr>
        <w:t xml:space="preserve"> interests</w:t>
      </w:r>
      <w:r>
        <w:rPr>
          <w:snapToGrid/>
        </w:rPr>
        <w:t>.”</w:t>
      </w:r>
      <w:r>
        <w:rPr>
          <w:rStyle w:val="FootnoteReference"/>
          <w:snapToGrid/>
        </w:rPr>
        <w:footnoteReference w:id="403"/>
      </w:r>
      <w:r>
        <w:rPr>
          <w:snapToGrid/>
        </w:rPr>
        <w:t xml:space="preserve">  </w:t>
      </w:r>
      <w:r>
        <w:t>AT&amp;T has reportedly indicated that since its debut, a substantial majority of its Gigapower customers have elected to participate in the discounted Internet Preferences program.</w:t>
      </w:r>
      <w:r>
        <w:rPr>
          <w:rStyle w:val="FootnoteReference"/>
        </w:rPr>
        <w:footnoteReference w:id="404"/>
      </w:r>
    </w:p>
    <w:p w:rsidR="00324CD5" w:rsidRDefault="00324CD5" w:rsidP="00324CD5">
      <w:pPr>
        <w:pStyle w:val="ParaNum"/>
        <w:rPr>
          <w:snapToGrid/>
        </w:rPr>
      </w:pPr>
      <w:r>
        <w:rPr>
          <w:snapToGrid/>
        </w:rPr>
        <w:t>We recognize that it is not unusual for consumers to receive perks in exchange for use of their personal information.  In the brick-and-mortar world, loyalty programs that track consumers purchasing habits and provide rewards in exchange for that information are common.</w:t>
      </w:r>
      <w:r>
        <w:rPr>
          <w:rStyle w:val="FootnoteReference"/>
          <w:snapToGrid/>
        </w:rPr>
        <w:footnoteReference w:id="405"/>
      </w:r>
      <w:r>
        <w:rPr>
          <w:snapToGrid/>
        </w:rPr>
        <w:t xml:space="preserve">  In the broadband ecosystem, “free” services in exchange for information are common.</w:t>
      </w:r>
      <w:r>
        <w:rPr>
          <w:rStyle w:val="FootnoteReference"/>
          <w:snapToGrid/>
        </w:rPr>
        <w:footnoteReference w:id="406"/>
      </w:r>
      <w:r>
        <w:rPr>
          <w:snapToGrid/>
        </w:rPr>
        <w:t xml:space="preserve">  However, it is not clear that consumers generally understand that they are exchanging their information as part of those bargains.</w:t>
      </w:r>
      <w:r>
        <w:rPr>
          <w:rStyle w:val="FootnoteReference"/>
          <w:snapToGrid/>
        </w:rPr>
        <w:footnoteReference w:id="407"/>
      </w:r>
    </w:p>
    <w:p w:rsidR="00324CD5" w:rsidRPr="00B97200" w:rsidRDefault="00324CD5" w:rsidP="00324CD5">
      <w:pPr>
        <w:pStyle w:val="ParaNum"/>
        <w:rPr>
          <w:snapToGrid/>
        </w:rPr>
      </w:pPr>
      <w:r>
        <w:rPr>
          <w:snapToGrid/>
        </w:rPr>
        <w:t>Notwithstanding the prevalence of such practices in other contexts, the FTC and others have argued that these business models unfairly disadvantage low income or other vulnerable populations who are unable to pay for more expensive, less-privacy invasive service options.</w:t>
      </w:r>
      <w:r>
        <w:rPr>
          <w:rStyle w:val="FootnoteReference"/>
          <w:snapToGrid/>
        </w:rPr>
        <w:footnoteReference w:id="408"/>
      </w:r>
      <w:r>
        <w:rPr>
          <w:snapToGrid/>
        </w:rPr>
        <w:t xml:space="preserve">  Others have warned that these types of financial inducements could become “c</w:t>
      </w:r>
      <w:r w:rsidRPr="00C815D7">
        <w:rPr>
          <w:snapToGrid/>
        </w:rPr>
        <w:t>oercive tools to force consumers</w:t>
      </w:r>
      <w:r>
        <w:rPr>
          <w:snapToGrid/>
        </w:rPr>
        <w:t xml:space="preserve"> </w:t>
      </w:r>
      <w:r w:rsidRPr="00C815D7">
        <w:rPr>
          <w:snapToGrid/>
        </w:rPr>
        <w:t>to give up their statutory rights</w:t>
      </w:r>
      <w:r>
        <w:rPr>
          <w:snapToGrid/>
        </w:rPr>
        <w:t>.”</w:t>
      </w:r>
      <w:r>
        <w:rPr>
          <w:rStyle w:val="FootnoteReference"/>
          <w:snapToGrid/>
        </w:rPr>
        <w:footnoteReference w:id="409"/>
      </w:r>
      <w:r w:rsidR="003F47DD">
        <w:rPr>
          <w:snapToGrid/>
        </w:rPr>
        <w:t xml:space="preserve">  We seek comment on these concerns.  What is the current impact on low-income consumers and others of business practices that offer financial inducements in return for customers’ consent to their broadband providers using and sharing confidential information?  What is likely to be the impact if such practices become more wide-spread among broadband providers?</w:t>
      </w:r>
      <w:r w:rsidRPr="00B97200">
        <w:rPr>
          <w:snapToGrid/>
        </w:rPr>
        <w:t xml:space="preserve"> </w:t>
      </w:r>
    </w:p>
    <w:p w:rsidR="00324CD5" w:rsidRDefault="00324CD5" w:rsidP="00324CD5">
      <w:pPr>
        <w:pStyle w:val="ParaNum"/>
        <w:rPr>
          <w:snapToGrid/>
        </w:rPr>
      </w:pPr>
      <w:r w:rsidRPr="001D47C2">
        <w:rPr>
          <w:snapToGrid/>
        </w:rPr>
        <w:t>Given these concerns</w:t>
      </w:r>
      <w:r>
        <w:rPr>
          <w:snapToGrid/>
        </w:rPr>
        <w:t>,</w:t>
      </w:r>
      <w:r w:rsidRPr="001D47C2">
        <w:rPr>
          <w:snapToGrid/>
        </w:rPr>
        <w:t xml:space="preserve"> </w:t>
      </w:r>
      <w:r>
        <w:rPr>
          <w:snapToGrid/>
        </w:rPr>
        <w:t>Should we adopt rules concerning the use of such practices by BIAS providers?  Should the offering of such practices be subject to the opt-out or opt-in frameworks we propose above?  Our proposed rules require BIAS providers to allow customers to deny or withdraw approvals at any time and require that a denial or withdrawal will not affect the provision of any services to which the customer subscribes.  Are these principles consistent with allowing financial inducements?  If we were to allow financial inducements, how should a rule allowing withdrawal of approval work?  Should such practices be subject to heightened notice and choice requirements, and, if so, what requirements?  Section 222(c)(1) prohibits providers from using or disclosing individually identifiable CPNI for purposes other than providing the telecommunications service, absent customer approval.  We seek comment whether a customer’s approval to use or disclose his or her proprietary information in exchange for financial incentives is meaningful if customers’ broadband choices are limited by lack of competition, switching costs, or financial hardship.  Does simply offering such practices violate providers’ baseline duty under Section 222(a) to protect the confidentiality of customers’ proprietary information?  Should BIAS providers be prohibited from engaging in such practices?</w:t>
      </w:r>
    </w:p>
    <w:p w:rsidR="00324CD5" w:rsidRPr="004C1339" w:rsidRDefault="00324CD5" w:rsidP="00324CD5">
      <w:pPr>
        <w:pStyle w:val="ParaNum"/>
        <w:rPr>
          <w:snapToGrid/>
        </w:rPr>
      </w:pPr>
      <w:r>
        <w:rPr>
          <w:snapToGrid/>
        </w:rPr>
        <w:t>Despite the risks discussed above, some have argued that consumers stand to benefit from the sale of personal information collected by entities such as ISPs and other telecommunications companies.</w:t>
      </w:r>
      <w:r>
        <w:rPr>
          <w:rStyle w:val="FootnoteReference"/>
          <w:snapToGrid/>
        </w:rPr>
        <w:footnoteReference w:id="410"/>
      </w:r>
      <w:r>
        <w:rPr>
          <w:snapToGrid/>
        </w:rPr>
        <w:t xml:space="preserve">  In light of these potential consumer benefits,</w:t>
      </w:r>
      <w:r w:rsidRPr="001D47C2">
        <w:rPr>
          <w:snapToGrid/>
        </w:rPr>
        <w:t xml:space="preserve"> should we accept that, upon being fully informed about the privacy rights they are exchanging for a di</w:t>
      </w:r>
      <w:r>
        <w:rPr>
          <w:snapToGrid/>
        </w:rPr>
        <w:t>scounted broadband price, consumers can and</w:t>
      </w:r>
      <w:r w:rsidRPr="001D47C2">
        <w:rPr>
          <w:snapToGrid/>
        </w:rPr>
        <w:t xml:space="preserve"> should be allowed to enter into such bargains?</w:t>
      </w:r>
      <w:r>
        <w:rPr>
          <w:rStyle w:val="FootnoteReference"/>
          <w:snapToGrid/>
        </w:rPr>
        <w:footnoteReference w:id="411"/>
      </w:r>
      <w:r w:rsidRPr="001D47C2">
        <w:rPr>
          <w:snapToGrid/>
        </w:rPr>
        <w:t xml:space="preserve">  </w:t>
      </w:r>
      <w:r>
        <w:rPr>
          <w:snapToGrid/>
        </w:rPr>
        <w:t xml:space="preserve">Are there any baseline privacy protections with which providers should be required to comply?  If instances arise where it appears that the providers is offering subscribers financial inducements to waive their privacy rights the value of which far exceed the value to the provider of the customer’s data, how should we evaluate such offers?  </w:t>
      </w:r>
    </w:p>
    <w:p w:rsidR="00324CD5" w:rsidRDefault="00324CD5" w:rsidP="00324CD5">
      <w:pPr>
        <w:pStyle w:val="ParaNum"/>
        <w:rPr>
          <w:snapToGrid/>
        </w:rPr>
      </w:pPr>
      <w:r>
        <w:rPr>
          <w:i/>
          <w:snapToGrid/>
        </w:rPr>
        <w:t>Deep Packet Inspection</w:t>
      </w:r>
      <w:r>
        <w:rPr>
          <w:snapToGrid/>
        </w:rPr>
        <w:t>.  We seek comment whether the use of DPI for purposes other than providing broadband services, and reasonable management thereof, should be prohibited or otherwise subject to a heightened approval framework.  DPI involves analyzing Internet traffic beyond the basic header information necessary to route a data packet over the Internet.</w:t>
      </w:r>
      <w:r>
        <w:rPr>
          <w:rStyle w:val="FootnoteReference"/>
          <w:snapToGrid/>
        </w:rPr>
        <w:footnoteReference w:id="412"/>
      </w:r>
      <w:r>
        <w:rPr>
          <w:snapToGrid/>
        </w:rPr>
        <w:t xml:space="preserve">  DPI is used by network operators to gather information about the contents of a particular data packet, and may be used for reasonable network management, such as some tailored network security practices.</w:t>
      </w:r>
      <w:r>
        <w:rPr>
          <w:rStyle w:val="FootnoteReference"/>
          <w:snapToGrid/>
        </w:rPr>
        <w:footnoteReference w:id="413"/>
      </w:r>
      <w:r>
        <w:rPr>
          <w:snapToGrid/>
        </w:rPr>
        <w:t xml:space="preserve">  In addition, DPI has been used by network providers in order to serve targeted advertisements.</w:t>
      </w:r>
      <w:r>
        <w:rPr>
          <w:rStyle w:val="FootnoteReference"/>
          <w:snapToGrid/>
        </w:rPr>
        <w:footnoteReference w:id="414"/>
      </w:r>
      <w:r>
        <w:rPr>
          <w:snapToGrid/>
        </w:rPr>
        <w:t xml:space="preserve">  DPI has also been used by network providers to identify and block specific packets.</w:t>
      </w:r>
      <w:r>
        <w:rPr>
          <w:rStyle w:val="FootnoteReference"/>
          <w:snapToGrid/>
        </w:rPr>
        <w:footnoteReference w:id="415"/>
      </w:r>
    </w:p>
    <w:p w:rsidR="00324CD5" w:rsidRPr="00D33F20" w:rsidRDefault="00324CD5" w:rsidP="00324CD5">
      <w:pPr>
        <w:pStyle w:val="ParaNum"/>
        <w:rPr>
          <w:snapToGrid/>
        </w:rPr>
      </w:pPr>
      <w:r>
        <w:rPr>
          <w:snapToGrid/>
        </w:rPr>
        <w:t>The FTC has found that the use of DPI by Internet service providers for marketing purposes raises unique privacy concerns.</w:t>
      </w:r>
      <w:r>
        <w:rPr>
          <w:rStyle w:val="FootnoteReference"/>
          <w:snapToGrid/>
        </w:rPr>
        <w:footnoteReference w:id="416"/>
      </w:r>
      <w:r>
        <w:rPr>
          <w:snapToGrid/>
        </w:rPr>
        <w:t xml:space="preserve">  Noting that broadband providers are uniquely situated as a “gateway” to the Internet, the FTC has found that “</w:t>
      </w:r>
      <w:r w:rsidRPr="00C507EC">
        <w:rPr>
          <w:snapToGrid/>
        </w:rPr>
        <w:t>ISPs are</w:t>
      </w:r>
      <w:r>
        <w:rPr>
          <w:snapToGrid/>
        </w:rPr>
        <w:t xml:space="preserve"> thus</w:t>
      </w:r>
      <w:r w:rsidRPr="00C507EC">
        <w:rPr>
          <w:snapToGrid/>
        </w:rPr>
        <w:t xml:space="preserve"> in a position to develop highly detailed and</w:t>
      </w:r>
      <w:r>
        <w:rPr>
          <w:snapToGrid/>
        </w:rPr>
        <w:t xml:space="preserve"> </w:t>
      </w:r>
      <w:r w:rsidRPr="00D33F20">
        <w:rPr>
          <w:snapToGrid/>
        </w:rPr>
        <w:t>comprehensive profiles of their customers</w:t>
      </w:r>
      <w:r>
        <w:rPr>
          <w:snapToGrid/>
        </w:rPr>
        <w:t>—</w:t>
      </w:r>
      <w:r w:rsidRPr="00D33F20">
        <w:rPr>
          <w:snapToGrid/>
        </w:rPr>
        <w:t>and to do so in a manner that may be completely invisible</w:t>
      </w:r>
      <w:r>
        <w:rPr>
          <w:snapToGrid/>
        </w:rPr>
        <w:t>.”</w:t>
      </w:r>
      <w:r>
        <w:rPr>
          <w:rStyle w:val="FootnoteReference"/>
          <w:snapToGrid/>
        </w:rPr>
        <w:footnoteReference w:id="417"/>
      </w:r>
      <w:r>
        <w:rPr>
          <w:snapToGrid/>
        </w:rPr>
        <w:t xml:space="preserve">  The 2012 FTC Privacy Report also noted that switching costs and a lack of competitive options for broadband service may inhibit consumers’ ability to avoid these practices, should they wish to do so.</w:t>
      </w:r>
      <w:r>
        <w:rPr>
          <w:rStyle w:val="FootnoteReference"/>
          <w:snapToGrid/>
        </w:rPr>
        <w:footnoteReference w:id="418"/>
      </w:r>
      <w:r>
        <w:rPr>
          <w:snapToGrid/>
        </w:rPr>
        <w:t xml:space="preserve">  As a result, the FTC voiced “</w:t>
      </w:r>
      <w:r w:rsidRPr="00276F53">
        <w:rPr>
          <w:snapToGrid/>
        </w:rPr>
        <w:t>strong concerns about the use of DPI for purposes inconsistent</w:t>
      </w:r>
      <w:r>
        <w:rPr>
          <w:snapToGrid/>
        </w:rPr>
        <w:t xml:space="preserve"> </w:t>
      </w:r>
      <w:r w:rsidRPr="00D33F20">
        <w:rPr>
          <w:snapToGrid/>
        </w:rPr>
        <w:t>with an ISP’s interaction with a consumer</w:t>
      </w:r>
      <w:r>
        <w:rPr>
          <w:snapToGrid/>
        </w:rPr>
        <w:t>,” and called for express consumer consent requirements, or more robust protections, as a precondition for their use.</w:t>
      </w:r>
      <w:r>
        <w:rPr>
          <w:rStyle w:val="FootnoteReference"/>
          <w:snapToGrid/>
        </w:rPr>
        <w:footnoteReference w:id="419"/>
      </w:r>
      <w:r>
        <w:rPr>
          <w:snapToGrid/>
        </w:rPr>
        <w:t xml:space="preserve">  </w:t>
      </w:r>
    </w:p>
    <w:p w:rsidR="00324CD5" w:rsidRDefault="00324CD5" w:rsidP="00324CD5">
      <w:pPr>
        <w:pStyle w:val="ParaNum"/>
      </w:pPr>
      <w:r>
        <w:t>We seek comment whether BIAS providers’ use of DPI for purposes other than providing broadband services, or as required by law, should be prohibited.  Should such practices be subject to either the opt-out or opt-in requirements we have proposed above, or heightened approval requirements?  For what purposes do broadband providers engage in DPI?</w:t>
      </w:r>
      <w:bookmarkStart w:id="759" w:name="_Ref446584691"/>
      <w:r>
        <w:rPr>
          <w:rStyle w:val="FootnoteReference"/>
        </w:rPr>
        <w:footnoteReference w:id="420"/>
      </w:r>
      <w:bookmarkEnd w:id="759"/>
      <w:r>
        <w:t xml:space="preserve">  What would be the benefits and drawbacks of prohibiting the use of DPI for purposes other than providing BIAS?  What would be the costs to consumers and BIAS providers of such a prohibition?  </w:t>
      </w:r>
    </w:p>
    <w:p w:rsidR="00324CD5" w:rsidRDefault="00324CD5" w:rsidP="00324CD5">
      <w:pPr>
        <w:pStyle w:val="ParaNum"/>
      </w:pPr>
      <w:r>
        <w:t>Under what authority could the Commission regulate or prohibit DPI practices?  For example, do such practices violate a provider’s duty to protect the confidentiality of customer information under Section 222(a)?  Do such practices vio</w:t>
      </w:r>
      <w:r w:rsidR="005417C0">
        <w:t>late a provider’s duties under S</w:t>
      </w:r>
      <w:r>
        <w:t>ection 705?  We also seek comment about the extent to which adoption of encryption technology would mitigate privacy concerns regarding broadband provider use of DPI.  What types of information that may be learned by BIAS providers’ use of DPI are encrypted, and what types are not encrypted?  To what extent does an end user have control over the use of encryption?  How, if at all, should the extent of BIAS competition and sw</w:t>
      </w:r>
      <w:r w:rsidR="002207DE">
        <w:t>itching costs for BIAS be taken</w:t>
      </w:r>
      <w:r>
        <w:t xml:space="preserve"> into account in addressing the impact of DPI on consumer privacy protection?   </w:t>
      </w:r>
    </w:p>
    <w:p w:rsidR="00324CD5" w:rsidRDefault="00324CD5" w:rsidP="00324CD5">
      <w:pPr>
        <w:pStyle w:val="ParaNum"/>
        <w:rPr>
          <w:snapToGrid/>
        </w:rPr>
      </w:pPr>
      <w:r>
        <w:rPr>
          <w:i/>
          <w:snapToGrid/>
        </w:rPr>
        <w:t>Persistent Tracking Technologies</w:t>
      </w:r>
      <w:r>
        <w:rPr>
          <w:snapToGrid/>
        </w:rPr>
        <w:t>.  We seek comment whether the use of persistent tracking technologies should be prohibited, or subject to opt-out or opt-in consent.  Under our proposed rule</w:t>
      </w:r>
      <w:r w:rsidR="00A009B3">
        <w:rPr>
          <w:snapToGrid/>
        </w:rPr>
        <w:t>s, certain types of information</w:t>
      </w:r>
      <w:r>
        <w:rPr>
          <w:snapToGrid/>
        </w:rPr>
        <w:t xml:space="preserve"> used in persistent tracking technologies</w:t>
      </w:r>
      <w:r w:rsidR="00A009B3">
        <w:rPr>
          <w:snapToGrid/>
        </w:rPr>
        <w:t>,</w:t>
      </w:r>
      <w:r w:rsidR="00A009B3" w:rsidRPr="00A009B3">
        <w:rPr>
          <w:snapToGrid/>
        </w:rPr>
        <w:t xml:space="preserve"> </w:t>
      </w:r>
      <w:r w:rsidR="00A009B3">
        <w:rPr>
          <w:snapToGrid/>
        </w:rPr>
        <w:t>such as unique identifiers,</w:t>
      </w:r>
      <w:r>
        <w:rPr>
          <w:snapToGrid/>
        </w:rPr>
        <w:t xml:space="preserve"> would be considered both CPNI and PII.  The use of persistent tracking technologies may allow network operators to obtain detailed insight into their customers’ Internet usage.  For example, UIDH, injected by carriers into the HTTP header of a data packet, allow BIAS providers to repackage and use customer data for targeted advertising purposes.</w:t>
      </w:r>
      <w:r>
        <w:rPr>
          <w:rStyle w:val="FootnoteReference"/>
          <w:snapToGrid/>
        </w:rPr>
        <w:footnoteReference w:id="421"/>
      </w:r>
      <w:r>
        <w:rPr>
          <w:snapToGrid/>
        </w:rPr>
        <w:t xml:space="preserve">  Unlike cookies, which are located in a web browser and may be controlled locally, UIDH are injected by carriers at the network level, thereby preventing customers from removing them directly.</w:t>
      </w:r>
      <w:r>
        <w:rPr>
          <w:rStyle w:val="FootnoteReference"/>
          <w:snapToGrid/>
        </w:rPr>
        <w:footnoteReference w:id="422"/>
      </w:r>
      <w:r>
        <w:rPr>
          <w:snapToGrid/>
        </w:rPr>
        <w:t xml:space="preserve">  The Enforcement Bureau recently entered into a consent decree with a carrier that used UIDH without obtaining informed consent from its customers.</w:t>
      </w:r>
      <w:r>
        <w:rPr>
          <w:rStyle w:val="FootnoteReference"/>
          <w:snapToGrid/>
        </w:rPr>
        <w:footnoteReference w:id="423"/>
      </w:r>
      <w:r>
        <w:rPr>
          <w:snapToGrid/>
        </w:rPr>
        <w:t xml:space="preserve">  </w:t>
      </w:r>
      <w:r w:rsidRPr="00A0069E">
        <w:rPr>
          <w:snapToGrid/>
        </w:rPr>
        <w:t>As part of the Consent Decree, the carrier paid a fine and agreed to obtain opt-in approval from its customers before sending UIDH to third-party websites.</w:t>
      </w:r>
      <w:r>
        <w:rPr>
          <w:rStyle w:val="FootnoteReference"/>
          <w:snapToGrid/>
        </w:rPr>
        <w:footnoteReference w:id="424"/>
      </w:r>
    </w:p>
    <w:p w:rsidR="00324CD5" w:rsidRDefault="00324CD5" w:rsidP="00F91900">
      <w:pPr>
        <w:pStyle w:val="ParaNum"/>
        <w:widowControl/>
        <w:rPr>
          <w:snapToGrid/>
        </w:rPr>
      </w:pPr>
      <w:r>
        <w:rPr>
          <w:snapToGrid/>
        </w:rPr>
        <w:t>We seek comment on what other technologies can be used by BIAS providers to track broadband users and their devices, either by storing information (e.g., cookies), collecting partially unique information (e.g., fingerprinting) or associating information at the network level (e.g., UIDH).  Do these technologies pose a privacy risk to BIAS customers and, if so, what are the best ways to protect customers’ private information and enhance customer control?</w:t>
      </w:r>
    </w:p>
    <w:p w:rsidR="00324CD5" w:rsidRDefault="00324CD5" w:rsidP="00F91900">
      <w:pPr>
        <w:pStyle w:val="ParaNum"/>
        <w:widowControl/>
        <w:rPr>
          <w:snapToGrid/>
        </w:rPr>
      </w:pPr>
      <w:r>
        <w:rPr>
          <w:snapToGrid/>
        </w:rPr>
        <w:t>We seek comment on whether the use of persistent tracking technologies may expose BIAS customers to unique privacy harms, and as such, whether the Commission should prohibit BIAS providers from employing such practices to collect and use customer PI and CPNI.  Alternatively, should the use of persistent tracking technologies be subject to opt-in or opt-out consent?  Do customers understand how BIAS providers are using this technology such that notice and the opportunity to approve such uses is “informed”?  How do BIAS providers use the information gleaned from such technologies?  What are the benefits to customers of such technology, if any?  What would be the benefits and drawbacks to prohibiting such practices, or subjecting their use to opt-in or opt-out approval?  Under what authority could the Commission prohibit BIAS providers’ deployment of such technologies?  Does the use of such technology violate BIAS providers’ duty to protect the confidentiality of customer information, with or without customer approval?  Does it violate any other provisions of the Communications Act?</w:t>
      </w:r>
    </w:p>
    <w:p w:rsidR="00324CD5" w:rsidRDefault="00324CD5" w:rsidP="00324CD5">
      <w:pPr>
        <w:pStyle w:val="ParaNum"/>
        <w:rPr>
          <w:snapToGrid/>
        </w:rPr>
      </w:pPr>
      <w:r>
        <w:rPr>
          <w:i/>
          <w:snapToGrid/>
        </w:rPr>
        <w:t>Section 222(b)</w:t>
      </w:r>
      <w:r>
        <w:rPr>
          <w:snapToGrid/>
        </w:rPr>
        <w:t xml:space="preserve">.  </w:t>
      </w:r>
      <w:r w:rsidRPr="002C3270">
        <w:rPr>
          <w:snapToGrid/>
        </w:rPr>
        <w:t>We also seek comment on how best to interpret</w:t>
      </w:r>
      <w:r>
        <w:rPr>
          <w:snapToGrid/>
        </w:rPr>
        <w:t xml:space="preserve"> and apply in the BIAS context</w:t>
      </w:r>
      <w:r w:rsidRPr="002C3270">
        <w:rPr>
          <w:snapToGrid/>
        </w:rPr>
        <w:t xml:space="preserve"> the limitations imposed by Section 222(b) on carriers receiving proprietary information from other carriers for the purposes of providing telecommunications services.  Under Section 222(b)</w:t>
      </w:r>
      <w:r>
        <w:rPr>
          <w:snapToGrid/>
        </w:rPr>
        <w:t>,</w:t>
      </w:r>
      <w:r w:rsidRPr="002C3270">
        <w:rPr>
          <w:snapToGrid/>
        </w:rPr>
        <w:t xml:space="preserve"> a “telecommunications carrier that receives or obtain</w:t>
      </w:r>
      <w:r>
        <w:rPr>
          <w:snapToGrid/>
        </w:rPr>
        <w:t>s</w:t>
      </w:r>
      <w:r w:rsidRPr="002C3270">
        <w:rPr>
          <w:snapToGrid/>
        </w:rPr>
        <w:t xml:space="preserve"> proprietary information from another carrier for purposes of providing any telecommunications service shall use such information only for such purpose, and shall not use such information for its own marketing efforts.”</w:t>
      </w:r>
      <w:r>
        <w:rPr>
          <w:rStyle w:val="FootnoteReference"/>
          <w:snapToGrid/>
        </w:rPr>
        <w:footnoteReference w:id="425"/>
      </w:r>
      <w:r w:rsidRPr="002C3270">
        <w:rPr>
          <w:snapToGrid/>
        </w:rPr>
        <w:t xml:space="preserve">  </w:t>
      </w:r>
      <w:r>
        <w:rPr>
          <w:snapToGrid/>
        </w:rPr>
        <w:t>The Commission has previously interpreted this section as a</w:t>
      </w:r>
      <w:r w:rsidR="00A63814">
        <w:rPr>
          <w:snapToGrid/>
        </w:rPr>
        <w:t>pplying specifically to carrier</w:t>
      </w:r>
      <w:r>
        <w:rPr>
          <w:snapToGrid/>
        </w:rPr>
        <w:t>s</w:t>
      </w:r>
      <w:r w:rsidR="00A63814">
        <w:rPr>
          <w:snapToGrid/>
        </w:rPr>
        <w:t>’</w:t>
      </w:r>
      <w:r>
        <w:rPr>
          <w:snapToGrid/>
        </w:rPr>
        <w:t xml:space="preserve"> propriety information.</w:t>
      </w:r>
      <w:r>
        <w:rPr>
          <w:rStyle w:val="FootnoteReference"/>
          <w:snapToGrid/>
        </w:rPr>
        <w:footnoteReference w:id="426"/>
      </w:r>
      <w:r>
        <w:rPr>
          <w:snapToGrid/>
        </w:rPr>
        <w:t xml:space="preserve">  Should we understand this section as </w:t>
      </w:r>
      <w:r w:rsidRPr="002C3270">
        <w:rPr>
          <w:snapToGrid/>
        </w:rPr>
        <w:t>protect</w:t>
      </w:r>
      <w:r>
        <w:rPr>
          <w:snapToGrid/>
        </w:rPr>
        <w:t>ing</w:t>
      </w:r>
      <w:r w:rsidRPr="002C3270">
        <w:rPr>
          <w:snapToGrid/>
        </w:rPr>
        <w:t xml:space="preserve"> information a</w:t>
      </w:r>
      <w:r>
        <w:rPr>
          <w:snapToGrid/>
        </w:rPr>
        <w:t xml:space="preserve">bout all of the traffic that a BIAS provider </w:t>
      </w:r>
      <w:r w:rsidRPr="002C3270">
        <w:rPr>
          <w:snapToGrid/>
        </w:rPr>
        <w:t xml:space="preserve">receives from another provider from being used by the receiving </w:t>
      </w:r>
      <w:r>
        <w:rPr>
          <w:snapToGrid/>
        </w:rPr>
        <w:t>BIAS provider</w:t>
      </w:r>
      <w:r w:rsidRPr="002C3270">
        <w:rPr>
          <w:snapToGrid/>
        </w:rPr>
        <w:t xml:space="preserve"> for any purpose other than the provision of the telecommunications service?  Should we understand this provision to be referring only to information that is proprietary to a telecommunications carrier, or to all three types of proprietary information referred</w:t>
      </w:r>
      <w:r>
        <w:rPr>
          <w:snapToGrid/>
        </w:rPr>
        <w:t xml:space="preserve"> to in Section 222(a)—</w:t>
      </w:r>
      <w:r w:rsidRPr="002C3270">
        <w:rPr>
          <w:snapToGrid/>
        </w:rPr>
        <w:t>“proprietary information of or relating to telecommunications carriers, equipment manufacturers and customer proprietary information?” What are the privacy implications of the different readings of this provision?</w:t>
      </w:r>
    </w:p>
    <w:p w:rsidR="00324CD5" w:rsidRDefault="00324CD5" w:rsidP="00324CD5">
      <w:pPr>
        <w:pStyle w:val="ParaNum"/>
      </w:pPr>
      <w:r>
        <w:rPr>
          <w:i/>
        </w:rPr>
        <w:t>Other</w:t>
      </w:r>
      <w:r>
        <w:t xml:space="preserve">. </w:t>
      </w:r>
      <w:r>
        <w:rPr>
          <w:i/>
        </w:rPr>
        <w:t xml:space="preserve"> </w:t>
      </w:r>
      <w:r>
        <w:t>Lastly, we seek comment whether there are other uses or disclosures of customer PI, other than those we have here described, that should be prohibited or subject to heightened notice and choice requirements.  If so, what are they, and why should they be prohibited or subject to more stringent notice and choice requirements?  On what authority could we act to prohibit such practices?</w:t>
      </w:r>
      <w:bookmarkStart w:id="760" w:name="_Toc438643700"/>
      <w:bookmarkStart w:id="761" w:name="_Toc438650299"/>
      <w:bookmarkStart w:id="762" w:name="_Toc438719898"/>
      <w:bookmarkStart w:id="763" w:name="_Toc438720163"/>
      <w:bookmarkStart w:id="764" w:name="_Toc440016699"/>
      <w:bookmarkEnd w:id="668"/>
      <w:bookmarkEnd w:id="669"/>
      <w:bookmarkEnd w:id="670"/>
      <w:bookmarkEnd w:id="671"/>
      <w:bookmarkEnd w:id="672"/>
    </w:p>
    <w:p w:rsidR="00324CD5" w:rsidRDefault="00324CD5" w:rsidP="00324CD5">
      <w:pPr>
        <w:pStyle w:val="Heading2"/>
      </w:pPr>
      <w:bookmarkStart w:id="765" w:name="_Toc440575615"/>
      <w:bookmarkStart w:id="766" w:name="_Toc440575885"/>
      <w:bookmarkStart w:id="767" w:name="_Toc441849994"/>
      <w:bookmarkStart w:id="768" w:name="_Toc443049949"/>
      <w:bookmarkStart w:id="769" w:name="_Toc443660132"/>
      <w:bookmarkStart w:id="770" w:name="_Toc444095759"/>
      <w:bookmarkStart w:id="771" w:name="_Toc445192983"/>
      <w:bookmarkStart w:id="772" w:name="_Toc445193076"/>
      <w:bookmarkStart w:id="773" w:name="_Toc445193147"/>
      <w:bookmarkStart w:id="774" w:name="_Toc445276280"/>
      <w:bookmarkStart w:id="775" w:name="_Toc445367869"/>
      <w:bookmarkStart w:id="776" w:name="_Ref446517499"/>
      <w:bookmarkStart w:id="777" w:name="_Ref446518771"/>
      <w:bookmarkStart w:id="778" w:name="_Toc446937478"/>
      <w:bookmarkStart w:id="779" w:name="_Toc447116350"/>
      <w:bookmarkStart w:id="780" w:name="_Toc447121239"/>
      <w:bookmarkStart w:id="781" w:name="_Toc440575616"/>
      <w:bookmarkStart w:id="782" w:name="_Toc440575886"/>
      <w:bookmarkStart w:id="783" w:name="_Toc441849995"/>
      <w:bookmarkEnd w:id="760"/>
      <w:bookmarkEnd w:id="761"/>
      <w:bookmarkEnd w:id="762"/>
      <w:bookmarkEnd w:id="763"/>
      <w:bookmarkEnd w:id="764"/>
      <w:r>
        <w:t>Dispute Resolution</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rsidR="00324CD5" w:rsidRDefault="00324CD5" w:rsidP="00324CD5">
      <w:pPr>
        <w:pStyle w:val="ParaNum"/>
      </w:pPr>
      <w:r>
        <w:t>We seek comment on whether our current informal complaint resolution process for alleged violations of the Communications Act is sufficient to address customer concerns or complaints with respect to the collection, use, and disclosure of customer information covered by our proposed rules.   At present, customers who experience privacy violations may file informal complaints through the Consumer Inquiries and Complaints Division of the Consumer &amp; Governmental Affairs Bureau.</w:t>
      </w:r>
      <w:r>
        <w:rPr>
          <w:rStyle w:val="FootnoteReference"/>
        </w:rPr>
        <w:footnoteReference w:id="427"/>
      </w:r>
      <w:r>
        <w:t xml:space="preserve">  Are these mechanisms adequate?  If not, we seek comment on whether BIAS providers currently do or should provide other optional, impartial, and efficient dispute resolution mechanisms.</w:t>
      </w:r>
      <w:r>
        <w:rPr>
          <w:rStyle w:val="FootnoteReference"/>
        </w:rPr>
        <w:footnoteReference w:id="428"/>
      </w:r>
      <w:r>
        <w:t xml:space="preserve">  Such programs, if structured fairly and operated efficiently, could help customers resolve privacy complaints more quickly and with less cost than formal complaints to the Commission or private litigation.</w:t>
      </w:r>
      <w:r>
        <w:rPr>
          <w:rStyle w:val="FootnoteReference"/>
        </w:rPr>
        <w:footnoteReference w:id="429"/>
      </w:r>
      <w:r>
        <w:t xml:space="preserve">  However, if procedures are not carefully structured, BIAS providers could use dispute resolution programs to disadvantage customers and deny them the full panoply of due process rights they would receive through formal legal processes.</w:t>
      </w:r>
      <w:r>
        <w:rPr>
          <w:rStyle w:val="FootnoteReference"/>
        </w:rPr>
        <w:footnoteReference w:id="430"/>
      </w:r>
      <w:r>
        <w:t xml:space="preserve"> </w:t>
      </w:r>
    </w:p>
    <w:p w:rsidR="00324CD5" w:rsidRDefault="00324CD5" w:rsidP="00324CD5">
      <w:pPr>
        <w:pStyle w:val="ParaNum"/>
      </w:pPr>
      <w:r>
        <w:t xml:space="preserve">BIAS providers are of course free to offer arbitration as a method of dispute resolution.  Arbitration can be a useful tool in the dispute resolution toolkit, but it may not suitable for all situations.  We seek comment on whether to prohibit BIAS providers from compelling arbitration in their contracts with customers.  In the </w:t>
      </w:r>
      <w:r>
        <w:rPr>
          <w:i/>
        </w:rPr>
        <w:t>2015 Open Internet Order</w:t>
      </w:r>
      <w:r>
        <w:t>, we agreed with the observation that “mandatory arbitration, in particular, may more frequently benefit the party with more resources and more understanding of the dispute procedure, and therefore should not be adopted.”</w:t>
      </w:r>
      <w:r>
        <w:rPr>
          <w:rStyle w:val="FootnoteReference"/>
        </w:rPr>
        <w:footnoteReference w:id="431"/>
      </w:r>
      <w:r>
        <w:t xml:space="preserve">  We further discussed how arbitration can create an asymmetrical relationship between large corporations that are repeat players in the arbitration system and individual customers who have fewer resources and less experience.</w:t>
      </w:r>
      <w:r>
        <w:rPr>
          <w:rStyle w:val="FootnoteReference"/>
        </w:rPr>
        <w:footnoteReference w:id="432"/>
      </w:r>
      <w:r>
        <w:t xml:space="preserve">  Just as customers should not be forced to agree to binding arbitration and surrender their right to their day in court in order to obtain broadband Internet access service, they should not have to do so in order to protect their private information conveyed through that service.</w:t>
      </w:r>
    </w:p>
    <w:p w:rsidR="00324CD5" w:rsidRDefault="00324CD5" w:rsidP="00324CD5">
      <w:pPr>
        <w:pStyle w:val="ParaNum"/>
      </w:pPr>
      <w:r>
        <w:t>We additionally seek comment on any other dispute resolution proposals we should consider in conjunction with this rulemaking, including whether and how to harmonize such proposals with our existing voice CPNI framework.  To the extent we should adopt any dispute resolution requirements, we seek comment on how to ensure access to dispute resolution for customers with disabilities.  For all dispute resolution proposals, we seek comment on the benefits and burdens of such proposals – in particular the burdens such proposals would place on small providers – and any reasonable alternatives that could alleviate associated burdens.</w:t>
      </w:r>
    </w:p>
    <w:p w:rsidR="00324CD5" w:rsidRDefault="00324CD5" w:rsidP="00324CD5">
      <w:pPr>
        <w:pStyle w:val="Heading2"/>
      </w:pPr>
      <w:bookmarkStart w:id="784" w:name="_Toc443049950"/>
      <w:bookmarkStart w:id="785" w:name="_Toc443660133"/>
      <w:bookmarkStart w:id="786" w:name="_Toc444095760"/>
      <w:bookmarkStart w:id="787" w:name="_Toc445192984"/>
      <w:bookmarkStart w:id="788" w:name="_Toc445193077"/>
      <w:bookmarkStart w:id="789" w:name="_Toc445193148"/>
      <w:bookmarkStart w:id="790" w:name="_Toc445276281"/>
      <w:bookmarkStart w:id="791" w:name="_Toc445367870"/>
      <w:bookmarkStart w:id="792" w:name="_Toc446937479"/>
      <w:bookmarkStart w:id="793" w:name="_Toc447116351"/>
      <w:bookmarkStart w:id="794" w:name="_Toc447121240"/>
      <w:r>
        <w:t>Preemption of State Law</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rsidR="00324CD5" w:rsidRDefault="00324CD5" w:rsidP="00324CD5">
      <w:pPr>
        <w:pStyle w:val="ParaNum"/>
      </w:pPr>
      <w:r>
        <w:t>Consistent with the Commission’s approach to the current Section 222 rules, we propose to preempt state laws only to the extent that they are inconsistent with any rules adopted by the Commission.</w:t>
      </w:r>
      <w:r>
        <w:rPr>
          <w:rStyle w:val="FootnoteReference"/>
        </w:rPr>
        <w:footnoteReference w:id="433"/>
      </w:r>
      <w:r>
        <w:t xml:space="preserve">  The states are very active participants in ensuring their citizens have robust privacy and data security protections, and we do not intend to curtail their work.</w:t>
      </w:r>
      <w:r>
        <w:rPr>
          <w:rStyle w:val="FootnoteReference"/>
        </w:rPr>
        <w:footnoteReference w:id="434"/>
      </w:r>
      <w:r>
        <w:t xml:space="preserve">  However, the Commission is tasked with implementing the requirements of Section 222, and as the Commission has previously found, we “</w:t>
      </w:r>
      <w:r w:rsidRPr="008D4D05">
        <w:t>may preempt state regulation of intrast</w:t>
      </w:r>
      <w:r>
        <w:t>ate telecommunications matters ‘</w:t>
      </w:r>
      <w:r w:rsidRPr="008D4D05">
        <w:t>where such regulation would negate the Commission</w:t>
      </w:r>
      <w:r>
        <w:t>’</w:t>
      </w:r>
      <w:r w:rsidRPr="008D4D05">
        <w:t>s exercise of its lawful authority because regulation of the interstate aspects of the matter cannot be severed from regulation of the intrastate aspects</w:t>
      </w:r>
      <w:r>
        <w:t>.’”</w:t>
      </w:r>
      <w:r>
        <w:rPr>
          <w:rStyle w:val="FootnoteReference"/>
        </w:rPr>
        <w:footnoteReference w:id="435"/>
      </w:r>
    </w:p>
    <w:p w:rsidR="00324CD5" w:rsidRDefault="00324CD5" w:rsidP="00324CD5">
      <w:pPr>
        <w:pStyle w:val="ParaNum"/>
      </w:pPr>
      <w:r>
        <w:t>We observe that the Commission has interpreted this limited exercise of its preemption authority to allow states to craft laws regarding the collection, use, disclosure, and security of customer data that are more restrictive than those adopted by the Commission, provided that regulated entities are able to comply with both federal and state laws.</w:t>
      </w:r>
      <w:r>
        <w:rPr>
          <w:rStyle w:val="FootnoteReference"/>
        </w:rPr>
        <w:footnoteReference w:id="436"/>
      </w:r>
      <w:r>
        <w:t xml:space="preserve">  Our proposal is consistent with the approach adopted by the Commission in prior CPNI Orders, and is in line with the Commission’s goal of allowing states to craft their own laws related to the use of personal information, including CPNI.</w:t>
      </w:r>
      <w:r>
        <w:rPr>
          <w:rStyle w:val="FootnoteReference"/>
        </w:rPr>
        <w:footnoteReference w:id="437"/>
      </w:r>
      <w:r>
        <w:t xml:space="preserve">  Therefore, as the Commission has done in previous CPNI orders, we propose to preempt inconsistent state laws on a case-by-case basis, without the presumption that more restrictive state requirements are inconsistent with our rules.</w:t>
      </w:r>
      <w:r>
        <w:rPr>
          <w:rStyle w:val="FootnoteReference"/>
        </w:rPr>
        <w:footnoteReference w:id="438"/>
      </w:r>
      <w:r>
        <w:t xml:space="preserve">  We seek comment on this proposal, and on any alternative approaches we may take to state laws governing customer PI collected by BIAS providers and addressed by our proposed rules.  Specifically, we seek comment on whether broader application of our preemption authority is warranted, or, alternatively, whether we should decline to preempt state law in this area altogether.  We seek comment on the benefits and risks presented by these competing approaches to preemption.     </w:t>
      </w:r>
    </w:p>
    <w:p w:rsidR="00324CD5" w:rsidRDefault="00324CD5" w:rsidP="00324CD5">
      <w:pPr>
        <w:pStyle w:val="Heading2"/>
      </w:pPr>
      <w:bookmarkStart w:id="795" w:name="_Toc443660134"/>
      <w:bookmarkStart w:id="796" w:name="_Toc444095761"/>
      <w:bookmarkStart w:id="797" w:name="_Toc445192985"/>
      <w:bookmarkStart w:id="798" w:name="_Toc445193078"/>
      <w:bookmarkStart w:id="799" w:name="_Toc445193149"/>
      <w:bookmarkStart w:id="800" w:name="_Toc445276282"/>
      <w:bookmarkStart w:id="801" w:name="_Toc445367871"/>
      <w:bookmarkStart w:id="802" w:name="_Toc446937480"/>
      <w:bookmarkStart w:id="803" w:name="_Toc447116352"/>
      <w:bookmarkStart w:id="804" w:name="_Toc447121241"/>
      <w:r>
        <w:t>Other Proposed Frameworks</w:t>
      </w:r>
      <w:bookmarkEnd w:id="795"/>
      <w:bookmarkEnd w:id="796"/>
      <w:r>
        <w:t xml:space="preserve"> and Recommendations</w:t>
      </w:r>
      <w:bookmarkEnd w:id="797"/>
      <w:bookmarkEnd w:id="798"/>
      <w:bookmarkEnd w:id="799"/>
      <w:bookmarkEnd w:id="800"/>
      <w:bookmarkEnd w:id="801"/>
      <w:bookmarkEnd w:id="802"/>
      <w:bookmarkEnd w:id="803"/>
      <w:bookmarkEnd w:id="804"/>
    </w:p>
    <w:p w:rsidR="00324CD5" w:rsidRDefault="00324CD5" w:rsidP="00324CD5">
      <w:pPr>
        <w:pStyle w:val="ParaNum"/>
      </w:pPr>
      <w:r>
        <w:t>Various stakeholders have publicly proposed BIAS privacy frameworks and recommendations for us to consider.  These include frameworks offered by a coalition of industry associations that includes a number of BIAS providers (Industry Framework), New America’s Open Technology Institute (OTI Framework), Public Knowledge (PK Framework), the Electronic Privacy Information Center (EPIC Framework), the Information Technology and Innovation Foundation (ITIF), and Digital Content Next (Digital Content Framework).</w:t>
      </w:r>
      <w:r>
        <w:rPr>
          <w:rStyle w:val="FootnoteReference"/>
        </w:rPr>
        <w:footnoteReference w:id="439"/>
      </w:r>
      <w:r>
        <w:t xml:space="preserve">  Like the proposals in this Notice, all of the stakeholder proposals include components that would impose transparency, choice, and security obligations on confidential consumer information collected by BIAS providers, and we have incorporated some of their recommendations in to our own.  However, we recognize that our consideration of how best to ensure BIAS providers protect the confidentiality of their customers’ information could also benefit from feedback on these alternative proposals as a whole.  We therefore describe each proposed framework briefly in turn, and seek comment on their proposals, as additions to or substitutes for our own.  </w:t>
      </w:r>
    </w:p>
    <w:p w:rsidR="00324CD5" w:rsidRDefault="00324CD5" w:rsidP="00324CD5">
      <w:pPr>
        <w:pStyle w:val="ParaNum"/>
      </w:pPr>
      <w:r>
        <w:t xml:space="preserve">In addition to seeking comment on each of these sets of proposals, we seek comment on how these separate proposals correspond with our proposed framework.  Are there aspects of them that should be incorporated into our proposal?  We note that there is broad agreement about the importance of transparency, choice, and data security, but in other ways some of the proposals appear to be inconsistent with each other.  How should those inconsistencies be resolved?  Does our definition of key terms, including CPNI, customer PI, and personally identifiable information, account for the scope of protections and obligations contemplated under these proposals, given possible discrepancies in how those terms are defined between different frameworks?  </w:t>
      </w:r>
    </w:p>
    <w:p w:rsidR="00324CD5" w:rsidRDefault="00324CD5" w:rsidP="00324CD5">
      <w:pPr>
        <w:pStyle w:val="ParaNum"/>
      </w:pPr>
      <w:r>
        <w:rPr>
          <w:i/>
        </w:rPr>
        <w:t>Industry Framework.</w:t>
      </w:r>
      <w:r>
        <w:t xml:space="preserve">  The Industry Framework proposes four principles that we should consider when adopting privacy rules:  (1) transparency; (2) respect for context/consumer choice; (3) data security; and (4) data breach notification.  The proponents of the Industry Framework also recommend that any privacy rules we adopt should be limited to prohibiting unfair and deceptive practices, as outlined in the FTC’s Policy Statements.</w:t>
      </w:r>
      <w:r>
        <w:rPr>
          <w:rStyle w:val="FootnoteReference"/>
        </w:rPr>
        <w:footnoteReference w:id="440"/>
      </w:r>
      <w:r>
        <w:t xml:space="preserve">  They also argue that any such privacy rules should (and lawfully can) only apply to telecommunications service providers in the provision of telecommunications service, and only to CPNI that is made available by virtue of the customer-carrier relationship.  They also contend that any such rules should not apply to any information that has been de-identified, aggregated, or does not otherwise identify a known individual.</w:t>
      </w:r>
    </w:p>
    <w:p w:rsidR="00324CD5" w:rsidRDefault="00324CD5" w:rsidP="00324CD5">
      <w:pPr>
        <w:pStyle w:val="ParaNum"/>
      </w:pPr>
      <w:r>
        <w:t xml:space="preserve">The proponents of the Industry Framework also recommend a general approach of setting privacy or security goals, rather than methods by which those goals are to be achieved, and suggests that we should, beyond issuing rules, provide additional guidance on interpreting the privacy framework through workshops or reports, and encourage and support industry guidelines.  They also recommend harmonizing the existing CPNI guidelines with any BIAS guidelines we adopt and that we should adopt more flexible standards than are currently part of the Section 222 rules.  </w:t>
      </w:r>
    </w:p>
    <w:p w:rsidR="00324CD5" w:rsidRDefault="00324CD5" w:rsidP="00324CD5">
      <w:pPr>
        <w:pStyle w:val="ParaNum"/>
      </w:pPr>
      <w:r>
        <w:t xml:space="preserve">The Industry Framework also details more specific principles to which it believes BIAS providers should adhere.  First, the Industry Framework specifies that BIAS providers should give notice that is neither deceptive nor unfair that describes the collection, use, and sharing of CPNI with third parties.  Second, the Industry Framework recommends requiring BIAS providers to provide consumer choice where the failure to do so would be deceptive or unfair.  However, the Industry Framework specifies that consumers need not be given a choice when their information will be used for product or service fulfillment, fraud prevention, compliance with law, responses to government requests, network management, first-party marketing, and affiliate sharing where the affiliate relationship is reasonably clear to consumers.  Third, the Industry Framework recommends that BIAS providers maintain a CPNI data security program that has reasonable protections to prevent unauthorized access, use, or disclosure, concomitant with the nature and scope of the company’s activities, the sensitivity of the data, and the size and complexity of the company’s data operation.  Fourth, the Industry Framework recommends requiring BIAS providers to notify customers of data breaches when a breach is likely to cause substantial harm to customers and failure to notify would be unfair or deceptive, with providers having the flexibility to determine how and when to provide notice.  We seek comment on these proposals.  </w:t>
      </w:r>
    </w:p>
    <w:p w:rsidR="00324CD5" w:rsidRDefault="00324CD5" w:rsidP="00324CD5">
      <w:pPr>
        <w:pStyle w:val="ParaNum"/>
      </w:pPr>
      <w:r>
        <w:rPr>
          <w:i/>
        </w:rPr>
        <w:t>OTI Framework</w:t>
      </w:r>
      <w:r>
        <w:t xml:space="preserve">.  The OTI Framework begins by recommending that we adopt a broad definition of CPNI in the broadband context, which would include subscriber location information; sites visited; specification of connected devices; and time, amount, and type of Internet traffic.  The OTI Framework also proposes that the definition of CPNI should be expanded “where appropriate” to account for “new risks in broadband context,” and that we should define (and presumably protect) “proprietary information” as defined in the </w:t>
      </w:r>
      <w:r w:rsidRPr="007D0DB6">
        <w:rPr>
          <w:i/>
        </w:rPr>
        <w:t>TerraCom NAL</w:t>
      </w:r>
      <w:r>
        <w:t>.</w:t>
      </w:r>
      <w:r w:rsidRPr="004F441F">
        <w:rPr>
          <w:rStyle w:val="FootnoteReference"/>
        </w:rPr>
        <w:footnoteReference w:id="441"/>
      </w:r>
      <w:r>
        <w:t xml:space="preserve">  With that proposed definition in place, the OTI Framework makes several specific policy recommendations on (1) notice and consent, (2) disclosure of CPNI to customers, (3) data security and breach notification, (4) complaint process, and (5) differential privacy protections based on price.  In the matters of notice and consent, the OTI Framework recommends that we require BIAS providers to give accurate and reasonably specific notice of uses of information and of any third parties to whom the information will be disclosed.  The OTI Framework proposes opt-in consent for all non-service-related uses of CPNI.  The OTI Framework also appears to suggest that we provide rules or other guidance on how BIAS providers might disclose CPNI to customers, as required under Section 222(c)(2).  The OTI Framework also recommends required data breach notification similar to the existing CPNI rules.  The OTI Framework proposes a formal complaint process for violations of the privacy rules similar to the processes for wireline and wireless telephony.  Finally, the OTI Framework proposes prohibiting BIAS providers from charging subscribers for the baseline privacy protections specified in the OTI Framework.  We seek comment on these proposals.</w:t>
      </w:r>
    </w:p>
    <w:p w:rsidR="00324CD5" w:rsidRDefault="00324CD5" w:rsidP="00324CD5">
      <w:pPr>
        <w:pStyle w:val="ParaNum"/>
      </w:pPr>
      <w:r>
        <w:rPr>
          <w:i/>
        </w:rPr>
        <w:t>PK Framework.</w:t>
      </w:r>
      <w:r>
        <w:t xml:space="preserve">  In its proposed privacy framework, Public Knowledge recommends that we restate and adopt the framework of the </w:t>
      </w:r>
      <w:r>
        <w:rPr>
          <w:i/>
        </w:rPr>
        <w:t>2007 CPNI Order</w:t>
      </w:r>
      <w:r>
        <w:t>,</w:t>
      </w:r>
      <w:r>
        <w:rPr>
          <w:rStyle w:val="FootnoteReference"/>
        </w:rPr>
        <w:footnoteReference w:id="442"/>
      </w:r>
      <w:r>
        <w:t xml:space="preserve"> which it argues would include finding all PII within the scope of CPNI,</w:t>
      </w:r>
      <w:r>
        <w:rPr>
          <w:rStyle w:val="FootnoteReference"/>
        </w:rPr>
        <w:footnoteReference w:id="443"/>
      </w:r>
      <w:r>
        <w:t xml:space="preserve"> not implementing a safe harbor rule,</w:t>
      </w:r>
      <w:r>
        <w:rPr>
          <w:rStyle w:val="FootnoteReference"/>
        </w:rPr>
        <w:footnoteReference w:id="444"/>
      </w:r>
      <w:r>
        <w:t xml:space="preserve"> and requiring carriers to improve data security protections of their own accord as new precautions become available, without requiring additional rulemaking.</w:t>
      </w:r>
      <w:r>
        <w:rPr>
          <w:rStyle w:val="FootnoteReference"/>
        </w:rPr>
        <w:footnoteReference w:id="445"/>
      </w:r>
      <w:r>
        <w:t xml:space="preserve">  Public Knowledge proposes that BIAS providers, and not customers, bear the burden of ensuring privacy protections, while allowing customers to engage in privacy-enhancing practices themselves.  In particular, this means that the availability of customer-initiated protections like encryption and VPNs does not absolve BIAS providers from protecting the information of customers who do not purchase or deploy those solutions.  Public Knowledge also recommends that we prohibit BIAS providers from interfering with customers’ privacy enhancing tools and techniques, such as blocking tracking software or clearing it from caches.</w:t>
      </w:r>
    </w:p>
    <w:p w:rsidR="00324CD5" w:rsidRDefault="00324CD5" w:rsidP="00324CD5">
      <w:pPr>
        <w:pStyle w:val="ParaNum"/>
      </w:pPr>
      <w:r>
        <w:t>The PK Framework also includes recommendations on two particular practices: deep packet inspection and differential privacy protections based on discounts or other inducements.  With regard to deep packet inspection, the PK Framework suggests that consent to use or disclose CPNI does not mean consent to use or disclose communications content.  Public Knowledge further recommends that we prohibit “</w:t>
      </w:r>
      <w:r>
        <w:rPr>
          <w:i/>
        </w:rPr>
        <w:t xml:space="preserve">any </w:t>
      </w:r>
      <w:r>
        <w:t xml:space="preserve">provider under </w:t>
      </w:r>
      <w:r>
        <w:rPr>
          <w:i/>
        </w:rPr>
        <w:t>any</w:t>
      </w:r>
      <w:r>
        <w:t xml:space="preserve"> circumstances from using DPI or other tools to view the content of subscriber traffic.”  With regard to differing privacy protections, the PK Framework recommends prohibiting BIAS providers from “coercing consent” from customers by charging fees or withholding functionality of services that a subscriber “reasonably believes are included as part of the purchase of [BIAS].”  However, the PK Framework does not recommend a categorical prohibition on inducements to consent, though it cautions that some “discounts” and “services” may be disguised coercive tools, and that discounts could have a disparate impact against the privacy of lower-income customers. </w:t>
      </w:r>
    </w:p>
    <w:p w:rsidR="00324CD5" w:rsidRDefault="00324CD5" w:rsidP="00324CD5">
      <w:pPr>
        <w:pStyle w:val="ParaNum"/>
      </w:pPr>
      <w:r>
        <w:t xml:space="preserve"> Finally, the PK Framework recommends that we seek comment on supplementing the privacy and competition protections of Section 222 with rules based on our authority over cable and wireless providers.  With regard to privacy, the PK Framework recommends enhancing cable privacy rules under Section 631 and wireless privacy under Section 303(b) to ensure that protections based in Section 222 can be equally applied in those contexts.  With regard to competition, the PK Framework recommends supplementing competition-enhancing rules derived from Section 222 with authority from Section 628 and Section 303(b), to prevent anticompetitive uses of customer information in wireless and video services, including over-the-top video services.  We seek comment on these proposals.</w:t>
      </w:r>
    </w:p>
    <w:p w:rsidR="00324CD5" w:rsidRDefault="00324CD5" w:rsidP="00324CD5">
      <w:pPr>
        <w:pStyle w:val="ParaNum"/>
      </w:pPr>
      <w:r>
        <w:rPr>
          <w:i/>
        </w:rPr>
        <w:t>EPIC Framework.</w:t>
      </w:r>
      <w:r>
        <w:t xml:space="preserve">  EPIC makes five recommendations for privacy rules.  First, it argues that the rules should apply the FIPPs, as outlined in the HEW Report</w:t>
      </w:r>
      <w:r>
        <w:rPr>
          <w:rStyle w:val="FootnoteReference"/>
        </w:rPr>
        <w:footnoteReference w:id="446"/>
      </w:r>
      <w:r>
        <w:t xml:space="preserve"> and the Consumer Privacy Bill of Rights.</w:t>
      </w:r>
      <w:r>
        <w:rPr>
          <w:rStyle w:val="FootnoteReference"/>
        </w:rPr>
        <w:footnoteReference w:id="447"/>
      </w:r>
      <w:r>
        <w:t xml:space="preserve">  Second, it recommends data minimization requirements, including rules limiting the collection of data, requiring the disposal or de-identification of data that is no longer needed, and requiring reasonable data retention and disposal policies.  EPIC opposes mandatory data retention and recommends data be retained for the shortest period possible.  Third, the EPIC Framework recommends we promote privacy enhancing technologies such as “Do Not Track” mechanisms.  Fourth, the EPIC Framework argues that all Internet-based service providers obtain opt-in consent for the use or disclosure of consumer data.</w:t>
      </w:r>
    </w:p>
    <w:p w:rsidR="00324CD5" w:rsidRDefault="00324CD5" w:rsidP="00324CD5">
      <w:pPr>
        <w:pStyle w:val="ParaNum"/>
      </w:pPr>
      <w:r>
        <w:t>EPIC also recommends that the rules incorporate its Code of Fair Information Practices for the National Information Infrastructure,</w:t>
      </w:r>
      <w:r>
        <w:rPr>
          <w:rStyle w:val="FootnoteReference"/>
        </w:rPr>
        <w:footnoteReference w:id="448"/>
      </w:r>
      <w:r>
        <w:t xml:space="preserve"> which itself incorporates several principles and recommendations, including: protecting the confidentiality of electronic communications; limiting data collection; requiring explicit consent for service provider disclosure; requiring providers to disclose data collection practices; prohibiting payment for routine privacy protection, and allowing charges only for “extraordinary” privacy protection; appropriate security policies; and an enforcement mechanism.  We seek comment on these proposals.</w:t>
      </w:r>
    </w:p>
    <w:p w:rsidR="00324CD5" w:rsidRDefault="00324CD5" w:rsidP="00324CD5">
      <w:pPr>
        <w:pStyle w:val="ParaNum"/>
      </w:pPr>
      <w:r>
        <w:rPr>
          <w:i/>
        </w:rPr>
        <w:t>ITIF Recommendations.</w:t>
      </w:r>
      <w:r>
        <w:t xml:space="preserve">  In a paper on broadband privacy,</w:t>
      </w:r>
      <w:r>
        <w:rPr>
          <w:rStyle w:val="FootnoteReference"/>
        </w:rPr>
        <w:footnoteReference w:id="449"/>
      </w:r>
      <w:r>
        <w:t xml:space="preserve"> ITIF makes a number of recommendations, beginning with a recommendation that we forbear from the application of Section 222 to BIAS.  Alternatively, ITIF recommends that we declare the privacy policies of BIAS providers as non-common carrier services, thus allowing the FTC to exercise jurisdiction over their privacy practices.  ITIF’s third proposal is that we limit rules to those which correspond as much as possible to the FTC’s past privacy enforcement in this area.  ITIF suggests that any fines enforcing such rules be tied to actual consumer harm and amplified when the harm was intentional.  The ITIF Recommendations also suggest that we should support and encourage the continued formation of industry best practices; the development of experiments with pricing around new uses of consumer data; and the use, disclosure, and sharing of aggregate and de-identified customer data.  We seek comment on these proposals.</w:t>
      </w:r>
    </w:p>
    <w:p w:rsidR="00324CD5" w:rsidRDefault="00324CD5" w:rsidP="00324CD5">
      <w:pPr>
        <w:pStyle w:val="ParaNum"/>
      </w:pPr>
      <w:r>
        <w:rPr>
          <w:i/>
        </w:rPr>
        <w:t>Digital Content Framework.</w:t>
      </w:r>
      <w:r>
        <w:t xml:space="preserve">  Digital Content Next stresses the importance of respecting consumers’ expectations within the context of the interaction, as well as providing consumers with transparency and choice.  The Digital Content Framework further recommends that, in the context of BIAS providers, the contrast between the amount of information collected and the customers’ expectations of how that information is to be used suggests that service providers should be held to a higher standard than other participants in the online ecosystem. </w:t>
      </w:r>
    </w:p>
    <w:p w:rsidR="00324CD5" w:rsidRDefault="00324CD5" w:rsidP="00324CD5">
      <w:pPr>
        <w:pStyle w:val="ParaNum"/>
      </w:pPr>
      <w:r>
        <w:t xml:space="preserve">Digital Content Next recommends we require broadband providers to provide consumers with transparency and meaningful choice, particularly when information is used outside of consumer expectations and outside of the context in which the information was initially given.  Digital Content Next more specifically suggests that we follow the pattern of our existing Section 222 rules, allowing opt-out approval for marketing services similar to the providers’ and requiring opt-in approval for broader marketing or advertising.  The Digital Content Framework further recommends that the choice mechanisms should be clear, easy to use, and persistent, suggesting that they could take the form of account settings set up by the provider, or the recognition of signals sent by a device or a browser.  Digital Content Next also recommends we work with self-regulatory bodies, the FTC, and BIAS providers on developing business practices and technologies, including how to account for customers’ privacy choice mechanisms across multiple devices and in cross-device tracking.  We seek comment on these proposals.  </w:t>
      </w:r>
    </w:p>
    <w:p w:rsidR="00324CD5" w:rsidRDefault="00324CD5" w:rsidP="00324CD5">
      <w:pPr>
        <w:pStyle w:val="ParaNum"/>
      </w:pPr>
      <w:r>
        <w:rPr>
          <w:i/>
        </w:rPr>
        <w:t>Other</w:t>
      </w:r>
      <w:r>
        <w:t>.  Finally, we seek comment on any alternative approaches we can take to protect customer privacy, preserve customer control, and promote innovation, as well as the benefits and burdens associated with any such alternatives.</w:t>
      </w:r>
    </w:p>
    <w:p w:rsidR="00324CD5" w:rsidRDefault="00324CD5" w:rsidP="00324CD5">
      <w:pPr>
        <w:pStyle w:val="Heading2"/>
      </w:pPr>
      <w:bookmarkStart w:id="805" w:name="_Toc445192986"/>
      <w:bookmarkStart w:id="806" w:name="_Toc445193079"/>
      <w:bookmarkStart w:id="807" w:name="_Toc445193150"/>
      <w:bookmarkStart w:id="808" w:name="_Toc445276283"/>
      <w:bookmarkStart w:id="809" w:name="_Toc445367872"/>
      <w:bookmarkStart w:id="810" w:name="_Toc446937481"/>
      <w:bookmarkStart w:id="811" w:name="_Toc447116353"/>
      <w:bookmarkStart w:id="812" w:name="_Toc447121242"/>
      <w:r>
        <w:t>Multi-Stakeholder Process</w:t>
      </w:r>
      <w:bookmarkEnd w:id="805"/>
      <w:bookmarkEnd w:id="806"/>
      <w:bookmarkEnd w:id="807"/>
      <w:bookmarkEnd w:id="808"/>
      <w:bookmarkEnd w:id="809"/>
      <w:r w:rsidR="001F038C">
        <w:t>es</w:t>
      </w:r>
      <w:bookmarkEnd w:id="810"/>
      <w:bookmarkEnd w:id="811"/>
      <w:bookmarkEnd w:id="812"/>
    </w:p>
    <w:p w:rsidR="00324CD5" w:rsidRPr="00DD7C3A" w:rsidRDefault="00324CD5" w:rsidP="00324CD5">
      <w:pPr>
        <w:pStyle w:val="ParaNum"/>
      </w:pPr>
      <w:r w:rsidRPr="00DD7C3A">
        <w:t xml:space="preserve">We seek comment on whether </w:t>
      </w:r>
      <w:r>
        <w:t>there are specific ways we should incorporate multi-stakeholder processes into our proposed approach to protecting the privacy of customer PI.  The Department of Commerce’s 2010 Green Paper recommended use of multi-stakeholder processes to clarify how the FIPPs should be applied in particular commercial contexts.</w:t>
      </w:r>
      <w:r>
        <w:rPr>
          <w:rStyle w:val="FootnoteReference"/>
        </w:rPr>
        <w:footnoteReference w:id="450"/>
      </w:r>
      <w:r>
        <w:t xml:space="preserve">  Since then</w:t>
      </w:r>
      <w:r w:rsidR="001F038C">
        <w:t>,</w:t>
      </w:r>
      <w:r>
        <w:t xml:space="preserve"> the Department of Commerce through NTIA has convened multi-stakeholder processes on several topics, including mobile application transparency, facial recognition technology, and unmanned aircraft systems.</w:t>
      </w:r>
      <w:r>
        <w:rPr>
          <w:rStyle w:val="FootnoteReference"/>
        </w:rPr>
        <w:footnoteReference w:id="451"/>
      </w:r>
      <w:r>
        <w:t xml:space="preserve">  The Administration’s Privacy Bill of Rights also incorporates multi-stakeholder processes into its framework.</w:t>
      </w:r>
      <w:r>
        <w:rPr>
          <w:rStyle w:val="FootnoteReference"/>
        </w:rPr>
        <w:footnoteReference w:id="452"/>
      </w:r>
      <w:r>
        <w:t xml:space="preserve">  We seek comment on what lessons have been learned from the multi-stakeholder processes that NTIA has convened on behalf of the Department of Commerce.  Would such processes </w:t>
      </w:r>
      <w:r w:rsidRPr="00DD7C3A">
        <w:t>be useful in developing guidelines and best practices relating to these proposed rules</w:t>
      </w:r>
      <w:r>
        <w:t>?</w:t>
      </w:r>
      <w:r w:rsidRPr="00DD7C3A">
        <w:t xml:space="preserve">  </w:t>
      </w:r>
      <w:r>
        <w:t xml:space="preserve">Above </w:t>
      </w:r>
      <w:r w:rsidRPr="00DD7C3A">
        <w:t>we have sought comment on whether aspects of our proposed rules, such as notice language</w:t>
      </w:r>
      <w:r w:rsidRPr="00DD7C3A">
        <w:rPr>
          <w:vertAlign w:val="superscript"/>
        </w:rPr>
        <w:footnoteReference w:id="453"/>
      </w:r>
      <w:r w:rsidRPr="00DD7C3A">
        <w:t xml:space="preserve"> </w:t>
      </w:r>
      <w:r>
        <w:t xml:space="preserve">or </w:t>
      </w:r>
      <w:r w:rsidRPr="00DD7C3A">
        <w:t>security standards</w:t>
      </w:r>
      <w:r w:rsidRPr="00DD7C3A">
        <w:rPr>
          <w:vertAlign w:val="superscript"/>
        </w:rPr>
        <w:footnoteReference w:id="454"/>
      </w:r>
      <w:r w:rsidRPr="00DD7C3A">
        <w:t xml:space="preserve"> would benefit from a multi-stakeholder process such as that conducted by NTIA.  Would a similar process be useful to address </w:t>
      </w:r>
      <w:r>
        <w:t xml:space="preserve">the privacy practices of broadband providers </w:t>
      </w:r>
      <w:r w:rsidRPr="00DD7C3A">
        <w:t>more generally, or in other specific areas?  If so, how should the process be managed and governed?  Should such process</w:t>
      </w:r>
      <w:r>
        <w:t>es</w:t>
      </w:r>
      <w:r w:rsidRPr="00DD7C3A">
        <w:t xml:space="preserve"> serve as a supplement or an alternative to further rulemaking?  </w:t>
      </w:r>
    </w:p>
    <w:p w:rsidR="00324CD5" w:rsidRDefault="00324CD5" w:rsidP="00324CD5">
      <w:pPr>
        <w:pStyle w:val="Heading1"/>
      </w:pPr>
      <w:bookmarkStart w:id="813" w:name="_Toc443049951"/>
      <w:bookmarkStart w:id="814" w:name="_Toc443660135"/>
      <w:bookmarkStart w:id="815" w:name="_Toc444095762"/>
      <w:bookmarkStart w:id="816" w:name="_Toc445192987"/>
      <w:bookmarkStart w:id="817" w:name="_Toc445193080"/>
      <w:bookmarkStart w:id="818" w:name="_Toc445193151"/>
      <w:bookmarkStart w:id="819" w:name="_Toc445276284"/>
      <w:bookmarkStart w:id="820" w:name="_Toc445367873"/>
      <w:bookmarkStart w:id="821" w:name="_Toc446937482"/>
      <w:bookmarkStart w:id="822" w:name="_Toc447116354"/>
      <w:bookmarkStart w:id="823" w:name="_Toc447121243"/>
      <w:r>
        <w:t>Legal Authority</w:t>
      </w:r>
      <w:bookmarkEnd w:id="813"/>
      <w:bookmarkEnd w:id="814"/>
      <w:bookmarkEnd w:id="815"/>
      <w:bookmarkEnd w:id="816"/>
      <w:bookmarkEnd w:id="817"/>
      <w:bookmarkEnd w:id="818"/>
      <w:bookmarkEnd w:id="819"/>
      <w:bookmarkEnd w:id="820"/>
      <w:bookmarkEnd w:id="821"/>
      <w:bookmarkEnd w:id="822"/>
      <w:bookmarkEnd w:id="823"/>
    </w:p>
    <w:p w:rsidR="00324CD5" w:rsidRDefault="00324CD5" w:rsidP="00324CD5">
      <w:pPr>
        <w:pStyle w:val="ParaNum"/>
        <w:tabs>
          <w:tab w:val="clear" w:pos="1440"/>
          <w:tab w:val="num" w:pos="1080"/>
        </w:tabs>
      </w:pPr>
      <w:r>
        <w:t>In this section, we discuss and seek comment on our statutory authority to adopt the rules we propose in this Notice and for any other rules that we may conclude, as a result of this proceeding, to be in the public interest.  Since the enactment of the Communications Act of 1934, there has been an expectation that providers of communications services have obligations to protect both the security and the privacy of information about their customers.</w:t>
      </w:r>
      <w:bookmarkStart w:id="824" w:name="_Ref445309018"/>
      <w:r>
        <w:rPr>
          <w:rStyle w:val="FootnoteReference"/>
        </w:rPr>
        <w:footnoteReference w:id="455"/>
      </w:r>
      <w:bookmarkEnd w:id="824"/>
      <w:r>
        <w:t xml:space="preserve">  We intend our proposed rules to be primarily grounded in Section 222.  However, we believe that we can also find support in other sections of the Communications Act, including Sections 201 and 202 of the Communications Act, which prohibit telecommunications carriers from engaging in unjust, unreasonable, or unreasonably discriminatory practices; Section 706 of the Telecommunications Act of 1996, as amended (1996 Act), which requires the Commission to use </w:t>
      </w:r>
      <w:r w:rsidRPr="00C66267">
        <w:t>regulating methods that remove barriers to infrastructure investment</w:t>
      </w:r>
      <w:r>
        <w:t>;</w:t>
      </w:r>
      <w:r>
        <w:rPr>
          <w:rStyle w:val="FootnoteReference"/>
        </w:rPr>
        <w:footnoteReference w:id="456"/>
      </w:r>
      <w:r>
        <w:t xml:space="preserve"> and Section 705 of the Communications Act, which restricts the unauthorized publication or use of communications.</w:t>
      </w:r>
      <w:r>
        <w:rPr>
          <w:rStyle w:val="FootnoteReference"/>
        </w:rPr>
        <w:footnoteReference w:id="457"/>
      </w:r>
      <w:r>
        <w:t xml:space="preserve">  Taken together, these statutory provisions give us the authority and responsibility to ensure that telecommunications carriers and other service providers protect the confidentiality of private customer information and give their customers control over the carriers’ use and sharing of such information.</w:t>
      </w:r>
    </w:p>
    <w:p w:rsidR="00324CD5" w:rsidRDefault="00324CD5" w:rsidP="00F91900">
      <w:pPr>
        <w:pStyle w:val="ParaNum"/>
        <w:widowControl/>
        <w:tabs>
          <w:tab w:val="clear" w:pos="1440"/>
          <w:tab w:val="num" w:pos="1080"/>
        </w:tabs>
      </w:pPr>
      <w:r>
        <w:t xml:space="preserve">The Act gives us the authority to prescribe rules that may be necessary in the public interest to carry out the Communications Act, and our authority </w:t>
      </w:r>
      <w:r w:rsidRPr="000A18AD">
        <w:t xml:space="preserve">to adopt rules to interpret and implement </w:t>
      </w:r>
      <w:r>
        <w:t>Section</w:t>
      </w:r>
      <w:r w:rsidRPr="000A18AD">
        <w:t xml:space="preserve"> 222’s provisions</w:t>
      </w:r>
      <w:r>
        <w:t xml:space="preserve"> is well established</w:t>
      </w:r>
      <w:r w:rsidRPr="000A18AD">
        <w:t>.</w:t>
      </w:r>
      <w:r>
        <w:rPr>
          <w:rStyle w:val="FootnoteReference"/>
        </w:rPr>
        <w:footnoteReference w:id="458"/>
      </w:r>
      <w:r>
        <w:t xml:space="preserve">  We welcome comment on the legal framework we offer below for this proceeding and invite commenters to offer their own legal analysis on whether the rules we propose, the alternatives on which we seek comment, and the recommendations that commenters make are consistent with and supported by the statutory authority upon which we rely, or on other statutory authority</w:t>
      </w:r>
      <w:r w:rsidR="00176D83">
        <w:t>, including, for example, Section</w:t>
      </w:r>
      <w:r w:rsidR="00554E5F">
        <w:t>s</w:t>
      </w:r>
      <w:r w:rsidR="00176D83">
        <w:t xml:space="preserve"> 631 and 338(i) of the Communications Act</w:t>
      </w:r>
      <w:r>
        <w:t>.  To the extent that commenters offer alternate proposals, we welcome explanations of the extent to which such proposals are consistent with and authorized by Section 222 or other relevant statutory provisions.  We focus our disc</w:t>
      </w:r>
      <w:r w:rsidR="001F038C">
        <w:t>ussion in this legal authority s</w:t>
      </w:r>
      <w:r>
        <w:t>ection on some of the most significant issues in this proceeding, but we also invite commenters to offer analysis of the Commission’s legal authority on all of the rules we propose today.</w:t>
      </w:r>
    </w:p>
    <w:p w:rsidR="00324CD5" w:rsidRDefault="00324CD5" w:rsidP="00F91900">
      <w:pPr>
        <w:pStyle w:val="Heading2"/>
        <w:widowControl/>
      </w:pPr>
      <w:bookmarkStart w:id="825" w:name="_Ref444468425"/>
      <w:bookmarkStart w:id="826" w:name="_Toc445192988"/>
      <w:bookmarkStart w:id="827" w:name="_Toc445193081"/>
      <w:bookmarkStart w:id="828" w:name="_Toc445193152"/>
      <w:bookmarkStart w:id="829" w:name="_Toc445276285"/>
      <w:bookmarkStart w:id="830" w:name="_Toc445367874"/>
      <w:bookmarkStart w:id="831" w:name="_Toc446937483"/>
      <w:bookmarkStart w:id="832" w:name="_Toc447116355"/>
      <w:bookmarkStart w:id="833" w:name="_Toc447121244"/>
      <w:r>
        <w:t>Section 222 of the Communications Act</w:t>
      </w:r>
      <w:bookmarkEnd w:id="825"/>
      <w:bookmarkEnd w:id="826"/>
      <w:bookmarkEnd w:id="827"/>
      <w:bookmarkEnd w:id="828"/>
      <w:bookmarkEnd w:id="829"/>
      <w:bookmarkEnd w:id="830"/>
      <w:bookmarkEnd w:id="831"/>
      <w:bookmarkEnd w:id="832"/>
      <w:bookmarkEnd w:id="833"/>
    </w:p>
    <w:p w:rsidR="00324CD5" w:rsidRDefault="00324CD5" w:rsidP="00F91900">
      <w:pPr>
        <w:pStyle w:val="ParaNum"/>
        <w:widowControl/>
        <w:tabs>
          <w:tab w:val="clear" w:pos="1440"/>
          <w:tab w:val="num" w:pos="1080"/>
        </w:tabs>
      </w:pPr>
      <w:r>
        <w:t xml:space="preserve">In the sections above, we seek comment on adopting rules that require telecommunications carriers, including providers of BIAS, to protect, and to provide their customers with notice, choice, and data security with respect to their customer PI.  As described in more detail below, we believe that these proposals are fully supported by Section 222, and invite comment on that issue.  </w:t>
      </w:r>
    </w:p>
    <w:p w:rsidR="00324CD5" w:rsidRDefault="00324CD5" w:rsidP="00F91900">
      <w:pPr>
        <w:pStyle w:val="ParaNum"/>
        <w:widowControl/>
        <w:tabs>
          <w:tab w:val="clear" w:pos="1440"/>
          <w:tab w:val="num" w:pos="1080"/>
        </w:tabs>
      </w:pPr>
      <w:r>
        <w:t>Congress added Section 222 to the Communications Act in 1996.</w:t>
      </w:r>
      <w:r>
        <w:rPr>
          <w:rStyle w:val="FootnoteReference"/>
        </w:rPr>
        <w:footnoteReference w:id="459"/>
      </w:r>
      <w:r>
        <w:t xml:space="preserve">  Section 222, entitled “</w:t>
      </w:r>
      <w:r w:rsidRPr="00B43E62">
        <w:t>Privacy of customer information</w:t>
      </w:r>
      <w:r>
        <w:t>,” established a new statutory framework governing carrier use and disclosure of customer proprietary network information and other customer information obtained by carriers in their provision of telecommunications services.</w:t>
      </w:r>
      <w:r>
        <w:rPr>
          <w:rStyle w:val="FootnoteReference"/>
        </w:rPr>
        <w:footnoteReference w:id="460"/>
      </w:r>
      <w:r>
        <w:t xml:space="preserve">  Fundamentally, Section 222 obligates telecommunications carriers to protect the confidentiality of proprietary information, including proprietary information about their customers, and in furtherance of that obligation it requires carriers to seek approval before using or sharing customer proprietary network information.  When we reclassified BIAS as a telecommunications service, we determined that forbearance from Section 222 would not serve the public interest because of the importance of ensuring that BIAS customers have strong privacy protections.</w:t>
      </w:r>
      <w:r>
        <w:rPr>
          <w:rStyle w:val="FootnoteReference"/>
        </w:rPr>
        <w:footnoteReference w:id="461"/>
      </w:r>
      <w:r>
        <w:t xml:space="preserve">  </w:t>
      </w:r>
    </w:p>
    <w:p w:rsidR="00324CD5" w:rsidRDefault="00324CD5" w:rsidP="00324CD5">
      <w:pPr>
        <w:pStyle w:val="ParaNum"/>
        <w:tabs>
          <w:tab w:val="clear" w:pos="1440"/>
          <w:tab w:val="num" w:pos="1080"/>
        </w:tabs>
      </w:pPr>
      <w:r>
        <w:t>We recognize that earlier Commission decisions focused primarily on Section 222(c)’s protection of CPNI, and could be read to imply that CPNI is the only type of customer information protected.</w:t>
      </w:r>
      <w:r>
        <w:rPr>
          <w:rStyle w:val="FootnoteReference"/>
        </w:rPr>
        <w:footnoteReference w:id="462"/>
      </w:r>
      <w:r>
        <w:t xml:space="preserve">  However, those decisions simply did not need to address the broader protections offered by Section 222(a), and we do not so limit ourselves here.  The focus of the earliest decisions implementing Section 222 was generally on the restrictions on use and sharing of individually identifiable CPNI in particular, especially from the perspective of introducing competition into the telecommunications market and replacing the CPNI rules that the Commission had adopted before the 1996 Act, which were focused on protecting independent enhanced service providers and equipment suppliers from discrimination by incumbent local exchange carriers.</w:t>
      </w:r>
      <w:r>
        <w:rPr>
          <w:rStyle w:val="FootnoteReference"/>
        </w:rPr>
        <w:footnoteReference w:id="463"/>
      </w:r>
      <w:r>
        <w:t xml:space="preserve">  The duty to secure the confidentiality of customer information beyond CPNI would not have been as substantial a concern in the years before it became so common for information to be stored electronically.  In 2007, the Commission strengthened its rules governing secure handling of CPNI in order to address problems that had been identified regarding the advertising and sale of personal telephone records, which are indisputably CPNI, and in doing so acknowledged the general mandate to protect confidentiality in 222(a).</w:t>
      </w:r>
      <w:r>
        <w:rPr>
          <w:rStyle w:val="FootnoteReference"/>
        </w:rPr>
        <w:footnoteReference w:id="464"/>
      </w:r>
    </w:p>
    <w:p w:rsidR="00324CD5" w:rsidRDefault="00324CD5" w:rsidP="00324CD5">
      <w:pPr>
        <w:pStyle w:val="ParaNum"/>
        <w:tabs>
          <w:tab w:val="clear" w:pos="1440"/>
          <w:tab w:val="num" w:pos="1080"/>
        </w:tabs>
      </w:pPr>
      <w:r>
        <w:t xml:space="preserve">Today, when telecommunications services are provided by myriad carriers, and when customers’ sensitive information is typically held in digital form that could pose security risks if not managed properly, we believe that Section 222(a) should be understood to mean what it says and that it should not be so narrowly construed.  More recently, the Commission made clear its view that the set of customer information protected by Section 222(a) is broader than CPNI in the 2014 </w:t>
      </w:r>
      <w:r>
        <w:rPr>
          <w:i/>
        </w:rPr>
        <w:t>TerraCom NAL</w:t>
      </w:r>
      <w:r>
        <w:t>,</w:t>
      </w:r>
      <w:r>
        <w:rPr>
          <w:rStyle w:val="FootnoteReference"/>
        </w:rPr>
        <w:footnoteReference w:id="465"/>
      </w:r>
      <w:r>
        <w:t xml:space="preserve"> and reiterated that view in the </w:t>
      </w:r>
      <w:r>
        <w:rPr>
          <w:i/>
        </w:rPr>
        <w:t>2015 Lifeline Reform Order</w:t>
      </w:r>
      <w:r>
        <w:t>.</w:t>
      </w:r>
      <w:r>
        <w:rPr>
          <w:rStyle w:val="FootnoteReference"/>
        </w:rPr>
        <w:footnoteReference w:id="466"/>
      </w:r>
      <w:r>
        <w:t xml:space="preserve">  </w:t>
      </w:r>
    </w:p>
    <w:p w:rsidR="00324CD5" w:rsidRDefault="00324CD5" w:rsidP="00324CD5">
      <w:pPr>
        <w:pStyle w:val="ParaNum"/>
        <w:tabs>
          <w:tab w:val="clear" w:pos="1440"/>
          <w:tab w:val="num" w:pos="1080"/>
        </w:tabs>
      </w:pPr>
      <w:r>
        <w:t xml:space="preserve">In this </w:t>
      </w:r>
      <w:r w:rsidRPr="0052226A">
        <w:t>Notice</w:t>
      </w:r>
      <w:r>
        <w:t>, we now propose rules that we believe are necessary to implement carriers’ obligation to protect customer information that is not CPNI, and we seek comment here specifically on our proposal that subsection (a) of Section 222 provides authority for the Commission to adopt such rules.  Furthermore, we understand that the phrase “protect the confidentiality” means more than preventing unauthorized access; confidentiality includes the concept of trust,</w:t>
      </w:r>
      <w:r>
        <w:rPr>
          <w:rStyle w:val="FootnoteReference"/>
        </w:rPr>
        <w:footnoteReference w:id="467"/>
      </w:r>
      <w:r>
        <w:t xml:space="preserve"> and consumers rightfully expect that information that their BIAS providers acquire by virtue of providing BIAS should be used and shared only for expected purposes.  Indeed, we believe that each of the core privacy principles we seek to uphold in this proceeding—transparency, choice, and security—is built into the authority granted by Section 222.  </w:t>
      </w:r>
    </w:p>
    <w:p w:rsidR="00324CD5" w:rsidRDefault="00324CD5" w:rsidP="00324CD5">
      <w:pPr>
        <w:pStyle w:val="ParaNum"/>
        <w:tabs>
          <w:tab w:val="clear" w:pos="1440"/>
          <w:tab w:val="num" w:pos="1080"/>
        </w:tabs>
      </w:pPr>
      <w:r>
        <w:rPr>
          <w:i/>
        </w:rPr>
        <w:t>Transparency.</w:t>
      </w:r>
      <w:r>
        <w:t xml:space="preserve">  We have often exercised our authority under Section 222 to describe the types of notice that would be necessary </w:t>
      </w:r>
      <w:r w:rsidR="005417C0">
        <w:t>to constitute “approval” under S</w:t>
      </w:r>
      <w:r>
        <w:t>ections 222(c)(1), (c)(2), and (d)(3).</w:t>
      </w:r>
      <w:r>
        <w:rPr>
          <w:rStyle w:val="FootnoteReference"/>
        </w:rPr>
        <w:footnoteReference w:id="468"/>
      </w:r>
      <w:r>
        <w:t xml:space="preserve">  Without adequate disclosure, consumers cannot truly be held to have approved any given use or sharing of their information.  Furthermore, we believe that adequate disclosure of privacy and security practices is necessary to protect the confidentiality of proprietary information of and relating to customers.</w:t>
      </w:r>
      <w:r>
        <w:rPr>
          <w:rStyle w:val="FootnoteReference"/>
        </w:rPr>
        <w:footnoteReference w:id="469"/>
      </w:r>
      <w:r>
        <w:t xml:space="preserve">  Disclosure helps to ensure that consumers, and not only service providers, can assign the appropriate weight to the privacy of their information compared to the value of allowing the service provider to use or share the information.  </w:t>
      </w:r>
      <w:r w:rsidRPr="00BB181E">
        <w:t>We also tentatively conclude that adequate transparency is necessary to ensure that BIAS providers</w:t>
      </w:r>
      <w:r>
        <w:t>’</w:t>
      </w:r>
      <w:r w:rsidRPr="00BB181E">
        <w:t xml:space="preserve"> practices are just, reasonable, and not unreasonably discriminatory, and that disclosures are in fact a necessary part of providing just and reasonable service.</w:t>
      </w:r>
      <w:r>
        <w:t xml:space="preserve">  Finally, we believe that transparency obligations do not constitute unconstitutionally compelled speech under the First Amendment, and we seek comment on that issue.</w:t>
      </w:r>
    </w:p>
    <w:p w:rsidR="00324CD5" w:rsidRDefault="00324CD5" w:rsidP="00324CD5">
      <w:pPr>
        <w:pStyle w:val="ParaNum"/>
        <w:tabs>
          <w:tab w:val="clear" w:pos="1440"/>
          <w:tab w:val="num" w:pos="1080"/>
        </w:tabs>
      </w:pPr>
      <w:r>
        <w:rPr>
          <w:i/>
        </w:rPr>
        <w:t>Choice</w:t>
      </w:r>
      <w:r>
        <w:t>.  Customer approval is a key component of the privacy framework of Section 222, and a core part of our existing CPNI rules.  Our proposed rules for BIAS providers draw from this framework, requiring customer approval for many uses, but permitting that approval to be granted in an opt-out framework for many uses where an opt-in approval requirement may be overly burdensome.  This framework, in the context of our existing rules, was successfully adopted after the Tenth Circuit found an earlier set of rules with fewer opt-out options to be insufficiently supported by the record at the time.</w:t>
      </w:r>
      <w:r>
        <w:rPr>
          <w:rStyle w:val="FootnoteReference"/>
        </w:rPr>
        <w:footnoteReference w:id="470"/>
      </w:r>
      <w:r>
        <w:t xml:space="preserve">  The rules we propose here, like the existing CPNI rules, are intended to directly advance both the substantial public interest in consumer privacy as well as Section 222’s mandate to protect customer confidentiality, while not being more extensive than necessary to serve those interests, according to the criteria of </w:t>
      </w:r>
      <w:r>
        <w:rPr>
          <w:i/>
        </w:rPr>
        <w:t>Central Hudson</w:t>
      </w:r>
      <w:r>
        <w:t>.</w:t>
      </w:r>
      <w:r>
        <w:rPr>
          <w:rStyle w:val="FootnoteReference"/>
        </w:rPr>
        <w:footnoteReference w:id="471"/>
      </w:r>
      <w:r>
        <w:t xml:space="preserve">  For customers to be able to protect their privacy, they must have a way to easily locate and exercise their options, and they must be able to give or withhold their consent for uses of their information not directly related to the provision of their service.  These proposed rules correspond with well-established rules in the voice context, and allow for a number of uses with no </w:t>
      </w:r>
      <w:r w:rsidR="001F038C">
        <w:t xml:space="preserve">additional </w:t>
      </w:r>
      <w:r>
        <w:t xml:space="preserve">approval, or </w:t>
      </w:r>
      <w:r w:rsidR="001F038C">
        <w:t xml:space="preserve">opt-out or </w:t>
      </w:r>
      <w:r>
        <w:t xml:space="preserve">opt-in approval, from customers, imposing no more restrictions than are necessary to protect customer privacy and control. </w:t>
      </w:r>
    </w:p>
    <w:p w:rsidR="00324CD5" w:rsidRDefault="00324CD5" w:rsidP="00324CD5">
      <w:pPr>
        <w:pStyle w:val="ParaNum"/>
        <w:tabs>
          <w:tab w:val="clear" w:pos="1440"/>
          <w:tab w:val="num" w:pos="1080"/>
        </w:tabs>
      </w:pPr>
      <w:r>
        <w:rPr>
          <w:i/>
        </w:rPr>
        <w:t>Data Security and Breach Notification.</w:t>
      </w:r>
      <w:r>
        <w:t xml:space="preserve">  Section 222 leaves no doubt that every telecommunications carrier has a duty to protect its customers’ proprietary information.  The Commission has referred specifically to Section 222(a) as imposing security obligations on telecommunications carriers and providing authority to the Commission to adopt security-focused rules,</w:t>
      </w:r>
      <w:r>
        <w:rPr>
          <w:rStyle w:val="FootnoteReference"/>
        </w:rPr>
        <w:footnoteReference w:id="472"/>
      </w:r>
      <w:r>
        <w:t xml:space="preserve"> and we have implemented security and data breach obligations on CPNI under the more specific auspices of Section 222(c).  We believe that the same authority justifies the revised breach notification requirements we propose in this </w:t>
      </w:r>
      <w:r w:rsidRPr="004D4C97">
        <w:t>Notice</w:t>
      </w:r>
      <w:r>
        <w:t xml:space="preserve">, including the requirement that carriers notify customers, law enforcement, and the Commission of breaches of customer PI that is not CPNI.  </w:t>
      </w:r>
      <w:r w:rsidRPr="003E04AC">
        <w:t>We also do not believe that such breach</w:t>
      </w:r>
      <w:r>
        <w:t xml:space="preserve"> </w:t>
      </w:r>
      <w:r w:rsidRPr="003E04AC">
        <w:t>notification requirements</w:t>
      </w:r>
      <w:r>
        <w:t>, which are common in other sectors and in many states,</w:t>
      </w:r>
      <w:r w:rsidRPr="003E04AC">
        <w:t xml:space="preserve"> constitute unjustified compelled speech that implicates the First Amendment.  </w:t>
      </w:r>
    </w:p>
    <w:p w:rsidR="00324CD5" w:rsidRDefault="00324CD5" w:rsidP="00324CD5">
      <w:pPr>
        <w:pStyle w:val="Heading2"/>
      </w:pPr>
      <w:bookmarkStart w:id="834" w:name="_Toc445192989"/>
      <w:bookmarkStart w:id="835" w:name="_Toc445193082"/>
      <w:bookmarkStart w:id="836" w:name="_Toc445193153"/>
      <w:bookmarkStart w:id="837" w:name="_Toc445276286"/>
      <w:bookmarkStart w:id="838" w:name="_Toc445367875"/>
      <w:bookmarkStart w:id="839" w:name="_Toc446937484"/>
      <w:bookmarkStart w:id="840" w:name="_Toc447116356"/>
      <w:bookmarkStart w:id="841" w:name="_Toc447121245"/>
      <w:r>
        <w:t>Additional Statutory Authority</w:t>
      </w:r>
      <w:bookmarkEnd w:id="834"/>
      <w:bookmarkEnd w:id="835"/>
      <w:bookmarkEnd w:id="836"/>
      <w:bookmarkEnd w:id="837"/>
      <w:bookmarkEnd w:id="838"/>
      <w:bookmarkEnd w:id="839"/>
      <w:bookmarkEnd w:id="840"/>
      <w:bookmarkEnd w:id="841"/>
    </w:p>
    <w:p w:rsidR="00324CD5" w:rsidRDefault="00324CD5" w:rsidP="00324CD5">
      <w:pPr>
        <w:pStyle w:val="ParaNum"/>
        <w:tabs>
          <w:tab w:val="clear" w:pos="1440"/>
          <w:tab w:val="num" w:pos="1080"/>
        </w:tabs>
      </w:pPr>
      <w:r>
        <w:t>We also believe that our proposals find support in a number of other statutory provisions, which provide authority to protect against unjust, unreasonable, and unreasonably discriminatory practices; interception or divulgence of communications; and the untimely deployment of advanced telecommunications services.  An additional source of authority includes our particular authority over wireless licensees.</w:t>
      </w:r>
    </w:p>
    <w:p w:rsidR="00324CD5" w:rsidRDefault="00324CD5" w:rsidP="00324CD5">
      <w:pPr>
        <w:pStyle w:val="Heading3"/>
      </w:pPr>
      <w:bookmarkStart w:id="842" w:name="_Toc445276287"/>
      <w:bookmarkStart w:id="843" w:name="_Toc445367876"/>
      <w:bookmarkStart w:id="844" w:name="_Toc446937485"/>
      <w:bookmarkStart w:id="845" w:name="_Toc447116357"/>
      <w:bookmarkStart w:id="846" w:name="_Toc447121246"/>
      <w:r>
        <w:t>Sections 201-202 of the Communications Act</w:t>
      </w:r>
      <w:bookmarkEnd w:id="842"/>
      <w:bookmarkEnd w:id="843"/>
      <w:bookmarkEnd w:id="844"/>
      <w:bookmarkEnd w:id="845"/>
      <w:bookmarkEnd w:id="846"/>
    </w:p>
    <w:p w:rsidR="00324CD5" w:rsidRDefault="00324CD5" w:rsidP="00324CD5">
      <w:pPr>
        <w:pStyle w:val="ParaNum"/>
        <w:tabs>
          <w:tab w:val="clear" w:pos="1440"/>
          <w:tab w:val="num" w:pos="1080"/>
        </w:tabs>
      </w:pPr>
      <w:r>
        <w:t xml:space="preserve">In the </w:t>
      </w:r>
      <w:r w:rsidRPr="00A82496">
        <w:rPr>
          <w:i/>
        </w:rPr>
        <w:t>2015 Open Internet Order</w:t>
      </w:r>
      <w:r>
        <w:t xml:space="preserve">, </w:t>
      </w:r>
      <w:r w:rsidR="005417C0">
        <w:t>we interpreted S</w:t>
      </w:r>
      <w:r w:rsidRPr="00304556">
        <w:t>ection</w:t>
      </w:r>
      <w:r w:rsidR="005417C0">
        <w:t>s</w:t>
      </w:r>
      <w:r w:rsidRPr="00304556">
        <w:t xml:space="preserve"> 201 and 202 in the broadband Internet access services context through our adoption of the “no-unreasonable interference/</w:t>
      </w:r>
      <w:r>
        <w:t>disadvantage” standard.</w:t>
      </w:r>
      <w:r w:rsidRPr="00304556">
        <w:t xml:space="preserve">  That standard, which is codified in our rules at Section 8.11, “is specifically designed to protect against harms to the open nature of the Internet.”  Of particular relevance for the proceeding initiated by this Notice, we found that “practices that fail to protect the confidentiality of end users’ proprietary information, will be unlawful if they unreasonably interfere with or disadvantage end user consumers’ ability to select, access or use broadband services, applications, or content.”</w:t>
      </w:r>
      <w:r>
        <w:rPr>
          <w:rStyle w:val="FootnoteReference"/>
        </w:rPr>
        <w:footnoteReference w:id="473"/>
      </w:r>
      <w:r w:rsidRPr="00304556">
        <w:t xml:space="preserve">   Against that backdrop, we seek comment on how </w:t>
      </w:r>
      <w:r>
        <w:t>our</w:t>
      </w:r>
      <w:r w:rsidR="001F038C">
        <w:t xml:space="preserve"> interpretation of S</w:t>
      </w:r>
      <w:r w:rsidRPr="00304556">
        <w:t>ection</w:t>
      </w:r>
      <w:r w:rsidR="001F038C">
        <w:t>s</w:t>
      </w:r>
      <w:r w:rsidRPr="00304556">
        <w:t xml:space="preserve"> 201 and 202 in the broadband Internet access services context should inform rules adopted in this proceeding to address consumer privacy and security</w:t>
      </w:r>
      <w:r w:rsidR="001F038C">
        <w:t>.</w:t>
      </w:r>
    </w:p>
    <w:p w:rsidR="00324CD5" w:rsidRPr="00724AF1" w:rsidRDefault="00324CD5" w:rsidP="00324CD5">
      <w:pPr>
        <w:pStyle w:val="ParaNum"/>
        <w:tabs>
          <w:tab w:val="clear" w:pos="1440"/>
          <w:tab w:val="num" w:pos="1080"/>
        </w:tabs>
      </w:pPr>
      <w:r>
        <w:t>We also note that S</w:t>
      </w:r>
      <w:r w:rsidRPr="008C3AD2">
        <w:t>ection 5 of the Federal Trade Commission Act declares that unfair methods of competition and unfair or deceptive acts or practices in or affecting</w:t>
      </w:r>
      <w:r>
        <w:t xml:space="preserve"> commerce are unlawful.</w:t>
      </w:r>
      <w:r>
        <w:rPr>
          <w:rStyle w:val="FootnoteReference"/>
        </w:rPr>
        <w:footnoteReference w:id="474"/>
      </w:r>
      <w:r w:rsidRPr="008C3AD2">
        <w:t xml:space="preserve"> There is a distinct congruence between practices that are unfair or deceptive and many practices that are unjust, unreasonable, or unreasonably discriminatory.  Indeed, bo</w:t>
      </w:r>
      <w:r w:rsidR="005417C0">
        <w:t>th Commissions have found that S</w:t>
      </w:r>
      <w:r w:rsidRPr="008C3AD2">
        <w:t>ection 201</w:t>
      </w:r>
      <w:r w:rsidR="005417C0">
        <w:t xml:space="preserve"> of the Communications Act and S</w:t>
      </w:r>
      <w:r w:rsidRPr="008C3AD2">
        <w:t>ection 5 of the FTC Act can be read as prohibiting the sam</w:t>
      </w:r>
      <w:r>
        <w:t>e types of acts or practices,</w:t>
      </w:r>
      <w:r>
        <w:rPr>
          <w:rStyle w:val="FootnoteReference"/>
        </w:rPr>
        <w:footnoteReference w:id="475"/>
      </w:r>
      <w:r w:rsidRPr="008C3AD2">
        <w:t xml:space="preserve"> and the FTC has a rich body of precedent, in enforcement actions and consent orders, that measures privacy and data-security practices against the unfair-or-deceptive standard.  Although the FTC lacks statutory authority to prevent common carriers from using such unfair or</w:t>
      </w:r>
      <w:r>
        <w:t xml:space="preserve"> deceptive acts or practices,</w:t>
      </w:r>
      <w:r>
        <w:rPr>
          <w:rStyle w:val="FootnoteReference"/>
        </w:rPr>
        <w:footnoteReference w:id="476"/>
      </w:r>
      <w:r w:rsidRPr="008C3AD2">
        <w:t xml:space="preserve"> we seek </w:t>
      </w:r>
      <w:r w:rsidR="005417C0">
        <w:t>comment on the extent to which S</w:t>
      </w:r>
      <w:r w:rsidRPr="008C3AD2">
        <w:t>ection 5 of the FTC Act and the FTC’s precedents may inform our consideration of whether practices by common carriers are unjust or unreasonable</w:t>
      </w:r>
      <w:r>
        <w:t>.</w:t>
      </w:r>
    </w:p>
    <w:p w:rsidR="00324CD5" w:rsidRDefault="00324CD5" w:rsidP="00324CD5">
      <w:pPr>
        <w:pStyle w:val="Heading3"/>
      </w:pPr>
      <w:bookmarkStart w:id="847" w:name="_Toc445192991"/>
      <w:bookmarkStart w:id="848" w:name="_Toc445193084"/>
      <w:bookmarkStart w:id="849" w:name="_Toc445193155"/>
      <w:bookmarkStart w:id="850" w:name="_Toc445276288"/>
      <w:bookmarkStart w:id="851" w:name="_Toc445367877"/>
      <w:bookmarkStart w:id="852" w:name="_Toc446937486"/>
      <w:bookmarkStart w:id="853" w:name="_Toc447116358"/>
      <w:bookmarkStart w:id="854" w:name="_Toc447121247"/>
      <w:r>
        <w:t>Section 705 of the Communications Act</w:t>
      </w:r>
      <w:bookmarkEnd w:id="847"/>
      <w:bookmarkEnd w:id="848"/>
      <w:bookmarkEnd w:id="849"/>
      <w:bookmarkEnd w:id="850"/>
      <w:bookmarkEnd w:id="851"/>
      <w:bookmarkEnd w:id="852"/>
      <w:bookmarkEnd w:id="853"/>
      <w:bookmarkEnd w:id="854"/>
    </w:p>
    <w:p w:rsidR="00324CD5" w:rsidRDefault="00324CD5" w:rsidP="00324CD5">
      <w:pPr>
        <w:pStyle w:val="ParaNum"/>
        <w:tabs>
          <w:tab w:val="clear" w:pos="1440"/>
          <w:tab w:val="num" w:pos="1080"/>
        </w:tabs>
      </w:pPr>
      <w:r>
        <w:t>Section 705 of the Communications Act has been in place since the adoption of the Communications Act in 1934.</w:t>
      </w:r>
      <w:r>
        <w:rPr>
          <w:rStyle w:val="FootnoteReference"/>
        </w:rPr>
        <w:footnoteReference w:id="477"/>
      </w:r>
      <w:r>
        <w:t xml:space="preserve">  Section 705(a) establishes that providers of communications services by wire and radio have obligations not to “</w:t>
      </w:r>
      <w:r w:rsidRPr="00CD101B">
        <w:t>divulge or publish the existence, contents, substance, purport, effect, or meaning</w:t>
      </w:r>
      <w:r>
        <w:t>” of communications that they carry on behalf of others.</w:t>
      </w:r>
      <w:r>
        <w:rPr>
          <w:rStyle w:val="FootnoteReference"/>
        </w:rPr>
        <w:footnoteReference w:id="478"/>
      </w:r>
      <w:r>
        <w:t xml:space="preserve">  We believe that Section 705 can thus provide a source of authority for rules protecting the privacy of customer information, including the content of their communications.  Do commenters agree?  To what extent do Section 705, as well as provisions of Title 18 of the United States Code, currently limit the practices of BIAS providers?  To what extent might it be necessary for the Commission to use its authority to interpret and implement Section 705 to protect subscribers to BIAS services?</w:t>
      </w:r>
    </w:p>
    <w:p w:rsidR="00324CD5" w:rsidRDefault="00324CD5" w:rsidP="00324CD5">
      <w:pPr>
        <w:pStyle w:val="Heading3"/>
      </w:pPr>
      <w:bookmarkStart w:id="855" w:name="_Toc445192992"/>
      <w:bookmarkStart w:id="856" w:name="_Toc445193085"/>
      <w:bookmarkStart w:id="857" w:name="_Toc445193156"/>
      <w:bookmarkStart w:id="858" w:name="_Toc445276289"/>
      <w:bookmarkStart w:id="859" w:name="_Toc445367878"/>
      <w:bookmarkStart w:id="860" w:name="_Toc446937487"/>
      <w:bookmarkStart w:id="861" w:name="_Toc447116359"/>
      <w:bookmarkStart w:id="862" w:name="_Toc447121248"/>
      <w:r>
        <w:t>Section 706 of the Telecommunications Act of 1996</w:t>
      </w:r>
      <w:bookmarkEnd w:id="855"/>
      <w:bookmarkEnd w:id="856"/>
      <w:bookmarkEnd w:id="857"/>
      <w:bookmarkEnd w:id="858"/>
      <w:bookmarkEnd w:id="859"/>
      <w:bookmarkEnd w:id="860"/>
      <w:bookmarkEnd w:id="861"/>
      <w:bookmarkEnd w:id="862"/>
    </w:p>
    <w:p w:rsidR="00324CD5" w:rsidRDefault="00324CD5" w:rsidP="00324CD5">
      <w:pPr>
        <w:pStyle w:val="ParaNum"/>
        <w:tabs>
          <w:tab w:val="clear" w:pos="1440"/>
          <w:tab w:val="num" w:pos="1080"/>
        </w:tabs>
      </w:pPr>
      <w:r>
        <w:t>Section 706(a) of the Telecommunications Act of 1996 directs the Commission to take actions that “shall encourage the deployment on a reasonable and timely basis of advanced telecommunications capability to all Americans.”</w:t>
      </w:r>
      <w:r>
        <w:rPr>
          <w:rStyle w:val="FootnoteReference"/>
        </w:rPr>
        <w:footnoteReference w:id="479"/>
      </w:r>
      <w:r>
        <w:t xml:space="preserve">  To do so, the Commission may utilize, “in a manner consistent with the public interest, convenience, and necessity, price cap regulation, regulatory forbearance, measures that promote competition in the local telecommunications market, or other regulating methods that remove barriers to infrastructure investment.”</w:t>
      </w:r>
      <w:r>
        <w:rPr>
          <w:rStyle w:val="FootnoteReference"/>
        </w:rPr>
        <w:footnoteReference w:id="480"/>
      </w:r>
      <w:r>
        <w:t xml:space="preserve">  In addition, Section 706(b) provides that the Commission “shall take immediate action to accelerate deployment of such capability by removing barriers to infrastructure investment and by promoting competition in the telecommunications market,” if it finds after inquiry that advanced telecommunications capability is not being deployed to all Americans in a reasonable and timely fashion.</w:t>
      </w:r>
      <w:r>
        <w:rPr>
          <w:rStyle w:val="FootnoteReference"/>
        </w:rPr>
        <w:footnoteReference w:id="481"/>
      </w:r>
      <w:r>
        <w:t xml:space="preserve">  In </w:t>
      </w:r>
      <w:r>
        <w:rPr>
          <w:i/>
        </w:rPr>
        <w:t>Verizon v. FCC</w:t>
      </w:r>
      <w:r>
        <w:t>,</w:t>
      </w:r>
      <w:r>
        <w:rPr>
          <w:rStyle w:val="FootnoteReference"/>
        </w:rPr>
        <w:footnoteReference w:id="482"/>
      </w:r>
      <w:r>
        <w:t xml:space="preserve"> the D.C. Circuit upheld the Commission’s transparency rule as authorized pursuant to Section 706.</w:t>
      </w:r>
      <w:r>
        <w:rPr>
          <w:rStyle w:val="FootnoteReference"/>
        </w:rPr>
        <w:footnoteReference w:id="483"/>
      </w:r>
      <w:r>
        <w:t xml:space="preserve">  In doing so, it upheld the Commission’s judgment that Section 706 constitutes an independent source of affirmative statutory authority to regulate BIAS providers.</w:t>
      </w:r>
      <w:r>
        <w:rPr>
          <w:rStyle w:val="FootnoteReference"/>
        </w:rPr>
        <w:footnoteReference w:id="484"/>
      </w:r>
      <w:r>
        <w:t xml:space="preserve">  The Commission reaffirmed that view in the </w:t>
      </w:r>
      <w:r>
        <w:rPr>
          <w:i/>
        </w:rPr>
        <w:t>2015 Open Internet Order</w:t>
      </w:r>
      <w:r>
        <w:t>.</w:t>
      </w:r>
      <w:r>
        <w:rPr>
          <w:rStyle w:val="FootnoteReference"/>
        </w:rPr>
        <w:footnoteReference w:id="485"/>
      </w:r>
    </w:p>
    <w:p w:rsidR="00324CD5" w:rsidRDefault="00324CD5" w:rsidP="00324CD5">
      <w:pPr>
        <w:pStyle w:val="ParaNum"/>
        <w:tabs>
          <w:tab w:val="clear" w:pos="1440"/>
          <w:tab w:val="num" w:pos="1080"/>
        </w:tabs>
      </w:pPr>
      <w:r>
        <w:t xml:space="preserve">We believe that rules governing the privacy and security practices of BIAS providers, such as those discussed in this </w:t>
      </w:r>
      <w:r w:rsidRPr="004D4C97">
        <w:t>Notice</w:t>
      </w:r>
      <w:r>
        <w:t>, would be independently supported by Section 706.  We also believe that the proposed transparency, choice, and security requirements further align with the virtuous cycle of Section 706, since they have the potential to increase customer confidence in BIAS providers’ practices, thereby boosting confidence in and therefore use of broadband services, which encourages the deployment on a reasonable and timely basis of advanced telecommunications capability to all Americans.  We seek comment on this analysis.</w:t>
      </w:r>
    </w:p>
    <w:p w:rsidR="00324CD5" w:rsidRDefault="00324CD5" w:rsidP="00324CD5">
      <w:pPr>
        <w:pStyle w:val="Heading3"/>
      </w:pPr>
      <w:bookmarkStart w:id="863" w:name="_Toc445192993"/>
      <w:bookmarkStart w:id="864" w:name="_Toc445193086"/>
      <w:bookmarkStart w:id="865" w:name="_Toc445193157"/>
      <w:bookmarkStart w:id="866" w:name="_Toc445276290"/>
      <w:bookmarkStart w:id="867" w:name="_Toc445367879"/>
      <w:bookmarkStart w:id="868" w:name="_Toc446937488"/>
      <w:bookmarkStart w:id="869" w:name="_Toc447116360"/>
      <w:bookmarkStart w:id="870" w:name="_Toc447121249"/>
      <w:r>
        <w:t>Title III of the Communications Act</w:t>
      </w:r>
      <w:bookmarkEnd w:id="863"/>
      <w:bookmarkEnd w:id="864"/>
      <w:bookmarkEnd w:id="865"/>
      <w:bookmarkEnd w:id="866"/>
      <w:bookmarkEnd w:id="867"/>
      <w:bookmarkEnd w:id="868"/>
      <w:bookmarkEnd w:id="869"/>
      <w:bookmarkEnd w:id="870"/>
      <w:r>
        <w:t xml:space="preserve"> </w:t>
      </w:r>
    </w:p>
    <w:p w:rsidR="0024066B" w:rsidRDefault="00324CD5" w:rsidP="0024066B">
      <w:pPr>
        <w:pStyle w:val="ParaNum"/>
        <w:tabs>
          <w:tab w:val="clear" w:pos="1440"/>
          <w:tab w:val="num" w:pos="1080"/>
        </w:tabs>
      </w:pPr>
      <w:r>
        <w:t>Section 303(b) of the Act directs the Commission to, “as public convenience, interest, or necessity requires,” “[p]rescribe the nature of the service to be rendered by each class of licensed stations and each station within any class.”</w:t>
      </w:r>
      <w:r>
        <w:rPr>
          <w:rStyle w:val="FootnoteReference"/>
        </w:rPr>
        <w:footnoteReference w:id="486"/>
      </w:r>
      <w:r>
        <w:t xml:space="preserve">  Section 303(r), furthermore, directs the Commission to make rules and regulations, and prescribe restrictions and conditions, to carry out the Act.</w:t>
      </w:r>
      <w:r>
        <w:rPr>
          <w:rStyle w:val="FootnoteReference"/>
        </w:rPr>
        <w:footnoteReference w:id="487"/>
      </w:r>
      <w:r>
        <w:t xml:space="preserve">  In addition, Section 316 authorizes the Commission to adopt new conditions on existing licenses if it determines that such action “will promote the public interest, convenience, and necessity.”</w:t>
      </w:r>
      <w:r>
        <w:rPr>
          <w:rStyle w:val="FootnoteReference"/>
        </w:rPr>
        <w:footnoteReference w:id="488"/>
      </w:r>
      <w:r>
        <w:t xml:space="preserve">  To the extent that BIAS is provided by licensed entities providing mobile BIAS, these provisions would appear to support adoption of rules such as those we consider in this proceeding.</w:t>
      </w:r>
      <w:r>
        <w:rPr>
          <w:rStyle w:val="FootnoteReference"/>
        </w:rPr>
        <w:footnoteReference w:id="489"/>
      </w:r>
      <w:r>
        <w:t xml:space="preserve">  We seek comment on this conclusion.</w:t>
      </w:r>
    </w:p>
    <w:p w:rsidR="00324CD5" w:rsidRPr="003C6FB1" w:rsidRDefault="00324CD5" w:rsidP="00324CD5">
      <w:pPr>
        <w:pStyle w:val="Heading1"/>
        <w:rPr>
          <w:rFonts w:eastAsia="Georgia"/>
        </w:rPr>
      </w:pPr>
      <w:bookmarkStart w:id="871" w:name="_Toc443049952"/>
      <w:bookmarkStart w:id="872" w:name="_Toc443660136"/>
      <w:bookmarkStart w:id="873" w:name="_Toc444095763"/>
      <w:bookmarkStart w:id="874" w:name="_Toc445192994"/>
      <w:bookmarkStart w:id="875" w:name="_Toc445193087"/>
      <w:bookmarkStart w:id="876" w:name="_Toc445193158"/>
      <w:bookmarkStart w:id="877" w:name="_Toc445276291"/>
      <w:bookmarkStart w:id="878" w:name="_Toc445367880"/>
      <w:bookmarkStart w:id="879" w:name="_Toc446937489"/>
      <w:bookmarkStart w:id="880" w:name="_Toc447116362"/>
      <w:bookmarkStart w:id="881" w:name="_Toc447121250"/>
      <w:r w:rsidRPr="003C6FB1">
        <w:rPr>
          <w:rFonts w:eastAsia="Georgia"/>
        </w:rPr>
        <w:t>Procedural Matters</w:t>
      </w:r>
      <w:bookmarkEnd w:id="871"/>
      <w:bookmarkEnd w:id="872"/>
      <w:bookmarkEnd w:id="873"/>
      <w:bookmarkEnd w:id="874"/>
      <w:bookmarkEnd w:id="875"/>
      <w:bookmarkEnd w:id="876"/>
      <w:bookmarkEnd w:id="877"/>
      <w:bookmarkEnd w:id="878"/>
      <w:bookmarkEnd w:id="879"/>
      <w:bookmarkEnd w:id="880"/>
      <w:bookmarkEnd w:id="881"/>
    </w:p>
    <w:p w:rsidR="00324CD5" w:rsidRPr="002A57BF" w:rsidRDefault="00324CD5" w:rsidP="00324CD5">
      <w:pPr>
        <w:pStyle w:val="Heading2"/>
      </w:pPr>
      <w:bookmarkStart w:id="882" w:name="_Toc386545061"/>
      <w:bookmarkStart w:id="883" w:name="_Toc386712801"/>
      <w:bookmarkStart w:id="884" w:name="_Toc386718147"/>
      <w:bookmarkStart w:id="885" w:name="_Toc386719080"/>
      <w:bookmarkStart w:id="886" w:name="_Toc387323144"/>
      <w:bookmarkStart w:id="887" w:name="_Toc387323723"/>
      <w:bookmarkStart w:id="888" w:name="_Toc387323785"/>
      <w:bookmarkStart w:id="889" w:name="_Toc387323857"/>
      <w:bookmarkStart w:id="890" w:name="_Toc387645430"/>
      <w:bookmarkStart w:id="891" w:name="_Toc387645674"/>
      <w:bookmarkStart w:id="892" w:name="_Toc387645981"/>
      <w:bookmarkStart w:id="893" w:name="_Toc387646125"/>
      <w:bookmarkStart w:id="894" w:name="_Toc387745064"/>
      <w:bookmarkStart w:id="895" w:name="_Toc387922705"/>
      <w:bookmarkStart w:id="896" w:name="_Toc387922862"/>
      <w:bookmarkStart w:id="897" w:name="_Toc387923003"/>
      <w:bookmarkStart w:id="898" w:name="_Toc387923323"/>
      <w:bookmarkStart w:id="899" w:name="_Toc387923754"/>
      <w:bookmarkStart w:id="900" w:name="_Toc387924473"/>
      <w:bookmarkStart w:id="901" w:name="_Toc388526899"/>
      <w:bookmarkStart w:id="902" w:name="_Toc389026275"/>
      <w:bookmarkStart w:id="903" w:name="_Toc391479542"/>
      <w:bookmarkStart w:id="904" w:name="_Toc391561447"/>
      <w:bookmarkStart w:id="905" w:name="_Toc391562808"/>
      <w:bookmarkStart w:id="906" w:name="_Toc391642493"/>
      <w:bookmarkStart w:id="907" w:name="_Toc394323251"/>
      <w:bookmarkStart w:id="908" w:name="_Toc394323546"/>
      <w:bookmarkStart w:id="909" w:name="_Toc394323640"/>
      <w:bookmarkStart w:id="910" w:name="_Toc394642415"/>
      <w:bookmarkStart w:id="911" w:name="_Toc445192995"/>
      <w:bookmarkStart w:id="912" w:name="_Toc445193088"/>
      <w:bookmarkStart w:id="913" w:name="_Toc445193159"/>
      <w:bookmarkStart w:id="914" w:name="_Toc445276292"/>
      <w:bookmarkStart w:id="915" w:name="_Toc445367881"/>
      <w:bookmarkStart w:id="916" w:name="_Toc446937490"/>
      <w:bookmarkStart w:id="917" w:name="_Toc447116363"/>
      <w:bookmarkStart w:id="918" w:name="_Toc447121251"/>
      <w:bookmarkStart w:id="919" w:name="_Toc443049953"/>
      <w:bookmarkStart w:id="920" w:name="_Toc443660137"/>
      <w:bookmarkStart w:id="921" w:name="_Toc444095764"/>
      <w:r w:rsidRPr="00D24967">
        <w:rPr>
          <w:i/>
        </w:rPr>
        <w:t>Ex Parte</w:t>
      </w:r>
      <w:r w:rsidRPr="002A57BF">
        <w:t xml:space="preserve"> Rules</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r w:rsidRPr="002A57BF">
        <w:t xml:space="preserve"> </w:t>
      </w:r>
    </w:p>
    <w:p w:rsidR="00324CD5" w:rsidRDefault="00324CD5" w:rsidP="00324CD5">
      <w:pPr>
        <w:pStyle w:val="ParaNum"/>
        <w:widowControl/>
        <w:rPr>
          <w:szCs w:val="22"/>
        </w:rPr>
      </w:pPr>
      <w:r w:rsidRPr="002A57BF">
        <w:rPr>
          <w:szCs w:val="22"/>
        </w:rPr>
        <w:t xml:space="preserve">This proceeding shall be treated as a “permit-but-disclose” proceeding in accordance with the Commission’s </w:t>
      </w:r>
      <w:r w:rsidRPr="002A57BF">
        <w:rPr>
          <w:i/>
          <w:iCs/>
          <w:szCs w:val="22"/>
        </w:rPr>
        <w:t xml:space="preserve">ex parte </w:t>
      </w:r>
      <w:r w:rsidRPr="002A57BF">
        <w:rPr>
          <w:szCs w:val="22"/>
        </w:rPr>
        <w:t>rules.</w:t>
      </w:r>
      <w:r w:rsidRPr="002A57BF">
        <w:rPr>
          <w:rStyle w:val="FootnoteReference"/>
          <w:szCs w:val="22"/>
        </w:rPr>
        <w:footnoteReference w:id="490"/>
      </w:r>
      <w:r w:rsidRPr="002A57BF">
        <w:rPr>
          <w:szCs w:val="22"/>
        </w:rPr>
        <w:t xml:space="preserve">  Persons making </w:t>
      </w:r>
      <w:r w:rsidRPr="002A57BF">
        <w:rPr>
          <w:i/>
          <w:szCs w:val="22"/>
        </w:rPr>
        <w:t xml:space="preserve">ex parte </w:t>
      </w:r>
      <w:r w:rsidRPr="002A57BF">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2A57BF">
        <w:rPr>
          <w:i/>
          <w:iCs/>
          <w:szCs w:val="22"/>
        </w:rPr>
        <w:t xml:space="preserve">ex parte </w:t>
      </w:r>
      <w:r w:rsidRPr="002A57BF">
        <w:rPr>
          <w:szCs w:val="22"/>
        </w:rPr>
        <w:t xml:space="preserve">presentations are reminded that memoranda summarizing the presentation must (1) list all persons attending or otherwise participating in the meeting at which the </w:t>
      </w:r>
      <w:r w:rsidRPr="002A57BF">
        <w:rPr>
          <w:i/>
          <w:iCs/>
          <w:szCs w:val="22"/>
        </w:rPr>
        <w:t xml:space="preserve">ex parte </w:t>
      </w:r>
      <w:r w:rsidRPr="002A57BF">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2A57BF">
        <w:rPr>
          <w:i/>
          <w:iCs/>
          <w:szCs w:val="22"/>
        </w:rPr>
        <w:t xml:space="preserve">ex parte </w:t>
      </w:r>
      <w:r w:rsidRPr="002A57BF">
        <w:rPr>
          <w:szCs w:val="22"/>
        </w:rPr>
        <w:t xml:space="preserve">meetings are deemed to be written </w:t>
      </w:r>
      <w:r w:rsidRPr="002A57BF">
        <w:rPr>
          <w:i/>
          <w:iCs/>
          <w:szCs w:val="22"/>
        </w:rPr>
        <w:t>ex parte</w:t>
      </w:r>
      <w:r w:rsidRPr="002A57BF">
        <w:rPr>
          <w:szCs w:val="22"/>
        </w:rPr>
        <w:t xml:space="preserve"> presentations and must be filed consistent with rule 1.1206(b).  In proceedings governed by rule 1.49(f) or for which the Commission has made available a method of electronic filing, written </w:t>
      </w:r>
      <w:r w:rsidRPr="002A57BF">
        <w:rPr>
          <w:i/>
          <w:iCs/>
          <w:szCs w:val="22"/>
        </w:rPr>
        <w:t xml:space="preserve">ex parte </w:t>
      </w:r>
      <w:r w:rsidRPr="002A57BF">
        <w:rPr>
          <w:szCs w:val="22"/>
        </w:rPr>
        <w:t xml:space="preserve">presentations and memoranda summarizing oral </w:t>
      </w:r>
      <w:r w:rsidRPr="002A57BF">
        <w:rPr>
          <w:i/>
          <w:iCs/>
          <w:szCs w:val="22"/>
        </w:rPr>
        <w:t xml:space="preserve">ex parte </w:t>
      </w:r>
      <w:r w:rsidRPr="002A57BF">
        <w:rPr>
          <w:szCs w:val="22"/>
        </w:rPr>
        <w:t>presentations, and all attachments thereto, must be filed through the electronic comment filing system available for that proceeding, and must be filed in their native format (</w:t>
      </w:r>
      <w:r w:rsidRPr="002A57BF">
        <w:rPr>
          <w:i/>
          <w:iCs/>
          <w:szCs w:val="22"/>
        </w:rPr>
        <w:t>e.g.</w:t>
      </w:r>
      <w:r w:rsidRPr="002A57BF">
        <w:rPr>
          <w:szCs w:val="22"/>
        </w:rPr>
        <w:t xml:space="preserve">, .doc, .xml, .ppt, searchable .pdf).  Participants in this proceeding should familiarize themselves with the Commission’s </w:t>
      </w:r>
      <w:r w:rsidRPr="002A57BF">
        <w:rPr>
          <w:i/>
          <w:iCs/>
          <w:szCs w:val="22"/>
        </w:rPr>
        <w:t xml:space="preserve">ex parte </w:t>
      </w:r>
      <w:r w:rsidRPr="002A57BF">
        <w:rPr>
          <w:szCs w:val="22"/>
        </w:rPr>
        <w:t>rules.</w:t>
      </w:r>
    </w:p>
    <w:p w:rsidR="00324CD5" w:rsidRPr="002A57BF" w:rsidRDefault="00324CD5" w:rsidP="00324CD5">
      <w:pPr>
        <w:pStyle w:val="Heading2"/>
      </w:pPr>
      <w:bookmarkStart w:id="922" w:name="_Toc386545062"/>
      <w:bookmarkStart w:id="923" w:name="_Toc386712802"/>
      <w:bookmarkStart w:id="924" w:name="_Toc386718148"/>
      <w:bookmarkStart w:id="925" w:name="_Toc386719081"/>
      <w:bookmarkStart w:id="926" w:name="_Toc387323145"/>
      <w:bookmarkStart w:id="927" w:name="_Toc387323724"/>
      <w:bookmarkStart w:id="928" w:name="_Toc387323786"/>
      <w:bookmarkStart w:id="929" w:name="_Toc387323858"/>
      <w:bookmarkStart w:id="930" w:name="_Toc387645431"/>
      <w:bookmarkStart w:id="931" w:name="_Toc387645675"/>
      <w:bookmarkStart w:id="932" w:name="_Toc387645982"/>
      <w:bookmarkStart w:id="933" w:name="_Toc387646126"/>
      <w:bookmarkStart w:id="934" w:name="_Toc387745065"/>
      <w:bookmarkStart w:id="935" w:name="_Toc387922706"/>
      <w:bookmarkStart w:id="936" w:name="_Toc387922863"/>
      <w:bookmarkStart w:id="937" w:name="_Toc387923004"/>
      <w:bookmarkStart w:id="938" w:name="_Toc387923324"/>
      <w:bookmarkStart w:id="939" w:name="_Toc387923755"/>
      <w:bookmarkStart w:id="940" w:name="_Toc387924474"/>
      <w:bookmarkStart w:id="941" w:name="_Toc388526900"/>
      <w:bookmarkStart w:id="942" w:name="_Toc389026276"/>
      <w:bookmarkStart w:id="943" w:name="_Toc391479543"/>
      <w:bookmarkStart w:id="944" w:name="_Toc391561448"/>
      <w:bookmarkStart w:id="945" w:name="_Toc391562809"/>
      <w:bookmarkStart w:id="946" w:name="_Toc391642494"/>
      <w:bookmarkStart w:id="947" w:name="_Toc394323252"/>
      <w:bookmarkStart w:id="948" w:name="_Toc394323547"/>
      <w:bookmarkStart w:id="949" w:name="_Toc394323641"/>
      <w:bookmarkStart w:id="950" w:name="_Toc394642416"/>
      <w:bookmarkStart w:id="951" w:name="_Toc445192996"/>
      <w:bookmarkStart w:id="952" w:name="_Toc445193089"/>
      <w:bookmarkStart w:id="953" w:name="_Toc445193160"/>
      <w:bookmarkStart w:id="954" w:name="_Toc445276293"/>
      <w:bookmarkStart w:id="955" w:name="_Toc445367882"/>
      <w:bookmarkStart w:id="956" w:name="_Toc446937491"/>
      <w:bookmarkStart w:id="957" w:name="_Toc447116364"/>
      <w:bookmarkStart w:id="958" w:name="_Toc447121252"/>
      <w:r w:rsidRPr="002A57BF">
        <w:t>Comment Filing Procedures</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p>
    <w:p w:rsidR="00324CD5" w:rsidRPr="002A57BF" w:rsidRDefault="005417C0" w:rsidP="00324CD5">
      <w:pPr>
        <w:pStyle w:val="ParaNum"/>
        <w:widowControl/>
        <w:rPr>
          <w:szCs w:val="22"/>
        </w:rPr>
      </w:pPr>
      <w:r>
        <w:rPr>
          <w:szCs w:val="22"/>
        </w:rPr>
        <w:t>Pursuant to S</w:t>
      </w:r>
      <w:r w:rsidR="00324CD5" w:rsidRPr="002A57BF">
        <w:rPr>
          <w:szCs w:val="22"/>
        </w:rPr>
        <w:t>ections 1.415 and 1.419 of t</w:t>
      </w:r>
      <w:r w:rsidR="001F038C">
        <w:rPr>
          <w:szCs w:val="22"/>
        </w:rPr>
        <w:t>he Commission’s rules, 47 CFR</w:t>
      </w:r>
      <w:r w:rsidR="00324CD5" w:rsidRPr="002A57BF">
        <w:rPr>
          <w:szCs w:val="22"/>
        </w:rPr>
        <w:t xml:space="preserve"> §§ 1.415, 1.419, interested parties may file comments and reply comments on or before the dates indicated on the first page of this document.  Comments may be filed using the Commission’s Electronic Comment Filing System (ECFS).  </w:t>
      </w:r>
      <w:r w:rsidR="00324CD5" w:rsidRPr="002A57BF">
        <w:rPr>
          <w:i/>
          <w:szCs w:val="22"/>
        </w:rPr>
        <w:t>See Electronic Filing of Documents in Rulemaking Proceedings</w:t>
      </w:r>
      <w:r w:rsidR="00324CD5" w:rsidRPr="002A57BF">
        <w:rPr>
          <w:szCs w:val="22"/>
        </w:rPr>
        <w:t>, 63 Fed. Reg. 24121 (1998).</w:t>
      </w:r>
    </w:p>
    <w:p w:rsidR="00324CD5" w:rsidRPr="002A57BF" w:rsidRDefault="00324CD5" w:rsidP="00DD1589">
      <w:pPr>
        <w:widowControl/>
        <w:numPr>
          <w:ilvl w:val="0"/>
          <w:numId w:val="17"/>
        </w:numPr>
        <w:rPr>
          <w:szCs w:val="22"/>
        </w:rPr>
      </w:pPr>
      <w:r w:rsidRPr="002A57BF">
        <w:rPr>
          <w:szCs w:val="22"/>
        </w:rPr>
        <w:t>Electronic Filers:  Comments may be filed electronically using the Internet by accessing the ECFS:  http://</w:t>
      </w:r>
      <w:r w:rsidR="001F038C">
        <w:rPr>
          <w:szCs w:val="22"/>
        </w:rPr>
        <w:t>apps.fcc.gov/ecfs</w:t>
      </w:r>
      <w:r w:rsidRPr="002A57BF">
        <w:rPr>
          <w:szCs w:val="22"/>
        </w:rPr>
        <w:t xml:space="preserve">/.  </w:t>
      </w:r>
    </w:p>
    <w:p w:rsidR="00324CD5" w:rsidRPr="002A57BF" w:rsidRDefault="00324CD5" w:rsidP="00324CD5">
      <w:pPr>
        <w:widowControl/>
        <w:rPr>
          <w:szCs w:val="22"/>
        </w:rPr>
      </w:pPr>
    </w:p>
    <w:p w:rsidR="00324CD5" w:rsidRPr="002A57BF" w:rsidRDefault="00324CD5" w:rsidP="00DD1589">
      <w:pPr>
        <w:widowControl/>
        <w:numPr>
          <w:ilvl w:val="0"/>
          <w:numId w:val="15"/>
        </w:numPr>
        <w:rPr>
          <w:szCs w:val="22"/>
        </w:rPr>
      </w:pPr>
      <w:r w:rsidRPr="002A57BF">
        <w:rPr>
          <w:szCs w:val="22"/>
        </w:rPr>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w:t>
      </w:r>
    </w:p>
    <w:p w:rsidR="00324CD5" w:rsidRPr="002A57BF" w:rsidRDefault="00324CD5" w:rsidP="00324CD5">
      <w:pPr>
        <w:widowControl/>
        <w:rPr>
          <w:szCs w:val="22"/>
        </w:rPr>
      </w:pPr>
    </w:p>
    <w:p w:rsidR="00324CD5" w:rsidRPr="002A57BF" w:rsidRDefault="00324CD5" w:rsidP="00DD1589">
      <w:pPr>
        <w:widowControl/>
        <w:numPr>
          <w:ilvl w:val="0"/>
          <w:numId w:val="16"/>
        </w:numPr>
        <w:rPr>
          <w:szCs w:val="22"/>
        </w:rPr>
      </w:pPr>
      <w:r w:rsidRPr="002A57BF">
        <w:rPr>
          <w:szCs w:val="22"/>
        </w:rPr>
        <w:t>All hand-delivered or messenger-delivered paper filings for the Commission’s Secretary must be delivered to FCC Headquarters at 445 12</w:t>
      </w:r>
      <w:r w:rsidRPr="002A57BF">
        <w:rPr>
          <w:szCs w:val="22"/>
          <w:vertAlign w:val="superscript"/>
        </w:rPr>
        <w:t>th</w:t>
      </w:r>
      <w:r w:rsidRPr="002A57BF">
        <w:rPr>
          <w:szCs w:val="22"/>
        </w:rPr>
        <w:t xml:space="preserve"> St., SW, Room TW-A325, Washington, DC 20554.  The filing hours are 8:00 a.m. to 7:00 p.m.  All hand deliveries must be held together with rubber bands or fasteners.  Any envelopes and boxes must be disposed of </w:t>
      </w:r>
      <w:r w:rsidRPr="002A57BF">
        <w:rPr>
          <w:i/>
          <w:szCs w:val="22"/>
        </w:rPr>
        <w:t>before</w:t>
      </w:r>
      <w:r w:rsidRPr="002A57BF">
        <w:rPr>
          <w:szCs w:val="22"/>
        </w:rPr>
        <w:t xml:space="preserve"> entering the building.  </w:t>
      </w:r>
    </w:p>
    <w:p w:rsidR="00324CD5" w:rsidRPr="002A57BF" w:rsidRDefault="00324CD5" w:rsidP="00324CD5">
      <w:pPr>
        <w:widowControl/>
        <w:tabs>
          <w:tab w:val="left" w:pos="6942"/>
        </w:tabs>
        <w:ind w:left="1080"/>
        <w:rPr>
          <w:szCs w:val="22"/>
        </w:rPr>
      </w:pPr>
      <w:r w:rsidRPr="002A57BF">
        <w:rPr>
          <w:szCs w:val="22"/>
        </w:rPr>
        <w:tab/>
      </w:r>
    </w:p>
    <w:p w:rsidR="00324CD5" w:rsidRPr="002A57BF" w:rsidRDefault="00324CD5" w:rsidP="00DD1589">
      <w:pPr>
        <w:widowControl/>
        <w:numPr>
          <w:ilvl w:val="0"/>
          <w:numId w:val="16"/>
        </w:numPr>
        <w:rPr>
          <w:szCs w:val="22"/>
        </w:rPr>
      </w:pPr>
      <w:r w:rsidRPr="002A57BF">
        <w:rPr>
          <w:szCs w:val="22"/>
        </w:rPr>
        <w:t>Commercial overnight mail (other than U.S. Postal Service Express Mail and Priority Mail) must be sent to 9300 East Hampton Drive, Capitol Heights, MD 20743.</w:t>
      </w:r>
    </w:p>
    <w:p w:rsidR="00324CD5" w:rsidRPr="002A57BF" w:rsidRDefault="00324CD5" w:rsidP="00324CD5">
      <w:pPr>
        <w:widowControl/>
        <w:rPr>
          <w:szCs w:val="22"/>
        </w:rPr>
      </w:pPr>
    </w:p>
    <w:p w:rsidR="00324CD5" w:rsidRPr="002A57BF" w:rsidRDefault="00324CD5" w:rsidP="00DD1589">
      <w:pPr>
        <w:widowControl/>
        <w:numPr>
          <w:ilvl w:val="0"/>
          <w:numId w:val="16"/>
        </w:numPr>
        <w:spacing w:after="120"/>
        <w:rPr>
          <w:szCs w:val="22"/>
        </w:rPr>
      </w:pPr>
      <w:r w:rsidRPr="002A57BF">
        <w:rPr>
          <w:szCs w:val="22"/>
        </w:rPr>
        <w:t>U.S. Postal Service first-class, Express, and Priority mail must be addressed to 445 12</w:t>
      </w:r>
      <w:r w:rsidRPr="002A57BF">
        <w:rPr>
          <w:szCs w:val="22"/>
          <w:vertAlign w:val="superscript"/>
        </w:rPr>
        <w:t>th</w:t>
      </w:r>
      <w:r w:rsidRPr="002A57BF">
        <w:rPr>
          <w:szCs w:val="22"/>
        </w:rPr>
        <w:t xml:space="preserve"> Street, SW, Washington DC  20554.</w:t>
      </w:r>
    </w:p>
    <w:p w:rsidR="00324CD5" w:rsidRPr="002A57BF" w:rsidRDefault="00324CD5" w:rsidP="00324CD5">
      <w:pPr>
        <w:pStyle w:val="Heading2"/>
      </w:pPr>
      <w:bookmarkStart w:id="959" w:name="_Toc386545063"/>
      <w:bookmarkStart w:id="960" w:name="_Toc386712803"/>
      <w:bookmarkStart w:id="961" w:name="_Toc386718149"/>
      <w:bookmarkStart w:id="962" w:name="_Toc386719082"/>
      <w:bookmarkStart w:id="963" w:name="_Toc387323146"/>
      <w:bookmarkStart w:id="964" w:name="_Toc387323725"/>
      <w:bookmarkStart w:id="965" w:name="_Toc387323787"/>
      <w:bookmarkStart w:id="966" w:name="_Toc387323859"/>
      <w:bookmarkStart w:id="967" w:name="_Toc387645432"/>
      <w:bookmarkStart w:id="968" w:name="_Toc387645676"/>
      <w:bookmarkStart w:id="969" w:name="_Toc387645983"/>
      <w:bookmarkStart w:id="970" w:name="_Toc387646127"/>
      <w:bookmarkStart w:id="971" w:name="_Toc387745066"/>
      <w:bookmarkStart w:id="972" w:name="_Toc387922707"/>
      <w:bookmarkStart w:id="973" w:name="_Toc387922864"/>
      <w:bookmarkStart w:id="974" w:name="_Toc387923005"/>
      <w:bookmarkStart w:id="975" w:name="_Toc387923325"/>
      <w:bookmarkStart w:id="976" w:name="_Toc387923756"/>
      <w:bookmarkStart w:id="977" w:name="_Toc387924475"/>
      <w:bookmarkStart w:id="978" w:name="_Toc388526901"/>
      <w:bookmarkStart w:id="979" w:name="_Toc389026277"/>
      <w:bookmarkStart w:id="980" w:name="_Toc391479544"/>
      <w:bookmarkStart w:id="981" w:name="_Toc391561449"/>
      <w:bookmarkStart w:id="982" w:name="_Toc391562810"/>
      <w:bookmarkStart w:id="983" w:name="_Toc391642495"/>
      <w:bookmarkStart w:id="984" w:name="_Toc394323253"/>
      <w:bookmarkStart w:id="985" w:name="_Toc394323548"/>
      <w:bookmarkStart w:id="986" w:name="_Toc394323642"/>
      <w:bookmarkStart w:id="987" w:name="_Toc394642417"/>
      <w:bookmarkStart w:id="988" w:name="_Toc445192997"/>
      <w:bookmarkStart w:id="989" w:name="_Toc445193090"/>
      <w:bookmarkStart w:id="990" w:name="_Toc445193161"/>
      <w:bookmarkStart w:id="991" w:name="_Toc445276294"/>
      <w:bookmarkStart w:id="992" w:name="_Toc445367883"/>
      <w:bookmarkStart w:id="993" w:name="_Toc446937492"/>
      <w:bookmarkStart w:id="994" w:name="_Toc447116365"/>
      <w:bookmarkStart w:id="995" w:name="_Toc447121253"/>
      <w:r w:rsidRPr="002A57BF">
        <w:t>Accessible Formats</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p w:rsidR="00324CD5" w:rsidRDefault="00324CD5" w:rsidP="00324CD5">
      <w:pPr>
        <w:pStyle w:val="ParaNum"/>
        <w:widowControl/>
      </w:pPr>
      <w:r>
        <w:t xml:space="preserve">  </w:t>
      </w:r>
      <w:r w:rsidRPr="002A57BF">
        <w:t>To request materials in accessible formats for people with disabilities (braille, large print, electronic files, audio format), send an email to fcc504@fcc.gov or call the Consumer &amp; Governmental Affairs Bureau at 202-418-0530 (voice), 202-418-0432 (tty).</w:t>
      </w:r>
    </w:p>
    <w:p w:rsidR="00324CD5" w:rsidRDefault="00324CD5" w:rsidP="00324CD5">
      <w:pPr>
        <w:pStyle w:val="Heading2"/>
      </w:pPr>
      <w:bookmarkStart w:id="996" w:name="_Toc445192998"/>
      <w:bookmarkStart w:id="997" w:name="_Toc445193091"/>
      <w:bookmarkStart w:id="998" w:name="_Toc445193162"/>
      <w:bookmarkStart w:id="999" w:name="_Toc445276295"/>
      <w:bookmarkStart w:id="1000" w:name="_Toc445367884"/>
      <w:bookmarkStart w:id="1001" w:name="_Toc446937493"/>
      <w:bookmarkStart w:id="1002" w:name="_Toc447116366"/>
      <w:bookmarkStart w:id="1003" w:name="_Toc447121254"/>
      <w:r>
        <w:t>Initial Regulatory Flexibility Analysis</w:t>
      </w:r>
      <w:bookmarkEnd w:id="996"/>
      <w:bookmarkEnd w:id="997"/>
      <w:bookmarkEnd w:id="998"/>
      <w:bookmarkEnd w:id="999"/>
      <w:bookmarkEnd w:id="1000"/>
      <w:bookmarkEnd w:id="1001"/>
      <w:bookmarkEnd w:id="1002"/>
      <w:bookmarkEnd w:id="1003"/>
    </w:p>
    <w:p w:rsidR="00324CD5" w:rsidRPr="00FE7186" w:rsidRDefault="00324CD5" w:rsidP="00324CD5">
      <w:pPr>
        <w:pStyle w:val="ParaNum"/>
        <w:widowControl/>
        <w:rPr>
          <w:szCs w:val="22"/>
        </w:rPr>
      </w:pPr>
      <w:r w:rsidRPr="00FE7186">
        <w:rPr>
          <w:szCs w:val="22"/>
        </w:rPr>
        <w:t>As required by the Regulatory Flexibility Act of 1980 (RFA),</w:t>
      </w:r>
      <w:r w:rsidRPr="00FE7186">
        <w:rPr>
          <w:rStyle w:val="FootnoteReference"/>
          <w:sz w:val="22"/>
          <w:szCs w:val="22"/>
        </w:rPr>
        <w:footnoteReference w:id="491"/>
      </w:r>
      <w:r w:rsidRPr="00FE7186">
        <w:rPr>
          <w:szCs w:val="22"/>
        </w:rPr>
        <w:t xml:space="preserve"> the Commission has prepared an Initial Regulatory Flexibility Analysis (IRFA) of the possible significant economic impact on small entities of the policies and rules </w:t>
      </w:r>
      <w:r>
        <w:rPr>
          <w:szCs w:val="22"/>
        </w:rPr>
        <w:t>proposed in</w:t>
      </w:r>
      <w:r w:rsidRPr="00FE7186">
        <w:rPr>
          <w:szCs w:val="22"/>
        </w:rPr>
        <w:t xml:space="preserve"> thi</w:t>
      </w:r>
      <w:r>
        <w:rPr>
          <w:szCs w:val="22"/>
        </w:rPr>
        <w:t>s Notice of Proposed Rulemaking</w:t>
      </w:r>
      <w:r w:rsidRPr="00FE7186">
        <w:rPr>
          <w:szCs w:val="22"/>
        </w:rPr>
        <w:t xml:space="preserve">.  The IRFA is set forth in Appendix B.  </w:t>
      </w:r>
      <w:r>
        <w:rPr>
          <w:szCs w:val="22"/>
        </w:rPr>
        <w:t>We request written public comment</w:t>
      </w:r>
      <w:r w:rsidRPr="00FE7186">
        <w:rPr>
          <w:szCs w:val="22"/>
        </w:rPr>
        <w:t xml:space="preserve"> on this IRFA.  </w:t>
      </w:r>
      <w:r>
        <w:rPr>
          <w:szCs w:val="22"/>
        </w:rPr>
        <w:t>Comments must be filed by the deadlines for comments on the Notice of Proposed Rulemaking indicated on the first page of this document and must have a separate and distinct heading designating them as responses to the IRFA</w:t>
      </w:r>
      <w:r w:rsidRPr="00FE7186">
        <w:rPr>
          <w:szCs w:val="22"/>
        </w:rPr>
        <w:t>.  The Commission’s Consumer and Governmental Affairs Bureau, Reference Information Center, will send a copy of this Notice of Proposed Rulemaking, including the IRFA, to the Chief Counsel for Advocacy of the Small Business Administration (SBA).</w:t>
      </w:r>
      <w:r w:rsidRPr="00FE7186">
        <w:rPr>
          <w:rStyle w:val="FootnoteReference"/>
          <w:sz w:val="22"/>
          <w:szCs w:val="22"/>
        </w:rPr>
        <w:footnoteReference w:id="492"/>
      </w:r>
    </w:p>
    <w:p w:rsidR="00324CD5" w:rsidRDefault="00324CD5" w:rsidP="00324CD5">
      <w:pPr>
        <w:pStyle w:val="Heading2"/>
      </w:pPr>
      <w:bookmarkStart w:id="1004" w:name="_Toc445192999"/>
      <w:bookmarkStart w:id="1005" w:name="_Toc445193092"/>
      <w:bookmarkStart w:id="1006" w:name="_Toc445193163"/>
      <w:bookmarkStart w:id="1007" w:name="_Toc445276296"/>
      <w:bookmarkStart w:id="1008" w:name="_Toc445367885"/>
      <w:bookmarkStart w:id="1009" w:name="_Toc446937494"/>
      <w:bookmarkStart w:id="1010" w:name="_Toc447116367"/>
      <w:bookmarkStart w:id="1011" w:name="_Toc447121255"/>
      <w:r>
        <w:t>Paperwork Reduction Act</w:t>
      </w:r>
      <w:bookmarkEnd w:id="1004"/>
      <w:bookmarkEnd w:id="1005"/>
      <w:bookmarkEnd w:id="1006"/>
      <w:bookmarkEnd w:id="1007"/>
      <w:bookmarkEnd w:id="1008"/>
      <w:bookmarkEnd w:id="1009"/>
      <w:bookmarkEnd w:id="1010"/>
      <w:bookmarkEnd w:id="1011"/>
    </w:p>
    <w:p w:rsidR="00324CD5" w:rsidRPr="00B4193B" w:rsidRDefault="00324CD5" w:rsidP="00324CD5">
      <w:pPr>
        <w:pStyle w:val="ParaNum"/>
      </w:pPr>
      <w:r w:rsidRPr="00FE7186">
        <w:rPr>
          <w:szCs w:val="22"/>
        </w:rPr>
        <w:t>This document contains proposed new information collection requirements.  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Public Law 104-13.  In addition, pursuant to the Small Business Paperwork Relief Act of 2002, Public Law 107-198, we seek specific comment on how we might further reduce the information collection burden for small business concerns with fewer than 25 employees.</w:t>
      </w:r>
      <w:r>
        <w:rPr>
          <w:rStyle w:val="FootnoteReference"/>
          <w:szCs w:val="22"/>
        </w:rPr>
        <w:footnoteReference w:id="493"/>
      </w:r>
    </w:p>
    <w:p w:rsidR="00324CD5" w:rsidRDefault="00324CD5" w:rsidP="00324CD5">
      <w:pPr>
        <w:pStyle w:val="Heading2"/>
      </w:pPr>
      <w:bookmarkStart w:id="1012" w:name="_Toc445193000"/>
      <w:bookmarkStart w:id="1013" w:name="_Toc445193093"/>
      <w:bookmarkStart w:id="1014" w:name="_Toc445193164"/>
      <w:bookmarkStart w:id="1015" w:name="_Toc445276297"/>
      <w:bookmarkStart w:id="1016" w:name="_Toc445367886"/>
      <w:bookmarkStart w:id="1017" w:name="_Toc446937495"/>
      <w:bookmarkStart w:id="1018" w:name="_Toc447116368"/>
      <w:bookmarkStart w:id="1019" w:name="_Toc447121256"/>
      <w:r>
        <w:t>Contact Person</w:t>
      </w:r>
      <w:bookmarkEnd w:id="1012"/>
      <w:bookmarkEnd w:id="1013"/>
      <w:bookmarkEnd w:id="1014"/>
      <w:bookmarkEnd w:id="1015"/>
      <w:bookmarkEnd w:id="1016"/>
      <w:bookmarkEnd w:id="1017"/>
      <w:bookmarkEnd w:id="1018"/>
      <w:bookmarkEnd w:id="1019"/>
    </w:p>
    <w:p w:rsidR="00324CD5" w:rsidRPr="00E1187C" w:rsidRDefault="00324CD5" w:rsidP="00324CD5">
      <w:pPr>
        <w:pStyle w:val="ParaNum"/>
        <w:widowControl/>
      </w:pPr>
      <w:r w:rsidRPr="002A57BF">
        <w:rPr>
          <w:szCs w:val="22"/>
        </w:rPr>
        <w:t xml:space="preserve">For further information about this proceeding, please contact </w:t>
      </w:r>
      <w:r>
        <w:t>Sherwin Siy</w:t>
      </w:r>
      <w:r w:rsidRPr="002A57BF">
        <w:t xml:space="preserve">, FCC Wireline Competition Bureau, </w:t>
      </w:r>
      <w:r>
        <w:t xml:space="preserve">Competition Policy Division, </w:t>
      </w:r>
      <w:r w:rsidRPr="002A57BF">
        <w:t>Room 5-C</w:t>
      </w:r>
      <w:r>
        <w:t>225</w:t>
      </w:r>
      <w:r w:rsidRPr="002A57BF">
        <w:t>, 445 12th Street, S.W., Wash</w:t>
      </w:r>
      <w:r>
        <w:t>ington, D.C. 20554, (202) 418-2783</w:t>
      </w:r>
      <w:r w:rsidRPr="002A57BF">
        <w:t xml:space="preserve">, </w:t>
      </w:r>
      <w:r>
        <w:t>sherwin.siy</w:t>
      </w:r>
      <w:r w:rsidRPr="002A57BF">
        <w:t>@fcc.gov</w:t>
      </w:r>
      <w:r>
        <w:t>.</w:t>
      </w:r>
    </w:p>
    <w:p w:rsidR="00324CD5" w:rsidRDefault="00324CD5" w:rsidP="00324CD5">
      <w:pPr>
        <w:pStyle w:val="Heading1"/>
        <w:keepNext w:val="0"/>
        <w:widowControl/>
      </w:pPr>
      <w:bookmarkStart w:id="1020" w:name="_Toc445193001"/>
      <w:bookmarkStart w:id="1021" w:name="_Toc445193094"/>
      <w:bookmarkStart w:id="1022" w:name="_Toc445193165"/>
      <w:bookmarkStart w:id="1023" w:name="_Toc445276298"/>
      <w:bookmarkStart w:id="1024" w:name="_Toc445367887"/>
      <w:bookmarkStart w:id="1025" w:name="_Toc446937496"/>
      <w:bookmarkStart w:id="1026" w:name="_Toc447116369"/>
      <w:bookmarkStart w:id="1027" w:name="_Toc447121257"/>
      <w:r>
        <w:t>Ordering Clause</w:t>
      </w:r>
      <w:bookmarkEnd w:id="1020"/>
      <w:bookmarkEnd w:id="1021"/>
      <w:bookmarkEnd w:id="1022"/>
      <w:r>
        <w:t>s</w:t>
      </w:r>
      <w:bookmarkEnd w:id="1023"/>
      <w:bookmarkEnd w:id="1024"/>
      <w:bookmarkEnd w:id="1025"/>
      <w:bookmarkEnd w:id="1026"/>
      <w:bookmarkEnd w:id="1027"/>
    </w:p>
    <w:p w:rsidR="00324CD5" w:rsidRPr="00440A31" w:rsidRDefault="00324CD5" w:rsidP="00324CD5">
      <w:pPr>
        <w:pStyle w:val="ParaNum"/>
        <w:rPr>
          <w:szCs w:val="22"/>
        </w:rPr>
      </w:pPr>
      <w:r w:rsidRPr="00413EC6">
        <w:rPr>
          <w:szCs w:val="22"/>
        </w:rPr>
        <w:t>According</w:t>
      </w:r>
      <w:r w:rsidR="005417C0">
        <w:rPr>
          <w:szCs w:val="22"/>
        </w:rPr>
        <w:t>ly, IT IS ORDERED, pursuant to S</w:t>
      </w:r>
      <w:r w:rsidRPr="00413EC6">
        <w:rPr>
          <w:szCs w:val="22"/>
        </w:rPr>
        <w:t>ections 1, 2, 4(i)-(j),</w:t>
      </w:r>
      <w:r>
        <w:rPr>
          <w:szCs w:val="22"/>
        </w:rPr>
        <w:t xml:space="preserve"> 201(b), 222, </w:t>
      </w:r>
      <w:r w:rsidR="001F038C">
        <w:rPr>
          <w:szCs w:val="22"/>
        </w:rPr>
        <w:t xml:space="preserve">303(b), </w:t>
      </w:r>
      <w:r>
        <w:rPr>
          <w:szCs w:val="22"/>
        </w:rPr>
        <w:t xml:space="preserve">303(r), </w:t>
      </w:r>
      <w:r w:rsidR="001F038C">
        <w:rPr>
          <w:szCs w:val="22"/>
        </w:rPr>
        <w:t xml:space="preserve">316, </w:t>
      </w:r>
      <w:r>
        <w:rPr>
          <w:szCs w:val="22"/>
        </w:rPr>
        <w:t xml:space="preserve">338(i), 631, and 705 </w:t>
      </w:r>
      <w:r w:rsidRPr="00440A31">
        <w:rPr>
          <w:szCs w:val="22"/>
        </w:rPr>
        <w:t xml:space="preserve">of the Communications Act of 1934, as amended, and </w:t>
      </w:r>
      <w:r>
        <w:rPr>
          <w:szCs w:val="22"/>
        </w:rPr>
        <w:t>Section</w:t>
      </w:r>
      <w:r w:rsidRPr="00440A31">
        <w:rPr>
          <w:szCs w:val="22"/>
        </w:rPr>
        <w:t xml:space="preserve"> 706 of the Telecommunications Act of 1996, as amended, 47 U.S.C. §§ 151, 152, 154(i)-(j), 201(b), 222,</w:t>
      </w:r>
      <w:r>
        <w:rPr>
          <w:szCs w:val="22"/>
        </w:rPr>
        <w:t xml:space="preserve"> 303</w:t>
      </w:r>
      <w:r w:rsidR="001F038C">
        <w:rPr>
          <w:szCs w:val="22"/>
        </w:rPr>
        <w:t>(b), 303</w:t>
      </w:r>
      <w:r>
        <w:rPr>
          <w:szCs w:val="22"/>
        </w:rPr>
        <w:t xml:space="preserve">(r), </w:t>
      </w:r>
      <w:r w:rsidR="001F038C">
        <w:rPr>
          <w:szCs w:val="22"/>
        </w:rPr>
        <w:t xml:space="preserve">316, </w:t>
      </w:r>
      <w:r>
        <w:rPr>
          <w:szCs w:val="22"/>
        </w:rPr>
        <w:t>338(i), 605, and 1302,</w:t>
      </w:r>
      <w:r w:rsidRPr="00440A31">
        <w:rPr>
          <w:szCs w:val="22"/>
        </w:rPr>
        <w:t xml:space="preserve"> that this Notice of Proposed Rulemaking IS ADOPTED.</w:t>
      </w:r>
    </w:p>
    <w:p w:rsidR="00324CD5" w:rsidRPr="00FE7186" w:rsidRDefault="00324CD5" w:rsidP="00324CD5">
      <w:pPr>
        <w:pStyle w:val="ParaNum"/>
        <w:keepNext/>
        <w:keepLines/>
        <w:widowControl/>
        <w:rPr>
          <w:szCs w:val="22"/>
        </w:rPr>
      </w:pPr>
      <w:r w:rsidRPr="00FE7186">
        <w:rPr>
          <w:szCs w:val="22"/>
        </w:rPr>
        <w:t xml:space="preserve">IT IS FURTHER ORDERED that the Commission’s Consumer and Governmental Affairs Bureau, Reference Information Center, SHALL SEND a copy of this Notice of Proposed Rulemaking, including the Initial Regulatory Flexibility Analysis, to the Chief Counsel for Advocacy of the Small Business Administration.  </w:t>
      </w:r>
    </w:p>
    <w:p w:rsidR="00324CD5" w:rsidRPr="00FE7186" w:rsidRDefault="00324CD5" w:rsidP="00324CD5">
      <w:pPr>
        <w:pStyle w:val="ParaNum"/>
        <w:keepNext/>
        <w:keepLines/>
        <w:widowControl/>
        <w:numPr>
          <w:ilvl w:val="0"/>
          <w:numId w:val="0"/>
        </w:numPr>
        <w:rPr>
          <w:szCs w:val="22"/>
        </w:rPr>
      </w:pPr>
    </w:p>
    <w:p w:rsidR="00324CD5" w:rsidRPr="00FE7186" w:rsidRDefault="00324CD5" w:rsidP="00324CD5">
      <w:pPr>
        <w:keepNext/>
        <w:keepLines/>
        <w:widowControl/>
        <w:rPr>
          <w:szCs w:val="22"/>
        </w:rPr>
      </w:pPr>
      <w:r w:rsidRPr="00FE7186">
        <w:rPr>
          <w:szCs w:val="22"/>
        </w:rPr>
        <w:tab/>
      </w:r>
      <w:r w:rsidRPr="00FE7186">
        <w:rPr>
          <w:szCs w:val="22"/>
        </w:rPr>
        <w:tab/>
      </w:r>
      <w:r w:rsidRPr="00FE7186">
        <w:rPr>
          <w:szCs w:val="22"/>
        </w:rPr>
        <w:tab/>
      </w:r>
      <w:r w:rsidRPr="00FE7186">
        <w:rPr>
          <w:szCs w:val="22"/>
        </w:rPr>
        <w:tab/>
      </w:r>
      <w:r w:rsidRPr="00FE7186">
        <w:rPr>
          <w:szCs w:val="22"/>
        </w:rPr>
        <w:tab/>
      </w:r>
      <w:r w:rsidRPr="00FE7186">
        <w:rPr>
          <w:szCs w:val="22"/>
        </w:rPr>
        <w:tab/>
        <w:t>FEDERAL COMMUNICATIONS COMMISSION</w:t>
      </w:r>
    </w:p>
    <w:p w:rsidR="00324CD5" w:rsidRPr="00FE7186" w:rsidRDefault="00324CD5" w:rsidP="00324CD5">
      <w:pPr>
        <w:keepNext/>
        <w:keepLines/>
        <w:widowControl/>
        <w:rPr>
          <w:szCs w:val="22"/>
        </w:rPr>
      </w:pPr>
    </w:p>
    <w:p w:rsidR="00324CD5" w:rsidRPr="00FE7186" w:rsidRDefault="00324CD5" w:rsidP="00324CD5">
      <w:pPr>
        <w:keepNext/>
        <w:keepLines/>
        <w:widowControl/>
        <w:rPr>
          <w:szCs w:val="22"/>
        </w:rPr>
      </w:pPr>
    </w:p>
    <w:p w:rsidR="00324CD5" w:rsidRPr="00FE7186" w:rsidRDefault="00324CD5" w:rsidP="00324CD5">
      <w:pPr>
        <w:keepNext/>
        <w:keepLines/>
        <w:widowControl/>
        <w:rPr>
          <w:szCs w:val="22"/>
        </w:rPr>
      </w:pPr>
    </w:p>
    <w:p w:rsidR="00324CD5" w:rsidRPr="00FE7186" w:rsidRDefault="00324CD5" w:rsidP="00324CD5">
      <w:pPr>
        <w:keepNext/>
        <w:keepLines/>
        <w:widowControl/>
        <w:rPr>
          <w:szCs w:val="22"/>
        </w:rPr>
      </w:pPr>
    </w:p>
    <w:p w:rsidR="00324CD5" w:rsidRPr="00FE7186" w:rsidRDefault="00324CD5" w:rsidP="00324CD5">
      <w:pPr>
        <w:keepNext/>
        <w:keepLines/>
        <w:widowControl/>
        <w:rPr>
          <w:szCs w:val="22"/>
        </w:rPr>
      </w:pPr>
      <w:r w:rsidRPr="00FE7186">
        <w:rPr>
          <w:szCs w:val="22"/>
        </w:rPr>
        <w:tab/>
      </w:r>
      <w:r w:rsidRPr="00FE7186">
        <w:rPr>
          <w:szCs w:val="22"/>
        </w:rPr>
        <w:tab/>
      </w:r>
      <w:r w:rsidRPr="00FE7186">
        <w:rPr>
          <w:szCs w:val="22"/>
        </w:rPr>
        <w:tab/>
      </w:r>
      <w:r w:rsidRPr="00FE7186">
        <w:rPr>
          <w:szCs w:val="22"/>
        </w:rPr>
        <w:tab/>
      </w:r>
      <w:r w:rsidRPr="00FE7186">
        <w:rPr>
          <w:szCs w:val="22"/>
        </w:rPr>
        <w:tab/>
      </w:r>
      <w:r w:rsidRPr="00FE7186">
        <w:rPr>
          <w:szCs w:val="22"/>
        </w:rPr>
        <w:tab/>
        <w:t>Marlene H. Dortch</w:t>
      </w:r>
    </w:p>
    <w:p w:rsidR="006C27BD" w:rsidRDefault="00324CD5" w:rsidP="00324CD5">
      <w:pPr>
        <w:keepNext/>
        <w:keepLines/>
        <w:widowControl/>
        <w:rPr>
          <w:szCs w:val="22"/>
        </w:rPr>
        <w:sectPr w:rsidR="006C27BD" w:rsidSect="00337692">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docGrid w:linePitch="299"/>
        </w:sectPr>
      </w:pPr>
      <w:r w:rsidRPr="00FE7186">
        <w:rPr>
          <w:szCs w:val="22"/>
        </w:rPr>
        <w:tab/>
      </w:r>
      <w:r w:rsidRPr="00FE7186">
        <w:rPr>
          <w:szCs w:val="22"/>
        </w:rPr>
        <w:tab/>
      </w:r>
      <w:r w:rsidRPr="00FE7186">
        <w:rPr>
          <w:szCs w:val="22"/>
        </w:rPr>
        <w:tab/>
      </w:r>
      <w:r w:rsidRPr="00FE7186">
        <w:rPr>
          <w:szCs w:val="22"/>
        </w:rPr>
        <w:tab/>
      </w:r>
      <w:r w:rsidRPr="00FE7186">
        <w:rPr>
          <w:szCs w:val="22"/>
        </w:rPr>
        <w:tab/>
      </w:r>
      <w:r w:rsidRPr="00FE7186">
        <w:rPr>
          <w:szCs w:val="22"/>
        </w:rPr>
        <w:tab/>
      </w:r>
      <w:r w:rsidR="006C27BD">
        <w:rPr>
          <w:szCs w:val="22"/>
        </w:rPr>
        <w:t>Secretary</w:t>
      </w:r>
    </w:p>
    <w:p w:rsidR="00324CD5" w:rsidRPr="006919F5" w:rsidRDefault="00324CD5" w:rsidP="00324CD5">
      <w:pPr>
        <w:widowControl/>
        <w:spacing w:after="120"/>
        <w:jc w:val="center"/>
        <w:rPr>
          <w:snapToGrid/>
          <w:kern w:val="0"/>
          <w:szCs w:val="22"/>
        </w:rPr>
      </w:pPr>
      <w:bookmarkStart w:id="1028" w:name="_Toc336255609"/>
      <w:bookmarkEnd w:id="919"/>
      <w:bookmarkEnd w:id="920"/>
      <w:bookmarkEnd w:id="921"/>
      <w:r w:rsidRPr="006919F5">
        <w:rPr>
          <w:b/>
          <w:snapToGrid/>
          <w:kern w:val="0"/>
          <w:szCs w:val="22"/>
        </w:rPr>
        <w:t>APPENDIX A</w:t>
      </w:r>
      <w:bookmarkEnd w:id="1028"/>
    </w:p>
    <w:p w:rsidR="00324CD5" w:rsidRPr="006919F5" w:rsidRDefault="00324CD5" w:rsidP="00324CD5">
      <w:pPr>
        <w:widowControl/>
        <w:jc w:val="center"/>
        <w:rPr>
          <w:b/>
          <w:snapToGrid/>
          <w:kern w:val="0"/>
          <w:szCs w:val="22"/>
        </w:rPr>
      </w:pPr>
      <w:r w:rsidRPr="006919F5">
        <w:rPr>
          <w:b/>
          <w:snapToGrid/>
          <w:kern w:val="0"/>
          <w:szCs w:val="22"/>
        </w:rPr>
        <w:t>Proposed Rules</w:t>
      </w:r>
    </w:p>
    <w:p w:rsidR="00324CD5" w:rsidRPr="006919F5" w:rsidRDefault="00324CD5" w:rsidP="00324CD5">
      <w:pPr>
        <w:widowControl/>
        <w:rPr>
          <w:snapToGrid/>
          <w:kern w:val="0"/>
          <w:szCs w:val="22"/>
        </w:rPr>
      </w:pPr>
    </w:p>
    <w:p w:rsidR="00324CD5" w:rsidRPr="006919F5" w:rsidRDefault="00324CD5" w:rsidP="00324CD5">
      <w:pPr>
        <w:widowControl/>
        <w:spacing w:after="220"/>
        <w:rPr>
          <w:snapToGrid/>
          <w:kern w:val="0"/>
          <w:szCs w:val="22"/>
        </w:rPr>
      </w:pPr>
      <w:r w:rsidRPr="006919F5">
        <w:rPr>
          <w:snapToGrid/>
          <w:kern w:val="0"/>
          <w:szCs w:val="22"/>
        </w:rPr>
        <w:t>The Federal Communications Commission proposes to amend 47 CFR part 64 to read as follows:</w:t>
      </w:r>
    </w:p>
    <w:p w:rsidR="00324CD5" w:rsidRPr="006919F5" w:rsidRDefault="00324CD5" w:rsidP="00324CD5">
      <w:pPr>
        <w:widowControl/>
        <w:spacing w:after="220"/>
        <w:rPr>
          <w:snapToGrid/>
          <w:kern w:val="0"/>
          <w:szCs w:val="22"/>
        </w:rPr>
      </w:pPr>
      <w:r w:rsidRPr="006919F5">
        <w:rPr>
          <w:snapToGrid/>
          <w:kern w:val="0"/>
          <w:szCs w:val="22"/>
        </w:rPr>
        <w:t>PART 64 – MISCELLANEOUS RULES RELATING TO COMMON CARRIERS</w:t>
      </w:r>
    </w:p>
    <w:p w:rsidR="00324CD5" w:rsidRPr="006919F5" w:rsidRDefault="00324CD5" w:rsidP="00324CD5">
      <w:pPr>
        <w:widowControl/>
        <w:spacing w:after="220"/>
        <w:rPr>
          <w:snapToGrid/>
          <w:kern w:val="0"/>
          <w:szCs w:val="22"/>
        </w:rPr>
      </w:pPr>
      <w:r w:rsidRPr="006919F5">
        <w:rPr>
          <w:snapToGrid/>
          <w:kern w:val="0"/>
          <w:szCs w:val="22"/>
        </w:rPr>
        <w:t>1.</w:t>
      </w:r>
      <w:r w:rsidRPr="006919F5">
        <w:rPr>
          <w:snapToGrid/>
          <w:kern w:val="0"/>
          <w:szCs w:val="22"/>
        </w:rPr>
        <w:tab/>
        <w:t>The authority citation for Part 64 is revised to read as follows:</w:t>
      </w:r>
    </w:p>
    <w:p w:rsidR="00324CD5" w:rsidRPr="006919F5" w:rsidRDefault="00324CD5" w:rsidP="00324CD5">
      <w:pPr>
        <w:widowControl/>
        <w:rPr>
          <w:snapToGrid/>
          <w:kern w:val="0"/>
          <w:szCs w:val="22"/>
        </w:rPr>
      </w:pPr>
      <w:r w:rsidRPr="006919F5">
        <w:rPr>
          <w:snapToGrid/>
          <w:kern w:val="0"/>
          <w:szCs w:val="22"/>
        </w:rPr>
        <w:t>AUTHORITY: 47 U.S.C. 154, 254(k)</w:t>
      </w:r>
      <w:r>
        <w:rPr>
          <w:snapToGrid/>
          <w:kern w:val="0"/>
          <w:szCs w:val="22"/>
        </w:rPr>
        <w:t>,</w:t>
      </w:r>
      <w:r w:rsidRPr="006919F5">
        <w:rPr>
          <w:snapToGrid/>
          <w:kern w:val="0"/>
          <w:szCs w:val="22"/>
        </w:rPr>
        <w:t xml:space="preserve"> 403, Pub. L. 104–104, 110 Stat. 56.  Interpret or apply 47 U.S.C. 201, </w:t>
      </w:r>
      <w:r>
        <w:rPr>
          <w:snapToGrid/>
          <w:kern w:val="0"/>
          <w:szCs w:val="22"/>
        </w:rPr>
        <w:t xml:space="preserve">202, </w:t>
      </w:r>
      <w:r w:rsidRPr="006919F5">
        <w:rPr>
          <w:snapToGrid/>
          <w:kern w:val="0"/>
          <w:szCs w:val="22"/>
        </w:rPr>
        <w:t xml:space="preserve">218, 222, 225, 226, 227, 228, 254(k), 301, 303, 332, </w:t>
      </w:r>
      <w:r>
        <w:rPr>
          <w:snapToGrid/>
          <w:kern w:val="0"/>
          <w:szCs w:val="22"/>
        </w:rPr>
        <w:t xml:space="preserve">338, 551, </w:t>
      </w:r>
      <w:r w:rsidRPr="006919F5">
        <w:rPr>
          <w:snapToGrid/>
          <w:kern w:val="0"/>
          <w:szCs w:val="22"/>
        </w:rPr>
        <w:t>616, 620, 705, 1302, and the Middle Class Tax Relief and Job Creation Act of 2012, Pub. L. 112-96, unless otherwise noted.</w:t>
      </w:r>
    </w:p>
    <w:p w:rsidR="00324CD5" w:rsidRPr="006919F5" w:rsidRDefault="00324CD5" w:rsidP="00324CD5">
      <w:pPr>
        <w:widowControl/>
        <w:rPr>
          <w:snapToGrid/>
          <w:kern w:val="0"/>
          <w:szCs w:val="22"/>
        </w:rPr>
      </w:pPr>
    </w:p>
    <w:p w:rsidR="00324CD5" w:rsidRPr="006919F5" w:rsidRDefault="00324CD5" w:rsidP="00324CD5">
      <w:pPr>
        <w:widowControl/>
        <w:rPr>
          <w:snapToGrid/>
          <w:kern w:val="0"/>
          <w:szCs w:val="22"/>
        </w:rPr>
      </w:pPr>
      <w:r w:rsidRPr="006919F5">
        <w:rPr>
          <w:snapToGrid/>
          <w:kern w:val="0"/>
          <w:szCs w:val="22"/>
        </w:rPr>
        <w:t>Subpart U – Customer Proprietary Network Information</w:t>
      </w:r>
    </w:p>
    <w:p w:rsidR="00324CD5" w:rsidRPr="006919F5" w:rsidRDefault="00324CD5" w:rsidP="00324CD5">
      <w:pPr>
        <w:widowControl/>
        <w:rPr>
          <w:snapToGrid/>
          <w:kern w:val="0"/>
          <w:szCs w:val="22"/>
        </w:rPr>
      </w:pPr>
    </w:p>
    <w:p w:rsidR="00324CD5" w:rsidRPr="006919F5" w:rsidRDefault="00324CD5" w:rsidP="00324CD5">
      <w:pPr>
        <w:widowControl/>
        <w:rPr>
          <w:snapToGrid/>
          <w:kern w:val="0"/>
          <w:szCs w:val="22"/>
        </w:rPr>
      </w:pPr>
      <w:r w:rsidRPr="006919F5">
        <w:rPr>
          <w:snapToGrid/>
          <w:kern w:val="0"/>
          <w:szCs w:val="22"/>
        </w:rPr>
        <w:t>2.</w:t>
      </w:r>
      <w:r w:rsidRPr="006919F5">
        <w:rPr>
          <w:snapToGrid/>
          <w:kern w:val="0"/>
          <w:szCs w:val="22"/>
        </w:rPr>
        <w:tab/>
        <w:t>Amend section 64.2003 as follows:</w:t>
      </w:r>
    </w:p>
    <w:p w:rsidR="00324CD5" w:rsidRPr="006919F5" w:rsidRDefault="00324CD5" w:rsidP="00324CD5">
      <w:pPr>
        <w:widowControl/>
        <w:rPr>
          <w:snapToGrid/>
          <w:kern w:val="0"/>
          <w:szCs w:val="22"/>
        </w:rPr>
      </w:pPr>
    </w:p>
    <w:p w:rsidR="00324CD5" w:rsidRPr="006919F5" w:rsidRDefault="00324CD5" w:rsidP="00324CD5">
      <w:pPr>
        <w:widowControl/>
        <w:ind w:firstLine="720"/>
        <w:rPr>
          <w:snapToGrid/>
          <w:kern w:val="0"/>
          <w:szCs w:val="22"/>
        </w:rPr>
      </w:pPr>
      <w:r w:rsidRPr="006919F5">
        <w:rPr>
          <w:snapToGrid/>
          <w:kern w:val="0"/>
          <w:szCs w:val="22"/>
        </w:rPr>
        <w:t xml:space="preserve">a.  Redesignate paragraphs (d) through (r) as indicated in the table below: </w:t>
      </w:r>
    </w:p>
    <w:p w:rsidR="00324CD5" w:rsidRPr="006919F5" w:rsidRDefault="00324CD5" w:rsidP="00324CD5">
      <w:pPr>
        <w:widowControl/>
        <w:rPr>
          <w:snapToGrid/>
          <w:kern w:val="0"/>
          <w:szCs w:val="22"/>
        </w:rPr>
      </w:pPr>
      <w:r w:rsidRPr="006919F5">
        <w:rPr>
          <w:snapToGrid/>
          <w:kern w:val="0"/>
          <w:szCs w:val="22"/>
        </w:rPr>
        <w:tab/>
      </w:r>
      <w:r w:rsidRPr="006919F5">
        <w:rPr>
          <w:snapToGrid/>
          <w:kern w:val="0"/>
          <w:szCs w:val="22"/>
        </w:rPr>
        <w:tab/>
      </w:r>
    </w:p>
    <w:tbl>
      <w:tblPr>
        <w:tblW w:w="0" w:type="auto"/>
        <w:tblInd w:w="1455" w:type="dxa"/>
        <w:tblLook w:val="04A0" w:firstRow="1" w:lastRow="0" w:firstColumn="1" w:lastColumn="0" w:noHBand="0" w:noVBand="1"/>
      </w:tblPr>
      <w:tblGrid>
        <w:gridCol w:w="2442"/>
        <w:gridCol w:w="2442"/>
      </w:tblGrid>
      <w:tr w:rsidR="00324CD5" w:rsidRPr="006919F5" w:rsidTr="00902DA0">
        <w:trPr>
          <w:trHeight w:val="275"/>
        </w:trPr>
        <w:tc>
          <w:tcPr>
            <w:tcW w:w="2442" w:type="dxa"/>
            <w:shd w:val="clear" w:color="auto" w:fill="auto"/>
          </w:tcPr>
          <w:p w:rsidR="00324CD5" w:rsidRPr="00902DA0" w:rsidRDefault="00324CD5" w:rsidP="00902DA0">
            <w:pPr>
              <w:widowControl/>
              <w:rPr>
                <w:snapToGrid/>
                <w:kern w:val="0"/>
                <w:szCs w:val="22"/>
              </w:rPr>
            </w:pPr>
            <w:r w:rsidRPr="00902DA0">
              <w:rPr>
                <w:snapToGrid/>
                <w:kern w:val="0"/>
                <w:szCs w:val="22"/>
              </w:rPr>
              <w:t>Old paragraph</w:t>
            </w:r>
          </w:p>
        </w:tc>
        <w:tc>
          <w:tcPr>
            <w:tcW w:w="2442" w:type="dxa"/>
            <w:shd w:val="clear" w:color="auto" w:fill="auto"/>
          </w:tcPr>
          <w:p w:rsidR="00324CD5" w:rsidRPr="00902DA0" w:rsidRDefault="00324CD5" w:rsidP="00902DA0">
            <w:pPr>
              <w:widowControl/>
              <w:rPr>
                <w:snapToGrid/>
                <w:kern w:val="0"/>
                <w:szCs w:val="22"/>
              </w:rPr>
            </w:pPr>
            <w:r w:rsidRPr="00902DA0">
              <w:rPr>
                <w:snapToGrid/>
                <w:kern w:val="0"/>
                <w:szCs w:val="22"/>
              </w:rPr>
              <w:t>New paragraph</w:t>
            </w:r>
          </w:p>
          <w:p w:rsidR="00324CD5" w:rsidRPr="00902DA0" w:rsidRDefault="00324CD5" w:rsidP="00902DA0">
            <w:pPr>
              <w:widowControl/>
              <w:rPr>
                <w:snapToGrid/>
                <w:kern w:val="0"/>
                <w:szCs w:val="22"/>
              </w:rPr>
            </w:pPr>
          </w:p>
        </w:tc>
      </w:tr>
      <w:tr w:rsidR="00324CD5" w:rsidRPr="006919F5" w:rsidTr="00902DA0">
        <w:trPr>
          <w:trHeight w:val="275"/>
        </w:trPr>
        <w:tc>
          <w:tcPr>
            <w:tcW w:w="2442" w:type="dxa"/>
            <w:shd w:val="clear" w:color="auto" w:fill="auto"/>
          </w:tcPr>
          <w:p w:rsidR="00324CD5" w:rsidRPr="00902DA0" w:rsidRDefault="00324CD5" w:rsidP="00902DA0">
            <w:pPr>
              <w:widowControl/>
              <w:rPr>
                <w:snapToGrid/>
                <w:kern w:val="0"/>
                <w:szCs w:val="22"/>
              </w:rPr>
            </w:pPr>
            <w:r w:rsidRPr="00902DA0">
              <w:rPr>
                <w:snapToGrid/>
                <w:kern w:val="0"/>
                <w:szCs w:val="22"/>
              </w:rPr>
              <w:t>(d)</w:t>
            </w:r>
          </w:p>
        </w:tc>
        <w:tc>
          <w:tcPr>
            <w:tcW w:w="2442" w:type="dxa"/>
            <w:shd w:val="clear" w:color="auto" w:fill="auto"/>
          </w:tcPr>
          <w:p w:rsidR="00324CD5" w:rsidRPr="00902DA0" w:rsidRDefault="00324CD5" w:rsidP="00902DA0">
            <w:pPr>
              <w:widowControl/>
              <w:rPr>
                <w:snapToGrid/>
                <w:kern w:val="0"/>
                <w:szCs w:val="22"/>
              </w:rPr>
            </w:pPr>
            <w:r w:rsidRPr="00902DA0">
              <w:rPr>
                <w:snapToGrid/>
                <w:kern w:val="0"/>
                <w:szCs w:val="22"/>
              </w:rPr>
              <w:t>(e)</w:t>
            </w:r>
          </w:p>
        </w:tc>
      </w:tr>
      <w:tr w:rsidR="00324CD5" w:rsidRPr="006919F5" w:rsidTr="00902DA0">
        <w:trPr>
          <w:trHeight w:val="275"/>
        </w:trPr>
        <w:tc>
          <w:tcPr>
            <w:tcW w:w="2442" w:type="dxa"/>
            <w:shd w:val="clear" w:color="auto" w:fill="auto"/>
          </w:tcPr>
          <w:p w:rsidR="00324CD5" w:rsidRPr="00902DA0" w:rsidRDefault="00324CD5" w:rsidP="00902DA0">
            <w:pPr>
              <w:widowControl/>
              <w:rPr>
                <w:snapToGrid/>
                <w:kern w:val="0"/>
                <w:szCs w:val="22"/>
              </w:rPr>
            </w:pPr>
            <w:r w:rsidRPr="00902DA0">
              <w:rPr>
                <w:snapToGrid/>
                <w:kern w:val="0"/>
                <w:szCs w:val="22"/>
              </w:rPr>
              <w:t>(e)</w:t>
            </w:r>
          </w:p>
        </w:tc>
        <w:tc>
          <w:tcPr>
            <w:tcW w:w="2442" w:type="dxa"/>
            <w:shd w:val="clear" w:color="auto" w:fill="auto"/>
          </w:tcPr>
          <w:p w:rsidR="00324CD5" w:rsidRPr="00902DA0" w:rsidRDefault="00324CD5" w:rsidP="00902DA0">
            <w:pPr>
              <w:widowControl/>
              <w:rPr>
                <w:snapToGrid/>
                <w:kern w:val="0"/>
                <w:szCs w:val="22"/>
              </w:rPr>
            </w:pPr>
            <w:r w:rsidRPr="00902DA0">
              <w:rPr>
                <w:snapToGrid/>
                <w:kern w:val="0"/>
                <w:szCs w:val="22"/>
              </w:rPr>
              <w:t>(f)</w:t>
            </w:r>
          </w:p>
        </w:tc>
      </w:tr>
      <w:tr w:rsidR="00324CD5" w:rsidRPr="006919F5" w:rsidTr="00902DA0">
        <w:trPr>
          <w:trHeight w:val="275"/>
        </w:trPr>
        <w:tc>
          <w:tcPr>
            <w:tcW w:w="2442" w:type="dxa"/>
            <w:shd w:val="clear" w:color="auto" w:fill="auto"/>
          </w:tcPr>
          <w:p w:rsidR="00324CD5" w:rsidRPr="00902DA0" w:rsidRDefault="00324CD5" w:rsidP="00902DA0">
            <w:pPr>
              <w:widowControl/>
              <w:rPr>
                <w:snapToGrid/>
                <w:kern w:val="0"/>
                <w:szCs w:val="22"/>
              </w:rPr>
            </w:pPr>
            <w:r w:rsidRPr="00902DA0">
              <w:rPr>
                <w:snapToGrid/>
                <w:kern w:val="0"/>
                <w:szCs w:val="22"/>
              </w:rPr>
              <w:t>(f)</w:t>
            </w:r>
          </w:p>
        </w:tc>
        <w:tc>
          <w:tcPr>
            <w:tcW w:w="2442" w:type="dxa"/>
            <w:shd w:val="clear" w:color="auto" w:fill="auto"/>
          </w:tcPr>
          <w:p w:rsidR="00324CD5" w:rsidRPr="00902DA0" w:rsidRDefault="00324CD5" w:rsidP="00902DA0">
            <w:pPr>
              <w:widowControl/>
              <w:rPr>
                <w:snapToGrid/>
                <w:kern w:val="0"/>
                <w:szCs w:val="22"/>
              </w:rPr>
            </w:pPr>
            <w:r w:rsidRPr="00902DA0">
              <w:rPr>
                <w:snapToGrid/>
                <w:kern w:val="0"/>
                <w:szCs w:val="22"/>
              </w:rPr>
              <w:t>(g)</w:t>
            </w:r>
          </w:p>
        </w:tc>
      </w:tr>
      <w:tr w:rsidR="00324CD5" w:rsidRPr="006919F5" w:rsidTr="00902DA0">
        <w:trPr>
          <w:trHeight w:val="275"/>
        </w:trPr>
        <w:tc>
          <w:tcPr>
            <w:tcW w:w="2442" w:type="dxa"/>
            <w:shd w:val="clear" w:color="auto" w:fill="auto"/>
          </w:tcPr>
          <w:p w:rsidR="00324CD5" w:rsidRPr="00902DA0" w:rsidRDefault="00324CD5" w:rsidP="00902DA0">
            <w:pPr>
              <w:widowControl/>
              <w:rPr>
                <w:snapToGrid/>
                <w:kern w:val="0"/>
                <w:szCs w:val="22"/>
              </w:rPr>
            </w:pPr>
            <w:r w:rsidRPr="00902DA0">
              <w:rPr>
                <w:snapToGrid/>
                <w:kern w:val="0"/>
                <w:szCs w:val="22"/>
              </w:rPr>
              <w:t>(g)</w:t>
            </w:r>
          </w:p>
        </w:tc>
        <w:tc>
          <w:tcPr>
            <w:tcW w:w="2442" w:type="dxa"/>
            <w:shd w:val="clear" w:color="auto" w:fill="auto"/>
          </w:tcPr>
          <w:p w:rsidR="00324CD5" w:rsidRPr="00902DA0" w:rsidRDefault="00324CD5" w:rsidP="00902DA0">
            <w:pPr>
              <w:widowControl/>
              <w:rPr>
                <w:snapToGrid/>
                <w:kern w:val="0"/>
                <w:szCs w:val="22"/>
              </w:rPr>
            </w:pPr>
            <w:r w:rsidRPr="00902DA0">
              <w:rPr>
                <w:snapToGrid/>
                <w:kern w:val="0"/>
                <w:szCs w:val="22"/>
              </w:rPr>
              <w:t>(i)</w:t>
            </w:r>
          </w:p>
        </w:tc>
      </w:tr>
      <w:tr w:rsidR="00324CD5" w:rsidRPr="006919F5" w:rsidTr="00902DA0">
        <w:trPr>
          <w:trHeight w:val="275"/>
        </w:trPr>
        <w:tc>
          <w:tcPr>
            <w:tcW w:w="2442" w:type="dxa"/>
            <w:shd w:val="clear" w:color="auto" w:fill="auto"/>
          </w:tcPr>
          <w:p w:rsidR="00324CD5" w:rsidRPr="00902DA0" w:rsidRDefault="00324CD5" w:rsidP="00902DA0">
            <w:pPr>
              <w:widowControl/>
              <w:rPr>
                <w:snapToGrid/>
                <w:kern w:val="0"/>
                <w:szCs w:val="22"/>
              </w:rPr>
            </w:pPr>
            <w:r w:rsidRPr="00902DA0">
              <w:rPr>
                <w:snapToGrid/>
                <w:kern w:val="0"/>
                <w:szCs w:val="22"/>
              </w:rPr>
              <w:t>(h)</w:t>
            </w:r>
          </w:p>
        </w:tc>
        <w:tc>
          <w:tcPr>
            <w:tcW w:w="2442" w:type="dxa"/>
            <w:shd w:val="clear" w:color="auto" w:fill="auto"/>
          </w:tcPr>
          <w:p w:rsidR="00324CD5" w:rsidRPr="00902DA0" w:rsidRDefault="00324CD5" w:rsidP="00902DA0">
            <w:pPr>
              <w:widowControl/>
              <w:rPr>
                <w:snapToGrid/>
                <w:kern w:val="0"/>
                <w:szCs w:val="22"/>
              </w:rPr>
            </w:pPr>
            <w:r w:rsidRPr="00902DA0">
              <w:rPr>
                <w:snapToGrid/>
                <w:kern w:val="0"/>
                <w:szCs w:val="22"/>
              </w:rPr>
              <w:t>(j)</w:t>
            </w:r>
          </w:p>
        </w:tc>
      </w:tr>
      <w:tr w:rsidR="00324CD5" w:rsidRPr="006919F5" w:rsidTr="00902DA0">
        <w:trPr>
          <w:trHeight w:val="275"/>
        </w:trPr>
        <w:tc>
          <w:tcPr>
            <w:tcW w:w="2442" w:type="dxa"/>
            <w:shd w:val="clear" w:color="auto" w:fill="auto"/>
          </w:tcPr>
          <w:p w:rsidR="00324CD5" w:rsidRPr="00902DA0" w:rsidRDefault="00324CD5" w:rsidP="00902DA0">
            <w:pPr>
              <w:widowControl/>
              <w:rPr>
                <w:snapToGrid/>
                <w:kern w:val="0"/>
                <w:szCs w:val="22"/>
              </w:rPr>
            </w:pPr>
            <w:r w:rsidRPr="00902DA0">
              <w:rPr>
                <w:snapToGrid/>
                <w:kern w:val="0"/>
                <w:szCs w:val="22"/>
              </w:rPr>
              <w:t>(i)</w:t>
            </w:r>
          </w:p>
        </w:tc>
        <w:tc>
          <w:tcPr>
            <w:tcW w:w="2442" w:type="dxa"/>
            <w:shd w:val="clear" w:color="auto" w:fill="auto"/>
          </w:tcPr>
          <w:p w:rsidR="00324CD5" w:rsidRPr="00902DA0" w:rsidRDefault="00324CD5" w:rsidP="00902DA0">
            <w:pPr>
              <w:widowControl/>
              <w:rPr>
                <w:snapToGrid/>
                <w:kern w:val="0"/>
                <w:szCs w:val="22"/>
              </w:rPr>
            </w:pPr>
            <w:r w:rsidRPr="00902DA0">
              <w:rPr>
                <w:snapToGrid/>
                <w:kern w:val="0"/>
                <w:szCs w:val="22"/>
              </w:rPr>
              <w:t>(k)</w:t>
            </w:r>
          </w:p>
        </w:tc>
      </w:tr>
      <w:tr w:rsidR="00324CD5" w:rsidRPr="006919F5" w:rsidTr="00902DA0">
        <w:trPr>
          <w:trHeight w:val="275"/>
        </w:trPr>
        <w:tc>
          <w:tcPr>
            <w:tcW w:w="2442" w:type="dxa"/>
            <w:shd w:val="clear" w:color="auto" w:fill="auto"/>
          </w:tcPr>
          <w:p w:rsidR="00324CD5" w:rsidRPr="00902DA0" w:rsidRDefault="00324CD5" w:rsidP="00902DA0">
            <w:pPr>
              <w:widowControl/>
              <w:rPr>
                <w:snapToGrid/>
                <w:kern w:val="0"/>
                <w:szCs w:val="22"/>
              </w:rPr>
            </w:pPr>
            <w:r w:rsidRPr="00902DA0">
              <w:rPr>
                <w:snapToGrid/>
                <w:kern w:val="0"/>
                <w:szCs w:val="22"/>
              </w:rPr>
              <w:t>(j)</w:t>
            </w:r>
          </w:p>
        </w:tc>
        <w:tc>
          <w:tcPr>
            <w:tcW w:w="2442" w:type="dxa"/>
            <w:shd w:val="clear" w:color="auto" w:fill="auto"/>
          </w:tcPr>
          <w:p w:rsidR="00324CD5" w:rsidRPr="00902DA0" w:rsidRDefault="00324CD5" w:rsidP="00902DA0">
            <w:pPr>
              <w:widowControl/>
              <w:rPr>
                <w:snapToGrid/>
                <w:kern w:val="0"/>
                <w:szCs w:val="22"/>
              </w:rPr>
            </w:pPr>
            <w:r w:rsidRPr="00902DA0">
              <w:rPr>
                <w:snapToGrid/>
                <w:kern w:val="0"/>
                <w:szCs w:val="22"/>
              </w:rPr>
              <w:t>(l)</w:t>
            </w:r>
          </w:p>
        </w:tc>
      </w:tr>
      <w:tr w:rsidR="00324CD5" w:rsidRPr="006919F5" w:rsidTr="00902DA0">
        <w:trPr>
          <w:trHeight w:val="275"/>
        </w:trPr>
        <w:tc>
          <w:tcPr>
            <w:tcW w:w="2442" w:type="dxa"/>
            <w:shd w:val="clear" w:color="auto" w:fill="auto"/>
          </w:tcPr>
          <w:p w:rsidR="00324CD5" w:rsidRPr="00902DA0" w:rsidRDefault="00324CD5" w:rsidP="00902DA0">
            <w:pPr>
              <w:widowControl/>
              <w:rPr>
                <w:snapToGrid/>
                <w:kern w:val="0"/>
                <w:szCs w:val="22"/>
              </w:rPr>
            </w:pPr>
            <w:r w:rsidRPr="00902DA0">
              <w:rPr>
                <w:snapToGrid/>
                <w:kern w:val="0"/>
                <w:szCs w:val="22"/>
              </w:rPr>
              <w:t>(k)</w:t>
            </w:r>
          </w:p>
        </w:tc>
        <w:tc>
          <w:tcPr>
            <w:tcW w:w="2442" w:type="dxa"/>
            <w:shd w:val="clear" w:color="auto" w:fill="auto"/>
          </w:tcPr>
          <w:p w:rsidR="00324CD5" w:rsidRPr="00902DA0" w:rsidRDefault="00324CD5" w:rsidP="00902DA0">
            <w:pPr>
              <w:widowControl/>
              <w:rPr>
                <w:snapToGrid/>
                <w:kern w:val="0"/>
                <w:szCs w:val="22"/>
              </w:rPr>
            </w:pPr>
            <w:r w:rsidRPr="00902DA0">
              <w:rPr>
                <w:snapToGrid/>
                <w:kern w:val="0"/>
                <w:szCs w:val="22"/>
              </w:rPr>
              <w:t>(m)</w:t>
            </w:r>
          </w:p>
        </w:tc>
      </w:tr>
      <w:tr w:rsidR="00324CD5" w:rsidRPr="006919F5" w:rsidTr="00902DA0">
        <w:trPr>
          <w:trHeight w:val="275"/>
        </w:trPr>
        <w:tc>
          <w:tcPr>
            <w:tcW w:w="2442" w:type="dxa"/>
            <w:shd w:val="clear" w:color="auto" w:fill="auto"/>
          </w:tcPr>
          <w:p w:rsidR="00324CD5" w:rsidRPr="00902DA0" w:rsidRDefault="00324CD5" w:rsidP="00902DA0">
            <w:pPr>
              <w:widowControl/>
              <w:rPr>
                <w:snapToGrid/>
                <w:kern w:val="0"/>
                <w:szCs w:val="22"/>
              </w:rPr>
            </w:pPr>
            <w:r w:rsidRPr="00902DA0">
              <w:rPr>
                <w:snapToGrid/>
                <w:kern w:val="0"/>
                <w:szCs w:val="22"/>
              </w:rPr>
              <w:t>(l)</w:t>
            </w:r>
          </w:p>
        </w:tc>
        <w:tc>
          <w:tcPr>
            <w:tcW w:w="2442" w:type="dxa"/>
            <w:shd w:val="clear" w:color="auto" w:fill="auto"/>
          </w:tcPr>
          <w:p w:rsidR="00324CD5" w:rsidRPr="00902DA0" w:rsidRDefault="00324CD5" w:rsidP="00902DA0">
            <w:pPr>
              <w:widowControl/>
              <w:rPr>
                <w:snapToGrid/>
                <w:kern w:val="0"/>
                <w:szCs w:val="22"/>
              </w:rPr>
            </w:pPr>
            <w:r w:rsidRPr="00902DA0">
              <w:rPr>
                <w:snapToGrid/>
                <w:kern w:val="0"/>
                <w:szCs w:val="22"/>
              </w:rPr>
              <w:t>(n)</w:t>
            </w:r>
          </w:p>
        </w:tc>
      </w:tr>
      <w:tr w:rsidR="00324CD5" w:rsidRPr="006919F5" w:rsidTr="00902DA0">
        <w:trPr>
          <w:trHeight w:val="275"/>
        </w:trPr>
        <w:tc>
          <w:tcPr>
            <w:tcW w:w="2442" w:type="dxa"/>
            <w:shd w:val="clear" w:color="auto" w:fill="auto"/>
          </w:tcPr>
          <w:p w:rsidR="00324CD5" w:rsidRPr="00902DA0" w:rsidRDefault="00324CD5" w:rsidP="00902DA0">
            <w:pPr>
              <w:widowControl/>
              <w:rPr>
                <w:snapToGrid/>
                <w:kern w:val="0"/>
                <w:szCs w:val="22"/>
              </w:rPr>
            </w:pPr>
            <w:r w:rsidRPr="00902DA0">
              <w:rPr>
                <w:snapToGrid/>
                <w:kern w:val="0"/>
                <w:szCs w:val="22"/>
              </w:rPr>
              <w:t>(m)</w:t>
            </w:r>
          </w:p>
        </w:tc>
        <w:tc>
          <w:tcPr>
            <w:tcW w:w="2442" w:type="dxa"/>
            <w:shd w:val="clear" w:color="auto" w:fill="auto"/>
          </w:tcPr>
          <w:p w:rsidR="00324CD5" w:rsidRPr="00902DA0" w:rsidRDefault="00324CD5" w:rsidP="00902DA0">
            <w:pPr>
              <w:widowControl/>
              <w:rPr>
                <w:snapToGrid/>
                <w:kern w:val="0"/>
                <w:szCs w:val="22"/>
              </w:rPr>
            </w:pPr>
            <w:r w:rsidRPr="00902DA0">
              <w:rPr>
                <w:snapToGrid/>
                <w:kern w:val="0"/>
                <w:szCs w:val="22"/>
              </w:rPr>
              <w:t>(p)</w:t>
            </w:r>
          </w:p>
        </w:tc>
      </w:tr>
      <w:tr w:rsidR="00324CD5" w:rsidRPr="006919F5" w:rsidTr="00902DA0">
        <w:trPr>
          <w:trHeight w:val="275"/>
        </w:trPr>
        <w:tc>
          <w:tcPr>
            <w:tcW w:w="2442" w:type="dxa"/>
            <w:shd w:val="clear" w:color="auto" w:fill="auto"/>
          </w:tcPr>
          <w:p w:rsidR="00324CD5" w:rsidRPr="00902DA0" w:rsidRDefault="00324CD5" w:rsidP="00902DA0">
            <w:pPr>
              <w:widowControl/>
              <w:rPr>
                <w:snapToGrid/>
                <w:kern w:val="0"/>
                <w:szCs w:val="22"/>
              </w:rPr>
            </w:pPr>
            <w:r w:rsidRPr="00902DA0">
              <w:rPr>
                <w:snapToGrid/>
                <w:kern w:val="0"/>
                <w:szCs w:val="22"/>
              </w:rPr>
              <w:t>(n)</w:t>
            </w:r>
          </w:p>
        </w:tc>
        <w:tc>
          <w:tcPr>
            <w:tcW w:w="2442" w:type="dxa"/>
            <w:shd w:val="clear" w:color="auto" w:fill="auto"/>
          </w:tcPr>
          <w:p w:rsidR="00324CD5" w:rsidRPr="00902DA0" w:rsidRDefault="00324CD5" w:rsidP="00902DA0">
            <w:pPr>
              <w:widowControl/>
              <w:rPr>
                <w:snapToGrid/>
                <w:kern w:val="0"/>
                <w:szCs w:val="22"/>
              </w:rPr>
            </w:pPr>
            <w:r w:rsidRPr="00902DA0">
              <w:rPr>
                <w:snapToGrid/>
                <w:kern w:val="0"/>
                <w:szCs w:val="22"/>
              </w:rPr>
              <w:t>(q)</w:t>
            </w:r>
          </w:p>
        </w:tc>
      </w:tr>
      <w:tr w:rsidR="00324CD5" w:rsidRPr="006919F5" w:rsidTr="00902DA0">
        <w:trPr>
          <w:trHeight w:val="275"/>
        </w:trPr>
        <w:tc>
          <w:tcPr>
            <w:tcW w:w="2442" w:type="dxa"/>
            <w:shd w:val="clear" w:color="auto" w:fill="auto"/>
          </w:tcPr>
          <w:p w:rsidR="00324CD5" w:rsidRPr="00902DA0" w:rsidRDefault="00324CD5" w:rsidP="00902DA0">
            <w:pPr>
              <w:widowControl/>
              <w:rPr>
                <w:snapToGrid/>
                <w:kern w:val="0"/>
                <w:szCs w:val="22"/>
              </w:rPr>
            </w:pPr>
            <w:r w:rsidRPr="00902DA0">
              <w:rPr>
                <w:snapToGrid/>
                <w:kern w:val="0"/>
                <w:szCs w:val="22"/>
              </w:rPr>
              <w:t>(o)</w:t>
            </w:r>
          </w:p>
        </w:tc>
        <w:tc>
          <w:tcPr>
            <w:tcW w:w="2442" w:type="dxa"/>
            <w:shd w:val="clear" w:color="auto" w:fill="auto"/>
          </w:tcPr>
          <w:p w:rsidR="00324CD5" w:rsidRPr="00902DA0" w:rsidRDefault="00324CD5" w:rsidP="00902DA0">
            <w:pPr>
              <w:widowControl/>
              <w:rPr>
                <w:snapToGrid/>
                <w:kern w:val="0"/>
                <w:szCs w:val="22"/>
              </w:rPr>
            </w:pPr>
            <w:r w:rsidRPr="00902DA0">
              <w:rPr>
                <w:snapToGrid/>
                <w:kern w:val="0"/>
                <w:szCs w:val="22"/>
              </w:rPr>
              <w:t>(r)</w:t>
            </w:r>
          </w:p>
        </w:tc>
      </w:tr>
      <w:tr w:rsidR="00324CD5" w:rsidRPr="006919F5" w:rsidTr="00902DA0">
        <w:trPr>
          <w:trHeight w:val="275"/>
        </w:trPr>
        <w:tc>
          <w:tcPr>
            <w:tcW w:w="2442" w:type="dxa"/>
            <w:shd w:val="clear" w:color="auto" w:fill="auto"/>
          </w:tcPr>
          <w:p w:rsidR="00324CD5" w:rsidRPr="00902DA0" w:rsidRDefault="00324CD5" w:rsidP="00902DA0">
            <w:pPr>
              <w:widowControl/>
              <w:rPr>
                <w:snapToGrid/>
                <w:kern w:val="0"/>
                <w:szCs w:val="22"/>
              </w:rPr>
            </w:pPr>
            <w:r w:rsidRPr="00902DA0">
              <w:rPr>
                <w:snapToGrid/>
                <w:kern w:val="0"/>
                <w:szCs w:val="22"/>
              </w:rPr>
              <w:t>(p)</w:t>
            </w:r>
          </w:p>
        </w:tc>
        <w:tc>
          <w:tcPr>
            <w:tcW w:w="2442" w:type="dxa"/>
            <w:shd w:val="clear" w:color="auto" w:fill="auto"/>
          </w:tcPr>
          <w:p w:rsidR="00324CD5" w:rsidRPr="00902DA0" w:rsidRDefault="00324CD5" w:rsidP="00902DA0">
            <w:pPr>
              <w:widowControl/>
              <w:rPr>
                <w:snapToGrid/>
                <w:kern w:val="0"/>
                <w:szCs w:val="22"/>
              </w:rPr>
            </w:pPr>
            <w:r w:rsidRPr="00902DA0">
              <w:rPr>
                <w:snapToGrid/>
                <w:kern w:val="0"/>
                <w:szCs w:val="22"/>
              </w:rPr>
              <w:t>(s)</w:t>
            </w:r>
          </w:p>
        </w:tc>
      </w:tr>
      <w:tr w:rsidR="00324CD5" w:rsidRPr="006919F5" w:rsidTr="00902DA0">
        <w:trPr>
          <w:trHeight w:val="275"/>
        </w:trPr>
        <w:tc>
          <w:tcPr>
            <w:tcW w:w="2442" w:type="dxa"/>
            <w:shd w:val="clear" w:color="auto" w:fill="auto"/>
          </w:tcPr>
          <w:p w:rsidR="00324CD5" w:rsidRPr="00902DA0" w:rsidRDefault="00324CD5" w:rsidP="00902DA0">
            <w:pPr>
              <w:widowControl/>
              <w:rPr>
                <w:snapToGrid/>
                <w:kern w:val="0"/>
                <w:szCs w:val="22"/>
              </w:rPr>
            </w:pPr>
            <w:r w:rsidRPr="00902DA0">
              <w:rPr>
                <w:snapToGrid/>
                <w:kern w:val="0"/>
                <w:szCs w:val="22"/>
              </w:rPr>
              <w:t>(q)</w:t>
            </w:r>
          </w:p>
        </w:tc>
        <w:tc>
          <w:tcPr>
            <w:tcW w:w="2442" w:type="dxa"/>
            <w:shd w:val="clear" w:color="auto" w:fill="auto"/>
          </w:tcPr>
          <w:p w:rsidR="00324CD5" w:rsidRPr="00902DA0" w:rsidRDefault="00324CD5" w:rsidP="00902DA0">
            <w:pPr>
              <w:widowControl/>
              <w:rPr>
                <w:snapToGrid/>
                <w:kern w:val="0"/>
                <w:szCs w:val="22"/>
              </w:rPr>
            </w:pPr>
            <w:r w:rsidRPr="00902DA0">
              <w:rPr>
                <w:snapToGrid/>
                <w:kern w:val="0"/>
                <w:szCs w:val="22"/>
              </w:rPr>
              <w:t>(t)</w:t>
            </w:r>
          </w:p>
        </w:tc>
      </w:tr>
      <w:tr w:rsidR="00324CD5" w:rsidRPr="006919F5" w:rsidTr="00902DA0">
        <w:trPr>
          <w:trHeight w:val="275"/>
        </w:trPr>
        <w:tc>
          <w:tcPr>
            <w:tcW w:w="2442" w:type="dxa"/>
            <w:shd w:val="clear" w:color="auto" w:fill="auto"/>
          </w:tcPr>
          <w:p w:rsidR="00324CD5" w:rsidRPr="00902DA0" w:rsidRDefault="00324CD5" w:rsidP="00902DA0">
            <w:pPr>
              <w:widowControl/>
              <w:rPr>
                <w:snapToGrid/>
                <w:kern w:val="0"/>
                <w:szCs w:val="22"/>
              </w:rPr>
            </w:pPr>
            <w:r w:rsidRPr="00902DA0">
              <w:rPr>
                <w:snapToGrid/>
                <w:kern w:val="0"/>
                <w:szCs w:val="22"/>
              </w:rPr>
              <w:t>(r)</w:t>
            </w:r>
          </w:p>
        </w:tc>
        <w:tc>
          <w:tcPr>
            <w:tcW w:w="2442" w:type="dxa"/>
            <w:shd w:val="clear" w:color="auto" w:fill="auto"/>
          </w:tcPr>
          <w:p w:rsidR="00324CD5" w:rsidRPr="00902DA0" w:rsidRDefault="00324CD5" w:rsidP="00902DA0">
            <w:pPr>
              <w:widowControl/>
              <w:rPr>
                <w:snapToGrid/>
                <w:kern w:val="0"/>
                <w:szCs w:val="22"/>
              </w:rPr>
            </w:pPr>
            <w:r w:rsidRPr="00902DA0">
              <w:rPr>
                <w:snapToGrid/>
                <w:kern w:val="0"/>
                <w:szCs w:val="22"/>
              </w:rPr>
              <w:t>(u)</w:t>
            </w:r>
          </w:p>
          <w:p w:rsidR="00324CD5" w:rsidRPr="00902DA0" w:rsidRDefault="00324CD5" w:rsidP="00902DA0">
            <w:pPr>
              <w:widowControl/>
              <w:rPr>
                <w:snapToGrid/>
                <w:kern w:val="0"/>
                <w:szCs w:val="22"/>
              </w:rPr>
            </w:pPr>
          </w:p>
          <w:p w:rsidR="00324CD5" w:rsidRPr="00902DA0" w:rsidRDefault="00324CD5" w:rsidP="00902DA0">
            <w:pPr>
              <w:widowControl/>
              <w:rPr>
                <w:snapToGrid/>
                <w:kern w:val="0"/>
                <w:szCs w:val="22"/>
              </w:rPr>
            </w:pPr>
          </w:p>
        </w:tc>
      </w:tr>
    </w:tbl>
    <w:p w:rsidR="00324CD5" w:rsidRPr="006919F5" w:rsidRDefault="00324CD5" w:rsidP="00324CD5">
      <w:pPr>
        <w:widowControl/>
        <w:ind w:firstLine="720"/>
        <w:rPr>
          <w:snapToGrid/>
          <w:kern w:val="0"/>
          <w:szCs w:val="22"/>
        </w:rPr>
      </w:pPr>
      <w:r w:rsidRPr="006919F5">
        <w:rPr>
          <w:snapToGrid/>
          <w:kern w:val="0"/>
          <w:szCs w:val="22"/>
        </w:rPr>
        <w:t>b.  Add new paragraphs (d), (h), and (o), and revise paragraphs (c), (j), (k), (l), (r), and (s) to read as follows:</w:t>
      </w:r>
    </w:p>
    <w:p w:rsidR="00324CD5" w:rsidRPr="006919F5" w:rsidRDefault="00324CD5" w:rsidP="00324CD5">
      <w:pPr>
        <w:widowControl/>
        <w:rPr>
          <w:snapToGrid/>
          <w:kern w:val="0"/>
          <w:szCs w:val="22"/>
        </w:rPr>
      </w:pPr>
    </w:p>
    <w:p w:rsidR="00324CD5" w:rsidRPr="006919F5" w:rsidRDefault="00324CD5" w:rsidP="00324CD5">
      <w:pPr>
        <w:widowControl/>
        <w:rPr>
          <w:b/>
          <w:snapToGrid/>
          <w:kern w:val="0"/>
          <w:szCs w:val="22"/>
        </w:rPr>
      </w:pPr>
      <w:r w:rsidRPr="006919F5">
        <w:rPr>
          <w:b/>
          <w:snapToGrid/>
          <w:kern w:val="0"/>
          <w:szCs w:val="22"/>
        </w:rPr>
        <w:t>§ 64.2003 Definitions.</w:t>
      </w:r>
    </w:p>
    <w:p w:rsidR="00324CD5" w:rsidRPr="006919F5" w:rsidRDefault="00324CD5" w:rsidP="00324CD5">
      <w:pPr>
        <w:widowControl/>
        <w:rPr>
          <w:b/>
          <w:snapToGrid/>
          <w:kern w:val="0"/>
          <w:szCs w:val="22"/>
        </w:rPr>
      </w:pPr>
    </w:p>
    <w:p w:rsidR="00324CD5" w:rsidRPr="006919F5" w:rsidRDefault="00324CD5" w:rsidP="00324CD5">
      <w:pPr>
        <w:widowControl/>
        <w:rPr>
          <w:snapToGrid/>
          <w:kern w:val="0"/>
          <w:szCs w:val="22"/>
        </w:rPr>
      </w:pPr>
      <w:r w:rsidRPr="006919F5">
        <w:rPr>
          <w:snapToGrid/>
          <w:kern w:val="0"/>
          <w:szCs w:val="22"/>
        </w:rPr>
        <w:t xml:space="preserve">* * * * * </w:t>
      </w:r>
    </w:p>
    <w:p w:rsidR="00324CD5" w:rsidRPr="006919F5" w:rsidRDefault="00324CD5" w:rsidP="00324CD5">
      <w:pPr>
        <w:widowControl/>
        <w:rPr>
          <w:snapToGrid/>
          <w:kern w:val="0"/>
          <w:szCs w:val="22"/>
        </w:rPr>
      </w:pPr>
    </w:p>
    <w:p w:rsidR="00324CD5" w:rsidRPr="006919F5" w:rsidRDefault="00324CD5" w:rsidP="00DD1589">
      <w:pPr>
        <w:widowControl/>
        <w:numPr>
          <w:ilvl w:val="0"/>
          <w:numId w:val="18"/>
        </w:numPr>
        <w:spacing w:after="120"/>
        <w:rPr>
          <w:snapToGrid/>
          <w:kern w:val="0"/>
          <w:szCs w:val="22"/>
        </w:rPr>
      </w:pPr>
      <w:r w:rsidRPr="006919F5">
        <w:rPr>
          <w:rFonts w:eastAsia="Times New Roman,Georgia"/>
          <w:i/>
          <w:snapToGrid/>
          <w:kern w:val="0"/>
          <w:szCs w:val="22"/>
        </w:rPr>
        <w:t>Affiliate</w:t>
      </w:r>
      <w:r w:rsidRPr="006919F5">
        <w:rPr>
          <w:snapToGrid/>
          <w:kern w:val="0"/>
          <w:szCs w:val="22"/>
        </w:rPr>
        <w:t>.  The term “affiliate” has the same meaning given such term in section 3 of the Communications Act of 1934, as amended, 47 U.S.C. 153.</w:t>
      </w:r>
    </w:p>
    <w:p w:rsidR="00324CD5" w:rsidRPr="006919F5" w:rsidRDefault="00324CD5" w:rsidP="00DD1589">
      <w:pPr>
        <w:widowControl/>
        <w:numPr>
          <w:ilvl w:val="0"/>
          <w:numId w:val="18"/>
        </w:numPr>
        <w:spacing w:after="120"/>
        <w:rPr>
          <w:snapToGrid/>
          <w:kern w:val="0"/>
          <w:szCs w:val="22"/>
        </w:rPr>
      </w:pPr>
      <w:r w:rsidRPr="006919F5">
        <w:rPr>
          <w:i/>
          <w:snapToGrid/>
          <w:kern w:val="0"/>
          <w:szCs w:val="22"/>
        </w:rPr>
        <w:t>Breach of Security</w:t>
      </w:r>
      <w:r w:rsidRPr="006919F5">
        <w:rPr>
          <w:snapToGrid/>
          <w:kern w:val="0"/>
          <w:szCs w:val="22"/>
        </w:rPr>
        <w:t>.  The terms “breach of security,” “breach,” or “data breach,” mean any instance in which a person, without authorization or exceeding authorization, has gained access to, used, or disclosed customer proprietary information.</w:t>
      </w:r>
    </w:p>
    <w:p w:rsidR="00324CD5" w:rsidRPr="006919F5" w:rsidRDefault="00324CD5" w:rsidP="00324CD5">
      <w:pPr>
        <w:widowControl/>
        <w:spacing w:after="120"/>
        <w:rPr>
          <w:snapToGrid/>
          <w:kern w:val="0"/>
          <w:szCs w:val="22"/>
        </w:rPr>
      </w:pPr>
      <w:r w:rsidRPr="006919F5">
        <w:rPr>
          <w:snapToGrid/>
          <w:kern w:val="0"/>
          <w:szCs w:val="22"/>
        </w:rPr>
        <w:t>* * * * *</w:t>
      </w:r>
    </w:p>
    <w:p w:rsidR="00324CD5" w:rsidRPr="006919F5" w:rsidRDefault="00324CD5" w:rsidP="00DD1589">
      <w:pPr>
        <w:widowControl/>
        <w:numPr>
          <w:ilvl w:val="0"/>
          <w:numId w:val="26"/>
        </w:numPr>
        <w:spacing w:after="120"/>
        <w:rPr>
          <w:snapToGrid/>
          <w:kern w:val="0"/>
          <w:szCs w:val="22"/>
        </w:rPr>
      </w:pPr>
      <w:r w:rsidRPr="006919F5">
        <w:rPr>
          <w:i/>
          <w:snapToGrid/>
          <w:kern w:val="0"/>
          <w:szCs w:val="22"/>
        </w:rPr>
        <w:t>Customer Proprietary Information</w:t>
      </w:r>
      <w:r w:rsidRPr="006919F5">
        <w:rPr>
          <w:snapToGrid/>
          <w:kern w:val="0"/>
          <w:szCs w:val="22"/>
        </w:rPr>
        <w:t>.  The term “customer proprietary information” or “customer PI”  means:</w:t>
      </w:r>
    </w:p>
    <w:p w:rsidR="00324CD5" w:rsidRPr="006919F5" w:rsidRDefault="00324CD5" w:rsidP="00DD1589">
      <w:pPr>
        <w:widowControl/>
        <w:numPr>
          <w:ilvl w:val="1"/>
          <w:numId w:val="26"/>
        </w:numPr>
        <w:spacing w:after="120"/>
        <w:rPr>
          <w:snapToGrid/>
          <w:kern w:val="0"/>
          <w:szCs w:val="22"/>
        </w:rPr>
      </w:pPr>
      <w:r w:rsidRPr="006919F5">
        <w:rPr>
          <w:snapToGrid/>
          <w:kern w:val="0"/>
          <w:szCs w:val="22"/>
        </w:rPr>
        <w:t>Customer proprietary network information; and</w:t>
      </w:r>
    </w:p>
    <w:p w:rsidR="00324CD5" w:rsidRPr="006919F5" w:rsidRDefault="00324CD5" w:rsidP="00DD1589">
      <w:pPr>
        <w:widowControl/>
        <w:numPr>
          <w:ilvl w:val="1"/>
          <w:numId w:val="26"/>
        </w:numPr>
        <w:spacing w:after="120"/>
        <w:rPr>
          <w:snapToGrid/>
          <w:kern w:val="0"/>
          <w:szCs w:val="22"/>
        </w:rPr>
      </w:pPr>
      <w:r w:rsidRPr="006919F5">
        <w:rPr>
          <w:snapToGrid/>
          <w:kern w:val="0"/>
          <w:szCs w:val="22"/>
        </w:rPr>
        <w:t>Personally identifiable information (PII) a carrier acquires in connection to its provision of telecommunications service.</w:t>
      </w:r>
    </w:p>
    <w:p w:rsidR="00324CD5" w:rsidRPr="006919F5" w:rsidRDefault="00324CD5" w:rsidP="00324CD5">
      <w:pPr>
        <w:widowControl/>
        <w:spacing w:after="120"/>
        <w:rPr>
          <w:snapToGrid/>
          <w:kern w:val="0"/>
          <w:szCs w:val="22"/>
        </w:rPr>
      </w:pPr>
      <w:r w:rsidRPr="006919F5">
        <w:rPr>
          <w:snapToGrid/>
          <w:kern w:val="0"/>
          <w:szCs w:val="22"/>
        </w:rPr>
        <w:t xml:space="preserve">* * * * * </w:t>
      </w:r>
    </w:p>
    <w:p w:rsidR="00324CD5" w:rsidRPr="006919F5" w:rsidRDefault="00324CD5" w:rsidP="00DD1589">
      <w:pPr>
        <w:widowControl/>
        <w:numPr>
          <w:ilvl w:val="0"/>
          <w:numId w:val="27"/>
        </w:numPr>
        <w:spacing w:after="120"/>
        <w:rPr>
          <w:snapToGrid/>
          <w:kern w:val="0"/>
          <w:szCs w:val="22"/>
        </w:rPr>
      </w:pPr>
      <w:r w:rsidRPr="006919F5">
        <w:rPr>
          <w:i/>
          <w:snapToGrid/>
          <w:kern w:val="0"/>
          <w:szCs w:val="22"/>
        </w:rPr>
        <w:t>Customer premises equipment (CPE)</w:t>
      </w:r>
      <w:r w:rsidRPr="006919F5">
        <w:rPr>
          <w:snapToGrid/>
          <w:kern w:val="0"/>
          <w:szCs w:val="22"/>
        </w:rPr>
        <w:t xml:space="preserve">. </w:t>
      </w:r>
      <w:r w:rsidR="001F038C">
        <w:rPr>
          <w:snapToGrid/>
          <w:kern w:val="0"/>
          <w:szCs w:val="22"/>
        </w:rPr>
        <w:t xml:space="preserve"> </w:t>
      </w:r>
      <w:r w:rsidRPr="006919F5">
        <w:rPr>
          <w:snapToGrid/>
          <w:kern w:val="0"/>
          <w:szCs w:val="22"/>
        </w:rPr>
        <w:t>The term “customer premises equipment (CPE)” has the same meaning given to such term in section 3 of the Communications Act of 1934, as amended, 47 U.S.C. 153.</w:t>
      </w:r>
    </w:p>
    <w:p w:rsidR="00324CD5" w:rsidRPr="006919F5" w:rsidRDefault="00324CD5" w:rsidP="00DD1589">
      <w:pPr>
        <w:widowControl/>
        <w:numPr>
          <w:ilvl w:val="0"/>
          <w:numId w:val="27"/>
        </w:numPr>
        <w:spacing w:after="120"/>
        <w:rPr>
          <w:snapToGrid/>
          <w:kern w:val="0"/>
          <w:szCs w:val="22"/>
        </w:rPr>
      </w:pPr>
      <w:r w:rsidRPr="006919F5">
        <w:rPr>
          <w:i/>
          <w:snapToGrid/>
          <w:kern w:val="0"/>
          <w:szCs w:val="22"/>
        </w:rPr>
        <w:t>Information services typically provided by telecommunications carriers</w:t>
      </w:r>
      <w:r w:rsidRPr="006919F5">
        <w:rPr>
          <w:snapToGrid/>
          <w:kern w:val="0"/>
          <w:szCs w:val="22"/>
        </w:rPr>
        <w:t>.  The phrase “information services typically provided by telecommunications carriers” means only those information services (as defined in section 3 of the Communication Act of 1934, as amended, 47 U.S.C. 153) that are typically provided by telecommunications carriers, such as voice mail services.  Such phrase “information services typically provided by telecommunications carriers,” as used in this subpart, shall not include retail consumer services provided using Internet Web sites (such as travel reservation services or mortgage lending services), whether or not such services may otherwise be considered to be information services.</w:t>
      </w:r>
    </w:p>
    <w:p w:rsidR="00324CD5" w:rsidRPr="006919F5" w:rsidRDefault="00324CD5" w:rsidP="00DD1589">
      <w:pPr>
        <w:widowControl/>
        <w:numPr>
          <w:ilvl w:val="0"/>
          <w:numId w:val="27"/>
        </w:numPr>
        <w:spacing w:after="120"/>
        <w:rPr>
          <w:snapToGrid/>
          <w:kern w:val="0"/>
          <w:szCs w:val="22"/>
        </w:rPr>
      </w:pPr>
      <w:r w:rsidRPr="006919F5">
        <w:rPr>
          <w:i/>
          <w:snapToGrid/>
          <w:kern w:val="0"/>
          <w:szCs w:val="22"/>
        </w:rPr>
        <w:t>Local exchange carrier (LEC)</w:t>
      </w:r>
      <w:r w:rsidRPr="006919F5">
        <w:rPr>
          <w:snapToGrid/>
          <w:kern w:val="0"/>
          <w:szCs w:val="22"/>
        </w:rPr>
        <w:t xml:space="preserve">. </w:t>
      </w:r>
      <w:r w:rsidR="001F038C">
        <w:rPr>
          <w:snapToGrid/>
          <w:kern w:val="0"/>
          <w:szCs w:val="22"/>
        </w:rPr>
        <w:t xml:space="preserve"> </w:t>
      </w:r>
      <w:r w:rsidRPr="006919F5">
        <w:rPr>
          <w:snapToGrid/>
          <w:kern w:val="0"/>
          <w:szCs w:val="22"/>
        </w:rPr>
        <w:t>The term “local exchange carrier (LEC)” has the same meaning given to such term in section 3 of the Communications Act of 1934, as amended, 47 U.S.C. 153.</w:t>
      </w:r>
    </w:p>
    <w:p w:rsidR="00324CD5" w:rsidRPr="006919F5" w:rsidRDefault="00324CD5" w:rsidP="00324CD5">
      <w:pPr>
        <w:widowControl/>
        <w:spacing w:after="120"/>
        <w:rPr>
          <w:snapToGrid/>
          <w:kern w:val="0"/>
          <w:szCs w:val="22"/>
        </w:rPr>
      </w:pPr>
      <w:r w:rsidRPr="006919F5">
        <w:rPr>
          <w:snapToGrid/>
          <w:kern w:val="0"/>
          <w:szCs w:val="22"/>
        </w:rPr>
        <w:t xml:space="preserve">* * * * * </w:t>
      </w:r>
    </w:p>
    <w:p w:rsidR="00324CD5" w:rsidRPr="006919F5" w:rsidRDefault="00324CD5" w:rsidP="00DD1589">
      <w:pPr>
        <w:widowControl/>
        <w:numPr>
          <w:ilvl w:val="0"/>
          <w:numId w:val="25"/>
        </w:numPr>
        <w:spacing w:after="120"/>
        <w:rPr>
          <w:snapToGrid/>
          <w:kern w:val="0"/>
          <w:szCs w:val="22"/>
        </w:rPr>
      </w:pPr>
      <w:r w:rsidRPr="006919F5">
        <w:rPr>
          <w:i/>
          <w:snapToGrid/>
          <w:kern w:val="0"/>
          <w:szCs w:val="22"/>
        </w:rPr>
        <w:t>Personally Identifiable Information</w:t>
      </w:r>
      <w:r w:rsidRPr="006919F5">
        <w:rPr>
          <w:snapToGrid/>
          <w:kern w:val="0"/>
          <w:szCs w:val="22"/>
        </w:rPr>
        <w:t>.  The term “personally identifiable information” or “PII” means any information that is linked or linkable to an individual.</w:t>
      </w:r>
    </w:p>
    <w:p w:rsidR="00324CD5" w:rsidRPr="006919F5" w:rsidRDefault="00324CD5" w:rsidP="00324CD5">
      <w:pPr>
        <w:widowControl/>
        <w:spacing w:after="120"/>
        <w:rPr>
          <w:snapToGrid/>
          <w:kern w:val="0"/>
          <w:szCs w:val="22"/>
        </w:rPr>
      </w:pPr>
      <w:r w:rsidRPr="006919F5">
        <w:rPr>
          <w:snapToGrid/>
          <w:kern w:val="0"/>
          <w:szCs w:val="22"/>
        </w:rPr>
        <w:t>* * * * *</w:t>
      </w:r>
    </w:p>
    <w:p w:rsidR="00324CD5" w:rsidRPr="006919F5" w:rsidRDefault="00324CD5" w:rsidP="00DD1589">
      <w:pPr>
        <w:widowControl/>
        <w:numPr>
          <w:ilvl w:val="0"/>
          <w:numId w:val="28"/>
        </w:numPr>
        <w:spacing w:after="120"/>
        <w:rPr>
          <w:snapToGrid/>
          <w:kern w:val="0"/>
          <w:szCs w:val="22"/>
        </w:rPr>
      </w:pPr>
      <w:r w:rsidRPr="006919F5">
        <w:rPr>
          <w:i/>
          <w:snapToGrid/>
          <w:kern w:val="0"/>
          <w:szCs w:val="22"/>
        </w:rPr>
        <w:t>Telecommunications carrier or carrier</w:t>
      </w:r>
      <w:r w:rsidRPr="006919F5">
        <w:rPr>
          <w:snapToGrid/>
          <w:kern w:val="0"/>
          <w:szCs w:val="22"/>
        </w:rPr>
        <w:t xml:space="preserve">. The terms “telecommunications carrier” or “carrier” shall have the same meaning as set forth in section 3 of the Communications Act of 1934, as amended, 47 U.S.C. 153.  For the purposes of this subpart, the term “telecommunications carrier” or “carrier” shall include an entity that provides interconnected VoIP service, as that term is defined in section 9.3 of this chapter, and shall exclude an entity that provides broadband Internet access service, as that term is defined in </w:t>
      </w:r>
      <w:r w:rsidRPr="006919F5">
        <w:rPr>
          <w:rFonts w:eastAsia="Georgia"/>
          <w:snapToGrid/>
          <w:kern w:val="0"/>
          <w:szCs w:val="22"/>
        </w:rPr>
        <w:t>section 8.2 of this chapter.</w:t>
      </w:r>
    </w:p>
    <w:p w:rsidR="00324CD5" w:rsidRPr="006919F5" w:rsidRDefault="00324CD5" w:rsidP="00DD1589">
      <w:pPr>
        <w:widowControl/>
        <w:numPr>
          <w:ilvl w:val="0"/>
          <w:numId w:val="28"/>
        </w:numPr>
        <w:spacing w:after="120"/>
        <w:rPr>
          <w:snapToGrid/>
          <w:kern w:val="0"/>
          <w:szCs w:val="22"/>
        </w:rPr>
      </w:pPr>
      <w:r w:rsidRPr="006919F5">
        <w:rPr>
          <w:i/>
          <w:snapToGrid/>
          <w:kern w:val="0"/>
          <w:szCs w:val="22"/>
        </w:rPr>
        <w:t>Telecommunications service</w:t>
      </w:r>
      <w:r w:rsidRPr="006919F5">
        <w:rPr>
          <w:snapToGrid/>
          <w:kern w:val="0"/>
          <w:szCs w:val="22"/>
        </w:rPr>
        <w:t>.  The term “telecommunications service” has the same meaning given to such term in section 3 of the Communications Act of 1934, as amended, 47 U.S.C. 153.</w:t>
      </w:r>
    </w:p>
    <w:p w:rsidR="00324CD5" w:rsidRPr="006919F5" w:rsidRDefault="00324CD5" w:rsidP="00324CD5">
      <w:pPr>
        <w:widowControl/>
        <w:spacing w:after="120"/>
        <w:rPr>
          <w:rFonts w:eastAsia="Georgia"/>
          <w:snapToGrid/>
          <w:kern w:val="0"/>
          <w:szCs w:val="22"/>
        </w:rPr>
      </w:pPr>
      <w:r w:rsidRPr="006919F5">
        <w:rPr>
          <w:snapToGrid/>
          <w:kern w:val="0"/>
          <w:szCs w:val="22"/>
        </w:rPr>
        <w:t xml:space="preserve">* * * * * </w:t>
      </w:r>
    </w:p>
    <w:p w:rsidR="00324CD5" w:rsidRPr="006919F5" w:rsidRDefault="00324CD5" w:rsidP="00324CD5">
      <w:pPr>
        <w:widowControl/>
        <w:tabs>
          <w:tab w:val="left" w:pos="360"/>
        </w:tabs>
        <w:rPr>
          <w:rFonts w:eastAsia="Georgia"/>
          <w:snapToGrid/>
          <w:kern w:val="0"/>
          <w:szCs w:val="22"/>
        </w:rPr>
      </w:pPr>
    </w:p>
    <w:p w:rsidR="00324CD5" w:rsidRPr="006919F5" w:rsidRDefault="00324CD5" w:rsidP="00324CD5">
      <w:pPr>
        <w:widowControl/>
        <w:tabs>
          <w:tab w:val="left" w:pos="360"/>
        </w:tabs>
        <w:rPr>
          <w:rFonts w:eastAsia="Georgia"/>
          <w:snapToGrid/>
          <w:kern w:val="0"/>
          <w:szCs w:val="22"/>
        </w:rPr>
      </w:pPr>
      <w:r w:rsidRPr="006919F5">
        <w:rPr>
          <w:rFonts w:eastAsia="Georgia"/>
          <w:snapToGrid/>
          <w:kern w:val="0"/>
          <w:szCs w:val="22"/>
        </w:rPr>
        <w:t>3.</w:t>
      </w:r>
      <w:r w:rsidRPr="006919F5">
        <w:rPr>
          <w:rFonts w:eastAsia="Georgia"/>
          <w:snapToGrid/>
          <w:kern w:val="0"/>
          <w:szCs w:val="22"/>
        </w:rPr>
        <w:tab/>
      </w:r>
      <w:r w:rsidRPr="006919F5">
        <w:rPr>
          <w:rFonts w:eastAsia="Georgia"/>
          <w:snapToGrid/>
          <w:kern w:val="0"/>
          <w:szCs w:val="22"/>
        </w:rPr>
        <w:tab/>
        <w:t>Revise Section 64.2011 to read as follows:</w:t>
      </w:r>
    </w:p>
    <w:p w:rsidR="00324CD5" w:rsidRPr="006919F5" w:rsidRDefault="00324CD5" w:rsidP="00324CD5">
      <w:pPr>
        <w:widowControl/>
        <w:tabs>
          <w:tab w:val="left" w:pos="360"/>
        </w:tabs>
        <w:rPr>
          <w:rFonts w:eastAsia="Georgia"/>
          <w:snapToGrid/>
          <w:kern w:val="0"/>
          <w:szCs w:val="22"/>
        </w:rPr>
      </w:pPr>
    </w:p>
    <w:p w:rsidR="00324CD5" w:rsidRPr="006919F5" w:rsidRDefault="00324CD5" w:rsidP="00324CD5">
      <w:pPr>
        <w:widowControl/>
        <w:tabs>
          <w:tab w:val="left" w:pos="360"/>
        </w:tabs>
        <w:rPr>
          <w:b/>
          <w:snapToGrid/>
          <w:kern w:val="0"/>
          <w:szCs w:val="22"/>
          <w:shd w:val="clear" w:color="auto" w:fill="FFFFFF"/>
        </w:rPr>
      </w:pPr>
      <w:r w:rsidRPr="006919F5">
        <w:rPr>
          <w:rFonts w:eastAsia="Georgia"/>
          <w:b/>
          <w:snapToGrid/>
          <w:kern w:val="0"/>
          <w:szCs w:val="22"/>
        </w:rPr>
        <w:t xml:space="preserve">§ 64.2011 </w:t>
      </w:r>
      <w:r w:rsidRPr="006919F5">
        <w:rPr>
          <w:b/>
          <w:snapToGrid/>
          <w:kern w:val="0"/>
          <w:szCs w:val="22"/>
          <w:shd w:val="clear" w:color="auto" w:fill="FFFFFF"/>
        </w:rPr>
        <w:t>Data Breach Notification.</w:t>
      </w:r>
    </w:p>
    <w:p w:rsidR="00324CD5" w:rsidRPr="006919F5" w:rsidRDefault="00324CD5" w:rsidP="00324CD5">
      <w:pPr>
        <w:widowControl/>
        <w:tabs>
          <w:tab w:val="left" w:pos="360"/>
        </w:tabs>
        <w:rPr>
          <w:b/>
          <w:snapToGrid/>
          <w:kern w:val="0"/>
          <w:szCs w:val="22"/>
          <w:shd w:val="clear" w:color="auto" w:fill="FFFFFF"/>
        </w:rPr>
      </w:pPr>
    </w:p>
    <w:p w:rsidR="00324CD5" w:rsidRPr="006919F5" w:rsidRDefault="00324CD5" w:rsidP="00DD1589">
      <w:pPr>
        <w:widowControl/>
        <w:numPr>
          <w:ilvl w:val="0"/>
          <w:numId w:val="29"/>
        </w:numPr>
        <w:spacing w:after="120"/>
        <w:rPr>
          <w:snapToGrid/>
          <w:kern w:val="0"/>
          <w:szCs w:val="22"/>
        </w:rPr>
      </w:pPr>
      <w:r w:rsidRPr="006919F5">
        <w:rPr>
          <w:rFonts w:eastAsia="Times New Roman,Calibri"/>
          <w:i/>
          <w:snapToGrid/>
          <w:kern w:val="0"/>
          <w:szCs w:val="22"/>
        </w:rPr>
        <w:t>Customer Notification.</w:t>
      </w:r>
      <w:r w:rsidRPr="006919F5">
        <w:rPr>
          <w:rFonts w:eastAsia="Times New Roman,Calibri"/>
          <w:snapToGrid/>
          <w:kern w:val="0"/>
          <w:szCs w:val="22"/>
        </w:rPr>
        <w:t xml:space="preserve"> </w:t>
      </w:r>
      <w:r w:rsidR="001F038C">
        <w:rPr>
          <w:rFonts w:eastAsia="Times New Roman,Calibri"/>
          <w:snapToGrid/>
          <w:kern w:val="0"/>
          <w:szCs w:val="22"/>
        </w:rPr>
        <w:t xml:space="preserve"> </w:t>
      </w:r>
      <w:r w:rsidRPr="006919F5">
        <w:rPr>
          <w:rFonts w:eastAsia="Times New Roman,Calibri"/>
          <w:snapToGrid/>
          <w:kern w:val="0"/>
          <w:szCs w:val="22"/>
        </w:rPr>
        <w:t xml:space="preserve">A </w:t>
      </w:r>
      <w:r w:rsidRPr="006919F5">
        <w:rPr>
          <w:rFonts w:eastAsia="Times New Roman,Georgia"/>
          <w:snapToGrid/>
          <w:kern w:val="0"/>
          <w:szCs w:val="22"/>
        </w:rPr>
        <w:t xml:space="preserve">telecommunications carrier must notify affected customers of </w:t>
      </w:r>
      <w:r w:rsidR="001F038C">
        <w:rPr>
          <w:rFonts w:eastAsia="Times New Roman,Georgia"/>
          <w:snapToGrid/>
          <w:kern w:val="0"/>
          <w:szCs w:val="22"/>
        </w:rPr>
        <w:t>covered breaches of customer PI</w:t>
      </w:r>
      <w:r w:rsidRPr="006919F5">
        <w:rPr>
          <w:rFonts w:eastAsia="Times New Roman,Georgia"/>
          <w:snapToGrid/>
          <w:kern w:val="0"/>
          <w:szCs w:val="22"/>
        </w:rPr>
        <w:t xml:space="preserve"> no later than 10 days after the discovery of the breach, subject to law enforcement needs.</w:t>
      </w:r>
    </w:p>
    <w:p w:rsidR="00324CD5" w:rsidRPr="006919F5" w:rsidRDefault="00324CD5" w:rsidP="00DD1589">
      <w:pPr>
        <w:widowControl/>
        <w:numPr>
          <w:ilvl w:val="1"/>
          <w:numId w:val="29"/>
        </w:numPr>
        <w:spacing w:after="120"/>
        <w:rPr>
          <w:rFonts w:eastAsia="Calibri"/>
          <w:snapToGrid/>
          <w:kern w:val="0"/>
          <w:szCs w:val="22"/>
        </w:rPr>
      </w:pPr>
      <w:r w:rsidRPr="006919F5">
        <w:rPr>
          <w:rFonts w:eastAsia="Times New Roman,Calibri"/>
          <w:snapToGrid/>
          <w:kern w:val="0"/>
          <w:szCs w:val="22"/>
        </w:rPr>
        <w:t xml:space="preserve">A </w:t>
      </w:r>
      <w:r w:rsidRPr="006919F5">
        <w:rPr>
          <w:rFonts w:eastAsia="Times New Roman,Georgia"/>
          <w:snapToGrid/>
          <w:kern w:val="0"/>
          <w:szCs w:val="22"/>
        </w:rPr>
        <w:t>telecommunications carrier</w:t>
      </w:r>
      <w:r w:rsidRPr="006919F5">
        <w:rPr>
          <w:rFonts w:eastAsia="Times New Roman,Calibri"/>
          <w:snapToGrid/>
          <w:kern w:val="0"/>
          <w:szCs w:val="22"/>
        </w:rPr>
        <w:t xml:space="preserve"> </w:t>
      </w:r>
      <w:r w:rsidRPr="006919F5">
        <w:rPr>
          <w:rFonts w:eastAsia="Calibri"/>
          <w:snapToGrid/>
          <w:kern w:val="0"/>
          <w:szCs w:val="22"/>
        </w:rPr>
        <w:t xml:space="preserve">required to provide notification to a customer under this subsection </w:t>
      </w:r>
      <w:r w:rsidRPr="006919F5">
        <w:rPr>
          <w:rFonts w:eastAsia="Times New Roman,Calibri"/>
          <w:snapToGrid/>
          <w:kern w:val="0"/>
          <w:szCs w:val="22"/>
        </w:rPr>
        <w:t>may provide such notice by any of the following methods:</w:t>
      </w:r>
    </w:p>
    <w:p w:rsidR="00324CD5" w:rsidRPr="006919F5" w:rsidRDefault="00324CD5" w:rsidP="00DD1589">
      <w:pPr>
        <w:widowControl/>
        <w:numPr>
          <w:ilvl w:val="2"/>
          <w:numId w:val="29"/>
        </w:numPr>
        <w:spacing w:after="120"/>
        <w:rPr>
          <w:rFonts w:eastAsia="Calibri"/>
          <w:snapToGrid/>
          <w:kern w:val="0"/>
          <w:szCs w:val="22"/>
        </w:rPr>
      </w:pPr>
      <w:r w:rsidRPr="006919F5">
        <w:rPr>
          <w:rFonts w:eastAsia="Calibri"/>
          <w:snapToGrid/>
          <w:kern w:val="0"/>
          <w:szCs w:val="22"/>
        </w:rPr>
        <w:t>Written notification, sent to the postal address of the customer provided by the customer for contacting that customer;</w:t>
      </w:r>
    </w:p>
    <w:p w:rsidR="00324CD5" w:rsidRPr="006919F5" w:rsidRDefault="00324CD5" w:rsidP="00DD1589">
      <w:pPr>
        <w:widowControl/>
        <w:numPr>
          <w:ilvl w:val="2"/>
          <w:numId w:val="29"/>
        </w:numPr>
        <w:spacing w:after="120"/>
        <w:rPr>
          <w:rFonts w:eastAsia="Calibri"/>
          <w:snapToGrid/>
          <w:kern w:val="0"/>
          <w:szCs w:val="22"/>
        </w:rPr>
      </w:pPr>
      <w:r w:rsidRPr="006919F5">
        <w:rPr>
          <w:rFonts w:eastAsia="Calibri"/>
          <w:snapToGrid/>
          <w:kern w:val="0"/>
          <w:szCs w:val="22"/>
        </w:rPr>
        <w:t>Email or other electronic means using information provided by the customer for contacting that customer for data breach notification purposes.</w:t>
      </w:r>
    </w:p>
    <w:p w:rsidR="00324CD5" w:rsidRPr="006919F5" w:rsidRDefault="00324CD5" w:rsidP="00DD1589">
      <w:pPr>
        <w:widowControl/>
        <w:numPr>
          <w:ilvl w:val="1"/>
          <w:numId w:val="29"/>
        </w:numPr>
        <w:spacing w:after="120"/>
        <w:rPr>
          <w:rFonts w:eastAsia="Calibri"/>
          <w:snapToGrid/>
          <w:kern w:val="0"/>
          <w:szCs w:val="22"/>
        </w:rPr>
      </w:pPr>
      <w:r w:rsidRPr="006919F5">
        <w:rPr>
          <w:rFonts w:eastAsia="Calibri"/>
          <w:snapToGrid/>
          <w:kern w:val="0"/>
          <w:szCs w:val="22"/>
        </w:rPr>
        <w:t>The customer notification required to be provided under this section must include:</w:t>
      </w:r>
    </w:p>
    <w:p w:rsidR="00324CD5" w:rsidRPr="006919F5" w:rsidRDefault="00324CD5" w:rsidP="00DD1589">
      <w:pPr>
        <w:widowControl/>
        <w:numPr>
          <w:ilvl w:val="2"/>
          <w:numId w:val="29"/>
        </w:numPr>
        <w:spacing w:after="120"/>
        <w:rPr>
          <w:rFonts w:eastAsia="Calibri"/>
          <w:snapToGrid/>
          <w:kern w:val="0"/>
          <w:szCs w:val="22"/>
        </w:rPr>
      </w:pPr>
      <w:r w:rsidRPr="006919F5">
        <w:rPr>
          <w:rFonts w:eastAsia="Calibri"/>
          <w:snapToGrid/>
          <w:kern w:val="0"/>
          <w:szCs w:val="22"/>
        </w:rPr>
        <w:t>The date, estimated date, or estimated date range of the breach of security;</w:t>
      </w:r>
    </w:p>
    <w:p w:rsidR="00324CD5" w:rsidRPr="006919F5" w:rsidRDefault="00324CD5" w:rsidP="00DD1589">
      <w:pPr>
        <w:widowControl/>
        <w:numPr>
          <w:ilvl w:val="2"/>
          <w:numId w:val="29"/>
        </w:numPr>
        <w:spacing w:after="120"/>
        <w:rPr>
          <w:rFonts w:eastAsia="Calibri"/>
          <w:snapToGrid/>
          <w:kern w:val="0"/>
          <w:szCs w:val="22"/>
        </w:rPr>
      </w:pPr>
      <w:r w:rsidRPr="006919F5">
        <w:rPr>
          <w:rFonts w:eastAsia="Calibri"/>
          <w:snapToGrid/>
          <w:kern w:val="0"/>
          <w:szCs w:val="22"/>
        </w:rPr>
        <w:t>A description of the customer PI that was used, disclosed, or accessed, or reasonably believed to have been used, disclosed, or accessed, by a person without or exceeding authorization as a part of the breach of security;</w:t>
      </w:r>
    </w:p>
    <w:p w:rsidR="00324CD5" w:rsidRPr="006919F5" w:rsidRDefault="001F038C" w:rsidP="00DD1589">
      <w:pPr>
        <w:widowControl/>
        <w:numPr>
          <w:ilvl w:val="2"/>
          <w:numId w:val="29"/>
        </w:numPr>
        <w:spacing w:after="120"/>
        <w:rPr>
          <w:rFonts w:eastAsia="Calibri"/>
          <w:snapToGrid/>
          <w:kern w:val="0"/>
          <w:szCs w:val="22"/>
        </w:rPr>
      </w:pPr>
      <w:r>
        <w:rPr>
          <w:rFonts w:eastAsia="Times New Roman,Calibri"/>
          <w:snapToGrid/>
          <w:kern w:val="0"/>
          <w:szCs w:val="22"/>
        </w:rPr>
        <w:t xml:space="preserve"> </w:t>
      </w:r>
      <w:r w:rsidR="00324CD5" w:rsidRPr="006919F5">
        <w:rPr>
          <w:rFonts w:eastAsia="Times New Roman,Calibri"/>
          <w:snapToGrid/>
          <w:kern w:val="0"/>
          <w:szCs w:val="22"/>
        </w:rPr>
        <w:t xml:space="preserve">Information that the customer can use to contact the </w:t>
      </w:r>
      <w:r w:rsidR="00324CD5" w:rsidRPr="006919F5">
        <w:rPr>
          <w:rFonts w:eastAsia="Times New Roman,Georgia"/>
          <w:snapToGrid/>
          <w:kern w:val="0"/>
          <w:szCs w:val="22"/>
        </w:rPr>
        <w:t xml:space="preserve">telecommunications carrier </w:t>
      </w:r>
      <w:r w:rsidR="00324CD5" w:rsidRPr="006919F5">
        <w:rPr>
          <w:rFonts w:eastAsia="Times New Roman,Calibri"/>
          <w:snapToGrid/>
          <w:kern w:val="0"/>
          <w:szCs w:val="22"/>
        </w:rPr>
        <w:t>to inquire about the breach of security and the customer PI that the telecommunications carrier maintains about that customer;</w:t>
      </w:r>
    </w:p>
    <w:p w:rsidR="00324CD5" w:rsidRPr="006919F5" w:rsidRDefault="001F038C" w:rsidP="00DD1589">
      <w:pPr>
        <w:widowControl/>
        <w:numPr>
          <w:ilvl w:val="2"/>
          <w:numId w:val="29"/>
        </w:numPr>
        <w:spacing w:after="120"/>
        <w:rPr>
          <w:rFonts w:eastAsia="Calibri"/>
          <w:snapToGrid/>
          <w:kern w:val="0"/>
          <w:szCs w:val="22"/>
        </w:rPr>
      </w:pPr>
      <w:r>
        <w:rPr>
          <w:rFonts w:eastAsia="Times New Roman,Georgia"/>
          <w:snapToGrid/>
          <w:kern w:val="0"/>
          <w:szCs w:val="22"/>
        </w:rPr>
        <w:t xml:space="preserve"> </w:t>
      </w:r>
      <w:r w:rsidR="00324CD5" w:rsidRPr="006919F5">
        <w:rPr>
          <w:rFonts w:eastAsia="Times New Roman,Georgia"/>
          <w:snapToGrid/>
          <w:kern w:val="0"/>
          <w:szCs w:val="22"/>
        </w:rPr>
        <w:t>Information about how to contact the Federal Communications Commission and any state regulatory agencies relevant to the customer and the service; and</w:t>
      </w:r>
    </w:p>
    <w:p w:rsidR="00324CD5" w:rsidRPr="006919F5" w:rsidRDefault="00324CD5" w:rsidP="00DD1589">
      <w:pPr>
        <w:widowControl/>
        <w:numPr>
          <w:ilvl w:val="2"/>
          <w:numId w:val="29"/>
        </w:numPr>
        <w:spacing w:after="120"/>
        <w:rPr>
          <w:rFonts w:eastAsia="Calibri"/>
          <w:snapToGrid/>
          <w:kern w:val="0"/>
          <w:szCs w:val="22"/>
        </w:rPr>
      </w:pPr>
      <w:r w:rsidRPr="006919F5">
        <w:rPr>
          <w:rFonts w:eastAsia="Times New Roman,Calibri"/>
          <w:snapToGrid/>
          <w:kern w:val="0"/>
          <w:szCs w:val="22"/>
        </w:rPr>
        <w:t xml:space="preserve">Information about the national credit-reporting agencies and the steps customers can take to guard against identity theft, including any credit monitoring or reporting the </w:t>
      </w:r>
      <w:r w:rsidRPr="006919F5">
        <w:rPr>
          <w:rFonts w:eastAsia="Times New Roman,Georgia"/>
          <w:snapToGrid/>
          <w:kern w:val="0"/>
          <w:szCs w:val="22"/>
        </w:rPr>
        <w:t>telecommunications carrier</w:t>
      </w:r>
      <w:r w:rsidRPr="006919F5">
        <w:rPr>
          <w:rFonts w:eastAsia="Times New Roman,Calibri"/>
          <w:snapToGrid/>
          <w:kern w:val="0"/>
          <w:szCs w:val="22"/>
        </w:rPr>
        <w:t xml:space="preserve"> is offering customers affected by the breach of security.</w:t>
      </w:r>
    </w:p>
    <w:p w:rsidR="00324CD5" w:rsidRPr="006919F5" w:rsidRDefault="00324CD5" w:rsidP="00DD1589">
      <w:pPr>
        <w:widowControl/>
        <w:numPr>
          <w:ilvl w:val="1"/>
          <w:numId w:val="29"/>
        </w:numPr>
        <w:spacing w:after="120"/>
        <w:rPr>
          <w:rFonts w:eastAsia="Calibri"/>
          <w:snapToGrid/>
          <w:kern w:val="0"/>
          <w:szCs w:val="22"/>
        </w:rPr>
      </w:pPr>
      <w:r w:rsidRPr="006919F5">
        <w:rPr>
          <w:rFonts w:eastAsia="Times New Roman,Georgia"/>
          <w:snapToGrid/>
          <w:kern w:val="0"/>
          <w:szCs w:val="22"/>
        </w:rPr>
        <w:t>If a federal law enforcement agency determines that the notification to customers required under this subsection would interfere with a criminal or national security investigation, such notification shall be delayed upon the written request of the law enforcement agency for any period which the law-enforcement agency determines is reasonably necessary.  A law enforcement agency may, by a subsequent written request, revoke such delay or extend the period set forth in the original request made under this subparagraph by a subsequent request if the law enforcement agency determines that further delay is necessary.</w:t>
      </w:r>
    </w:p>
    <w:p w:rsidR="00324CD5" w:rsidRPr="006919F5" w:rsidRDefault="00324CD5" w:rsidP="00DD1589">
      <w:pPr>
        <w:widowControl/>
        <w:numPr>
          <w:ilvl w:val="0"/>
          <w:numId w:val="29"/>
        </w:numPr>
        <w:spacing w:after="120"/>
        <w:rPr>
          <w:rFonts w:eastAsia="Calibri"/>
          <w:snapToGrid/>
          <w:kern w:val="0"/>
          <w:szCs w:val="22"/>
        </w:rPr>
      </w:pPr>
      <w:r w:rsidRPr="006919F5">
        <w:rPr>
          <w:rFonts w:eastAsia="Times New Roman,Calibri"/>
          <w:i/>
          <w:snapToGrid/>
          <w:kern w:val="0"/>
          <w:szCs w:val="22"/>
        </w:rPr>
        <w:t>Commission Notification.</w:t>
      </w:r>
      <w:r w:rsidRPr="006919F5">
        <w:rPr>
          <w:rFonts w:eastAsia="Calibri"/>
          <w:snapToGrid/>
          <w:kern w:val="0"/>
          <w:szCs w:val="22"/>
        </w:rPr>
        <w:t xml:space="preserve">  </w:t>
      </w:r>
      <w:r w:rsidRPr="006919F5">
        <w:rPr>
          <w:rFonts w:eastAsia="Times New Roman,Georgia"/>
          <w:snapToGrid/>
          <w:kern w:val="0"/>
          <w:szCs w:val="22"/>
        </w:rPr>
        <w:t>A telecommunications carrier must notify the Federal Communications Commission of any breach of customer PI no later than seven days after discovering such breach.  Such notification shall be made electronically by means of a reporting system that the Commission makes available on its website.</w:t>
      </w:r>
    </w:p>
    <w:p w:rsidR="00324CD5" w:rsidRPr="006919F5" w:rsidRDefault="00324CD5" w:rsidP="00DD1589">
      <w:pPr>
        <w:widowControl/>
        <w:numPr>
          <w:ilvl w:val="0"/>
          <w:numId w:val="29"/>
        </w:numPr>
        <w:spacing w:after="120"/>
        <w:rPr>
          <w:rFonts w:eastAsia="Calibri"/>
          <w:snapToGrid/>
          <w:kern w:val="0"/>
          <w:szCs w:val="22"/>
        </w:rPr>
      </w:pPr>
      <w:r w:rsidRPr="006919F5">
        <w:rPr>
          <w:rFonts w:eastAsia="Calibri"/>
          <w:i/>
          <w:snapToGrid/>
          <w:kern w:val="0"/>
          <w:szCs w:val="22"/>
        </w:rPr>
        <w:t>Federal Law Enforcement Notification</w:t>
      </w:r>
      <w:r w:rsidRPr="006919F5">
        <w:rPr>
          <w:rFonts w:eastAsia="Georgia"/>
          <w:snapToGrid/>
          <w:kern w:val="0"/>
          <w:szCs w:val="22"/>
        </w:rPr>
        <w:t>.</w:t>
      </w:r>
      <w:r w:rsidRPr="006919F5">
        <w:rPr>
          <w:rFonts w:eastAsia="Calibri"/>
          <w:snapToGrid/>
          <w:kern w:val="0"/>
          <w:szCs w:val="22"/>
        </w:rPr>
        <w:t xml:space="preserve">  A </w:t>
      </w:r>
      <w:r w:rsidRPr="006919F5">
        <w:rPr>
          <w:rFonts w:eastAsia="Times New Roman,Georgia"/>
          <w:snapToGrid/>
          <w:kern w:val="0"/>
          <w:szCs w:val="22"/>
        </w:rPr>
        <w:t xml:space="preserve">telecommunications carrier </w:t>
      </w:r>
      <w:r w:rsidRPr="006919F5">
        <w:rPr>
          <w:rFonts w:eastAsia="Calibri"/>
          <w:snapToGrid/>
          <w:kern w:val="0"/>
          <w:szCs w:val="22"/>
        </w:rPr>
        <w:t xml:space="preserve">must notify the </w:t>
      </w:r>
      <w:r w:rsidR="001F038C">
        <w:rPr>
          <w:rFonts w:eastAsia="Calibri"/>
          <w:snapToGrid/>
          <w:kern w:val="0"/>
          <w:szCs w:val="22"/>
        </w:rPr>
        <w:t>Federal Bureau of Investigation (</w:t>
      </w:r>
      <w:r w:rsidRPr="006919F5">
        <w:rPr>
          <w:rFonts w:eastAsia="Calibri"/>
          <w:snapToGrid/>
          <w:kern w:val="0"/>
          <w:szCs w:val="22"/>
        </w:rPr>
        <w:t>FBI</w:t>
      </w:r>
      <w:r w:rsidR="001F038C">
        <w:rPr>
          <w:rFonts w:eastAsia="Calibri"/>
          <w:snapToGrid/>
          <w:kern w:val="0"/>
          <w:szCs w:val="22"/>
        </w:rPr>
        <w:t>)</w:t>
      </w:r>
      <w:r w:rsidRPr="006919F5">
        <w:rPr>
          <w:rFonts w:eastAsia="Calibri"/>
          <w:snapToGrid/>
          <w:kern w:val="0"/>
          <w:szCs w:val="22"/>
        </w:rPr>
        <w:t xml:space="preserve"> and the </w:t>
      </w:r>
      <w:r w:rsidR="001F038C">
        <w:rPr>
          <w:rFonts w:eastAsia="Calibri"/>
          <w:snapToGrid/>
          <w:kern w:val="0"/>
          <w:szCs w:val="22"/>
        </w:rPr>
        <w:t xml:space="preserve">U.S. </w:t>
      </w:r>
      <w:r w:rsidRPr="006919F5">
        <w:rPr>
          <w:rFonts w:eastAsia="Calibri"/>
          <w:snapToGrid/>
          <w:kern w:val="0"/>
          <w:szCs w:val="22"/>
        </w:rPr>
        <w:t>Secret Service</w:t>
      </w:r>
      <w:r w:rsidR="001F038C">
        <w:rPr>
          <w:rFonts w:eastAsia="Calibri"/>
          <w:snapToGrid/>
          <w:kern w:val="0"/>
          <w:szCs w:val="22"/>
        </w:rPr>
        <w:t xml:space="preserve"> (Secret Service)</w:t>
      </w:r>
      <w:r w:rsidRPr="006919F5">
        <w:rPr>
          <w:rFonts w:eastAsia="Calibri"/>
          <w:snapToGrid/>
          <w:kern w:val="0"/>
          <w:szCs w:val="22"/>
        </w:rPr>
        <w:t xml:space="preserve"> whenever a breach </w:t>
      </w:r>
      <w:r>
        <w:rPr>
          <w:rFonts w:eastAsia="Calibri"/>
          <w:snapToGrid/>
          <w:kern w:val="0"/>
          <w:szCs w:val="22"/>
        </w:rPr>
        <w:t xml:space="preserve">is reasonably believed to have </w:t>
      </w:r>
      <w:r w:rsidRPr="006919F5">
        <w:rPr>
          <w:rFonts w:eastAsia="Calibri"/>
          <w:snapToGrid/>
          <w:kern w:val="0"/>
          <w:szCs w:val="22"/>
        </w:rPr>
        <w:t>compromise</w:t>
      </w:r>
      <w:r>
        <w:rPr>
          <w:rFonts w:eastAsia="Calibri"/>
          <w:snapToGrid/>
          <w:kern w:val="0"/>
          <w:szCs w:val="22"/>
        </w:rPr>
        <w:t>d</w:t>
      </w:r>
      <w:r w:rsidRPr="006919F5">
        <w:rPr>
          <w:rFonts w:eastAsia="Calibri"/>
          <w:snapToGrid/>
          <w:kern w:val="0"/>
          <w:szCs w:val="22"/>
        </w:rPr>
        <w:t xml:space="preserve"> the customer PI of more than 5,000 individuals, no later than seven (7) days after discovery of the breach, and at least three (3) days before notification to the affected customers.  Such notification shall be made through a central reporting facility.  The Commission will maintain a link to the reporting facility on its website.</w:t>
      </w:r>
    </w:p>
    <w:p w:rsidR="00324CD5" w:rsidRPr="006919F5" w:rsidRDefault="00324CD5" w:rsidP="00DD1589">
      <w:pPr>
        <w:widowControl/>
        <w:numPr>
          <w:ilvl w:val="0"/>
          <w:numId w:val="29"/>
        </w:numPr>
        <w:spacing w:after="120"/>
        <w:rPr>
          <w:rFonts w:eastAsia="Calibri"/>
          <w:snapToGrid/>
          <w:kern w:val="0"/>
          <w:szCs w:val="22"/>
        </w:rPr>
      </w:pPr>
      <w:r w:rsidRPr="006919F5">
        <w:rPr>
          <w:bCs/>
          <w:i/>
          <w:iCs/>
          <w:snapToGrid/>
          <w:kern w:val="0"/>
          <w:szCs w:val="22"/>
          <w:lang w:val="en"/>
        </w:rPr>
        <w:t>Recordkeeping.</w:t>
      </w:r>
      <w:r w:rsidRPr="006919F5">
        <w:rPr>
          <w:bCs/>
          <w:i/>
          <w:snapToGrid/>
          <w:kern w:val="0"/>
          <w:szCs w:val="22"/>
          <w:lang w:val="en"/>
        </w:rPr>
        <w:t xml:space="preserve"> </w:t>
      </w:r>
      <w:r w:rsidRPr="006919F5">
        <w:rPr>
          <w:snapToGrid/>
          <w:kern w:val="0"/>
          <w:szCs w:val="22"/>
          <w:lang w:val="en"/>
        </w:rPr>
        <w:t xml:space="preserve"> A </w:t>
      </w:r>
      <w:r w:rsidRPr="006919F5">
        <w:rPr>
          <w:rFonts w:eastAsia="Times New Roman,Georgia"/>
          <w:snapToGrid/>
          <w:kern w:val="0"/>
          <w:szCs w:val="22"/>
        </w:rPr>
        <w:t>telecommunications carrier</w:t>
      </w:r>
      <w:r w:rsidRPr="006919F5">
        <w:rPr>
          <w:snapToGrid/>
          <w:kern w:val="0"/>
          <w:szCs w:val="22"/>
          <w:lang w:val="en"/>
        </w:rPr>
        <w:t xml:space="preserve"> must maintain a record of any breaches of security discovered and notifications made to customers, the Commission, the FBI, and the Secret Service pursuant to this section.  The record must include, if available, dates of discovery and notification, a detailed description of the customer PI that was the subject of the breach, and the circumstances of the breach.  Telecommunications</w:t>
      </w:r>
      <w:r w:rsidRPr="006919F5">
        <w:rPr>
          <w:rFonts w:eastAsia="Times New Roman,Georgia"/>
          <w:snapToGrid/>
          <w:kern w:val="0"/>
          <w:szCs w:val="22"/>
        </w:rPr>
        <w:t xml:space="preserve"> carriers </w:t>
      </w:r>
      <w:r w:rsidRPr="006919F5">
        <w:rPr>
          <w:snapToGrid/>
          <w:kern w:val="0"/>
          <w:szCs w:val="22"/>
          <w:lang w:val="en"/>
        </w:rPr>
        <w:t>shall retain such records for a minimum of 2 years.</w:t>
      </w:r>
    </w:p>
    <w:p w:rsidR="00324CD5" w:rsidRPr="006919F5" w:rsidRDefault="00324CD5" w:rsidP="00324CD5">
      <w:pPr>
        <w:widowControl/>
        <w:spacing w:after="120"/>
        <w:rPr>
          <w:rFonts w:eastAsia="Calibri"/>
          <w:snapToGrid/>
          <w:kern w:val="0"/>
          <w:szCs w:val="22"/>
        </w:rPr>
      </w:pPr>
    </w:p>
    <w:p w:rsidR="00324CD5" w:rsidRPr="006919F5" w:rsidRDefault="00324CD5" w:rsidP="00324CD5">
      <w:pPr>
        <w:widowControl/>
        <w:tabs>
          <w:tab w:val="left" w:pos="360"/>
        </w:tabs>
        <w:rPr>
          <w:rFonts w:eastAsia="Georgia"/>
          <w:snapToGrid/>
          <w:kern w:val="0"/>
          <w:szCs w:val="22"/>
        </w:rPr>
      </w:pPr>
      <w:r w:rsidRPr="006919F5">
        <w:rPr>
          <w:rFonts w:eastAsia="Georgia"/>
          <w:snapToGrid/>
          <w:kern w:val="0"/>
          <w:szCs w:val="22"/>
        </w:rPr>
        <w:t>4.</w:t>
      </w:r>
      <w:r w:rsidRPr="006919F5">
        <w:rPr>
          <w:rFonts w:eastAsia="Georgia"/>
          <w:snapToGrid/>
          <w:kern w:val="0"/>
          <w:szCs w:val="22"/>
        </w:rPr>
        <w:tab/>
      </w:r>
      <w:r w:rsidRPr="006919F5">
        <w:rPr>
          <w:rFonts w:eastAsia="Georgia"/>
          <w:snapToGrid/>
          <w:kern w:val="0"/>
          <w:szCs w:val="22"/>
        </w:rPr>
        <w:tab/>
        <w:t>Add new subpart GG to read as follows:</w:t>
      </w:r>
    </w:p>
    <w:p w:rsidR="00324CD5" w:rsidRPr="006919F5" w:rsidRDefault="00324CD5" w:rsidP="00324CD5">
      <w:pPr>
        <w:widowControl/>
        <w:tabs>
          <w:tab w:val="left" w:pos="360"/>
        </w:tabs>
        <w:rPr>
          <w:rFonts w:eastAsia="Georgia"/>
          <w:snapToGrid/>
          <w:kern w:val="0"/>
          <w:szCs w:val="22"/>
        </w:rPr>
      </w:pPr>
    </w:p>
    <w:p w:rsidR="00324CD5" w:rsidRPr="006919F5" w:rsidRDefault="00324CD5" w:rsidP="00324CD5">
      <w:pPr>
        <w:widowControl/>
        <w:tabs>
          <w:tab w:val="left" w:pos="360"/>
        </w:tabs>
        <w:rPr>
          <w:rFonts w:eastAsia="Georgia"/>
          <w:b/>
          <w:snapToGrid/>
          <w:kern w:val="0"/>
          <w:szCs w:val="22"/>
        </w:rPr>
      </w:pPr>
      <w:r w:rsidRPr="006919F5">
        <w:rPr>
          <w:rFonts w:eastAsia="Georgia"/>
          <w:b/>
          <w:snapToGrid/>
          <w:kern w:val="0"/>
          <w:szCs w:val="22"/>
        </w:rPr>
        <w:t>Subpart GG – Privacy of BIAS Customer Information</w:t>
      </w:r>
    </w:p>
    <w:p w:rsidR="00324CD5" w:rsidRPr="006919F5" w:rsidRDefault="00324CD5" w:rsidP="00324CD5">
      <w:pPr>
        <w:widowControl/>
        <w:tabs>
          <w:tab w:val="left" w:pos="360"/>
        </w:tabs>
        <w:rPr>
          <w:rFonts w:eastAsia="Georgia"/>
          <w:snapToGrid/>
          <w:kern w:val="0"/>
          <w:szCs w:val="22"/>
        </w:rPr>
      </w:pPr>
    </w:p>
    <w:p w:rsidR="00324CD5" w:rsidRPr="006919F5" w:rsidRDefault="00324CD5" w:rsidP="00324CD5">
      <w:pPr>
        <w:widowControl/>
        <w:tabs>
          <w:tab w:val="left" w:pos="360"/>
        </w:tabs>
        <w:rPr>
          <w:b/>
          <w:snapToGrid/>
          <w:kern w:val="0"/>
          <w:szCs w:val="22"/>
          <w:shd w:val="clear" w:color="auto" w:fill="FFFFFF"/>
        </w:rPr>
      </w:pPr>
      <w:r w:rsidRPr="006919F5">
        <w:rPr>
          <w:b/>
          <w:snapToGrid/>
          <w:kern w:val="0"/>
          <w:szCs w:val="22"/>
          <w:shd w:val="clear" w:color="auto" w:fill="FFFFFF"/>
        </w:rPr>
        <w:t>§ 64.7000 Definitions.</w:t>
      </w:r>
    </w:p>
    <w:p w:rsidR="00324CD5" w:rsidRPr="006919F5" w:rsidRDefault="00324CD5" w:rsidP="00324CD5">
      <w:pPr>
        <w:widowControl/>
        <w:tabs>
          <w:tab w:val="left" w:pos="360"/>
        </w:tabs>
        <w:rPr>
          <w:b/>
          <w:snapToGrid/>
          <w:kern w:val="0"/>
          <w:szCs w:val="22"/>
          <w:shd w:val="clear" w:color="auto" w:fill="FFFFFF"/>
        </w:rPr>
      </w:pPr>
    </w:p>
    <w:p w:rsidR="00324CD5" w:rsidRPr="006919F5" w:rsidRDefault="00324CD5" w:rsidP="00DD1589">
      <w:pPr>
        <w:widowControl/>
        <w:numPr>
          <w:ilvl w:val="0"/>
          <w:numId w:val="19"/>
        </w:numPr>
        <w:spacing w:after="120" w:line="264" w:lineRule="auto"/>
        <w:rPr>
          <w:snapToGrid/>
          <w:kern w:val="0"/>
          <w:szCs w:val="22"/>
        </w:rPr>
      </w:pPr>
      <w:r w:rsidRPr="006919F5">
        <w:rPr>
          <w:i/>
          <w:snapToGrid/>
          <w:kern w:val="0"/>
          <w:szCs w:val="22"/>
        </w:rPr>
        <w:t>Aggregate customer proprietary information.</w:t>
      </w:r>
      <w:r w:rsidRPr="006919F5">
        <w:rPr>
          <w:snapToGrid/>
          <w:kern w:val="0"/>
          <w:szCs w:val="22"/>
        </w:rPr>
        <w:t xml:space="preserve">  The terms “aggregate customer proprietary information” or “aggregate customer PI” means collective data that relates to a group or category of services or customers, from which individual customer identities and characteristics have been removed.</w:t>
      </w:r>
    </w:p>
    <w:p w:rsidR="00324CD5" w:rsidRPr="006919F5" w:rsidRDefault="00324CD5" w:rsidP="00DD1589">
      <w:pPr>
        <w:widowControl/>
        <w:numPr>
          <w:ilvl w:val="0"/>
          <w:numId w:val="19"/>
        </w:numPr>
        <w:spacing w:after="120" w:line="264" w:lineRule="auto"/>
        <w:rPr>
          <w:snapToGrid/>
          <w:kern w:val="0"/>
          <w:szCs w:val="22"/>
        </w:rPr>
      </w:pPr>
      <w:r w:rsidRPr="006919F5">
        <w:rPr>
          <w:i/>
          <w:snapToGrid/>
          <w:kern w:val="0"/>
          <w:szCs w:val="22"/>
          <w:shd w:val="clear" w:color="auto" w:fill="FFFFFF"/>
        </w:rPr>
        <w:t>Breach of Security</w:t>
      </w:r>
      <w:r w:rsidRPr="006919F5">
        <w:rPr>
          <w:snapToGrid/>
          <w:kern w:val="0"/>
          <w:szCs w:val="22"/>
          <w:shd w:val="clear" w:color="auto" w:fill="FFFFFF"/>
        </w:rPr>
        <w:t xml:space="preserve">.  </w:t>
      </w:r>
      <w:r w:rsidRPr="006919F5">
        <w:rPr>
          <w:rFonts w:eastAsia="Georgia"/>
          <w:snapToGrid/>
          <w:kern w:val="0"/>
          <w:szCs w:val="22"/>
        </w:rPr>
        <w:t>The terms “breach of security,” “breach”, or “data breach,”</w:t>
      </w:r>
      <w:r w:rsidRPr="006919F5">
        <w:rPr>
          <w:snapToGrid/>
          <w:kern w:val="0"/>
          <w:szCs w:val="22"/>
        </w:rPr>
        <w:t xml:space="preserve"> mean any instance in which a person, without authorization or exceeding authorization, has gained access to, used, or disclosed customer proprietary information.</w:t>
      </w:r>
    </w:p>
    <w:p w:rsidR="00324CD5" w:rsidRPr="006919F5" w:rsidRDefault="00324CD5" w:rsidP="00DD1589">
      <w:pPr>
        <w:widowControl/>
        <w:numPr>
          <w:ilvl w:val="0"/>
          <w:numId w:val="19"/>
        </w:numPr>
        <w:spacing w:after="120" w:line="264" w:lineRule="auto"/>
        <w:rPr>
          <w:snapToGrid/>
          <w:kern w:val="0"/>
          <w:szCs w:val="22"/>
        </w:rPr>
      </w:pPr>
      <w:r w:rsidRPr="006919F5">
        <w:rPr>
          <w:i/>
          <w:snapToGrid/>
          <w:kern w:val="0"/>
          <w:szCs w:val="22"/>
          <w:shd w:val="clear" w:color="auto" w:fill="FFFFFF"/>
        </w:rPr>
        <w:t>Broadband Internet Access Service (BIAS)</w:t>
      </w:r>
      <w:r w:rsidRPr="006919F5">
        <w:rPr>
          <w:snapToGrid/>
          <w:kern w:val="0"/>
          <w:szCs w:val="22"/>
          <w:shd w:val="clear" w:color="auto" w:fill="FFFFFF"/>
        </w:rPr>
        <w:t xml:space="preserve">.  </w:t>
      </w:r>
      <w:r w:rsidRPr="006919F5">
        <w:rPr>
          <w:rFonts w:eastAsia="Georgia"/>
          <w:snapToGrid/>
          <w:kern w:val="0"/>
          <w:szCs w:val="22"/>
        </w:rPr>
        <w:t>The term “broadband Internet access services” or “BIAS” has the same meaning given such term in section 8.2(a) of this chapter.</w:t>
      </w:r>
    </w:p>
    <w:p w:rsidR="00324CD5" w:rsidRPr="006919F5" w:rsidRDefault="00324CD5" w:rsidP="00CF0243">
      <w:pPr>
        <w:widowControl/>
        <w:numPr>
          <w:ilvl w:val="0"/>
          <w:numId w:val="19"/>
        </w:numPr>
        <w:spacing w:after="120" w:line="264" w:lineRule="auto"/>
        <w:rPr>
          <w:snapToGrid/>
          <w:kern w:val="0"/>
          <w:szCs w:val="22"/>
        </w:rPr>
      </w:pPr>
      <w:r w:rsidRPr="006919F5">
        <w:rPr>
          <w:rFonts w:eastAsia="Georgia"/>
          <w:i/>
          <w:snapToGrid/>
          <w:kern w:val="0"/>
          <w:szCs w:val="22"/>
        </w:rPr>
        <w:t>Broadband Internet Access Service Provider</w:t>
      </w:r>
      <w:r w:rsidRPr="006919F5">
        <w:rPr>
          <w:rFonts w:eastAsia="Georgia"/>
          <w:snapToGrid/>
          <w:kern w:val="0"/>
          <w:szCs w:val="22"/>
        </w:rPr>
        <w:t>.  The term “broadband Internet access service provi</w:t>
      </w:r>
      <w:r w:rsidR="00CF0243">
        <w:rPr>
          <w:rFonts w:eastAsia="Georgia"/>
          <w:snapToGrid/>
          <w:kern w:val="0"/>
          <w:szCs w:val="22"/>
        </w:rPr>
        <w:t>der” or “BIAS provider” means a person or</w:t>
      </w:r>
      <w:r w:rsidRPr="006919F5">
        <w:rPr>
          <w:rFonts w:eastAsia="Georgia"/>
          <w:snapToGrid/>
          <w:kern w:val="0"/>
          <w:szCs w:val="22"/>
        </w:rPr>
        <w:t xml:space="preserve"> entity </w:t>
      </w:r>
      <w:r w:rsidR="00CF0243">
        <w:rPr>
          <w:rFonts w:eastAsia="Georgia"/>
          <w:snapToGrid/>
          <w:kern w:val="0"/>
          <w:szCs w:val="22"/>
        </w:rPr>
        <w:t>engaged in the provision of</w:t>
      </w:r>
      <w:r w:rsidRPr="006919F5">
        <w:rPr>
          <w:rFonts w:eastAsia="Georgia"/>
          <w:snapToGrid/>
          <w:kern w:val="0"/>
          <w:szCs w:val="22"/>
        </w:rPr>
        <w:t xml:space="preserve"> BIAS.</w:t>
      </w:r>
    </w:p>
    <w:p w:rsidR="00324CD5" w:rsidRPr="006919F5" w:rsidRDefault="00324CD5" w:rsidP="00DD1589">
      <w:pPr>
        <w:widowControl/>
        <w:numPr>
          <w:ilvl w:val="0"/>
          <w:numId w:val="19"/>
        </w:numPr>
        <w:spacing w:after="120" w:line="264" w:lineRule="auto"/>
        <w:rPr>
          <w:snapToGrid/>
          <w:kern w:val="0"/>
          <w:szCs w:val="22"/>
        </w:rPr>
      </w:pPr>
      <w:r w:rsidRPr="006919F5">
        <w:rPr>
          <w:rFonts w:eastAsia="Georgia"/>
          <w:i/>
          <w:snapToGrid/>
          <w:kern w:val="0"/>
          <w:szCs w:val="22"/>
        </w:rPr>
        <w:t>Customer</w:t>
      </w:r>
      <w:r w:rsidRPr="006919F5">
        <w:rPr>
          <w:rFonts w:eastAsia="Georgia"/>
          <w:snapToGrid/>
          <w:kern w:val="0"/>
          <w:szCs w:val="22"/>
        </w:rPr>
        <w:t xml:space="preserve">.  </w:t>
      </w:r>
      <w:r w:rsidRPr="006919F5">
        <w:rPr>
          <w:snapToGrid/>
          <w:kern w:val="0"/>
          <w:szCs w:val="22"/>
        </w:rPr>
        <w:t>The term “customer”</w:t>
      </w:r>
      <w:r w:rsidRPr="006919F5">
        <w:rPr>
          <w:i/>
          <w:snapToGrid/>
          <w:kern w:val="0"/>
          <w:szCs w:val="22"/>
        </w:rPr>
        <w:t xml:space="preserve"> </w:t>
      </w:r>
      <w:r w:rsidRPr="006919F5">
        <w:rPr>
          <w:snapToGrid/>
          <w:kern w:val="0"/>
          <w:szCs w:val="22"/>
        </w:rPr>
        <w:t>means:</w:t>
      </w:r>
    </w:p>
    <w:p w:rsidR="00324CD5" w:rsidRPr="006919F5" w:rsidRDefault="00324CD5" w:rsidP="00DD1589">
      <w:pPr>
        <w:widowControl/>
        <w:numPr>
          <w:ilvl w:val="1"/>
          <w:numId w:val="19"/>
        </w:numPr>
        <w:spacing w:after="120" w:line="264" w:lineRule="auto"/>
        <w:rPr>
          <w:snapToGrid/>
          <w:kern w:val="0"/>
          <w:szCs w:val="22"/>
        </w:rPr>
      </w:pPr>
      <w:r w:rsidRPr="006919F5">
        <w:rPr>
          <w:snapToGrid/>
          <w:kern w:val="0"/>
          <w:szCs w:val="22"/>
        </w:rPr>
        <w:t>A current or former, paying or non-paying, subscriber to a broadband Internet access service; or</w:t>
      </w:r>
    </w:p>
    <w:p w:rsidR="00324CD5" w:rsidRPr="006919F5" w:rsidRDefault="00324CD5" w:rsidP="00DD1589">
      <w:pPr>
        <w:widowControl/>
        <w:numPr>
          <w:ilvl w:val="1"/>
          <w:numId w:val="19"/>
        </w:numPr>
        <w:spacing w:after="120" w:line="264" w:lineRule="auto"/>
        <w:rPr>
          <w:snapToGrid/>
          <w:kern w:val="0"/>
          <w:szCs w:val="22"/>
        </w:rPr>
      </w:pPr>
      <w:r w:rsidRPr="006919F5">
        <w:rPr>
          <w:snapToGrid/>
          <w:kern w:val="0"/>
          <w:szCs w:val="22"/>
        </w:rPr>
        <w:t>An applicant for a broadband Internet access service.</w:t>
      </w:r>
    </w:p>
    <w:p w:rsidR="00324CD5" w:rsidRPr="006919F5" w:rsidRDefault="00324CD5" w:rsidP="00DD1589">
      <w:pPr>
        <w:widowControl/>
        <w:numPr>
          <w:ilvl w:val="0"/>
          <w:numId w:val="19"/>
        </w:numPr>
        <w:spacing w:after="120" w:line="264" w:lineRule="auto"/>
        <w:rPr>
          <w:snapToGrid/>
          <w:kern w:val="0"/>
          <w:szCs w:val="22"/>
        </w:rPr>
      </w:pPr>
      <w:r w:rsidRPr="006919F5">
        <w:rPr>
          <w:rFonts w:eastAsia="Georgia"/>
          <w:i/>
          <w:snapToGrid/>
          <w:kern w:val="0"/>
          <w:szCs w:val="22"/>
        </w:rPr>
        <w:t>Customer Proprietary Information</w:t>
      </w:r>
      <w:r w:rsidRPr="006919F5">
        <w:rPr>
          <w:rFonts w:eastAsia="Georgia"/>
          <w:snapToGrid/>
          <w:kern w:val="0"/>
          <w:szCs w:val="22"/>
        </w:rPr>
        <w:t xml:space="preserve">.  </w:t>
      </w:r>
      <w:r w:rsidRPr="006919F5">
        <w:rPr>
          <w:snapToGrid/>
          <w:kern w:val="0"/>
          <w:szCs w:val="22"/>
        </w:rPr>
        <w:t>The term “customer proprietary information” or “customer PI”  means:</w:t>
      </w:r>
    </w:p>
    <w:p w:rsidR="00324CD5" w:rsidRPr="006919F5" w:rsidRDefault="00324CD5" w:rsidP="00DD1589">
      <w:pPr>
        <w:widowControl/>
        <w:numPr>
          <w:ilvl w:val="1"/>
          <w:numId w:val="19"/>
        </w:numPr>
        <w:spacing w:after="120" w:line="264" w:lineRule="auto"/>
        <w:rPr>
          <w:snapToGrid/>
          <w:kern w:val="0"/>
          <w:szCs w:val="22"/>
        </w:rPr>
      </w:pPr>
      <w:r w:rsidRPr="006919F5">
        <w:rPr>
          <w:snapToGrid/>
          <w:kern w:val="0"/>
          <w:szCs w:val="22"/>
        </w:rPr>
        <w:t>Customer proprietary network information; and</w:t>
      </w:r>
    </w:p>
    <w:p w:rsidR="00324CD5" w:rsidRPr="006919F5" w:rsidRDefault="00324CD5" w:rsidP="00DD1589">
      <w:pPr>
        <w:widowControl/>
        <w:numPr>
          <w:ilvl w:val="1"/>
          <w:numId w:val="19"/>
        </w:numPr>
        <w:spacing w:after="120" w:line="264" w:lineRule="auto"/>
        <w:rPr>
          <w:snapToGrid/>
          <w:kern w:val="0"/>
          <w:szCs w:val="22"/>
        </w:rPr>
      </w:pPr>
      <w:r w:rsidRPr="006919F5">
        <w:rPr>
          <w:snapToGrid/>
          <w:kern w:val="0"/>
          <w:szCs w:val="22"/>
        </w:rPr>
        <w:t>Personally identifiable information (PII) a BIAS provider acquires in connection to its provision of BIAS.</w:t>
      </w:r>
    </w:p>
    <w:p w:rsidR="00324CD5" w:rsidRPr="006919F5" w:rsidRDefault="00324CD5" w:rsidP="00DD1589">
      <w:pPr>
        <w:widowControl/>
        <w:numPr>
          <w:ilvl w:val="0"/>
          <w:numId w:val="19"/>
        </w:numPr>
        <w:spacing w:after="120" w:line="264" w:lineRule="auto"/>
        <w:rPr>
          <w:snapToGrid/>
          <w:kern w:val="0"/>
          <w:szCs w:val="22"/>
        </w:rPr>
      </w:pPr>
      <w:r w:rsidRPr="006919F5">
        <w:rPr>
          <w:rFonts w:eastAsia="Georgia"/>
          <w:i/>
          <w:snapToGrid/>
          <w:kern w:val="0"/>
          <w:szCs w:val="22"/>
        </w:rPr>
        <w:t>Customer Proprietary Network Information</w:t>
      </w:r>
      <w:r w:rsidRPr="006919F5">
        <w:rPr>
          <w:rFonts w:eastAsia="Georgia"/>
          <w:snapToGrid/>
          <w:kern w:val="0"/>
          <w:szCs w:val="22"/>
        </w:rPr>
        <w:t xml:space="preserve">.  </w:t>
      </w:r>
      <w:r w:rsidRPr="006919F5">
        <w:rPr>
          <w:snapToGrid/>
          <w:kern w:val="0"/>
          <w:szCs w:val="22"/>
        </w:rPr>
        <w:t>The term “customer proprietary network information (CPNI)” has the same meaning given to such term in the Communications Act of 1934, as amended, 47 U.S.C. § 222(h)(1).</w:t>
      </w:r>
    </w:p>
    <w:p w:rsidR="00324CD5" w:rsidRPr="006919F5" w:rsidRDefault="00324CD5" w:rsidP="00DD1589">
      <w:pPr>
        <w:widowControl/>
        <w:numPr>
          <w:ilvl w:val="0"/>
          <w:numId w:val="19"/>
        </w:numPr>
        <w:spacing w:after="120" w:line="264" w:lineRule="auto"/>
        <w:rPr>
          <w:snapToGrid/>
          <w:kern w:val="0"/>
          <w:szCs w:val="22"/>
        </w:rPr>
      </w:pPr>
      <w:r w:rsidRPr="006919F5">
        <w:rPr>
          <w:rFonts w:eastAsia="Times New Roman,Georgia"/>
          <w:i/>
          <w:snapToGrid/>
          <w:kern w:val="0"/>
          <w:szCs w:val="22"/>
        </w:rPr>
        <w:t>Opt-in Approval</w:t>
      </w:r>
      <w:r w:rsidRPr="006919F5">
        <w:rPr>
          <w:rFonts w:eastAsia="Times New Roman,Georgia"/>
          <w:snapToGrid/>
          <w:kern w:val="0"/>
          <w:szCs w:val="22"/>
        </w:rPr>
        <w:t xml:space="preserve">.  </w:t>
      </w:r>
      <w:r w:rsidRPr="006919F5">
        <w:rPr>
          <w:snapToGrid/>
          <w:kern w:val="0"/>
          <w:szCs w:val="22"/>
          <w:lang w:val="en"/>
        </w:rPr>
        <w:t>The term “opt-in approval” means a method for obtaining customer consent to use, disclose, or permit access to the customer’s proprietary information that requires that the BIAS provider obtain affirmative, express consent from the customer allowing the requested usage, disclosure, or access to the customer PI, consistent with the requirements set forth in section 64.7002 of this subpart.</w:t>
      </w:r>
    </w:p>
    <w:p w:rsidR="00324CD5" w:rsidRPr="006919F5" w:rsidRDefault="00324CD5" w:rsidP="00DD1589">
      <w:pPr>
        <w:widowControl/>
        <w:numPr>
          <w:ilvl w:val="0"/>
          <w:numId w:val="19"/>
        </w:numPr>
        <w:spacing w:after="120" w:line="264" w:lineRule="auto"/>
        <w:rPr>
          <w:snapToGrid/>
          <w:kern w:val="0"/>
          <w:szCs w:val="22"/>
        </w:rPr>
      </w:pPr>
      <w:r w:rsidRPr="006919F5">
        <w:rPr>
          <w:rFonts w:eastAsia="Times New Roman,Georgia"/>
          <w:i/>
          <w:snapToGrid/>
          <w:kern w:val="0"/>
          <w:szCs w:val="22"/>
        </w:rPr>
        <w:t>Opt-out Approval</w:t>
      </w:r>
      <w:r w:rsidRPr="006919F5">
        <w:rPr>
          <w:rFonts w:eastAsia="Times New Roman,Georgia"/>
          <w:snapToGrid/>
          <w:kern w:val="0"/>
          <w:szCs w:val="22"/>
        </w:rPr>
        <w:t>.  The term “opt-out approval” means a method for obtaining customer consent to use, disclose, or permit access to the customer’s proprietary information under which a customer is deemed to have consented to the use, disclosure, or access to the customer’s covered information if the customer has failed to object thereto after the BIAS provider’s request for consent consistent with the requirements set forth in section 64.7002 of this subpart.</w:t>
      </w:r>
    </w:p>
    <w:p w:rsidR="00324CD5" w:rsidRPr="006919F5" w:rsidRDefault="00324CD5" w:rsidP="00DD1589">
      <w:pPr>
        <w:widowControl/>
        <w:numPr>
          <w:ilvl w:val="0"/>
          <w:numId w:val="19"/>
        </w:numPr>
        <w:spacing w:after="120" w:line="264" w:lineRule="auto"/>
        <w:rPr>
          <w:snapToGrid/>
          <w:kern w:val="0"/>
          <w:szCs w:val="22"/>
        </w:rPr>
      </w:pPr>
      <w:r w:rsidRPr="006919F5">
        <w:rPr>
          <w:rFonts w:eastAsia="Times New Roman,Georgia"/>
          <w:i/>
          <w:snapToGrid/>
          <w:kern w:val="0"/>
          <w:szCs w:val="22"/>
        </w:rPr>
        <w:t>Personally Identifiable Information</w:t>
      </w:r>
      <w:r w:rsidRPr="006919F5">
        <w:rPr>
          <w:rFonts w:eastAsia="Times New Roman,Georgia"/>
          <w:snapToGrid/>
          <w:kern w:val="0"/>
          <w:szCs w:val="22"/>
        </w:rPr>
        <w:t>.  The term “personally identifiable information” or “PII” means any information that is linked or linkable to an individual.</w:t>
      </w:r>
    </w:p>
    <w:p w:rsidR="00324CD5" w:rsidRPr="006919F5" w:rsidRDefault="00324CD5" w:rsidP="00324CD5">
      <w:pPr>
        <w:widowControl/>
        <w:spacing w:after="120" w:line="264" w:lineRule="auto"/>
        <w:ind w:left="360"/>
        <w:rPr>
          <w:snapToGrid/>
          <w:kern w:val="0"/>
          <w:szCs w:val="22"/>
        </w:rPr>
      </w:pPr>
    </w:p>
    <w:p w:rsidR="00324CD5" w:rsidRPr="006919F5" w:rsidRDefault="00324CD5" w:rsidP="00324CD5">
      <w:pPr>
        <w:widowControl/>
        <w:spacing w:after="120" w:line="264" w:lineRule="auto"/>
        <w:rPr>
          <w:snapToGrid/>
          <w:kern w:val="0"/>
          <w:szCs w:val="22"/>
          <w:shd w:val="clear" w:color="auto" w:fill="FFFFFF"/>
        </w:rPr>
      </w:pPr>
      <w:r w:rsidRPr="006919F5">
        <w:rPr>
          <w:b/>
          <w:snapToGrid/>
          <w:kern w:val="0"/>
          <w:szCs w:val="22"/>
          <w:shd w:val="clear" w:color="auto" w:fill="FFFFFF"/>
        </w:rPr>
        <w:t>§ 64.7001 Notice Requirements for Providers of Broadband Internet Access Services</w:t>
      </w:r>
      <w:r w:rsidRPr="006919F5">
        <w:rPr>
          <w:snapToGrid/>
          <w:kern w:val="0"/>
          <w:szCs w:val="22"/>
          <w:shd w:val="clear" w:color="auto" w:fill="FFFFFF"/>
        </w:rPr>
        <w:t>.</w:t>
      </w:r>
    </w:p>
    <w:p w:rsidR="00324CD5" w:rsidRPr="006919F5" w:rsidRDefault="00324CD5" w:rsidP="00DD1589">
      <w:pPr>
        <w:widowControl/>
        <w:numPr>
          <w:ilvl w:val="0"/>
          <w:numId w:val="20"/>
        </w:numPr>
        <w:spacing w:after="120" w:line="264" w:lineRule="auto"/>
        <w:rPr>
          <w:snapToGrid/>
          <w:kern w:val="0"/>
          <w:szCs w:val="22"/>
        </w:rPr>
      </w:pPr>
      <w:r w:rsidRPr="006919F5">
        <w:rPr>
          <w:rFonts w:eastAsia="Georgia"/>
          <w:i/>
          <w:snapToGrid/>
          <w:kern w:val="0"/>
          <w:szCs w:val="22"/>
        </w:rPr>
        <w:t>Providing notice of privacy policies.</w:t>
      </w:r>
      <w:r w:rsidRPr="006919F5">
        <w:rPr>
          <w:rFonts w:eastAsia="Georgia"/>
          <w:b/>
          <w:i/>
          <w:snapToGrid/>
          <w:kern w:val="0"/>
          <w:szCs w:val="22"/>
        </w:rPr>
        <w:t xml:space="preserve"> </w:t>
      </w:r>
      <w:r w:rsidRPr="006919F5">
        <w:rPr>
          <w:rFonts w:eastAsia="Georgia"/>
          <w:snapToGrid/>
          <w:kern w:val="0"/>
          <w:szCs w:val="22"/>
        </w:rPr>
        <w:t xml:space="preserve"> A BIAS provider must clearly and conspicuously notify its customers of its privacy policies</w:t>
      </w:r>
      <w:r w:rsidRPr="006919F5">
        <w:rPr>
          <w:snapToGrid/>
          <w:kern w:val="0"/>
          <w:szCs w:val="22"/>
          <w:lang w:val="en"/>
        </w:rPr>
        <w:t>.  The notice must:</w:t>
      </w:r>
    </w:p>
    <w:p w:rsidR="00324CD5" w:rsidRPr="006919F5" w:rsidRDefault="00324CD5" w:rsidP="00DD1589">
      <w:pPr>
        <w:widowControl/>
        <w:numPr>
          <w:ilvl w:val="1"/>
          <w:numId w:val="20"/>
        </w:numPr>
        <w:spacing w:after="120" w:line="264" w:lineRule="auto"/>
        <w:rPr>
          <w:snapToGrid/>
          <w:kern w:val="0"/>
          <w:szCs w:val="22"/>
        </w:rPr>
      </w:pPr>
      <w:r w:rsidRPr="006919F5">
        <w:rPr>
          <w:rFonts w:eastAsia="Georgia"/>
          <w:snapToGrid/>
          <w:kern w:val="0"/>
          <w:szCs w:val="22"/>
        </w:rPr>
        <w:t>Specify and describe:</w:t>
      </w:r>
    </w:p>
    <w:p w:rsidR="00324CD5" w:rsidRPr="006919F5" w:rsidRDefault="00324CD5" w:rsidP="00DD1589">
      <w:pPr>
        <w:widowControl/>
        <w:numPr>
          <w:ilvl w:val="2"/>
          <w:numId w:val="20"/>
        </w:numPr>
        <w:spacing w:after="120" w:line="264" w:lineRule="auto"/>
        <w:rPr>
          <w:snapToGrid/>
          <w:kern w:val="0"/>
          <w:szCs w:val="22"/>
        </w:rPr>
      </w:pPr>
      <w:r w:rsidRPr="006919F5">
        <w:rPr>
          <w:rFonts w:eastAsia="Georgia"/>
          <w:snapToGrid/>
          <w:kern w:val="0"/>
          <w:szCs w:val="22"/>
        </w:rPr>
        <w:t xml:space="preserve">The types </w:t>
      </w:r>
      <w:r w:rsidRPr="006919F5">
        <w:rPr>
          <w:snapToGrid/>
          <w:kern w:val="0"/>
          <w:szCs w:val="22"/>
        </w:rPr>
        <w:t>of customer PI that the BIAS provider collects by virtue of its provision of broadband service;</w:t>
      </w:r>
    </w:p>
    <w:p w:rsidR="00324CD5" w:rsidRPr="006919F5" w:rsidRDefault="00324CD5" w:rsidP="00DD1589">
      <w:pPr>
        <w:widowControl/>
        <w:numPr>
          <w:ilvl w:val="2"/>
          <w:numId w:val="20"/>
        </w:numPr>
        <w:spacing w:after="120" w:line="264" w:lineRule="auto"/>
        <w:rPr>
          <w:snapToGrid/>
          <w:kern w:val="0"/>
          <w:szCs w:val="22"/>
        </w:rPr>
      </w:pPr>
      <w:r w:rsidRPr="006919F5">
        <w:rPr>
          <w:snapToGrid/>
          <w:kern w:val="0"/>
          <w:szCs w:val="22"/>
        </w:rPr>
        <w:t>How the BIAS provider uses, and under what circumstances it discloses, each type of customer PI that it collects; and</w:t>
      </w:r>
    </w:p>
    <w:p w:rsidR="00324CD5" w:rsidRPr="006919F5" w:rsidRDefault="00324CD5" w:rsidP="00DD1589">
      <w:pPr>
        <w:widowControl/>
        <w:numPr>
          <w:ilvl w:val="2"/>
          <w:numId w:val="20"/>
        </w:numPr>
        <w:spacing w:after="120" w:line="264" w:lineRule="auto"/>
        <w:rPr>
          <w:snapToGrid/>
          <w:kern w:val="0"/>
          <w:szCs w:val="22"/>
        </w:rPr>
      </w:pPr>
      <w:r w:rsidRPr="006919F5">
        <w:rPr>
          <w:snapToGrid/>
          <w:kern w:val="0"/>
          <w:szCs w:val="22"/>
        </w:rPr>
        <w:t xml:space="preserve">The categories of entities that will receive the customer PI from the BIAS provider and the purposes for which the customer PI will be used by each category of entities. </w:t>
      </w:r>
    </w:p>
    <w:p w:rsidR="00324CD5" w:rsidRPr="006919F5" w:rsidRDefault="00324CD5" w:rsidP="00DD1589">
      <w:pPr>
        <w:widowControl/>
        <w:numPr>
          <w:ilvl w:val="1"/>
          <w:numId w:val="20"/>
        </w:numPr>
        <w:spacing w:after="120" w:line="264" w:lineRule="auto"/>
        <w:rPr>
          <w:snapToGrid/>
          <w:kern w:val="0"/>
          <w:szCs w:val="22"/>
        </w:rPr>
      </w:pPr>
      <w:r w:rsidRPr="006919F5">
        <w:rPr>
          <w:snapToGrid/>
          <w:kern w:val="0"/>
          <w:szCs w:val="22"/>
        </w:rPr>
        <w:t>Advise customers of their opt-in and opt-out rights with respect to their own proprietary information, and provide access to a simple, easy-to-access method for customers to provide or withdraw consent to use, disclose, or provide access to customer PI for purposes other than the provision of BIAS.  Such method shall be persistently available and made available at no additional cost to the customer.</w:t>
      </w:r>
    </w:p>
    <w:p w:rsidR="00324CD5" w:rsidRPr="006919F5" w:rsidRDefault="00324CD5" w:rsidP="00DD1589">
      <w:pPr>
        <w:widowControl/>
        <w:numPr>
          <w:ilvl w:val="1"/>
          <w:numId w:val="20"/>
        </w:numPr>
        <w:spacing w:after="120" w:line="264" w:lineRule="auto"/>
        <w:rPr>
          <w:snapToGrid/>
          <w:kern w:val="0"/>
          <w:szCs w:val="22"/>
        </w:rPr>
      </w:pPr>
      <w:r w:rsidRPr="006919F5">
        <w:rPr>
          <w:snapToGrid/>
          <w:kern w:val="0"/>
          <w:szCs w:val="22"/>
        </w:rPr>
        <w:t>Explain that a denial of approval to use, disclose, or permit access to customer PI for purposes other than providing BIAS will not affect the provision of any services to which the customer subscribes.  However, the provider may provide a brief description, in clear and neutral language, describing any consequences directly resulting from the lack of access to the customer PI.</w:t>
      </w:r>
    </w:p>
    <w:p w:rsidR="00324CD5" w:rsidRPr="006919F5" w:rsidRDefault="00324CD5" w:rsidP="00DD1589">
      <w:pPr>
        <w:widowControl/>
        <w:numPr>
          <w:ilvl w:val="1"/>
          <w:numId w:val="20"/>
        </w:numPr>
        <w:spacing w:after="120" w:line="264" w:lineRule="auto"/>
        <w:rPr>
          <w:snapToGrid/>
          <w:kern w:val="0"/>
          <w:szCs w:val="22"/>
        </w:rPr>
      </w:pPr>
      <w:r w:rsidRPr="006919F5">
        <w:rPr>
          <w:snapToGrid/>
          <w:kern w:val="0"/>
          <w:szCs w:val="22"/>
        </w:rPr>
        <w:t>Explain that any approval, denial, or withdrawal of approval for the use of the customer PI for any purposes other than providing BIAS is valid until the customer affirmatively revokes such approval or denial, and inform the customer of his or her right to deny or withdraw access to such PI at any time.  However, the notice must also explain that the provider may be compelled to disclose a customer’s PI when such disclosure is provided for by other laws.</w:t>
      </w:r>
    </w:p>
    <w:p w:rsidR="00324CD5" w:rsidRPr="006919F5" w:rsidRDefault="00324CD5" w:rsidP="00DD1589">
      <w:pPr>
        <w:widowControl/>
        <w:numPr>
          <w:ilvl w:val="1"/>
          <w:numId w:val="20"/>
        </w:numPr>
        <w:spacing w:after="120" w:line="264" w:lineRule="auto"/>
        <w:rPr>
          <w:snapToGrid/>
          <w:kern w:val="0"/>
          <w:szCs w:val="22"/>
        </w:rPr>
      </w:pPr>
      <w:r w:rsidRPr="006919F5">
        <w:rPr>
          <w:snapToGrid/>
          <w:kern w:val="0"/>
          <w:szCs w:val="22"/>
          <w:lang w:val="en"/>
        </w:rPr>
        <w:t>Be comprehensible and not misleading.</w:t>
      </w:r>
    </w:p>
    <w:p w:rsidR="00324CD5" w:rsidRPr="006919F5" w:rsidRDefault="00324CD5" w:rsidP="00DD1589">
      <w:pPr>
        <w:widowControl/>
        <w:numPr>
          <w:ilvl w:val="1"/>
          <w:numId w:val="20"/>
        </w:numPr>
        <w:spacing w:after="120" w:line="264" w:lineRule="auto"/>
        <w:rPr>
          <w:snapToGrid/>
          <w:kern w:val="0"/>
          <w:szCs w:val="22"/>
        </w:rPr>
      </w:pPr>
      <w:r w:rsidRPr="006919F5">
        <w:rPr>
          <w:snapToGrid/>
          <w:kern w:val="0"/>
          <w:szCs w:val="22"/>
        </w:rPr>
        <w:t>Be clearly legible, use sufficiently large type, and be displayed in an area so as to be readily apparent to the customer; and</w:t>
      </w:r>
    </w:p>
    <w:p w:rsidR="00324CD5" w:rsidRPr="006919F5" w:rsidRDefault="00324CD5" w:rsidP="00DD1589">
      <w:pPr>
        <w:widowControl/>
        <w:numPr>
          <w:ilvl w:val="1"/>
          <w:numId w:val="20"/>
        </w:numPr>
        <w:spacing w:after="120" w:line="264" w:lineRule="auto"/>
        <w:rPr>
          <w:snapToGrid/>
          <w:kern w:val="0"/>
          <w:szCs w:val="22"/>
        </w:rPr>
      </w:pPr>
      <w:r w:rsidRPr="006919F5">
        <w:rPr>
          <w:snapToGrid/>
          <w:kern w:val="0"/>
          <w:szCs w:val="22"/>
        </w:rPr>
        <w:t>Be completely translated into another language if any portion of the notice is translated into that language.</w:t>
      </w:r>
    </w:p>
    <w:p w:rsidR="00324CD5" w:rsidRPr="006919F5" w:rsidRDefault="00324CD5" w:rsidP="00DD1589">
      <w:pPr>
        <w:widowControl/>
        <w:numPr>
          <w:ilvl w:val="0"/>
          <w:numId w:val="20"/>
        </w:numPr>
        <w:spacing w:after="120" w:line="264" w:lineRule="auto"/>
        <w:rPr>
          <w:snapToGrid/>
          <w:kern w:val="0"/>
          <w:szCs w:val="22"/>
        </w:rPr>
      </w:pPr>
      <w:r w:rsidRPr="006919F5">
        <w:rPr>
          <w:i/>
          <w:snapToGrid/>
          <w:kern w:val="0"/>
          <w:szCs w:val="22"/>
        </w:rPr>
        <w:t>Timing.</w:t>
      </w:r>
      <w:r w:rsidRPr="006919F5">
        <w:rPr>
          <w:snapToGrid/>
          <w:kern w:val="0"/>
          <w:szCs w:val="22"/>
        </w:rPr>
        <w:t xml:space="preserve">  Notice required under subsection (a) must:</w:t>
      </w:r>
    </w:p>
    <w:p w:rsidR="00324CD5" w:rsidRPr="006919F5" w:rsidRDefault="00324CD5" w:rsidP="00DD1589">
      <w:pPr>
        <w:widowControl/>
        <w:numPr>
          <w:ilvl w:val="1"/>
          <w:numId w:val="20"/>
        </w:numPr>
        <w:spacing w:after="120" w:line="264" w:lineRule="auto"/>
        <w:rPr>
          <w:snapToGrid/>
          <w:kern w:val="0"/>
          <w:szCs w:val="22"/>
        </w:rPr>
      </w:pPr>
      <w:r w:rsidRPr="006919F5">
        <w:rPr>
          <w:snapToGrid/>
          <w:kern w:val="0"/>
          <w:szCs w:val="22"/>
        </w:rPr>
        <w:t xml:space="preserve">Be made available to prospective customers at the point of sale, prior to the purchase of BIAS, whether such purchase is being made in person, online, over the telephone, or via some other means; </w:t>
      </w:r>
      <w:r>
        <w:rPr>
          <w:snapToGrid/>
          <w:kern w:val="0"/>
          <w:szCs w:val="22"/>
        </w:rPr>
        <w:t>and</w:t>
      </w:r>
    </w:p>
    <w:p w:rsidR="00324CD5" w:rsidRPr="006919F5" w:rsidRDefault="00324CD5" w:rsidP="00DD1589">
      <w:pPr>
        <w:widowControl/>
        <w:numPr>
          <w:ilvl w:val="1"/>
          <w:numId w:val="20"/>
        </w:numPr>
        <w:spacing w:after="120" w:line="264" w:lineRule="auto"/>
        <w:rPr>
          <w:snapToGrid/>
          <w:kern w:val="0"/>
          <w:szCs w:val="22"/>
        </w:rPr>
      </w:pPr>
      <w:r w:rsidRPr="006919F5">
        <w:rPr>
          <w:rFonts w:eastAsia="Georgia"/>
          <w:snapToGrid/>
          <w:kern w:val="0"/>
          <w:szCs w:val="22"/>
        </w:rPr>
        <w:t>Be made persistently available via a link on the BIAS provider’s homepage, through the BIAS provider’s mobile application, and through any functional equivalent to the provider’s homepage or mobile application</w:t>
      </w:r>
      <w:r>
        <w:rPr>
          <w:rFonts w:eastAsia="Georgia"/>
          <w:snapToGrid/>
          <w:kern w:val="0"/>
          <w:szCs w:val="22"/>
        </w:rPr>
        <w:t>.</w:t>
      </w:r>
    </w:p>
    <w:p w:rsidR="00324CD5" w:rsidRPr="006919F5" w:rsidRDefault="00324CD5" w:rsidP="00DD1589">
      <w:pPr>
        <w:widowControl/>
        <w:numPr>
          <w:ilvl w:val="0"/>
          <w:numId w:val="20"/>
        </w:numPr>
        <w:spacing w:after="120" w:line="264" w:lineRule="auto"/>
        <w:rPr>
          <w:snapToGrid/>
          <w:kern w:val="0"/>
          <w:szCs w:val="22"/>
        </w:rPr>
      </w:pPr>
      <w:r w:rsidRPr="006919F5">
        <w:rPr>
          <w:i/>
          <w:snapToGrid/>
          <w:kern w:val="0"/>
          <w:szCs w:val="22"/>
        </w:rPr>
        <w:t>Material changes in a BIAS provider’s privacy policies.</w:t>
      </w:r>
      <w:r w:rsidRPr="006919F5">
        <w:rPr>
          <w:snapToGrid/>
          <w:kern w:val="0"/>
          <w:szCs w:val="22"/>
        </w:rPr>
        <w:t xml:space="preserve">  A BIAS provider must provide existing customers with advanced notice of material changes to the BIAS provider’s privacy policies.  Such notice must:</w:t>
      </w:r>
    </w:p>
    <w:p w:rsidR="00324CD5" w:rsidRDefault="00324CD5" w:rsidP="00DD1589">
      <w:pPr>
        <w:widowControl/>
        <w:numPr>
          <w:ilvl w:val="1"/>
          <w:numId w:val="20"/>
        </w:numPr>
        <w:spacing w:after="120" w:line="264" w:lineRule="auto"/>
        <w:rPr>
          <w:snapToGrid/>
          <w:kern w:val="0"/>
          <w:szCs w:val="22"/>
        </w:rPr>
      </w:pPr>
      <w:r w:rsidRPr="006919F5">
        <w:rPr>
          <w:snapToGrid/>
          <w:kern w:val="0"/>
          <w:szCs w:val="22"/>
        </w:rPr>
        <w:t>Be clearly and conspicuously provided through each of the following means:</w:t>
      </w:r>
    </w:p>
    <w:p w:rsidR="00324CD5" w:rsidRPr="006919F5" w:rsidRDefault="00324CD5" w:rsidP="00DD1589">
      <w:pPr>
        <w:widowControl/>
        <w:numPr>
          <w:ilvl w:val="2"/>
          <w:numId w:val="20"/>
        </w:numPr>
        <w:spacing w:after="120" w:line="264" w:lineRule="auto"/>
        <w:rPr>
          <w:snapToGrid/>
          <w:kern w:val="0"/>
          <w:szCs w:val="22"/>
        </w:rPr>
      </w:pPr>
      <w:r w:rsidRPr="006919F5">
        <w:rPr>
          <w:snapToGrid/>
          <w:kern w:val="0"/>
          <w:szCs w:val="22"/>
        </w:rPr>
        <w:t>Email or another electronic means of communication agreed upon by the customer and BIAS provider;</w:t>
      </w:r>
    </w:p>
    <w:p w:rsidR="00324CD5" w:rsidRPr="006919F5" w:rsidRDefault="00324CD5" w:rsidP="00DD1589">
      <w:pPr>
        <w:widowControl/>
        <w:numPr>
          <w:ilvl w:val="2"/>
          <w:numId w:val="20"/>
        </w:numPr>
        <w:spacing w:after="120" w:line="264" w:lineRule="auto"/>
        <w:rPr>
          <w:snapToGrid/>
          <w:kern w:val="0"/>
          <w:szCs w:val="22"/>
        </w:rPr>
      </w:pPr>
      <w:r w:rsidRPr="006919F5">
        <w:rPr>
          <w:snapToGrid/>
          <w:kern w:val="0"/>
          <w:szCs w:val="22"/>
        </w:rPr>
        <w:t>On customers’ bills for BIAS; and</w:t>
      </w:r>
    </w:p>
    <w:p w:rsidR="00324CD5" w:rsidRPr="006919F5" w:rsidRDefault="00324CD5" w:rsidP="00DD1589">
      <w:pPr>
        <w:widowControl/>
        <w:numPr>
          <w:ilvl w:val="2"/>
          <w:numId w:val="20"/>
        </w:numPr>
        <w:spacing w:after="120" w:line="264" w:lineRule="auto"/>
        <w:rPr>
          <w:snapToGrid/>
          <w:kern w:val="0"/>
          <w:szCs w:val="22"/>
        </w:rPr>
      </w:pPr>
      <w:r w:rsidRPr="006919F5">
        <w:rPr>
          <w:snapToGrid/>
          <w:kern w:val="0"/>
          <w:szCs w:val="22"/>
        </w:rPr>
        <w:t>Via a link on the BIAS provider’s homepage, mobile application, and any functional equivalent.</w:t>
      </w:r>
    </w:p>
    <w:p w:rsidR="00324CD5" w:rsidRPr="006919F5" w:rsidRDefault="00324CD5" w:rsidP="00DD1589">
      <w:pPr>
        <w:widowControl/>
        <w:numPr>
          <w:ilvl w:val="1"/>
          <w:numId w:val="20"/>
        </w:numPr>
        <w:spacing w:after="120" w:line="264" w:lineRule="auto"/>
        <w:rPr>
          <w:snapToGrid/>
          <w:kern w:val="0"/>
          <w:szCs w:val="22"/>
        </w:rPr>
      </w:pPr>
      <w:r w:rsidRPr="006919F5">
        <w:rPr>
          <w:rFonts w:eastAsia="Georgia"/>
          <w:snapToGrid/>
          <w:kern w:val="0"/>
          <w:szCs w:val="22"/>
        </w:rPr>
        <w:t>Provide a clear, conspicuous, and comprehensible explanation of:</w:t>
      </w:r>
    </w:p>
    <w:p w:rsidR="00324CD5" w:rsidRPr="006919F5" w:rsidRDefault="00324CD5" w:rsidP="00DD1589">
      <w:pPr>
        <w:widowControl/>
        <w:numPr>
          <w:ilvl w:val="2"/>
          <w:numId w:val="20"/>
        </w:numPr>
        <w:spacing w:after="120" w:line="264" w:lineRule="auto"/>
        <w:rPr>
          <w:snapToGrid/>
          <w:kern w:val="0"/>
          <w:szCs w:val="22"/>
        </w:rPr>
      </w:pPr>
      <w:r w:rsidRPr="006919F5">
        <w:rPr>
          <w:snapToGrid/>
          <w:kern w:val="0"/>
          <w:szCs w:val="22"/>
        </w:rPr>
        <w:t>The changes made to the BIAS provider’s privacy policies, including any changes to what customer PI the BIAS provider collects, and how it uses, discloses, or permits access to such information;</w:t>
      </w:r>
    </w:p>
    <w:p w:rsidR="00324CD5" w:rsidRPr="006919F5" w:rsidRDefault="00324CD5" w:rsidP="00DD1589">
      <w:pPr>
        <w:widowControl/>
        <w:numPr>
          <w:ilvl w:val="2"/>
          <w:numId w:val="20"/>
        </w:numPr>
        <w:spacing w:after="120" w:line="264" w:lineRule="auto"/>
        <w:rPr>
          <w:snapToGrid/>
          <w:kern w:val="0"/>
          <w:szCs w:val="22"/>
        </w:rPr>
      </w:pPr>
      <w:r w:rsidRPr="006919F5">
        <w:rPr>
          <w:snapToGrid/>
          <w:kern w:val="0"/>
          <w:szCs w:val="22"/>
        </w:rPr>
        <w:t>The extent to which the customer has a right to disapprove such uses, disclosures, or access to such information and to deny or withdraw access to the customer PI at any time; and</w:t>
      </w:r>
    </w:p>
    <w:p w:rsidR="00324CD5" w:rsidRPr="006919F5" w:rsidRDefault="00CF0243" w:rsidP="00DD1589">
      <w:pPr>
        <w:widowControl/>
        <w:numPr>
          <w:ilvl w:val="2"/>
          <w:numId w:val="20"/>
        </w:numPr>
        <w:spacing w:after="120" w:line="264" w:lineRule="auto"/>
        <w:rPr>
          <w:snapToGrid/>
          <w:kern w:val="0"/>
          <w:szCs w:val="22"/>
        </w:rPr>
      </w:pPr>
      <w:r>
        <w:rPr>
          <w:snapToGrid/>
          <w:kern w:val="0"/>
          <w:szCs w:val="22"/>
        </w:rPr>
        <w:t xml:space="preserve"> </w:t>
      </w:r>
      <w:r w:rsidR="00324CD5" w:rsidRPr="006919F5">
        <w:rPr>
          <w:snapToGrid/>
          <w:kern w:val="0"/>
          <w:szCs w:val="22"/>
        </w:rPr>
        <w:t xml:space="preserve">The precise steps the customer must take in order to grant or deny access to the customer PI.  The notice must clearly explain that a denial of approval will not affect the provision of any services to which the customer subscribes.  However, the provider may provide a brief statement, in clear and neutral language, describing consequences directly resulting from the lack of access to the customer PI.  </w:t>
      </w:r>
      <w:r w:rsidR="00324CD5" w:rsidRPr="006919F5">
        <w:rPr>
          <w:snapToGrid/>
          <w:kern w:val="0"/>
          <w:szCs w:val="22"/>
          <w:lang w:val="en"/>
        </w:rPr>
        <w:t>If accurate, a provider may also explain in the notice that the customer’s approval to use the customer’s PI may enhance the provider’s ability to offer products and se</w:t>
      </w:r>
      <w:r>
        <w:rPr>
          <w:snapToGrid/>
          <w:kern w:val="0"/>
          <w:szCs w:val="22"/>
          <w:lang w:val="en"/>
        </w:rPr>
        <w:t>rvices tailored to the customer’</w:t>
      </w:r>
      <w:r w:rsidR="00324CD5" w:rsidRPr="006919F5">
        <w:rPr>
          <w:snapToGrid/>
          <w:kern w:val="0"/>
          <w:szCs w:val="22"/>
          <w:lang w:val="en"/>
        </w:rPr>
        <w:t>s needs.</w:t>
      </w:r>
    </w:p>
    <w:p w:rsidR="00324CD5" w:rsidRPr="006919F5" w:rsidRDefault="00324CD5" w:rsidP="00DD1589">
      <w:pPr>
        <w:widowControl/>
        <w:numPr>
          <w:ilvl w:val="1"/>
          <w:numId w:val="20"/>
        </w:numPr>
        <w:spacing w:after="120" w:line="264" w:lineRule="auto"/>
        <w:rPr>
          <w:snapToGrid/>
          <w:kern w:val="0"/>
          <w:szCs w:val="22"/>
        </w:rPr>
      </w:pPr>
      <w:r w:rsidRPr="006919F5">
        <w:rPr>
          <w:snapToGrid/>
          <w:kern w:val="0"/>
          <w:szCs w:val="22"/>
        </w:rPr>
        <w:t>Explain that any approval or denial of approval for the use of customer PI for purposes other than providing BIAS is valid until the customer affirmatively revokes such approval or denial.</w:t>
      </w:r>
    </w:p>
    <w:p w:rsidR="00324CD5" w:rsidRPr="006919F5" w:rsidRDefault="00324CD5" w:rsidP="00DD1589">
      <w:pPr>
        <w:widowControl/>
        <w:numPr>
          <w:ilvl w:val="1"/>
          <w:numId w:val="20"/>
        </w:numPr>
        <w:spacing w:after="120" w:line="264" w:lineRule="auto"/>
        <w:rPr>
          <w:snapToGrid/>
          <w:kern w:val="0"/>
          <w:szCs w:val="22"/>
        </w:rPr>
      </w:pPr>
      <w:r w:rsidRPr="006919F5">
        <w:rPr>
          <w:snapToGrid/>
          <w:kern w:val="0"/>
          <w:szCs w:val="22"/>
        </w:rPr>
        <w:t>Be comprehensible and not misleading.</w:t>
      </w:r>
    </w:p>
    <w:p w:rsidR="00324CD5" w:rsidRPr="006919F5" w:rsidRDefault="00324CD5" w:rsidP="00DD1589">
      <w:pPr>
        <w:widowControl/>
        <w:numPr>
          <w:ilvl w:val="1"/>
          <w:numId w:val="20"/>
        </w:numPr>
        <w:spacing w:after="120" w:line="264" w:lineRule="auto"/>
        <w:rPr>
          <w:snapToGrid/>
          <w:kern w:val="0"/>
          <w:szCs w:val="22"/>
        </w:rPr>
      </w:pPr>
      <w:r w:rsidRPr="006919F5">
        <w:rPr>
          <w:snapToGrid/>
          <w:kern w:val="0"/>
          <w:szCs w:val="22"/>
        </w:rPr>
        <w:t>Be clearly legible, use sufficiently large type, and be placed in an area so as to be readily apparent to customers.</w:t>
      </w:r>
    </w:p>
    <w:p w:rsidR="00324CD5" w:rsidRPr="006919F5" w:rsidRDefault="00324CD5" w:rsidP="00DD1589">
      <w:pPr>
        <w:widowControl/>
        <w:numPr>
          <w:ilvl w:val="1"/>
          <w:numId w:val="20"/>
        </w:numPr>
        <w:spacing w:after="120" w:line="264" w:lineRule="auto"/>
        <w:rPr>
          <w:snapToGrid/>
          <w:kern w:val="0"/>
          <w:szCs w:val="22"/>
        </w:rPr>
      </w:pPr>
      <w:r w:rsidRPr="006919F5">
        <w:rPr>
          <w:snapToGrid/>
          <w:kern w:val="0"/>
          <w:szCs w:val="22"/>
        </w:rPr>
        <w:t>Have all portions of the notice translated into another language if any portion of a notice is translated into that language.</w:t>
      </w:r>
    </w:p>
    <w:p w:rsidR="00324CD5" w:rsidRPr="006919F5" w:rsidRDefault="00324CD5" w:rsidP="00324CD5">
      <w:pPr>
        <w:widowControl/>
        <w:spacing w:after="120" w:line="264" w:lineRule="auto"/>
        <w:rPr>
          <w:b/>
          <w:snapToGrid/>
          <w:kern w:val="0"/>
          <w:szCs w:val="22"/>
          <w:shd w:val="clear" w:color="auto" w:fill="FFFFFF"/>
        </w:rPr>
      </w:pPr>
    </w:p>
    <w:p w:rsidR="00324CD5" w:rsidRPr="006919F5" w:rsidRDefault="00324CD5" w:rsidP="00324CD5">
      <w:pPr>
        <w:widowControl/>
        <w:spacing w:after="120" w:line="264" w:lineRule="auto"/>
        <w:rPr>
          <w:b/>
          <w:snapToGrid/>
          <w:kern w:val="0"/>
          <w:szCs w:val="22"/>
          <w:shd w:val="clear" w:color="auto" w:fill="FFFFFF"/>
        </w:rPr>
      </w:pPr>
      <w:r w:rsidRPr="006919F5">
        <w:rPr>
          <w:b/>
          <w:snapToGrid/>
          <w:kern w:val="0"/>
          <w:szCs w:val="22"/>
          <w:shd w:val="clear" w:color="auto" w:fill="FFFFFF"/>
        </w:rPr>
        <w:t>§ 64.7002 Customer Approval Requirements.</w:t>
      </w:r>
    </w:p>
    <w:p w:rsidR="00324CD5" w:rsidRPr="006919F5" w:rsidRDefault="00324CD5" w:rsidP="00324CD5">
      <w:pPr>
        <w:widowControl/>
        <w:spacing w:after="220"/>
        <w:rPr>
          <w:rFonts w:eastAsia="Georgia"/>
          <w:snapToGrid/>
          <w:kern w:val="0"/>
          <w:szCs w:val="22"/>
        </w:rPr>
      </w:pPr>
      <w:r w:rsidRPr="006919F5">
        <w:rPr>
          <w:rFonts w:eastAsia="Georgia"/>
          <w:snapToGrid/>
          <w:kern w:val="0"/>
          <w:szCs w:val="22"/>
        </w:rPr>
        <w:t>Except as described in subsection (a), a BIAS provider may not use, disclose, or provide access to customer PI except with the approval of a customer</w:t>
      </w:r>
      <w:r w:rsidRPr="006919F5">
        <w:rPr>
          <w:snapToGrid/>
          <w:kern w:val="0"/>
          <w:szCs w:val="22"/>
          <w:lang w:val="en"/>
        </w:rPr>
        <w:t>.</w:t>
      </w:r>
    </w:p>
    <w:p w:rsidR="00324CD5" w:rsidRPr="006919F5" w:rsidRDefault="00324CD5" w:rsidP="00DD1589">
      <w:pPr>
        <w:widowControl/>
        <w:numPr>
          <w:ilvl w:val="0"/>
          <w:numId w:val="21"/>
        </w:numPr>
        <w:spacing w:after="120" w:line="264" w:lineRule="auto"/>
        <w:rPr>
          <w:snapToGrid/>
          <w:kern w:val="0"/>
          <w:szCs w:val="22"/>
        </w:rPr>
      </w:pPr>
      <w:r w:rsidRPr="006919F5">
        <w:rPr>
          <w:rFonts w:eastAsia="Georgia"/>
          <w:i/>
          <w:snapToGrid/>
          <w:kern w:val="0"/>
          <w:szCs w:val="22"/>
        </w:rPr>
        <w:t xml:space="preserve">Approval </w:t>
      </w:r>
      <w:r w:rsidRPr="00C75346">
        <w:rPr>
          <w:rFonts w:eastAsia="Georgia"/>
          <w:i/>
          <w:snapToGrid/>
          <w:kern w:val="0"/>
          <w:szCs w:val="22"/>
        </w:rPr>
        <w:t xml:space="preserve">for use, disclosure, or permitting access </w:t>
      </w:r>
      <w:r w:rsidRPr="006919F5">
        <w:rPr>
          <w:rFonts w:eastAsia="Georgia"/>
          <w:i/>
          <w:snapToGrid/>
          <w:kern w:val="0"/>
          <w:szCs w:val="22"/>
        </w:rPr>
        <w:t xml:space="preserve">inferred.  </w:t>
      </w:r>
      <w:r w:rsidRPr="006919F5">
        <w:rPr>
          <w:rFonts w:eastAsia="Georgia"/>
          <w:snapToGrid/>
          <w:kern w:val="0"/>
          <w:szCs w:val="22"/>
        </w:rPr>
        <w:t>A customer is considered to have provided approval for the customer’s BIAS provider to use, disclose, or permit access to customer PI for the following purposes:</w:t>
      </w:r>
    </w:p>
    <w:p w:rsidR="00324CD5" w:rsidRPr="006919F5" w:rsidRDefault="00324CD5" w:rsidP="00DD1589">
      <w:pPr>
        <w:widowControl/>
        <w:numPr>
          <w:ilvl w:val="1"/>
          <w:numId w:val="21"/>
        </w:numPr>
        <w:tabs>
          <w:tab w:val="left" w:pos="1620"/>
        </w:tabs>
        <w:spacing w:after="220"/>
        <w:rPr>
          <w:snapToGrid/>
          <w:kern w:val="0"/>
          <w:szCs w:val="22"/>
          <w:lang w:val="en"/>
        </w:rPr>
      </w:pPr>
      <w:r w:rsidRPr="006919F5">
        <w:rPr>
          <w:snapToGrid/>
          <w:kern w:val="0"/>
          <w:szCs w:val="22"/>
          <w:shd w:val="clear" w:color="auto" w:fill="FFFFFF"/>
        </w:rPr>
        <w:t>In its provision of the broadband Internet access service from which such information is derived, or in its provision of services necessary to, or used in, the provision of such broadband service.</w:t>
      </w:r>
    </w:p>
    <w:p w:rsidR="00324CD5" w:rsidRPr="006919F5" w:rsidRDefault="00324CD5" w:rsidP="00DD1589">
      <w:pPr>
        <w:widowControl/>
        <w:numPr>
          <w:ilvl w:val="1"/>
          <w:numId w:val="21"/>
        </w:numPr>
        <w:tabs>
          <w:tab w:val="left" w:pos="1620"/>
        </w:tabs>
        <w:spacing w:after="220"/>
        <w:rPr>
          <w:snapToGrid/>
          <w:kern w:val="0"/>
          <w:szCs w:val="22"/>
          <w:lang w:val="en"/>
        </w:rPr>
      </w:pPr>
      <w:r w:rsidRPr="006919F5">
        <w:rPr>
          <w:rFonts w:eastAsia="Georgia"/>
          <w:snapToGrid/>
          <w:kern w:val="0"/>
          <w:szCs w:val="22"/>
        </w:rPr>
        <w:t>To initiate, render, bill and collect for broadband Internet access service, and closely related services, e.g., tech support related to the broadband Internet access services</w:t>
      </w:r>
      <w:r w:rsidRPr="006919F5">
        <w:rPr>
          <w:snapToGrid/>
          <w:kern w:val="0"/>
          <w:szCs w:val="22"/>
          <w:lang w:val="en"/>
        </w:rPr>
        <w:t>.</w:t>
      </w:r>
    </w:p>
    <w:p w:rsidR="00324CD5" w:rsidRPr="006919F5" w:rsidRDefault="00324CD5" w:rsidP="00DD1589">
      <w:pPr>
        <w:widowControl/>
        <w:numPr>
          <w:ilvl w:val="1"/>
          <w:numId w:val="21"/>
        </w:numPr>
        <w:tabs>
          <w:tab w:val="left" w:pos="1620"/>
        </w:tabs>
        <w:spacing w:after="220"/>
        <w:rPr>
          <w:snapToGrid/>
          <w:kern w:val="0"/>
          <w:szCs w:val="22"/>
          <w:lang w:val="en"/>
        </w:rPr>
      </w:pPr>
      <w:r w:rsidRPr="006919F5">
        <w:rPr>
          <w:rFonts w:eastAsia="Georgia"/>
          <w:snapToGrid/>
          <w:kern w:val="0"/>
          <w:szCs w:val="22"/>
        </w:rPr>
        <w:t>To protect the rights or property of the BIAS provider, or to protect users of the broadband Internet access service and other BIAS providers from fraudulent, abusive, or unlawful use of the broadband Internet access service.</w:t>
      </w:r>
    </w:p>
    <w:p w:rsidR="00324CD5" w:rsidRPr="006919F5" w:rsidRDefault="00324CD5" w:rsidP="00DD1589">
      <w:pPr>
        <w:widowControl/>
        <w:numPr>
          <w:ilvl w:val="1"/>
          <w:numId w:val="21"/>
        </w:numPr>
        <w:tabs>
          <w:tab w:val="left" w:pos="1620"/>
        </w:tabs>
        <w:spacing w:after="220"/>
        <w:rPr>
          <w:snapToGrid/>
          <w:kern w:val="0"/>
          <w:szCs w:val="22"/>
          <w:lang w:val="en"/>
        </w:rPr>
      </w:pPr>
      <w:r w:rsidRPr="006919F5">
        <w:rPr>
          <w:snapToGrid/>
          <w:kern w:val="0"/>
          <w:szCs w:val="22"/>
          <w:lang w:val="en"/>
        </w:rPr>
        <w:t>To provide any inbound marketing, referral, or administrative services to the customer for the duration of the interaction, if such interaction was initiated by the customer and the customer approves of the use of such information to provide such service.</w:t>
      </w:r>
    </w:p>
    <w:p w:rsidR="00324CD5" w:rsidRPr="006919F5" w:rsidRDefault="00324CD5" w:rsidP="00DD1589">
      <w:pPr>
        <w:widowControl/>
        <w:numPr>
          <w:ilvl w:val="1"/>
          <w:numId w:val="21"/>
        </w:numPr>
        <w:spacing w:after="120" w:line="264" w:lineRule="auto"/>
        <w:rPr>
          <w:snapToGrid/>
          <w:kern w:val="0"/>
          <w:szCs w:val="22"/>
        </w:rPr>
      </w:pPr>
      <w:r w:rsidRPr="006919F5">
        <w:rPr>
          <w:rFonts w:eastAsia="Times New Roman,Georgia"/>
          <w:snapToGrid/>
          <w:kern w:val="0"/>
          <w:szCs w:val="22"/>
        </w:rPr>
        <w:t xml:space="preserve">To support queries by Public Safety Answering Points and other authorized emergency personnel pursuant to the full range of NG911 calling alternatives (including voice, text, video and data);  to inform the user’s legal guardian or members of the user’s immediate family of the user’s location in an emergency situation that involves the risk of death or serious physical harm; or to providers of information or database management services solely for purposes of assisting in the delivery of emergency services in response to an emergency.  </w:t>
      </w:r>
    </w:p>
    <w:p w:rsidR="00324CD5" w:rsidRPr="006919F5" w:rsidRDefault="00324CD5" w:rsidP="00DD1589">
      <w:pPr>
        <w:widowControl/>
        <w:numPr>
          <w:ilvl w:val="1"/>
          <w:numId w:val="21"/>
        </w:numPr>
        <w:spacing w:after="120" w:line="264" w:lineRule="auto"/>
        <w:rPr>
          <w:snapToGrid/>
          <w:kern w:val="0"/>
          <w:szCs w:val="22"/>
        </w:rPr>
      </w:pPr>
      <w:r w:rsidRPr="006919F5">
        <w:rPr>
          <w:rFonts w:eastAsia="Times New Roman,Georgia"/>
          <w:snapToGrid/>
          <w:kern w:val="0"/>
          <w:szCs w:val="22"/>
        </w:rPr>
        <w:t>As otherwise required by law.</w:t>
      </w:r>
    </w:p>
    <w:p w:rsidR="00324CD5" w:rsidRPr="006919F5" w:rsidRDefault="00324CD5" w:rsidP="00DD1589">
      <w:pPr>
        <w:widowControl/>
        <w:numPr>
          <w:ilvl w:val="0"/>
          <w:numId w:val="21"/>
        </w:numPr>
        <w:spacing w:after="120" w:line="264" w:lineRule="auto"/>
        <w:rPr>
          <w:snapToGrid/>
          <w:kern w:val="0"/>
          <w:szCs w:val="22"/>
        </w:rPr>
      </w:pPr>
      <w:r>
        <w:rPr>
          <w:i/>
          <w:szCs w:val="22"/>
        </w:rPr>
        <w:t>Approval for use inferred.</w:t>
      </w:r>
      <w:r>
        <w:rPr>
          <w:szCs w:val="22"/>
        </w:rPr>
        <w:t xml:space="preserve"> A BIAS provider may use customer PI for the purpose of marketing </w:t>
      </w:r>
      <w:r w:rsidRPr="000661F2">
        <w:rPr>
          <w:szCs w:val="22"/>
        </w:rPr>
        <w:t>additional BIAS offerings in the same category of service (</w:t>
      </w:r>
      <w:r w:rsidRPr="00CF0243">
        <w:rPr>
          <w:szCs w:val="22"/>
        </w:rPr>
        <w:t>e.g.,</w:t>
      </w:r>
      <w:r w:rsidRPr="000661F2">
        <w:rPr>
          <w:szCs w:val="22"/>
        </w:rPr>
        <w:t xml:space="preserve"> fixed or mobile BIAS) to the customer, when the customer already subscribes to that category of service from the same provider</w:t>
      </w:r>
      <w:r>
        <w:rPr>
          <w:szCs w:val="22"/>
        </w:rPr>
        <w:t>,</w:t>
      </w:r>
      <w:r w:rsidRPr="000661F2">
        <w:rPr>
          <w:szCs w:val="22"/>
        </w:rPr>
        <w:t xml:space="preserve"> </w:t>
      </w:r>
      <w:r>
        <w:rPr>
          <w:szCs w:val="22"/>
        </w:rPr>
        <w:t>without further customer approval</w:t>
      </w:r>
      <w:r w:rsidRPr="006919F5">
        <w:rPr>
          <w:snapToGrid/>
          <w:kern w:val="0"/>
          <w:szCs w:val="22"/>
        </w:rPr>
        <w:t>.</w:t>
      </w:r>
    </w:p>
    <w:p w:rsidR="00324CD5" w:rsidRDefault="00324CD5" w:rsidP="00DD1589">
      <w:pPr>
        <w:widowControl/>
        <w:numPr>
          <w:ilvl w:val="0"/>
          <w:numId w:val="21"/>
        </w:numPr>
        <w:spacing w:after="120" w:line="264" w:lineRule="auto"/>
        <w:rPr>
          <w:snapToGrid/>
          <w:kern w:val="0"/>
          <w:szCs w:val="22"/>
        </w:rPr>
      </w:pPr>
      <w:r w:rsidRPr="006919F5">
        <w:rPr>
          <w:i/>
          <w:snapToGrid/>
          <w:kern w:val="0"/>
          <w:szCs w:val="22"/>
        </w:rPr>
        <w:t>Notice and Solicitation Required</w:t>
      </w:r>
      <w:r w:rsidRPr="006919F5">
        <w:rPr>
          <w:snapToGrid/>
          <w:kern w:val="0"/>
          <w:szCs w:val="22"/>
        </w:rPr>
        <w:t>.  Except as described in subsection (a) of this section, a BIAS provider must solicit customer approval</w:t>
      </w:r>
      <w:r>
        <w:rPr>
          <w:snapToGrid/>
          <w:kern w:val="0"/>
          <w:szCs w:val="22"/>
        </w:rPr>
        <w:t>, as provided for in subsections (e) and (f) of this section,</w:t>
      </w:r>
      <w:r w:rsidRPr="006919F5">
        <w:rPr>
          <w:snapToGrid/>
          <w:kern w:val="0"/>
          <w:szCs w:val="22"/>
        </w:rPr>
        <w:t xml:space="preserve"> when it intends to first use, disclose, or provide access to the customer’s proprietary information</w:t>
      </w:r>
      <w:r>
        <w:rPr>
          <w:snapToGrid/>
          <w:kern w:val="0"/>
          <w:szCs w:val="22"/>
        </w:rPr>
        <w:t xml:space="preserve"> and in so doing must clearly and conspicuously disclose:</w:t>
      </w:r>
    </w:p>
    <w:p w:rsidR="00324CD5" w:rsidRDefault="00324CD5" w:rsidP="00DD1589">
      <w:pPr>
        <w:widowControl/>
        <w:numPr>
          <w:ilvl w:val="1"/>
          <w:numId w:val="21"/>
        </w:numPr>
        <w:spacing w:after="120" w:line="264" w:lineRule="auto"/>
        <w:rPr>
          <w:snapToGrid/>
          <w:kern w:val="0"/>
          <w:szCs w:val="22"/>
        </w:rPr>
      </w:pPr>
      <w:r>
        <w:rPr>
          <w:snapToGrid/>
          <w:kern w:val="0"/>
          <w:szCs w:val="22"/>
        </w:rPr>
        <w:t xml:space="preserve">The types of customer PI for which it is seeking customer approval to use, disclose or permit access to; </w:t>
      </w:r>
    </w:p>
    <w:p w:rsidR="00324CD5" w:rsidRDefault="00324CD5" w:rsidP="00DD1589">
      <w:pPr>
        <w:widowControl/>
        <w:numPr>
          <w:ilvl w:val="1"/>
          <w:numId w:val="21"/>
        </w:numPr>
        <w:spacing w:after="120" w:line="264" w:lineRule="auto"/>
        <w:rPr>
          <w:snapToGrid/>
          <w:kern w:val="0"/>
          <w:szCs w:val="22"/>
        </w:rPr>
      </w:pPr>
      <w:r>
        <w:rPr>
          <w:snapToGrid/>
          <w:kern w:val="0"/>
          <w:szCs w:val="22"/>
        </w:rPr>
        <w:t>The purposes for which such customer PI will be used; and</w:t>
      </w:r>
    </w:p>
    <w:p w:rsidR="00324CD5" w:rsidRPr="006919F5" w:rsidRDefault="00324CD5" w:rsidP="00DD1589">
      <w:pPr>
        <w:widowControl/>
        <w:numPr>
          <w:ilvl w:val="1"/>
          <w:numId w:val="21"/>
        </w:numPr>
        <w:spacing w:after="120" w:line="264" w:lineRule="auto"/>
        <w:rPr>
          <w:snapToGrid/>
          <w:kern w:val="0"/>
          <w:szCs w:val="22"/>
        </w:rPr>
      </w:pPr>
      <w:r>
        <w:rPr>
          <w:snapToGrid/>
          <w:kern w:val="0"/>
          <w:szCs w:val="22"/>
        </w:rPr>
        <w:t>The entities or types of entities to which it intends to disclose or provide access to such customer PI.</w:t>
      </w:r>
    </w:p>
    <w:p w:rsidR="00324CD5" w:rsidRPr="006919F5" w:rsidRDefault="00324CD5" w:rsidP="00DD1589">
      <w:pPr>
        <w:widowControl/>
        <w:numPr>
          <w:ilvl w:val="0"/>
          <w:numId w:val="21"/>
        </w:numPr>
        <w:spacing w:after="120" w:line="264" w:lineRule="auto"/>
        <w:rPr>
          <w:snapToGrid/>
          <w:kern w:val="0"/>
          <w:szCs w:val="22"/>
        </w:rPr>
      </w:pPr>
      <w:r w:rsidRPr="006919F5">
        <w:rPr>
          <w:i/>
          <w:snapToGrid/>
          <w:kern w:val="0"/>
          <w:szCs w:val="22"/>
          <w:lang w:val="en"/>
        </w:rPr>
        <w:t>Method for Solicitation for Customer Approval.</w:t>
      </w:r>
      <w:r w:rsidRPr="006919F5">
        <w:rPr>
          <w:snapToGrid/>
          <w:kern w:val="0"/>
          <w:szCs w:val="22"/>
          <w:lang w:val="en"/>
        </w:rPr>
        <w:t xml:space="preserve">  </w:t>
      </w:r>
      <w:r w:rsidRPr="006919F5">
        <w:rPr>
          <w:snapToGrid/>
          <w:kern w:val="0"/>
          <w:szCs w:val="22"/>
        </w:rPr>
        <w:t xml:space="preserve">A BIAS provider must make available a simple, easy-to-access method for customers to provide or withdraw consent at any time.  Such method must be clearly disclosed, persistently available, and made available at no additional cost to the customer. </w:t>
      </w:r>
      <w:r w:rsidR="00CF0243">
        <w:rPr>
          <w:snapToGrid/>
          <w:kern w:val="0"/>
          <w:szCs w:val="22"/>
        </w:rPr>
        <w:t xml:space="preserve"> </w:t>
      </w:r>
      <w:r w:rsidRPr="006919F5">
        <w:rPr>
          <w:snapToGrid/>
          <w:kern w:val="0"/>
          <w:szCs w:val="22"/>
        </w:rPr>
        <w:t>The customer’s action must be given effect promptly after the decision to provide or withdraw consent is communicated to the BIAS provider.</w:t>
      </w:r>
    </w:p>
    <w:p w:rsidR="00324CD5" w:rsidRPr="006919F5" w:rsidRDefault="00324CD5" w:rsidP="00DD1589">
      <w:pPr>
        <w:widowControl/>
        <w:numPr>
          <w:ilvl w:val="0"/>
          <w:numId w:val="21"/>
        </w:numPr>
        <w:spacing w:after="120" w:line="264" w:lineRule="auto"/>
        <w:rPr>
          <w:snapToGrid/>
          <w:kern w:val="0"/>
          <w:szCs w:val="22"/>
        </w:rPr>
      </w:pPr>
      <w:r w:rsidRPr="006919F5">
        <w:rPr>
          <w:rFonts w:eastAsia="Georgia"/>
          <w:i/>
          <w:snapToGrid/>
          <w:kern w:val="0"/>
          <w:szCs w:val="22"/>
        </w:rPr>
        <w:t>Opt-Out Approval Required</w:t>
      </w:r>
      <w:r w:rsidRPr="006919F5">
        <w:rPr>
          <w:rFonts w:eastAsia="Georgia"/>
          <w:snapToGrid/>
          <w:kern w:val="0"/>
          <w:szCs w:val="22"/>
        </w:rPr>
        <w:t xml:space="preserve">.  Except as otherwise provided in subsection (a), a BIAS provider must obtain opt-out or opt-in approval from a customer to: </w:t>
      </w:r>
    </w:p>
    <w:p w:rsidR="00324CD5" w:rsidRPr="006919F5" w:rsidRDefault="00324CD5" w:rsidP="00DD1589">
      <w:pPr>
        <w:widowControl/>
        <w:numPr>
          <w:ilvl w:val="1"/>
          <w:numId w:val="21"/>
        </w:numPr>
        <w:spacing w:after="120" w:line="264" w:lineRule="auto"/>
        <w:rPr>
          <w:snapToGrid/>
          <w:kern w:val="0"/>
          <w:szCs w:val="22"/>
        </w:rPr>
      </w:pPr>
      <w:r w:rsidRPr="006919F5">
        <w:rPr>
          <w:rFonts w:eastAsia="Georgia"/>
          <w:snapToGrid/>
          <w:kern w:val="0"/>
          <w:szCs w:val="22"/>
        </w:rPr>
        <w:t>Use customer PI for the purpose of marketing communications-related services to that customer; and</w:t>
      </w:r>
      <w:r w:rsidRPr="006919F5">
        <w:rPr>
          <w:rFonts w:eastAsia="Georgia"/>
          <w:snapToGrid/>
          <w:kern w:val="0"/>
          <w:szCs w:val="22"/>
        </w:rPr>
        <w:tab/>
      </w:r>
    </w:p>
    <w:p w:rsidR="00324CD5" w:rsidRPr="006919F5" w:rsidRDefault="00324CD5" w:rsidP="00DD1589">
      <w:pPr>
        <w:widowControl/>
        <w:numPr>
          <w:ilvl w:val="1"/>
          <w:numId w:val="21"/>
        </w:numPr>
        <w:spacing w:after="120" w:line="264" w:lineRule="auto"/>
        <w:rPr>
          <w:snapToGrid/>
          <w:kern w:val="0"/>
          <w:szCs w:val="22"/>
        </w:rPr>
      </w:pPr>
      <w:r w:rsidRPr="006919F5">
        <w:rPr>
          <w:rFonts w:eastAsia="Georgia"/>
          <w:snapToGrid/>
          <w:kern w:val="0"/>
          <w:szCs w:val="22"/>
        </w:rPr>
        <w:t>Disclose or permit access to customer PI to its affiliates that provide communications-related services for the purpose of marketing communications-related services to that customer.</w:t>
      </w:r>
    </w:p>
    <w:p w:rsidR="00324CD5" w:rsidRPr="006919F5" w:rsidRDefault="00324CD5" w:rsidP="00DD1589">
      <w:pPr>
        <w:widowControl/>
        <w:numPr>
          <w:ilvl w:val="0"/>
          <w:numId w:val="21"/>
        </w:numPr>
        <w:spacing w:after="120" w:line="264" w:lineRule="auto"/>
        <w:rPr>
          <w:snapToGrid/>
          <w:kern w:val="0"/>
          <w:szCs w:val="22"/>
        </w:rPr>
      </w:pPr>
      <w:r w:rsidRPr="006919F5">
        <w:rPr>
          <w:rFonts w:eastAsia="Georgia"/>
          <w:i/>
          <w:snapToGrid/>
          <w:kern w:val="0"/>
          <w:szCs w:val="22"/>
        </w:rPr>
        <w:t>Opt-In Approval Required</w:t>
      </w:r>
      <w:r w:rsidRPr="006919F5">
        <w:rPr>
          <w:rFonts w:eastAsia="Georgia"/>
          <w:snapToGrid/>
          <w:kern w:val="0"/>
          <w:szCs w:val="22"/>
        </w:rPr>
        <w:t>.  Except as otherwise provided, a BIAS provider must obtain customer opt-in approval to use, disclose, or permit access to customer PI.</w:t>
      </w:r>
    </w:p>
    <w:p w:rsidR="00324CD5" w:rsidRPr="006919F5" w:rsidRDefault="00324CD5" w:rsidP="00DD1589">
      <w:pPr>
        <w:widowControl/>
        <w:numPr>
          <w:ilvl w:val="0"/>
          <w:numId w:val="21"/>
        </w:numPr>
        <w:spacing w:after="120" w:line="264" w:lineRule="auto"/>
        <w:rPr>
          <w:snapToGrid/>
          <w:kern w:val="0"/>
          <w:szCs w:val="22"/>
        </w:rPr>
      </w:pPr>
      <w:r w:rsidRPr="006919F5">
        <w:rPr>
          <w:rFonts w:eastAsia="Georgia"/>
          <w:i/>
          <w:snapToGrid/>
          <w:kern w:val="0"/>
          <w:szCs w:val="22"/>
        </w:rPr>
        <w:t>Use and Disclosure of Aggregate Customer PI.</w:t>
      </w:r>
      <w:r w:rsidRPr="006919F5">
        <w:rPr>
          <w:rFonts w:eastAsia="Georgia"/>
          <w:snapToGrid/>
          <w:kern w:val="0"/>
          <w:szCs w:val="22"/>
        </w:rPr>
        <w:t xml:space="preserve">  </w:t>
      </w:r>
      <w:r w:rsidRPr="006919F5">
        <w:rPr>
          <w:snapToGrid/>
          <w:kern w:val="0"/>
          <w:szCs w:val="22"/>
          <w:lang w:val="en"/>
        </w:rPr>
        <w:t>A BIAS provider may use, disclose, and permit access to aggregate customer PI other than for the purpose of providing BIAS and for services necessary to, or used in, the provision of BIAS, if the BIAS provider:</w:t>
      </w:r>
    </w:p>
    <w:p w:rsidR="00324CD5" w:rsidRPr="006919F5" w:rsidRDefault="00324CD5" w:rsidP="00DD1589">
      <w:pPr>
        <w:widowControl/>
        <w:numPr>
          <w:ilvl w:val="1"/>
          <w:numId w:val="21"/>
        </w:numPr>
        <w:spacing w:after="120" w:line="264" w:lineRule="auto"/>
        <w:rPr>
          <w:snapToGrid/>
          <w:kern w:val="0"/>
          <w:szCs w:val="22"/>
        </w:rPr>
      </w:pPr>
      <w:r w:rsidRPr="006919F5">
        <w:rPr>
          <w:rFonts w:eastAsia="Georgia"/>
          <w:snapToGrid/>
          <w:kern w:val="0"/>
          <w:szCs w:val="22"/>
        </w:rPr>
        <w:t>Determines that the aggregated customer PI is not reasonably linkable to a specific individual;</w:t>
      </w:r>
    </w:p>
    <w:p w:rsidR="00324CD5" w:rsidRPr="006919F5" w:rsidRDefault="00324CD5" w:rsidP="00DD1589">
      <w:pPr>
        <w:widowControl/>
        <w:numPr>
          <w:ilvl w:val="1"/>
          <w:numId w:val="21"/>
        </w:numPr>
        <w:spacing w:after="120" w:line="264" w:lineRule="auto"/>
        <w:rPr>
          <w:snapToGrid/>
          <w:kern w:val="0"/>
          <w:szCs w:val="22"/>
        </w:rPr>
      </w:pPr>
      <w:r w:rsidRPr="006919F5">
        <w:rPr>
          <w:rFonts w:eastAsia="Georgia"/>
          <w:snapToGrid/>
          <w:kern w:val="0"/>
          <w:szCs w:val="22"/>
        </w:rPr>
        <w:t>Publicly commits to maintain and use the aggregate customer PI in a non-individually identifiable fashion and to not attempt to re-identify such information;</w:t>
      </w:r>
    </w:p>
    <w:p w:rsidR="00324CD5" w:rsidRPr="00C873F7" w:rsidRDefault="00324CD5" w:rsidP="00DD1589">
      <w:pPr>
        <w:widowControl/>
        <w:numPr>
          <w:ilvl w:val="1"/>
          <w:numId w:val="21"/>
        </w:numPr>
        <w:spacing w:after="120" w:line="264" w:lineRule="auto"/>
        <w:rPr>
          <w:snapToGrid/>
          <w:kern w:val="0"/>
          <w:szCs w:val="22"/>
        </w:rPr>
      </w:pPr>
      <w:r w:rsidRPr="006919F5">
        <w:rPr>
          <w:rFonts w:eastAsia="Georgia"/>
          <w:snapToGrid/>
          <w:kern w:val="0"/>
          <w:szCs w:val="22"/>
        </w:rPr>
        <w:t>Contractually prohibits any entity to which it discloses or permits access to the aggregate customer PI from attempting to re-identify such information; and</w:t>
      </w:r>
    </w:p>
    <w:p w:rsidR="00324CD5" w:rsidRPr="006919F5" w:rsidRDefault="00324CD5" w:rsidP="00DD1589">
      <w:pPr>
        <w:widowControl/>
        <w:numPr>
          <w:ilvl w:val="1"/>
          <w:numId w:val="21"/>
        </w:numPr>
        <w:spacing w:after="120" w:line="264" w:lineRule="auto"/>
        <w:rPr>
          <w:snapToGrid/>
          <w:kern w:val="0"/>
          <w:szCs w:val="22"/>
        </w:rPr>
      </w:pPr>
      <w:r w:rsidRPr="006919F5">
        <w:rPr>
          <w:rFonts w:eastAsia="Georgia"/>
          <w:snapToGrid/>
          <w:kern w:val="0"/>
          <w:szCs w:val="22"/>
        </w:rPr>
        <w:t>Exercises reasonable monitoring to ensure that those contracts are not violated.</w:t>
      </w:r>
    </w:p>
    <w:p w:rsidR="00324CD5" w:rsidRPr="006919F5" w:rsidRDefault="00324CD5" w:rsidP="00324CD5">
      <w:pPr>
        <w:widowControl/>
        <w:spacing w:after="120" w:line="264" w:lineRule="auto"/>
        <w:ind w:firstLine="720"/>
        <w:rPr>
          <w:snapToGrid/>
          <w:kern w:val="0"/>
          <w:szCs w:val="22"/>
        </w:rPr>
      </w:pPr>
      <w:r w:rsidRPr="006919F5">
        <w:rPr>
          <w:snapToGrid/>
          <w:kern w:val="0"/>
          <w:szCs w:val="22"/>
        </w:rPr>
        <w:t>For purposes of this section, the burden of proving that individual customer identities and characteristics have been removed from aggregate customer PI rests with the BIAS provider.</w:t>
      </w:r>
    </w:p>
    <w:p w:rsidR="00324CD5" w:rsidRDefault="00324CD5" w:rsidP="00324CD5">
      <w:pPr>
        <w:widowControl/>
        <w:spacing w:after="120" w:line="264" w:lineRule="auto"/>
        <w:ind w:left="1080"/>
        <w:rPr>
          <w:snapToGrid/>
          <w:kern w:val="0"/>
          <w:szCs w:val="22"/>
        </w:rPr>
      </w:pPr>
    </w:p>
    <w:p w:rsidR="006C27BD" w:rsidRPr="006919F5" w:rsidRDefault="006C27BD" w:rsidP="00324CD5">
      <w:pPr>
        <w:widowControl/>
        <w:spacing w:after="120" w:line="264" w:lineRule="auto"/>
        <w:ind w:left="1080"/>
        <w:rPr>
          <w:snapToGrid/>
          <w:kern w:val="0"/>
          <w:szCs w:val="22"/>
        </w:rPr>
      </w:pPr>
    </w:p>
    <w:p w:rsidR="00324CD5" w:rsidRPr="006919F5" w:rsidRDefault="00324CD5" w:rsidP="00324CD5">
      <w:pPr>
        <w:widowControl/>
        <w:spacing w:after="120" w:line="264" w:lineRule="auto"/>
        <w:rPr>
          <w:b/>
          <w:snapToGrid/>
          <w:kern w:val="0"/>
          <w:szCs w:val="22"/>
          <w:shd w:val="clear" w:color="auto" w:fill="FFFFFF"/>
        </w:rPr>
      </w:pPr>
      <w:r w:rsidRPr="006919F5">
        <w:rPr>
          <w:b/>
          <w:snapToGrid/>
          <w:kern w:val="0"/>
          <w:szCs w:val="22"/>
          <w:shd w:val="clear" w:color="auto" w:fill="FFFFFF"/>
        </w:rPr>
        <w:t>§ 64.7003 Documenting Compliance with Customer Approval Requirements.</w:t>
      </w:r>
    </w:p>
    <w:p w:rsidR="00324CD5" w:rsidRPr="006919F5" w:rsidRDefault="00324CD5" w:rsidP="00324CD5">
      <w:pPr>
        <w:widowControl/>
        <w:spacing w:after="120" w:line="264" w:lineRule="auto"/>
        <w:rPr>
          <w:b/>
          <w:snapToGrid/>
          <w:kern w:val="0"/>
          <w:szCs w:val="22"/>
          <w:shd w:val="clear" w:color="auto" w:fill="FFFFFF"/>
        </w:rPr>
      </w:pPr>
      <w:r w:rsidRPr="006919F5">
        <w:rPr>
          <w:snapToGrid/>
          <w:kern w:val="0"/>
          <w:szCs w:val="22"/>
          <w:lang w:val="en"/>
        </w:rPr>
        <w:t>A BIAS provider must implement a system by which the status of a customer’s approval to use, disclose, and provide access to customer PI can be clearly established both prior to and after its use, disclosure, or access.  A BIAS provider must:</w:t>
      </w:r>
    </w:p>
    <w:p w:rsidR="00324CD5" w:rsidRPr="006919F5" w:rsidRDefault="00324CD5" w:rsidP="00DD1589">
      <w:pPr>
        <w:widowControl/>
        <w:numPr>
          <w:ilvl w:val="0"/>
          <w:numId w:val="22"/>
        </w:numPr>
        <w:spacing w:after="120" w:line="264" w:lineRule="auto"/>
        <w:rPr>
          <w:snapToGrid/>
          <w:kern w:val="0"/>
          <w:szCs w:val="22"/>
        </w:rPr>
      </w:pPr>
      <w:r w:rsidRPr="006919F5">
        <w:rPr>
          <w:snapToGrid/>
          <w:kern w:val="0"/>
          <w:szCs w:val="22"/>
          <w:lang w:val="en"/>
        </w:rPr>
        <w:t>Train its personnel as to when they are and are not authorized to use, disclose, or permit access to customer PI and have an express disciplinary process in place.</w:t>
      </w:r>
    </w:p>
    <w:p w:rsidR="00324CD5" w:rsidRPr="006919F5" w:rsidRDefault="00324CD5" w:rsidP="00DD1589">
      <w:pPr>
        <w:widowControl/>
        <w:numPr>
          <w:ilvl w:val="0"/>
          <w:numId w:val="22"/>
        </w:numPr>
        <w:spacing w:after="120" w:line="264" w:lineRule="auto"/>
        <w:rPr>
          <w:snapToGrid/>
          <w:kern w:val="0"/>
          <w:szCs w:val="22"/>
        </w:rPr>
      </w:pPr>
      <w:r w:rsidRPr="006919F5">
        <w:rPr>
          <w:snapToGrid/>
          <w:kern w:val="0"/>
          <w:szCs w:val="22"/>
          <w:lang w:val="en"/>
        </w:rPr>
        <w:t>Maintain a record of all instances where customer PI was disclosed to or accessed by third parties for at least one year.  The record must include a description of the specific customer PI that was disclosed to or accessed by third parties, a list of the specific third parties who received the customer PI, and the basis for disclosing or providing access to such information to third parties.</w:t>
      </w:r>
    </w:p>
    <w:p w:rsidR="00324CD5" w:rsidRPr="006919F5" w:rsidRDefault="00324CD5" w:rsidP="00DD1589">
      <w:pPr>
        <w:widowControl/>
        <w:numPr>
          <w:ilvl w:val="0"/>
          <w:numId w:val="22"/>
        </w:numPr>
        <w:spacing w:after="120" w:line="264" w:lineRule="auto"/>
        <w:rPr>
          <w:snapToGrid/>
          <w:kern w:val="0"/>
          <w:szCs w:val="22"/>
        </w:rPr>
      </w:pPr>
      <w:r w:rsidRPr="006919F5">
        <w:rPr>
          <w:snapToGrid/>
          <w:kern w:val="0"/>
          <w:szCs w:val="22"/>
        </w:rPr>
        <w:t>Maintain a record of all customer notifications, whether oral, written, or electronic, for at least one year.</w:t>
      </w:r>
    </w:p>
    <w:p w:rsidR="00324CD5" w:rsidRPr="006919F5" w:rsidRDefault="00324CD5" w:rsidP="00DD1589">
      <w:pPr>
        <w:widowControl/>
        <w:numPr>
          <w:ilvl w:val="0"/>
          <w:numId w:val="22"/>
        </w:numPr>
        <w:spacing w:after="120" w:line="264" w:lineRule="auto"/>
        <w:rPr>
          <w:snapToGrid/>
          <w:kern w:val="0"/>
          <w:szCs w:val="22"/>
        </w:rPr>
      </w:pPr>
      <w:r w:rsidRPr="006919F5">
        <w:rPr>
          <w:snapToGrid/>
          <w:kern w:val="0"/>
          <w:szCs w:val="22"/>
          <w:lang w:val="en"/>
        </w:rPr>
        <w:t>Establish a supervisory review process regarding the provider’s compliance with the rules in this subpart.</w:t>
      </w:r>
    </w:p>
    <w:p w:rsidR="00324CD5" w:rsidRPr="006919F5" w:rsidRDefault="00324CD5" w:rsidP="00DD1589">
      <w:pPr>
        <w:widowControl/>
        <w:numPr>
          <w:ilvl w:val="0"/>
          <w:numId w:val="22"/>
        </w:numPr>
        <w:spacing w:after="120" w:line="264" w:lineRule="auto"/>
        <w:rPr>
          <w:snapToGrid/>
          <w:kern w:val="0"/>
          <w:szCs w:val="22"/>
        </w:rPr>
      </w:pPr>
      <w:r w:rsidRPr="006919F5">
        <w:rPr>
          <w:snapToGrid/>
          <w:kern w:val="0"/>
          <w:szCs w:val="22"/>
          <w:lang w:val="en"/>
        </w:rPr>
        <w:t>Provide written notice to the Commission within five days of the discovery of any instance where the opt-out mechanisms do not work properly, to such a degree that consumers’ inability to opt-out is more than an anomaly; or the provider used, disclosed, or permitted access to customer PI subject to opt-in approval requirements without first having received opt-in approval.  Such notice must be submitted even if the provider offers other methods by which customers may opt-out.  The notice shall include:</w:t>
      </w:r>
    </w:p>
    <w:p w:rsidR="00324CD5" w:rsidRPr="006919F5" w:rsidRDefault="00324CD5" w:rsidP="00DD1589">
      <w:pPr>
        <w:widowControl/>
        <w:numPr>
          <w:ilvl w:val="1"/>
          <w:numId w:val="22"/>
        </w:numPr>
        <w:spacing w:after="120" w:line="264" w:lineRule="auto"/>
        <w:rPr>
          <w:snapToGrid/>
          <w:kern w:val="0"/>
          <w:szCs w:val="22"/>
        </w:rPr>
      </w:pPr>
      <w:r w:rsidRPr="006919F5">
        <w:rPr>
          <w:snapToGrid/>
          <w:kern w:val="0"/>
          <w:szCs w:val="22"/>
          <w:lang w:val="en"/>
        </w:rPr>
        <w:t>The provider’s name;</w:t>
      </w:r>
    </w:p>
    <w:p w:rsidR="00324CD5" w:rsidRPr="006919F5" w:rsidRDefault="00324CD5" w:rsidP="00DD1589">
      <w:pPr>
        <w:widowControl/>
        <w:numPr>
          <w:ilvl w:val="1"/>
          <w:numId w:val="22"/>
        </w:numPr>
        <w:spacing w:after="120" w:line="264" w:lineRule="auto"/>
        <w:rPr>
          <w:snapToGrid/>
          <w:kern w:val="0"/>
          <w:szCs w:val="22"/>
        </w:rPr>
      </w:pPr>
      <w:r w:rsidRPr="006919F5">
        <w:rPr>
          <w:snapToGrid/>
          <w:kern w:val="0"/>
          <w:szCs w:val="22"/>
          <w:lang w:val="en"/>
        </w:rPr>
        <w:t>A description of the opt-out mechanism(s) at issue and the problem(s) experienced, if relevant;</w:t>
      </w:r>
    </w:p>
    <w:p w:rsidR="00324CD5" w:rsidRPr="006919F5" w:rsidRDefault="00324CD5" w:rsidP="00DD1589">
      <w:pPr>
        <w:widowControl/>
        <w:numPr>
          <w:ilvl w:val="1"/>
          <w:numId w:val="22"/>
        </w:numPr>
        <w:spacing w:after="120" w:line="264" w:lineRule="auto"/>
        <w:rPr>
          <w:snapToGrid/>
          <w:kern w:val="0"/>
          <w:szCs w:val="22"/>
        </w:rPr>
      </w:pPr>
      <w:r w:rsidRPr="006919F5">
        <w:rPr>
          <w:snapToGrid/>
          <w:kern w:val="0"/>
          <w:szCs w:val="22"/>
          <w:lang w:val="en"/>
        </w:rPr>
        <w:t>A description of:</w:t>
      </w:r>
    </w:p>
    <w:p w:rsidR="00324CD5" w:rsidRPr="006919F5" w:rsidRDefault="00324CD5" w:rsidP="00DD1589">
      <w:pPr>
        <w:widowControl/>
        <w:numPr>
          <w:ilvl w:val="2"/>
          <w:numId w:val="22"/>
        </w:numPr>
        <w:spacing w:after="120" w:line="264" w:lineRule="auto"/>
        <w:rPr>
          <w:snapToGrid/>
          <w:kern w:val="0"/>
          <w:szCs w:val="22"/>
        </w:rPr>
      </w:pPr>
      <w:r w:rsidRPr="006919F5">
        <w:rPr>
          <w:snapToGrid/>
          <w:kern w:val="0"/>
          <w:szCs w:val="22"/>
          <w:lang w:val="en"/>
        </w:rPr>
        <w:t>Any customer PI used, disclosed, or accessed without opt-out or opt-in approval;</w:t>
      </w:r>
    </w:p>
    <w:p w:rsidR="00324CD5" w:rsidRPr="006919F5" w:rsidRDefault="00324CD5" w:rsidP="00DD1589">
      <w:pPr>
        <w:widowControl/>
        <w:numPr>
          <w:ilvl w:val="2"/>
          <w:numId w:val="22"/>
        </w:numPr>
        <w:spacing w:after="120" w:line="264" w:lineRule="auto"/>
        <w:rPr>
          <w:snapToGrid/>
          <w:kern w:val="0"/>
          <w:szCs w:val="22"/>
        </w:rPr>
      </w:pPr>
      <w:r w:rsidRPr="006919F5">
        <w:rPr>
          <w:snapToGrid/>
          <w:kern w:val="0"/>
          <w:szCs w:val="22"/>
          <w:lang w:val="en"/>
        </w:rPr>
        <w:t>With whom or by whom such customer PI has been used, disclosed, or accessed;</w:t>
      </w:r>
    </w:p>
    <w:p w:rsidR="00324CD5" w:rsidRPr="006919F5" w:rsidRDefault="00CF0243" w:rsidP="00DD1589">
      <w:pPr>
        <w:widowControl/>
        <w:numPr>
          <w:ilvl w:val="2"/>
          <w:numId w:val="22"/>
        </w:numPr>
        <w:spacing w:after="120" w:line="264" w:lineRule="auto"/>
        <w:rPr>
          <w:snapToGrid/>
          <w:kern w:val="0"/>
          <w:szCs w:val="22"/>
        </w:rPr>
      </w:pPr>
      <w:r>
        <w:rPr>
          <w:snapToGrid/>
          <w:kern w:val="0"/>
          <w:szCs w:val="22"/>
          <w:lang w:val="en"/>
        </w:rPr>
        <w:t xml:space="preserve"> </w:t>
      </w:r>
      <w:r w:rsidR="00324CD5" w:rsidRPr="006919F5">
        <w:rPr>
          <w:snapToGrid/>
          <w:kern w:val="0"/>
          <w:szCs w:val="22"/>
          <w:lang w:val="en"/>
        </w:rPr>
        <w:t>For what purposes such customer PI was used, disclosed, or accessed; and</w:t>
      </w:r>
    </w:p>
    <w:p w:rsidR="00324CD5" w:rsidRPr="006919F5" w:rsidRDefault="00324CD5" w:rsidP="00DD1589">
      <w:pPr>
        <w:widowControl/>
        <w:numPr>
          <w:ilvl w:val="2"/>
          <w:numId w:val="22"/>
        </w:numPr>
        <w:spacing w:after="120" w:line="264" w:lineRule="auto"/>
        <w:rPr>
          <w:snapToGrid/>
          <w:kern w:val="0"/>
          <w:szCs w:val="22"/>
        </w:rPr>
      </w:pPr>
      <w:r w:rsidRPr="006919F5">
        <w:rPr>
          <w:snapToGrid/>
          <w:kern w:val="0"/>
          <w:szCs w:val="22"/>
          <w:lang w:val="en"/>
        </w:rPr>
        <w:t>Over what period of time such customer PI was used, disclosed, or accessed;</w:t>
      </w:r>
    </w:p>
    <w:p w:rsidR="00324CD5" w:rsidRPr="006919F5" w:rsidRDefault="00324CD5" w:rsidP="00DD1589">
      <w:pPr>
        <w:widowControl/>
        <w:numPr>
          <w:ilvl w:val="1"/>
          <w:numId w:val="22"/>
        </w:numPr>
        <w:spacing w:after="120" w:line="264" w:lineRule="auto"/>
        <w:rPr>
          <w:snapToGrid/>
          <w:kern w:val="0"/>
          <w:szCs w:val="22"/>
        </w:rPr>
      </w:pPr>
      <w:r w:rsidRPr="006919F5">
        <w:rPr>
          <w:snapToGrid/>
          <w:kern w:val="0"/>
          <w:szCs w:val="22"/>
          <w:lang w:val="en"/>
        </w:rPr>
        <w:t>The remedy proposed and when it will be or was implemented; and</w:t>
      </w:r>
    </w:p>
    <w:p w:rsidR="00324CD5" w:rsidRPr="006919F5" w:rsidRDefault="00324CD5" w:rsidP="00DD1589">
      <w:pPr>
        <w:widowControl/>
        <w:numPr>
          <w:ilvl w:val="1"/>
          <w:numId w:val="22"/>
        </w:numPr>
        <w:spacing w:after="120" w:line="264" w:lineRule="auto"/>
        <w:rPr>
          <w:snapToGrid/>
          <w:kern w:val="0"/>
          <w:szCs w:val="22"/>
        </w:rPr>
      </w:pPr>
      <w:r w:rsidRPr="006919F5">
        <w:rPr>
          <w:snapToGrid/>
          <w:kern w:val="0"/>
          <w:szCs w:val="22"/>
          <w:lang w:val="en"/>
        </w:rPr>
        <w:t>A copy of the notice provided contemporaneously to customers.</w:t>
      </w:r>
    </w:p>
    <w:p w:rsidR="00324CD5" w:rsidRPr="006919F5" w:rsidRDefault="00324CD5" w:rsidP="00324CD5">
      <w:pPr>
        <w:widowControl/>
        <w:spacing w:after="120" w:line="264" w:lineRule="auto"/>
        <w:rPr>
          <w:b/>
          <w:snapToGrid/>
          <w:kern w:val="0"/>
          <w:szCs w:val="22"/>
          <w:shd w:val="clear" w:color="auto" w:fill="FFFFFF"/>
        </w:rPr>
      </w:pPr>
    </w:p>
    <w:p w:rsidR="00324CD5" w:rsidRPr="006919F5" w:rsidRDefault="00324CD5" w:rsidP="00324CD5">
      <w:pPr>
        <w:widowControl/>
        <w:rPr>
          <w:b/>
          <w:bCs/>
          <w:kern w:val="0"/>
          <w:szCs w:val="22"/>
        </w:rPr>
      </w:pPr>
      <w:r w:rsidRPr="006919F5">
        <w:rPr>
          <w:b/>
          <w:bCs/>
          <w:snapToGrid/>
          <w:kern w:val="0"/>
          <w:szCs w:val="22"/>
        </w:rPr>
        <w:t>§ 64.7004 </w:t>
      </w:r>
      <w:r w:rsidRPr="006919F5">
        <w:rPr>
          <w:b/>
          <w:bCs/>
          <w:kern w:val="0"/>
          <w:szCs w:val="22"/>
        </w:rPr>
        <w:t>Service Offers Conditioned on the Waiver of Privacy Rights.</w:t>
      </w:r>
    </w:p>
    <w:p w:rsidR="00324CD5" w:rsidRPr="006919F5" w:rsidRDefault="00324CD5" w:rsidP="00324CD5">
      <w:pPr>
        <w:widowControl/>
        <w:rPr>
          <w:b/>
          <w:bCs/>
          <w:kern w:val="0"/>
          <w:szCs w:val="22"/>
        </w:rPr>
      </w:pPr>
    </w:p>
    <w:p w:rsidR="00324CD5" w:rsidRDefault="00324CD5" w:rsidP="00324CD5">
      <w:pPr>
        <w:widowControl/>
        <w:rPr>
          <w:kern w:val="0"/>
          <w:szCs w:val="22"/>
        </w:rPr>
      </w:pPr>
      <w:r w:rsidRPr="006919F5">
        <w:rPr>
          <w:kern w:val="0"/>
          <w:szCs w:val="22"/>
        </w:rPr>
        <w:t>A BIAS provider is prohibited from conditioning offers to provide broadband Internet access service on a customer’s agreement to waive privacy rights guaranteed by law or regulation.  A BIAS provider is further prohibited from discontinuing or otherwise refusing to provide broadband Internet access service due to a customer’s refusal to waive any such privacy rights.</w:t>
      </w:r>
    </w:p>
    <w:p w:rsidR="00324CD5" w:rsidRPr="006919F5" w:rsidRDefault="00324CD5" w:rsidP="00324CD5">
      <w:pPr>
        <w:widowControl/>
        <w:rPr>
          <w:kern w:val="0"/>
          <w:szCs w:val="22"/>
        </w:rPr>
      </w:pPr>
    </w:p>
    <w:p w:rsidR="00324CD5" w:rsidRPr="006919F5" w:rsidRDefault="00324CD5" w:rsidP="00324CD5">
      <w:pPr>
        <w:widowControl/>
        <w:rPr>
          <w:kern w:val="0"/>
          <w:szCs w:val="22"/>
        </w:rPr>
      </w:pPr>
    </w:p>
    <w:p w:rsidR="00324CD5" w:rsidRPr="006919F5" w:rsidRDefault="00324CD5" w:rsidP="00324CD5">
      <w:pPr>
        <w:widowControl/>
        <w:spacing w:after="120" w:line="264" w:lineRule="auto"/>
        <w:rPr>
          <w:snapToGrid/>
          <w:kern w:val="0"/>
          <w:szCs w:val="22"/>
        </w:rPr>
      </w:pPr>
      <w:r w:rsidRPr="006919F5">
        <w:rPr>
          <w:b/>
          <w:snapToGrid/>
          <w:kern w:val="0"/>
          <w:szCs w:val="22"/>
          <w:shd w:val="clear" w:color="auto" w:fill="FFFFFF"/>
        </w:rPr>
        <w:t>§ 64.7005 Data Security Requirements for Broadband Internet Access Service Providers.</w:t>
      </w:r>
    </w:p>
    <w:p w:rsidR="00324CD5" w:rsidRPr="006919F5" w:rsidRDefault="00324CD5" w:rsidP="00DD1589">
      <w:pPr>
        <w:widowControl/>
        <w:numPr>
          <w:ilvl w:val="0"/>
          <w:numId w:val="23"/>
        </w:numPr>
        <w:spacing w:after="120" w:line="264" w:lineRule="auto"/>
        <w:rPr>
          <w:snapToGrid/>
          <w:kern w:val="0"/>
          <w:szCs w:val="22"/>
        </w:rPr>
      </w:pPr>
      <w:r w:rsidRPr="006919F5">
        <w:rPr>
          <w:rFonts w:eastAsia="Calibri"/>
          <w:i/>
          <w:snapToGrid/>
          <w:kern w:val="0"/>
          <w:szCs w:val="22"/>
        </w:rPr>
        <w:t>Data security requirements</w:t>
      </w:r>
      <w:r w:rsidRPr="006919F5">
        <w:rPr>
          <w:rFonts w:eastAsia="Calibri"/>
          <w:snapToGrid/>
          <w:kern w:val="0"/>
          <w:szCs w:val="22"/>
        </w:rPr>
        <w:t xml:space="preserve">.  A BIAS provider must ensure the security, confidentiality, and integrity of all customer PI the BIAS provider receives, maintains, uses, discloses, or </w:t>
      </w:r>
      <w:r w:rsidRPr="006919F5">
        <w:rPr>
          <w:snapToGrid/>
          <w:kern w:val="0"/>
          <w:szCs w:val="22"/>
        </w:rPr>
        <w:t xml:space="preserve">permits access to from any unauthorized uses or disclosures, or uses exceeding authorization. </w:t>
      </w:r>
      <w:r w:rsidR="00CF0243">
        <w:rPr>
          <w:snapToGrid/>
          <w:kern w:val="0"/>
          <w:szCs w:val="22"/>
        </w:rPr>
        <w:t xml:space="preserve"> </w:t>
      </w:r>
      <w:r w:rsidRPr="006919F5">
        <w:rPr>
          <w:snapToGrid/>
          <w:kern w:val="0"/>
          <w:szCs w:val="22"/>
        </w:rPr>
        <w:t>At minimum, this requires a BIAS provider to:</w:t>
      </w:r>
    </w:p>
    <w:p w:rsidR="00324CD5" w:rsidRPr="006919F5" w:rsidRDefault="00324CD5" w:rsidP="00DD1589">
      <w:pPr>
        <w:widowControl/>
        <w:numPr>
          <w:ilvl w:val="1"/>
          <w:numId w:val="23"/>
        </w:numPr>
        <w:spacing w:after="120" w:line="264" w:lineRule="auto"/>
        <w:rPr>
          <w:snapToGrid/>
          <w:kern w:val="0"/>
          <w:szCs w:val="22"/>
        </w:rPr>
      </w:pPr>
      <w:r w:rsidRPr="006919F5">
        <w:rPr>
          <w:rFonts w:eastAsia="Calibri"/>
          <w:snapToGrid/>
          <w:kern w:val="0"/>
          <w:szCs w:val="22"/>
        </w:rPr>
        <w:t>Establish and perform regular risk management assessments and promptly address any weaknesses in the provider’s data security system identified by such assessments;</w:t>
      </w:r>
    </w:p>
    <w:p w:rsidR="00324CD5" w:rsidRPr="006919F5" w:rsidRDefault="00324CD5" w:rsidP="00DD1589">
      <w:pPr>
        <w:widowControl/>
        <w:numPr>
          <w:ilvl w:val="1"/>
          <w:numId w:val="23"/>
        </w:numPr>
        <w:spacing w:after="120" w:line="264" w:lineRule="auto"/>
        <w:rPr>
          <w:snapToGrid/>
          <w:kern w:val="0"/>
          <w:szCs w:val="22"/>
        </w:rPr>
      </w:pPr>
      <w:r w:rsidRPr="006919F5">
        <w:rPr>
          <w:rFonts w:eastAsia="Calibri"/>
          <w:snapToGrid/>
          <w:kern w:val="0"/>
          <w:szCs w:val="22"/>
        </w:rPr>
        <w:t>Train employees, contractors, and affiliates that handle customer PI about the BIAS provider’s data security procedures;</w:t>
      </w:r>
    </w:p>
    <w:p w:rsidR="00324CD5" w:rsidRPr="006919F5" w:rsidRDefault="00324CD5" w:rsidP="00DD1589">
      <w:pPr>
        <w:widowControl/>
        <w:numPr>
          <w:ilvl w:val="1"/>
          <w:numId w:val="23"/>
        </w:numPr>
        <w:spacing w:after="120" w:line="264" w:lineRule="auto"/>
        <w:rPr>
          <w:snapToGrid/>
          <w:kern w:val="0"/>
          <w:szCs w:val="22"/>
        </w:rPr>
      </w:pPr>
      <w:r w:rsidRPr="006919F5">
        <w:rPr>
          <w:rFonts w:eastAsia="Calibri"/>
          <w:snapToGrid/>
          <w:kern w:val="0"/>
          <w:szCs w:val="22"/>
        </w:rPr>
        <w:t xml:space="preserve">Designate a senior management official with </w:t>
      </w:r>
      <w:r w:rsidRPr="006919F5">
        <w:rPr>
          <w:rFonts w:eastAsia="Georgia"/>
          <w:snapToGrid/>
          <w:kern w:val="0"/>
          <w:szCs w:val="22"/>
        </w:rPr>
        <w:t>responsibility for implementing and maintaining the broadband provider’s information security measures</w:t>
      </w:r>
      <w:r w:rsidRPr="006919F5">
        <w:rPr>
          <w:snapToGrid/>
          <w:kern w:val="0"/>
          <w:szCs w:val="22"/>
        </w:rPr>
        <w:t>;</w:t>
      </w:r>
    </w:p>
    <w:p w:rsidR="00324CD5" w:rsidRPr="006919F5" w:rsidRDefault="00324CD5" w:rsidP="00DD1589">
      <w:pPr>
        <w:widowControl/>
        <w:numPr>
          <w:ilvl w:val="1"/>
          <w:numId w:val="23"/>
        </w:numPr>
        <w:spacing w:after="120" w:line="264" w:lineRule="auto"/>
        <w:rPr>
          <w:snapToGrid/>
          <w:kern w:val="0"/>
          <w:szCs w:val="22"/>
        </w:rPr>
      </w:pPr>
      <w:r w:rsidRPr="006919F5">
        <w:rPr>
          <w:rFonts w:eastAsia="Georgia"/>
          <w:snapToGrid/>
          <w:kern w:val="0"/>
          <w:szCs w:val="22"/>
        </w:rPr>
        <w:t>Establish and use robust customer authentication procedures to grant customers or their designees’ access to customer PI; and</w:t>
      </w:r>
    </w:p>
    <w:p w:rsidR="00324CD5" w:rsidRPr="006919F5" w:rsidRDefault="00324CD5" w:rsidP="00DD1589">
      <w:pPr>
        <w:widowControl/>
        <w:numPr>
          <w:ilvl w:val="1"/>
          <w:numId w:val="23"/>
        </w:numPr>
        <w:spacing w:after="120" w:line="264" w:lineRule="auto"/>
        <w:rPr>
          <w:snapToGrid/>
          <w:kern w:val="0"/>
          <w:szCs w:val="22"/>
        </w:rPr>
      </w:pPr>
      <w:r w:rsidRPr="006919F5">
        <w:rPr>
          <w:rFonts w:eastAsia="Georgia"/>
          <w:snapToGrid/>
          <w:kern w:val="0"/>
          <w:szCs w:val="22"/>
        </w:rPr>
        <w:t>Notify customers of account changes, including attempts to access customer PI, in order to protect against fraudulent authentication.</w:t>
      </w:r>
    </w:p>
    <w:p w:rsidR="00324CD5" w:rsidRPr="006919F5" w:rsidRDefault="00324CD5" w:rsidP="00DD1589">
      <w:pPr>
        <w:widowControl/>
        <w:numPr>
          <w:ilvl w:val="0"/>
          <w:numId w:val="23"/>
        </w:numPr>
        <w:spacing w:after="120" w:line="264" w:lineRule="auto"/>
        <w:rPr>
          <w:snapToGrid/>
          <w:kern w:val="0"/>
          <w:szCs w:val="22"/>
        </w:rPr>
      </w:pPr>
      <w:r w:rsidRPr="006919F5">
        <w:rPr>
          <w:rFonts w:eastAsia="Calibri"/>
          <w:snapToGrid/>
          <w:kern w:val="0"/>
          <w:szCs w:val="22"/>
        </w:rPr>
        <w:t>A BIAS provider may employ any security measures that allow the provider to reasonably implement the requirements set forth in this section, and in doing so must take into account, at minimum,:</w:t>
      </w:r>
    </w:p>
    <w:p w:rsidR="00324CD5" w:rsidRPr="006919F5" w:rsidRDefault="00324CD5" w:rsidP="00DD1589">
      <w:pPr>
        <w:widowControl/>
        <w:numPr>
          <w:ilvl w:val="1"/>
          <w:numId w:val="23"/>
        </w:numPr>
        <w:spacing w:after="120" w:line="264" w:lineRule="auto"/>
        <w:rPr>
          <w:snapToGrid/>
          <w:kern w:val="0"/>
          <w:szCs w:val="22"/>
        </w:rPr>
      </w:pPr>
      <w:r w:rsidRPr="006919F5">
        <w:rPr>
          <w:rFonts w:eastAsia="Calibri"/>
          <w:snapToGrid/>
          <w:kern w:val="0"/>
          <w:szCs w:val="22"/>
        </w:rPr>
        <w:t>The nature and scope of the BIAS provider’s activities;</w:t>
      </w:r>
    </w:p>
    <w:p w:rsidR="00324CD5" w:rsidRPr="006919F5" w:rsidRDefault="00324CD5" w:rsidP="00DD1589">
      <w:pPr>
        <w:widowControl/>
        <w:numPr>
          <w:ilvl w:val="1"/>
          <w:numId w:val="23"/>
        </w:numPr>
        <w:spacing w:after="120" w:line="264" w:lineRule="auto"/>
        <w:rPr>
          <w:snapToGrid/>
          <w:kern w:val="0"/>
          <w:szCs w:val="22"/>
        </w:rPr>
      </w:pPr>
      <w:r w:rsidRPr="006919F5">
        <w:rPr>
          <w:rFonts w:eastAsia="Calibri"/>
          <w:snapToGrid/>
          <w:kern w:val="0"/>
          <w:szCs w:val="22"/>
        </w:rPr>
        <w:t>The sensitivity of the customer proprietary information held by the BIAS provider.</w:t>
      </w:r>
    </w:p>
    <w:p w:rsidR="00324CD5" w:rsidRDefault="00324CD5" w:rsidP="00324CD5">
      <w:pPr>
        <w:widowControl/>
        <w:rPr>
          <w:snapToGrid/>
          <w:kern w:val="0"/>
          <w:szCs w:val="22"/>
        </w:rPr>
      </w:pPr>
    </w:p>
    <w:p w:rsidR="00324CD5" w:rsidRPr="006919F5" w:rsidRDefault="00324CD5" w:rsidP="00324CD5">
      <w:pPr>
        <w:widowControl/>
        <w:rPr>
          <w:snapToGrid/>
          <w:kern w:val="0"/>
          <w:szCs w:val="22"/>
        </w:rPr>
      </w:pPr>
    </w:p>
    <w:p w:rsidR="00324CD5" w:rsidRPr="006919F5" w:rsidRDefault="00324CD5" w:rsidP="00324CD5">
      <w:pPr>
        <w:widowControl/>
        <w:tabs>
          <w:tab w:val="left" w:pos="360"/>
        </w:tabs>
        <w:rPr>
          <w:b/>
          <w:snapToGrid/>
          <w:kern w:val="0"/>
          <w:szCs w:val="22"/>
          <w:shd w:val="clear" w:color="auto" w:fill="FFFFFF"/>
        </w:rPr>
      </w:pPr>
      <w:r w:rsidRPr="006919F5">
        <w:rPr>
          <w:rFonts w:eastAsia="Georgia"/>
          <w:b/>
          <w:snapToGrid/>
          <w:kern w:val="0"/>
          <w:szCs w:val="22"/>
        </w:rPr>
        <w:t xml:space="preserve">§ 64.7006 </w:t>
      </w:r>
      <w:r w:rsidRPr="006919F5">
        <w:rPr>
          <w:b/>
          <w:snapToGrid/>
          <w:kern w:val="0"/>
          <w:szCs w:val="22"/>
          <w:shd w:val="clear" w:color="auto" w:fill="FFFFFF"/>
        </w:rPr>
        <w:t>Breach Notification.</w:t>
      </w:r>
    </w:p>
    <w:p w:rsidR="00324CD5" w:rsidRPr="006919F5" w:rsidRDefault="00324CD5" w:rsidP="00324CD5">
      <w:pPr>
        <w:widowControl/>
        <w:tabs>
          <w:tab w:val="left" w:pos="360"/>
        </w:tabs>
        <w:rPr>
          <w:b/>
          <w:snapToGrid/>
          <w:kern w:val="0"/>
          <w:szCs w:val="22"/>
          <w:shd w:val="clear" w:color="auto" w:fill="FFFFFF"/>
        </w:rPr>
      </w:pPr>
    </w:p>
    <w:p w:rsidR="00324CD5" w:rsidRPr="006919F5" w:rsidRDefault="00324CD5" w:rsidP="00DD1589">
      <w:pPr>
        <w:widowControl/>
        <w:numPr>
          <w:ilvl w:val="0"/>
          <w:numId w:val="24"/>
        </w:numPr>
        <w:spacing w:after="120" w:line="264" w:lineRule="auto"/>
        <w:rPr>
          <w:snapToGrid/>
          <w:kern w:val="0"/>
          <w:szCs w:val="22"/>
        </w:rPr>
      </w:pPr>
      <w:r w:rsidRPr="006919F5">
        <w:rPr>
          <w:rFonts w:eastAsia="Times New Roman,Calibri"/>
          <w:i/>
          <w:snapToGrid/>
          <w:kern w:val="0"/>
          <w:szCs w:val="22"/>
        </w:rPr>
        <w:t>Customer Notification.</w:t>
      </w:r>
      <w:r w:rsidRPr="006919F5">
        <w:rPr>
          <w:rFonts w:eastAsia="Times New Roman,Calibri"/>
          <w:snapToGrid/>
          <w:kern w:val="0"/>
          <w:szCs w:val="22"/>
        </w:rPr>
        <w:t xml:space="preserve"> </w:t>
      </w:r>
      <w:r w:rsidR="00CF0243">
        <w:rPr>
          <w:rFonts w:eastAsia="Times New Roman,Calibri"/>
          <w:snapToGrid/>
          <w:kern w:val="0"/>
          <w:szCs w:val="22"/>
        </w:rPr>
        <w:t xml:space="preserve"> </w:t>
      </w:r>
      <w:r w:rsidRPr="006919F5">
        <w:rPr>
          <w:rFonts w:eastAsia="Times New Roman,Calibri"/>
          <w:snapToGrid/>
          <w:kern w:val="0"/>
          <w:szCs w:val="22"/>
        </w:rPr>
        <w:t xml:space="preserve">A </w:t>
      </w:r>
      <w:r w:rsidRPr="006919F5">
        <w:rPr>
          <w:rFonts w:eastAsia="Times New Roman,Georgia"/>
          <w:snapToGrid/>
          <w:kern w:val="0"/>
          <w:szCs w:val="22"/>
        </w:rPr>
        <w:t xml:space="preserve">BIAS provider must notify affected customers of </w:t>
      </w:r>
      <w:r w:rsidR="00CF0243">
        <w:rPr>
          <w:rFonts w:eastAsia="Times New Roman,Georgia"/>
          <w:snapToGrid/>
          <w:kern w:val="0"/>
          <w:szCs w:val="22"/>
        </w:rPr>
        <w:t>covered breaches of customer PI</w:t>
      </w:r>
      <w:r w:rsidRPr="006919F5">
        <w:rPr>
          <w:rFonts w:eastAsia="Times New Roman,Georgia"/>
          <w:snapToGrid/>
          <w:kern w:val="0"/>
          <w:szCs w:val="22"/>
        </w:rPr>
        <w:t xml:space="preserve"> no later than 10 days after the discovery of the breach, subject to law enforcement needs.</w:t>
      </w:r>
    </w:p>
    <w:p w:rsidR="00324CD5" w:rsidRPr="006919F5" w:rsidRDefault="00324CD5" w:rsidP="00DD1589">
      <w:pPr>
        <w:widowControl/>
        <w:numPr>
          <w:ilvl w:val="1"/>
          <w:numId w:val="24"/>
        </w:numPr>
        <w:spacing w:after="120" w:line="264" w:lineRule="auto"/>
        <w:rPr>
          <w:snapToGrid/>
          <w:kern w:val="0"/>
          <w:szCs w:val="22"/>
        </w:rPr>
      </w:pPr>
      <w:r w:rsidRPr="006919F5">
        <w:rPr>
          <w:rFonts w:eastAsia="Times New Roman,Calibri"/>
          <w:snapToGrid/>
          <w:kern w:val="0"/>
          <w:szCs w:val="22"/>
        </w:rPr>
        <w:t xml:space="preserve">A </w:t>
      </w:r>
      <w:r w:rsidRPr="006919F5">
        <w:rPr>
          <w:rFonts w:eastAsia="Times New Roman,Georgia"/>
          <w:snapToGrid/>
          <w:kern w:val="0"/>
          <w:szCs w:val="22"/>
        </w:rPr>
        <w:t xml:space="preserve">BIAS provider </w:t>
      </w:r>
      <w:r w:rsidRPr="006919F5">
        <w:rPr>
          <w:rFonts w:eastAsia="Calibri"/>
          <w:snapToGrid/>
          <w:kern w:val="0"/>
          <w:szCs w:val="22"/>
        </w:rPr>
        <w:t xml:space="preserve">required to provide notification to a customer under this subsection </w:t>
      </w:r>
      <w:r w:rsidRPr="006919F5">
        <w:rPr>
          <w:rFonts w:eastAsia="Times New Roman,Calibri"/>
          <w:snapToGrid/>
          <w:kern w:val="0"/>
          <w:szCs w:val="22"/>
        </w:rPr>
        <w:t>may provide such notice by any of the following methods:</w:t>
      </w:r>
    </w:p>
    <w:p w:rsidR="00324CD5" w:rsidRPr="006919F5" w:rsidRDefault="00324CD5" w:rsidP="00DD1589">
      <w:pPr>
        <w:widowControl/>
        <w:numPr>
          <w:ilvl w:val="2"/>
          <w:numId w:val="24"/>
        </w:numPr>
        <w:spacing w:after="120" w:line="264" w:lineRule="auto"/>
        <w:rPr>
          <w:snapToGrid/>
          <w:kern w:val="0"/>
          <w:szCs w:val="22"/>
        </w:rPr>
      </w:pPr>
      <w:r w:rsidRPr="006919F5">
        <w:rPr>
          <w:rFonts w:eastAsia="Calibri"/>
          <w:snapToGrid/>
          <w:kern w:val="0"/>
          <w:szCs w:val="22"/>
        </w:rPr>
        <w:t>Written notification, sent to the postal address of the customer provided by the customer for contacting that customer; or</w:t>
      </w:r>
    </w:p>
    <w:p w:rsidR="00324CD5" w:rsidRPr="006919F5" w:rsidRDefault="00324CD5" w:rsidP="00DD1589">
      <w:pPr>
        <w:widowControl/>
        <w:numPr>
          <w:ilvl w:val="2"/>
          <w:numId w:val="24"/>
        </w:numPr>
        <w:spacing w:after="120" w:line="264" w:lineRule="auto"/>
        <w:rPr>
          <w:snapToGrid/>
          <w:kern w:val="0"/>
          <w:szCs w:val="22"/>
        </w:rPr>
      </w:pPr>
      <w:r w:rsidRPr="006919F5">
        <w:rPr>
          <w:rFonts w:eastAsia="Calibri"/>
          <w:snapToGrid/>
          <w:kern w:val="0"/>
          <w:szCs w:val="22"/>
        </w:rPr>
        <w:t>Email or other electronic means using information provided by the customer for contacting that customer for data breach notification purposes.</w:t>
      </w:r>
    </w:p>
    <w:p w:rsidR="00324CD5" w:rsidRPr="006919F5" w:rsidRDefault="00324CD5" w:rsidP="00DD1589">
      <w:pPr>
        <w:widowControl/>
        <w:numPr>
          <w:ilvl w:val="1"/>
          <w:numId w:val="24"/>
        </w:numPr>
        <w:spacing w:after="120" w:line="264" w:lineRule="auto"/>
        <w:rPr>
          <w:snapToGrid/>
          <w:kern w:val="0"/>
          <w:szCs w:val="22"/>
        </w:rPr>
      </w:pPr>
      <w:r w:rsidRPr="006919F5">
        <w:rPr>
          <w:rFonts w:eastAsia="Calibri"/>
          <w:snapToGrid/>
          <w:kern w:val="0"/>
          <w:szCs w:val="22"/>
        </w:rPr>
        <w:t>The customer notification required to be provided under this section must include:</w:t>
      </w:r>
    </w:p>
    <w:p w:rsidR="00324CD5" w:rsidRPr="006919F5" w:rsidRDefault="00324CD5" w:rsidP="00DD1589">
      <w:pPr>
        <w:widowControl/>
        <w:numPr>
          <w:ilvl w:val="2"/>
          <w:numId w:val="24"/>
        </w:numPr>
        <w:spacing w:after="120" w:line="264" w:lineRule="auto"/>
        <w:rPr>
          <w:snapToGrid/>
          <w:kern w:val="0"/>
          <w:szCs w:val="22"/>
        </w:rPr>
      </w:pPr>
      <w:r w:rsidRPr="006919F5">
        <w:rPr>
          <w:rFonts w:eastAsia="Calibri"/>
          <w:snapToGrid/>
          <w:kern w:val="0"/>
          <w:szCs w:val="22"/>
        </w:rPr>
        <w:t>The date, estimated date, or estimated date range of the breach of security;</w:t>
      </w:r>
    </w:p>
    <w:p w:rsidR="00324CD5" w:rsidRPr="006919F5" w:rsidRDefault="00324CD5" w:rsidP="00DD1589">
      <w:pPr>
        <w:widowControl/>
        <w:numPr>
          <w:ilvl w:val="2"/>
          <w:numId w:val="24"/>
        </w:numPr>
        <w:spacing w:after="120" w:line="264" w:lineRule="auto"/>
        <w:rPr>
          <w:snapToGrid/>
          <w:kern w:val="0"/>
          <w:szCs w:val="22"/>
        </w:rPr>
      </w:pPr>
      <w:r w:rsidRPr="006919F5">
        <w:rPr>
          <w:rFonts w:eastAsia="Calibri"/>
          <w:snapToGrid/>
          <w:kern w:val="0"/>
          <w:szCs w:val="22"/>
        </w:rPr>
        <w:t>A description of the customer PI that was used, disclosed, or accessed, or reasonably believed to have been used, disclosed, or accessed, by a person without or exceeding authorization as a part of the breach of security;</w:t>
      </w:r>
    </w:p>
    <w:p w:rsidR="00324CD5" w:rsidRPr="006919F5" w:rsidRDefault="00CF0243" w:rsidP="00DD1589">
      <w:pPr>
        <w:widowControl/>
        <w:numPr>
          <w:ilvl w:val="2"/>
          <w:numId w:val="24"/>
        </w:numPr>
        <w:spacing w:after="120" w:line="264" w:lineRule="auto"/>
        <w:rPr>
          <w:snapToGrid/>
          <w:kern w:val="0"/>
          <w:szCs w:val="22"/>
        </w:rPr>
      </w:pPr>
      <w:r>
        <w:rPr>
          <w:rFonts w:eastAsia="Times New Roman,Calibri"/>
          <w:snapToGrid/>
          <w:kern w:val="0"/>
          <w:szCs w:val="22"/>
        </w:rPr>
        <w:t xml:space="preserve"> </w:t>
      </w:r>
      <w:r w:rsidR="00324CD5" w:rsidRPr="006919F5">
        <w:rPr>
          <w:rFonts w:eastAsia="Times New Roman,Calibri"/>
          <w:snapToGrid/>
          <w:kern w:val="0"/>
          <w:szCs w:val="22"/>
        </w:rPr>
        <w:t xml:space="preserve">Information that the customer can use to contact the </w:t>
      </w:r>
      <w:r w:rsidR="00324CD5" w:rsidRPr="006919F5">
        <w:rPr>
          <w:rFonts w:eastAsia="Times New Roman,Georgia"/>
          <w:snapToGrid/>
          <w:kern w:val="0"/>
          <w:szCs w:val="22"/>
        </w:rPr>
        <w:t xml:space="preserve">BIAS provider </w:t>
      </w:r>
      <w:r w:rsidR="00324CD5" w:rsidRPr="006919F5">
        <w:rPr>
          <w:rFonts w:eastAsia="Times New Roman,Calibri"/>
          <w:snapToGrid/>
          <w:kern w:val="0"/>
          <w:szCs w:val="22"/>
        </w:rPr>
        <w:t xml:space="preserve">to inquire about the breach of security and the customer PI that the BIAS provider maintains about that customer; </w:t>
      </w:r>
    </w:p>
    <w:p w:rsidR="00324CD5" w:rsidRPr="006919F5" w:rsidRDefault="00CF0243" w:rsidP="00DD1589">
      <w:pPr>
        <w:widowControl/>
        <w:numPr>
          <w:ilvl w:val="2"/>
          <w:numId w:val="24"/>
        </w:numPr>
        <w:spacing w:after="120" w:line="264" w:lineRule="auto"/>
        <w:rPr>
          <w:snapToGrid/>
          <w:kern w:val="0"/>
          <w:szCs w:val="22"/>
        </w:rPr>
      </w:pPr>
      <w:r>
        <w:rPr>
          <w:rFonts w:eastAsia="Times New Roman,Georgia"/>
          <w:snapToGrid/>
          <w:kern w:val="0"/>
          <w:szCs w:val="22"/>
        </w:rPr>
        <w:t xml:space="preserve"> </w:t>
      </w:r>
      <w:r w:rsidR="00324CD5" w:rsidRPr="006919F5">
        <w:rPr>
          <w:rFonts w:eastAsia="Times New Roman,Georgia"/>
          <w:snapToGrid/>
          <w:kern w:val="0"/>
          <w:szCs w:val="22"/>
        </w:rPr>
        <w:t>Information about how to contact the Federal Communications Commission and any state regulatory agencies relevant to the customer and the service; and</w:t>
      </w:r>
    </w:p>
    <w:p w:rsidR="00324CD5" w:rsidRPr="006919F5" w:rsidRDefault="00324CD5" w:rsidP="00DD1589">
      <w:pPr>
        <w:widowControl/>
        <w:numPr>
          <w:ilvl w:val="2"/>
          <w:numId w:val="24"/>
        </w:numPr>
        <w:spacing w:after="120" w:line="264" w:lineRule="auto"/>
        <w:rPr>
          <w:snapToGrid/>
          <w:kern w:val="0"/>
          <w:szCs w:val="22"/>
        </w:rPr>
      </w:pPr>
      <w:r w:rsidRPr="006919F5">
        <w:rPr>
          <w:rFonts w:eastAsia="Times New Roman,Calibri"/>
          <w:snapToGrid/>
          <w:kern w:val="0"/>
          <w:szCs w:val="22"/>
        </w:rPr>
        <w:t xml:space="preserve">Information about the national credit-reporting agencies and the steps customers can take to guard against identity theft, including any credit monitoring or reporting the </w:t>
      </w:r>
      <w:r w:rsidRPr="006919F5">
        <w:rPr>
          <w:rFonts w:eastAsia="Times New Roman,Georgia"/>
          <w:snapToGrid/>
          <w:kern w:val="0"/>
          <w:szCs w:val="22"/>
        </w:rPr>
        <w:t>telecommunications carrier</w:t>
      </w:r>
      <w:r w:rsidRPr="006919F5">
        <w:rPr>
          <w:rFonts w:eastAsia="Times New Roman,Calibri"/>
          <w:snapToGrid/>
          <w:kern w:val="0"/>
          <w:szCs w:val="22"/>
        </w:rPr>
        <w:t xml:space="preserve"> is offering customers affected by the breach of security.</w:t>
      </w:r>
    </w:p>
    <w:p w:rsidR="00324CD5" w:rsidRPr="006919F5" w:rsidRDefault="00324CD5" w:rsidP="00DD1589">
      <w:pPr>
        <w:widowControl/>
        <w:numPr>
          <w:ilvl w:val="1"/>
          <w:numId w:val="24"/>
        </w:numPr>
        <w:spacing w:after="120" w:line="264" w:lineRule="auto"/>
        <w:rPr>
          <w:snapToGrid/>
          <w:kern w:val="0"/>
          <w:szCs w:val="22"/>
        </w:rPr>
      </w:pPr>
      <w:r w:rsidRPr="006919F5">
        <w:rPr>
          <w:rFonts w:eastAsia="Times New Roman,Georgia"/>
          <w:snapToGrid/>
          <w:kern w:val="0"/>
          <w:szCs w:val="22"/>
        </w:rPr>
        <w:t>If a federal law enforcement agency determines that the notification to customers required under this subsection would interfere with a criminal or national security investigation, such notification shall be delayed upon the written request of the law enforcement agency for any period which the law enforcement agency determines is reasonably necessary.  A law enforcement agency may, by a subsequent written request, revoke such delay or extend the period set forth in the original request made under this subparagraph by a subsequent request if the law enforcement agency determines that further delay is necessary.</w:t>
      </w:r>
    </w:p>
    <w:p w:rsidR="00324CD5" w:rsidRPr="006919F5" w:rsidRDefault="00324CD5" w:rsidP="00DD1589">
      <w:pPr>
        <w:widowControl/>
        <w:numPr>
          <w:ilvl w:val="0"/>
          <w:numId w:val="24"/>
        </w:numPr>
        <w:spacing w:after="120" w:line="264" w:lineRule="auto"/>
        <w:rPr>
          <w:snapToGrid/>
          <w:kern w:val="0"/>
          <w:szCs w:val="22"/>
        </w:rPr>
      </w:pPr>
      <w:r w:rsidRPr="006919F5">
        <w:rPr>
          <w:rFonts w:eastAsia="Times New Roman,Calibri"/>
          <w:i/>
          <w:snapToGrid/>
          <w:kern w:val="0"/>
          <w:szCs w:val="22"/>
        </w:rPr>
        <w:t>Commission Notification.</w:t>
      </w:r>
      <w:r w:rsidRPr="006919F5">
        <w:rPr>
          <w:snapToGrid/>
          <w:kern w:val="0"/>
          <w:szCs w:val="22"/>
        </w:rPr>
        <w:t xml:space="preserve">  </w:t>
      </w:r>
      <w:r w:rsidRPr="006919F5">
        <w:rPr>
          <w:rFonts w:eastAsia="Times New Roman,Georgia"/>
          <w:snapToGrid/>
          <w:kern w:val="0"/>
          <w:szCs w:val="22"/>
        </w:rPr>
        <w:t>A BIAS provider must notify the Federal Communications Commission of any breach of customer PI no later than seven days after discovering such breach.  Such notification shall be made electronically by means of a reporting system that the Commission makes available on its website.</w:t>
      </w:r>
    </w:p>
    <w:p w:rsidR="00324CD5" w:rsidRPr="00FB2D85" w:rsidRDefault="00324CD5" w:rsidP="00DD1589">
      <w:pPr>
        <w:widowControl/>
        <w:numPr>
          <w:ilvl w:val="0"/>
          <w:numId w:val="24"/>
        </w:numPr>
        <w:spacing w:after="220"/>
        <w:rPr>
          <w:rFonts w:eastAsia="Georgia"/>
          <w:snapToGrid/>
          <w:kern w:val="0"/>
          <w:szCs w:val="22"/>
        </w:rPr>
      </w:pPr>
      <w:r w:rsidRPr="006919F5">
        <w:rPr>
          <w:rFonts w:eastAsia="Calibri"/>
          <w:i/>
          <w:snapToGrid/>
          <w:kern w:val="0"/>
          <w:szCs w:val="22"/>
        </w:rPr>
        <w:t>Federal Law Enforcement Notification</w:t>
      </w:r>
      <w:r w:rsidRPr="006919F5">
        <w:rPr>
          <w:rFonts w:eastAsia="Georgia"/>
          <w:snapToGrid/>
          <w:kern w:val="0"/>
          <w:szCs w:val="22"/>
        </w:rPr>
        <w:t xml:space="preserve">.  </w:t>
      </w:r>
      <w:r w:rsidRPr="006919F5">
        <w:rPr>
          <w:rFonts w:eastAsia="Calibri"/>
          <w:snapToGrid/>
          <w:kern w:val="0"/>
          <w:szCs w:val="22"/>
        </w:rPr>
        <w:t>A BIAS provider</w:t>
      </w:r>
      <w:r w:rsidRPr="006919F5">
        <w:rPr>
          <w:rFonts w:eastAsia="Times New Roman,Georgia"/>
          <w:snapToGrid/>
          <w:kern w:val="0"/>
          <w:szCs w:val="22"/>
        </w:rPr>
        <w:t xml:space="preserve"> </w:t>
      </w:r>
      <w:r w:rsidRPr="006919F5">
        <w:rPr>
          <w:rFonts w:eastAsia="Calibri"/>
          <w:snapToGrid/>
          <w:kern w:val="0"/>
          <w:szCs w:val="22"/>
        </w:rPr>
        <w:t xml:space="preserve">must notify the </w:t>
      </w:r>
      <w:r w:rsidR="00CF0243">
        <w:rPr>
          <w:rFonts w:eastAsia="Calibri"/>
          <w:snapToGrid/>
          <w:kern w:val="0"/>
          <w:szCs w:val="22"/>
        </w:rPr>
        <w:t>Federal Bureau of Investigation (</w:t>
      </w:r>
      <w:r w:rsidRPr="006919F5">
        <w:rPr>
          <w:rFonts w:eastAsia="Calibri"/>
          <w:snapToGrid/>
          <w:kern w:val="0"/>
          <w:szCs w:val="22"/>
        </w:rPr>
        <w:t>FBI</w:t>
      </w:r>
      <w:r w:rsidR="00CF0243">
        <w:rPr>
          <w:rFonts w:eastAsia="Calibri"/>
          <w:snapToGrid/>
          <w:kern w:val="0"/>
          <w:szCs w:val="22"/>
        </w:rPr>
        <w:t>)</w:t>
      </w:r>
      <w:r w:rsidRPr="006919F5">
        <w:rPr>
          <w:rFonts w:eastAsia="Calibri"/>
          <w:snapToGrid/>
          <w:kern w:val="0"/>
          <w:szCs w:val="22"/>
        </w:rPr>
        <w:t xml:space="preserve"> and the </w:t>
      </w:r>
      <w:r w:rsidR="00CF0243">
        <w:rPr>
          <w:rFonts w:eastAsia="Calibri"/>
          <w:snapToGrid/>
          <w:kern w:val="0"/>
          <w:szCs w:val="22"/>
        </w:rPr>
        <w:t xml:space="preserve">U.S. </w:t>
      </w:r>
      <w:r w:rsidRPr="006919F5">
        <w:rPr>
          <w:rFonts w:eastAsia="Calibri"/>
          <w:snapToGrid/>
          <w:kern w:val="0"/>
          <w:szCs w:val="22"/>
        </w:rPr>
        <w:t>Secret Service</w:t>
      </w:r>
      <w:r w:rsidR="00CF0243">
        <w:rPr>
          <w:rFonts w:eastAsia="Calibri"/>
          <w:snapToGrid/>
          <w:kern w:val="0"/>
          <w:szCs w:val="22"/>
        </w:rPr>
        <w:t xml:space="preserve"> (Secret Service)</w:t>
      </w:r>
      <w:r w:rsidRPr="006919F5">
        <w:rPr>
          <w:rFonts w:eastAsia="Calibri"/>
          <w:snapToGrid/>
          <w:kern w:val="0"/>
          <w:szCs w:val="22"/>
        </w:rPr>
        <w:t xml:space="preserve"> whenever a breach </w:t>
      </w:r>
      <w:r>
        <w:rPr>
          <w:rFonts w:eastAsia="Calibri"/>
          <w:snapToGrid/>
          <w:kern w:val="0"/>
          <w:szCs w:val="22"/>
        </w:rPr>
        <w:t xml:space="preserve">is reasonably believed to have </w:t>
      </w:r>
      <w:r w:rsidRPr="006919F5">
        <w:rPr>
          <w:rFonts w:eastAsia="Calibri"/>
          <w:snapToGrid/>
          <w:kern w:val="0"/>
          <w:szCs w:val="22"/>
        </w:rPr>
        <w:t>compromise</w:t>
      </w:r>
      <w:r>
        <w:rPr>
          <w:rFonts w:eastAsia="Calibri"/>
          <w:snapToGrid/>
          <w:kern w:val="0"/>
          <w:szCs w:val="22"/>
        </w:rPr>
        <w:t>d</w:t>
      </w:r>
      <w:r w:rsidRPr="006919F5">
        <w:rPr>
          <w:rFonts w:eastAsia="Calibri"/>
          <w:snapToGrid/>
          <w:kern w:val="0"/>
          <w:szCs w:val="22"/>
        </w:rPr>
        <w:t xml:space="preserve"> the customer PI of more than 5,000 customers, no later than seven (7) days after discovery of the breach, and at least three (3) days before notification to the affected customers, whichever comes first.  </w:t>
      </w:r>
      <w:r w:rsidRPr="006919F5">
        <w:rPr>
          <w:rFonts w:eastAsia="Georgia"/>
          <w:snapToGrid/>
          <w:kern w:val="0"/>
          <w:szCs w:val="22"/>
        </w:rPr>
        <w:t>Such</w:t>
      </w:r>
      <w:r w:rsidRPr="006919F5">
        <w:rPr>
          <w:rFonts w:eastAsia="Calibri"/>
          <w:snapToGrid/>
          <w:kern w:val="0"/>
          <w:szCs w:val="22"/>
        </w:rPr>
        <w:t xml:space="preserve"> notification shall be made through a central reporting facility.  The Commission will maintain a link to the reporting facility on its website.</w:t>
      </w:r>
    </w:p>
    <w:p w:rsidR="00324CD5" w:rsidRPr="006919F5" w:rsidRDefault="00324CD5" w:rsidP="00DD1589">
      <w:pPr>
        <w:widowControl/>
        <w:numPr>
          <w:ilvl w:val="0"/>
          <w:numId w:val="24"/>
        </w:numPr>
        <w:spacing w:after="120" w:line="264" w:lineRule="auto"/>
        <w:rPr>
          <w:snapToGrid/>
          <w:kern w:val="0"/>
          <w:szCs w:val="22"/>
        </w:rPr>
      </w:pPr>
      <w:r w:rsidRPr="006919F5">
        <w:rPr>
          <w:bCs/>
          <w:i/>
          <w:iCs/>
          <w:snapToGrid/>
          <w:kern w:val="0"/>
          <w:szCs w:val="22"/>
          <w:lang w:val="en"/>
        </w:rPr>
        <w:t>Recordkeeping.</w:t>
      </w:r>
      <w:r w:rsidRPr="006919F5">
        <w:rPr>
          <w:bCs/>
          <w:i/>
          <w:snapToGrid/>
          <w:kern w:val="0"/>
          <w:szCs w:val="22"/>
          <w:lang w:val="en"/>
        </w:rPr>
        <w:t xml:space="preserve"> </w:t>
      </w:r>
      <w:r w:rsidRPr="006919F5">
        <w:rPr>
          <w:snapToGrid/>
          <w:kern w:val="0"/>
          <w:szCs w:val="22"/>
          <w:lang w:val="en"/>
        </w:rPr>
        <w:t xml:space="preserve"> A </w:t>
      </w:r>
      <w:r w:rsidRPr="006919F5">
        <w:rPr>
          <w:rFonts w:eastAsia="Times New Roman,Georgia"/>
          <w:snapToGrid/>
          <w:kern w:val="0"/>
          <w:szCs w:val="22"/>
        </w:rPr>
        <w:t>BIAS provider</w:t>
      </w:r>
      <w:r w:rsidRPr="006919F5">
        <w:rPr>
          <w:snapToGrid/>
          <w:kern w:val="0"/>
          <w:szCs w:val="22"/>
          <w:lang w:val="en"/>
        </w:rPr>
        <w:t xml:space="preserve"> must maintain a record of any breaches of security discovered and notifications made to customers, the Commission, the FBI, and the Secret Service pursuant to this section.  The record must include, if available, dates of discovery and notification, a detailed description of the customer PI that was the subject of the breach, and the circumstances of the breach.  BIAS providers shall retain such records for a minimum of 2 years.</w:t>
      </w:r>
    </w:p>
    <w:p w:rsidR="00324CD5" w:rsidRPr="006919F5" w:rsidRDefault="00324CD5" w:rsidP="00324CD5">
      <w:pPr>
        <w:widowControl/>
        <w:spacing w:after="120" w:line="264" w:lineRule="auto"/>
        <w:ind w:left="360"/>
        <w:rPr>
          <w:snapToGrid/>
          <w:kern w:val="0"/>
          <w:szCs w:val="22"/>
        </w:rPr>
      </w:pPr>
    </w:p>
    <w:p w:rsidR="00324CD5" w:rsidRPr="006919F5" w:rsidRDefault="00324CD5" w:rsidP="00324CD5">
      <w:pPr>
        <w:widowControl/>
        <w:spacing w:after="120" w:line="264" w:lineRule="auto"/>
        <w:rPr>
          <w:snapToGrid/>
          <w:kern w:val="0"/>
          <w:szCs w:val="22"/>
        </w:rPr>
      </w:pPr>
      <w:r w:rsidRPr="006919F5">
        <w:rPr>
          <w:rFonts w:eastAsia="Georgia"/>
          <w:b/>
          <w:snapToGrid/>
          <w:kern w:val="0"/>
          <w:szCs w:val="22"/>
        </w:rPr>
        <w:t>§ 64.7007 Effect on State Law.</w:t>
      </w:r>
    </w:p>
    <w:p w:rsidR="00324CD5" w:rsidRDefault="00324CD5" w:rsidP="00324CD5">
      <w:pPr>
        <w:widowControl/>
        <w:spacing w:after="120" w:line="264" w:lineRule="auto"/>
        <w:rPr>
          <w:rFonts w:eastAsia="Georgia"/>
          <w:snapToGrid/>
          <w:kern w:val="0"/>
          <w:szCs w:val="22"/>
        </w:rPr>
        <w:sectPr w:rsidR="00324CD5" w:rsidSect="00337692">
          <w:endnotePr>
            <w:numFmt w:val="decimal"/>
          </w:endnotePr>
          <w:pgSz w:w="12240" w:h="15840"/>
          <w:pgMar w:top="1440" w:right="1440" w:bottom="720" w:left="1440" w:header="720" w:footer="720" w:gutter="0"/>
          <w:cols w:space="720"/>
          <w:noEndnote/>
          <w:docGrid w:linePitch="299"/>
        </w:sectPr>
      </w:pPr>
      <w:r w:rsidRPr="006919F5">
        <w:rPr>
          <w:rFonts w:eastAsia="Georgia"/>
          <w:snapToGrid/>
          <w:kern w:val="0"/>
          <w:szCs w:val="22"/>
        </w:rPr>
        <w:t xml:space="preserve">The rules set forth in this subpart shall preempt state law only to the extent that such state laws are inconsistent with the rules set forth herein.  The Commission shall determine whether a state law is preempted on a case-by-case basis, without the presumption that more restrictive state laws are preempted. </w:t>
      </w:r>
    </w:p>
    <w:p w:rsidR="00324CD5" w:rsidRPr="00F516AD" w:rsidRDefault="008A3CEA" w:rsidP="00324CD5">
      <w:pPr>
        <w:widowControl/>
        <w:spacing w:after="120" w:line="264" w:lineRule="auto"/>
        <w:jc w:val="center"/>
        <w:rPr>
          <w:rFonts w:eastAsia="Georgia"/>
          <w:b/>
          <w:snapToGrid/>
          <w:kern w:val="0"/>
          <w:szCs w:val="22"/>
        </w:rPr>
      </w:pPr>
      <w:r>
        <w:rPr>
          <w:rFonts w:eastAsia="Georgia"/>
          <w:b/>
          <w:snapToGrid/>
          <w:kern w:val="0"/>
          <w:szCs w:val="22"/>
        </w:rPr>
        <w:t>APPENDIX</w:t>
      </w:r>
      <w:r w:rsidR="00324CD5" w:rsidRPr="00F516AD">
        <w:rPr>
          <w:rFonts w:eastAsia="Georgia"/>
          <w:b/>
          <w:snapToGrid/>
          <w:kern w:val="0"/>
          <w:szCs w:val="22"/>
        </w:rPr>
        <w:t xml:space="preserve"> B</w:t>
      </w:r>
    </w:p>
    <w:p w:rsidR="00324CD5" w:rsidRPr="00F516AD" w:rsidRDefault="00324CD5" w:rsidP="00324CD5">
      <w:pPr>
        <w:widowControl/>
        <w:spacing w:after="120" w:line="264" w:lineRule="auto"/>
        <w:jc w:val="center"/>
        <w:rPr>
          <w:b/>
        </w:rPr>
      </w:pPr>
      <w:r w:rsidRPr="00F516AD">
        <w:rPr>
          <w:b/>
        </w:rPr>
        <w:t>Initial Regulatory Flexibility Analysis</w:t>
      </w:r>
    </w:p>
    <w:p w:rsidR="00324CD5" w:rsidRDefault="00324CD5" w:rsidP="00DD1589">
      <w:pPr>
        <w:pStyle w:val="ParaNum"/>
        <w:numPr>
          <w:ilvl w:val="0"/>
          <w:numId w:val="31"/>
        </w:numPr>
      </w:pPr>
      <w:r w:rsidRPr="002979D2">
        <w:t>As required by the Regulatory Flexibility Ac</w:t>
      </w:r>
      <w:r>
        <w:t>t of 1980, as amended (RFA),</w:t>
      </w:r>
      <w:r>
        <w:rPr>
          <w:rStyle w:val="FootnoteReference"/>
        </w:rPr>
        <w:footnoteReference w:id="494"/>
      </w:r>
      <w:r w:rsidRPr="002979D2">
        <w:t xml:space="preserve"> the Commission has prepared this Initial Regulatory Flexibility Analysis (IRFA) of the possible significant economic impact on a substantial number of small entities by the policies and rules proposed in this </w:t>
      </w:r>
      <w:r w:rsidRPr="008406B9">
        <w:t>Notice of Proposed Rulemaking</w:t>
      </w:r>
      <w:r>
        <w:t xml:space="preserve"> (NPRM or Notice)</w:t>
      </w:r>
      <w:r w:rsidRPr="002979D2">
        <w:t xml:space="preserve">. </w:t>
      </w:r>
      <w:r>
        <w:t xml:space="preserve"> </w:t>
      </w:r>
      <w:r w:rsidRPr="002979D2">
        <w:t>Written public comments are requested on this IRFA.</w:t>
      </w:r>
      <w:r>
        <w:t xml:space="preserve"> </w:t>
      </w:r>
      <w:r w:rsidRPr="002979D2">
        <w:t xml:space="preserve"> Comments must be identified as responses to the IRFA and must be filed by the deadlines for comments on </w:t>
      </w:r>
      <w:r w:rsidRPr="008406B9">
        <w:t xml:space="preserve">the </w:t>
      </w:r>
      <w:r>
        <w:t xml:space="preserve">Notice </w:t>
      </w:r>
      <w:r w:rsidRPr="008406B9">
        <w:t xml:space="preserve">provided </w:t>
      </w:r>
      <w:r>
        <w:t>on the front page of this item</w:t>
      </w:r>
      <w:r w:rsidRPr="008406B9">
        <w:t xml:space="preserve">.  The Commission will send a copy of the </w:t>
      </w:r>
      <w:r>
        <w:t>Notice</w:t>
      </w:r>
      <w:r w:rsidRPr="008406B9">
        <w:t>, including this IRFA, to the Chief Counsel for Advocacy of the Small Business Administration (SBA).</w:t>
      </w:r>
      <w:r w:rsidRPr="008406B9">
        <w:rPr>
          <w:rStyle w:val="FootnoteReference"/>
        </w:rPr>
        <w:footnoteReference w:id="495"/>
      </w:r>
      <w:r w:rsidRPr="008406B9">
        <w:t xml:space="preserve">  In addition, the </w:t>
      </w:r>
      <w:r>
        <w:t xml:space="preserve">Notice </w:t>
      </w:r>
      <w:r w:rsidRPr="008406B9">
        <w:t>and</w:t>
      </w:r>
      <w:r w:rsidRPr="002979D2">
        <w:t xml:space="preserve"> IRFA (or summaries thereof) will be publ</w:t>
      </w:r>
      <w:r>
        <w:t>ished in the Federal Register.</w:t>
      </w:r>
      <w:r>
        <w:rPr>
          <w:rStyle w:val="FootnoteReference"/>
        </w:rPr>
        <w:footnoteReference w:id="496"/>
      </w:r>
    </w:p>
    <w:p w:rsidR="00324CD5" w:rsidRDefault="00324CD5" w:rsidP="00324CD5">
      <w:pPr>
        <w:pStyle w:val="Heading2"/>
      </w:pPr>
      <w:bookmarkStart w:id="1029" w:name="_Toc446937497"/>
      <w:bookmarkStart w:id="1030" w:name="_Toc447116370"/>
      <w:bookmarkStart w:id="1031" w:name="_Toc447121258"/>
      <w:r>
        <w:t>Need for, and Objectives of, the Proposed Rules</w:t>
      </w:r>
      <w:bookmarkEnd w:id="1029"/>
      <w:bookmarkEnd w:id="1030"/>
      <w:bookmarkEnd w:id="1031"/>
    </w:p>
    <w:p w:rsidR="00324CD5" w:rsidRDefault="00324CD5" w:rsidP="00324CD5">
      <w:pPr>
        <w:pStyle w:val="ParaNum"/>
      </w:pPr>
      <w:r>
        <w:t xml:space="preserve">In this </w:t>
      </w:r>
      <w:r w:rsidR="00724F14">
        <w:t>NPRM</w:t>
      </w:r>
      <w:r>
        <w:t xml:space="preserve">, we propose to apply the traditional privacy requirements of the Communications Act to the most significant communications technology of today: broadband Internet access service.  Our approach can be simply stated: </w:t>
      </w:r>
      <w:r w:rsidRPr="00AE267B">
        <w:rPr>
          <w:u w:val="single"/>
        </w:rPr>
        <w:t>First</w:t>
      </w:r>
      <w:r>
        <w:t xml:space="preserve">, consumers must be able to protect their privacy, which requires transparency, choice, and data security.  </w:t>
      </w:r>
      <w:r w:rsidRPr="00AE267B">
        <w:rPr>
          <w:u w:val="single"/>
        </w:rPr>
        <w:t>Second</w:t>
      </w:r>
      <w:r>
        <w:t xml:space="preserve">, BIAS providers are the most important and extensive conduits of consumer information and thus have access to very sensitive and very personal information that could threaten a person’s financial security, reveal embarrassing or even harmful details of medical history, or disclose to prying eyes the intimate details of interests, physical presence, or fears.  But, </w:t>
      </w:r>
      <w:r w:rsidRPr="00AE267B">
        <w:rPr>
          <w:u w:val="single"/>
        </w:rPr>
        <w:t>third</w:t>
      </w:r>
      <w:r>
        <w:t xml:space="preserve">, the current federal privacy regime does not now comprehensively apply the traditional principles of privacy protection to these 21st Century telecommunications services provided by broadband networks.  That is a gap that must be closed, and this NPRM proposes a way to do so by securing what Congress has commanded – the ability of every telecommunications user to protect his or her privacy. </w:t>
      </w:r>
    </w:p>
    <w:p w:rsidR="00324CD5" w:rsidRDefault="00324CD5" w:rsidP="00324CD5">
      <w:pPr>
        <w:pStyle w:val="ParaNum"/>
      </w:pPr>
      <w:r>
        <w:t xml:space="preserve">Privacy protects important personal interests.  Not just freedom from identity theft or financial loss but also from concerns that intimate, personal details should not become grist for the mills of public embarrassment or harassment or the basis of opaque, but harmful judgments, such as discrimination.  The power of modern broadband networks is that they allow consumers to reach from their homes (or cars or sidewalks) to the whole wide world instantaneously.  The accompanying concern is that those broadband networks can now stand over the shoulder of every subscriber who surfs the web, sends an email or text, or even walks down a street carrying a mobile device.  Absent legally-binding principles, those networks have the ability and incentive to use and share extensive and personal information about their customers.  The protection of privacy thus both protects individuals and encourages use of broadband networks. </w:t>
      </w:r>
    </w:p>
    <w:p w:rsidR="00324CD5" w:rsidRDefault="00324CD5" w:rsidP="00F91900">
      <w:pPr>
        <w:pStyle w:val="ParaNum"/>
        <w:widowControl/>
      </w:pPr>
      <w:r w:rsidRPr="00362A39">
        <w:t>In sum, t</w:t>
      </w:r>
      <w:r w:rsidRPr="00AD7EE9">
        <w:t xml:space="preserve">his </w:t>
      </w:r>
      <w:r>
        <w:t xml:space="preserve">Notice focuses on transparency, choice, and data security in a manner that is consistent with the Commission’s history of protecting privacy, the Federal Trade Commission’s leadership, and the various sector-specific statutory approaches, tailored to the particular circumstances that consumers face when they use broadband networks </w:t>
      </w:r>
      <w:r w:rsidRPr="00DC4F15">
        <w:t>and with an understanding of the particular nature and technologies underlying those networks</w:t>
      </w:r>
      <w:r>
        <w:t>.</w:t>
      </w:r>
    </w:p>
    <w:p w:rsidR="00324CD5" w:rsidRDefault="00324CD5" w:rsidP="00F91900">
      <w:pPr>
        <w:pStyle w:val="Heading2"/>
        <w:widowControl/>
      </w:pPr>
      <w:bookmarkStart w:id="1032" w:name="_Toc446937498"/>
      <w:bookmarkStart w:id="1033" w:name="_Toc447116371"/>
      <w:bookmarkStart w:id="1034" w:name="_Toc447121259"/>
      <w:r>
        <w:t>Legal Basis</w:t>
      </w:r>
      <w:bookmarkEnd w:id="1032"/>
      <w:bookmarkEnd w:id="1033"/>
      <w:bookmarkEnd w:id="1034"/>
    </w:p>
    <w:p w:rsidR="00324CD5" w:rsidRDefault="00324CD5" w:rsidP="00F91900">
      <w:pPr>
        <w:pStyle w:val="ParaNum"/>
        <w:widowControl/>
      </w:pPr>
      <w:r>
        <w:t xml:space="preserve">The legal basis for any action that may be taken pursuant to the Notice is contained in Sections </w:t>
      </w:r>
      <w:r w:rsidRPr="00413EC6">
        <w:rPr>
          <w:szCs w:val="22"/>
        </w:rPr>
        <w:t>1, 2, 4(i)-(j),</w:t>
      </w:r>
      <w:r>
        <w:rPr>
          <w:szCs w:val="22"/>
        </w:rPr>
        <w:t xml:space="preserve"> 201(b), 222, 303(r), 338(i), and 705 </w:t>
      </w:r>
      <w:r w:rsidRPr="00440A31">
        <w:rPr>
          <w:szCs w:val="22"/>
        </w:rPr>
        <w:t xml:space="preserve">of the Communications Act of 1934, as amended, and </w:t>
      </w:r>
      <w:r w:rsidR="005417C0">
        <w:rPr>
          <w:szCs w:val="22"/>
        </w:rPr>
        <w:t>S</w:t>
      </w:r>
      <w:r w:rsidRPr="00440A31">
        <w:rPr>
          <w:szCs w:val="22"/>
        </w:rPr>
        <w:t>ection 706 of the Telecommunications Act of 1996, as amended, 47 U.S.C. §§ 151, 152, 154(i)-(j), 201(b), 222,</w:t>
      </w:r>
      <w:r>
        <w:rPr>
          <w:szCs w:val="22"/>
        </w:rPr>
        <w:t xml:space="preserve"> 303(r), 338(i), 605, and 1302</w:t>
      </w:r>
      <w:r>
        <w:t>.</w:t>
      </w:r>
    </w:p>
    <w:p w:rsidR="00324CD5" w:rsidRDefault="00324CD5" w:rsidP="00F91900">
      <w:pPr>
        <w:pStyle w:val="Heading2"/>
        <w:widowControl/>
      </w:pPr>
      <w:bookmarkStart w:id="1035" w:name="_Toc446937499"/>
      <w:bookmarkStart w:id="1036" w:name="_Toc447116372"/>
      <w:bookmarkStart w:id="1037" w:name="_Toc447121260"/>
      <w:r>
        <w:t>Description and Estimate of the Number of Small Entities to Which the Proposed Rules Will Apply</w:t>
      </w:r>
      <w:bookmarkEnd w:id="1035"/>
      <w:bookmarkEnd w:id="1036"/>
      <w:bookmarkEnd w:id="1037"/>
    </w:p>
    <w:p w:rsidR="00324CD5" w:rsidRDefault="00324CD5" w:rsidP="00F91900">
      <w:pPr>
        <w:pStyle w:val="ParaNum"/>
        <w:widowControl/>
      </w:pPr>
      <w:r w:rsidRPr="001662B5">
        <w:t>The RFA directs agencies to provide a description of, and where feasible, an estimate of the number of small entities that may be affected by t</w:t>
      </w:r>
      <w:r>
        <w:t>he proposed rules, if adopted.</w:t>
      </w:r>
      <w:r>
        <w:rPr>
          <w:rStyle w:val="FootnoteReference"/>
        </w:rPr>
        <w:footnoteReference w:id="497"/>
      </w:r>
      <w:r w:rsidRPr="001662B5">
        <w:t xml:space="preserve"> </w:t>
      </w:r>
      <w:r>
        <w:t xml:space="preserve"> </w:t>
      </w:r>
      <w:r w:rsidRPr="001662B5">
        <w:t>The RFA generally defines the term “small entity” as having the same meaning as the terms “small business,” “small organization,” and “small governmental jurisdiction.”</w:t>
      </w:r>
      <w:r>
        <w:rPr>
          <w:rStyle w:val="FootnoteReference"/>
        </w:rPr>
        <w:footnoteReference w:id="498"/>
      </w:r>
      <w:r w:rsidRPr="001662B5">
        <w:t xml:space="preserve"> </w:t>
      </w:r>
      <w:r>
        <w:t xml:space="preserve"> </w:t>
      </w:r>
      <w:r w:rsidRPr="001662B5">
        <w:t xml:space="preserve">In addition, the term “small business” has the same meaning as the term “small business concern” under the Small </w:t>
      </w:r>
      <w:r>
        <w:t>Business Act.</w:t>
      </w:r>
      <w:r>
        <w:rPr>
          <w:rStyle w:val="FootnoteReference"/>
        </w:rPr>
        <w:footnoteReference w:id="499"/>
      </w:r>
      <w:r w:rsidRPr="001662B5">
        <w:t xml:space="preserve"> </w:t>
      </w:r>
      <w:r>
        <w:t xml:space="preserve"> </w:t>
      </w:r>
      <w:r w:rsidRPr="001662B5">
        <w:t xml:space="preserve">A “small business concern” is one which: (1) is independently owned and operated; (2) is not dominant in its field of operation; and (3) satisfies any additional criteria established by the Small </w:t>
      </w:r>
      <w:r>
        <w:t>Business Administration (SBA).</w:t>
      </w:r>
      <w:r>
        <w:rPr>
          <w:rStyle w:val="FootnoteReference"/>
        </w:rPr>
        <w:footnoteReference w:id="500"/>
      </w:r>
    </w:p>
    <w:p w:rsidR="00324CD5" w:rsidRPr="00965FA6" w:rsidRDefault="00324CD5" w:rsidP="00324CD5">
      <w:pPr>
        <w:pStyle w:val="Heading3"/>
        <w:widowControl/>
      </w:pPr>
      <w:bookmarkStart w:id="1038" w:name="_Toc412097295"/>
      <w:bookmarkStart w:id="1039" w:name="_Toc412382112"/>
      <w:bookmarkStart w:id="1040" w:name="_Toc412409140"/>
      <w:bookmarkStart w:id="1041" w:name="_Toc412409987"/>
      <w:bookmarkStart w:id="1042" w:name="_Toc412410095"/>
      <w:bookmarkStart w:id="1043" w:name="_Toc412410350"/>
      <w:bookmarkStart w:id="1044" w:name="_Toc412557234"/>
      <w:bookmarkStart w:id="1045" w:name="_Toc412557594"/>
      <w:bookmarkStart w:id="1046" w:name="_Toc412574960"/>
      <w:bookmarkStart w:id="1047" w:name="_Toc413425057"/>
      <w:bookmarkStart w:id="1048" w:name="_Toc446937500"/>
      <w:bookmarkStart w:id="1049" w:name="_Toc447116373"/>
      <w:bookmarkStart w:id="1050" w:name="_Toc447121261"/>
      <w:r w:rsidRPr="00965FA6">
        <w:t>Total Small Entities</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r w:rsidRPr="00965FA6">
        <w:t xml:space="preserve"> </w:t>
      </w:r>
    </w:p>
    <w:p w:rsidR="00324CD5" w:rsidRPr="00965FA6" w:rsidRDefault="00180AAA" w:rsidP="00324CD5">
      <w:pPr>
        <w:pStyle w:val="ParaNum"/>
        <w:widowControl/>
      </w:pPr>
      <w:r>
        <w:t>Our actions, over time, may affect small entities that are not easily categorized at present.  We therefore describe here, at the outset, three comprehensive small entity size standards that could be directly affected herein.</w:t>
      </w:r>
      <w:r>
        <w:rPr>
          <w:rStyle w:val="FootnoteReference"/>
        </w:rPr>
        <w:footnoteReference w:id="501"/>
      </w:r>
      <w:r>
        <w:t xml:space="preserve">  As of 2014, according to the SBA, there were 28.2 million small businesses in the U.S., which represented 99.7% of all businesses in the United States.</w:t>
      </w:r>
      <w:r>
        <w:rPr>
          <w:rStyle w:val="FootnoteReference"/>
        </w:rPr>
        <w:footnoteReference w:id="502"/>
      </w:r>
      <w:r>
        <w:t xml:space="preserve">  Additionally, a “small organization is generally any not-for-profit enterprise which is independently owned and operated and not dominant in its field”.</w:t>
      </w:r>
      <w:r>
        <w:rPr>
          <w:rStyle w:val="FootnoteReference"/>
        </w:rPr>
        <w:footnoteReference w:id="503"/>
      </w:r>
      <w:r>
        <w:t xml:space="preserve">  Nationwide, as of 2007, there were approximately 1,621,215 small organizations.</w:t>
      </w:r>
      <w:r>
        <w:rPr>
          <w:rStyle w:val="FootnoteReference"/>
        </w:rPr>
        <w:footnoteReference w:id="504"/>
      </w:r>
      <w:r>
        <w:t xml:space="preserve">  Finally, the term “small governmental jurisdiction” is defined generally as “governments of cities, towns, townships, villages, school districts, or special districts, with a population of less than fifty thousand”.</w:t>
      </w:r>
      <w:r>
        <w:rPr>
          <w:rStyle w:val="FootnoteReference"/>
        </w:rPr>
        <w:footnoteReference w:id="505"/>
      </w:r>
      <w:r>
        <w:t xml:space="preserve">  Census Bureau data for 2011 indicate that there were 90,056 local governmental jurisdictions in the United States.</w:t>
      </w:r>
      <w:r>
        <w:rPr>
          <w:rStyle w:val="FootnoteReference"/>
        </w:rPr>
        <w:footnoteReference w:id="506"/>
      </w:r>
      <w:r>
        <w:t xml:space="preserve">  We estimate that, of this total, as many as 89,327 entities may qualify as “small governmental jurisdictions”.</w:t>
      </w:r>
      <w:r>
        <w:rPr>
          <w:rStyle w:val="FootnoteReference"/>
        </w:rPr>
        <w:footnoteReference w:id="507"/>
      </w:r>
      <w:r>
        <w:t xml:space="preserve">  Thus, we estimate that most local governmental jurisdictions are small.</w:t>
      </w:r>
    </w:p>
    <w:p w:rsidR="00324CD5" w:rsidRPr="00965FA6" w:rsidRDefault="00324CD5" w:rsidP="00324CD5">
      <w:pPr>
        <w:pStyle w:val="Heading3"/>
        <w:widowControl/>
        <w:tabs>
          <w:tab w:val="num" w:pos="2160"/>
        </w:tabs>
      </w:pPr>
      <w:bookmarkStart w:id="1051" w:name="_Toc412097296"/>
      <w:bookmarkStart w:id="1052" w:name="_Toc412382113"/>
      <w:bookmarkStart w:id="1053" w:name="_Toc412409141"/>
      <w:bookmarkStart w:id="1054" w:name="_Toc412409988"/>
      <w:bookmarkStart w:id="1055" w:name="_Toc412410096"/>
      <w:bookmarkStart w:id="1056" w:name="_Toc412410351"/>
      <w:bookmarkStart w:id="1057" w:name="_Toc412557235"/>
      <w:bookmarkStart w:id="1058" w:name="_Toc412557595"/>
      <w:bookmarkStart w:id="1059" w:name="_Toc412574961"/>
      <w:bookmarkStart w:id="1060" w:name="_Toc413425058"/>
      <w:bookmarkStart w:id="1061" w:name="_Toc446937501"/>
      <w:bookmarkStart w:id="1062" w:name="_Toc447116374"/>
      <w:bookmarkStart w:id="1063" w:name="_Toc447121262"/>
      <w:r w:rsidRPr="00965FA6">
        <w:t>Broadband Internet Access Service Providers</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p>
    <w:p w:rsidR="00324CD5" w:rsidRPr="00965FA6" w:rsidRDefault="00324CD5" w:rsidP="00324CD5">
      <w:pPr>
        <w:pStyle w:val="ParaNum"/>
      </w:pPr>
      <w:r w:rsidRPr="00965FA6">
        <w:t xml:space="preserve">The </w:t>
      </w:r>
      <w:r>
        <w:t>proposed rules would</w:t>
      </w:r>
      <w:r w:rsidRPr="00965FA6">
        <w:t xml:space="preserve"> apply to broadband Internet access service providers</w:t>
      </w:r>
      <w:r>
        <w:t xml:space="preserve"> (BIAS providers)</w:t>
      </w:r>
      <w:r w:rsidRPr="00965FA6">
        <w:t>.  The</w:t>
      </w:r>
      <w:r>
        <w:t xml:space="preserve"> E</w:t>
      </w:r>
      <w:r w:rsidRPr="00965FA6">
        <w:t>conomic Census places these firms, whose services might include Voice over Internet Protocol (VoIP), in either of two categories, depending on whether the service is provided over the provider’s own telecommunications facilities (e.g., cable and DSL ISPs), or over client-supplied telecommunications connections (e.g., dial-up ISPs).  The former are within the category of Wired Telecommunications Carriers,</w:t>
      </w:r>
      <w:r w:rsidRPr="07FA3145">
        <w:rPr>
          <w:rStyle w:val="FootnoteReference"/>
        </w:rPr>
        <w:footnoteReference w:id="508"/>
      </w:r>
      <w:r w:rsidRPr="00965FA6">
        <w:t xml:space="preserve"> which has an SBA small business size standard of 1,500 or fewer employees.</w:t>
      </w:r>
      <w:r w:rsidRPr="07FA3145">
        <w:rPr>
          <w:rStyle w:val="FootnoteReference"/>
        </w:rPr>
        <w:footnoteReference w:id="509"/>
      </w:r>
      <w:r w:rsidRPr="00965FA6">
        <w:t xml:space="preserve">  These are also labeled “broadband.”  The latter are within the category of All Other Telecommunications,</w:t>
      </w:r>
      <w:r w:rsidRPr="00965FA6">
        <w:rPr>
          <w:rStyle w:val="FootnoteReference"/>
        </w:rPr>
        <w:footnoteReference w:id="510"/>
      </w:r>
      <w:r w:rsidRPr="00965FA6">
        <w:t xml:space="preserve"> which has a size standard of annual receipts of $25 million or less.</w:t>
      </w:r>
      <w:r w:rsidRPr="00965FA6">
        <w:rPr>
          <w:rStyle w:val="FootnoteReference"/>
        </w:rPr>
        <w:footnoteReference w:id="511"/>
      </w:r>
      <w:r w:rsidRPr="00965FA6">
        <w:t xml:space="preserve">  These are labeled non-broadband.  </w:t>
      </w:r>
      <w:r>
        <w:t>According to Census Bureau data for 2007, there were 3,188 firms in the first category, total, that operated for the entire year.</w:t>
      </w:r>
      <w:r>
        <w:rPr>
          <w:rStyle w:val="FootnoteReference"/>
        </w:rPr>
        <w:footnoteReference w:id="512"/>
      </w:r>
      <w:r w:rsidRPr="00965FA6">
        <w:t xml:space="preserve">  </w:t>
      </w:r>
      <w:r>
        <w:t>Of this total, 3144 firms had employment of 999 or fewer employees, and 44 firms had employment of 1000 employees or more.</w:t>
      </w:r>
      <w:r>
        <w:rPr>
          <w:rStyle w:val="FootnoteReference"/>
        </w:rPr>
        <w:footnoteReference w:id="513"/>
      </w:r>
      <w:r>
        <w:t xml:space="preserve">  </w:t>
      </w:r>
      <w:r w:rsidRPr="00965FA6">
        <w:t>For the second category, the data show that 1,274 firms operated for the entire year.</w:t>
      </w:r>
      <w:r w:rsidRPr="07FA3145">
        <w:rPr>
          <w:rStyle w:val="FootnoteReference"/>
        </w:rPr>
        <w:footnoteReference w:id="514"/>
      </w:r>
      <w:r w:rsidRPr="00965FA6">
        <w:t xml:space="preserve"> </w:t>
      </w:r>
      <w:r>
        <w:t xml:space="preserve"> </w:t>
      </w:r>
      <w:r w:rsidRPr="00965FA6">
        <w:t>Of those, 1,252 had annual receipts below $25 million per year.  Consequently, we estimate that the majority of broadband Internet access service provider firms are small entities.</w:t>
      </w:r>
    </w:p>
    <w:p w:rsidR="00324CD5" w:rsidRPr="00965FA6" w:rsidRDefault="00324CD5" w:rsidP="00324CD5">
      <w:pPr>
        <w:pStyle w:val="ParaNum"/>
      </w:pPr>
      <w:r w:rsidRPr="00965FA6">
        <w:t xml:space="preserve">The broadband Internet access </w:t>
      </w:r>
      <w:r>
        <w:t xml:space="preserve">service </w:t>
      </w:r>
      <w:r w:rsidRPr="00965FA6">
        <w:t>provider industr</w:t>
      </w:r>
      <w:r>
        <w:t xml:space="preserve">y </w:t>
      </w:r>
      <w:r w:rsidRPr="00965FA6">
        <w:t>ha</w:t>
      </w:r>
      <w:r>
        <w:t>s</w:t>
      </w:r>
      <w:r w:rsidRPr="00965FA6">
        <w:t xml:space="preserve"> changed since th</w:t>
      </w:r>
      <w:r>
        <w:t>is</w:t>
      </w:r>
      <w:r w:rsidRPr="00965FA6">
        <w:t xml:space="preserve"> definition w</w:t>
      </w:r>
      <w:r>
        <w:t>as</w:t>
      </w:r>
      <w:r w:rsidRPr="00965FA6">
        <w:t xml:space="preserve"> introduced in 2007.  The data cited above may therefore include entities that no longer provide broadband Internet access service, and may exclude entities that now provide such</w:t>
      </w:r>
      <w:r>
        <w:t xml:space="preserve"> service.  To ensure that this I</w:t>
      </w:r>
      <w:r w:rsidRPr="00965FA6">
        <w:t xml:space="preserve">RFA describes the universe of small entities that our action might affect, we discuss in turn several different types of entities that might be providing broadband Internet access service.  We note that, although we have no specific information on the number of small entities that provide broadband Internet access service over unlicensed spectrum, we include these entities in our </w:t>
      </w:r>
      <w:r>
        <w:t>Initial</w:t>
      </w:r>
      <w:r w:rsidRPr="00965FA6">
        <w:t xml:space="preserve"> Regulatory Flexibility Analysis.</w:t>
      </w:r>
    </w:p>
    <w:p w:rsidR="00324CD5" w:rsidRPr="00965FA6" w:rsidRDefault="00324CD5" w:rsidP="00324CD5">
      <w:pPr>
        <w:pStyle w:val="Heading3"/>
        <w:widowControl/>
        <w:tabs>
          <w:tab w:val="num" w:pos="2160"/>
        </w:tabs>
      </w:pPr>
      <w:bookmarkStart w:id="1064" w:name="_Toc412097298"/>
      <w:bookmarkStart w:id="1065" w:name="_Toc412382115"/>
      <w:bookmarkStart w:id="1066" w:name="_Toc412409143"/>
      <w:bookmarkStart w:id="1067" w:name="_Toc412409990"/>
      <w:bookmarkStart w:id="1068" w:name="_Toc412410098"/>
      <w:bookmarkStart w:id="1069" w:name="_Toc412410353"/>
      <w:bookmarkStart w:id="1070" w:name="_Toc412557236"/>
      <w:bookmarkStart w:id="1071" w:name="_Toc412557596"/>
      <w:bookmarkStart w:id="1072" w:name="_Toc412574962"/>
      <w:bookmarkStart w:id="1073" w:name="_Toc413425059"/>
      <w:bookmarkStart w:id="1074" w:name="_Toc446937502"/>
      <w:bookmarkStart w:id="1075" w:name="_Toc447116375"/>
      <w:bookmarkStart w:id="1076" w:name="_Toc447121263"/>
      <w:r w:rsidRPr="00965FA6">
        <w:t>Wireline Providers</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p>
    <w:p w:rsidR="00324CD5" w:rsidRPr="008F095A" w:rsidRDefault="00324CD5" w:rsidP="00324CD5">
      <w:pPr>
        <w:pStyle w:val="ParaNum"/>
      </w:pPr>
      <w:r w:rsidRPr="008F095A">
        <w:rPr>
          <w:i/>
          <w:szCs w:val="22"/>
        </w:rPr>
        <w:t>Wired Telecommunications Carriers</w:t>
      </w:r>
      <w:r w:rsidRPr="008F095A">
        <w:rPr>
          <w:szCs w:val="22"/>
        </w:rPr>
        <w:t>.  The SBA has developed a small business size standard for Wired Telecommunications Carriers, which consists of all such companies having 1,500 or fewer employees.</w:t>
      </w:r>
      <w:r w:rsidRPr="00EC560B">
        <w:rPr>
          <w:rStyle w:val="FootnoteReference"/>
          <w:szCs w:val="22"/>
        </w:rPr>
        <w:footnoteReference w:id="515"/>
      </w:r>
      <w:r w:rsidRPr="008F095A">
        <w:rPr>
          <w:szCs w:val="22"/>
        </w:rPr>
        <w:t xml:space="preserve">  According to Census Bureau data for 2007, there were 3,188 firms in this category, total, that operated for the entire year.</w:t>
      </w:r>
      <w:r w:rsidRPr="00EC560B">
        <w:rPr>
          <w:rStyle w:val="FootnoteReference"/>
          <w:szCs w:val="22"/>
        </w:rPr>
        <w:footnoteReference w:id="516"/>
      </w:r>
      <w:r w:rsidRPr="008F095A">
        <w:rPr>
          <w:szCs w:val="22"/>
        </w:rPr>
        <w:t xml:space="preserve">  Of this total, 3</w:t>
      </w:r>
      <w:r>
        <w:rPr>
          <w:szCs w:val="22"/>
        </w:rPr>
        <w:t>,</w:t>
      </w:r>
      <w:r w:rsidRPr="008F095A">
        <w:rPr>
          <w:szCs w:val="22"/>
        </w:rPr>
        <w:t>144 firms had employment of 999 or fewer employees, and 44 firms had employment of 1000 employees or more.</w:t>
      </w:r>
      <w:r w:rsidRPr="00EC560B">
        <w:rPr>
          <w:rStyle w:val="FootnoteReference"/>
          <w:szCs w:val="22"/>
        </w:rPr>
        <w:footnoteReference w:id="517"/>
      </w:r>
      <w:r w:rsidRPr="008F095A">
        <w:rPr>
          <w:szCs w:val="22"/>
        </w:rPr>
        <w:t xml:space="preserve">  Thus, under this size standard, the majority of firms can be considered small.</w:t>
      </w:r>
    </w:p>
    <w:p w:rsidR="00324CD5" w:rsidRPr="00AC18DE" w:rsidRDefault="00324CD5" w:rsidP="00324CD5">
      <w:pPr>
        <w:pStyle w:val="ParaNum"/>
      </w:pPr>
      <w:r w:rsidRPr="008F095A">
        <w:rPr>
          <w:i/>
          <w:szCs w:val="22"/>
        </w:rPr>
        <w:t>Local Exchange Carriers (LECs)</w:t>
      </w:r>
      <w:r w:rsidRPr="008F095A">
        <w:rPr>
          <w:szCs w:val="22"/>
        </w:rPr>
        <w:t>.  Neither the Commission nor the SBA has developed a size standard for small businesses specifically applicable to local exchange services.  The closest applicable size standard under SBA rules is for Wired Telecommunications Carriers.  Under that size standard, such a business is small if it has 1,500 or fewer employees.</w:t>
      </w:r>
      <w:r w:rsidRPr="00EC560B">
        <w:rPr>
          <w:rStyle w:val="FootnoteReference"/>
          <w:szCs w:val="22"/>
        </w:rPr>
        <w:footnoteReference w:id="518"/>
      </w:r>
      <w:r w:rsidRPr="008F095A">
        <w:rPr>
          <w:szCs w:val="22"/>
        </w:rPr>
        <w:t xml:space="preserve">  According to Commission data, 1,307 carriers reported that they were incumbent local exchange service providers.</w:t>
      </w:r>
      <w:r w:rsidRPr="00EC560B">
        <w:rPr>
          <w:rStyle w:val="FootnoteReference"/>
          <w:szCs w:val="22"/>
        </w:rPr>
        <w:footnoteReference w:id="519"/>
      </w:r>
      <w:r w:rsidRPr="008F095A">
        <w:rPr>
          <w:szCs w:val="22"/>
        </w:rPr>
        <w:t xml:space="preserve">  Of these 1,307 carriers, an estimated 1,006 have 1,500 or fewer employees and 301 have more than 1,500 employees.</w:t>
      </w:r>
      <w:r w:rsidRPr="00EC560B">
        <w:rPr>
          <w:rStyle w:val="FootnoteReference"/>
          <w:szCs w:val="22"/>
        </w:rPr>
        <w:footnoteReference w:id="520"/>
      </w:r>
      <w:r w:rsidRPr="008F095A">
        <w:rPr>
          <w:szCs w:val="22"/>
        </w:rPr>
        <w:t xml:space="preserve">  Consequently, the Commission estimates that most providers of local exchange service are small entities that may be affected by rules </w:t>
      </w:r>
      <w:r>
        <w:t>adopted pursuant to the Notice</w:t>
      </w:r>
      <w:r w:rsidRPr="008F095A">
        <w:rPr>
          <w:szCs w:val="22"/>
        </w:rPr>
        <w:t>.</w:t>
      </w:r>
    </w:p>
    <w:p w:rsidR="00324CD5" w:rsidRPr="00965FA6" w:rsidRDefault="00324CD5" w:rsidP="00324CD5">
      <w:pPr>
        <w:pStyle w:val="ParaNum"/>
      </w:pPr>
      <w:r w:rsidRPr="07FA3145">
        <w:rPr>
          <w:i/>
        </w:rPr>
        <w:t xml:space="preserve">Incumbent Local Exchange Carriers </w:t>
      </w:r>
      <w:r w:rsidRPr="07FA3145">
        <w:t>(</w:t>
      </w:r>
      <w:r w:rsidRPr="07FA3145">
        <w:rPr>
          <w:i/>
        </w:rPr>
        <w:t>Incumbent LECs</w:t>
      </w:r>
      <w:r w:rsidRPr="07FA3145">
        <w:t xml:space="preserve">).  </w:t>
      </w:r>
      <w:r w:rsidRPr="00965FA6">
        <w:t>Neither the Commission nor the SBA has developed a small business size standard specifically for incumbent local exchange services.  The closest applicable size standard under SBA rules is for the category Wired Telecommunications Carriers.  Under that size standard, such a business is small if it has 1,500 or fewer employees.</w:t>
      </w:r>
      <w:r w:rsidRPr="07FA3145">
        <w:rPr>
          <w:rStyle w:val="FootnoteReference"/>
        </w:rPr>
        <w:footnoteReference w:id="521"/>
      </w:r>
      <w:r w:rsidRPr="00965FA6">
        <w:t xml:space="preserve">  According to Commission data,</w:t>
      </w:r>
      <w:r w:rsidRPr="07FA3145">
        <w:rPr>
          <w:rStyle w:val="FootnoteReference"/>
        </w:rPr>
        <w:footnoteReference w:id="522"/>
      </w:r>
      <w:r w:rsidRPr="00965FA6">
        <w:t xml:space="preserve"> 1,307 carriers reported that they were incumbent local exchange service providers.</w:t>
      </w:r>
      <w:r w:rsidRPr="00965FA6">
        <w:rPr>
          <w:vertAlign w:val="superscript"/>
        </w:rPr>
        <w:footnoteReference w:id="523"/>
      </w:r>
      <w:r w:rsidRPr="00965FA6">
        <w:t xml:space="preserve">  Of these 1,307 carriers, an estimated 1,006 have 1,500 or fewer employees and 301 have more than 1,500 employees.</w:t>
      </w:r>
      <w:r w:rsidRPr="00965FA6">
        <w:rPr>
          <w:rStyle w:val="FootnoteReference"/>
        </w:rPr>
        <w:footnoteReference w:id="524"/>
      </w:r>
      <w:r w:rsidRPr="00965FA6">
        <w:t xml:space="preserve">   Consequently, the Commission estimates that most providers of incumbent local exchange service are small businesses that may be affected by </w:t>
      </w:r>
      <w:r>
        <w:t xml:space="preserve">our proposed </w:t>
      </w:r>
      <w:r w:rsidRPr="00965FA6">
        <w:t>rules.</w:t>
      </w:r>
    </w:p>
    <w:p w:rsidR="00324CD5" w:rsidRPr="00965FA6" w:rsidRDefault="00324CD5" w:rsidP="00324CD5">
      <w:pPr>
        <w:pStyle w:val="ParaNum"/>
      </w:pPr>
      <w:r w:rsidRPr="003E21B7">
        <w:rPr>
          <w:i/>
        </w:rPr>
        <w:t>Competitive Local Exchange Carriers (Competitive LECs), Competitive Access Providers (CAPs), Shared-Tenant Service Providers, and Other Local Service Providers</w:t>
      </w:r>
      <w:r w:rsidRPr="00965FA6">
        <w:t>.  Neither the Commission nor the SBA has developed a small business size standard specifically for these service providers.  The appropriate size standard under SBA rules is for the category Wired Telecommunications Carriers.  Under that size standard, such a business is small if it has 1,500 or fewer employees.</w:t>
      </w:r>
      <w:r w:rsidRPr="07FA3145">
        <w:rPr>
          <w:rStyle w:val="FootnoteReference"/>
        </w:rPr>
        <w:footnoteReference w:id="525"/>
      </w:r>
      <w:r w:rsidRPr="00965FA6">
        <w:t xml:space="preserve">  According to Commission data, 1,442 carriers reported that they were engaged in the provision of either competitive local exchange services or competitive access provider services.</w:t>
      </w:r>
      <w:r w:rsidRPr="00965FA6">
        <w:rPr>
          <w:vertAlign w:val="superscript"/>
        </w:rPr>
        <w:footnoteReference w:id="526"/>
      </w:r>
      <w:r w:rsidRPr="00965FA6">
        <w:t xml:space="preserve">  Of these 1,442 carriers, an estimated 1,256 have 1,500 or fewer employees and 186 have more than 1,500 employees.</w:t>
      </w:r>
      <w:r w:rsidRPr="00965FA6">
        <w:rPr>
          <w:vertAlign w:val="superscript"/>
        </w:rPr>
        <w:footnoteReference w:id="527"/>
      </w:r>
      <w:r w:rsidRPr="00965FA6">
        <w:t xml:space="preserve">  In addition, 17 carriers have reported that they are Shared-Tenant Service Providers, and all 17 are estimated to have 1,500 or fewer employees.</w:t>
      </w:r>
      <w:r w:rsidRPr="00965FA6">
        <w:rPr>
          <w:rStyle w:val="FootnoteReference"/>
        </w:rPr>
        <w:footnoteReference w:id="528"/>
      </w:r>
      <w:r w:rsidRPr="00965FA6">
        <w:t xml:space="preserve">  In addition, 72 carriers have reported that they are Other Local Service Providers.</w:t>
      </w:r>
      <w:r w:rsidRPr="00965FA6">
        <w:rPr>
          <w:rStyle w:val="FootnoteReference"/>
        </w:rPr>
        <w:footnoteReference w:id="529"/>
      </w:r>
      <w:r w:rsidRPr="00965FA6">
        <w:t xml:space="preserve">  Of the 72, seventy have 1,500 or fewer employees and two have more than 1,500 employees.</w:t>
      </w:r>
      <w:r w:rsidRPr="00965FA6">
        <w:rPr>
          <w:rStyle w:val="FootnoteReference"/>
        </w:rPr>
        <w:footnoteReference w:id="530"/>
      </w:r>
      <w:r w:rsidRPr="00965FA6">
        <w:t xml:space="preserve">  Consequently, the Commission estimates that most providers of competitive local exchange service, competitive access providers, Shared-Tenant Service Providers, and other local service providers are small entities that may be affected by </w:t>
      </w:r>
      <w:r>
        <w:t xml:space="preserve">our proposed </w:t>
      </w:r>
      <w:r w:rsidRPr="00965FA6">
        <w:t>rules.</w:t>
      </w:r>
    </w:p>
    <w:p w:rsidR="00324CD5" w:rsidRPr="00965FA6" w:rsidRDefault="00324CD5" w:rsidP="00324CD5">
      <w:pPr>
        <w:pStyle w:val="ParaNum"/>
      </w:pPr>
      <w:r w:rsidRPr="00965FA6">
        <w:t xml:space="preserve">We have included small incumbent LECs in this present RFA analysis.  As noted above, a “small business” under the RFA is one that, </w:t>
      </w:r>
      <w:r w:rsidRPr="00965FA6">
        <w:rPr>
          <w:i/>
          <w:iCs/>
        </w:rPr>
        <w:t>inter alia</w:t>
      </w:r>
      <w:r w:rsidRPr="00965FA6">
        <w:t>, meets the pertinent small business size standard (</w:t>
      </w:r>
      <w:r w:rsidRPr="00965FA6">
        <w:rPr>
          <w:iCs/>
        </w:rPr>
        <w:t>e.g.</w:t>
      </w:r>
      <w:r w:rsidRPr="00965FA6">
        <w:t>, a telephone communications business having 1,500 or fewer employees), and “is not dominant in its field of operation.”</w:t>
      </w:r>
      <w:r w:rsidRPr="00965FA6">
        <w:rPr>
          <w:vertAlign w:val="superscript"/>
        </w:rPr>
        <w:footnoteReference w:id="531"/>
      </w:r>
      <w:r w:rsidRPr="00965FA6">
        <w:t xml:space="preserve">  The SBA’s Office of Advocacy contends that, for RFA purposes, small incumbent LECs are not dominant in their field of operation because any such dominance is not “national” in scope.</w:t>
      </w:r>
      <w:r w:rsidRPr="00965FA6">
        <w:rPr>
          <w:vertAlign w:val="superscript"/>
        </w:rPr>
        <w:footnoteReference w:id="532"/>
      </w:r>
      <w:r w:rsidRPr="00965FA6">
        <w:t xml:space="preserve">  We have therefore included small incumbent LECs in this RFA analysis, although we emphasize that this RFA action has no effect on Commission analyses and determinations in other, non-RFA contexts.</w:t>
      </w:r>
    </w:p>
    <w:p w:rsidR="00324CD5" w:rsidRPr="00965FA6" w:rsidRDefault="00324CD5" w:rsidP="00324CD5">
      <w:pPr>
        <w:pStyle w:val="ParaNum"/>
      </w:pPr>
      <w:r w:rsidRPr="07FA3145">
        <w:rPr>
          <w:i/>
        </w:rPr>
        <w:t xml:space="preserve">Interexchange Carriers.  </w:t>
      </w:r>
      <w:r w:rsidRPr="00965FA6">
        <w:t>Neither the Commission nor the SBA has developed a small business size standard specifically for providers of interexchange services.  The appropriate size standard under SBA rules is for the category Wired Telecommunications Carriers.  Under that size standard, such a business is small if it has 1,500 or fewer employees.</w:t>
      </w:r>
      <w:r w:rsidRPr="07FA3145">
        <w:rPr>
          <w:rStyle w:val="FootnoteReference"/>
        </w:rPr>
        <w:footnoteReference w:id="533"/>
      </w:r>
      <w:r w:rsidRPr="00965FA6">
        <w:t xml:space="preserve">  According to Commission data,</w:t>
      </w:r>
      <w:r w:rsidRPr="00965FA6">
        <w:rPr>
          <w:rStyle w:val="FootnoteReference"/>
        </w:rPr>
        <w:footnoteReference w:id="534"/>
      </w:r>
      <w:r w:rsidRPr="00965FA6">
        <w:t xml:space="preserve"> 359 carriers have reported that they are engaged in the provision of interexchange service.  Of these, an estimated 317 have 1,500 or fewer employees and 42 have more than 1,500 employees.  Consequently, the Commission estimates that the majority of IXCs are small entities that may be affected by </w:t>
      </w:r>
      <w:r>
        <w:t xml:space="preserve">our proposed </w:t>
      </w:r>
      <w:r w:rsidRPr="00965FA6">
        <w:t>rules.</w:t>
      </w:r>
    </w:p>
    <w:p w:rsidR="00324CD5" w:rsidRDefault="00324CD5" w:rsidP="00324CD5">
      <w:pPr>
        <w:pStyle w:val="ParaNum"/>
      </w:pPr>
      <w:r w:rsidRPr="07FA3145">
        <w:rPr>
          <w:i/>
        </w:rPr>
        <w:t xml:space="preserve">Operator Service Providers </w:t>
      </w:r>
      <w:r w:rsidRPr="07FA3145">
        <w:t>(</w:t>
      </w:r>
      <w:r w:rsidRPr="07FA3145">
        <w:rPr>
          <w:i/>
        </w:rPr>
        <w:t>OSPs</w:t>
      </w:r>
      <w:r w:rsidRPr="07FA3145">
        <w:t xml:space="preserve">).  </w:t>
      </w:r>
      <w:r w:rsidRPr="00965FA6">
        <w:t>Neither the Commission nor the SBA has developed a small business size standard specifically for operator service providers.  The appropriate size standard under SBA rules is for the category Wired Telecommunications Carriers.  Under that size standard, such a business is small if it has 1,500 or fewer employees.</w:t>
      </w:r>
      <w:r w:rsidRPr="00965FA6">
        <w:rPr>
          <w:rStyle w:val="FootnoteReference"/>
        </w:rPr>
        <w:footnoteReference w:id="535"/>
      </w:r>
      <w:r w:rsidRPr="00965FA6">
        <w:t xml:space="preserve">  According to Commission data, 33 carriers have reported that they are engaged in the provision of operator services.  Of these, an estimated 31 have 1,500 or fewer employees and two have more than 1,500 employees.</w:t>
      </w:r>
      <w:r w:rsidRPr="00965FA6">
        <w:rPr>
          <w:rStyle w:val="FootnoteReference"/>
        </w:rPr>
        <w:footnoteReference w:id="536"/>
      </w:r>
      <w:r w:rsidRPr="00965FA6">
        <w:t xml:space="preserve">  Consequently, the Commission estimates that the majority of OSPs are small entities that may be affected by </w:t>
      </w:r>
      <w:r>
        <w:t xml:space="preserve">our proposed </w:t>
      </w:r>
      <w:r w:rsidRPr="00965FA6">
        <w:t>rules.</w:t>
      </w:r>
    </w:p>
    <w:p w:rsidR="00324CD5" w:rsidRPr="00965FA6" w:rsidRDefault="00324CD5" w:rsidP="00324CD5">
      <w:pPr>
        <w:pStyle w:val="ParaNum"/>
      </w:pPr>
      <w:r w:rsidRPr="008F095A">
        <w:rPr>
          <w:i/>
        </w:rPr>
        <w:t>Other Toll Carriers</w:t>
      </w:r>
      <w:r w:rsidRPr="00EC560B">
        <w:t>.  Neither the Commission nor the SBA has developed a size standard for small businesses specifically applicable to Other Toll Carriers.  This category includes toll carriers that do not fall within the categories of interexchange carriers, operator service providers, prepaid calling card providers, satellite service carriers, or toll resellers.  The closest applicable size standard under SBA rules is for Wired Telecommunications Carriers.  Under that size standard, such a business is small if it has 1,500 or fewer employees.</w:t>
      </w:r>
      <w:r w:rsidRPr="00EC560B">
        <w:rPr>
          <w:rStyle w:val="FootnoteReference"/>
          <w:szCs w:val="22"/>
        </w:rPr>
        <w:footnoteReference w:id="537"/>
      </w:r>
      <w:r w:rsidRPr="00EC560B">
        <w:t xml:space="preserve">  According to Commission data, 284 companies reported that their primary telecommunications service activity was the provision of other toll carriage.</w:t>
      </w:r>
      <w:r w:rsidRPr="00EC560B">
        <w:rPr>
          <w:rStyle w:val="FootnoteReference"/>
          <w:szCs w:val="22"/>
        </w:rPr>
        <w:footnoteReference w:id="538"/>
      </w:r>
      <w:r w:rsidRPr="00EC560B">
        <w:t xml:space="preserve">  Of these, an estimated 279 have 1,500 or fewer employees and five have more than 1,500 employees.</w:t>
      </w:r>
      <w:r w:rsidRPr="00EC560B">
        <w:rPr>
          <w:rStyle w:val="FootnoteReference"/>
          <w:szCs w:val="22"/>
        </w:rPr>
        <w:footnoteReference w:id="539"/>
      </w:r>
      <w:r w:rsidRPr="00EC560B">
        <w:t xml:space="preserve">  Consequently, the Commission estimates that most Other Toll Carriers are small entities that may be affected </w:t>
      </w:r>
      <w:r w:rsidRPr="00965FA6">
        <w:t xml:space="preserve">by rules </w:t>
      </w:r>
      <w:r>
        <w:t>adopted pursuant to the Notice</w:t>
      </w:r>
      <w:r w:rsidRPr="00EC560B">
        <w:t>.</w:t>
      </w:r>
    </w:p>
    <w:p w:rsidR="00324CD5" w:rsidRPr="00965FA6" w:rsidRDefault="00324CD5" w:rsidP="00324CD5">
      <w:pPr>
        <w:pStyle w:val="Heading3"/>
        <w:widowControl/>
        <w:tabs>
          <w:tab w:val="num" w:pos="2160"/>
        </w:tabs>
      </w:pPr>
      <w:bookmarkStart w:id="1077" w:name="_Toc412097299"/>
      <w:bookmarkStart w:id="1078" w:name="_Toc412382116"/>
      <w:bookmarkStart w:id="1079" w:name="_Toc412409144"/>
      <w:bookmarkStart w:id="1080" w:name="_Toc412409991"/>
      <w:bookmarkStart w:id="1081" w:name="_Toc412410099"/>
      <w:bookmarkStart w:id="1082" w:name="_Toc412410354"/>
      <w:bookmarkStart w:id="1083" w:name="_Toc412557237"/>
      <w:bookmarkStart w:id="1084" w:name="_Toc412557597"/>
      <w:bookmarkStart w:id="1085" w:name="_Toc412574963"/>
      <w:bookmarkStart w:id="1086" w:name="_Toc413425060"/>
      <w:bookmarkStart w:id="1087" w:name="_Toc446937503"/>
      <w:bookmarkStart w:id="1088" w:name="_Toc447116376"/>
      <w:bookmarkStart w:id="1089" w:name="_Toc447121264"/>
      <w:r w:rsidRPr="00965FA6">
        <w:t>Wireless Providers – Fixed and Mobile</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rsidR="00324CD5" w:rsidRPr="00965FA6" w:rsidRDefault="00324CD5" w:rsidP="00324CD5">
      <w:pPr>
        <w:pStyle w:val="ParaNum"/>
      </w:pPr>
      <w:r>
        <w:t>The</w:t>
      </w:r>
      <w:r w:rsidRPr="00965FA6">
        <w:t xml:space="preserve"> broadband Internet access </w:t>
      </w:r>
      <w:r>
        <w:t xml:space="preserve">service </w:t>
      </w:r>
      <w:r w:rsidRPr="00965FA6">
        <w:t>provider categor</w:t>
      </w:r>
      <w:r>
        <w:t>y</w:t>
      </w:r>
      <w:r w:rsidRPr="00965FA6">
        <w:t xml:space="preserve"> covered by </w:t>
      </w:r>
      <w:r>
        <w:t>these proposed rules</w:t>
      </w:r>
      <w:r w:rsidRPr="00965FA6">
        <w:t xml:space="preserve"> may cover multiple wireless firms and categories of regulated wireless services.  Thus, to the extent the wireless services listed below are used by wireless firms for broadband Internet access service, the proposed actions may have an impact on those small businesses as set forth above and further below.  In addition, </w:t>
      </w:r>
      <w:r>
        <w:t>for those services subject to auctions, we note that, as a general matter, the number of winning bidders that claim to qualify as small businesses at the close of an auction does not necessarily represent the number of small businesses currently in service.  Also, the Commission does not generally track subsequent business size unless, in the context of assignments and transfers or reportable eligibility events, unjust enrichment issues are implicated.</w:t>
      </w:r>
    </w:p>
    <w:p w:rsidR="00324CD5" w:rsidRPr="00965FA6" w:rsidRDefault="00324CD5" w:rsidP="00324CD5">
      <w:pPr>
        <w:pStyle w:val="ParaNum"/>
      </w:pPr>
      <w:r w:rsidRPr="07FA3145">
        <w:rPr>
          <w:i/>
        </w:rPr>
        <w:t>Wireless Telecommunications Carriers (except Satellite</w:t>
      </w:r>
      <w:r w:rsidRPr="07FA3145">
        <w:t xml:space="preserve">).  </w:t>
      </w:r>
      <w:r w:rsidRPr="00965FA6">
        <w:t>Since 2007, the Census Bureau has placed wireless firms within this new, broad, economic census category.</w:t>
      </w:r>
      <w:r w:rsidRPr="00965FA6">
        <w:rPr>
          <w:rStyle w:val="FootnoteReference"/>
        </w:rPr>
        <w:footnoteReference w:id="540"/>
      </w:r>
      <w:r w:rsidRPr="00965FA6">
        <w:t xml:space="preserve">    Under the present and prior categories, the SBA has deemed a wireless business to be small if it has 1,500 or fewer employees.</w:t>
      </w:r>
      <w:r w:rsidRPr="07FA3145">
        <w:rPr>
          <w:rStyle w:val="FootnoteReference"/>
        </w:rPr>
        <w:footnoteReference w:id="541"/>
      </w:r>
      <w:r w:rsidRPr="00965FA6">
        <w:t xml:space="preserve">  For the category of Wireless Telecommunications Carriers (except Satellite), </w:t>
      </w:r>
      <w:r>
        <w:t>census data for 2007 show that there were 1,383 firms that operated for the entire year.</w:t>
      </w:r>
      <w:r>
        <w:rPr>
          <w:rStyle w:val="FootnoteReference"/>
        </w:rPr>
        <w:footnoteReference w:id="542"/>
      </w:r>
      <w:r>
        <w:t xml:space="preserve">  </w:t>
      </w:r>
      <w:r w:rsidRPr="07FA3145">
        <w:t>Of this total, 1,368 firms had employment of 999 or fewer employees and 15 had employment of 1000 employees or more.</w:t>
      </w:r>
      <w:r w:rsidRPr="07FA3145">
        <w:rPr>
          <w:rStyle w:val="FootnoteReference"/>
        </w:rPr>
        <w:footnoteReference w:id="543"/>
      </w:r>
      <w:r w:rsidRPr="07FA3145">
        <w:t xml:space="preserve">  </w:t>
      </w:r>
      <w:r w:rsidRPr="00965FA6">
        <w:t>Since all firms with fewer than 1,500 employees are considered small, given the total employment in the sector, we estimate that the vast majority of wireless firms are small.</w:t>
      </w:r>
      <w:r>
        <w:t xml:space="preserve"> </w:t>
      </w:r>
    </w:p>
    <w:p w:rsidR="00324CD5" w:rsidRPr="00965FA6" w:rsidRDefault="00324CD5" w:rsidP="00324CD5">
      <w:pPr>
        <w:pStyle w:val="ParaNum"/>
        <w:widowControl/>
      </w:pPr>
      <w:r w:rsidRPr="07FA3145">
        <w:rPr>
          <w:i/>
        </w:rPr>
        <w:t>Wireless Communications Services</w:t>
      </w:r>
      <w:r w:rsidRPr="07FA3145">
        <w:t xml:space="preserve">.  </w:t>
      </w:r>
      <w:r w:rsidRPr="00965FA6">
        <w:t>This service can be used for fixed, mobile, radiolocation, and digital audio broadcasting satellite uses.  The Commission defined “small business” for the wireless communications services (WCS) auction as an entity with average gross revenues of $40 million for each of the three preceding years, and a “very small business” as an entity with average gross revenues of $15 million for each of the three preceding years.</w:t>
      </w:r>
      <w:r w:rsidRPr="00965FA6">
        <w:rPr>
          <w:rStyle w:val="FootnoteReference"/>
        </w:rPr>
        <w:footnoteReference w:id="544"/>
      </w:r>
      <w:r w:rsidRPr="00965FA6">
        <w:t xml:space="preserve">  The SBA has approved these definitions.</w:t>
      </w:r>
      <w:r w:rsidRPr="00965FA6">
        <w:rPr>
          <w:rStyle w:val="FootnoteReference"/>
        </w:rPr>
        <w:footnoteReference w:id="545"/>
      </w:r>
      <w:r w:rsidRPr="00965FA6">
        <w:t xml:space="preserve">  </w:t>
      </w:r>
    </w:p>
    <w:p w:rsidR="00324CD5" w:rsidRPr="00965FA6" w:rsidRDefault="00324CD5" w:rsidP="00324CD5">
      <w:pPr>
        <w:pStyle w:val="ParaNum"/>
      </w:pPr>
      <w:r w:rsidRPr="00965FA6">
        <w:rPr>
          <w:i/>
        </w:rPr>
        <w:t>1670–1675 MHz Services</w:t>
      </w:r>
      <w:r w:rsidRPr="00965FA6">
        <w:t>.  This service can be used for fixed and mobile uses, except aeronautical mobile.</w:t>
      </w:r>
      <w:r w:rsidRPr="00965FA6">
        <w:rPr>
          <w:rStyle w:val="FootnoteReference"/>
        </w:rPr>
        <w:footnoteReference w:id="546"/>
      </w:r>
      <w:r w:rsidRPr="00965FA6">
        <w:t xml:space="preserve">  An auction for one license in the 1670–1675 MHz band was conducted in 2003.  One license was awarded.  The winning bidder was not a small entity.</w:t>
      </w:r>
    </w:p>
    <w:p w:rsidR="00324CD5" w:rsidRPr="00965FA6" w:rsidRDefault="00324CD5" w:rsidP="00324CD5">
      <w:pPr>
        <w:pStyle w:val="ParaNum"/>
      </w:pPr>
      <w:r w:rsidRPr="07FA3145">
        <w:rPr>
          <w:i/>
        </w:rPr>
        <w:t>Wireless Telephony</w:t>
      </w:r>
      <w:r w:rsidRPr="07FA3145">
        <w:t xml:space="preserve">.  </w:t>
      </w:r>
      <w:r w:rsidRPr="00965FA6">
        <w:t>Wireless telephony includes cellular, personal communications services, and specialized mobile radio telephony carriers.  As noted, the SBA has developed a small business size standard for Wireless Telecommunications Carriers (except Satellite).</w:t>
      </w:r>
      <w:r w:rsidRPr="07FA3145">
        <w:rPr>
          <w:rStyle w:val="FootnoteReference"/>
        </w:rPr>
        <w:footnoteReference w:id="547"/>
      </w:r>
      <w:r w:rsidRPr="00965FA6">
        <w:t xml:space="preserve">  Under the SBA small business size standard, a business is small if it has 1,500 or fewer employees.</w:t>
      </w:r>
      <w:r w:rsidRPr="07FA3145">
        <w:rPr>
          <w:rStyle w:val="FootnoteReference"/>
        </w:rPr>
        <w:footnoteReference w:id="548"/>
      </w:r>
      <w:r w:rsidRPr="00965FA6">
        <w:t xml:space="preserve">  According to Commission data, 413 carriers reported that they were engaged in wireless telephony.</w:t>
      </w:r>
      <w:r w:rsidRPr="00965FA6">
        <w:rPr>
          <w:rStyle w:val="FootnoteReference"/>
        </w:rPr>
        <w:footnoteReference w:id="549"/>
      </w:r>
      <w:r w:rsidRPr="00965FA6">
        <w:t xml:space="preserve">  Of these, an estimated 261 have 1,500 or fewer employees and 152 have more than 1,500 employees.</w:t>
      </w:r>
      <w:r w:rsidRPr="00965FA6">
        <w:rPr>
          <w:rStyle w:val="FootnoteReference"/>
        </w:rPr>
        <w:footnoteReference w:id="550"/>
      </w:r>
      <w:r w:rsidRPr="00965FA6">
        <w:t xml:space="preserve">  Therefore, a little less than one third of these entities can be considered small.</w:t>
      </w:r>
    </w:p>
    <w:p w:rsidR="00324CD5" w:rsidRPr="00965FA6" w:rsidRDefault="00324CD5" w:rsidP="00324CD5">
      <w:pPr>
        <w:pStyle w:val="ParaNum"/>
        <w:widowControl/>
      </w:pPr>
      <w:r w:rsidRPr="07FA3145">
        <w:rPr>
          <w:i/>
        </w:rPr>
        <w:t>Broadband Personal Communications Service.</w:t>
      </w:r>
      <w:r w:rsidRPr="07FA3145">
        <w:t xml:space="preserve">  </w:t>
      </w:r>
      <w:r w:rsidRPr="00965FA6">
        <w:t>The broadband personal communications services (PCS) spectrum is divided into six frequency blocks designated A through F, and the Commission has held auctions for each block.  The Commission initially defined a “small business” for C- and F-Block licenses as an entity that has average gross revenues of $40 million or less in the three previous calendar years.</w:t>
      </w:r>
      <w:r w:rsidRPr="07FA3145">
        <w:rPr>
          <w:rStyle w:val="FootnoteReference"/>
        </w:rPr>
        <w:footnoteReference w:id="551"/>
      </w:r>
      <w:r w:rsidRPr="00965FA6">
        <w:t xml:space="preserve">  For F-Block licenses, an additional small business size standard for “very small business” was added and is defined as an entity that, together with its affiliates, has average gross revenues of not more than $15 million for the preceding three calendar years.</w:t>
      </w:r>
      <w:r w:rsidRPr="07FA3145">
        <w:rPr>
          <w:rStyle w:val="FootnoteReference"/>
        </w:rPr>
        <w:footnoteReference w:id="552"/>
      </w:r>
      <w:r w:rsidRPr="00965FA6">
        <w:t xml:space="preserve">  These small business size standards, in the context of broadband PCS auctions, have been approved by the SBA.</w:t>
      </w:r>
      <w:r w:rsidRPr="07FA3145">
        <w:rPr>
          <w:rStyle w:val="FootnoteReference"/>
        </w:rPr>
        <w:footnoteReference w:id="553"/>
      </w:r>
      <w:r w:rsidRPr="00965FA6">
        <w:t xml:space="preserve">  No small businesses within the SBA-approved small business size standards bid successfully for licenses in Blocks A and B.  There were 90 winning bidders that claimed small business status in the first two C-Block auctions.  A total of 93 bidders that claimed small business status won approximately 40 percent of the 1,479 licenses in the first auction for the D, E, and F Blocks.</w:t>
      </w:r>
      <w:r w:rsidRPr="07FA3145">
        <w:rPr>
          <w:rStyle w:val="FootnoteReference"/>
        </w:rPr>
        <w:footnoteReference w:id="554"/>
      </w:r>
      <w:r w:rsidRPr="00965FA6">
        <w:t xml:space="preserve">  On April 15, 1999, the Commission completed the reauction of 347 C-, D-, E-, and F-Block licenses in Auction No. 22.</w:t>
      </w:r>
      <w:r w:rsidRPr="07FA3145">
        <w:rPr>
          <w:rStyle w:val="FootnoteReference"/>
        </w:rPr>
        <w:footnoteReference w:id="555"/>
      </w:r>
      <w:r w:rsidRPr="00965FA6">
        <w:t xml:space="preserve">  Of the 57 winning bidders in that auction, 48 claimed small business status and won 277 licenses.</w:t>
      </w:r>
    </w:p>
    <w:p w:rsidR="00324CD5" w:rsidRPr="00965FA6" w:rsidRDefault="00324CD5" w:rsidP="00324CD5">
      <w:pPr>
        <w:pStyle w:val="ParaNum"/>
      </w:pPr>
      <w:r w:rsidRPr="00965FA6">
        <w:t>On January 26, 2001, the Commission completed the auction of 422 C and F Block Broadband PCS licenses in Auction No. 35.  Of the 35 winning bidders in that auction, 29 claimed small business status.</w:t>
      </w:r>
      <w:r w:rsidRPr="07FA3145">
        <w:rPr>
          <w:rStyle w:val="FootnoteReference"/>
        </w:rPr>
        <w:footnoteReference w:id="556"/>
      </w:r>
      <w:r w:rsidRPr="00965FA6">
        <w:t xml:space="preserve">  Subsequent events concerning Auction 35, including judicial and agency determinations, resulted in a total of 163 C and F Block licenses being available for grant.  On February 15, 2005, the Commission completed an auction of 242 C-, D-, E-, and F-Block licenses in Auction No. 58.  Of the 24 winning bidders in that auction, 16 claimed small business status and won 156 licenses.</w:t>
      </w:r>
      <w:r w:rsidRPr="00965FA6">
        <w:rPr>
          <w:rStyle w:val="FootnoteReference"/>
        </w:rPr>
        <w:footnoteReference w:id="557"/>
      </w:r>
      <w:r w:rsidRPr="00965FA6">
        <w:t xml:space="preserve">  On May 21, 2007, the Commission completed an auction of 33 licenses in the A, C, and F Blocks in Auction No. 71.</w:t>
      </w:r>
      <w:r w:rsidRPr="00965FA6">
        <w:rPr>
          <w:vertAlign w:val="superscript"/>
        </w:rPr>
        <w:footnoteReference w:id="558"/>
      </w:r>
      <w:r w:rsidRPr="00965FA6">
        <w:t xml:space="preserve">  Of the 12 winning bidders in that auction, five claimed small business status and won 18 licenses.</w:t>
      </w:r>
      <w:r w:rsidRPr="00965FA6">
        <w:rPr>
          <w:vertAlign w:val="superscript"/>
        </w:rPr>
        <w:footnoteReference w:id="559"/>
      </w:r>
      <w:r w:rsidRPr="07FA3145">
        <w:t xml:space="preserve">  </w:t>
      </w:r>
      <w:r w:rsidRPr="00965FA6">
        <w:t>On August 20, 2008, the Commission completed the auction of 20 C-, D-, E-, and F-Block Broadband PCS licenses in Auction No. 78.</w:t>
      </w:r>
      <w:r w:rsidRPr="00965FA6">
        <w:rPr>
          <w:rStyle w:val="FootnoteReference"/>
        </w:rPr>
        <w:footnoteReference w:id="560"/>
      </w:r>
      <w:r w:rsidRPr="00965FA6">
        <w:t xml:space="preserve">  Of the eight winning bidders for Broadband PCS licenses in that auction, six claimed small business status and won 14 licenses.</w:t>
      </w:r>
      <w:r w:rsidRPr="00965FA6">
        <w:rPr>
          <w:rStyle w:val="FootnoteReference"/>
        </w:rPr>
        <w:footnoteReference w:id="561"/>
      </w:r>
    </w:p>
    <w:p w:rsidR="00324CD5" w:rsidRPr="00965FA6" w:rsidRDefault="00324CD5" w:rsidP="00324CD5">
      <w:pPr>
        <w:pStyle w:val="ParaNum"/>
      </w:pPr>
      <w:r w:rsidRPr="07FA3145">
        <w:rPr>
          <w:i/>
        </w:rPr>
        <w:t>Specialized Mobile Radio Licenses.</w:t>
      </w:r>
      <w:r w:rsidRPr="07FA3145">
        <w:t xml:space="preserve">  </w:t>
      </w:r>
      <w:r w:rsidRPr="00965FA6">
        <w:t>The Commission awards “small entity” bidding credits in auctions for Specialized Mobile Radio (SMR) geographic area licenses in the 800 MHz and 900 MHz bands to firms that had revenues of no more than $15 million in each of the three previous calendar years.</w:t>
      </w:r>
      <w:r w:rsidRPr="07FA3145">
        <w:rPr>
          <w:rStyle w:val="FootnoteReference"/>
        </w:rPr>
        <w:footnoteReference w:id="562"/>
      </w:r>
      <w:r w:rsidRPr="00965FA6">
        <w:t xml:space="preserve">  The Commission awards “very small entity” bidding credits to firms that had revenues of no more than $3 million in each of the three previous calendar years.</w:t>
      </w:r>
      <w:r w:rsidRPr="07FA3145">
        <w:rPr>
          <w:rStyle w:val="FootnoteReference"/>
        </w:rPr>
        <w:footnoteReference w:id="563"/>
      </w:r>
      <w:r w:rsidRPr="00965FA6">
        <w:t xml:space="preserve">  The SBA has approved these small business size standards for the 900 MHz Service.</w:t>
      </w:r>
      <w:r w:rsidRPr="07FA3145">
        <w:rPr>
          <w:rStyle w:val="FootnoteReference"/>
        </w:rPr>
        <w:footnoteReference w:id="564"/>
      </w:r>
      <w:r w:rsidRPr="00965FA6">
        <w:t xml:space="preserve">  The Commission has held auctions for geographic area licenses in the 800 MHz and 900 MHz bands.  The 900 MHz SMR auction began on December 5, 1995, and closed on April 15, 1996.  Sixty bidders claiming that they qualified as small businesses under the $15 million size standard won 263 geographic area licenses in the 900 MHz SMR band.  The 800 MHz SMR auction for the upper 200 channels began on October 28, 1997, and was completed on December 8, 1997.  Ten bidders claiming that they qualified as small businesses under the $15 million size standard won 38 geographic area licenses for the upper 200 channels in the 800 MHz SMR band.</w:t>
      </w:r>
      <w:r w:rsidRPr="07FA3145">
        <w:rPr>
          <w:rStyle w:val="FootnoteReference"/>
        </w:rPr>
        <w:footnoteReference w:id="565"/>
      </w:r>
      <w:r w:rsidRPr="00965FA6">
        <w:t xml:space="preserve">  A second auction for the 800 MHz band was held on January 10, 2002 and closed on January 17, 2002 and included 23 BEA licenses.  One bidder claiming small business status won five licenses.</w:t>
      </w:r>
      <w:r w:rsidRPr="07FA3145">
        <w:rPr>
          <w:rStyle w:val="FootnoteReference"/>
        </w:rPr>
        <w:footnoteReference w:id="566"/>
      </w:r>
    </w:p>
    <w:p w:rsidR="00324CD5" w:rsidRPr="00965FA6" w:rsidRDefault="00324CD5" w:rsidP="00324CD5">
      <w:pPr>
        <w:pStyle w:val="ParaNum"/>
        <w:widowControl/>
      </w:pPr>
      <w:r w:rsidRPr="00965FA6">
        <w:t>The auction of the 1,053 800 MHz SMR geographic area licenses for the General Category channels began on August 16, 2000, and was completed on September 1, 2000.  Eleven bidders won 108 geographic area licenses for the General Category channels in the 800 MHz SMR band and qualified as small businesses under the $15 million size standard.</w:t>
      </w:r>
      <w:r w:rsidRPr="07FA3145">
        <w:rPr>
          <w:rStyle w:val="FootnoteReference"/>
        </w:rPr>
        <w:footnoteReference w:id="567"/>
      </w:r>
      <w:r w:rsidRPr="00965FA6">
        <w:t xml:space="preserve">  In an auction completed on December 5, 2000, a total of 2,800 Economic Area licenses in the lower 80 channels of the 800 MHz SMR service were awarded.</w:t>
      </w:r>
      <w:r w:rsidRPr="07FA3145">
        <w:rPr>
          <w:rStyle w:val="FootnoteReference"/>
        </w:rPr>
        <w:footnoteReference w:id="568"/>
      </w:r>
      <w:r w:rsidRPr="00965FA6">
        <w:t xml:space="preserve">  Of the 22 winning bidders, 19 claimed small business status and won 129 licenses.  Thus, combining all four auctions, 41 winning bidders for geographic licenses in the 800 MHz SMR band claimed status as small businesses.</w:t>
      </w:r>
    </w:p>
    <w:p w:rsidR="00324CD5" w:rsidRPr="00965FA6" w:rsidRDefault="00324CD5" w:rsidP="00324CD5">
      <w:pPr>
        <w:pStyle w:val="ParaNum"/>
      </w:pPr>
      <w:r w:rsidRPr="00965FA6">
        <w:t>In addition, there are numerous incumbent site-by-site SMR licenses and licensees with extended implementation authorizations in the 800 and 900 MHz bands.  We do not know how many firms provide 800 MHz or 900 MHz geographic area SMR service pursuant to extended implementation authorizations, nor how many of these providers have annual revenues of no more than $15 million.  One firm has over $15 million in revenues.  In addition, we do not know how many of these firms have 1,500 or fewer employees, which is the SBA-determined size standard.</w:t>
      </w:r>
      <w:r w:rsidRPr="00965FA6">
        <w:rPr>
          <w:rStyle w:val="FootnoteReference"/>
        </w:rPr>
        <w:footnoteReference w:id="569"/>
      </w:r>
      <w:r w:rsidRPr="00965FA6">
        <w:t xml:space="preserve">  We assume, for purposes of this analysis, that all of the remaining extended implementation authorizations are held by small entities, as defined by the SBA.</w:t>
      </w:r>
    </w:p>
    <w:p w:rsidR="00324CD5" w:rsidRPr="00965FA6" w:rsidRDefault="00324CD5" w:rsidP="00324CD5">
      <w:pPr>
        <w:pStyle w:val="ParaNum"/>
      </w:pPr>
      <w:r w:rsidRPr="00965FA6">
        <w:rPr>
          <w:i/>
        </w:rPr>
        <w:t>Lower 700 MHz Band Licenses</w:t>
      </w:r>
      <w:r w:rsidRPr="00965FA6">
        <w:t>.  The Commission previously adopted criteria for defining three groups of small businesses for purposes of determining their eligibility for special provisions such as bidding credits.</w:t>
      </w:r>
      <w:r w:rsidRPr="00965FA6">
        <w:rPr>
          <w:vertAlign w:val="superscript"/>
        </w:rPr>
        <w:footnoteReference w:id="570"/>
      </w:r>
      <w:r w:rsidRPr="00965FA6">
        <w:t xml:space="preserve">  The Commission defined a “small business” as an entity that, together with its affiliates and controlling principals, has average gross revenues not exceeding $40 million for the preceding three years.</w:t>
      </w:r>
      <w:r w:rsidRPr="00965FA6">
        <w:rPr>
          <w:vertAlign w:val="superscript"/>
        </w:rPr>
        <w:footnoteReference w:id="571"/>
      </w:r>
      <w:r w:rsidRPr="00965FA6">
        <w:t xml:space="preserve">  A “very small business” is defined as an entity that, together with its affiliates and controlling principals, has average gross revenues that are not more than $15 million for the preceding three years.</w:t>
      </w:r>
      <w:r w:rsidRPr="00965FA6">
        <w:rPr>
          <w:vertAlign w:val="superscript"/>
        </w:rPr>
        <w:footnoteReference w:id="572"/>
      </w:r>
      <w:r w:rsidRPr="00965FA6">
        <w:t xml:space="preserve">  Additionally, the lower 700 MHz Service had a third category of small business status for Metropolitan/Rural Service Area (MSA/RSA) licenses—“entrepreneur”—which is defined as an entity that, together with its affiliates and controlling principals, has average gross revenues that are not more than $3 million for the preceding three years.</w:t>
      </w:r>
      <w:r w:rsidRPr="00965FA6">
        <w:rPr>
          <w:vertAlign w:val="superscript"/>
        </w:rPr>
        <w:footnoteReference w:id="573"/>
      </w:r>
      <w:r w:rsidRPr="00965FA6">
        <w:t xml:space="preserve">  The SBA approved these small size standards.</w:t>
      </w:r>
      <w:r w:rsidRPr="00965FA6">
        <w:rPr>
          <w:vertAlign w:val="superscript"/>
        </w:rPr>
        <w:footnoteReference w:id="574"/>
      </w:r>
      <w:r w:rsidRPr="00965FA6">
        <w:t xml:space="preserve">  An auction of 740 licenses (one license in each of the 734 MSAs/RSAs and one license in each of the six Economic Area Groupings (EAGs)) commenced on August 27, 2002, and closed on September 18, 2002.  Of the 740 licenses available for auction, 484 licenses were won by 102 winning bidders.  Seventy-two of the winning bidders claimed small business, very small business or entrepreneur status and won a total of 329 licenses.</w:t>
      </w:r>
      <w:r w:rsidRPr="00965FA6">
        <w:rPr>
          <w:vertAlign w:val="superscript"/>
        </w:rPr>
        <w:footnoteReference w:id="575"/>
      </w:r>
      <w:r w:rsidRPr="00965FA6">
        <w:t xml:space="preserve">  A second auction commenced on May 28, 2003, closed on June 13, 2003, and included 256 licenses:  5 EAG licenses and 476 Cellular Market Area licenses.</w:t>
      </w:r>
      <w:r w:rsidRPr="00965FA6">
        <w:rPr>
          <w:vertAlign w:val="superscript"/>
        </w:rPr>
        <w:footnoteReference w:id="576"/>
      </w:r>
      <w:r w:rsidRPr="00965FA6">
        <w:t xml:space="preserve">  Seventeen winning bidders claimed small or very small business status and won 60 licenses, and nine winning bidders claimed entrepreneur status and won 154 licenses.</w:t>
      </w:r>
      <w:r w:rsidRPr="00965FA6">
        <w:rPr>
          <w:vertAlign w:val="superscript"/>
        </w:rPr>
        <w:footnoteReference w:id="577"/>
      </w:r>
      <w:r w:rsidRPr="00965FA6">
        <w:t xml:space="preserve">  On July 26, 2005, the Commission completed an auction of 5 licenses in the Lower 700 MHz band (Auction No. 60).  There were three winning bidders for five licenses.  All three winning bidders claimed small business status.</w:t>
      </w:r>
    </w:p>
    <w:p w:rsidR="00324CD5" w:rsidRPr="00965FA6" w:rsidRDefault="00324CD5" w:rsidP="00324CD5">
      <w:pPr>
        <w:pStyle w:val="ParaNum"/>
      </w:pPr>
      <w:r w:rsidRPr="00965FA6">
        <w:t xml:space="preserve">In 2007, the Commission reexamined its rules governing the 700 MHz band in the </w:t>
      </w:r>
      <w:r w:rsidRPr="00965FA6">
        <w:rPr>
          <w:i/>
        </w:rPr>
        <w:t>700 MHz Second Report and Order</w:t>
      </w:r>
      <w:r w:rsidRPr="00965FA6">
        <w:t>.</w:t>
      </w:r>
      <w:r w:rsidRPr="00965FA6">
        <w:rPr>
          <w:rStyle w:val="FootnoteReference"/>
        </w:rPr>
        <w:footnoteReference w:id="578"/>
      </w:r>
      <w:r w:rsidRPr="00965FA6">
        <w:t xml:space="preserve">  An auction of 700 MHz licenses commenced January 24, 2008 and closed on March 18, 2008, which included, 176 Economic Area licenses in the A Block, 734 Cellular Market Area licenses in the B Block, and 176 EA licenses in the E Block.</w:t>
      </w:r>
      <w:r w:rsidRPr="00965FA6">
        <w:rPr>
          <w:rStyle w:val="FootnoteReference"/>
        </w:rPr>
        <w:footnoteReference w:id="579"/>
      </w:r>
      <w:r w:rsidRPr="00965FA6">
        <w:t xml:space="preserve">  Twenty winning bidders, claiming small business status (those with attributable average annual gross revenues that exceed $15 million and do not exceed $40 million for the preceding three years) won 49 licenses.  Thirty three winning bidders claiming very small business status (those with attributable average annual gross revenues that do not exceed $15 million for the preceding three years) won 325 licenses.</w:t>
      </w:r>
    </w:p>
    <w:p w:rsidR="00324CD5" w:rsidRPr="00965FA6" w:rsidRDefault="00324CD5" w:rsidP="00324CD5">
      <w:pPr>
        <w:pStyle w:val="ParaNum"/>
      </w:pPr>
      <w:r w:rsidRPr="00965FA6">
        <w:rPr>
          <w:i/>
        </w:rPr>
        <w:t>Upper 700 MHz Band Licenses</w:t>
      </w:r>
      <w:r w:rsidRPr="00965FA6">
        <w:t xml:space="preserve">.  In the </w:t>
      </w:r>
      <w:r w:rsidRPr="00965FA6">
        <w:rPr>
          <w:i/>
        </w:rPr>
        <w:t>700 MHz Second Report and Order</w:t>
      </w:r>
      <w:r w:rsidRPr="00965FA6">
        <w:t>, the Commission revised its rules regarding Upper 700 MHz licenses.</w:t>
      </w:r>
      <w:r w:rsidRPr="00965FA6">
        <w:rPr>
          <w:rStyle w:val="FootnoteReference"/>
        </w:rPr>
        <w:footnoteReference w:id="580"/>
      </w:r>
      <w:r w:rsidRPr="00965FA6">
        <w:t xml:space="preserve">  On January 24, 2008, the Commission commenced Auction 73 in which several licenses in the Upper 700 MHz band were available for licensing:  12 Regional Economic Area Grouping licenses in the C Block, and one nationwide license in the D Block.</w:t>
      </w:r>
      <w:r w:rsidRPr="00965FA6">
        <w:rPr>
          <w:rStyle w:val="FootnoteReference"/>
        </w:rPr>
        <w:footnoteReference w:id="581"/>
      </w:r>
      <w:r w:rsidRPr="00965FA6">
        <w:t xml:space="preserve">  The auction concluded on March 18, 2008, with 3 winning bidders claiming very small business status (those with attributable average annual gross revenues that do not exceed $15 million for the preceding three years) and winning five licenses.</w:t>
      </w:r>
    </w:p>
    <w:p w:rsidR="00324CD5" w:rsidRPr="00965FA6" w:rsidRDefault="00324CD5" w:rsidP="00324CD5">
      <w:pPr>
        <w:pStyle w:val="ParaNum"/>
      </w:pPr>
      <w:r w:rsidRPr="07FA3145">
        <w:rPr>
          <w:i/>
        </w:rPr>
        <w:t>700 MHz Guard Band Licensees</w:t>
      </w:r>
      <w:r w:rsidRPr="07FA3145">
        <w:t xml:space="preserve">.  </w:t>
      </w:r>
      <w:r w:rsidRPr="00965FA6">
        <w:t>In 2000, in the 700 MHz Guard Band Order, the Commission adopted size standards for “small businesses” and “very small businesses” for purposes of determining their eligibility for special provisions such as bidding credits and installment payments.</w:t>
      </w:r>
      <w:r w:rsidRPr="07FA3145">
        <w:rPr>
          <w:rStyle w:val="FootnoteReference"/>
        </w:rPr>
        <w:footnoteReference w:id="582"/>
      </w:r>
      <w:r w:rsidRPr="00965FA6">
        <w:t xml:space="preserve">  A small business in this service is an entity that, together with its affiliates and controlling principals, has average gross revenues not exceeding $40 million for the preceding three years.</w:t>
      </w:r>
      <w:r w:rsidRPr="07FA3145">
        <w:rPr>
          <w:rStyle w:val="FootnoteReference"/>
        </w:rPr>
        <w:footnoteReference w:id="583"/>
      </w:r>
      <w:r w:rsidRPr="00965FA6">
        <w:t xml:space="preserve">  Additionally, a very small business is an entity that, together with its affiliates and controlling principals, has average gross revenues that are not more than $15 million for the preceding three years.</w:t>
      </w:r>
      <w:r w:rsidRPr="07FA3145">
        <w:rPr>
          <w:rStyle w:val="FootnoteReference"/>
        </w:rPr>
        <w:footnoteReference w:id="584"/>
      </w:r>
      <w:r w:rsidRPr="00965FA6">
        <w:t xml:space="preserve">  SBA approval of these definitions is not required.</w:t>
      </w:r>
      <w:r w:rsidRPr="07FA3145">
        <w:rPr>
          <w:rStyle w:val="FootnoteReference"/>
        </w:rPr>
        <w:footnoteReference w:id="585"/>
      </w:r>
      <w:r w:rsidRPr="00965FA6">
        <w:t xml:space="preserve">  An auction of 52 Major Economic Area licenses commenced on September 6, 2000, and closed on September 21, 2000.</w:t>
      </w:r>
      <w:r w:rsidRPr="07FA3145">
        <w:rPr>
          <w:rStyle w:val="FootnoteReference"/>
        </w:rPr>
        <w:footnoteReference w:id="586"/>
      </w:r>
      <w:r w:rsidRPr="00965FA6">
        <w:t xml:space="preserve">  Of the 104 licenses auctioned, 96 licenses were sold to nine bidders.  Five of these bidders were small businesses that won a total of 26 licenses.  A second auction of 700 MHz Guard Band licenses commenced on February 13, 2001, and closed on February 21, 2001.  All eight of the licenses auctioned were sold to three bidders.  One of these bidders was a small business that won a total of two licenses.</w:t>
      </w:r>
      <w:r w:rsidRPr="07FA3145">
        <w:rPr>
          <w:rStyle w:val="FootnoteReference"/>
        </w:rPr>
        <w:footnoteReference w:id="587"/>
      </w:r>
    </w:p>
    <w:p w:rsidR="00324CD5" w:rsidRPr="00965FA6" w:rsidRDefault="00324CD5" w:rsidP="00324CD5">
      <w:pPr>
        <w:pStyle w:val="ParaNum"/>
      </w:pPr>
      <w:r w:rsidRPr="07FA3145">
        <w:rPr>
          <w:i/>
        </w:rPr>
        <w:t>Air-Ground Radiotelephone Service</w:t>
      </w:r>
      <w:r w:rsidRPr="07FA3145">
        <w:t xml:space="preserve">.  </w:t>
      </w:r>
      <w:r w:rsidRPr="00965FA6">
        <w:t>The Commission has previously used the SBA’s small business size standard applicable to Wireless Telecommunications Carriers (except Satellite), i.e., an entity employing no more than 1,500 persons.</w:t>
      </w:r>
      <w:r w:rsidRPr="07FA3145">
        <w:rPr>
          <w:rStyle w:val="FootnoteReference"/>
        </w:rPr>
        <w:footnoteReference w:id="588"/>
      </w:r>
      <w:r w:rsidRPr="00965FA6">
        <w:t xml:space="preserve">  There are approximately 100 licensees in the Air-Ground Radiotelephone Service, and under that definition, we estimate that almost all of them qualify as small entities under the SBA definition.  For purposes of assigning Air-Ground Radiotelephone Service licenses through competitive bidding, the Commission has defined “small business” as an entity that, together with controlling interests and affiliates, has average annual gross revenues for the preceding three years not exceeding $40 million.</w:t>
      </w:r>
      <w:r w:rsidRPr="00965FA6">
        <w:rPr>
          <w:rStyle w:val="FootnoteReference"/>
        </w:rPr>
        <w:footnoteReference w:id="589"/>
      </w:r>
      <w:r w:rsidRPr="00965FA6">
        <w:t xml:space="preserve">  A “very small business” is defined as an entity that, together with controlling interests and affiliates, has average annual gross revenues for the preceding three years not exceeding $15 million.</w:t>
      </w:r>
      <w:r w:rsidRPr="00965FA6">
        <w:rPr>
          <w:rStyle w:val="FootnoteReference"/>
        </w:rPr>
        <w:footnoteReference w:id="590"/>
      </w:r>
      <w:r w:rsidRPr="00965FA6">
        <w:t xml:space="preserve">  These definitions were approved by the SBA.</w:t>
      </w:r>
      <w:r w:rsidRPr="00965FA6">
        <w:rPr>
          <w:rStyle w:val="FootnoteReference"/>
        </w:rPr>
        <w:footnoteReference w:id="591"/>
      </w:r>
      <w:r w:rsidRPr="00965FA6">
        <w:t xml:space="preserve">  In May 2006, the Commission completed an auction of nationwide commercial Air-Ground Radiotelephone Service licenses in the 800 MHz band (Auction No. 65).  On June 2, 2006, the auction closed with two winning bidders winning two Air-Ground Radiotelephone Services licenses.  Neither of the winning bidders claimed small business status.</w:t>
      </w:r>
    </w:p>
    <w:p w:rsidR="00324CD5" w:rsidRPr="00965FA6" w:rsidRDefault="00324CD5" w:rsidP="00324CD5">
      <w:pPr>
        <w:pStyle w:val="ParaNum"/>
      </w:pPr>
      <w:r w:rsidRPr="003E21B7">
        <w:rPr>
          <w:i/>
        </w:rPr>
        <w:t>AWS Services (1710–1755 MHz  and 2110–2155 MHz bands (AWS-1); 1915–1920 MHz, 1995–2000 MHz, 2020–2025 MHz and 2175–2180 MHz bands (AWS-2); 2155–2175 MHz band (AWS-3))</w:t>
      </w:r>
      <w:r w:rsidRPr="00965FA6">
        <w:t>.  For the AWS-1 bands,</w:t>
      </w:r>
      <w:r w:rsidRPr="00965FA6">
        <w:rPr>
          <w:rStyle w:val="FootnoteReference"/>
        </w:rPr>
        <w:footnoteReference w:id="592"/>
      </w:r>
      <w:r w:rsidRPr="00965FA6">
        <w:t xml:space="preserve"> the Commission has defined a “small business” as an entity with average annual gross revenues for the preceding three years not exceeding $40 million, and a “very small business” as an entity with average annual gross revenues for the preceding three years not exceeding $15 million.  For AWS-2 and AWS-3, although we do not know for certain which entities are likely to apply for these frequencies, we note that the AWS-1 bands are comparable to those used for cellular service and personal communications service.  The Commission has not yet adopted size standards for the AWS-2 or AWS-3 bands but proposes to treat both AWS-2 and AWS-3 similarly to broadband PCS service and AWS-1 service due to the comparable capital requirements and other factors, such as issues involved in relocating incumbents and developing markets, technologies, and services.</w:t>
      </w:r>
      <w:r w:rsidRPr="00965FA6">
        <w:rPr>
          <w:rStyle w:val="FootnoteReference"/>
        </w:rPr>
        <w:footnoteReference w:id="593"/>
      </w:r>
    </w:p>
    <w:p w:rsidR="00324CD5" w:rsidRPr="00965FA6" w:rsidRDefault="00324CD5" w:rsidP="00F91900">
      <w:pPr>
        <w:pStyle w:val="ParaNum"/>
        <w:widowControl/>
      </w:pPr>
      <w:r w:rsidRPr="00965FA6">
        <w:rPr>
          <w:i/>
        </w:rPr>
        <w:t>3650–3700 MHz band</w:t>
      </w:r>
      <w:r w:rsidRPr="00965FA6">
        <w:t xml:space="preserve">.  In March 2005, the Commission released a </w:t>
      </w:r>
      <w:r w:rsidRPr="00965FA6">
        <w:rPr>
          <w:i/>
        </w:rPr>
        <w:t>Report and Order and Memorandum Opinion and Order</w:t>
      </w:r>
      <w:r w:rsidRPr="00965FA6">
        <w:t xml:space="preserve"> that provides for nationwide, non-exclusive licensing of terrestrial operations, utilizing contention-based technologies, in the 3650 MHz band (i.e., 3650–3700 MHz).  As of April 2010, more than 1270 licenses have been granted and more than 7433 sites have been registered.  The Commission has not developed a definition of small entities applicable to 3650–3700 MHz band nationwide, non-exclusive licensees.  However, we estimate that the majority of these licensees are Internet Access Service Providers (ISPs) and that most of those licensees are small businesses.</w:t>
      </w:r>
    </w:p>
    <w:p w:rsidR="00324CD5" w:rsidRPr="00DE7CC8" w:rsidRDefault="00324CD5" w:rsidP="00F91900">
      <w:pPr>
        <w:pStyle w:val="ParaNum"/>
        <w:widowControl/>
      </w:pPr>
      <w:r w:rsidRPr="07FA3145">
        <w:rPr>
          <w:i/>
        </w:rPr>
        <w:t>Fixed Microwave Services.</w:t>
      </w:r>
      <w:r w:rsidRPr="07FA3145">
        <w:t xml:space="preserve">  </w:t>
      </w:r>
      <w:r w:rsidRPr="00965FA6">
        <w:t>Microwave services include common carrier,</w:t>
      </w:r>
      <w:r w:rsidRPr="00965FA6">
        <w:rPr>
          <w:rStyle w:val="FootnoteReference"/>
        </w:rPr>
        <w:footnoteReference w:id="594"/>
      </w:r>
      <w:r w:rsidRPr="00965FA6">
        <w:t xml:space="preserve"> private-operational fixed,</w:t>
      </w:r>
      <w:r w:rsidRPr="00965FA6">
        <w:rPr>
          <w:rStyle w:val="FootnoteReference"/>
        </w:rPr>
        <w:footnoteReference w:id="595"/>
      </w:r>
      <w:r w:rsidRPr="00965FA6">
        <w:t xml:space="preserve"> and broadcast auxiliary radio services.</w:t>
      </w:r>
      <w:r w:rsidRPr="00965FA6">
        <w:rPr>
          <w:rStyle w:val="FootnoteReference"/>
        </w:rPr>
        <w:footnoteReference w:id="596"/>
      </w:r>
      <w:r w:rsidRPr="00965FA6">
        <w:t xml:space="preserve">  They also include the Local Multipoint Distribution Service (LMDS),</w:t>
      </w:r>
      <w:r w:rsidRPr="00965FA6">
        <w:rPr>
          <w:rStyle w:val="FootnoteReference"/>
        </w:rPr>
        <w:footnoteReference w:id="597"/>
      </w:r>
      <w:r w:rsidRPr="00965FA6">
        <w:t xml:space="preserve"> the Digital Electronic Message Service (DEMS),</w:t>
      </w:r>
      <w:r w:rsidRPr="00965FA6">
        <w:rPr>
          <w:rStyle w:val="FootnoteReference"/>
        </w:rPr>
        <w:footnoteReference w:id="598"/>
      </w:r>
      <w:r w:rsidRPr="00965FA6">
        <w:t xml:space="preserve"> and the 24 GHz Service,</w:t>
      </w:r>
      <w:r w:rsidRPr="00965FA6">
        <w:rPr>
          <w:rStyle w:val="FootnoteReference"/>
        </w:rPr>
        <w:footnoteReference w:id="599"/>
      </w:r>
      <w:r w:rsidRPr="00965FA6">
        <w:t xml:space="preserve"> where licensees can choose between common carrier and non-common carrier status.</w:t>
      </w:r>
      <w:r w:rsidRPr="00965FA6">
        <w:rPr>
          <w:rStyle w:val="FootnoteReference"/>
        </w:rPr>
        <w:footnoteReference w:id="600"/>
      </w:r>
      <w:r w:rsidRPr="00965FA6">
        <w:t xml:space="preserve">  At present, there are approximately 36,708 common carrier fixed licensees and 59,291 private operational-fixed licensees and broadcast auxiliary radio licensees in the microwave services.  There are approximately 135 LMDS licensees, three DEMS licensees, and three 24 GHz licensees.  The Commission has not yet defined a small business with respect to microwave services.  For purpose</w:t>
      </w:r>
      <w:r>
        <w:t>s of the I</w:t>
      </w:r>
      <w:r w:rsidRPr="00965FA6">
        <w:t>RFA, we will use the SBA’s definition applicable to Wireless Telecommunications Carriers (except satellite)—i.e., an entity with no more than 1,500 persons.</w:t>
      </w:r>
      <w:r w:rsidRPr="00965FA6">
        <w:rPr>
          <w:rStyle w:val="FootnoteReference"/>
        </w:rPr>
        <w:footnoteReference w:id="601"/>
      </w:r>
      <w:r w:rsidRPr="00965FA6">
        <w:t xml:space="preserve">  Under the present and prior categories, the SBA has deemed a wireless business to be small if it has 1,500 or fewer employees.</w:t>
      </w:r>
      <w:r w:rsidRPr="07FA3145">
        <w:rPr>
          <w:rStyle w:val="FootnoteReference"/>
        </w:rPr>
        <w:footnoteReference w:id="602"/>
      </w:r>
      <w:r>
        <w:t xml:space="preserve">  The Commission does not have data specifying the number of these licensees that have more than 1,500 employees, and thus is unable at this time to estimate with greater precision the number of fixed microwave service licensees that would qualify as small business concerns under the SBA’s small business size standard.  Consequently, the Commission estimates that there are up to </w:t>
      </w:r>
      <w:r w:rsidRPr="00965FA6">
        <w:t xml:space="preserve">36,708 </w:t>
      </w:r>
      <w:r>
        <w:t xml:space="preserve">common carrier fixed licensees and up to </w:t>
      </w:r>
      <w:r w:rsidRPr="00965FA6">
        <w:t>59,291</w:t>
      </w:r>
      <w:r>
        <w:t xml:space="preserve"> private operational-fixed licensees and broadcast auxiliary radio licensees in the microwave services that may be small and may be affected by the rules and policies adopted herein.  We note, however, that the common carrier microwave fixed licensee category includes some large entities.</w:t>
      </w:r>
      <w:r w:rsidRPr="00965FA6">
        <w:t xml:space="preserve">  </w:t>
      </w:r>
    </w:p>
    <w:p w:rsidR="00324CD5" w:rsidRPr="00DE7CC8" w:rsidRDefault="00324CD5" w:rsidP="00324CD5">
      <w:pPr>
        <w:pStyle w:val="ParaNum"/>
      </w:pPr>
      <w:r w:rsidRPr="00DE7CC8">
        <w:rPr>
          <w:i/>
        </w:rPr>
        <w:t>Broadband Radio Service and Educational Broadband Service.</w:t>
      </w:r>
      <w:r w:rsidRPr="00965FA6">
        <w:t xml:space="preserve">  Broadband Radio Service systems, previously referred to as Multipoint Distribution Service (MDS) and Multichannel Multipoint Distribution Service (MMDS) systems, and “wireless cable,” transmit video programming to subscribers and provide two-way high speed data operations using the microwave frequencies of the Broadband Radio Service (BRS) and Educational Broadband Service (EBS) (previously referred to as the Instructional Television Fixed Service (ITFS)).</w:t>
      </w:r>
      <w:r w:rsidRPr="07FA3145">
        <w:rPr>
          <w:rStyle w:val="FootnoteReference"/>
        </w:rPr>
        <w:footnoteReference w:id="603"/>
      </w:r>
      <w:r w:rsidRPr="00965FA6">
        <w:t xml:space="preserve">  In connection with the 1996 BRS auction, the Commission established a small business size standard as an entity that had annual average gross revenues of no more than $40 million in the previous three calendar years.</w:t>
      </w:r>
      <w:r w:rsidRPr="07FA3145">
        <w:rPr>
          <w:rStyle w:val="FootnoteReference"/>
        </w:rPr>
        <w:footnoteReference w:id="604"/>
      </w:r>
      <w:r w:rsidRPr="00965FA6">
        <w:t xml:space="preserve">  The BRS auctions resulted in 67 successful bidders obtaining licensing opportunities for 493 Basic Trading Areas (BTAs).  Of the 67 auction winners, 61 met the definition of a small business.  BRS also includes licensees of stations authorized prior to the auction.  At this time, we estimate that of the 61 small business BRS auction winners, 48 remain small business licensees.  In addition to the 48 small businesses that hold BTA authorizations, there are approximately 392 incumbent BRS licensees that are considered small entities.</w:t>
      </w:r>
      <w:r w:rsidRPr="07FA3145">
        <w:rPr>
          <w:rStyle w:val="FootnoteReference"/>
        </w:rPr>
        <w:footnoteReference w:id="605"/>
      </w:r>
      <w:r w:rsidRPr="00965FA6">
        <w:t xml:space="preserve">  After adding the number of small business auction licensees to the number of incumbent licensees not already counted, we find that there are currently approximately 440 BRS licensees that are defined as small businesses under either the SBA or the Commission’s rules.</w:t>
      </w:r>
    </w:p>
    <w:p w:rsidR="00324CD5" w:rsidRPr="00965FA6" w:rsidRDefault="00324CD5" w:rsidP="00324CD5">
      <w:pPr>
        <w:pStyle w:val="ParaNum"/>
      </w:pPr>
      <w:r w:rsidRPr="00965FA6">
        <w:t>In 2009, the Commission conducted Auction 86, the sale of 78 licenses in the BRS areas.</w:t>
      </w:r>
      <w:r w:rsidRPr="07FA3145">
        <w:rPr>
          <w:vertAlign w:val="superscript"/>
        </w:rPr>
        <w:footnoteReference w:id="606"/>
      </w:r>
      <w:r w:rsidRPr="00965FA6">
        <w:t xml:space="preserve">  The Commission offered three levels of bidding credits: (i) a bidder with attributed average annual gross revenues that exceed $15 million and do not exceed $40 million for the preceding three years (small business) received a 15 percent discount on its winning bid; (ii) a bidder with attributed average annual gross revenues that exceed $3 million and do not exceed $15 million for the preceding three years (very small business) received a 25 percent discount on its winning bid; and (iii) a bidder with attributed average annual gross revenues that do not exceed $3 million for the preceding three years (entrepreneur) received a 35 percent discount on its winning bid.</w:t>
      </w:r>
      <w:r w:rsidRPr="07FA3145">
        <w:rPr>
          <w:vertAlign w:val="superscript"/>
        </w:rPr>
        <w:footnoteReference w:id="607"/>
      </w:r>
      <w:r w:rsidRPr="00965FA6">
        <w:t xml:space="preserve">  Auction 86 concluded in 2009 with the sale of 61 licenses.</w:t>
      </w:r>
      <w:r w:rsidRPr="07FA3145">
        <w:rPr>
          <w:vertAlign w:val="superscript"/>
        </w:rPr>
        <w:footnoteReference w:id="608"/>
      </w:r>
      <w:r w:rsidRPr="00965FA6">
        <w:t xml:space="preserve">  Of the ten winning bidders, two bidders that claimed small business status won 4 licenses; one bidder that claimed very small business status won three licenses; and two bidders that claimed entrepreneur status won six licenses.</w:t>
      </w:r>
    </w:p>
    <w:p w:rsidR="00324CD5" w:rsidRPr="00965FA6" w:rsidRDefault="00324CD5" w:rsidP="00324CD5">
      <w:pPr>
        <w:pStyle w:val="ParaNum"/>
      </w:pPr>
      <w:r w:rsidRPr="00965FA6">
        <w:t>In addition, the SBA’s Cable Television Distribution Services small business size standard is applicable to EBS.  There are presently 2,436 EBS licensees.  All but 100 of these licenses are held by educational institutions.  Educational institutions are included in this analysis as small entities.</w:t>
      </w:r>
      <w:r w:rsidRPr="07FA3145">
        <w:rPr>
          <w:vertAlign w:val="superscript"/>
        </w:rPr>
        <w:footnoteReference w:id="609"/>
      </w:r>
      <w:r w:rsidRPr="00965FA6">
        <w:t xml:space="preserve">  Thus, we estimate that at least 2,336 licensees are small businesses.  Since 2007,</w:t>
      </w:r>
      <w:r w:rsidRPr="00965FA6">
        <w:rPr>
          <w:i/>
        </w:rPr>
        <w:t xml:space="preserve"> </w:t>
      </w:r>
      <w:r w:rsidRPr="00965FA6">
        <w:t>Cable Television Distribution Services have been defined within the broad economic census category of Wired Telecommunications Carriers; that category is defined as follows</w:t>
      </w:r>
      <w:r w:rsidRPr="00A91D80">
        <w:t>:  “</w:t>
      </w:r>
      <w:r w:rsidRPr="00A91D80">
        <w:rPr>
          <w:rFonts w:eastAsia="Arial"/>
        </w:rPr>
        <w:t xml:space="preserve">This industry comprises establishments </w:t>
      </w:r>
      <w:r w:rsidRPr="00A91D80">
        <w:t>primarily</w:t>
      </w:r>
      <w:r w:rsidRPr="00A91D80">
        <w:rPr>
          <w:rFonts w:eastAsia="Arial"/>
        </w:rPr>
        <w:t xml:space="preserve">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sidRPr="07FA3145">
        <w:rPr>
          <w:rStyle w:val="FootnoteReference"/>
        </w:rPr>
        <w:footnoteReference w:id="610"/>
      </w:r>
      <w:r w:rsidRPr="00965FA6">
        <w:t xml:space="preserve">  The SBA has developed a small business size standard for this category, which is:  all such firms having 1,500 or fewer employees.  To gauge small business prevalence for these cable services we must, however, use the most current census data that are based on the previous category of Cable and Other Program Distribution and its associated size standard; that size standard was:  all such firms having $13.5 million or less in annual receipts.</w:t>
      </w:r>
      <w:r w:rsidRPr="07FA3145">
        <w:rPr>
          <w:rStyle w:val="FootnoteReference"/>
        </w:rPr>
        <w:footnoteReference w:id="611"/>
      </w:r>
      <w:r w:rsidRPr="00965FA6">
        <w:t xml:space="preserve">  According to Census Bureau data for 2007, there were a total of 996 firms in this category that operated for the entire year.</w:t>
      </w:r>
      <w:r w:rsidRPr="07FA3145">
        <w:rPr>
          <w:rStyle w:val="FootnoteReference"/>
        </w:rPr>
        <w:footnoteReference w:id="612"/>
      </w:r>
      <w:r w:rsidRPr="00965FA6">
        <w:t xml:space="preserve">  Of this total, 948 firms had annual receipts of under $10 million, and 48 firms had receipts of $10 million or more but less than $25 million.</w:t>
      </w:r>
      <w:r w:rsidRPr="07FA3145">
        <w:rPr>
          <w:rStyle w:val="FootnoteReference"/>
        </w:rPr>
        <w:footnoteReference w:id="613"/>
      </w:r>
      <w:r w:rsidRPr="00965FA6">
        <w:t xml:space="preserve">  Thus, the majority of these firms can be considered small.</w:t>
      </w:r>
    </w:p>
    <w:p w:rsidR="00324CD5" w:rsidRPr="00965FA6" w:rsidRDefault="00324CD5" w:rsidP="00324CD5">
      <w:pPr>
        <w:pStyle w:val="Heading3"/>
        <w:widowControl/>
        <w:tabs>
          <w:tab w:val="num" w:pos="2160"/>
        </w:tabs>
      </w:pPr>
      <w:bookmarkStart w:id="1090" w:name="_Toc412097300"/>
      <w:bookmarkStart w:id="1091" w:name="_Toc412382117"/>
      <w:bookmarkStart w:id="1092" w:name="_Toc412409145"/>
      <w:bookmarkStart w:id="1093" w:name="_Toc412409992"/>
      <w:bookmarkStart w:id="1094" w:name="_Toc412410100"/>
      <w:bookmarkStart w:id="1095" w:name="_Toc412410355"/>
      <w:bookmarkStart w:id="1096" w:name="_Toc412557238"/>
      <w:bookmarkStart w:id="1097" w:name="_Toc412557598"/>
      <w:bookmarkStart w:id="1098" w:name="_Toc412574964"/>
      <w:bookmarkStart w:id="1099" w:name="_Toc413425061"/>
      <w:bookmarkStart w:id="1100" w:name="_Toc446937504"/>
      <w:bookmarkStart w:id="1101" w:name="_Toc447116377"/>
      <w:bookmarkStart w:id="1102" w:name="_Toc447121265"/>
      <w:r w:rsidRPr="00965FA6">
        <w:t>Satellite Service Providers</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p>
    <w:p w:rsidR="00324CD5" w:rsidRPr="00965FA6" w:rsidRDefault="00324CD5" w:rsidP="00324CD5">
      <w:pPr>
        <w:pStyle w:val="ParaNum"/>
        <w:rPr>
          <w:kern w:val="0"/>
        </w:rPr>
      </w:pPr>
      <w:r w:rsidRPr="00965FA6">
        <w:rPr>
          <w:i/>
        </w:rPr>
        <w:t xml:space="preserve">Satellite Telecommunications Providers.  </w:t>
      </w:r>
      <w:r w:rsidRPr="00965FA6">
        <w:t>Two economic census categories address the satellite industry.  The first category has a small business size standard of $30 million or less in average annual receipts, under SBA rules.</w:t>
      </w:r>
      <w:r w:rsidRPr="07FA3145">
        <w:rPr>
          <w:rStyle w:val="StyleFootnoteReferenceStyle13Style12NECGFootnoteReferenc"/>
        </w:rPr>
        <w:footnoteReference w:id="614"/>
      </w:r>
      <w:r w:rsidRPr="00965FA6">
        <w:t xml:space="preserve">  The second has a size standard of $30 million or less in annual receipts.</w:t>
      </w:r>
      <w:r w:rsidRPr="07FA3145">
        <w:rPr>
          <w:rStyle w:val="StyleFootnoteReferenceStyle13Style12NECGFootnoteReferenc"/>
        </w:rPr>
        <w:footnoteReference w:id="615"/>
      </w:r>
    </w:p>
    <w:p w:rsidR="00324CD5" w:rsidRPr="00965FA6" w:rsidRDefault="00324CD5" w:rsidP="00324CD5">
      <w:pPr>
        <w:pStyle w:val="ParaNum"/>
      </w:pPr>
      <w:r w:rsidRPr="00965FA6">
        <w:t>The category of Satellite Telecommunications “comprises establishments primarily engaged in providing telecommunications services to other establishments in the telecommunications and broadcasting industries by forwarding and receiving communications signals via a system of satellites or reselling satellite telecommunications.”</w:t>
      </w:r>
      <w:r w:rsidRPr="07FA3145">
        <w:rPr>
          <w:rStyle w:val="FootnoteReference"/>
        </w:rPr>
        <w:footnoteReference w:id="616"/>
      </w:r>
      <w:r w:rsidRPr="00965FA6">
        <w:t xml:space="preserve">  For this category, Census Bureau data for 2007 show that there were a total of 570 firms that operated for the entire year.</w:t>
      </w:r>
      <w:r w:rsidRPr="00965FA6">
        <w:rPr>
          <w:rStyle w:val="FootnoteReference"/>
        </w:rPr>
        <w:footnoteReference w:id="617"/>
      </w:r>
      <w:r w:rsidRPr="00965FA6">
        <w:t xml:space="preserve">  Of this total, 530 firms had annual receipts of under $30 million, and 40 firms had receipts of over $30 million.</w:t>
      </w:r>
      <w:r w:rsidRPr="00965FA6">
        <w:rPr>
          <w:rStyle w:val="FootnoteReference"/>
        </w:rPr>
        <w:footnoteReference w:id="618"/>
      </w:r>
      <w:r w:rsidRPr="00965FA6">
        <w:t xml:space="preserve">  Consequently, we estimate that the majority of Satellite Telecommunications firms are small entities that might be affected by our action.</w:t>
      </w:r>
    </w:p>
    <w:p w:rsidR="00324CD5" w:rsidRPr="00965FA6" w:rsidRDefault="00324CD5" w:rsidP="00324CD5">
      <w:pPr>
        <w:pStyle w:val="ParaNum"/>
      </w:pPr>
      <w:r w:rsidRPr="00965FA6">
        <w:t xml:space="preserve">The second category of Other Telecommunications comprises, </w:t>
      </w:r>
      <w:r w:rsidRPr="00965FA6">
        <w:rPr>
          <w:i/>
        </w:rPr>
        <w:t>inter alia</w:t>
      </w:r>
      <w:r w:rsidRPr="00965FA6">
        <w:t>, “establishments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sidRPr="07FA3145">
        <w:rPr>
          <w:rStyle w:val="FootnoteReference"/>
        </w:rPr>
        <w:footnoteReference w:id="619"/>
      </w:r>
      <w:r w:rsidRPr="00965FA6">
        <w:t xml:space="preserve">  For this category, Census Bureau data for 2007 show that there were a total of 1,274 firms that operated for the entire year.</w:t>
      </w:r>
      <w:r w:rsidRPr="00965FA6">
        <w:rPr>
          <w:rStyle w:val="FootnoteReference"/>
        </w:rPr>
        <w:footnoteReference w:id="620"/>
      </w:r>
      <w:r w:rsidRPr="00965FA6">
        <w:t xml:space="preserve">  Of this total, 1,252 had annual receipts below $25 million per year.</w:t>
      </w:r>
      <w:r w:rsidRPr="00965FA6">
        <w:rPr>
          <w:rStyle w:val="FootnoteReference"/>
        </w:rPr>
        <w:footnoteReference w:id="621"/>
      </w:r>
      <w:r w:rsidRPr="00965FA6">
        <w:t xml:space="preserve">  Consequently, we estimate that the majority of All Other Telecommunications firms are small entities that might be affected by our action.</w:t>
      </w:r>
    </w:p>
    <w:p w:rsidR="00324CD5" w:rsidRPr="00965FA6" w:rsidRDefault="00324CD5" w:rsidP="00324CD5">
      <w:pPr>
        <w:pStyle w:val="Heading3"/>
        <w:widowControl/>
        <w:tabs>
          <w:tab w:val="num" w:pos="2160"/>
        </w:tabs>
      </w:pPr>
      <w:bookmarkStart w:id="1103" w:name="_Toc412097301"/>
      <w:bookmarkStart w:id="1104" w:name="_Toc412382118"/>
      <w:bookmarkStart w:id="1105" w:name="_Toc412409146"/>
      <w:bookmarkStart w:id="1106" w:name="_Toc412409993"/>
      <w:bookmarkStart w:id="1107" w:name="_Toc412410101"/>
      <w:bookmarkStart w:id="1108" w:name="_Toc412410356"/>
      <w:bookmarkStart w:id="1109" w:name="_Toc412557239"/>
      <w:bookmarkStart w:id="1110" w:name="_Toc412557599"/>
      <w:bookmarkStart w:id="1111" w:name="_Toc412574965"/>
      <w:bookmarkStart w:id="1112" w:name="_Toc413425062"/>
      <w:bookmarkStart w:id="1113" w:name="_Toc446937505"/>
      <w:bookmarkStart w:id="1114" w:name="_Toc447116378"/>
      <w:bookmarkStart w:id="1115" w:name="_Toc447121266"/>
      <w:r w:rsidRPr="00965FA6">
        <w:t>Cable Service Providers</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p>
    <w:p w:rsidR="00324CD5" w:rsidRPr="00965FA6" w:rsidRDefault="005417C0" w:rsidP="00324CD5">
      <w:pPr>
        <w:pStyle w:val="ParaNum"/>
      </w:pPr>
      <w:r>
        <w:t>Because S</w:t>
      </w:r>
      <w:r w:rsidR="00324CD5" w:rsidRPr="00965FA6">
        <w:t>ection 706 requires us to monitor the deployment of broadband using any technology, we anticipate that some broadband service providers may not provide telephone service.  Accordingly, we describe below other types of firms that may provide broadband services, including cable companies, MDS providers, and utilities, among others.</w:t>
      </w:r>
    </w:p>
    <w:p w:rsidR="00324CD5" w:rsidRPr="00965FA6" w:rsidRDefault="00324CD5" w:rsidP="00324CD5">
      <w:pPr>
        <w:pStyle w:val="ParaNum"/>
      </w:pPr>
      <w:r w:rsidRPr="07FA3145">
        <w:rPr>
          <w:i/>
        </w:rPr>
        <w:t>Cable and Other Program Distributors</w:t>
      </w:r>
      <w:r w:rsidRPr="07FA3145">
        <w:t xml:space="preserve">.  </w:t>
      </w:r>
      <w:r w:rsidRPr="00A91D80">
        <w:t>Since 2007, these services have been defined within the broad economic census category of Wired Telecommunications Carriers; that category is defined as follows:  “</w:t>
      </w:r>
      <w:r w:rsidRPr="00A91D80">
        <w:rPr>
          <w:rFonts w:eastAsia="Arial"/>
        </w:rPr>
        <w:t xml:space="preserve">This industry comprises establishments primarily engaged in operating and/or providing access to transmission facilities and infrastructure that they own and/or lease for </w:t>
      </w:r>
      <w:r w:rsidRPr="00A91D80">
        <w:t>the</w:t>
      </w:r>
      <w:r w:rsidRPr="00A91D80">
        <w:rPr>
          <w:rFonts w:eastAsia="Arial"/>
        </w:rPr>
        <w:t xml:space="preserve"> transmission of voice, data, text, sound, and video using wired telecommunications networks.  Transmission facilities may be based on a single technology or a combination of technologies.”</w:t>
      </w:r>
      <w:r w:rsidRPr="07FA3145">
        <w:rPr>
          <w:rStyle w:val="FootnoteReference"/>
        </w:rPr>
        <w:footnoteReference w:id="622"/>
      </w:r>
      <w:r w:rsidRPr="00965FA6">
        <w:t xml:space="preserve">  The SBA has developed a small business size standard for this category, which is:  all such firms having 1,500 or fewer employees.  To gauge small business prevalence for these cable services we must, however, use current census data that are based on the previous category of Cable and Other Program Distribution and its associated size standard; that size standard was:  all such firms having $13.5 million or less in annual receipts.</w:t>
      </w:r>
      <w:r w:rsidRPr="07FA3145">
        <w:rPr>
          <w:rStyle w:val="FootnoteReference"/>
        </w:rPr>
        <w:footnoteReference w:id="623"/>
      </w:r>
      <w:r w:rsidRPr="00965FA6">
        <w:t xml:space="preserve">  According to Census Bureau data for 2007, there were a total of 2,048 firms in this category that operated for the entire year.</w:t>
      </w:r>
      <w:r w:rsidRPr="00965FA6">
        <w:rPr>
          <w:rStyle w:val="FootnoteReference"/>
        </w:rPr>
        <w:footnoteReference w:id="624"/>
      </w:r>
      <w:r w:rsidRPr="00965FA6">
        <w:t xml:space="preserve">  Of this total, 1,393 firms had annual receipts of under $10 million, and 655 firms had receipts of $10 million or more.</w:t>
      </w:r>
      <w:r w:rsidRPr="00965FA6">
        <w:rPr>
          <w:rStyle w:val="FootnoteReference"/>
        </w:rPr>
        <w:footnoteReference w:id="625"/>
      </w:r>
      <w:r w:rsidRPr="00965FA6">
        <w:t xml:space="preserve">  Thus, the majority of these firms can be considered small.</w:t>
      </w:r>
    </w:p>
    <w:p w:rsidR="00324CD5" w:rsidRPr="00965FA6" w:rsidRDefault="00324CD5" w:rsidP="00F91900">
      <w:pPr>
        <w:pStyle w:val="ParaNum"/>
        <w:widowControl/>
      </w:pPr>
      <w:r w:rsidRPr="00965FA6">
        <w:rPr>
          <w:i/>
        </w:rPr>
        <w:t>Cable Companies and Systems.</w:t>
      </w:r>
      <w:r w:rsidRPr="00965FA6">
        <w:t xml:space="preserve">  The Commission has also developed its own small business size standards, for the purpose of cable rate regulation.  Under the Commission’s rules, a “small cable company” is one serving 400,000 or fewer subscribers, nationwide.</w:t>
      </w:r>
      <w:r w:rsidRPr="00965FA6">
        <w:rPr>
          <w:rStyle w:val="FootnoteReference"/>
        </w:rPr>
        <w:footnoteReference w:id="626"/>
      </w:r>
      <w:r w:rsidRPr="00965FA6">
        <w:t xml:space="preserve">  Industry data shows that there were 1,141 cable companies at the end of June 2012.</w:t>
      </w:r>
      <w:r w:rsidRPr="00965FA6">
        <w:rPr>
          <w:rStyle w:val="FootnoteReference"/>
        </w:rPr>
        <w:footnoteReference w:id="627"/>
      </w:r>
      <w:r w:rsidRPr="00965FA6">
        <w:t xml:space="preserve">  Of this total, all but ten cable operators nationwide are small under this size standard.</w:t>
      </w:r>
      <w:r w:rsidRPr="00965FA6">
        <w:rPr>
          <w:rStyle w:val="FootnoteReference"/>
        </w:rPr>
        <w:footnoteReference w:id="628"/>
      </w:r>
      <w:r w:rsidRPr="00965FA6">
        <w:t xml:space="preserve"> In addition, under the Commission’s rules, a “small system” is a cable system serving 15,000 or fewer subscribers.</w:t>
      </w:r>
      <w:r w:rsidRPr="00965FA6">
        <w:rPr>
          <w:rStyle w:val="FootnoteReference"/>
        </w:rPr>
        <w:footnoteReference w:id="629"/>
      </w:r>
      <w:r w:rsidRPr="00965FA6">
        <w:t xml:space="preserve">  Current Commission records show 4,945 cable systems nationwide.</w:t>
      </w:r>
      <w:r w:rsidRPr="00965FA6">
        <w:rPr>
          <w:rStyle w:val="FootnoteReference"/>
        </w:rPr>
        <w:footnoteReference w:id="630"/>
      </w:r>
      <w:r w:rsidRPr="00965FA6">
        <w:t xml:space="preserve">  Of this total, 4,380 cable systems have less than 20,000 subscribers, and 565 systems have 20,000 or more subscribers, based on the same records.  Thus, under this standard, we estimate that most cable systems are small entities.</w:t>
      </w:r>
    </w:p>
    <w:p w:rsidR="00324CD5" w:rsidRDefault="00324CD5" w:rsidP="00F91900">
      <w:pPr>
        <w:pStyle w:val="ParaNum"/>
        <w:widowControl/>
      </w:pPr>
      <w:r w:rsidRPr="00965FA6">
        <w:rPr>
          <w:i/>
        </w:rPr>
        <w:t>Cable System Operators</w:t>
      </w:r>
      <w:r w:rsidRPr="00965FA6">
        <w:t>.  The Communications Act of 1934, as amended, also contains a size standard for small cable system operators, which is “a cable operator that, directly or through an affiliate, serves in the aggregate fewer than 1 percent of all subscribers in the United States and is not affiliated with any entity or entities whose gross annual revenues in the aggregate exceed $250,000,000.”</w:t>
      </w:r>
      <w:r w:rsidRPr="00965FA6">
        <w:rPr>
          <w:rStyle w:val="FootnoteReference"/>
        </w:rPr>
        <w:footnoteReference w:id="631"/>
      </w:r>
      <w:r w:rsidRPr="00965FA6">
        <w:t xml:space="preserve">  The Commission has determined that an operator serving fewer than 677,000 subscribers shall be deemed a small operator, if its annual revenues, when combined with the total annual revenues of all its affiliates, do not exceed $250 million in the aggregate.</w:t>
      </w:r>
      <w:r w:rsidRPr="00965FA6">
        <w:rPr>
          <w:rStyle w:val="FootnoteReference"/>
        </w:rPr>
        <w:footnoteReference w:id="632"/>
      </w:r>
      <w:r w:rsidRPr="00965FA6">
        <w:t xml:space="preserve">  Based on available data, we find that all but ten incumbent cable operators are small entities under this size standard.</w:t>
      </w:r>
      <w:r w:rsidRPr="00965FA6">
        <w:rPr>
          <w:rStyle w:val="FootnoteReference"/>
        </w:rPr>
        <w:footnoteReference w:id="633"/>
      </w:r>
      <w:r w:rsidRPr="00965FA6">
        <w:t xml:space="preserve">  We note that the Commission neither requests nor collects information on whether cable system operators are affiliated with entities whose gross annual revenues exceed $250 million,</w:t>
      </w:r>
      <w:r w:rsidRPr="00965FA6">
        <w:rPr>
          <w:rStyle w:val="FootnoteReference"/>
        </w:rPr>
        <w:footnoteReference w:id="634"/>
      </w:r>
      <w:r w:rsidRPr="00965FA6">
        <w:t xml:space="preserve"> and therefore we are unable to estimate more accurately the number of cable system operators that would qualify as small under this size standard.</w:t>
      </w:r>
    </w:p>
    <w:p w:rsidR="00324CD5" w:rsidRPr="000812F2" w:rsidRDefault="00324CD5" w:rsidP="00324CD5">
      <w:pPr>
        <w:pStyle w:val="Heading3"/>
      </w:pPr>
      <w:bookmarkStart w:id="1116" w:name="_Toc421793888"/>
      <w:bookmarkStart w:id="1117" w:name="_Toc421885975"/>
      <w:bookmarkStart w:id="1118" w:name="_Toc422499972"/>
      <w:bookmarkStart w:id="1119" w:name="_Toc423369187"/>
      <w:bookmarkStart w:id="1120" w:name="_Toc423537060"/>
      <w:bookmarkStart w:id="1121" w:name="_Toc424228631"/>
      <w:bookmarkStart w:id="1122" w:name="_Toc424302886"/>
      <w:bookmarkStart w:id="1123" w:name="_Toc424643965"/>
      <w:bookmarkStart w:id="1124" w:name="_Toc426116348"/>
      <w:bookmarkStart w:id="1125" w:name="_Toc426117830"/>
      <w:bookmarkStart w:id="1126" w:name="_Toc446937506"/>
      <w:bookmarkStart w:id="1127" w:name="_Toc447116379"/>
      <w:bookmarkStart w:id="1128" w:name="_Toc447121267"/>
      <w:r>
        <w:t>All Other Telecommunications</w:t>
      </w:r>
      <w:bookmarkEnd w:id="1116"/>
      <w:bookmarkEnd w:id="1117"/>
      <w:bookmarkEnd w:id="1118"/>
      <w:bookmarkEnd w:id="1119"/>
      <w:bookmarkEnd w:id="1120"/>
      <w:bookmarkEnd w:id="1121"/>
      <w:bookmarkEnd w:id="1122"/>
      <w:bookmarkEnd w:id="1123"/>
      <w:bookmarkEnd w:id="1124"/>
      <w:bookmarkEnd w:id="1125"/>
      <w:bookmarkEnd w:id="1126"/>
      <w:bookmarkEnd w:id="1127"/>
      <w:bookmarkEnd w:id="1128"/>
    </w:p>
    <w:p w:rsidR="00324CD5" w:rsidRPr="00AA388D" w:rsidRDefault="00324CD5" w:rsidP="00F91900">
      <w:pPr>
        <w:pStyle w:val="ParaNum"/>
        <w:widowControl/>
        <w:rPr>
          <w:spacing w:val="-3"/>
        </w:rPr>
      </w:pPr>
      <w:r w:rsidRPr="007A6FE3">
        <w:t>The Census Bureau defines this industry as including “establishments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w:t>
      </w:r>
      <w:r w:rsidRPr="007A6FE3">
        <w:rPr>
          <w:rStyle w:val="FootnoteReference"/>
          <w:szCs w:val="22"/>
        </w:rPr>
        <w:footnoteReference w:id="635"/>
      </w:r>
      <w:r w:rsidRPr="007A6FE3">
        <w:t xml:space="preserve">  The SBA has developed a small business size standard for this category; that size standard is $3</w:t>
      </w:r>
      <w:r>
        <w:t>2.5</w:t>
      </w:r>
      <w:r w:rsidRPr="007A6FE3">
        <w:t xml:space="preserve"> million or less in average annual receipts.</w:t>
      </w:r>
      <w:r w:rsidRPr="007A6FE3">
        <w:rPr>
          <w:rStyle w:val="FootnoteReference"/>
          <w:szCs w:val="22"/>
        </w:rPr>
        <w:footnoteReference w:id="636"/>
      </w:r>
      <w:r w:rsidRPr="007A6FE3">
        <w:t xml:space="preserve">  According to Census Bureau</w:t>
      </w:r>
      <w:r>
        <w:t xml:space="preserve"> data for 2007, there were 2,383</w:t>
      </w:r>
      <w:r w:rsidRPr="007A6FE3">
        <w:t xml:space="preserve"> firms in this category that operated for the entire year.</w:t>
      </w:r>
      <w:r w:rsidRPr="007A6FE3">
        <w:rPr>
          <w:rStyle w:val="FootnoteReference"/>
          <w:szCs w:val="22"/>
        </w:rPr>
        <w:footnoteReference w:id="637"/>
      </w:r>
      <w:r w:rsidRPr="007A6FE3">
        <w:t xml:space="preserve">  Of these, 2</w:t>
      </w:r>
      <w:r>
        <w:t>,346</w:t>
      </w:r>
      <w:r w:rsidRPr="007A6FE3">
        <w:t xml:space="preserve"> </w:t>
      </w:r>
      <w:r>
        <w:t>firms</w:t>
      </w:r>
      <w:r w:rsidRPr="007A6FE3">
        <w:t xml:space="preserve"> </w:t>
      </w:r>
      <w:r>
        <w:t>had annual receipts of under $25 million and 37</w:t>
      </w:r>
      <w:r w:rsidRPr="007A6FE3">
        <w:t xml:space="preserve"> </w:t>
      </w:r>
      <w:r>
        <w:t>firms had annual receipts of $25</w:t>
      </w:r>
      <w:r w:rsidRPr="007A6FE3">
        <w:t xml:space="preserve"> million or more.</w:t>
      </w:r>
      <w:r w:rsidRPr="007A6FE3">
        <w:rPr>
          <w:rStyle w:val="FootnoteReference"/>
          <w:szCs w:val="22"/>
        </w:rPr>
        <w:footnoteReference w:id="638"/>
      </w:r>
      <w:r w:rsidRPr="007A6FE3">
        <w:t xml:space="preserve">  Consequently, we estimate that the majority of these firms are small entities that </w:t>
      </w:r>
      <w:r w:rsidRPr="00EC560B">
        <w:t xml:space="preserve">may be affected </w:t>
      </w:r>
      <w:r w:rsidRPr="00965FA6">
        <w:t xml:space="preserve">by rules </w:t>
      </w:r>
      <w:r>
        <w:t>adopted pursuant to the Further Notice</w:t>
      </w:r>
      <w:r w:rsidRPr="007A6FE3">
        <w:t>.</w:t>
      </w:r>
    </w:p>
    <w:p w:rsidR="00324CD5" w:rsidRDefault="00324CD5" w:rsidP="00F91900">
      <w:pPr>
        <w:pStyle w:val="Heading2"/>
        <w:widowControl/>
      </w:pPr>
      <w:bookmarkStart w:id="1129" w:name="_Toc446937507"/>
      <w:bookmarkStart w:id="1130" w:name="_Toc447116380"/>
      <w:bookmarkStart w:id="1131" w:name="_Toc447121268"/>
      <w:r>
        <w:t>Description of Projected Reporting, Recordkeeping, and Other Compliance Requirements for Small Entities</w:t>
      </w:r>
      <w:bookmarkEnd w:id="1129"/>
      <w:bookmarkEnd w:id="1130"/>
      <w:bookmarkEnd w:id="1131"/>
    </w:p>
    <w:p w:rsidR="00324CD5" w:rsidRDefault="00324CD5" w:rsidP="00F91900">
      <w:pPr>
        <w:pStyle w:val="ParaNum"/>
        <w:widowControl/>
      </w:pPr>
      <w:r>
        <w:t xml:space="preserve">This Notice of Proposed Rulemaking proposes and/or seeks comment on several regulations that could affect small providers, including (1) the provision of meaningful notice of privacy policies; (2) customer approval requirements for the use and disclosure of </w:t>
      </w:r>
      <w:r w:rsidRPr="00C94969">
        <w:t>customer PI</w:t>
      </w:r>
      <w:r>
        <w:t>; (3) the use and disclosure of aggregate customer PI; (4) the security of customer proprietary information; (5) data breach notification; (6) other practices implicating privacy; and (7) dispute resolution.</w:t>
      </w:r>
    </w:p>
    <w:p w:rsidR="00324CD5" w:rsidRDefault="00324CD5" w:rsidP="00F91900">
      <w:pPr>
        <w:pStyle w:val="ParaNum"/>
        <w:widowControl/>
      </w:pPr>
      <w:r>
        <w:rPr>
          <w:i/>
        </w:rPr>
        <w:t xml:space="preserve">Meaningful Notice of Privacy Policies. </w:t>
      </w:r>
      <w:r w:rsidR="00EB5739">
        <w:t xml:space="preserve"> </w:t>
      </w:r>
      <w:r>
        <w:t>As discussed above, this Notice proposes to require BIAS providers to provide meaningful notice of privacy policies.</w:t>
      </w:r>
      <w:r>
        <w:rPr>
          <w:rStyle w:val="FootnoteReference"/>
        </w:rPr>
        <w:footnoteReference w:id="639"/>
      </w:r>
      <w:r>
        <w:t xml:space="preserve">  The Notice proposes rules and/or seeks comment on the content, location, timing, and formatting of different types of privacy notices.  In order to promote transparency and inform all BIAS customers of their privacy choices and security, these proposed rules will apply to small providers as well as large providers.  The Notice seeks comment on alternative ways of achieving these goals.  The Notice seeks comment on the compliance costs of these proposals for small providers.</w:t>
      </w:r>
      <w:r>
        <w:rPr>
          <w:rStyle w:val="FootnoteReference"/>
        </w:rPr>
        <w:footnoteReference w:id="640"/>
      </w:r>
      <w:r>
        <w:t xml:space="preserve">  The Notice also seeks comment on whether to harmonize these proposals with existing regulations regarding voice CPNI, and whether such harmonization can reduce compliance burdens.</w:t>
      </w:r>
      <w:r>
        <w:rPr>
          <w:rStyle w:val="FootnoteReference"/>
        </w:rPr>
        <w:footnoteReference w:id="641"/>
      </w:r>
    </w:p>
    <w:p w:rsidR="00324CD5" w:rsidRDefault="00324CD5" w:rsidP="00324CD5">
      <w:pPr>
        <w:pStyle w:val="ParaNum"/>
      </w:pPr>
      <w:r>
        <w:rPr>
          <w:i/>
        </w:rPr>
        <w:t xml:space="preserve">Customer Approval Requirements.  </w:t>
      </w:r>
      <w:r>
        <w:t>As discussed above, this Notice proposes to require BIAS providers to obtain customer approval in order to use, access, or disclose customer proprietary information.</w:t>
      </w:r>
      <w:r>
        <w:rPr>
          <w:rStyle w:val="FootnoteReference"/>
        </w:rPr>
        <w:footnoteReference w:id="642"/>
      </w:r>
      <w:r>
        <w:t xml:space="preserve">  This Notice proposes and/or seeks </w:t>
      </w:r>
      <w:r w:rsidRPr="000800F4">
        <w:rPr>
          <w:szCs w:val="22"/>
        </w:rPr>
        <w:t>comment on (1) the contexts in which BIAS providers need to seek opt-out and opt-in consent for uses of customer information;</w:t>
      </w:r>
      <w:r w:rsidRPr="000800F4">
        <w:rPr>
          <w:rStyle w:val="FootnoteReference"/>
          <w:sz w:val="22"/>
          <w:szCs w:val="22"/>
        </w:rPr>
        <w:footnoteReference w:id="643"/>
      </w:r>
      <w:r w:rsidRPr="000800F4">
        <w:rPr>
          <w:szCs w:val="22"/>
        </w:rPr>
        <w:t xml:space="preserve"> (2) the requirements BIAS providers must meet to ensure that customers can easily learn about and effectively express their choices;</w:t>
      </w:r>
      <w:r w:rsidRPr="000800F4">
        <w:rPr>
          <w:rStyle w:val="FootnoteReference"/>
          <w:sz w:val="22"/>
          <w:szCs w:val="22"/>
        </w:rPr>
        <w:footnoteReference w:id="644"/>
      </w:r>
      <w:r w:rsidRPr="000800F4">
        <w:rPr>
          <w:szCs w:val="22"/>
        </w:rPr>
        <w:t xml:space="preserve"> (3) the ways in which BIAS providers should document their compliance with customers’ choices.</w:t>
      </w:r>
      <w:r w:rsidRPr="000800F4">
        <w:rPr>
          <w:rStyle w:val="FootnoteReference"/>
          <w:sz w:val="22"/>
          <w:szCs w:val="22"/>
        </w:rPr>
        <w:footnoteReference w:id="645"/>
      </w:r>
      <w:r w:rsidRPr="000800F4">
        <w:rPr>
          <w:szCs w:val="22"/>
        </w:rPr>
        <w:t xml:space="preserve">  In order to protect the privacy choices of all BIAS customers, these proposals will apply to small providers as well as large providers.  The Notice seeks comment on the effects of</w:t>
      </w:r>
      <w:r w:rsidRPr="000800F4">
        <w:t xml:space="preserve"> </w:t>
      </w:r>
      <w:r>
        <w:t>these proposals on small providers,</w:t>
      </w:r>
      <w:r>
        <w:rPr>
          <w:rStyle w:val="FootnoteReference"/>
        </w:rPr>
        <w:footnoteReference w:id="646"/>
      </w:r>
      <w:r>
        <w:t xml:space="preserve"> as well as whether and how to harmonize these proposals with existing regulations regarding voice CPNI.</w:t>
      </w:r>
      <w:r>
        <w:rPr>
          <w:rStyle w:val="FootnoteReference"/>
        </w:rPr>
        <w:footnoteReference w:id="647"/>
      </w:r>
    </w:p>
    <w:p w:rsidR="00324CD5" w:rsidRDefault="00324CD5" w:rsidP="00324CD5">
      <w:pPr>
        <w:pStyle w:val="ParaNum"/>
      </w:pPr>
      <w:r>
        <w:rPr>
          <w:i/>
        </w:rPr>
        <w:t>Use and Disclosure of Aggregate Customer PI</w:t>
      </w:r>
      <w:r>
        <w:t xml:space="preserve">. </w:t>
      </w:r>
      <w:r>
        <w:rPr>
          <w:i/>
        </w:rPr>
        <w:t xml:space="preserve"> </w:t>
      </w:r>
      <w:r>
        <w:t>As discussed above, this Notice proposes rules and seeks comment on BIAS provider use, access, and disclosure of aggregate customer PI.</w:t>
      </w:r>
      <w:r>
        <w:rPr>
          <w:rStyle w:val="FootnoteReference"/>
        </w:rPr>
        <w:footnoteReference w:id="648"/>
      </w:r>
      <w:r>
        <w:t xml:space="preserve">  Our proposed rules would allow BIAS providers, including small providers, to use, access, and disclose aggregate customer PI if the provider (1) determines that the aggregated customer PI is not reasonably linkable to a specific individual or device; (2) publicly commits to maintain and use the aggregate data in a non-individually identifiable fashion and to not attempt to re-identify the data; (3) contractually prohibits any entity to which it discloses or permits access to the aggregate data from attempting to re-identify the data; and (4) exercises reasonable monitoring to ensure that those contracts are not violated.</w:t>
      </w:r>
      <w:r>
        <w:rPr>
          <w:rStyle w:val="FootnoteReference"/>
        </w:rPr>
        <w:footnoteReference w:id="649"/>
      </w:r>
      <w:r>
        <w:t xml:space="preserve">  In order to promote all customers’ privacy interests in the transparency, choice, and security of how their data is used, these proposals will apply to small providers as well as large providers.  We also seek comment on alternative approaches to handling aggregate customer PI, as well as the burdens our proposed rules would place on small providers.</w:t>
      </w:r>
      <w:r>
        <w:rPr>
          <w:rStyle w:val="FootnoteReference"/>
        </w:rPr>
        <w:footnoteReference w:id="650"/>
      </w:r>
    </w:p>
    <w:p w:rsidR="00324CD5" w:rsidRDefault="00324CD5" w:rsidP="00324CD5">
      <w:pPr>
        <w:pStyle w:val="ParaNum"/>
      </w:pPr>
      <w:r>
        <w:rPr>
          <w:i/>
        </w:rPr>
        <w:t>Securing Customer Proprietary Information</w:t>
      </w:r>
      <w:r>
        <w:t>.  As discussed above, this Notice proposes rules and seeks comment on requiring BIAS providers to protect the security and confidentiality of customer PI by adopting security practices calibrated to the nature and scope of the BIAS provider’s activities, the sensitivity of the underlying data, and technical feasibility.</w:t>
      </w:r>
      <w:r>
        <w:rPr>
          <w:rStyle w:val="FootnoteReference"/>
        </w:rPr>
        <w:footnoteReference w:id="651"/>
      </w:r>
      <w:r>
        <w:t xml:space="preserve">  These proposals include requiring BIAS providers to protect against unauthorized use or disclosure of customer PI by (1) conducting risk management assessments;</w:t>
      </w:r>
      <w:r>
        <w:rPr>
          <w:rStyle w:val="FootnoteReference"/>
        </w:rPr>
        <w:footnoteReference w:id="652"/>
      </w:r>
      <w:r>
        <w:t xml:space="preserve"> (2) training employees to protect against reasonably anticipated unauthorized use or disclosure of customer PI;</w:t>
      </w:r>
      <w:r>
        <w:rPr>
          <w:rStyle w:val="FootnoteReference"/>
        </w:rPr>
        <w:footnoteReference w:id="653"/>
      </w:r>
      <w:r>
        <w:t xml:space="preserve"> (3) ensuring reasonable due diligence and corporate accountability;</w:t>
      </w:r>
      <w:r>
        <w:rPr>
          <w:rStyle w:val="FootnoteReference"/>
        </w:rPr>
        <w:footnoteReference w:id="654"/>
      </w:r>
      <w:r>
        <w:t xml:space="preserve"> and (4) requiring customer authentication for access to customer proprietary information.</w:t>
      </w:r>
      <w:r>
        <w:rPr>
          <w:rStyle w:val="FootnoteReference"/>
        </w:rPr>
        <w:footnoteReference w:id="655"/>
      </w:r>
      <w:r>
        <w:t xml:space="preserve">  We seek comment on how to hold BIAS providers accountable for third party misuse of customer PI</w:t>
      </w:r>
      <w:r>
        <w:rPr>
          <w:rStyle w:val="FootnoteReference"/>
        </w:rPr>
        <w:footnoteReference w:id="656"/>
      </w:r>
      <w:r>
        <w:t xml:space="preserve"> and whether we should impose reasonable data collection, retention, and disposal rules.</w:t>
      </w:r>
      <w:r>
        <w:rPr>
          <w:rStyle w:val="FootnoteReference"/>
        </w:rPr>
        <w:footnoteReference w:id="657"/>
      </w:r>
      <w:r>
        <w:t xml:space="preserve">  In order to protect the security of all BIAS customers’ private information, these proposals will apply to small providers as well as large providers.  We also seek comment on alternative approaches to securing customer PI, the burdens the proposed rules would place on small providers, and whether to harmonize our security proposals with existing regulations for voice CPNI.</w:t>
      </w:r>
      <w:r w:rsidR="001358BC">
        <w:rPr>
          <w:rStyle w:val="FootnoteReference"/>
        </w:rPr>
        <w:footnoteReference w:id="658"/>
      </w:r>
    </w:p>
    <w:p w:rsidR="00324CD5" w:rsidRDefault="00324CD5" w:rsidP="00324CD5">
      <w:pPr>
        <w:pStyle w:val="ParaNum"/>
      </w:pPr>
      <w:r>
        <w:rPr>
          <w:i/>
        </w:rPr>
        <w:t>Data Breach Notification Requirements</w:t>
      </w:r>
      <w:r>
        <w:t>.  As discussed above, the Notice proposes rules and seeks comment on requiring telecommunications providers to give customers, the Commission, and other law enforcement notice when a breach of customer PI has occurred.</w:t>
      </w:r>
      <w:r>
        <w:rPr>
          <w:rStyle w:val="FootnoteReference"/>
        </w:rPr>
        <w:footnoteReference w:id="659"/>
      </w:r>
      <w:r>
        <w:t xml:space="preserve">  In addition, the Notice proposes to harmonize the existing voice CPNI data breach rules with these proposed rules for BIAS provider data breaches.  These proposals include (1) requiring telecommunications providers to notify customers within ten days after the discovery of a data breach, subject to law enforcement needs, under circumstances enumerated by the Commission;</w:t>
      </w:r>
      <w:r>
        <w:rPr>
          <w:rStyle w:val="FootnoteReference"/>
        </w:rPr>
        <w:footnoteReference w:id="660"/>
      </w:r>
      <w:r>
        <w:t xml:space="preserve"> (2) the necessary content of a customer data breach notification;</w:t>
      </w:r>
      <w:r>
        <w:rPr>
          <w:rStyle w:val="FootnoteReference"/>
        </w:rPr>
        <w:footnoteReference w:id="661"/>
      </w:r>
      <w:r>
        <w:t xml:space="preserve"> (3) requiring telecommunications providers to notify the Commission within seven days, and to notify the Federal Bureau of Investigation and the U.S. Secret Service, in the event of a data breach affecting more than </w:t>
      </w:r>
      <w:r w:rsidRPr="00A50D7D">
        <w:t>5,000</w:t>
      </w:r>
      <w:r>
        <w:t xml:space="preserve"> customers, within seven days;</w:t>
      </w:r>
      <w:r>
        <w:rPr>
          <w:rStyle w:val="FootnoteReference"/>
        </w:rPr>
        <w:footnoteReference w:id="662"/>
      </w:r>
      <w:r>
        <w:t xml:space="preserve"> (4) two-year record retention rules for data breaches;</w:t>
      </w:r>
      <w:r>
        <w:rPr>
          <w:rStyle w:val="FootnoteReference"/>
        </w:rPr>
        <w:footnoteReference w:id="663"/>
      </w:r>
      <w:r>
        <w:t xml:space="preserve"> and (5) seeking comment on how to address third party data breaches.</w:t>
      </w:r>
      <w:r>
        <w:rPr>
          <w:rStyle w:val="FootnoteReference"/>
        </w:rPr>
        <w:footnoteReference w:id="664"/>
      </w:r>
      <w:r>
        <w:t xml:space="preserve">  In order to promote transparency and security for all telecommunications customers, these proposed rules will apply to small providers as well as large providers.  The Notice also seeks comment on alternative data breach notification approaches as well as the burdens that our proposals will have on small providers.</w:t>
      </w:r>
      <w:r w:rsidR="001358BC">
        <w:rPr>
          <w:rStyle w:val="FootnoteReference"/>
        </w:rPr>
        <w:footnoteReference w:id="665"/>
      </w:r>
    </w:p>
    <w:p w:rsidR="00324CD5" w:rsidRDefault="00324CD5" w:rsidP="00324CD5">
      <w:pPr>
        <w:pStyle w:val="ParaNum"/>
      </w:pPr>
      <w:r>
        <w:rPr>
          <w:i/>
        </w:rPr>
        <w:t>Other Practices Implicating Privacy</w:t>
      </w:r>
      <w:r>
        <w:t>.  As discussed above, the Notice seeks comment on whether there are certain BIAS provider practices implicating privacy that our rules should prohibit, or to which we should apply heightened notice and choice requirements.</w:t>
      </w:r>
      <w:r>
        <w:rPr>
          <w:rStyle w:val="FootnoteReference"/>
        </w:rPr>
        <w:footnoteReference w:id="666"/>
      </w:r>
      <w:r>
        <w:t xml:space="preserve">  In particular, the Notice proposes to prohibit service offers conditioned on the waiver of privacy rights.</w:t>
      </w:r>
      <w:r>
        <w:rPr>
          <w:rStyle w:val="FootnoteReference"/>
        </w:rPr>
        <w:footnoteReference w:id="667"/>
      </w:r>
      <w:r>
        <w:t xml:space="preserve">  The Notice also seeks comment on how to address (1) financial inducement practices;</w:t>
      </w:r>
      <w:r>
        <w:rPr>
          <w:rStyle w:val="FootnoteReference"/>
        </w:rPr>
        <w:footnoteReference w:id="668"/>
      </w:r>
      <w:r>
        <w:t xml:space="preserve"> (2) deep packet inspection for purposes other than network management;</w:t>
      </w:r>
      <w:r>
        <w:rPr>
          <w:rStyle w:val="FootnoteReference"/>
        </w:rPr>
        <w:footnoteReference w:id="669"/>
      </w:r>
      <w:r>
        <w:t xml:space="preserve"> and (3) persistent tracking technologies.</w:t>
      </w:r>
      <w:r>
        <w:rPr>
          <w:rStyle w:val="FootnoteReference"/>
        </w:rPr>
        <w:footnoteReference w:id="670"/>
      </w:r>
      <w:r>
        <w:t xml:space="preserve">  In order to protect the privacy of all BIAS customers, any such rules may be applied to small providers as well as large providers.  In the course of seeking comment on these subjects, the Notice seeks comment on alternative approaches and burdens to small providers.</w:t>
      </w:r>
      <w:r>
        <w:rPr>
          <w:rStyle w:val="FootnoteReference"/>
        </w:rPr>
        <w:footnoteReference w:id="671"/>
      </w:r>
    </w:p>
    <w:p w:rsidR="00324CD5" w:rsidRDefault="00324CD5" w:rsidP="00324CD5">
      <w:pPr>
        <w:pStyle w:val="ParaNum"/>
      </w:pPr>
      <w:r>
        <w:rPr>
          <w:i/>
        </w:rPr>
        <w:t>Dispute Resolution</w:t>
      </w:r>
      <w:r>
        <w:t>.  As discussed above, the Notice seeks comment on whether the Commission’s current informal complaint resolution process is sufficient or if BIAS providers should offer additional dispute resolution mechanisms for broadband privacy disputes.</w:t>
      </w:r>
      <w:r>
        <w:rPr>
          <w:rStyle w:val="FootnoteReference"/>
        </w:rPr>
        <w:footnoteReference w:id="672"/>
      </w:r>
      <w:r>
        <w:t xml:space="preserve">  In order to promote all customers’ privacy interests in the transparency, choice, and security of how their data is used, any such resulting rules may apply to small providers as well as large providers.  The Notice seeks comment as well on alternative approaches as well as the burdens any approaches would have on small providers.</w:t>
      </w:r>
      <w:r>
        <w:rPr>
          <w:rStyle w:val="FootnoteReference"/>
        </w:rPr>
        <w:footnoteReference w:id="673"/>
      </w:r>
    </w:p>
    <w:p w:rsidR="00324CD5" w:rsidRDefault="00324CD5" w:rsidP="00324CD5">
      <w:pPr>
        <w:pStyle w:val="Heading2"/>
      </w:pPr>
      <w:bookmarkStart w:id="1132" w:name="_Toc446937508"/>
      <w:bookmarkStart w:id="1133" w:name="_Toc447116381"/>
      <w:bookmarkStart w:id="1134" w:name="_Toc447121269"/>
      <w:r>
        <w:t>Steps Take to Minimize the Significant Economic Impact on Small Entities and Significant Alternatives Considered</w:t>
      </w:r>
      <w:bookmarkEnd w:id="1132"/>
      <w:bookmarkEnd w:id="1133"/>
      <w:bookmarkEnd w:id="1134"/>
    </w:p>
    <w:p w:rsidR="00324CD5" w:rsidRDefault="00324CD5" w:rsidP="00324CD5">
      <w:pPr>
        <w:pStyle w:val="ParaNum"/>
      </w:pPr>
      <w:r w:rsidRPr="00530E2B">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w:t>
      </w:r>
      <w:r>
        <w:t>eof, for such small entities.”</w:t>
      </w:r>
      <w:r>
        <w:rPr>
          <w:rStyle w:val="FootnoteReference"/>
        </w:rPr>
        <w:footnoteReference w:id="674"/>
      </w:r>
    </w:p>
    <w:p w:rsidR="00324CD5" w:rsidRDefault="00324CD5" w:rsidP="00324CD5">
      <w:pPr>
        <w:pStyle w:val="ParaNum"/>
      </w:pPr>
      <w:r>
        <w:t>The Commission expects to consider the economic impact on small providers, as identified in comments filed in response to the Notice and this IRFA, in reaching its final conclusions and taking action in this proceeding.  Moreover, in formulating these rules, we seek to provide flexibility for small providers whenever possible, by setting out standards and goals for the providers to reach in whichever way is most efficient for them.</w:t>
      </w:r>
      <w:r>
        <w:rPr>
          <w:rStyle w:val="FootnoteReference"/>
        </w:rPr>
        <w:footnoteReference w:id="675"/>
      </w:r>
    </w:p>
    <w:p w:rsidR="00324CD5" w:rsidRDefault="00324CD5" w:rsidP="00324CD5">
      <w:pPr>
        <w:pStyle w:val="ParaNum"/>
      </w:pPr>
      <w:r>
        <w:rPr>
          <w:i/>
        </w:rPr>
        <w:t>Definitions</w:t>
      </w:r>
      <w:r>
        <w:t>.  As discussed above, in proposing definitions to accompany these proposed rules we seek comment on alternative formulations, including alternatives that could reduce burdens on small providers.</w:t>
      </w:r>
      <w:r>
        <w:rPr>
          <w:rStyle w:val="FootnoteReference"/>
        </w:rPr>
        <w:footnoteReference w:id="676"/>
      </w:r>
      <w:r>
        <w:t xml:space="preserve">  We seek comment on alternative definitions of the terms affiliate;</w:t>
      </w:r>
      <w:r>
        <w:rPr>
          <w:rStyle w:val="FootnoteReference"/>
        </w:rPr>
        <w:footnoteReference w:id="677"/>
      </w:r>
      <w:r>
        <w:t xml:space="preserve"> customer;</w:t>
      </w:r>
      <w:r>
        <w:rPr>
          <w:rStyle w:val="FootnoteReference"/>
        </w:rPr>
        <w:footnoteReference w:id="678"/>
      </w:r>
      <w:r>
        <w:t xml:space="preserve"> CPNI;</w:t>
      </w:r>
      <w:r>
        <w:rPr>
          <w:rStyle w:val="FootnoteReference"/>
        </w:rPr>
        <w:footnoteReference w:id="679"/>
      </w:r>
      <w:r>
        <w:t xml:space="preserve"> customer PI;</w:t>
      </w:r>
      <w:r>
        <w:rPr>
          <w:rStyle w:val="FootnoteReference"/>
        </w:rPr>
        <w:footnoteReference w:id="680"/>
      </w:r>
      <w:r>
        <w:t xml:space="preserve"> opt-out and opt-in approval;</w:t>
      </w:r>
      <w:r>
        <w:rPr>
          <w:rStyle w:val="FootnoteReference"/>
        </w:rPr>
        <w:footnoteReference w:id="681"/>
      </w:r>
      <w:r>
        <w:t xml:space="preserve"> communications-related services;</w:t>
      </w:r>
      <w:r>
        <w:rPr>
          <w:rStyle w:val="FootnoteReference"/>
        </w:rPr>
        <w:footnoteReference w:id="682"/>
      </w:r>
      <w:r>
        <w:t xml:space="preserve"> breach;</w:t>
      </w:r>
      <w:r>
        <w:rPr>
          <w:rStyle w:val="FootnoteReference"/>
        </w:rPr>
        <w:footnoteReference w:id="683"/>
      </w:r>
      <w:r>
        <w:t xml:space="preserve"> and other terms</w:t>
      </w:r>
      <w:r>
        <w:rPr>
          <w:rStyle w:val="FootnoteReference"/>
        </w:rPr>
        <w:footnoteReference w:id="684"/>
      </w:r>
      <w:r>
        <w:t xml:space="preserve"> and ask how such alternatives could affect the benefits and burdens to small providers.</w:t>
      </w:r>
      <w:r>
        <w:rPr>
          <w:rStyle w:val="FootnoteReference"/>
        </w:rPr>
        <w:footnoteReference w:id="685"/>
      </w:r>
      <w:r>
        <w:t xml:space="preserve">  In addition to these requests for comment, we seek comment generally on alternative definitions that would reduce burdens on small providers.</w:t>
      </w:r>
    </w:p>
    <w:p w:rsidR="00324CD5" w:rsidRDefault="00324CD5" w:rsidP="00324CD5">
      <w:pPr>
        <w:pStyle w:val="ParaNum"/>
      </w:pPr>
      <w:r>
        <w:rPr>
          <w:i/>
        </w:rPr>
        <w:t>Providing Meaningful Notice of Privacy Policies</w:t>
      </w:r>
      <w:r>
        <w:t>.  As discussed above, we seek comment on alternative approaches to our proposed privacy notice rules that would alleviate burdens on small providers.</w:t>
      </w:r>
      <w:r>
        <w:rPr>
          <w:rStyle w:val="FootnoteReference"/>
        </w:rPr>
        <w:footnoteReference w:id="686"/>
      </w:r>
      <w:r>
        <w:t xml:space="preserve">  In particular, we seek comment on notice practices currently in use and industry best practices, in order to develop efficient and effective options.</w:t>
      </w:r>
      <w:r>
        <w:rPr>
          <w:rStyle w:val="FootnoteReference"/>
        </w:rPr>
        <w:footnoteReference w:id="687"/>
      </w:r>
      <w:r>
        <w:t xml:space="preserve">  We seek comment on the compliance burden associated with our proposed rules and alternatives that would alleviate the burden on small providers in particular.</w:t>
      </w:r>
      <w:r>
        <w:rPr>
          <w:rStyle w:val="FootnoteReference"/>
        </w:rPr>
        <w:footnoteReference w:id="688"/>
      </w:r>
      <w:r>
        <w:t xml:space="preserve">  We seek comment on whether a privacy policy safe harbor rule would ease the regulatory burden on small providers.</w:t>
      </w:r>
      <w:r>
        <w:rPr>
          <w:rStyle w:val="FootnoteReference"/>
        </w:rPr>
        <w:footnoteReference w:id="689"/>
      </w:r>
      <w:r>
        <w:t xml:space="preserve">  We also seek comment on other alternatives for simplifying and standardizing privacy notices and whether these approaches, such as the creation of a privacy dashboard, could alleviate burdens on small providers.</w:t>
      </w:r>
      <w:r>
        <w:rPr>
          <w:rStyle w:val="FootnoteReference"/>
        </w:rPr>
        <w:footnoteReference w:id="690"/>
      </w:r>
      <w:r>
        <w:t xml:space="preserve">  For notices of material changes to privacy policies, we specifically seek comment on burdens, compliance costs, and alternatives for small providers.</w:t>
      </w:r>
      <w:r>
        <w:rPr>
          <w:rStyle w:val="FootnoteReference"/>
        </w:rPr>
        <w:footnoteReference w:id="691"/>
      </w:r>
    </w:p>
    <w:p w:rsidR="00324CD5" w:rsidRDefault="00324CD5" w:rsidP="00324CD5">
      <w:pPr>
        <w:pStyle w:val="ParaNum"/>
      </w:pPr>
      <w:r>
        <w:rPr>
          <w:i/>
        </w:rPr>
        <w:t>Customer Approval Requirements for the Use and Disclosure of Customer PI</w:t>
      </w:r>
      <w:r>
        <w:t>.  As discussed above, we seek comment on alternative customer approval rules that could alleviate burdens on small providers while preserving the ability of all BIAS customers to have meaningful choices in the use and disclosure of their personal information.</w:t>
      </w:r>
      <w:r>
        <w:rPr>
          <w:rStyle w:val="FootnoteReference"/>
        </w:rPr>
        <w:footnoteReference w:id="692"/>
      </w:r>
      <w:r>
        <w:t xml:space="preserve">  Choice is a critical component of protecting the confidentiality of customer proprietary information.  We seek comment on ways to minimize the burden of our proposed customer choice framework on small BIAS providers.</w:t>
      </w:r>
      <w:r>
        <w:rPr>
          <w:rStyle w:val="FootnoteReference"/>
        </w:rPr>
        <w:footnoteReference w:id="693"/>
      </w:r>
      <w:r>
        <w:t xml:space="preserve">  In particular, we seek comment on whether there are any small-provider-specific exemptions that we might build into our proposed approval framework.  For example, should we allow small providers who have already obtained customer approval to use their customers’ proprietary information to grandfather in those approvals?  Should this be allowed for third parties?  Should we exempt providers that collect data from fewer than 5,000 customers a year, provided they do not share customer data with third parties?</w:t>
      </w:r>
      <w:r>
        <w:rPr>
          <w:rStyle w:val="FootnoteReference"/>
        </w:rPr>
        <w:footnoteReference w:id="694"/>
      </w:r>
      <w:r>
        <w:t xml:space="preserve">  Are there other such policies that would minimize the burden of our proposed rules on small providers?  If so, would the benefits to small providers of any suggested exemptions outweigh the potential negative impact of such an exemption on the privacy interests of the customers of small BIAS providers?  Further, were we to adopt an exemption, how would we define what constitutes a “small provider” for purposes of that exemption?</w:t>
      </w:r>
    </w:p>
    <w:p w:rsidR="00324CD5" w:rsidRDefault="00324CD5" w:rsidP="00324CD5">
      <w:pPr>
        <w:pStyle w:val="ParaNum"/>
      </w:pPr>
      <w:r>
        <w:rPr>
          <w:i/>
        </w:rPr>
        <w:t>Use and Disclosure of Aggregate Customer PI</w:t>
      </w:r>
      <w:r>
        <w:t>.  As discussed above, we seek comment on alternative approaches to the use and disclosure of aggregate customer PI that could alleviate burdens on small BIAS providers.</w:t>
      </w:r>
      <w:r>
        <w:rPr>
          <w:rStyle w:val="FootnoteReference"/>
        </w:rPr>
        <w:footnoteReference w:id="695"/>
      </w:r>
      <w:r>
        <w:t xml:space="preserve">  In particular, we seek comment on an approach to aggregate customer PI that is similar to that used by HIPAA, and whether such an approach would be less burdensome to small BIAS providers.</w:t>
      </w:r>
      <w:r>
        <w:rPr>
          <w:rStyle w:val="FootnoteReference"/>
        </w:rPr>
        <w:footnoteReference w:id="696"/>
      </w:r>
      <w:r>
        <w:t xml:space="preserve">  We also ask that as commenters consider whether we should adopt each of the prongs of our proposed rule, and any proposed alternatives, that they also consider how we could limit any burdens associated with compliance, particularly for small providers.</w:t>
      </w:r>
      <w:r>
        <w:rPr>
          <w:rStyle w:val="FootnoteReference"/>
        </w:rPr>
        <w:footnoteReference w:id="697"/>
      </w:r>
    </w:p>
    <w:p w:rsidR="00324CD5" w:rsidRDefault="00324CD5" w:rsidP="00F91900">
      <w:pPr>
        <w:pStyle w:val="ParaNum"/>
        <w:widowControl/>
      </w:pPr>
      <w:r>
        <w:rPr>
          <w:i/>
        </w:rPr>
        <w:t>Securing Customer Proprietary Information</w:t>
      </w:r>
      <w:r>
        <w:t>.  As discussed above, we seek comment on alternative approaches to secure customer proprietary information that could alleviate burdens on small BIAS providers.</w:t>
      </w:r>
      <w:r>
        <w:rPr>
          <w:rStyle w:val="FootnoteReference"/>
        </w:rPr>
        <w:footnoteReference w:id="698"/>
      </w:r>
      <w:r>
        <w:t xml:space="preserve">  We propose that any specific security measures employed by a BIAS provider take into consideration the nature and scope of the BIAS provider’s activities, because we believe that this sliding scale approach will afford sufficient flexibility for small providers while still protecting their customers.</w:t>
      </w:r>
      <w:r>
        <w:rPr>
          <w:rStyle w:val="FootnoteReference"/>
        </w:rPr>
        <w:footnoteReference w:id="699"/>
      </w:r>
      <w:r>
        <w:t xml:space="preserve">  The Commission has previously explained that “privacy is a concern which applies regardless of carrier size or market share.”</w:t>
      </w:r>
      <w:r>
        <w:rPr>
          <w:rStyle w:val="FootnoteReference"/>
        </w:rPr>
        <w:footnoteReference w:id="700"/>
      </w:r>
      <w:r>
        <w:t xml:space="preserve">  However, we recognize that the same data security protections may not be necessary in all cases.  For example, a small provider with only a few customers may not store, use, or disclose customer PI in the same manner as a large provider.  In such a case, what constitutes “reasonable” safeguards might be different.  We seek comment on current data security practices in the industry and alternative structures that can build on current best practices to alleviate burdens.</w:t>
      </w:r>
      <w:r>
        <w:rPr>
          <w:rStyle w:val="FootnoteReference"/>
        </w:rPr>
        <w:footnoteReference w:id="701"/>
      </w:r>
      <w:r>
        <w:t xml:space="preserve">  We seek comment on alternatives to our proposed rule on account change notifications that could reduce burdens on small providers.</w:t>
      </w:r>
      <w:r>
        <w:rPr>
          <w:rStyle w:val="FootnoteReference"/>
        </w:rPr>
        <w:footnoteReference w:id="702"/>
      </w:r>
      <w:r>
        <w:t xml:space="preserve">  When discussing whether to require multi-factor authentication or contractual data security commitments from third party recipients of customer PI, we seek comment on the burdens such proposals could place on small providers and alternatives that could reduce such burdens.</w:t>
      </w:r>
      <w:r>
        <w:rPr>
          <w:rStyle w:val="FootnoteReference"/>
        </w:rPr>
        <w:footnoteReference w:id="703"/>
      </w:r>
      <w:r>
        <w:t xml:space="preserve">  We also ask that comments and proposals regarding data destruction discuss potential burdens for small providers.</w:t>
      </w:r>
      <w:r>
        <w:rPr>
          <w:rStyle w:val="FootnoteReference"/>
        </w:rPr>
        <w:footnoteReference w:id="704"/>
      </w:r>
    </w:p>
    <w:p w:rsidR="00324CD5" w:rsidRDefault="00324CD5" w:rsidP="00F91900">
      <w:pPr>
        <w:pStyle w:val="ParaNum"/>
        <w:widowControl/>
      </w:pPr>
      <w:r>
        <w:rPr>
          <w:i/>
        </w:rPr>
        <w:t>Data Breach Notification Requirements</w:t>
      </w:r>
      <w:r>
        <w:t>.  As discussed above, we seek comment on alternative approaches to data breach notifications that could alleviate burdens on small providers.</w:t>
      </w:r>
      <w:r>
        <w:rPr>
          <w:rStyle w:val="FootnoteReference"/>
        </w:rPr>
        <w:footnoteReference w:id="705"/>
      </w:r>
      <w:r>
        <w:t xml:space="preserve">  In particular we propose a threshold of </w:t>
      </w:r>
      <w:r w:rsidRPr="00741774">
        <w:t>5,000</w:t>
      </w:r>
      <w:r>
        <w:t xml:space="preserve"> affected customers for breach notification of the Federal Bureau of Investigation and U.S. Secret Service, and seek comment on how such a threshold could benefit or burden small providers.</w:t>
      </w:r>
      <w:r>
        <w:rPr>
          <w:rStyle w:val="FootnoteReference"/>
        </w:rPr>
        <w:footnoteReference w:id="706"/>
      </w:r>
      <w:r>
        <w:t xml:space="preserve">  We also seek comment on record retention rules and alternatives that could reduce compliance burdens.</w:t>
      </w:r>
      <w:r>
        <w:rPr>
          <w:rStyle w:val="FootnoteReference"/>
        </w:rPr>
        <w:footnoteReference w:id="707"/>
      </w:r>
    </w:p>
    <w:p w:rsidR="00324CD5" w:rsidRDefault="00324CD5" w:rsidP="00F91900">
      <w:pPr>
        <w:pStyle w:val="ParaNum"/>
        <w:widowControl/>
      </w:pPr>
      <w:r>
        <w:rPr>
          <w:i/>
        </w:rPr>
        <w:t>Other Practices Implicating Privacy</w:t>
      </w:r>
      <w:r>
        <w:t>.  As discussed above, in seeking comment on whether to prohibit specific practices implicating privacy, we also seek comment on how proposals and alternatives can alleviate burdens on small providers.</w:t>
      </w:r>
      <w:r>
        <w:rPr>
          <w:rStyle w:val="FootnoteReference"/>
        </w:rPr>
        <w:footnoteReference w:id="708"/>
      </w:r>
      <w:r>
        <w:t xml:space="preserve">  In particular, when seeking comment on whether heightened notice and choice requirements are necessary for some practices, we specifically ask commenters to address the burdens of their proposals on small providers, and alternatives to reduce such burdens.</w:t>
      </w:r>
      <w:r>
        <w:rPr>
          <w:rStyle w:val="FootnoteReference"/>
        </w:rPr>
        <w:footnoteReference w:id="709"/>
      </w:r>
    </w:p>
    <w:p w:rsidR="00324CD5" w:rsidRDefault="00324CD5" w:rsidP="00324CD5">
      <w:pPr>
        <w:pStyle w:val="ParaNum"/>
      </w:pPr>
      <w:r>
        <w:rPr>
          <w:i/>
        </w:rPr>
        <w:t>Dispute Resolution</w:t>
      </w:r>
      <w:r>
        <w:t>.  As discussed above, in seeking comment on potential approaches to dispute resolution, we also seek comment on how proposals and alternatives can benefit or burden small providers.</w:t>
      </w:r>
      <w:r>
        <w:rPr>
          <w:rStyle w:val="FootnoteReference"/>
        </w:rPr>
        <w:footnoteReference w:id="710"/>
      </w:r>
    </w:p>
    <w:p w:rsidR="00324CD5" w:rsidRDefault="00324CD5" w:rsidP="00324CD5">
      <w:pPr>
        <w:pStyle w:val="Heading2"/>
      </w:pPr>
      <w:bookmarkStart w:id="1135" w:name="_Toc446937509"/>
      <w:bookmarkStart w:id="1136" w:name="_Toc447116382"/>
      <w:bookmarkStart w:id="1137" w:name="_Toc447121270"/>
      <w:r>
        <w:t>Federal Rules that May Duplicate, Overlap, or Conflict with the Proposed Rules</w:t>
      </w:r>
      <w:bookmarkEnd w:id="1135"/>
      <w:bookmarkEnd w:id="1136"/>
      <w:bookmarkEnd w:id="1137"/>
    </w:p>
    <w:p w:rsidR="00AA4109" w:rsidRDefault="00324CD5" w:rsidP="00324CD5">
      <w:pPr>
        <w:pStyle w:val="ParaNum"/>
      </w:pPr>
      <w:r>
        <w:t xml:space="preserve">None.  </w:t>
      </w:r>
    </w:p>
    <w:p w:rsidR="00AA4109" w:rsidRDefault="00AA4109" w:rsidP="00AA4109">
      <w:pPr>
        <w:pStyle w:val="ParaNum"/>
        <w:numPr>
          <w:ilvl w:val="0"/>
          <w:numId w:val="0"/>
        </w:numPr>
        <w:ind w:firstLine="720"/>
        <w:sectPr w:rsidR="00AA4109" w:rsidSect="00337692">
          <w:headerReference w:type="default" r:id="rId14"/>
          <w:footerReference w:type="even" r:id="rId15"/>
          <w:footerReference w:type="default" r:id="rId16"/>
          <w:headerReference w:type="first" r:id="rId17"/>
          <w:footerReference w:type="first" r:id="rId18"/>
          <w:footnotePr>
            <w:numRestart w:val="eachSect"/>
          </w:footnotePr>
          <w:endnotePr>
            <w:numFmt w:val="decimal"/>
          </w:endnotePr>
          <w:pgSz w:w="12240" w:h="15840"/>
          <w:pgMar w:top="1440" w:right="1440" w:bottom="720" w:left="1440" w:header="720" w:footer="720" w:gutter="0"/>
          <w:cols w:space="720"/>
          <w:noEndnote/>
          <w:docGrid w:linePitch="299"/>
        </w:sectPr>
      </w:pPr>
    </w:p>
    <w:p w:rsidR="00721840" w:rsidRPr="001B3D7C" w:rsidRDefault="00721840" w:rsidP="00721840">
      <w:pPr>
        <w:tabs>
          <w:tab w:val="left" w:pos="3210"/>
          <w:tab w:val="center" w:pos="4680"/>
        </w:tabs>
        <w:jc w:val="center"/>
        <w:rPr>
          <w:b/>
        </w:rPr>
      </w:pPr>
      <w:r w:rsidRPr="001B3D7C">
        <w:rPr>
          <w:b/>
        </w:rPr>
        <w:t>STATEMENT OF</w:t>
      </w:r>
    </w:p>
    <w:p w:rsidR="00721840" w:rsidRPr="001B3D7C" w:rsidRDefault="00721840" w:rsidP="00721840">
      <w:pPr>
        <w:jc w:val="center"/>
        <w:rPr>
          <w:b/>
        </w:rPr>
      </w:pPr>
      <w:r w:rsidRPr="001B3D7C">
        <w:rPr>
          <w:b/>
        </w:rPr>
        <w:t>CHAIRMAN TOM WHEELER</w:t>
      </w:r>
    </w:p>
    <w:p w:rsidR="00721840" w:rsidRDefault="00721840" w:rsidP="00721840"/>
    <w:p w:rsidR="00721840" w:rsidRDefault="00721840" w:rsidP="00721840">
      <w:pPr>
        <w:ind w:left="720" w:hanging="720"/>
      </w:pPr>
      <w:r>
        <w:t>Re:</w:t>
      </w:r>
      <w:r>
        <w:tab/>
      </w:r>
      <w:r>
        <w:rPr>
          <w:i/>
        </w:rPr>
        <w:t>Protecting the Privacy of Customers of Broadband and Other Telecommunications Services</w:t>
      </w:r>
      <w:r>
        <w:t>, WC Docket No. 16-106.</w:t>
      </w:r>
    </w:p>
    <w:p w:rsidR="00721840" w:rsidRDefault="00721840" w:rsidP="00721840">
      <w:pPr>
        <w:ind w:firstLine="720"/>
        <w:rPr>
          <w:sz w:val="24"/>
          <w:szCs w:val="24"/>
        </w:rPr>
      </w:pPr>
    </w:p>
    <w:p w:rsidR="00721840" w:rsidRPr="00AA5D5E" w:rsidRDefault="00721840" w:rsidP="00721840">
      <w:pPr>
        <w:ind w:firstLine="720"/>
        <w:rPr>
          <w:szCs w:val="22"/>
        </w:rPr>
      </w:pPr>
      <w:r w:rsidRPr="00AA5D5E">
        <w:rPr>
          <w:szCs w:val="22"/>
        </w:rPr>
        <w:t>Privacy is important to consumers and we at the FCC have been given special responsibility to safeguard privacy in the use of communications networks.  That makes just as much sense in the world of broadband as it has for the past 20 years in the world of telephone calls – where the FCC has steadfastly protected consumers against misuse of their information by requiring that networks obtain their customers’ approval before repurposing or reselling customer information.</w:t>
      </w:r>
    </w:p>
    <w:p w:rsidR="00721840" w:rsidRPr="00AA5D5E" w:rsidRDefault="00721840" w:rsidP="00721840">
      <w:pPr>
        <w:ind w:firstLine="720"/>
        <w:rPr>
          <w:szCs w:val="22"/>
        </w:rPr>
      </w:pPr>
    </w:p>
    <w:p w:rsidR="00721840" w:rsidRPr="00AA5D5E" w:rsidRDefault="00721840" w:rsidP="00721840">
      <w:pPr>
        <w:ind w:firstLine="720"/>
        <w:rPr>
          <w:szCs w:val="22"/>
        </w:rPr>
      </w:pPr>
      <w:r w:rsidRPr="00AA5D5E">
        <w:rPr>
          <w:szCs w:val="22"/>
        </w:rPr>
        <w:t>Section 222 of the Communications Act expressly grants the Commission the authority it has used to protect the privacy of customer information that phone companies collect.  Today, with this Notice of Proposed Rulemaking or NPRM, we start down a path that will provide clear guidance to Internet Service Providers (ISPs) and their customers about how the privacy requirements of the Communications Act apply to the most significant communications technology of today: broadband Internet access service.  If anything, privacy issues are even more important when consumers use broadband connections to reach the Internet.  And, when consumers sign up for Internet service, they shouldn’t have to sign away their right to privacy.</w:t>
      </w:r>
    </w:p>
    <w:p w:rsidR="00721840" w:rsidRPr="00AA5D5E" w:rsidRDefault="00721840" w:rsidP="00721840">
      <w:pPr>
        <w:ind w:firstLine="720"/>
        <w:rPr>
          <w:szCs w:val="22"/>
        </w:rPr>
      </w:pPr>
    </w:p>
    <w:p w:rsidR="00721840" w:rsidRPr="00AA5D5E" w:rsidRDefault="00721840" w:rsidP="00721840">
      <w:pPr>
        <w:ind w:firstLine="720"/>
        <w:rPr>
          <w:szCs w:val="22"/>
        </w:rPr>
      </w:pPr>
      <w:r w:rsidRPr="00AA5D5E">
        <w:rPr>
          <w:szCs w:val="22"/>
        </w:rPr>
        <w:t xml:space="preserve">Most of us understand that the social media we join and the websites we visit collect our personal information, and use it for advertising purposes.  Seldom, however, do we stop to realize that our ISP is also collecting information about us.  What’s more, we can choose not to visit a website or not to sign up for a social network, or we can choose to drop one and switch to another in milliseconds. </w:t>
      </w:r>
      <w:r>
        <w:rPr>
          <w:szCs w:val="22"/>
        </w:rPr>
        <w:t xml:space="preserve"> </w:t>
      </w:r>
      <w:r w:rsidRPr="00AA5D5E">
        <w:rPr>
          <w:szCs w:val="22"/>
        </w:rPr>
        <w:t>But broadband service is different.  Once we subscribe to an I</w:t>
      </w:r>
      <w:r>
        <w:rPr>
          <w:szCs w:val="22"/>
        </w:rPr>
        <w:t>SP</w:t>
      </w:r>
      <w:r w:rsidRPr="00AA5D5E">
        <w:rPr>
          <w:szCs w:val="22"/>
        </w:rPr>
        <w:t xml:space="preserve">—for our home or for our smartphone—most of us have little flexibility to change our mind or avoid that network rapidly. </w:t>
      </w:r>
    </w:p>
    <w:p w:rsidR="00721840" w:rsidRPr="00AA5D5E" w:rsidRDefault="00721840" w:rsidP="00721840">
      <w:pPr>
        <w:ind w:firstLine="720"/>
        <w:rPr>
          <w:szCs w:val="22"/>
        </w:rPr>
      </w:pPr>
    </w:p>
    <w:p w:rsidR="00721840" w:rsidRPr="00AA5D5E" w:rsidRDefault="00721840" w:rsidP="00721840">
      <w:pPr>
        <w:ind w:firstLine="720"/>
        <w:rPr>
          <w:szCs w:val="22"/>
        </w:rPr>
      </w:pPr>
      <w:r w:rsidRPr="00AA5D5E">
        <w:rPr>
          <w:szCs w:val="22"/>
        </w:rPr>
        <w:t xml:space="preserve">Our ISPs handle </w:t>
      </w:r>
      <w:r w:rsidRPr="00AA5D5E">
        <w:rPr>
          <w:i/>
          <w:iCs/>
          <w:szCs w:val="22"/>
        </w:rPr>
        <w:t>all</w:t>
      </w:r>
      <w:r w:rsidRPr="00AA5D5E">
        <w:rPr>
          <w:szCs w:val="22"/>
        </w:rPr>
        <w:t xml:space="preserve"> of our network traffic. That means an ISP has a broad view of all of its customers’ unencrypted online activity – when we are online, the websites we visit, and the apps we use. If we have mobile devices – and I have had a mobile device since 1983 – our providers can track our physical location throughout the day in real time. </w:t>
      </w:r>
      <w:r>
        <w:rPr>
          <w:szCs w:val="22"/>
        </w:rPr>
        <w:t xml:space="preserve"> </w:t>
      </w:r>
      <w:r w:rsidRPr="00AA5D5E">
        <w:rPr>
          <w:szCs w:val="22"/>
        </w:rPr>
        <w:t xml:space="preserve">Even when data is encrypted, our broadband providers can piece together significant amounts of information about us – including private information such as a chronic medical condition or financial problems – based on our online activity.  </w:t>
      </w:r>
    </w:p>
    <w:p w:rsidR="00721840" w:rsidRPr="00AA5D5E" w:rsidRDefault="00721840" w:rsidP="00721840">
      <w:pPr>
        <w:rPr>
          <w:szCs w:val="22"/>
        </w:rPr>
      </w:pPr>
    </w:p>
    <w:p w:rsidR="00721840" w:rsidRPr="00AA5D5E" w:rsidRDefault="00721840" w:rsidP="00721840">
      <w:pPr>
        <w:ind w:firstLine="720"/>
        <w:rPr>
          <w:szCs w:val="22"/>
        </w:rPr>
      </w:pPr>
      <w:r w:rsidRPr="00AA5D5E">
        <w:rPr>
          <w:szCs w:val="22"/>
        </w:rPr>
        <w:t xml:space="preserve">Today’s proposal would give all consumers the tools we need to make informed decisions about how our ISPs use and share our data, and confidence that ISPs are keeping their customers’ data secure. </w:t>
      </w:r>
    </w:p>
    <w:p w:rsidR="00721840" w:rsidRPr="00AA5D5E" w:rsidRDefault="00721840" w:rsidP="00721840">
      <w:pPr>
        <w:ind w:firstLine="720"/>
        <w:rPr>
          <w:szCs w:val="22"/>
        </w:rPr>
      </w:pPr>
    </w:p>
    <w:p w:rsidR="00721840" w:rsidRPr="00AA5D5E" w:rsidRDefault="00721840" w:rsidP="00721840">
      <w:pPr>
        <w:ind w:firstLine="720"/>
        <w:rPr>
          <w:szCs w:val="22"/>
        </w:rPr>
      </w:pPr>
      <w:r w:rsidRPr="00AA5D5E">
        <w:rPr>
          <w:szCs w:val="22"/>
        </w:rPr>
        <w:t xml:space="preserve">Today’s proposal is built on three core principles – choice, transparency, and security. </w:t>
      </w:r>
    </w:p>
    <w:p w:rsidR="00721840" w:rsidRPr="00AA5D5E" w:rsidRDefault="00721840" w:rsidP="00721840">
      <w:pPr>
        <w:rPr>
          <w:szCs w:val="22"/>
        </w:rPr>
      </w:pPr>
    </w:p>
    <w:p w:rsidR="00721840" w:rsidRPr="00AA5D5E" w:rsidRDefault="00721840" w:rsidP="00F91900">
      <w:pPr>
        <w:widowControl/>
        <w:ind w:firstLine="720"/>
        <w:rPr>
          <w:szCs w:val="22"/>
        </w:rPr>
      </w:pPr>
      <w:r w:rsidRPr="00AA5D5E">
        <w:rPr>
          <w:szCs w:val="22"/>
        </w:rPr>
        <w:t xml:space="preserve">It separates the use and sharing of customer information into three categories and crafts clear expectations for both ISPs and customers. </w:t>
      </w:r>
      <w:r>
        <w:rPr>
          <w:szCs w:val="22"/>
        </w:rPr>
        <w:t xml:space="preserve"> </w:t>
      </w:r>
      <w:r w:rsidRPr="00AA5D5E">
        <w:rPr>
          <w:szCs w:val="22"/>
        </w:rPr>
        <w:t xml:space="preserve">Under this proposal, information necessary to deliver broadband services could still be used by ISPs without additional consumer consent, so treatment of that data is largely unchanged. </w:t>
      </w:r>
      <w:r>
        <w:rPr>
          <w:szCs w:val="22"/>
        </w:rPr>
        <w:t xml:space="preserve"> </w:t>
      </w:r>
      <w:r w:rsidRPr="00AA5D5E">
        <w:rPr>
          <w:szCs w:val="22"/>
        </w:rPr>
        <w:t>The ISP also has the right to use your name, address, IP address, and other information necessary to establish a business relationship with you, to provide the broadband service you have contracted for, for example, to market higher speeds and lower rates for the type of broadband services that you already purchase.</w:t>
      </w:r>
    </w:p>
    <w:p w:rsidR="00721840" w:rsidRPr="00AA5D5E" w:rsidRDefault="00721840" w:rsidP="00F91900">
      <w:pPr>
        <w:widowControl/>
        <w:rPr>
          <w:szCs w:val="22"/>
        </w:rPr>
      </w:pPr>
    </w:p>
    <w:p w:rsidR="00721840" w:rsidRPr="00AA5D5E" w:rsidRDefault="00721840" w:rsidP="00F91900">
      <w:pPr>
        <w:widowControl/>
        <w:ind w:firstLine="720"/>
        <w:rPr>
          <w:szCs w:val="22"/>
        </w:rPr>
      </w:pPr>
      <w:r w:rsidRPr="00AA5D5E">
        <w:rPr>
          <w:szCs w:val="22"/>
        </w:rPr>
        <w:t xml:space="preserve">Under this proposal, ISPs and their affiliates that offer communications-related services would be able to market other communications-related services unless the consumer affirmatively opts out. </w:t>
      </w:r>
    </w:p>
    <w:p w:rsidR="00721840" w:rsidRPr="00AA5D5E" w:rsidRDefault="00721840" w:rsidP="00F91900">
      <w:pPr>
        <w:widowControl/>
        <w:rPr>
          <w:szCs w:val="22"/>
        </w:rPr>
      </w:pPr>
    </w:p>
    <w:p w:rsidR="00721840" w:rsidRPr="00AA5D5E" w:rsidRDefault="00721840" w:rsidP="00F91900">
      <w:pPr>
        <w:widowControl/>
        <w:ind w:firstLine="720"/>
        <w:rPr>
          <w:szCs w:val="22"/>
        </w:rPr>
      </w:pPr>
      <w:r w:rsidRPr="00AA5D5E">
        <w:rPr>
          <w:szCs w:val="22"/>
        </w:rPr>
        <w:t xml:space="preserve">Under this proposal, all other uses and sharing of consumer data would require affirmative “opt-in” consent from customers </w:t>
      </w:r>
      <w:r>
        <w:rPr>
          <w:szCs w:val="22"/>
        </w:rPr>
        <w:t>--</w:t>
      </w:r>
      <w:r w:rsidRPr="00AA5D5E">
        <w:rPr>
          <w:szCs w:val="22"/>
        </w:rPr>
        <w:t xml:space="preserve"> </w:t>
      </w:r>
      <w:r>
        <w:rPr>
          <w:szCs w:val="22"/>
        </w:rPr>
        <w:t>i</w:t>
      </w:r>
      <w:r w:rsidRPr="00AA5D5E">
        <w:rPr>
          <w:szCs w:val="22"/>
        </w:rPr>
        <w:t xml:space="preserve">n other words, the affirmative choice of a consumer to decide how his or her information should be used. </w:t>
      </w:r>
    </w:p>
    <w:p w:rsidR="00721840" w:rsidRPr="00AA5D5E" w:rsidRDefault="00721840" w:rsidP="00F91900">
      <w:pPr>
        <w:widowControl/>
        <w:ind w:firstLine="720"/>
        <w:rPr>
          <w:szCs w:val="22"/>
        </w:rPr>
      </w:pPr>
    </w:p>
    <w:p w:rsidR="00721840" w:rsidRPr="00AA5D5E" w:rsidRDefault="00721840" w:rsidP="00F91900">
      <w:pPr>
        <w:widowControl/>
        <w:ind w:firstLine="720"/>
        <w:rPr>
          <w:szCs w:val="22"/>
        </w:rPr>
      </w:pPr>
      <w:r w:rsidRPr="00AA5D5E">
        <w:rPr>
          <w:szCs w:val="22"/>
        </w:rPr>
        <w:t xml:space="preserve">If this plan is adopted, each of us will have the right to exercise control over what personal data our broadband provider uses and under what circumstances it shares our personal information with third parties or affiliated companies. </w:t>
      </w:r>
      <w:r>
        <w:rPr>
          <w:szCs w:val="22"/>
        </w:rPr>
        <w:t xml:space="preserve"> </w:t>
      </w:r>
      <w:r w:rsidRPr="00AA5D5E">
        <w:rPr>
          <w:szCs w:val="22"/>
        </w:rPr>
        <w:t xml:space="preserve">We will know what information is being collected about us and how it’s being used.  That information must be provided by our broadband service providers in an easily understandable and accessible manner.  And if our broadband provider is collecting and storing information about us, it will have a responsibility to make sure that information is secure. </w:t>
      </w:r>
    </w:p>
    <w:p w:rsidR="00721840" w:rsidRPr="00AA5D5E" w:rsidRDefault="00721840" w:rsidP="00721840">
      <w:pPr>
        <w:ind w:firstLine="720"/>
        <w:rPr>
          <w:szCs w:val="22"/>
        </w:rPr>
      </w:pPr>
    </w:p>
    <w:p w:rsidR="00721840" w:rsidRPr="00AA5D5E" w:rsidRDefault="00721840" w:rsidP="00721840">
      <w:pPr>
        <w:ind w:firstLine="720"/>
        <w:rPr>
          <w:szCs w:val="22"/>
        </w:rPr>
      </w:pPr>
      <w:r w:rsidRPr="00AA5D5E">
        <w:rPr>
          <w:szCs w:val="22"/>
        </w:rPr>
        <w:t>To be clear, this is not regulating what we often refer to as the edge – meaning the online applications and services that you access over the Internet, like Twitter and Uber.  It is narrowly focused on the personal information collected by broadband providers as a function of providing you with broadband connectivity, not the privacy practices of the websites and other online services that you choose to visit.</w:t>
      </w:r>
    </w:p>
    <w:p w:rsidR="00721840" w:rsidRPr="00AA5D5E" w:rsidRDefault="00721840" w:rsidP="00721840">
      <w:pPr>
        <w:ind w:firstLine="720"/>
        <w:rPr>
          <w:szCs w:val="22"/>
        </w:rPr>
      </w:pPr>
    </w:p>
    <w:p w:rsidR="00721840" w:rsidRPr="00AA5D5E" w:rsidRDefault="00721840" w:rsidP="00721840">
      <w:pPr>
        <w:ind w:firstLine="720"/>
        <w:rPr>
          <w:szCs w:val="22"/>
        </w:rPr>
      </w:pPr>
      <w:r w:rsidRPr="00AA5D5E">
        <w:rPr>
          <w:szCs w:val="22"/>
        </w:rPr>
        <w:t>Nor does this proposal wade into government surveillance, encryption or other law enforcement issues.  Again, this is about ISPs and only ISPs.</w:t>
      </w:r>
    </w:p>
    <w:p w:rsidR="00721840" w:rsidRPr="00AA5D5E" w:rsidRDefault="00721840" w:rsidP="00721840">
      <w:pPr>
        <w:rPr>
          <w:szCs w:val="22"/>
        </w:rPr>
      </w:pPr>
    </w:p>
    <w:p w:rsidR="00721840" w:rsidRPr="00AA5D5E" w:rsidRDefault="00721840" w:rsidP="00721840">
      <w:pPr>
        <w:ind w:firstLine="720"/>
        <w:rPr>
          <w:szCs w:val="22"/>
        </w:rPr>
      </w:pPr>
      <w:r w:rsidRPr="00AA5D5E">
        <w:rPr>
          <w:szCs w:val="22"/>
        </w:rPr>
        <w:t xml:space="preserve">And this proposal does not prohibit ISPs from using and sharing customer data – it simply proposes that the ISP </w:t>
      </w:r>
      <w:r w:rsidRPr="00AA5D5E">
        <w:rPr>
          <w:i/>
          <w:iCs/>
          <w:szCs w:val="22"/>
        </w:rPr>
        <w:t xml:space="preserve">first </w:t>
      </w:r>
      <w:r w:rsidRPr="00AA5D5E">
        <w:rPr>
          <w:szCs w:val="22"/>
        </w:rPr>
        <w:t xml:space="preserve">obtain customers’ express permission before doing so.  </w:t>
      </w:r>
    </w:p>
    <w:p w:rsidR="00721840" w:rsidRPr="00AA5D5E" w:rsidRDefault="00721840" w:rsidP="00721840">
      <w:pPr>
        <w:ind w:firstLine="720"/>
        <w:rPr>
          <w:szCs w:val="22"/>
        </w:rPr>
      </w:pPr>
    </w:p>
    <w:p w:rsidR="00721840" w:rsidRPr="00AA5D5E" w:rsidRDefault="00721840" w:rsidP="00721840">
      <w:pPr>
        <w:ind w:firstLine="720"/>
        <w:rPr>
          <w:szCs w:val="22"/>
        </w:rPr>
      </w:pPr>
      <w:r w:rsidRPr="00AA5D5E">
        <w:rPr>
          <w:szCs w:val="22"/>
        </w:rPr>
        <w:t xml:space="preserve">I expect that many consumers will agree. After all, many of us find targeted advertising very valuable. </w:t>
      </w:r>
      <w:r>
        <w:rPr>
          <w:szCs w:val="22"/>
        </w:rPr>
        <w:t xml:space="preserve"> </w:t>
      </w:r>
      <w:r w:rsidRPr="00AA5D5E">
        <w:rPr>
          <w:szCs w:val="22"/>
        </w:rPr>
        <w:t>Many people like to have recommendations made that reflect their personal interests or their current location.  Think about all the mobile apps that ask for – and receive – permission to use location data.  My simple point is this – people should have the ability to decide in the first instance.</w:t>
      </w:r>
    </w:p>
    <w:p w:rsidR="00721840" w:rsidRPr="00AA5D5E" w:rsidRDefault="00721840" w:rsidP="00721840">
      <w:pPr>
        <w:ind w:firstLine="720"/>
        <w:rPr>
          <w:szCs w:val="22"/>
        </w:rPr>
      </w:pPr>
    </w:p>
    <w:p w:rsidR="00721840" w:rsidRPr="00AA5D5E" w:rsidRDefault="00721840" w:rsidP="00721840">
      <w:pPr>
        <w:ind w:firstLine="720"/>
        <w:rPr>
          <w:szCs w:val="22"/>
        </w:rPr>
      </w:pPr>
      <w:r w:rsidRPr="00AA5D5E">
        <w:rPr>
          <w:szCs w:val="22"/>
        </w:rPr>
        <w:t xml:space="preserve">Today’s NPRM reflects widespread agreement among ISPs, public interest groups, and others about the importance of choice, transparency, and data security of confidential customer information.  It also reflects lessons learned from the FCC’s privacy work, and from other agencies’ implementation of sector-specific privacy legislation, and it is firmly rooted in the privacy protection work done by the Federal Trade Commission (FTC) in the exercise of the FTC’s general consumer protection jurisdiction.  </w:t>
      </w:r>
    </w:p>
    <w:p w:rsidR="00721840" w:rsidRPr="00AA5D5E" w:rsidRDefault="00721840" w:rsidP="00721840">
      <w:pPr>
        <w:ind w:firstLine="720"/>
        <w:rPr>
          <w:szCs w:val="22"/>
        </w:rPr>
      </w:pPr>
    </w:p>
    <w:p w:rsidR="00721840" w:rsidRPr="00AA5D5E" w:rsidRDefault="00721840" w:rsidP="00721840">
      <w:pPr>
        <w:ind w:firstLine="720"/>
        <w:rPr>
          <w:szCs w:val="22"/>
        </w:rPr>
      </w:pPr>
      <w:r w:rsidRPr="00AA5D5E">
        <w:rPr>
          <w:szCs w:val="22"/>
        </w:rPr>
        <w:t xml:space="preserve">While </w:t>
      </w:r>
      <w:r w:rsidRPr="00721840">
        <w:rPr>
          <w:color w:val="000000"/>
          <w:szCs w:val="22"/>
        </w:rPr>
        <w:t>today’s NPRM sets forth a clear path forward towards final rules, it also seeks comment on a range of issues, including additional or alternative paths to achieve pro-consumer, pro-privacy goals, to ensure the development of a robust record upon which the Commission can rely in adopting final rules.</w:t>
      </w:r>
      <w:r w:rsidRPr="00AA5D5E">
        <w:rPr>
          <w:szCs w:val="22"/>
        </w:rPr>
        <w:t xml:space="preserve">  Moving forward, we want to listen and learn from the public and ISPs before we adopt final, enforceable, rules of the road.    </w:t>
      </w:r>
    </w:p>
    <w:p w:rsidR="00721840" w:rsidRPr="006F1F47" w:rsidRDefault="00721840" w:rsidP="00721840">
      <w:pPr>
        <w:pStyle w:val="NormalWeb"/>
        <w:shd w:val="clear" w:color="auto" w:fill="FFFFFF"/>
        <w:spacing w:after="60"/>
        <w:ind w:firstLine="720"/>
      </w:pPr>
      <w:r w:rsidRPr="00AA5D5E">
        <w:rPr>
          <w:sz w:val="22"/>
          <w:szCs w:val="22"/>
        </w:rPr>
        <w:t>In the end, this proceeding isn’t about any particular company or practice.  It’s about providing baseline protections for consumers.  After all, it’s our data.  We all deserve information about and control over how our data is used.</w:t>
      </w:r>
      <w:r w:rsidRPr="006F1F47">
        <w:t xml:space="preserve"> </w:t>
      </w:r>
    </w:p>
    <w:p w:rsidR="00721840" w:rsidRDefault="00721840" w:rsidP="00721840">
      <w:pPr>
        <w:rPr>
          <w:sz w:val="24"/>
          <w:szCs w:val="24"/>
        </w:rPr>
        <w:sectPr w:rsidR="00721840" w:rsidSect="00337692">
          <w:footnotePr>
            <w:numRestart w:val="eachSect"/>
          </w:footnotePr>
          <w:endnotePr>
            <w:numFmt w:val="decimal"/>
          </w:endnotePr>
          <w:pgSz w:w="12240" w:h="15840"/>
          <w:pgMar w:top="1440" w:right="1440" w:bottom="720" w:left="1440" w:header="720" w:footer="720" w:gutter="0"/>
          <w:cols w:space="720"/>
          <w:noEndnote/>
          <w:docGrid w:linePitch="299"/>
        </w:sectPr>
      </w:pPr>
    </w:p>
    <w:p w:rsidR="00AA4109" w:rsidRDefault="00AA4109" w:rsidP="00AA4109">
      <w:pPr>
        <w:ind w:left="720" w:hanging="720"/>
        <w:jc w:val="center"/>
        <w:rPr>
          <w:b/>
        </w:rPr>
      </w:pPr>
      <w:r>
        <w:rPr>
          <w:b/>
        </w:rPr>
        <w:t>STATEMENT OF</w:t>
      </w:r>
    </w:p>
    <w:p w:rsidR="00AA4109" w:rsidRDefault="00AA4109" w:rsidP="00AA4109">
      <w:pPr>
        <w:ind w:left="720" w:hanging="720"/>
        <w:jc w:val="center"/>
        <w:rPr>
          <w:b/>
        </w:rPr>
      </w:pPr>
      <w:r w:rsidRPr="00905D83">
        <w:rPr>
          <w:b/>
        </w:rPr>
        <w:t>COMMISSIONER MIGNON CLYBURN</w:t>
      </w:r>
    </w:p>
    <w:p w:rsidR="00AA4109" w:rsidRPr="00905D83" w:rsidRDefault="00AA4109" w:rsidP="00AA4109">
      <w:pPr>
        <w:ind w:left="720" w:hanging="720"/>
        <w:jc w:val="center"/>
        <w:rPr>
          <w:b/>
        </w:rPr>
      </w:pPr>
    </w:p>
    <w:p w:rsidR="00AA4109" w:rsidRDefault="00AA4109" w:rsidP="00AA4109">
      <w:pPr>
        <w:ind w:left="720" w:hanging="720"/>
      </w:pPr>
      <w:r w:rsidRPr="00A81857">
        <w:t>Re:</w:t>
      </w:r>
      <w:r w:rsidRPr="00A81857">
        <w:tab/>
      </w:r>
      <w:r w:rsidRPr="00A81857">
        <w:rPr>
          <w:i/>
        </w:rPr>
        <w:t>Protecting the Privacy of Customers of Broadband and Other Telecommunications Services</w:t>
      </w:r>
      <w:r w:rsidRPr="00A81857">
        <w:t>, WC Docket No. 16-106.</w:t>
      </w:r>
    </w:p>
    <w:p w:rsidR="00AA4109" w:rsidRPr="00A81857" w:rsidRDefault="00AA4109" w:rsidP="00AA4109">
      <w:pPr>
        <w:ind w:left="720" w:hanging="720"/>
      </w:pPr>
    </w:p>
    <w:p w:rsidR="00AA4109" w:rsidRDefault="00AA4109" w:rsidP="00AA4109">
      <w:pPr>
        <w:ind w:firstLine="720"/>
      </w:pPr>
      <w:r w:rsidRPr="006A5F4C">
        <w:t xml:space="preserve">This morning for me was as typical as the last.  Before opening my eyes, I reached for </w:t>
      </w:r>
      <w:r>
        <w:t>my</w:t>
      </w:r>
      <w:r w:rsidRPr="006A5F4C">
        <w:t xml:space="preserve"> Smartphone</w:t>
      </w:r>
      <w:r>
        <w:t>;</w:t>
      </w:r>
      <w:r w:rsidRPr="006A5F4C">
        <w:t xml:space="preserve"> </w:t>
      </w:r>
      <w:r>
        <w:t xml:space="preserve">I </w:t>
      </w:r>
      <w:r w:rsidRPr="006A5F4C">
        <w:t>confirmed the weather so I knew just what to wear</w:t>
      </w:r>
      <w:r>
        <w:t>,</w:t>
      </w:r>
      <w:r w:rsidRPr="006A5F4C">
        <w:t xml:space="preserve"> checked the news in my home state and locally to see what happened while I slept</w:t>
      </w:r>
      <w:r>
        <w:t>,</w:t>
      </w:r>
      <w:r w:rsidRPr="006A5F4C">
        <w:t xml:space="preserve"> looked at my social media account to follow the trends; responded to emails and texts</w:t>
      </w:r>
      <w:r>
        <w:t>,</w:t>
      </w:r>
      <w:r w:rsidRPr="006A5F4C">
        <w:t xml:space="preserve"> and, yes, engaged in some light ecommerce because I have not a thing to wear for next month’s Correspondence Dinner.  My smartphone engagement did not end with </w:t>
      </w:r>
      <w:r>
        <w:t>my</w:t>
      </w:r>
      <w:r w:rsidRPr="006A5F4C">
        <w:t xml:space="preserve"> drive to work, as my Internet service provider (ISP) can confirm.  From that first reach of day to that last action where I failed to log off, my ISP knows which websites I visited (and, if not encrypted, the content I visited on each website), how long I was on each website, and when I was in my house versus my car versus </w:t>
      </w:r>
      <w:r>
        <w:t>this</w:t>
      </w:r>
      <w:r w:rsidRPr="006A5F4C">
        <w:t xml:space="preserve"> office.  This is a treasure trove of information that is not only very personal to me but is also very valuable to marketers and retailers.  </w:t>
      </w:r>
    </w:p>
    <w:p w:rsidR="00AA4109" w:rsidRPr="006A5F4C" w:rsidRDefault="00AA4109" w:rsidP="00AA4109">
      <w:pPr>
        <w:ind w:firstLine="720"/>
      </w:pPr>
    </w:p>
    <w:p w:rsidR="00AA4109" w:rsidRDefault="00AA4109" w:rsidP="00AA4109">
      <w:pPr>
        <w:ind w:firstLine="720"/>
      </w:pPr>
      <w:r w:rsidRPr="006A5F4C">
        <w:t xml:space="preserve">As a consumer of these services, I want the ability to determine when and how my ISP uses my personal information, and I am not alone.  According to a Pew </w:t>
      </w:r>
      <w:r>
        <w:t xml:space="preserve">Research </w:t>
      </w:r>
      <w:r w:rsidRPr="006A5F4C">
        <w:t>survey, 93 percent of consumers say that being in control of who can access information about them is important, 90 percent say that controlling what information is collected about them is important and 88 percent believe it is important that they not have someone watch or listen to them without their permission.</w:t>
      </w:r>
    </w:p>
    <w:p w:rsidR="00AA4109" w:rsidRPr="006A5F4C" w:rsidRDefault="00AA4109" w:rsidP="00AA4109">
      <w:pPr>
        <w:ind w:firstLine="720"/>
      </w:pPr>
    </w:p>
    <w:p w:rsidR="00AA4109" w:rsidRDefault="00AA4109" w:rsidP="00AA4109">
      <w:pPr>
        <w:ind w:firstLine="720"/>
      </w:pPr>
      <w:r w:rsidRPr="006A5F4C">
        <w:t>So today’s Notice of Proposed Rulemaking is both timely and relevant.  It seeks comment on proposals that would allow consumers to be in control of their information, and ensure transparency, consumer choice</w:t>
      </w:r>
      <w:r>
        <w:t>,</w:t>
      </w:r>
      <w:r w:rsidRPr="006A5F4C">
        <w:t xml:space="preserve"> data breach notifications and safeguards for security.  The proposals will still allow ISPs to continue to track and collect information provided the consumer is informed in a transparent way and, in most cases, after the consumer gives either opt-in- or opt-out consent.  It also seeks comment on all other proposals industry and groups have submitted to the FCC.  Just about everything is on the table and each and every one of you has the opportunity to make </w:t>
      </w:r>
      <w:r>
        <w:t>your</w:t>
      </w:r>
      <w:r w:rsidRPr="006A5F4C">
        <w:t xml:space="preserve"> case about the best path forward.  I will listen and commit to maintaining an open mind as we approach final rules and an order.  </w:t>
      </w:r>
    </w:p>
    <w:p w:rsidR="00AA4109" w:rsidRPr="006A5F4C" w:rsidRDefault="00AA4109" w:rsidP="00AA4109">
      <w:pPr>
        <w:ind w:firstLine="720"/>
      </w:pPr>
    </w:p>
    <w:p w:rsidR="00AA4109" w:rsidRDefault="00AA4109" w:rsidP="00AA4109">
      <w:pPr>
        <w:ind w:firstLine="720"/>
      </w:pPr>
      <w:r w:rsidRPr="006A5F4C">
        <w:t xml:space="preserve">Much has been said </w:t>
      </w:r>
      <w:r>
        <w:t>about</w:t>
      </w:r>
      <w:r w:rsidRPr="006A5F4C">
        <w:t xml:space="preserve"> today’s action, but the fact is that this is not “new” territory for the Commission. This Notice builds on decades of precedent and the FCC’s explicit statutory authority to ensure that network providers protect proprietary information and give consumers the power of choice. And, if I were to think back to my actions earlier this morning and compare them to what my 1990s telephone provider knew about me versus the information collected by my ISP today, let me just say that there is absolutely no comparison.  My 1990s provider would only know when my day got off to a start if I dialed someone or was called, and could then identify the other person’s number and the length of the call.  And, still, Congress believed it was appropriate to create </w:t>
      </w:r>
      <w:r>
        <w:t xml:space="preserve">a </w:t>
      </w:r>
      <w:r w:rsidRPr="006A5F4C">
        <w:t xml:space="preserve">separate statutory provision to create a duty for carriers to protect the confidentiality of </w:t>
      </w:r>
      <w:r>
        <w:t>that</w:t>
      </w:r>
      <w:r w:rsidRPr="006A5F4C">
        <w:t xml:space="preserve"> information.</w:t>
      </w:r>
    </w:p>
    <w:p w:rsidR="00AA4109" w:rsidRPr="006A5F4C" w:rsidRDefault="00AA4109" w:rsidP="00AA4109">
      <w:pPr>
        <w:ind w:firstLine="720"/>
      </w:pPr>
    </w:p>
    <w:p w:rsidR="00AA4109" w:rsidRDefault="00AA4109" w:rsidP="00AA4109">
      <w:pPr>
        <w:ind w:firstLine="720"/>
      </w:pPr>
      <w:r w:rsidRPr="006A5F4C">
        <w:t>So yes</w:t>
      </w:r>
      <w:r>
        <w:t>,</w:t>
      </w:r>
      <w:r w:rsidRPr="006A5F4C">
        <w:t xml:space="preserve"> </w:t>
      </w:r>
      <w:r>
        <w:t>t</w:t>
      </w:r>
      <w:r w:rsidRPr="006A5F4C">
        <w:t>oday I am proud to stand on the side of the 90 percent of consumers who want the ability to control what happens with their very personal and private information.  Times have changed and we need to ensure our rules are updated to reflect these technological transformations.</w:t>
      </w:r>
    </w:p>
    <w:p w:rsidR="00AA4109" w:rsidRPr="006A5F4C" w:rsidRDefault="00AA4109" w:rsidP="00AA4109">
      <w:pPr>
        <w:ind w:firstLine="720"/>
      </w:pPr>
    </w:p>
    <w:p w:rsidR="00AA4109" w:rsidRPr="00905D83" w:rsidRDefault="00AA4109" w:rsidP="00AA4109">
      <w:pPr>
        <w:ind w:firstLine="720"/>
      </w:pPr>
      <w:r w:rsidRPr="006A5F4C">
        <w:t xml:space="preserve">I want to thank the team of the Wireline Competition Bureau and the Office of General Counsel for their expertise and dedication </w:t>
      </w:r>
      <w:r>
        <w:t>as reflected in</w:t>
      </w:r>
      <w:r w:rsidRPr="006A5F4C">
        <w:t xml:space="preserve"> this item</w:t>
      </w:r>
      <w:r>
        <w:t>.</w:t>
      </w:r>
      <w:r w:rsidRPr="006A5F4C">
        <w:t xml:space="preserve"> </w:t>
      </w:r>
      <w:r>
        <w:rPr>
          <w:rFonts w:ascii="Arial" w:hAnsi="Arial" w:cs="Arial"/>
          <w:sz w:val="24"/>
          <w:szCs w:val="24"/>
        </w:rPr>
        <w:t xml:space="preserve">  </w:t>
      </w:r>
    </w:p>
    <w:p w:rsidR="00324CD5" w:rsidRDefault="00324CD5" w:rsidP="00AA4109">
      <w:pPr>
        <w:pStyle w:val="ParaNum"/>
        <w:numPr>
          <w:ilvl w:val="0"/>
          <w:numId w:val="0"/>
        </w:numPr>
        <w:ind w:left="720"/>
      </w:pPr>
    </w:p>
    <w:p w:rsidR="00AA4109" w:rsidRDefault="00AA4109" w:rsidP="00AA4109">
      <w:pPr>
        <w:pStyle w:val="ParaNum"/>
        <w:numPr>
          <w:ilvl w:val="0"/>
          <w:numId w:val="0"/>
        </w:numPr>
        <w:ind w:firstLine="720"/>
      </w:pPr>
    </w:p>
    <w:p w:rsidR="00AA4109" w:rsidRDefault="00AA4109" w:rsidP="00AA4109">
      <w:pPr>
        <w:pStyle w:val="ParaNum"/>
        <w:numPr>
          <w:ilvl w:val="0"/>
          <w:numId w:val="0"/>
        </w:numPr>
        <w:ind w:firstLine="720"/>
        <w:sectPr w:rsidR="00AA4109" w:rsidSect="00337692">
          <w:footnotePr>
            <w:numRestart w:val="eachSect"/>
          </w:footnotePr>
          <w:endnotePr>
            <w:numFmt w:val="decimal"/>
          </w:endnotePr>
          <w:pgSz w:w="12240" w:h="15840"/>
          <w:pgMar w:top="1440" w:right="1440" w:bottom="720" w:left="1440" w:header="720" w:footer="720" w:gutter="0"/>
          <w:cols w:space="720"/>
          <w:noEndnote/>
          <w:docGrid w:linePitch="299"/>
        </w:sectPr>
      </w:pPr>
    </w:p>
    <w:p w:rsidR="00AA4109" w:rsidRPr="00523B48" w:rsidRDefault="00AA4109" w:rsidP="00AA4109">
      <w:pPr>
        <w:jc w:val="center"/>
        <w:rPr>
          <w:b/>
        </w:rPr>
      </w:pPr>
      <w:r w:rsidRPr="00523B48">
        <w:rPr>
          <w:b/>
        </w:rPr>
        <w:t>STATEMENT OF</w:t>
      </w:r>
      <w:r w:rsidRPr="00523B48">
        <w:rPr>
          <w:b/>
        </w:rPr>
        <w:br/>
        <w:t>COMMISSIONER JESSICA ROSENWORCEL</w:t>
      </w:r>
    </w:p>
    <w:p w:rsidR="00AA4109" w:rsidRPr="00523B48" w:rsidRDefault="00AA4109" w:rsidP="00AA4109">
      <w:pPr>
        <w:jc w:val="center"/>
        <w:rPr>
          <w:b/>
        </w:rPr>
      </w:pPr>
    </w:p>
    <w:p w:rsidR="00AA4109" w:rsidRPr="00523B48" w:rsidRDefault="00AA4109" w:rsidP="00AA4109">
      <w:pPr>
        <w:ind w:left="720" w:hanging="720"/>
      </w:pPr>
      <w:r w:rsidRPr="00523B48">
        <w:t>Re:</w:t>
      </w:r>
      <w:r w:rsidRPr="00523B48">
        <w:tab/>
      </w:r>
      <w:r w:rsidRPr="00523B48">
        <w:rPr>
          <w:i/>
        </w:rPr>
        <w:t>Protecting the Privacy of Customers of Broadband and Other Telecommunications Services</w:t>
      </w:r>
      <w:r w:rsidRPr="00523B48">
        <w:t>, WC Docket No. 16-106.</w:t>
      </w:r>
    </w:p>
    <w:p w:rsidR="00AA4109" w:rsidRPr="00523B48" w:rsidRDefault="00AA4109" w:rsidP="00AA4109"/>
    <w:p w:rsidR="00AA4109" w:rsidRPr="00523B48" w:rsidRDefault="00AA4109" w:rsidP="00AA4109">
      <w:r w:rsidRPr="00523B48">
        <w:tab/>
        <w:t>Check your mobile phone, turn on the television, or pick up a newspaper—wherever you look privacy is in the headlines.  From debates about encryption to discussions of data security and cybersecurity, privacy is making news—and making its mark on our economy and our consciousness.  That’s because a number of forces have collided to make privacy both more important and more complicated.</w:t>
      </w:r>
    </w:p>
    <w:p w:rsidR="00AA4109" w:rsidRPr="00523B48" w:rsidRDefault="00AA4109" w:rsidP="00AA4109"/>
    <w:p w:rsidR="00AA4109" w:rsidRPr="00523B48" w:rsidRDefault="00AA4109" w:rsidP="00AA4109">
      <w:r w:rsidRPr="00523B48">
        <w:tab/>
        <w:t xml:space="preserve">First, connection is no longer merely convenient.  We live in an always-on world.  Our commercial and civic lives are migrating to online platforms with ferocious force and speed.  The opportunity to opt out of this new digital age is limited.  Its advances are too bountiful, they save us time and money, and they inform all aspects of modern life.  </w:t>
      </w:r>
    </w:p>
    <w:p w:rsidR="00AA4109" w:rsidRPr="00523B48" w:rsidRDefault="00AA4109" w:rsidP="00AA4109"/>
    <w:p w:rsidR="00AA4109" w:rsidRPr="00523B48" w:rsidRDefault="00AA4109" w:rsidP="00AA4109">
      <w:r w:rsidRPr="00523B48">
        <w:tab/>
        <w:t xml:space="preserve">Second, the number of parties participating in our digital age connections and transactions has multiplied exponentially.  It used to be that the lone communications relationship was between a customer and his or her carrier.  No more.  Today you can dial a call, write an e-mail, post an update to a social network, read a news site, store your family photographs in the cloud, and you should assume that service providers, advertising networks, and companies specializing in analytics have access to your personal information—and lots of it, for a long time.  Our digital footprints are hardly in sand; they are effectively in wet cement.  </w:t>
      </w:r>
    </w:p>
    <w:p w:rsidR="00AA4109" w:rsidRPr="00523B48" w:rsidRDefault="00AA4109" w:rsidP="00AA4109"/>
    <w:p w:rsidR="00AA4109" w:rsidRPr="00523B48" w:rsidRDefault="00AA4109" w:rsidP="00AA4109">
      <w:r w:rsidRPr="00523B48">
        <w:tab/>
        <w:t>Third, the monetization of data is big business.  The cost of data storage has declined dramatically.  The market incentives to keep our data and slice and dice it to inform economic activity are enormous.  They are only going to grow.</w:t>
      </w:r>
    </w:p>
    <w:p w:rsidR="00AA4109" w:rsidRPr="00523B48" w:rsidRDefault="00AA4109" w:rsidP="00AA4109"/>
    <w:p w:rsidR="00AA4109" w:rsidRPr="00523B48" w:rsidRDefault="00AA4109" w:rsidP="00AA4109">
      <w:r w:rsidRPr="00523B48">
        <w:tab/>
        <w:t xml:space="preserve">To be clear, these forces can do a whole lot of good.  They can make us more effective, more efficient, our cities smarter, and our communities more connected.  But as consumers navigate this new digital landscape, they are anxious.  According to the Pew Research Center, nine out of ten Americans believe that it is important to control what information is collected about themselves and an even greater number believe it is important to be in control of who can get that information.  At the same time, consumers know there is a value proposition associated with sharing their information—in fact over half of consumers would agree to do so in exchange for something free.  That might sound familiar to any one of us who has paused—just barely—to review fine print online before swiftly checking a box to enjoy the wonder of free shipping.    </w:t>
      </w:r>
    </w:p>
    <w:p w:rsidR="00AA4109" w:rsidRPr="00523B48" w:rsidRDefault="00AA4109" w:rsidP="00AA4109"/>
    <w:p w:rsidR="00AA4109" w:rsidRPr="00523B48" w:rsidRDefault="00AA4109" w:rsidP="00AA4109">
      <w:r w:rsidRPr="00523B48">
        <w:tab/>
        <w:t xml:space="preserve">So there are some contradictions here that make privacy complicated.  At the same time, it is clear that under Section 222 customer proprietary network information is entitled to protection.  Moreover, the Commission has a responsibility to ensure that its privacy policies adopted under this section reflect the current communications landscape.  To this end, today we start a process to update our Section 222 rules so they no longer reflect only voice services—but also encompass broadband.  It is my hope that along the way we can harmonize our efforts under Section 222 with other privacy provisions in the Communications Act, including Section 631.  </w:t>
      </w:r>
    </w:p>
    <w:p w:rsidR="00AA4109" w:rsidRPr="00523B48" w:rsidRDefault="00AA4109" w:rsidP="00AA4109"/>
    <w:p w:rsidR="00AA4109" w:rsidRPr="00523B48" w:rsidRDefault="00AA4109" w:rsidP="00AA4109">
      <w:r w:rsidRPr="00523B48">
        <w:tab/>
        <w:t xml:space="preserve">To get this done, this rulemaking asks questions—lots and lots of questions.  By my quick count, there are more than 500 of them.  We ask questions about notice and how to ensure broadband providers have transparent policies.  We ask questions about what requires consumer opt-in and what is better suited for opt-out.  We ask about what to do to ensure data is secure and ask what recourse consumers deserve when it is compromised.  </w:t>
      </w:r>
    </w:p>
    <w:p w:rsidR="00AA4109" w:rsidRPr="00523B48" w:rsidRDefault="00AA4109" w:rsidP="00AA4109"/>
    <w:p w:rsidR="00AA4109" w:rsidRPr="00523B48" w:rsidRDefault="00AA4109" w:rsidP="00AA4109">
      <w:r w:rsidRPr="00523B48">
        <w:tab/>
        <w:t xml:space="preserve">Though these questions range far and wide, it is important to be clear about what this rulemaking does not do.  The Section 222 privacy provisions involve carriers.  They do not apply to the manufacturers of wireless phones.  They do not apply to the developers of operating systems or websites.  </w:t>
      </w:r>
    </w:p>
    <w:p w:rsidR="00AA4109" w:rsidRPr="00523B48" w:rsidRDefault="00AA4109" w:rsidP="00AA4109"/>
    <w:p w:rsidR="00E21717" w:rsidRDefault="00AA4109" w:rsidP="00AA4109">
      <w:pPr>
        <w:sectPr w:rsidR="00E21717" w:rsidSect="00337692">
          <w:footnotePr>
            <w:numRestart w:val="eachSect"/>
          </w:footnotePr>
          <w:endnotePr>
            <w:numFmt w:val="decimal"/>
          </w:endnotePr>
          <w:pgSz w:w="12240" w:h="15840"/>
          <w:pgMar w:top="1440" w:right="1440" w:bottom="720" w:left="1440" w:header="720" w:footer="720" w:gutter="0"/>
          <w:cols w:space="720"/>
          <w:noEndnote/>
          <w:docGrid w:linePitch="299"/>
        </w:sectPr>
      </w:pPr>
      <w:r w:rsidRPr="00523B48">
        <w:tab/>
        <w:t xml:space="preserve">Let’s be honest.  Consumers can be confused by these distinctions.  But the scope of this proceeding and Section 222 itself is limited.  So I hope as we progress we think about how consumers can better understand the way their data is collected, what rules apply, and how they can protect themselves.  I believe doing this well requires harmonization—within the Communications Act—and with other federal partners with privacy interests.  Because in the broadband age, consumers should not have to be network engineers to understand who is collecting their data and they should not have to be lawyers to determine if their information is protected.  </w:t>
      </w:r>
      <w:r w:rsidRPr="00523B48">
        <w:tab/>
      </w:r>
    </w:p>
    <w:p w:rsidR="00056C23" w:rsidRDefault="00056C23" w:rsidP="00056C23">
      <w:pPr>
        <w:spacing w:after="120"/>
        <w:jc w:val="center"/>
      </w:pPr>
      <w:r>
        <w:rPr>
          <w:b/>
        </w:rPr>
        <w:t>DISSENTING STATEMENT OF</w:t>
      </w:r>
      <w:r>
        <w:rPr>
          <w:b/>
        </w:rPr>
        <w:br/>
        <w:t>COMMISSIONER AJIT PAI</w:t>
      </w:r>
    </w:p>
    <w:p w:rsidR="00056C23" w:rsidRDefault="00056C23" w:rsidP="00056C23">
      <w:pPr>
        <w:spacing w:after="120"/>
        <w:ind w:left="720" w:hanging="720"/>
      </w:pPr>
      <w:r>
        <w:t>Re:</w:t>
      </w:r>
      <w:r>
        <w:tab/>
      </w:r>
      <w:r>
        <w:rPr>
          <w:i/>
        </w:rPr>
        <w:t>Protecting the Privacy of Customers of Broadband and other Telecommunications Services</w:t>
      </w:r>
      <w:r>
        <w:t>, WC Docket No. 16-106.</w:t>
      </w:r>
    </w:p>
    <w:p w:rsidR="00056C23" w:rsidRDefault="00056C23" w:rsidP="00056C23">
      <w:pPr>
        <w:spacing w:after="120"/>
        <w:ind w:firstLine="720"/>
      </w:pPr>
      <w:r>
        <w:t>For many years, the United States embraced a technology-neutral framework for online privacy.  The Federal Trade Commission applied a unified approach to all online actors.  That framework allowed the FTC to carry out “more than 150 privacy and data security enforcement actions, including actions against ISPs and against some of the biggest companies in the Internet ecosystem.”</w:t>
      </w:r>
      <w:r>
        <w:rPr>
          <w:rStyle w:val="FootnoteReference"/>
        </w:rPr>
        <w:footnoteReference w:id="711"/>
      </w:r>
      <w:r>
        <w:t xml:space="preserve">  And that’s the same framework that the United States government has told the European Union is sufficiently robust to protect online consumers against predatory privacy practices.</w:t>
      </w:r>
      <w:r>
        <w:rPr>
          <w:rStyle w:val="FootnoteReference"/>
        </w:rPr>
        <w:footnoteReference w:id="712"/>
      </w:r>
    </w:p>
    <w:p w:rsidR="00056C23" w:rsidRDefault="00056C23" w:rsidP="00056C23">
      <w:pPr>
        <w:spacing w:after="120"/>
        <w:ind w:firstLine="720"/>
      </w:pPr>
      <w:r>
        <w:t>The FCC tore apart that unified framework 13 months ago when it reclassified broadband as a public utility.</w:t>
      </w:r>
      <w:r>
        <w:rPr>
          <w:rStyle w:val="FootnoteReference"/>
        </w:rPr>
        <w:footnoteReference w:id="713"/>
      </w:r>
      <w:r>
        <w:t xml:space="preserve">  So I agree with my colleagues that we do need to act, to refill the deep hole in privacy protections dug by the Commission.</w:t>
      </w:r>
    </w:p>
    <w:p w:rsidR="00056C23" w:rsidRDefault="00056C23" w:rsidP="00056C23">
      <w:pPr>
        <w:spacing w:after="120"/>
        <w:ind w:firstLine="720"/>
      </w:pPr>
      <w:r>
        <w:t>What’s the best way to refill it?  I can’t put it any better than Chairman Wheeler did, testifying before the House Energy and Commerce Committee’s Subcommittee on Communications and Technology in November 2015:  Because consumers deserve “a uniform expectation of privacy,” the FCC “will not be regulating the edge providers differently” from Internet service providers (ISPs).</w:t>
      </w:r>
      <w:r>
        <w:rPr>
          <w:rStyle w:val="FootnoteReference"/>
        </w:rPr>
        <w:footnoteReference w:id="714"/>
      </w:r>
    </w:p>
    <w:p w:rsidR="00056C23" w:rsidRDefault="00056C23" w:rsidP="00056C23">
      <w:pPr>
        <w:spacing w:after="120"/>
        <w:ind w:firstLine="720"/>
        <w:rPr>
          <w:shd w:val="clear" w:color="auto" w:fill="FFFFFF"/>
        </w:rPr>
      </w:pPr>
      <w:r>
        <w:t xml:space="preserve">When it comes to privacy, the principle of parity makes sense.  </w:t>
      </w:r>
      <w:r>
        <w:rPr>
          <w:shd w:val="clear" w:color="auto" w:fill="FFFFFF"/>
        </w:rPr>
        <w:t>As the FTC concluded years before being evicted from this space, “any privacy framework should be technology neutral” because “ISPs are just one type of large platform provider” and “operating systems and browsers may be in a position to track all, or virtually all, of a consumer’s online activity to create highly detailed profiles.”</w:t>
      </w:r>
      <w:r>
        <w:rPr>
          <w:rStyle w:val="FootnoteReference"/>
          <w:shd w:val="clear" w:color="auto" w:fill="FFFFFF"/>
        </w:rPr>
        <w:footnoteReference w:id="715"/>
      </w:r>
    </w:p>
    <w:p w:rsidR="00056C23" w:rsidRDefault="00056C23" w:rsidP="00056C23">
      <w:pPr>
        <w:spacing w:after="120"/>
        <w:ind w:firstLine="720"/>
      </w:pPr>
      <w:r>
        <w:t>Yet today, the Commission digs yet another hole in trying to fill the first one.  Instead of respecting both common sense and last fall’s public commitment to Congress, the FCC tilts the regulatory playing field by proposing to impose more burdensome regulation on Internet service providers, or ISPs, than the FTC imposes on so-called “edge providers.”</w:t>
      </w:r>
      <w:r>
        <w:rPr>
          <w:rStyle w:val="FootnoteReference"/>
        </w:rPr>
        <w:footnoteReference w:id="716"/>
      </w:r>
      <w:r>
        <w:t xml:space="preserve">  But consumers don’t necessarily know which particular online entities can access their personal information, let alone the regulatory classification of those entities.  They </w:t>
      </w:r>
      <w:r w:rsidRPr="004D6ED8">
        <w:rPr>
          <w:i/>
        </w:rPr>
        <w:t xml:space="preserve">do </w:t>
      </w:r>
      <w:r>
        <w:t>care that their personal information is protected by everyone who has access to it.  And more broadly, it makes little sense to give some companies greater leeway under the law than others when all may have access to the very same personal data.  This disparate approach does not benefit consumers or the public interest.  It simply favors one set of corporate interests over another.</w:t>
      </w:r>
    </w:p>
    <w:p w:rsidR="00056C23" w:rsidRDefault="00056C23" w:rsidP="00056C23">
      <w:pPr>
        <w:spacing w:after="120"/>
        <w:ind w:firstLine="720"/>
        <w:rPr>
          <w:shd w:val="clear" w:color="auto" w:fill="FFFFFF"/>
        </w:rPr>
      </w:pPr>
      <w:r>
        <w:t xml:space="preserve">Slanted regulation is bad enough.  Illogically slanted regulation is worse.  Here’s the reality:  There is no good reason to single out ISPs—new entrants in the online advertising space—for disparate treatment.  As one recent study by President Clinton’s chief counsel for privacy and President Obama’s special assistant for economic policy explained, </w:t>
      </w:r>
      <w:r w:rsidRPr="00F73B83">
        <w:t>“The 10 leading ad-selling companies earn over 70 percent of online advertising dollars, and none of them has gained this position based on its role as an ISP</w:t>
      </w:r>
      <w:r>
        <w:t>.</w:t>
      </w:r>
      <w:r w:rsidRPr="00F73B83">
        <w:t>”</w:t>
      </w:r>
      <w:r>
        <w:rPr>
          <w:rStyle w:val="FootnoteReference"/>
        </w:rPr>
        <w:footnoteReference w:id="717"/>
      </w:r>
      <w:r>
        <w:t xml:space="preserve"> </w:t>
      </w:r>
      <w:r w:rsidRPr="00F73B83">
        <w:t xml:space="preserve"> </w:t>
      </w:r>
      <w:r>
        <w:t>That’s because “</w:t>
      </w:r>
      <w:r w:rsidRPr="00F73B83">
        <w:rPr>
          <w:shd w:val="clear" w:color="auto" w:fill="FFFFFF"/>
        </w:rPr>
        <w:t>ISPs have neither comprehensive nor unique access to information about users</w:t>
      </w:r>
      <w:r>
        <w:rPr>
          <w:shd w:val="clear" w:color="auto" w:fill="FFFFFF"/>
        </w:rPr>
        <w:t>’</w:t>
      </w:r>
      <w:r w:rsidRPr="00F73B83">
        <w:rPr>
          <w:shd w:val="clear" w:color="auto" w:fill="FFFFFF"/>
        </w:rPr>
        <w:t xml:space="preserve"> online activity. </w:t>
      </w:r>
      <w:r>
        <w:rPr>
          <w:shd w:val="clear" w:color="auto" w:fill="FFFFFF"/>
        </w:rPr>
        <w:t xml:space="preserve"> </w:t>
      </w:r>
      <w:r w:rsidRPr="00F73B83">
        <w:rPr>
          <w:shd w:val="clear" w:color="auto" w:fill="FFFFFF"/>
        </w:rPr>
        <w:t>Rather, the most commercially valuable information about online users</w:t>
      </w:r>
      <w:r>
        <w:rPr>
          <w:shd w:val="clear" w:color="auto" w:fill="FFFFFF"/>
        </w:rPr>
        <w:t> . . .</w:t>
      </w:r>
      <w:r w:rsidRPr="00F73B83">
        <w:rPr>
          <w:shd w:val="clear" w:color="auto" w:fill="FFFFFF"/>
        </w:rPr>
        <w:t xml:space="preserve"> is coming from other contexts.”</w:t>
      </w:r>
      <w:r>
        <w:rPr>
          <w:rStyle w:val="FootnoteReference"/>
          <w:shd w:val="clear" w:color="auto" w:fill="FFFFFF"/>
        </w:rPr>
        <w:footnoteReference w:id="718"/>
      </w:r>
      <w:r>
        <w:rPr>
          <w:shd w:val="clear" w:color="auto" w:fill="FFFFFF"/>
        </w:rPr>
        <w:t xml:space="preserve">  Or as former Democratic Representative Rick Boucher wrote just this week, “by the end of this year, 70 percent of Internet traffic will be encrypted and beyond the surveillance of ISPs.”</w:t>
      </w:r>
      <w:r>
        <w:rPr>
          <w:rStyle w:val="FootnoteReference"/>
          <w:shd w:val="clear" w:color="auto" w:fill="FFFFFF"/>
        </w:rPr>
        <w:footnoteReference w:id="719"/>
      </w:r>
    </w:p>
    <w:p w:rsidR="00056C23" w:rsidRDefault="00056C23" w:rsidP="00056C23">
      <w:pPr>
        <w:spacing w:after="120"/>
        <w:ind w:firstLine="720"/>
      </w:pPr>
      <w:r>
        <w:t>Just think about how we experience the Internet in our digital lives.  Search engines log every query you enter.  Social networks track every person you’ve met.  Online video distributors know every show you’ve ever streamed.  Online shopping sites record every book, every piece of furniture, and every medical device you browse, let alone purchase.  To quote the Chairman’s press release, “[e]very day, consumers hand over very personal information simply by using the . . . broadband services they’ve paid for.”</w:t>
      </w:r>
      <w:r>
        <w:rPr>
          <w:rStyle w:val="FootnoteReference"/>
        </w:rPr>
        <w:footnoteReference w:id="720"/>
      </w:r>
    </w:p>
    <w:p w:rsidR="00056C23" w:rsidRDefault="00056C23" w:rsidP="00056C23">
      <w:pPr>
        <w:spacing w:after="120"/>
        <w:ind w:firstLine="720"/>
      </w:pPr>
      <w:r>
        <w:t xml:space="preserve">To paraphrase the </w:t>
      </w:r>
      <w:r>
        <w:rPr>
          <w:i/>
        </w:rPr>
        <w:t>Notice</w:t>
      </w:r>
      <w:r>
        <w:t>, online operators “have the commercial motivation to use and share extensive and personal information about their customers.”</w:t>
      </w:r>
      <w:r>
        <w:rPr>
          <w:rStyle w:val="FootnoteReference"/>
        </w:rPr>
        <w:footnoteReference w:id="721"/>
      </w:r>
      <w:r>
        <w:t xml:space="preserve">  Any review of recent headlines makes this obvious.  “Microsoft Admits Windows 10 Automatic Spying Cannot Be Stopped.”</w:t>
      </w:r>
      <w:r>
        <w:rPr>
          <w:rStyle w:val="FootnoteReference"/>
        </w:rPr>
        <w:footnoteReference w:id="722"/>
      </w:r>
      <w:r>
        <w:t xml:space="preserve">  “Hidden iPhone feature tracks your every move.”</w:t>
      </w:r>
      <w:r>
        <w:rPr>
          <w:rStyle w:val="FootnoteReference"/>
        </w:rPr>
        <w:footnoteReference w:id="723"/>
      </w:r>
      <w:r>
        <w:t xml:space="preserve">  “Facebook’s ad platform now guesses at your race based on your behavior.”</w:t>
      </w:r>
      <w:r>
        <w:rPr>
          <w:rStyle w:val="FootnoteReference"/>
        </w:rPr>
        <w:footnoteReference w:id="724"/>
      </w:r>
      <w:r>
        <w:t xml:space="preserve">  “Google is spying on K–</w:t>
      </w:r>
      <w:r w:rsidRPr="00FB6E61">
        <w:t xml:space="preserve">12 </w:t>
      </w:r>
      <w:r>
        <w:t>s</w:t>
      </w:r>
      <w:r w:rsidRPr="00FB6E61">
        <w:t xml:space="preserve">tudents, </w:t>
      </w:r>
      <w:r>
        <w:t>p</w:t>
      </w:r>
      <w:r w:rsidRPr="00FB6E61">
        <w:t xml:space="preserve">rivacy </w:t>
      </w:r>
      <w:r>
        <w:t>a</w:t>
      </w:r>
      <w:r w:rsidRPr="00FB6E61">
        <w:t xml:space="preserve">dvocates </w:t>
      </w:r>
      <w:r>
        <w:t>w</w:t>
      </w:r>
      <w:r w:rsidRPr="00FB6E61">
        <w:t>arn</w:t>
      </w:r>
      <w:r>
        <w:t>.”</w:t>
      </w:r>
      <w:r>
        <w:rPr>
          <w:rStyle w:val="FootnoteReference"/>
        </w:rPr>
        <w:footnoteReference w:id="725"/>
      </w:r>
      <w:r>
        <w:t xml:space="preserve"> </w:t>
      </w:r>
      <w:r w:rsidRPr="007255EF">
        <w:t xml:space="preserve"> </w:t>
      </w:r>
      <w:r>
        <w:t>“</w:t>
      </w:r>
      <w:r w:rsidRPr="00FB6E61">
        <w:t>Your Samsung TV is eavesdropping on your private conversations</w:t>
      </w:r>
      <w:r>
        <w:t>.”</w:t>
      </w:r>
      <w:r>
        <w:rPr>
          <w:rStyle w:val="FootnoteReference"/>
        </w:rPr>
        <w:footnoteReference w:id="726"/>
      </w:r>
      <w:r>
        <w:t xml:space="preserve">  “Why is Netflix cracking down on essential privacy tools?”</w:t>
      </w:r>
      <w:r>
        <w:rPr>
          <w:rStyle w:val="FootnoteReference"/>
        </w:rPr>
        <w:footnoteReference w:id="727"/>
      </w:r>
      <w:r>
        <w:t xml:space="preserve">  “Yahoo escalates the war on ad-blockers – by keeping people out of their own e-mail.”</w:t>
      </w:r>
      <w:r>
        <w:rPr>
          <w:rStyle w:val="FootnoteReference"/>
        </w:rPr>
        <w:footnoteReference w:id="728"/>
      </w:r>
    </w:p>
    <w:p w:rsidR="00056C23" w:rsidRDefault="00056C23" w:rsidP="00056C23">
      <w:pPr>
        <w:spacing w:after="120"/>
        <w:ind w:firstLine="720"/>
      </w:pPr>
      <w:r>
        <w:t>It’s clear that online companies now have greater access to consumer data than ever before—and that the success of their business models depends on their ability to use it.</w:t>
      </w:r>
      <w:r>
        <w:rPr>
          <w:rStyle w:val="FootnoteReference"/>
        </w:rPr>
        <w:footnoteReference w:id="729"/>
      </w:r>
      <w:r>
        <w:t xml:space="preserve">  Ironically, selectively burdening ISPs, their nascent competitors in online advertising, confers a windfall to those who are already winning.</w:t>
      </w:r>
      <w:r>
        <w:rPr>
          <w:rStyle w:val="FootnoteReference"/>
        </w:rPr>
        <w:footnoteReference w:id="730"/>
      </w:r>
    </w:p>
    <w:p w:rsidR="00056C23" w:rsidRDefault="00056C23" w:rsidP="00056C23">
      <w:pPr>
        <w:spacing w:after="120"/>
        <w:ind w:firstLine="720"/>
      </w:pPr>
      <w:r>
        <w:t xml:space="preserve">Despite this digital reality, the FCC targets ISPs and only ISPs for regulation.  Legal constraints can’t be the reason.  In </w:t>
      </w:r>
      <w:r>
        <w:rPr>
          <w:i/>
        </w:rPr>
        <w:t>The National Broadband Plan</w:t>
      </w:r>
      <w:r>
        <w:t xml:space="preserve"> of 2010 and in broadband deployment reports issued since, the FCC has concluded that “privacy concerns can serve as a barrier to the adoption and utilization of broadband.”</w:t>
      </w:r>
      <w:r>
        <w:rPr>
          <w:rStyle w:val="FootnoteReference"/>
        </w:rPr>
        <w:footnoteReference w:id="731"/>
      </w:r>
      <w:r>
        <w:t xml:space="preserve">  And under the expansive reading of the Telecommunications Act and “virtuous cycle” theory of legal authority ascribed to by those voting for today’s </w:t>
      </w:r>
      <w:r>
        <w:rPr>
          <w:i/>
        </w:rPr>
        <w:t>Notice</w:t>
      </w:r>
      <w:r>
        <w:t xml:space="preserve">—a reading I do not support, to be clear—the FCC can take practically </w:t>
      </w:r>
      <w:r w:rsidRPr="00C07934">
        <w:rPr>
          <w:i/>
        </w:rPr>
        <w:t>any</w:t>
      </w:r>
      <w:r>
        <w:t xml:space="preserve"> action necessary to break down those barriers.</w:t>
      </w:r>
      <w:r>
        <w:rPr>
          <w:rStyle w:val="FootnoteReference"/>
        </w:rPr>
        <w:footnoteReference w:id="732"/>
      </w:r>
      <w:r>
        <w:t xml:space="preserve">  Remember, too, that this agency hasn’t been shy about pushing legal boundaries; its deliberate indifference to the law in other contexts has been repeatedly rebuked by the courts and sharply rejected by members of both parties in Congress during the last month alone.  So creating a disparate privacy regime is not the product of legal restraints.  It is simply a political choice.</w:t>
      </w:r>
    </w:p>
    <w:p w:rsidR="00056C23" w:rsidRDefault="00056C23" w:rsidP="00056C23">
      <w:pPr>
        <w:spacing w:after="120"/>
        <w:ind w:firstLine="720"/>
      </w:pPr>
      <w:r>
        <w:t xml:space="preserve">Perhaps all of this is why the Electronic Privacy Information Center has cried foul, writing that the </w:t>
      </w:r>
      <w:r w:rsidRPr="00A72C40">
        <w:t>FCC’s</w:t>
      </w:r>
      <w:r>
        <w:t xml:space="preserve"> maniacal focus on ISPs “is inconsistent with the reality of the online communications ecosystem, incorrectly frames the scope of communications privacy issues facing Americans today, and is counterproductive to consumer privacy.”</w:t>
      </w:r>
      <w:r>
        <w:rPr>
          <w:rStyle w:val="FootnoteReference"/>
        </w:rPr>
        <w:footnoteReference w:id="733"/>
      </w:r>
    </w:p>
    <w:p w:rsidR="00056C23" w:rsidRDefault="00056C23" w:rsidP="00056C23">
      <w:pPr>
        <w:spacing w:after="120"/>
        <w:ind w:firstLine="720"/>
      </w:pPr>
      <w:r>
        <w:t>Recent events confirm the wisdom of EPIC’s perspective.  Reclassification’s chief corporate backer, Netflix, admitted just last week that it had selectively throttled its own customers’ traffic without their knowledge or their consent.</w:t>
      </w:r>
      <w:r>
        <w:rPr>
          <w:rStyle w:val="FootnoteReference"/>
        </w:rPr>
        <w:footnoteReference w:id="734"/>
      </w:r>
      <w:r>
        <w:t xml:space="preserve">  This is precisely the type of conduct that the FCC hypothesized last year when it claimed that companies “have the economic incentives and technical ability to engage in practices that pose a threat to Internet openness by harming . . . network providers, edge providers, and end users.”</w:t>
      </w:r>
      <w:r>
        <w:rPr>
          <w:rStyle w:val="FootnoteReference"/>
        </w:rPr>
        <w:footnoteReference w:id="735"/>
      </w:r>
      <w:r>
        <w:t xml:space="preserve">  Except that the FCC stated—without any evidence—that every one of the country’s 4,462 ISPs was a threat to Internet openness and that tech giants were not.  To borrow from President Nixon’s press secretary, “That statement is no longer operative.”</w:t>
      </w:r>
    </w:p>
    <w:p w:rsidR="00056C23" w:rsidRDefault="00056C23" w:rsidP="00056C23">
      <w:pPr>
        <w:spacing w:after="120"/>
        <w:ind w:firstLine="720"/>
      </w:pPr>
      <w:r>
        <w:t>My position on this issue is pretty simple.  Online consumers should and do have a uniform expectation of privacy.  That expectation should be reflected in uniform regulation of all companies in the Internet ecosystem.  That’s the model we had during a decade of FTC regulatory oversight; that’s the model that gave us an Internet economy that’s the envy of the world.</w:t>
      </w:r>
    </w:p>
    <w:p w:rsidR="00056C23" w:rsidRDefault="00056C23" w:rsidP="00056C23">
      <w:pPr>
        <w:spacing w:after="120"/>
        <w:ind w:firstLine="720"/>
      </w:pPr>
      <w:r>
        <w:t>Because the FCC rejects restoring this approach in favor of corporate favoritism, I dissent.</w:t>
      </w:r>
    </w:p>
    <w:p w:rsidR="005B1B85" w:rsidRDefault="005B1B85" w:rsidP="00056C23">
      <w:pPr>
        <w:rPr>
          <w:b/>
          <w:caps/>
          <w:color w:val="000000"/>
          <w:szCs w:val="22"/>
        </w:rPr>
        <w:sectPr w:rsidR="005B1B85" w:rsidSect="00337692">
          <w:footnotePr>
            <w:numRestart w:val="eachSect"/>
          </w:footnotePr>
          <w:endnotePr>
            <w:numFmt w:val="decimal"/>
          </w:endnotePr>
          <w:pgSz w:w="12240" w:h="15840"/>
          <w:pgMar w:top="1440" w:right="1440" w:bottom="720" w:left="1440" w:header="720" w:footer="720" w:gutter="0"/>
          <w:cols w:space="720"/>
          <w:noEndnote/>
          <w:docGrid w:linePitch="299"/>
        </w:sectPr>
      </w:pPr>
    </w:p>
    <w:p w:rsidR="00E21717" w:rsidRPr="00E21717" w:rsidRDefault="00E21717" w:rsidP="00E21717">
      <w:pPr>
        <w:jc w:val="center"/>
        <w:rPr>
          <w:b/>
          <w:caps/>
          <w:color w:val="000000"/>
          <w:szCs w:val="22"/>
        </w:rPr>
      </w:pPr>
      <w:r w:rsidRPr="00E21717">
        <w:rPr>
          <w:b/>
          <w:caps/>
          <w:color w:val="000000"/>
          <w:szCs w:val="22"/>
        </w:rPr>
        <w:t xml:space="preserve">Dissenting Statement of </w:t>
      </w:r>
    </w:p>
    <w:p w:rsidR="00E21717" w:rsidRPr="00E21717" w:rsidRDefault="00E21717" w:rsidP="00E21717">
      <w:pPr>
        <w:jc w:val="center"/>
        <w:rPr>
          <w:b/>
          <w:color w:val="000000"/>
          <w:szCs w:val="22"/>
        </w:rPr>
      </w:pPr>
      <w:r w:rsidRPr="00E21717">
        <w:rPr>
          <w:b/>
          <w:caps/>
          <w:color w:val="000000"/>
          <w:szCs w:val="22"/>
        </w:rPr>
        <w:t>Commissioner Michael O’Rielly</w:t>
      </w:r>
    </w:p>
    <w:p w:rsidR="00E21717" w:rsidRPr="002A34CE" w:rsidRDefault="00E21717" w:rsidP="00E21717">
      <w:pPr>
        <w:rPr>
          <w:color w:val="262626"/>
          <w:szCs w:val="22"/>
        </w:rPr>
      </w:pPr>
    </w:p>
    <w:p w:rsidR="00E21717" w:rsidRPr="00E21717" w:rsidRDefault="00E21717" w:rsidP="00E21717">
      <w:pPr>
        <w:ind w:left="720" w:hanging="720"/>
        <w:rPr>
          <w:i/>
          <w:color w:val="000000"/>
          <w:szCs w:val="22"/>
        </w:rPr>
      </w:pPr>
      <w:r w:rsidRPr="00A26722">
        <w:rPr>
          <w:szCs w:val="22"/>
        </w:rPr>
        <w:t>Re:</w:t>
      </w:r>
      <w:r w:rsidRPr="00A26722">
        <w:rPr>
          <w:szCs w:val="22"/>
        </w:rPr>
        <w:tab/>
      </w:r>
      <w:r w:rsidRPr="00A26722">
        <w:rPr>
          <w:i/>
          <w:szCs w:val="22"/>
        </w:rPr>
        <w:t>Protecting the Privacy of Customers of Broadband and Other Telecommunications Services</w:t>
      </w:r>
      <w:r w:rsidRPr="00A26722">
        <w:rPr>
          <w:szCs w:val="22"/>
        </w:rPr>
        <w:t>, WC Docket No. 16-106.</w:t>
      </w:r>
    </w:p>
    <w:p w:rsidR="00E21717" w:rsidRPr="00E21717" w:rsidRDefault="00E21717" w:rsidP="00E21717">
      <w:pPr>
        <w:rPr>
          <w:color w:val="000000"/>
          <w:szCs w:val="22"/>
        </w:rPr>
      </w:pPr>
    </w:p>
    <w:p w:rsidR="00E21717" w:rsidRPr="00E21717" w:rsidRDefault="00E21717" w:rsidP="00E21717">
      <w:pPr>
        <w:ind w:firstLine="720"/>
        <w:rPr>
          <w:color w:val="000000"/>
          <w:szCs w:val="22"/>
        </w:rPr>
      </w:pPr>
      <w:r w:rsidRPr="00E21717">
        <w:rPr>
          <w:color w:val="000000"/>
          <w:szCs w:val="22"/>
        </w:rPr>
        <w:t xml:space="preserve">This Notice flows directly from last year’s misguided </w:t>
      </w:r>
      <w:r w:rsidRPr="00E21717">
        <w:rPr>
          <w:i/>
          <w:color w:val="000000"/>
          <w:szCs w:val="22"/>
        </w:rPr>
        <w:t>Net Neutrality Order</w:t>
      </w:r>
      <w:r w:rsidRPr="00E21717">
        <w:rPr>
          <w:color w:val="000000"/>
          <w:szCs w:val="22"/>
        </w:rPr>
        <w:t xml:space="preserve"> and its flawed decision to reclassify broadband as a Title II service, so I expected to have threshold concerns about the authority to regulate the privacy practices of Internet Service Providers (ISPs).  I had hoped, however, that the agency would at least take the time to outline a thoughtful approach to privacy.</w:t>
      </w:r>
      <w:r w:rsidRPr="002A34CE">
        <w:rPr>
          <w:rStyle w:val="FootnoteReference"/>
          <w:szCs w:val="22"/>
        </w:rPr>
        <w:footnoteReference w:id="736"/>
      </w:r>
      <w:r w:rsidRPr="00E21717">
        <w:rPr>
          <w:color w:val="000000"/>
          <w:szCs w:val="22"/>
        </w:rPr>
        <w:t xml:space="preserve">  As someone who has spent a great deal of time on various privacy efforts and legislation, I know that these issues can be very complex.  Therefore, it would make sense for an agency with so little expertise on privacy to engage in regulatory humility and proceed incrementally.  </w:t>
      </w:r>
    </w:p>
    <w:p w:rsidR="00E21717" w:rsidRPr="00E21717" w:rsidRDefault="00E21717" w:rsidP="00E21717">
      <w:pPr>
        <w:ind w:firstLine="720"/>
        <w:rPr>
          <w:color w:val="000000"/>
          <w:szCs w:val="22"/>
        </w:rPr>
      </w:pPr>
    </w:p>
    <w:p w:rsidR="00E21717" w:rsidRPr="00E21717" w:rsidRDefault="00E21717" w:rsidP="00E21717">
      <w:pPr>
        <w:ind w:firstLine="720"/>
        <w:rPr>
          <w:color w:val="000000"/>
          <w:szCs w:val="22"/>
        </w:rPr>
      </w:pPr>
      <w:r w:rsidRPr="00E21717">
        <w:rPr>
          <w:color w:val="000000"/>
          <w:szCs w:val="22"/>
        </w:rPr>
        <w:t xml:space="preserve">But instead of taking the time to understand the current privacy landscape, including the FTC’s well-regarded standards and body of precedent, the Notice falls back on the familiar cut and paste job, attempting to force Customer Proprietary Network Information (CPNI) rules and definitions onto broadband.  The Commission also sets off on a statutory fishing expedition to find new language to support additional privacy rules, before finally proposing to shift key functions of the Internet economy to an opt-in regime that previously has been reserved for the most sensitive of information. And that’s just the privacy section. In an alarming display of doublethink, the Notice also proposes new data security risk management rules—at the same time that there is a Policy Statement circulating amongst the Commissioners that claims the FCC will take a voluntary approach in this area.  Similarly, the item’s approach to data breach notifications could result in consumers receiving inapplicable information, while at the same time, the FCC’s approach to the Telephone Consumer Protection Act (TCPA) is preventing other consumers from receiving legitimate and necessary notifications.  </w:t>
      </w:r>
    </w:p>
    <w:p w:rsidR="00E21717" w:rsidRPr="00E21717" w:rsidRDefault="00E21717" w:rsidP="00E21717">
      <w:pPr>
        <w:ind w:firstLine="720"/>
        <w:rPr>
          <w:color w:val="000000"/>
          <w:szCs w:val="22"/>
        </w:rPr>
      </w:pPr>
    </w:p>
    <w:p w:rsidR="00E21717" w:rsidRPr="00E21717" w:rsidRDefault="00E21717" w:rsidP="00E21717">
      <w:pPr>
        <w:ind w:firstLine="720"/>
        <w:rPr>
          <w:color w:val="000000"/>
          <w:szCs w:val="22"/>
        </w:rPr>
      </w:pPr>
      <w:r w:rsidRPr="00E21717">
        <w:rPr>
          <w:color w:val="000000"/>
          <w:szCs w:val="22"/>
        </w:rPr>
        <w:t xml:space="preserve">Starting with legal authority, I opposed the decision to reclassify broadband ISPs as telecommunications carriers, and do not believe that they are subject to any regulation under Title II.  Yet even if that decision holds up in court, I would still disagree with the Commission’s authority to regulate broadband privacy practices.  </w:t>
      </w:r>
    </w:p>
    <w:p w:rsidR="00E21717" w:rsidRPr="00E21717" w:rsidRDefault="00E21717" w:rsidP="00E21717">
      <w:pPr>
        <w:ind w:firstLine="720"/>
        <w:rPr>
          <w:color w:val="000000"/>
          <w:szCs w:val="22"/>
        </w:rPr>
      </w:pPr>
    </w:p>
    <w:p w:rsidR="00E21717" w:rsidRPr="00E21717" w:rsidRDefault="00E21717" w:rsidP="00E21717">
      <w:pPr>
        <w:ind w:firstLine="720"/>
        <w:rPr>
          <w:color w:val="000000"/>
          <w:szCs w:val="22"/>
        </w:rPr>
      </w:pPr>
      <w:r w:rsidRPr="00E21717">
        <w:rPr>
          <w:color w:val="000000"/>
          <w:szCs w:val="22"/>
        </w:rPr>
        <w:t xml:space="preserve">The Commission begins by taking the CPNI framework and expanding it to broadband—potentially encompassing everything from domain names and traffic statistics to application usage and CPE.  However, section 222(c) and the accompanying definition of CPNI found in section 222(h)(1) were designed to address specific concerns at the time about telephone call records and bill information.  Having been there during the provision’s inception, few of the staunchest supporters could have ever dreamt that the language could be stretched this far.  The entire effort to do so brings to mind a certain expression about square pegs and round holes.  And I had thought that the reason for conducting this rulemaking was that the Commission thought the current CPNI rules were not a good fit for broadband.  </w:t>
      </w:r>
    </w:p>
    <w:p w:rsidR="00E21717" w:rsidRPr="00E21717" w:rsidRDefault="00E21717" w:rsidP="00E21717">
      <w:pPr>
        <w:ind w:firstLine="720"/>
        <w:rPr>
          <w:color w:val="000000"/>
          <w:szCs w:val="22"/>
        </w:rPr>
      </w:pPr>
    </w:p>
    <w:p w:rsidR="00E21717" w:rsidRPr="002A34CE" w:rsidRDefault="00E21717" w:rsidP="00E21717">
      <w:pPr>
        <w:ind w:firstLine="720"/>
        <w:rPr>
          <w:color w:val="000000"/>
          <w:szCs w:val="22"/>
        </w:rPr>
      </w:pPr>
      <w:r w:rsidRPr="00E21717">
        <w:rPr>
          <w:color w:val="000000"/>
          <w:szCs w:val="22"/>
        </w:rPr>
        <w:t xml:space="preserve">Not content to stop there, the Commission turns its regulatory attention to section 222(a).  Unfortunately, the Notice accepts the faulty premise first advanced in the </w:t>
      </w:r>
      <w:r w:rsidRPr="00E21717">
        <w:rPr>
          <w:i/>
          <w:color w:val="000000"/>
          <w:szCs w:val="22"/>
        </w:rPr>
        <w:t>TerraCom NAL</w:t>
      </w:r>
      <w:r w:rsidRPr="00E21717">
        <w:rPr>
          <w:color w:val="000000"/>
          <w:szCs w:val="22"/>
        </w:rPr>
        <w:t xml:space="preserve"> that section 222(a) provides independent authority.</w:t>
      </w:r>
      <w:r w:rsidRPr="002A34CE">
        <w:rPr>
          <w:rStyle w:val="FootnoteReference"/>
          <w:szCs w:val="22"/>
        </w:rPr>
        <w:footnoteReference w:id="737"/>
      </w:r>
      <w:r w:rsidRPr="00E21717">
        <w:rPr>
          <w:color w:val="000000"/>
          <w:szCs w:val="22"/>
        </w:rPr>
        <w:t xml:space="preserve">  As I explained in more detail in my dissent on the </w:t>
      </w:r>
      <w:r w:rsidRPr="00E21717">
        <w:rPr>
          <w:i/>
          <w:color w:val="000000"/>
          <w:szCs w:val="22"/>
        </w:rPr>
        <w:t>TerraCom NAL</w:t>
      </w:r>
      <w:r w:rsidRPr="00E21717">
        <w:rPr>
          <w:color w:val="000000"/>
          <w:szCs w:val="22"/>
        </w:rPr>
        <w:t xml:space="preserve">, </w:t>
      </w:r>
      <w:r w:rsidRPr="002A34CE">
        <w:rPr>
          <w:color w:val="000000"/>
          <w:szCs w:val="22"/>
        </w:rPr>
        <w:t xml:space="preserve">the purpose of section 222(a) was to set forth </w:t>
      </w:r>
      <w:r w:rsidRPr="002A34CE">
        <w:rPr>
          <w:i/>
          <w:color w:val="000000"/>
          <w:szCs w:val="22"/>
        </w:rPr>
        <w:t>who</w:t>
      </w:r>
      <w:r w:rsidRPr="002A34CE">
        <w:rPr>
          <w:color w:val="000000"/>
          <w:szCs w:val="22"/>
        </w:rPr>
        <w:t xml:space="preserve"> would be covered by the new CPNI rules.  Before the 1996 Act, the rules only applied to AT&amp;T, the BOCs, and GTE.  Section 222(a) changed that by extending the general duty to protect proprietary information to </w:t>
      </w:r>
      <w:r w:rsidRPr="002A34CE">
        <w:rPr>
          <w:i/>
          <w:color w:val="000000"/>
          <w:szCs w:val="22"/>
        </w:rPr>
        <w:t>all</w:t>
      </w:r>
      <w:r w:rsidRPr="002A34CE">
        <w:rPr>
          <w:color w:val="000000"/>
          <w:szCs w:val="22"/>
        </w:rPr>
        <w:t xml:space="preserve"> telecommunications carriers, while sections 222(b) and (c) detail when and how that duty is to be exercised.  Specifically, section 222(b) protects other carriers from anti-competitive practices by requiring the confidentiality of carrier proprietary information, while section 222(c) protects the privacy expectations of consumers with respect to their call records by requiring the confidentiality of customer proprietary network information.  </w:t>
      </w:r>
    </w:p>
    <w:p w:rsidR="00E21717" w:rsidRPr="002A34CE" w:rsidRDefault="00E21717" w:rsidP="00E21717">
      <w:pPr>
        <w:ind w:firstLine="720"/>
        <w:rPr>
          <w:color w:val="000000"/>
          <w:szCs w:val="22"/>
        </w:rPr>
      </w:pPr>
    </w:p>
    <w:p w:rsidR="00E21717" w:rsidRPr="00E21717" w:rsidRDefault="00E21717" w:rsidP="00E21717">
      <w:pPr>
        <w:ind w:firstLine="720"/>
        <w:rPr>
          <w:color w:val="000000"/>
          <w:szCs w:val="22"/>
        </w:rPr>
      </w:pPr>
      <w:r w:rsidRPr="002A34CE">
        <w:rPr>
          <w:color w:val="000000"/>
          <w:szCs w:val="22"/>
        </w:rPr>
        <w:t xml:space="preserve">Given this three-part structure, it is not surprising that section 222(a) employs a term—proprietary information—that encompasses both the carrier proprietary information used in 222(b) as well as the customer proprietary network information used in section 222(c).  It does not give the Commission license to ignore its own history and read section 222(a) terminology out of context.  But I guess I shouldn’t be surprised that an offshoot of the </w:t>
      </w:r>
      <w:r w:rsidRPr="002A34CE">
        <w:rPr>
          <w:i/>
          <w:color w:val="000000"/>
          <w:szCs w:val="22"/>
        </w:rPr>
        <w:t>Net Neutrality Order</w:t>
      </w:r>
      <w:r w:rsidRPr="002A34CE">
        <w:rPr>
          <w:color w:val="000000"/>
          <w:szCs w:val="22"/>
        </w:rPr>
        <w:t xml:space="preserve"> would contain its own catch-all provision.  </w:t>
      </w:r>
    </w:p>
    <w:p w:rsidR="00E21717" w:rsidRPr="00E21717" w:rsidRDefault="00E21717" w:rsidP="00E21717">
      <w:pPr>
        <w:ind w:firstLine="720"/>
        <w:rPr>
          <w:color w:val="000000"/>
          <w:szCs w:val="22"/>
        </w:rPr>
      </w:pPr>
    </w:p>
    <w:p w:rsidR="00E21717" w:rsidRPr="002A34CE" w:rsidRDefault="00E21717" w:rsidP="00E21717">
      <w:pPr>
        <w:ind w:firstLine="720"/>
        <w:rPr>
          <w:szCs w:val="22"/>
        </w:rPr>
      </w:pPr>
      <w:r w:rsidRPr="00E21717">
        <w:rPr>
          <w:color w:val="000000"/>
          <w:szCs w:val="22"/>
        </w:rPr>
        <w:t xml:space="preserve">This make-believe authority in section 222(a) could cover some of the same information that the Notice proposes to include as CPNI, as well as things like </w:t>
      </w:r>
      <w:r w:rsidRPr="002A34CE">
        <w:rPr>
          <w:szCs w:val="22"/>
        </w:rPr>
        <w:t xml:space="preserve">shopping records, biometric information, and information identifying personally owned property.  In a footnote, the Notice acknowledges that broadband providers may not even collect such information.  But this is not the first instance where this agency has engaged in regulation by speculation, and I’m sure it won’t be the last, despite how insulting and deplorable it is for a regulatory agency to be so clueless just as it prepares to impose new burdens on U.S. industry and consumers.  The ignorance is stunning and raises serious questions about the competency of the Commission’s expertise in other, more justifiable areas.  </w:t>
      </w:r>
    </w:p>
    <w:p w:rsidR="00E21717" w:rsidRPr="002A34CE" w:rsidRDefault="00E21717" w:rsidP="00E21717">
      <w:pPr>
        <w:ind w:firstLine="720"/>
        <w:rPr>
          <w:szCs w:val="22"/>
        </w:rPr>
      </w:pPr>
    </w:p>
    <w:p w:rsidR="00E21717" w:rsidRPr="002A34CE" w:rsidRDefault="00E21717" w:rsidP="00E21717">
      <w:pPr>
        <w:ind w:firstLine="720"/>
        <w:rPr>
          <w:szCs w:val="22"/>
        </w:rPr>
      </w:pPr>
      <w:r w:rsidRPr="002A34CE">
        <w:rPr>
          <w:szCs w:val="22"/>
        </w:rPr>
        <w:t>The Notice also proposes a four-part test for the use and disclosure of aggregate customer information.  Of course, this test has no basis in the statute.  Section 222(c)(3) makes clear that carriers “may use, disclose, or permit access to aggregate customer information</w:t>
      </w:r>
      <w:r>
        <w:rPr>
          <w:szCs w:val="22"/>
        </w:rPr>
        <w:t>.</w:t>
      </w:r>
      <w:r w:rsidRPr="002A34CE">
        <w:rPr>
          <w:szCs w:val="22"/>
        </w:rPr>
        <w:t>”  The only condition on aggregate customer information is that it must be provided to other carriers or persons on reasonable and nondiscriminatory terms or conditions upon reasonable request, and that condition was included to address competitive concerns, not privacy.  Therefore, the FCC has no authority to impose additional conditions on aggregate customer information, and certainly not ones related to privacy.</w:t>
      </w:r>
      <w:r w:rsidRPr="002A34CE">
        <w:rPr>
          <w:rStyle w:val="FootnoteReference"/>
          <w:szCs w:val="22"/>
        </w:rPr>
        <w:footnoteReference w:id="738"/>
      </w:r>
      <w:r w:rsidRPr="002A34CE">
        <w:rPr>
          <w:szCs w:val="22"/>
        </w:rPr>
        <w:t xml:space="preserve">  </w:t>
      </w:r>
    </w:p>
    <w:p w:rsidR="00E21717" w:rsidRPr="002A34CE" w:rsidRDefault="00E21717" w:rsidP="00E21717">
      <w:pPr>
        <w:ind w:firstLine="720"/>
        <w:rPr>
          <w:szCs w:val="22"/>
        </w:rPr>
      </w:pPr>
    </w:p>
    <w:p w:rsidR="00E21717" w:rsidRPr="002A34CE" w:rsidRDefault="00E21717" w:rsidP="00E21717">
      <w:pPr>
        <w:ind w:firstLine="720"/>
        <w:rPr>
          <w:szCs w:val="22"/>
        </w:rPr>
      </w:pPr>
      <w:r w:rsidRPr="002A34CE">
        <w:rPr>
          <w:szCs w:val="22"/>
        </w:rPr>
        <w:t xml:space="preserve">The FCC’s motivating concern seems to be that aggregate information could be re-identified.  While that could occur in some instances, it certainly does not justify costly new FCC rules that carriers make public commitments, adopt contractual prohibitions, or engage in monitoring.  Carriers already have a business and legal interest in ensuring that aggregate customer information is truly de-identified.  If it is not, companies would lose the trust of their consumers and could be subject to enforcement actions for violating the law.  </w:t>
      </w:r>
    </w:p>
    <w:p w:rsidR="00E21717" w:rsidRPr="002A34CE" w:rsidRDefault="00E21717" w:rsidP="00E21717">
      <w:pPr>
        <w:ind w:firstLine="720"/>
        <w:rPr>
          <w:szCs w:val="22"/>
        </w:rPr>
      </w:pPr>
    </w:p>
    <w:p w:rsidR="00E21717" w:rsidRPr="002A34CE" w:rsidRDefault="00E21717" w:rsidP="00E21717">
      <w:pPr>
        <w:ind w:firstLine="720"/>
        <w:rPr>
          <w:szCs w:val="22"/>
        </w:rPr>
      </w:pPr>
      <w:r w:rsidRPr="002A34CE">
        <w:rPr>
          <w:szCs w:val="22"/>
        </w:rPr>
        <w:t xml:space="preserve">Just in case the authority provided by section 222 is insufficient, the Notice </w:t>
      </w:r>
      <w:r>
        <w:rPr>
          <w:szCs w:val="22"/>
        </w:rPr>
        <w:t>reverts to the familiar shotgun approach, referring to</w:t>
      </w:r>
      <w:r w:rsidRPr="002A34CE">
        <w:rPr>
          <w:szCs w:val="22"/>
        </w:rPr>
        <w:t xml:space="preserve"> sections 201, 202, 303(b), 316, and 705 of the Communications Act, as well as Title 18 of the United States Code.  The problem with citing original provisions of the Communications Act is that they were clearly never intended to cover such conduct.  Moreover, why would Congress subsequently have adopted a privacy provision for telephone call records—section 222—if </w:t>
      </w:r>
      <w:r>
        <w:rPr>
          <w:szCs w:val="22"/>
        </w:rPr>
        <w:t>all of these other</w:t>
      </w:r>
      <w:r w:rsidRPr="002A34CE">
        <w:rPr>
          <w:szCs w:val="22"/>
        </w:rPr>
        <w:t xml:space="preserve"> sections already contained the necessary authority to regulate privacy and security?  Such a reading would render an entire provision superfluous.  Of course, no controversial item would be complete without citing to section 706 of the 1996 Act and the virtuous cycle, and my views on that are well known.  But it is particularly ludicrous here given that only one percent of broadband non-adopters listed privacy or security concerns as a primary reason for not using the Internet at home.</w:t>
      </w:r>
      <w:r w:rsidRPr="002A34CE">
        <w:rPr>
          <w:rStyle w:val="FootnoteReference"/>
          <w:szCs w:val="22"/>
        </w:rPr>
        <w:footnoteReference w:id="739"/>
      </w:r>
    </w:p>
    <w:p w:rsidR="00E21717" w:rsidRPr="002A34CE" w:rsidRDefault="00E21717" w:rsidP="00E21717">
      <w:pPr>
        <w:ind w:firstLine="720"/>
        <w:rPr>
          <w:szCs w:val="22"/>
        </w:rPr>
      </w:pPr>
    </w:p>
    <w:p w:rsidR="00E21717" w:rsidRPr="002A34CE" w:rsidRDefault="00E21717" w:rsidP="00E21717">
      <w:pPr>
        <w:ind w:firstLine="720"/>
        <w:rPr>
          <w:szCs w:val="22"/>
        </w:rPr>
      </w:pPr>
      <w:r w:rsidRPr="002A34CE">
        <w:rPr>
          <w:szCs w:val="22"/>
        </w:rPr>
        <w:t xml:space="preserve">Having mangled the statute, the Notice proceeds to upend existing privacy structures that, by most accounts, have been providing sufficient protections for consumers, including broadband customers.  The only intervening change is that reclassification gave certain stakeholders another bite at the apple to achieve everything on their privacy wish lists.  So in yet another proceeding, instead of making incremental changes, like those offered by industry groups to align any FCC rules with the well-established FTC standards and precedent, the Commission decides to go to the extreme, possibly jeopardizing the entire effort.  </w:t>
      </w:r>
    </w:p>
    <w:p w:rsidR="00E21717" w:rsidRPr="00E21717" w:rsidRDefault="00E21717" w:rsidP="00E21717">
      <w:pPr>
        <w:ind w:firstLine="720"/>
        <w:rPr>
          <w:color w:val="000000"/>
          <w:szCs w:val="22"/>
        </w:rPr>
      </w:pPr>
    </w:p>
    <w:p w:rsidR="00E21717" w:rsidRPr="00E21717" w:rsidRDefault="00E21717" w:rsidP="00E21717">
      <w:pPr>
        <w:ind w:firstLine="720"/>
        <w:rPr>
          <w:color w:val="000000"/>
          <w:szCs w:val="22"/>
        </w:rPr>
      </w:pPr>
      <w:r w:rsidRPr="00E21717">
        <w:rPr>
          <w:color w:val="000000"/>
          <w:szCs w:val="22"/>
        </w:rPr>
        <w:t>Under the FTC choice framework, the privacy baseline is set so that it is consistent with the privacy preferences of most consumers.  Accordingly, “</w:t>
      </w:r>
      <w:r w:rsidRPr="00E21717">
        <w:rPr>
          <w:color w:val="000000"/>
          <w:szCs w:val="22"/>
          <w:shd w:val="clear" w:color="auto" w:fill="FFFFFF"/>
        </w:rPr>
        <w:t>whether a practice requires choice turns on the extent to which the practice is consistent with the context of the transaction or the consumer’s existing relationship with the business, or is required or specifically authorized by law.”</w:t>
      </w:r>
      <w:r w:rsidRPr="00E21717">
        <w:rPr>
          <w:rStyle w:val="FootnoteReference"/>
          <w:color w:val="000000"/>
          <w:szCs w:val="22"/>
          <w:shd w:val="clear" w:color="auto" w:fill="FFFFFF"/>
        </w:rPr>
        <w:footnoteReference w:id="740"/>
      </w:r>
      <w:r w:rsidRPr="00E21717">
        <w:rPr>
          <w:color w:val="000000"/>
          <w:szCs w:val="22"/>
          <w:shd w:val="clear" w:color="auto" w:fill="FFFFFF"/>
        </w:rPr>
        <w:t xml:space="preserve">  Given the FTC’s long history and expertise with consumers’ privacy expectations, it has determined that consent is not needed for many common activities, while others require consumer choice.</w:t>
      </w:r>
      <w:r w:rsidRPr="002A34CE">
        <w:rPr>
          <w:rStyle w:val="FootnoteReference"/>
          <w:szCs w:val="22"/>
          <w:shd w:val="clear" w:color="auto" w:fill="FFFFFF"/>
        </w:rPr>
        <w:footnoteReference w:id="741"/>
      </w:r>
      <w:r w:rsidRPr="00E21717">
        <w:rPr>
          <w:color w:val="000000"/>
          <w:szCs w:val="22"/>
          <w:shd w:val="clear" w:color="auto" w:fill="FFFFFF"/>
        </w:rPr>
        <w:t xml:space="preserve">  However, the highest degree of protection, affirmative express consent (opt-in), is reserved for specific uses like making material retroactive changes to privacy representations or collecting sensitive information, such as </w:t>
      </w:r>
      <w:r w:rsidRPr="00E21717">
        <w:rPr>
          <w:color w:val="000000"/>
          <w:szCs w:val="22"/>
        </w:rPr>
        <w:t>information about children, financial and health information, Social Security numbers, and precise geolocation data.</w:t>
      </w:r>
      <w:r w:rsidRPr="00E21717">
        <w:rPr>
          <w:rStyle w:val="FootnoteReference"/>
          <w:color w:val="000000"/>
          <w:szCs w:val="22"/>
        </w:rPr>
        <w:footnoteReference w:id="742"/>
      </w:r>
    </w:p>
    <w:p w:rsidR="00E21717" w:rsidRPr="00E21717" w:rsidRDefault="00E21717" w:rsidP="00E21717">
      <w:pPr>
        <w:ind w:firstLine="720"/>
        <w:rPr>
          <w:color w:val="000000"/>
          <w:szCs w:val="22"/>
        </w:rPr>
      </w:pPr>
    </w:p>
    <w:p w:rsidR="00E21717" w:rsidRPr="00E21717" w:rsidRDefault="00E21717" w:rsidP="00E21717">
      <w:pPr>
        <w:ind w:firstLine="720"/>
        <w:rPr>
          <w:color w:val="000000"/>
          <w:szCs w:val="22"/>
        </w:rPr>
      </w:pPr>
      <w:r w:rsidRPr="00E21717">
        <w:rPr>
          <w:color w:val="000000"/>
          <w:szCs w:val="22"/>
        </w:rPr>
        <w:t xml:space="preserve">This stands in sharp contrast to the Notice, which seeks to override consumer preferences with the Commission’s own policy choices.  Moreover, instead of setting a baseline and making adjustments over time to address </w:t>
      </w:r>
      <w:r w:rsidRPr="00E21717">
        <w:rPr>
          <w:color w:val="000000"/>
          <w:szCs w:val="22"/>
          <w:u w:val="single"/>
        </w:rPr>
        <w:t>any actual instances of harm</w:t>
      </w:r>
      <w:r w:rsidRPr="00E21717">
        <w:rPr>
          <w:color w:val="000000"/>
          <w:szCs w:val="22"/>
        </w:rPr>
        <w:t xml:space="preserve">, the FCC would mandate specific practices upfront.  The Notice proposes a rigid consent regime that assigns one of the three categories—inferred, opt-out, and opt-in—based on the entity accessing the information, irrespective of consumer expectations.  Under the proposal, the bulk of activities would fall into opt-out and opt-in categories.  In fact, opt-in would even be the default—another catch-all—for all situations not expressly discussed in the item, regardless of how most consumers would view such uses.  </w:t>
      </w:r>
    </w:p>
    <w:p w:rsidR="00E21717" w:rsidRPr="00E21717" w:rsidRDefault="00E21717" w:rsidP="00E21717">
      <w:pPr>
        <w:ind w:firstLine="720"/>
        <w:rPr>
          <w:color w:val="000000"/>
          <w:szCs w:val="22"/>
        </w:rPr>
      </w:pPr>
    </w:p>
    <w:p w:rsidR="00E21717" w:rsidRPr="00E21717" w:rsidRDefault="00E21717" w:rsidP="00E21717">
      <w:pPr>
        <w:ind w:firstLine="720"/>
        <w:rPr>
          <w:color w:val="000000"/>
          <w:szCs w:val="22"/>
        </w:rPr>
      </w:pPr>
      <w:r w:rsidRPr="00E21717">
        <w:rPr>
          <w:color w:val="000000"/>
          <w:szCs w:val="22"/>
        </w:rPr>
        <w:t>Additionally, the Notice goes so far as to suggest that some privacy practices “may be prohibited under the Act.”  That is, the FCC could take away consumer choice altogether.  So much for the promise on the “fact” sheet that “[i]t’s about permission and protection, not prohibition.”</w:t>
      </w:r>
    </w:p>
    <w:p w:rsidR="00E21717" w:rsidRPr="00E21717" w:rsidRDefault="00E21717" w:rsidP="00E21717">
      <w:pPr>
        <w:ind w:firstLine="720"/>
        <w:rPr>
          <w:color w:val="000000"/>
          <w:szCs w:val="22"/>
        </w:rPr>
      </w:pPr>
    </w:p>
    <w:p w:rsidR="00E21717" w:rsidRPr="00E21717" w:rsidRDefault="00E21717" w:rsidP="00E21717">
      <w:pPr>
        <w:ind w:firstLine="720"/>
        <w:rPr>
          <w:color w:val="000000"/>
          <w:szCs w:val="22"/>
        </w:rPr>
      </w:pPr>
      <w:r w:rsidRPr="00E21717">
        <w:rPr>
          <w:color w:val="000000"/>
          <w:szCs w:val="22"/>
        </w:rPr>
        <w:t xml:space="preserve">What are these practices that are so harmful that they might need to be banned?  Well, contrary to certain statements to the press, one of them is a popular program offered by a major provider that enables consumers to receive a discounted price for a premium service if they agree to allow the company to use their web browsing information to provide tailored ads.  The Notice acknowledges that a “substantial majority” of customers elected to participate in the program.  However, it cautions that consumers in these types of situations may not understand what they are trading.  Really?   </w:t>
      </w:r>
    </w:p>
    <w:p w:rsidR="00E21717" w:rsidRPr="00E21717" w:rsidRDefault="00E21717" w:rsidP="00E21717">
      <w:pPr>
        <w:ind w:firstLine="720"/>
        <w:rPr>
          <w:color w:val="000000"/>
          <w:szCs w:val="22"/>
        </w:rPr>
      </w:pPr>
    </w:p>
    <w:p w:rsidR="00E21717" w:rsidRPr="00E21717" w:rsidRDefault="00E21717" w:rsidP="00E21717">
      <w:pPr>
        <w:ind w:firstLine="720"/>
        <w:rPr>
          <w:color w:val="000000"/>
          <w:szCs w:val="22"/>
        </w:rPr>
      </w:pPr>
      <w:r w:rsidRPr="00E21717">
        <w:rPr>
          <w:color w:val="000000"/>
          <w:szCs w:val="22"/>
        </w:rPr>
        <w:t xml:space="preserve">To be fair, the Notice includes a token question on whether such practices should be subject to heightened notice and choice protections.  But in light of the fact that these programs are singled out for a standalone section on practices that might be prohibited, and given that the Notice asks questions such as whether simply offering such practices violates providers’ baseline duty under section 222(a) to protect the confidentiality of customers’ proprietary information, anyone can see where this is headed.      </w:t>
      </w:r>
    </w:p>
    <w:p w:rsidR="00E21717" w:rsidRPr="00E21717" w:rsidRDefault="00E21717" w:rsidP="00E21717">
      <w:pPr>
        <w:ind w:firstLine="720"/>
        <w:rPr>
          <w:color w:val="000000"/>
          <w:szCs w:val="22"/>
        </w:rPr>
      </w:pPr>
    </w:p>
    <w:p w:rsidR="00E21717" w:rsidRPr="00E21717" w:rsidRDefault="00E21717" w:rsidP="00E21717">
      <w:pPr>
        <w:ind w:firstLine="720"/>
        <w:rPr>
          <w:color w:val="000000"/>
          <w:szCs w:val="22"/>
        </w:rPr>
      </w:pPr>
      <w:r w:rsidRPr="00E21717">
        <w:rPr>
          <w:color w:val="000000"/>
          <w:szCs w:val="22"/>
        </w:rPr>
        <w:t xml:space="preserve">The Notice makes no effort to explain why ISPs and their customers should be subject to more onerous consent requirements or no choice at all.  Instead, the Commission simply assumes its conclusion and seeks confirmation that it is right.  Indeed, there is no reason for the Notice to describe consumer expectations because it is irrelevant to the FCC’s analysis.  The agency knows best, and must save consumers from their poor privacy choices.  I find this regulatory paternalism to be extremely offensive.  </w:t>
      </w:r>
    </w:p>
    <w:p w:rsidR="00E21717" w:rsidRPr="00E21717" w:rsidRDefault="00E21717" w:rsidP="00E21717">
      <w:pPr>
        <w:ind w:firstLine="720"/>
        <w:rPr>
          <w:color w:val="000000"/>
          <w:szCs w:val="22"/>
        </w:rPr>
      </w:pPr>
    </w:p>
    <w:p w:rsidR="00E21717" w:rsidRPr="00E21717" w:rsidRDefault="00E21717" w:rsidP="00E21717">
      <w:pPr>
        <w:ind w:firstLine="720"/>
        <w:rPr>
          <w:color w:val="000000"/>
          <w:szCs w:val="22"/>
        </w:rPr>
      </w:pPr>
      <w:r w:rsidRPr="00E21717">
        <w:rPr>
          <w:color w:val="000000"/>
          <w:szCs w:val="22"/>
        </w:rPr>
        <w:t>It is also unwarranted given that the FTC framework had protected broadband consumers’ privacy until reclassification removed that authority.  The Notice does not identify any flaws in that framework that would require a different approach here.  The only answer seems to be that the FCC is seizing the chance to up the ante, whether consumers want it or not, in order to be seen as the true defender of consumer privacy.</w:t>
      </w:r>
    </w:p>
    <w:p w:rsidR="00E21717" w:rsidRPr="00E21717" w:rsidRDefault="00E21717" w:rsidP="00E21717">
      <w:pPr>
        <w:ind w:firstLine="720"/>
        <w:rPr>
          <w:color w:val="000000"/>
          <w:szCs w:val="22"/>
        </w:rPr>
      </w:pPr>
    </w:p>
    <w:p w:rsidR="00E21717" w:rsidRPr="00E21717" w:rsidRDefault="00E21717" w:rsidP="00E21717">
      <w:pPr>
        <w:ind w:firstLine="720"/>
        <w:rPr>
          <w:color w:val="000000"/>
          <w:szCs w:val="22"/>
        </w:rPr>
      </w:pPr>
      <w:r w:rsidRPr="00E21717">
        <w:rPr>
          <w:color w:val="000000"/>
          <w:szCs w:val="22"/>
        </w:rPr>
        <w:t xml:space="preserve">I see little reason to believe that this new regime would not impede innovation and disrupt the interworking of the Internet.  By mandating unnecessary—and for some consumers unwanted—privacy practices, the Commission increases costs for businesses.  The opt-in regime, in particular, will impair the ability of companies to develop new uses for information—cutting them off before ever exploring the possibilities and positives in the marketplace—that could provide additional revenue streams and that consumers might find beneficial.  That means less capital to invest in broadband deployment, higher prices and fewer choices for consumers, and slower adoption.  In short, it would initiate a vicious cycle.  </w:t>
      </w:r>
    </w:p>
    <w:p w:rsidR="00E21717" w:rsidRPr="00E21717" w:rsidRDefault="00E21717" w:rsidP="00E21717">
      <w:pPr>
        <w:ind w:firstLine="720"/>
        <w:rPr>
          <w:color w:val="000000"/>
          <w:szCs w:val="22"/>
        </w:rPr>
      </w:pPr>
    </w:p>
    <w:p w:rsidR="00E21717" w:rsidRPr="00E21717" w:rsidRDefault="00E21717" w:rsidP="00E21717">
      <w:pPr>
        <w:ind w:firstLine="720"/>
        <w:rPr>
          <w:color w:val="000000"/>
          <w:szCs w:val="22"/>
        </w:rPr>
      </w:pPr>
      <w:r w:rsidRPr="00E21717">
        <w:rPr>
          <w:color w:val="000000"/>
          <w:szCs w:val="22"/>
        </w:rPr>
        <w:t xml:space="preserve">Additionally, applying heightened standards to one segment of the Internet economy will hamstring competition with the largest users of consumer data.  The FCC seeks comment on the issue, but also notes that the FTC could simply vigorously enforce its own rules.  That’s not a fair suggestion because, as I already noted, it’s a completely different rulebook.  </w:t>
      </w:r>
    </w:p>
    <w:p w:rsidR="00E21717" w:rsidRPr="00E21717" w:rsidRDefault="00E21717" w:rsidP="00E21717">
      <w:pPr>
        <w:ind w:firstLine="720"/>
        <w:rPr>
          <w:color w:val="000000"/>
          <w:szCs w:val="22"/>
        </w:rPr>
      </w:pPr>
    </w:p>
    <w:p w:rsidR="00E21717" w:rsidRPr="00E21717" w:rsidRDefault="00E21717" w:rsidP="00E21717">
      <w:pPr>
        <w:ind w:firstLine="720"/>
        <w:rPr>
          <w:color w:val="000000"/>
          <w:szCs w:val="22"/>
        </w:rPr>
      </w:pPr>
      <w:r w:rsidRPr="00E21717">
        <w:rPr>
          <w:color w:val="000000"/>
          <w:szCs w:val="22"/>
        </w:rPr>
        <w:t xml:space="preserve">To further increase costs, the Notice proposes to micromanage privacy notices.  The Notice seeks comment on required disclosures, as well as the timing and placement of such notices.  It could also include the creation of privacy dashboards that would enable consumers not only to adjust privacy settings but to even request deletion of data that the consumer no longer wants the provider to maintain.  And to ensure the providers are complying with these new mandates, the Notice proposes new recordkeeping requirements, supervisory review processes, and certifications.  </w:t>
      </w:r>
    </w:p>
    <w:p w:rsidR="00E21717" w:rsidRPr="00E21717" w:rsidRDefault="00E21717" w:rsidP="00E21717">
      <w:pPr>
        <w:ind w:firstLine="720"/>
        <w:rPr>
          <w:color w:val="000000"/>
          <w:szCs w:val="22"/>
        </w:rPr>
      </w:pPr>
    </w:p>
    <w:p w:rsidR="00E21717" w:rsidRPr="00E21717" w:rsidRDefault="00E21717" w:rsidP="00E21717">
      <w:pPr>
        <w:ind w:firstLine="720"/>
        <w:rPr>
          <w:color w:val="000000"/>
          <w:szCs w:val="22"/>
        </w:rPr>
      </w:pPr>
      <w:r w:rsidRPr="00E21717">
        <w:rPr>
          <w:color w:val="000000"/>
          <w:szCs w:val="22"/>
        </w:rPr>
        <w:t>Shifting gears a bit, I was not shocked ‎to see that the Notice also addresses data security given prior enforcement actions on the subject.  I was surprised, however, that it would contradict the other cybersecurity item already on circulation. That Policy Statement, which seems dubious in its own right, sets forth a process for carriers to meet with the Commission, supposedly on a voluntary basis, to discuss risk management practices.  Ever since I watched one of the Advisory Committee meetings and heard how the term “voluntary” was being defined, I had deep suspicions about whether the process would truly be optional for providers.  </w:t>
      </w:r>
    </w:p>
    <w:p w:rsidR="00E21717" w:rsidRPr="00E21717" w:rsidRDefault="00E21717" w:rsidP="00E21717">
      <w:pPr>
        <w:ind w:firstLine="720"/>
        <w:rPr>
          <w:color w:val="000000"/>
          <w:szCs w:val="22"/>
        </w:rPr>
      </w:pPr>
    </w:p>
    <w:p w:rsidR="00E21717" w:rsidRPr="00E21717" w:rsidRDefault="00E21717" w:rsidP="00E21717">
      <w:pPr>
        <w:ind w:firstLine="720"/>
        <w:rPr>
          <w:color w:val="000000"/>
          <w:szCs w:val="22"/>
        </w:rPr>
      </w:pPr>
      <w:r w:rsidRPr="00E21717">
        <w:rPr>
          <w:color w:val="000000"/>
          <w:szCs w:val="22"/>
        </w:rPr>
        <w:t>Here, the Notice confirms my concerns by proposing that carriers conduct regular risk management assessments, and even seeks comment on whether the FCC should specify the manner in which the risk management assessments should be designed and conducted “instead of allowing the BIAS provider to determine the specifics.”  Notably, the Policy Statement also promised that, to further protect participants, none of the voluntary discussions would be used as part of a rulemaking proceeding.  And some Advisory Committee participants agreed to support the Policy Statement process because, if they didn’t, they recognized that the Commission might proceed to adopt rules.  Well there’s no need for the supposed “protection” now that the Commission has initiated the proceeding to adopt rules.</w:t>
      </w:r>
    </w:p>
    <w:p w:rsidR="00E21717" w:rsidRPr="00E21717" w:rsidRDefault="00E21717" w:rsidP="00E21717">
      <w:pPr>
        <w:ind w:firstLine="720"/>
        <w:rPr>
          <w:color w:val="000000"/>
          <w:szCs w:val="22"/>
        </w:rPr>
      </w:pPr>
    </w:p>
    <w:p w:rsidR="00E21717" w:rsidRPr="00E21717" w:rsidRDefault="00E21717" w:rsidP="00E21717">
      <w:pPr>
        <w:rPr>
          <w:color w:val="000000"/>
          <w:szCs w:val="22"/>
        </w:rPr>
      </w:pPr>
      <w:r w:rsidRPr="00E21717">
        <w:rPr>
          <w:color w:val="000000"/>
          <w:szCs w:val="22"/>
        </w:rPr>
        <w:tab/>
        <w:t>It is important to note that, while cybersecurity is important, the Act does not provide the FCC with any authority in this space.  The Notice asserts that section 222(a) requires providers to protect the “security, confidentiality, and integrity” of customer data.  But it says nothing of the sort.  The FCC is simply inserting its own language into the Act.  It is also worth noting that the FCC has not been included in any of the Congressional legislative efforts on this topic, not even as a consulting agency.  Therefore, the Commission should not presume to freelance in this area.</w:t>
      </w:r>
    </w:p>
    <w:p w:rsidR="00E21717" w:rsidRPr="00E21717" w:rsidRDefault="00E21717" w:rsidP="00E21717">
      <w:pPr>
        <w:ind w:firstLine="720"/>
        <w:rPr>
          <w:color w:val="000000"/>
          <w:szCs w:val="22"/>
        </w:rPr>
      </w:pPr>
    </w:p>
    <w:p w:rsidR="00E21717" w:rsidRPr="00E21717" w:rsidRDefault="00E21717" w:rsidP="00E21717">
      <w:pPr>
        <w:shd w:val="clear" w:color="auto" w:fill="FFFFFF"/>
        <w:ind w:firstLine="720"/>
        <w:rPr>
          <w:color w:val="000000"/>
          <w:szCs w:val="22"/>
        </w:rPr>
      </w:pPr>
      <w:r w:rsidRPr="00E21717">
        <w:rPr>
          <w:color w:val="000000"/>
          <w:szCs w:val="22"/>
        </w:rPr>
        <w:t xml:space="preserve">The Commission also continues to struggle to find the right balance on data breach notifications. In last year’s </w:t>
      </w:r>
      <w:r w:rsidRPr="00E21717">
        <w:rPr>
          <w:i/>
          <w:color w:val="000000"/>
          <w:szCs w:val="22"/>
        </w:rPr>
        <w:t>TCPA Omnibus Order</w:t>
      </w:r>
      <w:r w:rsidRPr="00E21717">
        <w:rPr>
          <w:color w:val="000000"/>
          <w:szCs w:val="22"/>
        </w:rPr>
        <w:t>, the Commission provided an extremely narrow exception to TCPA liability to permit one class of companies to make a limited number of calls per event.  Moreover, the relief was subject to conditions that have made it unworkable in practice.  In this Notice, the ‎Commission would mandate that a class of companies contact consumers in the event of a breach, and within a certain period of time.  However, it takes time for a company to investigate whether a breach has actually occurred and to determine the scope of the impact.  If companies have to notify consumers before they have all the facts, it may be over-inclusive, leading to customer confusion.  I hope that the Commission will be open to adjusting its proposal as it hears from outside parties with more experience with these situations.</w:t>
      </w:r>
    </w:p>
    <w:p w:rsidR="00E21717" w:rsidRPr="00E21717" w:rsidRDefault="00E21717" w:rsidP="00E21717">
      <w:pPr>
        <w:shd w:val="clear" w:color="auto" w:fill="FFFFFF"/>
        <w:rPr>
          <w:color w:val="000000"/>
          <w:szCs w:val="22"/>
        </w:rPr>
      </w:pPr>
    </w:p>
    <w:p w:rsidR="00E21717" w:rsidRPr="00E21717" w:rsidRDefault="00E21717" w:rsidP="00E21717">
      <w:pPr>
        <w:shd w:val="clear" w:color="auto" w:fill="FFFFFF"/>
        <w:ind w:firstLine="720"/>
        <w:rPr>
          <w:color w:val="000000"/>
          <w:szCs w:val="22"/>
        </w:rPr>
      </w:pPr>
      <w:r w:rsidRPr="00E21717">
        <w:rPr>
          <w:color w:val="000000"/>
          <w:szCs w:val="22"/>
        </w:rPr>
        <w:t>In addition to the major substantive concerns, I was also alarmed to see the Commission acting on issues that should be completely outside the scope of this proceeding and its jurisdiction.  For example, the Commission seeks comment on prohibiting carriers from including mandatory arbitration clauses in contracts with their customers.  Here again, the Commission assumes that consumers don't understand the choices they are making and is willing to impose needless costs on companies by mandating how they do business.</w:t>
      </w:r>
    </w:p>
    <w:p w:rsidR="00E21717" w:rsidRPr="00E21717" w:rsidRDefault="00E21717" w:rsidP="00E21717">
      <w:pPr>
        <w:shd w:val="clear" w:color="auto" w:fill="FFFFFF"/>
        <w:rPr>
          <w:color w:val="000000"/>
          <w:szCs w:val="22"/>
        </w:rPr>
      </w:pPr>
    </w:p>
    <w:p w:rsidR="00E21717" w:rsidRPr="00E21717" w:rsidRDefault="00E21717" w:rsidP="00E21717">
      <w:pPr>
        <w:shd w:val="clear" w:color="auto" w:fill="FFFFFF"/>
        <w:ind w:firstLine="720"/>
        <w:rPr>
          <w:color w:val="000000"/>
          <w:szCs w:val="22"/>
        </w:rPr>
      </w:pPr>
      <w:r w:rsidRPr="00E21717">
        <w:rPr>
          <w:color w:val="000000"/>
          <w:szCs w:val="22"/>
        </w:rPr>
        <w:t>I am also compelled to remark on a term that is used more than two dozen times throughout this item: harmonize. It seems that this is a new code word for increasing regulation. The Commission proposes expanding CPNI for broadband, and then ‎seeks comment on “harmonizing” the rules for voice. As if we need to pile on new obligations for legacy voice service.  Likewise, the Commission seeks to “harmonize” this new proposal with rules applicable to video service.  Of course, by the time the Commission gets around to changing those rules, it will doubtlessly find other necessary “improvements,” and that will require further harmonization.  Pretty soon, we will end up in a regulatory arms race.</w:t>
      </w:r>
    </w:p>
    <w:p w:rsidR="00E21717" w:rsidRPr="00E21717" w:rsidRDefault="00E21717" w:rsidP="00E21717">
      <w:pPr>
        <w:shd w:val="clear" w:color="auto" w:fill="FFFFFF"/>
        <w:rPr>
          <w:color w:val="000000"/>
          <w:szCs w:val="22"/>
        </w:rPr>
      </w:pPr>
    </w:p>
    <w:p w:rsidR="00E21717" w:rsidRPr="00E21717" w:rsidRDefault="00E21717" w:rsidP="00F91900">
      <w:pPr>
        <w:widowControl/>
        <w:shd w:val="clear" w:color="auto" w:fill="FFFFFF"/>
        <w:rPr>
          <w:color w:val="000000"/>
          <w:szCs w:val="22"/>
        </w:rPr>
      </w:pPr>
      <w:r w:rsidRPr="00E21717">
        <w:rPr>
          <w:color w:val="000000"/>
          <w:szCs w:val="22"/>
        </w:rPr>
        <w:tab/>
        <w:t xml:space="preserve">Finally, I must raise a reality check about how ISPs may use the collected information.  Unlike governmental entities using the information to potentially threaten and undo the freedom of individuals, the high crime and misdemeanor at issue here is the ultimate desire of some to want to market a commercial product to others.  Simply put, they may want to try to sell you something that you would actually enjoy purchasing.  It is as if we all forgot how the Internet economy actually works today.  There is a trade-off—consumers receive “free” stuff offered by Internet companies while in return the companies receive other things, such as data to place targeted ads, that consumers may or may not want but, at the same time, may be completely comfortable with in the context of the overall package.  Heightening the limitations on the use of information, as contemplated by this item, will impact every other pricing component of Internet access and eventually edge providers.  </w:t>
      </w:r>
    </w:p>
    <w:p w:rsidR="00E21717" w:rsidRPr="00E21717" w:rsidRDefault="00E21717" w:rsidP="00F91900">
      <w:pPr>
        <w:widowControl/>
        <w:shd w:val="clear" w:color="auto" w:fill="FFFFFF"/>
        <w:rPr>
          <w:color w:val="000000"/>
          <w:szCs w:val="22"/>
        </w:rPr>
      </w:pPr>
    </w:p>
    <w:p w:rsidR="00E21717" w:rsidRPr="00E21717" w:rsidRDefault="00E21717" w:rsidP="00F91900">
      <w:pPr>
        <w:widowControl/>
        <w:shd w:val="clear" w:color="auto" w:fill="FFFFFF"/>
        <w:ind w:firstLine="720"/>
        <w:rPr>
          <w:color w:val="000000"/>
          <w:szCs w:val="22"/>
        </w:rPr>
      </w:pPr>
      <w:r w:rsidRPr="00E21717">
        <w:rPr>
          <w:color w:val="000000"/>
          <w:szCs w:val="22"/>
        </w:rPr>
        <w:t>While I would not have been able to support this item in any event as it is based on a flawed legal theory, I had hoped for the sake of institutional credibility that the policy framework would be a sensible one.  Unfortunately, that is not the case and I must dissent.</w:t>
      </w:r>
    </w:p>
    <w:p w:rsidR="00E21717" w:rsidRPr="00E21717" w:rsidRDefault="00E21717" w:rsidP="00E21717">
      <w:pPr>
        <w:ind w:firstLine="720"/>
        <w:rPr>
          <w:color w:val="000000"/>
          <w:szCs w:val="22"/>
        </w:rPr>
      </w:pPr>
    </w:p>
    <w:p w:rsidR="00E21717" w:rsidRPr="00E21717" w:rsidRDefault="00E21717" w:rsidP="00E21717">
      <w:pPr>
        <w:ind w:firstLine="720"/>
        <w:rPr>
          <w:color w:val="000000"/>
          <w:szCs w:val="22"/>
        </w:rPr>
      </w:pPr>
    </w:p>
    <w:p w:rsidR="00E21717" w:rsidRPr="00E21717" w:rsidRDefault="00E21717" w:rsidP="00E21717">
      <w:pPr>
        <w:ind w:firstLine="720"/>
        <w:rPr>
          <w:color w:val="000000"/>
          <w:szCs w:val="22"/>
        </w:rPr>
      </w:pPr>
    </w:p>
    <w:p w:rsidR="00E21717" w:rsidRPr="00523B48" w:rsidRDefault="00E21717" w:rsidP="00AA4109"/>
    <w:p w:rsidR="00AA4109" w:rsidRPr="00530E2B" w:rsidRDefault="00AA4109" w:rsidP="00AA4109">
      <w:pPr>
        <w:pStyle w:val="ParaNum"/>
        <w:numPr>
          <w:ilvl w:val="0"/>
          <w:numId w:val="0"/>
        </w:numPr>
        <w:ind w:firstLine="720"/>
      </w:pPr>
    </w:p>
    <w:p w:rsidR="00324CD5" w:rsidRPr="006919F5" w:rsidRDefault="00324CD5" w:rsidP="00324CD5">
      <w:pPr>
        <w:widowControl/>
        <w:spacing w:after="120" w:line="264" w:lineRule="auto"/>
        <w:rPr>
          <w:snapToGrid/>
          <w:kern w:val="0"/>
          <w:szCs w:val="22"/>
        </w:rPr>
      </w:pPr>
    </w:p>
    <w:p w:rsidR="00324CD5" w:rsidRPr="006919F5" w:rsidRDefault="00324CD5" w:rsidP="00324CD5">
      <w:pPr>
        <w:widowControl/>
        <w:spacing w:after="120"/>
        <w:rPr>
          <w:snapToGrid/>
          <w:kern w:val="0"/>
          <w:szCs w:val="22"/>
        </w:rPr>
      </w:pPr>
    </w:p>
    <w:p w:rsidR="00324CD5" w:rsidRPr="00CF5DA6" w:rsidRDefault="00324CD5" w:rsidP="00324CD5">
      <w:pPr>
        <w:pStyle w:val="ParaNum"/>
        <w:numPr>
          <w:ilvl w:val="0"/>
          <w:numId w:val="0"/>
        </w:numPr>
      </w:pPr>
    </w:p>
    <w:p w:rsidR="002C00E8" w:rsidRPr="00324CD5" w:rsidRDefault="002C00E8" w:rsidP="00324CD5"/>
    <w:sectPr w:rsidR="002C00E8" w:rsidRPr="00324CD5" w:rsidSect="00337692">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E4B" w:rsidRDefault="00EF2E4B">
      <w:pPr>
        <w:spacing w:line="20" w:lineRule="exact"/>
      </w:pPr>
    </w:p>
  </w:endnote>
  <w:endnote w:type="continuationSeparator" w:id="0">
    <w:p w:rsidR="00EF2E4B" w:rsidRDefault="00EF2E4B">
      <w:r>
        <w:t xml:space="preserve"> </w:t>
      </w:r>
    </w:p>
  </w:endnote>
  <w:endnote w:type="continuationNotice" w:id="1">
    <w:p w:rsidR="00EF2E4B" w:rsidRDefault="00EF2E4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Myriad Pro">
    <w:altName w:val="Myriad Pro"/>
    <w:panose1 w:val="00000000000000000000"/>
    <w:charset w:val="00"/>
    <w:family w:val="swiss"/>
    <w:notTrueType/>
    <w:pitch w:val="default"/>
    <w:sig w:usb0="00000003" w:usb1="00000000" w:usb2="00000000" w:usb3="00000000" w:csb0="00000001" w:csb1="00000000"/>
  </w:font>
  <w:font w:name="Times New Roman,Georgia">
    <w:altName w:val="Times New Roman"/>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D51" w:rsidRDefault="00474D51" w:rsidP="0055614C">
    <w:pPr>
      <w:pStyle w:val="Footer"/>
      <w:framePr w:wrap="around" w:vAnchor="text" w:hAnchor="margin" w:xAlign="center" w:y="1"/>
    </w:pPr>
    <w:r>
      <w:fldChar w:fldCharType="begin"/>
    </w:r>
    <w:r>
      <w:instrText xml:space="preserve">PAGE  </w:instrText>
    </w:r>
    <w:r>
      <w:fldChar w:fldCharType="end"/>
    </w:r>
  </w:p>
  <w:p w:rsidR="00474D51" w:rsidRDefault="00474D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D51" w:rsidRDefault="00474D51" w:rsidP="0055614C">
    <w:pPr>
      <w:pStyle w:val="Footer"/>
      <w:framePr w:wrap="around" w:vAnchor="text" w:hAnchor="margin" w:xAlign="center" w:y="1"/>
    </w:pPr>
    <w:r>
      <w:fldChar w:fldCharType="begin"/>
    </w:r>
    <w:r>
      <w:instrText xml:space="preserve">PAGE  </w:instrText>
    </w:r>
    <w:r>
      <w:fldChar w:fldCharType="separate"/>
    </w:r>
    <w:r w:rsidR="00C16C28">
      <w:rPr>
        <w:noProof/>
      </w:rPr>
      <w:t>2</w:t>
    </w:r>
    <w:r>
      <w:fldChar w:fldCharType="end"/>
    </w:r>
  </w:p>
  <w:p w:rsidR="00474D51" w:rsidRDefault="00474D51">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D51" w:rsidRDefault="00474D51">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D51" w:rsidRDefault="00474D51" w:rsidP="0055614C">
    <w:pPr>
      <w:pStyle w:val="Footer"/>
      <w:framePr w:wrap="around" w:vAnchor="text" w:hAnchor="margin" w:xAlign="center" w:y="1"/>
    </w:pPr>
    <w:r>
      <w:fldChar w:fldCharType="begin"/>
    </w:r>
    <w:r>
      <w:instrText xml:space="preserve">PAGE  </w:instrText>
    </w:r>
    <w:r>
      <w:fldChar w:fldCharType="end"/>
    </w:r>
  </w:p>
  <w:p w:rsidR="00474D51" w:rsidRDefault="00474D5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D51" w:rsidRDefault="00474D51" w:rsidP="0055614C">
    <w:pPr>
      <w:pStyle w:val="Footer"/>
      <w:framePr w:wrap="around" w:vAnchor="text" w:hAnchor="margin" w:xAlign="center" w:y="1"/>
    </w:pPr>
    <w:r>
      <w:fldChar w:fldCharType="begin"/>
    </w:r>
    <w:r>
      <w:instrText xml:space="preserve">PAGE  </w:instrText>
    </w:r>
    <w:r>
      <w:fldChar w:fldCharType="separate"/>
    </w:r>
    <w:r w:rsidR="00F91900">
      <w:rPr>
        <w:noProof/>
      </w:rPr>
      <w:t>147</w:t>
    </w:r>
    <w:r>
      <w:fldChar w:fldCharType="end"/>
    </w:r>
  </w:p>
  <w:p w:rsidR="00474D51" w:rsidRDefault="00474D51">
    <w:pPr>
      <w:suppressAutoHyphens/>
      <w:spacing w:line="227"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D51" w:rsidRDefault="00474D51">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E4B" w:rsidRDefault="00EF2E4B">
      <w:r>
        <w:separator/>
      </w:r>
    </w:p>
  </w:footnote>
  <w:footnote w:type="continuationSeparator" w:id="0">
    <w:p w:rsidR="00EF2E4B" w:rsidRDefault="00EF2E4B" w:rsidP="00C721AC">
      <w:pPr>
        <w:spacing w:before="120"/>
        <w:rPr>
          <w:sz w:val="20"/>
        </w:rPr>
      </w:pPr>
      <w:r>
        <w:rPr>
          <w:sz w:val="20"/>
        </w:rPr>
        <w:t xml:space="preserve">(Continued from previous page)  </w:t>
      </w:r>
      <w:r>
        <w:rPr>
          <w:sz w:val="20"/>
        </w:rPr>
        <w:separator/>
      </w:r>
    </w:p>
  </w:footnote>
  <w:footnote w:type="continuationNotice" w:id="1">
    <w:p w:rsidR="00EF2E4B" w:rsidRDefault="00EF2E4B" w:rsidP="00C721AC">
      <w:pPr>
        <w:jc w:val="right"/>
        <w:rPr>
          <w:sz w:val="20"/>
        </w:rPr>
      </w:pPr>
      <w:r>
        <w:rPr>
          <w:sz w:val="20"/>
        </w:rPr>
        <w:t>(continued…)</w:t>
      </w:r>
    </w:p>
  </w:footnote>
  <w:footnote w:id="2">
    <w:p w:rsidR="00474D51" w:rsidRPr="00516924" w:rsidRDefault="00474D51" w:rsidP="00324CD5">
      <w:pPr>
        <w:pStyle w:val="FootnoteText"/>
      </w:pPr>
      <w:r w:rsidRPr="00516924">
        <w:rPr>
          <w:rStyle w:val="FootnoteReference"/>
        </w:rPr>
        <w:footnoteRef/>
      </w:r>
      <w:r w:rsidRPr="00516924">
        <w:t xml:space="preserve"> Samuel D. Warren &amp; Louis D. Brandeis, </w:t>
      </w:r>
      <w:r w:rsidRPr="00516924">
        <w:rPr>
          <w:i/>
        </w:rPr>
        <w:t>The Right to Privacy</w:t>
      </w:r>
      <w:r w:rsidRPr="00516924">
        <w:t>, 4 Harv. L. Rev. 193, 195 (1890).</w:t>
      </w:r>
    </w:p>
  </w:footnote>
  <w:footnote w:id="3">
    <w:p w:rsidR="00474D51" w:rsidRPr="00516924" w:rsidRDefault="00474D51" w:rsidP="00324CD5">
      <w:pPr>
        <w:pStyle w:val="FootnoteText"/>
      </w:pPr>
      <w:r w:rsidRPr="00516924">
        <w:rPr>
          <w:rStyle w:val="FootnoteReference"/>
        </w:rPr>
        <w:footnoteRef/>
      </w:r>
      <w:r w:rsidRPr="00516924">
        <w:t xml:space="preserve"> Federal Trade Commission, Protecting Consumer Privacy in an </w:t>
      </w:r>
      <w:r>
        <w:t>E</w:t>
      </w:r>
      <w:r w:rsidRPr="00516924">
        <w:t>ra of Rapid Change:  Recommendations for Businesses and Policymakers at 56 (2012), https://www.ftc.gov/sites/default/files/documents/reports/federal-trade-commission-report-protecting-consumer-privacy-era-rapid-change-recommendations/120326privacyreport.pdf (</w:t>
      </w:r>
      <w:r>
        <w:t xml:space="preserve">2012 </w:t>
      </w:r>
      <w:r w:rsidRPr="00516924">
        <w:t>FTC</w:t>
      </w:r>
      <w:r>
        <w:t xml:space="preserve"> Privacy</w:t>
      </w:r>
      <w:r w:rsidRPr="00516924">
        <w:t xml:space="preserve"> Report).</w:t>
      </w:r>
    </w:p>
  </w:footnote>
  <w:footnote w:id="4">
    <w:p w:rsidR="00474D51" w:rsidRPr="00516924" w:rsidRDefault="00474D51" w:rsidP="00324CD5">
      <w:pPr>
        <w:pStyle w:val="FootnoteText"/>
      </w:pPr>
      <w:r w:rsidRPr="00516924">
        <w:rPr>
          <w:rStyle w:val="FootnoteReference"/>
        </w:rPr>
        <w:footnoteRef/>
      </w:r>
      <w:r w:rsidRPr="00516924">
        <w:t xml:space="preserve"> The FIPPs were first developed by the United States Department of Health, Education and Welfare 40 years ago in order to protect personal information contained within large data sets.  </w:t>
      </w:r>
      <w:r w:rsidRPr="00516924">
        <w:rPr>
          <w:i/>
        </w:rPr>
        <w:t xml:space="preserve">See </w:t>
      </w:r>
      <w:r w:rsidRPr="00516924">
        <w:rPr>
          <w:snapToGrid w:val="0"/>
        </w:rPr>
        <w:t xml:space="preserve">Suzanne M. Thompson, </w:t>
      </w:r>
      <w:r w:rsidRPr="00516924">
        <w:rPr>
          <w:i/>
          <w:iCs/>
          <w:snapToGrid w:val="0"/>
        </w:rPr>
        <w:t>The Digital Explosion Comes with a Cost: The Loss of Privacy</w:t>
      </w:r>
      <w:r w:rsidRPr="00516924">
        <w:rPr>
          <w:snapToGrid w:val="0"/>
        </w:rPr>
        <w:t>, 4 J. Tech L. &amp; Pol’y 3, 24-30 (Spring 1999)</w:t>
      </w:r>
      <w:r>
        <w:rPr>
          <w:snapToGrid w:val="0"/>
        </w:rPr>
        <w:t>; U.S. Dep’t of Health, Educ. and Welfare, Sec’y’s Advisory Comm. on Automated Data Sys., Records, Computers, and the Rights of Citizens (1973)</w:t>
      </w:r>
      <w:r w:rsidRPr="00516924">
        <w:rPr>
          <w:snapToGrid w:val="0"/>
        </w:rPr>
        <w:t>.</w:t>
      </w:r>
    </w:p>
  </w:footnote>
  <w:footnote w:id="5">
    <w:p w:rsidR="00474D51" w:rsidRPr="00516924" w:rsidRDefault="00474D51" w:rsidP="00324CD5">
      <w:pPr>
        <w:pStyle w:val="FootnoteText"/>
      </w:pPr>
      <w:r w:rsidRPr="00516924">
        <w:rPr>
          <w:rStyle w:val="FootnoteReference"/>
        </w:rPr>
        <w:footnoteRef/>
      </w:r>
      <w:r w:rsidRPr="00516924">
        <w:t xml:space="preserve"> Privacy Act of 1974, 5 U.S.C. § 552a.</w:t>
      </w:r>
    </w:p>
  </w:footnote>
  <w:footnote w:id="6">
    <w:p w:rsidR="00474D51" w:rsidRPr="00516924" w:rsidRDefault="00474D51" w:rsidP="00324CD5">
      <w:pPr>
        <w:pStyle w:val="FootnoteText"/>
      </w:pPr>
      <w:r w:rsidRPr="00516924">
        <w:rPr>
          <w:rStyle w:val="FootnoteReference"/>
        </w:rPr>
        <w:footnoteRef/>
      </w:r>
      <w:r w:rsidRPr="00516924">
        <w:t xml:space="preserve"> Video Privacy Protection Act of 1988, 18 U.S.C. § 2710.</w:t>
      </w:r>
    </w:p>
  </w:footnote>
  <w:footnote w:id="7">
    <w:p w:rsidR="00474D51" w:rsidRPr="00516924" w:rsidRDefault="00474D51" w:rsidP="00324CD5">
      <w:pPr>
        <w:pStyle w:val="FootnoteText"/>
      </w:pPr>
      <w:r w:rsidRPr="00516924">
        <w:rPr>
          <w:rStyle w:val="FootnoteReference"/>
        </w:rPr>
        <w:footnoteRef/>
      </w:r>
      <w:r w:rsidRPr="00516924">
        <w:t xml:space="preserve"> </w:t>
      </w:r>
      <w:r w:rsidRPr="00516924">
        <w:rPr>
          <w:i/>
        </w:rPr>
        <w:t>See</w:t>
      </w:r>
      <w:r w:rsidRPr="00516924">
        <w:t xml:space="preserve"> Pub. L. No. 104-191, 110 Stat. 1936 (1996) (HIPAA); 20 U.S.C. § 1232</w:t>
      </w:r>
      <w:r>
        <w:t>g</w:t>
      </w:r>
      <w:r w:rsidRPr="00516924">
        <w:t xml:space="preserve"> (Family Educational Rights and Privacy Protection Act); 15 U.S.C. §</w:t>
      </w:r>
      <w:r>
        <w:t>§</w:t>
      </w:r>
      <w:r w:rsidRPr="00516924">
        <w:t xml:space="preserve"> 680</w:t>
      </w:r>
      <w:r>
        <w:t>1-6809</w:t>
      </w:r>
      <w:r w:rsidRPr="00516924">
        <w:t xml:space="preserve"> (Gramm-Leach-Bliley Act).</w:t>
      </w:r>
    </w:p>
  </w:footnote>
  <w:footnote w:id="8">
    <w:p w:rsidR="00474D51" w:rsidRPr="00516924" w:rsidRDefault="00474D51" w:rsidP="00324CD5">
      <w:pPr>
        <w:pStyle w:val="FootnoteText"/>
      </w:pPr>
      <w:r w:rsidRPr="00516924">
        <w:rPr>
          <w:rStyle w:val="FootnoteReference"/>
        </w:rPr>
        <w:footnoteRef/>
      </w:r>
      <w:r w:rsidRPr="00516924">
        <w:t xml:space="preserve"> 47 U.S.C. § </w:t>
      </w:r>
      <w:r>
        <w:t>6</w:t>
      </w:r>
      <w:r w:rsidRPr="00516924">
        <w:t>05.</w:t>
      </w:r>
    </w:p>
  </w:footnote>
  <w:footnote w:id="9">
    <w:p w:rsidR="00474D51" w:rsidRPr="00516924" w:rsidRDefault="00474D51" w:rsidP="00324CD5">
      <w:pPr>
        <w:pStyle w:val="FootnoteText"/>
      </w:pPr>
      <w:r w:rsidRPr="00516924">
        <w:rPr>
          <w:rStyle w:val="FootnoteReference"/>
        </w:rPr>
        <w:footnoteRef/>
      </w:r>
      <w:r w:rsidRPr="00516924">
        <w:t xml:space="preserve"> </w:t>
      </w:r>
      <w:r w:rsidRPr="00516924">
        <w:rPr>
          <w:i/>
        </w:rPr>
        <w:t>See</w:t>
      </w:r>
      <w:r w:rsidRPr="00516924">
        <w:t xml:space="preserve"> 47 U.S.C. § 551.  </w:t>
      </w:r>
    </w:p>
  </w:footnote>
  <w:footnote w:id="10">
    <w:p w:rsidR="00474D51" w:rsidRPr="00516924" w:rsidRDefault="00474D51" w:rsidP="00324CD5">
      <w:pPr>
        <w:pStyle w:val="FootnoteText"/>
      </w:pPr>
      <w:r w:rsidRPr="00516924">
        <w:rPr>
          <w:rStyle w:val="FootnoteReference"/>
        </w:rPr>
        <w:footnoteRef/>
      </w:r>
      <w:r w:rsidRPr="00516924">
        <w:t xml:space="preserve"> </w:t>
      </w:r>
      <w:r w:rsidRPr="00516924">
        <w:rPr>
          <w:i/>
        </w:rPr>
        <w:t>See Amendment of Section 64.702 of the Commission’s Rules and Regulations</w:t>
      </w:r>
      <w:r w:rsidRPr="00516924">
        <w:t>, Final Order, 77 FCC 2d 384 (1980) (</w:t>
      </w:r>
      <w:r w:rsidRPr="00516924">
        <w:rPr>
          <w:i/>
        </w:rPr>
        <w:t>Computer II</w:t>
      </w:r>
      <w:r w:rsidRPr="00516924">
        <w:t xml:space="preserve">), </w:t>
      </w:r>
      <w:r w:rsidRPr="00516924">
        <w:rPr>
          <w:i/>
        </w:rPr>
        <w:t>recon.</w:t>
      </w:r>
      <w:r w:rsidRPr="00516924">
        <w:t xml:space="preserve">, 84 FCC 2d 50 (1980), </w:t>
      </w:r>
      <w:r w:rsidRPr="00516924">
        <w:rPr>
          <w:i/>
        </w:rPr>
        <w:t>further recon.</w:t>
      </w:r>
      <w:r w:rsidRPr="00516924">
        <w:t xml:space="preserve">, 88 FCC 2d 512 (1981), </w:t>
      </w:r>
      <w:r w:rsidRPr="00516924">
        <w:rPr>
          <w:i/>
        </w:rPr>
        <w:t>aff’d sub nom. Computer and Comm</w:t>
      </w:r>
      <w:r>
        <w:rPr>
          <w:i/>
        </w:rPr>
        <w:t>c’n</w:t>
      </w:r>
      <w:r w:rsidRPr="00516924">
        <w:rPr>
          <w:i/>
        </w:rPr>
        <w:t xml:space="preserve"> Indus</w:t>
      </w:r>
      <w:r>
        <w:rPr>
          <w:i/>
        </w:rPr>
        <w:t>.</w:t>
      </w:r>
      <w:r w:rsidRPr="00516924">
        <w:rPr>
          <w:i/>
        </w:rPr>
        <w:t xml:space="preserve"> Ass’n v. FCC</w:t>
      </w:r>
      <w:r w:rsidRPr="00516924">
        <w:t xml:space="preserve">, 693 F.2d 198 (D.C. Cir. 1982), </w:t>
      </w:r>
      <w:r w:rsidRPr="00516924">
        <w:rPr>
          <w:i/>
        </w:rPr>
        <w:t>cert. denied</w:t>
      </w:r>
      <w:r w:rsidRPr="00516924">
        <w:t xml:space="preserve">, 461 U.S. 938 (1983); </w:t>
      </w:r>
      <w:r w:rsidRPr="00516924">
        <w:rPr>
          <w:i/>
        </w:rPr>
        <w:t>Amendment of Section 64.702 of the Commission’s Rules and Regulations</w:t>
      </w:r>
      <w:r w:rsidRPr="00516924">
        <w:t xml:space="preserve">, Phase I, 104 FCC 2d 958 (1986); </w:t>
      </w:r>
      <w:r w:rsidRPr="00516924">
        <w:rPr>
          <w:i/>
        </w:rPr>
        <w:t>Application of Open Network Architecture and Nondiscrimination Safeguards to GTE Corp.</w:t>
      </w:r>
      <w:r w:rsidRPr="00516924">
        <w:t xml:space="preserve">, Report and Order, 9 FCC Rcd 4922, 4944-45, para. 45 (1994); </w:t>
      </w:r>
      <w:r w:rsidRPr="00516924">
        <w:rPr>
          <w:i/>
        </w:rPr>
        <w:t>Application of Open Network Architecture and Nondiscrimination Safeguards to GTE Corp.</w:t>
      </w:r>
      <w:r w:rsidRPr="00516924">
        <w:t>, Memorandum Opinion and Order, 11 FCC Rcd 13</w:t>
      </w:r>
      <w:r>
        <w:t>88, 1419-25, paras. 73-86 (1995</w:t>
      </w:r>
      <w:r w:rsidRPr="00516924">
        <w:t xml:space="preserve">); </w:t>
      </w:r>
      <w:r w:rsidRPr="00516924">
        <w:rPr>
          <w:i/>
        </w:rPr>
        <w:t>Furnishing of Customer Premises Equipment by Bell Operating Telephone Companies and the Independent Telephone Companies</w:t>
      </w:r>
      <w:r w:rsidRPr="00516924">
        <w:t xml:space="preserve">, Report and Order, 2 FCC Rcd 143 (1987), </w:t>
      </w:r>
      <w:r>
        <w:rPr>
          <w:i/>
        </w:rPr>
        <w:t>recon. o</w:t>
      </w:r>
      <w:r w:rsidRPr="00516924">
        <w:rPr>
          <w:i/>
        </w:rPr>
        <w:t>n other grounds</w:t>
      </w:r>
      <w:r w:rsidRPr="00516924">
        <w:t xml:space="preserve">, 3 FCC Rcd 22 (1987); </w:t>
      </w:r>
      <w:r w:rsidRPr="00516924">
        <w:rPr>
          <w:i/>
        </w:rPr>
        <w:t>aff’d</w:t>
      </w:r>
      <w:r w:rsidRPr="00516924">
        <w:t xml:space="preserve">, </w:t>
      </w:r>
      <w:r>
        <w:rPr>
          <w:i/>
        </w:rPr>
        <w:t>Ill. Bell Tel. Co. v. FCC</w:t>
      </w:r>
      <w:r>
        <w:t>,</w:t>
      </w:r>
      <w:r>
        <w:rPr>
          <w:i/>
        </w:rPr>
        <w:t xml:space="preserve"> </w:t>
      </w:r>
      <w:r w:rsidRPr="00516924">
        <w:t>883 F.2d 104 (D.C. Cir. 1989).</w:t>
      </w:r>
    </w:p>
  </w:footnote>
  <w:footnote w:id="11">
    <w:p w:rsidR="00474D51" w:rsidRPr="00516924" w:rsidRDefault="00474D51" w:rsidP="00324CD5">
      <w:pPr>
        <w:pStyle w:val="FootnoteText"/>
      </w:pPr>
      <w:r w:rsidRPr="00516924">
        <w:rPr>
          <w:rStyle w:val="FootnoteReference"/>
        </w:rPr>
        <w:footnoteRef/>
      </w:r>
      <w:r w:rsidRPr="00516924">
        <w:t xml:space="preserve"> </w:t>
      </w:r>
      <w:r w:rsidRPr="00516924">
        <w:rPr>
          <w:i/>
        </w:rPr>
        <w:t>See</w:t>
      </w:r>
      <w:r w:rsidRPr="00516924">
        <w:t xml:space="preserve"> 47 U.S.C. § 153(50).</w:t>
      </w:r>
    </w:p>
  </w:footnote>
  <w:footnote w:id="12">
    <w:p w:rsidR="00474D51" w:rsidRPr="00516924" w:rsidRDefault="00474D51" w:rsidP="00324CD5">
      <w:pPr>
        <w:pStyle w:val="FootnoteText"/>
      </w:pPr>
      <w:r w:rsidRPr="00516924">
        <w:rPr>
          <w:rStyle w:val="FootnoteReference"/>
        </w:rPr>
        <w:footnoteRef/>
      </w:r>
      <w:r w:rsidRPr="00516924">
        <w:t xml:space="preserve"> 47 U.S.C. § 222.</w:t>
      </w:r>
    </w:p>
  </w:footnote>
  <w:footnote w:id="13">
    <w:p w:rsidR="00474D51" w:rsidRPr="00516924" w:rsidRDefault="00474D51" w:rsidP="00324CD5">
      <w:pPr>
        <w:pStyle w:val="FootnoteText"/>
      </w:pPr>
      <w:r w:rsidRPr="00516924">
        <w:rPr>
          <w:rStyle w:val="FootnoteReference"/>
        </w:rPr>
        <w:footnoteRef/>
      </w:r>
      <w:r w:rsidRPr="00516924">
        <w:t xml:space="preserve"> 47 U.S.C. § 551.</w:t>
      </w:r>
    </w:p>
  </w:footnote>
  <w:footnote w:id="14">
    <w:p w:rsidR="00474D51" w:rsidRPr="00516924" w:rsidRDefault="00474D51" w:rsidP="00324CD5">
      <w:pPr>
        <w:pStyle w:val="FootnoteText"/>
      </w:pPr>
      <w:r w:rsidRPr="00516924">
        <w:rPr>
          <w:rStyle w:val="FootnoteReference"/>
        </w:rPr>
        <w:footnoteRef/>
      </w:r>
      <w:r w:rsidRPr="00516924">
        <w:t xml:space="preserve"> 47 U.S.C. § 338(i).</w:t>
      </w:r>
    </w:p>
  </w:footnote>
  <w:footnote w:id="15">
    <w:p w:rsidR="00474D51" w:rsidRPr="00516924" w:rsidRDefault="00474D51" w:rsidP="00324CD5">
      <w:pPr>
        <w:pStyle w:val="FootnoteText"/>
      </w:pPr>
      <w:r w:rsidRPr="00516924">
        <w:rPr>
          <w:rStyle w:val="FootnoteReference"/>
        </w:rPr>
        <w:footnoteRef/>
      </w:r>
      <w:r w:rsidRPr="00516924">
        <w:t xml:space="preserve"> </w:t>
      </w:r>
      <w:r w:rsidRPr="00516924">
        <w:rPr>
          <w:i/>
        </w:rPr>
        <w:t>See, e.g.</w:t>
      </w:r>
      <w:r w:rsidRPr="00516924">
        <w:t>,</w:t>
      </w:r>
      <w:r w:rsidRPr="00516924">
        <w:rPr>
          <w:i/>
        </w:rPr>
        <w:t xml:space="preserve"> Implementation of the Telecommunications Act of 1996: Telecommunications Carriers’ Use of Customer Proprietary Network Information and Other Customer Information; Implementation of the Non-Accounting Safeguards of Sections 271 and 272 of the Communications Act of 1934, as Amended</w:t>
      </w:r>
      <w:r w:rsidRPr="00516924">
        <w:t>, Second Report and Order and Further Notice of Proposed Rulemaking, 13 FCC Rcd 8061 (1998) (</w:t>
      </w:r>
      <w:r w:rsidRPr="00516924">
        <w:rPr>
          <w:i/>
        </w:rPr>
        <w:t>1998 CPNI Order</w:t>
      </w:r>
      <w:r w:rsidRPr="00516924">
        <w:t xml:space="preserve">); </w:t>
      </w:r>
      <w:r w:rsidRPr="00516924">
        <w:rPr>
          <w:i/>
        </w:rPr>
        <w:t>Implementation of the Telecommunications Act of 1996: Telecommunications Carriers’ Use of Customer Proprietary Network Information and Other Customer Information; Implementation of the Non-Accounting Safeguards of Sections 271 and 272 of the Communications Act of 1934, as Amended; 2000 Biennial Regulatory Review – Review of Policies and Rules Concerning Unauthorized Changes of Consumers’ Long Distance Carriers</w:t>
      </w:r>
      <w:r w:rsidRPr="00516924">
        <w:t>, Third Report and Order and Third Further Notice of Proposed Rulemaking, 17 FCC Rcd 14860 (2002) (</w:t>
      </w:r>
      <w:r w:rsidRPr="00516924">
        <w:rPr>
          <w:i/>
        </w:rPr>
        <w:t>2002 CPNI Order</w:t>
      </w:r>
      <w:r w:rsidRPr="00516924">
        <w:t xml:space="preserve">); </w:t>
      </w:r>
      <w:r w:rsidRPr="00516924">
        <w:rPr>
          <w:i/>
        </w:rPr>
        <w:t>Implementation of the Telecommunications Act of 1996: Telecommunications Carriers’ Use of Customer Proprietary Network Information and Other Customer Information; IP-Enabled Services</w:t>
      </w:r>
      <w:r w:rsidRPr="00516924">
        <w:t>, Report and Order and Further Notice of Proposed Rulemaking, 22 FCC Rcd 6927 (2007) (</w:t>
      </w:r>
      <w:r w:rsidRPr="00516924">
        <w:rPr>
          <w:i/>
        </w:rPr>
        <w:t>2007 CPNI Order</w:t>
      </w:r>
      <w:r w:rsidRPr="00516924">
        <w:t>).</w:t>
      </w:r>
    </w:p>
  </w:footnote>
  <w:footnote w:id="16">
    <w:p w:rsidR="00474D51" w:rsidRDefault="00474D51" w:rsidP="00324CD5">
      <w:pPr>
        <w:pStyle w:val="FootnoteText"/>
      </w:pPr>
      <w:r>
        <w:rPr>
          <w:rStyle w:val="FootnoteReference"/>
        </w:rPr>
        <w:footnoteRef/>
      </w:r>
      <w:r>
        <w:t xml:space="preserve"> </w:t>
      </w:r>
      <w:r w:rsidRPr="0061100A">
        <w:t xml:space="preserve">Where cable providers or telecommunications carriers have failed to meet these statutory requirements, the Commission has taken enforcement action to protect subscribers’ privacy and the security of their personal information.  </w:t>
      </w:r>
      <w:r w:rsidRPr="0061100A">
        <w:rPr>
          <w:i/>
        </w:rPr>
        <w:t>See Cellco P’ship d/b/a Verizon Wireless</w:t>
      </w:r>
      <w:r w:rsidRPr="0061100A">
        <w:t>, EB Docket No. 14-17601, Order and Consent Decree, DA 16-242 (Enf. Bur. March 7, 2016) (</w:t>
      </w:r>
      <w:r w:rsidRPr="0061100A">
        <w:rPr>
          <w:i/>
        </w:rPr>
        <w:t>Verizon UIDH Consent Decree</w:t>
      </w:r>
      <w:r w:rsidRPr="0061100A">
        <w:t xml:space="preserve">); </w:t>
      </w:r>
      <w:r w:rsidRPr="0061100A">
        <w:rPr>
          <w:i/>
        </w:rPr>
        <w:t>Cox Communications, Inc.</w:t>
      </w:r>
      <w:r w:rsidRPr="0061100A">
        <w:t>, Order</w:t>
      </w:r>
      <w:r>
        <w:t xml:space="preserve"> and Consent Decree, 30 FCC Rcd</w:t>
      </w:r>
      <w:r w:rsidRPr="0061100A">
        <w:t xml:space="preserve"> 12302 (Enf. Bur. 2015); </w:t>
      </w:r>
      <w:r w:rsidRPr="0061100A">
        <w:rPr>
          <w:i/>
        </w:rPr>
        <w:t>Terracom, Inc., &amp; Yourtel Am., Inc.</w:t>
      </w:r>
      <w:r w:rsidRPr="0061100A">
        <w:t xml:space="preserve">, Order and Consent Decree, 30 FCC Rcd. 7075 (Enf. Bur. 2015); </w:t>
      </w:r>
      <w:r w:rsidRPr="0061100A">
        <w:rPr>
          <w:i/>
        </w:rPr>
        <w:t>AT&amp;T Servs., Inc.</w:t>
      </w:r>
      <w:r w:rsidRPr="0061100A">
        <w:t xml:space="preserve">, Order and Consent Decree, 30 FCC Rcd 2808 (Enf. Bur. 2015); </w:t>
      </w:r>
      <w:r w:rsidRPr="0061100A">
        <w:rPr>
          <w:i/>
        </w:rPr>
        <w:t>Verizon Compliance with the Commission’s Rules &amp; Regulations Governing Customer Proprietary Network Info.</w:t>
      </w:r>
      <w:r w:rsidRPr="0061100A">
        <w:t>, Order and Consent Decree, 29 FCC Rcd 10303 (Enf. Bur. 2014).</w:t>
      </w:r>
    </w:p>
  </w:footnote>
  <w:footnote w:id="17">
    <w:p w:rsidR="00474D51" w:rsidRPr="00516924" w:rsidRDefault="00474D51" w:rsidP="00324CD5">
      <w:pPr>
        <w:pStyle w:val="FootnoteText"/>
      </w:pPr>
      <w:r w:rsidRPr="00516924">
        <w:rPr>
          <w:rStyle w:val="FootnoteReference"/>
        </w:rPr>
        <w:footnoteRef/>
      </w:r>
      <w:r w:rsidRPr="00516924">
        <w:t xml:space="preserve"> </w:t>
      </w:r>
      <w:r w:rsidRPr="00516924">
        <w:rPr>
          <w:i/>
        </w:rPr>
        <w:t>See 1998 CPNI Order</w:t>
      </w:r>
      <w:r w:rsidRPr="00516924">
        <w:t>, 13 FCC Rcd at 8157-58, para. 128.</w:t>
      </w:r>
    </w:p>
  </w:footnote>
  <w:footnote w:id="18">
    <w:p w:rsidR="00474D51" w:rsidRPr="00516924" w:rsidRDefault="00474D51" w:rsidP="00324CD5">
      <w:pPr>
        <w:pStyle w:val="FootnoteText"/>
      </w:pPr>
      <w:r w:rsidRPr="00516924">
        <w:rPr>
          <w:rStyle w:val="FootnoteReference"/>
        </w:rPr>
        <w:footnoteRef/>
      </w:r>
      <w:r w:rsidRPr="00516924">
        <w:t xml:space="preserve"> </w:t>
      </w:r>
      <w:r w:rsidRPr="00516924">
        <w:rPr>
          <w:i/>
        </w:rPr>
        <w:t>See 2007 CPNI Order</w:t>
      </w:r>
      <w:r w:rsidRPr="00516924">
        <w:t>, 22 FCC Rcd 6927.</w:t>
      </w:r>
    </w:p>
  </w:footnote>
  <w:footnote w:id="19">
    <w:p w:rsidR="00474D51" w:rsidRPr="00516924" w:rsidRDefault="00474D51" w:rsidP="00324CD5">
      <w:pPr>
        <w:pStyle w:val="FootnoteText"/>
      </w:pPr>
      <w:r w:rsidRPr="00516924">
        <w:rPr>
          <w:rStyle w:val="FootnoteReference"/>
        </w:rPr>
        <w:footnoteRef/>
      </w:r>
      <w:r w:rsidRPr="00516924">
        <w:t xml:space="preserve"> 15 U.S.C. § 45(a)(1).</w:t>
      </w:r>
    </w:p>
  </w:footnote>
  <w:footnote w:id="20">
    <w:p w:rsidR="00474D51" w:rsidRPr="00516924" w:rsidRDefault="00474D51" w:rsidP="00324CD5">
      <w:pPr>
        <w:pStyle w:val="FootnoteText"/>
      </w:pPr>
      <w:r w:rsidRPr="00516924">
        <w:rPr>
          <w:rStyle w:val="FootnoteReference"/>
        </w:rPr>
        <w:footnoteRef/>
      </w:r>
      <w:r w:rsidRPr="00516924">
        <w:t xml:space="preserve"> </w:t>
      </w:r>
      <w:r w:rsidRPr="00516924">
        <w:rPr>
          <w:i/>
        </w:rPr>
        <w:t xml:space="preserve">See </w:t>
      </w:r>
      <w:r>
        <w:rPr>
          <w:i/>
        </w:rPr>
        <w:t>Facebook, Inc.</w:t>
      </w:r>
      <w:r>
        <w:t>,</w:t>
      </w:r>
      <w:r>
        <w:rPr>
          <w:i/>
        </w:rPr>
        <w:t xml:space="preserve"> </w:t>
      </w:r>
      <w:r w:rsidRPr="00516924">
        <w:t xml:space="preserve">Complaint, </w:t>
      </w:r>
      <w:r>
        <w:t xml:space="preserve">F.T.C. File No. 092-3184 </w:t>
      </w:r>
      <w:r w:rsidRPr="00516924">
        <w:t>(201</w:t>
      </w:r>
      <w:r>
        <w:t>2</w:t>
      </w:r>
      <w:r w:rsidRPr="00516924">
        <w:t xml:space="preserve">), </w:t>
      </w:r>
      <w:r w:rsidRPr="005A02C3">
        <w:t>https://www.ftc.gov/enforcement/cases-proceedings/092-3184/facebook-inc</w:t>
      </w:r>
      <w:r w:rsidRPr="00516924">
        <w:t>;</w:t>
      </w:r>
      <w:r>
        <w:t xml:space="preserve"> </w:t>
      </w:r>
      <w:r>
        <w:rPr>
          <w:i/>
        </w:rPr>
        <w:t>Facebook, Inc.</w:t>
      </w:r>
      <w:r>
        <w:t xml:space="preserve">, Decision and Order, F.T.C. File No. 092-3184 (2012), </w:t>
      </w:r>
      <w:hyperlink r:id="rId1" w:history="1">
        <w:r w:rsidRPr="00C65988">
          <w:rPr>
            <w:rStyle w:val="Hyperlink"/>
          </w:rPr>
          <w:t>https://www.ftc.gov/enforcement/cases-proceedings/092-3184/facebook-inc</w:t>
        </w:r>
      </w:hyperlink>
      <w:r>
        <w:t xml:space="preserve"> (</w:t>
      </w:r>
      <w:r>
        <w:rPr>
          <w:i/>
        </w:rPr>
        <w:t>Facebook Consent Order</w:t>
      </w:r>
      <w:r>
        <w:t xml:space="preserve">); </w:t>
      </w:r>
      <w:r>
        <w:rPr>
          <w:i/>
        </w:rPr>
        <w:t>Google, Inc.</w:t>
      </w:r>
      <w:r>
        <w:t>,</w:t>
      </w:r>
      <w:r w:rsidRPr="00516924">
        <w:t xml:space="preserve"> Complaint, </w:t>
      </w:r>
      <w:r>
        <w:t>F.T.C. File No. 102-3136</w:t>
      </w:r>
      <w:r w:rsidRPr="00516924">
        <w:t xml:space="preserve"> (2011), </w:t>
      </w:r>
      <w:r w:rsidRPr="005A02C3">
        <w:t>https://www.ftc.gov/enforcement/cases-proceedings/102-3136/google-inc-matter</w:t>
      </w:r>
      <w:r w:rsidRPr="00516924">
        <w:t>;</w:t>
      </w:r>
      <w:r>
        <w:t xml:space="preserve"> </w:t>
      </w:r>
      <w:r>
        <w:rPr>
          <w:i/>
        </w:rPr>
        <w:t>Google, Inc.</w:t>
      </w:r>
      <w:r>
        <w:t xml:space="preserve">, Decision and Order, F.T.C. File No. 102-3136 (2011), </w:t>
      </w:r>
      <w:hyperlink r:id="rId2" w:history="1">
        <w:r w:rsidRPr="00C65988">
          <w:rPr>
            <w:rStyle w:val="Hyperlink"/>
          </w:rPr>
          <w:t>https://www.ftc.gov/enforcement/cases-proceedings/102-3136/google-inc-matter</w:t>
        </w:r>
      </w:hyperlink>
      <w:r>
        <w:t xml:space="preserve"> (</w:t>
      </w:r>
      <w:r>
        <w:rPr>
          <w:i/>
        </w:rPr>
        <w:t>Google Consent Order</w:t>
      </w:r>
      <w:r>
        <w:t>).</w:t>
      </w:r>
      <w:r w:rsidRPr="00516924">
        <w:t xml:space="preserve"> </w:t>
      </w:r>
      <w:r>
        <w:t xml:space="preserve"> </w:t>
      </w:r>
      <w:r>
        <w:rPr>
          <w:i/>
        </w:rPr>
        <w:t>S</w:t>
      </w:r>
      <w:r w:rsidRPr="00516924">
        <w:rPr>
          <w:i/>
        </w:rPr>
        <w:t>ee also</w:t>
      </w:r>
      <w:r>
        <w:rPr>
          <w:i/>
        </w:rPr>
        <w:t xml:space="preserve"> GeoCities</w:t>
      </w:r>
      <w:r>
        <w:t>,</w:t>
      </w:r>
      <w:r w:rsidRPr="00516924">
        <w:rPr>
          <w:i/>
        </w:rPr>
        <w:t xml:space="preserve"> </w:t>
      </w:r>
      <w:r w:rsidRPr="00516924">
        <w:t xml:space="preserve">Complaint, </w:t>
      </w:r>
      <w:r>
        <w:t>F.T.C. File No. 982-3015</w:t>
      </w:r>
      <w:r w:rsidRPr="00516924">
        <w:t xml:space="preserve"> (1999), </w:t>
      </w:r>
      <w:r w:rsidRPr="005A02C3">
        <w:t>https://www.ftc.gov/enforcement/cases-proceedings/982-3015/geocities</w:t>
      </w:r>
      <w:r w:rsidRPr="00516924">
        <w:t xml:space="preserve">; </w:t>
      </w:r>
      <w:r>
        <w:rPr>
          <w:i/>
        </w:rPr>
        <w:t>GeoCities</w:t>
      </w:r>
      <w:r>
        <w:t>,</w:t>
      </w:r>
      <w:r w:rsidRPr="00516924">
        <w:rPr>
          <w:i/>
        </w:rPr>
        <w:t xml:space="preserve"> </w:t>
      </w:r>
      <w:r>
        <w:t>Decision and Order</w:t>
      </w:r>
      <w:r w:rsidRPr="00516924">
        <w:t xml:space="preserve">, </w:t>
      </w:r>
      <w:r>
        <w:t>F.T.C. File No. 982-3015</w:t>
      </w:r>
      <w:r w:rsidRPr="00516924">
        <w:t xml:space="preserve"> (1999), </w:t>
      </w:r>
      <w:r w:rsidRPr="005A02C3">
        <w:t>https://www.ftc.gov/enforcement/cases-proceedings/982-3015/geocities</w:t>
      </w:r>
      <w:r>
        <w:t xml:space="preserve">; </w:t>
      </w:r>
      <w:r>
        <w:rPr>
          <w:i/>
        </w:rPr>
        <w:t>Snapchat, Inc.</w:t>
      </w:r>
      <w:r>
        <w:t>,</w:t>
      </w:r>
      <w:r w:rsidRPr="00516924">
        <w:t xml:space="preserve"> Complaint, </w:t>
      </w:r>
      <w:r>
        <w:t>F.T.C. File No. 132-3078</w:t>
      </w:r>
      <w:r w:rsidRPr="00516924">
        <w:t xml:space="preserve"> (2014), </w:t>
      </w:r>
      <w:r w:rsidRPr="005A02C3">
        <w:t>https://www.ftc.gov/enforcement/cases-proceedings/132-3078/snapchat-inc-matter</w:t>
      </w:r>
      <w:r>
        <w:t xml:space="preserve">; </w:t>
      </w:r>
      <w:r>
        <w:rPr>
          <w:i/>
        </w:rPr>
        <w:t>Snapchat, Inc.</w:t>
      </w:r>
      <w:r>
        <w:t>,</w:t>
      </w:r>
      <w:r w:rsidRPr="00516924">
        <w:t xml:space="preserve"> </w:t>
      </w:r>
      <w:r>
        <w:t>Decision and Order</w:t>
      </w:r>
      <w:r w:rsidRPr="00516924">
        <w:t xml:space="preserve">, </w:t>
      </w:r>
      <w:r>
        <w:t>F.T.C. File No. 132-3078</w:t>
      </w:r>
      <w:r w:rsidRPr="00516924">
        <w:t xml:space="preserve"> (2014), </w:t>
      </w:r>
      <w:r w:rsidRPr="005A02C3">
        <w:t>https://www.ftc.gov/enforcement/cases-proceedings/132-3078/snapchat-inc-matter</w:t>
      </w:r>
      <w:r>
        <w:t>.</w:t>
      </w:r>
    </w:p>
  </w:footnote>
  <w:footnote w:id="21">
    <w:p w:rsidR="00474D51" w:rsidRDefault="00474D51" w:rsidP="00324CD5">
      <w:pPr>
        <w:pStyle w:val="FootnoteText"/>
      </w:pPr>
      <w:r>
        <w:rPr>
          <w:rStyle w:val="FootnoteReference"/>
        </w:rPr>
        <w:footnoteRef/>
      </w:r>
      <w:r>
        <w:t xml:space="preserve"> </w:t>
      </w:r>
      <w:r w:rsidRPr="00516924">
        <w:rPr>
          <w:i/>
        </w:rPr>
        <w:t xml:space="preserve">See </w:t>
      </w:r>
      <w:r>
        <w:rPr>
          <w:i/>
        </w:rPr>
        <w:t>Facebook, Inc.</w:t>
      </w:r>
      <w:r>
        <w:t>,</w:t>
      </w:r>
      <w:r>
        <w:rPr>
          <w:i/>
        </w:rPr>
        <w:t xml:space="preserve"> </w:t>
      </w:r>
      <w:r w:rsidRPr="00516924">
        <w:t xml:space="preserve">Complaint, </w:t>
      </w:r>
      <w:r>
        <w:t xml:space="preserve">F.T.C. File No. 092-3184 </w:t>
      </w:r>
      <w:r w:rsidRPr="00516924">
        <w:t>(201</w:t>
      </w:r>
      <w:r>
        <w:t>2</w:t>
      </w:r>
      <w:r w:rsidRPr="00516924">
        <w:t xml:space="preserve">), </w:t>
      </w:r>
      <w:r w:rsidRPr="005A02C3">
        <w:t>https://www.ftc.gov/enforcement/cases-proceedings/092-3184/facebook-inc</w:t>
      </w:r>
      <w:r>
        <w:t>.</w:t>
      </w:r>
    </w:p>
  </w:footnote>
  <w:footnote w:id="22">
    <w:p w:rsidR="00474D51" w:rsidRPr="00516924" w:rsidRDefault="00474D51" w:rsidP="00324CD5">
      <w:pPr>
        <w:pStyle w:val="FootnoteText"/>
      </w:pPr>
      <w:r w:rsidRPr="00516924">
        <w:rPr>
          <w:rStyle w:val="FootnoteReference"/>
        </w:rPr>
        <w:footnoteRef/>
      </w:r>
      <w:r w:rsidRPr="00516924">
        <w:t xml:space="preserve"> </w:t>
      </w:r>
      <w:r>
        <w:rPr>
          <w:i/>
        </w:rPr>
        <w:t>BJ’s Wholesale Club, Inc.</w:t>
      </w:r>
      <w:r>
        <w:t>,</w:t>
      </w:r>
      <w:r>
        <w:rPr>
          <w:i/>
        </w:rPr>
        <w:t xml:space="preserve"> </w:t>
      </w:r>
      <w:r w:rsidRPr="00516924">
        <w:t xml:space="preserve">Complaint, </w:t>
      </w:r>
      <w:r>
        <w:t>F.T.C. File No. 042-3160</w:t>
      </w:r>
      <w:r w:rsidRPr="00516924">
        <w:t xml:space="preserve"> (2005), </w:t>
      </w:r>
      <w:r w:rsidRPr="000812A8">
        <w:t>https://www.ftc.gov/enforcement/cases-proceedings/042-3160/bjs-wholesale-club-inc-matter</w:t>
      </w:r>
      <w:r w:rsidRPr="00516924">
        <w:t xml:space="preserve">; </w:t>
      </w:r>
      <w:r>
        <w:rPr>
          <w:i/>
        </w:rPr>
        <w:t>BJ’s Wholesale Club, Inc.</w:t>
      </w:r>
      <w:r>
        <w:t>,</w:t>
      </w:r>
      <w:r>
        <w:rPr>
          <w:i/>
        </w:rPr>
        <w:t xml:space="preserve"> </w:t>
      </w:r>
      <w:r>
        <w:t>Decision and Order</w:t>
      </w:r>
      <w:r w:rsidRPr="00516924">
        <w:t xml:space="preserve">, </w:t>
      </w:r>
      <w:r>
        <w:t>F.T.C. File No. 042-3160</w:t>
      </w:r>
      <w:r w:rsidRPr="00516924">
        <w:t xml:space="preserve"> (2005), </w:t>
      </w:r>
      <w:hyperlink r:id="rId3" w:history="1">
        <w:r w:rsidRPr="00C65988">
          <w:rPr>
            <w:rStyle w:val="Hyperlink"/>
          </w:rPr>
          <w:t>https://www.ftc.gov/enforcement/cases-proceedings/042-3160/bjs-wholesale-club-inc-matter</w:t>
        </w:r>
      </w:hyperlink>
      <w:r>
        <w:t xml:space="preserve">.  </w:t>
      </w:r>
      <w:r>
        <w:rPr>
          <w:i/>
        </w:rPr>
        <w:t>S</w:t>
      </w:r>
      <w:r w:rsidRPr="00516924">
        <w:rPr>
          <w:i/>
        </w:rPr>
        <w:t>ee also</w:t>
      </w:r>
      <w:r>
        <w:rPr>
          <w:i/>
        </w:rPr>
        <w:t xml:space="preserve"> DSW, Inc.</w:t>
      </w:r>
      <w:r>
        <w:t>,</w:t>
      </w:r>
      <w:r w:rsidRPr="00516924">
        <w:t xml:space="preserve"> Complaint, </w:t>
      </w:r>
      <w:r>
        <w:t>F.T.C. File No. 052-3096</w:t>
      </w:r>
      <w:r w:rsidRPr="00516924">
        <w:t xml:space="preserve"> (2006), </w:t>
      </w:r>
      <w:hyperlink r:id="rId4" w:history="1">
        <w:r w:rsidRPr="00472B13">
          <w:rPr>
            <w:rStyle w:val="Hyperlink"/>
          </w:rPr>
          <w:t>https://www.ftc.gov/enforcement/cases-proceedings/052-3096/dsw-incin-matter</w:t>
        </w:r>
      </w:hyperlink>
      <w:r>
        <w:t xml:space="preserve">; </w:t>
      </w:r>
      <w:r>
        <w:rPr>
          <w:i/>
        </w:rPr>
        <w:t>DSW, Inc.</w:t>
      </w:r>
      <w:r>
        <w:t>,</w:t>
      </w:r>
      <w:r w:rsidRPr="00516924">
        <w:t xml:space="preserve"> </w:t>
      </w:r>
      <w:r>
        <w:t>Decision and Order</w:t>
      </w:r>
      <w:r w:rsidRPr="00516924">
        <w:t xml:space="preserve">, </w:t>
      </w:r>
      <w:r>
        <w:t>F.T.C. File No. 052-3096</w:t>
      </w:r>
      <w:r w:rsidRPr="00516924">
        <w:t xml:space="preserve"> (2006), </w:t>
      </w:r>
      <w:r w:rsidRPr="00B606C7">
        <w:t>https://www.ftc.gov/enforcement/cases-proceedings/052-3096/dsw-incin-matter</w:t>
      </w:r>
      <w:r w:rsidRPr="00516924">
        <w:t>.</w:t>
      </w:r>
    </w:p>
  </w:footnote>
  <w:footnote w:id="23">
    <w:p w:rsidR="00474D51" w:rsidRDefault="00474D51" w:rsidP="00324CD5">
      <w:pPr>
        <w:pStyle w:val="FootnoteText"/>
      </w:pPr>
      <w:r>
        <w:rPr>
          <w:rStyle w:val="FootnoteReference"/>
        </w:rPr>
        <w:footnoteRef/>
      </w:r>
      <w:r>
        <w:t xml:space="preserve"> </w:t>
      </w:r>
      <w:r w:rsidRPr="00516924">
        <w:rPr>
          <w:i/>
        </w:rPr>
        <w:t xml:space="preserve">See </w:t>
      </w:r>
      <w:r w:rsidRPr="00516924">
        <w:t>FCC-FTC Consumer Protection Memorandum of Understanding (2015)</w:t>
      </w:r>
      <w:r>
        <w:t xml:space="preserve">, </w:t>
      </w:r>
      <w:r w:rsidRPr="00516924">
        <w:t>https://apps.fcc.gov/edocs_public/attachmatch/DOC-336405A1.pdf.</w:t>
      </w:r>
    </w:p>
  </w:footnote>
  <w:footnote w:id="24">
    <w:p w:rsidR="00474D51" w:rsidRDefault="00474D51" w:rsidP="00324CD5">
      <w:pPr>
        <w:pStyle w:val="FootnoteText"/>
      </w:pPr>
      <w:r>
        <w:rPr>
          <w:rStyle w:val="FootnoteReference"/>
        </w:rPr>
        <w:footnoteRef/>
      </w:r>
      <w:r>
        <w:t xml:space="preserve"> </w:t>
      </w:r>
      <w:r>
        <w:rPr>
          <w:i/>
        </w:rPr>
        <w:t>See, e.g.</w:t>
      </w:r>
      <w:r>
        <w:t xml:space="preserve">, </w:t>
      </w:r>
      <w:r>
        <w:rPr>
          <w:i/>
        </w:rPr>
        <w:t xml:space="preserve">infra </w:t>
      </w:r>
      <w:r>
        <w:t xml:space="preserve">para. </w:t>
      </w:r>
      <w:r>
        <w:fldChar w:fldCharType="begin"/>
      </w:r>
      <w:r>
        <w:instrText xml:space="preserve"> REF _Ref445303720 \r \h </w:instrText>
      </w:r>
      <w:r>
        <w:fldChar w:fldCharType="separate"/>
      </w:r>
      <w:r w:rsidR="00327397">
        <w:t>83</w:t>
      </w:r>
      <w:r>
        <w:fldChar w:fldCharType="end"/>
      </w:r>
      <w:r>
        <w:t xml:space="preserve"> (discussing FTC transparency principles); para. </w:t>
      </w:r>
      <w:fldSimple w:instr=" REF _Ref445303574 \r ">
        <w:r w:rsidR="00327397">
          <w:t>122</w:t>
        </w:r>
      </w:fldSimple>
      <w:r>
        <w:t xml:space="preserve"> (discussing FTC best practices for consumer choice); para. </w:t>
      </w:r>
      <w:fldSimple w:instr=" REF _Ref445303640 \r ">
        <w:r w:rsidR="00327397">
          <w:t>168</w:t>
        </w:r>
      </w:fldSimple>
      <w:r>
        <w:t xml:space="preserve"> (discussing FTC best practices guidance for data security).</w:t>
      </w:r>
    </w:p>
  </w:footnote>
  <w:footnote w:id="25">
    <w:p w:rsidR="00474D51" w:rsidRDefault="00474D51" w:rsidP="00324CD5">
      <w:pPr>
        <w:pStyle w:val="FootnoteText"/>
      </w:pPr>
      <w:r>
        <w:rPr>
          <w:rStyle w:val="FootnoteReference"/>
        </w:rPr>
        <w:footnoteRef/>
      </w:r>
      <w:r>
        <w:t xml:space="preserve"> </w:t>
      </w:r>
      <w:r>
        <w:rPr>
          <w:i/>
        </w:rPr>
        <w:t>See, e.g.</w:t>
      </w:r>
      <w:r>
        <w:t xml:space="preserve">, </w:t>
      </w:r>
      <w:r>
        <w:rPr>
          <w:i/>
        </w:rPr>
        <w:t>infra</w:t>
      </w:r>
      <w:r>
        <w:t xml:space="preserve"> para. </w:t>
      </w:r>
      <w:fldSimple w:instr=" REF _Ref445303720 \r ">
        <w:r w:rsidR="00327397">
          <w:t>83</w:t>
        </w:r>
      </w:fldSimple>
      <w:r>
        <w:t xml:space="preserve"> (discussing, </w:t>
      </w:r>
      <w:r>
        <w:rPr>
          <w:i/>
        </w:rPr>
        <w:t>inter alia</w:t>
      </w:r>
      <w:r>
        <w:t xml:space="preserve">, transparency provisions in the HIPAA Privacy Rule and the California Online Privacy Protection Act); para. </w:t>
      </w:r>
      <w:fldSimple w:instr=" REF _Ref445303908 \r ">
        <w:r w:rsidR="00327397">
          <w:t>131</w:t>
        </w:r>
      </w:fldSimple>
      <w:r>
        <w:t xml:space="preserve"> (discussing state laws pertaining to customer choice); para. </w:t>
      </w:r>
      <w:fldSimple w:instr=" REF _Ref445303984 \r ">
        <w:r w:rsidR="00327397">
          <w:t>171</w:t>
        </w:r>
      </w:fldSimple>
      <w:r>
        <w:t xml:space="preserve"> (discussing data security under, </w:t>
      </w:r>
      <w:r>
        <w:rPr>
          <w:i/>
        </w:rPr>
        <w:t>inter alia</w:t>
      </w:r>
      <w:r>
        <w:t xml:space="preserve">, the Satellite and Cable Privacy Acts and the Gramm-Leach-Bliley Act). </w:t>
      </w:r>
    </w:p>
  </w:footnote>
  <w:footnote w:id="26">
    <w:p w:rsidR="00474D51" w:rsidRDefault="00474D51" w:rsidP="00324CD5">
      <w:pPr>
        <w:pStyle w:val="FootnoteText"/>
      </w:pPr>
      <w:r>
        <w:rPr>
          <w:rStyle w:val="FootnoteReference"/>
        </w:rPr>
        <w:footnoteRef/>
      </w:r>
      <w:r>
        <w:t xml:space="preserve"> </w:t>
      </w:r>
      <w:r>
        <w:rPr>
          <w:i/>
        </w:rPr>
        <w:t>See, e.g.</w:t>
      </w:r>
      <w:r>
        <w:t xml:space="preserve">, </w:t>
      </w:r>
      <w:r>
        <w:rPr>
          <w:i/>
        </w:rPr>
        <w:t>infra</w:t>
      </w:r>
      <w:r>
        <w:t xml:space="preserve"> para. </w:t>
      </w:r>
      <w:fldSimple w:instr=" REF _Ref445303243 \r ">
        <w:r w:rsidR="00327397">
          <w:t>132</w:t>
        </w:r>
      </w:fldSimple>
      <w:r>
        <w:t xml:space="preserve"> (discussing industry guidelines on obtaining consent before sharing sensitive information); para. </w:t>
      </w:r>
      <w:fldSimple w:instr=" REF _Ref445304572 \r ">
        <w:r w:rsidR="00327397">
          <w:t>189</w:t>
        </w:r>
      </w:fldSimple>
      <w:r>
        <w:t xml:space="preserve"> (discussing current practices in corporate oversight of data security).</w:t>
      </w:r>
    </w:p>
  </w:footnote>
  <w:footnote w:id="27">
    <w:p w:rsidR="00474D51" w:rsidRPr="00516924" w:rsidRDefault="00474D51" w:rsidP="00324CD5">
      <w:pPr>
        <w:pStyle w:val="FootnoteText"/>
      </w:pPr>
      <w:r w:rsidRPr="00516924">
        <w:rPr>
          <w:rStyle w:val="FootnoteReference"/>
        </w:rPr>
        <w:footnoteRef/>
      </w:r>
      <w:r w:rsidRPr="00516924">
        <w:t xml:space="preserve"> In the </w:t>
      </w:r>
      <w:r w:rsidRPr="00516924">
        <w:rPr>
          <w:i/>
        </w:rPr>
        <w:t>2015 Open Internet Order</w:t>
      </w:r>
      <w:r w:rsidRPr="00516924">
        <w:t xml:space="preserve">, in which the Commission chose to apply Section 222 to BIAS, the Commission rejected the contention that its Order would harm broadband network investment.  </w:t>
      </w:r>
      <w:r w:rsidRPr="00516924">
        <w:rPr>
          <w:i/>
        </w:rPr>
        <w:t>See Protecting and Promoting the Open Internet</w:t>
      </w:r>
      <w:r w:rsidRPr="00516924">
        <w:t>, Report and Order on Remand, Declaratory Ruling, and Order, 30 FCC Rcd 5601, 5791-98, paras. 411-20 (2015) (</w:t>
      </w:r>
      <w:r w:rsidRPr="00516924">
        <w:rPr>
          <w:i/>
        </w:rPr>
        <w:t>2015 Open Internet Order</w:t>
      </w:r>
      <w:r w:rsidRPr="00516924">
        <w:t>).</w:t>
      </w:r>
    </w:p>
  </w:footnote>
  <w:footnote w:id="28">
    <w:p w:rsidR="00474D51" w:rsidRPr="00516924" w:rsidRDefault="00474D51" w:rsidP="00324CD5">
      <w:pPr>
        <w:pStyle w:val="FootnoteText"/>
      </w:pPr>
      <w:r w:rsidRPr="00516924">
        <w:rPr>
          <w:rStyle w:val="FootnoteReference"/>
        </w:rPr>
        <w:footnoteRef/>
      </w:r>
      <w:r w:rsidRPr="00516924">
        <w:t xml:space="preserve"> </w:t>
      </w:r>
      <w:r w:rsidRPr="00516924">
        <w:rPr>
          <w:i/>
        </w:rPr>
        <w:t xml:space="preserve">See </w:t>
      </w:r>
      <w:r>
        <w:rPr>
          <w:i/>
        </w:rPr>
        <w:t>id.</w:t>
      </w:r>
      <w:r w:rsidRPr="00516924">
        <w:t xml:space="preserve"> at 5793-94, para. 414.</w:t>
      </w:r>
    </w:p>
  </w:footnote>
  <w:footnote w:id="29">
    <w:p w:rsidR="00474D51" w:rsidRPr="00516924" w:rsidRDefault="00474D51" w:rsidP="00324CD5">
      <w:pPr>
        <w:pStyle w:val="FootnoteText"/>
      </w:pPr>
      <w:r w:rsidRPr="00516924">
        <w:rPr>
          <w:rStyle w:val="FootnoteReference"/>
        </w:rPr>
        <w:footnoteRef/>
      </w:r>
      <w:r w:rsidRPr="00516924">
        <w:t xml:space="preserve"> </w:t>
      </w:r>
      <w:r w:rsidRPr="00516924">
        <w:rPr>
          <w:i/>
        </w:rPr>
        <w:t xml:space="preserve">See </w:t>
      </w:r>
      <w:r>
        <w:rPr>
          <w:i/>
        </w:rPr>
        <w:t>id.</w:t>
      </w:r>
      <w:r w:rsidRPr="00516924">
        <w:rPr>
          <w:i/>
        </w:rPr>
        <w:t xml:space="preserve"> </w:t>
      </w:r>
      <w:r w:rsidRPr="00516924">
        <w:t>at 5821, para. 464.</w:t>
      </w:r>
    </w:p>
  </w:footnote>
  <w:footnote w:id="30">
    <w:p w:rsidR="00474D51" w:rsidRPr="00516924" w:rsidRDefault="00474D51" w:rsidP="00324CD5">
      <w:pPr>
        <w:pStyle w:val="FootnoteText"/>
      </w:pPr>
      <w:r w:rsidRPr="00516924">
        <w:rPr>
          <w:rStyle w:val="FootnoteReference"/>
        </w:rPr>
        <w:footnoteRef/>
      </w:r>
      <w:r w:rsidRPr="00516924">
        <w:t xml:space="preserve"> </w:t>
      </w:r>
      <w:r w:rsidRPr="00516924">
        <w:rPr>
          <w:i/>
        </w:rPr>
        <w:t xml:space="preserve">See </w:t>
      </w:r>
      <w:r w:rsidRPr="00516924">
        <w:t xml:space="preserve">H.R. Conf. Rep. No. 104-458 at 203-05 (1996), </w:t>
      </w:r>
      <w:r w:rsidRPr="00516924">
        <w:rPr>
          <w:i/>
        </w:rPr>
        <w:t>reprinted in</w:t>
      </w:r>
      <w:r w:rsidRPr="00516924">
        <w:t xml:space="preserve"> 1996 U.S.C.C.A.N. 10, 218-19.</w:t>
      </w:r>
    </w:p>
  </w:footnote>
  <w:footnote w:id="31">
    <w:p w:rsidR="00474D51" w:rsidRPr="00516924" w:rsidRDefault="00474D51" w:rsidP="00324CD5">
      <w:pPr>
        <w:pStyle w:val="FootnoteText"/>
      </w:pPr>
      <w:r w:rsidRPr="00516924">
        <w:rPr>
          <w:rStyle w:val="FootnoteReference"/>
        </w:rPr>
        <w:footnoteRef/>
      </w:r>
      <w:r w:rsidRPr="00516924">
        <w:t xml:space="preserve"> </w:t>
      </w:r>
      <w:r w:rsidRPr="00516924">
        <w:rPr>
          <w:i/>
        </w:rPr>
        <w:t>See, e.g.</w:t>
      </w:r>
      <w:r w:rsidRPr="00516924">
        <w:t xml:space="preserve">, </w:t>
      </w:r>
      <w:r w:rsidRPr="00516924">
        <w:rPr>
          <w:i/>
        </w:rPr>
        <w:t>U.S. West, Inc. v. FCC</w:t>
      </w:r>
      <w:r w:rsidRPr="00516924">
        <w:t xml:space="preserve">, 182 F.3d 1224, 1236-37 (10th Cir. 1999) (concluding, </w:t>
      </w:r>
      <w:r w:rsidRPr="00516924">
        <w:rPr>
          <w:i/>
        </w:rPr>
        <w:t>inter alia</w:t>
      </w:r>
      <w:r w:rsidRPr="00516924">
        <w:t xml:space="preserve">, “that Congress’ primary purpose in enacting § 222 was concern for customer privacy”); </w:t>
      </w:r>
      <w:r w:rsidRPr="00516924">
        <w:rPr>
          <w:i/>
        </w:rPr>
        <w:t>1998 CPNI Order</w:t>
      </w:r>
      <w:r w:rsidRPr="00516924">
        <w:t>, 13 FCC Rcd at 8064, para. 1.</w:t>
      </w:r>
    </w:p>
  </w:footnote>
  <w:footnote w:id="32">
    <w:p w:rsidR="00474D51" w:rsidRPr="00516924" w:rsidRDefault="00474D51" w:rsidP="00324CD5">
      <w:pPr>
        <w:pStyle w:val="FootnoteText"/>
      </w:pPr>
      <w:r w:rsidRPr="00516924">
        <w:rPr>
          <w:rStyle w:val="FootnoteReference"/>
        </w:rPr>
        <w:footnoteRef/>
      </w:r>
      <w:r w:rsidRPr="00516924">
        <w:t xml:space="preserve"> </w:t>
      </w:r>
      <w:r w:rsidRPr="00516924">
        <w:rPr>
          <w:i/>
        </w:rPr>
        <w:t>See, e.g.</w:t>
      </w:r>
      <w:r w:rsidRPr="00516924">
        <w:t xml:space="preserve">, </w:t>
      </w:r>
      <w:r w:rsidRPr="00516924">
        <w:rPr>
          <w:i/>
        </w:rPr>
        <w:t>2015 Open Internet Order</w:t>
      </w:r>
      <w:r w:rsidRPr="00516924">
        <w:t xml:space="preserve">, 30 FCC Rcd at 5627, para. 77 (“[T]he Internet’s openness continues to enable a ‘virtuous [cycle] of innovation in which new uses of the network–including new content, applications, services, and devices–lead to increased end-user demand for broadband, which drives network improvements, which in turn lead to further innovative network uses.’”) (quoting </w:t>
      </w:r>
      <w:r w:rsidRPr="00516924">
        <w:rPr>
          <w:i/>
        </w:rPr>
        <w:t>Preserving the Open Internet</w:t>
      </w:r>
      <w:r w:rsidRPr="00516924">
        <w:t xml:space="preserve">, </w:t>
      </w:r>
      <w:r w:rsidRPr="00516924">
        <w:rPr>
          <w:i/>
        </w:rPr>
        <w:t>Broadband Industry Practices</w:t>
      </w:r>
      <w:r>
        <w:t>, Report and Order, 25 FCC Rcd</w:t>
      </w:r>
      <w:r w:rsidRPr="00516924">
        <w:t xml:space="preserve"> 17905, 17910-11, para. 14 (2010) (</w:t>
      </w:r>
      <w:r w:rsidRPr="00516924">
        <w:rPr>
          <w:i/>
        </w:rPr>
        <w:t>2010 Open Internet Order</w:t>
      </w:r>
      <w:r w:rsidRPr="00516924">
        <w:t>)).</w:t>
      </w:r>
    </w:p>
  </w:footnote>
  <w:footnote w:id="33">
    <w:p w:rsidR="00474D51" w:rsidRDefault="00474D51" w:rsidP="00324CD5">
      <w:pPr>
        <w:pStyle w:val="FootnoteText"/>
      </w:pPr>
      <w:r>
        <w:rPr>
          <w:rStyle w:val="FootnoteReference"/>
        </w:rPr>
        <w:footnoteRef/>
      </w:r>
      <w:r>
        <w:t xml:space="preserve"> </w:t>
      </w:r>
      <w:r>
        <w:rPr>
          <w:i/>
        </w:rPr>
        <w:t xml:space="preserve">See infra </w:t>
      </w:r>
      <w:r>
        <w:t xml:space="preserve">para. </w:t>
      </w:r>
      <w:fldSimple w:instr=" REF _Ref445303243 \r ">
        <w:r w:rsidR="00327397">
          <w:t>132</w:t>
        </w:r>
      </w:fldSimple>
      <w:r>
        <w:t xml:space="preserve"> &amp; n. </w:t>
      </w:r>
      <w:fldSimple w:instr=" NOTEREF _Ref445303279 ">
        <w:r w:rsidR="00327397">
          <w:t>236</w:t>
        </w:r>
      </w:fldSimple>
      <w:r>
        <w:t xml:space="preserve"> (explaining that “l</w:t>
      </w:r>
      <w:r w:rsidRPr="005D25A6">
        <w:t xml:space="preserve">arge edge providers are increasingly adopting opt-in regimes for sharing of </w:t>
      </w:r>
      <w:r>
        <w:t>some types of sensitive</w:t>
      </w:r>
      <w:r w:rsidRPr="005D25A6">
        <w:t xml:space="preserve"> information</w:t>
      </w:r>
      <w:r>
        <w:t>,” and describing Google’s privacy policy which requires opt-in consent prior to sharing “sensitive information” with third parties, and Yahoo’s privacy policy which requires opt-in consent for the use or sharing of geo-location information).</w:t>
      </w:r>
    </w:p>
  </w:footnote>
  <w:footnote w:id="34">
    <w:p w:rsidR="00101089" w:rsidRDefault="00101089">
      <w:pPr>
        <w:pStyle w:val="FootnoteText"/>
      </w:pPr>
      <w:r>
        <w:rPr>
          <w:rStyle w:val="FootnoteReference"/>
        </w:rPr>
        <w:footnoteRef/>
      </w:r>
      <w:r>
        <w:t xml:space="preserve"> </w:t>
      </w:r>
      <w:r>
        <w:rPr>
          <w:i/>
        </w:rPr>
        <w:t xml:space="preserve">See </w:t>
      </w:r>
      <w:r>
        <w:t xml:space="preserve">The Weather Channel, </w:t>
      </w:r>
      <w:hyperlink r:id="rId5" w:history="1">
        <w:r w:rsidRPr="00605EFA">
          <w:rPr>
            <w:rStyle w:val="Hyperlink"/>
          </w:rPr>
          <w:t>http://www.weather.com</w:t>
        </w:r>
      </w:hyperlink>
      <w:r>
        <w:t xml:space="preserve"> (last visited Mar. 30, 2016); Fandango, </w:t>
      </w:r>
      <w:hyperlink r:id="rId6" w:history="1">
        <w:r w:rsidRPr="00605EFA">
          <w:rPr>
            <w:rStyle w:val="Hyperlink"/>
          </w:rPr>
          <w:t>http://www.fandango.com</w:t>
        </w:r>
      </w:hyperlink>
      <w:r>
        <w:t xml:space="preserve"> (last visited Mar. 30, 2016).</w:t>
      </w:r>
    </w:p>
  </w:footnote>
  <w:footnote w:id="35">
    <w:p w:rsidR="00474D51" w:rsidRPr="00516924" w:rsidRDefault="00474D51" w:rsidP="00324CD5">
      <w:pPr>
        <w:pStyle w:val="FootnoteText"/>
      </w:pPr>
      <w:r w:rsidRPr="00516924">
        <w:rPr>
          <w:rStyle w:val="FootnoteReference"/>
        </w:rPr>
        <w:footnoteRef/>
      </w:r>
      <w:r w:rsidRPr="00516924">
        <w:t xml:space="preserve"> </w:t>
      </w:r>
      <w:r w:rsidRPr="00516924">
        <w:rPr>
          <w:i/>
        </w:rPr>
        <w:t>2015 Open Internet Order</w:t>
      </w:r>
      <w:r w:rsidRPr="00516924">
        <w:t>, 30 FCC Rcd at 5820, para. 462.</w:t>
      </w:r>
    </w:p>
  </w:footnote>
  <w:footnote w:id="36">
    <w:p w:rsidR="00474D51" w:rsidRPr="00516924" w:rsidRDefault="00474D51" w:rsidP="00324CD5">
      <w:pPr>
        <w:pStyle w:val="FootnoteText"/>
      </w:pPr>
      <w:r w:rsidRPr="00516924">
        <w:rPr>
          <w:rStyle w:val="FootnoteReference"/>
        </w:rPr>
        <w:footnoteRef/>
      </w:r>
      <w:r w:rsidRPr="00516924">
        <w:t xml:space="preserve"> For example, the activities of an online advertising company or social media site owned by a broadband provider </w:t>
      </w:r>
      <w:r>
        <w:t>are</w:t>
      </w:r>
      <w:r w:rsidRPr="00516924">
        <w:t xml:space="preserve"> not part of the broadband Internet access service.</w:t>
      </w:r>
    </w:p>
  </w:footnote>
  <w:footnote w:id="37">
    <w:p w:rsidR="00474D51" w:rsidRPr="00B46729" w:rsidRDefault="00474D51" w:rsidP="00324CD5">
      <w:pPr>
        <w:pStyle w:val="FootnoteText"/>
      </w:pPr>
      <w:r>
        <w:rPr>
          <w:rStyle w:val="FootnoteReference"/>
        </w:rPr>
        <w:footnoteRef/>
      </w:r>
      <w:r>
        <w:t xml:space="preserve"> </w:t>
      </w:r>
      <w:r>
        <w:rPr>
          <w:i/>
        </w:rPr>
        <w:t>See</w:t>
      </w:r>
      <w:r>
        <w:t xml:space="preserve"> 47 U.S.C. </w:t>
      </w:r>
      <w:r w:rsidRPr="00516924">
        <w:t>§ </w:t>
      </w:r>
      <w:r>
        <w:t>222(a) (“Every telecommunications carrier has a duty to protect the confidentiality of proprietary information of, and relating to,… customers.”).</w:t>
      </w:r>
    </w:p>
  </w:footnote>
  <w:footnote w:id="38">
    <w:p w:rsidR="00474D51" w:rsidRPr="00516924" w:rsidRDefault="00474D51" w:rsidP="00324CD5">
      <w:pPr>
        <w:pStyle w:val="FootnoteText"/>
      </w:pPr>
      <w:r w:rsidRPr="00516924">
        <w:rPr>
          <w:rStyle w:val="FootnoteReference"/>
        </w:rPr>
        <w:footnoteRef/>
      </w:r>
      <w:r w:rsidRPr="00516924">
        <w:t xml:space="preserve"> Consistent with the statutory definition of CPNI, the Notice proposes to define CPNI with respect to BIAS providers as “information that relates to the quantity, technical configuration, type, destination, location, and amount of use of a telecommunications service subscribed to by any customer of a telecommunications carrier, and that is made available to the carrier by the customer solely by virtue of the carrier-customer relationship.”  </w:t>
      </w:r>
      <w:r w:rsidRPr="00516924">
        <w:rPr>
          <w:i/>
        </w:rPr>
        <w:t>See infra</w:t>
      </w:r>
      <w:r w:rsidRPr="00516924">
        <w:t xml:space="preserve"> para. </w:t>
      </w:r>
      <w:r>
        <w:fldChar w:fldCharType="begin"/>
      </w:r>
      <w:r>
        <w:instrText xml:space="preserve"> REF _Ref446510920 \r \h </w:instrText>
      </w:r>
      <w:r>
        <w:fldChar w:fldCharType="separate"/>
      </w:r>
      <w:r w:rsidR="00327397">
        <w:t>38</w:t>
      </w:r>
      <w:r>
        <w:fldChar w:fldCharType="end"/>
      </w:r>
      <w:r w:rsidRPr="00516924">
        <w:t>.</w:t>
      </w:r>
    </w:p>
  </w:footnote>
  <w:footnote w:id="39">
    <w:p w:rsidR="00474D51" w:rsidRPr="00516924" w:rsidRDefault="00474D51" w:rsidP="00324CD5">
      <w:pPr>
        <w:pStyle w:val="FootnoteText"/>
      </w:pPr>
      <w:r w:rsidRPr="00516924">
        <w:rPr>
          <w:rStyle w:val="FootnoteReference"/>
        </w:rPr>
        <w:footnoteRef/>
      </w:r>
      <w:r w:rsidRPr="00516924">
        <w:t xml:space="preserve"> </w:t>
      </w:r>
      <w:r>
        <w:rPr>
          <w:i/>
        </w:rPr>
        <w:t>See, e.g.</w:t>
      </w:r>
      <w:r>
        <w:t>,</w:t>
      </w:r>
      <w:r>
        <w:rPr>
          <w:i/>
        </w:rPr>
        <w:t xml:space="preserve"> </w:t>
      </w:r>
      <w:r>
        <w:t xml:space="preserve">2012 FTC Privacy Report at 61-64; </w:t>
      </w:r>
      <w:r>
        <w:rPr>
          <w:snapToGrid w:val="0"/>
        </w:rPr>
        <w:t>Letter from Matthew M. Polka, President &amp; CEO, Am. Cable Ass’n, et al., to The Honorable Tom Wheeler, Chairman, FCC (March 1, 2016) (on file with WCB)</w:t>
      </w:r>
      <w:r>
        <w:t xml:space="preserve">; New America Open Technology Institute, The FCC’s Role in Protecting Online Privacy (2016), at 7, </w:t>
      </w:r>
      <w:hyperlink r:id="rId7" w:history="1">
        <w:r w:rsidRPr="008A14BE">
          <w:rPr>
            <w:rStyle w:val="Hyperlink"/>
          </w:rPr>
          <w:t>https://static.newamerica.org/attachments/12325-the-fccs-role-in-protecting-online-privacy/CPNI__web.d4fbdb12e83f4adc89f37ebffa3e6075.pdf</w:t>
        </w:r>
      </w:hyperlink>
      <w:r>
        <w:t xml:space="preserve">; Letter from Marc Rotenberg, Executive Director, EPIC, et al., to Tom Wheeler, Chairman, FCC, at 3 (Jan. 20, 2016);  Letter from 59 Public Interest Groups to Tom Wheeler, Chairman, FCC, at 1 (Jan. 20, 2016); Letter from Jason Kint, CEO, Digital Content Next, to Tom Wheeler, Chairman, FCC (Feb. 26, 2016), </w:t>
      </w:r>
      <w:r w:rsidRPr="004B64EE">
        <w:t>https://digitalcontentnext.org/wp-content/uploads/2016/02/DCN-Comments-to-FCC-re-Sec-222-final.pdf</w:t>
      </w:r>
      <w:r>
        <w:t>.</w:t>
      </w:r>
      <w:r w:rsidRPr="00516924">
        <w:t xml:space="preserve"> </w:t>
      </w:r>
    </w:p>
  </w:footnote>
  <w:footnote w:id="40">
    <w:p w:rsidR="00474D51" w:rsidRPr="00516924" w:rsidRDefault="00474D51" w:rsidP="00324CD5">
      <w:pPr>
        <w:pStyle w:val="FootnoteText"/>
      </w:pPr>
      <w:r w:rsidRPr="00516924">
        <w:rPr>
          <w:rStyle w:val="FootnoteReference"/>
        </w:rPr>
        <w:footnoteRef/>
      </w:r>
      <w:r>
        <w:t xml:space="preserve">  </w:t>
      </w:r>
      <w:r>
        <w:rPr>
          <w:i/>
        </w:rPr>
        <w:t xml:space="preserve">See generally </w:t>
      </w:r>
      <w:r>
        <w:t>2012 FTC Privacy Report;</w:t>
      </w:r>
      <w:r w:rsidRPr="00516924">
        <w:t xml:space="preserve"> </w:t>
      </w:r>
      <w:r>
        <w:rPr>
          <w:i/>
        </w:rPr>
        <w:t>s</w:t>
      </w:r>
      <w:r w:rsidRPr="00516924">
        <w:rPr>
          <w:i/>
        </w:rPr>
        <w:t>ee also</w:t>
      </w:r>
      <w:r w:rsidRPr="00516924">
        <w:t xml:space="preserve"> </w:t>
      </w:r>
      <w:r>
        <w:t xml:space="preserve">Dep’t of Commerce Internet Policy Task Force, Commercial Data Privacy and Innovation in the Internet Economy: A Dynamic Policy Framework (2010), </w:t>
      </w:r>
      <w:hyperlink r:id="rId8" w:history="1">
        <w:r w:rsidRPr="00C34430">
          <w:rPr>
            <w:rStyle w:val="Hyperlink"/>
          </w:rPr>
          <w:t>http://2010-2014.commerce.gov/sites/default/files/documents/2010/december/iptf-privacy-green-paper.pdf</w:t>
        </w:r>
      </w:hyperlink>
      <w:r w:rsidRPr="00C34430">
        <w:t xml:space="preserve"> (2010</w:t>
      </w:r>
      <w:r>
        <w:t xml:space="preserve"> Commerce Privacy Report); </w:t>
      </w:r>
      <w:r w:rsidRPr="00516924">
        <w:t xml:space="preserve">Digital Advertising Alliance, </w:t>
      </w:r>
      <w:r w:rsidRPr="00516924">
        <w:rPr>
          <w:i/>
        </w:rPr>
        <w:t>Application of Self-Regulatory Principles to the Mobile Environment</w:t>
      </w:r>
      <w:r w:rsidRPr="00516924">
        <w:t xml:space="preserve"> at 14-18 (July 2013), </w:t>
      </w:r>
      <w:hyperlink r:id="rId9" w:history="1">
        <w:r w:rsidRPr="00472B13">
          <w:rPr>
            <w:rStyle w:val="Hyperlink"/>
          </w:rPr>
          <w:t>http://www.aboutads.info/DAA_Mobile_Guidance.pdf</w:t>
        </w:r>
      </w:hyperlink>
      <w:r>
        <w:t xml:space="preserve">; </w:t>
      </w:r>
      <w:r w:rsidRPr="00516924">
        <w:t xml:space="preserve">Network Advertising Initiative, </w:t>
      </w:r>
      <w:r w:rsidRPr="00516924">
        <w:rPr>
          <w:i/>
        </w:rPr>
        <w:t>2015 Update to the NAI Mobile Application Code</w:t>
      </w:r>
      <w:r w:rsidRPr="00516924">
        <w:t xml:space="preserve"> at 6 (2015), </w:t>
      </w:r>
      <w:hyperlink r:id="rId10" w:history="1">
        <w:r w:rsidRPr="00516924">
          <w:rPr>
            <w:rStyle w:val="Hyperlink"/>
          </w:rPr>
          <w:t>http://www.networkadvertising.org/mobile/NAI_Mobile_Application_Code.pdf</w:t>
        </w:r>
      </w:hyperlink>
      <w:r w:rsidRPr="00516924">
        <w:t xml:space="preserve">; Network Advertising Initiative, </w:t>
      </w:r>
      <w:r w:rsidRPr="00516924">
        <w:rPr>
          <w:i/>
        </w:rPr>
        <w:t xml:space="preserve">2015 Update to the NAI Code of Conduct </w:t>
      </w:r>
      <w:r w:rsidRPr="00516924">
        <w:t xml:space="preserve">at 6-7 (2015), </w:t>
      </w:r>
      <w:hyperlink r:id="rId11" w:history="1">
        <w:r w:rsidRPr="00516924">
          <w:rPr>
            <w:rStyle w:val="Hyperlink"/>
          </w:rPr>
          <w:t>http://www.networkadvertising.org/sites/default/files/NAI_Code15encr.pdf</w:t>
        </w:r>
      </w:hyperlink>
      <w:r w:rsidRPr="00516924">
        <w:rPr>
          <w:rStyle w:val="Hyperlink"/>
        </w:rPr>
        <w:t>.</w:t>
      </w:r>
    </w:p>
  </w:footnote>
  <w:footnote w:id="41">
    <w:p w:rsidR="00474D51" w:rsidRDefault="00474D51" w:rsidP="00324CD5">
      <w:pPr>
        <w:pStyle w:val="FootnoteText"/>
      </w:pPr>
      <w:r>
        <w:rPr>
          <w:rStyle w:val="FootnoteReference"/>
        </w:rPr>
        <w:footnoteRef/>
      </w:r>
      <w:r>
        <w:t xml:space="preserve"> We note in this case that the Commission would be exerting authority with respect to this third-party information only to the extent it is combined with information obtained by virtue of providing the broadband service.</w:t>
      </w:r>
    </w:p>
  </w:footnote>
  <w:footnote w:id="42">
    <w:p w:rsidR="00474D51" w:rsidRPr="00596B73" w:rsidRDefault="00474D51" w:rsidP="00324CD5">
      <w:pPr>
        <w:pStyle w:val="FootnoteText"/>
      </w:pPr>
      <w:r>
        <w:rPr>
          <w:rStyle w:val="FootnoteReference"/>
        </w:rPr>
        <w:footnoteRef/>
      </w:r>
      <w:r>
        <w:t xml:space="preserve"> </w:t>
      </w:r>
      <w:r>
        <w:rPr>
          <w:i/>
        </w:rPr>
        <w:t>See, e.g.</w:t>
      </w:r>
      <w:r w:rsidRPr="00222A60">
        <w:t>,</w:t>
      </w:r>
      <w:r>
        <w:rPr>
          <w:i/>
        </w:rPr>
        <w:t xml:space="preserve"> Entick v. Carrington</w:t>
      </w:r>
      <w:r>
        <w:t>, 19 How. St. Tr. 1029 (C.P. 1765) (seizure of personal papers is a trespass);</w:t>
      </w:r>
      <w:r>
        <w:rPr>
          <w:i/>
        </w:rPr>
        <w:t xml:space="preserve"> Olmstead v. United States</w:t>
      </w:r>
      <w:r>
        <w:t xml:space="preserve">, 277 U.S. 438, 471-85 (1928) (Brandeis, J., dissenting) (telephone wiretaps violate right to privacy); </w:t>
      </w:r>
      <w:r>
        <w:rPr>
          <w:i/>
        </w:rPr>
        <w:t>Riley v. California</w:t>
      </w:r>
      <w:r>
        <w:t>, 134 S.Ct. 2473 (2014) (searching contents of cell phone requires warrant).</w:t>
      </w:r>
    </w:p>
    <w:p w:rsidR="00474D51" w:rsidRDefault="00474D51" w:rsidP="00324CD5">
      <w:pPr>
        <w:pStyle w:val="FootnoteText"/>
      </w:pPr>
    </w:p>
  </w:footnote>
  <w:footnote w:id="43">
    <w:p w:rsidR="00474D51" w:rsidRPr="00516924" w:rsidRDefault="00474D51" w:rsidP="00324CD5">
      <w:pPr>
        <w:pStyle w:val="FootnoteText"/>
      </w:pPr>
      <w:r w:rsidRPr="00516924">
        <w:rPr>
          <w:rStyle w:val="FootnoteReference"/>
        </w:rPr>
        <w:footnoteRef/>
      </w:r>
      <w:r w:rsidRPr="00516924">
        <w:t xml:space="preserve"> </w:t>
      </w:r>
      <w:r w:rsidRPr="00516924">
        <w:rPr>
          <w:i/>
        </w:rPr>
        <w:t>2015 Open Internet Order</w:t>
      </w:r>
      <w:r w:rsidRPr="00516924">
        <w:t>, 30 FCC Rcd at 5662, para. 141.</w:t>
      </w:r>
    </w:p>
  </w:footnote>
  <w:footnote w:id="44">
    <w:p w:rsidR="00474D51" w:rsidRPr="00516924" w:rsidRDefault="00474D51" w:rsidP="00324CD5">
      <w:pPr>
        <w:pStyle w:val="FootnoteText"/>
      </w:pPr>
      <w:r w:rsidRPr="00516924">
        <w:rPr>
          <w:rStyle w:val="FootnoteReference"/>
        </w:rPr>
        <w:footnoteRef/>
      </w:r>
      <w:r w:rsidRPr="00516924">
        <w:t xml:space="preserve"> </w:t>
      </w:r>
      <w:r w:rsidRPr="00516924">
        <w:rPr>
          <w:i/>
          <w:iCs/>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rsidRPr="00516924">
        <w:t xml:space="preserve">, GN Docket No. 15-191, 2016 Broadband Progress Report, FCC 16-6, </w:t>
      </w:r>
      <w:r>
        <w:t xml:space="preserve">at 53-54, </w:t>
      </w:r>
      <w:r w:rsidRPr="00516924">
        <w:t>para. 126 (Jan. 29, 2016) (</w:t>
      </w:r>
      <w:r w:rsidRPr="00516924">
        <w:rPr>
          <w:i/>
          <w:iCs/>
        </w:rPr>
        <w:t>2016 Broadband Progress Report</w:t>
      </w:r>
      <w:r w:rsidRPr="00516924">
        <w:t>).</w:t>
      </w:r>
    </w:p>
  </w:footnote>
  <w:footnote w:id="45">
    <w:p w:rsidR="00474D51" w:rsidRDefault="00474D51" w:rsidP="00324CD5">
      <w:pPr>
        <w:pStyle w:val="FootnoteText"/>
      </w:pPr>
      <w:r>
        <w:rPr>
          <w:rStyle w:val="FootnoteReference"/>
        </w:rPr>
        <w:footnoteRef/>
      </w:r>
      <w:r>
        <w:t xml:space="preserve"> The current Section 222 rules apply to all providers of telecommunications services, except BIAS providers, and to interconnected Voice over Internet Protocol (VoIP) providers.  In the interest of simplicity, in this item we sometimes refer to those as the “voice rules,” because most of the entities subject to those rules offer voice services.   </w:t>
      </w:r>
      <w:r>
        <w:rPr>
          <w:i/>
        </w:rPr>
        <w:t>See 2007 CPNI Order</w:t>
      </w:r>
      <w:r>
        <w:t>, 22 FCC Rcd at 6955, para. 54.</w:t>
      </w:r>
    </w:p>
  </w:footnote>
  <w:footnote w:id="46">
    <w:p w:rsidR="00474D51" w:rsidRPr="0034618A" w:rsidRDefault="00474D51" w:rsidP="00324CD5">
      <w:pPr>
        <w:pStyle w:val="FootnoteText"/>
      </w:pPr>
      <w:r>
        <w:rPr>
          <w:rStyle w:val="FootnoteReference"/>
        </w:rPr>
        <w:footnoteRef/>
      </w:r>
      <w:r>
        <w:t xml:space="preserve"> 47 CFR § 8.2(a).  </w:t>
      </w:r>
      <w:r>
        <w:rPr>
          <w:i/>
        </w:rPr>
        <w:t>See also 2015 Open Internet Order</w:t>
      </w:r>
      <w:r w:rsidRPr="00A25835">
        <w:t xml:space="preserve">, </w:t>
      </w:r>
      <w:r>
        <w:t>30 FCC Rcd at 5682-86, paras. 187-93.</w:t>
      </w:r>
    </w:p>
  </w:footnote>
  <w:footnote w:id="47">
    <w:p w:rsidR="00474D51" w:rsidRPr="001E0C87" w:rsidRDefault="00474D51" w:rsidP="00324CD5">
      <w:pPr>
        <w:pStyle w:val="FootnoteText"/>
      </w:pPr>
      <w:r>
        <w:rPr>
          <w:rStyle w:val="FootnoteReference"/>
        </w:rPr>
        <w:footnoteRef/>
      </w:r>
      <w:r>
        <w:t xml:space="preserve"> 47 U.S.C. § 153(2).  </w:t>
      </w:r>
      <w:r>
        <w:rPr>
          <w:i/>
        </w:rPr>
        <w:t xml:space="preserve">See also </w:t>
      </w:r>
      <w:r>
        <w:t>47 CFR § 64.2003(c).</w:t>
      </w:r>
    </w:p>
  </w:footnote>
  <w:footnote w:id="48">
    <w:p w:rsidR="00474D51" w:rsidRDefault="00474D51" w:rsidP="00324CD5">
      <w:pPr>
        <w:pStyle w:val="FootnoteText"/>
      </w:pPr>
      <w:r>
        <w:rPr>
          <w:rStyle w:val="FootnoteReference"/>
        </w:rPr>
        <w:footnoteRef/>
      </w:r>
      <w:r>
        <w:t xml:space="preserve"> 47 CFR § 64.2003(f).</w:t>
      </w:r>
    </w:p>
  </w:footnote>
  <w:footnote w:id="49">
    <w:p w:rsidR="00474D51" w:rsidRDefault="00474D51" w:rsidP="00324CD5">
      <w:pPr>
        <w:pStyle w:val="FootnoteText"/>
      </w:pPr>
      <w:r>
        <w:rPr>
          <w:rStyle w:val="FootnoteReference"/>
        </w:rPr>
        <w:footnoteRef/>
      </w:r>
      <w:r>
        <w:t xml:space="preserve"> 47 CFR § 8.2(c) (defining “end user” as “</w:t>
      </w:r>
      <w:r>
        <w:rPr>
          <w:bCs/>
          <w:szCs w:val="22"/>
        </w:rPr>
        <w:t>[a]</w:t>
      </w:r>
      <w:r w:rsidRPr="00965FA6">
        <w:rPr>
          <w:bCs/>
          <w:szCs w:val="22"/>
        </w:rPr>
        <w:t>ny individual or entity that uses a broadband Internet access service</w:t>
      </w:r>
      <w:r>
        <w:rPr>
          <w:bCs/>
          <w:szCs w:val="22"/>
        </w:rPr>
        <w:t>”).</w:t>
      </w:r>
    </w:p>
  </w:footnote>
  <w:footnote w:id="50">
    <w:p w:rsidR="00474D51" w:rsidRPr="00F83802" w:rsidRDefault="00474D51" w:rsidP="00324CD5">
      <w:pPr>
        <w:pStyle w:val="FootnoteText"/>
      </w:pPr>
      <w:r>
        <w:rPr>
          <w:rStyle w:val="FootnoteReference"/>
        </w:rPr>
        <w:footnoteRef/>
      </w:r>
      <w:r>
        <w:t xml:space="preserve"> For example, the Children’s Online Privacy Protection Act (COPPA) – as implemented by the FTC – requires, </w:t>
      </w:r>
      <w:r>
        <w:rPr>
          <w:i/>
        </w:rPr>
        <w:t>inter alia</w:t>
      </w:r>
      <w:r>
        <w:t xml:space="preserve">, parental notice and consent before an online service can knowingly collect, use, or disclose the personal information of a child under the age of 13.  </w:t>
      </w:r>
      <w:r>
        <w:rPr>
          <w:i/>
        </w:rPr>
        <w:t xml:space="preserve">See </w:t>
      </w:r>
      <w:r>
        <w:t>15 U.S.C. §§ 6501-6505; 16 CFR §§ 312.1-312.13.</w:t>
      </w:r>
    </w:p>
  </w:footnote>
  <w:footnote w:id="51">
    <w:p w:rsidR="00474D51" w:rsidRDefault="00474D51" w:rsidP="00324CD5">
      <w:pPr>
        <w:pStyle w:val="FootnoteText"/>
      </w:pPr>
      <w:r>
        <w:rPr>
          <w:rStyle w:val="FootnoteReference"/>
        </w:rPr>
        <w:footnoteRef/>
      </w:r>
      <w:r>
        <w:t xml:space="preserve"> 47 CFR § 64.2003(f).</w:t>
      </w:r>
    </w:p>
  </w:footnote>
  <w:footnote w:id="52">
    <w:p w:rsidR="00474D51" w:rsidRDefault="00474D51" w:rsidP="00324CD5">
      <w:pPr>
        <w:pStyle w:val="FootnoteText"/>
      </w:pPr>
      <w:r>
        <w:rPr>
          <w:rStyle w:val="FootnoteReference"/>
        </w:rPr>
        <w:footnoteRef/>
      </w:r>
      <w:r>
        <w:t xml:space="preserve"> In the </w:t>
      </w:r>
      <w:r>
        <w:rPr>
          <w:i/>
        </w:rPr>
        <w:t>TerraCom Notice of Apparent Liability</w:t>
      </w:r>
      <w:r>
        <w:t xml:space="preserve">, we included applicants within the definition of “customer” in the voice telephony context in order to protect confidential information conveyed to providers through the application process.  </w:t>
      </w:r>
      <w:r>
        <w:rPr>
          <w:i/>
        </w:rPr>
        <w:t>See TerraCom, Inc. and YourTel America, Inc.</w:t>
      </w:r>
      <w:r>
        <w:t>, Notice of Apparent Liability for Forfeiture, 29 FCC Rcd</w:t>
      </w:r>
      <w:r>
        <w:rPr>
          <w:i/>
        </w:rPr>
        <w:t xml:space="preserve"> </w:t>
      </w:r>
      <w:r>
        <w:t>13325, 13332-35, paras. 21-28 (2014) (</w:t>
      </w:r>
      <w:r>
        <w:rPr>
          <w:i/>
        </w:rPr>
        <w:t>TerraCom NAL</w:t>
      </w:r>
      <w:r>
        <w:t>).</w:t>
      </w:r>
    </w:p>
  </w:footnote>
  <w:footnote w:id="53">
    <w:p w:rsidR="00474D51" w:rsidRPr="000D0E79" w:rsidRDefault="00474D51" w:rsidP="00324CD5">
      <w:pPr>
        <w:pStyle w:val="FootnoteText"/>
      </w:pPr>
      <w:r>
        <w:rPr>
          <w:rStyle w:val="FootnoteReference"/>
        </w:rPr>
        <w:footnoteRef/>
      </w:r>
      <w:r>
        <w:t xml:space="preserve"> 47 CFR § 64.2003(g).</w:t>
      </w:r>
    </w:p>
  </w:footnote>
  <w:footnote w:id="54">
    <w:p w:rsidR="00474D51" w:rsidRDefault="00474D51" w:rsidP="00324CD5">
      <w:pPr>
        <w:pStyle w:val="FootnoteText"/>
      </w:pPr>
      <w:r>
        <w:rPr>
          <w:rStyle w:val="FootnoteReference"/>
        </w:rPr>
        <w:footnoteRef/>
      </w:r>
      <w:r>
        <w:t xml:space="preserve"> 47 U.S.C. § 222(h)(1).</w:t>
      </w:r>
    </w:p>
  </w:footnote>
  <w:footnote w:id="55">
    <w:p w:rsidR="00474D51" w:rsidRPr="00F748A7" w:rsidRDefault="00474D51" w:rsidP="00324CD5">
      <w:pPr>
        <w:pStyle w:val="FootnoteText"/>
      </w:pPr>
      <w:r>
        <w:rPr>
          <w:rStyle w:val="FootnoteReference"/>
        </w:rPr>
        <w:footnoteRef/>
      </w:r>
      <w:r>
        <w:t xml:space="preserve"> CPE is “equipment employed on the premises of a person (other than a carrier) to originate, route, or terminate telecommunications.”  47 U.S.C. § 153(16); </w:t>
      </w:r>
      <w:r>
        <w:rPr>
          <w:i/>
        </w:rPr>
        <w:t xml:space="preserve">see also </w:t>
      </w:r>
      <w:r>
        <w:t xml:space="preserve">47 CFR 64.2003(h).  We discuss broadband CPE in greater detail below.  </w:t>
      </w:r>
      <w:r>
        <w:rPr>
          <w:i/>
        </w:rPr>
        <w:t>See infra</w:t>
      </w:r>
      <w:r>
        <w:t xml:space="preserve"> para. </w:t>
      </w:r>
      <w:r>
        <w:fldChar w:fldCharType="begin"/>
      </w:r>
      <w:r>
        <w:instrText xml:space="preserve"> REF _Ref446511043 \r \h </w:instrText>
      </w:r>
      <w:r>
        <w:fldChar w:fldCharType="separate"/>
      </w:r>
      <w:r w:rsidR="00327397">
        <w:t>79</w:t>
      </w:r>
      <w:r>
        <w:fldChar w:fldCharType="end"/>
      </w:r>
      <w:r>
        <w:t>.</w:t>
      </w:r>
    </w:p>
  </w:footnote>
  <w:footnote w:id="56">
    <w:p w:rsidR="00474D51" w:rsidRPr="0067709E" w:rsidRDefault="00474D51" w:rsidP="00324CD5">
      <w:pPr>
        <w:pStyle w:val="FootnoteText"/>
      </w:pPr>
      <w:r>
        <w:rPr>
          <w:rStyle w:val="FootnoteReference"/>
        </w:rPr>
        <w:footnoteRef/>
      </w:r>
      <w:r>
        <w:t xml:space="preserve"> </w:t>
      </w:r>
      <w:r>
        <w:rPr>
          <w:i/>
        </w:rPr>
        <w:t>See Implementation of the Telecommunications Act of 1996: Telecommunications Carriers’ Use of Customer Proprietary Network Information and Other Customer Information</w:t>
      </w:r>
      <w:r>
        <w:t>, Declaratory Ruling, 28 FCC Rcd 9609, 9618, para. 27 (2013) (</w:t>
      </w:r>
      <w:r>
        <w:rPr>
          <w:i/>
        </w:rPr>
        <w:t>2013 CPNI Declaratory Ruling</w:t>
      </w:r>
      <w:r>
        <w:t>).</w:t>
      </w:r>
    </w:p>
  </w:footnote>
  <w:footnote w:id="57">
    <w:p w:rsidR="00474D51" w:rsidRPr="00771C5A" w:rsidRDefault="00474D51" w:rsidP="00324CD5">
      <w:pPr>
        <w:pStyle w:val="FootnoteText"/>
      </w:pPr>
      <w:r>
        <w:rPr>
          <w:rStyle w:val="FootnoteReference"/>
        </w:rPr>
        <w:footnoteRef/>
      </w:r>
      <w:r>
        <w:t xml:space="preserve"> </w:t>
      </w:r>
      <w:r>
        <w:rPr>
          <w:i/>
        </w:rPr>
        <w:t>Id</w:t>
      </w:r>
      <w:r>
        <w:t>. at 9618, para. 27.</w:t>
      </w:r>
    </w:p>
  </w:footnote>
  <w:footnote w:id="58">
    <w:p w:rsidR="00474D51" w:rsidRPr="00544CAC" w:rsidRDefault="00474D51" w:rsidP="00324CD5">
      <w:pPr>
        <w:pStyle w:val="FootnoteText"/>
      </w:pPr>
      <w:r>
        <w:rPr>
          <w:rStyle w:val="FootnoteReference"/>
        </w:rPr>
        <w:footnoteRef/>
      </w:r>
      <w:r>
        <w:t xml:space="preserve"> </w:t>
      </w:r>
      <w:r>
        <w:rPr>
          <w:i/>
        </w:rPr>
        <w:t>See, e.g.</w:t>
      </w:r>
      <w:r>
        <w:t xml:space="preserve">, </w:t>
      </w:r>
      <w:r>
        <w:rPr>
          <w:i/>
        </w:rPr>
        <w:t>Verizon UIDH Consent Decree</w:t>
      </w:r>
      <w:r>
        <w:t>.</w:t>
      </w:r>
    </w:p>
  </w:footnote>
  <w:footnote w:id="59">
    <w:p w:rsidR="00474D51" w:rsidRPr="00EC7BD7" w:rsidRDefault="00474D51" w:rsidP="00324CD5">
      <w:pPr>
        <w:pStyle w:val="FootnoteText"/>
      </w:pPr>
      <w:r>
        <w:rPr>
          <w:rStyle w:val="FootnoteReference"/>
        </w:rPr>
        <w:footnoteRef/>
      </w:r>
      <w:r>
        <w:rPr>
          <w:i/>
        </w:rPr>
        <w:t>2013 CPNI Declaratory Ruling</w:t>
      </w:r>
      <w:r>
        <w:t>, 28 FCC Rcd at 9617, para. 24 n.54.</w:t>
      </w:r>
    </w:p>
  </w:footnote>
  <w:footnote w:id="60">
    <w:p w:rsidR="00474D51" w:rsidRPr="00B54F87" w:rsidRDefault="00474D51" w:rsidP="00324CD5">
      <w:pPr>
        <w:pStyle w:val="FootnoteText"/>
      </w:pPr>
      <w:r>
        <w:rPr>
          <w:rStyle w:val="FootnoteReference"/>
        </w:rPr>
        <w:footnoteRef/>
      </w:r>
      <w:r>
        <w:t xml:space="preserve"> </w:t>
      </w:r>
      <w:r>
        <w:rPr>
          <w:i/>
        </w:rPr>
        <w:t>2007 CPNI Order</w:t>
      </w:r>
      <w:r>
        <w:t xml:space="preserve">, 22 FCC Rcd at 6931; </w:t>
      </w:r>
      <w:r>
        <w:rPr>
          <w:i/>
        </w:rPr>
        <w:t>see also</w:t>
      </w:r>
      <w:r>
        <w:t xml:space="preserve"> 47 CFR § 64.2003(d); 47 CFR § 64.5103(c).</w:t>
      </w:r>
    </w:p>
  </w:footnote>
  <w:footnote w:id="61">
    <w:p w:rsidR="00474D51" w:rsidRDefault="00474D51" w:rsidP="00324CD5">
      <w:pPr>
        <w:pStyle w:val="FootnoteText"/>
      </w:pPr>
      <w:r>
        <w:rPr>
          <w:rStyle w:val="FootnoteReference"/>
        </w:rPr>
        <w:footnoteRef/>
      </w:r>
      <w:r>
        <w:t xml:space="preserve"> </w:t>
      </w:r>
      <w:r>
        <w:rPr>
          <w:i/>
        </w:rPr>
        <w:t>See 2007 CPNI Order</w:t>
      </w:r>
      <w:r>
        <w:t xml:space="preserve">, 22 FCC Rcd at 6931, para. 5; </w:t>
      </w:r>
      <w:r>
        <w:rPr>
          <w:i/>
        </w:rPr>
        <w:t>see also 2002 CPNI Order</w:t>
      </w:r>
      <w:r>
        <w:t xml:space="preserve">, 17 FCC Rcd at 14864, para. 7.  </w:t>
      </w:r>
      <w:r>
        <w:rPr>
          <w:i/>
        </w:rPr>
        <w:t>Cf.</w:t>
      </w:r>
      <w:r>
        <w:t xml:space="preserve"> </w:t>
      </w:r>
      <w:r>
        <w:rPr>
          <w:i/>
        </w:rPr>
        <w:t>1998 CPNI Order</w:t>
      </w:r>
      <w:r>
        <w:t>, 13 FCC Rcd at 8117-18, para. 73;</w:t>
      </w:r>
      <w:r>
        <w:rPr>
          <w:i/>
        </w:rPr>
        <w:t xml:space="preserve"> 2015 Open Internet Order</w:t>
      </w:r>
      <w:r>
        <w:t>, 30 FCC Rcd at 5766-68, para. 367.</w:t>
      </w:r>
    </w:p>
  </w:footnote>
  <w:footnote w:id="62">
    <w:p w:rsidR="00474D51" w:rsidRDefault="00474D51" w:rsidP="00324CD5">
      <w:pPr>
        <w:pStyle w:val="FootnoteText"/>
      </w:pPr>
      <w:r>
        <w:rPr>
          <w:rStyle w:val="FootnoteReference"/>
        </w:rPr>
        <w:footnoteRef/>
      </w:r>
      <w:r>
        <w:t xml:space="preserve"> 47 U.S.C. § 222(h)(1)(A).</w:t>
      </w:r>
    </w:p>
  </w:footnote>
  <w:footnote w:id="63">
    <w:p w:rsidR="00474D51" w:rsidRDefault="00474D51" w:rsidP="00324CD5">
      <w:pPr>
        <w:pStyle w:val="FootnoteText"/>
      </w:pPr>
      <w:r>
        <w:rPr>
          <w:rStyle w:val="FootnoteReference"/>
        </w:rPr>
        <w:footnoteRef/>
      </w:r>
      <w:r>
        <w:t xml:space="preserve"> </w:t>
      </w:r>
      <w:r w:rsidRPr="00555F1E">
        <w:rPr>
          <w:i/>
        </w:rPr>
        <w:t>Id.</w:t>
      </w:r>
    </w:p>
  </w:footnote>
  <w:footnote w:id="64">
    <w:p w:rsidR="00474D51" w:rsidRDefault="00474D51" w:rsidP="00324CD5">
      <w:pPr>
        <w:pStyle w:val="FootnoteText"/>
      </w:pPr>
      <w:r>
        <w:rPr>
          <w:rStyle w:val="FootnoteReference"/>
        </w:rPr>
        <w:footnoteRef/>
      </w:r>
      <w:r>
        <w:t xml:space="preserve"> </w:t>
      </w:r>
      <w:r>
        <w:rPr>
          <w:i/>
        </w:rPr>
        <w:t>See 2013 CPNI Declaratory Ruling</w:t>
      </w:r>
      <w:r>
        <w:t>, 28 FCC Rcd at 9616, para. 22.</w:t>
      </w:r>
    </w:p>
  </w:footnote>
  <w:footnote w:id="65">
    <w:p w:rsidR="00474D51" w:rsidRPr="005A19F4" w:rsidRDefault="00474D51" w:rsidP="00324CD5">
      <w:pPr>
        <w:pStyle w:val="FootnoteText"/>
      </w:pPr>
      <w:r>
        <w:rPr>
          <w:rStyle w:val="FootnoteReference"/>
        </w:rPr>
        <w:footnoteRef/>
      </w:r>
      <w:r>
        <w:t xml:space="preserve"> </w:t>
      </w:r>
      <w:r>
        <w:rPr>
          <w:i/>
        </w:rPr>
        <w:t>See</w:t>
      </w:r>
      <w:r>
        <w:t xml:space="preserve"> Center for Democracy &amp; Technology, Applying Communications Act Consumer Privacy Protections to Broadband Providers (2016), </w:t>
      </w:r>
      <w:hyperlink r:id="rId12" w:history="1">
        <w:r w:rsidRPr="0065706E">
          <w:rPr>
            <w:rStyle w:val="Hyperlink"/>
          </w:rPr>
          <w:t>https://cdt.org/insight/applying-communications-act-consumer-privacy-protections-to-broadband-providers/</w:t>
        </w:r>
      </w:hyperlink>
      <w:r>
        <w:t xml:space="preserve"> (CDT White Paper).  As discussed further below, MAC addresses and other device identifiers would also fall under our proposed definition of PII.  </w:t>
      </w:r>
      <w:r>
        <w:rPr>
          <w:i/>
        </w:rPr>
        <w:t>See infra</w:t>
      </w:r>
      <w:r>
        <w:t xml:space="preserve"> para. </w:t>
      </w:r>
      <w:r>
        <w:fldChar w:fldCharType="begin"/>
      </w:r>
      <w:r>
        <w:instrText xml:space="preserve"> REF _Ref446511219 \r \h </w:instrText>
      </w:r>
      <w:r>
        <w:fldChar w:fldCharType="separate"/>
      </w:r>
      <w:r w:rsidR="00327397">
        <w:t>62</w:t>
      </w:r>
      <w:r>
        <w:fldChar w:fldCharType="end"/>
      </w:r>
      <w:r>
        <w:t>.</w:t>
      </w:r>
    </w:p>
  </w:footnote>
  <w:footnote w:id="66">
    <w:p w:rsidR="00474D51" w:rsidRPr="00097DFF" w:rsidRDefault="00474D51" w:rsidP="00324CD5">
      <w:pPr>
        <w:pStyle w:val="FootnoteText"/>
      </w:pPr>
      <w:r>
        <w:rPr>
          <w:rStyle w:val="FootnoteReference"/>
        </w:rPr>
        <w:footnoteRef/>
      </w:r>
      <w:r>
        <w:t xml:space="preserve"> </w:t>
      </w:r>
      <w:r>
        <w:rPr>
          <w:i/>
        </w:rPr>
        <w:t>See, e.g.</w:t>
      </w:r>
      <w:r>
        <w:t>, James F. Kurose &amp; Keith W. Ross, Computer Networking at 463-65 (6th ed. 2013).</w:t>
      </w:r>
    </w:p>
  </w:footnote>
  <w:footnote w:id="67">
    <w:p w:rsidR="00474D51" w:rsidRDefault="00474D51" w:rsidP="00324CD5">
      <w:pPr>
        <w:pStyle w:val="FootnoteText"/>
      </w:pPr>
      <w:r>
        <w:rPr>
          <w:rStyle w:val="FootnoteReference"/>
        </w:rPr>
        <w:footnoteRef/>
      </w:r>
      <w:r>
        <w:t xml:space="preserve"> </w:t>
      </w:r>
      <w:r>
        <w:rPr>
          <w:i/>
        </w:rPr>
        <w:t xml:space="preserve">See </w:t>
      </w:r>
      <w:r>
        <w:t xml:space="preserve">European Telecommunications Standards Institute, Digital cellular telecommunications system (Phase 2+); Universal Mobile Telecommunications System (UMTS); LTE; International Mobile station Equipment Identities (IMEI) (3GPP TS 22.016 version 13.0.0 Release 13) (2016), </w:t>
      </w:r>
      <w:r w:rsidRPr="00DA03E6">
        <w:t>http://www.etsi.org/deliver/etsi_ts%5C122000_122099%5C122016%5C13.00.00_60%5Cts_122016v130000p.pdf</w:t>
      </w:r>
      <w:r>
        <w:t>.</w:t>
      </w:r>
    </w:p>
  </w:footnote>
  <w:footnote w:id="68">
    <w:p w:rsidR="00474D51" w:rsidRPr="008D328D" w:rsidRDefault="00474D51" w:rsidP="00324CD5">
      <w:pPr>
        <w:pStyle w:val="FootnoteText"/>
      </w:pPr>
      <w:r>
        <w:rPr>
          <w:rStyle w:val="FootnoteReference"/>
        </w:rPr>
        <w:footnoteRef/>
      </w:r>
      <w:r>
        <w:t xml:space="preserve"> </w:t>
      </w:r>
      <w:r>
        <w:rPr>
          <w:i/>
        </w:rPr>
        <w:t>See, e.g.</w:t>
      </w:r>
      <w:r>
        <w:t>,</w:t>
      </w:r>
      <w:r>
        <w:rPr>
          <w:i/>
        </w:rPr>
        <w:t xml:space="preserve"> </w:t>
      </w:r>
      <w:r>
        <w:t xml:space="preserve">Kurose &amp; Ross, </w:t>
      </w:r>
      <w:r>
        <w:rPr>
          <w:i/>
        </w:rPr>
        <w:t xml:space="preserve">supra </w:t>
      </w:r>
      <w:r>
        <w:t xml:space="preserve">n. </w:t>
      </w:r>
      <w:r>
        <w:fldChar w:fldCharType="begin"/>
      </w:r>
      <w:r>
        <w:instrText xml:space="preserve"> NOTEREF _Ref446511271 \h </w:instrText>
      </w:r>
      <w:r>
        <w:fldChar w:fldCharType="separate"/>
      </w:r>
      <w:r w:rsidR="00327397">
        <w:t>65</w:t>
      </w:r>
      <w:r>
        <w:fldChar w:fldCharType="end"/>
      </w:r>
      <w:r>
        <w:t>, at 463-65.</w:t>
      </w:r>
    </w:p>
  </w:footnote>
  <w:footnote w:id="69">
    <w:p w:rsidR="00474D51" w:rsidRDefault="00474D51" w:rsidP="00324CD5">
      <w:pPr>
        <w:pStyle w:val="FootnoteText"/>
      </w:pPr>
      <w:r>
        <w:rPr>
          <w:rStyle w:val="FootnoteReference"/>
        </w:rPr>
        <w:footnoteRef/>
      </w:r>
      <w:r>
        <w:t xml:space="preserve"> 47 CFR § 64.5103(c).</w:t>
      </w:r>
    </w:p>
  </w:footnote>
  <w:footnote w:id="70">
    <w:p w:rsidR="00474D51" w:rsidRPr="00FD0B76" w:rsidRDefault="00474D51" w:rsidP="00324CD5">
      <w:pPr>
        <w:pStyle w:val="FootnoteText"/>
      </w:pPr>
      <w:r>
        <w:rPr>
          <w:rStyle w:val="FootnoteReference"/>
        </w:rPr>
        <w:footnoteRef/>
      </w:r>
      <w:r>
        <w:t xml:space="preserve"> As discussed further below, IP addresses would also fall under our proposed definition of PII.  </w:t>
      </w:r>
      <w:r>
        <w:rPr>
          <w:i/>
        </w:rPr>
        <w:t xml:space="preserve">See infra </w:t>
      </w:r>
      <w:r>
        <w:t xml:space="preserve">para. </w:t>
      </w:r>
      <w:r>
        <w:fldChar w:fldCharType="begin"/>
      </w:r>
      <w:r>
        <w:instrText xml:space="preserve"> REF _Ref446511219 \r \h </w:instrText>
      </w:r>
      <w:r>
        <w:fldChar w:fldCharType="separate"/>
      </w:r>
      <w:r w:rsidR="00327397">
        <w:t>62</w:t>
      </w:r>
      <w:r>
        <w:fldChar w:fldCharType="end"/>
      </w:r>
      <w:r>
        <w:t>.</w:t>
      </w:r>
    </w:p>
  </w:footnote>
  <w:footnote w:id="71">
    <w:p w:rsidR="00474D51" w:rsidRDefault="00474D51" w:rsidP="00324CD5">
      <w:pPr>
        <w:pStyle w:val="FootnoteText"/>
      </w:pPr>
      <w:r>
        <w:rPr>
          <w:rStyle w:val="FootnoteReference"/>
        </w:rPr>
        <w:footnoteRef/>
      </w:r>
      <w:r>
        <w:t xml:space="preserve"> </w:t>
      </w:r>
      <w:r w:rsidRPr="001E2A60">
        <w:rPr>
          <w:i/>
        </w:rPr>
        <w:t>See</w:t>
      </w:r>
      <w:r w:rsidRPr="009B43AA">
        <w:t xml:space="preserve"> Internet Engineering Task Force, The Internet Numbers Registry System, RFC 7020 (2013), https://tools.ietf.org/html/rfc7020 (discussing non-reserved globally unique unicast IP addresses assigned through the Internet Numbers Registry System).</w:t>
      </w:r>
    </w:p>
  </w:footnote>
  <w:footnote w:id="72">
    <w:p w:rsidR="00474D51" w:rsidRPr="008D328D" w:rsidRDefault="00474D51" w:rsidP="00324CD5">
      <w:pPr>
        <w:pStyle w:val="FootnoteText"/>
      </w:pPr>
      <w:r>
        <w:rPr>
          <w:rStyle w:val="FootnoteReference"/>
        </w:rPr>
        <w:footnoteRef/>
      </w:r>
      <w:r>
        <w:t xml:space="preserve"> </w:t>
      </w:r>
      <w:r>
        <w:rPr>
          <w:i/>
        </w:rPr>
        <w:t>See, e.g.</w:t>
      </w:r>
      <w:r>
        <w:t xml:space="preserve">, Kurose &amp; Ross, </w:t>
      </w:r>
      <w:r>
        <w:rPr>
          <w:i/>
        </w:rPr>
        <w:t>supra</w:t>
      </w:r>
      <w:r>
        <w:t xml:space="preserve"> n. </w:t>
      </w:r>
      <w:r>
        <w:fldChar w:fldCharType="begin"/>
      </w:r>
      <w:r>
        <w:instrText xml:space="preserve"> NOTEREF _Ref446511271 \h </w:instrText>
      </w:r>
      <w:r>
        <w:fldChar w:fldCharType="separate"/>
      </w:r>
      <w:r w:rsidR="00327397">
        <w:t>65</w:t>
      </w:r>
      <w:r>
        <w:fldChar w:fldCharType="end"/>
      </w:r>
      <w:r>
        <w:t>, at 130, 331-63.</w:t>
      </w:r>
    </w:p>
  </w:footnote>
  <w:footnote w:id="73">
    <w:p w:rsidR="00474D51" w:rsidRDefault="00474D51" w:rsidP="00324CD5">
      <w:pPr>
        <w:pStyle w:val="FootnoteText"/>
      </w:pPr>
      <w:r>
        <w:rPr>
          <w:rStyle w:val="FootnoteReference"/>
        </w:rPr>
        <w:footnoteRef/>
      </w:r>
      <w:r>
        <w:t xml:space="preserve"> </w:t>
      </w:r>
      <w:r>
        <w:rPr>
          <w:i/>
        </w:rPr>
        <w:t>See 2007 CPNI Order</w:t>
      </w:r>
      <w:r>
        <w:t xml:space="preserve">, 22 FCC Rcd at 6931, para. 5.  </w:t>
      </w:r>
    </w:p>
  </w:footnote>
  <w:footnote w:id="74">
    <w:p w:rsidR="00474D51" w:rsidRDefault="00474D51" w:rsidP="00324CD5">
      <w:pPr>
        <w:pStyle w:val="FootnoteText"/>
      </w:pPr>
      <w:r>
        <w:rPr>
          <w:rStyle w:val="FootnoteReference"/>
        </w:rPr>
        <w:footnoteRef/>
      </w:r>
      <w:r>
        <w:t xml:space="preserve"> 47 CFR § 64.5103(c).  </w:t>
      </w:r>
    </w:p>
  </w:footnote>
  <w:footnote w:id="75">
    <w:p w:rsidR="00474D51" w:rsidRDefault="00474D51" w:rsidP="00324CD5">
      <w:pPr>
        <w:pStyle w:val="FootnoteText"/>
      </w:pPr>
      <w:r>
        <w:rPr>
          <w:rStyle w:val="FootnoteReference"/>
        </w:rPr>
        <w:footnoteRef/>
      </w:r>
      <w:r>
        <w:t xml:space="preserve"> A BIAS provider is inherently capable of geo-locating an IP address; in the case of fixed broadband Internet access service, the provider knows the customer’s physical address, and in the case of mobile broadband Internet access service, the provider knows the geo-location of the cell towers to which the customer’s device connects and can use this to determine the customer’s device location. </w:t>
      </w:r>
    </w:p>
  </w:footnote>
  <w:footnote w:id="76">
    <w:p w:rsidR="00474D51" w:rsidRDefault="00474D51" w:rsidP="00324CD5">
      <w:pPr>
        <w:pStyle w:val="FootnoteText"/>
      </w:pPr>
      <w:r>
        <w:rPr>
          <w:rStyle w:val="FootnoteReference"/>
        </w:rPr>
        <w:footnoteRef/>
      </w:r>
      <w:r>
        <w:t xml:space="preserve"> </w:t>
      </w:r>
      <w:r>
        <w:rPr>
          <w:i/>
        </w:rPr>
        <w:t>See</w:t>
      </w:r>
      <w:r>
        <w:t xml:space="preserve"> CDT White Paper.  </w:t>
      </w:r>
    </w:p>
  </w:footnote>
  <w:footnote w:id="77">
    <w:p w:rsidR="00474D51" w:rsidRDefault="00474D51" w:rsidP="00324CD5">
      <w:pPr>
        <w:pStyle w:val="FootnoteText"/>
      </w:pPr>
      <w:r>
        <w:rPr>
          <w:rStyle w:val="FootnoteReference"/>
        </w:rPr>
        <w:footnoteRef/>
      </w:r>
      <w:r>
        <w:t xml:space="preserve"> As discussed further below, traffic statistics would also fall under our proposed definition of PII.  </w:t>
      </w:r>
      <w:r>
        <w:rPr>
          <w:i/>
        </w:rPr>
        <w:t xml:space="preserve">See infra </w:t>
      </w:r>
      <w:r>
        <w:t xml:space="preserve">para. </w:t>
      </w:r>
      <w:r>
        <w:fldChar w:fldCharType="begin"/>
      </w:r>
      <w:r>
        <w:instrText xml:space="preserve"> REF _Ref446511219 \r \h </w:instrText>
      </w:r>
      <w:r>
        <w:fldChar w:fldCharType="separate"/>
      </w:r>
      <w:r w:rsidR="00327397">
        <w:t>62</w:t>
      </w:r>
      <w:r>
        <w:fldChar w:fldCharType="end"/>
      </w:r>
      <w:r>
        <w:t>.</w:t>
      </w:r>
    </w:p>
  </w:footnote>
  <w:footnote w:id="78">
    <w:p w:rsidR="00474D51" w:rsidRDefault="00474D51" w:rsidP="00324CD5">
      <w:pPr>
        <w:pStyle w:val="FootnoteText"/>
      </w:pPr>
      <w:r>
        <w:rPr>
          <w:rStyle w:val="FootnoteReference"/>
        </w:rPr>
        <w:footnoteRef/>
      </w:r>
      <w:r>
        <w:t xml:space="preserve"> </w:t>
      </w:r>
      <w:r>
        <w:rPr>
          <w:i/>
        </w:rPr>
        <w:t>2007 CPNI Order</w:t>
      </w:r>
      <w:r>
        <w:t xml:space="preserve">, 22 FCC Rcd at 6931, para. 5; </w:t>
      </w:r>
      <w:r>
        <w:rPr>
          <w:i/>
        </w:rPr>
        <w:t>see also</w:t>
      </w:r>
      <w:r>
        <w:t xml:space="preserve"> 47 CFR § 64.5103(c);</w:t>
      </w:r>
      <w:r w:rsidRPr="001A268A">
        <w:rPr>
          <w:i/>
        </w:rPr>
        <w:t xml:space="preserve"> </w:t>
      </w:r>
      <w:r>
        <w:rPr>
          <w:i/>
        </w:rPr>
        <w:t>2013 CPNI Declaratory Ruling</w:t>
      </w:r>
      <w:r>
        <w:t xml:space="preserve">, 28 FCC Rcd at 9617, para. 25; </w:t>
      </w:r>
      <w:r>
        <w:rPr>
          <w:i/>
        </w:rPr>
        <w:t>2007 CPNI Order</w:t>
      </w:r>
      <w:r>
        <w:t>, 22 FCC Rcd at 6936, para. 13 n. 45.</w:t>
      </w:r>
      <w:r>
        <w:rPr>
          <w:i/>
        </w:rPr>
        <w:t xml:space="preserve"> </w:t>
      </w:r>
    </w:p>
  </w:footnote>
  <w:footnote w:id="79">
    <w:p w:rsidR="00474D51" w:rsidRDefault="00474D51" w:rsidP="00324CD5">
      <w:pPr>
        <w:pStyle w:val="FootnoteText"/>
      </w:pPr>
      <w:r>
        <w:rPr>
          <w:rStyle w:val="FootnoteReference"/>
        </w:rPr>
        <w:footnoteRef/>
      </w:r>
      <w:r>
        <w:t xml:space="preserve"> </w:t>
      </w:r>
      <w:r>
        <w:rPr>
          <w:i/>
        </w:rPr>
        <w:t>See</w:t>
      </w:r>
      <w:r>
        <w:t xml:space="preserve"> CDT White Paper.  </w:t>
      </w:r>
    </w:p>
  </w:footnote>
  <w:footnote w:id="80">
    <w:p w:rsidR="00474D51" w:rsidRDefault="00474D51" w:rsidP="00324CD5">
      <w:pPr>
        <w:pStyle w:val="FootnoteText"/>
      </w:pPr>
      <w:r>
        <w:rPr>
          <w:rStyle w:val="FootnoteReference"/>
        </w:rPr>
        <w:footnoteRef/>
      </w:r>
      <w:r>
        <w:t xml:space="preserve"> </w:t>
      </w:r>
      <w:r>
        <w:rPr>
          <w:i/>
        </w:rPr>
        <w:t>See</w:t>
      </w:r>
      <w:r>
        <w:t xml:space="preserve"> CDT White Paper; Harold Feld et al., Public Knowledge, Protecting Privacy, Promoting Competition: A Framework for Updating the Federal Communications Commission Privacy Rules for the Digital World at 46-48 (2016) (Public Knowledge White Paper), </w:t>
      </w:r>
      <w:r w:rsidRPr="000C6DA7">
        <w:t>https://www.publicknowledge.org/documents/protecting-privacy-promoting-competition-white-paper</w:t>
      </w:r>
      <w:r>
        <w:t xml:space="preserve">.  </w:t>
      </w:r>
    </w:p>
  </w:footnote>
  <w:footnote w:id="81">
    <w:p w:rsidR="00474D51" w:rsidRDefault="00474D51" w:rsidP="00324CD5">
      <w:pPr>
        <w:pStyle w:val="FootnoteText"/>
      </w:pPr>
      <w:r>
        <w:rPr>
          <w:rStyle w:val="FootnoteReference"/>
        </w:rPr>
        <w:footnoteRef/>
      </w:r>
      <w:r>
        <w:t xml:space="preserve"> A</w:t>
      </w:r>
      <w:r w:rsidRPr="00CD587C">
        <w:t>pp</w:t>
      </w:r>
      <w:r>
        <w:t>lication</w:t>
      </w:r>
      <w:r w:rsidRPr="00CD587C">
        <w:t xml:space="preserve"> headers may also include information relating to persistent identifiers, use of encryption, and virtual private networks (VPNs).</w:t>
      </w:r>
      <w:r>
        <w:t xml:space="preserve">  Email headers may also include the subject line.</w:t>
      </w:r>
    </w:p>
  </w:footnote>
  <w:footnote w:id="82">
    <w:p w:rsidR="00474D51" w:rsidRPr="00B51C8F" w:rsidRDefault="00474D51" w:rsidP="00324CD5">
      <w:pPr>
        <w:pStyle w:val="FootnoteText"/>
      </w:pPr>
      <w:r>
        <w:rPr>
          <w:rStyle w:val="FootnoteReference"/>
        </w:rPr>
        <w:footnoteRef/>
      </w:r>
      <w:r>
        <w:t xml:space="preserve"> Requested URLs may contain particularly detailed information about the type, form, and content of a communication between a user and a website.  For instance, query strings within a URL may indicate the contents of a user’s search query, the contents of a web form, or other information.  </w:t>
      </w:r>
      <w:r>
        <w:rPr>
          <w:i/>
        </w:rPr>
        <w:t>See, e.g.</w:t>
      </w:r>
      <w:r>
        <w:t xml:space="preserve">, Andrew G. West &amp; Adam J. Aviv, </w:t>
      </w:r>
      <w:r>
        <w:rPr>
          <w:i/>
        </w:rPr>
        <w:t>On the Privacy Concerns of URL Query Strings</w:t>
      </w:r>
      <w:r>
        <w:t xml:space="preserve">, 2014 Proc. of the 8th Workshop on Web 2.0 Sec. and Privacy, </w:t>
      </w:r>
      <w:r>
        <w:rPr>
          <w:i/>
        </w:rPr>
        <w:t>available at</w:t>
      </w:r>
      <w:r>
        <w:t xml:space="preserve"> </w:t>
      </w:r>
      <w:r w:rsidRPr="00CC64CA">
        <w:t>http://w2spconf.com/2014/papers/privacy_query_strings.pdf</w:t>
      </w:r>
      <w:r>
        <w:t>.</w:t>
      </w:r>
    </w:p>
  </w:footnote>
  <w:footnote w:id="83">
    <w:p w:rsidR="00474D51" w:rsidRDefault="00474D51" w:rsidP="00324CD5">
      <w:pPr>
        <w:pStyle w:val="FootnoteText"/>
      </w:pPr>
      <w:r>
        <w:rPr>
          <w:rStyle w:val="FootnoteReference"/>
        </w:rPr>
        <w:footnoteRef/>
      </w:r>
      <w:r>
        <w:t xml:space="preserve"> </w:t>
      </w:r>
      <w:r>
        <w:rPr>
          <w:i/>
        </w:rPr>
        <w:t>2013 CPNI Declaratory Ruling</w:t>
      </w:r>
      <w:r>
        <w:t>, 28 FCC Rcd at 9615-16, paras. 21-23.</w:t>
      </w:r>
    </w:p>
  </w:footnote>
  <w:footnote w:id="84">
    <w:p w:rsidR="00474D51" w:rsidRDefault="00474D51" w:rsidP="00324CD5">
      <w:pPr>
        <w:pStyle w:val="FootnoteText"/>
      </w:pPr>
      <w:r>
        <w:rPr>
          <w:rStyle w:val="FootnoteReference"/>
        </w:rPr>
        <w:footnoteRef/>
      </w:r>
      <w:r>
        <w:t xml:space="preserve"> </w:t>
      </w:r>
      <w:r>
        <w:rPr>
          <w:i/>
        </w:rPr>
        <w:t>Id</w:t>
      </w:r>
      <w:r>
        <w:t>.</w:t>
      </w:r>
    </w:p>
  </w:footnote>
  <w:footnote w:id="85">
    <w:p w:rsidR="00474D51" w:rsidRDefault="00474D51" w:rsidP="00324CD5">
      <w:pPr>
        <w:pStyle w:val="FootnoteText"/>
      </w:pPr>
      <w:r>
        <w:rPr>
          <w:rStyle w:val="FootnoteReference"/>
        </w:rPr>
        <w:footnoteRef/>
      </w:r>
      <w:r>
        <w:t xml:space="preserve"> 47 U.S.C. § 153(16); 47 CFR § 64.2003(h).</w:t>
      </w:r>
    </w:p>
  </w:footnote>
  <w:footnote w:id="86">
    <w:p w:rsidR="00474D51" w:rsidRPr="00DA1FE0" w:rsidRDefault="00474D51" w:rsidP="00324CD5">
      <w:pPr>
        <w:pStyle w:val="FootnoteText"/>
      </w:pPr>
      <w:r>
        <w:rPr>
          <w:rStyle w:val="FootnoteReference"/>
        </w:rPr>
        <w:footnoteRef/>
      </w:r>
      <w:r>
        <w:t xml:space="preserve"> Below, we seek comment whether it is necessary to define CPE for purposes of our proposed rules.  </w:t>
      </w:r>
      <w:r>
        <w:rPr>
          <w:i/>
        </w:rPr>
        <w:t xml:space="preserve">See infra </w:t>
      </w:r>
      <w:r>
        <w:t xml:space="preserve">para. </w:t>
      </w:r>
      <w:r>
        <w:fldChar w:fldCharType="begin"/>
      </w:r>
      <w:r>
        <w:instrText xml:space="preserve"> REF _Ref446511043 \r \h </w:instrText>
      </w:r>
      <w:r>
        <w:fldChar w:fldCharType="separate"/>
      </w:r>
      <w:r w:rsidR="00327397">
        <w:t>79</w:t>
      </w:r>
      <w:r>
        <w:fldChar w:fldCharType="end"/>
      </w:r>
      <w:r>
        <w:t>.</w:t>
      </w:r>
    </w:p>
  </w:footnote>
  <w:footnote w:id="87">
    <w:p w:rsidR="00474D51" w:rsidRPr="005F1841" w:rsidRDefault="00474D51" w:rsidP="00324CD5">
      <w:pPr>
        <w:pStyle w:val="FootnoteText"/>
      </w:pPr>
      <w:r w:rsidRPr="001B6004">
        <w:rPr>
          <w:rStyle w:val="FootnoteReference"/>
        </w:rPr>
        <w:footnoteRef/>
      </w:r>
      <w:r w:rsidRPr="001B6004">
        <w:t xml:space="preserve"> </w:t>
      </w:r>
      <w:r w:rsidRPr="005F01C8">
        <w:t xml:space="preserve">47 U.S.C. </w:t>
      </w:r>
      <w:r w:rsidRPr="005F1841">
        <w:t>§ 222(a).</w:t>
      </w:r>
      <w:r>
        <w:t xml:space="preserve">  </w:t>
      </w:r>
      <w:r>
        <w:rPr>
          <w:i/>
        </w:rPr>
        <w:t>See also 2007 CPNI Order</w:t>
      </w:r>
      <w:r>
        <w:t xml:space="preserve">, 22 FCC Rcd at 6931, para. 6; </w:t>
      </w:r>
      <w:r>
        <w:rPr>
          <w:i/>
        </w:rPr>
        <w:t>2013 CPNI Declaratory Ruling</w:t>
      </w:r>
      <w:r>
        <w:t>, 28 FCC Rcd at 9611, para. 7.</w:t>
      </w:r>
    </w:p>
  </w:footnote>
  <w:footnote w:id="88">
    <w:p w:rsidR="00474D51" w:rsidRDefault="00474D51" w:rsidP="00324CD5">
      <w:pPr>
        <w:pStyle w:val="FootnoteText"/>
      </w:pPr>
      <w:r>
        <w:rPr>
          <w:rStyle w:val="FootnoteReference"/>
        </w:rPr>
        <w:footnoteRef/>
      </w:r>
      <w:r>
        <w:t xml:space="preserve"> </w:t>
      </w:r>
      <w:r w:rsidRPr="00A03A21">
        <w:rPr>
          <w:i/>
        </w:rPr>
        <w:t>See</w:t>
      </w:r>
      <w:r>
        <w:t xml:space="preserve"> </w:t>
      </w:r>
      <w:r w:rsidRPr="004C4929">
        <w:rPr>
          <w:i/>
        </w:rPr>
        <w:t xml:space="preserve">Implementation of the Telecommunications </w:t>
      </w:r>
      <w:r>
        <w:rPr>
          <w:i/>
        </w:rPr>
        <w:t xml:space="preserve">Act of 1996; Telecommunications </w:t>
      </w:r>
      <w:r w:rsidRPr="004C4929">
        <w:rPr>
          <w:i/>
        </w:rPr>
        <w:t>Carriers’ Use of Customer Proprietary Network Information and Other Customer Information</w:t>
      </w:r>
      <w:r>
        <w:t>, Notice of Proposed Rulemaking, 11 FCC Rcd 12513, 12513-14, paras. 1-2</w:t>
      </w:r>
      <w:r w:rsidRPr="001E071D">
        <w:t xml:space="preserve"> (1996)</w:t>
      </w:r>
      <w:r>
        <w:t xml:space="preserve"> (</w:t>
      </w:r>
      <w:r>
        <w:rPr>
          <w:i/>
        </w:rPr>
        <w:t>1996 CPNI NPRM</w:t>
      </w:r>
      <w:r>
        <w:t>)</w:t>
      </w:r>
      <w:r w:rsidRPr="001E071D">
        <w:rPr>
          <w:i/>
        </w:rPr>
        <w:t>.</w:t>
      </w:r>
    </w:p>
  </w:footnote>
  <w:footnote w:id="89">
    <w:p w:rsidR="00474D51" w:rsidRPr="00013717" w:rsidRDefault="00474D51" w:rsidP="004F400E">
      <w:pPr>
        <w:pStyle w:val="FootnoteText"/>
      </w:pPr>
      <w:r>
        <w:rPr>
          <w:rStyle w:val="FootnoteReference"/>
        </w:rPr>
        <w:footnoteRef/>
      </w:r>
      <w:r>
        <w:t xml:space="preserve"> </w:t>
      </w:r>
      <w:r>
        <w:rPr>
          <w:i/>
        </w:rPr>
        <w:t>See TerraCom NAL</w:t>
      </w:r>
      <w:r>
        <w:t>, 29 FCC Rcd at 13330, para. 15;</w:t>
      </w:r>
      <w:r>
        <w:rPr>
          <w:i/>
        </w:rPr>
        <w:t xml:space="preserve"> Cox Consent Decree</w:t>
      </w:r>
      <w:r>
        <w:t xml:space="preserve">, 30 FCC Rcd at 12307, para. 4; </w:t>
      </w:r>
      <w:r>
        <w:rPr>
          <w:i/>
        </w:rPr>
        <w:t xml:space="preserve">see also </w:t>
      </w:r>
      <w:r w:rsidRPr="00F8352E">
        <w:rPr>
          <w:i/>
        </w:rPr>
        <w:t>Lifeline and Link Up Reform and Modernization et al.</w:t>
      </w:r>
      <w:r w:rsidRPr="00CF7ECD">
        <w:t xml:space="preserve">, Second Further Notice of Proposed Rulemaking, Order on Reconsideration, Second Report and Order, and Memorandum Opinion and Order, 30 FCC Rcd 7818, 7896, para. 234 </w:t>
      </w:r>
      <w:r>
        <w:t>(2015) (</w:t>
      </w:r>
      <w:r>
        <w:rPr>
          <w:i/>
        </w:rPr>
        <w:t>2015 Lifeline Reform Order</w:t>
      </w:r>
      <w:r>
        <w:t xml:space="preserve">), </w:t>
      </w:r>
      <w:r w:rsidRPr="00F8352E">
        <w:rPr>
          <w:i/>
        </w:rPr>
        <w:t>pet. for partial reconsideration pending</w:t>
      </w:r>
      <w:r w:rsidRPr="00CF7ECD">
        <w:t>, CTIA, WC Docket No. 11-42 (filed Aug. 13, 2015),</w:t>
      </w:r>
      <w:r w:rsidRPr="00F8352E">
        <w:rPr>
          <w:i/>
        </w:rPr>
        <w:t xml:space="preserve"> pet. for review pending</w:t>
      </w:r>
      <w:r w:rsidRPr="00CF7ECD">
        <w:t xml:space="preserve">, </w:t>
      </w:r>
      <w:r w:rsidRPr="00F8352E">
        <w:rPr>
          <w:i/>
        </w:rPr>
        <w:t>U.S. Telecom Ass’n v. FCC</w:t>
      </w:r>
      <w:r w:rsidRPr="00CF7ECD">
        <w:t>, No. 15-1322 (D.C. Cir. filed Sept. 11, 2015)</w:t>
      </w:r>
      <w:r>
        <w:t xml:space="preserve"> </w:t>
      </w:r>
      <w:r w:rsidRPr="00CF7ECD">
        <w:t xml:space="preserve">(discussing lifeline carriers’ duty to protect customer proprietary information under </w:t>
      </w:r>
      <w:r>
        <w:t>Section 222(a))</w:t>
      </w:r>
      <w:r w:rsidRPr="00F8352E">
        <w:t>.</w:t>
      </w:r>
    </w:p>
  </w:footnote>
  <w:footnote w:id="90">
    <w:p w:rsidR="00474D51" w:rsidRPr="00D779DF" w:rsidRDefault="00474D51" w:rsidP="00324CD5">
      <w:pPr>
        <w:pStyle w:val="FootnoteText"/>
      </w:pPr>
      <w:r>
        <w:rPr>
          <w:rStyle w:val="FootnoteReference"/>
        </w:rPr>
        <w:footnoteRef/>
      </w:r>
      <w:r>
        <w:t xml:space="preserve"> </w:t>
      </w:r>
      <w:r>
        <w:rPr>
          <w:i/>
        </w:rPr>
        <w:t>TerraCom Consent Decree</w:t>
      </w:r>
      <w:r>
        <w:t xml:space="preserve">, 30 FCC Rcd at 7079, para. 2(x) (emphasis added); </w:t>
      </w:r>
      <w:r>
        <w:rPr>
          <w:i/>
        </w:rPr>
        <w:t>TerraCom NAL</w:t>
      </w:r>
      <w:r>
        <w:t>, 29 FCC Rcd at 13330-31, paras. 14-17.</w:t>
      </w:r>
    </w:p>
  </w:footnote>
  <w:footnote w:id="91">
    <w:p w:rsidR="00474D51" w:rsidRPr="00F42015" w:rsidRDefault="00474D51" w:rsidP="00324CD5">
      <w:pPr>
        <w:pStyle w:val="FootnoteText"/>
        <w:rPr>
          <w:i/>
        </w:rPr>
      </w:pPr>
      <w:r>
        <w:rPr>
          <w:rStyle w:val="FootnoteReference"/>
        </w:rPr>
        <w:footnoteRef/>
      </w:r>
      <w:r>
        <w:t xml:space="preserve"> </w:t>
      </w:r>
      <w:r>
        <w:rPr>
          <w:i/>
        </w:rPr>
        <w:t>TerraCom NAL</w:t>
      </w:r>
      <w:r>
        <w:t>,</w:t>
      </w:r>
      <w:r>
        <w:rPr>
          <w:i/>
        </w:rPr>
        <w:t xml:space="preserve"> </w:t>
      </w:r>
      <w:r>
        <w:t xml:space="preserve">29 FCC Rcd at 13330, para. 14; </w:t>
      </w:r>
      <w:r>
        <w:rPr>
          <w:i/>
        </w:rPr>
        <w:t>see also 2015 Lifeline Reform Order</w:t>
      </w:r>
      <w:r>
        <w:t>, 30 FCC Rcd at 7896, para. 234.</w:t>
      </w:r>
    </w:p>
  </w:footnote>
  <w:footnote w:id="92">
    <w:p w:rsidR="00474D51" w:rsidRPr="00A553BA" w:rsidRDefault="00474D51" w:rsidP="00324CD5">
      <w:pPr>
        <w:pStyle w:val="FootnoteText"/>
      </w:pPr>
      <w:r>
        <w:rPr>
          <w:rStyle w:val="FootnoteReference"/>
        </w:rPr>
        <w:footnoteRef/>
      </w:r>
      <w:r>
        <w:t xml:space="preserve"> </w:t>
      </w:r>
      <w:r>
        <w:rPr>
          <w:i/>
        </w:rPr>
        <w:t xml:space="preserve">See infra </w:t>
      </w:r>
      <w:r>
        <w:t xml:space="preserve">Part </w:t>
      </w:r>
      <w:r>
        <w:fldChar w:fldCharType="begin"/>
      </w:r>
      <w:r>
        <w:instrText xml:space="preserve"> REF _Ref444468425 \r \h </w:instrText>
      </w:r>
      <w:r>
        <w:fldChar w:fldCharType="separate"/>
      </w:r>
      <w:r w:rsidR="00327397">
        <w:t>IV.A</w:t>
      </w:r>
      <w:r>
        <w:fldChar w:fldCharType="end"/>
      </w:r>
      <w:r>
        <w:t>.</w:t>
      </w:r>
    </w:p>
  </w:footnote>
  <w:footnote w:id="93">
    <w:p w:rsidR="00474D51" w:rsidRPr="00A553BA" w:rsidRDefault="00474D51" w:rsidP="00324CD5">
      <w:pPr>
        <w:pStyle w:val="FootnoteText"/>
      </w:pPr>
      <w:r>
        <w:rPr>
          <w:rStyle w:val="FootnoteReference"/>
        </w:rPr>
        <w:footnoteRef/>
      </w:r>
      <w:r>
        <w:t xml:space="preserve"> </w:t>
      </w:r>
      <w:r>
        <w:rPr>
          <w:i/>
        </w:rPr>
        <w:t xml:space="preserve">See infra </w:t>
      </w:r>
      <w:r>
        <w:t xml:space="preserve">Part </w:t>
      </w:r>
      <w:r>
        <w:fldChar w:fldCharType="begin"/>
      </w:r>
      <w:r>
        <w:instrText xml:space="preserve"> REF _Ref446511884 \r \h </w:instrText>
      </w:r>
      <w:r>
        <w:fldChar w:fldCharType="separate"/>
      </w:r>
      <w:r w:rsidR="00327397">
        <w:t>III.A.6</w:t>
      </w:r>
      <w:r>
        <w:fldChar w:fldCharType="end"/>
      </w:r>
      <w:r>
        <w:t>.</w:t>
      </w:r>
    </w:p>
  </w:footnote>
  <w:footnote w:id="94">
    <w:p w:rsidR="00474D51" w:rsidRPr="00A553BA" w:rsidRDefault="00474D51" w:rsidP="00324CD5">
      <w:pPr>
        <w:pStyle w:val="FootnoteText"/>
      </w:pPr>
      <w:r>
        <w:rPr>
          <w:rStyle w:val="FootnoteReference"/>
        </w:rPr>
        <w:footnoteRef/>
      </w:r>
      <w:r>
        <w:t xml:space="preserve"> </w:t>
      </w:r>
      <w:r>
        <w:rPr>
          <w:i/>
        </w:rPr>
        <w:t xml:space="preserve">See infra </w:t>
      </w:r>
      <w:r>
        <w:t xml:space="preserve">para. </w:t>
      </w:r>
      <w:r>
        <w:fldChar w:fldCharType="begin"/>
      </w:r>
      <w:r>
        <w:instrText xml:space="preserve"> REF _Ref446511951 \r \h </w:instrText>
      </w:r>
      <w:r>
        <w:fldChar w:fldCharType="separate"/>
      </w:r>
      <w:r w:rsidR="00327397">
        <w:t>60</w:t>
      </w:r>
      <w:r>
        <w:fldChar w:fldCharType="end"/>
      </w:r>
      <w:r>
        <w:t>.</w:t>
      </w:r>
    </w:p>
  </w:footnote>
  <w:footnote w:id="95">
    <w:p w:rsidR="00474D51" w:rsidRPr="00DE42E0" w:rsidRDefault="00474D51" w:rsidP="00324CD5">
      <w:pPr>
        <w:pStyle w:val="FootnoteText"/>
      </w:pPr>
      <w:r>
        <w:rPr>
          <w:rStyle w:val="FootnoteReference"/>
        </w:rPr>
        <w:footnoteRef/>
      </w:r>
      <w:r>
        <w:t xml:space="preserve"> </w:t>
      </w:r>
      <w:r>
        <w:rPr>
          <w:i/>
        </w:rPr>
        <w:t>See, e.g.</w:t>
      </w:r>
      <w:r w:rsidRPr="00FF7B80">
        <w:t xml:space="preserve">, </w:t>
      </w:r>
      <w:r>
        <w:t xml:space="preserve">Mary Madden &amp; Lee Rainie, Pew Research Center, Americans’ Attitudes About Privacy, Security and Surveillance, at 4 (2015), </w:t>
      </w:r>
      <w:r w:rsidRPr="001D4A4B">
        <w:t>http://www.pewinternet.org/files/2015/05/Privacy-and-Security-Attitudes-5.19.15_FINAL.pdf</w:t>
      </w:r>
      <w:r>
        <w:t xml:space="preserve"> (2015 Pew Report) (“The majority of Americans believe it is important – often ‘very important’ – that they be able to maintain privacy and confidentiality in commonplace activities of their lives.”); </w:t>
      </w:r>
      <w:r>
        <w:rPr>
          <w:i/>
        </w:rPr>
        <w:t>s</w:t>
      </w:r>
      <w:r w:rsidRPr="00145C47">
        <w:rPr>
          <w:i/>
        </w:rPr>
        <w:t>ee</w:t>
      </w:r>
      <w:r>
        <w:rPr>
          <w:i/>
        </w:rPr>
        <w:t xml:space="preserve"> also TerraCom NAL</w:t>
      </w:r>
      <w:r>
        <w:t>, 29 FCC Rcd at 13330, para. 14.</w:t>
      </w:r>
    </w:p>
  </w:footnote>
  <w:footnote w:id="96">
    <w:p w:rsidR="00474D51" w:rsidRPr="00E05B52" w:rsidRDefault="00474D51" w:rsidP="00324CD5">
      <w:pPr>
        <w:pStyle w:val="FootnoteText"/>
        <w:rPr>
          <w:i/>
        </w:rPr>
      </w:pPr>
      <w:r>
        <w:rPr>
          <w:rStyle w:val="FootnoteReference"/>
        </w:rPr>
        <w:footnoteRef/>
      </w:r>
      <w:r>
        <w:t xml:space="preserve"> </w:t>
      </w:r>
      <w:r>
        <w:rPr>
          <w:i/>
        </w:rPr>
        <w:t>See, e.g.</w:t>
      </w:r>
      <w:r w:rsidRPr="00672741">
        <w:t>,</w:t>
      </w:r>
      <w:r>
        <w:t xml:space="preserve"> 2012 FTC Privacy Report at v, vii-ix, 15-22; </w:t>
      </w:r>
      <w:r>
        <w:rPr>
          <w:i/>
        </w:rPr>
        <w:t xml:space="preserve">see also </w:t>
      </w:r>
      <w:r>
        <w:t xml:space="preserve">Letter from Matthew M. Polka, President &amp; CEO, Am. Cable Ass’n, et al., to The Honorable Tom Wheeler, Chairman, FCC (March 1, 2016), </w:t>
      </w:r>
      <w:r w:rsidRPr="000E38D8">
        <w:t>https://www.ncta.com/sites/prod/files/Letter-PrivacyPrinciples-3-1-16.pdf</w:t>
      </w:r>
      <w:r>
        <w:t>.</w:t>
      </w:r>
    </w:p>
  </w:footnote>
  <w:footnote w:id="97">
    <w:p w:rsidR="00474D51" w:rsidRDefault="00474D51" w:rsidP="00324CD5">
      <w:pPr>
        <w:pStyle w:val="FootnoteText"/>
      </w:pPr>
      <w:r>
        <w:rPr>
          <w:rStyle w:val="FootnoteReference"/>
        </w:rPr>
        <w:footnoteRef/>
      </w:r>
      <w:r>
        <w:t xml:space="preserve"> We note, however, that the Commission explained what customer proprietary information includes in the Lifeline context.  </w:t>
      </w:r>
      <w:r>
        <w:rPr>
          <w:i/>
        </w:rPr>
        <w:t>See TerraCom NAL</w:t>
      </w:r>
      <w:r>
        <w:t>, 29 FCC Rcd at 13331-32, para. 18.</w:t>
      </w:r>
    </w:p>
  </w:footnote>
  <w:footnote w:id="98">
    <w:p w:rsidR="00474D51" w:rsidRDefault="00474D51" w:rsidP="00324CD5">
      <w:pPr>
        <w:pStyle w:val="FootnoteText"/>
      </w:pPr>
      <w:r>
        <w:rPr>
          <w:rStyle w:val="FootnoteReference"/>
        </w:rPr>
        <w:footnoteRef/>
      </w:r>
      <w:r>
        <w:t xml:space="preserve"> </w:t>
      </w:r>
      <w:r>
        <w:rPr>
          <w:i/>
        </w:rPr>
        <w:t>See, e.g.</w:t>
      </w:r>
      <w:r w:rsidRPr="00555F1E">
        <w:t>,</w:t>
      </w:r>
      <w:r>
        <w:rPr>
          <w:i/>
        </w:rPr>
        <w:t xml:space="preserve"> </w:t>
      </w:r>
      <w:r>
        <w:t xml:space="preserve">Paul Ohm, </w:t>
      </w:r>
      <w:r>
        <w:rPr>
          <w:i/>
        </w:rPr>
        <w:t>Broken Promises of Privacy: Responding to the Surprising Failure of Anonymization</w:t>
      </w:r>
      <w:r>
        <w:t xml:space="preserve">, 57 UCLA L. Rev. 1701 (2010); </w:t>
      </w:r>
      <w:r>
        <w:rPr>
          <w:i/>
        </w:rPr>
        <w:t xml:space="preserve">see infra </w:t>
      </w:r>
      <w:r>
        <w:t xml:space="preserve">para. </w:t>
      </w:r>
      <w:r>
        <w:fldChar w:fldCharType="begin"/>
      </w:r>
      <w:r>
        <w:instrText xml:space="preserve"> REF _Ref446512059 \r \h </w:instrText>
      </w:r>
      <w:r>
        <w:fldChar w:fldCharType="separate"/>
      </w:r>
      <w:r w:rsidR="00327397">
        <w:t>157</w:t>
      </w:r>
      <w:r>
        <w:fldChar w:fldCharType="end"/>
      </w:r>
      <w:r>
        <w:t>.</w:t>
      </w:r>
    </w:p>
  </w:footnote>
  <w:footnote w:id="99">
    <w:p w:rsidR="00474D51" w:rsidRPr="007C784D" w:rsidRDefault="00474D51" w:rsidP="00324CD5">
      <w:pPr>
        <w:pStyle w:val="FootnoteText"/>
        <w:rPr>
          <w:i/>
        </w:rPr>
      </w:pPr>
      <w:r>
        <w:rPr>
          <w:rStyle w:val="FootnoteReference"/>
        </w:rPr>
        <w:footnoteRef/>
      </w:r>
      <w:r>
        <w:t xml:space="preserve"> In the </w:t>
      </w:r>
      <w:r>
        <w:rPr>
          <w:i/>
        </w:rPr>
        <w:t>TerraCom NAL</w:t>
      </w:r>
      <w:r>
        <w:t>,</w:t>
      </w:r>
      <w:r>
        <w:rPr>
          <w:i/>
        </w:rPr>
        <w:t xml:space="preserve"> </w:t>
      </w:r>
      <w:r>
        <w:t xml:space="preserve">we found NIST guidelines to be “informative” for determining the scope of PII; similarly, we use those guidelines to inform our proposals here.  </w:t>
      </w:r>
      <w:r>
        <w:rPr>
          <w:i/>
        </w:rPr>
        <w:t>See TerraCom NAL</w:t>
      </w:r>
      <w:r>
        <w:t xml:space="preserve">, 29 FCC Rcd at 13331, para. 17; </w:t>
      </w:r>
      <w:r w:rsidRPr="000265CA">
        <w:t>NIST</w:t>
      </w:r>
      <w:r>
        <w:t>, Guide to Protecting the Confidentiality of Personally Identifiable Information (PII)</w:t>
      </w:r>
      <w:r w:rsidRPr="000265CA">
        <w:t xml:space="preserve"> </w:t>
      </w:r>
      <w:r>
        <w:t xml:space="preserve">at § 2.1 (2010), </w:t>
      </w:r>
      <w:r w:rsidRPr="00D538FB">
        <w:t>http://www.nist.gov/customcf/get_pdf.cfm?pub_id=904990</w:t>
      </w:r>
      <w:r>
        <w:t xml:space="preserve"> (NIST PII Guide); 2012 FTC Privacy Report at 18-22.  </w:t>
      </w:r>
      <w:r>
        <w:rPr>
          <w:i/>
        </w:rPr>
        <w:t>See also Cox Consent Decree</w:t>
      </w:r>
      <w:r>
        <w:t>, 30 FCC Rcd at 12306-07, paras. 2(s), 4.</w:t>
      </w:r>
    </w:p>
  </w:footnote>
  <w:footnote w:id="100">
    <w:p w:rsidR="00474D51" w:rsidRPr="009704E5" w:rsidRDefault="00474D51" w:rsidP="00324CD5">
      <w:pPr>
        <w:pStyle w:val="FootnoteText"/>
      </w:pPr>
      <w:r>
        <w:rPr>
          <w:rStyle w:val="FootnoteReference"/>
        </w:rPr>
        <w:footnoteRef/>
      </w:r>
      <w:r>
        <w:t xml:space="preserve"> </w:t>
      </w:r>
      <w:r>
        <w:rPr>
          <w:i/>
        </w:rPr>
        <w:t xml:space="preserve">See infra </w:t>
      </w:r>
      <w:r>
        <w:t xml:space="preserve">Part </w:t>
      </w:r>
      <w:r>
        <w:fldChar w:fldCharType="begin"/>
      </w:r>
      <w:r>
        <w:instrText xml:space="preserve"> REF _Ref446512124 \r \h </w:instrText>
      </w:r>
      <w:r>
        <w:fldChar w:fldCharType="separate"/>
      </w:r>
      <w:r w:rsidR="00327397">
        <w:t>III.F</w:t>
      </w:r>
      <w:r>
        <w:fldChar w:fldCharType="end"/>
      </w:r>
      <w:r>
        <w:t>.</w:t>
      </w:r>
    </w:p>
  </w:footnote>
  <w:footnote w:id="101">
    <w:p w:rsidR="00474D51" w:rsidRPr="00F42015" w:rsidRDefault="00474D51" w:rsidP="00324CD5">
      <w:pPr>
        <w:pStyle w:val="FootnoteText"/>
      </w:pPr>
      <w:r>
        <w:rPr>
          <w:rStyle w:val="FootnoteReference"/>
        </w:rPr>
        <w:footnoteRef/>
      </w:r>
      <w:r>
        <w:t xml:space="preserve"> NIST PII Guide §§ 2.1-2.2.  NIST identifies “linked” information as “information about or related to an individual that is logically associated with other information about the individual” and “linkable” information as “information about or related to an individual for which there is a possibility of logical association with other information about the individual.”  </w:t>
      </w:r>
      <w:r>
        <w:rPr>
          <w:i/>
        </w:rPr>
        <w:t>Id.</w:t>
      </w:r>
    </w:p>
  </w:footnote>
  <w:footnote w:id="102">
    <w:p w:rsidR="00474D51" w:rsidRDefault="00474D51" w:rsidP="00324CD5">
      <w:pPr>
        <w:pStyle w:val="FootnoteText"/>
      </w:pPr>
      <w:r>
        <w:rPr>
          <w:rStyle w:val="FootnoteReference"/>
        </w:rPr>
        <w:footnoteRef/>
      </w:r>
      <w:r>
        <w:t xml:space="preserve"> 2012 FTC Privacy Report at 18-22.</w:t>
      </w:r>
    </w:p>
  </w:footnote>
  <w:footnote w:id="103">
    <w:p w:rsidR="00474D51" w:rsidRPr="00661B3F" w:rsidRDefault="00474D51" w:rsidP="00324CD5">
      <w:pPr>
        <w:pStyle w:val="FootnoteText"/>
      </w:pPr>
      <w:r>
        <w:rPr>
          <w:rStyle w:val="FootnoteReference"/>
        </w:rPr>
        <w:footnoteRef/>
      </w:r>
      <w:r>
        <w:t xml:space="preserve"> </w:t>
      </w:r>
      <w:r>
        <w:rPr>
          <w:i/>
        </w:rPr>
        <w:t xml:space="preserve">See </w:t>
      </w:r>
      <w:r>
        <w:t>34 CFR §§ 99.3(f), 303.29.</w:t>
      </w:r>
    </w:p>
  </w:footnote>
  <w:footnote w:id="104">
    <w:p w:rsidR="00474D51" w:rsidRPr="00661B3F" w:rsidRDefault="00474D51" w:rsidP="00324CD5">
      <w:pPr>
        <w:pStyle w:val="FootnoteText"/>
      </w:pPr>
      <w:r>
        <w:rPr>
          <w:rStyle w:val="FootnoteReference"/>
        </w:rPr>
        <w:footnoteRef/>
      </w:r>
      <w:r>
        <w:t xml:space="preserve"> </w:t>
      </w:r>
      <w:r>
        <w:rPr>
          <w:i/>
        </w:rPr>
        <w:t>See</w:t>
      </w:r>
      <w:r>
        <w:t xml:space="preserve"> 17 CFR § 227.305(b).</w:t>
      </w:r>
    </w:p>
  </w:footnote>
  <w:footnote w:id="105">
    <w:p w:rsidR="00474D51" w:rsidRPr="00661B3F" w:rsidRDefault="00474D51" w:rsidP="00324CD5">
      <w:pPr>
        <w:pStyle w:val="FootnoteText"/>
      </w:pPr>
      <w:r>
        <w:rPr>
          <w:rStyle w:val="FootnoteReference"/>
        </w:rPr>
        <w:footnoteRef/>
      </w:r>
      <w:r>
        <w:t xml:space="preserve"> </w:t>
      </w:r>
      <w:r>
        <w:rPr>
          <w:i/>
        </w:rPr>
        <w:t>See, e.g.</w:t>
      </w:r>
      <w:r>
        <w:t>, 32 CFR §§ 310.4, 311.3(g), 329.3.</w:t>
      </w:r>
    </w:p>
  </w:footnote>
  <w:footnote w:id="106">
    <w:p w:rsidR="00474D51" w:rsidRPr="00661B3F" w:rsidRDefault="00474D51" w:rsidP="00324CD5">
      <w:pPr>
        <w:pStyle w:val="FootnoteText"/>
      </w:pPr>
      <w:r>
        <w:rPr>
          <w:rStyle w:val="FootnoteReference"/>
        </w:rPr>
        <w:footnoteRef/>
      </w:r>
      <w:r>
        <w:t xml:space="preserve"> </w:t>
      </w:r>
      <w:r>
        <w:rPr>
          <w:i/>
        </w:rPr>
        <w:t>See</w:t>
      </w:r>
      <w:r>
        <w:t xml:space="preserve"> 6 CFR § 37.3.</w:t>
      </w:r>
    </w:p>
  </w:footnote>
  <w:footnote w:id="107">
    <w:p w:rsidR="00474D51" w:rsidRPr="00661B3F" w:rsidRDefault="00474D51" w:rsidP="00324CD5">
      <w:pPr>
        <w:pStyle w:val="FootnoteText"/>
      </w:pPr>
      <w:r>
        <w:rPr>
          <w:rStyle w:val="FootnoteReference"/>
        </w:rPr>
        <w:footnoteRef/>
      </w:r>
      <w:r>
        <w:t xml:space="preserve"> </w:t>
      </w:r>
      <w:r>
        <w:rPr>
          <w:i/>
        </w:rPr>
        <w:t xml:space="preserve">See </w:t>
      </w:r>
      <w:r>
        <w:t>45 CFR § 75.2.</w:t>
      </w:r>
    </w:p>
  </w:footnote>
  <w:footnote w:id="108">
    <w:p w:rsidR="00474D51" w:rsidRPr="00227F84" w:rsidRDefault="00474D51" w:rsidP="00324CD5">
      <w:pPr>
        <w:pStyle w:val="FootnoteText"/>
      </w:pPr>
      <w:r>
        <w:rPr>
          <w:rStyle w:val="FootnoteReference"/>
        </w:rPr>
        <w:footnoteRef/>
      </w:r>
      <w:r>
        <w:t xml:space="preserve"> </w:t>
      </w:r>
      <w:r>
        <w:rPr>
          <w:i/>
        </w:rPr>
        <w:t xml:space="preserve">See </w:t>
      </w:r>
      <w:r>
        <w:t xml:space="preserve">2 CFR § 200.79.  </w:t>
      </w:r>
      <w:r>
        <w:rPr>
          <w:i/>
        </w:rPr>
        <w:t>See also</w:t>
      </w:r>
      <w:r>
        <w:t xml:space="preserve"> Clay Johnson III, Deputy Dir. for Mgmt., Off. of Mgmt. and Budget, Safeguarding Against and Responding to the Breach of Personally Identifiable Information (2007), </w:t>
      </w:r>
      <w:hyperlink r:id="rId13" w:history="1">
        <w:r>
          <w:rPr>
            <w:rStyle w:val="Hyperlink"/>
          </w:rPr>
          <w:t>https://www.whitehouse.gov/sites/default/files/omb/memoranda/fy2007/m07-16.pdf</w:t>
        </w:r>
      </w:hyperlink>
      <w:r>
        <w:rPr>
          <w:color w:val="1F497D"/>
        </w:rPr>
        <w:t>.</w:t>
      </w:r>
    </w:p>
  </w:footnote>
  <w:footnote w:id="109">
    <w:p w:rsidR="00474D51" w:rsidRPr="0069586D" w:rsidRDefault="00474D51" w:rsidP="00324CD5">
      <w:pPr>
        <w:pStyle w:val="FootnoteText"/>
      </w:pPr>
      <w:r>
        <w:rPr>
          <w:rStyle w:val="FootnoteReference"/>
        </w:rPr>
        <w:footnoteRef/>
      </w:r>
      <w:r>
        <w:t xml:space="preserve"> </w:t>
      </w:r>
      <w:r>
        <w:rPr>
          <w:i/>
        </w:rPr>
        <w:t>See, e.g.</w:t>
      </w:r>
      <w:r w:rsidRPr="000E7CB2">
        <w:t>,</w:t>
      </w:r>
      <w:r>
        <w:rPr>
          <w:i/>
        </w:rPr>
        <w:t xml:space="preserve"> TerraCom NAL</w:t>
      </w:r>
      <w:r>
        <w:t xml:space="preserve">, 29 FCC Rcd at 13331-32, para. 18; </w:t>
      </w:r>
      <w:r>
        <w:rPr>
          <w:i/>
        </w:rPr>
        <w:t>s</w:t>
      </w:r>
      <w:r w:rsidRPr="007C784D">
        <w:rPr>
          <w:i/>
        </w:rPr>
        <w:t>ee also</w:t>
      </w:r>
      <w:r>
        <w:t xml:space="preserve"> </w:t>
      </w:r>
      <w:r>
        <w:rPr>
          <w:i/>
        </w:rPr>
        <w:t>AT&amp;T Services, Inc.</w:t>
      </w:r>
      <w:r>
        <w:t>, Order and Consent Decree, 30 FCC Rcd 2808, 2811, para. 2(s) (Enf. Bur. 2015) (</w:t>
      </w:r>
      <w:r>
        <w:rPr>
          <w:i/>
        </w:rPr>
        <w:t>AT&amp;T Consent Decree</w:t>
      </w:r>
      <w:r>
        <w:t>).</w:t>
      </w:r>
    </w:p>
  </w:footnote>
  <w:footnote w:id="110">
    <w:p w:rsidR="00474D51" w:rsidRPr="00CA750B" w:rsidRDefault="00474D51" w:rsidP="00324CD5">
      <w:pPr>
        <w:pStyle w:val="FootnoteText"/>
      </w:pPr>
      <w:r>
        <w:rPr>
          <w:rStyle w:val="FootnoteReference"/>
        </w:rPr>
        <w:footnoteRef/>
      </w:r>
      <w:r>
        <w:t xml:space="preserve"> </w:t>
      </w:r>
      <w:r>
        <w:rPr>
          <w:i/>
        </w:rPr>
        <w:t xml:space="preserve">See </w:t>
      </w:r>
      <w:r>
        <w:t>NIST PII Guide §§ 2.1-2.2.</w:t>
      </w:r>
    </w:p>
  </w:footnote>
  <w:footnote w:id="111">
    <w:p w:rsidR="00474D51" w:rsidRPr="002E2B4B" w:rsidRDefault="00474D51" w:rsidP="00324CD5">
      <w:pPr>
        <w:pStyle w:val="FootnoteText"/>
      </w:pPr>
      <w:r>
        <w:rPr>
          <w:rStyle w:val="FootnoteReference"/>
        </w:rPr>
        <w:footnoteRef/>
      </w:r>
      <w:r>
        <w:t xml:space="preserve"> </w:t>
      </w:r>
      <w:r>
        <w:rPr>
          <w:i/>
        </w:rPr>
        <w:t>See, e.g.</w:t>
      </w:r>
      <w:r>
        <w:t xml:space="preserve">, </w:t>
      </w:r>
      <w:r w:rsidRPr="003906A3">
        <w:rPr>
          <w:i/>
        </w:rPr>
        <w:t xml:space="preserve">In re Henry Schein Practice Solutions, Inc., </w:t>
      </w:r>
      <w:r w:rsidRPr="003906A3">
        <w:t>Agreement Containing Consent Order, F</w:t>
      </w:r>
      <w:r>
        <w:t>.</w:t>
      </w:r>
      <w:r w:rsidRPr="003906A3">
        <w:t>T</w:t>
      </w:r>
      <w:r>
        <w:t>.</w:t>
      </w:r>
      <w:r w:rsidRPr="003906A3">
        <w:t>C</w:t>
      </w:r>
      <w:r>
        <w:t>.</w:t>
      </w:r>
      <w:r w:rsidRPr="003906A3">
        <w:t xml:space="preserve"> File No. 142-3161, at 3 (2016)</w:t>
      </w:r>
      <w:r>
        <w:t xml:space="preserve">, </w:t>
      </w:r>
      <w:r w:rsidRPr="000255EF">
        <w:t>https://www.ftc.gov/enforcement/cases-proceedings/142-3161/henry-schein-practice-solutions-inc-matter</w:t>
      </w:r>
      <w:r w:rsidRPr="003906A3">
        <w:t>;</w:t>
      </w:r>
      <w:r w:rsidRPr="003906A3">
        <w:rPr>
          <w:i/>
        </w:rPr>
        <w:t xml:space="preserve"> In re Credit Karma, Inc., </w:t>
      </w:r>
      <w:r w:rsidRPr="003906A3">
        <w:t>Decision and Order, F</w:t>
      </w:r>
      <w:r>
        <w:t>.</w:t>
      </w:r>
      <w:r w:rsidRPr="003906A3">
        <w:t>T</w:t>
      </w:r>
      <w:r>
        <w:t>.</w:t>
      </w:r>
      <w:r w:rsidRPr="003906A3">
        <w:t>C</w:t>
      </w:r>
      <w:r>
        <w:t>.</w:t>
      </w:r>
      <w:r w:rsidRPr="003906A3">
        <w:t xml:space="preserve"> File No. 132-3091, at 2 (2014)</w:t>
      </w:r>
      <w:r>
        <w:t xml:space="preserve">, </w:t>
      </w:r>
      <w:r w:rsidRPr="000255EF">
        <w:t>https://www.ftc.gov/enforcement/cases-proceedings/132-3091/credit-karma-inc</w:t>
      </w:r>
      <w:r w:rsidRPr="003906A3">
        <w:t>;</w:t>
      </w:r>
      <w:r>
        <w:t xml:space="preserve"> </w:t>
      </w:r>
      <w:r>
        <w:rPr>
          <w:i/>
        </w:rPr>
        <w:t>Google Inc.</w:t>
      </w:r>
      <w:r>
        <w:t xml:space="preserve">, Decision and Order, F.T.C. File No. 102-3136, at 3 (2011), </w:t>
      </w:r>
      <w:r w:rsidRPr="000255EF">
        <w:t>https://www.ftc.gov/enforcement/cases-proceedings/102-3136/google-inc-matter</w:t>
      </w:r>
      <w:r>
        <w:t xml:space="preserve"> (</w:t>
      </w:r>
      <w:r>
        <w:rPr>
          <w:i/>
        </w:rPr>
        <w:t>Google Consent Order</w:t>
      </w:r>
      <w:r>
        <w:t xml:space="preserve">); </w:t>
      </w:r>
      <w:r>
        <w:rPr>
          <w:i/>
        </w:rPr>
        <w:t>see also Twitter Inc.</w:t>
      </w:r>
      <w:r w:rsidRPr="001177F5">
        <w:t>,</w:t>
      </w:r>
      <w:r>
        <w:t xml:space="preserve"> Decision and Order, F.T.C. File No. 92-3093, at 2 (2011), </w:t>
      </w:r>
      <w:r w:rsidRPr="000255EF">
        <w:t>https://www.ftc.gov/enforcement/cases-proceedings/092-3093/twitter-inc-corporation</w:t>
      </w:r>
      <w:r>
        <w:t xml:space="preserve"> (</w:t>
      </w:r>
      <w:r>
        <w:rPr>
          <w:i/>
        </w:rPr>
        <w:t>Twitter Consent Order</w:t>
      </w:r>
      <w:r>
        <w:t>).</w:t>
      </w:r>
    </w:p>
  </w:footnote>
  <w:footnote w:id="112">
    <w:p w:rsidR="00474D51" w:rsidRDefault="00474D51" w:rsidP="00324CD5">
      <w:pPr>
        <w:pStyle w:val="FootnoteText"/>
      </w:pPr>
      <w:r>
        <w:rPr>
          <w:rStyle w:val="FootnoteReference"/>
        </w:rPr>
        <w:footnoteRef/>
      </w:r>
      <w:r>
        <w:t xml:space="preserve"> Executive Office of the President, Administration Discussion Draft: Consumer Privacy Bill of Rights Act § 4(a)(1) (2015), </w:t>
      </w:r>
      <w:r w:rsidRPr="006234FD">
        <w:t>http://www.whitehouse.gov/sites/default/files/omb/legislative/letters/cpbr-act-of-2015-discussion-draft.pdf</w:t>
      </w:r>
      <w:r>
        <w:t xml:space="preserve"> (2015 Administration Discussion Draft).</w:t>
      </w:r>
    </w:p>
  </w:footnote>
  <w:footnote w:id="113">
    <w:p w:rsidR="00474D51" w:rsidRPr="001F4E77" w:rsidRDefault="00474D51" w:rsidP="00324CD5">
      <w:pPr>
        <w:pStyle w:val="FootnoteText"/>
      </w:pPr>
      <w:r>
        <w:rPr>
          <w:rStyle w:val="FootnoteReference"/>
        </w:rPr>
        <w:footnoteRef/>
      </w:r>
      <w:r>
        <w:t xml:space="preserve"> </w:t>
      </w:r>
      <w:r>
        <w:rPr>
          <w:i/>
        </w:rPr>
        <w:t>See, e.g.</w:t>
      </w:r>
      <w:r w:rsidRPr="000E7CB2">
        <w:t>,</w:t>
      </w:r>
      <w:r>
        <w:rPr>
          <w:i/>
        </w:rPr>
        <w:t xml:space="preserve"> </w:t>
      </w:r>
      <w:r>
        <w:t>Driver’s Privacy Protection Act, 18 U.S.C. § 2725(3)-(4); Children’s Online Privacy Protection Act, 15 U.S.C. § 6501(8); Children’s Online Privacy Protection Rule, 16 CFR § 312.2; Gramm-Leach-Bliley Act, 15 U.S.C. § 6809(4); California Online Privacy Protection Act of 2003, Cal. Bus. &amp; Prof. Code § 22577(a); California Consumer Protection Against Computer Spyware Act, Cal. Bus. &amp; Prof. Code § 22947.1(k); Cal. Civ. Code § 1798.82(h); Conn. Gen. Stat. Ann. § 36a-701b(a); N.Y. Gen. Bus. Law §§ 899-aa(1)(a), (b); La. Stat. Ann. § 51:3073(4); Fla. Stat. § 501.171(1)(g).</w:t>
      </w:r>
    </w:p>
  </w:footnote>
  <w:footnote w:id="114">
    <w:p w:rsidR="00474D51" w:rsidRPr="00544CAC" w:rsidRDefault="00474D51" w:rsidP="00324CD5">
      <w:pPr>
        <w:pStyle w:val="FootnoteText"/>
      </w:pPr>
      <w:r>
        <w:rPr>
          <w:rStyle w:val="FootnoteReference"/>
        </w:rPr>
        <w:footnoteRef/>
      </w:r>
      <w:r>
        <w:t xml:space="preserve"> </w:t>
      </w:r>
      <w:r>
        <w:rPr>
          <w:i/>
        </w:rPr>
        <w:t>See, e.g.</w:t>
      </w:r>
      <w:r>
        <w:t xml:space="preserve">, </w:t>
      </w:r>
      <w:r>
        <w:rPr>
          <w:i/>
        </w:rPr>
        <w:t>Verizon UIDH Consent Decree</w:t>
      </w:r>
      <w:r>
        <w:t xml:space="preserve"> at 2-6, paras. 3-12.</w:t>
      </w:r>
    </w:p>
  </w:footnote>
  <w:footnote w:id="115">
    <w:p w:rsidR="00474D51" w:rsidRPr="00F922FE" w:rsidRDefault="00474D51" w:rsidP="00324CD5">
      <w:pPr>
        <w:pStyle w:val="FootnoteText"/>
      </w:pPr>
      <w:r>
        <w:rPr>
          <w:rStyle w:val="FootnoteReference"/>
        </w:rPr>
        <w:footnoteRef/>
      </w:r>
      <w:r>
        <w:t xml:space="preserve"> </w:t>
      </w:r>
      <w:r>
        <w:rPr>
          <w:i/>
        </w:rPr>
        <w:t>See Riley v. California</w:t>
      </w:r>
      <w:r>
        <w:t xml:space="preserve">, 134 S. Ct. 2473, 2490 (2014) (“An Internet search and browsing history . . . could reveal an individual’s private interests or concerns—perhaps a search for certain symptoms of disease, coupled with frequent visits to WebMD.”).  </w:t>
      </w:r>
    </w:p>
  </w:footnote>
  <w:footnote w:id="116">
    <w:p w:rsidR="00474D51" w:rsidRPr="009704E5" w:rsidRDefault="00474D51" w:rsidP="00324CD5">
      <w:pPr>
        <w:pStyle w:val="FootnoteText"/>
      </w:pPr>
      <w:r>
        <w:rPr>
          <w:rStyle w:val="FootnoteReference"/>
        </w:rPr>
        <w:footnoteRef/>
      </w:r>
      <w:r>
        <w:t xml:space="preserve"> </w:t>
      </w:r>
      <w:r>
        <w:rPr>
          <w:i/>
        </w:rPr>
        <w:t xml:space="preserve">See supra </w:t>
      </w:r>
      <w:r>
        <w:t xml:space="preserve">para. </w:t>
      </w:r>
      <w:r>
        <w:fldChar w:fldCharType="begin"/>
      </w:r>
      <w:r>
        <w:instrText xml:space="preserve"> REF _Ref446512186 \r \h </w:instrText>
      </w:r>
      <w:r>
        <w:fldChar w:fldCharType="separate"/>
      </w:r>
      <w:r w:rsidR="00327397">
        <w:t>47</w:t>
      </w:r>
      <w:r>
        <w:fldChar w:fldCharType="end"/>
      </w:r>
      <w:r>
        <w:t>.</w:t>
      </w:r>
    </w:p>
  </w:footnote>
  <w:footnote w:id="117">
    <w:p w:rsidR="00474D51" w:rsidRPr="009704E5" w:rsidRDefault="00474D51" w:rsidP="00324CD5">
      <w:pPr>
        <w:pStyle w:val="FootnoteText"/>
      </w:pPr>
      <w:r>
        <w:rPr>
          <w:rStyle w:val="FootnoteReference"/>
        </w:rPr>
        <w:footnoteRef/>
      </w:r>
      <w:r>
        <w:t xml:space="preserve"> </w:t>
      </w:r>
      <w:r>
        <w:rPr>
          <w:i/>
        </w:rPr>
        <w:t>See Riley v. California</w:t>
      </w:r>
      <w:r>
        <w:t xml:space="preserve">, 134 S. Ct. at 2490.  </w:t>
      </w:r>
      <w:r>
        <w:rPr>
          <w:i/>
        </w:rPr>
        <w:t xml:space="preserve">See supra </w:t>
      </w:r>
      <w:r>
        <w:t xml:space="preserve">para. </w:t>
      </w:r>
      <w:r>
        <w:fldChar w:fldCharType="begin"/>
      </w:r>
      <w:r>
        <w:instrText xml:space="preserve"> REF _Ref446512213 \r \h </w:instrText>
      </w:r>
      <w:r>
        <w:fldChar w:fldCharType="separate"/>
      </w:r>
      <w:r w:rsidR="00327397">
        <w:t>51</w:t>
      </w:r>
      <w:r>
        <w:fldChar w:fldCharType="end"/>
      </w:r>
      <w:r>
        <w:t>.</w:t>
      </w:r>
    </w:p>
  </w:footnote>
  <w:footnote w:id="118">
    <w:p w:rsidR="00474D51" w:rsidRDefault="00474D51" w:rsidP="00324CD5">
      <w:pPr>
        <w:pStyle w:val="FootnoteText"/>
      </w:pPr>
      <w:r>
        <w:rPr>
          <w:rStyle w:val="FootnoteReference"/>
        </w:rPr>
        <w:footnoteRef/>
      </w:r>
      <w:r>
        <w:t xml:space="preserve"> </w:t>
      </w:r>
      <w:r w:rsidRPr="00A833E5">
        <w:t>We recognize not all of the above listed examples of PII are</w:t>
      </w:r>
      <w:r>
        <w:t xml:space="preserve"> necessarily</w:t>
      </w:r>
      <w:r w:rsidRPr="00A833E5">
        <w:t xml:space="preserve"> collected by BIAS providers currently, that others may be collected in the future, </w:t>
      </w:r>
      <w:r>
        <w:t>and that</w:t>
      </w:r>
      <w:r w:rsidRPr="00A833E5">
        <w:t xml:space="preserve"> some may never be collected.  But to the extent that any of these types of information come into the possession of BIAS providers</w:t>
      </w:r>
      <w:r>
        <w:t xml:space="preserve"> in connection with the provision of BIAS</w:t>
      </w:r>
      <w:r w:rsidRPr="00A833E5">
        <w:t xml:space="preserve">, </w:t>
      </w:r>
      <w:r>
        <w:t>Section</w:t>
      </w:r>
      <w:r w:rsidRPr="00A833E5">
        <w:t xml:space="preserve"> 222(a) </w:t>
      </w:r>
      <w:r>
        <w:t>should obligate</w:t>
      </w:r>
      <w:r w:rsidRPr="00A833E5">
        <w:t xml:space="preserve"> those providers to protect the confidentiality of that information.   </w:t>
      </w:r>
    </w:p>
  </w:footnote>
  <w:footnote w:id="119">
    <w:p w:rsidR="00474D51" w:rsidRDefault="00474D51" w:rsidP="00324CD5">
      <w:pPr>
        <w:pStyle w:val="FootnoteText"/>
      </w:pPr>
      <w:r>
        <w:rPr>
          <w:rStyle w:val="FootnoteReference"/>
        </w:rPr>
        <w:footnoteRef/>
      </w:r>
      <w:r>
        <w:t xml:space="preserve"> 47 U.S.C. §§ 222(h)(1), (h)(3).</w:t>
      </w:r>
    </w:p>
  </w:footnote>
  <w:footnote w:id="120">
    <w:p w:rsidR="00474D51" w:rsidRDefault="00474D51" w:rsidP="00324CD5">
      <w:pPr>
        <w:pStyle w:val="FootnoteText"/>
      </w:pPr>
      <w:r>
        <w:rPr>
          <w:rStyle w:val="FootnoteReference"/>
        </w:rPr>
        <w:footnoteRef/>
      </w:r>
      <w:r>
        <w:t xml:space="preserve"> </w:t>
      </w:r>
      <w:r>
        <w:rPr>
          <w:i/>
        </w:rPr>
        <w:t>Cf. Implementation of the Telecommunications Act of 1996: Telecommunications Carriers’ Use of Customer Proprietary Network Information and Other Customer Information</w:t>
      </w:r>
      <w:r>
        <w:t>, Order, 13 FCC Rcd 12390, 12395-97, paras. 8-9 (Common Carrier Bur. 1998) (</w:t>
      </w:r>
      <w:r>
        <w:rPr>
          <w:i/>
        </w:rPr>
        <w:t>1998 CPNI Clarification Order</w:t>
      </w:r>
      <w:r>
        <w:t xml:space="preserve">); </w:t>
      </w:r>
      <w:r>
        <w:rPr>
          <w:i/>
        </w:rPr>
        <w:t>Implementation of the Telecommunications Act of 1996: Telecommunications Carriers’ Use of Customer Proprietary Network Information and Other Customer Information; Implementation of the Non-Accounting Safeguards of Sections 271 and 272 of the Communications Act of 1934, As Amended</w:t>
      </w:r>
      <w:r>
        <w:t>, Order on Reconsideration and Petition for Forbearance, 14 FCC Rcd 14409, 14487-88, paras. 146-47 (1999) (</w:t>
      </w:r>
      <w:r>
        <w:rPr>
          <w:i/>
        </w:rPr>
        <w:t>1999 CPNI Reconsideration Order</w:t>
      </w:r>
      <w:r>
        <w:t>).</w:t>
      </w:r>
    </w:p>
  </w:footnote>
  <w:footnote w:id="121">
    <w:p w:rsidR="008269AC" w:rsidRPr="008269AC" w:rsidRDefault="008269AC" w:rsidP="008269AC">
      <w:pPr>
        <w:pStyle w:val="FootnoteText"/>
      </w:pPr>
      <w:r w:rsidRPr="00E60731">
        <w:rPr>
          <w:rStyle w:val="FootnoteReference"/>
        </w:rPr>
        <w:footnoteRef/>
      </w:r>
      <w:r w:rsidRPr="00E60731">
        <w:t xml:space="preserve"> </w:t>
      </w:r>
      <w:r w:rsidRPr="00E60731">
        <w:rPr>
          <w:i/>
        </w:rPr>
        <w:t>See</w:t>
      </w:r>
      <w:r>
        <w:rPr>
          <w:i/>
        </w:rPr>
        <w:t>, e.g.</w:t>
      </w:r>
      <w:r>
        <w:t>, 47 U.S.C. §§ 551(a)(2)(A), 338(i)(2)(A).</w:t>
      </w:r>
    </w:p>
  </w:footnote>
  <w:footnote w:id="122">
    <w:p w:rsidR="00474D51" w:rsidRPr="00596B73" w:rsidRDefault="00474D51" w:rsidP="00324CD5">
      <w:pPr>
        <w:pStyle w:val="FootnoteText"/>
      </w:pPr>
      <w:r>
        <w:rPr>
          <w:rStyle w:val="FootnoteReference"/>
        </w:rPr>
        <w:footnoteRef/>
      </w:r>
      <w:r>
        <w:t xml:space="preserve"> </w:t>
      </w:r>
      <w:r>
        <w:rPr>
          <w:i/>
        </w:rPr>
        <w:t>See, e.g.</w:t>
      </w:r>
      <w:r w:rsidRPr="00222A60">
        <w:t>,</w:t>
      </w:r>
      <w:r>
        <w:rPr>
          <w:i/>
        </w:rPr>
        <w:t xml:space="preserve"> Entick v. Carrington</w:t>
      </w:r>
      <w:r>
        <w:t>, 19 How. St. Tr. 1029 (C.P. 1765) (seizure of personal papers is a trespass);</w:t>
      </w:r>
      <w:r>
        <w:rPr>
          <w:i/>
        </w:rPr>
        <w:t xml:space="preserve"> Ex Parte Jackson</w:t>
      </w:r>
      <w:r>
        <w:t xml:space="preserve">, 96 U.S. 727 (1877) (warrant required to search contents of mail); </w:t>
      </w:r>
      <w:r>
        <w:rPr>
          <w:i/>
        </w:rPr>
        <w:t>Boyd v. United States</w:t>
      </w:r>
      <w:r>
        <w:t xml:space="preserve">, 116 U.S. 616 (1886) (seizure of personal papers is a trespass); </w:t>
      </w:r>
      <w:r>
        <w:rPr>
          <w:i/>
        </w:rPr>
        <w:t>Olmstead v. United States</w:t>
      </w:r>
      <w:r>
        <w:t xml:space="preserve">, 277 U.S. 438, 471-85 (1928) (Brandeis, J., dissenting) (telephone wiretaps violate right to privacy); </w:t>
      </w:r>
      <w:r>
        <w:rPr>
          <w:i/>
        </w:rPr>
        <w:t>Katz v. United States</w:t>
      </w:r>
      <w:r>
        <w:t xml:space="preserve">, 389 U.S. 347 (1967) (reasonable expectation of privacy in the content of telephone conversations); </w:t>
      </w:r>
      <w:r>
        <w:rPr>
          <w:i/>
        </w:rPr>
        <w:t>Riley v. California</w:t>
      </w:r>
      <w:r>
        <w:t>, 134 S.Ct. 2473 (2014) (searching contents of cell phone requires warrant).</w:t>
      </w:r>
    </w:p>
  </w:footnote>
  <w:footnote w:id="123">
    <w:p w:rsidR="00474D51" w:rsidRDefault="00474D51" w:rsidP="00324CD5">
      <w:pPr>
        <w:pStyle w:val="FootnoteText"/>
      </w:pPr>
      <w:r>
        <w:rPr>
          <w:rStyle w:val="FootnoteReference"/>
        </w:rPr>
        <w:footnoteRef/>
      </w:r>
      <w:r>
        <w:t xml:space="preserve">  The Electronic Communications Privacy Act of 1986, Pub. L. 99-508, 100 Stat. 1848, enacted chapters 121 and 206 and substantially amended chapter 119 of Title 18 of the United States Code.  Chapters 119, 121, and 206 are separately referred to, respectively, as the Wiretap Act, 18 U.S.C. §§ 2510-2522; the Stored Communications Act, 18 U.S.C. §§ 2701-2712; and the Pen Register and Trap and Trace Devices Statute, 18 U.S.C. §§ 3121-3127.  The three chapters may be collectively referred to as ECPA.  </w:t>
      </w:r>
      <w:r>
        <w:rPr>
          <w:i/>
        </w:rPr>
        <w:t>See also</w:t>
      </w:r>
      <w:r>
        <w:t xml:space="preserve"> Communications Assistance for Law Enforcement Act (CALEA), Pub. L. No. 103-414, 108 Stat. 4279 (codified at 47 U.S.C. §§ 1001 </w:t>
      </w:r>
      <w:r w:rsidRPr="00CF7ECD">
        <w:rPr>
          <w:i/>
        </w:rPr>
        <w:t>et seq</w:t>
      </w:r>
      <w:r>
        <w:t>.); 47 U.S.C. § 605.</w:t>
      </w:r>
    </w:p>
  </w:footnote>
  <w:footnote w:id="124">
    <w:p w:rsidR="00474D51" w:rsidRDefault="00474D51" w:rsidP="00324CD5">
      <w:pPr>
        <w:pStyle w:val="FootnoteText"/>
      </w:pPr>
      <w:r>
        <w:rPr>
          <w:rStyle w:val="FootnoteReference"/>
        </w:rPr>
        <w:footnoteRef/>
      </w:r>
      <w:r>
        <w:t xml:space="preserve"> </w:t>
      </w:r>
      <w:r w:rsidR="00B5038C">
        <w:t>18 U.S.C. §§ 2510-2522, 2701-2712,</w:t>
      </w:r>
      <w:r>
        <w:t xml:space="preserve"> 3121-3127.</w:t>
      </w:r>
    </w:p>
  </w:footnote>
  <w:footnote w:id="125">
    <w:p w:rsidR="00474D51" w:rsidRPr="00004227" w:rsidRDefault="00474D51" w:rsidP="00324CD5">
      <w:pPr>
        <w:pStyle w:val="FootnoteText"/>
      </w:pPr>
      <w:r>
        <w:rPr>
          <w:rStyle w:val="FootnoteReference"/>
        </w:rPr>
        <w:footnoteRef/>
      </w:r>
      <w:r>
        <w:t xml:space="preserve"> 47 U.S.C. § 605.</w:t>
      </w:r>
    </w:p>
  </w:footnote>
  <w:footnote w:id="126">
    <w:p w:rsidR="00474D51" w:rsidRPr="0033391E" w:rsidRDefault="00474D51" w:rsidP="00324CD5">
      <w:pPr>
        <w:pStyle w:val="FootnoteText"/>
      </w:pPr>
      <w:r>
        <w:rPr>
          <w:rStyle w:val="FootnoteReference"/>
        </w:rPr>
        <w:footnoteRef/>
      </w:r>
      <w:r>
        <w:t xml:space="preserve"> </w:t>
      </w:r>
      <w:r w:rsidRPr="004448CD">
        <w:rPr>
          <w:i/>
        </w:rPr>
        <w:t xml:space="preserve">See infra </w:t>
      </w:r>
      <w:r>
        <w:t xml:space="preserve">Part </w:t>
      </w:r>
      <w:r>
        <w:fldChar w:fldCharType="begin"/>
      </w:r>
      <w:r>
        <w:instrText xml:space="preserve"> REF _Ref446512387 \r \h </w:instrText>
      </w:r>
      <w:r>
        <w:fldChar w:fldCharType="separate"/>
      </w:r>
      <w:r w:rsidR="00327397">
        <w:t>III.C.1.b</w:t>
      </w:r>
      <w:r>
        <w:fldChar w:fldCharType="end"/>
      </w:r>
      <w:r>
        <w:t>;</w:t>
      </w:r>
      <w:r w:rsidRPr="004448CD">
        <w:t xml:space="preserve"> </w:t>
      </w:r>
      <w:r>
        <w:rPr>
          <w:i/>
        </w:rPr>
        <w:t>s</w:t>
      </w:r>
      <w:r w:rsidRPr="004448CD">
        <w:rPr>
          <w:i/>
        </w:rPr>
        <w:t xml:space="preserve">ee also infra </w:t>
      </w:r>
      <w:r>
        <w:t>Part</w:t>
      </w:r>
      <w:r w:rsidRPr="004448CD">
        <w:t xml:space="preserve"> </w:t>
      </w:r>
      <w:r>
        <w:fldChar w:fldCharType="begin"/>
      </w:r>
      <w:r>
        <w:instrText xml:space="preserve"> REF _Ref446512436 \r \h </w:instrText>
      </w:r>
      <w:r>
        <w:fldChar w:fldCharType="separate"/>
      </w:r>
      <w:r w:rsidR="00327397">
        <w:t>III.C.2</w:t>
      </w:r>
      <w:r>
        <w:fldChar w:fldCharType="end"/>
      </w:r>
      <w:r w:rsidRPr="004448CD">
        <w:t xml:space="preserve"> for a discussion of the </w:t>
      </w:r>
      <w:r w:rsidRPr="004448CD">
        <w:rPr>
          <w:szCs w:val="22"/>
        </w:rPr>
        <w:t>appropriate method and timing for soliciting customer opt-out and opt-in approval</w:t>
      </w:r>
      <w:r w:rsidRPr="004448CD">
        <w:t>.</w:t>
      </w:r>
    </w:p>
  </w:footnote>
  <w:footnote w:id="127">
    <w:p w:rsidR="00474D51" w:rsidRPr="0075110A" w:rsidRDefault="00474D51" w:rsidP="00324CD5">
      <w:pPr>
        <w:pStyle w:val="FootnoteText"/>
      </w:pPr>
      <w:r>
        <w:rPr>
          <w:rStyle w:val="FootnoteReference"/>
        </w:rPr>
        <w:footnoteRef/>
      </w:r>
      <w:r>
        <w:t xml:space="preserve"> </w:t>
      </w:r>
      <w:r>
        <w:rPr>
          <w:i/>
        </w:rPr>
        <w:t xml:space="preserve">See </w:t>
      </w:r>
      <w:r>
        <w:t>47 CFR § 64.2003(l).</w:t>
      </w:r>
    </w:p>
  </w:footnote>
  <w:footnote w:id="128">
    <w:p w:rsidR="00474D51" w:rsidRDefault="00474D51" w:rsidP="00324CD5">
      <w:pPr>
        <w:pStyle w:val="FootnoteText"/>
      </w:pPr>
      <w:r>
        <w:rPr>
          <w:rStyle w:val="FootnoteReference"/>
        </w:rPr>
        <w:footnoteRef/>
      </w:r>
      <w:r>
        <w:t xml:space="preserve"> </w:t>
      </w:r>
      <w:r>
        <w:rPr>
          <w:i/>
        </w:rPr>
        <w:t xml:space="preserve">See </w:t>
      </w:r>
      <w:r w:rsidRPr="00940104">
        <w:rPr>
          <w:i/>
        </w:rPr>
        <w:t>id.</w:t>
      </w:r>
      <w:r>
        <w:t xml:space="preserve"> (“[A] customer is deemed to have consented to the use, disclosure, or access to the customer’s CPNI if the customer has failed to object thereto within the waiting period described in § 64.2008(d)(1)”); 47 CFR § 64.2008(d)(1).</w:t>
      </w:r>
    </w:p>
  </w:footnote>
  <w:footnote w:id="129">
    <w:p w:rsidR="00474D51" w:rsidRPr="009B33FA" w:rsidRDefault="00474D51" w:rsidP="00324CD5">
      <w:pPr>
        <w:pStyle w:val="FootnoteText"/>
      </w:pPr>
      <w:r>
        <w:rPr>
          <w:rStyle w:val="FootnoteReference"/>
        </w:rPr>
        <w:footnoteRef/>
      </w:r>
      <w:r>
        <w:t xml:space="preserve"> </w:t>
      </w:r>
      <w:r>
        <w:rPr>
          <w:i/>
        </w:rPr>
        <w:t xml:space="preserve">See infra </w:t>
      </w:r>
      <w:r>
        <w:t xml:space="preserve">Part </w:t>
      </w:r>
      <w:r>
        <w:fldChar w:fldCharType="begin"/>
      </w:r>
      <w:r>
        <w:instrText xml:space="preserve"> REF _Ref446512459 \r \h </w:instrText>
      </w:r>
      <w:r>
        <w:fldChar w:fldCharType="separate"/>
      </w:r>
      <w:r w:rsidR="00327397">
        <w:t>III.C.2</w:t>
      </w:r>
      <w:r>
        <w:fldChar w:fldCharType="end"/>
      </w:r>
      <w:r>
        <w:t>.</w:t>
      </w:r>
    </w:p>
  </w:footnote>
  <w:footnote w:id="130">
    <w:p w:rsidR="00474D51" w:rsidRPr="00DE3AF8" w:rsidRDefault="00474D51" w:rsidP="00324CD5">
      <w:pPr>
        <w:pStyle w:val="FootnoteText"/>
      </w:pPr>
      <w:r w:rsidRPr="004448CD">
        <w:rPr>
          <w:rStyle w:val="FootnoteReference"/>
        </w:rPr>
        <w:footnoteRef/>
      </w:r>
      <w:r w:rsidRPr="004448CD">
        <w:t xml:space="preserve"> </w:t>
      </w:r>
      <w:r w:rsidRPr="004448CD">
        <w:rPr>
          <w:i/>
        </w:rPr>
        <w:t xml:space="preserve">See infra </w:t>
      </w:r>
      <w:r>
        <w:t>Part</w:t>
      </w:r>
      <w:r w:rsidRPr="004448CD">
        <w:t xml:space="preserve"> </w:t>
      </w:r>
      <w:r>
        <w:fldChar w:fldCharType="begin"/>
      </w:r>
      <w:r>
        <w:instrText xml:space="preserve"> REF _Ref446512588 \r \h </w:instrText>
      </w:r>
      <w:r>
        <w:fldChar w:fldCharType="separate"/>
      </w:r>
      <w:r w:rsidR="00327397">
        <w:t>III.C.1.c</w:t>
      </w:r>
      <w:r>
        <w:fldChar w:fldCharType="end"/>
      </w:r>
      <w:r w:rsidRPr="004448CD">
        <w:t xml:space="preserve">.  </w:t>
      </w:r>
      <w:r w:rsidRPr="004448CD">
        <w:rPr>
          <w:i/>
        </w:rPr>
        <w:t>See</w:t>
      </w:r>
      <w:r w:rsidRPr="004448CD">
        <w:t xml:space="preserve"> </w:t>
      </w:r>
      <w:r w:rsidRPr="004448CD">
        <w:rPr>
          <w:i/>
        </w:rPr>
        <w:t xml:space="preserve">also infra </w:t>
      </w:r>
      <w:r>
        <w:t>Part</w:t>
      </w:r>
      <w:r w:rsidRPr="004448CD">
        <w:t xml:space="preserve"> </w:t>
      </w:r>
      <w:r>
        <w:fldChar w:fldCharType="begin"/>
      </w:r>
      <w:r>
        <w:instrText xml:space="preserve"> REF _Ref446512598 \r \h </w:instrText>
      </w:r>
      <w:r>
        <w:fldChar w:fldCharType="separate"/>
      </w:r>
      <w:r w:rsidR="00327397">
        <w:t>III.C.2</w:t>
      </w:r>
      <w:r>
        <w:fldChar w:fldCharType="end"/>
      </w:r>
      <w:r w:rsidRPr="004448CD">
        <w:t xml:space="preserve"> for a discussion of the </w:t>
      </w:r>
      <w:r w:rsidRPr="004448CD">
        <w:rPr>
          <w:szCs w:val="22"/>
        </w:rPr>
        <w:t>appropriate method and timing for soliciting customer opt-out and opt-in approval</w:t>
      </w:r>
      <w:r w:rsidRPr="004448CD">
        <w:t>.</w:t>
      </w:r>
    </w:p>
  </w:footnote>
  <w:footnote w:id="131">
    <w:p w:rsidR="00474D51" w:rsidRDefault="00474D51" w:rsidP="00324CD5">
      <w:pPr>
        <w:pStyle w:val="FootnoteText"/>
      </w:pPr>
      <w:r>
        <w:rPr>
          <w:rStyle w:val="FootnoteReference"/>
        </w:rPr>
        <w:footnoteRef/>
      </w:r>
      <w:r>
        <w:t xml:space="preserve"> </w:t>
      </w:r>
      <w:r>
        <w:rPr>
          <w:i/>
        </w:rPr>
        <w:t xml:space="preserve">See </w:t>
      </w:r>
      <w:r>
        <w:t>47 CFR</w:t>
      </w:r>
      <w:r w:rsidRPr="0021262B">
        <w:t xml:space="preserve"> </w:t>
      </w:r>
      <w:r w:rsidRPr="0021262B">
        <w:rPr>
          <w:shd w:val="clear" w:color="auto" w:fill="FFFFFF"/>
        </w:rPr>
        <w:t>§ 64.2003(k).</w:t>
      </w:r>
    </w:p>
  </w:footnote>
  <w:footnote w:id="132">
    <w:p w:rsidR="00474D51" w:rsidRDefault="00474D51" w:rsidP="00324CD5">
      <w:pPr>
        <w:pStyle w:val="FootnoteText"/>
      </w:pPr>
      <w:r>
        <w:rPr>
          <w:rStyle w:val="FootnoteReference"/>
        </w:rPr>
        <w:footnoteRef/>
      </w:r>
      <w:r>
        <w:t xml:space="preserve"> </w:t>
      </w:r>
      <w:r w:rsidRPr="004448CD">
        <w:rPr>
          <w:i/>
        </w:rPr>
        <w:t xml:space="preserve">See infra </w:t>
      </w:r>
      <w:r>
        <w:t xml:space="preserve">Part </w:t>
      </w:r>
      <w:r>
        <w:fldChar w:fldCharType="begin"/>
      </w:r>
      <w:r>
        <w:instrText xml:space="preserve"> REF _Ref446512626 \r \h </w:instrText>
      </w:r>
      <w:r>
        <w:fldChar w:fldCharType="separate"/>
      </w:r>
      <w:r w:rsidR="00327397">
        <w:t>III.C.1.b</w:t>
      </w:r>
      <w:r>
        <w:fldChar w:fldCharType="end"/>
      </w:r>
      <w:r>
        <w:t>.</w:t>
      </w:r>
    </w:p>
  </w:footnote>
  <w:footnote w:id="133">
    <w:p w:rsidR="00474D51" w:rsidRDefault="00474D51" w:rsidP="00324CD5">
      <w:pPr>
        <w:pStyle w:val="FootnoteText"/>
      </w:pPr>
      <w:r>
        <w:rPr>
          <w:rStyle w:val="FootnoteReference"/>
        </w:rPr>
        <w:footnoteRef/>
      </w:r>
      <w:r>
        <w:t xml:space="preserve"> 47 CFR § 64.2003(e).</w:t>
      </w:r>
    </w:p>
  </w:footnote>
  <w:footnote w:id="134">
    <w:p w:rsidR="00474D51" w:rsidRDefault="00474D51" w:rsidP="00324CD5">
      <w:pPr>
        <w:pStyle w:val="FootnoteText"/>
      </w:pPr>
      <w:r>
        <w:rPr>
          <w:rStyle w:val="FootnoteReference"/>
        </w:rPr>
        <w:footnoteRef/>
      </w:r>
      <w:r>
        <w:t xml:space="preserve"> 47 CFR § 64.2003(i).</w:t>
      </w:r>
    </w:p>
  </w:footnote>
  <w:footnote w:id="135">
    <w:p w:rsidR="00474D51" w:rsidRPr="005F35B1" w:rsidRDefault="00474D51" w:rsidP="00324CD5">
      <w:pPr>
        <w:pStyle w:val="FootnoteText"/>
      </w:pPr>
      <w:r>
        <w:rPr>
          <w:rStyle w:val="FootnoteReference"/>
        </w:rPr>
        <w:footnoteRef/>
      </w:r>
      <w:r>
        <w:t xml:space="preserve"> </w:t>
      </w:r>
      <w:r>
        <w:rPr>
          <w:i/>
        </w:rPr>
        <w:t>Id.</w:t>
      </w:r>
    </w:p>
  </w:footnote>
  <w:footnote w:id="136">
    <w:p w:rsidR="00474D51" w:rsidRDefault="00474D51" w:rsidP="00324CD5">
      <w:pPr>
        <w:pStyle w:val="FootnoteText"/>
      </w:pPr>
      <w:r>
        <w:rPr>
          <w:rStyle w:val="FootnoteReference"/>
        </w:rPr>
        <w:footnoteRef/>
      </w:r>
      <w:r>
        <w:t xml:space="preserve"> </w:t>
      </w:r>
      <w:r w:rsidRPr="004448CD">
        <w:rPr>
          <w:i/>
        </w:rPr>
        <w:t xml:space="preserve">See infra </w:t>
      </w:r>
      <w:r>
        <w:t xml:space="preserve">Part </w:t>
      </w:r>
      <w:r>
        <w:fldChar w:fldCharType="begin"/>
      </w:r>
      <w:r>
        <w:instrText xml:space="preserve"> REF _Ref446512626 \r \h </w:instrText>
      </w:r>
      <w:r>
        <w:fldChar w:fldCharType="separate"/>
      </w:r>
      <w:r w:rsidR="00327397">
        <w:t>III.C.1.b</w:t>
      </w:r>
      <w:r>
        <w:fldChar w:fldCharType="end"/>
      </w:r>
      <w:r>
        <w:t>.</w:t>
      </w:r>
    </w:p>
  </w:footnote>
  <w:footnote w:id="137">
    <w:p w:rsidR="00474D51" w:rsidRPr="003E6EF5" w:rsidRDefault="00474D51" w:rsidP="00324CD5">
      <w:pPr>
        <w:pStyle w:val="FootnoteText"/>
      </w:pPr>
      <w:r>
        <w:rPr>
          <w:rStyle w:val="FootnoteReference"/>
        </w:rPr>
        <w:footnoteRef/>
      </w:r>
      <w:r>
        <w:t xml:space="preserve"> </w:t>
      </w:r>
      <w:r>
        <w:rPr>
          <w:i/>
        </w:rPr>
        <w:t xml:space="preserve">See </w:t>
      </w:r>
      <w:r>
        <w:t>47 U.S.C. § 222(h)(2).</w:t>
      </w:r>
    </w:p>
  </w:footnote>
  <w:footnote w:id="138">
    <w:p w:rsidR="00474D51" w:rsidRPr="00527EEF" w:rsidRDefault="00474D51" w:rsidP="00324CD5">
      <w:pPr>
        <w:pStyle w:val="FootnoteText"/>
      </w:pPr>
      <w:r>
        <w:rPr>
          <w:rStyle w:val="FootnoteReference"/>
        </w:rPr>
        <w:footnoteRef/>
      </w:r>
      <w:r>
        <w:t xml:space="preserve"> </w:t>
      </w:r>
      <w:r>
        <w:rPr>
          <w:i/>
        </w:rPr>
        <w:t xml:space="preserve">See infra </w:t>
      </w:r>
      <w:r>
        <w:t>Part</w:t>
      </w:r>
      <w:r w:rsidR="0021262B">
        <w:t xml:space="preserve"> </w:t>
      </w:r>
      <w:r w:rsidR="0021262B">
        <w:fldChar w:fldCharType="begin"/>
      </w:r>
      <w:r w:rsidR="0021262B">
        <w:instrText xml:space="preserve"> REF _Ref447124015 \r \h </w:instrText>
      </w:r>
      <w:r w:rsidR="0021262B">
        <w:fldChar w:fldCharType="separate"/>
      </w:r>
      <w:r w:rsidR="0021262B">
        <w:t>III.D</w:t>
      </w:r>
      <w:r w:rsidR="0021262B">
        <w:fldChar w:fldCharType="end"/>
      </w:r>
      <w:r>
        <w:t>.</w:t>
      </w:r>
    </w:p>
  </w:footnote>
  <w:footnote w:id="139">
    <w:p w:rsidR="00474D51" w:rsidRDefault="00474D51" w:rsidP="00324CD5">
      <w:pPr>
        <w:pStyle w:val="FootnoteText"/>
      </w:pPr>
      <w:r>
        <w:rPr>
          <w:rStyle w:val="FootnoteReference"/>
        </w:rPr>
        <w:footnoteRef/>
      </w:r>
      <w:r>
        <w:t xml:space="preserve"> The Commission’s existing rules explain that “a ‘breach’ has occurred when a person, without authorization or exceeding authorization, has intentionally gained access to, use, or disclosed CPNI.”  47 CFR § 64.2011(e).</w:t>
      </w:r>
    </w:p>
  </w:footnote>
  <w:footnote w:id="140">
    <w:p w:rsidR="00474D51" w:rsidRPr="00015D09" w:rsidRDefault="00474D51" w:rsidP="00324CD5">
      <w:pPr>
        <w:pStyle w:val="FootnoteText"/>
      </w:pPr>
      <w:r>
        <w:rPr>
          <w:rStyle w:val="FootnoteReference"/>
        </w:rPr>
        <w:footnoteRef/>
      </w:r>
      <w:r>
        <w:t xml:space="preserve"> </w:t>
      </w:r>
      <w:r>
        <w:rPr>
          <w:i/>
        </w:rPr>
        <w:t>See, e.g.</w:t>
      </w:r>
      <w:r>
        <w:t xml:space="preserve">, </w:t>
      </w:r>
      <w:r w:rsidRPr="001F0977">
        <w:t xml:space="preserve">Alaska Stat. </w:t>
      </w:r>
      <w:r w:rsidRPr="001F0977">
        <w:rPr>
          <w:color w:val="000000"/>
          <w:shd w:val="clear" w:color="auto" w:fill="FFFFFF"/>
        </w:rPr>
        <w:t>§</w:t>
      </w:r>
      <w:r>
        <w:rPr>
          <w:color w:val="000000"/>
          <w:shd w:val="clear" w:color="auto" w:fill="FFFFFF"/>
        </w:rPr>
        <w:t xml:space="preserve"> </w:t>
      </w:r>
      <w:r w:rsidRPr="001F0977">
        <w:t>45.48.090</w:t>
      </w:r>
      <w:r>
        <w:t xml:space="preserve">; </w:t>
      </w:r>
      <w:r w:rsidRPr="001F0977">
        <w:t>Ga. Code Ann. §</w:t>
      </w:r>
      <w:r>
        <w:t xml:space="preserve"> </w:t>
      </w:r>
      <w:r w:rsidRPr="001F0977">
        <w:t>10-1-911(1)</w:t>
      </w:r>
      <w:r>
        <w:t xml:space="preserve">; </w:t>
      </w:r>
      <w:r w:rsidRPr="001F0977">
        <w:t>Ariz</w:t>
      </w:r>
      <w:r>
        <w:t>.</w:t>
      </w:r>
      <w:r w:rsidRPr="001F0977">
        <w:t xml:space="preserve"> Rev. Stat. §</w:t>
      </w:r>
      <w:r>
        <w:t xml:space="preserve"> </w:t>
      </w:r>
      <w:r w:rsidRPr="001F0977">
        <w:t>44-7501(L)(1)</w:t>
      </w:r>
      <w:r>
        <w:t>.</w:t>
      </w:r>
    </w:p>
  </w:footnote>
  <w:footnote w:id="141">
    <w:p w:rsidR="00474D51" w:rsidRPr="00431462" w:rsidRDefault="00474D51" w:rsidP="00324CD5">
      <w:pPr>
        <w:pStyle w:val="FootnoteText"/>
      </w:pPr>
      <w:r>
        <w:rPr>
          <w:rStyle w:val="FootnoteReference"/>
        </w:rPr>
        <w:footnoteRef/>
      </w:r>
      <w:r>
        <w:t xml:space="preserve"> </w:t>
      </w:r>
      <w:r>
        <w:rPr>
          <w:i/>
        </w:rPr>
        <w:t>See, e.g.</w:t>
      </w:r>
      <w:r>
        <w:t xml:space="preserve">, </w:t>
      </w:r>
      <w:r w:rsidRPr="001617EF">
        <w:t>Haw. Stat. Rev. §</w:t>
      </w:r>
      <w:r>
        <w:t xml:space="preserve"> </w:t>
      </w:r>
      <w:r w:rsidRPr="001617EF">
        <w:t>487N-1 (“Good faith acquisition of personal information by an employee or agent of the business for a legitimate purpose is not a security breach, provided that the personal information is not used for a purpose other than a lawful purpose of the business and is not subject to further unauthorized disclosure.”).</w:t>
      </w:r>
    </w:p>
  </w:footnote>
  <w:footnote w:id="142">
    <w:p w:rsidR="00474D51" w:rsidRPr="00D42AD0" w:rsidRDefault="00474D51" w:rsidP="00324CD5">
      <w:pPr>
        <w:pStyle w:val="FootnoteText"/>
      </w:pPr>
      <w:r>
        <w:rPr>
          <w:rStyle w:val="FootnoteReference"/>
        </w:rPr>
        <w:footnoteRef/>
      </w:r>
      <w:r>
        <w:t xml:space="preserve"> 47 U.S.C. § 153(16); 47 CFR § 64.2003(h).</w:t>
      </w:r>
    </w:p>
  </w:footnote>
  <w:footnote w:id="143">
    <w:p w:rsidR="00474D51" w:rsidRPr="005860A5" w:rsidRDefault="00474D51" w:rsidP="00324CD5">
      <w:pPr>
        <w:pStyle w:val="FootnoteText"/>
      </w:pPr>
      <w:r>
        <w:rPr>
          <w:rStyle w:val="FootnoteReference"/>
        </w:rPr>
        <w:footnoteRef/>
      </w:r>
      <w:r>
        <w:t xml:space="preserve"> </w:t>
      </w:r>
      <w:r>
        <w:rPr>
          <w:i/>
        </w:rPr>
        <w:t xml:space="preserve">See supra </w:t>
      </w:r>
      <w:r>
        <w:t xml:space="preserve">para. </w:t>
      </w:r>
      <w:r>
        <w:fldChar w:fldCharType="begin"/>
      </w:r>
      <w:r>
        <w:instrText xml:space="preserve"> REF _Ref446512733 \r \h </w:instrText>
      </w:r>
      <w:r>
        <w:fldChar w:fldCharType="separate"/>
      </w:r>
      <w:r w:rsidR="00327397">
        <w:t>52</w:t>
      </w:r>
      <w:r>
        <w:fldChar w:fldCharType="end"/>
      </w:r>
      <w:r>
        <w:t>.</w:t>
      </w:r>
    </w:p>
  </w:footnote>
  <w:footnote w:id="144">
    <w:p w:rsidR="00474D51" w:rsidRPr="006E02F6" w:rsidRDefault="00474D51" w:rsidP="00324CD5">
      <w:pPr>
        <w:pStyle w:val="FootnoteText"/>
      </w:pPr>
      <w:r>
        <w:rPr>
          <w:rStyle w:val="FootnoteReference"/>
        </w:rPr>
        <w:footnoteRef/>
      </w:r>
      <w:r>
        <w:t xml:space="preserve"> </w:t>
      </w:r>
      <w:r>
        <w:rPr>
          <w:i/>
        </w:rPr>
        <w:t xml:space="preserve">See </w:t>
      </w:r>
      <w:r>
        <w:t>47 CFR § 64.2003(o).</w:t>
      </w:r>
    </w:p>
  </w:footnote>
  <w:footnote w:id="145">
    <w:p w:rsidR="00474D51" w:rsidRDefault="00474D51" w:rsidP="00324CD5">
      <w:pPr>
        <w:pStyle w:val="FootnoteText"/>
      </w:pPr>
      <w:r>
        <w:rPr>
          <w:rStyle w:val="FootnoteReference"/>
        </w:rPr>
        <w:footnoteRef/>
      </w:r>
      <w:r>
        <w:t xml:space="preserve"> 47 CFR § 64.2005(b)(1).</w:t>
      </w:r>
    </w:p>
  </w:footnote>
  <w:footnote w:id="146">
    <w:p w:rsidR="00474D51" w:rsidRDefault="00474D51" w:rsidP="00324CD5">
      <w:pPr>
        <w:pStyle w:val="FootnoteText"/>
      </w:pPr>
      <w:r>
        <w:rPr>
          <w:rStyle w:val="FootnoteReference"/>
        </w:rPr>
        <w:footnoteRef/>
      </w:r>
      <w:r>
        <w:t xml:space="preserve"> </w:t>
      </w:r>
      <w:r>
        <w:rPr>
          <w:i/>
        </w:rPr>
        <w:t xml:space="preserve">See supra </w:t>
      </w:r>
      <w:r>
        <w:t xml:space="preserve">note </w:t>
      </w:r>
      <w:r>
        <w:fldChar w:fldCharType="begin"/>
      </w:r>
      <w:r>
        <w:instrText xml:space="preserve"> NOTEREF _Ref445364891 \h </w:instrText>
      </w:r>
      <w:r>
        <w:fldChar w:fldCharType="separate"/>
      </w:r>
      <w:r w:rsidR="00327397">
        <w:t>38</w:t>
      </w:r>
      <w:r>
        <w:fldChar w:fldCharType="end"/>
      </w:r>
      <w:r>
        <w:t>.</w:t>
      </w:r>
    </w:p>
  </w:footnote>
  <w:footnote w:id="147">
    <w:p w:rsidR="00474D51" w:rsidRDefault="00474D51" w:rsidP="00324CD5">
      <w:pPr>
        <w:pStyle w:val="FootnoteText"/>
      </w:pPr>
      <w:r>
        <w:rPr>
          <w:rStyle w:val="FootnoteReference"/>
        </w:rPr>
        <w:footnoteRef/>
      </w:r>
      <w:r>
        <w:t xml:space="preserve"> </w:t>
      </w:r>
      <w:r>
        <w:rPr>
          <w:i/>
        </w:rPr>
        <w:t>See, e.g.</w:t>
      </w:r>
      <w:r>
        <w:t>,</w:t>
      </w:r>
      <w:r>
        <w:rPr>
          <w:i/>
        </w:rPr>
        <w:t xml:space="preserve"> </w:t>
      </w:r>
      <w:r>
        <w:t xml:space="preserve">Adrienne Porter Felt et al., Android Permissions:  User Attention, Comprehension, and Behavior at 2 (2015), </w:t>
      </w:r>
      <w:hyperlink r:id="rId14" w:history="1">
        <w:r w:rsidRPr="00AF42FA">
          <w:rPr>
            <w:rStyle w:val="Hyperlink"/>
          </w:rPr>
          <w:t>http://www.guanotronic.com/~serge/papers/soups12-android.pdf</w:t>
        </w:r>
      </w:hyperlink>
      <w:r>
        <w:t xml:space="preserve"> (finding, as part of a recent study, that only 17 percent of study participants paid attention to “permissions” – notices intended to inform users of what phone resources an Android supported application will have access to if installed on a user’s phone – and that only a scant 3 percent of participants could correctly comprehend such permissions); Ashwini Rao, Florian Schaub, Norman Sadeh, Alessandro Acquisti &amp; Ruogu Kang, Expecting the Unexpected:  Understanding Mismatched Privacy Expectations Online at 1 (2015), </w:t>
      </w:r>
      <w:hyperlink r:id="rId15" w:history="1">
        <w:r w:rsidRPr="00AF42FA">
          <w:rPr>
            <w:rStyle w:val="Hyperlink"/>
          </w:rPr>
          <w:t>https://www.ftc.gov/system/files/documents/public_comments/2015/10/00081-99936.pdf</w:t>
        </w:r>
      </w:hyperlink>
      <w:r>
        <w:t xml:space="preserve"> (concluding that many users ignore privacy notices because they are too long and complex to read); </w:t>
      </w:r>
      <w:r>
        <w:rPr>
          <w:i/>
        </w:rPr>
        <w:t>see generally</w:t>
      </w:r>
      <w:r>
        <w:t xml:space="preserve"> 2013 FTC Mobile Privacy Disclosures Report.</w:t>
      </w:r>
    </w:p>
  </w:footnote>
  <w:footnote w:id="148">
    <w:p w:rsidR="00474D51" w:rsidRPr="00EA2EA5" w:rsidRDefault="00474D51" w:rsidP="00324CD5">
      <w:pPr>
        <w:pStyle w:val="FootnoteText"/>
        <w:rPr>
          <w:shd w:val="clear" w:color="auto" w:fill="FFFFFF"/>
        </w:rPr>
      </w:pPr>
      <w:r>
        <w:rPr>
          <w:rStyle w:val="FootnoteReference"/>
        </w:rPr>
        <w:footnoteRef/>
      </w:r>
      <w:r>
        <w:t xml:space="preserve"> </w:t>
      </w:r>
      <w:r>
        <w:rPr>
          <w:i/>
        </w:rPr>
        <w:t xml:space="preserve">See </w:t>
      </w:r>
      <w:r>
        <w:t>47 CFR</w:t>
      </w:r>
      <w:r w:rsidRPr="002271B8">
        <w:t xml:space="preserve"> </w:t>
      </w:r>
      <w:r w:rsidRPr="002271B8">
        <w:rPr>
          <w:shd w:val="clear" w:color="auto" w:fill="FFFFFF"/>
        </w:rPr>
        <w:t>§ 8.3;</w:t>
      </w:r>
      <w:r>
        <w:t xml:space="preserve"> </w:t>
      </w:r>
      <w:r>
        <w:rPr>
          <w:i/>
        </w:rPr>
        <w:t>2010 Open Internet Order</w:t>
      </w:r>
      <w:r>
        <w:t>,</w:t>
      </w:r>
      <w:r w:rsidRPr="002271B8">
        <w:t xml:space="preserve"> 25 FCC Rcd </w:t>
      </w:r>
      <w:r>
        <w:t>at</w:t>
      </w:r>
      <w:r w:rsidRPr="002271B8">
        <w:t xml:space="preserve"> 17937-39, paras. 54-56</w:t>
      </w:r>
      <w:r w:rsidRPr="001973E5">
        <w:t xml:space="preserve">; 47 CFR </w:t>
      </w:r>
      <w:r w:rsidRPr="002271B8">
        <w:rPr>
          <w:shd w:val="clear" w:color="auto" w:fill="FFFFFF"/>
        </w:rPr>
        <w:t>§</w:t>
      </w:r>
      <w:r>
        <w:rPr>
          <w:shd w:val="clear" w:color="auto" w:fill="FFFFFF"/>
        </w:rPr>
        <w:t>§</w:t>
      </w:r>
      <w:r w:rsidRPr="002271B8">
        <w:rPr>
          <w:shd w:val="clear" w:color="auto" w:fill="FFFFFF"/>
        </w:rPr>
        <w:t xml:space="preserve"> 64.2008(a)-(f); </w:t>
      </w:r>
      <w:r w:rsidRPr="002271B8">
        <w:t xml:space="preserve">47 U.S.C. </w:t>
      </w:r>
      <w:r w:rsidRPr="002271B8">
        <w:rPr>
          <w:shd w:val="clear" w:color="auto" w:fill="FFFFFF"/>
        </w:rPr>
        <w:t>§ 551(a)</w:t>
      </w:r>
      <w:r>
        <w:rPr>
          <w:shd w:val="clear" w:color="auto" w:fill="FFFFFF"/>
        </w:rPr>
        <w:t>;</w:t>
      </w:r>
      <w:r w:rsidRPr="002271B8">
        <w:rPr>
          <w:shd w:val="clear" w:color="auto" w:fill="FFFFFF"/>
        </w:rPr>
        <w:t xml:space="preserve"> </w:t>
      </w:r>
      <w:r>
        <w:rPr>
          <w:i/>
          <w:shd w:val="clear" w:color="auto" w:fill="FFFFFF"/>
        </w:rPr>
        <w:t>see also, e.g.</w:t>
      </w:r>
      <w:r>
        <w:rPr>
          <w:shd w:val="clear" w:color="auto" w:fill="FFFFFF"/>
        </w:rPr>
        <w:t>,</w:t>
      </w:r>
      <w:r>
        <w:rPr>
          <w:i/>
          <w:shd w:val="clear" w:color="auto" w:fill="FFFFFF"/>
        </w:rPr>
        <w:t xml:space="preserve"> </w:t>
      </w:r>
      <w:r w:rsidRPr="002271B8">
        <w:rPr>
          <w:szCs w:val="22"/>
        </w:rPr>
        <w:t xml:space="preserve">HIPAA Privacy Rule, </w:t>
      </w:r>
      <w:r w:rsidRPr="00EA2EA5">
        <w:t xml:space="preserve">45 CFR </w:t>
      </w:r>
      <w:r w:rsidRPr="002271B8">
        <w:rPr>
          <w:shd w:val="clear" w:color="auto" w:fill="FFFFFF"/>
        </w:rPr>
        <w:t>§ 164.520</w:t>
      </w:r>
      <w:r>
        <w:rPr>
          <w:shd w:val="clear" w:color="auto" w:fill="FFFFFF"/>
        </w:rPr>
        <w:t xml:space="preserve">; </w:t>
      </w:r>
      <w:r w:rsidRPr="002271B8">
        <w:rPr>
          <w:shd w:val="clear" w:color="auto" w:fill="FFFFFF"/>
        </w:rPr>
        <w:t>Gramm-Leach-Bliley Act, Pub.L. 106-102, 113 Stat. 1338</w:t>
      </w:r>
      <w:r>
        <w:rPr>
          <w:shd w:val="clear" w:color="auto" w:fill="FFFFFF"/>
        </w:rPr>
        <w:t>.</w:t>
      </w:r>
    </w:p>
  </w:footnote>
  <w:footnote w:id="149">
    <w:p w:rsidR="00474D51" w:rsidRDefault="00474D51" w:rsidP="00324CD5">
      <w:pPr>
        <w:pStyle w:val="FootnoteText"/>
      </w:pPr>
      <w:r>
        <w:rPr>
          <w:rStyle w:val="FootnoteReference"/>
        </w:rPr>
        <w:footnoteRef/>
      </w:r>
      <w:r>
        <w:t xml:space="preserve"> </w:t>
      </w:r>
      <w:r>
        <w:rPr>
          <w:i/>
        </w:rPr>
        <w:t xml:space="preserve">See </w:t>
      </w:r>
      <w:r>
        <w:t xml:space="preserve">National Telecommunications &amp; Information Administration, Short Form Notice Code of Conduct to Promote Transparency in Mobile App Practices (July 25, 2013), </w:t>
      </w:r>
      <w:hyperlink r:id="rId16" w:history="1">
        <w:r w:rsidRPr="002F2F5B">
          <w:rPr>
            <w:rStyle w:val="Hyperlink"/>
          </w:rPr>
          <w:t>https://www.ntia.doc.gov/files/ntia/publications/july_25_code_draft.pdf</w:t>
        </w:r>
      </w:hyperlink>
      <w:r>
        <w:t>.</w:t>
      </w:r>
    </w:p>
  </w:footnote>
  <w:footnote w:id="150">
    <w:p w:rsidR="00474D51" w:rsidRDefault="00474D51" w:rsidP="00324CD5">
      <w:pPr>
        <w:pStyle w:val="FootnoteText"/>
      </w:pPr>
      <w:r>
        <w:rPr>
          <w:rStyle w:val="FootnoteReference"/>
        </w:rPr>
        <w:footnoteRef/>
      </w:r>
      <w:r>
        <w:t xml:space="preserve"> </w:t>
      </w:r>
      <w:r>
        <w:rPr>
          <w:i/>
        </w:rPr>
        <w:t>See</w:t>
      </w:r>
      <w:r>
        <w:t xml:space="preserve"> Digital Advertising Alliance, </w:t>
      </w:r>
      <w:r w:rsidRPr="00C02603">
        <w:t>Application of Self-Regulatory Principles to the Mobile Environment</w:t>
      </w:r>
      <w:r w:rsidRPr="008C6B11">
        <w:t xml:space="preserve"> </w:t>
      </w:r>
      <w:r>
        <w:t xml:space="preserve">at 14-18 (July 2013), </w:t>
      </w:r>
      <w:hyperlink r:id="rId17" w:history="1">
        <w:r w:rsidRPr="00E741BC">
          <w:rPr>
            <w:rStyle w:val="Hyperlink"/>
          </w:rPr>
          <w:t>http://www.aboutads.info/DAA_Mobile_Guidance.pdf</w:t>
        </w:r>
      </w:hyperlink>
      <w:r w:rsidRPr="00122F30">
        <w:rPr>
          <w:rStyle w:val="Hyperlink"/>
          <w:color w:val="auto"/>
          <w:u w:val="none"/>
        </w:rPr>
        <w:t xml:space="preserve">; </w:t>
      </w:r>
      <w:r>
        <w:t xml:space="preserve">Network Advertising Initiative, </w:t>
      </w:r>
      <w:r w:rsidRPr="00C02603">
        <w:t>2015 Update to the NAI Mobile Application Code</w:t>
      </w:r>
      <w:r w:rsidRPr="008C6B11">
        <w:t xml:space="preserve"> at</w:t>
      </w:r>
      <w:r>
        <w:t xml:space="preserve"> 6 (2015), </w:t>
      </w:r>
      <w:hyperlink r:id="rId18" w:history="1">
        <w:r w:rsidRPr="00E741BC">
          <w:rPr>
            <w:rStyle w:val="Hyperlink"/>
          </w:rPr>
          <w:t>http://www.networkadvertising.org/mobile/NAI_Mobile_Application_Code.pdf</w:t>
        </w:r>
      </w:hyperlink>
      <w:r>
        <w:t xml:space="preserve">; Network Advertising Initiative, </w:t>
      </w:r>
      <w:r w:rsidRPr="00C02603">
        <w:t>2015 Update to the NAI Code of Conduct</w:t>
      </w:r>
      <w:r>
        <w:rPr>
          <w:i/>
        </w:rPr>
        <w:t xml:space="preserve"> </w:t>
      </w:r>
      <w:r>
        <w:t xml:space="preserve">at 6-7 (2015), </w:t>
      </w:r>
      <w:hyperlink r:id="rId19" w:history="1">
        <w:r w:rsidRPr="00E741BC">
          <w:rPr>
            <w:rStyle w:val="Hyperlink"/>
          </w:rPr>
          <w:t>http://www.networkadvertising.org/sites/default/files/NAI_Code15encr.pdf</w:t>
        </w:r>
      </w:hyperlink>
      <w:r>
        <w:t>.</w:t>
      </w:r>
      <w:r w:rsidDel="00A43556">
        <w:t xml:space="preserve"> </w:t>
      </w:r>
    </w:p>
  </w:footnote>
  <w:footnote w:id="151">
    <w:p w:rsidR="00474D51" w:rsidRDefault="00474D51" w:rsidP="00324CD5">
      <w:pPr>
        <w:pStyle w:val="FootnoteText"/>
      </w:pPr>
      <w:r>
        <w:rPr>
          <w:rStyle w:val="FootnoteReference"/>
        </w:rPr>
        <w:footnoteRef/>
      </w:r>
      <w:r>
        <w:t xml:space="preserve"> This proposed notice requirement encompasses the information currently required by the transparency rule.  </w:t>
      </w:r>
      <w:r>
        <w:rPr>
          <w:i/>
        </w:rPr>
        <w:t>See 2015 Open Internet Order</w:t>
      </w:r>
      <w:r>
        <w:t xml:space="preserve">, 30 FCC Rcd at 5672, para. 164 (citing </w:t>
      </w:r>
      <w:r>
        <w:rPr>
          <w:i/>
        </w:rPr>
        <w:t>2010 Open Internet Order</w:t>
      </w:r>
      <w:r>
        <w:t>, 25 FCC Rcd at 17939, para. 56).</w:t>
      </w:r>
    </w:p>
  </w:footnote>
  <w:footnote w:id="152">
    <w:p w:rsidR="00474D51" w:rsidRPr="00CC26AB" w:rsidRDefault="00474D51" w:rsidP="00324CD5">
      <w:pPr>
        <w:pStyle w:val="FootnoteText"/>
      </w:pPr>
      <w:r>
        <w:rPr>
          <w:rStyle w:val="FootnoteReference"/>
        </w:rPr>
        <w:footnoteRef/>
      </w:r>
      <w:r>
        <w:t xml:space="preserve"> Below, we propose and seek comment on specific privacy disclosures that BIAS providers must make in connection with seeking opt-out and opt-in approval from customers for the use or sharing of customer PI.  </w:t>
      </w:r>
      <w:r>
        <w:rPr>
          <w:i/>
        </w:rPr>
        <w:t xml:space="preserve">See infra </w:t>
      </w:r>
      <w:r>
        <w:t xml:space="preserve">paras. </w:t>
      </w:r>
      <w:r>
        <w:fldChar w:fldCharType="begin"/>
      </w:r>
      <w:r>
        <w:instrText xml:space="preserve"> REF _Ref445281662 \r \h </w:instrText>
      </w:r>
      <w:r>
        <w:fldChar w:fldCharType="separate"/>
      </w:r>
      <w:r w:rsidR="00327397">
        <w:t>140</w:t>
      </w:r>
      <w:r>
        <w:fldChar w:fldCharType="end"/>
      </w:r>
      <w:r>
        <w:t>-</w:t>
      </w:r>
      <w:r>
        <w:fldChar w:fldCharType="begin"/>
      </w:r>
      <w:r>
        <w:instrText xml:space="preserve"> REF _Ref445281668 \r \h </w:instrText>
      </w:r>
      <w:r>
        <w:fldChar w:fldCharType="separate"/>
      </w:r>
      <w:r w:rsidR="00327397">
        <w:t>143</w:t>
      </w:r>
      <w:r>
        <w:fldChar w:fldCharType="end"/>
      </w:r>
      <w:r>
        <w:t>.</w:t>
      </w:r>
    </w:p>
  </w:footnote>
  <w:footnote w:id="153">
    <w:p w:rsidR="00474D51" w:rsidRDefault="00474D51" w:rsidP="00324CD5">
      <w:pPr>
        <w:pStyle w:val="FootnoteText"/>
      </w:pPr>
      <w:r>
        <w:rPr>
          <w:rStyle w:val="FootnoteReference"/>
        </w:rPr>
        <w:footnoteRef/>
      </w:r>
      <w:r>
        <w:t xml:space="preserve"> Cal. Civ. Code </w:t>
      </w:r>
      <w:r w:rsidRPr="00747CDD">
        <w:rPr>
          <w:color w:val="333333"/>
          <w:shd w:val="clear" w:color="auto" w:fill="FFFFFF"/>
        </w:rPr>
        <w:t>§</w:t>
      </w:r>
      <w:r>
        <w:rPr>
          <w:color w:val="333333"/>
          <w:shd w:val="clear" w:color="auto" w:fill="FFFFFF"/>
        </w:rPr>
        <w:t xml:space="preserve"> 1798.83.</w:t>
      </w:r>
    </w:p>
  </w:footnote>
  <w:footnote w:id="154">
    <w:p w:rsidR="00474D51" w:rsidRPr="00975C73" w:rsidRDefault="00474D51" w:rsidP="00324CD5">
      <w:pPr>
        <w:pStyle w:val="FootnoteText"/>
      </w:pPr>
      <w:r>
        <w:rPr>
          <w:rStyle w:val="FootnoteReference"/>
        </w:rPr>
        <w:footnoteRef/>
      </w:r>
      <w:r>
        <w:t xml:space="preserve"> </w:t>
      </w:r>
      <w:r>
        <w:rPr>
          <w:i/>
        </w:rPr>
        <w:t xml:space="preserve">See </w:t>
      </w:r>
      <w:r>
        <w:t xml:space="preserve">47 U.S.C. </w:t>
      </w:r>
      <w:r w:rsidRPr="00747CDD">
        <w:rPr>
          <w:color w:val="333333"/>
          <w:shd w:val="clear" w:color="auto" w:fill="FFFFFF"/>
        </w:rPr>
        <w:t>§</w:t>
      </w:r>
      <w:r>
        <w:rPr>
          <w:color w:val="333333"/>
          <w:shd w:val="clear" w:color="auto" w:fill="FFFFFF"/>
        </w:rPr>
        <w:t xml:space="preserve"> 222.</w:t>
      </w:r>
    </w:p>
  </w:footnote>
  <w:footnote w:id="155">
    <w:p w:rsidR="00474D51" w:rsidRDefault="00474D51" w:rsidP="00324CD5">
      <w:pPr>
        <w:pStyle w:val="FootnoteText"/>
      </w:pPr>
      <w:r>
        <w:rPr>
          <w:rStyle w:val="FootnoteReference"/>
        </w:rPr>
        <w:footnoteRef/>
      </w:r>
      <w:r>
        <w:t xml:space="preserve"> For example, we seek comment on the type of notice to be provided at the time that BIAS providers solicit customer opt-out or opt-in approval to use, disclose, or permit access to customer PI for purposes other than providing BIAS.  </w:t>
      </w:r>
      <w:r>
        <w:rPr>
          <w:i/>
        </w:rPr>
        <w:t xml:space="preserve">See infra </w:t>
      </w:r>
      <w:r>
        <w:t xml:space="preserve">paras. </w:t>
      </w:r>
      <w:r>
        <w:fldChar w:fldCharType="begin"/>
      </w:r>
      <w:r>
        <w:instrText xml:space="preserve"> REF _Ref445281662 \r \h </w:instrText>
      </w:r>
      <w:r>
        <w:fldChar w:fldCharType="separate"/>
      </w:r>
      <w:r w:rsidR="00327397">
        <w:t>140</w:t>
      </w:r>
      <w:r>
        <w:fldChar w:fldCharType="end"/>
      </w:r>
      <w:r>
        <w:t>-</w:t>
      </w:r>
      <w:r>
        <w:fldChar w:fldCharType="begin"/>
      </w:r>
      <w:r>
        <w:instrText xml:space="preserve"> REF _Ref445281668 \r \h </w:instrText>
      </w:r>
      <w:r>
        <w:fldChar w:fldCharType="separate"/>
      </w:r>
      <w:r w:rsidR="00327397">
        <w:t>143</w:t>
      </w:r>
      <w:r>
        <w:fldChar w:fldCharType="end"/>
      </w:r>
      <w:r>
        <w:t>.</w:t>
      </w:r>
    </w:p>
  </w:footnote>
  <w:footnote w:id="156">
    <w:p w:rsidR="00474D51" w:rsidRPr="00517A2D" w:rsidRDefault="00474D51" w:rsidP="00324CD5">
      <w:pPr>
        <w:pStyle w:val="FootnoteText"/>
      </w:pPr>
      <w:r>
        <w:rPr>
          <w:rStyle w:val="FootnoteReference"/>
        </w:rPr>
        <w:footnoteRef/>
      </w:r>
      <w:r>
        <w:t xml:space="preserve"> </w:t>
      </w:r>
      <w:r w:rsidRPr="00517A2D">
        <w:rPr>
          <w:i/>
        </w:rPr>
        <w:t>See, e.g.</w:t>
      </w:r>
      <w:r w:rsidRPr="00517A2D">
        <w:t>,</w:t>
      </w:r>
      <w:r w:rsidRPr="00517A2D">
        <w:rPr>
          <w:i/>
        </w:rPr>
        <w:t xml:space="preserve"> </w:t>
      </w:r>
      <w:r w:rsidRPr="00517A2D">
        <w:t xml:space="preserve">Cable Privacy Act, 47 U.S.C. </w:t>
      </w:r>
      <w:r w:rsidRPr="004D4C97">
        <w:rPr>
          <w:shd w:val="clear" w:color="auto" w:fill="FFFFFF"/>
        </w:rPr>
        <w:t>§ 551(a)(1);</w:t>
      </w:r>
      <w:r w:rsidRPr="00517A2D">
        <w:t xml:space="preserve"> HIPAA Privacy Rule, 45 CFR </w:t>
      </w:r>
      <w:r w:rsidRPr="004D4C97">
        <w:rPr>
          <w:shd w:val="clear" w:color="auto" w:fill="FFFFFF"/>
        </w:rPr>
        <w:t>§ 164.520(c)(1)(ii);</w:t>
      </w:r>
      <w:r w:rsidRPr="00517A2D">
        <w:rPr>
          <w:shd w:val="clear" w:color="auto" w:fill="FFFFFF"/>
        </w:rPr>
        <w:t xml:space="preserve"> Gramm-Leach-Bliley Act, </w:t>
      </w:r>
      <w:r w:rsidRPr="00517A2D">
        <w:t xml:space="preserve">15 U.S.C. </w:t>
      </w:r>
      <w:r w:rsidRPr="004D4C97">
        <w:rPr>
          <w:shd w:val="clear" w:color="auto" w:fill="FFFFFF"/>
        </w:rPr>
        <w:t xml:space="preserve">§ 6803(a). </w:t>
      </w:r>
      <w:r w:rsidRPr="00517A2D">
        <w:rPr>
          <w:shd w:val="clear" w:color="auto" w:fill="FFFFFF"/>
        </w:rPr>
        <w:t xml:space="preserve">   </w:t>
      </w:r>
    </w:p>
  </w:footnote>
  <w:footnote w:id="157">
    <w:p w:rsidR="00474D51" w:rsidRPr="00517A2D" w:rsidRDefault="00474D51" w:rsidP="00324CD5">
      <w:pPr>
        <w:pStyle w:val="FootnoteText"/>
      </w:pPr>
      <w:r w:rsidRPr="00517A2D">
        <w:rPr>
          <w:rStyle w:val="FootnoteReference"/>
        </w:rPr>
        <w:footnoteRef/>
      </w:r>
      <w:r w:rsidRPr="00517A2D">
        <w:t xml:space="preserve"> </w:t>
      </w:r>
      <w:r w:rsidRPr="00517A2D">
        <w:rPr>
          <w:i/>
        </w:rPr>
        <w:t xml:space="preserve">See </w:t>
      </w:r>
      <w:r w:rsidRPr="00517A2D">
        <w:t xml:space="preserve">47 CFR </w:t>
      </w:r>
      <w:r w:rsidRPr="004D4C97">
        <w:rPr>
          <w:shd w:val="clear" w:color="auto" w:fill="FFFFFF"/>
        </w:rPr>
        <w:t>§ 64.2008(d)(2).</w:t>
      </w:r>
    </w:p>
  </w:footnote>
  <w:footnote w:id="158">
    <w:p w:rsidR="00474D51" w:rsidRPr="00B84001" w:rsidRDefault="00474D51" w:rsidP="00324CD5">
      <w:pPr>
        <w:pStyle w:val="FootnoteText"/>
      </w:pPr>
      <w:r>
        <w:rPr>
          <w:rStyle w:val="FootnoteReference"/>
        </w:rPr>
        <w:footnoteRef/>
      </w:r>
      <w:r>
        <w:t xml:space="preserve"> </w:t>
      </w:r>
      <w:r>
        <w:rPr>
          <w:i/>
        </w:rPr>
        <w:t>See 2010 Open Internet Order</w:t>
      </w:r>
      <w:r>
        <w:t>, 25 FCC Rcd at 17936, para. 53.</w:t>
      </w:r>
    </w:p>
  </w:footnote>
  <w:footnote w:id="159">
    <w:p w:rsidR="00474D51" w:rsidRPr="00D60688" w:rsidRDefault="00474D51" w:rsidP="00324CD5">
      <w:pPr>
        <w:pStyle w:val="FootnoteText"/>
      </w:pPr>
      <w:r>
        <w:rPr>
          <w:rStyle w:val="FootnoteReference"/>
        </w:rPr>
        <w:footnoteRef/>
      </w:r>
      <w:r>
        <w:t xml:space="preserve"> </w:t>
      </w:r>
      <w:r>
        <w:rPr>
          <w:i/>
        </w:rPr>
        <w:t xml:space="preserve">See </w:t>
      </w:r>
      <w:r>
        <w:t xml:space="preserve">2012 FTC Privacy Report at 61 (proposing a principle that privacy notices should be clearer, shorter, and more standardized to enable better comprehension and comparison of privacy practices); Ashwini Rao, Florian Schaub, Norman Sadeh, Alessandro Acquisti &amp; Ruogu Kang, Expecting the Unexpected:  Understanding Mismatched Privacy Expectations Online at 1, 10 (2015), </w:t>
      </w:r>
      <w:hyperlink r:id="rId20" w:history="1">
        <w:r w:rsidRPr="00AF42FA">
          <w:rPr>
            <w:rStyle w:val="Hyperlink"/>
          </w:rPr>
          <w:t>https://www.ftc.gov/system/files/documents/public_comments/2015/10/00081-99936.pdf</w:t>
        </w:r>
      </w:hyperlink>
      <w:r>
        <w:t xml:space="preserve"> (noting that existing privacy policy notices can be long and time-consuming to read and that simplifying such notices can reduce the amount of information that a user has to process and allow organizations to gain a competitive advantage by making their data practices easier to understand); Kate Tummarello, The Hill, Apps look to simplify privacy notices (Mar. 14, 2014), </w:t>
      </w:r>
      <w:hyperlink r:id="rId21" w:history="1">
        <w:r w:rsidRPr="00174DCD">
          <w:rPr>
            <w:rStyle w:val="Hyperlink"/>
          </w:rPr>
          <w:t>http://thehill.com/policy/technology/200818-apps-look-to-simplify-privacy-notices</w:t>
        </w:r>
      </w:hyperlink>
      <w:r>
        <w:t xml:space="preserve"> (describing how the mobile app industry is attempting to shorten and simplify their privacy policies in an effort to make them easier to understand); Lookout, Mobile App Advertising Guidelines:  A Framework for Encouraging Innovation While Protecting User Privacy at 7 (June 2012), </w:t>
      </w:r>
      <w:hyperlink r:id="rId22" w:history="1">
        <w:r w:rsidRPr="00174DCD">
          <w:rPr>
            <w:rStyle w:val="Hyperlink"/>
          </w:rPr>
          <w:t>https://www.lookout.com/img/images/lookout-mobile-app-advertising-guidelines.pdf</w:t>
        </w:r>
      </w:hyperlink>
      <w:r>
        <w:t xml:space="preserve"> (suggesting that app publishers provide straightforward information regarding data collection, use, disclosure, and retention that is phrased “in plain language understandable by the average consumer” so as to help mobile users understand what data is collected, who collects it, how it is collected, and how it is used or shared).</w:t>
      </w:r>
    </w:p>
  </w:footnote>
  <w:footnote w:id="160">
    <w:p w:rsidR="00474D51" w:rsidRDefault="00474D51" w:rsidP="00324CD5">
      <w:pPr>
        <w:pStyle w:val="FootnoteText"/>
      </w:pPr>
      <w:r>
        <w:rPr>
          <w:rStyle w:val="FootnoteReference"/>
        </w:rPr>
        <w:footnoteRef/>
      </w:r>
      <w:r>
        <w:t xml:space="preserve"> 2012 FTC Privacy Report at 62.</w:t>
      </w:r>
    </w:p>
  </w:footnote>
  <w:footnote w:id="161">
    <w:p w:rsidR="00474D51" w:rsidRPr="00307A64" w:rsidRDefault="00474D51" w:rsidP="00324CD5">
      <w:pPr>
        <w:pStyle w:val="FootnoteText"/>
      </w:pPr>
      <w:r>
        <w:rPr>
          <w:rStyle w:val="FootnoteReference"/>
        </w:rPr>
        <w:footnoteRef/>
      </w:r>
      <w:r>
        <w:t xml:space="preserve"> </w:t>
      </w:r>
      <w:r>
        <w:rPr>
          <w:i/>
        </w:rPr>
        <w:t xml:space="preserve">See </w:t>
      </w:r>
      <w:r>
        <w:t xml:space="preserve">National Telecommunications &amp; Information Administration, Short Form Notice Code of Conduct to Promote Transparency in Mobile App Practices at 1 (July 25, 2013), </w:t>
      </w:r>
      <w:hyperlink r:id="rId23" w:history="1">
        <w:r w:rsidRPr="00E84C08">
          <w:rPr>
            <w:rStyle w:val="Hyperlink"/>
          </w:rPr>
          <w:t>https://www.ntia.doc.gov/files/ntia/publications/july_25_code_draft.pdf</w:t>
        </w:r>
      </w:hyperlink>
      <w:r>
        <w:t>.</w:t>
      </w:r>
    </w:p>
  </w:footnote>
  <w:footnote w:id="162">
    <w:p w:rsidR="00474D51" w:rsidRDefault="00474D51" w:rsidP="00324CD5">
      <w:pPr>
        <w:pStyle w:val="FootnoteText"/>
      </w:pPr>
      <w:r>
        <w:rPr>
          <w:rStyle w:val="FootnoteReference"/>
        </w:rPr>
        <w:footnoteRef/>
      </w:r>
      <w:r>
        <w:t xml:space="preserve"> </w:t>
      </w:r>
      <w:r>
        <w:rPr>
          <w:i/>
        </w:rPr>
        <w:t>Id.</w:t>
      </w:r>
    </w:p>
  </w:footnote>
  <w:footnote w:id="163">
    <w:p w:rsidR="00474D51" w:rsidRPr="002E13DE" w:rsidRDefault="00474D51" w:rsidP="00324CD5">
      <w:pPr>
        <w:pStyle w:val="FootnoteText"/>
      </w:pPr>
      <w:r>
        <w:rPr>
          <w:rStyle w:val="FootnoteReference"/>
        </w:rPr>
        <w:footnoteRef/>
      </w:r>
      <w:r>
        <w:t xml:space="preserve"> </w:t>
      </w:r>
      <w:r>
        <w:rPr>
          <w:i/>
        </w:rPr>
        <w:t>See 2015 Open Internet Order</w:t>
      </w:r>
      <w:r>
        <w:t>, 30 FCC Rcd at 5680, paras. 179-80.</w:t>
      </w:r>
    </w:p>
  </w:footnote>
  <w:footnote w:id="164">
    <w:p w:rsidR="00474D51" w:rsidRDefault="00474D51" w:rsidP="00324CD5">
      <w:pPr>
        <w:pStyle w:val="FootnoteText"/>
      </w:pPr>
      <w:r>
        <w:rPr>
          <w:rStyle w:val="FootnoteReference"/>
        </w:rPr>
        <w:footnoteRef/>
      </w:r>
      <w:r>
        <w:t xml:space="preserve"> Ashwini Rao, Florian Schaub, Norman Sadeh, Alessandro Acquisti &amp; Ruogu Kang, Expecting the Unexpected:  Understanding Mismatched Privacy Expectations Online at 1 (2015), </w:t>
      </w:r>
      <w:hyperlink r:id="rId24" w:history="1">
        <w:r w:rsidRPr="00AF42FA">
          <w:rPr>
            <w:rStyle w:val="Hyperlink"/>
          </w:rPr>
          <w:t>https://www.ftc.gov/system/files/documents/public_comments/2015/10/00081-99936.pdf</w:t>
        </w:r>
      </w:hyperlink>
      <w:r>
        <w:rPr>
          <w:rStyle w:val="Hyperlink"/>
        </w:rPr>
        <w:t>.</w:t>
      </w:r>
    </w:p>
  </w:footnote>
  <w:footnote w:id="165">
    <w:p w:rsidR="00474D51" w:rsidRPr="00A31A07" w:rsidRDefault="00474D51" w:rsidP="00324CD5">
      <w:pPr>
        <w:pStyle w:val="FootnoteText"/>
      </w:pPr>
      <w:r>
        <w:rPr>
          <w:rStyle w:val="FootnoteReference"/>
        </w:rPr>
        <w:footnoteRef/>
      </w:r>
      <w:r>
        <w:t xml:space="preserve"> </w:t>
      </w:r>
      <w:r>
        <w:rPr>
          <w:i/>
        </w:rPr>
        <w:t>Id</w:t>
      </w:r>
      <w:r>
        <w:t>.</w:t>
      </w:r>
    </w:p>
  </w:footnote>
  <w:footnote w:id="166">
    <w:p w:rsidR="00474D51" w:rsidRPr="00A31A07" w:rsidRDefault="00474D51" w:rsidP="00324CD5">
      <w:pPr>
        <w:pStyle w:val="FootnoteText"/>
      </w:pPr>
      <w:r>
        <w:rPr>
          <w:rStyle w:val="FootnoteReference"/>
        </w:rPr>
        <w:footnoteRef/>
      </w:r>
      <w:r>
        <w:t xml:space="preserve"> </w:t>
      </w:r>
      <w:r>
        <w:rPr>
          <w:i/>
        </w:rPr>
        <w:t>Id</w:t>
      </w:r>
      <w:r>
        <w:t>.</w:t>
      </w:r>
    </w:p>
  </w:footnote>
  <w:footnote w:id="167">
    <w:p w:rsidR="00474D51" w:rsidRDefault="00474D51" w:rsidP="00324CD5">
      <w:pPr>
        <w:pStyle w:val="FootnoteText"/>
      </w:pPr>
      <w:r>
        <w:rPr>
          <w:rStyle w:val="FootnoteReference"/>
        </w:rPr>
        <w:footnoteRef/>
      </w:r>
      <w:r>
        <w:t xml:space="preserve"> We carved out a similar type of safe harbor under the transparency rule in the </w:t>
      </w:r>
      <w:r>
        <w:rPr>
          <w:i/>
        </w:rPr>
        <w:t>2015 Open Internet Order</w:t>
      </w:r>
      <w:r>
        <w:t xml:space="preserve">.  In that instance, we established a voluntary safe harbor for the format and nature of the disclosures to consumers required under the transparency rule.  </w:t>
      </w:r>
      <w:r>
        <w:rPr>
          <w:i/>
        </w:rPr>
        <w:t>2015 Open Internet Order</w:t>
      </w:r>
      <w:r>
        <w:t>, 30 FCC Rcd at 5679-81, paras. 176-181.</w:t>
      </w:r>
    </w:p>
  </w:footnote>
  <w:footnote w:id="168">
    <w:p w:rsidR="00474D51" w:rsidRDefault="00474D51" w:rsidP="00324CD5">
      <w:pPr>
        <w:pStyle w:val="FootnoteText"/>
      </w:pPr>
      <w:r>
        <w:rPr>
          <w:rStyle w:val="FootnoteReference"/>
        </w:rPr>
        <w:footnoteRef/>
      </w:r>
      <w:r>
        <w:t xml:space="preserve"> </w:t>
      </w:r>
      <w:r>
        <w:rPr>
          <w:i/>
        </w:rPr>
        <w:t xml:space="preserve">See </w:t>
      </w:r>
      <w:r>
        <w:t xml:space="preserve">Florian Schaub, Rebecca Balebako, Adam L. Durity &amp; Lorrie Faith Cranor, A Design Space for Effective Privacy Notices (2015), </w:t>
      </w:r>
      <w:hyperlink r:id="rId25" w:history="1">
        <w:r w:rsidRPr="00174DCD">
          <w:rPr>
            <w:rStyle w:val="Hyperlink"/>
          </w:rPr>
          <w:t>https://www.ftc.gov/system/files/documents/public_comments/2015/10/00081-99936.pdf</w:t>
        </w:r>
      </w:hyperlink>
      <w:r>
        <w:t xml:space="preserve"> (suggesting that all but the most simple notices should consist of multiple layers and that multi-layered notices constitute a set of complementary privacy notices that are tailored to the respective audience and the prevalent contexts in which they are presented); Simone Fischer-Hubner, Julio Angulo &amp; Tobias Pulls, How Can Cloud Users be Supported in Deciding on, Tracking and Controlling How Their Data Are Used? (2014), </w:t>
      </w:r>
      <w:hyperlink r:id="rId26" w:history="1">
        <w:r w:rsidRPr="00174DCD">
          <w:rPr>
            <w:rStyle w:val="Hyperlink"/>
          </w:rPr>
          <w:t>http://prisec.kau.se/pdf/Fischer-Huebner2013d.pdf</w:t>
        </w:r>
      </w:hyperlink>
      <w:r>
        <w:t xml:space="preserve"> (noting that comprehension of policy information can be facilitated by a multi-layered structure of policy notices where the top layer only provides a short privacy notice and the lower layers provide further detailed policy information).</w:t>
      </w:r>
    </w:p>
  </w:footnote>
  <w:footnote w:id="169">
    <w:p w:rsidR="00474D51" w:rsidRPr="00864BB2" w:rsidRDefault="00474D51" w:rsidP="00324CD5">
      <w:pPr>
        <w:pStyle w:val="FootnoteText"/>
      </w:pPr>
      <w:r w:rsidRPr="001B5F20">
        <w:rPr>
          <w:rStyle w:val="FootnoteReference"/>
        </w:rPr>
        <w:footnoteRef/>
      </w:r>
      <w:r w:rsidRPr="001B5F20">
        <w:t xml:space="preserve"> Similar dashboards have been voluntarily adopted by online advertising networks</w:t>
      </w:r>
      <w:r>
        <w:t>;</w:t>
      </w:r>
      <w:r w:rsidRPr="001B5F20">
        <w:t xml:space="preserve"> however</w:t>
      </w:r>
      <w:r>
        <w:t>,</w:t>
      </w:r>
      <w:r w:rsidRPr="001B5F20">
        <w:t xml:space="preserve"> their adoption by consumers has been limited, perhaps due to a lack of visibility. </w:t>
      </w:r>
      <w:r>
        <w:t xml:space="preserve"> </w:t>
      </w:r>
      <w:r>
        <w:rPr>
          <w:i/>
        </w:rPr>
        <w:t xml:space="preserve">See </w:t>
      </w:r>
      <w:r>
        <w:t xml:space="preserve">Executive Office of the President, Big Data:  Seizing Opportunities, Preserving Values </w:t>
      </w:r>
      <w:r w:rsidRPr="001B5F20">
        <w:t>at 42</w:t>
      </w:r>
      <w:r>
        <w:t xml:space="preserve"> (May 2014) (2014 White House Big Data Report), </w:t>
      </w:r>
      <w:hyperlink r:id="rId27" w:history="1">
        <w:r w:rsidRPr="004B31D7">
          <w:rPr>
            <w:rStyle w:val="Hyperlink"/>
          </w:rPr>
          <w:t>https://www.whitehouse.gov/sites/default/files/docs/big_data_privacy_report_may_1_2014.pdf</w:t>
        </w:r>
      </w:hyperlink>
      <w:r w:rsidRPr="001B5F20">
        <w:t>.</w:t>
      </w:r>
      <w:r>
        <w:t xml:space="preserve">  </w:t>
      </w:r>
      <w:r>
        <w:rPr>
          <w:i/>
        </w:rPr>
        <w:t xml:space="preserve">See infra </w:t>
      </w:r>
      <w:r>
        <w:t>paras.</w:t>
      </w:r>
      <w:r>
        <w:rPr>
          <w:i/>
        </w:rPr>
        <w:t xml:space="preserve"> </w:t>
      </w:r>
      <w:r>
        <w:fldChar w:fldCharType="begin"/>
      </w:r>
      <w:r>
        <w:instrText xml:space="preserve"> REF _Ref445282838 \r \h </w:instrText>
      </w:r>
      <w:r>
        <w:fldChar w:fldCharType="separate"/>
      </w:r>
      <w:r w:rsidR="00327397">
        <w:t>144</w:t>
      </w:r>
      <w:r>
        <w:fldChar w:fldCharType="end"/>
      </w:r>
      <w:r>
        <w:t>-</w:t>
      </w:r>
      <w:r>
        <w:fldChar w:fldCharType="begin"/>
      </w:r>
      <w:r>
        <w:instrText xml:space="preserve"> REF _Ref445282841 \r \h </w:instrText>
      </w:r>
      <w:r>
        <w:fldChar w:fldCharType="separate"/>
      </w:r>
      <w:r w:rsidR="00327397">
        <w:t>146</w:t>
      </w:r>
      <w:r>
        <w:fldChar w:fldCharType="end"/>
      </w:r>
      <w:r>
        <w:t xml:space="preserve"> for a further discussion of consumer-facing privacy dashboards. </w:t>
      </w:r>
    </w:p>
  </w:footnote>
  <w:footnote w:id="170">
    <w:p w:rsidR="00474D51" w:rsidRPr="00F94ADD" w:rsidRDefault="00474D51" w:rsidP="00324CD5">
      <w:pPr>
        <w:pStyle w:val="FootnoteText"/>
      </w:pPr>
      <w:r>
        <w:rPr>
          <w:rStyle w:val="FootnoteReference"/>
        </w:rPr>
        <w:footnoteRef/>
      </w:r>
      <w:r>
        <w:t xml:space="preserve"> We recognize that such a dashboard goes beyond merely notifying customers of their BIAS providers’ privacy policies and customers’ rights with respect to their own PI.  We discuss at length and seek comment below on whether we should adopt rules regarding (1) customer access to customer PI and (2) customers’ ability to correct inaccurate PI.  </w:t>
      </w:r>
      <w:r>
        <w:rPr>
          <w:i/>
        </w:rPr>
        <w:t xml:space="preserve">See infra </w:t>
      </w:r>
      <w:r>
        <w:t xml:space="preserve">paras. </w:t>
      </w:r>
      <w:r>
        <w:fldChar w:fldCharType="begin"/>
      </w:r>
      <w:r>
        <w:instrText xml:space="preserve"> REF _Ref445283117 \r \h </w:instrText>
      </w:r>
      <w:r>
        <w:fldChar w:fldCharType="separate"/>
      </w:r>
      <w:r w:rsidR="00327397">
        <w:t>205</w:t>
      </w:r>
      <w:r>
        <w:fldChar w:fldCharType="end"/>
      </w:r>
      <w:r>
        <w:t>-</w:t>
      </w:r>
      <w:r>
        <w:fldChar w:fldCharType="begin"/>
      </w:r>
      <w:r>
        <w:instrText xml:space="preserve"> REF _Ref445283120 \r \h </w:instrText>
      </w:r>
      <w:r>
        <w:fldChar w:fldCharType="separate"/>
      </w:r>
      <w:r w:rsidR="00327397">
        <w:t>209</w:t>
      </w:r>
      <w:r>
        <w:fldChar w:fldCharType="end"/>
      </w:r>
      <w:r>
        <w:t>.</w:t>
      </w:r>
    </w:p>
  </w:footnote>
  <w:footnote w:id="171">
    <w:p w:rsidR="00474D51" w:rsidRDefault="00474D51" w:rsidP="00324CD5">
      <w:pPr>
        <w:pStyle w:val="FootnoteText"/>
      </w:pPr>
      <w:r>
        <w:rPr>
          <w:rStyle w:val="FootnoteReference"/>
        </w:rPr>
        <w:footnoteRef/>
      </w:r>
      <w:r>
        <w:t xml:space="preserve"> </w:t>
      </w:r>
      <w:r>
        <w:rPr>
          <w:i/>
        </w:rPr>
        <w:t>2015 Open Internet Order</w:t>
      </w:r>
      <w:r>
        <w:t>, 30 FCC Rcd at 5672, para. 164.</w:t>
      </w:r>
    </w:p>
  </w:footnote>
  <w:footnote w:id="172">
    <w:p w:rsidR="00474D51" w:rsidRDefault="00474D51" w:rsidP="00324CD5">
      <w:pPr>
        <w:pStyle w:val="FootnoteText"/>
      </w:pPr>
      <w:r>
        <w:rPr>
          <w:rStyle w:val="FootnoteReference"/>
        </w:rPr>
        <w:footnoteRef/>
      </w:r>
      <w:r>
        <w:t xml:space="preserve"> </w:t>
      </w:r>
      <w:r>
        <w:rPr>
          <w:i/>
        </w:rPr>
        <w:t>Id</w:t>
      </w:r>
      <w:r>
        <w:t xml:space="preserve">. at 5671, para. 161.  The </w:t>
      </w:r>
      <w:r>
        <w:rPr>
          <w:i/>
        </w:rPr>
        <w:t xml:space="preserve">2015 Open Internet Order </w:t>
      </w:r>
      <w:r>
        <w:t xml:space="preserve">requires BIAS providers to provide notices of material changes to their privacy policies in a manner that is “timely and prominently disclosed in plain language accessible to current and prospective end users and edge providers, the Commission, and third parties who wish to monitor network management practices for potential violations of open Internet principles.”  </w:t>
      </w:r>
      <w:r>
        <w:rPr>
          <w:i/>
        </w:rPr>
        <w:t>Id</w:t>
      </w:r>
      <w:r>
        <w:t xml:space="preserve">. at 5671, para. 161 (quoting </w:t>
      </w:r>
      <w:r>
        <w:rPr>
          <w:i/>
        </w:rPr>
        <w:t>2010 Open Internet Order</w:t>
      </w:r>
      <w:r>
        <w:t>, 25 FCC Rcd at 17938-39, para. 56).</w:t>
      </w:r>
    </w:p>
  </w:footnote>
  <w:footnote w:id="173">
    <w:p w:rsidR="00474D51" w:rsidRDefault="00474D51" w:rsidP="00324CD5">
      <w:pPr>
        <w:pStyle w:val="FootnoteText"/>
      </w:pPr>
      <w:r>
        <w:rPr>
          <w:rStyle w:val="FootnoteReference"/>
        </w:rPr>
        <w:footnoteRef/>
      </w:r>
      <w:r>
        <w:t xml:space="preserve"> </w:t>
      </w:r>
      <w:r>
        <w:rPr>
          <w:i/>
        </w:rPr>
        <w:t>2015 Open Internet Order</w:t>
      </w:r>
      <w:r>
        <w:t>, 30 FCC Rcd at 5671-72, para. 161.</w:t>
      </w:r>
    </w:p>
  </w:footnote>
  <w:footnote w:id="174">
    <w:p w:rsidR="00474D51" w:rsidRPr="00E5209C" w:rsidRDefault="00474D51" w:rsidP="00324CD5">
      <w:pPr>
        <w:pStyle w:val="FootnoteText"/>
        <w:rPr>
          <w:i/>
        </w:rPr>
      </w:pPr>
      <w:r>
        <w:rPr>
          <w:rStyle w:val="FootnoteReference"/>
        </w:rPr>
        <w:footnoteRef/>
      </w:r>
      <w:r>
        <w:t xml:space="preserve"> </w:t>
      </w:r>
      <w:r>
        <w:rPr>
          <w:i/>
        </w:rPr>
        <w:t>See, e.g.</w:t>
      </w:r>
      <w:r>
        <w:t>,</w:t>
      </w:r>
      <w:r>
        <w:rPr>
          <w:i/>
        </w:rPr>
        <w:t xml:space="preserve">  </w:t>
      </w:r>
      <w:r>
        <w:t xml:space="preserve">Kamala D. Harris, Attorney General, California Department of Justice, Making Your Privacy Practices Public:  Recommendations on Developing a Meaningful Privacy Policy at 4 (2014), </w:t>
      </w:r>
      <w:hyperlink r:id="rId28" w:history="1">
        <w:r w:rsidRPr="00307CFB">
          <w:rPr>
            <w:rStyle w:val="Hyperlink"/>
          </w:rPr>
          <w:t>https://oag.ca.gov/sites/all/files/agweb/pdfs/cybersecurity/making_your_privacy_practices_public.pdf</w:t>
        </w:r>
      </w:hyperlink>
      <w:r>
        <w:t xml:space="preserve"> (recommending that providers supplement comprehensive privacy policies with simpler, shorter privacy notices to alert consumers to potentially unexpected data practices, which, rather than describing the full range of data practices, “would be delivered in context and ‘just-in-time,’ and would address a specific practice”); </w:t>
      </w:r>
      <w:r>
        <w:rPr>
          <w:i/>
        </w:rPr>
        <w:t xml:space="preserve">see also </w:t>
      </w:r>
      <w:r>
        <w:t xml:space="preserve">U.S. Department of Health &amp; Human Services, Notice of Privacy Practices for Protected Health Information (Apr. 3, 2003), </w:t>
      </w:r>
      <w:hyperlink r:id="rId29" w:history="1">
        <w:r w:rsidRPr="00E962FF">
          <w:rPr>
            <w:rStyle w:val="Hyperlink"/>
          </w:rPr>
          <w:t>http://www.hhs.gov/ocr/privacy/hipaa/understanding/coveredentities/notice.html</w:t>
        </w:r>
      </w:hyperlink>
      <w:r>
        <w:t xml:space="preserve">; </w:t>
      </w:r>
      <w:r w:rsidRPr="008F06FF">
        <w:t xml:space="preserve">45 CFR </w:t>
      </w:r>
      <w:r w:rsidRPr="004D4C97">
        <w:rPr>
          <w:shd w:val="clear" w:color="auto" w:fill="FFFFFF"/>
        </w:rPr>
        <w:t xml:space="preserve">§§ 164.520(b)(3), 164.520(c)(1)(v), 164.520(c)(2)(iv) </w:t>
      </w:r>
      <w:r w:rsidRPr="008F06FF">
        <w:t>(requiring a covered entity to promptly revise and distribute notice</w:t>
      </w:r>
      <w:r>
        <w:t>s</w:t>
      </w:r>
      <w:r w:rsidRPr="008F06FF">
        <w:t xml:space="preserve"> of its privacy policies whenever it makes material changes to any of its privacy practices).</w:t>
      </w:r>
    </w:p>
  </w:footnote>
  <w:footnote w:id="175">
    <w:p w:rsidR="00474D51" w:rsidRPr="00107847" w:rsidRDefault="00474D51" w:rsidP="00324CD5">
      <w:pPr>
        <w:pStyle w:val="FootnoteText"/>
      </w:pPr>
      <w:r>
        <w:rPr>
          <w:rStyle w:val="FootnoteReference"/>
        </w:rPr>
        <w:footnoteRef/>
      </w:r>
      <w:r>
        <w:t xml:space="preserve"> Indeed, the Commission envisioned a similar benefit when adopting our existing material change disclosure requirement in the </w:t>
      </w:r>
      <w:r>
        <w:rPr>
          <w:i/>
        </w:rPr>
        <w:t>2015 Open Internet Order</w:t>
      </w:r>
      <w:r>
        <w:t xml:space="preserve">, stating that updates to disclosures should be accessible to “third parties who wish to monitor network management practices for potential violations of open Internet principles.”  </w:t>
      </w:r>
      <w:r>
        <w:rPr>
          <w:i/>
        </w:rPr>
        <w:t>2015 Open Internet Order</w:t>
      </w:r>
      <w:r>
        <w:t xml:space="preserve">, 30 FCC Rcd at 5671, para. 161 (quoting </w:t>
      </w:r>
      <w:r>
        <w:rPr>
          <w:i/>
        </w:rPr>
        <w:t>2010 Open Internet Order</w:t>
      </w:r>
      <w:r>
        <w:t>, 25 FCC Rcd at 17938-39, para. 56).</w:t>
      </w:r>
    </w:p>
  </w:footnote>
  <w:footnote w:id="176">
    <w:p w:rsidR="00474D51" w:rsidRPr="00BF79C0" w:rsidRDefault="00474D51" w:rsidP="00324CD5">
      <w:pPr>
        <w:pStyle w:val="FootnoteText"/>
      </w:pPr>
      <w:r>
        <w:rPr>
          <w:rStyle w:val="FootnoteReference"/>
        </w:rPr>
        <w:footnoteRef/>
      </w:r>
      <w:r>
        <w:t xml:space="preserve"> 2012 FTC Privacy Report at 57; </w:t>
      </w:r>
      <w:r>
        <w:rPr>
          <w:i/>
        </w:rPr>
        <w:t xml:space="preserve">see also Facebook Consent </w:t>
      </w:r>
      <w:r w:rsidRPr="004D4C97">
        <w:rPr>
          <w:i/>
        </w:rPr>
        <w:t>Order</w:t>
      </w:r>
      <w:r>
        <w:t xml:space="preserve"> at 4 (requiring Facebook to provide consumers with clear and prominent notice and to obtain express consent before their information is shared beyond the privacy settings that consumers have previously established); </w:t>
      </w:r>
      <w:r w:rsidRPr="00BB52B1">
        <w:rPr>
          <w:i/>
        </w:rPr>
        <w:t>Google Consent Order</w:t>
      </w:r>
      <w:r>
        <w:t xml:space="preserve"> at 3-4 (requiring Google to provide notice to and obtain express affirmative consent from users before any new or additional sharing of uses’ identified information that is a change from stated sharing practices in effect at the time Google collected such information, and that results from any change, addition, or enhancement to a product or service offering).</w:t>
      </w:r>
      <w:r w:rsidDel="00CB1F1E">
        <w:t xml:space="preserve"> </w:t>
      </w:r>
    </w:p>
  </w:footnote>
  <w:footnote w:id="177">
    <w:p w:rsidR="00474D51" w:rsidRDefault="00474D51" w:rsidP="00324CD5">
      <w:pPr>
        <w:pStyle w:val="FootnoteText"/>
      </w:pPr>
      <w:r>
        <w:rPr>
          <w:rStyle w:val="FootnoteReference"/>
        </w:rPr>
        <w:footnoteRef/>
      </w:r>
      <w:r>
        <w:t xml:space="preserve"> </w:t>
      </w:r>
      <w:r w:rsidRPr="009F1BED">
        <w:t xml:space="preserve">Organization for Economic Cooperation and Development, </w:t>
      </w:r>
      <w:r w:rsidRPr="009F1BED">
        <w:rPr>
          <w:i/>
        </w:rPr>
        <w:t>OECD Guidelines on the Protection of Privacy and Transborder Flows of Personal Data</w:t>
      </w:r>
      <w:r w:rsidRPr="009F1BED">
        <w:t xml:space="preserve"> </w:t>
      </w:r>
      <w:r>
        <w:t>at para. 9 (</w:t>
      </w:r>
      <w:r w:rsidRPr="009F1BED">
        <w:t>1980)</w:t>
      </w:r>
      <w:r>
        <w:t>.</w:t>
      </w:r>
    </w:p>
  </w:footnote>
  <w:footnote w:id="178">
    <w:p w:rsidR="00474D51" w:rsidRPr="0048771E" w:rsidRDefault="00474D51" w:rsidP="00324CD5">
      <w:pPr>
        <w:pStyle w:val="FootnoteText"/>
      </w:pPr>
      <w:r>
        <w:rPr>
          <w:rStyle w:val="FootnoteReference"/>
        </w:rPr>
        <w:footnoteRef/>
      </w:r>
      <w:r>
        <w:t xml:space="preserve"> </w:t>
      </w:r>
      <w:r>
        <w:rPr>
          <w:i/>
        </w:rPr>
        <w:t>See Implementation of Section 6002(b) of the Omnibus Budget Reconciliation Act of 1993; Annual Report and Analysis of Competitive Market Conditions With Respect to Mobile Wireless, Including Commercial Mobile Services</w:t>
      </w:r>
      <w:r>
        <w:t xml:space="preserve">, WT Docket No. 15-125, Eighteenth Report, 30 FCC Rcd 14515, 14516-17, para. 1 (2014).  In the </w:t>
      </w:r>
      <w:r>
        <w:rPr>
          <w:i/>
        </w:rPr>
        <w:t>2015 Open Internet Order</w:t>
      </w:r>
      <w:r>
        <w:t>, the Commission noted further that mobile data traffic has exploded and that consumers increasingly rely on mobile broadband as a pathway to the Internet.</w:t>
      </w:r>
      <w:r>
        <w:rPr>
          <w:i/>
        </w:rPr>
        <w:t xml:space="preserve"> </w:t>
      </w:r>
      <w:r>
        <w:t xml:space="preserve"> </w:t>
      </w:r>
      <w:r>
        <w:rPr>
          <w:i/>
        </w:rPr>
        <w:t>See 2015 Open Internet Order</w:t>
      </w:r>
      <w:r>
        <w:t xml:space="preserve">, 30 FCC Rcd at 5636, paras. 89-90.  The Commission also stated that evidence shows that consumers in certain demographic groups, including low income and rural consumers, as well as communities of color, are more likely to rely on mobile platforms as their only access to the Internet.  </w:t>
      </w:r>
      <w:r>
        <w:rPr>
          <w:i/>
        </w:rPr>
        <w:t>See id.</w:t>
      </w:r>
      <w:r>
        <w:t xml:space="preserve"> at 5636, para. 90; </w:t>
      </w:r>
      <w:r>
        <w:rPr>
          <w:i/>
        </w:rPr>
        <w:t xml:space="preserve">see also </w:t>
      </w:r>
      <w:r w:rsidRPr="00BB52B1">
        <w:rPr>
          <w:i/>
        </w:rPr>
        <w:t>2016 Broadband Progress Report</w:t>
      </w:r>
      <w:r>
        <w:t xml:space="preserve">, </w:t>
      </w:r>
      <w:r w:rsidRPr="00516924">
        <w:t xml:space="preserve">FCC 16-6, </w:t>
      </w:r>
      <w:r>
        <w:t>at 18, para. 39.</w:t>
      </w:r>
    </w:p>
  </w:footnote>
  <w:footnote w:id="179">
    <w:p w:rsidR="00474D51" w:rsidRPr="006F7329" w:rsidRDefault="00474D51" w:rsidP="00324CD5">
      <w:pPr>
        <w:pStyle w:val="FootnoteText"/>
      </w:pPr>
      <w:r>
        <w:rPr>
          <w:rStyle w:val="FootnoteReference"/>
        </w:rPr>
        <w:footnoteRef/>
      </w:r>
      <w:r>
        <w:t xml:space="preserve"> </w:t>
      </w:r>
      <w:r>
        <w:rPr>
          <w:i/>
        </w:rPr>
        <w:t xml:space="preserve">See </w:t>
      </w:r>
      <w:r>
        <w:t xml:space="preserve">47 </w:t>
      </w:r>
      <w:r w:rsidRPr="00965129">
        <w:t xml:space="preserve">CFR </w:t>
      </w:r>
      <w:r w:rsidRPr="00B07699">
        <w:rPr>
          <w:shd w:val="clear" w:color="auto" w:fill="FFFFFF"/>
        </w:rPr>
        <w:t>§ 64.2008(b).</w:t>
      </w:r>
    </w:p>
  </w:footnote>
  <w:footnote w:id="180">
    <w:p w:rsidR="00474D51" w:rsidRPr="006F7329" w:rsidRDefault="00474D51" w:rsidP="00324CD5">
      <w:pPr>
        <w:pStyle w:val="FootnoteText"/>
      </w:pPr>
      <w:r>
        <w:rPr>
          <w:rStyle w:val="FootnoteReference"/>
        </w:rPr>
        <w:footnoteRef/>
      </w:r>
      <w:r>
        <w:t xml:space="preserve"> </w:t>
      </w:r>
      <w:r>
        <w:rPr>
          <w:i/>
        </w:rPr>
        <w:t xml:space="preserve">See </w:t>
      </w:r>
      <w:r>
        <w:t xml:space="preserve">47 U.S.C. </w:t>
      </w:r>
      <w:r w:rsidRPr="00B07699">
        <w:rPr>
          <w:shd w:val="clear" w:color="auto" w:fill="FFFFFF"/>
        </w:rPr>
        <w:t>§</w:t>
      </w:r>
      <w:r>
        <w:rPr>
          <w:shd w:val="clear" w:color="auto" w:fill="FFFFFF"/>
        </w:rPr>
        <w:t xml:space="preserve"> </w:t>
      </w:r>
      <w:r>
        <w:t>551(a); 47</w:t>
      </w:r>
      <w:r w:rsidRPr="006F7329">
        <w:t xml:space="preserve"> </w:t>
      </w:r>
      <w:r>
        <w:t xml:space="preserve">U.S.C. </w:t>
      </w:r>
      <w:r w:rsidRPr="00B07699">
        <w:rPr>
          <w:shd w:val="clear" w:color="auto" w:fill="FFFFFF"/>
        </w:rPr>
        <w:t>§</w:t>
      </w:r>
      <w:r>
        <w:rPr>
          <w:shd w:val="clear" w:color="auto" w:fill="FFFFFF"/>
        </w:rPr>
        <w:t xml:space="preserve"> </w:t>
      </w:r>
      <w:r>
        <w:t>338(i)(1).</w:t>
      </w:r>
    </w:p>
  </w:footnote>
  <w:footnote w:id="181">
    <w:p w:rsidR="00474D51" w:rsidRPr="006F7329" w:rsidRDefault="00474D51" w:rsidP="00324CD5">
      <w:pPr>
        <w:pStyle w:val="FootnoteText"/>
      </w:pPr>
      <w:r>
        <w:rPr>
          <w:rStyle w:val="FootnoteReference"/>
        </w:rPr>
        <w:footnoteRef/>
      </w:r>
      <w:r>
        <w:t xml:space="preserve"> </w:t>
      </w:r>
      <w:r>
        <w:rPr>
          <w:i/>
        </w:rPr>
        <w:t xml:space="preserve">See </w:t>
      </w:r>
      <w:r>
        <w:t>47</w:t>
      </w:r>
      <w:r w:rsidRPr="006F7329">
        <w:t xml:space="preserve"> </w:t>
      </w:r>
      <w:r>
        <w:t xml:space="preserve">U.S.C. </w:t>
      </w:r>
      <w:r w:rsidRPr="00B07699">
        <w:rPr>
          <w:shd w:val="clear" w:color="auto" w:fill="FFFFFF"/>
        </w:rPr>
        <w:t>§</w:t>
      </w:r>
      <w:r>
        <w:rPr>
          <w:shd w:val="clear" w:color="auto" w:fill="FFFFFF"/>
        </w:rPr>
        <w:t xml:space="preserve"> </w:t>
      </w:r>
      <w:r>
        <w:t>551(a)(1); 47</w:t>
      </w:r>
      <w:r w:rsidRPr="006F7329">
        <w:t xml:space="preserve"> </w:t>
      </w:r>
      <w:r>
        <w:t xml:space="preserve">U.S.C. </w:t>
      </w:r>
      <w:r w:rsidRPr="00B07699">
        <w:rPr>
          <w:shd w:val="clear" w:color="auto" w:fill="FFFFFF"/>
        </w:rPr>
        <w:t>§</w:t>
      </w:r>
      <w:r>
        <w:rPr>
          <w:shd w:val="clear" w:color="auto" w:fill="FFFFFF"/>
        </w:rPr>
        <w:t xml:space="preserve"> </w:t>
      </w:r>
      <w:r>
        <w:t>338(i)(1).</w:t>
      </w:r>
    </w:p>
  </w:footnote>
  <w:footnote w:id="182">
    <w:p w:rsidR="00474D51" w:rsidRDefault="00474D51" w:rsidP="00324CD5">
      <w:pPr>
        <w:pStyle w:val="FootnoteText"/>
      </w:pPr>
      <w:r>
        <w:rPr>
          <w:rStyle w:val="FootnoteReference"/>
        </w:rPr>
        <w:footnoteRef/>
      </w:r>
      <w:r>
        <w:t xml:space="preserve"> </w:t>
      </w:r>
      <w:r>
        <w:rPr>
          <w:i/>
        </w:rPr>
        <w:t>See, e.g.</w:t>
      </w:r>
      <w:r>
        <w:t>,</w:t>
      </w:r>
      <w:r>
        <w:rPr>
          <w:i/>
        </w:rPr>
        <w:t xml:space="preserve"> </w:t>
      </w:r>
      <w:r>
        <w:t>Press Release, FCC</w:t>
      </w:r>
      <w:r w:rsidRPr="005A4A9D">
        <w:t xml:space="preserve">, </w:t>
      </w:r>
      <w:r w:rsidRPr="00590AD8">
        <w:t>FCC Initiates Rulemaking to Ensure Reasonable Franchising Process for New Video Market Entrants</w:t>
      </w:r>
      <w:r>
        <w:t xml:space="preserve"> (Nov. 3, 2005), </w:t>
      </w:r>
      <w:hyperlink r:id="rId30" w:history="1">
        <w:r w:rsidRPr="00E741BC">
          <w:rPr>
            <w:rStyle w:val="Hyperlink"/>
          </w:rPr>
          <w:t>https://apps.fcc.gov/edocs_public/attachmatch/DOC-262015A1.pdf</w:t>
        </w:r>
      </w:hyperlink>
      <w:r>
        <w:t xml:space="preserve">; </w:t>
      </w:r>
      <w:r>
        <w:rPr>
          <w:i/>
        </w:rPr>
        <w:t>BRH</w:t>
      </w:r>
      <w:r w:rsidRPr="00AB7CAA">
        <w:rPr>
          <w:i/>
        </w:rPr>
        <w:t xml:space="preserve"> Holdings G</w:t>
      </w:r>
      <w:r>
        <w:rPr>
          <w:i/>
        </w:rPr>
        <w:t>P</w:t>
      </w:r>
      <w:r w:rsidRPr="00AB7CAA">
        <w:rPr>
          <w:i/>
        </w:rPr>
        <w:t>, Lt</w:t>
      </w:r>
      <w:r>
        <w:rPr>
          <w:i/>
        </w:rPr>
        <w:t>d., Transferor &amp; EchoS</w:t>
      </w:r>
      <w:r w:rsidRPr="00AB7CAA">
        <w:rPr>
          <w:i/>
        </w:rPr>
        <w:t>tar Corp., Transferee</w:t>
      </w:r>
      <w:r>
        <w:rPr>
          <w:i/>
        </w:rPr>
        <w:t>, Applications for Consent to Transfer Control of Hughes Communications, Inc., Hughes Network Systems, LLC and HNS License Sub, LLC</w:t>
      </w:r>
      <w:r w:rsidRPr="00AB7CAA">
        <w:t>,</w:t>
      </w:r>
      <w:r>
        <w:t xml:space="preserve"> IB Docket No. 11-55, Order,</w:t>
      </w:r>
      <w:r w:rsidRPr="00AB7CAA">
        <w:t xml:space="preserve"> </w:t>
      </w:r>
      <w:r>
        <w:t>26 FCC Rcd 7976, 7981, para. 14 (2011)</w:t>
      </w:r>
      <w:r w:rsidRPr="00AB7CAA">
        <w:t>.</w:t>
      </w:r>
      <w:r>
        <w:t xml:space="preserve">  The prevalence of bundled offerings has increased dramatically in the last decade, so much so that the majority of basic service subscribers now purchase bundled services.  </w:t>
      </w:r>
      <w:r>
        <w:rPr>
          <w:i/>
        </w:rPr>
        <w:t xml:space="preserve">See </w:t>
      </w:r>
      <w:r w:rsidRPr="00AB7CAA">
        <w:rPr>
          <w:i/>
        </w:rPr>
        <w:t xml:space="preserve">Annual Assessment of the Status of Competition in the </w:t>
      </w:r>
      <w:r>
        <w:rPr>
          <w:i/>
        </w:rPr>
        <w:t>Market</w:t>
      </w:r>
      <w:r w:rsidRPr="00AB7CAA">
        <w:rPr>
          <w:i/>
        </w:rPr>
        <w:t xml:space="preserve"> for the Delivery of Video Programming</w:t>
      </w:r>
      <w:r w:rsidRPr="00AB7CAA">
        <w:t>,</w:t>
      </w:r>
      <w:r>
        <w:t xml:space="preserve"> MB Docket No. 14-16, Sixteenth Report,</w:t>
      </w:r>
      <w:r w:rsidRPr="00AB7CAA">
        <w:t xml:space="preserve"> 30 FCC Rcd 3253</w:t>
      </w:r>
      <w:r>
        <w:t>, 3297, para. 101</w:t>
      </w:r>
      <w:r w:rsidRPr="00AB7CAA">
        <w:t xml:space="preserve"> (2015)</w:t>
      </w:r>
      <w:r>
        <w:t xml:space="preserve">; </w:t>
      </w:r>
      <w:r w:rsidRPr="00AB7CAA">
        <w:rPr>
          <w:i/>
        </w:rPr>
        <w:t>Implementation of Section 3 of the</w:t>
      </w:r>
      <w:r>
        <w:rPr>
          <w:i/>
        </w:rPr>
        <w:t xml:space="preserve"> Cable Television Consumer Protection and</w:t>
      </w:r>
      <w:r w:rsidRPr="00AB7CAA">
        <w:rPr>
          <w:i/>
        </w:rPr>
        <w:t xml:space="preserve"> Competition Act of 1992</w:t>
      </w:r>
      <w:r>
        <w:rPr>
          <w:i/>
        </w:rPr>
        <w:t>; Statistical Report on Average Rates for Basic Service, Cable Programming Service, and Equipment</w:t>
      </w:r>
      <w:r w:rsidRPr="00AB7CAA">
        <w:t>,</w:t>
      </w:r>
      <w:r>
        <w:t xml:space="preserve"> MM Docket No. 92-266, Report on Cable Industry Prices,</w:t>
      </w:r>
      <w:r w:rsidRPr="00AB7CAA">
        <w:t xml:space="preserve"> 26 FCC Rcd 1769, 1773</w:t>
      </w:r>
      <w:r>
        <w:t>, para. 7</w:t>
      </w:r>
      <w:r w:rsidRPr="00AB7CAA">
        <w:t xml:space="preserve"> (2011).</w:t>
      </w:r>
    </w:p>
  </w:footnote>
  <w:footnote w:id="183">
    <w:p w:rsidR="00474D51" w:rsidRDefault="00474D51" w:rsidP="00324CD5">
      <w:pPr>
        <w:pStyle w:val="FootnoteText"/>
      </w:pPr>
      <w:r>
        <w:rPr>
          <w:rStyle w:val="FootnoteReference"/>
        </w:rPr>
        <w:footnoteRef/>
      </w:r>
      <w:r>
        <w:t xml:space="preserve"> </w:t>
      </w:r>
      <w:r>
        <w:rPr>
          <w:i/>
        </w:rPr>
        <w:t xml:space="preserve">City of Wilson, North Carolina Petition for Preemption of North Carolina General Statute Sections 160A-340 </w:t>
      </w:r>
      <w:r>
        <w:t>et seq.</w:t>
      </w:r>
      <w:r>
        <w:rPr>
          <w:i/>
        </w:rPr>
        <w:t>; The Electric Power Board of Chattanooga, Tennessee Petition for Preemption of a Portion of Tennessee Code Annotated Section 7-52-601</w:t>
      </w:r>
      <w:r>
        <w:t xml:space="preserve">, WC Docket Nos. 14-115, 14-116, Memorandum Opinion and Order, 30 FCC Rcd 2408, 2446, para. 79 (2015) (quoting </w:t>
      </w:r>
      <w:r>
        <w:rPr>
          <w:i/>
        </w:rPr>
        <w:t>Implementation of Section 621(a)(1) of the Cable Communications Policy Act of 1984 as amended by the Cable Television Consumer Protection and Competition Act of 1992</w:t>
      </w:r>
      <w:r>
        <w:t>, MB Docket No. 05-311, Report and Order and Further Notice of Proposed Rulemaking, 22 FCC Rcd 5101, 5132-33, para. 62 (2006)).</w:t>
      </w:r>
    </w:p>
  </w:footnote>
  <w:footnote w:id="184">
    <w:p w:rsidR="00474D51" w:rsidRPr="00202E82" w:rsidRDefault="00474D51" w:rsidP="00324CD5">
      <w:pPr>
        <w:pStyle w:val="FootnoteText"/>
      </w:pPr>
      <w:r>
        <w:rPr>
          <w:rStyle w:val="FootnoteReference"/>
        </w:rPr>
        <w:footnoteRef/>
      </w:r>
      <w:r>
        <w:t xml:space="preserve"> </w:t>
      </w:r>
      <w:r>
        <w:rPr>
          <w:i/>
        </w:rPr>
        <w:t>See, e.g.</w:t>
      </w:r>
      <w:r>
        <w:t xml:space="preserve">, AT&amp;T, </w:t>
      </w:r>
      <w:r>
        <w:rPr>
          <w:i/>
        </w:rPr>
        <w:t>AT&amp;T Privacy Policy</w:t>
      </w:r>
      <w:r>
        <w:t xml:space="preserve">, </w:t>
      </w:r>
      <w:hyperlink r:id="rId31" w:anchor="print" w:history="1">
        <w:r w:rsidRPr="00DC2D1B">
          <w:rPr>
            <w:rStyle w:val="Hyperlink"/>
          </w:rPr>
          <w:t>http://www.att.com/gen/privacy-policy?pid=2506#print</w:t>
        </w:r>
      </w:hyperlink>
      <w:r>
        <w:t xml:space="preserve"> (last visited Mar. 23, 2016); Comcast, </w:t>
      </w:r>
      <w:r>
        <w:rPr>
          <w:i/>
        </w:rPr>
        <w:t>Comcast Customer Privacy Notice</w:t>
      </w:r>
      <w:r>
        <w:t xml:space="preserve">, </w:t>
      </w:r>
      <w:hyperlink r:id="rId32" w:history="1">
        <w:r w:rsidRPr="00DC2D1B">
          <w:rPr>
            <w:rStyle w:val="Hyperlink"/>
          </w:rPr>
          <w:t>http://www.xfinity.com/Corporate/Customers/Policies/CustomerPrivacy.html</w:t>
        </w:r>
      </w:hyperlink>
      <w:r>
        <w:t xml:space="preserve"> (last visited Mar. 23, 2016); Cox Communications, Inc., </w:t>
      </w:r>
      <w:r>
        <w:rPr>
          <w:i/>
        </w:rPr>
        <w:t>Annual Notice to Cox Customers:  Your Privacy Rights as a Cox Customer and Related Information</w:t>
      </w:r>
      <w:r>
        <w:t xml:space="preserve"> (Jan. 1, 2016), </w:t>
      </w:r>
      <w:hyperlink r:id="rId33" w:history="1">
        <w:r w:rsidRPr="00DC2D1B">
          <w:rPr>
            <w:rStyle w:val="Hyperlink"/>
          </w:rPr>
          <w:t>https://www.cox.com/aboutus/policies/annual-privacy-notice.html</w:t>
        </w:r>
      </w:hyperlink>
      <w:r>
        <w:t xml:space="preserve">; Sprint, </w:t>
      </w:r>
      <w:r>
        <w:rPr>
          <w:i/>
        </w:rPr>
        <w:t xml:space="preserve">Legal/Regulatory &amp; Consumer Resources:  Sprint Corporation Privacy Policy </w:t>
      </w:r>
      <w:r>
        <w:t xml:space="preserve">(May 2, 2014), </w:t>
      </w:r>
      <w:hyperlink r:id="rId34" w:anchor="!/" w:history="1">
        <w:r w:rsidRPr="00DC2D1B">
          <w:rPr>
            <w:rStyle w:val="Hyperlink"/>
          </w:rPr>
          <w:t>https://www.sprint.com/legal/privacy.html#!/</w:t>
        </w:r>
      </w:hyperlink>
      <w:r>
        <w:t xml:space="preserve">; T-Mobile, </w:t>
      </w:r>
      <w:r>
        <w:rPr>
          <w:i/>
        </w:rPr>
        <w:t xml:space="preserve">T-Mobile Privacy Policy </w:t>
      </w:r>
      <w:r>
        <w:t xml:space="preserve">(Nov. 25, 2015), </w:t>
      </w:r>
      <w:hyperlink r:id="rId35" w:anchor="fullpolicy" w:history="1">
        <w:r w:rsidRPr="00DC2D1B">
          <w:rPr>
            <w:rStyle w:val="Hyperlink"/>
          </w:rPr>
          <w:t>http://www.t-mobile.com/company/website/privacypolicy.aspx/#fullpolicy</w:t>
        </w:r>
      </w:hyperlink>
      <w:r>
        <w:t xml:space="preserve">; Verizon, </w:t>
      </w:r>
      <w:r>
        <w:rPr>
          <w:i/>
        </w:rPr>
        <w:t xml:space="preserve">Privacy Policy:  Full Privacy Policy </w:t>
      </w:r>
      <w:r>
        <w:t xml:space="preserve">(Dec. 2015), </w:t>
      </w:r>
      <w:hyperlink r:id="rId36" w:history="1">
        <w:r w:rsidRPr="00E741BC">
          <w:rPr>
            <w:rStyle w:val="Hyperlink"/>
          </w:rPr>
          <w:t>http://www.verizon.com/about/privacy/policy/</w:t>
        </w:r>
      </w:hyperlink>
      <w:r>
        <w:t>.</w:t>
      </w:r>
    </w:p>
  </w:footnote>
  <w:footnote w:id="185">
    <w:p w:rsidR="00474D51" w:rsidRDefault="00474D51" w:rsidP="00324CD5">
      <w:pPr>
        <w:pStyle w:val="FootnoteText"/>
      </w:pPr>
      <w:r>
        <w:rPr>
          <w:rStyle w:val="FootnoteReference"/>
        </w:rPr>
        <w:footnoteRef/>
      </w:r>
      <w:r>
        <w:t xml:space="preserve"> Section 222 addresses the conditions under which carriers may “use, disclose, or provide access to” customer information, 47 U.S.C. § 222(c)(1), (c)(3), (d), (f).  For simplicity throughout this document we sometimes use the terms “disclose” or “share” in place of “disclose or provide access to.”</w:t>
      </w:r>
    </w:p>
  </w:footnote>
  <w:footnote w:id="186">
    <w:p w:rsidR="00474D51" w:rsidRPr="001E0822" w:rsidRDefault="00474D51" w:rsidP="00324CD5">
      <w:pPr>
        <w:pStyle w:val="FootnoteText"/>
      </w:pPr>
      <w:r>
        <w:rPr>
          <w:rStyle w:val="FootnoteReference"/>
        </w:rPr>
        <w:footnoteRef/>
      </w:r>
      <w:r>
        <w:t xml:space="preserve"> </w:t>
      </w:r>
      <w:r>
        <w:rPr>
          <w:i/>
        </w:rPr>
        <w:t>See, e.g.</w:t>
      </w:r>
      <w:r>
        <w:t xml:space="preserve">, Paula J. Bruening and Mary J. Culnan, </w:t>
      </w:r>
      <w:r>
        <w:rPr>
          <w:i/>
        </w:rPr>
        <w:t>Through a Glass Darkly: From Privacy Notices to Effective Transparency</w:t>
      </w:r>
      <w:r>
        <w:t xml:space="preserve"> 10, N.C.J. of L. &amp; Tech. (forthcoming 2016), </w:t>
      </w:r>
      <w:r>
        <w:rPr>
          <w:i/>
        </w:rPr>
        <w:t>available at</w:t>
      </w:r>
      <w:r>
        <w:t xml:space="preserve"> </w:t>
      </w:r>
      <w:r w:rsidRPr="001E0822">
        <w:t>http://papers.ssrn.com/sol3/papers.cfm?abstract_id=2654469</w:t>
      </w:r>
      <w:r>
        <w:t>.</w:t>
      </w:r>
    </w:p>
  </w:footnote>
  <w:footnote w:id="187">
    <w:p w:rsidR="00474D51" w:rsidRPr="00C11DB7" w:rsidRDefault="00474D51" w:rsidP="00324CD5">
      <w:pPr>
        <w:pStyle w:val="FootnoteText"/>
      </w:pPr>
      <w:r>
        <w:rPr>
          <w:rStyle w:val="FootnoteReference"/>
        </w:rPr>
        <w:footnoteRef/>
      </w:r>
      <w:r>
        <w:t xml:space="preserve"> We note that notice and choice, while a bedrock principle of protection, are not absolute guarantors or privacy protection.  Customers’ ability to exercise choice can be eroded through “notice fatigue.”  </w:t>
      </w:r>
      <w:r>
        <w:rPr>
          <w:i/>
        </w:rPr>
        <w:t>See</w:t>
      </w:r>
      <w:r>
        <w:t xml:space="preserve"> Schaub et al., </w:t>
      </w:r>
      <w:r>
        <w:rPr>
          <w:i/>
        </w:rPr>
        <w:t>supra</w:t>
      </w:r>
      <w:r>
        <w:t xml:space="preserve"> note </w:t>
      </w:r>
      <w:r>
        <w:fldChar w:fldCharType="begin"/>
      </w:r>
      <w:r>
        <w:instrText xml:space="preserve"> NOTEREF _Ref446337427 \h </w:instrText>
      </w:r>
      <w:r>
        <w:fldChar w:fldCharType="separate"/>
      </w:r>
      <w:r w:rsidR="00327397">
        <w:t>167</w:t>
      </w:r>
      <w:r>
        <w:fldChar w:fldCharType="end"/>
      </w:r>
      <w:r>
        <w:t xml:space="preserve"> at 3; Bruening and Culnan, </w:t>
      </w:r>
      <w:r w:rsidRPr="00A600F1">
        <w:rPr>
          <w:i/>
        </w:rPr>
        <w:t>supra</w:t>
      </w:r>
      <w:r>
        <w:t xml:space="preserve"> note </w:t>
      </w:r>
      <w:r>
        <w:fldChar w:fldCharType="begin"/>
      </w:r>
      <w:r>
        <w:instrText xml:space="preserve"> NOTEREF _Ref446337492 \h </w:instrText>
      </w:r>
      <w:r>
        <w:fldChar w:fldCharType="separate"/>
      </w:r>
      <w:r w:rsidR="00327397">
        <w:t>185</w:t>
      </w:r>
      <w:r>
        <w:fldChar w:fldCharType="end"/>
      </w:r>
      <w:r w:rsidRPr="00A600F1">
        <w:t xml:space="preserve">; Fred H. Cate, </w:t>
      </w:r>
      <w:r w:rsidRPr="00A600F1">
        <w:rPr>
          <w:i/>
        </w:rPr>
        <w:t>The Failure of Fair Information Practices</w:t>
      </w:r>
      <w:r w:rsidRPr="00A600F1">
        <w:t xml:space="preserve">, in </w:t>
      </w:r>
      <w:r w:rsidRPr="00A600F1">
        <w:rPr>
          <w:iCs/>
        </w:rPr>
        <w:t>Consumer Protection in the Age of the Information Economy</w:t>
      </w:r>
      <w:r w:rsidRPr="00A600F1">
        <w:t xml:space="preserve"> 343 (Jane K. Winn, ed., 2006)</w:t>
      </w:r>
      <w:r>
        <w:t>.</w:t>
      </w:r>
      <w:r>
        <w:rPr>
          <w:i/>
        </w:rPr>
        <w:t xml:space="preserve">  </w:t>
      </w:r>
      <w:r>
        <w:t xml:space="preserve">Customers may also fail to spend time and energy making multiple, complex privacy choices, even if they wish to protect their privacy more, if they perceive that their choices will not effectively protect their privacy.  </w:t>
      </w:r>
      <w:r>
        <w:rPr>
          <w:i/>
        </w:rPr>
        <w:t>See, e.g.</w:t>
      </w:r>
      <w:r>
        <w:t xml:space="preserve">, Joseph Turow, Michael Hennessy, &amp; Nora Draper, </w:t>
      </w:r>
      <w:r>
        <w:rPr>
          <w:i/>
        </w:rPr>
        <w:t>The Tradeoff Fallacy: How Marketers Are Misrepresenting American Consumers and Opening Them Up To Exploitation</w:t>
      </w:r>
      <w:r>
        <w:t xml:space="preserve"> (2015), </w:t>
      </w:r>
      <w:hyperlink r:id="rId37" w:history="1">
        <w:r w:rsidRPr="00FC2EC0">
          <w:rPr>
            <w:rStyle w:val="Hyperlink"/>
          </w:rPr>
          <w:t>https://www.asc.upenn.edu/sites/default/files/TradeoffFallacy_1.pdf</w:t>
        </w:r>
      </w:hyperlink>
      <w:r>
        <w:t xml:space="preserve">.  </w:t>
      </w:r>
      <w:r>
        <w:rPr>
          <w:i/>
        </w:rPr>
        <w:t>See also</w:t>
      </w:r>
      <w:r>
        <w:t xml:space="preserve"> Chris Jay Hoofnagle and Jennifer M. Urban, </w:t>
      </w:r>
      <w:r>
        <w:rPr>
          <w:i/>
        </w:rPr>
        <w:t>Alan Westin’s Privacy Homo Economicus</w:t>
      </w:r>
      <w:r>
        <w:t xml:space="preserve">, 49 Wake Forest L. Rev. 261 (2014), </w:t>
      </w:r>
      <w:r>
        <w:rPr>
          <w:i/>
        </w:rPr>
        <w:t>available at</w:t>
      </w:r>
      <w:r>
        <w:t xml:space="preserve"> </w:t>
      </w:r>
      <w:hyperlink r:id="rId38" w:history="1">
        <w:r w:rsidRPr="00FC2EC0">
          <w:rPr>
            <w:rStyle w:val="Hyperlink"/>
          </w:rPr>
          <w:t>http://papers.ssrn.com/sol3/papers.cfm?abstract_id=2434800</w:t>
        </w:r>
      </w:hyperlink>
      <w:r>
        <w:t>.</w:t>
      </w:r>
    </w:p>
  </w:footnote>
  <w:footnote w:id="188">
    <w:p w:rsidR="00474D51" w:rsidRDefault="00474D51" w:rsidP="00324CD5">
      <w:pPr>
        <w:pStyle w:val="FootnoteText"/>
      </w:pPr>
      <w:r>
        <w:rPr>
          <w:rStyle w:val="FootnoteReference"/>
        </w:rPr>
        <w:footnoteRef/>
      </w:r>
      <w:r>
        <w:t xml:space="preserve"> The Commission has long drawn distinctions in the levels of customer approval required for different uses of customer information.  </w:t>
      </w:r>
      <w:r w:rsidRPr="00D34C2B">
        <w:rPr>
          <w:i/>
        </w:rPr>
        <w:t>See</w:t>
      </w:r>
      <w:r>
        <w:rPr>
          <w:i/>
        </w:rPr>
        <w:t>, e.g.</w:t>
      </w:r>
      <w:r>
        <w:t>,</w:t>
      </w:r>
      <w:r w:rsidRPr="00D34C2B">
        <w:rPr>
          <w:i/>
        </w:rPr>
        <w:t xml:space="preserve"> </w:t>
      </w:r>
      <w:r>
        <w:rPr>
          <w:i/>
        </w:rPr>
        <w:t>1996 CPNI NPRM</w:t>
      </w:r>
      <w:r w:rsidRPr="00D34C2B">
        <w:t xml:space="preserve">, </w:t>
      </w:r>
      <w:r>
        <w:t xml:space="preserve">11 FCC Rcd at 12516-17, para. 5 (recognizing different levels of protection in the </w:t>
      </w:r>
      <w:r>
        <w:rPr>
          <w:i/>
        </w:rPr>
        <w:t xml:space="preserve">Computer III </w:t>
      </w:r>
      <w:r>
        <w:t xml:space="preserve">rules).  </w:t>
      </w:r>
    </w:p>
  </w:footnote>
  <w:footnote w:id="189">
    <w:p w:rsidR="00474D51" w:rsidRDefault="00474D51" w:rsidP="00324CD5">
      <w:pPr>
        <w:pStyle w:val="FootnoteText"/>
      </w:pPr>
      <w:r>
        <w:rPr>
          <w:rStyle w:val="FootnoteReference"/>
        </w:rPr>
        <w:footnoteRef/>
      </w:r>
      <w:r>
        <w:t xml:space="preserve"> </w:t>
      </w:r>
      <w:r>
        <w:rPr>
          <w:i/>
        </w:rPr>
        <w:t>See, e.g.</w:t>
      </w:r>
      <w:r>
        <w:t xml:space="preserve">, </w:t>
      </w:r>
      <w:r w:rsidRPr="000F25B6">
        <w:t>Lee Rainie &amp; Dana Page, Pew Research Center</w:t>
      </w:r>
      <w:r>
        <w:t>,</w:t>
      </w:r>
      <w:r w:rsidRPr="000F25B6">
        <w:t xml:space="preserve"> Privacy and Information Sharing, 5-6</w:t>
      </w:r>
      <w:r>
        <w:t xml:space="preserve">, 20, 23-25 </w:t>
      </w:r>
      <w:r w:rsidRPr="000F25B6">
        <w:t>(Jan. 14, 2016) (2016 Pew Report)</w:t>
      </w:r>
      <w:r>
        <w:t>.</w:t>
      </w:r>
    </w:p>
  </w:footnote>
  <w:footnote w:id="190">
    <w:p w:rsidR="00474D51" w:rsidRDefault="00474D51" w:rsidP="00324CD5">
      <w:pPr>
        <w:pStyle w:val="FootnoteText"/>
      </w:pPr>
      <w:r>
        <w:rPr>
          <w:rStyle w:val="FootnoteReference"/>
        </w:rPr>
        <w:footnoteRef/>
      </w:r>
      <w:r>
        <w:t xml:space="preserve"> </w:t>
      </w:r>
      <w:r>
        <w:rPr>
          <w:i/>
        </w:rPr>
        <w:t>See, e.g.</w:t>
      </w:r>
      <w:r w:rsidRPr="00FB7BAB">
        <w:t>,</w:t>
      </w:r>
      <w:r>
        <w:t xml:space="preserve"> 2016 Pew Report at 5-6, 22, 23-25.</w:t>
      </w:r>
    </w:p>
  </w:footnote>
  <w:footnote w:id="191">
    <w:p w:rsidR="00474D51" w:rsidRDefault="00474D51" w:rsidP="00324CD5">
      <w:pPr>
        <w:pStyle w:val="FootnoteText"/>
      </w:pPr>
      <w:r>
        <w:rPr>
          <w:rStyle w:val="FootnoteReference"/>
        </w:rPr>
        <w:footnoteRef/>
      </w:r>
      <w:r>
        <w:t xml:space="preserve"> 47 U.S.C. § 222(c)(1).</w:t>
      </w:r>
    </w:p>
  </w:footnote>
  <w:footnote w:id="192">
    <w:p w:rsidR="00474D51" w:rsidRDefault="00474D51" w:rsidP="00324CD5">
      <w:pPr>
        <w:pStyle w:val="FootnoteText"/>
      </w:pPr>
      <w:r>
        <w:rPr>
          <w:rStyle w:val="FootnoteReference"/>
        </w:rPr>
        <w:footnoteRef/>
      </w:r>
      <w:r>
        <w:t xml:space="preserve"> </w:t>
      </w:r>
      <w:r>
        <w:rPr>
          <w:i/>
        </w:rPr>
        <w:t xml:space="preserve">Id.  </w:t>
      </w:r>
      <w:r>
        <w:t xml:space="preserve">Under the </w:t>
      </w:r>
      <w:r>
        <w:rPr>
          <w:i/>
        </w:rPr>
        <w:t>2015 Open Internet Order</w:t>
      </w:r>
      <w:r>
        <w:t xml:space="preserve">, BIAS providers are permitted to engage in reasonable network management practices, and actions that qualify as such are not considered to violate the no-blocking, no-throttling, and no-unreasonable interference/disadvantage rules.  </w:t>
      </w:r>
      <w:r>
        <w:rPr>
          <w:i/>
        </w:rPr>
        <w:t>See 2015 Open Internet Order</w:t>
      </w:r>
      <w:r>
        <w:t xml:space="preserve">, 30 FCC Rcd at 5700, para. 215.  </w:t>
      </w:r>
    </w:p>
  </w:footnote>
  <w:footnote w:id="193">
    <w:p w:rsidR="00474D51" w:rsidRDefault="00474D51" w:rsidP="00324CD5">
      <w:pPr>
        <w:pStyle w:val="FootnoteText"/>
      </w:pPr>
      <w:r>
        <w:rPr>
          <w:rStyle w:val="FootnoteReference"/>
        </w:rPr>
        <w:footnoteRef/>
      </w:r>
      <w:r>
        <w:t xml:space="preserve"> 47 U.S.C. § 222(a).</w:t>
      </w:r>
    </w:p>
  </w:footnote>
  <w:footnote w:id="194">
    <w:p w:rsidR="00474D51" w:rsidRDefault="00474D51" w:rsidP="00324CD5">
      <w:pPr>
        <w:pStyle w:val="FootnoteText"/>
      </w:pPr>
      <w:r>
        <w:rPr>
          <w:rStyle w:val="FootnoteReference"/>
        </w:rPr>
        <w:footnoteRef/>
      </w:r>
      <w:r>
        <w:t xml:space="preserve"> 47 CFR § 64.2005(a).</w:t>
      </w:r>
    </w:p>
  </w:footnote>
  <w:footnote w:id="195">
    <w:p w:rsidR="00474D51" w:rsidRDefault="00474D51" w:rsidP="00324CD5">
      <w:pPr>
        <w:pStyle w:val="FootnoteText"/>
      </w:pPr>
      <w:r>
        <w:rPr>
          <w:rStyle w:val="FootnoteReference"/>
        </w:rPr>
        <w:footnoteRef/>
      </w:r>
      <w:r>
        <w:t xml:space="preserve"> </w:t>
      </w:r>
      <w:r>
        <w:rPr>
          <w:i/>
        </w:rPr>
        <w:t>See, e.g.</w:t>
      </w:r>
      <w:r>
        <w:t xml:space="preserve">, 2014 White House Big Data Report at 3-9, 41-47, 50-54; Federal Trade Commission, Big Data:  A Tool for Inclusion or Exclusion?  Understanding the Issues at 1-2, 10-12 (Jan. 2016), </w:t>
      </w:r>
      <w:r w:rsidRPr="008333DD">
        <w:t>https://www.ftc.gov/system/files/documents/reports/big-data-tool-inclusion-or-exclusion-understanding-issues/160106big-data-rpt.pdf</w:t>
      </w:r>
      <w:r>
        <w:t xml:space="preserve"> (2016 FTC Big Data Report); FTC Staff Report, </w:t>
      </w:r>
      <w:r w:rsidRPr="001C785E">
        <w:rPr>
          <w:i/>
        </w:rPr>
        <w:t>The Internet of Things: Privacy and Security in a Networked World</w:t>
      </w:r>
      <w:r>
        <w:t xml:space="preserve">, 14-18, January 2015, </w:t>
      </w:r>
      <w:r w:rsidRPr="00845545">
        <w:t>https://www.ftc.gov/system/files/documents/reports/federal-trade-commission-staff-report-november-2013-workshop-entitled-internet-things-privacy/150127iotrpt.pdf</w:t>
      </w:r>
      <w:r>
        <w:t xml:space="preserve"> (2015 FTC Internet of Things Report).</w:t>
      </w:r>
    </w:p>
  </w:footnote>
  <w:footnote w:id="196">
    <w:p w:rsidR="00474D51" w:rsidRDefault="00474D51" w:rsidP="00324CD5">
      <w:pPr>
        <w:pStyle w:val="FootnoteText"/>
      </w:pPr>
      <w:r>
        <w:rPr>
          <w:rStyle w:val="FootnoteReference"/>
        </w:rPr>
        <w:footnoteRef/>
      </w:r>
      <w:r>
        <w:t xml:space="preserve"> </w:t>
      </w:r>
      <w:r>
        <w:rPr>
          <w:i/>
        </w:rPr>
        <w:t xml:space="preserve">See supra </w:t>
      </w:r>
      <w:r>
        <w:t xml:space="preserve">para. </w:t>
      </w:r>
      <w:r>
        <w:fldChar w:fldCharType="begin"/>
      </w:r>
      <w:r>
        <w:instrText xml:space="preserve"> REF _Ref445294709 \r \h </w:instrText>
      </w:r>
      <w:r>
        <w:fldChar w:fldCharType="separate"/>
      </w:r>
      <w:r w:rsidR="00327397">
        <w:t>67</w:t>
      </w:r>
      <w:r>
        <w:fldChar w:fldCharType="end"/>
      </w:r>
      <w:r>
        <w:t>.</w:t>
      </w:r>
    </w:p>
  </w:footnote>
  <w:footnote w:id="197">
    <w:p w:rsidR="00474D51" w:rsidRPr="001A41F4" w:rsidRDefault="00474D51" w:rsidP="00324CD5">
      <w:pPr>
        <w:pStyle w:val="FootnoteText"/>
      </w:pPr>
      <w:r>
        <w:rPr>
          <w:rStyle w:val="FootnoteReference"/>
        </w:rPr>
        <w:footnoteRef/>
      </w:r>
      <w:r>
        <w:t xml:space="preserve"> </w:t>
      </w:r>
      <w:r>
        <w:rPr>
          <w:i/>
        </w:rPr>
        <w:t xml:space="preserve">See </w:t>
      </w:r>
      <w:r>
        <w:t xml:space="preserve">47 U.S.C. </w:t>
      </w:r>
      <w:r w:rsidRPr="00747CDD">
        <w:rPr>
          <w:color w:val="333333"/>
          <w:shd w:val="clear" w:color="auto" w:fill="FFFFFF"/>
        </w:rPr>
        <w:t>§</w:t>
      </w:r>
      <w:r>
        <w:t xml:space="preserve"> 222(d).  </w:t>
      </w:r>
    </w:p>
  </w:footnote>
  <w:footnote w:id="198">
    <w:p w:rsidR="00474D51" w:rsidRDefault="00474D51" w:rsidP="00324CD5">
      <w:pPr>
        <w:pStyle w:val="FootnoteText"/>
      </w:pPr>
      <w:r>
        <w:rPr>
          <w:rStyle w:val="FootnoteReference"/>
        </w:rPr>
        <w:footnoteRef/>
      </w:r>
      <w:r>
        <w:t xml:space="preserve"> </w:t>
      </w:r>
      <w:r>
        <w:rPr>
          <w:i/>
        </w:rPr>
        <w:t>See</w:t>
      </w:r>
      <w:r>
        <w:t xml:space="preserve"> 47 U.S.C. </w:t>
      </w:r>
      <w:r w:rsidRPr="00747CDD">
        <w:rPr>
          <w:color w:val="333333"/>
          <w:shd w:val="clear" w:color="auto" w:fill="FFFFFF"/>
        </w:rPr>
        <w:t>§</w:t>
      </w:r>
      <w:r>
        <w:t xml:space="preserve"> 222(d)(4) (allowing BIAS providers to provide call location information concerning the user of a commercial mobile radio service or an IP-enabled voice service:  (1) to a Public Safety Answering Point (PSAP), emergency medical service provider or emergency dispatch provider, public safety, fire service, or law enforcement official, or hospital emergency or trauma care facility, in order to respond to the user’s call for emergency services; (2) to inform the user’s legal guardian or members of the user’s immediate family of the user’s location in an emergency situation that involves the risk of death or serious physical harm; and (3) to providers of information or database management services solely for purposes of assisting in the delivery of emergency services in response to an emergency).</w:t>
      </w:r>
    </w:p>
  </w:footnote>
  <w:footnote w:id="199">
    <w:p w:rsidR="00474D51" w:rsidRPr="00C727F8" w:rsidRDefault="00474D51" w:rsidP="00324CD5">
      <w:pPr>
        <w:pStyle w:val="FootnoteText"/>
      </w:pPr>
      <w:r>
        <w:rPr>
          <w:rStyle w:val="FootnoteReference"/>
        </w:rPr>
        <w:footnoteRef/>
      </w:r>
      <w:r>
        <w:t xml:space="preserve"> </w:t>
      </w:r>
      <w:r>
        <w:rPr>
          <w:i/>
        </w:rPr>
        <w:t>See 911 Governance and Accountability; Improving 911 Reliability</w:t>
      </w:r>
      <w:r>
        <w:t>, PS Docket Nos. 14-193, 13-75, Policy Statement and Notice of Proposed Rulemaking, 29 FCC Rcd 14208, 14213, para. 10 (2014).</w:t>
      </w:r>
    </w:p>
  </w:footnote>
  <w:footnote w:id="200">
    <w:p w:rsidR="00474D51" w:rsidRPr="00F01E4A" w:rsidRDefault="00474D51" w:rsidP="00324CD5">
      <w:pPr>
        <w:pStyle w:val="FootnoteText"/>
      </w:pPr>
      <w:r>
        <w:rPr>
          <w:rStyle w:val="FootnoteReference"/>
        </w:rPr>
        <w:footnoteRef/>
      </w:r>
      <w:r>
        <w:t xml:space="preserve"> </w:t>
      </w:r>
      <w:r>
        <w:rPr>
          <w:i/>
        </w:rPr>
        <w:t xml:space="preserve">See </w:t>
      </w:r>
      <w:r>
        <w:t>47 U.S.C. § 222(d)(2) (stating that nothing in this section prohibits a telecommunications carrier from using, disclosing or permitting access to customer proprietary network information “to protect the rights or property of the carrier, or to protect users of those services and other carriers from fraudulent, abusive, or unlawful use of, or subscription to, such services”).</w:t>
      </w:r>
    </w:p>
  </w:footnote>
  <w:footnote w:id="201">
    <w:p w:rsidR="00474D51" w:rsidRPr="00865C01" w:rsidRDefault="00474D51" w:rsidP="00324CD5">
      <w:pPr>
        <w:pStyle w:val="FootnoteText"/>
      </w:pPr>
      <w:r>
        <w:rPr>
          <w:rStyle w:val="FootnoteReference"/>
        </w:rPr>
        <w:footnoteRef/>
      </w:r>
      <w:r>
        <w:t xml:space="preserve"> </w:t>
      </w:r>
      <w:r>
        <w:rPr>
          <w:i/>
        </w:rPr>
        <w:t>See</w:t>
      </w:r>
      <w:r>
        <w:t xml:space="preserve"> Cybersecurity Act of 2015, Pub. L. No. 114-113, Division N §104(b)-(d) (allowing “defensive measures” and disclosure of “cyber threat indicators or defensive measures” in certain circumstances and with specific safeguards).</w:t>
      </w:r>
    </w:p>
  </w:footnote>
  <w:footnote w:id="202">
    <w:p w:rsidR="00474D51" w:rsidRPr="00446BF5" w:rsidRDefault="00474D51" w:rsidP="00324CD5">
      <w:pPr>
        <w:pStyle w:val="FootnoteText"/>
      </w:pPr>
      <w:r w:rsidRPr="00446BF5">
        <w:rPr>
          <w:rStyle w:val="FootnoteReference"/>
        </w:rPr>
        <w:footnoteRef/>
      </w:r>
      <w:r w:rsidRPr="00446BF5">
        <w:t xml:space="preserve"> </w:t>
      </w:r>
      <w:r w:rsidRPr="00446BF5">
        <w:rPr>
          <w:i/>
        </w:rPr>
        <w:t>See</w:t>
      </w:r>
      <w:r w:rsidRPr="00446BF5">
        <w:t xml:space="preserve"> </w:t>
      </w:r>
      <w:r w:rsidRPr="00446BF5">
        <w:rPr>
          <w:i/>
        </w:rPr>
        <w:t>Rules and Regulations Implementing the Telephone Consumer Protection Act of 1991</w:t>
      </w:r>
      <w:r w:rsidRPr="00446BF5">
        <w:t>, CG Docket No. 02-278, Declaratory Ruling and Order, 30 FCC Rcd 7961, 7694, para. 1 (2015) (</w:t>
      </w:r>
      <w:r w:rsidRPr="00446BF5">
        <w:rPr>
          <w:i/>
        </w:rPr>
        <w:t>2015 TCPA Declaratory Ruling and Order</w:t>
      </w:r>
      <w:r w:rsidRPr="00446BF5">
        <w:t xml:space="preserve">).  </w:t>
      </w:r>
    </w:p>
  </w:footnote>
  <w:footnote w:id="203">
    <w:p w:rsidR="00474D51" w:rsidRPr="00446BF5" w:rsidRDefault="00474D51" w:rsidP="00324CD5">
      <w:pPr>
        <w:pStyle w:val="FootnoteText"/>
      </w:pPr>
      <w:r w:rsidRPr="00446BF5">
        <w:rPr>
          <w:rStyle w:val="FootnoteReference"/>
        </w:rPr>
        <w:footnoteRef/>
      </w:r>
      <w:r w:rsidRPr="00446BF5">
        <w:t xml:space="preserve"> </w:t>
      </w:r>
      <w:r w:rsidRPr="00446BF5">
        <w:rPr>
          <w:i/>
        </w:rPr>
        <w:t>See, e.g.</w:t>
      </w:r>
      <w:r w:rsidRPr="00F45F22">
        <w:t>,</w:t>
      </w:r>
      <w:r w:rsidRPr="00446BF5">
        <w:rPr>
          <w:i/>
        </w:rPr>
        <w:t xml:space="preserve"> id</w:t>
      </w:r>
      <w:r w:rsidRPr="00446BF5">
        <w:t>. at 8003, para. 70</w:t>
      </w:r>
      <w:r>
        <w:t>;</w:t>
      </w:r>
      <w:r w:rsidRPr="00446BF5">
        <w:t xml:space="preserve"> </w:t>
      </w:r>
      <w:r>
        <w:rPr>
          <w:i/>
        </w:rPr>
        <w:t>id.</w:t>
      </w:r>
      <w:r>
        <w:t xml:space="preserve"> </w:t>
      </w:r>
      <w:r w:rsidRPr="00446BF5">
        <w:t>at 8035, paras. 155-57.</w:t>
      </w:r>
    </w:p>
  </w:footnote>
  <w:footnote w:id="204">
    <w:p w:rsidR="00474D51" w:rsidRPr="005157C7" w:rsidRDefault="00474D51" w:rsidP="00324CD5">
      <w:pPr>
        <w:pStyle w:val="FootnoteText"/>
      </w:pPr>
      <w:r w:rsidRPr="00A334E4">
        <w:rPr>
          <w:rStyle w:val="FootnoteReference"/>
        </w:rPr>
        <w:footnoteRef/>
      </w:r>
      <w:r w:rsidRPr="00A334E4">
        <w:t xml:space="preserve"> </w:t>
      </w:r>
      <w:r w:rsidRPr="005B5D3E">
        <w:rPr>
          <w:i/>
        </w:rPr>
        <w:t>See, e.g.</w:t>
      </w:r>
      <w:r w:rsidRPr="005157C7">
        <w:t xml:space="preserve">, FCC Robocalls Workshop, </w:t>
      </w:r>
      <w:hyperlink r:id="rId39" w:history="1">
        <w:r w:rsidRPr="005B5D3E">
          <w:rPr>
            <w:rStyle w:val="Hyperlink"/>
          </w:rPr>
          <w:t>https://www.youtube.com/watch?v=U056LQ9qekU</w:t>
        </w:r>
      </w:hyperlink>
      <w:r w:rsidRPr="005157C7">
        <w:t xml:space="preserve"> (“We are tracking hundreds of thousands of calls . . . [We] need to leverage the community and attack [robocalls] at scale . . . and sharing that [information] . . . is important,” Ben Sharpe, Call Control, at 2:48:00); (“We have teams of engineers looking at these [call] flows . . . and that information is being shared with other carriers and it is allowed to be shared,” Sanjay Udani, Verizon, at 2:56:00); (“There is a lot of collaboration [among carriers] today . . . Crowd sourcing information is extremely valuable [as is] mining call records . . . We respect our customers’ privacy first.  [Then] we share when appro</w:t>
      </w:r>
      <w:r>
        <w:t>priate with appropriate parties . . .</w:t>
      </w:r>
      <w:r w:rsidRPr="005157C7">
        <w:t>” Alex Bobotek, AT&amp;T, at 2:57:30).</w:t>
      </w:r>
    </w:p>
  </w:footnote>
  <w:footnote w:id="205">
    <w:p w:rsidR="00474D51" w:rsidRPr="00446BF5" w:rsidRDefault="00474D51" w:rsidP="00324CD5">
      <w:pPr>
        <w:pStyle w:val="FootnoteText"/>
      </w:pPr>
      <w:r w:rsidRPr="00446BF5">
        <w:rPr>
          <w:rStyle w:val="FootnoteReference"/>
        </w:rPr>
        <w:footnoteRef/>
      </w:r>
      <w:r w:rsidRPr="00446BF5">
        <w:t xml:space="preserve"> </w:t>
      </w:r>
      <w:r w:rsidRPr="00446BF5">
        <w:rPr>
          <w:i/>
        </w:rPr>
        <w:t>2015 TCPA Declaratory Ruling and Order</w:t>
      </w:r>
      <w:r>
        <w:t>,</w:t>
      </w:r>
      <w:r w:rsidRPr="00446BF5" w:rsidDel="002C22DD">
        <w:rPr>
          <w:i/>
        </w:rPr>
        <w:t xml:space="preserve"> </w:t>
      </w:r>
      <w:r w:rsidRPr="00446BF5">
        <w:t xml:space="preserve">30 FCC Rcd at 8033-38, paras. 152-63. </w:t>
      </w:r>
    </w:p>
  </w:footnote>
  <w:footnote w:id="206">
    <w:p w:rsidR="00474D51" w:rsidRPr="00735D32" w:rsidRDefault="00474D51" w:rsidP="00324CD5">
      <w:pPr>
        <w:pStyle w:val="FootnoteText"/>
      </w:pPr>
      <w:r>
        <w:rPr>
          <w:rStyle w:val="FootnoteReference"/>
        </w:rPr>
        <w:footnoteRef/>
      </w:r>
      <w:r>
        <w:t xml:space="preserve"> </w:t>
      </w:r>
      <w:r>
        <w:rPr>
          <w:i/>
        </w:rPr>
        <w:t xml:space="preserve">See </w:t>
      </w:r>
      <w:r>
        <w:t xml:space="preserve">47 </w:t>
      </w:r>
      <w:r w:rsidRPr="00735D32">
        <w:t xml:space="preserve">CFR </w:t>
      </w:r>
      <w:r w:rsidRPr="00735D32">
        <w:rPr>
          <w:shd w:val="clear" w:color="auto" w:fill="FFFFFF"/>
        </w:rPr>
        <w:t>§ 64.2005(c).</w:t>
      </w:r>
    </w:p>
  </w:footnote>
  <w:footnote w:id="207">
    <w:p w:rsidR="00474D51" w:rsidRPr="00A67A0E" w:rsidRDefault="00474D51" w:rsidP="00324CD5">
      <w:pPr>
        <w:pStyle w:val="FootnoteText"/>
      </w:pPr>
      <w:r>
        <w:rPr>
          <w:rStyle w:val="FootnoteReference"/>
        </w:rPr>
        <w:footnoteRef/>
      </w:r>
      <w:r>
        <w:t xml:space="preserve"> 47 CFR § 64.2005(c)(2); </w:t>
      </w:r>
      <w:r>
        <w:rPr>
          <w:i/>
        </w:rPr>
        <w:t>1998 CPNI Order</w:t>
      </w:r>
      <w:r>
        <w:t>, 13 FCC Rcd at 8097-98, para. 48.</w:t>
      </w:r>
    </w:p>
  </w:footnote>
  <w:footnote w:id="208">
    <w:p w:rsidR="00474D51" w:rsidRDefault="00474D51" w:rsidP="00324CD5">
      <w:pPr>
        <w:pStyle w:val="FootnoteText"/>
      </w:pPr>
      <w:r>
        <w:rPr>
          <w:rStyle w:val="FootnoteReference"/>
        </w:rPr>
        <w:footnoteRef/>
      </w:r>
      <w:r>
        <w:t xml:space="preserve"> 2012 FTC Privacy Report at 38-39.</w:t>
      </w:r>
    </w:p>
  </w:footnote>
  <w:footnote w:id="209">
    <w:p w:rsidR="00474D51" w:rsidRPr="00F66687" w:rsidRDefault="00474D51" w:rsidP="00324CD5">
      <w:pPr>
        <w:pStyle w:val="FootnoteText"/>
      </w:pPr>
      <w:r>
        <w:rPr>
          <w:rStyle w:val="FootnoteReference"/>
        </w:rPr>
        <w:footnoteRef/>
      </w:r>
      <w:r>
        <w:t xml:space="preserve"> </w:t>
      </w:r>
      <w:r>
        <w:rPr>
          <w:i/>
        </w:rPr>
        <w:t>See supra</w:t>
      </w:r>
      <w:r>
        <w:t xml:space="preserve"> Part </w:t>
      </w:r>
      <w:r>
        <w:fldChar w:fldCharType="begin"/>
      </w:r>
      <w:r>
        <w:instrText xml:space="preserve"> REF _Ref445295059 \w \h </w:instrText>
      </w:r>
      <w:r>
        <w:fldChar w:fldCharType="separate"/>
      </w:r>
      <w:r w:rsidR="00327397">
        <w:t>III.C.1.a</w:t>
      </w:r>
      <w:r>
        <w:fldChar w:fldCharType="end"/>
      </w:r>
      <w:r>
        <w:t>.</w:t>
      </w:r>
    </w:p>
  </w:footnote>
  <w:footnote w:id="210">
    <w:p w:rsidR="00474D51" w:rsidRDefault="00474D51" w:rsidP="00324CD5">
      <w:pPr>
        <w:pStyle w:val="FootnoteText"/>
      </w:pPr>
      <w:r>
        <w:rPr>
          <w:rStyle w:val="FootnoteReference"/>
        </w:rPr>
        <w:footnoteRef/>
      </w:r>
      <w:r>
        <w:t xml:space="preserve"> Above, we seek comment on the definitions of “affiliate” and of “communications-related services.”  </w:t>
      </w:r>
      <w:r>
        <w:rPr>
          <w:i/>
        </w:rPr>
        <w:t>See supra</w:t>
      </w:r>
      <w:r>
        <w:t xml:space="preserve"> Parts </w:t>
      </w:r>
      <w:r>
        <w:fldChar w:fldCharType="begin"/>
      </w:r>
      <w:r>
        <w:instrText xml:space="preserve"> REF _Ref445295141 \w \h </w:instrText>
      </w:r>
      <w:r>
        <w:fldChar w:fldCharType="separate"/>
      </w:r>
      <w:r w:rsidR="00327397">
        <w:t>III.A.2</w:t>
      </w:r>
      <w:r>
        <w:fldChar w:fldCharType="end"/>
      </w:r>
      <w:r>
        <w:t xml:space="preserve">, </w:t>
      </w:r>
      <w:r>
        <w:fldChar w:fldCharType="begin"/>
      </w:r>
      <w:r>
        <w:instrText xml:space="preserve"> REF _Ref445295157 \w \h </w:instrText>
      </w:r>
      <w:r>
        <w:fldChar w:fldCharType="separate"/>
      </w:r>
      <w:r w:rsidR="00327397">
        <w:t>III.A.9</w:t>
      </w:r>
      <w:r>
        <w:fldChar w:fldCharType="end"/>
      </w:r>
      <w:r>
        <w:t xml:space="preserve">. </w:t>
      </w:r>
    </w:p>
  </w:footnote>
  <w:footnote w:id="211">
    <w:p w:rsidR="00474D51" w:rsidRPr="00887C7F" w:rsidRDefault="00474D51" w:rsidP="00324CD5">
      <w:pPr>
        <w:pStyle w:val="FootnoteText"/>
      </w:pPr>
      <w:r>
        <w:rPr>
          <w:rStyle w:val="FootnoteReference"/>
        </w:rPr>
        <w:footnoteRef/>
      </w:r>
      <w:r>
        <w:t xml:space="preserve"> Studies have shown customers are more comfortable with use of their information when the use is internal and related to marketing the service they are using, but object to its wider use and dissemination.  </w:t>
      </w:r>
      <w:r>
        <w:rPr>
          <w:i/>
        </w:rPr>
        <w:t>See</w:t>
      </w:r>
      <w:r>
        <w:t xml:space="preserve"> </w:t>
      </w:r>
      <w:r w:rsidRPr="00B07699">
        <w:t>2016 Pew Report</w:t>
      </w:r>
      <w:r>
        <w:t xml:space="preserve"> at 6, 24-25.</w:t>
      </w:r>
    </w:p>
  </w:footnote>
  <w:footnote w:id="212">
    <w:p w:rsidR="00474D51" w:rsidRPr="00B95A45" w:rsidRDefault="00474D51" w:rsidP="00324CD5">
      <w:pPr>
        <w:pStyle w:val="FootnoteText"/>
      </w:pPr>
      <w:r>
        <w:rPr>
          <w:rStyle w:val="FootnoteReference"/>
        </w:rPr>
        <w:footnoteRef/>
      </w:r>
      <w:r>
        <w:t xml:space="preserve"> </w:t>
      </w:r>
      <w:r>
        <w:rPr>
          <w:i/>
        </w:rPr>
        <w:t>See</w:t>
      </w:r>
      <w:r>
        <w:t xml:space="preserve"> </w:t>
      </w:r>
      <w:r>
        <w:rPr>
          <w:i/>
        </w:rPr>
        <w:t>supra</w:t>
      </w:r>
      <w:r>
        <w:t xml:space="preserve"> note </w:t>
      </w:r>
      <w:r>
        <w:fldChar w:fldCharType="begin"/>
      </w:r>
      <w:r>
        <w:instrText xml:space="preserve"> NOTEREF _Ref445295328 \h </w:instrText>
      </w:r>
      <w:r>
        <w:fldChar w:fldCharType="separate"/>
      </w:r>
      <w:r w:rsidR="00327397">
        <w:t>181</w:t>
      </w:r>
      <w:r>
        <w:fldChar w:fldCharType="end"/>
      </w:r>
      <w:r>
        <w:t>.</w:t>
      </w:r>
    </w:p>
  </w:footnote>
  <w:footnote w:id="213">
    <w:p w:rsidR="00474D51" w:rsidRDefault="00474D51" w:rsidP="00324CD5">
      <w:pPr>
        <w:pStyle w:val="FootnoteText"/>
      </w:pPr>
      <w:r>
        <w:rPr>
          <w:rStyle w:val="FootnoteReference"/>
        </w:rPr>
        <w:footnoteRef/>
      </w:r>
      <w:r>
        <w:t xml:space="preserve"> </w:t>
      </w:r>
      <w:r w:rsidRPr="000E41C7">
        <w:rPr>
          <w:i/>
        </w:rPr>
        <w:t>See</w:t>
      </w:r>
      <w:r>
        <w:rPr>
          <w:i/>
        </w:rPr>
        <w:t xml:space="preserve"> infra</w:t>
      </w:r>
      <w:r>
        <w:t xml:space="preserve"> Part </w:t>
      </w:r>
      <w:r>
        <w:fldChar w:fldCharType="begin"/>
      </w:r>
      <w:r>
        <w:instrText xml:space="preserve"> REF _Ref445295452 \w \h </w:instrText>
      </w:r>
      <w:r>
        <w:fldChar w:fldCharType="separate"/>
      </w:r>
      <w:r w:rsidR="00327397">
        <w:t>III.C.1.d</w:t>
      </w:r>
      <w:r>
        <w:fldChar w:fldCharType="end"/>
      </w:r>
      <w:r>
        <w:t>.</w:t>
      </w:r>
    </w:p>
  </w:footnote>
  <w:footnote w:id="214">
    <w:p w:rsidR="00474D51" w:rsidRPr="00E67199" w:rsidRDefault="00474D51" w:rsidP="00324CD5">
      <w:pPr>
        <w:pStyle w:val="FootnoteText"/>
      </w:pPr>
      <w:r>
        <w:rPr>
          <w:rStyle w:val="FootnoteReference"/>
        </w:rPr>
        <w:footnoteRef/>
      </w:r>
      <w:r>
        <w:t xml:space="preserve"> </w:t>
      </w:r>
      <w:r>
        <w:rPr>
          <w:i/>
        </w:rPr>
        <w:t>See, e.g.</w:t>
      </w:r>
      <w:r>
        <w:t xml:space="preserve">, Motion for Stay or Expedition of United States Telecomm. Ass’n, </w:t>
      </w:r>
      <w:r>
        <w:rPr>
          <w:i/>
        </w:rPr>
        <w:t>et al.</w:t>
      </w:r>
      <w:r>
        <w:t xml:space="preserve">, Exhibit 9 (Declaration of Brian Collins, </w:t>
      </w:r>
      <w:r>
        <w:rPr>
          <w:i/>
        </w:rPr>
        <w:t>et al.</w:t>
      </w:r>
      <w:r>
        <w:t xml:space="preserve">) 3-4 (May 13, 2015), </w:t>
      </w:r>
      <w:r>
        <w:rPr>
          <w:i/>
        </w:rPr>
        <w:t>United States Telecomm. Assoc. v. FCC</w:t>
      </w:r>
      <w:r>
        <w:t>, No. 15-1063 (D.C. Cir. 2015) (stating that customer PI is used to market additional video services only to customers whose broadband speeds would support them).</w:t>
      </w:r>
    </w:p>
  </w:footnote>
  <w:footnote w:id="215">
    <w:p w:rsidR="00474D51" w:rsidRPr="00CA7878" w:rsidRDefault="00474D51" w:rsidP="00324CD5">
      <w:pPr>
        <w:pStyle w:val="FootnoteText"/>
      </w:pPr>
      <w:r>
        <w:rPr>
          <w:rStyle w:val="FootnoteReference"/>
        </w:rPr>
        <w:footnoteRef/>
      </w:r>
      <w:r>
        <w:t xml:space="preserve"> </w:t>
      </w:r>
      <w:r>
        <w:rPr>
          <w:i/>
        </w:rPr>
        <w:t>Id.</w:t>
      </w:r>
      <w:r>
        <w:t xml:space="preserve"> at 4 (customer PI and modeling used in customer retention, to prevent customers from switching to competitor providers). </w:t>
      </w:r>
    </w:p>
  </w:footnote>
  <w:footnote w:id="216">
    <w:p w:rsidR="00474D51" w:rsidRPr="007644F2" w:rsidRDefault="00474D51" w:rsidP="00324CD5">
      <w:pPr>
        <w:pStyle w:val="FootnoteText"/>
      </w:pPr>
      <w:r>
        <w:rPr>
          <w:rStyle w:val="FootnoteReference"/>
        </w:rPr>
        <w:footnoteRef/>
      </w:r>
      <w:r>
        <w:t xml:space="preserve"> </w:t>
      </w:r>
      <w:r>
        <w:rPr>
          <w:i/>
        </w:rPr>
        <w:t>See 2002 CPNI Order</w:t>
      </w:r>
      <w:r>
        <w:t>, 17 FCC Rcd at 14881, para. 46.</w:t>
      </w:r>
    </w:p>
  </w:footnote>
  <w:footnote w:id="217">
    <w:p w:rsidR="00474D51" w:rsidRDefault="00474D51" w:rsidP="00324CD5">
      <w:pPr>
        <w:pStyle w:val="FootnoteText"/>
      </w:pPr>
      <w:r>
        <w:rPr>
          <w:rStyle w:val="FootnoteReference"/>
        </w:rPr>
        <w:footnoteRef/>
      </w:r>
      <w:r>
        <w:t xml:space="preserve"> </w:t>
      </w:r>
      <w:r>
        <w:rPr>
          <w:i/>
        </w:rPr>
        <w:t>See id.</w:t>
      </w:r>
      <w:r>
        <w:t xml:space="preserve"> at 14877-78, para. 37.</w:t>
      </w:r>
    </w:p>
  </w:footnote>
  <w:footnote w:id="218">
    <w:p w:rsidR="00474D51" w:rsidRPr="003958C1" w:rsidRDefault="00474D51" w:rsidP="00324CD5">
      <w:pPr>
        <w:pStyle w:val="FootnoteText"/>
      </w:pPr>
      <w:r>
        <w:rPr>
          <w:rStyle w:val="FootnoteReference"/>
        </w:rPr>
        <w:footnoteRef/>
      </w:r>
      <w:r>
        <w:t xml:space="preserve"> </w:t>
      </w:r>
      <w:r>
        <w:rPr>
          <w:i/>
        </w:rPr>
        <w:t>See infra</w:t>
      </w:r>
      <w:r>
        <w:t xml:space="preserve"> para. </w:t>
      </w:r>
      <w:r>
        <w:fldChar w:fldCharType="begin"/>
      </w:r>
      <w:r>
        <w:instrText xml:space="preserve"> REF _Ref446337782 \r \h </w:instrText>
      </w:r>
      <w:r>
        <w:fldChar w:fldCharType="separate"/>
      </w:r>
      <w:r w:rsidR="00327397">
        <w:t>128</w:t>
      </w:r>
      <w:r>
        <w:fldChar w:fldCharType="end"/>
      </w:r>
      <w:r>
        <w:t>.</w:t>
      </w:r>
    </w:p>
  </w:footnote>
  <w:footnote w:id="219">
    <w:p w:rsidR="00474D51" w:rsidRPr="00F205D8" w:rsidRDefault="00474D51" w:rsidP="00324CD5">
      <w:pPr>
        <w:pStyle w:val="FootnoteText"/>
      </w:pPr>
      <w:r>
        <w:rPr>
          <w:rStyle w:val="FootnoteReference"/>
        </w:rPr>
        <w:footnoteRef/>
      </w:r>
      <w:r>
        <w:t xml:space="preserve"> </w:t>
      </w:r>
      <w:r w:rsidRPr="00344691">
        <w:t>2012 FTC Privacy Report</w:t>
      </w:r>
      <w:r>
        <w:t xml:space="preserve"> at 41-42.</w:t>
      </w:r>
    </w:p>
  </w:footnote>
  <w:footnote w:id="220">
    <w:p w:rsidR="00474D51" w:rsidRPr="003A1BCE" w:rsidRDefault="00474D51" w:rsidP="00324CD5">
      <w:pPr>
        <w:pStyle w:val="FootnoteText"/>
      </w:pPr>
      <w:r>
        <w:rPr>
          <w:rStyle w:val="FootnoteReference"/>
        </w:rPr>
        <w:footnoteRef/>
      </w:r>
      <w:r>
        <w:t xml:space="preserve"> </w:t>
      </w:r>
      <w:r>
        <w:rPr>
          <w:i/>
        </w:rPr>
        <w:t xml:space="preserve">See infra </w:t>
      </w:r>
      <w:r>
        <w:t xml:space="preserve">Part </w:t>
      </w:r>
      <w:r>
        <w:fldChar w:fldCharType="begin"/>
      </w:r>
      <w:r>
        <w:instrText xml:space="preserve"> REF _Ref445295565 \w \h </w:instrText>
      </w:r>
      <w:r>
        <w:fldChar w:fldCharType="separate"/>
      </w:r>
      <w:r w:rsidR="00327397">
        <w:t>III.C.1.c</w:t>
      </w:r>
      <w:r>
        <w:fldChar w:fldCharType="end"/>
      </w:r>
      <w:r>
        <w:t>.</w:t>
      </w:r>
    </w:p>
  </w:footnote>
  <w:footnote w:id="221">
    <w:p w:rsidR="00474D51" w:rsidRDefault="00474D51" w:rsidP="00324CD5">
      <w:pPr>
        <w:pStyle w:val="FootnoteText"/>
      </w:pPr>
      <w:r>
        <w:rPr>
          <w:rStyle w:val="FootnoteReference"/>
        </w:rPr>
        <w:footnoteRef/>
      </w:r>
      <w:r>
        <w:t xml:space="preserve"> 47 CFR §64.2007(b); </w:t>
      </w:r>
      <w:r>
        <w:rPr>
          <w:i/>
        </w:rPr>
        <w:t>2002 CPNI Order</w:t>
      </w:r>
      <w:r>
        <w:t>, 17 FCC Rcd at 14875-77, paras. 33-36</w:t>
      </w:r>
    </w:p>
  </w:footnote>
  <w:footnote w:id="222">
    <w:p w:rsidR="00474D51" w:rsidRPr="00EE2677" w:rsidRDefault="00474D51" w:rsidP="00324CD5">
      <w:pPr>
        <w:pStyle w:val="FootnoteText"/>
      </w:pPr>
      <w:r>
        <w:rPr>
          <w:rStyle w:val="FootnoteReference"/>
        </w:rPr>
        <w:footnoteRef/>
      </w:r>
      <w:r>
        <w:t xml:space="preserve"> </w:t>
      </w:r>
      <w:r>
        <w:rPr>
          <w:i/>
        </w:rPr>
        <w:t xml:space="preserve">See </w:t>
      </w:r>
      <w:r>
        <w:t xml:space="preserve">47 CFR § 64.2007(b).  Consistent with the Commission’s existing rules, we include joint venture partners and independent contractors within the category of “third parties” for purposes of our proposed rules.  </w:t>
      </w:r>
      <w:r>
        <w:rPr>
          <w:i/>
        </w:rPr>
        <w:t>See 2007 CPNI Order</w:t>
      </w:r>
      <w:r>
        <w:t>, 22 FCC Rcd at 6948-54, paras. 37-49 (requiring telecommunications carriers to obtain opt-in consent from a customer before disclosing that customer’s CPNI to a carrier’s joint venture partner or independent contractor for the purpose of marketing communications-related services to that customer).</w:t>
      </w:r>
    </w:p>
  </w:footnote>
  <w:footnote w:id="223">
    <w:p w:rsidR="00474D51" w:rsidRPr="005C2BAF" w:rsidRDefault="00474D51" w:rsidP="00324CD5">
      <w:pPr>
        <w:pStyle w:val="FootnoteText"/>
      </w:pPr>
      <w:r>
        <w:rPr>
          <w:rStyle w:val="FootnoteReference"/>
        </w:rPr>
        <w:footnoteRef/>
      </w:r>
      <w:r>
        <w:t xml:space="preserve"> </w:t>
      </w:r>
      <w:r>
        <w:rPr>
          <w:i/>
        </w:rPr>
        <w:t>See, e.g.</w:t>
      </w:r>
      <w:r>
        <w:t xml:space="preserve">, Letter from Twelve Public Interest Groups to Tom Wheeler, Chairman, FCC at 1-2 (Mar. 7, 2016), </w:t>
      </w:r>
      <w:r w:rsidRPr="005C2BAF">
        <w:t>https://epic.org/privacy/consumer/Broadband-Privacy-Letter-to-FCC.pdf</w:t>
      </w:r>
      <w:r>
        <w:t xml:space="preserve"> (noting Verizon, Comcast, and Cox all share targeting data with advertising-driven companies that they own, or with whom they are affiliated or partnered.)</w:t>
      </w:r>
    </w:p>
  </w:footnote>
  <w:footnote w:id="224">
    <w:p w:rsidR="00474D51" w:rsidRPr="007701D4" w:rsidRDefault="00474D51" w:rsidP="00324CD5">
      <w:pPr>
        <w:pStyle w:val="FootnoteText"/>
      </w:pPr>
      <w:r>
        <w:rPr>
          <w:rStyle w:val="FootnoteReference"/>
        </w:rPr>
        <w:footnoteRef/>
      </w:r>
      <w:r>
        <w:t xml:space="preserve"> </w:t>
      </w:r>
      <w:r>
        <w:rPr>
          <w:i/>
        </w:rPr>
        <w:t>See 2015 Open Internet Order</w:t>
      </w:r>
      <w:r>
        <w:t xml:space="preserve">, 30 FCC Rcd at 5631, para. 81 (“The broadband provider’s position as gatekeeper is strengthened by the high switching costs consumers face when seeking a new service.”); </w:t>
      </w:r>
      <w:r w:rsidRPr="00B07699">
        <w:rPr>
          <w:i/>
        </w:rPr>
        <w:t>2016 Broadband Progress Report</w:t>
      </w:r>
      <w:r>
        <w:t xml:space="preserve">, at paras. 85-86 (only 38 percent of Americans have access to more than one fixed BIAS provider at 25 Mbps/3Mbps speeds; only 13 percent of Americans in rural areas have access to more than one such provider).  </w:t>
      </w:r>
    </w:p>
  </w:footnote>
  <w:footnote w:id="225">
    <w:p w:rsidR="00474D51" w:rsidRPr="00DC1102" w:rsidRDefault="00474D51" w:rsidP="00324CD5">
      <w:pPr>
        <w:pStyle w:val="FootnoteText"/>
      </w:pPr>
      <w:r>
        <w:rPr>
          <w:rStyle w:val="FootnoteReference"/>
        </w:rPr>
        <w:footnoteRef/>
      </w:r>
      <w:r>
        <w:t xml:space="preserve"> </w:t>
      </w:r>
      <w:r>
        <w:rPr>
          <w:i/>
        </w:rPr>
        <w:t>See, e.g.</w:t>
      </w:r>
      <w:r>
        <w:t xml:space="preserve">, </w:t>
      </w:r>
      <w:r w:rsidRPr="00352CD1">
        <w:rPr>
          <w:i/>
        </w:rPr>
        <w:t>2002 CPNI Order</w:t>
      </w:r>
      <w:r>
        <w:t>, 17 FCC Rcd at 14889, para. 66 (concluding that carriers’ incentive not to misuse CPNI for fear of the risk of losing the customer diminishes or disappears entirely if the solicitation is not identifiable as coming from the carrier or within its corporate family).</w:t>
      </w:r>
    </w:p>
  </w:footnote>
  <w:footnote w:id="226">
    <w:p w:rsidR="00474D51" w:rsidRDefault="00474D51" w:rsidP="00324CD5">
      <w:pPr>
        <w:pStyle w:val="FootnoteText"/>
      </w:pPr>
      <w:r>
        <w:rPr>
          <w:rStyle w:val="FootnoteReference"/>
        </w:rPr>
        <w:footnoteRef/>
      </w:r>
      <w:r>
        <w:t xml:space="preserve"> </w:t>
      </w:r>
      <w:r w:rsidRPr="000F25B6">
        <w:rPr>
          <w:i/>
        </w:rPr>
        <w:t>See 2002 CPNI Order</w:t>
      </w:r>
      <w:r w:rsidRPr="000F25B6">
        <w:t>, 17 FCC Rcd at 14883, para. 51.</w:t>
      </w:r>
      <w:r>
        <w:t xml:space="preserve">  </w:t>
      </w:r>
    </w:p>
  </w:footnote>
  <w:footnote w:id="227">
    <w:p w:rsidR="00474D51" w:rsidRDefault="00474D51" w:rsidP="00324CD5">
      <w:pPr>
        <w:pStyle w:val="FootnoteText"/>
        <w:tabs>
          <w:tab w:val="left" w:pos="633"/>
        </w:tabs>
      </w:pPr>
      <w:r>
        <w:rPr>
          <w:rStyle w:val="FootnoteReference"/>
        </w:rPr>
        <w:footnoteRef/>
      </w:r>
      <w:r>
        <w:t xml:space="preserve"> </w:t>
      </w:r>
      <w:r>
        <w:rPr>
          <w:i/>
        </w:rPr>
        <w:t xml:space="preserve">See </w:t>
      </w:r>
      <w:r>
        <w:t xml:space="preserve">2015 Pew Report at 4; 2016 Pew Report at 5, 6 </w:t>
      </w:r>
      <w:r w:rsidRPr="000F25B6">
        <w:t>(observing that consumers think that “follow-up by companies that collect the data can be annoying and unwarranted” and “[p]eople are not happy when data are collected for one purpose but are used for othe</w:t>
      </w:r>
      <w:r>
        <w:t>r, often more invasive purposes</w:t>
      </w:r>
      <w:r w:rsidRPr="000F25B6">
        <w:t>”)</w:t>
      </w:r>
      <w:r w:rsidRPr="0080214A">
        <w:t>.</w:t>
      </w:r>
      <w:r>
        <w:t xml:space="preserve">  Further, 76 percent of adults say they are “not too confident” or “not at all confident” that records of their activity maintained by the online advertisers who place ads on the websites they visit will remain private and secure.  2016 Pew Report at 7.</w:t>
      </w:r>
    </w:p>
  </w:footnote>
  <w:footnote w:id="228">
    <w:p w:rsidR="00474D51" w:rsidRPr="00731368" w:rsidRDefault="00474D51" w:rsidP="00324CD5">
      <w:pPr>
        <w:pStyle w:val="FootnoteText"/>
      </w:pPr>
      <w:r>
        <w:rPr>
          <w:rStyle w:val="FootnoteReference"/>
        </w:rPr>
        <w:footnoteRef/>
      </w:r>
      <w:r>
        <w:t xml:space="preserve"> </w:t>
      </w:r>
      <w:r>
        <w:rPr>
          <w:i/>
        </w:rPr>
        <w:t>See Nat’l Cable &amp; Telecomm. Ass’n v. FCC</w:t>
      </w:r>
      <w:r>
        <w:t xml:space="preserve">, 555 F.3d 996, 1001-02 (D.C. Cir. 2009); </w:t>
      </w:r>
      <w:r>
        <w:rPr>
          <w:i/>
        </w:rPr>
        <w:t xml:space="preserve">see also </w:t>
      </w:r>
      <w:r>
        <w:t xml:space="preserve">Thomas Gryta and Danny Yadron, T-Mobile Customer’s Information Compromised by Data Breach at Credit Agency (Oct. 1, 2015), </w:t>
      </w:r>
      <w:hyperlink r:id="rId40" w:history="1">
        <w:r w:rsidRPr="000237B6">
          <w:rPr>
            <w:rStyle w:val="Hyperlink"/>
          </w:rPr>
          <w:t>http://www.wsj.com/articles/experian-data-breach-may-have-compromised-roughly-15-million-consumers-1443732359</w:t>
        </w:r>
      </w:hyperlink>
      <w:r>
        <w:t xml:space="preserve"> (detailing how a data breach at the credit-reporting agency, Experian PLC, compromised the personal information of 15 million customers of T-Mobile US Inc., which uses the credit-reporting agency to perform credit checks on customers).</w:t>
      </w:r>
    </w:p>
  </w:footnote>
  <w:footnote w:id="229">
    <w:p w:rsidR="00474D51" w:rsidRDefault="00474D51" w:rsidP="00324CD5">
      <w:pPr>
        <w:pStyle w:val="FootnoteText"/>
      </w:pPr>
      <w:r>
        <w:rPr>
          <w:rStyle w:val="FootnoteReference"/>
        </w:rPr>
        <w:footnoteRef/>
      </w:r>
      <w:r>
        <w:t xml:space="preserve"> </w:t>
      </w:r>
      <w:r w:rsidRPr="00981898">
        <w:rPr>
          <w:i/>
        </w:rPr>
        <w:t>See 2002 CPNI Order</w:t>
      </w:r>
      <w:r>
        <w:t>, 17 FCC Rcd at 14885, paras. 51, 55.</w:t>
      </w:r>
    </w:p>
  </w:footnote>
  <w:footnote w:id="230">
    <w:p w:rsidR="00474D51" w:rsidRDefault="00474D51" w:rsidP="00324CD5">
      <w:pPr>
        <w:pStyle w:val="FootnoteText"/>
      </w:pPr>
      <w:r>
        <w:rPr>
          <w:rStyle w:val="FootnoteReference"/>
        </w:rPr>
        <w:footnoteRef/>
      </w:r>
      <w:r>
        <w:t xml:space="preserve"> </w:t>
      </w:r>
      <w:r>
        <w:rPr>
          <w:i/>
        </w:rPr>
        <w:t>Id.</w:t>
      </w:r>
      <w:r>
        <w:t xml:space="preserve"> at 14884, para. 54.</w:t>
      </w:r>
    </w:p>
  </w:footnote>
  <w:footnote w:id="231">
    <w:p w:rsidR="00474D51" w:rsidRDefault="00474D51" w:rsidP="00324CD5">
      <w:pPr>
        <w:pStyle w:val="FootnoteText"/>
      </w:pPr>
      <w:r>
        <w:rPr>
          <w:rStyle w:val="FootnoteReference"/>
        </w:rPr>
        <w:footnoteRef/>
      </w:r>
      <w:r>
        <w:t xml:space="preserve"> </w:t>
      </w:r>
      <w:r w:rsidRPr="00B07699">
        <w:rPr>
          <w:i/>
        </w:rPr>
        <w:t>Id.</w:t>
      </w:r>
      <w:r>
        <w:t xml:space="preserve"> at 14883, para. 51.</w:t>
      </w:r>
    </w:p>
  </w:footnote>
  <w:footnote w:id="232">
    <w:p w:rsidR="00474D51" w:rsidRDefault="00474D51" w:rsidP="00324CD5">
      <w:pPr>
        <w:pStyle w:val="FootnoteText"/>
      </w:pPr>
      <w:r>
        <w:rPr>
          <w:rStyle w:val="FootnoteReference"/>
        </w:rPr>
        <w:footnoteRef/>
      </w:r>
      <w:r>
        <w:t xml:space="preserve"> 47 CFR § 64.2007(b).</w:t>
      </w:r>
    </w:p>
  </w:footnote>
  <w:footnote w:id="233">
    <w:p w:rsidR="00474D51" w:rsidRPr="00230A1B" w:rsidRDefault="00474D51" w:rsidP="00324CD5">
      <w:pPr>
        <w:pStyle w:val="FootnoteText"/>
      </w:pPr>
      <w:r>
        <w:rPr>
          <w:rStyle w:val="FootnoteReference"/>
        </w:rPr>
        <w:footnoteRef/>
      </w:r>
      <w:r>
        <w:t xml:space="preserve"> </w:t>
      </w:r>
      <w:r>
        <w:rPr>
          <w:i/>
        </w:rPr>
        <w:t>See, e.g.</w:t>
      </w:r>
      <w:r>
        <w:t>, Nevada Revised Statutes § 205.498; Minnesota Statutes §§ 325M.01-.09.  We do not believe that such state statutes mitigate against the Commission’s need to act, as such laws have not been passed in every state.  Thus, Commission action in this instance will aid both customers (who will benefit by having more control over when their PI is disclosed by their BIAS providers to unaffiliated third parties) and provide providers with a single opt-in framework that does not vary from state to state.</w:t>
      </w:r>
    </w:p>
  </w:footnote>
  <w:footnote w:id="234">
    <w:p w:rsidR="00474D51" w:rsidRPr="001224F2" w:rsidRDefault="00474D51" w:rsidP="00324CD5">
      <w:pPr>
        <w:pStyle w:val="FootnoteText"/>
      </w:pPr>
      <w:r>
        <w:rPr>
          <w:rStyle w:val="FootnoteReference"/>
        </w:rPr>
        <w:footnoteRef/>
      </w:r>
      <w:r>
        <w:t xml:space="preserve"> </w:t>
      </w:r>
      <w:r>
        <w:rPr>
          <w:i/>
        </w:rPr>
        <w:t>See, e.g.</w:t>
      </w:r>
      <w:r>
        <w:t xml:space="preserve">, </w:t>
      </w:r>
      <w:r>
        <w:rPr>
          <w:i/>
        </w:rPr>
        <w:t>Nat’l Cable &amp; Telecomm. Ass’n v. FCC</w:t>
      </w:r>
      <w:r>
        <w:t>, 555 F.3d at 997 (“Some carriers may use [CPNI] to market specific services or upgrades to their customers, tailored to individual usage patterns.  Other carriers, especially smaller ones and new market entrants, may find it more efficient to enter into agreements with joint venturers or independent contractors to conduct such targeted marketing.”).</w:t>
      </w:r>
    </w:p>
  </w:footnote>
  <w:footnote w:id="235">
    <w:p w:rsidR="00474D51" w:rsidRPr="00A15261" w:rsidRDefault="00474D51" w:rsidP="00324CD5">
      <w:pPr>
        <w:pStyle w:val="FootnoteText"/>
      </w:pPr>
      <w:r>
        <w:rPr>
          <w:rStyle w:val="FootnoteReference"/>
        </w:rPr>
        <w:footnoteRef/>
      </w:r>
      <w:r>
        <w:t xml:space="preserve"> </w:t>
      </w:r>
      <w:r>
        <w:rPr>
          <w:i/>
        </w:rPr>
        <w:t>See, e.g.</w:t>
      </w:r>
      <w:r>
        <w:t xml:space="preserve">, </w:t>
      </w:r>
      <w:r>
        <w:rPr>
          <w:i/>
        </w:rPr>
        <w:t>FTC v. Sitesearch Corp.</w:t>
      </w:r>
      <w:r>
        <w:t xml:space="preserve">, No. 14-02750 (D. Ariz. Feb. 5, 2016), </w:t>
      </w:r>
      <w:r>
        <w:rPr>
          <w:i/>
        </w:rPr>
        <w:t>available at</w:t>
      </w:r>
      <w:r>
        <w:t xml:space="preserve"> </w:t>
      </w:r>
      <w:r w:rsidRPr="00157BFC">
        <w:t>https://www.ftc.gov/enforcement/cases-proceedings/142-3192-x150060/sitesearch-corporation-doing-business-leaplab</w:t>
      </w:r>
      <w:r>
        <w:t xml:space="preserve">; Federal Trade Commission, General Workings, Inc., Analysis of Proposed Consent Order to Aid Public Comment, 81 Fed. Reg. 7342 (February 11, 2016), </w:t>
      </w:r>
      <w:r>
        <w:rPr>
          <w:i/>
        </w:rPr>
        <w:t>available at</w:t>
      </w:r>
      <w:r>
        <w:t xml:space="preserve"> </w:t>
      </w:r>
      <w:r w:rsidRPr="00A15261">
        <w:t>https://www.ftc.gov/enforcement/cases-proceedings/152-3159/general-workings-inc-also-doing-business-vulcun-matter</w:t>
      </w:r>
      <w:r>
        <w:t xml:space="preserve">; </w:t>
      </w:r>
      <w:r>
        <w:rPr>
          <w:i/>
        </w:rPr>
        <w:t>Aaron’s, Inc.</w:t>
      </w:r>
      <w:r>
        <w:t xml:space="preserve">, Decision and Order, F.T.C. File No. 122-3256 (2014), </w:t>
      </w:r>
      <w:r>
        <w:rPr>
          <w:i/>
        </w:rPr>
        <w:t>available at</w:t>
      </w:r>
      <w:r>
        <w:t xml:space="preserve"> </w:t>
      </w:r>
      <w:r w:rsidRPr="00A15261">
        <w:t>https://www.ftc.gov/enforcement/cases-proceedings/122-3256/aarons-inc-matter</w:t>
      </w:r>
      <w:r>
        <w:t xml:space="preserve">; </w:t>
      </w:r>
      <w:r>
        <w:rPr>
          <w:i/>
        </w:rPr>
        <w:t>Facebook, Inc.</w:t>
      </w:r>
      <w:r>
        <w:t xml:space="preserve">, Decision and Order, F.T.C. File No. 092-3184 (2012), </w:t>
      </w:r>
      <w:r>
        <w:rPr>
          <w:i/>
        </w:rPr>
        <w:t>available at</w:t>
      </w:r>
      <w:r>
        <w:t xml:space="preserve"> </w:t>
      </w:r>
      <w:r w:rsidRPr="00A15261">
        <w:t>https://www.ftc.gov/enforcement/cases-proceedings/092-3184/facebook-inc</w:t>
      </w:r>
      <w:r>
        <w:t xml:space="preserve">; </w:t>
      </w:r>
      <w:r>
        <w:rPr>
          <w:i/>
        </w:rPr>
        <w:t>Google Consent Order</w:t>
      </w:r>
      <w:r>
        <w:t xml:space="preserve">; </w:t>
      </w:r>
      <w:r>
        <w:rPr>
          <w:i/>
        </w:rPr>
        <w:t>s</w:t>
      </w:r>
      <w:r w:rsidRPr="00CF6D70">
        <w:rPr>
          <w:i/>
        </w:rPr>
        <w:t>ee also FTC v. Wyndham Worldwide Corp</w:t>
      </w:r>
      <w:r>
        <w:t>., 799 F.3d 236 (3d Cir. 2015).</w:t>
      </w:r>
    </w:p>
  </w:footnote>
  <w:footnote w:id="236">
    <w:p w:rsidR="00474D51" w:rsidRDefault="00474D51" w:rsidP="00324CD5">
      <w:pPr>
        <w:pStyle w:val="FootnoteText"/>
      </w:pPr>
      <w:r>
        <w:rPr>
          <w:rStyle w:val="FootnoteReference"/>
        </w:rPr>
        <w:footnoteRef/>
      </w:r>
      <w:r>
        <w:t xml:space="preserve"> </w:t>
      </w:r>
      <w:r w:rsidRPr="00AF0FD9">
        <w:rPr>
          <w:i/>
        </w:rPr>
        <w:t xml:space="preserve"> </w:t>
      </w:r>
      <w:r>
        <w:rPr>
          <w:i/>
        </w:rPr>
        <w:t>See, e.g.</w:t>
      </w:r>
      <w:r>
        <w:t xml:space="preserve">, Digital Advertising Alliance, </w:t>
      </w:r>
      <w:r>
        <w:rPr>
          <w:i/>
        </w:rPr>
        <w:t>Application of Self-Regulatory Principles to the Mobile Environment</w:t>
      </w:r>
      <w:r>
        <w:t xml:space="preserve"> (July 2013), </w:t>
      </w:r>
      <w:hyperlink r:id="rId41" w:history="1">
        <w:r w:rsidRPr="00E741BC">
          <w:rPr>
            <w:rStyle w:val="Hyperlink"/>
          </w:rPr>
          <w:t>http://www.aboutads.info/DAA_Mobile_Guidance.pdf</w:t>
        </w:r>
      </w:hyperlink>
      <w:r>
        <w:t xml:space="preserve">; Network Advertising Initiative, </w:t>
      </w:r>
      <w:r>
        <w:rPr>
          <w:i/>
        </w:rPr>
        <w:t>2015 Update to the NAI Mobile Application Code</w:t>
      </w:r>
      <w:r>
        <w:t xml:space="preserve"> (2015), </w:t>
      </w:r>
      <w:hyperlink r:id="rId42" w:history="1">
        <w:r w:rsidRPr="00E741BC">
          <w:rPr>
            <w:rStyle w:val="Hyperlink"/>
          </w:rPr>
          <w:t>http://www.networkadvertising.org/mobile/NAI_Mobile_Application_Code.pdf</w:t>
        </w:r>
      </w:hyperlink>
      <w:r>
        <w:rPr>
          <w:rStyle w:val="Hyperlink"/>
        </w:rPr>
        <w:t>.</w:t>
      </w:r>
    </w:p>
  </w:footnote>
  <w:footnote w:id="237">
    <w:p w:rsidR="00474D51" w:rsidRPr="002918C0" w:rsidRDefault="00474D51" w:rsidP="00324CD5">
      <w:pPr>
        <w:pStyle w:val="FootnoteText"/>
      </w:pPr>
      <w:r>
        <w:rPr>
          <w:rStyle w:val="FootnoteReference"/>
        </w:rPr>
        <w:footnoteRef/>
      </w:r>
      <w:r>
        <w:t xml:space="preserve">  Google, </w:t>
      </w:r>
      <w:r>
        <w:rPr>
          <w:i/>
        </w:rPr>
        <w:t>Privacy Policy</w:t>
      </w:r>
      <w:r>
        <w:t xml:space="preserve"> 4, Aug. 19, 2015, </w:t>
      </w:r>
      <w:r w:rsidRPr="003F7766">
        <w:t>http://www.google.com/policies/privacy</w:t>
      </w:r>
      <w:r w:rsidRPr="000C0C5D">
        <w:t>/</w:t>
      </w:r>
      <w:r w:rsidRPr="000C0C5D">
        <w:rPr>
          <w:rStyle w:val="Hyperlink"/>
          <w:color w:val="auto"/>
          <w:u w:val="none"/>
        </w:rPr>
        <w:t xml:space="preserve"> (last visited March 8, 2016)</w:t>
      </w:r>
      <w:r w:rsidRPr="000C0C5D">
        <w:rPr>
          <w:rStyle w:val="Hyperlink"/>
          <w:color w:val="auto"/>
        </w:rPr>
        <w:t xml:space="preserve"> </w:t>
      </w:r>
      <w:r w:rsidRPr="000C0C5D">
        <w:rPr>
          <w:rStyle w:val="Hyperlink"/>
          <w:color w:val="auto"/>
          <w:u w:val="none"/>
        </w:rPr>
        <w:t>(requiring opt-in for the sharing of “sensitive personal information” including “</w:t>
      </w:r>
      <w:r w:rsidRPr="000C0C5D">
        <w:t>information relating to confidential medical facts, racial or ethnic origins, political or religious beliefs or sexuality”</w:t>
      </w:r>
      <w:r w:rsidRPr="000C0C5D">
        <w:rPr>
          <w:rStyle w:val="Hyperlink"/>
          <w:color w:val="auto"/>
          <w:u w:val="none"/>
        </w:rPr>
        <w:t>)</w:t>
      </w:r>
      <w:r>
        <w:t xml:space="preserve">; Yahoo, </w:t>
      </w:r>
      <w:r>
        <w:rPr>
          <w:i/>
        </w:rPr>
        <w:t>Yahoo Mobile</w:t>
      </w:r>
      <w:r>
        <w:t xml:space="preserve"> § 3, </w:t>
      </w:r>
      <w:hyperlink r:id="rId43" w:history="1">
        <w:r w:rsidRPr="00FC2EC0">
          <w:rPr>
            <w:rStyle w:val="Hyperlink"/>
          </w:rPr>
          <w:t>https://policies.yahoo.com/us/en/yahoo/privacy/topics/mobile/index.htm</w:t>
        </w:r>
      </w:hyperlink>
      <w:r>
        <w:t xml:space="preserve"> (last visited Mar. 8, 2016) (requiring opt-in for location services: “You must first provide permission through your device, browser or with Yahoo directly, before Yahoo obtains pinpointed physical location information from technologies like GPS, Wi-Fi, or cell tower proximity.”). </w:t>
      </w:r>
    </w:p>
  </w:footnote>
  <w:footnote w:id="238">
    <w:p w:rsidR="00474D51" w:rsidRPr="00CF1976" w:rsidRDefault="00474D51" w:rsidP="00324CD5">
      <w:pPr>
        <w:pStyle w:val="FootnoteText"/>
      </w:pPr>
      <w:r>
        <w:rPr>
          <w:rStyle w:val="FootnoteReference"/>
        </w:rPr>
        <w:footnoteRef/>
      </w:r>
      <w:r>
        <w:t xml:space="preserve"> </w:t>
      </w:r>
      <w:r>
        <w:rPr>
          <w:i/>
        </w:rPr>
        <w:t>See, e.g.</w:t>
      </w:r>
      <w:r>
        <w:t xml:space="preserve">, Letter from 59 Public Interest and Consumer Groups to Tom Wheeler, Chairman, FCC at 1 (January 20, 2016), </w:t>
      </w:r>
      <w:r>
        <w:rPr>
          <w:i/>
        </w:rPr>
        <w:t>available at</w:t>
      </w:r>
      <w:r>
        <w:t xml:space="preserve"> </w:t>
      </w:r>
      <w:r w:rsidRPr="00CF1976">
        <w:t>https://www.publicknowledge.org/documents/broadband-privacy-letter-to-fcc-jan.-2016</w:t>
      </w:r>
      <w:r>
        <w:t>.</w:t>
      </w:r>
    </w:p>
  </w:footnote>
  <w:footnote w:id="239">
    <w:p w:rsidR="00474D51" w:rsidRDefault="00474D51" w:rsidP="00324CD5">
      <w:pPr>
        <w:pStyle w:val="FootnoteText"/>
      </w:pPr>
      <w:r>
        <w:rPr>
          <w:rStyle w:val="FootnoteReference"/>
        </w:rPr>
        <w:footnoteRef/>
      </w:r>
      <w:r>
        <w:t xml:space="preserve"> Certain types of encryption can obscure the payload of customers’ communications packets from BIAS providers, but will not prevent BIAS providers from obtaining significant source, destination, and traffic type information, among others.  For instance, a BIAS provider will still need to know the source and eventual destination of encrypted content in order to properly route the information; will still know the time and frequency of communications, and can determine other information from packet headers as well as from domain name resolution requests.  </w:t>
      </w:r>
      <w:r>
        <w:rPr>
          <w:i/>
        </w:rPr>
        <w:t>See, e.g.</w:t>
      </w:r>
      <w:r>
        <w:t xml:space="preserve">, New America, Open Technology Institute, </w:t>
      </w:r>
      <w:r>
        <w:rPr>
          <w:i/>
        </w:rPr>
        <w:t>The FCC’s Role in Protecting Online Privacy</w:t>
      </w:r>
      <w:r>
        <w:t xml:space="preserve"> 3-5 (2016), </w:t>
      </w:r>
      <w:hyperlink r:id="rId44" w:history="1">
        <w:r w:rsidRPr="00A81C90">
          <w:rPr>
            <w:rStyle w:val="Hyperlink"/>
          </w:rPr>
          <w:t>https://static.newamerica.org/attachments/12325-the-fccs-role-in-protecting-online-privacy/CPNI__web.d4fbdb12e83f4adc89f37ebffa3e6075.pdf</w:t>
        </w:r>
      </w:hyperlink>
      <w:r>
        <w:t xml:space="preserve">; Center for Democracy and Technology, </w:t>
      </w:r>
      <w:r>
        <w:rPr>
          <w:i/>
        </w:rPr>
        <w:t>Applying Communications Act Consumer Privacy Protections to Broadband Providers</w:t>
      </w:r>
      <w:r>
        <w:t xml:space="preserve"> 2 (2016), </w:t>
      </w:r>
      <w:hyperlink r:id="rId45" w:history="1">
        <w:r w:rsidRPr="00502960">
          <w:rPr>
            <w:rStyle w:val="Hyperlink"/>
          </w:rPr>
          <w:t>https://cdt.org/files/2016/01/2016-01-20-Packets_Layers_fnl.pdf</w:t>
        </w:r>
      </w:hyperlink>
      <w:r>
        <w:t>; Letter from Twelve Public Interest Organizations to Tom Wheeler, Chairman, FCC at 2-3 (Mar. 7, 2016).</w:t>
      </w:r>
      <w:r>
        <w:rPr>
          <w:i/>
        </w:rPr>
        <w:t xml:space="preserve"> </w:t>
      </w:r>
      <w:r>
        <w:t xml:space="preserve"> Furthermore, even more detailed information can be derived from encrypted content via traffic analysis.  </w:t>
      </w:r>
      <w:r>
        <w:rPr>
          <w:i/>
        </w:rPr>
        <w:t>See</w:t>
      </w:r>
      <w:r>
        <w:t xml:space="preserve"> Brad Miller, Ling Huang, et al., </w:t>
      </w:r>
      <w:r>
        <w:rPr>
          <w:i/>
        </w:rPr>
        <w:t>I Know Why You Went to the Clinic: Risks and Realization of HTTPS Traffic Analysis</w:t>
      </w:r>
      <w:r>
        <w:t>, 14</w:t>
      </w:r>
      <w:r w:rsidRPr="001C785E">
        <w:rPr>
          <w:vertAlign w:val="superscript"/>
        </w:rPr>
        <w:t>th</w:t>
      </w:r>
      <w:r>
        <w:t xml:space="preserve"> International Symposium on Privacy Enhancing Technologies (2014) </w:t>
      </w:r>
      <w:r>
        <w:rPr>
          <w:i/>
        </w:rPr>
        <w:t>available at</w:t>
      </w:r>
      <w:r>
        <w:t xml:space="preserve"> </w:t>
      </w:r>
      <w:hyperlink r:id="rId46" w:history="1">
        <w:r w:rsidRPr="005C26EF">
          <w:rPr>
            <w:rStyle w:val="Hyperlink"/>
          </w:rPr>
          <w:t>https://www.petsymposium.org/2014/papers/Miller.pdf</w:t>
        </w:r>
      </w:hyperlink>
      <w:r>
        <w:t xml:space="preserve">. </w:t>
      </w:r>
    </w:p>
  </w:footnote>
  <w:footnote w:id="240">
    <w:p w:rsidR="00474D51" w:rsidRPr="005262F1" w:rsidRDefault="00474D51" w:rsidP="00324CD5">
      <w:pPr>
        <w:pStyle w:val="FootnoteText"/>
      </w:pPr>
      <w:r>
        <w:rPr>
          <w:rStyle w:val="FootnoteReference"/>
        </w:rPr>
        <w:footnoteRef/>
      </w:r>
      <w:r>
        <w:t xml:space="preserve"> </w:t>
      </w:r>
      <w:r>
        <w:rPr>
          <w:i/>
        </w:rPr>
        <w:t>See</w:t>
      </w:r>
      <w:r>
        <w:t xml:space="preserve"> </w:t>
      </w:r>
      <w:r w:rsidRPr="0044585E">
        <w:rPr>
          <w:i/>
        </w:rPr>
        <w:t>supra</w:t>
      </w:r>
      <w:r>
        <w:t xml:space="preserve"> note </w:t>
      </w:r>
      <w:r>
        <w:fldChar w:fldCharType="begin"/>
      </w:r>
      <w:r>
        <w:instrText xml:space="preserve"> NOTEREF _Ref445295756 \h </w:instrText>
      </w:r>
      <w:r>
        <w:fldChar w:fldCharType="separate"/>
      </w:r>
      <w:r w:rsidR="00327397">
        <w:t>186</w:t>
      </w:r>
      <w:r>
        <w:fldChar w:fldCharType="end"/>
      </w:r>
      <w:r>
        <w:t>.</w:t>
      </w:r>
    </w:p>
  </w:footnote>
  <w:footnote w:id="241">
    <w:p w:rsidR="00474D51" w:rsidRDefault="00474D51" w:rsidP="00324CD5">
      <w:pPr>
        <w:pStyle w:val="FootnoteText"/>
      </w:pPr>
      <w:r>
        <w:rPr>
          <w:rStyle w:val="FootnoteReference"/>
        </w:rPr>
        <w:footnoteRef/>
      </w:r>
      <w:r>
        <w:t xml:space="preserve"> Congress has recognized that Social Security numbers and financial account information warrant particular privacy protections under GLBA and FCRA.  </w:t>
      </w:r>
      <w:r w:rsidRPr="000F25B6">
        <w:rPr>
          <w:i/>
        </w:rPr>
        <w:t xml:space="preserve">See </w:t>
      </w:r>
      <w:r w:rsidRPr="000F25B6">
        <w:t xml:space="preserve">15 U.S.C. § 6801 </w:t>
      </w:r>
      <w:r w:rsidRPr="000F25B6">
        <w:rPr>
          <w:i/>
        </w:rPr>
        <w:t>et seq.</w:t>
      </w:r>
      <w:r w:rsidRPr="000F25B6">
        <w:t xml:space="preserve"> (Gramm-Leach-Bliley Act); 15 U.S.C. § 1681 </w:t>
      </w:r>
      <w:r w:rsidRPr="000F25B6">
        <w:rPr>
          <w:i/>
        </w:rPr>
        <w:t>et seq</w:t>
      </w:r>
      <w:r w:rsidRPr="000F25B6">
        <w:t>. (Fair Credit Reporting Act)</w:t>
      </w:r>
      <w:r>
        <w:t xml:space="preserve">.  </w:t>
      </w:r>
      <w:r>
        <w:rPr>
          <w:i/>
        </w:rPr>
        <w:t xml:space="preserve">See also </w:t>
      </w:r>
      <w:r>
        <w:t>2015 Pew Report at 18.</w:t>
      </w:r>
    </w:p>
  </w:footnote>
  <w:footnote w:id="242">
    <w:p w:rsidR="00474D51" w:rsidRPr="00193987" w:rsidRDefault="00474D51" w:rsidP="00324CD5">
      <w:pPr>
        <w:pStyle w:val="FootnoteText"/>
      </w:pPr>
      <w:r>
        <w:rPr>
          <w:rStyle w:val="FootnoteReference"/>
        </w:rPr>
        <w:footnoteRef/>
      </w:r>
      <w:r>
        <w:t xml:space="preserve"> Congress has recognized that children’s privacy is of particular public concern, and has created heightened requirements for the collection, use, and disclosure of children’s information.  </w:t>
      </w:r>
      <w:r>
        <w:rPr>
          <w:i/>
        </w:rPr>
        <w:t>See</w:t>
      </w:r>
      <w:r>
        <w:t xml:space="preserve"> Children’s Online Privacy Protection Act of 1998, Pub. L. No. 105-277112 Stat. 2681-728 (codified at 15 U.S.C. §§</w:t>
      </w:r>
      <w:r w:rsidR="00B5038C">
        <w:t xml:space="preserve"> </w:t>
      </w:r>
      <w:r>
        <w:t xml:space="preserve">6501-06). </w:t>
      </w:r>
    </w:p>
  </w:footnote>
  <w:footnote w:id="243">
    <w:p w:rsidR="00474D51" w:rsidRDefault="00474D51" w:rsidP="00324CD5">
      <w:pPr>
        <w:pStyle w:val="FootnoteText"/>
      </w:pPr>
      <w:r>
        <w:rPr>
          <w:rStyle w:val="FootnoteReference"/>
        </w:rPr>
        <w:footnoteRef/>
      </w:r>
      <w:r>
        <w:t xml:space="preserve"> 2012 FTC Privacy Report at 8, 15, 29, 47, 58-60.  </w:t>
      </w:r>
    </w:p>
  </w:footnote>
  <w:footnote w:id="244">
    <w:p w:rsidR="00474D51" w:rsidRPr="00F41149" w:rsidRDefault="00474D51" w:rsidP="00324CD5">
      <w:pPr>
        <w:pStyle w:val="FootnoteText"/>
      </w:pPr>
      <w:r>
        <w:rPr>
          <w:rStyle w:val="FootnoteReference"/>
        </w:rPr>
        <w:footnoteRef/>
      </w:r>
      <w:r>
        <w:t xml:space="preserve"> </w:t>
      </w:r>
      <w:r>
        <w:rPr>
          <w:i/>
        </w:rPr>
        <w:t>See, e.g.</w:t>
      </w:r>
      <w:r>
        <w:t>,</w:t>
      </w:r>
      <w:r>
        <w:rPr>
          <w:i/>
        </w:rPr>
        <w:t xml:space="preserve"> United States v. Jones</w:t>
      </w:r>
      <w:r>
        <w:t>, 132 S. Ct. 945, 955 (2012) (Sotomayor, J. concurring)</w:t>
      </w:r>
      <w:r w:rsidDel="00E8169C">
        <w:t xml:space="preserve"> </w:t>
      </w:r>
      <w:r>
        <w:t>(“GPS monitoring generates a precise, comprehensive record of a person’s public movements that reflects a wealth of detail about her familial, political, professional, religious, and sexual associations.”).</w:t>
      </w:r>
    </w:p>
  </w:footnote>
  <w:footnote w:id="245">
    <w:p w:rsidR="00474D51" w:rsidRPr="00DF0A83" w:rsidRDefault="00474D51" w:rsidP="00324CD5">
      <w:pPr>
        <w:pStyle w:val="FootnoteText"/>
      </w:pPr>
      <w:r w:rsidRPr="000F25B6">
        <w:rPr>
          <w:rStyle w:val="FootnoteReference"/>
        </w:rPr>
        <w:footnoteRef/>
      </w:r>
      <w:r w:rsidRPr="000F25B6">
        <w:t xml:space="preserve"> </w:t>
      </w:r>
      <w:r w:rsidRPr="000F25B6">
        <w:rPr>
          <w:i/>
        </w:rPr>
        <w:t>See</w:t>
      </w:r>
      <w:r w:rsidRPr="000F25B6">
        <w:t xml:space="preserve"> FCC, Location-Based Services: An Overview of Opportunities and Other Considerations (May 2012), https://apps.fcc.gov/edocs_public/attachmatch/DOC-314283A1.pdf.</w:t>
      </w:r>
      <w:r>
        <w:t xml:space="preserve">  Individual companies have taken a variety of approaches to consumer choice.  For example, “Apple acknowledges the importance of ‘provid[ing] its customers with the ability to control the location-based services capabilities of their devices’”; Microsoft has stated that it “does not collect information to determine the approximate location of a device unless a user has expressly allowed an application to collect location information”; and Google states that “[o]pt-in consent and clear notice are required for collection and use of location information on Android.”  </w:t>
      </w:r>
      <w:r>
        <w:rPr>
          <w:i/>
        </w:rPr>
        <w:t xml:space="preserve">Id. </w:t>
      </w:r>
      <w:r>
        <w:t>at 26</w:t>
      </w:r>
      <w:r w:rsidRPr="000F25B6">
        <w:t xml:space="preserve">.  For one of its location tracking programs, Verizon says that it participates in the “Mobile location analytics Code of Conduct developed by the Future of Privacy Forum” and links to an opt-out option.  Verizon, </w:t>
      </w:r>
      <w:r w:rsidRPr="004D4C97">
        <w:rPr>
          <w:i/>
        </w:rPr>
        <w:t>Mobile Location Analytics Privacy Notice</w:t>
      </w:r>
      <w:r w:rsidRPr="000F25B6">
        <w:t xml:space="preserve">, </w:t>
      </w:r>
      <w:hyperlink r:id="rId47" w:history="1">
        <w:r w:rsidRPr="000F25B6">
          <w:rPr>
            <w:rStyle w:val="Hyperlink"/>
          </w:rPr>
          <w:t>https://www.verizon.com/about/privacy/mobile-location-analytics-privacy-notice</w:t>
        </w:r>
      </w:hyperlink>
      <w:r w:rsidRPr="000F25B6">
        <w:t xml:space="preserve"> (last visited </w:t>
      </w:r>
      <w:r>
        <w:t>Mar</w:t>
      </w:r>
      <w:r w:rsidRPr="000F25B6">
        <w:t xml:space="preserve">. </w:t>
      </w:r>
      <w:r>
        <w:t>2</w:t>
      </w:r>
      <w:r w:rsidRPr="000F25B6">
        <w:t xml:space="preserve">4, 2016).  But Verizon also collects location information through other services and apps, with differing customer choice mechanisms.  </w:t>
      </w:r>
      <w:r w:rsidRPr="000F25B6">
        <w:rPr>
          <w:i/>
        </w:rPr>
        <w:t xml:space="preserve">See </w:t>
      </w:r>
      <w:r w:rsidRPr="000F25B6">
        <w:t xml:space="preserve">Verizon, </w:t>
      </w:r>
      <w:r w:rsidRPr="004D4C97">
        <w:rPr>
          <w:i/>
        </w:rPr>
        <w:t>Full Privacy Policy</w:t>
      </w:r>
      <w:r w:rsidRPr="000F25B6">
        <w:t xml:space="preserve">, </w:t>
      </w:r>
      <w:hyperlink r:id="rId48" w:history="1">
        <w:r w:rsidRPr="000F25B6">
          <w:rPr>
            <w:rStyle w:val="Hyperlink"/>
          </w:rPr>
          <w:t>https://www.verizon.com/about/privacy/full-privacy-policy</w:t>
        </w:r>
      </w:hyperlink>
      <w:r w:rsidRPr="000F25B6">
        <w:t xml:space="preserve"> (last visited </w:t>
      </w:r>
      <w:r>
        <w:t>Mar</w:t>
      </w:r>
      <w:r w:rsidRPr="000F25B6">
        <w:t xml:space="preserve">. </w:t>
      </w:r>
      <w:r>
        <w:t>24</w:t>
      </w:r>
      <w:r w:rsidRPr="000F25B6">
        <w:t xml:space="preserve">, 2016).  AT&amp;T and Comcast, in contrast, do not offer customer choice options specifically pertaining to location-based services.  </w:t>
      </w:r>
      <w:r w:rsidRPr="000F25B6">
        <w:rPr>
          <w:i/>
        </w:rPr>
        <w:t xml:space="preserve">See </w:t>
      </w:r>
      <w:r w:rsidRPr="000F25B6">
        <w:t xml:space="preserve">AT&amp;T, </w:t>
      </w:r>
      <w:r w:rsidRPr="004D4C97">
        <w:rPr>
          <w:i/>
        </w:rPr>
        <w:t>Privacy Policy</w:t>
      </w:r>
      <w:r w:rsidRPr="000F25B6">
        <w:t xml:space="preserve">, https://www.att.com/gen/privacy-policy?pid=2506 (last visited </w:t>
      </w:r>
      <w:r>
        <w:t>Mar</w:t>
      </w:r>
      <w:r w:rsidRPr="000F25B6">
        <w:t xml:space="preserve">. </w:t>
      </w:r>
      <w:r>
        <w:t>24</w:t>
      </w:r>
      <w:r w:rsidRPr="000F25B6">
        <w:t xml:space="preserve">, 2016); AT&amp;T, </w:t>
      </w:r>
      <w:r w:rsidRPr="004D4C97">
        <w:rPr>
          <w:i/>
        </w:rPr>
        <w:t>Choices and Controls</w:t>
      </w:r>
      <w:r w:rsidRPr="000F25B6">
        <w:t xml:space="preserve">, </w:t>
      </w:r>
      <w:hyperlink r:id="rId49" w:history="1">
        <w:r w:rsidRPr="000F25B6">
          <w:rPr>
            <w:rStyle w:val="Hyperlink"/>
          </w:rPr>
          <w:t>https://www.att.com/gen/privacy-policy?pid=24339</w:t>
        </w:r>
      </w:hyperlink>
      <w:r w:rsidRPr="000F25B6">
        <w:t xml:space="preserve"> (last visited </w:t>
      </w:r>
      <w:r>
        <w:t>Mar</w:t>
      </w:r>
      <w:r w:rsidRPr="000F25B6">
        <w:t xml:space="preserve">. </w:t>
      </w:r>
      <w:r>
        <w:t>24</w:t>
      </w:r>
      <w:r w:rsidRPr="000F25B6">
        <w:t xml:space="preserve">, 2016); Comcast, </w:t>
      </w:r>
      <w:r w:rsidRPr="004D4C97">
        <w:rPr>
          <w:i/>
        </w:rPr>
        <w:t>Comcast Customer Privacy Notice</w:t>
      </w:r>
      <w:r w:rsidRPr="000F25B6">
        <w:t xml:space="preserve">, </w:t>
      </w:r>
      <w:hyperlink r:id="rId50" w:history="1">
        <w:r w:rsidRPr="000F25B6">
          <w:rPr>
            <w:rStyle w:val="Hyperlink"/>
          </w:rPr>
          <w:t>http://www.xfinity.com/Corporate/Customers/Policies/CustomerPrivacy.html</w:t>
        </w:r>
      </w:hyperlink>
      <w:r w:rsidRPr="000F25B6">
        <w:t xml:space="preserve"> (last visited </w:t>
      </w:r>
      <w:r>
        <w:t>Mar</w:t>
      </w:r>
      <w:r w:rsidRPr="000F25B6">
        <w:t xml:space="preserve">. </w:t>
      </w:r>
      <w:r>
        <w:t>24</w:t>
      </w:r>
      <w:r w:rsidRPr="000F25B6">
        <w:t xml:space="preserve">, 2016).  T-Mobile promises that “[w]hen we request use of your location information, you will be given options for managing when and how such information should be shared.”  T-Mobile, </w:t>
      </w:r>
      <w:r w:rsidRPr="004D4C97">
        <w:rPr>
          <w:i/>
        </w:rPr>
        <w:t>T-Mobile Privacy Policy Highlights</w:t>
      </w:r>
      <w:r w:rsidRPr="000F25B6">
        <w:t xml:space="preserve"> (</w:t>
      </w:r>
      <w:r>
        <w:t>Mar</w:t>
      </w:r>
      <w:r w:rsidRPr="000F25B6">
        <w:t>. 2</w:t>
      </w:r>
      <w:r>
        <w:t>4</w:t>
      </w:r>
      <w:r w:rsidRPr="000F25B6">
        <w:t>, 201</w:t>
      </w:r>
      <w:r>
        <w:t>6</w:t>
      </w:r>
      <w:r w:rsidRPr="000F25B6">
        <w:t>), https://www.t-mobile.com/company/website/privacypolicy.aspx</w:t>
      </w:r>
      <w:r w:rsidRPr="00C63808">
        <w:t>.</w:t>
      </w:r>
    </w:p>
  </w:footnote>
  <w:footnote w:id="246">
    <w:p w:rsidR="00474D51" w:rsidRPr="00672D39" w:rsidRDefault="00474D51" w:rsidP="00324CD5">
      <w:pPr>
        <w:pStyle w:val="FootnoteText"/>
      </w:pPr>
      <w:r>
        <w:rPr>
          <w:rStyle w:val="FootnoteReference"/>
        </w:rPr>
        <w:footnoteRef/>
      </w:r>
      <w:r>
        <w:t xml:space="preserve"> </w:t>
      </w:r>
      <w:r>
        <w:rPr>
          <w:i/>
        </w:rPr>
        <w:t xml:space="preserve">See </w:t>
      </w:r>
      <w:r>
        <w:t>47 U.S.C. § 222(f).</w:t>
      </w:r>
    </w:p>
  </w:footnote>
  <w:footnote w:id="247">
    <w:p w:rsidR="00474D51" w:rsidRDefault="00474D51" w:rsidP="00324CD5">
      <w:pPr>
        <w:pStyle w:val="FootnoteText"/>
      </w:pPr>
      <w:r>
        <w:rPr>
          <w:rStyle w:val="FootnoteReference"/>
        </w:rPr>
        <w:footnoteRef/>
      </w:r>
      <w:r w:rsidR="00B82DDD">
        <w:rPr>
          <w:i/>
        </w:rPr>
        <w:t xml:space="preserve"> </w:t>
      </w:r>
      <w:r>
        <w:rPr>
          <w:i/>
        </w:rPr>
        <w:t xml:space="preserve">See supra </w:t>
      </w:r>
      <w:r>
        <w:t xml:space="preserve">Part </w:t>
      </w:r>
      <w:r>
        <w:fldChar w:fldCharType="begin"/>
      </w:r>
      <w:r>
        <w:instrText xml:space="preserve"> REF _Ref445295935 \w \h </w:instrText>
      </w:r>
      <w:r>
        <w:fldChar w:fldCharType="separate"/>
      </w:r>
      <w:r w:rsidR="00327397">
        <w:t>III.A.7</w:t>
      </w:r>
      <w:r>
        <w:fldChar w:fldCharType="end"/>
      </w:r>
      <w:r>
        <w:t>.</w:t>
      </w:r>
    </w:p>
  </w:footnote>
  <w:footnote w:id="248">
    <w:p w:rsidR="00474D51" w:rsidRPr="00892AE4" w:rsidRDefault="00474D51" w:rsidP="00324CD5">
      <w:pPr>
        <w:pStyle w:val="FootnoteText"/>
      </w:pPr>
      <w:r>
        <w:rPr>
          <w:rStyle w:val="FootnoteReference"/>
        </w:rPr>
        <w:footnoteRef/>
      </w:r>
      <w:r>
        <w:t xml:space="preserve"> </w:t>
      </w:r>
      <w:r w:rsidRPr="000F25B6">
        <w:rPr>
          <w:i/>
        </w:rPr>
        <w:t xml:space="preserve">See </w:t>
      </w:r>
      <w:r w:rsidRPr="000F25B6">
        <w:t>18 U.S.C. §</w:t>
      </w:r>
      <w:r>
        <w:t xml:space="preserve"> </w:t>
      </w:r>
      <w:r w:rsidRPr="000F25B6">
        <w:t xml:space="preserve">2701 </w:t>
      </w:r>
      <w:r w:rsidRPr="000F25B6">
        <w:rPr>
          <w:i/>
        </w:rPr>
        <w:t>et seq</w:t>
      </w:r>
      <w:r w:rsidRPr="000F25B6">
        <w:t xml:space="preserve">. (Stored Communications Act); 18 U.S.C. § 2510 </w:t>
      </w:r>
      <w:r w:rsidRPr="000F25B6">
        <w:rPr>
          <w:i/>
        </w:rPr>
        <w:t>et seq</w:t>
      </w:r>
      <w:r w:rsidRPr="000F25B6">
        <w:t>. (Wiretap Act</w:t>
      </w:r>
      <w:r>
        <w:t xml:space="preserve">).  </w:t>
      </w:r>
      <w:r>
        <w:rPr>
          <w:i/>
        </w:rPr>
        <w:t xml:space="preserve">See also </w:t>
      </w:r>
      <w:r>
        <w:t xml:space="preserve">47 U.S.C. § 605 (Except as authorized under 18 U.S.C. § 2511(2), no person receiving or transmitting any interstate or foreign communication by wire or radio “shall divulge or publish the existence, </w:t>
      </w:r>
      <w:r>
        <w:rPr>
          <w:i/>
        </w:rPr>
        <w:t>contents</w:t>
      </w:r>
      <w:r>
        <w:t>, substance, purport, effect, or meaning thereof, except through authorized channels of transmission or receipt” to any person other than the addressee, his agent, or attorney (or in other specifically-delineated circumstances)) (emphasis added).  In the cable context, Congress observed that “[c]able systems, particularly those with a ‘two-way’ capability, have an enormous capacity to collect and store personally identifiable information about each cable subscriber.”  H.R. Rep. No. 934, 98</w:t>
      </w:r>
      <w:r w:rsidRPr="00892AE4">
        <w:rPr>
          <w:vertAlign w:val="superscript"/>
        </w:rPr>
        <w:t>th</w:t>
      </w:r>
      <w:r>
        <w:t xml:space="preserve"> Cong., 2d Sess. 29 (1984), </w:t>
      </w:r>
      <w:r>
        <w:rPr>
          <w:i/>
        </w:rPr>
        <w:t>quoted in Scofied v. Telecable of Overland Park, Inc.</w:t>
      </w:r>
      <w:r>
        <w:t xml:space="preserve">, 973 F.2d 874, 876 (10th Cir. 1992).  “Subscriber records from interactive systems can reveal details about bank transactions, shopping habits, political contributions, viewing habits, and other significant personal decisions.”  </w:t>
      </w:r>
      <w:r>
        <w:rPr>
          <w:i/>
        </w:rPr>
        <w:t xml:space="preserve">Id.  </w:t>
      </w:r>
      <w:r>
        <w:t>The Cable Privacy Act prohibits operators from disclosing this personally identifiable information “without the prior written or electronic consent of the subscriber concerned.”  47 U.S.C. 551(c)(1).</w:t>
      </w:r>
    </w:p>
  </w:footnote>
  <w:footnote w:id="249">
    <w:p w:rsidR="00474D51" w:rsidRDefault="00474D51" w:rsidP="00324CD5">
      <w:pPr>
        <w:pStyle w:val="FootnoteText"/>
      </w:pPr>
      <w:r>
        <w:rPr>
          <w:rStyle w:val="FootnoteReference"/>
        </w:rPr>
        <w:footnoteRef/>
      </w:r>
      <w:r>
        <w:t xml:space="preserve"> </w:t>
      </w:r>
      <w:r w:rsidRPr="00516924">
        <w:rPr>
          <w:i/>
        </w:rPr>
        <w:t>2015 Open Internet Order</w:t>
      </w:r>
      <w:r w:rsidRPr="00516924">
        <w:t>, 30 FCC Rcd at 5662, para. 141.</w:t>
      </w:r>
    </w:p>
  </w:footnote>
  <w:footnote w:id="250">
    <w:p w:rsidR="00474D51" w:rsidRDefault="00474D51" w:rsidP="00324CD5">
      <w:pPr>
        <w:pStyle w:val="FootnoteText"/>
      </w:pPr>
      <w:r>
        <w:rPr>
          <w:rStyle w:val="FootnoteReference"/>
        </w:rPr>
        <w:footnoteRef/>
      </w:r>
      <w:r>
        <w:t xml:space="preserve"> 2012 FTC Privacy Report at 35.</w:t>
      </w:r>
    </w:p>
  </w:footnote>
  <w:footnote w:id="251">
    <w:p w:rsidR="00474D51" w:rsidRDefault="00474D51" w:rsidP="00324CD5">
      <w:pPr>
        <w:pStyle w:val="FootnoteText"/>
      </w:pPr>
      <w:r>
        <w:rPr>
          <w:rStyle w:val="FootnoteReference"/>
        </w:rPr>
        <w:footnoteRef/>
      </w:r>
      <w:r>
        <w:t xml:space="preserve"> An FTC Staff Report recommended that mobile providers provide “just-in-time” disclosures to consumers before allowing applications to access sensitive content such as geo-location information.  Federal Trade Commission, Mobile Privacy Disclosures:  Building Trust Through Transparency at ii (2013), </w:t>
      </w:r>
      <w:hyperlink r:id="rId51" w:history="1">
        <w:r w:rsidRPr="002C313A">
          <w:rPr>
            <w:rStyle w:val="Hyperlink"/>
          </w:rPr>
          <w:t>https://www.ftc.gov/sites/default/files/documents/reports/mobile-privacy-disclosures-building-trust-through-transparency-federal-trade-commission-staff-report/130201mobileprivacyreport.pdf</w:t>
        </w:r>
      </w:hyperlink>
      <w:r>
        <w:t xml:space="preserve">.  We also observe that mobile industry guidelines incorporate the practices of “just-in-time” notices.  </w:t>
      </w:r>
      <w:r>
        <w:rPr>
          <w:i/>
        </w:rPr>
        <w:t>See, e.g.</w:t>
      </w:r>
      <w:r>
        <w:t xml:space="preserve">, Digital Advertising Alliance, </w:t>
      </w:r>
      <w:r>
        <w:rPr>
          <w:i/>
        </w:rPr>
        <w:t>Application of Self-Regulatory Principles to the Mobile Environment</w:t>
      </w:r>
      <w:r>
        <w:t xml:space="preserve"> at 24 (July 2013), </w:t>
      </w:r>
      <w:hyperlink r:id="rId52" w:history="1">
        <w:r w:rsidRPr="00E741BC">
          <w:rPr>
            <w:rStyle w:val="Hyperlink"/>
          </w:rPr>
          <w:t>http://www.aboutads.info/DAA_Mobile_Guidance.pdf</w:t>
        </w:r>
      </w:hyperlink>
      <w:r>
        <w:t xml:space="preserve">; Network Advertising Initiative, </w:t>
      </w:r>
      <w:r>
        <w:rPr>
          <w:i/>
        </w:rPr>
        <w:t>2015 Update to the NAI Mobile Application Code</w:t>
      </w:r>
      <w:r>
        <w:t xml:space="preserve"> at 6 (2015), </w:t>
      </w:r>
      <w:hyperlink r:id="rId53" w:history="1">
        <w:r w:rsidRPr="00E741BC">
          <w:rPr>
            <w:rStyle w:val="Hyperlink"/>
          </w:rPr>
          <w:t>http://www.networkadvertising.org/mobile/NAI_Mobile_Application_Code.pdf</w:t>
        </w:r>
      </w:hyperlink>
      <w:r>
        <w:t xml:space="preserve">; Network Advertising Initiative, </w:t>
      </w:r>
      <w:r>
        <w:rPr>
          <w:i/>
        </w:rPr>
        <w:t xml:space="preserve">2015 Update to the NAI Code of Conduct </w:t>
      </w:r>
      <w:r>
        <w:t xml:space="preserve">at 7 (2015), </w:t>
      </w:r>
      <w:hyperlink r:id="rId54" w:history="1">
        <w:r w:rsidRPr="00E741BC">
          <w:rPr>
            <w:rStyle w:val="Hyperlink"/>
          </w:rPr>
          <w:t>http://www.networkadvertising.org/sites/default/files/NAI_Code15encr.pdf</w:t>
        </w:r>
      </w:hyperlink>
      <w:r>
        <w:rPr>
          <w:rStyle w:val="Hyperlink"/>
        </w:rPr>
        <w:t>.</w:t>
      </w:r>
      <w:r>
        <w:t xml:space="preserve"> </w:t>
      </w:r>
    </w:p>
  </w:footnote>
  <w:footnote w:id="252">
    <w:p w:rsidR="00474D51" w:rsidRPr="00577404" w:rsidRDefault="00474D51" w:rsidP="00324CD5">
      <w:pPr>
        <w:pStyle w:val="FootnoteText"/>
      </w:pPr>
      <w:r>
        <w:rPr>
          <w:rStyle w:val="FootnoteReference"/>
        </w:rPr>
        <w:footnoteRef/>
      </w:r>
      <w:r>
        <w:t xml:space="preserve"> </w:t>
      </w:r>
      <w:r w:rsidRPr="000F138A">
        <w:rPr>
          <w:i/>
        </w:rPr>
        <w:t>See, e.g.</w:t>
      </w:r>
      <w:r>
        <w:t>, 47 CFR § 64.2008(d)(3) (imposing requirements on notification by email).</w:t>
      </w:r>
    </w:p>
  </w:footnote>
  <w:footnote w:id="253">
    <w:p w:rsidR="00474D51" w:rsidRPr="00081600" w:rsidRDefault="00474D51" w:rsidP="00324CD5">
      <w:pPr>
        <w:pStyle w:val="FootnoteText"/>
      </w:pPr>
      <w:r>
        <w:rPr>
          <w:rStyle w:val="FootnoteReference"/>
        </w:rPr>
        <w:footnoteRef/>
      </w:r>
      <w:r>
        <w:t xml:space="preserve"> </w:t>
      </w:r>
      <w:r>
        <w:rPr>
          <w:i/>
        </w:rPr>
        <w:t xml:space="preserve">See supra </w:t>
      </w:r>
      <w:r>
        <w:t xml:space="preserve">Part </w:t>
      </w:r>
      <w:r>
        <w:fldChar w:fldCharType="begin"/>
      </w:r>
      <w:r>
        <w:instrText xml:space="preserve"> REF _Ref445296132 \w \h </w:instrText>
      </w:r>
      <w:r>
        <w:fldChar w:fldCharType="separate"/>
      </w:r>
      <w:r w:rsidR="00327397">
        <w:t>III.B</w:t>
      </w:r>
      <w:r>
        <w:fldChar w:fldCharType="end"/>
      </w:r>
      <w:r>
        <w:t>.</w:t>
      </w:r>
    </w:p>
  </w:footnote>
  <w:footnote w:id="254">
    <w:p w:rsidR="00474D51" w:rsidRDefault="00474D51" w:rsidP="00324CD5">
      <w:pPr>
        <w:pStyle w:val="FootnoteText"/>
      </w:pPr>
      <w:r>
        <w:rPr>
          <w:rStyle w:val="FootnoteReference"/>
        </w:rPr>
        <w:footnoteRef/>
      </w:r>
      <w:r>
        <w:t xml:space="preserve"> For example, BIAS providers may opt to provide a direct ASL line for deaf consumers to provide notice of their approval or disapproval of the use or disclosure of their information.</w:t>
      </w:r>
    </w:p>
  </w:footnote>
  <w:footnote w:id="255">
    <w:p w:rsidR="00474D51" w:rsidRPr="00801785" w:rsidRDefault="00474D51" w:rsidP="00324CD5">
      <w:pPr>
        <w:pStyle w:val="FootnoteText"/>
      </w:pPr>
      <w:r>
        <w:rPr>
          <w:rStyle w:val="FootnoteReference"/>
        </w:rPr>
        <w:footnoteRef/>
      </w:r>
      <w:r>
        <w:t xml:space="preserve"> </w:t>
      </w:r>
      <w:r>
        <w:rPr>
          <w:i/>
        </w:rPr>
        <w:t xml:space="preserve">See </w:t>
      </w:r>
      <w:r>
        <w:t>47 CFR § 64.2007(a).</w:t>
      </w:r>
    </w:p>
  </w:footnote>
  <w:footnote w:id="256">
    <w:p w:rsidR="00474D51" w:rsidRPr="00CE2A13" w:rsidRDefault="00474D51" w:rsidP="00324CD5">
      <w:pPr>
        <w:pStyle w:val="FootnoteText"/>
      </w:pPr>
      <w:r>
        <w:rPr>
          <w:rStyle w:val="FootnoteReference"/>
        </w:rPr>
        <w:footnoteRef/>
      </w:r>
      <w:r>
        <w:t xml:space="preserve"> </w:t>
      </w:r>
      <w:r>
        <w:rPr>
          <w:i/>
        </w:rPr>
        <w:t xml:space="preserve">See </w:t>
      </w:r>
      <w:r>
        <w:t>47 CFR § 64.2007(a)(2).</w:t>
      </w:r>
    </w:p>
  </w:footnote>
  <w:footnote w:id="257">
    <w:p w:rsidR="00474D51" w:rsidRPr="00924D0B" w:rsidRDefault="00474D51" w:rsidP="00324CD5">
      <w:pPr>
        <w:pStyle w:val="FootnoteText"/>
      </w:pPr>
      <w:r>
        <w:rPr>
          <w:rStyle w:val="FootnoteReference"/>
        </w:rPr>
        <w:footnoteRef/>
      </w:r>
      <w:r>
        <w:t xml:space="preserve"> </w:t>
      </w:r>
      <w:r>
        <w:rPr>
          <w:i/>
        </w:rPr>
        <w:t xml:space="preserve">See </w:t>
      </w:r>
      <w:r>
        <w:t xml:space="preserve">47 </w:t>
      </w:r>
      <w:r w:rsidRPr="00924D0B">
        <w:t xml:space="preserve">CFR </w:t>
      </w:r>
      <w:r w:rsidRPr="00924D0B">
        <w:rPr>
          <w:shd w:val="clear" w:color="auto" w:fill="FFFFFF"/>
        </w:rPr>
        <w:t>§ 64.2008(f).</w:t>
      </w:r>
    </w:p>
  </w:footnote>
  <w:footnote w:id="258">
    <w:p w:rsidR="00474D51" w:rsidRPr="00862723" w:rsidRDefault="00474D51" w:rsidP="00324CD5">
      <w:pPr>
        <w:pStyle w:val="FootnoteText"/>
      </w:pPr>
      <w:r>
        <w:rPr>
          <w:rStyle w:val="FootnoteReference"/>
        </w:rPr>
        <w:footnoteRef/>
      </w:r>
      <w:r>
        <w:t xml:space="preserve"> </w:t>
      </w:r>
      <w:r>
        <w:rPr>
          <w:i/>
        </w:rPr>
        <w:t>See</w:t>
      </w:r>
      <w:r>
        <w:t xml:space="preserve"> 47 CFR § 64.2009.</w:t>
      </w:r>
    </w:p>
  </w:footnote>
  <w:footnote w:id="259">
    <w:p w:rsidR="00474D51" w:rsidRDefault="00474D51" w:rsidP="00324CD5">
      <w:pPr>
        <w:pStyle w:val="FootnoteText"/>
      </w:pPr>
      <w:r>
        <w:rPr>
          <w:rStyle w:val="FootnoteReference"/>
        </w:rPr>
        <w:footnoteRef/>
      </w:r>
      <w:r>
        <w:t xml:space="preserve"> </w:t>
      </w:r>
      <w:r>
        <w:rPr>
          <w:i/>
        </w:rPr>
        <w:t>See</w:t>
      </w:r>
      <w:r>
        <w:t xml:space="preserve"> 47 CFR § 64.2009(e).</w:t>
      </w:r>
    </w:p>
  </w:footnote>
  <w:footnote w:id="260">
    <w:p w:rsidR="009721BF" w:rsidRPr="005B55B1" w:rsidRDefault="009721BF" w:rsidP="009721BF">
      <w:pPr>
        <w:pStyle w:val="FootnoteText"/>
      </w:pPr>
      <w:r>
        <w:rPr>
          <w:rStyle w:val="FootnoteReference"/>
        </w:rPr>
        <w:footnoteRef/>
      </w:r>
      <w:r>
        <w:t xml:space="preserve"> </w:t>
      </w:r>
      <w:r w:rsidRPr="00AF406B">
        <w:rPr>
          <w:i/>
        </w:rPr>
        <w:t>See</w:t>
      </w:r>
      <w:r w:rsidRPr="00AF406B">
        <w:t xml:space="preserve"> 47 U.S.C.  §</w:t>
      </w:r>
      <w:r w:rsidR="00327397">
        <w:t>§ 551(b), (c</w:t>
      </w:r>
      <w:r w:rsidRPr="00352CF9">
        <w:t>), 338(i)(</w:t>
      </w:r>
      <w:r w:rsidR="00327397">
        <w:t>3), (4)</w:t>
      </w:r>
      <w:r w:rsidRPr="00352CF9">
        <w:t>.</w:t>
      </w:r>
      <w:r w:rsidRPr="00352CF9" w:rsidDel="00AF406B">
        <w:t xml:space="preserve"> </w:t>
      </w:r>
    </w:p>
  </w:footnote>
  <w:footnote w:id="261">
    <w:p w:rsidR="00474D51" w:rsidRDefault="00474D51" w:rsidP="00324CD5">
      <w:pPr>
        <w:pStyle w:val="FootnoteText"/>
      </w:pPr>
      <w:r>
        <w:rPr>
          <w:rStyle w:val="FootnoteReference"/>
        </w:rPr>
        <w:footnoteRef/>
      </w:r>
      <w:r>
        <w:t xml:space="preserve"> 47 U.S.C. § 222(c)(3), (h)(2).</w:t>
      </w:r>
    </w:p>
  </w:footnote>
  <w:footnote w:id="262">
    <w:p w:rsidR="00474D51" w:rsidRDefault="00474D51" w:rsidP="00324CD5">
      <w:pPr>
        <w:pStyle w:val="FootnoteText"/>
      </w:pPr>
      <w:r>
        <w:rPr>
          <w:rStyle w:val="FootnoteReference"/>
        </w:rPr>
        <w:footnoteRef/>
      </w:r>
      <w:r>
        <w:t xml:space="preserve"> If too much context is removed from data, it may no longer provide the insights for which BIAS providers and others value the information.  </w:t>
      </w:r>
      <w:r>
        <w:rPr>
          <w:i/>
        </w:rPr>
        <w:t>See, e.g.</w:t>
      </w:r>
      <w:r>
        <w:t xml:space="preserve">, Robert Gellman, </w:t>
      </w:r>
      <w:r>
        <w:rPr>
          <w:i/>
        </w:rPr>
        <w:t>The Deidentification Dilemma: A Legislative and Contractual Proposal</w:t>
      </w:r>
      <w:r>
        <w:t>, 21 Fordham Intell. Prop. Media &amp; Ent. L.J. 33, 39 (2010).</w:t>
      </w:r>
    </w:p>
  </w:footnote>
  <w:footnote w:id="263">
    <w:p w:rsidR="00474D51" w:rsidRDefault="00474D51" w:rsidP="00324CD5">
      <w:pPr>
        <w:pStyle w:val="FootnoteText"/>
      </w:pPr>
      <w:r>
        <w:rPr>
          <w:rStyle w:val="FootnoteReference"/>
        </w:rPr>
        <w:footnoteRef/>
      </w:r>
      <w:r>
        <w:t xml:space="preserve"> </w:t>
      </w:r>
      <w:r>
        <w:rPr>
          <w:i/>
        </w:rPr>
        <w:t xml:space="preserve">See </w:t>
      </w:r>
      <w:r>
        <w:t xml:space="preserve">2012 FTC Privacy Report at 21; </w:t>
      </w:r>
      <w:r>
        <w:rPr>
          <w:i/>
        </w:rPr>
        <w:t xml:space="preserve">see also </w:t>
      </w:r>
      <w:r>
        <w:t xml:space="preserve">2015 </w:t>
      </w:r>
      <w:r w:rsidRPr="004D4C97">
        <w:t>Administration Discussion Draft</w:t>
      </w:r>
      <w:r>
        <w:t xml:space="preserve"> </w:t>
      </w:r>
      <w:r w:rsidRPr="004D4C97">
        <w:t>at</w:t>
      </w:r>
      <w:r>
        <w:t xml:space="preserve"> Sec. 4(a)(2)(A), (proposing a “reasonable basis for expecting that the data could not be linked” to an individual standard).</w:t>
      </w:r>
    </w:p>
  </w:footnote>
  <w:footnote w:id="264">
    <w:p w:rsidR="00474D51" w:rsidRDefault="00474D51" w:rsidP="00324CD5">
      <w:pPr>
        <w:pStyle w:val="FootnoteText"/>
      </w:pPr>
      <w:r>
        <w:rPr>
          <w:rStyle w:val="FootnoteReference"/>
        </w:rPr>
        <w:footnoteRef/>
      </w:r>
      <w:r>
        <w:t xml:space="preserve"> </w:t>
      </w:r>
      <w:r>
        <w:rPr>
          <w:i/>
        </w:rPr>
        <w:t>See, e.g.</w:t>
      </w:r>
      <w:r>
        <w:t xml:space="preserve">, U.S. Public Policy Council of the Association for Computing Machinery, </w:t>
      </w:r>
      <w:r w:rsidRPr="00055E1E">
        <w:rPr>
          <w:i/>
        </w:rPr>
        <w:t>Response to Request for Information, Big Data Review</w:t>
      </w:r>
      <w:r>
        <w:t xml:space="preserve">, 79 FR 12251 at 2, </w:t>
      </w:r>
      <w:hyperlink r:id="rId55" w:history="1">
        <w:r w:rsidRPr="002D6114">
          <w:rPr>
            <w:rStyle w:val="Hyperlink"/>
          </w:rPr>
          <w:t>http://usacm.acm.org/images/documents/BigDataOSTPfinal.pdf</w:t>
        </w:r>
      </w:hyperlink>
      <w:r>
        <w:t xml:space="preserve"> (“It has become significantly easier to extract personally identifiable information from nominally de-identified data as more data becomes available.  In recent years academic researchers have shown that many data sets thought to be ‘de-identified’ or ‘anonymized’ can be re-identified when the data are correlated with other information that is publicly available.”).  There is a rich scientific literature on re-identifying data that has been de-identified.  Additionally, in 2000, Latanya Sweeney, now the Director of the Data Privacy Lab in the Institute for Quantitative Social Science at Harvard University, demonstrated that 87 percent of the population in the United States had reported characteristics that likely made them unique based only on 5-digit ZIP, gender, and date of birth.  Latanya Sweeney, Abstract, </w:t>
      </w:r>
      <w:r>
        <w:rPr>
          <w:i/>
        </w:rPr>
        <w:t xml:space="preserve">Uniqueness of Simple Demographics in the U.S. Population </w:t>
      </w:r>
      <w:r>
        <w:t xml:space="preserve">(Carnegie Mellon Univ., Lab. for Int’l Data Privacy 2000), </w:t>
      </w:r>
      <w:hyperlink r:id="rId56" w:history="1">
        <w:r w:rsidRPr="008651BE">
          <w:rPr>
            <w:rStyle w:val="Hyperlink"/>
          </w:rPr>
          <w:t>http://dataprivacylab.org/projects/identifiability/index.html</w:t>
        </w:r>
      </w:hyperlink>
      <w:r>
        <w:t xml:space="preserve">.  In 2008, researchers at the University of Texas at Austin succeeded in using publicly available information to identify Netflix subscribers in a dataset of movie ratings from which personal identifiers had been removed, explaining that “[r]emoving identifying information is not sufficient for anonymity.”  Arvind Narayanan &amp; Vitaly Shmatikov, </w:t>
      </w:r>
      <w:r>
        <w:rPr>
          <w:i/>
        </w:rPr>
        <w:t>Robust De-anonymization of Large Sparse Datasets, in Proceedings of the 2008 IEEE Symposium on Security and Privacy</w:t>
      </w:r>
      <w:r>
        <w:t xml:space="preserve">, 111, 118 (2008), </w:t>
      </w:r>
      <w:hyperlink r:id="rId57" w:history="1">
        <w:r w:rsidRPr="008651BE">
          <w:rPr>
            <w:rStyle w:val="Hyperlink"/>
          </w:rPr>
          <w:t>http://www.cs.utexas.edu/~shmat/shmat_oak08netflix.pdf</w:t>
        </w:r>
      </w:hyperlink>
      <w:r>
        <w:t xml:space="preserve">.  </w:t>
      </w:r>
    </w:p>
  </w:footnote>
  <w:footnote w:id="265">
    <w:p w:rsidR="00474D51" w:rsidRDefault="00474D51" w:rsidP="00324CD5">
      <w:pPr>
        <w:pStyle w:val="FootnoteText"/>
      </w:pPr>
      <w:r>
        <w:rPr>
          <w:rStyle w:val="FootnoteReference"/>
        </w:rPr>
        <w:footnoteRef/>
      </w:r>
      <w:r>
        <w:t xml:space="preserve"> NIST PII Guide at § 2.1.</w:t>
      </w:r>
    </w:p>
  </w:footnote>
  <w:footnote w:id="266">
    <w:p w:rsidR="00474D51" w:rsidRDefault="00474D51" w:rsidP="00324CD5">
      <w:pPr>
        <w:pStyle w:val="FootnoteText"/>
      </w:pPr>
      <w:r>
        <w:rPr>
          <w:rStyle w:val="FootnoteReference"/>
        </w:rPr>
        <w:footnoteRef/>
      </w:r>
      <w:r>
        <w:t xml:space="preserve"> </w:t>
      </w:r>
      <w:r>
        <w:rPr>
          <w:i/>
        </w:rPr>
        <w:t>See</w:t>
      </w:r>
      <w:r>
        <w:t xml:space="preserve"> </w:t>
      </w:r>
      <w:r w:rsidRPr="00C7735E">
        <w:t xml:space="preserve">45 CFR </w:t>
      </w:r>
      <w:r w:rsidRPr="004D4C97">
        <w:rPr>
          <w:shd w:val="clear" w:color="auto" w:fill="FFFFFF"/>
        </w:rPr>
        <w:t>§ 164.514(b)(1).</w:t>
      </w:r>
    </w:p>
  </w:footnote>
  <w:footnote w:id="267">
    <w:p w:rsidR="00474D51" w:rsidRDefault="00474D51" w:rsidP="00324CD5">
      <w:pPr>
        <w:pStyle w:val="FootnoteText"/>
      </w:pPr>
      <w:r>
        <w:rPr>
          <w:rStyle w:val="FootnoteReference"/>
        </w:rPr>
        <w:footnoteRef/>
      </w:r>
      <w:r>
        <w:t xml:space="preserve"> </w:t>
      </w:r>
      <w:r>
        <w:rPr>
          <w:i/>
        </w:rPr>
        <w:t xml:space="preserve">See </w:t>
      </w:r>
      <w:r>
        <w:t xml:space="preserve">2012 FTC Privacy Report at 20-21; </w:t>
      </w:r>
      <w:r>
        <w:rPr>
          <w:i/>
        </w:rPr>
        <w:t xml:space="preserve">see also </w:t>
      </w:r>
      <w:r>
        <w:t>2015 Administration Discussion Draft at Sec. 4(a)(2)(A) (advocating for a commitment not to attempt to re-identify information and contractual requirements not to attempt to re-identify information for entities and with whom the company shares the information).</w:t>
      </w:r>
    </w:p>
  </w:footnote>
  <w:footnote w:id="268">
    <w:p w:rsidR="00474D51" w:rsidRPr="00CD49A9" w:rsidRDefault="00474D51" w:rsidP="00324CD5">
      <w:pPr>
        <w:pStyle w:val="FootnoteText"/>
      </w:pPr>
      <w:r>
        <w:rPr>
          <w:rStyle w:val="FootnoteReference"/>
        </w:rPr>
        <w:footnoteRef/>
      </w:r>
      <w:r>
        <w:t xml:space="preserve"> </w:t>
      </w:r>
      <w:r>
        <w:rPr>
          <w:i/>
        </w:rPr>
        <w:t>See, e.g.</w:t>
      </w:r>
      <w:r>
        <w:t xml:space="preserve">, Gellman, </w:t>
      </w:r>
      <w:r>
        <w:rPr>
          <w:i/>
        </w:rPr>
        <w:t xml:space="preserve">supra </w:t>
      </w:r>
      <w:r>
        <w:t xml:space="preserve">note </w:t>
      </w:r>
      <w:r>
        <w:fldChar w:fldCharType="begin"/>
      </w:r>
      <w:r>
        <w:instrText xml:space="preserve"> NOTEREF _Ref446574035 \h </w:instrText>
      </w:r>
      <w:r>
        <w:fldChar w:fldCharType="separate"/>
      </w:r>
      <w:r w:rsidR="00327397">
        <w:t>261</w:t>
      </w:r>
      <w:r>
        <w:fldChar w:fldCharType="end"/>
      </w:r>
      <w:r>
        <w:t xml:space="preserve">, at 47-55 (describing the privacy benefits of contractually prohibiting re-identification or attempted re-identification of information).  </w:t>
      </w:r>
      <w:r>
        <w:rPr>
          <w:i/>
        </w:rPr>
        <w:t xml:space="preserve"> </w:t>
      </w:r>
    </w:p>
  </w:footnote>
  <w:footnote w:id="269">
    <w:p w:rsidR="00474D51" w:rsidRDefault="00474D51" w:rsidP="00324CD5">
      <w:pPr>
        <w:pStyle w:val="FootnoteText"/>
      </w:pPr>
      <w:r>
        <w:rPr>
          <w:rStyle w:val="FootnoteReference"/>
        </w:rPr>
        <w:footnoteRef/>
      </w:r>
      <w:r>
        <w:t xml:space="preserve"> </w:t>
      </w:r>
      <w:r>
        <w:rPr>
          <w:i/>
        </w:rPr>
        <w:t xml:space="preserve">See </w:t>
      </w:r>
      <w:r>
        <w:t>2012 FTC Privacy Report at 21.</w:t>
      </w:r>
    </w:p>
  </w:footnote>
  <w:footnote w:id="270">
    <w:p w:rsidR="00474D51" w:rsidRPr="0021149F" w:rsidRDefault="00474D51" w:rsidP="00324CD5">
      <w:pPr>
        <w:pStyle w:val="FootnoteText"/>
        <w:rPr>
          <w:i/>
        </w:rPr>
      </w:pPr>
      <w:r>
        <w:rPr>
          <w:rStyle w:val="FootnoteReference"/>
        </w:rPr>
        <w:footnoteRef/>
      </w:r>
      <w:r>
        <w:t xml:space="preserve"> </w:t>
      </w:r>
      <w:r>
        <w:rPr>
          <w:i/>
        </w:rPr>
        <w:t>See</w:t>
      </w:r>
      <w:r>
        <w:t xml:space="preserve"> 45 CFR </w:t>
      </w:r>
      <w:r w:rsidRPr="00E81AD3">
        <w:t>§ 164.514(b)</w:t>
      </w:r>
      <w:r>
        <w:t xml:space="preserve">(2)(i)(A)-(R).   </w:t>
      </w:r>
    </w:p>
  </w:footnote>
  <w:footnote w:id="271">
    <w:p w:rsidR="00474D51" w:rsidRPr="004F78EC" w:rsidRDefault="00474D51" w:rsidP="00324CD5">
      <w:pPr>
        <w:pStyle w:val="FootnoteText"/>
      </w:pPr>
      <w:r>
        <w:rPr>
          <w:rStyle w:val="FootnoteReference"/>
        </w:rPr>
        <w:footnoteRef/>
      </w:r>
      <w:r>
        <w:t xml:space="preserve"> </w:t>
      </w:r>
      <w:r>
        <w:rPr>
          <w:i/>
        </w:rPr>
        <w:t>See</w:t>
      </w:r>
      <w:r>
        <w:t xml:space="preserve"> 45 </w:t>
      </w:r>
      <w:r w:rsidRPr="004F78EC">
        <w:t xml:space="preserve">CFR </w:t>
      </w:r>
      <w:r w:rsidRPr="004F78EC">
        <w:rPr>
          <w:shd w:val="clear" w:color="auto" w:fill="FFFFFF"/>
        </w:rPr>
        <w:t>§ 164.514(b)(2)(ii).</w:t>
      </w:r>
    </w:p>
  </w:footnote>
  <w:footnote w:id="272">
    <w:p w:rsidR="00474D51" w:rsidRPr="00055E1E" w:rsidRDefault="00474D51" w:rsidP="00324CD5">
      <w:pPr>
        <w:pStyle w:val="FootnoteText"/>
      </w:pPr>
      <w:r>
        <w:rPr>
          <w:rStyle w:val="FootnoteReference"/>
        </w:rPr>
        <w:footnoteRef/>
      </w:r>
      <w:r>
        <w:t xml:space="preserve"> Paul Ohm, </w:t>
      </w:r>
      <w:r>
        <w:rPr>
          <w:i/>
        </w:rPr>
        <w:t>Broken Promises of Privacy: Responding to the Surprising Failure of Anonymization</w:t>
      </w:r>
      <w:r>
        <w:t xml:space="preserve">, 57 UCLA L. Rev. 1701, 1732 (2010).  Ohm further argues that “[e]asy reidentification makes PII-focused laws like HIPAA underprotective by exposing the arbitrariness of their intricate categorization and line drawing.  Although HIPAA treats eighteen categories of information as especially identifying, it excludes from this list data about patient visits—like hospital name, diagnosis, year of visit, patient’s age, and the first three digits of ZIP code—that an adversary with rich outside information can use to defeat anonymity.”  </w:t>
      </w:r>
      <w:r>
        <w:rPr>
          <w:i/>
        </w:rPr>
        <w:t xml:space="preserve">Id. </w:t>
      </w:r>
      <w:r>
        <w:t xml:space="preserve">at 1740. </w:t>
      </w:r>
    </w:p>
  </w:footnote>
  <w:footnote w:id="273">
    <w:p w:rsidR="00474D51" w:rsidRPr="00AD30ED" w:rsidRDefault="00474D51" w:rsidP="00324CD5">
      <w:pPr>
        <w:pStyle w:val="FootnoteText"/>
      </w:pPr>
      <w:r>
        <w:rPr>
          <w:rStyle w:val="FootnoteReference"/>
        </w:rPr>
        <w:footnoteRef/>
      </w:r>
      <w:r>
        <w:t xml:space="preserve"> We note that there is an existing petition before the Commission that may address some of these issues.  </w:t>
      </w:r>
      <w:r>
        <w:rPr>
          <w:i/>
        </w:rPr>
        <w:t xml:space="preserve">See </w:t>
      </w:r>
      <w:r w:rsidRPr="00AD30ED">
        <w:t xml:space="preserve">Petition of Public Knowledge et al. for Declaratory Ruling Stating that the Sale of Non-Aggregate Call Records by Telecommunications Providers without Customers’ Consent Violates Section 222 of the Communications Act, WC Docket No. 13-306 (filed Dec. 11, 2013), </w:t>
      </w:r>
      <w:hyperlink r:id="rId58" w:history="1">
        <w:r w:rsidRPr="00E253BB">
          <w:rPr>
            <w:rStyle w:val="Hyperlink"/>
          </w:rPr>
          <w:t>http://apps.fcc.gov/ecfs/document/view?id=7520963695</w:t>
        </w:r>
      </w:hyperlink>
      <w:r>
        <w:t>.</w:t>
      </w:r>
    </w:p>
  </w:footnote>
  <w:footnote w:id="274">
    <w:p w:rsidR="00474D51" w:rsidRPr="007A51CF" w:rsidRDefault="00474D51" w:rsidP="00324CD5">
      <w:pPr>
        <w:pStyle w:val="FootnoteText"/>
      </w:pPr>
      <w:r>
        <w:rPr>
          <w:rStyle w:val="FootnoteReference"/>
        </w:rPr>
        <w:footnoteRef/>
      </w:r>
      <w:r>
        <w:t xml:space="preserve"> </w:t>
      </w:r>
      <w:r>
        <w:rPr>
          <w:i/>
        </w:rPr>
        <w:t xml:space="preserve">See supra </w:t>
      </w:r>
      <w:r>
        <w:t>Part</w:t>
      </w:r>
      <w:r>
        <w:rPr>
          <w:i/>
        </w:rPr>
        <w:t xml:space="preserve"> </w:t>
      </w:r>
      <w:r w:rsidRPr="007A51CF">
        <w:fldChar w:fldCharType="begin"/>
      </w:r>
      <w:r w:rsidRPr="007A51CF">
        <w:instrText xml:space="preserve"> REF _Ref445294043 \r \h  \* MERGEFORMAT </w:instrText>
      </w:r>
      <w:r w:rsidRPr="007A51CF">
        <w:fldChar w:fldCharType="separate"/>
      </w:r>
      <w:r w:rsidR="00327397">
        <w:t>III.C</w:t>
      </w:r>
      <w:r w:rsidRPr="007A51CF">
        <w:fldChar w:fldCharType="end"/>
      </w:r>
      <w:r>
        <w:t>.</w:t>
      </w:r>
    </w:p>
  </w:footnote>
  <w:footnote w:id="275">
    <w:p w:rsidR="00474D51" w:rsidRDefault="00474D51" w:rsidP="00324CD5">
      <w:pPr>
        <w:pStyle w:val="FootnoteText"/>
      </w:pPr>
      <w:r>
        <w:rPr>
          <w:rStyle w:val="FootnoteReference"/>
        </w:rPr>
        <w:footnoteRef/>
      </w:r>
      <w:r>
        <w:t xml:space="preserve"> 2012 FTC Privacy Report at 12; </w:t>
      </w:r>
      <w:r w:rsidRPr="00F45F22">
        <w:rPr>
          <w:i/>
        </w:rPr>
        <w:t>see also id</w:t>
      </w:r>
      <w:r>
        <w:t>. at n.61.</w:t>
      </w:r>
    </w:p>
  </w:footnote>
  <w:footnote w:id="276">
    <w:p w:rsidR="00474D51" w:rsidRDefault="00474D51" w:rsidP="00324CD5">
      <w:pPr>
        <w:pStyle w:val="FootnoteText"/>
      </w:pPr>
      <w:r>
        <w:rPr>
          <w:rStyle w:val="FootnoteReference"/>
        </w:rPr>
        <w:footnoteRef/>
      </w:r>
      <w:r>
        <w:t xml:space="preserve"> 2012 FTC Privacy Report at 12, </w:t>
      </w:r>
      <w:r w:rsidRPr="00F45F22">
        <w:rPr>
          <w:i/>
        </w:rPr>
        <w:t>see also id</w:t>
      </w:r>
      <w:r>
        <w:t>. at n.64.</w:t>
      </w:r>
    </w:p>
  </w:footnote>
  <w:footnote w:id="277">
    <w:p w:rsidR="00474D51" w:rsidRDefault="00474D51" w:rsidP="00324CD5">
      <w:pPr>
        <w:pStyle w:val="FootnoteText"/>
      </w:pPr>
      <w:r>
        <w:rPr>
          <w:rStyle w:val="FootnoteReference"/>
        </w:rPr>
        <w:footnoteRef/>
      </w:r>
      <w:r>
        <w:rPr>
          <w:i/>
        </w:rPr>
        <w:t xml:space="preserve"> </w:t>
      </w:r>
      <w:r w:rsidRPr="00676C0E">
        <w:rPr>
          <w:i/>
        </w:rPr>
        <w:t>See</w:t>
      </w:r>
      <w:r>
        <w:t xml:space="preserve"> 42 U.S.C. § 1320d-2(d); 45 CFR </w:t>
      </w:r>
      <w:r w:rsidRPr="001B5F20">
        <w:t>§§</w:t>
      </w:r>
      <w:r>
        <w:t xml:space="preserve"> 164.302-164.318. </w:t>
      </w:r>
    </w:p>
  </w:footnote>
  <w:footnote w:id="278">
    <w:p w:rsidR="00474D51" w:rsidRDefault="00474D51" w:rsidP="00324CD5">
      <w:pPr>
        <w:pStyle w:val="FootnoteText"/>
      </w:pPr>
      <w:r>
        <w:rPr>
          <w:rStyle w:val="FootnoteReference"/>
        </w:rPr>
        <w:footnoteRef/>
      </w:r>
      <w:r>
        <w:t xml:space="preserve"> </w:t>
      </w:r>
      <w:r w:rsidRPr="00676C0E">
        <w:rPr>
          <w:i/>
        </w:rPr>
        <w:t>See</w:t>
      </w:r>
      <w:r>
        <w:t xml:space="preserve"> 15 U.S.C. §§ 6801-6809; 16 CFR §§ 314.1-314.5. </w:t>
      </w:r>
    </w:p>
  </w:footnote>
  <w:footnote w:id="279">
    <w:p w:rsidR="00474D51" w:rsidRDefault="00474D51" w:rsidP="00324CD5">
      <w:pPr>
        <w:pStyle w:val="FootnoteText"/>
      </w:pPr>
      <w:r>
        <w:rPr>
          <w:rStyle w:val="FootnoteReference"/>
        </w:rPr>
        <w:footnoteRef/>
      </w:r>
      <w:r>
        <w:t xml:space="preserve"> </w:t>
      </w:r>
      <w:r w:rsidRPr="00676C0E">
        <w:rPr>
          <w:i/>
        </w:rPr>
        <w:t>See</w:t>
      </w:r>
      <w:r>
        <w:rPr>
          <w:i/>
        </w:rPr>
        <w:t>, e.g.</w:t>
      </w:r>
      <w:r w:rsidRPr="00AE3A38">
        <w:t>,</w:t>
      </w:r>
      <w:r>
        <w:rPr>
          <w:i/>
        </w:rPr>
        <w:t xml:space="preserve"> </w:t>
      </w:r>
      <w:r>
        <w:t xml:space="preserve">Federal Trade Commission, Start with Security: A Guide for Business (2015),  </w:t>
      </w:r>
      <w:hyperlink r:id="rId59" w:history="1">
        <w:r w:rsidRPr="009F1BED">
          <w:rPr>
            <w:rStyle w:val="Hyperlink"/>
          </w:rPr>
          <w:t xml:space="preserve"> </w:t>
        </w:r>
      </w:hyperlink>
      <w:hyperlink r:id="rId60" w:history="1">
        <w:r w:rsidRPr="009F1BED">
          <w:rPr>
            <w:rStyle w:val="Hyperlink"/>
          </w:rPr>
          <w:t>https://www.ftc.gov/tips-advice/business-center/guidance/start-security-guide-business</w:t>
        </w:r>
      </w:hyperlink>
      <w:r w:rsidRPr="00F719B2">
        <w:t xml:space="preserve"> (2015</w:t>
      </w:r>
      <w:r>
        <w:t xml:space="preserve"> FTC Security Guide for Business).</w:t>
      </w:r>
    </w:p>
  </w:footnote>
  <w:footnote w:id="280">
    <w:p w:rsidR="00474D51" w:rsidRDefault="00474D51" w:rsidP="00324CD5">
      <w:pPr>
        <w:pStyle w:val="FootnoteText"/>
      </w:pPr>
      <w:r>
        <w:rPr>
          <w:rStyle w:val="FootnoteReference"/>
        </w:rPr>
        <w:footnoteRef/>
      </w:r>
      <w:r>
        <w:t xml:space="preserve"> </w:t>
      </w:r>
      <w:r w:rsidRPr="00676C0E">
        <w:rPr>
          <w:i/>
        </w:rPr>
        <w:t>See, e.g.</w:t>
      </w:r>
      <w:r>
        <w:t xml:space="preserve">, </w:t>
      </w:r>
      <w:r>
        <w:rPr>
          <w:i/>
        </w:rPr>
        <w:t>TerraCom Consent Decree</w:t>
      </w:r>
      <w:r>
        <w:t xml:space="preserve">; </w:t>
      </w:r>
      <w:r w:rsidRPr="00F719B2">
        <w:rPr>
          <w:i/>
        </w:rPr>
        <w:t>CBR Systems</w:t>
      </w:r>
      <w:r w:rsidRPr="009F1BED">
        <w:t xml:space="preserve">, </w:t>
      </w:r>
      <w:r w:rsidRPr="00F719B2">
        <w:t>Decision and Order, F.T.C. File No. 112-3120 (2013)</w:t>
      </w:r>
      <w:r>
        <w:t xml:space="preserve">, </w:t>
      </w:r>
      <w:hyperlink r:id="rId61" w:history="1">
        <w:r w:rsidRPr="009F1BED">
          <w:rPr>
            <w:rStyle w:val="Hyperlink"/>
          </w:rPr>
          <w:t>https://www.ftc.gov/sites/default/files/documents/cases/2013/05/130503cbrdo.pdf</w:t>
        </w:r>
      </w:hyperlink>
      <w:r>
        <w:rPr>
          <w:rStyle w:val="Hyperlink"/>
        </w:rPr>
        <w:t>.</w:t>
      </w:r>
    </w:p>
  </w:footnote>
  <w:footnote w:id="281">
    <w:p w:rsidR="00474D51" w:rsidRDefault="00474D51" w:rsidP="00324CD5">
      <w:pPr>
        <w:pStyle w:val="FootnoteText"/>
      </w:pPr>
      <w:r>
        <w:rPr>
          <w:rStyle w:val="FootnoteReference"/>
        </w:rPr>
        <w:footnoteRef/>
      </w:r>
      <w:r>
        <w:t xml:space="preserve"> </w:t>
      </w:r>
      <w:r>
        <w:rPr>
          <w:i/>
        </w:rPr>
        <w:t>See, e.g.</w:t>
      </w:r>
      <w:r>
        <w:t xml:space="preserve">, </w:t>
      </w:r>
      <w:r w:rsidRPr="001B5F20">
        <w:t>Md. Code Ann.</w:t>
      </w:r>
      <w:r>
        <w:t>, Com. Law</w:t>
      </w:r>
      <w:r w:rsidRPr="001B5F20">
        <w:t xml:space="preserve"> §</w:t>
      </w:r>
      <w:r>
        <w:t xml:space="preserve"> </w:t>
      </w:r>
      <w:r w:rsidRPr="001B5F20">
        <w:t>14-3503(a); Utah Code Ann. §</w:t>
      </w:r>
      <w:r>
        <w:t xml:space="preserve"> </w:t>
      </w:r>
      <w:r w:rsidRPr="001B5F20">
        <w:t>13-44-201</w:t>
      </w:r>
      <w:r>
        <w:t xml:space="preserve">; </w:t>
      </w:r>
      <w:r w:rsidRPr="001F0977">
        <w:t>Fla. Stat. §</w:t>
      </w:r>
      <w:r>
        <w:t xml:space="preserve"> </w:t>
      </w:r>
      <w:r w:rsidRPr="001F0977">
        <w:t>501.171</w:t>
      </w:r>
      <w:r>
        <w:t xml:space="preserve">(2); </w:t>
      </w:r>
      <w:r w:rsidRPr="001F0977">
        <w:t>Cal. Civ. Code §</w:t>
      </w:r>
      <w:r>
        <w:t xml:space="preserve"> </w:t>
      </w:r>
      <w:r w:rsidRPr="001F0977">
        <w:t>1</w:t>
      </w:r>
      <w:r>
        <w:t>7</w:t>
      </w:r>
      <w:r w:rsidRPr="001F0977">
        <w:t>98.81.5(b)-(c)</w:t>
      </w:r>
      <w:r>
        <w:t>.</w:t>
      </w:r>
    </w:p>
  </w:footnote>
  <w:footnote w:id="282">
    <w:p w:rsidR="00474D51" w:rsidRPr="009F1BED" w:rsidRDefault="00474D51" w:rsidP="00324CD5">
      <w:pPr>
        <w:pStyle w:val="FootnoteText"/>
      </w:pPr>
      <w:r>
        <w:rPr>
          <w:rStyle w:val="FootnoteReference"/>
        </w:rPr>
        <w:footnoteRef/>
      </w:r>
      <w:r>
        <w:t xml:space="preserve"> </w:t>
      </w:r>
      <w:r>
        <w:rPr>
          <w:i/>
        </w:rPr>
        <w:t xml:space="preserve">See </w:t>
      </w:r>
      <w:r w:rsidRPr="00B07699">
        <w:rPr>
          <w:i/>
        </w:rPr>
        <w:t>2007 CPNI Order</w:t>
      </w:r>
      <w:r>
        <w:t xml:space="preserve">, 22 FCC Rcd at 6931, para. 6; </w:t>
      </w:r>
      <w:r w:rsidRPr="007B515F">
        <w:rPr>
          <w:i/>
        </w:rPr>
        <w:t>TerraCom NAL</w:t>
      </w:r>
      <w:r w:rsidRPr="007B515F">
        <w:t>, 29 FCC Rcd at 13330, para. 14</w:t>
      </w:r>
      <w:r>
        <w:t xml:space="preserve">; </w:t>
      </w:r>
      <w:r w:rsidRPr="007B515F">
        <w:rPr>
          <w:i/>
        </w:rPr>
        <w:t>2013</w:t>
      </w:r>
      <w:r>
        <w:t xml:space="preserve"> </w:t>
      </w:r>
      <w:r>
        <w:rPr>
          <w:i/>
        </w:rPr>
        <w:t>CPNI</w:t>
      </w:r>
      <w:r w:rsidRPr="007B515F">
        <w:rPr>
          <w:i/>
        </w:rPr>
        <w:t xml:space="preserve"> Declaratory Ruling</w:t>
      </w:r>
      <w:r>
        <w:t xml:space="preserve">, 28 FCC Rcd at 9619, para. 29; </w:t>
      </w:r>
      <w:r w:rsidRPr="007B515F">
        <w:rPr>
          <w:i/>
        </w:rPr>
        <w:t>Open Internet Privacy Standard; Enforcement Bureau Guidance: Broadband Providers Should Take Reasonable, Good Faith Steps to Protect Consumer Privacy</w:t>
      </w:r>
      <w:r>
        <w:t>, Enforcement Advisory, 30 FCC Rcd 4849 (2015).</w:t>
      </w:r>
    </w:p>
  </w:footnote>
  <w:footnote w:id="283">
    <w:p w:rsidR="00474D51" w:rsidRPr="009F1BED" w:rsidRDefault="00474D51" w:rsidP="00324CD5">
      <w:pPr>
        <w:pStyle w:val="FootnoteText"/>
      </w:pPr>
      <w:r w:rsidRPr="009F1BED">
        <w:rPr>
          <w:rStyle w:val="FootnoteReference"/>
        </w:rPr>
        <w:footnoteRef/>
      </w:r>
      <w:r w:rsidRPr="009F1BED">
        <w:t xml:space="preserve"> </w:t>
      </w:r>
      <w:r w:rsidRPr="009F1BED">
        <w:rPr>
          <w:i/>
        </w:rPr>
        <w:t>See</w:t>
      </w:r>
      <w:r w:rsidRPr="009F1BED">
        <w:t xml:space="preserve"> The White House, </w:t>
      </w:r>
      <w:r w:rsidRPr="00F719B2">
        <w:t>National Strategy for Trusted Identities in Cyberspace</w:t>
      </w:r>
      <w:r>
        <w:t>: Enhancing Online Choice, Efficiency, Security, and Privacy</w:t>
      </w:r>
      <w:r w:rsidRPr="00F719B2">
        <w:t xml:space="preserve"> at Appx. A </w:t>
      </w:r>
      <w:r>
        <w:t xml:space="preserve">(2011) </w:t>
      </w:r>
      <w:r w:rsidRPr="00F719B2">
        <w:t xml:space="preserve">(“Fair Information Practice Principles (FIPPs)”), </w:t>
      </w:r>
      <w:hyperlink r:id="rId62" w:history="1">
        <w:r w:rsidRPr="00F719B2">
          <w:rPr>
            <w:rStyle w:val="Hyperlink"/>
          </w:rPr>
          <w:t>http://www.nist.gov/nstic/NSTIC-FIPPs.pdf</w:t>
        </w:r>
      </w:hyperlink>
      <w:r w:rsidRPr="00F719B2">
        <w:rPr>
          <w:rStyle w:val="Hyperlink"/>
          <w:color w:val="auto"/>
          <w:u w:val="none"/>
        </w:rPr>
        <w:t xml:space="preserve"> (NSTIC FIPPs Appendix);</w:t>
      </w:r>
      <w:r w:rsidRPr="009F1BED">
        <w:rPr>
          <w:rStyle w:val="Hyperlink"/>
          <w:color w:val="auto"/>
          <w:u w:val="none"/>
        </w:rPr>
        <w:t xml:space="preserve"> </w:t>
      </w:r>
      <w:r w:rsidRPr="00F719B2">
        <w:rPr>
          <w:rStyle w:val="Hyperlink"/>
          <w:i/>
          <w:color w:val="auto"/>
          <w:u w:val="none"/>
        </w:rPr>
        <w:t>see also</w:t>
      </w:r>
      <w:r w:rsidRPr="00F719B2">
        <w:rPr>
          <w:rStyle w:val="Hyperlink"/>
          <w:color w:val="auto"/>
          <w:u w:val="none"/>
        </w:rPr>
        <w:t xml:space="preserve"> </w:t>
      </w:r>
      <w:r w:rsidRPr="009F1BED">
        <w:t>Dep</w:t>
      </w:r>
      <w:r>
        <w:t>artment</w:t>
      </w:r>
      <w:r w:rsidRPr="009F1BED">
        <w:t xml:space="preserve"> of Health, Education and Welfare, </w:t>
      </w:r>
      <w:r w:rsidRPr="00F45F22">
        <w:t>Records, Computers and the Rights of Citizens</w:t>
      </w:r>
      <w:r w:rsidRPr="009F1BED">
        <w:t xml:space="preserve"> (1973); Organization for Economic Cooperation and Development, </w:t>
      </w:r>
      <w:r w:rsidRPr="00F45F22">
        <w:t>OECD Guidelines on the Protection of Privacy and Transborder Flows of Personal Data</w:t>
      </w:r>
      <w:r w:rsidRPr="009F1BED">
        <w:t xml:space="preserve"> (1980); Dep</w:t>
      </w:r>
      <w:r>
        <w:t>artment</w:t>
      </w:r>
      <w:r w:rsidRPr="009F1BED">
        <w:t xml:space="preserve"> of Commerce, </w:t>
      </w:r>
      <w:r w:rsidRPr="00F45F22">
        <w:t>Privacy and the NII: Safeguarding Telecommunications-Related Personal Information</w:t>
      </w:r>
      <w:r w:rsidRPr="009F1BED">
        <w:rPr>
          <w:i/>
        </w:rPr>
        <w:t xml:space="preserve"> </w:t>
      </w:r>
      <w:r w:rsidRPr="009F1BED">
        <w:t xml:space="preserve">(1995); Canadian Standards Association, </w:t>
      </w:r>
      <w:r w:rsidRPr="00F45F22">
        <w:t>Model Code for the Protection of Personal Information: A National Standard of Canada</w:t>
      </w:r>
      <w:r w:rsidRPr="009F1BED">
        <w:t xml:space="preserve"> (1996); Federal Trade Commission, </w:t>
      </w:r>
      <w:r w:rsidRPr="00F45F22">
        <w:t>Privacy Online: A Report to Congress</w:t>
      </w:r>
      <w:r w:rsidRPr="009F1BED">
        <w:t xml:space="preserve"> (1998). </w:t>
      </w:r>
    </w:p>
  </w:footnote>
  <w:footnote w:id="284">
    <w:p w:rsidR="00474D51" w:rsidRPr="009F1BED" w:rsidRDefault="00474D51" w:rsidP="00324CD5">
      <w:pPr>
        <w:pStyle w:val="FootnoteText"/>
      </w:pPr>
      <w:r w:rsidRPr="009F1BED">
        <w:rPr>
          <w:rStyle w:val="FootnoteReference"/>
        </w:rPr>
        <w:footnoteRef/>
      </w:r>
      <w:r w:rsidRPr="009F1BED">
        <w:t xml:space="preserve"> </w:t>
      </w:r>
      <w:r w:rsidRPr="009F1BED">
        <w:rPr>
          <w:rStyle w:val="Hyperlink"/>
          <w:color w:val="auto"/>
          <w:u w:val="none"/>
        </w:rPr>
        <w:t>NSTIC FIPPs Appendix</w:t>
      </w:r>
      <w:r w:rsidRPr="009F1BED">
        <w:t xml:space="preserve">. </w:t>
      </w:r>
    </w:p>
  </w:footnote>
  <w:footnote w:id="285">
    <w:p w:rsidR="00474D51" w:rsidRPr="009F1BED" w:rsidRDefault="00474D51" w:rsidP="00324CD5">
      <w:pPr>
        <w:pStyle w:val="FootnoteText"/>
      </w:pPr>
      <w:r w:rsidRPr="009F1BED">
        <w:rPr>
          <w:rStyle w:val="FootnoteReference"/>
        </w:rPr>
        <w:footnoteRef/>
      </w:r>
      <w:r w:rsidR="00B5038C">
        <w:t xml:space="preserve"> 47 U.S.C. §§ 551(c)(1),</w:t>
      </w:r>
      <w:r w:rsidRPr="009F1BED">
        <w:t xml:space="preserve"> 338(i)(4)(A).</w:t>
      </w:r>
    </w:p>
  </w:footnote>
  <w:footnote w:id="286">
    <w:p w:rsidR="00474D51" w:rsidRPr="009F1BED" w:rsidRDefault="00474D51" w:rsidP="00324CD5">
      <w:pPr>
        <w:pStyle w:val="FootnoteText"/>
      </w:pPr>
      <w:r w:rsidRPr="009F1BED">
        <w:rPr>
          <w:rStyle w:val="FootnoteReference"/>
        </w:rPr>
        <w:footnoteRef/>
      </w:r>
      <w:r w:rsidRPr="009F1BED">
        <w:rPr>
          <w:i/>
        </w:rPr>
        <w:t xml:space="preserve"> See</w:t>
      </w:r>
      <w:r w:rsidRPr="009F1BED">
        <w:t xml:space="preserve"> 42 U.S.C. § 1320d-2(d).</w:t>
      </w:r>
    </w:p>
  </w:footnote>
  <w:footnote w:id="287">
    <w:p w:rsidR="00474D51" w:rsidRPr="009F1BED" w:rsidRDefault="00474D51" w:rsidP="00324CD5">
      <w:pPr>
        <w:pStyle w:val="FootnoteText"/>
      </w:pPr>
      <w:r w:rsidRPr="009F1BED">
        <w:rPr>
          <w:rStyle w:val="FootnoteReference"/>
        </w:rPr>
        <w:footnoteRef/>
      </w:r>
      <w:r w:rsidRPr="009F1BED">
        <w:t xml:space="preserve"> 16 CFR § 314.3(b)(1)-(3).</w:t>
      </w:r>
    </w:p>
  </w:footnote>
  <w:footnote w:id="288">
    <w:p w:rsidR="00474D51" w:rsidRPr="009F1BED" w:rsidRDefault="00474D51" w:rsidP="00324CD5">
      <w:pPr>
        <w:pStyle w:val="FootnoteText"/>
      </w:pPr>
      <w:r w:rsidRPr="009F1BED">
        <w:rPr>
          <w:rStyle w:val="FootnoteReference"/>
        </w:rPr>
        <w:footnoteRef/>
      </w:r>
      <w:r w:rsidRPr="009F1BED">
        <w:t xml:space="preserve"> 15 U.S.C. § 45(a)(1); 2012 FTC Privacy Report at 23-</w:t>
      </w:r>
      <w:r>
        <w:t>30</w:t>
      </w:r>
      <w:r w:rsidRPr="009F1BED">
        <w:t xml:space="preserve">; 2015 FTC Security Guide for Business.  </w:t>
      </w:r>
      <w:r w:rsidRPr="009F1BED">
        <w:rPr>
          <w:i/>
        </w:rPr>
        <w:t>See also FTC v. Wyndham Worldwide Corp</w:t>
      </w:r>
      <w:r w:rsidRPr="009F1BED">
        <w:t>., 799 F.3d 236 (3d Cir. 2015) (upholding FTC authority to bring data security cases under the Section 5 “unfairness” prong).</w:t>
      </w:r>
    </w:p>
  </w:footnote>
  <w:footnote w:id="289">
    <w:p w:rsidR="00474D51" w:rsidRPr="001B5F20" w:rsidRDefault="00474D51" w:rsidP="00324CD5">
      <w:pPr>
        <w:pStyle w:val="FootnoteText"/>
      </w:pPr>
      <w:r w:rsidRPr="009F1BED">
        <w:rPr>
          <w:rStyle w:val="FootnoteReference"/>
        </w:rPr>
        <w:footnoteRef/>
      </w:r>
      <w:r w:rsidRPr="009F1BED">
        <w:t xml:space="preserve"> </w:t>
      </w:r>
      <w:r w:rsidRPr="009F1BED">
        <w:rPr>
          <w:i/>
        </w:rPr>
        <w:t>See, e.g.</w:t>
      </w:r>
      <w:r w:rsidRPr="009F1BED">
        <w:t xml:space="preserve">, </w:t>
      </w:r>
      <w:r w:rsidRPr="00F719B2">
        <w:rPr>
          <w:i/>
        </w:rPr>
        <w:t>GMR Transcription Services, Inc.</w:t>
      </w:r>
      <w:r w:rsidRPr="00F719B2">
        <w:t xml:space="preserve">, Complaint, F.T.C. File No. 122-3095 (2014), </w:t>
      </w:r>
      <w:hyperlink r:id="rId63" w:history="1">
        <w:r w:rsidRPr="00F719B2">
          <w:rPr>
            <w:rStyle w:val="Hyperlink"/>
          </w:rPr>
          <w:t>https://www.ftc.gov/system/files/documents/cases/140821gmrcmpt.pdf</w:t>
        </w:r>
      </w:hyperlink>
      <w:r w:rsidRPr="00F719B2">
        <w:t xml:space="preserve"> (</w:t>
      </w:r>
      <w:r w:rsidRPr="009F1BED">
        <w:rPr>
          <w:i/>
        </w:rPr>
        <w:t>GMR Transcription Services Complaint</w:t>
      </w:r>
      <w:r w:rsidRPr="009F1BED">
        <w:t xml:space="preserve">); </w:t>
      </w:r>
      <w:r w:rsidRPr="00F719B2">
        <w:rPr>
          <w:i/>
        </w:rPr>
        <w:t>GeneLink, Inc.</w:t>
      </w:r>
      <w:r w:rsidRPr="00F719B2">
        <w:t xml:space="preserve">, Complaint, F.T.C. File No. 112-3095 (2014) </w:t>
      </w:r>
      <w:hyperlink r:id="rId64" w:history="1">
        <w:r w:rsidRPr="00F719B2">
          <w:rPr>
            <w:rStyle w:val="Hyperlink"/>
          </w:rPr>
          <w:t>https://www.ftc.gov/sites/default/files/documents/cases/140107genelinkcmpt.pdf</w:t>
        </w:r>
      </w:hyperlink>
      <w:r w:rsidRPr="00F719B2">
        <w:t xml:space="preserve"> (</w:t>
      </w:r>
      <w:r w:rsidRPr="009F1BED">
        <w:rPr>
          <w:i/>
        </w:rPr>
        <w:t>GeneLink Complaint</w:t>
      </w:r>
      <w:r w:rsidRPr="00F719B2">
        <w:t xml:space="preserve">); </w:t>
      </w:r>
      <w:r w:rsidRPr="00F719B2">
        <w:rPr>
          <w:i/>
        </w:rPr>
        <w:t>Accretive Health, Inc.</w:t>
      </w:r>
      <w:r w:rsidRPr="00F719B2">
        <w:t xml:space="preserve">, Complaint, F.T.C. File No. 122-3077 (2014), </w:t>
      </w:r>
      <w:hyperlink r:id="rId65" w:history="1">
        <w:r w:rsidRPr="00F719B2">
          <w:rPr>
            <w:rStyle w:val="Hyperlink"/>
          </w:rPr>
          <w:t>https://www.ftc.gov/system/files/documents/cases/140224accretivehealthcmpt.pdf</w:t>
        </w:r>
      </w:hyperlink>
      <w:r w:rsidRPr="00F719B2">
        <w:t>.</w:t>
      </w:r>
      <w:r w:rsidRPr="009F1BED">
        <w:t xml:space="preserve">  </w:t>
      </w:r>
      <w:r w:rsidRPr="00F719B2">
        <w:t xml:space="preserve">The FTC also enforces data security obligations under the Fair Credit Reporting Act and the GLBA.  </w:t>
      </w:r>
      <w:r w:rsidRPr="00F719B2">
        <w:rPr>
          <w:i/>
        </w:rPr>
        <w:t>See</w:t>
      </w:r>
      <w:r w:rsidRPr="00F719B2">
        <w:t xml:space="preserve"> 15 U.S.C. §§ 1681</w:t>
      </w:r>
      <w:r>
        <w:t xml:space="preserve"> </w:t>
      </w:r>
      <w:r w:rsidRPr="00F45F22">
        <w:rPr>
          <w:i/>
        </w:rPr>
        <w:t>et seq.</w:t>
      </w:r>
      <w:r w:rsidRPr="00F719B2">
        <w:t>, 6801-6809</w:t>
      </w:r>
      <w:r w:rsidRPr="009F1BED">
        <w:t>.</w:t>
      </w:r>
      <w:r>
        <w:rPr>
          <w:color w:val="222222"/>
          <w:shd w:val="clear" w:color="auto" w:fill="FFFFFF"/>
        </w:rPr>
        <w:t xml:space="preserve">  </w:t>
      </w:r>
    </w:p>
  </w:footnote>
  <w:footnote w:id="290">
    <w:p w:rsidR="00474D51" w:rsidRPr="001B5F20" w:rsidRDefault="00474D51" w:rsidP="00324CD5">
      <w:pPr>
        <w:pStyle w:val="FootnoteText"/>
        <w:rPr>
          <w:i/>
        </w:rPr>
      </w:pPr>
      <w:r w:rsidRPr="001B5F20">
        <w:rPr>
          <w:rStyle w:val="FootnoteReference"/>
        </w:rPr>
        <w:footnoteRef/>
      </w:r>
      <w:r w:rsidRPr="001B5F20">
        <w:t xml:space="preserve"> </w:t>
      </w:r>
      <w:r>
        <w:rPr>
          <w:i/>
        </w:rPr>
        <w:t>See, e.g.</w:t>
      </w:r>
      <w:r>
        <w:t xml:space="preserve">, </w:t>
      </w:r>
      <w:r w:rsidRPr="001B5F20">
        <w:t>Md. Code Ann.</w:t>
      </w:r>
      <w:r>
        <w:t>, Com. Law</w:t>
      </w:r>
      <w:r w:rsidRPr="001B5F20">
        <w:t xml:space="preserve"> §</w:t>
      </w:r>
      <w:r>
        <w:t xml:space="preserve"> </w:t>
      </w:r>
      <w:r w:rsidRPr="001B5F20">
        <w:t>14-3503(a); Utah Code Ann. §</w:t>
      </w:r>
      <w:r>
        <w:t xml:space="preserve"> </w:t>
      </w:r>
      <w:r w:rsidRPr="001B5F20">
        <w:t>13-44-201</w:t>
      </w:r>
      <w:r>
        <w:t xml:space="preserve">; </w:t>
      </w:r>
      <w:r w:rsidRPr="001F0977">
        <w:t>Fla. Stat. §</w:t>
      </w:r>
      <w:r>
        <w:t xml:space="preserve"> </w:t>
      </w:r>
      <w:r w:rsidRPr="001F0977">
        <w:t>501.171</w:t>
      </w:r>
      <w:r>
        <w:t xml:space="preserve">(2); </w:t>
      </w:r>
      <w:r w:rsidRPr="001F0977">
        <w:t>Cal. Civ. Code §</w:t>
      </w:r>
      <w:r>
        <w:t xml:space="preserve"> </w:t>
      </w:r>
      <w:r w:rsidRPr="001F0977">
        <w:t>1</w:t>
      </w:r>
      <w:r>
        <w:t>7</w:t>
      </w:r>
      <w:r w:rsidRPr="001F0977">
        <w:t>98.81.5(b)-(c)</w:t>
      </w:r>
      <w:r>
        <w:t>.</w:t>
      </w:r>
    </w:p>
  </w:footnote>
  <w:footnote w:id="291">
    <w:p w:rsidR="00474D51" w:rsidRPr="001B5F20" w:rsidRDefault="00474D51" w:rsidP="00324CD5">
      <w:pPr>
        <w:pStyle w:val="FootnoteText"/>
      </w:pPr>
      <w:r w:rsidRPr="001B5F20">
        <w:rPr>
          <w:rStyle w:val="FootnoteReference"/>
        </w:rPr>
        <w:footnoteRef/>
      </w:r>
      <w:r w:rsidRPr="001B5F20">
        <w:t xml:space="preserve"> 42 </w:t>
      </w:r>
      <w:r>
        <w:t>CFR</w:t>
      </w:r>
      <w:r w:rsidRPr="001B5F20">
        <w:t xml:space="preserve"> § 164.304.</w:t>
      </w:r>
    </w:p>
  </w:footnote>
  <w:footnote w:id="292">
    <w:p w:rsidR="00474D51" w:rsidRPr="001B5F20" w:rsidRDefault="00474D51" w:rsidP="00324CD5">
      <w:pPr>
        <w:pStyle w:val="FootnoteText"/>
        <w:tabs>
          <w:tab w:val="left" w:pos="2208"/>
        </w:tabs>
      </w:pPr>
      <w:r w:rsidRPr="001B5F20">
        <w:rPr>
          <w:rStyle w:val="FootnoteReference"/>
        </w:rPr>
        <w:footnoteRef/>
      </w:r>
      <w:r w:rsidRPr="001B5F20">
        <w:t xml:space="preserve"> 15 U.S.C. § 6801(b).</w:t>
      </w:r>
      <w:r w:rsidRPr="001B5F20">
        <w:tab/>
      </w:r>
    </w:p>
  </w:footnote>
  <w:footnote w:id="293">
    <w:p w:rsidR="00474D51" w:rsidRPr="00084481" w:rsidRDefault="00474D51" w:rsidP="00324CD5">
      <w:pPr>
        <w:pStyle w:val="FootnoteText"/>
      </w:pPr>
      <w:r>
        <w:rPr>
          <w:rStyle w:val="FootnoteReference"/>
        </w:rPr>
        <w:footnoteRef/>
      </w:r>
      <w:r>
        <w:t xml:space="preserve"> </w:t>
      </w:r>
      <w:r>
        <w:rPr>
          <w:i/>
        </w:rPr>
        <w:t xml:space="preserve">See infra </w:t>
      </w:r>
      <w:r>
        <w:t xml:space="preserve">n. </w:t>
      </w:r>
      <w:r>
        <w:fldChar w:fldCharType="begin"/>
      </w:r>
      <w:r>
        <w:instrText xml:space="preserve"> NOTEREF _Ref446334557 \h </w:instrText>
      </w:r>
      <w:r>
        <w:fldChar w:fldCharType="separate"/>
      </w:r>
      <w:r w:rsidR="00327397">
        <w:t>321</w:t>
      </w:r>
      <w:r>
        <w:fldChar w:fldCharType="end"/>
      </w:r>
      <w:r>
        <w:t>.</w:t>
      </w:r>
    </w:p>
  </w:footnote>
  <w:footnote w:id="294">
    <w:p w:rsidR="00474D51" w:rsidRPr="001B5F20" w:rsidRDefault="00474D51" w:rsidP="00324CD5">
      <w:pPr>
        <w:pStyle w:val="FootnoteText"/>
      </w:pPr>
      <w:r w:rsidRPr="001B5F20">
        <w:rPr>
          <w:rStyle w:val="FootnoteReference"/>
        </w:rPr>
        <w:footnoteRef/>
      </w:r>
      <w:r w:rsidRPr="001B5F20">
        <w:t xml:space="preserve"> In the </w:t>
      </w:r>
      <w:r w:rsidRPr="00651B9D">
        <w:rPr>
          <w:i/>
        </w:rPr>
        <w:t>1998 CPNI Order</w:t>
      </w:r>
      <w:r w:rsidRPr="001B5F20">
        <w:t xml:space="preserve">, the Commission determined that different CPNI rules were not necessary for small or rural carriers and applied the CPNI rules adopted pursuant to </w:t>
      </w:r>
      <w:r>
        <w:t>Section</w:t>
      </w:r>
      <w:r w:rsidRPr="001B5F20">
        <w:t xml:space="preserve"> 222 equally to all carriers.</w:t>
      </w:r>
      <w:r>
        <w:t xml:space="preserve">  </w:t>
      </w:r>
      <w:r w:rsidRPr="004A72E7">
        <w:rPr>
          <w:i/>
        </w:rPr>
        <w:t>1998 CPNI Order</w:t>
      </w:r>
      <w:r>
        <w:rPr>
          <w:i/>
        </w:rPr>
        <w:t xml:space="preserve">, </w:t>
      </w:r>
      <w:r w:rsidRPr="001B5F20">
        <w:t xml:space="preserve">  13 FCC Rcd </w:t>
      </w:r>
      <w:r>
        <w:t xml:space="preserve">at </w:t>
      </w:r>
      <w:r w:rsidRPr="001B5F20">
        <w:t>8196, para. 194.</w:t>
      </w:r>
    </w:p>
  </w:footnote>
  <w:footnote w:id="295">
    <w:p w:rsidR="00474D51" w:rsidRDefault="00474D51" w:rsidP="00324CD5">
      <w:pPr>
        <w:pStyle w:val="FootnoteText"/>
      </w:pPr>
      <w:r>
        <w:rPr>
          <w:rStyle w:val="FootnoteReference"/>
        </w:rPr>
        <w:footnoteRef/>
      </w:r>
      <w:r>
        <w:t xml:space="preserve"> Pursuant to President Obama’s 2012 privacy blueprint</w:t>
      </w:r>
      <w:r w:rsidRPr="009F1BED">
        <w:t xml:space="preserve">, </w:t>
      </w:r>
      <w:r w:rsidRPr="00F719B2">
        <w:rPr>
          <w:i/>
        </w:rPr>
        <w:t>see</w:t>
      </w:r>
      <w:r w:rsidRPr="00F719B2">
        <w:t xml:space="preserve"> The White House, Consumer Data Privacy in a Networked World: A Framework for Protecting Privacy and Promoting Innovation in the Global Digital Economy (2012), </w:t>
      </w:r>
      <w:hyperlink r:id="rId66" w:history="1">
        <w:r w:rsidRPr="00F719B2">
          <w:rPr>
            <w:rStyle w:val="Hyperlink"/>
          </w:rPr>
          <w:t>https://www.whitehouse.gov/sites/default/files/privacy-final.pdf</w:t>
        </w:r>
      </w:hyperlink>
      <w:r w:rsidRPr="00F719B2">
        <w:rPr>
          <w:color w:val="FF0000"/>
        </w:rPr>
        <w:t xml:space="preserve"> </w:t>
      </w:r>
      <w:r w:rsidRPr="00F719B2">
        <w:t>(2012 White House Privacy Blueprint),</w:t>
      </w:r>
      <w:r w:rsidRPr="008E4041">
        <w:t xml:space="preserve"> </w:t>
      </w:r>
      <w:r>
        <w:t xml:space="preserve"> NTIA has convened stakeholders to develop industry best practices and codes of conduct for different issues within the NTIA’s purview, including privacy for mobile applications; commercial uses of facial recognition technology; and recently, privacy, accountability and transparency related to the commercial use of drones.  </w:t>
      </w:r>
      <w:r w:rsidRPr="00F719B2">
        <w:rPr>
          <w:i/>
        </w:rPr>
        <w:t>See</w:t>
      </w:r>
      <w:r>
        <w:t xml:space="preserve"> Press Release, National Telecommunications and Information Administration, </w:t>
      </w:r>
      <w:r w:rsidRPr="00F719B2">
        <w:t>NTIA Seeks Comment on Process for Developing Best Practices for Commercial and Private Use of Unmanned Aircraft Systems</w:t>
      </w:r>
      <w:r>
        <w:t xml:space="preserve"> (Mar. 4, 2015), </w:t>
      </w:r>
      <w:hyperlink r:id="rId67" w:history="1">
        <w:r w:rsidRPr="00A72E67">
          <w:rPr>
            <w:rStyle w:val="Hyperlink"/>
          </w:rPr>
          <w:t>https://www.ntia.doc.gov/press-release/2015/ntia-seeks-comment-process-developing-best-practices-commercial-and-private-use-u</w:t>
        </w:r>
      </w:hyperlink>
      <w:r>
        <w:t>.</w:t>
      </w:r>
      <w:r w:rsidRPr="007D709D" w:rsidDel="007D709D">
        <w:t xml:space="preserve"> </w:t>
      </w:r>
    </w:p>
  </w:footnote>
  <w:footnote w:id="296">
    <w:p w:rsidR="00474D51" w:rsidRPr="001B5F20" w:rsidRDefault="00474D51" w:rsidP="00324CD5">
      <w:pPr>
        <w:pStyle w:val="FootnoteText"/>
      </w:pPr>
      <w:r w:rsidRPr="001B5F20">
        <w:rPr>
          <w:rStyle w:val="FootnoteReference"/>
        </w:rPr>
        <w:footnoteRef/>
      </w:r>
      <w:r>
        <w:t xml:space="preserve"> </w:t>
      </w:r>
      <w:r w:rsidRPr="00EB4B7A">
        <w:rPr>
          <w:i/>
        </w:rPr>
        <w:t>See infra</w:t>
      </w:r>
      <w:r w:rsidRPr="001B5F20">
        <w:t xml:space="preserve"> </w:t>
      </w:r>
      <w:r>
        <w:t>Part. III.E.3.</w:t>
      </w:r>
    </w:p>
  </w:footnote>
  <w:footnote w:id="297">
    <w:p w:rsidR="00474D51" w:rsidRPr="001B5F20" w:rsidRDefault="00474D51" w:rsidP="00324CD5">
      <w:pPr>
        <w:pStyle w:val="FootnoteText"/>
      </w:pPr>
      <w:r w:rsidRPr="001B5F20">
        <w:rPr>
          <w:rStyle w:val="FootnoteReference"/>
        </w:rPr>
        <w:footnoteRef/>
      </w:r>
      <w:r w:rsidRPr="001B5F20">
        <w:t xml:space="preserve"> </w:t>
      </w:r>
      <w:r w:rsidRPr="004B223D">
        <w:rPr>
          <w:i/>
        </w:rPr>
        <w:t>See</w:t>
      </w:r>
      <w:r>
        <w:t xml:space="preserve"> 16</w:t>
      </w:r>
      <w:r w:rsidRPr="001B5F20">
        <w:t xml:space="preserve"> CFR § </w:t>
      </w:r>
      <w:r>
        <w:t xml:space="preserve">314.4(b); </w:t>
      </w:r>
      <w:r w:rsidRPr="00BB52B1">
        <w:rPr>
          <w:i/>
        </w:rPr>
        <w:t>see also</w:t>
      </w:r>
      <w:r>
        <w:t xml:space="preserve"> </w:t>
      </w:r>
      <w:r w:rsidRPr="001B5F20">
        <w:t>15 U.S.C. §§ 6801-6809.</w:t>
      </w:r>
    </w:p>
  </w:footnote>
  <w:footnote w:id="298">
    <w:p w:rsidR="00474D51" w:rsidRPr="001B5F20" w:rsidRDefault="00474D51" w:rsidP="00324CD5">
      <w:pPr>
        <w:pStyle w:val="FootnoteText"/>
      </w:pPr>
      <w:r w:rsidRPr="001B5F20">
        <w:rPr>
          <w:rStyle w:val="FootnoteReference"/>
        </w:rPr>
        <w:footnoteRef/>
      </w:r>
      <w:r w:rsidRPr="001B5F20">
        <w:t xml:space="preserve"> 45 CFR § 164.308(a)(1).</w:t>
      </w:r>
    </w:p>
  </w:footnote>
  <w:footnote w:id="299">
    <w:p w:rsidR="00474D51" w:rsidRPr="001B5F20" w:rsidRDefault="00474D51" w:rsidP="00324CD5">
      <w:pPr>
        <w:pStyle w:val="FootnoteText"/>
      </w:pPr>
      <w:r w:rsidRPr="001B5F20">
        <w:rPr>
          <w:rStyle w:val="FootnoteReference"/>
        </w:rPr>
        <w:footnoteRef/>
      </w:r>
      <w:r w:rsidRPr="001B5F20">
        <w:t xml:space="preserve"> </w:t>
      </w:r>
      <w:r w:rsidRPr="00BB52B1">
        <w:rPr>
          <w:i/>
        </w:rPr>
        <w:t>Id</w:t>
      </w:r>
      <w:r w:rsidRPr="00BB52B1">
        <w:t>. at § 164.308(a)(1)(ii)(A).</w:t>
      </w:r>
      <w:r w:rsidRPr="006D0D98">
        <w:t xml:space="preserve">  </w:t>
      </w:r>
      <w:r w:rsidRPr="00BB52B1">
        <w:rPr>
          <w:i/>
        </w:rPr>
        <w:t>See also</w:t>
      </w:r>
      <w:r w:rsidRPr="00BB52B1">
        <w:t xml:space="preserve"> N</w:t>
      </w:r>
      <w:r>
        <w:t xml:space="preserve">ational </w:t>
      </w:r>
      <w:r w:rsidRPr="00BB52B1">
        <w:t>I</w:t>
      </w:r>
      <w:r>
        <w:t xml:space="preserve">nstitute for </w:t>
      </w:r>
      <w:r w:rsidRPr="00BB52B1">
        <w:t>S</w:t>
      </w:r>
      <w:r>
        <w:t xml:space="preserve">tandards and </w:t>
      </w:r>
      <w:r w:rsidRPr="00BB52B1">
        <w:t>T</w:t>
      </w:r>
      <w:r>
        <w:t>echnology</w:t>
      </w:r>
      <w:r w:rsidRPr="00BB52B1">
        <w:t xml:space="preserve">, An Introductory Resource Guide for Implementing the Health Insurance Portability And Accountability Act (HIPAA) Security Rule at 15-17 (2008), </w:t>
      </w:r>
      <w:hyperlink r:id="rId68" w:history="1">
        <w:r w:rsidRPr="00BB52B1">
          <w:rPr>
            <w:rStyle w:val="Hyperlink"/>
          </w:rPr>
          <w:t>http://www.hhs.gov/sites/default/files/ocr/privacy/hipaa/administrative/securityrule/nist80066.pdf</w:t>
        </w:r>
      </w:hyperlink>
      <w:r w:rsidRPr="00BB52B1">
        <w:t xml:space="preserve"> (NIST HIPAA Implementation Guidance) (NIST guidance for HIPAA Security Rule risk </w:t>
      </w:r>
      <w:r w:rsidRPr="006D0D98">
        <w:t>analyses).</w:t>
      </w:r>
      <w:r>
        <w:t xml:space="preserve"> </w:t>
      </w:r>
    </w:p>
  </w:footnote>
  <w:footnote w:id="300">
    <w:p w:rsidR="00474D51" w:rsidRPr="001B5F20" w:rsidRDefault="00474D51" w:rsidP="00324CD5">
      <w:pPr>
        <w:pStyle w:val="FootnoteText"/>
      </w:pPr>
      <w:r w:rsidRPr="001B5F20">
        <w:rPr>
          <w:rStyle w:val="FootnoteReference"/>
        </w:rPr>
        <w:footnoteRef/>
      </w:r>
      <w:r>
        <w:t xml:space="preserve"> </w:t>
      </w:r>
      <w:r w:rsidRPr="00F719B2">
        <w:rPr>
          <w:i/>
        </w:rPr>
        <w:t>See</w:t>
      </w:r>
      <w:r>
        <w:t xml:space="preserve"> Department of </w:t>
      </w:r>
      <w:r w:rsidRPr="001B5F20">
        <w:t>H</w:t>
      </w:r>
      <w:r>
        <w:t>ealth and Human Services</w:t>
      </w:r>
      <w:r w:rsidRPr="001B5F20">
        <w:t xml:space="preserve">, </w:t>
      </w:r>
      <w:r w:rsidRPr="00F719B2">
        <w:t>Guidance on Risk Analysis Requirements under the HIPAA Security Rule</w:t>
      </w:r>
      <w:r>
        <w:t xml:space="preserve"> at 4-7</w:t>
      </w:r>
      <w:r w:rsidRPr="001B5F20">
        <w:t xml:space="preserve"> (2010), </w:t>
      </w:r>
      <w:hyperlink r:id="rId69" w:history="1">
        <w:r w:rsidRPr="00FA62FF">
          <w:rPr>
            <w:rStyle w:val="Hyperlink"/>
          </w:rPr>
          <w:t>http://www.hhs.gov/sites/default/files/</w:t>
        </w:r>
        <w:r w:rsidRPr="00D156A3">
          <w:rPr>
            <w:rStyle w:val="Hyperlink"/>
          </w:rPr>
          <w:t>ocr/privacy/hipaa/administrative/securityrule/rafinalguidancepdf.pdf</w:t>
        </w:r>
      </w:hyperlink>
      <w:r>
        <w:t xml:space="preserve"> </w:t>
      </w:r>
      <w:r w:rsidRPr="00FB1FCD">
        <w:t>(</w:t>
      </w:r>
      <w:r w:rsidRPr="00F719B2">
        <w:rPr>
          <w:rStyle w:val="Hyperlink"/>
          <w:color w:val="auto"/>
          <w:u w:val="none"/>
        </w:rPr>
        <w:t>explaining “several elements a risk analysis must incorporate, regardless of the method employed”</w:t>
      </w:r>
      <w:r w:rsidRPr="00FB1FCD">
        <w:rPr>
          <w:rStyle w:val="Hyperlink"/>
          <w:color w:val="auto"/>
          <w:u w:val="none"/>
        </w:rPr>
        <w:t>).</w:t>
      </w:r>
      <w:r>
        <w:rPr>
          <w:rStyle w:val="Hyperlink"/>
          <w:color w:val="auto"/>
          <w:u w:val="none"/>
        </w:rPr>
        <w:t xml:space="preserve">  </w:t>
      </w:r>
      <w:r>
        <w:t xml:space="preserve">This guidance is </w:t>
      </w:r>
      <w:r w:rsidRPr="001B5F20">
        <w:t>provided by the Centers for Medicare &amp; Medicaid Services, a part of the part of the Department of Health and Human Services (HHS)</w:t>
      </w:r>
      <w:r>
        <w:t xml:space="preserve">, for covered entities implementing HIPAA.  </w:t>
      </w:r>
      <w:r w:rsidRPr="00F719B2">
        <w:rPr>
          <w:i/>
        </w:rPr>
        <w:t xml:space="preserve">See also </w:t>
      </w:r>
      <w:r w:rsidRPr="00F719B2">
        <w:t>45 CFR § 164.308(a)(1)(ii)(A).</w:t>
      </w:r>
      <w:r>
        <w:t xml:space="preserve">  </w:t>
      </w:r>
    </w:p>
  </w:footnote>
  <w:footnote w:id="301">
    <w:p w:rsidR="00474D51" w:rsidRDefault="00474D51" w:rsidP="00324CD5">
      <w:pPr>
        <w:pStyle w:val="FootnoteText"/>
      </w:pPr>
      <w:r>
        <w:rPr>
          <w:rStyle w:val="FootnoteReference"/>
        </w:rPr>
        <w:footnoteRef/>
      </w:r>
      <w:r w:rsidRPr="00DA1FE0">
        <w:rPr>
          <w:i/>
        </w:rPr>
        <w:t>See</w:t>
      </w:r>
      <w:r>
        <w:t xml:space="preserve"> International Association of Privacy Professionals, IAPP-EY Annual Privacy Governance Report 2015 (2015), </w:t>
      </w:r>
      <w:r w:rsidRPr="00F35C8F">
        <w:t>https://iapp.org/media/pdf/resource_center/IAPP-EY_Privacy_Governance_Report_2015.pdf</w:t>
      </w:r>
      <w:r>
        <w:t>.</w:t>
      </w:r>
    </w:p>
  </w:footnote>
  <w:footnote w:id="302">
    <w:p w:rsidR="00474D51" w:rsidRPr="001B5F20" w:rsidRDefault="00474D51" w:rsidP="00324CD5">
      <w:pPr>
        <w:pStyle w:val="FootnoteText"/>
      </w:pPr>
      <w:r w:rsidRPr="001B5F20">
        <w:rPr>
          <w:rStyle w:val="FootnoteReference"/>
        </w:rPr>
        <w:footnoteRef/>
      </w:r>
      <w:r w:rsidRPr="001B5F20">
        <w:t xml:space="preserve"> </w:t>
      </w:r>
      <w:r w:rsidRPr="00CF6D70">
        <w:rPr>
          <w:i/>
        </w:rPr>
        <w:t>1998 CPNI Order</w:t>
      </w:r>
      <w:r>
        <w:t xml:space="preserve">, </w:t>
      </w:r>
      <w:r w:rsidRPr="001B5F20">
        <w:t xml:space="preserve">13 FCC Rcd </w:t>
      </w:r>
      <w:r>
        <w:t xml:space="preserve">at </w:t>
      </w:r>
      <w:r w:rsidRPr="001B5F20">
        <w:t>8198, para. 198</w:t>
      </w:r>
      <w:r>
        <w:t xml:space="preserve">; </w:t>
      </w:r>
      <w:r w:rsidRPr="008E4041">
        <w:rPr>
          <w:i/>
        </w:rPr>
        <w:t>see also</w:t>
      </w:r>
      <w:r w:rsidRPr="00D8258B">
        <w:t xml:space="preserve"> 47 CFR </w:t>
      </w:r>
      <w:r w:rsidRPr="008E4041">
        <w:t>§ 64.2009(b</w:t>
      </w:r>
      <w:r>
        <w:t>).</w:t>
      </w:r>
    </w:p>
  </w:footnote>
  <w:footnote w:id="303">
    <w:p w:rsidR="00474D51" w:rsidRPr="001B5F20" w:rsidRDefault="00474D51" w:rsidP="00324CD5">
      <w:pPr>
        <w:pStyle w:val="FootnoteText"/>
      </w:pPr>
      <w:r w:rsidRPr="001B5F20">
        <w:rPr>
          <w:rStyle w:val="FootnoteReference"/>
        </w:rPr>
        <w:footnoteRef/>
      </w:r>
      <w:r w:rsidRPr="001B5F20">
        <w:t xml:space="preserve"> </w:t>
      </w:r>
      <w:r w:rsidRPr="004A72E7">
        <w:rPr>
          <w:i/>
        </w:rPr>
        <w:t>1998 CPNI Order</w:t>
      </w:r>
      <w:r>
        <w:t xml:space="preserve">, </w:t>
      </w:r>
      <w:r w:rsidRPr="001B5F20">
        <w:t xml:space="preserve">13 FCC Rcd </w:t>
      </w:r>
      <w:r>
        <w:t xml:space="preserve">at </w:t>
      </w:r>
      <w:r w:rsidRPr="001B5F20">
        <w:t>8198, para. 198</w:t>
      </w:r>
      <w:r>
        <w:t xml:space="preserve">; </w:t>
      </w:r>
      <w:r w:rsidRPr="004B223D">
        <w:rPr>
          <w:i/>
        </w:rPr>
        <w:t>see also</w:t>
      </w:r>
      <w:r>
        <w:t xml:space="preserve"> </w:t>
      </w:r>
      <w:r w:rsidRPr="008E4041">
        <w:rPr>
          <w:i/>
        </w:rPr>
        <w:t>id</w:t>
      </w:r>
      <w:r w:rsidRPr="00D8258B">
        <w:t xml:space="preserve">. at </w:t>
      </w:r>
      <w:r w:rsidRPr="008E4041">
        <w:t>A</w:t>
      </w:r>
      <w:r w:rsidRPr="00D8258B">
        <w:t>ppx. B (codifying</w:t>
      </w:r>
      <w:r w:rsidRPr="008E4041">
        <w:t xml:space="preserve"> the</w:t>
      </w:r>
      <w:r w:rsidRPr="00D8258B">
        <w:t xml:space="preserve"> personnel training safeguard at 47 </w:t>
      </w:r>
      <w:r w:rsidRPr="008E4041">
        <w:t>CFR § 64.2009(b)</w:t>
      </w:r>
      <w:r>
        <w:t xml:space="preserve">). </w:t>
      </w:r>
    </w:p>
  </w:footnote>
  <w:footnote w:id="304">
    <w:p w:rsidR="00474D51" w:rsidRPr="001B5F20" w:rsidRDefault="00474D51" w:rsidP="00324CD5">
      <w:pPr>
        <w:pStyle w:val="FootnoteText"/>
      </w:pPr>
      <w:r w:rsidRPr="001B5F20">
        <w:rPr>
          <w:rStyle w:val="FootnoteReference"/>
        </w:rPr>
        <w:footnoteRef/>
      </w:r>
      <w:r w:rsidRPr="001B5F20">
        <w:t xml:space="preserve"> </w:t>
      </w:r>
      <w:r w:rsidRPr="001B5F20">
        <w:rPr>
          <w:i/>
        </w:rPr>
        <w:t>AT&amp;</w:t>
      </w:r>
      <w:r>
        <w:rPr>
          <w:i/>
        </w:rPr>
        <w:t>T Consent Decree</w:t>
      </w:r>
      <w:r w:rsidRPr="001B5F20">
        <w:t xml:space="preserve">, 30 FCC Rcd </w:t>
      </w:r>
      <w:r>
        <w:t>at 2808</w:t>
      </w:r>
      <w:r w:rsidRPr="001B5F20">
        <w:t xml:space="preserve">, para. </w:t>
      </w:r>
      <w:r>
        <w:t xml:space="preserve">2; </w:t>
      </w:r>
      <w:r w:rsidRPr="00F45F22">
        <w:rPr>
          <w:i/>
        </w:rPr>
        <w:t>see also id</w:t>
      </w:r>
      <w:r>
        <w:t xml:space="preserve">. at 2817-18, para. 18(g); </w:t>
      </w:r>
      <w:r w:rsidRPr="00F45F22">
        <w:rPr>
          <w:i/>
        </w:rPr>
        <w:t>Cox Consent Decree</w:t>
      </w:r>
      <w:r>
        <w:t>, 30 FCC Rcd at 12303, para. 4.</w:t>
      </w:r>
    </w:p>
  </w:footnote>
  <w:footnote w:id="305">
    <w:p w:rsidR="00474D51" w:rsidRPr="001B5F20" w:rsidRDefault="00474D51" w:rsidP="00324CD5">
      <w:pPr>
        <w:pStyle w:val="FootnoteText"/>
      </w:pPr>
      <w:r w:rsidRPr="001B5F20">
        <w:rPr>
          <w:rStyle w:val="FootnoteReference"/>
        </w:rPr>
        <w:footnoteRef/>
      </w:r>
      <w:r w:rsidRPr="001B5F20">
        <w:t xml:space="preserve"> </w:t>
      </w:r>
      <w:r w:rsidRPr="00F719B2">
        <w:rPr>
          <w:i/>
        </w:rPr>
        <w:t>See</w:t>
      </w:r>
      <w:r>
        <w:t xml:space="preserve"> </w:t>
      </w:r>
      <w:r w:rsidRPr="001B5F20">
        <w:t xml:space="preserve">16 CFR </w:t>
      </w:r>
      <w:r w:rsidRPr="001B5F20">
        <w:rPr>
          <w:color w:val="000000"/>
          <w:shd w:val="clear" w:color="auto" w:fill="FFFFFF"/>
        </w:rPr>
        <w:t xml:space="preserve">§ </w:t>
      </w:r>
      <w:r w:rsidRPr="001B5F20">
        <w:t>314</w:t>
      </w:r>
      <w:r>
        <w:t>.4(b)(1), (d)</w:t>
      </w:r>
      <w:r w:rsidRPr="001B5F20">
        <w:t>.</w:t>
      </w:r>
    </w:p>
  </w:footnote>
  <w:footnote w:id="306">
    <w:p w:rsidR="00474D51" w:rsidRDefault="00474D51" w:rsidP="00324CD5">
      <w:pPr>
        <w:pStyle w:val="FootnoteText"/>
      </w:pPr>
      <w:r>
        <w:rPr>
          <w:rStyle w:val="FootnoteReference"/>
        </w:rPr>
        <w:footnoteRef/>
      </w:r>
      <w:r>
        <w:t xml:space="preserve"> For example, HIPAA rules require training for </w:t>
      </w:r>
      <w:r w:rsidRPr="00DB26B6">
        <w:t xml:space="preserve">all members of </w:t>
      </w:r>
      <w:r>
        <w:t xml:space="preserve">a covered entity’s </w:t>
      </w:r>
      <w:r w:rsidRPr="00DB26B6">
        <w:t xml:space="preserve">workforce on the policies and procedures </w:t>
      </w:r>
      <w:r>
        <w:t>relating to</w:t>
      </w:r>
      <w:r w:rsidRPr="00DB26B6">
        <w:t xml:space="preserve"> protected health information</w:t>
      </w:r>
      <w:r>
        <w:t xml:space="preserve">, with sanctions applied for members of the workforce who fail to comply with the covered entity’s privacy policies and procedures.  </w:t>
      </w:r>
      <w:r w:rsidRPr="001B5F20">
        <w:t xml:space="preserve">45 CFR </w:t>
      </w:r>
      <w:r w:rsidRPr="001B5F20">
        <w:rPr>
          <w:color w:val="000000"/>
          <w:shd w:val="clear" w:color="auto" w:fill="FFFFFF"/>
        </w:rPr>
        <w:t xml:space="preserve">§ 164.530(b), (e). </w:t>
      </w:r>
      <w:r>
        <w:t xml:space="preserve"> In addition to this training requirement, HIPAA rules also include administrative safeguards which require covered entities to “[i]</w:t>
      </w:r>
      <w:r w:rsidRPr="00E120DE">
        <w:t>mplement a security awareness and training program for all members of its workforce (including management).</w:t>
      </w:r>
      <w:r>
        <w:t xml:space="preserve">”  </w:t>
      </w:r>
      <w:r w:rsidRPr="001B5F20">
        <w:t xml:space="preserve">45 CFR </w:t>
      </w:r>
      <w:r w:rsidRPr="001B5F20">
        <w:rPr>
          <w:color w:val="000000"/>
          <w:shd w:val="clear" w:color="auto" w:fill="FFFFFF"/>
        </w:rPr>
        <w:t>§ 164.308(a)(5)</w:t>
      </w:r>
      <w:r>
        <w:rPr>
          <w:color w:val="000000"/>
          <w:shd w:val="clear" w:color="auto" w:fill="FFFFFF"/>
        </w:rPr>
        <w:t>(i)</w:t>
      </w:r>
      <w:r w:rsidRPr="001B5F20">
        <w:rPr>
          <w:color w:val="000000"/>
          <w:shd w:val="clear" w:color="auto" w:fill="FFFFFF"/>
        </w:rPr>
        <w:t xml:space="preserve">. </w:t>
      </w:r>
    </w:p>
  </w:footnote>
  <w:footnote w:id="307">
    <w:p w:rsidR="00474D51" w:rsidRPr="001B5F20" w:rsidRDefault="00474D51" w:rsidP="00324CD5">
      <w:pPr>
        <w:pStyle w:val="FootnoteText"/>
      </w:pPr>
      <w:r w:rsidRPr="001B5F20">
        <w:rPr>
          <w:rStyle w:val="FootnoteReference"/>
        </w:rPr>
        <w:footnoteRef/>
      </w:r>
      <w:r w:rsidRPr="001B5F20">
        <w:t xml:space="preserve"> The HIPAA Privacy Rule </w:t>
      </w:r>
      <w:r>
        <w:t>requires t</w:t>
      </w:r>
      <w:r w:rsidRPr="001B5F20">
        <w:t xml:space="preserve">raining be provided to </w:t>
      </w:r>
      <w:r>
        <w:t xml:space="preserve">new employees </w:t>
      </w:r>
      <w:r w:rsidRPr="001B5F20">
        <w:t xml:space="preserve">“within a </w:t>
      </w:r>
      <w:r w:rsidRPr="00115389">
        <w:t>reasonable</w:t>
      </w:r>
      <w:r w:rsidRPr="001B5F20">
        <w:t xml:space="preserve"> period of time after the person joins the covered entity’s workforce” and</w:t>
      </w:r>
      <w:r>
        <w:t xml:space="preserve"> to affected employees</w:t>
      </w:r>
      <w:r w:rsidRPr="001B5F20">
        <w:t xml:space="preserve"> “within a reasonable period of time after </w:t>
      </w:r>
      <w:r>
        <w:t>[any</w:t>
      </w:r>
      <w:r w:rsidRPr="001B5F20">
        <w:t xml:space="preserve"> material change</w:t>
      </w:r>
      <w:r>
        <w:t xml:space="preserve"> in the policy]</w:t>
      </w:r>
      <w:r w:rsidRPr="001B5F20">
        <w:t xml:space="preserve"> becomes effective.”  45 CFR §164.530(b)(2)</w:t>
      </w:r>
      <w:r>
        <w:t>(B), (C)</w:t>
      </w:r>
      <w:r w:rsidRPr="001B5F20">
        <w:t xml:space="preserve">.  </w:t>
      </w:r>
      <w:r>
        <w:t>The</w:t>
      </w:r>
      <w:r w:rsidRPr="001B5F20">
        <w:t xml:space="preserve"> HIPAA Security Rule requires the security awareness and training program that includes “periodic” security updates, but does not quantify “periodic.” </w:t>
      </w:r>
      <w:r>
        <w:t xml:space="preserve"> </w:t>
      </w:r>
      <w:r w:rsidRPr="001B5F20">
        <w:t>45 CFR §164.308(a)(5)(i</w:t>
      </w:r>
      <w:r>
        <w:t>i</w:t>
      </w:r>
      <w:r w:rsidRPr="001B5F20">
        <w:t>)</w:t>
      </w:r>
      <w:r>
        <w:t>(A)</w:t>
      </w:r>
      <w:r w:rsidRPr="001B5F20">
        <w:t xml:space="preserve">. </w:t>
      </w:r>
    </w:p>
  </w:footnote>
  <w:footnote w:id="308">
    <w:p w:rsidR="00474D51" w:rsidRDefault="00474D51" w:rsidP="00324CD5">
      <w:pPr>
        <w:pStyle w:val="FootnoteText"/>
      </w:pPr>
      <w:r>
        <w:rPr>
          <w:rStyle w:val="FootnoteReference"/>
        </w:rPr>
        <w:footnoteRef/>
      </w:r>
      <w:r>
        <w:t xml:space="preserve"> </w:t>
      </w:r>
      <w:r w:rsidRPr="004B223D">
        <w:rPr>
          <w:i/>
        </w:rPr>
        <w:t>See</w:t>
      </w:r>
      <w:r>
        <w:t xml:space="preserve"> 45 CFR § 164.308(a)(2); </w:t>
      </w:r>
      <w:r w:rsidRPr="004B223D">
        <w:rPr>
          <w:i/>
        </w:rPr>
        <w:t>see also</w:t>
      </w:r>
      <w:r>
        <w:t xml:space="preserve"> 16 CFR § 314.4(a) (GLBA implementing rule that requires a covered financial institution to “[d]esignate an employee or employees to coordinate [its] information security program.”). </w:t>
      </w:r>
    </w:p>
  </w:footnote>
  <w:footnote w:id="309">
    <w:p w:rsidR="00474D51" w:rsidRPr="001B5F20" w:rsidRDefault="00474D51" w:rsidP="00324CD5">
      <w:pPr>
        <w:pStyle w:val="FootnoteText"/>
      </w:pPr>
      <w:r w:rsidRPr="001B5F20">
        <w:rPr>
          <w:rStyle w:val="FootnoteReference"/>
        </w:rPr>
        <w:footnoteRef/>
      </w:r>
      <w:r w:rsidRPr="001B5F20">
        <w:t xml:space="preserve"> </w:t>
      </w:r>
      <w:r w:rsidRPr="004A72E7">
        <w:rPr>
          <w:i/>
        </w:rPr>
        <w:t>1998 CPNI Order</w:t>
      </w:r>
      <w:r>
        <w:t xml:space="preserve">, </w:t>
      </w:r>
      <w:r w:rsidRPr="001B5F20">
        <w:t xml:space="preserve">13 FCC Rcd </w:t>
      </w:r>
      <w:r>
        <w:t xml:space="preserve">at </w:t>
      </w:r>
      <w:r w:rsidRPr="001B5F20">
        <w:t>8199</w:t>
      </w:r>
      <w:r>
        <w:t>,</w:t>
      </w:r>
      <w:r w:rsidRPr="001B5F20">
        <w:t xml:space="preserve"> para. 201</w:t>
      </w:r>
      <w:r>
        <w:t xml:space="preserve">; </w:t>
      </w:r>
      <w:r w:rsidRPr="008E4041">
        <w:rPr>
          <w:i/>
        </w:rPr>
        <w:t>see also</w:t>
      </w:r>
      <w:r w:rsidRPr="00D8258B">
        <w:t xml:space="preserve"> 4</w:t>
      </w:r>
      <w:r w:rsidRPr="008E4041">
        <w:t>7 CFR § 64.2009(e</w:t>
      </w:r>
      <w:r>
        <w:t>)</w:t>
      </w:r>
      <w:r w:rsidRPr="001B5F20">
        <w:t xml:space="preserve">. </w:t>
      </w:r>
    </w:p>
  </w:footnote>
  <w:footnote w:id="310">
    <w:p w:rsidR="00474D51" w:rsidRDefault="00474D51" w:rsidP="00324CD5">
      <w:pPr>
        <w:pStyle w:val="FootnoteText"/>
      </w:pPr>
      <w:r>
        <w:rPr>
          <w:rStyle w:val="FootnoteReference"/>
        </w:rPr>
        <w:footnoteRef/>
      </w:r>
      <w:r>
        <w:t xml:space="preserve"> </w:t>
      </w:r>
      <w:r w:rsidRPr="004A72E7">
        <w:rPr>
          <w:i/>
        </w:rPr>
        <w:t>1998 CPNI Order</w:t>
      </w:r>
      <w:r>
        <w:t xml:space="preserve">, </w:t>
      </w:r>
      <w:r w:rsidRPr="001B5F20">
        <w:t xml:space="preserve">13 FCC Rcd </w:t>
      </w:r>
      <w:r>
        <w:t xml:space="preserve">at </w:t>
      </w:r>
      <w:r w:rsidRPr="001B5F20">
        <w:t>8199</w:t>
      </w:r>
      <w:r>
        <w:t>,</w:t>
      </w:r>
      <w:r w:rsidRPr="001B5F20">
        <w:t xml:space="preserve"> para. 201.</w:t>
      </w:r>
    </w:p>
  </w:footnote>
  <w:footnote w:id="311">
    <w:p w:rsidR="00474D51" w:rsidRPr="001B5F20" w:rsidRDefault="00474D51" w:rsidP="00324CD5">
      <w:pPr>
        <w:pStyle w:val="FootnoteText"/>
      </w:pPr>
      <w:r w:rsidRPr="001B5F20">
        <w:rPr>
          <w:rStyle w:val="FootnoteReference"/>
        </w:rPr>
        <w:footnoteRef/>
      </w:r>
      <w:r w:rsidRPr="001B5F20">
        <w:t xml:space="preserve"> The right of access is a fundamental privacy principle, and is featured in a wide array of legal and conceptual frameworks concerning consumer privacy.  </w:t>
      </w:r>
      <w:r w:rsidRPr="001B5F20">
        <w:rPr>
          <w:i/>
        </w:rPr>
        <w:t>See</w:t>
      </w:r>
      <w:r>
        <w:rPr>
          <w:i/>
        </w:rPr>
        <w:t xml:space="preserve"> supra </w:t>
      </w:r>
      <w:r w:rsidRPr="00DF758F">
        <w:t>n</w:t>
      </w:r>
      <w:r>
        <w:rPr>
          <w:i/>
        </w:rPr>
        <w:t>.</w:t>
      </w:r>
      <w:r w:rsidRPr="004D72C6">
        <w:fldChar w:fldCharType="begin"/>
      </w:r>
      <w:r w:rsidRPr="004D72C6">
        <w:instrText xml:space="preserve"> NOTEREF _Ref446334682 \h  \* MERGEFORMAT </w:instrText>
      </w:r>
      <w:r w:rsidRPr="004D72C6">
        <w:fldChar w:fldCharType="separate"/>
      </w:r>
      <w:r w:rsidR="00327397">
        <w:t>282</w:t>
      </w:r>
      <w:r w:rsidRPr="004D72C6">
        <w:fldChar w:fldCharType="end"/>
      </w:r>
      <w:r>
        <w:t xml:space="preserve">; </w:t>
      </w:r>
      <w:r w:rsidRPr="001B5F20">
        <w:t>5 U.S.C. § 552a</w:t>
      </w:r>
      <w:r>
        <w:t xml:space="preserve">(d); </w:t>
      </w:r>
      <w:r w:rsidR="00B5038C">
        <w:t>47 U.S.C. §§ 551(d),</w:t>
      </w:r>
      <w:r w:rsidRPr="001B5F20">
        <w:t xml:space="preserve"> 338(i)(5).  </w:t>
      </w:r>
    </w:p>
  </w:footnote>
  <w:footnote w:id="312">
    <w:p w:rsidR="00474D51" w:rsidRPr="001B5F20" w:rsidRDefault="00474D51" w:rsidP="00324CD5">
      <w:pPr>
        <w:pStyle w:val="FootnoteText"/>
      </w:pPr>
      <w:r w:rsidRPr="001B5F20">
        <w:rPr>
          <w:rStyle w:val="FootnoteReference"/>
        </w:rPr>
        <w:footnoteRef/>
      </w:r>
      <w:r w:rsidRPr="001B5F20">
        <w:t xml:space="preserve"> Authentication requirements exist in a variety of privacy contexts to protect and secure customer data from unauthorized access.  For example, GLBA</w:t>
      </w:r>
      <w:r>
        <w:t xml:space="preserve"> </w:t>
      </w:r>
      <w:r w:rsidRPr="001B5F20">
        <w:t xml:space="preserve">calls for financial institutions to “protect against unauthorized access to or use of such records or information which could result in substantial harm or inconvenience to any customer.”  15 U.S.C. § 6801(b)(3). </w:t>
      </w:r>
      <w:r>
        <w:t xml:space="preserve"> The</w:t>
      </w:r>
      <w:r w:rsidRPr="001B5F20">
        <w:t xml:space="preserve"> HIP</w:t>
      </w:r>
      <w:r>
        <w:t>A</w:t>
      </w:r>
      <w:r w:rsidRPr="001B5F20">
        <w:t xml:space="preserve">A </w:t>
      </w:r>
      <w:r>
        <w:t xml:space="preserve">Security Rule </w:t>
      </w:r>
      <w:r w:rsidRPr="001B5F20">
        <w:t xml:space="preserve">requires a covered entity to “[i]mplement procedures to verify that a person or entity seeking access to electronic protected health information is the one claimed.”  45 </w:t>
      </w:r>
      <w:r>
        <w:t>CFR</w:t>
      </w:r>
      <w:r w:rsidRPr="001B5F20">
        <w:t xml:space="preserve"> § 164.312(d).  Guidance </w:t>
      </w:r>
      <w:r>
        <w:t xml:space="preserve">developed to implement this requirement </w:t>
      </w:r>
      <w:r w:rsidRPr="001B5F20">
        <w:t>recommends that covered entities verify that the individual attempting to access information is who they claim to be by providing proof of identity through any one of the following authentication measures:  a password or PIN; a smart card, token, or access key; or biometric authentication (fingerprints, voice patterns, etc.).</w:t>
      </w:r>
      <w:r>
        <w:t xml:space="preserve">  </w:t>
      </w:r>
      <w:r w:rsidRPr="008E4041">
        <w:t xml:space="preserve">NIST HIPAA Implementation Guidance </w:t>
      </w:r>
      <w:r w:rsidRPr="00D8258B">
        <w:t>at 46</w:t>
      </w:r>
      <w:r>
        <w:t>.</w:t>
      </w:r>
    </w:p>
  </w:footnote>
  <w:footnote w:id="313">
    <w:p w:rsidR="00474D51" w:rsidRDefault="00474D51" w:rsidP="00324CD5">
      <w:pPr>
        <w:pStyle w:val="FootnoteText"/>
      </w:pPr>
      <w:r>
        <w:rPr>
          <w:rStyle w:val="FootnoteReference"/>
        </w:rPr>
        <w:footnoteRef/>
      </w:r>
      <w:r>
        <w:t xml:space="preserve"> </w:t>
      </w:r>
      <w:r w:rsidRPr="00B07699">
        <w:rPr>
          <w:i/>
        </w:rPr>
        <w:t>See infra</w:t>
      </w:r>
      <w:r>
        <w:t xml:space="preserve"> para. </w:t>
      </w:r>
      <w:r>
        <w:fldChar w:fldCharType="begin"/>
      </w:r>
      <w:r>
        <w:instrText xml:space="preserve"> REF _Ref446334812 \r \h </w:instrText>
      </w:r>
      <w:r>
        <w:fldChar w:fldCharType="separate"/>
      </w:r>
      <w:r w:rsidR="00327397">
        <w:t>195</w:t>
      </w:r>
      <w:r>
        <w:fldChar w:fldCharType="end"/>
      </w:r>
      <w:r>
        <w:t>.</w:t>
      </w:r>
    </w:p>
  </w:footnote>
  <w:footnote w:id="314">
    <w:p w:rsidR="00474D51" w:rsidRPr="001B5F20" w:rsidRDefault="00474D51" w:rsidP="00324CD5">
      <w:pPr>
        <w:pStyle w:val="FootnoteText"/>
      </w:pPr>
      <w:r w:rsidRPr="001B5F20">
        <w:rPr>
          <w:rStyle w:val="FootnoteReference"/>
        </w:rPr>
        <w:footnoteRef/>
      </w:r>
      <w:r w:rsidRPr="001B5F20">
        <w:t xml:space="preserve"> </w:t>
      </w:r>
      <w:r w:rsidRPr="00F719B2">
        <w:rPr>
          <w:i/>
        </w:rPr>
        <w:t>See</w:t>
      </w:r>
      <w:r>
        <w:rPr>
          <w:i/>
        </w:rPr>
        <w:t xml:space="preserve"> generally </w:t>
      </w:r>
      <w:r>
        <w:t xml:space="preserve">NIST Special Publication 800-63-2, Electronic Authentication Guidelines, </w:t>
      </w:r>
      <w:hyperlink r:id="rId70" w:history="1">
        <w:r>
          <w:rPr>
            <w:rStyle w:val="Hyperlink"/>
          </w:rPr>
          <w:t>http://nvlpubs.nist.gov/nistpubs/SpecialPublications/NIST.SP.800-63-2.pdf</w:t>
        </w:r>
      </w:hyperlink>
      <w:r w:rsidRPr="001B5F20">
        <w:t xml:space="preserve">. </w:t>
      </w:r>
    </w:p>
  </w:footnote>
  <w:footnote w:id="315">
    <w:p w:rsidR="00474D51" w:rsidRDefault="00474D51" w:rsidP="00324CD5">
      <w:pPr>
        <w:pStyle w:val="FootnoteText"/>
      </w:pPr>
      <w:r>
        <w:rPr>
          <w:rStyle w:val="FootnoteReference"/>
        </w:rPr>
        <w:footnoteRef/>
      </w:r>
      <w:r>
        <w:t xml:space="preserve"> </w:t>
      </w:r>
      <w:r w:rsidRPr="005B5D3E">
        <w:t xml:space="preserve">2012 FTC Privacy Report 68; </w:t>
      </w:r>
      <w:r w:rsidRPr="005B5D3E">
        <w:rPr>
          <w:i/>
        </w:rPr>
        <w:t>see also id</w:t>
      </w:r>
      <w:r w:rsidRPr="005B5D3E">
        <w:t xml:space="preserve">. at 25; PCI Security Standards Council, Maintaining Payment Security, </w:t>
      </w:r>
      <w:hyperlink r:id="rId71" w:history="1">
        <w:r w:rsidRPr="005B5D3E">
          <w:rPr>
            <w:rStyle w:val="Hyperlink"/>
          </w:rPr>
          <w:t>https://www.pcisecuritystandards.org/pci_security/maintaining_payment_security</w:t>
        </w:r>
      </w:hyperlink>
      <w:r w:rsidRPr="005B5D3E">
        <w:t xml:space="preserve"> (last visited Mar. 8, 2016) (“Payment security is paramount for every merchant, financial institution or other entity that stores, processes or transmits cardholder data.”).</w:t>
      </w:r>
    </w:p>
  </w:footnote>
  <w:footnote w:id="316">
    <w:p w:rsidR="00474D51" w:rsidRPr="001B5F20" w:rsidRDefault="00474D51" w:rsidP="00324CD5">
      <w:pPr>
        <w:pStyle w:val="FootnoteText"/>
      </w:pPr>
      <w:r w:rsidRPr="001B5F20">
        <w:rPr>
          <w:rStyle w:val="FootnoteReference"/>
        </w:rPr>
        <w:footnoteRef/>
      </w:r>
      <w:r w:rsidRPr="001B5F20">
        <w:t xml:space="preserve"> </w:t>
      </w:r>
      <w:r>
        <w:t xml:space="preserve">The White House, </w:t>
      </w:r>
      <w:r w:rsidRPr="001B5F20">
        <w:t>National Strategy for Trusted Identities in Cyberspace</w:t>
      </w:r>
      <w:r>
        <w:t>: Enhancing Online Choice, Efficiency, Security, and Privacy</w:t>
      </w:r>
      <w:r w:rsidRPr="001B5F20">
        <w:t xml:space="preserve"> at 30 (2011), </w:t>
      </w:r>
      <w:hyperlink r:id="rId72" w:history="1">
        <w:r w:rsidRPr="001B5F20">
          <w:rPr>
            <w:rStyle w:val="Hyperlink"/>
          </w:rPr>
          <w:t>https://www.whitehouse.gov/sites/default/files/rss_viewer/NSTICstrategy_041511.pdf</w:t>
        </w:r>
      </w:hyperlink>
      <w:r w:rsidRPr="001B5F20">
        <w:t xml:space="preserve">. </w:t>
      </w:r>
    </w:p>
  </w:footnote>
  <w:footnote w:id="317">
    <w:p w:rsidR="00474D51" w:rsidRPr="001B5F20" w:rsidRDefault="00474D51" w:rsidP="00324CD5">
      <w:pPr>
        <w:pStyle w:val="FootnoteText"/>
      </w:pPr>
      <w:r w:rsidRPr="001B5F20">
        <w:rPr>
          <w:rStyle w:val="FootnoteReference"/>
        </w:rPr>
        <w:footnoteRef/>
      </w:r>
      <w:r w:rsidRPr="001B5F20">
        <w:t xml:space="preserve"> </w:t>
      </w:r>
      <w:r w:rsidRPr="00B07699">
        <w:rPr>
          <w:i/>
        </w:rPr>
        <w:t>See, e.g.</w:t>
      </w:r>
      <w:r>
        <w:t xml:space="preserve">, </w:t>
      </w:r>
      <w:r w:rsidRPr="001B5F20">
        <w:t xml:space="preserve">Michael Zimmerman, Biometrics and User Authentication, SANS Institute InfoSec Reading Room (2002), </w:t>
      </w:r>
      <w:hyperlink r:id="rId73" w:history="1">
        <w:r w:rsidRPr="001B5F20">
          <w:rPr>
            <w:rStyle w:val="Hyperlink"/>
          </w:rPr>
          <w:t>http://www.sans.org/reading-room/whitepapers/authentication/biometrics-user-authentication-122</w:t>
        </w:r>
      </w:hyperlink>
      <w:r w:rsidRPr="001B5F20">
        <w:t xml:space="preserve">; Russell Kay, </w:t>
      </w:r>
      <w:r w:rsidRPr="00F45F22">
        <w:rPr>
          <w:i/>
        </w:rPr>
        <w:t>Biometric Authentication</w:t>
      </w:r>
      <w:r w:rsidRPr="001B5F20">
        <w:t>, Computer World</w:t>
      </w:r>
      <w:r>
        <w:t>, Apr. 4, 2005,</w:t>
      </w:r>
      <w:r w:rsidRPr="001B5F20">
        <w:t xml:space="preserve">   </w:t>
      </w:r>
      <w:hyperlink r:id="rId74" w:history="1">
        <w:r w:rsidRPr="001B5F20">
          <w:rPr>
            <w:rStyle w:val="Hyperlink"/>
          </w:rPr>
          <w:t>http://www.computerworld.com/article/2556908/security0/biometric-authentication.html</w:t>
        </w:r>
      </w:hyperlink>
      <w:r w:rsidRPr="001B5F20">
        <w:t xml:space="preserve">.  </w:t>
      </w:r>
    </w:p>
  </w:footnote>
  <w:footnote w:id="318">
    <w:p w:rsidR="00474D51" w:rsidRPr="001B5F20" w:rsidRDefault="00474D51" w:rsidP="00324CD5">
      <w:pPr>
        <w:pStyle w:val="FootnoteText"/>
      </w:pPr>
      <w:r w:rsidRPr="001B5F20">
        <w:rPr>
          <w:rStyle w:val="FootnoteReference"/>
        </w:rPr>
        <w:footnoteRef/>
      </w:r>
      <w:r w:rsidRPr="001B5F20">
        <w:t xml:space="preserve"> </w:t>
      </w:r>
      <w:r w:rsidRPr="00440FAA">
        <w:rPr>
          <w:i/>
        </w:rPr>
        <w:t>See</w:t>
      </w:r>
      <w:r>
        <w:t xml:space="preserve"> </w:t>
      </w:r>
      <w:r w:rsidRPr="00440FAA">
        <w:t>47</w:t>
      </w:r>
      <w:r w:rsidRPr="001B5F20">
        <w:t xml:space="preserve"> CFR § 64.2010(b)-(c)</w:t>
      </w:r>
      <w:r>
        <w:t>;</w:t>
      </w:r>
      <w:r w:rsidRPr="001B5F20">
        <w:rPr>
          <w:i/>
        </w:rPr>
        <w:t xml:space="preserve"> 2007 CPNI Order</w:t>
      </w:r>
      <w:r>
        <w:t xml:space="preserve">, </w:t>
      </w:r>
      <w:r w:rsidRPr="008E4041">
        <w:t>22 FCC Rcd at</w:t>
      </w:r>
      <w:r w:rsidRPr="0090380F">
        <w:t xml:space="preserve"> 6936-41</w:t>
      </w:r>
      <w:r>
        <w:t>,</w:t>
      </w:r>
      <w:r w:rsidRPr="0090380F">
        <w:t xml:space="preserve"> paras. 13-2</w:t>
      </w:r>
      <w:r w:rsidRPr="008E4041">
        <w:t>2</w:t>
      </w:r>
      <w:r w:rsidRPr="001B5F20">
        <w:t xml:space="preserve">. </w:t>
      </w:r>
    </w:p>
  </w:footnote>
  <w:footnote w:id="319">
    <w:p w:rsidR="00474D51" w:rsidRPr="001B5F20" w:rsidRDefault="00474D51" w:rsidP="00324CD5">
      <w:pPr>
        <w:pStyle w:val="FootnoteText"/>
      </w:pPr>
      <w:r w:rsidRPr="001B5F20">
        <w:rPr>
          <w:rStyle w:val="FootnoteReference"/>
        </w:rPr>
        <w:footnoteRef/>
      </w:r>
      <w:r w:rsidRPr="001B5F20">
        <w:t xml:space="preserve"> </w:t>
      </w:r>
      <w:r w:rsidRPr="001B5F20">
        <w:rPr>
          <w:i/>
        </w:rPr>
        <w:t>2007 CPNI Order</w:t>
      </w:r>
      <w:r>
        <w:t xml:space="preserve">, 22 FCC Rcd </w:t>
      </w:r>
      <w:r w:rsidRPr="001B5F20">
        <w:t>at</w:t>
      </w:r>
      <w:r>
        <w:t xml:space="preserve"> 6936-41,</w:t>
      </w:r>
      <w:r w:rsidRPr="001B5F20">
        <w:t xml:space="preserve"> paras. 13-23. </w:t>
      </w:r>
    </w:p>
  </w:footnote>
  <w:footnote w:id="320">
    <w:p w:rsidR="00474D51" w:rsidRPr="001B5F20" w:rsidRDefault="00474D51" w:rsidP="00324CD5">
      <w:pPr>
        <w:pStyle w:val="FootnoteText"/>
      </w:pPr>
      <w:r w:rsidRPr="001B5F20">
        <w:rPr>
          <w:rStyle w:val="FootnoteReference"/>
        </w:rPr>
        <w:footnoteRef/>
      </w:r>
      <w:r w:rsidRPr="001B5F20">
        <w:t xml:space="preserve"> </w:t>
      </w:r>
      <w:r w:rsidRPr="008E4041">
        <w:rPr>
          <w:i/>
        </w:rPr>
        <w:t>See</w:t>
      </w:r>
      <w:r w:rsidRPr="00D8258B">
        <w:t xml:space="preserve"> </w:t>
      </w:r>
      <w:r>
        <w:t xml:space="preserve">Sakshi Jain et al., </w:t>
      </w:r>
      <w:r w:rsidRPr="0090380F">
        <w:rPr>
          <w:i/>
        </w:rPr>
        <w:t>New Directions in Social Authentication</w:t>
      </w:r>
      <w:r w:rsidRPr="00851BAB">
        <w:t>,</w:t>
      </w:r>
      <w:r>
        <w:rPr>
          <w:i/>
        </w:rPr>
        <w:t xml:space="preserve"> </w:t>
      </w:r>
      <w:r w:rsidRPr="00851BAB">
        <w:t>Internet Society</w:t>
      </w:r>
      <w:r w:rsidRPr="0090380F">
        <w:t xml:space="preserve"> (2015), </w:t>
      </w:r>
      <w:hyperlink r:id="rId75" w:history="1">
        <w:r w:rsidRPr="008E4041">
          <w:rPr>
            <w:rStyle w:val="Hyperlink"/>
          </w:rPr>
          <w:t>http://www.internetsociety.org/sites/default/files/01_2_4.pdf</w:t>
        </w:r>
      </w:hyperlink>
      <w:r w:rsidRPr="008E4041">
        <w:t>.  For example, one private sector company that sells</w:t>
      </w:r>
      <w:r w:rsidRPr="0090380F">
        <w:t xml:space="preserve"> security solutions to organizations regulated under GLBA recommend</w:t>
      </w:r>
      <w:r w:rsidRPr="008E4041">
        <w:t>s the organizations employ a password authentication solution that “</w:t>
      </w:r>
      <w:r>
        <w:t>[</w:t>
      </w:r>
      <w:r w:rsidRPr="008E4041">
        <w:t>e</w:t>
      </w:r>
      <w:r>
        <w:t>]</w:t>
      </w:r>
      <w:r w:rsidRPr="008E4041">
        <w:t>nforces password policies for end-users with access to customer information,” “</w:t>
      </w:r>
      <w:r>
        <w:t>[</w:t>
      </w:r>
      <w:r w:rsidRPr="008E4041">
        <w:t>e</w:t>
      </w:r>
      <w:r>
        <w:t>]</w:t>
      </w:r>
      <w:r w:rsidRPr="008E4041">
        <w:t>liminates end-users’ need to share authentication information with the Help Desk or IT staff for password reset or system access,” and “</w:t>
      </w:r>
      <w:r>
        <w:t>[</w:t>
      </w:r>
      <w:r w:rsidRPr="008E4041">
        <w:t>a</w:t>
      </w:r>
      <w:r>
        <w:t>]</w:t>
      </w:r>
      <w:r w:rsidRPr="008E4041">
        <w:t>utomates password reset processes,” among other access recommendations.  Pistol Star,</w:t>
      </w:r>
      <w:r w:rsidRPr="00D8258B">
        <w:t xml:space="preserve"> A</w:t>
      </w:r>
      <w:r w:rsidRPr="0090380F">
        <w:t xml:space="preserve">uthentication Solutions – By Regulation, </w:t>
      </w:r>
      <w:hyperlink r:id="rId76" w:history="1">
        <w:r w:rsidRPr="00FA62FF">
          <w:rPr>
            <w:rStyle w:val="Hyperlink"/>
          </w:rPr>
          <w:t>http://www.pistolstar.com/authentication-solutions/regulation/GLBA.html</w:t>
        </w:r>
      </w:hyperlink>
      <w:r w:rsidRPr="008E4041">
        <w:t>.</w:t>
      </w:r>
      <w:r w:rsidRPr="008E4041" w:rsidDel="003D305B">
        <w:t xml:space="preserve"> </w:t>
      </w:r>
      <w:r w:rsidRPr="008E4041">
        <w:t xml:space="preserve"> (last visited Mar. 2</w:t>
      </w:r>
      <w:r>
        <w:t>3</w:t>
      </w:r>
      <w:r w:rsidRPr="008E4041">
        <w:t>, 2016</w:t>
      </w:r>
      <w:r>
        <w:t>).</w:t>
      </w:r>
    </w:p>
  </w:footnote>
  <w:footnote w:id="321">
    <w:p w:rsidR="00474D51" w:rsidRDefault="00474D51" w:rsidP="00324CD5">
      <w:pPr>
        <w:pStyle w:val="FootnoteText"/>
      </w:pPr>
      <w:r>
        <w:rPr>
          <w:rStyle w:val="FootnoteReference"/>
        </w:rPr>
        <w:footnoteRef/>
      </w:r>
      <w:r>
        <w:t xml:space="preserve"> </w:t>
      </w:r>
      <w:r w:rsidRPr="00F719B2">
        <w:rPr>
          <w:i/>
        </w:rPr>
        <w:t>See</w:t>
      </w:r>
      <w:r>
        <w:t xml:space="preserve"> </w:t>
      </w:r>
      <w:r w:rsidRPr="001B5F20">
        <w:t>47 CFR § 64.2010</w:t>
      </w:r>
      <w:r>
        <w:t>.</w:t>
      </w:r>
    </w:p>
  </w:footnote>
  <w:footnote w:id="322">
    <w:p w:rsidR="00474D51" w:rsidRDefault="00474D51" w:rsidP="00324CD5">
      <w:pPr>
        <w:pStyle w:val="FootnoteText"/>
      </w:pPr>
      <w:r>
        <w:rPr>
          <w:rStyle w:val="FootnoteReference"/>
        </w:rPr>
        <w:footnoteRef/>
      </w:r>
      <w:r>
        <w:t xml:space="preserve">  </w:t>
      </w:r>
      <w:r w:rsidRPr="008E4041">
        <w:rPr>
          <w:szCs w:val="22"/>
        </w:rPr>
        <w:t xml:space="preserve">For example, the Clean Water Act requires entities discharging wastewater to employ the “best available technology economically achievable” (BAT), </w:t>
      </w:r>
      <w:r w:rsidRPr="008E4041">
        <w:rPr>
          <w:i/>
          <w:szCs w:val="22"/>
        </w:rPr>
        <w:t>see</w:t>
      </w:r>
      <w:r w:rsidRPr="00D8258B">
        <w:rPr>
          <w:szCs w:val="22"/>
        </w:rPr>
        <w:t xml:space="preserve"> </w:t>
      </w:r>
      <w:r w:rsidRPr="0090380F">
        <w:t xml:space="preserve">33 U.S.C. § 1311(b)(2), and </w:t>
      </w:r>
      <w:r w:rsidRPr="008E4041">
        <w:rPr>
          <w:szCs w:val="22"/>
        </w:rPr>
        <w:t xml:space="preserve">the Environmental Protection Agency (EPA) developed standards for assessing the BAT.  EPA, </w:t>
      </w:r>
      <w:r w:rsidRPr="008E4041">
        <w:t>L</w:t>
      </w:r>
      <w:r>
        <w:t>earn About Effluent Guidelines</w:t>
      </w:r>
      <w:r w:rsidRPr="008E4041">
        <w:t xml:space="preserve"> (last visited Mar. 2</w:t>
      </w:r>
      <w:r>
        <w:t>3</w:t>
      </w:r>
      <w:r w:rsidRPr="00D8258B">
        <w:t xml:space="preserve">, </w:t>
      </w:r>
      <w:r w:rsidRPr="0090380F">
        <w:t>2016).</w:t>
      </w:r>
      <w:r w:rsidRPr="0090380F">
        <w:rPr>
          <w:szCs w:val="22"/>
        </w:rPr>
        <w:t xml:space="preserve">  The EPA also employs similar standards for other laws that it implements, such as the “Reasonably Achievable Control Technology,” “Best Available Control Technology,” “Lowest Achievable Emission Rate,” and “Best Management Practices” to </w:t>
      </w:r>
      <w:r w:rsidRPr="008E4041">
        <w:t>require the regulated entities to install protocols and safeguards that are available and economically justified</w:t>
      </w:r>
      <w:r w:rsidRPr="008E4041">
        <w:rPr>
          <w:szCs w:val="22"/>
        </w:rPr>
        <w:t xml:space="preserve"> but also allow flexibility for practices to evolve</w:t>
      </w:r>
      <w:r w:rsidRPr="008E4041">
        <w:t xml:space="preserve"> as technology advances.  </w:t>
      </w:r>
      <w:r w:rsidRPr="008E4041">
        <w:rPr>
          <w:i/>
        </w:rPr>
        <w:t xml:space="preserve">See </w:t>
      </w:r>
      <w:r w:rsidRPr="008E4041">
        <w:t>EPA,</w:t>
      </w:r>
      <w:r w:rsidRPr="008E4041">
        <w:rPr>
          <w:i/>
        </w:rPr>
        <w:t xml:space="preserve"> </w:t>
      </w:r>
      <w:r w:rsidRPr="00D8258B">
        <w:t xml:space="preserve">Technology Transfer Network Clean Air Technology Center - RACT/BACT/LAER Clearinghouse, </w:t>
      </w:r>
      <w:hyperlink r:id="rId77" w:history="1">
        <w:r w:rsidRPr="008E4041">
          <w:rPr>
            <w:rStyle w:val="Hyperlink"/>
          </w:rPr>
          <w:t>http://www3.epa.gov/ttncatc1/rblc/htm/welcome.html</w:t>
        </w:r>
      </w:hyperlink>
      <w:r w:rsidRPr="008E4041">
        <w:t xml:space="preserve"> (last visited Mar. 2</w:t>
      </w:r>
      <w:r>
        <w:t>3</w:t>
      </w:r>
      <w:r w:rsidRPr="008E4041">
        <w:t>, 2016); Clean Air Act, 42 U.S.C. § 7479(3); Clean Air Act, 42 U.S.C. § 7501(3); 40 CFR § 122.44</w:t>
      </w:r>
      <w:r>
        <w:t>(k)</w:t>
      </w:r>
      <w:r w:rsidRPr="001B5F20">
        <w:t>.</w:t>
      </w:r>
    </w:p>
  </w:footnote>
  <w:footnote w:id="323">
    <w:p w:rsidR="00474D51" w:rsidRPr="001B5F20" w:rsidRDefault="00474D51" w:rsidP="00324CD5">
      <w:pPr>
        <w:pStyle w:val="FootnoteText"/>
      </w:pPr>
      <w:r w:rsidRPr="001B5F20">
        <w:rPr>
          <w:rStyle w:val="FootnoteReference"/>
        </w:rPr>
        <w:footnoteRef/>
      </w:r>
      <w:r w:rsidRPr="001B5F20">
        <w:t xml:space="preserve"> Natasha Stokes, </w:t>
      </w:r>
      <w:r w:rsidRPr="00F45F22">
        <w:rPr>
          <w:i/>
        </w:rPr>
        <w:t>Should You Use Facebook or Google to Log In to Other Sites?</w:t>
      </w:r>
      <w:r w:rsidRPr="001B5F20">
        <w:t>, Techlicious Blog</w:t>
      </w:r>
      <w:r>
        <w:t xml:space="preserve">, </w:t>
      </w:r>
      <w:r w:rsidRPr="001B5F20">
        <w:t xml:space="preserve">May 29, 2014, </w:t>
      </w:r>
      <w:hyperlink r:id="rId78" w:history="1">
        <w:r w:rsidRPr="001B5F20">
          <w:rPr>
            <w:rStyle w:val="Hyperlink"/>
          </w:rPr>
          <w:t>http://www.techlicious.com/blog/should-you-use-facebook-or-google-to-log-in-to-other-sites/</w:t>
        </w:r>
      </w:hyperlink>
      <w:r w:rsidRPr="001B5F20">
        <w:t xml:space="preserve"> (“Logging in with a main account whose credentials you easily remember saves you the trouble of going through yet another laborious account creation and memorizing dozens of passwords. . . . Linking two or more sites allows companies to collect more data, building an increasingly rounded profile about you. </w:t>
      </w:r>
      <w:r>
        <w:t xml:space="preserve"> </w:t>
      </w:r>
      <w:r w:rsidRPr="001B5F20">
        <w:t xml:space="preserve">Allowing one account to have access to others means that if the least secure account is hacked, the rest could also be compromised.”). </w:t>
      </w:r>
    </w:p>
  </w:footnote>
  <w:footnote w:id="324">
    <w:p w:rsidR="00474D51" w:rsidRPr="001B5F20" w:rsidRDefault="00474D51" w:rsidP="00324CD5">
      <w:pPr>
        <w:pStyle w:val="FootnoteText"/>
      </w:pPr>
      <w:r w:rsidRPr="001B5F20">
        <w:rPr>
          <w:rStyle w:val="FootnoteReference"/>
        </w:rPr>
        <w:footnoteRef/>
      </w:r>
      <w:r w:rsidRPr="001B5F20">
        <w:t xml:space="preserve"> </w:t>
      </w:r>
      <w:r w:rsidRPr="00F719B2">
        <w:rPr>
          <w:i/>
        </w:rPr>
        <w:t>See</w:t>
      </w:r>
      <w:r>
        <w:t xml:space="preserve"> </w:t>
      </w:r>
      <w:r w:rsidRPr="001B5F20">
        <w:t>47 CFR § 64.2010.</w:t>
      </w:r>
    </w:p>
  </w:footnote>
  <w:footnote w:id="325">
    <w:p w:rsidR="00C67767" w:rsidRDefault="00C67767" w:rsidP="00C67767">
      <w:pPr>
        <w:pStyle w:val="FootnoteText"/>
      </w:pPr>
      <w:r w:rsidRPr="00AF406B">
        <w:rPr>
          <w:rStyle w:val="FootnoteReference"/>
        </w:rPr>
        <w:footnoteRef/>
      </w:r>
      <w:r w:rsidRPr="00AF406B">
        <w:t xml:space="preserve"> </w:t>
      </w:r>
      <w:r w:rsidRPr="00352CF9">
        <w:rPr>
          <w:i/>
        </w:rPr>
        <w:t xml:space="preserve">See </w:t>
      </w:r>
      <w:r w:rsidRPr="00352CF9">
        <w:t>47 U.S.C. §§ 551(c)(1), 338(i)(4)(A).</w:t>
      </w:r>
      <w:r w:rsidRPr="00352CF9" w:rsidDel="00AF406B">
        <w:t xml:space="preserve"> </w:t>
      </w:r>
    </w:p>
  </w:footnote>
  <w:footnote w:id="326">
    <w:p w:rsidR="00474D51" w:rsidRPr="001B5F20" w:rsidRDefault="00474D51" w:rsidP="00324CD5">
      <w:pPr>
        <w:pStyle w:val="FootnoteText"/>
      </w:pPr>
      <w:r w:rsidRPr="001B5F20">
        <w:rPr>
          <w:rStyle w:val="FootnoteReference"/>
        </w:rPr>
        <w:footnoteRef/>
      </w:r>
      <w:r w:rsidRPr="001B5F20">
        <w:t xml:space="preserve"> 47 CFR § 64.2010(f).</w:t>
      </w:r>
    </w:p>
  </w:footnote>
  <w:footnote w:id="327">
    <w:p w:rsidR="00474D51" w:rsidRPr="001B5F20" w:rsidRDefault="00474D51" w:rsidP="00324CD5">
      <w:pPr>
        <w:pStyle w:val="FootnoteText"/>
      </w:pPr>
      <w:r w:rsidRPr="001B5F20">
        <w:rPr>
          <w:rStyle w:val="FootnoteReference"/>
        </w:rPr>
        <w:footnoteRef/>
      </w:r>
      <w:r w:rsidRPr="001B5F20">
        <w:t xml:space="preserve"> </w:t>
      </w:r>
      <w:r w:rsidRPr="001B5F20">
        <w:rPr>
          <w:i/>
        </w:rPr>
        <w:t>2007 CPNI Order</w:t>
      </w:r>
      <w:r>
        <w:t>, 22 FCC Rcd</w:t>
      </w:r>
      <w:r w:rsidRPr="001B5F20">
        <w:t xml:space="preserve"> at</w:t>
      </w:r>
      <w:r>
        <w:t xml:space="preserve"> 6942,</w:t>
      </w:r>
      <w:r w:rsidRPr="001B5F20">
        <w:t xml:space="preserve"> para. 24. </w:t>
      </w:r>
    </w:p>
  </w:footnote>
  <w:footnote w:id="328">
    <w:p w:rsidR="00474D51" w:rsidRDefault="00474D51" w:rsidP="00324CD5">
      <w:pPr>
        <w:pStyle w:val="FootnoteText"/>
      </w:pPr>
      <w:r>
        <w:rPr>
          <w:rStyle w:val="FootnoteReference"/>
        </w:rPr>
        <w:footnoteRef/>
      </w:r>
      <w:r>
        <w:t xml:space="preserve"> </w:t>
      </w:r>
      <w:r w:rsidRPr="005B5D3E">
        <w:rPr>
          <w:i/>
        </w:rPr>
        <w:t>See, e.g.</w:t>
      </w:r>
      <w:r w:rsidRPr="005B5D3E">
        <w:t xml:space="preserve">, Florian Schaub et al., </w:t>
      </w:r>
      <w:r w:rsidRPr="005B5D3E">
        <w:rPr>
          <w:i/>
        </w:rPr>
        <w:t>A Design Space for Effective Privacy Notices</w:t>
      </w:r>
      <w:r w:rsidRPr="00851BAB">
        <w:t>,</w:t>
      </w:r>
      <w:r>
        <w:rPr>
          <w:i/>
        </w:rPr>
        <w:t xml:space="preserve"> </w:t>
      </w:r>
      <w:r w:rsidRPr="00851BAB">
        <w:t>USENIX</w:t>
      </w:r>
      <w:r w:rsidRPr="00FA62FF">
        <w:t xml:space="preserve"> </w:t>
      </w:r>
      <w:r w:rsidRPr="005B5D3E">
        <w:t xml:space="preserve">at 3 (2015),  </w:t>
      </w:r>
      <w:hyperlink r:id="rId79" w:history="1">
        <w:r w:rsidRPr="005B5D3E">
          <w:rPr>
            <w:rStyle w:val="Hyperlink"/>
          </w:rPr>
          <w:t>https://www.usenix.org/conference/soups2015/proceedings/presentation/schaub</w:t>
        </w:r>
      </w:hyperlink>
      <w:r w:rsidRPr="005B5D3E">
        <w:t xml:space="preserve"> (“Frequent exposure to seemingly irrelevant privacy notices results in habituation, i.e., notices are dismissed without even registering their content.”).</w:t>
      </w:r>
    </w:p>
  </w:footnote>
  <w:footnote w:id="329">
    <w:p w:rsidR="00474D51" w:rsidRDefault="00474D51" w:rsidP="00324CD5">
      <w:pPr>
        <w:pStyle w:val="FootnoteText"/>
      </w:pPr>
      <w:r>
        <w:rPr>
          <w:rStyle w:val="FootnoteReference"/>
        </w:rPr>
        <w:footnoteRef/>
      </w:r>
      <w:r w:rsidRPr="00B878A4">
        <w:rPr>
          <w:rStyle w:val="Hyperlink"/>
          <w:u w:val="none"/>
        </w:rPr>
        <w:t xml:space="preserve"> </w:t>
      </w:r>
      <w:r w:rsidRPr="00F719B2">
        <w:rPr>
          <w:rStyle w:val="Hyperlink"/>
          <w:i/>
          <w:color w:val="auto"/>
          <w:u w:val="none"/>
        </w:rPr>
        <w:t>See</w:t>
      </w:r>
      <w:r>
        <w:rPr>
          <w:rStyle w:val="Hyperlink"/>
          <w:u w:val="none"/>
        </w:rPr>
        <w:t xml:space="preserve"> </w:t>
      </w:r>
      <w:r w:rsidRPr="003D0824">
        <w:rPr>
          <w:rStyle w:val="Hyperlink"/>
          <w:color w:val="auto"/>
          <w:u w:val="none"/>
        </w:rPr>
        <w:t>NSTIC FIPPs Appendix</w:t>
      </w:r>
      <w:r w:rsidRPr="00E96992">
        <w:t>.</w:t>
      </w:r>
    </w:p>
  </w:footnote>
  <w:footnote w:id="330">
    <w:p w:rsidR="00474D51" w:rsidRPr="001B5F20" w:rsidRDefault="00474D51" w:rsidP="00324CD5">
      <w:pPr>
        <w:pStyle w:val="FootnoteText"/>
      </w:pPr>
      <w:r w:rsidRPr="001B5F20">
        <w:rPr>
          <w:rStyle w:val="FootnoteReference"/>
        </w:rPr>
        <w:footnoteRef/>
      </w:r>
      <w:r w:rsidRPr="001B5F20">
        <w:t xml:space="preserve"> </w:t>
      </w:r>
      <w:r w:rsidRPr="001B5F20">
        <w:rPr>
          <w:i/>
        </w:rPr>
        <w:t>See, e.g.</w:t>
      </w:r>
      <w:r w:rsidRPr="001B5F20">
        <w:t xml:space="preserve">, </w:t>
      </w:r>
      <w:r>
        <w:t xml:space="preserve">2012 </w:t>
      </w:r>
      <w:r w:rsidRPr="001B5F20">
        <w:t>FTC</w:t>
      </w:r>
      <w:r>
        <w:t xml:space="preserve"> Privacy Report</w:t>
      </w:r>
      <w:r w:rsidRPr="001B5F20">
        <w:t xml:space="preserve"> at 15-16 (establishing a framework for protecting consumer privacy that exempts certain small businesses, due in part to a consideration of the burden the framework could impose on small businesses).  As the FTC has noted, in some instances, the burdens associated with mandating disclosure of non-sensitive consumer information may outstrip the consumer benefits of allowing access to this data.  </w:t>
      </w:r>
      <w:r w:rsidRPr="001B5F20">
        <w:rPr>
          <w:i/>
        </w:rPr>
        <w:t xml:space="preserve">See </w:t>
      </w:r>
      <w:r>
        <w:rPr>
          <w:i/>
        </w:rPr>
        <w:t>id.</w:t>
      </w:r>
    </w:p>
  </w:footnote>
  <w:footnote w:id="331">
    <w:p w:rsidR="00474D51" w:rsidRDefault="00474D51" w:rsidP="00324CD5">
      <w:pPr>
        <w:pStyle w:val="FootnoteText"/>
      </w:pPr>
      <w:r>
        <w:rPr>
          <w:rStyle w:val="FootnoteReference"/>
        </w:rPr>
        <w:footnoteRef/>
      </w:r>
      <w:r>
        <w:t xml:space="preserve"> </w:t>
      </w:r>
      <w:r w:rsidRPr="005B5D3E">
        <w:rPr>
          <w:i/>
        </w:rPr>
        <w:t>See, e.g.</w:t>
      </w:r>
      <w:r w:rsidRPr="005B5D3E">
        <w:t xml:space="preserve">, </w:t>
      </w:r>
      <w:r w:rsidRPr="005B5D3E">
        <w:rPr>
          <w:i/>
        </w:rPr>
        <w:t>id</w:t>
      </w:r>
      <w:r w:rsidRPr="005B5D3E">
        <w:t>. at 15.</w:t>
      </w:r>
    </w:p>
  </w:footnote>
  <w:footnote w:id="332">
    <w:p w:rsidR="00474D51" w:rsidRPr="001B5F20" w:rsidRDefault="00474D51" w:rsidP="00324CD5">
      <w:pPr>
        <w:pStyle w:val="FootnoteText"/>
      </w:pPr>
      <w:r w:rsidRPr="001B5F20">
        <w:rPr>
          <w:rStyle w:val="FootnoteReference"/>
        </w:rPr>
        <w:footnoteRef/>
      </w:r>
      <w:r w:rsidRPr="001B5F20">
        <w:t xml:space="preserve"> </w:t>
      </w:r>
      <w:r w:rsidRPr="001B5F20">
        <w:rPr>
          <w:i/>
        </w:rPr>
        <w:t>See, e.g.</w:t>
      </w:r>
      <w:r>
        <w:t>,</w:t>
      </w:r>
      <w:r w:rsidRPr="001B5F20">
        <w:rPr>
          <w:i/>
        </w:rPr>
        <w:t xml:space="preserve"> </w:t>
      </w:r>
      <w:r>
        <w:t xml:space="preserve">2016 FTC </w:t>
      </w:r>
      <w:r w:rsidRPr="001B5F20">
        <w:t>Big Data Report</w:t>
      </w:r>
      <w:r>
        <w:t>.</w:t>
      </w:r>
      <w:r w:rsidRPr="001B5F20">
        <w:t xml:space="preserve"> </w:t>
      </w:r>
    </w:p>
  </w:footnote>
  <w:footnote w:id="333">
    <w:p w:rsidR="00474D51" w:rsidRPr="001B5F20" w:rsidRDefault="00474D51" w:rsidP="00324CD5">
      <w:pPr>
        <w:pStyle w:val="FootnoteText"/>
      </w:pPr>
      <w:r w:rsidRPr="001B5F20">
        <w:rPr>
          <w:rStyle w:val="FootnoteReference"/>
        </w:rPr>
        <w:footnoteRef/>
      </w:r>
      <w:r w:rsidR="00B5038C">
        <w:t xml:space="preserve"> 47 U.S.C. §§ 551(d),</w:t>
      </w:r>
      <w:r w:rsidRPr="001B5F20">
        <w:t xml:space="preserve"> 338(i)(5).  </w:t>
      </w:r>
    </w:p>
  </w:footnote>
  <w:footnote w:id="334">
    <w:p w:rsidR="00474D51" w:rsidRPr="001B5F20" w:rsidRDefault="00474D51" w:rsidP="00324CD5">
      <w:pPr>
        <w:pStyle w:val="FootnoteText"/>
      </w:pPr>
      <w:r w:rsidRPr="001B5F20">
        <w:rPr>
          <w:rStyle w:val="FootnoteReference"/>
        </w:rPr>
        <w:footnoteRef/>
      </w:r>
      <w:r w:rsidRPr="001B5F20">
        <w:t xml:space="preserve"> 47 U.S.C. § 222(c)(2). </w:t>
      </w:r>
    </w:p>
  </w:footnote>
  <w:footnote w:id="335">
    <w:p w:rsidR="00474D51" w:rsidRPr="001B5F20" w:rsidRDefault="00474D51" w:rsidP="00324CD5">
      <w:pPr>
        <w:pStyle w:val="FootnoteText"/>
      </w:pPr>
      <w:r w:rsidRPr="001B5F20">
        <w:rPr>
          <w:rStyle w:val="FootnoteReference"/>
        </w:rPr>
        <w:footnoteRef/>
      </w:r>
      <w:r w:rsidRPr="001B5F20">
        <w:t xml:space="preserve"> </w:t>
      </w:r>
      <w:r w:rsidRPr="001B5F20">
        <w:rPr>
          <w:i/>
        </w:rPr>
        <w:t>See</w:t>
      </w:r>
      <w:r w:rsidRPr="001B5F20">
        <w:t xml:space="preserve"> 47 CFR </w:t>
      </w:r>
      <w:r>
        <w:t xml:space="preserve">§ </w:t>
      </w:r>
      <w:r w:rsidRPr="001B5F20">
        <w:t xml:space="preserve">64.2010(a) (requiring telecommunications carriers to “properly authenticate </w:t>
      </w:r>
      <w:r w:rsidRPr="001B5F20">
        <w:rPr>
          <w:i/>
        </w:rPr>
        <w:t>a customer</w:t>
      </w:r>
      <w:r w:rsidRPr="001B5F20">
        <w:t xml:space="preserve"> prior to disclosing CPNI based on </w:t>
      </w:r>
      <w:r w:rsidRPr="001B5F20">
        <w:rPr>
          <w:i/>
        </w:rPr>
        <w:t>customer-initiated</w:t>
      </w:r>
      <w:r w:rsidRPr="001B5F20">
        <w:t xml:space="preserve"> telephone contact, online account access, or an in-store visit”) (emphasis added). </w:t>
      </w:r>
    </w:p>
  </w:footnote>
  <w:footnote w:id="336">
    <w:p w:rsidR="00474D51" w:rsidRPr="001B5F20" w:rsidRDefault="00474D51" w:rsidP="00324CD5">
      <w:pPr>
        <w:pStyle w:val="FootnoteText"/>
      </w:pPr>
      <w:r w:rsidRPr="001B5F20">
        <w:rPr>
          <w:rStyle w:val="FootnoteReference"/>
        </w:rPr>
        <w:footnoteRef/>
      </w:r>
      <w:r w:rsidRPr="001B5F20">
        <w:t xml:space="preserve"> The FTC has </w:t>
      </w:r>
      <w:r>
        <w:t>held first parties responsible for third party behavior</w:t>
      </w:r>
      <w:r w:rsidRPr="001B5F20">
        <w:t xml:space="preserve"> in its privacy enforcement actions.  </w:t>
      </w:r>
      <w:r w:rsidRPr="001B5F20">
        <w:rPr>
          <w:i/>
        </w:rPr>
        <w:t>See, e.g.</w:t>
      </w:r>
      <w:r w:rsidRPr="001B5F20">
        <w:t>,</w:t>
      </w:r>
      <w:r w:rsidRPr="001B5F20">
        <w:rPr>
          <w:i/>
        </w:rPr>
        <w:t xml:space="preserve"> Twitter Consent </w:t>
      </w:r>
      <w:r>
        <w:rPr>
          <w:i/>
        </w:rPr>
        <w:t xml:space="preserve">Order, </w:t>
      </w:r>
      <w:r>
        <w:t>F.T.C. File No. 92-3093,</w:t>
      </w:r>
      <w:r w:rsidRPr="001B5F20">
        <w:t xml:space="preserve"> at II.D.</w:t>
      </w:r>
    </w:p>
  </w:footnote>
  <w:footnote w:id="337">
    <w:p w:rsidR="00474D51" w:rsidRPr="001B5F20" w:rsidRDefault="00474D51" w:rsidP="00324CD5">
      <w:pPr>
        <w:pStyle w:val="FootnoteText"/>
      </w:pPr>
      <w:r w:rsidRPr="001B5F20">
        <w:rPr>
          <w:rStyle w:val="FootnoteReference"/>
        </w:rPr>
        <w:footnoteRef/>
      </w:r>
      <w:r w:rsidRPr="001B5F20">
        <w:t xml:space="preserve"> </w:t>
      </w:r>
      <w:r w:rsidRPr="001B5F20">
        <w:rPr>
          <w:i/>
        </w:rPr>
        <w:t xml:space="preserve">Cf. </w:t>
      </w:r>
      <w:r>
        <w:t xml:space="preserve">2012 </w:t>
      </w:r>
      <w:r w:rsidRPr="001B5F20">
        <w:t xml:space="preserve">FTC </w:t>
      </w:r>
      <w:r>
        <w:t xml:space="preserve">Privacy </w:t>
      </w:r>
      <w:r w:rsidRPr="001B5F20">
        <w:t>Report at 8-9.</w:t>
      </w:r>
    </w:p>
  </w:footnote>
  <w:footnote w:id="338">
    <w:p w:rsidR="00474D51" w:rsidRPr="00A15181" w:rsidRDefault="00474D51" w:rsidP="00324CD5">
      <w:pPr>
        <w:pStyle w:val="FootnoteText"/>
      </w:pPr>
      <w:r w:rsidRPr="001B5F20">
        <w:rPr>
          <w:rStyle w:val="FootnoteReference"/>
        </w:rPr>
        <w:footnoteRef/>
      </w:r>
      <w:r w:rsidRPr="001B5F20">
        <w:t xml:space="preserve"> </w:t>
      </w:r>
      <w:r>
        <w:rPr>
          <w:i/>
        </w:rPr>
        <w:t>1999 CPNI Reconsideration Order</w:t>
      </w:r>
      <w:r>
        <w:t>, 14 FCC Rcd at 14496, para. 170.</w:t>
      </w:r>
    </w:p>
  </w:footnote>
  <w:footnote w:id="339">
    <w:p w:rsidR="00474D51" w:rsidRPr="000A33D2" w:rsidRDefault="00474D51" w:rsidP="00324CD5">
      <w:pPr>
        <w:pStyle w:val="FootnoteText"/>
        <w:rPr>
          <w:i/>
        </w:rPr>
      </w:pPr>
      <w:r w:rsidRPr="001B5F20">
        <w:rPr>
          <w:rStyle w:val="FootnoteReference"/>
        </w:rPr>
        <w:footnoteRef/>
      </w:r>
      <w:r w:rsidRPr="001B5F20">
        <w:t xml:space="preserve"> </w:t>
      </w:r>
      <w:r w:rsidRPr="008E4041">
        <w:rPr>
          <w:i/>
        </w:rPr>
        <w:t>2007 CPNI Order</w:t>
      </w:r>
      <w:r w:rsidRPr="008E4041">
        <w:t xml:space="preserve">, 22 FCC Rcd at 6948, para. 39; </w:t>
      </w:r>
      <w:r w:rsidRPr="008E4041">
        <w:rPr>
          <w:i/>
        </w:rPr>
        <w:t>s</w:t>
      </w:r>
      <w:r w:rsidRPr="00D8258B">
        <w:rPr>
          <w:i/>
        </w:rPr>
        <w:t>ee also</w:t>
      </w:r>
      <w:r w:rsidRPr="008E4041">
        <w:rPr>
          <w:i/>
        </w:rPr>
        <w:t xml:space="preserve"> 1999 CPNI Reconsideration Order</w:t>
      </w:r>
      <w:r w:rsidRPr="008E4041">
        <w:t>, 14 FCC Rcd at 14496-97, paras. 168-71</w:t>
      </w:r>
      <w:r>
        <w:t>.</w:t>
      </w:r>
    </w:p>
  </w:footnote>
  <w:footnote w:id="340">
    <w:p w:rsidR="00474D51" w:rsidRDefault="00474D51" w:rsidP="00324CD5">
      <w:pPr>
        <w:pStyle w:val="FootnoteText"/>
      </w:pPr>
      <w:r>
        <w:rPr>
          <w:rStyle w:val="FootnoteReference"/>
        </w:rPr>
        <w:footnoteRef/>
      </w:r>
      <w:r>
        <w:t xml:space="preserve"> </w:t>
      </w:r>
      <w:r w:rsidRPr="008E4041">
        <w:rPr>
          <w:i/>
        </w:rPr>
        <w:t>See TerraCom NAL</w:t>
      </w:r>
      <w:r w:rsidRPr="008E4041">
        <w:t>, 29 FCC Rcd at 13326-27, paras</w:t>
      </w:r>
      <w:r w:rsidRPr="00D8258B">
        <w:t>. 5-7</w:t>
      </w:r>
      <w:r w:rsidRPr="0090380F">
        <w:t xml:space="preserve">; </w:t>
      </w:r>
      <w:r w:rsidRPr="0090380F">
        <w:rPr>
          <w:i/>
        </w:rPr>
        <w:t>AT&amp;</w:t>
      </w:r>
      <w:r w:rsidRPr="008E4041">
        <w:rPr>
          <w:i/>
        </w:rPr>
        <w:t>T Consent Decree</w:t>
      </w:r>
      <w:r w:rsidRPr="000A09B5">
        <w:t xml:space="preserve">, </w:t>
      </w:r>
      <w:r w:rsidRPr="008E4041">
        <w:t xml:space="preserve">30 FCC Rcd at 2812-14, paras. 7-10; </w:t>
      </w:r>
      <w:r w:rsidRPr="008E4041">
        <w:rPr>
          <w:i/>
        </w:rPr>
        <w:t>Cox Consent Decree</w:t>
      </w:r>
      <w:r w:rsidRPr="008E4041">
        <w:t>, 30 FCC Rcd at 12308, para. 8.</w:t>
      </w:r>
    </w:p>
  </w:footnote>
  <w:footnote w:id="341">
    <w:p w:rsidR="00474D51" w:rsidRPr="00F954EE" w:rsidRDefault="00474D51" w:rsidP="00324CD5">
      <w:pPr>
        <w:spacing w:after="120"/>
        <w:rPr>
          <w:snapToGrid/>
          <w:kern w:val="0"/>
          <w:sz w:val="20"/>
        </w:rPr>
      </w:pPr>
      <w:r>
        <w:rPr>
          <w:rStyle w:val="FootnoteReference"/>
        </w:rPr>
        <w:footnoteRef/>
      </w:r>
      <w:r>
        <w:t xml:space="preserve"> </w:t>
      </w:r>
      <w:r w:rsidRPr="00F954EE">
        <w:rPr>
          <w:i/>
          <w:sz w:val="20"/>
        </w:rPr>
        <w:t>See, e.g.</w:t>
      </w:r>
      <w:r w:rsidRPr="00F954EE">
        <w:rPr>
          <w:sz w:val="20"/>
        </w:rPr>
        <w:t>,</w:t>
      </w:r>
      <w:r w:rsidRPr="00F954EE">
        <w:rPr>
          <w:i/>
          <w:sz w:val="20"/>
        </w:rPr>
        <w:t xml:space="preserve"> </w:t>
      </w:r>
      <w:r w:rsidRPr="00F954EE">
        <w:rPr>
          <w:sz w:val="20"/>
        </w:rPr>
        <w:t xml:space="preserve">Sasha Romanosky &amp; Alessandro Acquisti, </w:t>
      </w:r>
      <w:r w:rsidRPr="00F954EE">
        <w:rPr>
          <w:i/>
          <w:sz w:val="20"/>
        </w:rPr>
        <w:t>Privacy Costs and Personal Data Protection: Economic and Legal Perspectives</w:t>
      </w:r>
      <w:r w:rsidRPr="00F954EE">
        <w:rPr>
          <w:sz w:val="20"/>
        </w:rPr>
        <w:t>, 24 Berkeley Tech. L.J. 1061, 1072 (2009) (“[A]s the probability of being held liable for damages due to breaches increases, so does the amount of consumer loss internalized by the firm.  Th</w:t>
      </w:r>
      <w:r>
        <w:rPr>
          <w:sz w:val="20"/>
        </w:rPr>
        <w:t>is, in turn, increases the firm’</w:t>
      </w:r>
      <w:r w:rsidRPr="00F954EE">
        <w:rPr>
          <w:sz w:val="20"/>
        </w:rPr>
        <w:t xml:space="preserve">s incentive to further invest in security controls, reducing the probability of a data breach, and finally, reducing the expected harm.”).  </w:t>
      </w:r>
      <w:r w:rsidRPr="00F954EE">
        <w:rPr>
          <w:i/>
          <w:sz w:val="20"/>
        </w:rPr>
        <w:t xml:space="preserve">See generally </w:t>
      </w:r>
      <w:r w:rsidRPr="00F954EE">
        <w:rPr>
          <w:sz w:val="20"/>
        </w:rPr>
        <w:t xml:space="preserve">Alan O. Sykes, </w:t>
      </w:r>
      <w:r w:rsidRPr="00F954EE">
        <w:rPr>
          <w:i/>
          <w:sz w:val="20"/>
        </w:rPr>
        <w:t>The Economics of Vicarious Liability</w:t>
      </w:r>
      <w:r w:rsidRPr="00F954EE">
        <w:rPr>
          <w:sz w:val="20"/>
        </w:rPr>
        <w:t>, 93 Yale L.J. 1231 (1984).</w:t>
      </w:r>
    </w:p>
  </w:footnote>
  <w:footnote w:id="342">
    <w:p w:rsidR="00474D51" w:rsidRDefault="00474D51" w:rsidP="00324CD5">
      <w:pPr>
        <w:pStyle w:val="FootnoteText"/>
      </w:pPr>
      <w:r>
        <w:rPr>
          <w:rStyle w:val="FootnoteReference"/>
        </w:rPr>
        <w:footnoteRef/>
      </w:r>
      <w:r>
        <w:t xml:space="preserve"> </w:t>
      </w:r>
      <w:r w:rsidRPr="00F719B2">
        <w:t>2015 FTC Security</w:t>
      </w:r>
      <w:r w:rsidRPr="00E96992">
        <w:t xml:space="preserve"> Guide for Business</w:t>
      </w:r>
      <w:r>
        <w:t xml:space="preserve"> at 11</w:t>
      </w:r>
      <w:r w:rsidRPr="001B5F20">
        <w:t>.</w:t>
      </w:r>
    </w:p>
  </w:footnote>
  <w:footnote w:id="343">
    <w:p w:rsidR="00474D51" w:rsidRPr="00F450A8" w:rsidRDefault="00474D51" w:rsidP="00324CD5">
      <w:pPr>
        <w:pStyle w:val="FootnoteText"/>
        <w:rPr>
          <w:u w:val="single"/>
        </w:rPr>
      </w:pPr>
      <w:r>
        <w:rPr>
          <w:rStyle w:val="FootnoteReference"/>
        </w:rPr>
        <w:footnoteRef/>
      </w:r>
      <w:r>
        <w:t xml:space="preserve"> </w:t>
      </w:r>
      <w:r>
        <w:rPr>
          <w:i/>
        </w:rPr>
        <w:t>See 1999 CPNI Reconsideration Order</w:t>
      </w:r>
      <w:r>
        <w:t>, 14 FCC Rcd at 14496, para. 171.</w:t>
      </w:r>
    </w:p>
  </w:footnote>
  <w:footnote w:id="344">
    <w:p w:rsidR="00474D51" w:rsidRPr="001B5F20" w:rsidRDefault="00474D51" w:rsidP="00324CD5">
      <w:pPr>
        <w:pStyle w:val="FootnoteText"/>
      </w:pPr>
      <w:r w:rsidRPr="001B5F20">
        <w:rPr>
          <w:rStyle w:val="FootnoteReference"/>
        </w:rPr>
        <w:footnoteRef/>
      </w:r>
      <w:r w:rsidRPr="001B5F20">
        <w:t xml:space="preserve"> </w:t>
      </w:r>
      <w:r w:rsidRPr="001B5F20">
        <w:rPr>
          <w:i/>
        </w:rPr>
        <w:t>See, e.g</w:t>
      </w:r>
      <w:r>
        <w:t>., 2015 FTC</w:t>
      </w:r>
      <w:r w:rsidRPr="001B5F20">
        <w:t xml:space="preserve"> Security Guide for Business. </w:t>
      </w:r>
    </w:p>
  </w:footnote>
  <w:footnote w:id="345">
    <w:p w:rsidR="00474D51" w:rsidRPr="001B5F20" w:rsidRDefault="00474D51" w:rsidP="00324CD5">
      <w:pPr>
        <w:pStyle w:val="FootnoteText"/>
      </w:pPr>
      <w:r w:rsidRPr="001B5F20">
        <w:rPr>
          <w:rStyle w:val="FootnoteReference"/>
        </w:rPr>
        <w:footnoteRef/>
      </w:r>
      <w:r w:rsidRPr="001B5F20">
        <w:t xml:space="preserve"> </w:t>
      </w:r>
      <w:r>
        <w:rPr>
          <w:i/>
        </w:rPr>
        <w:t>See generally TerraC</w:t>
      </w:r>
      <w:r w:rsidRPr="001B5F20">
        <w:rPr>
          <w:i/>
        </w:rPr>
        <w:t>om</w:t>
      </w:r>
      <w:r w:rsidRPr="001B5F20">
        <w:t xml:space="preserve"> </w:t>
      </w:r>
      <w:r w:rsidRPr="001B5F20">
        <w:rPr>
          <w:i/>
        </w:rPr>
        <w:t>NAL</w:t>
      </w:r>
      <w:r w:rsidRPr="001B5F20">
        <w:t xml:space="preserve"> (failure to encrypt data); </w:t>
      </w:r>
      <w:r>
        <w:t>2015 FTC</w:t>
      </w:r>
      <w:r w:rsidRPr="001B5F20">
        <w:t xml:space="preserve"> Security Guide for Business</w:t>
      </w:r>
      <w:r>
        <w:t xml:space="preserve"> at 6-7.</w:t>
      </w:r>
    </w:p>
  </w:footnote>
  <w:footnote w:id="346">
    <w:p w:rsidR="00474D51" w:rsidRPr="001B5F20" w:rsidRDefault="00474D51" w:rsidP="00324CD5">
      <w:pPr>
        <w:pStyle w:val="FootnoteText"/>
      </w:pPr>
      <w:r w:rsidRPr="00517957">
        <w:rPr>
          <w:rStyle w:val="FootnoteReference"/>
        </w:rPr>
        <w:footnoteRef/>
      </w:r>
      <w:r w:rsidRPr="00517957">
        <w:t xml:space="preserve"> </w:t>
      </w:r>
      <w:r w:rsidRPr="00F719B2">
        <w:rPr>
          <w:i/>
        </w:rPr>
        <w:t>See, e.g.</w:t>
      </w:r>
      <w:r w:rsidRPr="00EB4B7A">
        <w:t>,</w:t>
      </w:r>
      <w:r w:rsidRPr="00F719B2">
        <w:t xml:space="preserve"> </w:t>
      </w:r>
      <w:r>
        <w:t xml:space="preserve">2012 </w:t>
      </w:r>
      <w:r w:rsidRPr="00F719B2">
        <w:t xml:space="preserve">FTC </w:t>
      </w:r>
      <w:r>
        <w:t xml:space="preserve">Privacy </w:t>
      </w:r>
      <w:r w:rsidRPr="00F719B2">
        <w:t xml:space="preserve">Report at 25-26; </w:t>
      </w:r>
      <w:r w:rsidRPr="00F719B2">
        <w:rPr>
          <w:i/>
        </w:rPr>
        <w:t>GMR Transcription Services Complaint</w:t>
      </w:r>
      <w:r w:rsidRPr="00F719B2">
        <w:t xml:space="preserve">; </w:t>
      </w:r>
      <w:r w:rsidRPr="00F719B2">
        <w:rPr>
          <w:i/>
        </w:rPr>
        <w:t>GeneLink Complaint</w:t>
      </w:r>
      <w:r w:rsidRPr="00517957">
        <w:t>.</w:t>
      </w:r>
      <w:r w:rsidRPr="001B5F20">
        <w:t xml:space="preserve"> </w:t>
      </w:r>
    </w:p>
  </w:footnote>
  <w:footnote w:id="347">
    <w:p w:rsidR="00474D51" w:rsidRPr="006E0EE2" w:rsidRDefault="00474D51" w:rsidP="00324CD5">
      <w:pPr>
        <w:pStyle w:val="FootnoteText"/>
      </w:pPr>
      <w:r>
        <w:rPr>
          <w:rStyle w:val="FootnoteReference"/>
        </w:rPr>
        <w:footnoteRef/>
      </w:r>
      <w:r>
        <w:t xml:space="preserve"> </w:t>
      </w:r>
      <w:r w:rsidRPr="008E4041">
        <w:t>The GLBA Safeguards Rule calls for covered entities to create a security plan that is “appropriate to [the company’s] size and complexity, the nature and scope of [its] activities, and the sensitivity of the customer information” it handles.  16 CFR § 31</w:t>
      </w:r>
      <w:r>
        <w:t>4</w:t>
      </w:r>
      <w:r w:rsidRPr="008E4041">
        <w:t xml:space="preserve">.3(a).  The FTC’s more general Privacy Framework similarly allows entities to implement privacy protections that are “proportional to the nature, sensitivity, and amount of data collected as well as to the size of the business at issue.”  2012 FTC Privacy Report at 9.  The FTC has extended this flexible approach to its enforcement in data security cases, saying “[w]here a company has offered assurances to consumers that it has implemented reasonable security measures, the Commission assesses the reasonableness based, among other things, on the sensitivity of the information collected, the measures the company has implemented to protect such information, and whether the company has taken action to address and prevent well-known and easily addressable security vulnerabilities.” </w:t>
      </w:r>
      <w:r w:rsidRPr="0090380F">
        <w:t xml:space="preserve"> </w:t>
      </w:r>
      <w:r w:rsidRPr="008E4041">
        <w:t xml:space="preserve">2012 </w:t>
      </w:r>
      <w:r w:rsidRPr="0090380F">
        <w:t>FTC</w:t>
      </w:r>
      <w:r w:rsidRPr="008E4041">
        <w:t xml:space="preserve"> Privacy</w:t>
      </w:r>
      <w:r w:rsidRPr="0090380F">
        <w:t xml:space="preserve"> Report at 21, n. 108.  </w:t>
      </w:r>
      <w:r w:rsidRPr="008E4041">
        <w:rPr>
          <w:i/>
        </w:rPr>
        <w:t xml:space="preserve">See also </w:t>
      </w:r>
      <w:r w:rsidRPr="008E4041">
        <w:t>Md. Code Ann., Com. Law § 14-3503(a).</w:t>
      </w:r>
    </w:p>
  </w:footnote>
  <w:footnote w:id="348">
    <w:p w:rsidR="00474D51" w:rsidRPr="006E1CF9" w:rsidRDefault="00474D51" w:rsidP="00324CD5">
      <w:pPr>
        <w:pStyle w:val="FootnoteText"/>
      </w:pPr>
      <w:r w:rsidRPr="006E1CF9">
        <w:rPr>
          <w:rStyle w:val="FootnoteReference"/>
        </w:rPr>
        <w:footnoteRef/>
      </w:r>
      <w:r w:rsidRPr="006E1CF9">
        <w:t xml:space="preserve"> </w:t>
      </w:r>
      <w:r w:rsidRPr="00835239">
        <w:rPr>
          <w:i/>
        </w:rPr>
        <w:t>See</w:t>
      </w:r>
      <w:r>
        <w:t xml:space="preserve"> 47 CFR § 64.2010(a); </w:t>
      </w:r>
      <w:r w:rsidRPr="00835239">
        <w:rPr>
          <w:i/>
        </w:rPr>
        <w:t>see also</w:t>
      </w:r>
      <w:r>
        <w:t xml:space="preserve"> 47 U.S.C. § 222(a).</w:t>
      </w:r>
    </w:p>
  </w:footnote>
  <w:footnote w:id="349">
    <w:p w:rsidR="00474D51" w:rsidRDefault="00474D51" w:rsidP="00324CD5">
      <w:pPr>
        <w:pStyle w:val="FootnoteText"/>
      </w:pPr>
      <w:r>
        <w:rPr>
          <w:rStyle w:val="FootnoteReference"/>
        </w:rPr>
        <w:footnoteRef/>
      </w:r>
      <w:r>
        <w:t xml:space="preserve"> </w:t>
      </w:r>
      <w:r>
        <w:rPr>
          <w:i/>
        </w:rPr>
        <w:t xml:space="preserve">1998 CPNI </w:t>
      </w:r>
      <w:r w:rsidRPr="00A05BFB">
        <w:t>Order</w:t>
      </w:r>
      <w:r>
        <w:t xml:space="preserve">, </w:t>
      </w:r>
      <w:r w:rsidRPr="00A05BFB">
        <w:t>13</w:t>
      </w:r>
      <w:r>
        <w:t xml:space="preserve"> FCC Rcd at 8196, para. 193. </w:t>
      </w:r>
    </w:p>
  </w:footnote>
  <w:footnote w:id="350">
    <w:p w:rsidR="00474D51" w:rsidRPr="001B5F20" w:rsidRDefault="00474D51" w:rsidP="00324CD5">
      <w:pPr>
        <w:pStyle w:val="FootnoteText"/>
      </w:pPr>
      <w:r w:rsidRPr="001B5F20">
        <w:rPr>
          <w:rStyle w:val="FootnoteReference"/>
        </w:rPr>
        <w:footnoteRef/>
      </w:r>
      <w:r w:rsidRPr="001B5F20">
        <w:t xml:space="preserve"> </w:t>
      </w:r>
      <w:r w:rsidRPr="008E4041">
        <w:t>2012 FTC Privacy Report at 71</w:t>
      </w:r>
      <w:r w:rsidRPr="001B5F20">
        <w:t xml:space="preserve">. </w:t>
      </w:r>
    </w:p>
  </w:footnote>
  <w:footnote w:id="351">
    <w:p w:rsidR="00474D51" w:rsidRPr="001B5F20" w:rsidRDefault="00474D51" w:rsidP="00324CD5">
      <w:pPr>
        <w:pStyle w:val="FootnoteText"/>
      </w:pPr>
      <w:r w:rsidRPr="001B5F20">
        <w:rPr>
          <w:rStyle w:val="FootnoteReference"/>
        </w:rPr>
        <w:footnoteRef/>
      </w:r>
      <w:r w:rsidRPr="001B5F20">
        <w:t xml:space="preserve"> </w:t>
      </w:r>
      <w:r w:rsidRPr="008E4041">
        <w:t xml:space="preserve"> N</w:t>
      </w:r>
      <w:r>
        <w:t xml:space="preserve">ational </w:t>
      </w:r>
      <w:r w:rsidRPr="008E4041">
        <w:t>I</w:t>
      </w:r>
      <w:r>
        <w:t xml:space="preserve">nstitute for </w:t>
      </w:r>
      <w:r w:rsidRPr="008E4041">
        <w:t>S</w:t>
      </w:r>
      <w:r>
        <w:t xml:space="preserve">tandards and </w:t>
      </w:r>
      <w:r w:rsidRPr="008E4041">
        <w:t>T</w:t>
      </w:r>
      <w:r>
        <w:t>echnology</w:t>
      </w:r>
      <w:r w:rsidRPr="008E4041">
        <w:t xml:space="preserve">, Special Publication 800-60 Rev. 1 (Volume 1, Volume 2), Guide for Mapping Types of Information and Information Systems to Security Categories, </w:t>
      </w:r>
      <w:hyperlink r:id="rId80" w:history="1">
        <w:r w:rsidRPr="008E4041">
          <w:rPr>
            <w:rStyle w:val="Hyperlink"/>
          </w:rPr>
          <w:t>http://csrc.nist.gov/publications/nistpubs/800-60-rev1/SP800-60_Vol1-Rev1.pdf</w:t>
        </w:r>
      </w:hyperlink>
      <w:r w:rsidRPr="008E4041">
        <w:t xml:space="preserve"> and </w:t>
      </w:r>
      <w:hyperlink r:id="rId81" w:history="1">
        <w:r w:rsidRPr="008E4041">
          <w:rPr>
            <w:rStyle w:val="Hyperlink"/>
          </w:rPr>
          <w:t>http://csrc.nist.gov/publications/nistpubs/800-60-rev1/SP800-60_Vol2-Rev1.pdf</w:t>
        </w:r>
      </w:hyperlink>
      <w:r w:rsidRPr="001B5F20">
        <w:t xml:space="preserve">. </w:t>
      </w:r>
    </w:p>
  </w:footnote>
  <w:footnote w:id="352">
    <w:p w:rsidR="00474D51" w:rsidRPr="001B5F20" w:rsidRDefault="00474D51" w:rsidP="00324CD5">
      <w:pPr>
        <w:pStyle w:val="FootnoteText"/>
      </w:pPr>
      <w:r w:rsidRPr="001B5F20">
        <w:rPr>
          <w:rStyle w:val="FootnoteReference"/>
        </w:rPr>
        <w:footnoteRef/>
      </w:r>
      <w:r w:rsidRPr="001B5F20">
        <w:t xml:space="preserve"> </w:t>
      </w:r>
      <w:r>
        <w:t>NSTIC FIPPs Appendix</w:t>
      </w:r>
      <w:r w:rsidRPr="001B5F20">
        <w:t xml:space="preserve">. </w:t>
      </w:r>
      <w:r w:rsidRPr="008E4041">
        <w:t xml:space="preserve"> </w:t>
      </w:r>
      <w:r w:rsidRPr="008E4041">
        <w:rPr>
          <w:szCs w:val="22"/>
        </w:rPr>
        <w:t>Similarly, the Administration’s 2012 privacy blueprint</w:t>
      </w:r>
      <w:r w:rsidRPr="0090380F">
        <w:rPr>
          <w:szCs w:val="22"/>
        </w:rPr>
        <w:t xml:space="preserve"> </w:t>
      </w:r>
      <w:r w:rsidRPr="008E4041">
        <w:rPr>
          <w:szCs w:val="22"/>
        </w:rPr>
        <w:t>states that “[c]</w:t>
      </w:r>
      <w:r w:rsidRPr="008E4041">
        <w:rPr>
          <w:rFonts w:cs="Myriad Pro"/>
          <w:color w:val="000000"/>
          <w:szCs w:val="22"/>
        </w:rPr>
        <w:t xml:space="preserve">onsumers have a right to reasonable limits on the personal data that companies collect and retain.”  </w:t>
      </w:r>
      <w:r w:rsidRPr="008E4041">
        <w:t xml:space="preserve">2012 White House Privacy Blueprint at </w:t>
      </w:r>
      <w:r>
        <w:t>1</w:t>
      </w:r>
      <w:r w:rsidRPr="001B5F20">
        <w:t>.</w:t>
      </w:r>
    </w:p>
  </w:footnote>
  <w:footnote w:id="353">
    <w:p w:rsidR="00474D51" w:rsidRDefault="00474D51" w:rsidP="00324CD5">
      <w:pPr>
        <w:pStyle w:val="FootnoteText"/>
      </w:pPr>
      <w:r>
        <w:rPr>
          <w:rStyle w:val="FootnoteReference"/>
        </w:rPr>
        <w:footnoteRef/>
      </w:r>
      <w:r>
        <w:t xml:space="preserve"> </w:t>
      </w:r>
      <w:r>
        <w:rPr>
          <w:i/>
        </w:rPr>
        <w:t xml:space="preserve">See </w:t>
      </w:r>
      <w:r w:rsidR="00B5038C">
        <w:t>47 U.S.C. §§ 551(b),</w:t>
      </w:r>
      <w:r w:rsidRPr="001B5F20">
        <w:t xml:space="preserve"> 338(i)(</w:t>
      </w:r>
      <w:r>
        <w:t>3</w:t>
      </w:r>
      <w:r w:rsidRPr="001B5F20">
        <w:t xml:space="preserve">).  </w:t>
      </w:r>
    </w:p>
  </w:footnote>
  <w:footnote w:id="354">
    <w:p w:rsidR="00474D51" w:rsidRPr="001B5F20" w:rsidRDefault="00474D51" w:rsidP="00324CD5">
      <w:pPr>
        <w:pStyle w:val="FootnoteText"/>
      </w:pPr>
      <w:r w:rsidRPr="001B5F20">
        <w:rPr>
          <w:rStyle w:val="FootnoteReference"/>
        </w:rPr>
        <w:footnoteRef/>
      </w:r>
      <w:r w:rsidRPr="001B5F20">
        <w:t xml:space="preserve"> </w:t>
      </w:r>
      <w:r>
        <w:rPr>
          <w:i/>
        </w:rPr>
        <w:t xml:space="preserve">See </w:t>
      </w:r>
      <w:r>
        <w:t xml:space="preserve">2016 FTC </w:t>
      </w:r>
      <w:r w:rsidRPr="0051321A">
        <w:t>Big Data</w:t>
      </w:r>
      <w:r>
        <w:t xml:space="preserve"> Report at 1. </w:t>
      </w:r>
    </w:p>
  </w:footnote>
  <w:footnote w:id="355">
    <w:p w:rsidR="00474D51" w:rsidRPr="001B5F20" w:rsidRDefault="00474D51" w:rsidP="00324CD5">
      <w:pPr>
        <w:pStyle w:val="FootnoteText"/>
      </w:pPr>
      <w:r w:rsidRPr="001B5F20">
        <w:rPr>
          <w:rStyle w:val="FootnoteReference"/>
        </w:rPr>
        <w:footnoteRef/>
      </w:r>
      <w:r w:rsidRPr="001B5F20">
        <w:t xml:space="preserve"> </w:t>
      </w:r>
      <w:r w:rsidRPr="00F719B2">
        <w:rPr>
          <w:i/>
        </w:rPr>
        <w:t>See</w:t>
      </w:r>
      <w:r>
        <w:t xml:space="preserve"> </w:t>
      </w:r>
      <w:r w:rsidRPr="001B5F20">
        <w:t>47 U.S.C. § 222(a).</w:t>
      </w:r>
    </w:p>
  </w:footnote>
  <w:footnote w:id="356">
    <w:p w:rsidR="00474D51" w:rsidRPr="001B5F20" w:rsidRDefault="00474D51" w:rsidP="00324CD5">
      <w:pPr>
        <w:pStyle w:val="FootnoteText"/>
      </w:pPr>
      <w:r w:rsidRPr="001B5F20">
        <w:rPr>
          <w:rStyle w:val="FootnoteReference"/>
        </w:rPr>
        <w:footnoteRef/>
      </w:r>
      <w:r w:rsidRPr="001B5F20">
        <w:t xml:space="preserve"> Privacy</w:t>
      </w:r>
      <w:r>
        <w:t>-</w:t>
      </w:r>
      <w:r w:rsidRPr="001B5F20">
        <w:t>by</w:t>
      </w:r>
      <w:r>
        <w:t>-</w:t>
      </w:r>
      <w:r w:rsidRPr="001B5F20">
        <w:t xml:space="preserve">design refers to the principle that meaningful privacy protections, “including data security, reasonable collection limits, sound retention and disposal practices, and data accuracy” should be incorporated “at every stage of the development of [an organization’s] products and services.”  </w:t>
      </w:r>
      <w:r>
        <w:t xml:space="preserve">2012 </w:t>
      </w:r>
      <w:r w:rsidRPr="001B5F20">
        <w:t>FTC</w:t>
      </w:r>
      <w:r>
        <w:t xml:space="preserve"> Privacy Report at vii</w:t>
      </w:r>
      <w:r w:rsidRPr="001B5F20">
        <w:t xml:space="preserve">.  </w:t>
      </w:r>
    </w:p>
  </w:footnote>
  <w:footnote w:id="357">
    <w:p w:rsidR="00474D51" w:rsidRPr="001B5F20" w:rsidRDefault="00474D51" w:rsidP="00324CD5">
      <w:pPr>
        <w:pStyle w:val="FootnoteText"/>
      </w:pPr>
      <w:r w:rsidRPr="001B5F20">
        <w:rPr>
          <w:rStyle w:val="FootnoteReference"/>
        </w:rPr>
        <w:footnoteRef/>
      </w:r>
      <w:r w:rsidRPr="001B5F20">
        <w:t xml:space="preserve"> </w:t>
      </w:r>
      <w:r>
        <w:rPr>
          <w:i/>
        </w:rPr>
        <w:t xml:space="preserve">See </w:t>
      </w:r>
      <w:r>
        <w:t xml:space="preserve">Ira S. Rubinstein, </w:t>
      </w:r>
      <w:r w:rsidRPr="00DA1FE0">
        <w:rPr>
          <w:i/>
        </w:rPr>
        <w:t>Big Data:  A Pretty Good Privacy Solution</w:t>
      </w:r>
      <w:r>
        <w:t xml:space="preserve">, Future of Privacy Forum (2013), </w:t>
      </w:r>
      <w:hyperlink r:id="rId82" w:history="1">
        <w:r w:rsidRPr="00910D34">
          <w:rPr>
            <w:rStyle w:val="Hyperlink"/>
          </w:rPr>
          <w:t>http://www.futureofprivacy.org/wp-content/uploads/TECH-Rubinstein-Big-Data-A-Pretty-Good-Privacy-Solution.pdf</w:t>
        </w:r>
      </w:hyperlink>
      <w:r w:rsidRPr="001B5F20">
        <w:t>.</w:t>
      </w:r>
    </w:p>
  </w:footnote>
  <w:footnote w:id="358">
    <w:p w:rsidR="00474D51" w:rsidRPr="001B5F20" w:rsidRDefault="00474D51" w:rsidP="00324CD5">
      <w:pPr>
        <w:pStyle w:val="FootnoteText"/>
      </w:pPr>
      <w:r w:rsidRPr="001B5F20">
        <w:rPr>
          <w:rStyle w:val="FootnoteReference"/>
        </w:rPr>
        <w:footnoteRef/>
      </w:r>
      <w:r w:rsidRPr="001B5F20">
        <w:t xml:space="preserve"> </w:t>
      </w:r>
      <w:r>
        <w:t>NSTIC FIPPs Appendix</w:t>
      </w:r>
      <w:r w:rsidRPr="001B5F20">
        <w:t xml:space="preserve"> (“Organizations should only collect PII that is directly relevant and necessary to accomplish the specified purpose(s) and only retain PII for as long as is necessary to fulfill the specified purpose(s)</w:t>
      </w:r>
      <w:r>
        <w:t>.</w:t>
      </w:r>
      <w:r w:rsidRPr="001B5F20">
        <w:t xml:space="preserve">”). </w:t>
      </w:r>
    </w:p>
  </w:footnote>
  <w:footnote w:id="359">
    <w:p w:rsidR="00474D51" w:rsidRPr="001B5F20" w:rsidRDefault="00474D51" w:rsidP="00324CD5">
      <w:pPr>
        <w:pStyle w:val="FootnoteText"/>
      </w:pPr>
      <w:r w:rsidRPr="001B5F20">
        <w:rPr>
          <w:rStyle w:val="FootnoteReference"/>
        </w:rPr>
        <w:footnoteRef/>
      </w:r>
      <w:r w:rsidRPr="001B5F20">
        <w:t xml:space="preserve"> </w:t>
      </w:r>
      <w:r>
        <w:t xml:space="preserve">2012 </w:t>
      </w:r>
      <w:r w:rsidRPr="001B5F20">
        <w:t>FTC</w:t>
      </w:r>
      <w:r>
        <w:t xml:space="preserve"> Privacy</w:t>
      </w:r>
      <w:r w:rsidRPr="001B5F20">
        <w:t xml:space="preserve"> Report at 44. </w:t>
      </w:r>
    </w:p>
  </w:footnote>
  <w:footnote w:id="360">
    <w:p w:rsidR="00474D51" w:rsidRPr="001B5F20" w:rsidRDefault="00474D51" w:rsidP="00324CD5">
      <w:pPr>
        <w:pStyle w:val="FootnoteText"/>
      </w:pPr>
      <w:r w:rsidRPr="001B5F20">
        <w:rPr>
          <w:rStyle w:val="FootnoteReference"/>
        </w:rPr>
        <w:footnoteRef/>
      </w:r>
      <w:r w:rsidRPr="001B5F20">
        <w:t xml:space="preserve"> </w:t>
      </w:r>
      <w:r w:rsidRPr="00F719B2">
        <w:rPr>
          <w:i/>
        </w:rPr>
        <w:t>Id</w:t>
      </w:r>
      <w:r>
        <w:t>.</w:t>
      </w:r>
      <w:r w:rsidRPr="001B5F20">
        <w:t xml:space="preserve"> at 28. </w:t>
      </w:r>
    </w:p>
  </w:footnote>
  <w:footnote w:id="361">
    <w:p w:rsidR="00474D51" w:rsidRPr="001B5F20" w:rsidRDefault="00474D51" w:rsidP="00324CD5">
      <w:pPr>
        <w:pStyle w:val="FootnoteText"/>
      </w:pPr>
      <w:r w:rsidRPr="001B5F20">
        <w:rPr>
          <w:rStyle w:val="FootnoteReference"/>
        </w:rPr>
        <w:footnoteRef/>
      </w:r>
      <w:r w:rsidRPr="001B5F20">
        <w:t xml:space="preserve"> </w:t>
      </w:r>
      <w:r w:rsidRPr="001B5F20">
        <w:rPr>
          <w:i/>
        </w:rPr>
        <w:t>Id</w:t>
      </w:r>
      <w:r w:rsidRPr="001B5F20">
        <w:t xml:space="preserve">. </w:t>
      </w:r>
      <w:r>
        <w:t>at 29.</w:t>
      </w:r>
    </w:p>
  </w:footnote>
  <w:footnote w:id="362">
    <w:p w:rsidR="00474D51" w:rsidRPr="001B5F20" w:rsidRDefault="00474D51" w:rsidP="00324CD5">
      <w:pPr>
        <w:pStyle w:val="FootnoteText"/>
      </w:pPr>
      <w:r w:rsidRPr="001B5F20">
        <w:rPr>
          <w:rStyle w:val="FootnoteReference"/>
        </w:rPr>
        <w:footnoteRef/>
      </w:r>
      <w:r w:rsidRPr="001B5F20">
        <w:t xml:space="preserve"> 47 U.S.C. §</w:t>
      </w:r>
      <w:r>
        <w:t>§</w:t>
      </w:r>
      <w:r w:rsidRPr="001B5F20">
        <w:t xml:space="preserve"> 551(e)</w:t>
      </w:r>
      <w:r w:rsidR="00B5038C">
        <w:t>,</w:t>
      </w:r>
      <w:r>
        <w:t xml:space="preserve"> 338(i)(6)</w:t>
      </w:r>
      <w:r w:rsidRPr="001B5F20">
        <w:t xml:space="preserve">. </w:t>
      </w:r>
    </w:p>
  </w:footnote>
  <w:footnote w:id="363">
    <w:p w:rsidR="00474D51" w:rsidRPr="001B5F20" w:rsidRDefault="00474D51" w:rsidP="00324CD5">
      <w:pPr>
        <w:pStyle w:val="FootnoteText"/>
      </w:pPr>
      <w:r w:rsidRPr="001B5F20">
        <w:rPr>
          <w:rStyle w:val="FootnoteReference"/>
        </w:rPr>
        <w:footnoteRef/>
      </w:r>
      <w:r w:rsidRPr="001B5F20">
        <w:t xml:space="preserve"> 18 U.S.C. § 2710(e). </w:t>
      </w:r>
    </w:p>
  </w:footnote>
  <w:footnote w:id="364">
    <w:p w:rsidR="00474D51" w:rsidRDefault="00474D51" w:rsidP="00324CD5">
      <w:pPr>
        <w:pStyle w:val="FootnoteText"/>
      </w:pPr>
      <w:r>
        <w:rPr>
          <w:rStyle w:val="FootnoteReference"/>
        </w:rPr>
        <w:footnoteRef/>
      </w:r>
      <w:r>
        <w:t xml:space="preserve"> </w:t>
      </w:r>
      <w:r w:rsidRPr="00F719B2">
        <w:rPr>
          <w:i/>
        </w:rPr>
        <w:t>See</w:t>
      </w:r>
      <w:r>
        <w:t xml:space="preserve"> 2012 </w:t>
      </w:r>
      <w:r>
        <w:rPr>
          <w:rFonts w:eastAsia="Georgia"/>
        </w:rPr>
        <w:t>FTC Report at 28.</w:t>
      </w:r>
    </w:p>
  </w:footnote>
  <w:footnote w:id="365">
    <w:p w:rsidR="00474D51" w:rsidRPr="001B5F20" w:rsidRDefault="00474D51" w:rsidP="00324CD5">
      <w:pPr>
        <w:pStyle w:val="FootnoteText"/>
      </w:pPr>
      <w:r w:rsidRPr="001B5F20">
        <w:rPr>
          <w:rStyle w:val="FootnoteReference"/>
        </w:rPr>
        <w:footnoteRef/>
      </w:r>
      <w:r w:rsidRPr="001B5F20">
        <w:t xml:space="preserve"> </w:t>
      </w:r>
      <w:r w:rsidRPr="00F45F22">
        <w:rPr>
          <w:i/>
        </w:rPr>
        <w:t>See</w:t>
      </w:r>
      <w:r>
        <w:t xml:space="preserve"> </w:t>
      </w:r>
      <w:r w:rsidRPr="008E4041">
        <w:t>2012 FTC Privacy Report at 27-28</w:t>
      </w:r>
      <w:r>
        <w:t xml:space="preserve">; </w:t>
      </w:r>
      <w:r w:rsidRPr="00F45F22">
        <w:rPr>
          <w:i/>
        </w:rPr>
        <w:t>see also</w:t>
      </w:r>
      <w:r>
        <w:t xml:space="preserve"> </w:t>
      </w:r>
      <w:r w:rsidRPr="0090380F">
        <w:t xml:space="preserve">2016 </w:t>
      </w:r>
      <w:r w:rsidRPr="008E4041">
        <w:t xml:space="preserve">FTC Big Data Report at 1-2; </w:t>
      </w:r>
      <w:r w:rsidRPr="008E4041">
        <w:rPr>
          <w:snapToGrid w:val="0"/>
        </w:rPr>
        <w:t xml:space="preserve">Dibya Sarkar, </w:t>
      </w:r>
      <w:r w:rsidRPr="008E4041">
        <w:rPr>
          <w:i/>
          <w:iCs/>
          <w:snapToGrid w:val="0"/>
        </w:rPr>
        <w:t>Data Minimization May Work Against Finding New Discoveries, Issues, Say CES Panelists</w:t>
      </w:r>
      <w:r w:rsidRPr="008E4041">
        <w:rPr>
          <w:snapToGrid w:val="0"/>
        </w:rPr>
        <w:t xml:space="preserve">, Communications Daily, Jan. 8. 2016, at </w:t>
      </w:r>
      <w:r w:rsidRPr="0090380F">
        <w:rPr>
          <w:snapToGrid w:val="0"/>
        </w:rPr>
        <w:t>15-17</w:t>
      </w:r>
      <w:r w:rsidRPr="008E4041">
        <w:rPr>
          <w:snapToGrid w:val="0"/>
        </w:rPr>
        <w:t>.</w:t>
      </w:r>
      <w:r w:rsidRPr="001B5F20">
        <w:t xml:space="preserve">  </w:t>
      </w:r>
    </w:p>
  </w:footnote>
  <w:footnote w:id="366">
    <w:p w:rsidR="00474D51" w:rsidRDefault="00474D51" w:rsidP="00324CD5">
      <w:pPr>
        <w:pStyle w:val="FootnoteText"/>
      </w:pPr>
      <w:r>
        <w:rPr>
          <w:rStyle w:val="FootnoteReference"/>
        </w:rPr>
        <w:footnoteRef/>
      </w:r>
      <w:r>
        <w:t xml:space="preserve"> </w:t>
      </w:r>
      <w:r w:rsidRPr="00CF6D70">
        <w:rPr>
          <w:i/>
        </w:rPr>
        <w:t>See</w:t>
      </w:r>
      <w:r>
        <w:t xml:space="preserve"> 15 U.S.C. § 1681w.</w:t>
      </w:r>
    </w:p>
  </w:footnote>
  <w:footnote w:id="367">
    <w:p w:rsidR="00474D51" w:rsidRDefault="00474D51" w:rsidP="00324CD5">
      <w:pPr>
        <w:pStyle w:val="FootnoteText"/>
      </w:pPr>
      <w:r>
        <w:rPr>
          <w:rStyle w:val="FootnoteReference"/>
        </w:rPr>
        <w:footnoteRef/>
      </w:r>
      <w:r>
        <w:t xml:space="preserve"> </w:t>
      </w:r>
      <w:r w:rsidRPr="0015719A">
        <w:rPr>
          <w:i/>
        </w:rPr>
        <w:t>See</w:t>
      </w:r>
      <w:r>
        <w:t xml:space="preserve"> 16 CFR § 682.3(a); </w:t>
      </w:r>
      <w:r w:rsidRPr="0015719A">
        <w:rPr>
          <w:i/>
        </w:rPr>
        <w:t>see also</w:t>
      </w:r>
      <w:r>
        <w:t xml:space="preserve"> Federal Trade Commission, Disposal of Consumer Report Information and Records, 69 Fed. Reg. 68690 (Nov. 24, 2004).</w:t>
      </w:r>
    </w:p>
  </w:footnote>
  <w:footnote w:id="368">
    <w:p w:rsidR="00474D51" w:rsidRDefault="00474D51" w:rsidP="00324CD5">
      <w:pPr>
        <w:pStyle w:val="FootnoteText"/>
      </w:pPr>
      <w:r>
        <w:rPr>
          <w:rStyle w:val="FootnoteReference"/>
        </w:rPr>
        <w:footnoteRef/>
      </w:r>
      <w:r>
        <w:t xml:space="preserve"> </w:t>
      </w:r>
      <w:r w:rsidRPr="00CF6D70">
        <w:rPr>
          <w:i/>
        </w:rPr>
        <w:t>See</w:t>
      </w:r>
      <w:r>
        <w:t xml:space="preserve"> 16 CFR § 682.3(b).</w:t>
      </w:r>
    </w:p>
  </w:footnote>
  <w:footnote w:id="369">
    <w:p w:rsidR="00474D51" w:rsidRDefault="00474D51" w:rsidP="00324CD5">
      <w:pPr>
        <w:pStyle w:val="FootnoteText"/>
      </w:pPr>
      <w:r>
        <w:rPr>
          <w:rStyle w:val="FootnoteReference"/>
        </w:rPr>
        <w:footnoteRef/>
      </w:r>
      <w:r>
        <w:t xml:space="preserve"> </w:t>
      </w:r>
      <w:r w:rsidRPr="00CF6D70">
        <w:rPr>
          <w:i/>
        </w:rPr>
        <w:t>See, e.g.</w:t>
      </w:r>
      <w:r>
        <w:t xml:space="preserve">, </w:t>
      </w:r>
      <w:r w:rsidRPr="001F0977">
        <w:t xml:space="preserve">Ark. Code </w:t>
      </w:r>
      <w:r>
        <w:t xml:space="preserve">Ann. </w:t>
      </w:r>
      <w:r w:rsidRPr="001F0977">
        <w:t>§</w:t>
      </w:r>
      <w:r>
        <w:t xml:space="preserve"> </w:t>
      </w:r>
      <w:r w:rsidRPr="001F0977">
        <w:t>4-110-104</w:t>
      </w:r>
      <w:r>
        <w:t xml:space="preserve">(a); </w:t>
      </w:r>
      <w:r w:rsidRPr="001F0977">
        <w:t>Kan. Stat. Ann. §</w:t>
      </w:r>
      <w:r>
        <w:t xml:space="preserve"> </w:t>
      </w:r>
      <w:r w:rsidRPr="001F0977">
        <w:t>50-7a03</w:t>
      </w:r>
      <w:r>
        <w:t xml:space="preserve">; </w:t>
      </w:r>
      <w:r w:rsidRPr="001F0977">
        <w:t>N.J. Stat. Ann. §</w:t>
      </w:r>
      <w:r>
        <w:t xml:space="preserve"> </w:t>
      </w:r>
      <w:r w:rsidRPr="001F0977">
        <w:t>56:8-162</w:t>
      </w:r>
      <w:r>
        <w:t xml:space="preserve">. </w:t>
      </w:r>
    </w:p>
  </w:footnote>
  <w:footnote w:id="370">
    <w:p w:rsidR="00474D51" w:rsidRPr="00DC1F16" w:rsidRDefault="00474D51" w:rsidP="00324CD5">
      <w:pPr>
        <w:pStyle w:val="FootnoteText"/>
      </w:pPr>
      <w:r>
        <w:rPr>
          <w:rStyle w:val="FootnoteReference"/>
        </w:rPr>
        <w:footnoteRef/>
      </w:r>
      <w:r>
        <w:t xml:space="preserve"> </w:t>
      </w:r>
      <w:r>
        <w:rPr>
          <w:i/>
        </w:rPr>
        <w:t xml:space="preserve">See </w:t>
      </w:r>
      <w:r>
        <w:t xml:space="preserve">47 CFR § 64.2011; National Conference of State Legislatures, Security Breach Notification Laws (Jan. 4, 2016), </w:t>
      </w:r>
      <w:hyperlink r:id="rId83" w:history="1">
        <w:r w:rsidRPr="009B1667">
          <w:rPr>
            <w:rStyle w:val="Hyperlink"/>
          </w:rPr>
          <w:t>http://www.ncsl.org/research/telecommunications-and-information-technology/security-breach-notification-laws.aspx</w:t>
        </w:r>
      </w:hyperlink>
      <w:r>
        <w:t xml:space="preserve">; Press Release, FTC, </w:t>
      </w:r>
      <w:r w:rsidRPr="00DC1F16">
        <w:t>FTC Testifies on Proposed Data Security Legislation Before House Energy and Commerce Committee’s Commerce, Manufacturing and Trade Subcommittee</w:t>
      </w:r>
      <w:r>
        <w:t xml:space="preserve"> (Mar. 18, 2015), </w:t>
      </w:r>
      <w:hyperlink r:id="rId84" w:history="1">
        <w:r w:rsidRPr="009B1667">
          <w:rPr>
            <w:rStyle w:val="Hyperlink"/>
          </w:rPr>
          <w:t>https://www.ftc.gov/news-events/press-releases/2015/03/ftc-testifies-proposed-data-security-legislation-house-energy</w:t>
        </w:r>
      </w:hyperlink>
      <w:r>
        <w:t xml:space="preserve">. </w:t>
      </w:r>
    </w:p>
  </w:footnote>
  <w:footnote w:id="371">
    <w:p w:rsidR="00474D51" w:rsidRDefault="00474D51" w:rsidP="00324CD5">
      <w:pPr>
        <w:pStyle w:val="FootnoteText"/>
      </w:pPr>
      <w:r>
        <w:rPr>
          <w:rStyle w:val="FootnoteReference"/>
        </w:rPr>
        <w:footnoteRef/>
      </w:r>
      <w:r>
        <w:t xml:space="preserve"> </w:t>
      </w:r>
      <w:r>
        <w:rPr>
          <w:i/>
        </w:rPr>
        <w:t>See 2007 CPNI Order</w:t>
      </w:r>
      <w:r>
        <w:t>, 22 FCC Rcd at 6943, para. 27 (“Notifying law enforcement of CPNI breaches is consistent with the goal of protecting CPNI [because] [l]aw enforcement can investigate the breach, which could result in legal action against the perpetrators, thus ensuring that they do not continue to breach CPNI . . . [and] this should enable law enforcement to advise industry, the Commission, and perhaps Congress regarding additional measures that might prevent future breaches.”).</w:t>
      </w:r>
    </w:p>
  </w:footnote>
  <w:footnote w:id="372">
    <w:p w:rsidR="00474D51" w:rsidRPr="00A949C8" w:rsidRDefault="00474D51" w:rsidP="00324CD5">
      <w:pPr>
        <w:pStyle w:val="FootnoteText"/>
      </w:pPr>
      <w:r>
        <w:rPr>
          <w:rStyle w:val="FootnoteReference"/>
        </w:rPr>
        <w:footnoteRef/>
      </w:r>
      <w:r>
        <w:t xml:space="preserve"> </w:t>
      </w:r>
      <w:r>
        <w:rPr>
          <w:i/>
        </w:rPr>
        <w:t>See, e.g.</w:t>
      </w:r>
      <w:r>
        <w:t xml:space="preserve">, </w:t>
      </w:r>
      <w:r w:rsidRPr="001F0977">
        <w:rPr>
          <w:color w:val="000000"/>
          <w:shd w:val="clear" w:color="auto" w:fill="FFFFFF"/>
        </w:rPr>
        <w:t>Alaska Stat. §</w:t>
      </w:r>
      <w:r w:rsidRPr="001F0977">
        <w:rPr>
          <w:rStyle w:val="apple-converted-space"/>
          <w:color w:val="000000"/>
          <w:shd w:val="clear" w:color="auto" w:fill="FFFFFF"/>
        </w:rPr>
        <w:t> </w:t>
      </w:r>
      <w:r w:rsidRPr="00A4423F">
        <w:rPr>
          <w:bdr w:val="none" w:sz="0" w:space="0" w:color="auto" w:frame="1"/>
          <w:shd w:val="clear" w:color="auto" w:fill="FFFFFF"/>
        </w:rPr>
        <w:t>45.48.010</w:t>
      </w:r>
      <w:r w:rsidRPr="001F0977">
        <w:t>(c)</w:t>
      </w:r>
      <w:r>
        <w:t xml:space="preserve">; </w:t>
      </w:r>
      <w:r w:rsidRPr="001F0977">
        <w:t>Arizona Stat. §44-7501(G)</w:t>
      </w:r>
      <w:r>
        <w:t>;</w:t>
      </w:r>
      <w:r w:rsidRPr="0056756A">
        <w:t xml:space="preserve"> </w:t>
      </w:r>
      <w:r w:rsidRPr="001F0977">
        <w:t>Conn. Gen. Stat. §</w:t>
      </w:r>
      <w:r>
        <w:t xml:space="preserve"> </w:t>
      </w:r>
      <w:r w:rsidRPr="001F0977">
        <w:t>36a-701b(b)(1)</w:t>
      </w:r>
      <w:r>
        <w:t>.</w:t>
      </w:r>
    </w:p>
  </w:footnote>
  <w:footnote w:id="373">
    <w:p w:rsidR="00474D51" w:rsidRPr="000A0867" w:rsidRDefault="00474D51" w:rsidP="00324CD5">
      <w:pPr>
        <w:pStyle w:val="FootnoteText"/>
      </w:pPr>
      <w:r>
        <w:rPr>
          <w:rStyle w:val="FootnoteReference"/>
        </w:rPr>
        <w:footnoteRef/>
      </w:r>
      <w:r>
        <w:t xml:space="preserve"> </w:t>
      </w:r>
      <w:r>
        <w:rPr>
          <w:i/>
        </w:rPr>
        <w:t xml:space="preserve">See, </w:t>
      </w:r>
      <w:r>
        <w:t xml:space="preserve">e.g., Vt. Stat. Ann. tit. 09 § 2435(d)(1); </w:t>
      </w:r>
      <w:r w:rsidRPr="000A0867">
        <w:t>Md. Com. Law Code Ann. §</w:t>
      </w:r>
      <w:r>
        <w:t xml:space="preserve"> </w:t>
      </w:r>
      <w:r w:rsidRPr="000A0867">
        <w:t>14-3504(c)</w:t>
      </w:r>
      <w:r>
        <w:t>.</w:t>
      </w:r>
    </w:p>
  </w:footnote>
  <w:footnote w:id="374">
    <w:p w:rsidR="00474D51" w:rsidRPr="0052781D" w:rsidRDefault="00474D51" w:rsidP="00324CD5">
      <w:pPr>
        <w:pStyle w:val="FootnoteText"/>
      </w:pPr>
      <w:r>
        <w:rPr>
          <w:rStyle w:val="FootnoteReference"/>
        </w:rPr>
        <w:footnoteRef/>
      </w:r>
      <w:r>
        <w:t xml:space="preserve"> </w:t>
      </w:r>
      <w:r>
        <w:rPr>
          <w:i/>
        </w:rPr>
        <w:t xml:space="preserve">See </w:t>
      </w:r>
      <w:r w:rsidRPr="00BB52B1">
        <w:rPr>
          <w:i/>
        </w:rPr>
        <w:t>Rules and Regulations Implementing the Truth in Caller ID Act of 2009</w:t>
      </w:r>
      <w:r>
        <w:t>, Report and Order, 26 FCC Rcd 9114, 9122, para. 22 (2011) (agreeing that the term “‘harm’ is a broad concept that encompasses financial, physical, and emotional harm”).</w:t>
      </w:r>
    </w:p>
  </w:footnote>
  <w:footnote w:id="375">
    <w:p w:rsidR="00474D51" w:rsidRPr="00813E60" w:rsidRDefault="00474D51" w:rsidP="00324CD5">
      <w:pPr>
        <w:pStyle w:val="FootnoteText"/>
      </w:pPr>
      <w:r>
        <w:rPr>
          <w:rStyle w:val="FootnoteReference"/>
        </w:rPr>
        <w:footnoteRef/>
      </w:r>
      <w:r>
        <w:t xml:space="preserve"> </w:t>
      </w:r>
      <w:r>
        <w:rPr>
          <w:i/>
        </w:rPr>
        <w:t>See, e.g.</w:t>
      </w:r>
      <w:r>
        <w:t xml:space="preserve">, </w:t>
      </w:r>
      <w:r w:rsidRPr="001F0977">
        <w:t>Conn. Gen. Stat. §</w:t>
      </w:r>
      <w:r>
        <w:t xml:space="preserve"> </w:t>
      </w:r>
      <w:r w:rsidRPr="001F0977">
        <w:t>36a-701b(b)(1)</w:t>
      </w:r>
      <w:r>
        <w:t xml:space="preserve">; </w:t>
      </w:r>
      <w:r w:rsidRPr="001F0977">
        <w:t>Fla. Stat. §501.171(4)(c)</w:t>
      </w:r>
      <w:r>
        <w:t>.</w:t>
      </w:r>
    </w:p>
  </w:footnote>
  <w:footnote w:id="376">
    <w:p w:rsidR="00474D51" w:rsidRDefault="00474D51" w:rsidP="00324CD5">
      <w:pPr>
        <w:pStyle w:val="FootnoteText"/>
      </w:pPr>
      <w:r>
        <w:rPr>
          <w:rStyle w:val="FootnoteReference"/>
        </w:rPr>
        <w:footnoteRef/>
      </w:r>
      <w:r>
        <w:t xml:space="preserve"> </w:t>
      </w:r>
      <w:r w:rsidRPr="0083460E">
        <w:t>For example, Arizona requires “substantial economic loss” or the reas</w:t>
      </w:r>
      <w:r>
        <w:t xml:space="preserve">onable likelihood of this loss.  </w:t>
      </w:r>
      <w:r w:rsidRPr="0083460E">
        <w:t>Ariz. Rev. Stat. §</w:t>
      </w:r>
      <w:r>
        <w:t xml:space="preserve"> 44-7501(L)(1).  </w:t>
      </w:r>
      <w:r w:rsidRPr="0083460E">
        <w:t xml:space="preserve">Kentucky </w:t>
      </w:r>
      <w:r>
        <w:t xml:space="preserve">on the other hand </w:t>
      </w:r>
      <w:r w:rsidRPr="0083460E">
        <w:t>requires that the entity reasonably believe that the acquisition will cause or has caused “identity theft or fraud</w:t>
      </w:r>
      <w:r>
        <w:t>.</w:t>
      </w:r>
      <w:r w:rsidRPr="0083460E">
        <w:t>”  Ky. Rev. Stat. §</w:t>
      </w:r>
      <w:r>
        <w:t xml:space="preserve"> </w:t>
      </w:r>
      <w:r w:rsidRPr="0083460E">
        <w:t>365.732(1)(a).</w:t>
      </w:r>
    </w:p>
  </w:footnote>
  <w:footnote w:id="377">
    <w:p w:rsidR="00474D51" w:rsidRPr="008D7941" w:rsidRDefault="00474D51" w:rsidP="00324CD5">
      <w:pPr>
        <w:pStyle w:val="FootnoteText"/>
      </w:pPr>
      <w:r>
        <w:rPr>
          <w:rStyle w:val="FootnoteReference"/>
        </w:rPr>
        <w:footnoteRef/>
      </w:r>
      <w:r>
        <w:t xml:space="preserve"> 47 CFR § 64.2011(b)(1).  There is an exception where “</w:t>
      </w:r>
      <w:r w:rsidRPr="008D7941">
        <w:t xml:space="preserve">the carrier believes that there is an extraordinarily urgent need to notify any class of affected customers </w:t>
      </w:r>
      <w:r>
        <w:t>. . .</w:t>
      </w:r>
      <w:r w:rsidRPr="008D7941">
        <w:t xml:space="preserve"> in order to avoid immediate and irreparable harm</w:t>
      </w:r>
      <w:r>
        <w:t>.” 47 CFR § 64.2011(b)(2).</w:t>
      </w:r>
    </w:p>
  </w:footnote>
  <w:footnote w:id="378">
    <w:p w:rsidR="00474D51" w:rsidRDefault="00474D51" w:rsidP="00324CD5">
      <w:pPr>
        <w:pStyle w:val="FootnoteText"/>
      </w:pPr>
      <w:r>
        <w:rPr>
          <w:rStyle w:val="FootnoteReference"/>
        </w:rPr>
        <w:footnoteRef/>
      </w:r>
      <w:r>
        <w:t xml:space="preserve"> </w:t>
      </w:r>
      <w:r>
        <w:rPr>
          <w:i/>
        </w:rPr>
        <w:t xml:space="preserve">See </w:t>
      </w:r>
      <w:r>
        <w:t>47 CFR § 64.2011(b)(3).</w:t>
      </w:r>
    </w:p>
  </w:footnote>
  <w:footnote w:id="379">
    <w:p w:rsidR="00474D51" w:rsidRPr="00F73F6D" w:rsidRDefault="00474D51" w:rsidP="00324CD5">
      <w:pPr>
        <w:pStyle w:val="FootnoteText"/>
      </w:pPr>
      <w:r>
        <w:rPr>
          <w:rStyle w:val="FootnoteReference"/>
        </w:rPr>
        <w:footnoteRef/>
      </w:r>
      <w:r>
        <w:t xml:space="preserve"> </w:t>
      </w:r>
      <w:r>
        <w:rPr>
          <w:i/>
        </w:rPr>
        <w:t>See 2007 CPNI Order</w:t>
      </w:r>
      <w:r>
        <w:t xml:space="preserve">, 22 FCC Rcd at 6943-44, paras. 26-29. </w:t>
      </w:r>
    </w:p>
  </w:footnote>
  <w:footnote w:id="380">
    <w:p w:rsidR="00474D51" w:rsidRPr="00A15C2B" w:rsidRDefault="00474D51" w:rsidP="00324CD5">
      <w:pPr>
        <w:pStyle w:val="FootnoteText"/>
      </w:pPr>
      <w:r>
        <w:rPr>
          <w:rStyle w:val="FootnoteReference"/>
        </w:rPr>
        <w:footnoteRef/>
      </w:r>
      <w:r>
        <w:t xml:space="preserve"> </w:t>
      </w:r>
      <w:r>
        <w:rPr>
          <w:i/>
        </w:rPr>
        <w:t xml:space="preserve">See </w:t>
      </w:r>
      <w:r>
        <w:t>47 CFR § 64.2011(b)(2).</w:t>
      </w:r>
    </w:p>
  </w:footnote>
  <w:footnote w:id="381">
    <w:p w:rsidR="00474D51" w:rsidRDefault="00474D51" w:rsidP="00324CD5">
      <w:pPr>
        <w:pStyle w:val="FootnoteText"/>
      </w:pPr>
      <w:r>
        <w:rPr>
          <w:rStyle w:val="FootnoteReference"/>
        </w:rPr>
        <w:footnoteRef/>
      </w:r>
      <w:r>
        <w:t xml:space="preserve"> </w:t>
      </w:r>
      <w:r>
        <w:rPr>
          <w:i/>
        </w:rPr>
        <w:t>See, e.g.</w:t>
      </w:r>
      <w:r>
        <w:t>, Fla. Stat. § 501.171(6)) (“</w:t>
      </w:r>
      <w:r w:rsidRPr="005B1E48">
        <w:t>as expeditiously as practicable</w:t>
      </w:r>
      <w:r>
        <w:t xml:space="preserve">”); Va. Code Ann. § 18.2-186.6(D) (“without unreasonable delay”); D.C. Code § 28-3852(b) (“in the most expedient time possible”); </w:t>
      </w:r>
      <w:r w:rsidRPr="005B1E48">
        <w:t>Wyo. Stat. Ann. §</w:t>
      </w:r>
      <w:r>
        <w:t xml:space="preserve"> </w:t>
      </w:r>
      <w:r w:rsidRPr="005B1E48">
        <w:t>40-12-502(g)</w:t>
      </w:r>
      <w:r>
        <w:t xml:space="preserve"> (“as soon as practicable”).</w:t>
      </w:r>
    </w:p>
  </w:footnote>
  <w:footnote w:id="382">
    <w:p w:rsidR="00474D51" w:rsidRPr="003A23DF" w:rsidRDefault="00474D51" w:rsidP="00324CD5">
      <w:pPr>
        <w:pStyle w:val="FootnoteText"/>
      </w:pPr>
      <w:r>
        <w:rPr>
          <w:rStyle w:val="FootnoteReference"/>
        </w:rPr>
        <w:footnoteRef/>
      </w:r>
      <w:r>
        <w:t xml:space="preserve"> </w:t>
      </w:r>
      <w:r>
        <w:rPr>
          <w:i/>
        </w:rPr>
        <w:t>See, e.g.</w:t>
      </w:r>
      <w:r>
        <w:t xml:space="preserve">, </w:t>
      </w:r>
      <w:r w:rsidRPr="003A23DF">
        <w:t>Fla. Stat. §</w:t>
      </w:r>
      <w:r>
        <w:t xml:space="preserve"> </w:t>
      </w:r>
      <w:r w:rsidRPr="003A23DF">
        <w:t>501.171(4)(e)</w:t>
      </w:r>
      <w:r>
        <w:t>.</w:t>
      </w:r>
    </w:p>
  </w:footnote>
  <w:footnote w:id="383">
    <w:p w:rsidR="00474D51" w:rsidRDefault="00474D51" w:rsidP="00324CD5">
      <w:pPr>
        <w:pStyle w:val="FootnoteText"/>
      </w:pPr>
      <w:r>
        <w:rPr>
          <w:rStyle w:val="FootnoteReference"/>
        </w:rPr>
        <w:footnoteRef/>
      </w:r>
      <w:r>
        <w:t xml:space="preserve"> </w:t>
      </w:r>
      <w:r>
        <w:rPr>
          <w:i/>
        </w:rPr>
        <w:t>See, e.g.</w:t>
      </w:r>
      <w:r>
        <w:t xml:space="preserve">, W. Va. Code § 46A-2A-102(d); </w:t>
      </w:r>
      <w:r w:rsidRPr="001F0977">
        <w:t>Haw. Rev. Stat. §</w:t>
      </w:r>
      <w:r>
        <w:t xml:space="preserve"> </w:t>
      </w:r>
      <w:r w:rsidRPr="001F0977">
        <w:t>487N-2(d)</w:t>
      </w:r>
      <w:r>
        <w:t>.</w:t>
      </w:r>
    </w:p>
  </w:footnote>
  <w:footnote w:id="384">
    <w:p w:rsidR="00474D51" w:rsidRDefault="00474D51" w:rsidP="00324CD5">
      <w:pPr>
        <w:pStyle w:val="FootnoteText"/>
      </w:pPr>
      <w:r>
        <w:rPr>
          <w:rStyle w:val="FootnoteReference"/>
        </w:rPr>
        <w:footnoteRef/>
      </w:r>
      <w:r>
        <w:t xml:space="preserve"> </w:t>
      </w:r>
      <w:r>
        <w:rPr>
          <w:i/>
        </w:rPr>
        <w:t>See, e.g.</w:t>
      </w:r>
      <w:r>
        <w:t xml:space="preserve">, </w:t>
      </w:r>
      <w:r w:rsidRPr="003A23DF">
        <w:t>Fla. Stat. §</w:t>
      </w:r>
      <w:r>
        <w:t xml:space="preserve"> </w:t>
      </w:r>
      <w:r w:rsidRPr="003A23DF">
        <w:t>501.171(4)(e)</w:t>
      </w:r>
      <w:r>
        <w:t xml:space="preserve">; </w:t>
      </w:r>
      <w:r w:rsidRPr="001F0977">
        <w:t>Haw. Rev. Stat. §</w:t>
      </w:r>
      <w:r>
        <w:t xml:space="preserve"> </w:t>
      </w:r>
      <w:r w:rsidRPr="001F0977">
        <w:t>487N-2(d)</w:t>
      </w:r>
      <w:r>
        <w:t>.</w:t>
      </w:r>
    </w:p>
  </w:footnote>
  <w:footnote w:id="385">
    <w:p w:rsidR="00474D51" w:rsidRPr="003A23DF" w:rsidRDefault="00474D51" w:rsidP="00324CD5">
      <w:pPr>
        <w:pStyle w:val="FootnoteText"/>
      </w:pPr>
      <w:r>
        <w:rPr>
          <w:rStyle w:val="FootnoteReference"/>
        </w:rPr>
        <w:footnoteRef/>
      </w:r>
      <w:r>
        <w:t xml:space="preserve"> </w:t>
      </w:r>
      <w:r>
        <w:rPr>
          <w:i/>
        </w:rPr>
        <w:t>See</w:t>
      </w:r>
      <w:r w:rsidR="0051143F">
        <w:rPr>
          <w:i/>
        </w:rPr>
        <w:t>,</w:t>
      </w:r>
      <w:r>
        <w:rPr>
          <w:i/>
        </w:rPr>
        <w:t xml:space="preserve"> e.g.</w:t>
      </w:r>
      <w:r>
        <w:t xml:space="preserve">, </w:t>
      </w:r>
      <w:r w:rsidRPr="001F0977">
        <w:t>Md. Com. Law Code Ann. §</w:t>
      </w:r>
      <w:r>
        <w:t xml:space="preserve"> </w:t>
      </w:r>
      <w:r w:rsidRPr="001F0977">
        <w:t>14-3504(g)</w:t>
      </w:r>
      <w:r>
        <w:t xml:space="preserve">; </w:t>
      </w:r>
      <w:r w:rsidRPr="001F0977">
        <w:t>N.C. Gen. Stat. §</w:t>
      </w:r>
      <w:r>
        <w:t xml:space="preserve"> </w:t>
      </w:r>
      <w:r w:rsidRPr="001F0977">
        <w:t>75-65(d)</w:t>
      </w:r>
      <w:r>
        <w:t>.</w:t>
      </w:r>
    </w:p>
  </w:footnote>
  <w:footnote w:id="386">
    <w:p w:rsidR="00474D51" w:rsidRDefault="00474D51" w:rsidP="00324CD5">
      <w:pPr>
        <w:pStyle w:val="FootnoteText"/>
      </w:pPr>
      <w:r>
        <w:rPr>
          <w:rStyle w:val="FootnoteReference"/>
        </w:rPr>
        <w:footnoteRef/>
      </w:r>
      <w:r>
        <w:t xml:space="preserve"> </w:t>
      </w:r>
      <w:r>
        <w:rPr>
          <w:i/>
        </w:rPr>
        <w:t>See, e.g.</w:t>
      </w:r>
      <w:r>
        <w:t xml:space="preserve">, </w:t>
      </w:r>
      <w:r w:rsidRPr="001F0977">
        <w:t>Mo. Rev. Stat. §407.1500(2)(4)</w:t>
      </w:r>
      <w:r>
        <w:t xml:space="preserve">; </w:t>
      </w:r>
      <w:r w:rsidRPr="001F0977">
        <w:t>Ill. Comp. Stat. 815 §</w:t>
      </w:r>
      <w:r>
        <w:t xml:space="preserve"> </w:t>
      </w:r>
      <w:r w:rsidRPr="001F0977">
        <w:t>530/10(a)</w:t>
      </w:r>
      <w:r>
        <w:t xml:space="preserve">; </w:t>
      </w:r>
      <w:r w:rsidRPr="001F0977">
        <w:t>Cal. Civ. Code §</w:t>
      </w:r>
      <w:r>
        <w:t xml:space="preserve"> </w:t>
      </w:r>
      <w:r w:rsidRPr="001F0977">
        <w:t>1798.82(d)</w:t>
      </w:r>
      <w:r>
        <w:t>.</w:t>
      </w:r>
    </w:p>
  </w:footnote>
  <w:footnote w:id="387">
    <w:p w:rsidR="00474D51" w:rsidRPr="00732974" w:rsidRDefault="00474D51" w:rsidP="00324CD5">
      <w:pPr>
        <w:pStyle w:val="FootnoteText"/>
      </w:pPr>
      <w:r>
        <w:rPr>
          <w:rStyle w:val="FootnoteReference"/>
        </w:rPr>
        <w:footnoteRef/>
      </w:r>
      <w:r>
        <w:t xml:space="preserve"> </w:t>
      </w:r>
      <w:r>
        <w:rPr>
          <w:i/>
        </w:rPr>
        <w:t>See 2007 CPNI Order</w:t>
      </w:r>
      <w:r>
        <w:t>, 22 FCC Rcd at 6945, para. 32.</w:t>
      </w:r>
    </w:p>
  </w:footnote>
  <w:footnote w:id="388">
    <w:p w:rsidR="00474D51" w:rsidRPr="00A76F55" w:rsidRDefault="00474D51" w:rsidP="00324CD5">
      <w:pPr>
        <w:pStyle w:val="FootnoteText"/>
      </w:pPr>
      <w:r>
        <w:rPr>
          <w:rStyle w:val="FootnoteReference"/>
        </w:rPr>
        <w:footnoteRef/>
      </w:r>
      <w:r>
        <w:t xml:space="preserve"> </w:t>
      </w:r>
      <w:r>
        <w:rPr>
          <w:i/>
        </w:rPr>
        <w:t>See id</w:t>
      </w:r>
      <w:r>
        <w:t>.</w:t>
      </w:r>
    </w:p>
  </w:footnote>
  <w:footnote w:id="389">
    <w:p w:rsidR="00474D51" w:rsidRPr="002B6952" w:rsidRDefault="00474D51" w:rsidP="00324CD5">
      <w:pPr>
        <w:pStyle w:val="FootnoteText"/>
      </w:pPr>
      <w:r>
        <w:rPr>
          <w:rStyle w:val="FootnoteReference"/>
        </w:rPr>
        <w:footnoteRef/>
      </w:r>
      <w:r>
        <w:t xml:space="preserve"> </w:t>
      </w:r>
      <w:r>
        <w:rPr>
          <w:i/>
        </w:rPr>
        <w:t>See</w:t>
      </w:r>
      <w:r>
        <w:t xml:space="preserve"> 45 CFR § 164.404(d)(1).  We believe that the HIPAA rule’s provision for substitute notice is not necessary here, where we would expect carriers to have reasonably current contact information about customers affected by a breach.</w:t>
      </w:r>
    </w:p>
  </w:footnote>
  <w:footnote w:id="390">
    <w:p w:rsidR="00474D51" w:rsidRPr="00710462" w:rsidRDefault="00474D51" w:rsidP="00324CD5">
      <w:pPr>
        <w:pStyle w:val="FootnoteText"/>
      </w:pPr>
      <w:r w:rsidRPr="002B6952">
        <w:rPr>
          <w:rStyle w:val="FootnoteReference"/>
        </w:rPr>
        <w:footnoteRef/>
      </w:r>
      <w:r w:rsidRPr="002B6952">
        <w:t xml:space="preserve"> </w:t>
      </w:r>
      <w:r w:rsidRPr="002B6952">
        <w:rPr>
          <w:i/>
        </w:rPr>
        <w:t>See, e.g.</w:t>
      </w:r>
      <w:r w:rsidRPr="002B6952">
        <w:t>, N.Y. Gen. Bus. Law § 899-aa(5)</w:t>
      </w:r>
      <w:r>
        <w:t xml:space="preserve">; </w:t>
      </w:r>
      <w:r w:rsidRPr="001F0977">
        <w:t>Arizona Rev. Stat. §</w:t>
      </w:r>
      <w:r>
        <w:t xml:space="preserve"> </w:t>
      </w:r>
      <w:r w:rsidRPr="001F0977">
        <w:t>44-7501(D)</w:t>
      </w:r>
      <w:r>
        <w:t xml:space="preserve">; </w:t>
      </w:r>
      <w:r w:rsidRPr="002B6952">
        <w:t>Ark. Code §</w:t>
      </w:r>
      <w:r>
        <w:t xml:space="preserve"> </w:t>
      </w:r>
      <w:r w:rsidRPr="002B6952">
        <w:t>4-110-105(e); Colo. Rev. Stat. §</w:t>
      </w:r>
      <w:r>
        <w:t xml:space="preserve"> </w:t>
      </w:r>
      <w:r w:rsidRPr="002B6952">
        <w:t>6-1-716</w:t>
      </w:r>
      <w:r>
        <w:t>(1)(c)</w:t>
      </w:r>
      <w:r w:rsidRPr="002B6952">
        <w:t xml:space="preserve">.  Some states, however, allow for substitute notice depending on the cost and number of affected individuals. </w:t>
      </w:r>
      <w:r>
        <w:t xml:space="preserve"> </w:t>
      </w:r>
      <w:r w:rsidRPr="002B6952">
        <w:rPr>
          <w:i/>
        </w:rPr>
        <w:t>See, e.g.</w:t>
      </w:r>
      <w:r w:rsidRPr="002B6952">
        <w:t>, Me. Stat. tit. 10 §</w:t>
      </w:r>
      <w:r>
        <w:t xml:space="preserve"> </w:t>
      </w:r>
      <w:r w:rsidRPr="002B6952">
        <w:t>1347(4)(C) ($5,000 or 1,000 residents); Mich. Comp. Laws §</w:t>
      </w:r>
      <w:r>
        <w:t xml:space="preserve"> </w:t>
      </w:r>
      <w:r w:rsidRPr="002B6952">
        <w:t xml:space="preserve">445.72(12)(5)(d) ($250,000 and 500,000 residents).   </w:t>
      </w:r>
    </w:p>
  </w:footnote>
  <w:footnote w:id="391">
    <w:p w:rsidR="00474D51" w:rsidRDefault="00474D51" w:rsidP="00324CD5">
      <w:pPr>
        <w:pStyle w:val="FootnoteText"/>
      </w:pPr>
      <w:r>
        <w:rPr>
          <w:rStyle w:val="FootnoteReference"/>
        </w:rPr>
        <w:footnoteRef/>
      </w:r>
      <w:r>
        <w:t xml:space="preserve"> </w:t>
      </w:r>
      <w:r w:rsidRPr="005B1E48">
        <w:rPr>
          <w:i/>
        </w:rPr>
        <w:t>See</w:t>
      </w:r>
      <w:r w:rsidRPr="002207DE">
        <w:rPr>
          <w:i/>
        </w:rPr>
        <w:t>,</w:t>
      </w:r>
      <w:r>
        <w:t xml:space="preserve"> </w:t>
      </w:r>
      <w:r w:rsidRPr="005B1E48">
        <w:rPr>
          <w:i/>
        </w:rPr>
        <w:t>e.g</w:t>
      </w:r>
      <w:r>
        <w:t xml:space="preserve">., </w:t>
      </w:r>
      <w:r w:rsidRPr="00256DA1">
        <w:t>N.J. Stat. Ann. §</w:t>
      </w:r>
      <w:r>
        <w:t xml:space="preserve"> </w:t>
      </w:r>
      <w:r w:rsidRPr="00256DA1">
        <w:t>56:8-163(c)(1)</w:t>
      </w:r>
      <w:r>
        <w:t xml:space="preserve"> (requiring notification of the state police); </w:t>
      </w:r>
      <w:r w:rsidRPr="001F0977">
        <w:t>N.Y. Gen. Bus. Law §</w:t>
      </w:r>
      <w:r>
        <w:t xml:space="preserve"> </w:t>
      </w:r>
      <w:r w:rsidRPr="001F0977">
        <w:t>899-aa(8)(a)</w:t>
      </w:r>
      <w:r>
        <w:t xml:space="preserve"> (requiring notification of the state attorney general and the state police).  </w:t>
      </w:r>
      <w:r>
        <w:rPr>
          <w:i/>
        </w:rPr>
        <w:t>But see</w:t>
      </w:r>
      <w:r w:rsidRPr="006B23F0">
        <w:rPr>
          <w:i/>
        </w:rPr>
        <w:t>,</w:t>
      </w:r>
      <w:r>
        <w:rPr>
          <w:i/>
        </w:rPr>
        <w:t xml:space="preserve"> </w:t>
      </w:r>
      <w:r w:rsidRPr="00777A68">
        <w:rPr>
          <w:i/>
        </w:rPr>
        <w:t>e.g</w:t>
      </w:r>
      <w:r>
        <w:t>.,</w:t>
      </w:r>
      <w:r w:rsidRPr="00256DA1">
        <w:t xml:space="preserve"> Md. Com. Law Code Ann. §</w:t>
      </w:r>
      <w:r>
        <w:t xml:space="preserve"> </w:t>
      </w:r>
      <w:r w:rsidRPr="00256DA1">
        <w:t>14-3504(h)</w:t>
      </w:r>
      <w:r>
        <w:t xml:space="preserve"> (requiring notification of the state attorney general); </w:t>
      </w:r>
      <w:r w:rsidRPr="00256DA1">
        <w:t>Me. Stat. Rev. tit. 10 §</w:t>
      </w:r>
      <w:r>
        <w:t xml:space="preserve"> </w:t>
      </w:r>
      <w:r w:rsidRPr="00256DA1">
        <w:t>1348(5)</w:t>
      </w:r>
      <w:r>
        <w:t xml:space="preserve"> (requiring notification to a state entity or to the attorney general).</w:t>
      </w:r>
    </w:p>
  </w:footnote>
  <w:footnote w:id="392">
    <w:p w:rsidR="00474D51" w:rsidRDefault="00474D51" w:rsidP="00324CD5">
      <w:pPr>
        <w:pStyle w:val="FootnoteText"/>
      </w:pPr>
      <w:r>
        <w:rPr>
          <w:rStyle w:val="FootnoteReference"/>
        </w:rPr>
        <w:footnoteRef/>
      </w:r>
      <w:r>
        <w:t xml:space="preserve"> </w:t>
      </w:r>
      <w:r>
        <w:rPr>
          <w:i/>
        </w:rPr>
        <w:t>See, e.g.</w:t>
      </w:r>
      <w:r>
        <w:t xml:space="preserve">, Data Security and Breach Notification Act of 2015, H.R. 1770, 114th Cong. § 3(a)(5) (2015) (requiring 10,000 individuals); Data Security and Breach Notification Act of 2015, S. 177, 114th Cong. § 4 (2015) (requiring 10,000 individuals). </w:t>
      </w:r>
    </w:p>
  </w:footnote>
  <w:footnote w:id="393">
    <w:p w:rsidR="00474D51" w:rsidRPr="00A04B40" w:rsidRDefault="00474D51" w:rsidP="00324CD5">
      <w:pPr>
        <w:pStyle w:val="FootnoteText"/>
      </w:pPr>
      <w:r>
        <w:rPr>
          <w:rStyle w:val="FootnoteReference"/>
        </w:rPr>
        <w:footnoteRef/>
      </w:r>
      <w:r>
        <w:t xml:space="preserve"> White House, Legislative Language for P</w:t>
      </w:r>
      <w:r w:rsidRPr="00256DA1">
        <w:t>ersonal Dat</w:t>
      </w:r>
      <w:r>
        <w:t xml:space="preserve">a Notification &amp; Protection Act at 7-8 (2015), </w:t>
      </w:r>
      <w:hyperlink r:id="rId85" w:history="1">
        <w:r w:rsidRPr="000D330F">
          <w:rPr>
            <w:rStyle w:val="Hyperlink"/>
          </w:rPr>
          <w:t>https://www.whitehouse.gov/sites/default/files/omb/legislative/letters/data-breach-notification.pdf</w:t>
        </w:r>
      </w:hyperlink>
      <w:r>
        <w:t xml:space="preserve"> (last visited Mar. 23, 2016) (requiring 5,000 individuals).</w:t>
      </w:r>
    </w:p>
  </w:footnote>
  <w:footnote w:id="394">
    <w:p w:rsidR="00474D51" w:rsidRPr="00BC2C6E" w:rsidRDefault="00474D51" w:rsidP="00324CD5">
      <w:pPr>
        <w:pStyle w:val="FootnoteText"/>
      </w:pPr>
      <w:r>
        <w:rPr>
          <w:rStyle w:val="FootnoteReference"/>
        </w:rPr>
        <w:footnoteRef/>
      </w:r>
      <w:r>
        <w:t xml:space="preserve"> </w:t>
      </w:r>
      <w:r>
        <w:rPr>
          <w:i/>
        </w:rPr>
        <w:t>See, e.g.</w:t>
      </w:r>
      <w:r>
        <w:t xml:space="preserve">, </w:t>
      </w:r>
      <w:r w:rsidRPr="00BC2C6E">
        <w:t>Ga. Code Ann. §10-1-912(d)</w:t>
      </w:r>
      <w:r>
        <w:t xml:space="preserve">; </w:t>
      </w:r>
      <w:r w:rsidRPr="00BC2C6E">
        <w:t>Tex. Bus. &amp; Com. Code Ann. §521.053(h)</w:t>
      </w:r>
      <w:r>
        <w:t>.  We note that these agencies are different from law enforcement, but the reason to contact either type of agency with such information is to monitor and protect against harmful misuse of the information.</w:t>
      </w:r>
    </w:p>
  </w:footnote>
  <w:footnote w:id="395">
    <w:p w:rsidR="00474D51" w:rsidRDefault="00474D51" w:rsidP="00324CD5">
      <w:pPr>
        <w:pStyle w:val="FootnoteText"/>
      </w:pPr>
      <w:r>
        <w:rPr>
          <w:rStyle w:val="FootnoteReference"/>
        </w:rPr>
        <w:footnoteRef/>
      </w:r>
      <w:r>
        <w:t xml:space="preserve"> 47 CFR § 64.2011(b).</w:t>
      </w:r>
    </w:p>
  </w:footnote>
  <w:footnote w:id="396">
    <w:p w:rsidR="00474D51" w:rsidRPr="004E2964" w:rsidRDefault="00474D51" w:rsidP="00324CD5">
      <w:pPr>
        <w:pStyle w:val="FootnoteText"/>
      </w:pPr>
      <w:r>
        <w:rPr>
          <w:rStyle w:val="FootnoteReference"/>
        </w:rPr>
        <w:footnoteRef/>
      </w:r>
      <w:r>
        <w:t xml:space="preserve"> </w:t>
      </w:r>
      <w:r>
        <w:rPr>
          <w:i/>
        </w:rPr>
        <w:t xml:space="preserve">See supra </w:t>
      </w:r>
      <w:r>
        <w:t xml:space="preserve">para. </w:t>
      </w:r>
      <w:r>
        <w:fldChar w:fldCharType="begin"/>
      </w:r>
      <w:r>
        <w:instrText xml:space="preserve"> REF _Ref445294138 \r \h </w:instrText>
      </w:r>
      <w:r>
        <w:fldChar w:fldCharType="separate"/>
      </w:r>
      <w:r w:rsidR="00327397">
        <w:t>242</w:t>
      </w:r>
      <w:r>
        <w:fldChar w:fldCharType="end"/>
      </w:r>
      <w:r>
        <w:t>.</w:t>
      </w:r>
    </w:p>
  </w:footnote>
  <w:footnote w:id="397">
    <w:p w:rsidR="00474D51" w:rsidRPr="00193C0F" w:rsidRDefault="00474D51" w:rsidP="00324CD5">
      <w:pPr>
        <w:pStyle w:val="FootnoteText"/>
      </w:pPr>
      <w:r>
        <w:rPr>
          <w:rStyle w:val="FootnoteReference"/>
        </w:rPr>
        <w:footnoteRef/>
      </w:r>
      <w:r>
        <w:t xml:space="preserve"> 47 CFR § 64.2011(b).  </w:t>
      </w:r>
      <w:r>
        <w:rPr>
          <w:i/>
        </w:rPr>
        <w:t xml:space="preserve">See </w:t>
      </w:r>
      <w:r>
        <w:t xml:space="preserve">Federal Communications Commission, CPNI Breach Reporting Facility, </w:t>
      </w:r>
      <w:hyperlink r:id="rId86" w:history="1">
        <w:r w:rsidRPr="000D330F">
          <w:rPr>
            <w:rStyle w:val="Hyperlink"/>
          </w:rPr>
          <w:t xml:space="preserve"> https://www.fcc.gov/general/cpni-breach-reporting-facility</w:t>
        </w:r>
        <w:r w:rsidRPr="002C2442" w:rsidDel="00A35039">
          <w:rPr>
            <w:rStyle w:val="Hyperlink"/>
          </w:rPr>
          <w:t xml:space="preserve"> </w:t>
        </w:r>
      </w:hyperlink>
      <w:r>
        <w:t>(last visited Mar. 23, 2016).  The website explains that “[p]</w:t>
      </w:r>
      <w:r w:rsidRPr="00193C0F">
        <w:t xml:space="preserve">ursuant to </w:t>
      </w:r>
      <w:r>
        <w:t>Section 64.2011 of the Commission’</w:t>
      </w:r>
      <w:r w:rsidRPr="00193C0F">
        <w:t xml:space="preserve">s rules (47 </w:t>
      </w:r>
      <w:r>
        <w:t xml:space="preserve">CFR </w:t>
      </w:r>
      <w:r w:rsidRPr="00193C0F">
        <w:t xml:space="preserve">§ 64.2011), a telecommunications carrier or interconnected VOIP provider that determines that a person, without authorization or exceeding authorization, has intentionally gained access to, used, or disclosed CPNI is required to electronically notify the United States Secret Service and the Federal Bureau of Investigation through a central reporting facility. </w:t>
      </w:r>
      <w:r>
        <w:t xml:space="preserve"> </w:t>
      </w:r>
      <w:r w:rsidRPr="00193C0F">
        <w:t xml:space="preserve">That facility is available at </w:t>
      </w:r>
      <w:hyperlink r:id="rId87" w:history="1">
        <w:r w:rsidRPr="00671814">
          <w:rPr>
            <w:rStyle w:val="Hyperlink"/>
          </w:rPr>
          <w:t>https://www.cpnireporting.gov</w:t>
        </w:r>
      </w:hyperlink>
      <w:r>
        <w:t xml:space="preserve">.”  </w:t>
      </w:r>
      <w:r w:rsidRPr="00193C0F">
        <w:rPr>
          <w:i/>
        </w:rPr>
        <w:t>I</w:t>
      </w:r>
      <w:r>
        <w:rPr>
          <w:i/>
        </w:rPr>
        <w:t xml:space="preserve">d. </w:t>
      </w:r>
      <w:r>
        <w:t xml:space="preserve"> As explained above, our new proposal would make this the reporting facility for all telecommunications carriers.  </w:t>
      </w:r>
      <w:r>
        <w:rPr>
          <w:i/>
        </w:rPr>
        <w:t xml:space="preserve"> </w:t>
      </w:r>
      <w:r>
        <w:t xml:space="preserve"> </w:t>
      </w:r>
    </w:p>
  </w:footnote>
  <w:footnote w:id="398">
    <w:p w:rsidR="00474D51" w:rsidRPr="001F5F7E" w:rsidRDefault="00474D51" w:rsidP="00324CD5">
      <w:pPr>
        <w:pStyle w:val="FootnoteText"/>
      </w:pPr>
      <w:r>
        <w:rPr>
          <w:rStyle w:val="FootnoteReference"/>
        </w:rPr>
        <w:footnoteRef/>
      </w:r>
      <w:r>
        <w:t xml:space="preserve"> </w:t>
      </w:r>
      <w:r>
        <w:rPr>
          <w:i/>
        </w:rPr>
        <w:t>See</w:t>
      </w:r>
      <w:r>
        <w:t xml:space="preserve"> 47 CFR § 64.2011(d).</w:t>
      </w:r>
    </w:p>
  </w:footnote>
  <w:footnote w:id="399">
    <w:p w:rsidR="00474D51" w:rsidRPr="007A51CF" w:rsidRDefault="00474D51" w:rsidP="00324CD5">
      <w:pPr>
        <w:pStyle w:val="FootnoteText"/>
      </w:pPr>
      <w:r>
        <w:rPr>
          <w:rStyle w:val="FootnoteReference"/>
        </w:rPr>
        <w:footnoteRef/>
      </w:r>
      <w:r>
        <w:t xml:space="preserve"> </w:t>
      </w:r>
      <w:r>
        <w:rPr>
          <w:i/>
        </w:rPr>
        <w:t xml:space="preserve">See supra </w:t>
      </w:r>
      <w:r>
        <w:t>Part</w:t>
      </w:r>
      <w:r w:rsidRPr="007A51CF">
        <w:t xml:space="preserve"> </w:t>
      </w:r>
      <w:r>
        <w:fldChar w:fldCharType="begin"/>
      </w:r>
      <w:r>
        <w:instrText xml:space="preserve"> REF _Ref445294305 \r \h </w:instrText>
      </w:r>
      <w:r>
        <w:fldChar w:fldCharType="separate"/>
      </w:r>
      <w:r w:rsidR="00327397">
        <w:t>III.F</w:t>
      </w:r>
      <w:r>
        <w:fldChar w:fldCharType="end"/>
      </w:r>
      <w:r>
        <w:t>.</w:t>
      </w:r>
    </w:p>
  </w:footnote>
  <w:footnote w:id="400">
    <w:p w:rsidR="00474D51" w:rsidRDefault="00474D51" w:rsidP="00324CD5">
      <w:pPr>
        <w:pStyle w:val="FootnoteText"/>
      </w:pPr>
      <w:r>
        <w:rPr>
          <w:rStyle w:val="FootnoteReference"/>
        </w:rPr>
        <w:footnoteRef/>
      </w:r>
      <w:r>
        <w:t xml:space="preserve"> </w:t>
      </w:r>
      <w:r>
        <w:rPr>
          <w:i/>
        </w:rPr>
        <w:t xml:space="preserve">See supra </w:t>
      </w:r>
      <w:r>
        <w:t>paras. 88-93, seeking comment on whether privacy policy notices should be more standardized and whether the Commission and/or the Consumer Advisory Committee (CAC) should develop a standardized template for such notices.</w:t>
      </w:r>
    </w:p>
  </w:footnote>
  <w:footnote w:id="401">
    <w:p w:rsidR="00474D51" w:rsidRPr="001B5F20" w:rsidRDefault="00474D51" w:rsidP="00324CD5">
      <w:pPr>
        <w:pStyle w:val="FootnoteText"/>
      </w:pPr>
      <w:r w:rsidRPr="001B5F20">
        <w:rPr>
          <w:rStyle w:val="FootnoteReference"/>
        </w:rPr>
        <w:footnoteRef/>
      </w:r>
      <w:r w:rsidRPr="001B5F20">
        <w:t xml:space="preserve"> 2012 FTC Privacy Report at 52.</w:t>
      </w:r>
    </w:p>
  </w:footnote>
  <w:footnote w:id="402">
    <w:p w:rsidR="00474D51" w:rsidRPr="001B5F20" w:rsidRDefault="00474D51" w:rsidP="00324CD5">
      <w:pPr>
        <w:pStyle w:val="FootnoteText"/>
      </w:pPr>
      <w:r w:rsidRPr="001B5F20">
        <w:rPr>
          <w:rStyle w:val="FootnoteReference"/>
        </w:rPr>
        <w:footnoteRef/>
      </w:r>
      <w:r w:rsidRPr="001B5F20">
        <w:t xml:space="preserve"> </w:t>
      </w:r>
      <w:r>
        <w:rPr>
          <w:i/>
        </w:rPr>
        <w:t>Id</w:t>
      </w:r>
      <w:r w:rsidRPr="001B5F20">
        <w:t>.</w:t>
      </w:r>
    </w:p>
  </w:footnote>
  <w:footnote w:id="403">
    <w:p w:rsidR="00474D51" w:rsidRPr="001B5F20" w:rsidRDefault="00474D51" w:rsidP="00324CD5">
      <w:pPr>
        <w:pStyle w:val="FootnoteText"/>
      </w:pPr>
      <w:r w:rsidRPr="001B5F20">
        <w:rPr>
          <w:rStyle w:val="FootnoteReference"/>
        </w:rPr>
        <w:footnoteRef/>
      </w:r>
      <w:r w:rsidRPr="001B5F20">
        <w:t xml:space="preserve"> </w:t>
      </w:r>
      <w:r w:rsidRPr="001B5F20">
        <w:rPr>
          <w:i/>
        </w:rPr>
        <w:t xml:space="preserve">See </w:t>
      </w:r>
      <w:r w:rsidRPr="001B5F20">
        <w:t xml:space="preserve">Natasha Singer, </w:t>
      </w:r>
      <w:r w:rsidRPr="001B5F20">
        <w:rPr>
          <w:i/>
        </w:rPr>
        <w:t>AT&amp;T’s Offer: Share Your Data for Personalized Ads, or Pay More</w:t>
      </w:r>
      <w:r w:rsidRPr="001B5F20">
        <w:t xml:space="preserve">, N.Y. Times (Feb. 18, 2015), </w:t>
      </w:r>
      <w:hyperlink r:id="rId88" w:history="1">
        <w:r w:rsidRPr="001B5F20">
          <w:rPr>
            <w:rStyle w:val="Hyperlink"/>
          </w:rPr>
          <w:t>http://bits.blogs.nytimes.com/2015/02/18/atts-offer-share-your-data-for-personalized-ads-or-pay-more/?_r=0</w:t>
        </w:r>
      </w:hyperlink>
      <w:r w:rsidRPr="00521D34">
        <w:t>;</w:t>
      </w:r>
      <w:r>
        <w:rPr>
          <w:rStyle w:val="Hyperlink"/>
        </w:rPr>
        <w:t xml:space="preserve"> </w:t>
      </w:r>
      <w:r w:rsidRPr="001B5F20">
        <w:t xml:space="preserve">AT&amp;T, </w:t>
      </w:r>
      <w:r w:rsidRPr="001B5F20">
        <w:rPr>
          <w:i/>
        </w:rPr>
        <w:t>U-verse with AT&amp;T GigaPower Internet Preferences</w:t>
      </w:r>
      <w:r w:rsidRPr="001B5F20">
        <w:t xml:space="preserve">, </w:t>
      </w:r>
      <w:hyperlink r:id="rId89" w:anchor="!/u-verse-high-speed-internet/KM1011211?source=redirect" w:history="1">
        <w:r w:rsidRPr="001B5F20">
          <w:rPr>
            <w:rStyle w:val="Hyperlink"/>
          </w:rPr>
          <w:t>http://www.att.com/esupport/article.html#!/u-verse-high-speed-internet/KM1011211?source=redirect</w:t>
        </w:r>
      </w:hyperlink>
      <w:r w:rsidRPr="001B5F20">
        <w:t xml:space="preserve"> (last visited </w:t>
      </w:r>
      <w:r>
        <w:t>Mar</w:t>
      </w:r>
      <w:r w:rsidRPr="001B5F20">
        <w:t>. 2</w:t>
      </w:r>
      <w:r>
        <w:t>4</w:t>
      </w:r>
      <w:r w:rsidRPr="001B5F20">
        <w:t>, 201</w:t>
      </w:r>
      <w:r>
        <w:t>6</w:t>
      </w:r>
      <w:r w:rsidRPr="001B5F20">
        <w:t xml:space="preserve">).  As part of the Premiere pricing program, AT&amp;T collects information concerning “[t]he webpages </w:t>
      </w:r>
      <w:r>
        <w:t>[customers]</w:t>
      </w:r>
      <w:r w:rsidRPr="001B5F20">
        <w:t xml:space="preserve"> visit, the time </w:t>
      </w:r>
      <w:r>
        <w:t>[customers]</w:t>
      </w:r>
      <w:r w:rsidRPr="001B5F20">
        <w:t xml:space="preserve"> spend on each, the links or ads </w:t>
      </w:r>
      <w:r>
        <w:t>[customers]</w:t>
      </w:r>
      <w:r w:rsidRPr="001B5F20">
        <w:t xml:space="preserve"> see and follow, and the search terms </w:t>
      </w:r>
      <w:r>
        <w:t>[customers]</w:t>
      </w:r>
      <w:r w:rsidRPr="001B5F20">
        <w:t xml:space="preserve"> enter,” however</w:t>
      </w:r>
      <w:r>
        <w:t>,</w:t>
      </w:r>
      <w:r w:rsidRPr="001B5F20">
        <w:t xml:space="preserve"> it does not collect information from secure or encrypted sites, such as those using the https protocol.  AT&amp;T, </w:t>
      </w:r>
      <w:r w:rsidRPr="001B5F20">
        <w:rPr>
          <w:i/>
        </w:rPr>
        <w:t>U-verse with AT&amp;T GigaPower Internet Preferences</w:t>
      </w:r>
      <w:r w:rsidRPr="001B5F20">
        <w:t xml:space="preserve">, </w:t>
      </w:r>
      <w:hyperlink r:id="rId90" w:anchor="!/u-verse-high-speed-internet/KM1011211?source=redirect" w:history="1">
        <w:r w:rsidRPr="001B5F20">
          <w:rPr>
            <w:rStyle w:val="Hyperlink"/>
          </w:rPr>
          <w:t>http://www.att.com/esupport/article.html#!/u-verse-high-speed-internet/KM1011211?source=redirect</w:t>
        </w:r>
      </w:hyperlink>
      <w:r w:rsidRPr="001B5F20">
        <w:t xml:space="preserve"> (last visited </w:t>
      </w:r>
      <w:r>
        <w:t>Mar</w:t>
      </w:r>
      <w:r w:rsidRPr="001B5F20">
        <w:t>. 2</w:t>
      </w:r>
      <w:r>
        <w:t>4</w:t>
      </w:r>
      <w:r w:rsidRPr="001B5F20">
        <w:t>, 201</w:t>
      </w:r>
      <w:r>
        <w:t>6</w:t>
      </w:r>
      <w:r w:rsidRPr="001B5F20">
        <w:t>).  Customers who elect to participate in the program have their I</w:t>
      </w:r>
      <w:r>
        <w:t>nternet traffic “routed to AT&amp;T’</w:t>
      </w:r>
      <w:r w:rsidRPr="001B5F20">
        <w:t xml:space="preserve">s Internet Preferences web browsing and analytics platform,” while customers who select to pay for the more expensive “Regular Offer” do not.  </w:t>
      </w:r>
      <w:r w:rsidRPr="001B5F20">
        <w:rPr>
          <w:i/>
        </w:rPr>
        <w:t>Id</w:t>
      </w:r>
      <w:r w:rsidRPr="0084238D">
        <w:t>.</w:t>
      </w:r>
      <w:r w:rsidRPr="00830697">
        <w:t xml:space="preserve"> </w:t>
      </w:r>
      <w:r w:rsidRPr="0084238D">
        <w:t xml:space="preserve"> </w:t>
      </w:r>
      <w:r w:rsidRPr="001B5F20">
        <w:t xml:space="preserve">However, AT&amp;T notes that it nonetheless “may collect and use web browsing information for other purposes, as described in </w:t>
      </w:r>
      <w:r>
        <w:t>[AT&amp;T’s]</w:t>
      </w:r>
      <w:r w:rsidRPr="001B5F20">
        <w:t xml:space="preserve"> Privacy Policy, even [for customers who] do not participate in the Internet Preferences program.”  </w:t>
      </w:r>
      <w:r w:rsidRPr="001B5F20">
        <w:rPr>
          <w:i/>
        </w:rPr>
        <w:t>Id</w:t>
      </w:r>
      <w:r w:rsidRPr="001B5F20">
        <w:t xml:space="preserve">.  </w:t>
      </w:r>
    </w:p>
  </w:footnote>
  <w:footnote w:id="404">
    <w:p w:rsidR="00474D51" w:rsidRPr="001B5F20" w:rsidRDefault="00474D51" w:rsidP="00324CD5">
      <w:pPr>
        <w:pStyle w:val="FootnoteText"/>
      </w:pPr>
      <w:r w:rsidRPr="001B5F20">
        <w:rPr>
          <w:rStyle w:val="FootnoteReference"/>
        </w:rPr>
        <w:footnoteRef/>
      </w:r>
      <w:r w:rsidRPr="001B5F20">
        <w:t xml:space="preserve"> Natasha Singer, </w:t>
      </w:r>
      <w:r w:rsidRPr="001B5F20">
        <w:rPr>
          <w:i/>
        </w:rPr>
        <w:t>AT&amp;T’s Offer: Share Your Data for Personalized Ads, or Pay More</w:t>
      </w:r>
      <w:r w:rsidRPr="001B5F20">
        <w:t xml:space="preserve">, N.Y. Times (Feb. 18, 2015), </w:t>
      </w:r>
      <w:hyperlink r:id="rId91" w:history="1">
        <w:r w:rsidRPr="001B5F20">
          <w:rPr>
            <w:rStyle w:val="Hyperlink"/>
          </w:rPr>
          <w:t>http://bits.blogs.nytimes.com/2015/02/18/atts-offer-share-your-data-for-personalized-ads-or-pay-more/?_r=0</w:t>
        </w:r>
      </w:hyperlink>
      <w:r w:rsidRPr="001B5F20">
        <w:t>.</w:t>
      </w:r>
    </w:p>
  </w:footnote>
  <w:footnote w:id="405">
    <w:p w:rsidR="00474D51" w:rsidRPr="008523D6" w:rsidRDefault="00474D51" w:rsidP="00324CD5">
      <w:pPr>
        <w:pStyle w:val="FootnoteText"/>
      </w:pPr>
      <w:r>
        <w:rPr>
          <w:rStyle w:val="FootnoteReference"/>
        </w:rPr>
        <w:footnoteRef/>
      </w:r>
      <w:r>
        <w:t xml:space="preserve"> </w:t>
      </w:r>
      <w:r>
        <w:rPr>
          <w:i/>
        </w:rPr>
        <w:t>See, e.g.</w:t>
      </w:r>
      <w:r>
        <w:t>, Bryan Pearson</w:t>
      </w:r>
      <w:r w:rsidRPr="00754CE3">
        <w:t>,</w:t>
      </w:r>
      <w:r w:rsidRPr="00105066">
        <w:rPr>
          <w:i/>
        </w:rPr>
        <w:t xml:space="preserve"> Nailing Loyalty: 62% of Retailers Boosting Loyalty Budgets, But Do They Have the Right Tools?</w:t>
      </w:r>
      <w:r>
        <w:t xml:space="preserve">, Forbes (Oct. 12, 2015), </w:t>
      </w:r>
      <w:hyperlink r:id="rId92" w:history="1">
        <w:r w:rsidRPr="00FD418B">
          <w:rPr>
            <w:rStyle w:val="Hyperlink"/>
          </w:rPr>
          <w:t>http://www.forbes.com/sites/bryanpearson/2015/10/12/nailing-loyalty-62-of-retailers-boosting-loyalty-budgets-but-do-they-have-the-right-tools/#61afdc565830</w:t>
        </w:r>
      </w:hyperlink>
      <w:r>
        <w:t xml:space="preserve">; Martin H. Bosworth, </w:t>
      </w:r>
      <w:r>
        <w:rPr>
          <w:i/>
        </w:rPr>
        <w:t>Loyalty Cards: Reward or Threat?</w:t>
      </w:r>
      <w:r>
        <w:t xml:space="preserve">, Consumer Affairs (July 11, 2005), </w:t>
      </w:r>
      <w:hyperlink r:id="rId93" w:history="1">
        <w:r w:rsidRPr="009F06F3">
          <w:rPr>
            <w:rStyle w:val="Hyperlink"/>
          </w:rPr>
          <w:t>http://www.consumeraffairs.com/news04/2005/loyalty_cards.html</w:t>
        </w:r>
      </w:hyperlink>
      <w:r>
        <w:t xml:space="preserve">. </w:t>
      </w:r>
    </w:p>
  </w:footnote>
  <w:footnote w:id="406">
    <w:p w:rsidR="00474D51" w:rsidRPr="008523D6" w:rsidRDefault="00474D51" w:rsidP="00324CD5">
      <w:pPr>
        <w:pStyle w:val="FootnoteText"/>
      </w:pPr>
      <w:r>
        <w:rPr>
          <w:rStyle w:val="FootnoteReference"/>
        </w:rPr>
        <w:footnoteRef/>
      </w:r>
      <w:r>
        <w:t xml:space="preserve"> </w:t>
      </w:r>
      <w:r>
        <w:rPr>
          <w:i/>
        </w:rPr>
        <w:t>See, e.g.</w:t>
      </w:r>
      <w:r>
        <w:t>, 2014 White House Big Data Report at 50 (“</w:t>
      </w:r>
      <w:r w:rsidRPr="002D08B7">
        <w:t>Advertising and marketing effectively subsidize many free goods on the Internet, fueling an entire industry in software and consumer apps</w:t>
      </w:r>
      <w:r>
        <w:t>.”).</w:t>
      </w:r>
    </w:p>
  </w:footnote>
  <w:footnote w:id="407">
    <w:p w:rsidR="00474D51" w:rsidRPr="00ED1DD2" w:rsidRDefault="00474D51" w:rsidP="00324CD5">
      <w:pPr>
        <w:pStyle w:val="FootnoteText"/>
      </w:pPr>
      <w:r>
        <w:rPr>
          <w:rStyle w:val="FootnoteReference"/>
        </w:rPr>
        <w:footnoteRef/>
      </w:r>
      <w:r>
        <w:t xml:space="preserve"> </w:t>
      </w:r>
      <w:r>
        <w:rPr>
          <w:i/>
        </w:rPr>
        <w:t xml:space="preserve">See </w:t>
      </w:r>
      <w:r>
        <w:t xml:space="preserve">InfoSecurity Magazine, </w:t>
      </w:r>
      <w:r>
        <w:rPr>
          <w:i/>
        </w:rPr>
        <w:t xml:space="preserve">Loyalty cards: The Security Risks and the </w:t>
      </w:r>
      <w:r w:rsidRPr="00675A6D">
        <w:rPr>
          <w:i/>
        </w:rPr>
        <w:t>Rewards</w:t>
      </w:r>
      <w:r>
        <w:t xml:space="preserve"> (Sept. 3, 2009),</w:t>
      </w:r>
      <w:r w:rsidRPr="00675A6D">
        <w:t xml:space="preserve"> </w:t>
      </w:r>
      <w:hyperlink r:id="rId94" w:history="1">
        <w:r w:rsidRPr="004C3F28">
          <w:rPr>
            <w:rStyle w:val="Hyperlink"/>
          </w:rPr>
          <w:t>http://www.infosecurity-magazine.com/magazine-features/loyalty-cards-the-security-risks-and-the-rewards/</w:t>
        </w:r>
      </w:hyperlink>
      <w:r>
        <w:t xml:space="preserve">; </w:t>
      </w:r>
      <w:r w:rsidRPr="00675A6D">
        <w:t>Katherine</w:t>
      </w:r>
      <w:r w:rsidRPr="008523D6">
        <w:t xml:space="preserve"> Albrecht</w:t>
      </w:r>
      <w:r w:rsidRPr="00754CE3">
        <w:t>,</w:t>
      </w:r>
      <w:r w:rsidRPr="002D08B7">
        <w:rPr>
          <w:i/>
        </w:rPr>
        <w:t xml:space="preserve"> Supermarket Cards: The Tip of the Retail Surveillance Iceberg</w:t>
      </w:r>
      <w:r w:rsidRPr="00521D34">
        <w:t>, 79 Denv. U. L. Rev. 534, 536 (2002)</w:t>
      </w:r>
      <w:r>
        <w:t xml:space="preserve">.  Further, consumers who are aware that their information is exchanged in these transactions may not be comfortable with these arrangements.  </w:t>
      </w:r>
      <w:r>
        <w:rPr>
          <w:i/>
        </w:rPr>
        <w:t xml:space="preserve">See </w:t>
      </w:r>
      <w:r>
        <w:t xml:space="preserve">2016 Pew Report at 2 (finding that 47 percent of Americans “say the basic bargain offered by retail loyalty cards—namely, that stores track their purchases in exchange for occasional discounts—is acceptable to them,” while 32 percent find the exchange unacceptable).  Additionally, consumers may not fully understand how their information will be used, or the consequences of this information exchange.  </w:t>
      </w:r>
      <w:r>
        <w:rPr>
          <w:i/>
        </w:rPr>
        <w:t xml:space="preserve">See </w:t>
      </w:r>
      <w:r>
        <w:t xml:space="preserve">Charles Duhigg, </w:t>
      </w:r>
      <w:r w:rsidRPr="00ED1DD2">
        <w:rPr>
          <w:i/>
        </w:rPr>
        <w:t>How Companies Learn Your Secrets</w:t>
      </w:r>
      <w:r>
        <w:t xml:space="preserve">, N.Y. Times Magazine (Feb. 16, 2012), </w:t>
      </w:r>
      <w:hyperlink r:id="rId95" w:history="1">
        <w:r w:rsidRPr="00ED5A58">
          <w:rPr>
            <w:rStyle w:val="Hyperlink"/>
          </w:rPr>
          <w:t>http://www.nytimes.com/2012/02/19/magazine/shopping-habits.html?pagewanted=9&amp;_r=1&amp;hp</w:t>
        </w:r>
      </w:hyperlink>
      <w:r>
        <w:t>.</w:t>
      </w:r>
    </w:p>
  </w:footnote>
  <w:footnote w:id="408">
    <w:p w:rsidR="00474D51" w:rsidRPr="00717568" w:rsidRDefault="00474D51" w:rsidP="00324CD5">
      <w:pPr>
        <w:pStyle w:val="FootnoteText"/>
      </w:pPr>
      <w:r w:rsidRPr="001B5F20">
        <w:rPr>
          <w:rStyle w:val="FootnoteReference"/>
        </w:rPr>
        <w:footnoteRef/>
      </w:r>
      <w:r w:rsidRPr="001B5F20">
        <w:t xml:space="preserve"> </w:t>
      </w:r>
      <w:r>
        <w:rPr>
          <w:i/>
        </w:rPr>
        <w:t xml:space="preserve">See </w:t>
      </w:r>
      <w:r>
        <w:t xml:space="preserve">2016 FTC Big Data Report at 2, 9-11 (discussing how Big Data practices could exacerbate or perpetuate existing disparities); </w:t>
      </w:r>
      <w:r>
        <w:rPr>
          <w:i/>
        </w:rPr>
        <w:t xml:space="preserve">cf. </w:t>
      </w:r>
      <w:r>
        <w:t xml:space="preserve">2014 White House Big Data Report at 50-51 (observing that there are both “enormous benefits associated with the rise of profiling and targeted advertising” and risks that such data could negatively affect “decisions about a consumer’s eligibility for—or the conditions for the provision of—employment, housing, health care, credit, or education”).  </w:t>
      </w:r>
      <w:r>
        <w:rPr>
          <w:i/>
        </w:rPr>
        <w:t xml:space="preserve">See also </w:t>
      </w:r>
      <w:r>
        <w:t xml:space="preserve">Joseph W. Jerome, </w:t>
      </w:r>
      <w:r w:rsidRPr="00105066">
        <w:rPr>
          <w:i/>
        </w:rPr>
        <w:t>Buyin</w:t>
      </w:r>
      <w:r>
        <w:rPr>
          <w:i/>
        </w:rPr>
        <w:t>g and Selling Privacy: Big Data’</w:t>
      </w:r>
      <w:r w:rsidRPr="00105066">
        <w:rPr>
          <w:i/>
        </w:rPr>
        <w:t>s Different Burdens and Benefits</w:t>
      </w:r>
      <w:r>
        <w:t>, 66 Stan. L. Rev. Online 47 (2013) (“</w:t>
      </w:r>
      <w:r w:rsidRPr="00717568">
        <w:t>Ever-increasing data collection and analysis have the potential to exacerbate class disparities.</w:t>
      </w:r>
      <w:r>
        <w:t>”).</w:t>
      </w:r>
    </w:p>
  </w:footnote>
  <w:footnote w:id="409">
    <w:p w:rsidR="00474D51" w:rsidRDefault="00474D51" w:rsidP="00324CD5">
      <w:pPr>
        <w:pStyle w:val="FootnoteText"/>
      </w:pPr>
      <w:r>
        <w:rPr>
          <w:rStyle w:val="FootnoteReference"/>
        </w:rPr>
        <w:footnoteRef/>
      </w:r>
      <w:r>
        <w:t xml:space="preserve"> Public Knowledge White Paper at 64 (arguing that such “pay for privacy” arrangements require careful scrutiny).</w:t>
      </w:r>
    </w:p>
  </w:footnote>
  <w:footnote w:id="410">
    <w:p w:rsidR="00474D51" w:rsidRDefault="00474D51" w:rsidP="00324CD5">
      <w:pPr>
        <w:pStyle w:val="FootnoteText"/>
      </w:pPr>
      <w:r>
        <w:rPr>
          <w:rStyle w:val="FootnoteReference"/>
        </w:rPr>
        <w:footnoteRef/>
      </w:r>
      <w:r>
        <w:t xml:space="preserve"> </w:t>
      </w:r>
      <w:r>
        <w:rPr>
          <w:i/>
        </w:rPr>
        <w:t xml:space="preserve">See </w:t>
      </w:r>
      <w:r>
        <w:t xml:space="preserve">Michael Fertik, </w:t>
      </w:r>
      <w:r w:rsidRPr="00227CF7">
        <w:rPr>
          <w:i/>
        </w:rPr>
        <w:t>Big Data, Privacy and the Huge Opportunity in the Monetization of Trust</w:t>
      </w:r>
      <w:r>
        <w:t xml:space="preserve">, World Economic Forum: Davos Daily (Jan. 25, 2012), </w:t>
      </w:r>
      <w:hyperlink r:id="rId96" w:history="1">
        <w:r w:rsidRPr="00ED5A58">
          <w:rPr>
            <w:rStyle w:val="Hyperlink"/>
          </w:rPr>
          <w:t>https://www.weforum.org/agenda/2012/01/davos-daily-big-data-privacy-and-the-huge-opportunity-in-the-monetization-of-trust</w:t>
        </w:r>
      </w:hyperlink>
      <w:r>
        <w:t xml:space="preserve"> (arguing that “[ISPs and telecommunications companies]</w:t>
      </w:r>
      <w:r w:rsidRPr="007F0F84">
        <w:t xml:space="preserve"> can unlock huge value in coll</w:t>
      </w:r>
      <w:r>
        <w:t>aboration with their end users” by working together to “</w:t>
      </w:r>
      <w:r w:rsidRPr="007F0F84">
        <w:t xml:space="preserve">monetize the latent value of </w:t>
      </w:r>
      <w:r>
        <w:t>[consumer]</w:t>
      </w:r>
      <w:r w:rsidRPr="007F0F84">
        <w:t xml:space="preserve"> data</w:t>
      </w:r>
      <w:r>
        <w:t>”).</w:t>
      </w:r>
    </w:p>
  </w:footnote>
  <w:footnote w:id="411">
    <w:p w:rsidR="00474D51" w:rsidRPr="00E47EFB" w:rsidRDefault="00474D51" w:rsidP="00324CD5">
      <w:pPr>
        <w:pStyle w:val="FootnoteText"/>
      </w:pPr>
      <w:r>
        <w:rPr>
          <w:rStyle w:val="FootnoteReference"/>
        </w:rPr>
        <w:footnoteRef/>
      </w:r>
      <w:r>
        <w:t xml:space="preserve"> </w:t>
      </w:r>
      <w:r>
        <w:rPr>
          <w:i/>
        </w:rPr>
        <w:t xml:space="preserve">See </w:t>
      </w:r>
      <w:r>
        <w:t>Remarks of FTC Commissioner Maureen K. Ohlhausen, 33rd Annual Institute on Telecommunications Policy &amp; Regulation, December 4, 2015 (arguing that consumers often benefit from the exchange of personal information and that “[a]s long as ISPs, just like others in the internet ecosystem, tell the truth about how they collect and use consumer data, companies should be free to offer different business models and consumers should be free to choose based on their privacy and other preferences”).</w:t>
      </w:r>
    </w:p>
  </w:footnote>
  <w:footnote w:id="412">
    <w:p w:rsidR="00474D51" w:rsidRPr="001B5F20" w:rsidRDefault="00474D51" w:rsidP="00324CD5">
      <w:pPr>
        <w:pStyle w:val="FootnoteText"/>
      </w:pPr>
      <w:r w:rsidRPr="001B5F20">
        <w:rPr>
          <w:rStyle w:val="FootnoteReference"/>
        </w:rPr>
        <w:footnoteRef/>
      </w:r>
      <w:r w:rsidRPr="001B5F20">
        <w:t xml:space="preserve"> </w:t>
      </w:r>
      <w:r w:rsidRPr="001B5F20">
        <w:rPr>
          <w:i/>
        </w:rPr>
        <w:t xml:space="preserve">See </w:t>
      </w:r>
      <w:r w:rsidRPr="001B5F20">
        <w:t xml:space="preserve">Sandvine, </w:t>
      </w:r>
      <w:r w:rsidRPr="001B5F20">
        <w:rPr>
          <w:i/>
        </w:rPr>
        <w:t>Deep Packet Inspection (DPI)</w:t>
      </w:r>
      <w:r w:rsidRPr="001B5F20">
        <w:t xml:space="preserve">, </w:t>
      </w:r>
      <w:hyperlink r:id="rId97" w:history="1">
        <w:r w:rsidRPr="001B5F20">
          <w:rPr>
            <w:rStyle w:val="Hyperlink"/>
          </w:rPr>
          <w:t>https://www.sandvine.com/technology/deep-packet-inspection.html</w:t>
        </w:r>
      </w:hyperlink>
      <w:r>
        <w:rPr>
          <w:rStyle w:val="Hyperlink"/>
        </w:rPr>
        <w:t xml:space="preserve"> </w:t>
      </w:r>
      <w:r w:rsidRPr="00521D34">
        <w:t xml:space="preserve">(last visited </w:t>
      </w:r>
      <w:r>
        <w:t>Mar</w:t>
      </w:r>
      <w:r w:rsidRPr="00521D34">
        <w:t xml:space="preserve">. </w:t>
      </w:r>
      <w:r>
        <w:t>24</w:t>
      </w:r>
      <w:r w:rsidRPr="00521D34">
        <w:t>, 2016)</w:t>
      </w:r>
      <w:r w:rsidRPr="001B5F20">
        <w:t xml:space="preserve">; Cisco, </w:t>
      </w:r>
      <w:r w:rsidRPr="00521D34">
        <w:rPr>
          <w:i/>
        </w:rPr>
        <w:t>Using the Service Control Engine and Deep Packet Inspection in the Data Center</w:t>
      </w:r>
      <w:r w:rsidRPr="001B5F20">
        <w:t xml:space="preserve">, </w:t>
      </w:r>
      <w:hyperlink r:id="rId98" w:history="1">
        <w:r w:rsidRPr="001B5F20">
          <w:rPr>
            <w:rStyle w:val="Hyperlink"/>
          </w:rPr>
          <w:t>http://www.cisco.com/c/en/us/td/docs/solutions/Enterprise/Data_Center/SCE_DPI.html</w:t>
        </w:r>
      </w:hyperlink>
      <w:r w:rsidRPr="00521D34">
        <w:t xml:space="preserve"> (last visited </w:t>
      </w:r>
      <w:r>
        <w:t>Mar</w:t>
      </w:r>
      <w:r w:rsidRPr="00521D34">
        <w:t>. 2</w:t>
      </w:r>
      <w:r>
        <w:t>4</w:t>
      </w:r>
      <w:r w:rsidRPr="00521D34">
        <w:t>, 2016)</w:t>
      </w:r>
      <w:r w:rsidRPr="001B5F20">
        <w:t>.</w:t>
      </w:r>
    </w:p>
  </w:footnote>
  <w:footnote w:id="413">
    <w:p w:rsidR="00474D51" w:rsidRPr="001B5F20" w:rsidRDefault="00474D51" w:rsidP="00324CD5">
      <w:pPr>
        <w:pStyle w:val="FootnoteText"/>
      </w:pPr>
      <w:r w:rsidRPr="001B5F20">
        <w:rPr>
          <w:rStyle w:val="FootnoteReference"/>
        </w:rPr>
        <w:footnoteRef/>
      </w:r>
      <w:r w:rsidRPr="001B5F20">
        <w:t xml:space="preserve"> </w:t>
      </w:r>
      <w:r w:rsidRPr="001B5F20">
        <w:rPr>
          <w:i/>
        </w:rPr>
        <w:t xml:space="preserve">See </w:t>
      </w:r>
      <w:r>
        <w:rPr>
          <w:i/>
        </w:rPr>
        <w:t xml:space="preserve">infra </w:t>
      </w:r>
      <w:r>
        <w:t xml:space="preserve">note </w:t>
      </w:r>
      <w:r>
        <w:fldChar w:fldCharType="begin"/>
      </w:r>
      <w:r>
        <w:instrText xml:space="preserve"> NOTEREF _Ref446584691 \h </w:instrText>
      </w:r>
      <w:r>
        <w:fldChar w:fldCharType="separate"/>
      </w:r>
      <w:r w:rsidR="00327397">
        <w:t>419</w:t>
      </w:r>
      <w:r>
        <w:fldChar w:fldCharType="end"/>
      </w:r>
      <w:r w:rsidRPr="001B5F20">
        <w:t>.</w:t>
      </w:r>
    </w:p>
  </w:footnote>
  <w:footnote w:id="414">
    <w:p w:rsidR="00474D51" w:rsidRPr="001B5F20" w:rsidRDefault="00474D51" w:rsidP="00324CD5">
      <w:pPr>
        <w:pStyle w:val="FootnoteText"/>
      </w:pPr>
      <w:r w:rsidRPr="001B5F20">
        <w:rPr>
          <w:rStyle w:val="FootnoteReference"/>
        </w:rPr>
        <w:footnoteRef/>
      </w:r>
      <w:r w:rsidRPr="001B5F20">
        <w:t xml:space="preserve"> </w:t>
      </w:r>
      <w:r w:rsidRPr="001B5F20">
        <w:rPr>
          <w:i/>
        </w:rPr>
        <w:t>See, e.g.</w:t>
      </w:r>
      <w:r w:rsidRPr="001B5F20">
        <w:t xml:space="preserve">, </w:t>
      </w:r>
      <w:r w:rsidRPr="00D640F1">
        <w:rPr>
          <w:i/>
        </w:rPr>
        <w:t>Kirch v. Embarq et al.</w:t>
      </w:r>
      <w:r w:rsidRPr="001B5F20">
        <w:t>, 702 F.3d 1245 (10</w:t>
      </w:r>
      <w:r>
        <w:t>th</w:t>
      </w:r>
      <w:r w:rsidRPr="001B5F20">
        <w:t xml:space="preserve"> Cir. 2012).</w:t>
      </w:r>
    </w:p>
  </w:footnote>
  <w:footnote w:id="415">
    <w:p w:rsidR="00474D51" w:rsidRPr="00A775EB" w:rsidRDefault="00474D51" w:rsidP="00324CD5">
      <w:pPr>
        <w:pStyle w:val="FootnoteText"/>
      </w:pPr>
      <w:r>
        <w:rPr>
          <w:rStyle w:val="FootnoteReference"/>
        </w:rPr>
        <w:footnoteRef/>
      </w:r>
      <w:r>
        <w:t xml:space="preserve"> In 2007, Comcast drew significant public ire when the Associated Press and the Electronic Frontier Foundation discovered that the network provider was using DPI technology to identify packets originating from peer-to-peer applications and then secretly blocking those packets while allowing other packets to pass through unimpeded.  In November 2007, Free Press and other public interest organizations filed a petition with the Commission to demand that Comcast’s activities be stopped, and the Commission subsequently ruled against Comcast and ordered a halt to the company’s blocking practices.  Following the Commission’s order, Comcast instituted a new network management system that does not discriminate against or in favor of any Internet applications.  </w:t>
      </w:r>
      <w:r>
        <w:rPr>
          <w:i/>
        </w:rPr>
        <w:t xml:space="preserve">See </w:t>
      </w:r>
      <w:r>
        <w:t xml:space="preserve">M. Chris Riley &amp; Ben Scott, Free Press, </w:t>
      </w:r>
      <w:r w:rsidRPr="00521D34">
        <w:t>Deep Packet Inspection:  The End of The Internet as We Know It?</w:t>
      </w:r>
      <w:r>
        <w:t xml:space="preserve"> at 4 (2009), </w:t>
      </w:r>
      <w:hyperlink r:id="rId99" w:history="1">
        <w:r w:rsidRPr="008523D6">
          <w:rPr>
            <w:rStyle w:val="Hyperlink"/>
          </w:rPr>
          <w:t>http://www.wired.com/images_blogs/threatlevel/files/dpi.pdf</w:t>
        </w:r>
      </w:hyperlink>
      <w:r>
        <w:t>.</w:t>
      </w:r>
    </w:p>
  </w:footnote>
  <w:footnote w:id="416">
    <w:p w:rsidR="00474D51" w:rsidRPr="001B5F20" w:rsidRDefault="00474D51" w:rsidP="00324CD5">
      <w:pPr>
        <w:pStyle w:val="FootnoteText"/>
      </w:pPr>
      <w:r w:rsidRPr="001B5F20">
        <w:rPr>
          <w:rStyle w:val="FootnoteReference"/>
        </w:rPr>
        <w:footnoteRef/>
      </w:r>
      <w:r w:rsidRPr="001B5F20">
        <w:t xml:space="preserve"> 2012 FTC Privacy Report at 55-56.</w:t>
      </w:r>
    </w:p>
  </w:footnote>
  <w:footnote w:id="417">
    <w:p w:rsidR="00474D51" w:rsidRPr="001B5F20" w:rsidRDefault="00474D51" w:rsidP="00324CD5">
      <w:pPr>
        <w:pStyle w:val="FootnoteText"/>
      </w:pPr>
      <w:r w:rsidRPr="001B5F20">
        <w:rPr>
          <w:rStyle w:val="FootnoteReference"/>
        </w:rPr>
        <w:footnoteRef/>
      </w:r>
      <w:r w:rsidRPr="001B5F20">
        <w:t xml:space="preserve"> </w:t>
      </w:r>
      <w:r>
        <w:rPr>
          <w:i/>
        </w:rPr>
        <w:t>Id</w:t>
      </w:r>
      <w:r w:rsidRPr="001B5F20">
        <w:t>.</w:t>
      </w:r>
    </w:p>
  </w:footnote>
  <w:footnote w:id="418">
    <w:p w:rsidR="00474D51" w:rsidRPr="001B5F20" w:rsidRDefault="00474D51" w:rsidP="00324CD5">
      <w:pPr>
        <w:pStyle w:val="FootnoteText"/>
      </w:pPr>
      <w:r w:rsidRPr="001B5F20">
        <w:rPr>
          <w:rStyle w:val="FootnoteReference"/>
        </w:rPr>
        <w:footnoteRef/>
      </w:r>
      <w:r w:rsidRPr="001B5F20">
        <w:t xml:space="preserve"> </w:t>
      </w:r>
      <w:r>
        <w:rPr>
          <w:i/>
        </w:rPr>
        <w:t>Id.</w:t>
      </w:r>
      <w:r>
        <w:t xml:space="preserve"> </w:t>
      </w:r>
      <w:r w:rsidRPr="001B5F20">
        <w:t>at 56.</w:t>
      </w:r>
    </w:p>
  </w:footnote>
  <w:footnote w:id="419">
    <w:p w:rsidR="00474D51" w:rsidRPr="001B5F20" w:rsidRDefault="00474D51" w:rsidP="00324CD5">
      <w:pPr>
        <w:pStyle w:val="FootnoteText"/>
      </w:pPr>
      <w:r w:rsidRPr="001B5F20">
        <w:rPr>
          <w:rStyle w:val="FootnoteReference"/>
        </w:rPr>
        <w:footnoteRef/>
      </w:r>
      <w:r w:rsidRPr="001B5F20">
        <w:t xml:space="preserve"> </w:t>
      </w:r>
      <w:r>
        <w:rPr>
          <w:i/>
        </w:rPr>
        <w:t>Id</w:t>
      </w:r>
      <w:r w:rsidRPr="001B5F20">
        <w:t>.</w:t>
      </w:r>
      <w:r>
        <w:t xml:space="preserve">  The Commission itself has also raised concerns about DPI, noting that it may be used in a manner that may harm the open Internet, such as by limiting access to certain Internet applications, engaging in paid prioritization, and even blocking certain content.  </w:t>
      </w:r>
      <w:r>
        <w:rPr>
          <w:i/>
        </w:rPr>
        <w:t>See 2015 Open Internet Order</w:t>
      </w:r>
      <w:r>
        <w:t>, 30 FCC Rcd at 5634, para. 85.</w:t>
      </w:r>
    </w:p>
  </w:footnote>
  <w:footnote w:id="420">
    <w:p w:rsidR="00474D51" w:rsidRPr="002A5108" w:rsidRDefault="00474D51" w:rsidP="00324CD5">
      <w:pPr>
        <w:pStyle w:val="FootnoteText"/>
      </w:pPr>
      <w:r>
        <w:rPr>
          <w:rStyle w:val="FootnoteReference"/>
        </w:rPr>
        <w:footnoteRef/>
      </w:r>
      <w:r>
        <w:t xml:space="preserve"> </w:t>
      </w:r>
      <w:r>
        <w:rPr>
          <w:i/>
        </w:rPr>
        <w:t>See 2015 Open Internet Order</w:t>
      </w:r>
      <w:r>
        <w:t>, 30 FCC Rcd at 5634, para. 85 (discussing how DPI can be used for both reasonable network management and to monitor or constrain user activity).</w:t>
      </w:r>
    </w:p>
  </w:footnote>
  <w:footnote w:id="421">
    <w:p w:rsidR="00474D51" w:rsidRPr="001B5F20" w:rsidRDefault="00474D51" w:rsidP="00324CD5">
      <w:pPr>
        <w:pStyle w:val="FootnoteText"/>
      </w:pPr>
      <w:r w:rsidRPr="001B5F20">
        <w:rPr>
          <w:rStyle w:val="FootnoteReference"/>
        </w:rPr>
        <w:footnoteRef/>
      </w:r>
      <w:r w:rsidRPr="001B5F20">
        <w:t xml:space="preserve"> </w:t>
      </w:r>
      <w:r w:rsidRPr="001B5F20">
        <w:rPr>
          <w:i/>
        </w:rPr>
        <w:t>See, e.g.</w:t>
      </w:r>
      <w:r w:rsidRPr="001B5F20">
        <w:t xml:space="preserve">, </w:t>
      </w:r>
      <w:r w:rsidRPr="00881A86">
        <w:t xml:space="preserve">Access, The Rise of Mobile Tracking Headers:  How Telcos </w:t>
      </w:r>
      <w:r>
        <w:t>A</w:t>
      </w:r>
      <w:r w:rsidRPr="00881A86">
        <w:t xml:space="preserve">round the World Are Threatening Your Privacy (2015), </w:t>
      </w:r>
      <w:hyperlink r:id="rId100" w:history="1">
        <w:r w:rsidRPr="00881A86">
          <w:rPr>
            <w:rStyle w:val="Hyperlink"/>
          </w:rPr>
          <w:t>https://www.accessnow.org/cms/assets/uploads/archive/AIBT-Report.pdf</w:t>
        </w:r>
      </w:hyperlink>
      <w:r w:rsidRPr="00881A86">
        <w:t>.</w:t>
      </w:r>
    </w:p>
  </w:footnote>
  <w:footnote w:id="422">
    <w:p w:rsidR="00474D51" w:rsidRPr="001B5F20" w:rsidRDefault="00474D51" w:rsidP="00324CD5">
      <w:pPr>
        <w:pStyle w:val="FootnoteText"/>
      </w:pPr>
      <w:r w:rsidRPr="001B5F20">
        <w:rPr>
          <w:rStyle w:val="FootnoteReference"/>
        </w:rPr>
        <w:footnoteRef/>
      </w:r>
      <w:r w:rsidRPr="001B5F20">
        <w:t xml:space="preserve"> </w:t>
      </w:r>
      <w:r>
        <w:rPr>
          <w:i/>
        </w:rPr>
        <w:t>Id</w:t>
      </w:r>
      <w:r>
        <w:t>.</w:t>
      </w:r>
      <w:r w:rsidRPr="001B5F20">
        <w:t xml:space="preserve"> at 5.</w:t>
      </w:r>
    </w:p>
  </w:footnote>
  <w:footnote w:id="423">
    <w:p w:rsidR="00474D51" w:rsidRPr="00BD52D3" w:rsidRDefault="00474D51" w:rsidP="00324CD5">
      <w:pPr>
        <w:pStyle w:val="FootnoteText"/>
      </w:pPr>
      <w:r>
        <w:rPr>
          <w:rStyle w:val="FootnoteReference"/>
        </w:rPr>
        <w:footnoteRef/>
      </w:r>
      <w:r>
        <w:t xml:space="preserve"> </w:t>
      </w:r>
      <w:r>
        <w:rPr>
          <w:i/>
        </w:rPr>
        <w:t>Verizon UIDH Consent Decree</w:t>
      </w:r>
      <w:r>
        <w:t xml:space="preserve"> at 2-6, paras. 3-12.</w:t>
      </w:r>
    </w:p>
  </w:footnote>
  <w:footnote w:id="424">
    <w:p w:rsidR="00474D51" w:rsidRPr="00647BFD" w:rsidRDefault="00474D51" w:rsidP="00324CD5">
      <w:pPr>
        <w:pStyle w:val="FootnoteText"/>
      </w:pPr>
      <w:r>
        <w:rPr>
          <w:rStyle w:val="FootnoteReference"/>
        </w:rPr>
        <w:footnoteRef/>
      </w:r>
      <w:r>
        <w:t xml:space="preserve"> </w:t>
      </w:r>
      <w:r>
        <w:rPr>
          <w:i/>
        </w:rPr>
        <w:t>Id.</w:t>
      </w:r>
      <w:r>
        <w:t xml:space="preserve"> at 7, 9, paras. 18, 23.</w:t>
      </w:r>
    </w:p>
  </w:footnote>
  <w:footnote w:id="425">
    <w:p w:rsidR="00474D51" w:rsidRDefault="00474D51" w:rsidP="00324CD5">
      <w:pPr>
        <w:pStyle w:val="FootnoteText"/>
      </w:pPr>
      <w:r>
        <w:rPr>
          <w:rStyle w:val="FootnoteReference"/>
        </w:rPr>
        <w:footnoteRef/>
      </w:r>
      <w:r>
        <w:t xml:space="preserve"> 47 U.S.C. § 222(b). </w:t>
      </w:r>
    </w:p>
  </w:footnote>
  <w:footnote w:id="426">
    <w:p w:rsidR="00474D51" w:rsidRPr="00AB4B4E" w:rsidRDefault="00474D51" w:rsidP="00324CD5">
      <w:pPr>
        <w:pStyle w:val="FootnoteText"/>
      </w:pPr>
      <w:r>
        <w:rPr>
          <w:rStyle w:val="FootnoteReference"/>
        </w:rPr>
        <w:footnoteRef/>
      </w:r>
      <w:r>
        <w:t xml:space="preserve"> </w:t>
      </w:r>
      <w:r>
        <w:rPr>
          <w:i/>
        </w:rPr>
        <w:t>See</w:t>
      </w:r>
      <w:r>
        <w:t xml:space="preserve"> </w:t>
      </w:r>
      <w:r>
        <w:rPr>
          <w:i/>
        </w:rPr>
        <w:t>1999 CPNI Reconsideration Order</w:t>
      </w:r>
      <w:r>
        <w:t xml:space="preserve">, 14 FCC Rcd at 14449-50, paras. 77-78 (finding that Section 222(b) </w:t>
      </w:r>
      <w:r w:rsidRPr="00AB4B4E">
        <w:t xml:space="preserve">restricts </w:t>
      </w:r>
      <w:r>
        <w:t>carriers’</w:t>
      </w:r>
      <w:r w:rsidRPr="00AB4B4E">
        <w:t xml:space="preserve"> use of </w:t>
      </w:r>
      <w:r>
        <w:t xml:space="preserve">the proprietary information of other carriers, including resellers); </w:t>
      </w:r>
      <w:r>
        <w:rPr>
          <w:i/>
        </w:rPr>
        <w:t>see also</w:t>
      </w:r>
      <w:r>
        <w:t xml:space="preserve"> </w:t>
      </w:r>
      <w:r w:rsidRPr="00AB4B4E">
        <w:rPr>
          <w:i/>
        </w:rPr>
        <w:t>Implementation of the Subscriber Carrier Selection Changes Provision of the Telecommunications Act of 1996, Policies and Rules Concerning Un</w:t>
      </w:r>
      <w:r>
        <w:rPr>
          <w:i/>
        </w:rPr>
        <w:t>authorized Changes of Consumers’</w:t>
      </w:r>
      <w:r w:rsidRPr="00AB4B4E">
        <w:rPr>
          <w:i/>
        </w:rPr>
        <w:t xml:space="preserve"> Long Distance Carriers</w:t>
      </w:r>
      <w:r>
        <w:t>, Second Report and Order and Further Notice of Proposed Rulemaking, CC Docket No. 94-129, 14 FCC Rcd 1508 (1998) (</w:t>
      </w:r>
      <w:r w:rsidRPr="00AB4B4E">
        <w:t>concluding that section 222(b) prohibits executing carriers from using carrier change information to verify a subscriber’s decision to change carriers after such change has been ve</w:t>
      </w:r>
      <w:r>
        <w:t>rified by the submitted carrier</w:t>
      </w:r>
      <w:r w:rsidRPr="00AB4B4E">
        <w:t>)</w:t>
      </w:r>
      <w:r>
        <w:t>.</w:t>
      </w:r>
      <w:r w:rsidRPr="00AB4B4E">
        <w:t xml:space="preserve"> </w:t>
      </w:r>
    </w:p>
  </w:footnote>
  <w:footnote w:id="427">
    <w:p w:rsidR="00474D51" w:rsidRPr="00425A38" w:rsidRDefault="00474D51" w:rsidP="00324CD5">
      <w:pPr>
        <w:pStyle w:val="FootnoteText"/>
      </w:pPr>
      <w:r>
        <w:rPr>
          <w:rStyle w:val="FootnoteReference"/>
        </w:rPr>
        <w:footnoteRef/>
      </w:r>
      <w:r>
        <w:t xml:space="preserve"> </w:t>
      </w:r>
      <w:r>
        <w:rPr>
          <w:i/>
        </w:rPr>
        <w:t>See</w:t>
      </w:r>
      <w:r>
        <w:t xml:space="preserve"> 47 U.S.C. § 208; 47 CFR §§ 1.716-1.719; FCC, </w:t>
      </w:r>
      <w:r w:rsidRPr="005D0130">
        <w:rPr>
          <w:i/>
        </w:rPr>
        <w:t>Consumer Help Center</w:t>
      </w:r>
      <w:r>
        <w:t xml:space="preserve">, </w:t>
      </w:r>
      <w:hyperlink r:id="rId101" w:history="1">
        <w:r w:rsidRPr="00390A84">
          <w:rPr>
            <w:rStyle w:val="Hyperlink"/>
          </w:rPr>
          <w:t>https://consumercomplaints.fcc.gov/hc/en-us</w:t>
        </w:r>
      </w:hyperlink>
      <w:r>
        <w:t xml:space="preserve"> (last visited Feb. 2, 2016).</w:t>
      </w:r>
    </w:p>
  </w:footnote>
  <w:footnote w:id="428">
    <w:p w:rsidR="00474D51" w:rsidRPr="00625DD1" w:rsidRDefault="00474D51" w:rsidP="00324CD5">
      <w:pPr>
        <w:pStyle w:val="FootnoteText"/>
      </w:pPr>
      <w:r>
        <w:rPr>
          <w:rStyle w:val="FootnoteReference"/>
        </w:rPr>
        <w:footnoteRef/>
      </w:r>
      <w:r>
        <w:t xml:space="preserve"> </w:t>
      </w:r>
      <w:r>
        <w:rPr>
          <w:i/>
        </w:rPr>
        <w:t>See, e.g.</w:t>
      </w:r>
      <w:r>
        <w:t>,</w:t>
      </w:r>
      <w:r>
        <w:rPr>
          <w:i/>
        </w:rPr>
        <w:t xml:space="preserve"> </w:t>
      </w:r>
      <w:r>
        <w:t>National Consumer Disputes Advisory Committee, Am. Arbitration Ass’n, Consumer Due Process Protocol Statement of Principles (1998)</w:t>
      </w:r>
      <w:r>
        <w:rPr>
          <w:i/>
        </w:rPr>
        <w:t xml:space="preserve">, </w:t>
      </w:r>
      <w:hyperlink r:id="rId102" w:history="1">
        <w:r w:rsidRPr="00625DD1">
          <w:rPr>
            <w:rStyle w:val="Hyperlink"/>
          </w:rPr>
          <w:t>https://www.adr.org/cs/idcplg?IdcService=GET_FILE&amp;dDocName=ADRSTG_005014&amp;RevisionSelectionMethod=LatestReleased</w:t>
        </w:r>
      </w:hyperlink>
      <w:r>
        <w:t>.</w:t>
      </w:r>
      <w:r w:rsidRPr="00CA3AC8">
        <w:rPr>
          <w:i/>
        </w:rPr>
        <w:t xml:space="preserve"> </w:t>
      </w:r>
      <w:r>
        <w:rPr>
          <w:i/>
        </w:rPr>
        <w:t xml:space="preserve"> See also 2015 Open Internet Order</w:t>
      </w:r>
      <w:r>
        <w:t>, 30 FCC Rcd at 5718, paras. 266-67.</w:t>
      </w:r>
    </w:p>
  </w:footnote>
  <w:footnote w:id="429">
    <w:p w:rsidR="00474D51" w:rsidRPr="00A63AC0" w:rsidRDefault="00474D51" w:rsidP="00324CD5">
      <w:pPr>
        <w:pStyle w:val="FootnoteText"/>
      </w:pPr>
      <w:r>
        <w:rPr>
          <w:rStyle w:val="FootnoteReference"/>
        </w:rPr>
        <w:footnoteRef/>
      </w:r>
      <w:r>
        <w:t xml:space="preserve"> </w:t>
      </w:r>
      <w:r w:rsidRPr="00FA7FB2">
        <w:rPr>
          <w:i/>
        </w:rPr>
        <w:t>See</w:t>
      </w:r>
      <w:r>
        <w:rPr>
          <w:i/>
        </w:rPr>
        <w:t xml:space="preserve"> generally</w:t>
      </w:r>
      <w:r>
        <w:t xml:space="preserve"> The White House, Nat’l Strategy for Trusted Identities in Cyberspace at 30, 45 (2011), </w:t>
      </w:r>
      <w:hyperlink r:id="rId103" w:history="1">
        <w:r w:rsidRPr="009537F6">
          <w:rPr>
            <w:rStyle w:val="Hyperlink"/>
          </w:rPr>
          <w:t>http://www.whitehouse.gov/sites/default/files/rss_viewer/NSTICstrategy_041511.pdf</w:t>
        </w:r>
      </w:hyperlink>
      <w:r>
        <w:t xml:space="preserve"> (discussing redress mechanisms and accountability in the context of implementing the FIPPs).</w:t>
      </w:r>
    </w:p>
  </w:footnote>
  <w:footnote w:id="430">
    <w:p w:rsidR="00474D51" w:rsidRPr="003A380F" w:rsidRDefault="00474D51" w:rsidP="00324CD5">
      <w:pPr>
        <w:pStyle w:val="FootnoteText"/>
      </w:pPr>
      <w:r>
        <w:rPr>
          <w:rStyle w:val="FootnoteReference"/>
        </w:rPr>
        <w:footnoteRef/>
      </w:r>
      <w:r>
        <w:t xml:space="preserve"> </w:t>
      </w:r>
      <w:r>
        <w:rPr>
          <w:i/>
        </w:rPr>
        <w:t>See, e.g.</w:t>
      </w:r>
      <w:r>
        <w:t>,</w:t>
      </w:r>
      <w:r>
        <w:rPr>
          <w:i/>
        </w:rPr>
        <w:t xml:space="preserve"> </w:t>
      </w:r>
      <w:r>
        <w:t xml:space="preserve">Jessica Silver-Greenberg &amp; Robert Gebeloff, </w:t>
      </w:r>
      <w:r w:rsidRPr="0070739C">
        <w:rPr>
          <w:i/>
        </w:rPr>
        <w:t>Arbitration Everywhere, Stacking the Deck of Justice</w:t>
      </w:r>
      <w:r>
        <w:t xml:space="preserve">, N.Y. Times (Oct. 31, 2015), </w:t>
      </w:r>
      <w:hyperlink r:id="rId104" w:history="1">
        <w:r w:rsidRPr="0014623F">
          <w:rPr>
            <w:rStyle w:val="Hyperlink"/>
          </w:rPr>
          <w:t>http://www.nytimes.com/2015/11/01/business/dealbook/arbitration-everywhere-stacking-the-deck-of-justice.html?_r=1</w:t>
        </w:r>
      </w:hyperlink>
      <w:r w:rsidRPr="0084238D">
        <w:t xml:space="preserve"> </w:t>
      </w:r>
      <w:r>
        <w:t xml:space="preserve">(reporting that AT&amp;T, Verizon, Sprint, and many other large companies have arbitration clauses in their customer contracts, and that, “[o]ver the last few years, it has become increasingly difficult to apply for a credit card, use a cellphone, get cable or Internet service, or shop online without agreeing to private arbitration”); Jessica Silver-Greenberg &amp; Michael Corkery, </w:t>
      </w:r>
      <w:r w:rsidRPr="0070739C">
        <w:rPr>
          <w:i/>
        </w:rPr>
        <w:t>In Arbitration, a ‘Privatization of the Justice System’</w:t>
      </w:r>
      <w:r>
        <w:t>, N.Y. Times (Nov. 1, 2015),</w:t>
      </w:r>
      <w:r w:rsidRPr="00300D96">
        <w:t xml:space="preserve"> </w:t>
      </w:r>
      <w:hyperlink r:id="rId105" w:history="1">
        <w:r w:rsidRPr="0014623F">
          <w:rPr>
            <w:rStyle w:val="Hyperlink"/>
          </w:rPr>
          <w:t>http://www.nytimes.com/2015/11/02/business/dealbook/in-arbitration-a-privatization-of-the-justice-system.html</w:t>
        </w:r>
      </w:hyperlink>
      <w:r>
        <w:t xml:space="preserve"> (reporting that arbitration proceedings lack transparency, are often biased against consumers, and do not abide by traditional due process procedures).</w:t>
      </w:r>
    </w:p>
  </w:footnote>
  <w:footnote w:id="431">
    <w:p w:rsidR="00474D51" w:rsidRPr="00580460" w:rsidRDefault="00474D51" w:rsidP="00324CD5">
      <w:pPr>
        <w:pStyle w:val="FootnoteText"/>
      </w:pPr>
      <w:r>
        <w:rPr>
          <w:rStyle w:val="FootnoteReference"/>
        </w:rPr>
        <w:footnoteRef/>
      </w:r>
      <w:r>
        <w:t xml:space="preserve"> </w:t>
      </w:r>
      <w:r>
        <w:rPr>
          <w:i/>
        </w:rPr>
        <w:t>2015 Open Internet Order</w:t>
      </w:r>
      <w:r>
        <w:t>, 30 FCC Rcd</w:t>
      </w:r>
      <w:r>
        <w:rPr>
          <w:i/>
        </w:rPr>
        <w:t xml:space="preserve"> </w:t>
      </w:r>
      <w:r>
        <w:t xml:space="preserve">at 5718, para. 267.  </w:t>
      </w:r>
    </w:p>
  </w:footnote>
  <w:footnote w:id="432">
    <w:p w:rsidR="00474D51" w:rsidRDefault="00474D51" w:rsidP="00324CD5">
      <w:pPr>
        <w:pStyle w:val="FootnoteText"/>
      </w:pPr>
      <w:r>
        <w:rPr>
          <w:rStyle w:val="FootnoteReference"/>
        </w:rPr>
        <w:footnoteRef/>
      </w:r>
      <w:r>
        <w:t xml:space="preserve"> In the </w:t>
      </w:r>
      <w:r w:rsidRPr="007408E7">
        <w:rPr>
          <w:i/>
        </w:rPr>
        <w:t>2015 Open Internet Order</w:t>
      </w:r>
      <w:r>
        <w:t xml:space="preserve">, we agreed with commenters who stated that, “[i]n most cases, consumers must pay filing fees and the arbitrator’s costs, which can amount to thousands of dollars.”  These commenters also pointed out that the BIAS provider can select the arbitration location, making the process even costlier, and that arbitrated decisions are not reviewable and often not public, precluding consumers from uncovering potential biases in the process.  </w:t>
      </w:r>
      <w:r>
        <w:rPr>
          <w:i/>
        </w:rPr>
        <w:t>2015 Open Internet Order</w:t>
      </w:r>
      <w:r>
        <w:t>, 30 FCC Rcd</w:t>
      </w:r>
      <w:r>
        <w:rPr>
          <w:i/>
        </w:rPr>
        <w:t xml:space="preserve"> </w:t>
      </w:r>
      <w:r>
        <w:t>at 5718, para. 267 n.689</w:t>
      </w:r>
      <w:r w:rsidRPr="007408E7">
        <w:t>;</w:t>
      </w:r>
      <w:r>
        <w:rPr>
          <w:i/>
        </w:rPr>
        <w:t xml:space="preserve"> see also </w:t>
      </w:r>
      <w:r>
        <w:t xml:space="preserve">Jessica Silver-Greenberg &amp; Robert Gebeloff, </w:t>
      </w:r>
      <w:r w:rsidRPr="0070739C">
        <w:rPr>
          <w:i/>
        </w:rPr>
        <w:t>Arbitration Everywhere, Stacking the Deck of Justice</w:t>
      </w:r>
      <w:r>
        <w:t xml:space="preserve">, N.Y. Times (Oct. 31, 2015), </w:t>
      </w:r>
      <w:hyperlink r:id="rId106" w:history="1">
        <w:r w:rsidRPr="0014623F">
          <w:rPr>
            <w:rStyle w:val="Hyperlink"/>
          </w:rPr>
          <w:t>http://www.nytimes.com/2015/11/01/business/dealbook/arbitration-everywhere-stacking-the-deck-of-justice.html?_r=1</w:t>
        </w:r>
      </w:hyperlink>
      <w:r>
        <w:t xml:space="preserve">; Jessica Silver-Greenberg &amp; Michael Corkery, </w:t>
      </w:r>
      <w:r w:rsidRPr="0070739C">
        <w:rPr>
          <w:i/>
        </w:rPr>
        <w:t>In Arbitration, a ‘Privatization of the Justice System’</w:t>
      </w:r>
      <w:r>
        <w:t xml:space="preserve">, N.Y. Times (Nov. 1, 2015), </w:t>
      </w:r>
      <w:hyperlink r:id="rId107" w:history="1">
        <w:r w:rsidRPr="0014623F">
          <w:rPr>
            <w:rStyle w:val="Hyperlink"/>
          </w:rPr>
          <w:t>http://www.nytimes.com/2015/11/02/business/dealbook/in-arbitration-a-privatization-of-the-justice-system.html</w:t>
        </w:r>
      </w:hyperlink>
      <w:r>
        <w:t>.</w:t>
      </w:r>
    </w:p>
  </w:footnote>
  <w:footnote w:id="433">
    <w:p w:rsidR="00474D51" w:rsidRDefault="00474D51" w:rsidP="00324CD5">
      <w:pPr>
        <w:pStyle w:val="FootnoteText"/>
      </w:pPr>
      <w:r>
        <w:rPr>
          <w:rStyle w:val="FootnoteReference"/>
        </w:rPr>
        <w:footnoteRef/>
      </w:r>
      <w:r>
        <w:t xml:space="preserve"> </w:t>
      </w:r>
      <w:r>
        <w:rPr>
          <w:i/>
        </w:rPr>
        <w:t>See 2007 CPNI Order</w:t>
      </w:r>
      <w:r>
        <w:t xml:space="preserve">, 22 FCC Rcd at 6958, para. 60; </w:t>
      </w:r>
      <w:r>
        <w:rPr>
          <w:i/>
        </w:rPr>
        <w:t>2002 CPNI Order</w:t>
      </w:r>
      <w:r>
        <w:t>, 17 FCC Rcd at 14890-93, paras. 69-74.</w:t>
      </w:r>
    </w:p>
  </w:footnote>
  <w:footnote w:id="434">
    <w:p w:rsidR="00474D51" w:rsidRPr="00AF1E24" w:rsidRDefault="00474D51" w:rsidP="00324CD5">
      <w:pPr>
        <w:pStyle w:val="FootnoteText"/>
      </w:pPr>
      <w:r>
        <w:rPr>
          <w:rStyle w:val="FootnoteReference"/>
        </w:rPr>
        <w:footnoteRef/>
      </w:r>
      <w:r>
        <w:t xml:space="preserve"> </w:t>
      </w:r>
      <w:r>
        <w:rPr>
          <w:i/>
        </w:rPr>
        <w:t>See, e.g.</w:t>
      </w:r>
      <w:r>
        <w:t>, California Online Privacy Protection Act of 2003, Cal. Bus. &amp; Prof. Code § 22577(a); California Consumer Protection Against Computer Spyware Act, Cal. Bus. &amp; Prof. Code § 22947.1(k); Cal. Civ. Code § 1798.82(h); Conn. Gen. Stat. Ann. § 36a-701b(a); N.Y. Gen. Bus. Law §§ 899-aa(1)(a), (b); La. Stat. Ann. § 51:3073(4); Fla. Stat. § 501.171(1)(g).</w:t>
      </w:r>
    </w:p>
  </w:footnote>
  <w:footnote w:id="435">
    <w:p w:rsidR="00474D51" w:rsidRDefault="00474D51" w:rsidP="00324CD5">
      <w:pPr>
        <w:pStyle w:val="FootnoteText"/>
      </w:pPr>
      <w:r>
        <w:rPr>
          <w:rStyle w:val="FootnoteReference"/>
        </w:rPr>
        <w:footnoteRef/>
      </w:r>
      <w:r>
        <w:t xml:space="preserve"> </w:t>
      </w:r>
      <w:r>
        <w:rPr>
          <w:i/>
        </w:rPr>
        <w:t>2002 CPNI Order</w:t>
      </w:r>
      <w:r>
        <w:t xml:space="preserve">, 17 FCC Rcd at 14890, para. 69 (quoting </w:t>
      </w:r>
      <w:r>
        <w:rPr>
          <w:i/>
        </w:rPr>
        <w:t>1998 CPNI Order</w:t>
      </w:r>
      <w:r>
        <w:t>, 13 FCC Rcd at 8075-76, para. 16).</w:t>
      </w:r>
    </w:p>
  </w:footnote>
  <w:footnote w:id="436">
    <w:p w:rsidR="00474D51" w:rsidRPr="00E71B4F" w:rsidRDefault="00474D51" w:rsidP="00324CD5">
      <w:pPr>
        <w:pStyle w:val="FootnoteText"/>
        <w:rPr>
          <w:u w:val="single"/>
        </w:rPr>
      </w:pPr>
      <w:r>
        <w:rPr>
          <w:rStyle w:val="FootnoteReference"/>
        </w:rPr>
        <w:footnoteRef/>
      </w:r>
      <w:r>
        <w:t xml:space="preserve"> However, this approach does not preclude carriers from establishing that compliance with multiple different CPNI regulatory regimes is unworkable.  </w:t>
      </w:r>
      <w:r>
        <w:rPr>
          <w:i/>
        </w:rPr>
        <w:t>See 2002 CPNI Order</w:t>
      </w:r>
      <w:r>
        <w:t>, 17 FCC Rcd at 14891-93 (recognizing the potential burdens associated with different regulatory requirements).</w:t>
      </w:r>
    </w:p>
  </w:footnote>
  <w:footnote w:id="437">
    <w:p w:rsidR="00474D51" w:rsidRPr="0081284F" w:rsidRDefault="00474D51" w:rsidP="00324CD5">
      <w:pPr>
        <w:pStyle w:val="FootnoteText"/>
        <w:rPr>
          <w:u w:val="single"/>
        </w:rPr>
      </w:pPr>
      <w:r>
        <w:rPr>
          <w:rStyle w:val="FootnoteReference"/>
        </w:rPr>
        <w:footnoteRef/>
      </w:r>
      <w:r>
        <w:t xml:space="preserve"> </w:t>
      </w:r>
      <w:r>
        <w:rPr>
          <w:i/>
        </w:rPr>
        <w:t>See 2002 CPNI Order</w:t>
      </w:r>
      <w:r>
        <w:t>, 17 FCC Rcd at 14891, para. 71 (observing that “</w:t>
      </w:r>
      <w:r w:rsidRPr="0081284F">
        <w:t xml:space="preserve">our state counterparts </w:t>
      </w:r>
      <w:r>
        <w:t>. . .</w:t>
      </w:r>
      <w:r w:rsidRPr="0081284F">
        <w:t xml:space="preserve"> bring particular expertise to the table regarding competitive conditions and consumer protection issues in their jurisdictions, and privacy regulation, as part of general consumer protection, is not a uniquely federal matter</w:t>
      </w:r>
      <w:r>
        <w:t xml:space="preserve">”); </w:t>
      </w:r>
      <w:r>
        <w:rPr>
          <w:i/>
        </w:rPr>
        <w:t>2007 CPNI Order</w:t>
      </w:r>
      <w:r>
        <w:t>, 22 FCC Rcd at 6958, para. 60.</w:t>
      </w:r>
    </w:p>
  </w:footnote>
  <w:footnote w:id="438">
    <w:p w:rsidR="00474D51" w:rsidRDefault="00474D51" w:rsidP="00324CD5">
      <w:pPr>
        <w:pStyle w:val="FootnoteText"/>
      </w:pPr>
      <w:r>
        <w:rPr>
          <w:rStyle w:val="FootnoteReference"/>
        </w:rPr>
        <w:footnoteRef/>
      </w:r>
      <w:r>
        <w:t xml:space="preserve"> </w:t>
      </w:r>
      <w:r>
        <w:rPr>
          <w:i/>
        </w:rPr>
        <w:t>See 2002 CPNI Order</w:t>
      </w:r>
      <w:r>
        <w:t xml:space="preserve">, 17 FCC Rcd at 14891-93 (declining to apply any presumption that more restrictive CPNI requirements would be vulnerable to preemption); </w:t>
      </w:r>
      <w:r>
        <w:rPr>
          <w:i/>
        </w:rPr>
        <w:t>2007 CPNI Order</w:t>
      </w:r>
      <w:r>
        <w:t>, 22 FCC Rcd at 6958, para. 60.</w:t>
      </w:r>
    </w:p>
  </w:footnote>
  <w:footnote w:id="439">
    <w:p w:rsidR="00474D51" w:rsidRPr="00693AA9" w:rsidRDefault="00474D51" w:rsidP="00324CD5">
      <w:pPr>
        <w:pStyle w:val="FootnoteText"/>
      </w:pPr>
      <w:r>
        <w:rPr>
          <w:rStyle w:val="FootnoteReference"/>
        </w:rPr>
        <w:footnoteRef/>
      </w:r>
      <w:r>
        <w:t xml:space="preserve"> </w:t>
      </w:r>
      <w:r>
        <w:rPr>
          <w:i/>
        </w:rPr>
        <w:t xml:space="preserve">See </w:t>
      </w:r>
      <w:r>
        <w:rPr>
          <w:snapToGrid w:val="0"/>
        </w:rPr>
        <w:t>Letter from Matthew M. Polka, President &amp; CEO, Am. Cable Ass’n, et al., to The Honorable Tom Wheeler, Chairman, FCC (March 1, 2016) (on file with WCB)</w:t>
      </w:r>
      <w:r>
        <w:t xml:space="preserve">; New America Open Technology Institute, The FCC’s Role in Protecting Online Privacy (2016), </w:t>
      </w:r>
      <w:hyperlink r:id="rId108" w:history="1">
        <w:r w:rsidRPr="008A14BE">
          <w:rPr>
            <w:rStyle w:val="Hyperlink"/>
          </w:rPr>
          <w:t>https://static.newamerica.org/attachments/12325-the-fccs-role-in-protecting-online-privacy/CPNI__web.d4fbdb12e83f4adc89f37ebffa3e6075.pdf</w:t>
        </w:r>
      </w:hyperlink>
      <w:r>
        <w:t xml:space="preserve">; Public Knowledge White Paper at 58-69; Letter from Marc Rotenberg, Executive Director, EPIC, et al., to Tom Wheeler, Chairman, FCC (Jan. 20, 2016).  Letters from industry associations and public interest groups have also made general recommendations for privacy frameworks and guiding principles.  </w:t>
      </w:r>
      <w:r>
        <w:rPr>
          <w:i/>
        </w:rPr>
        <w:t xml:space="preserve">See </w:t>
      </w:r>
      <w:r>
        <w:t xml:space="preserve">Letter from Am. Cable Ass’n, et al., to Tom Wheeler, Chairman, FCC (Feb. 11, 2016); Letter from 59 Public Interest Groups to Tom Wheeler, Chairman, FCC (Jan. 20, 2016); Doug Brake, Daniel Castro, &amp; Alan McQuinn, Information Technology and Innovation Foundation, Broadband Privacy: The Folly of Sector-Specific Regulation, (2016), </w:t>
      </w:r>
      <w:hyperlink r:id="rId109" w:history="1">
        <w:r w:rsidRPr="00502960">
          <w:rPr>
            <w:rStyle w:val="Hyperlink"/>
          </w:rPr>
          <w:t>http://www2.itif.org/2016-broadband-privacy-folly.pdf</w:t>
        </w:r>
      </w:hyperlink>
      <w:r>
        <w:t xml:space="preserve">; Letter from Jason Kint, CEO, Digital Content Next, to Tom Wheeler, Chairman, FCC (Feb. 26, 2016), </w:t>
      </w:r>
      <w:r w:rsidRPr="004B64EE">
        <w:t>https://digitalcontentnext.org/wp-content/uploads/2016/02/DCN-Comments-to-FCC-re-Sec-222-final.pdf</w:t>
      </w:r>
      <w:r>
        <w:t xml:space="preserve">. </w:t>
      </w:r>
    </w:p>
  </w:footnote>
  <w:footnote w:id="440">
    <w:p w:rsidR="00474D51" w:rsidRPr="005615FD" w:rsidRDefault="00474D51" w:rsidP="00324CD5">
      <w:pPr>
        <w:pStyle w:val="FootnoteText"/>
      </w:pPr>
      <w:r>
        <w:rPr>
          <w:rStyle w:val="FootnoteReference"/>
        </w:rPr>
        <w:footnoteRef/>
      </w:r>
      <w:r>
        <w:t xml:space="preserve"> FTC, Policy Statement on Unfairness, 104 F.T.C. 949, 1070 (Dec. 17, 1980) </w:t>
      </w:r>
      <w:r>
        <w:rPr>
          <w:i/>
        </w:rPr>
        <w:t>available at</w:t>
      </w:r>
      <w:r>
        <w:t xml:space="preserve"> </w:t>
      </w:r>
      <w:hyperlink r:id="rId110" w:history="1">
        <w:r w:rsidRPr="0088296F">
          <w:rPr>
            <w:rStyle w:val="Hyperlink"/>
          </w:rPr>
          <w:t>https://www.ftc.gov/public-statements/1980/12/ftc-policy-statement-unfairness</w:t>
        </w:r>
      </w:hyperlink>
      <w:r>
        <w:t xml:space="preserve">; FTC, Policy Statement on Deception, 103 F.T.C. 110, 174 (Oct. 14, 1983), </w:t>
      </w:r>
      <w:r>
        <w:rPr>
          <w:i/>
        </w:rPr>
        <w:t>available at</w:t>
      </w:r>
      <w:r>
        <w:t xml:space="preserve"> </w:t>
      </w:r>
      <w:r w:rsidRPr="005615FD">
        <w:t>https://www.ftc.gov/system/files/documents/public_statements/410531/831014deceptionstmt.pdf</w:t>
      </w:r>
      <w:r>
        <w:t>.</w:t>
      </w:r>
    </w:p>
  </w:footnote>
  <w:footnote w:id="441">
    <w:p w:rsidR="00474D51" w:rsidRPr="007D0DB6" w:rsidRDefault="00474D51" w:rsidP="00324CD5">
      <w:pPr>
        <w:pStyle w:val="FootnoteText"/>
      </w:pPr>
      <w:r>
        <w:rPr>
          <w:rStyle w:val="FootnoteReference"/>
        </w:rPr>
        <w:footnoteRef/>
      </w:r>
      <w:r>
        <w:t xml:space="preserve"> </w:t>
      </w:r>
      <w:r>
        <w:rPr>
          <w:i/>
        </w:rPr>
        <w:t>TerraCom NAL</w:t>
      </w:r>
      <w:r>
        <w:t>, 29 FCC Rcd at 13330, para. 14.</w:t>
      </w:r>
    </w:p>
  </w:footnote>
  <w:footnote w:id="442">
    <w:p w:rsidR="00474D51" w:rsidRDefault="00474D51" w:rsidP="00324CD5">
      <w:pPr>
        <w:pStyle w:val="FootnoteText"/>
      </w:pPr>
      <w:r>
        <w:rPr>
          <w:rStyle w:val="FootnoteReference"/>
        </w:rPr>
        <w:footnoteRef/>
      </w:r>
      <w:r>
        <w:t xml:space="preserve"> </w:t>
      </w:r>
      <w:r>
        <w:rPr>
          <w:i/>
        </w:rPr>
        <w:t>2007 CPNI Order</w:t>
      </w:r>
      <w:r>
        <w:t>,</w:t>
      </w:r>
      <w:r>
        <w:rPr>
          <w:i/>
        </w:rPr>
        <w:t xml:space="preserve"> </w:t>
      </w:r>
      <w:r>
        <w:t>22 FCC Rcd 6927.</w:t>
      </w:r>
    </w:p>
  </w:footnote>
  <w:footnote w:id="443">
    <w:p w:rsidR="00474D51" w:rsidRPr="007D0DB6" w:rsidRDefault="00474D51" w:rsidP="00324CD5">
      <w:pPr>
        <w:pStyle w:val="FootnoteText"/>
      </w:pPr>
      <w:r>
        <w:rPr>
          <w:rStyle w:val="FootnoteReference"/>
        </w:rPr>
        <w:footnoteRef/>
      </w:r>
      <w:r>
        <w:t xml:space="preserve"> </w:t>
      </w:r>
      <w:r>
        <w:rPr>
          <w:i/>
        </w:rPr>
        <w:t>Id.</w:t>
      </w:r>
      <w:r>
        <w:t xml:space="preserve"> at 6927, para. 1, n.2</w:t>
      </w:r>
    </w:p>
  </w:footnote>
  <w:footnote w:id="444">
    <w:p w:rsidR="00474D51" w:rsidRDefault="00474D51" w:rsidP="00324CD5">
      <w:pPr>
        <w:pStyle w:val="FootnoteText"/>
      </w:pPr>
      <w:r>
        <w:rPr>
          <w:rStyle w:val="FootnoteReference"/>
        </w:rPr>
        <w:footnoteRef/>
      </w:r>
      <w:r>
        <w:t xml:space="preserve"> </w:t>
      </w:r>
      <w:r>
        <w:rPr>
          <w:i/>
        </w:rPr>
        <w:t xml:space="preserve">Id. </w:t>
      </w:r>
      <w:r>
        <w:t>at 6961, para. 66.</w:t>
      </w:r>
    </w:p>
  </w:footnote>
  <w:footnote w:id="445">
    <w:p w:rsidR="00474D51" w:rsidRDefault="00474D51" w:rsidP="00324CD5">
      <w:pPr>
        <w:pStyle w:val="FootnoteText"/>
      </w:pPr>
      <w:r>
        <w:rPr>
          <w:rStyle w:val="FootnoteReference"/>
        </w:rPr>
        <w:footnoteRef/>
      </w:r>
      <w:r>
        <w:t xml:space="preserve"> </w:t>
      </w:r>
      <w:r>
        <w:rPr>
          <w:i/>
        </w:rPr>
        <w:t>Id.</w:t>
      </w:r>
      <w:r>
        <w:t xml:space="preserve"> at 6960, para. 63.</w:t>
      </w:r>
    </w:p>
  </w:footnote>
  <w:footnote w:id="446">
    <w:p w:rsidR="00474D51" w:rsidRPr="00693AA9" w:rsidRDefault="00474D51" w:rsidP="00324CD5">
      <w:pPr>
        <w:pStyle w:val="FootnoteText"/>
      </w:pPr>
      <w:r>
        <w:rPr>
          <w:rStyle w:val="FootnoteReference"/>
        </w:rPr>
        <w:footnoteRef/>
      </w:r>
      <w:r>
        <w:t xml:space="preserve"> </w:t>
      </w:r>
      <w:r>
        <w:rPr>
          <w:i/>
        </w:rPr>
        <w:t>See</w:t>
      </w:r>
      <w:r>
        <w:t xml:space="preserve"> </w:t>
      </w:r>
      <w:r>
        <w:rPr>
          <w:i/>
        </w:rPr>
        <w:t xml:space="preserve">supra </w:t>
      </w:r>
      <w:r>
        <w:t xml:space="preserve">note </w:t>
      </w:r>
      <w:r>
        <w:fldChar w:fldCharType="begin"/>
      </w:r>
      <w:r>
        <w:instrText xml:space="preserve"> NOTEREF _Ref446590429 \h </w:instrText>
      </w:r>
      <w:r>
        <w:fldChar w:fldCharType="separate"/>
      </w:r>
      <w:r w:rsidR="00327397">
        <w:t>3</w:t>
      </w:r>
      <w:r>
        <w:fldChar w:fldCharType="end"/>
      </w:r>
      <w:r>
        <w:t>.</w:t>
      </w:r>
    </w:p>
  </w:footnote>
  <w:footnote w:id="447">
    <w:p w:rsidR="00474D51" w:rsidRPr="00693AA9" w:rsidRDefault="00474D51" w:rsidP="00324CD5">
      <w:pPr>
        <w:pStyle w:val="FootnoteText"/>
      </w:pPr>
      <w:r>
        <w:rPr>
          <w:rStyle w:val="FootnoteReference"/>
        </w:rPr>
        <w:footnoteRef/>
      </w:r>
      <w:r>
        <w:t xml:space="preserve"> </w:t>
      </w:r>
      <w:r>
        <w:rPr>
          <w:i/>
        </w:rPr>
        <w:t>See</w:t>
      </w:r>
      <w:r>
        <w:t xml:space="preserve"> </w:t>
      </w:r>
      <w:r>
        <w:rPr>
          <w:i/>
        </w:rPr>
        <w:t xml:space="preserve">supra </w:t>
      </w:r>
      <w:r>
        <w:t xml:space="preserve">note </w:t>
      </w:r>
      <w:r>
        <w:fldChar w:fldCharType="begin"/>
      </w:r>
      <w:r>
        <w:instrText xml:space="preserve"> NOTEREF _Ref446590414 \h </w:instrText>
      </w:r>
      <w:r>
        <w:fldChar w:fldCharType="separate"/>
      </w:r>
      <w:r w:rsidR="00327397">
        <w:t>111</w:t>
      </w:r>
      <w:r>
        <w:fldChar w:fldCharType="end"/>
      </w:r>
      <w:r>
        <w:t>.</w:t>
      </w:r>
    </w:p>
  </w:footnote>
  <w:footnote w:id="448">
    <w:p w:rsidR="00474D51" w:rsidRPr="00FC5251" w:rsidRDefault="00474D51" w:rsidP="00324CD5">
      <w:pPr>
        <w:pStyle w:val="FootnoteText"/>
      </w:pPr>
      <w:r>
        <w:rPr>
          <w:rStyle w:val="FootnoteReference"/>
        </w:rPr>
        <w:footnoteRef/>
      </w:r>
      <w:r>
        <w:t xml:space="preserve"> Marc Rotenberg, </w:t>
      </w:r>
      <w:r>
        <w:rPr>
          <w:i/>
        </w:rPr>
        <w:t>Code of Fair Information Practices for the National Information Infrastructure (NII)</w:t>
      </w:r>
      <w:r>
        <w:t xml:space="preserve">, in </w:t>
      </w:r>
      <w:r>
        <w:rPr>
          <w:i/>
        </w:rPr>
        <w:t>Ethics of Computing: Codes, Spaces for Discussion and Law</w:t>
      </w:r>
      <w:r>
        <w:t xml:space="preserve"> 200 (Jacques Berleur and Kalus Brunnstein eds. 1996).</w:t>
      </w:r>
    </w:p>
  </w:footnote>
  <w:footnote w:id="449">
    <w:p w:rsidR="00474D51" w:rsidRDefault="00474D51" w:rsidP="00324CD5">
      <w:pPr>
        <w:pStyle w:val="FootnoteText"/>
      </w:pPr>
      <w:r>
        <w:rPr>
          <w:rStyle w:val="FootnoteReference"/>
        </w:rPr>
        <w:footnoteRef/>
      </w:r>
      <w:r>
        <w:t xml:space="preserve"> Doug Brake, Daniel Castro, &amp; Alan McQuinn, Information Technology and Innovation Foundation, Broadband Privacy: The Folly of Sector-Specific Regulation (2016), </w:t>
      </w:r>
      <w:r w:rsidRPr="00450BF5">
        <w:t>http://www2.itif.org/2016-broadband-privacy-folly.pdf</w:t>
      </w:r>
      <w:r>
        <w:t xml:space="preserve">. </w:t>
      </w:r>
    </w:p>
  </w:footnote>
  <w:footnote w:id="450">
    <w:p w:rsidR="00474D51" w:rsidRDefault="00474D51" w:rsidP="00324CD5">
      <w:pPr>
        <w:pStyle w:val="FootnoteText"/>
      </w:pPr>
      <w:r>
        <w:rPr>
          <w:rStyle w:val="FootnoteReference"/>
        </w:rPr>
        <w:footnoteRef/>
      </w:r>
      <w:r>
        <w:t xml:space="preserve"> NTIA, Commercial Data Privacy and Innovation in the Internet Economy: A Dynamic Policy Framework at vii (2010), </w:t>
      </w:r>
      <w:r w:rsidRPr="004E7A29">
        <w:t>https://www.ntia.doc.gov/files/ntia/publications/iptf_privacy_greenpaper_12162010.pdf</w:t>
      </w:r>
      <w:r>
        <w:t>.</w:t>
      </w:r>
    </w:p>
  </w:footnote>
  <w:footnote w:id="451">
    <w:p w:rsidR="00474D51" w:rsidRDefault="00474D51" w:rsidP="00324CD5">
      <w:pPr>
        <w:pStyle w:val="FootnoteText"/>
      </w:pPr>
      <w:r>
        <w:rPr>
          <w:rStyle w:val="FootnoteReference"/>
        </w:rPr>
        <w:footnoteRef/>
      </w:r>
      <w:r>
        <w:t xml:space="preserve"> </w:t>
      </w:r>
      <w:r w:rsidRPr="00310838">
        <w:rPr>
          <w:i/>
        </w:rPr>
        <w:t>See, e.g.</w:t>
      </w:r>
      <w:r w:rsidRPr="00310838">
        <w:t xml:space="preserve">, NTIA, Privacy Multistakeholder Process: Mobile Application Transparency (2013), </w:t>
      </w:r>
      <w:hyperlink r:id="rId111" w:history="1">
        <w:r w:rsidRPr="00310838">
          <w:rPr>
            <w:rStyle w:val="Hyperlink"/>
          </w:rPr>
          <w:t>https://www.ntia.doc.gov/other-publication/2013/privacy-multistakeholder-process-mobile-application-transparency</w:t>
        </w:r>
      </w:hyperlink>
      <w:r w:rsidRPr="00310838">
        <w:t>;</w:t>
      </w:r>
      <w:r>
        <w:t xml:space="preserve"> </w:t>
      </w:r>
      <w:r w:rsidRPr="00310838">
        <w:t>NTIA, Privacy Multistakeholder Process: Facia</w:t>
      </w:r>
      <w:r>
        <w:t>l Recognition Technology (2015),</w:t>
      </w:r>
      <w:r w:rsidRPr="00310838">
        <w:t xml:space="preserve"> </w:t>
      </w:r>
      <w:hyperlink r:id="rId112" w:history="1">
        <w:r w:rsidRPr="00310838">
          <w:rPr>
            <w:rStyle w:val="Hyperlink"/>
          </w:rPr>
          <w:t>https://www.ntia.doc.gov/other-publication/2015/privacy-multistakeholder-process-facial-recognition-technology</w:t>
        </w:r>
      </w:hyperlink>
      <w:r w:rsidRPr="00310838">
        <w:t>;</w:t>
      </w:r>
      <w:r>
        <w:t xml:space="preserve"> </w:t>
      </w:r>
      <w:r w:rsidRPr="00310838">
        <w:t xml:space="preserve">NTIA, Privacy Multistakeholder Process: Unmanned Aircraft Systems (2016), </w:t>
      </w:r>
      <w:hyperlink r:id="rId113" w:history="1">
        <w:r w:rsidRPr="00310838">
          <w:rPr>
            <w:rStyle w:val="Hyperlink"/>
          </w:rPr>
          <w:t>https://www.ntia.doc.gov/other-publication/2016/multistakeholder-process-unmanned-aircraft-systems</w:t>
        </w:r>
      </w:hyperlink>
      <w:r>
        <w:t>.</w:t>
      </w:r>
    </w:p>
  </w:footnote>
  <w:footnote w:id="452">
    <w:p w:rsidR="00474D51" w:rsidRDefault="00474D51" w:rsidP="00324CD5">
      <w:pPr>
        <w:pStyle w:val="FootnoteText"/>
      </w:pPr>
      <w:r>
        <w:rPr>
          <w:rStyle w:val="FootnoteReference"/>
        </w:rPr>
        <w:footnoteRef/>
      </w:r>
      <w:r>
        <w:t xml:space="preserve"> 2015 Administration Discussion Draft § 301(a)(2).</w:t>
      </w:r>
    </w:p>
  </w:footnote>
  <w:footnote w:id="453">
    <w:p w:rsidR="00474D51" w:rsidRPr="009D1FEE" w:rsidRDefault="00474D51" w:rsidP="00324CD5">
      <w:pPr>
        <w:pStyle w:val="FootnoteText"/>
      </w:pPr>
      <w:r>
        <w:rPr>
          <w:rStyle w:val="FootnoteReference"/>
        </w:rPr>
        <w:footnoteRef/>
      </w:r>
      <w:r>
        <w:t xml:space="preserve"> </w:t>
      </w:r>
      <w:r>
        <w:rPr>
          <w:i/>
        </w:rPr>
        <w:t>See supra</w:t>
      </w:r>
      <w:r>
        <w:t xml:space="preserve"> para. </w:t>
      </w:r>
      <w:r>
        <w:fldChar w:fldCharType="begin"/>
      </w:r>
      <w:r>
        <w:instrText xml:space="preserve"> REF _Ref445296677 \r \h </w:instrText>
      </w:r>
      <w:r>
        <w:fldChar w:fldCharType="separate"/>
      </w:r>
      <w:r w:rsidR="00327397">
        <w:t>93</w:t>
      </w:r>
      <w:r>
        <w:fldChar w:fldCharType="end"/>
      </w:r>
      <w:r>
        <w:t>.</w:t>
      </w:r>
    </w:p>
  </w:footnote>
  <w:footnote w:id="454">
    <w:p w:rsidR="00474D51" w:rsidRPr="009D1FEE" w:rsidRDefault="00474D51" w:rsidP="00324CD5">
      <w:pPr>
        <w:pStyle w:val="FootnoteText"/>
      </w:pPr>
      <w:r>
        <w:rPr>
          <w:rStyle w:val="FootnoteReference"/>
        </w:rPr>
        <w:footnoteRef/>
      </w:r>
      <w:r>
        <w:t xml:space="preserve"> </w:t>
      </w:r>
      <w:r>
        <w:rPr>
          <w:i/>
        </w:rPr>
        <w:t>See supra</w:t>
      </w:r>
      <w:r>
        <w:t xml:space="preserve"> para. </w:t>
      </w:r>
      <w:r>
        <w:fldChar w:fldCharType="begin"/>
      </w:r>
      <w:r>
        <w:instrText xml:space="preserve"> REF _Ref445296736 \r \h </w:instrText>
      </w:r>
      <w:r>
        <w:fldChar w:fldCharType="separate"/>
      </w:r>
      <w:r w:rsidR="00327397">
        <w:t>178</w:t>
      </w:r>
      <w:r>
        <w:fldChar w:fldCharType="end"/>
      </w:r>
      <w:r>
        <w:t>.</w:t>
      </w:r>
    </w:p>
  </w:footnote>
  <w:footnote w:id="455">
    <w:p w:rsidR="00474D51" w:rsidRDefault="00474D51" w:rsidP="00324CD5">
      <w:pPr>
        <w:pStyle w:val="FootnoteText"/>
      </w:pPr>
      <w:r>
        <w:rPr>
          <w:rStyle w:val="FootnoteReference"/>
        </w:rPr>
        <w:footnoteRef/>
      </w:r>
      <w:r>
        <w:t xml:space="preserve"> Communications Act of 1934, ch. 652, § 605, 48 Stat. 1064, 1103-04.  This provision, originally Section 605 of the Act, has been amended several times and now appears in Section 705 of the Act, though it remains codified at 47 U.S.C. § 605.</w:t>
      </w:r>
    </w:p>
  </w:footnote>
  <w:footnote w:id="456">
    <w:p w:rsidR="00474D51" w:rsidRDefault="00474D51" w:rsidP="00324CD5">
      <w:pPr>
        <w:pStyle w:val="FootnoteText"/>
      </w:pPr>
      <w:r>
        <w:rPr>
          <w:rStyle w:val="FootnoteReference"/>
        </w:rPr>
        <w:footnoteRef/>
      </w:r>
      <w:r>
        <w:t xml:space="preserve"> 47 U.S.C. § 1302.</w:t>
      </w:r>
    </w:p>
  </w:footnote>
  <w:footnote w:id="457">
    <w:p w:rsidR="00474D51" w:rsidRDefault="00474D51" w:rsidP="00324CD5">
      <w:pPr>
        <w:pStyle w:val="FootnoteText"/>
      </w:pPr>
      <w:r>
        <w:rPr>
          <w:rStyle w:val="FootnoteReference"/>
        </w:rPr>
        <w:footnoteRef/>
      </w:r>
      <w:r>
        <w:t xml:space="preserve"> 47 U.S.C. § 605.</w:t>
      </w:r>
    </w:p>
  </w:footnote>
  <w:footnote w:id="458">
    <w:p w:rsidR="00474D51" w:rsidRPr="001A5556" w:rsidRDefault="00474D51" w:rsidP="00324CD5">
      <w:pPr>
        <w:pStyle w:val="FootnoteText"/>
      </w:pPr>
      <w:r>
        <w:rPr>
          <w:rStyle w:val="FootnoteReference"/>
        </w:rPr>
        <w:footnoteRef/>
      </w:r>
      <w:r>
        <w:t xml:space="preserve"> 47 U.S.C. § 201(b) (“</w:t>
      </w:r>
      <w:r w:rsidRPr="001A5556">
        <w:t>The Commission may prescribe such rules and regulations as may be necessary in the public interest to carry out the provisions of this chapter.</w:t>
      </w:r>
      <w:r>
        <w:t xml:space="preserve">”); </w:t>
      </w:r>
      <w:r w:rsidRPr="008131D0">
        <w:rPr>
          <w:i/>
        </w:rPr>
        <w:t>AT&amp;T Corp. v. Iowa Utilities Bd.</w:t>
      </w:r>
      <w:r w:rsidRPr="008131D0">
        <w:t>, 525 U</w:t>
      </w:r>
      <w:r>
        <w:t>.</w:t>
      </w:r>
      <w:r w:rsidRPr="008131D0">
        <w:t>S</w:t>
      </w:r>
      <w:r>
        <w:t>.</w:t>
      </w:r>
      <w:r w:rsidRPr="008131D0">
        <w:t xml:space="preserve"> 366</w:t>
      </w:r>
      <w:r>
        <w:t xml:space="preserve">, 377-78 (1999) (holding that the FCC has rulemaking authority to implement all provisions of the Communications Act of 1934, as amended).  </w:t>
      </w:r>
      <w:r>
        <w:rPr>
          <w:i/>
        </w:rPr>
        <w:t>See also</w:t>
      </w:r>
      <w:r>
        <w:t xml:space="preserve"> </w:t>
      </w:r>
      <w:r>
        <w:rPr>
          <w:i/>
        </w:rPr>
        <w:t>id.</w:t>
      </w:r>
      <w:r>
        <w:t xml:space="preserve"> §§ 154(i) (“</w:t>
      </w:r>
      <w:r w:rsidRPr="001A5556">
        <w:t>The Commission may perform any and all acts, make such rules and regulations, and issue such orders, not inconsistent with this chapter, as may be necessary in the execution of its functions.</w:t>
      </w:r>
      <w:r>
        <w:t>”), 303(r) (directing the Commission to “[m]</w:t>
      </w:r>
      <w:r w:rsidRPr="001A5556">
        <w:t>ake such rules and regulations and prescribe such restrictions and conditions, not inconsistent with law, as may be necessary to carry out the provisions of this chapter</w:t>
      </w:r>
      <w:r>
        <w:t xml:space="preserve">.”); </w:t>
      </w:r>
      <w:r w:rsidRPr="00677724">
        <w:rPr>
          <w:i/>
        </w:rPr>
        <w:t>Nat’l Cable &amp; Telecomm. Ass’n v. FCC</w:t>
      </w:r>
      <w:r>
        <w:t>, 555 F.3d 996 (D.C. Cir. 2009) (upholding Commission opt-in rules for CPNI under Section 222).</w:t>
      </w:r>
    </w:p>
  </w:footnote>
  <w:footnote w:id="459">
    <w:p w:rsidR="00474D51" w:rsidRDefault="00474D51" w:rsidP="00324CD5">
      <w:pPr>
        <w:pStyle w:val="FootnoteText"/>
      </w:pPr>
      <w:r>
        <w:rPr>
          <w:rStyle w:val="FootnoteReference"/>
        </w:rPr>
        <w:footnoteRef/>
      </w:r>
      <w:r>
        <w:t xml:space="preserve"> Telecommunications Act of 1996, Pub. L. No. 104-104, § 702, 110 Stat. 56.</w:t>
      </w:r>
    </w:p>
  </w:footnote>
  <w:footnote w:id="460">
    <w:p w:rsidR="00474D51" w:rsidRPr="00B43E62" w:rsidRDefault="00474D51" w:rsidP="00324CD5">
      <w:pPr>
        <w:pStyle w:val="FootnoteText"/>
      </w:pPr>
      <w:r>
        <w:rPr>
          <w:rStyle w:val="FootnoteReference"/>
        </w:rPr>
        <w:footnoteRef/>
      </w:r>
      <w:r>
        <w:t xml:space="preserve"> </w:t>
      </w:r>
      <w:r>
        <w:rPr>
          <w:i/>
        </w:rPr>
        <w:t>1998 CPNI Order</w:t>
      </w:r>
      <w:r>
        <w:t>, 13 FCC Rcd at 8064, para. 1.</w:t>
      </w:r>
    </w:p>
  </w:footnote>
  <w:footnote w:id="461">
    <w:p w:rsidR="00474D51" w:rsidRPr="00C66267" w:rsidRDefault="00474D51" w:rsidP="00324CD5">
      <w:pPr>
        <w:pStyle w:val="FootnoteText"/>
      </w:pPr>
      <w:r>
        <w:rPr>
          <w:rStyle w:val="FootnoteReference"/>
        </w:rPr>
        <w:footnoteRef/>
      </w:r>
      <w:r>
        <w:t xml:space="preserve"> </w:t>
      </w:r>
      <w:r>
        <w:rPr>
          <w:i/>
        </w:rPr>
        <w:t>2015 Open Internet Order</w:t>
      </w:r>
      <w:r>
        <w:t>, 30 FCC Rcd at 5821, para. 463.</w:t>
      </w:r>
    </w:p>
  </w:footnote>
  <w:footnote w:id="462">
    <w:p w:rsidR="00474D51" w:rsidRPr="00B50CAA" w:rsidRDefault="00474D51" w:rsidP="00324CD5">
      <w:pPr>
        <w:pStyle w:val="FootnoteText"/>
      </w:pPr>
      <w:r>
        <w:rPr>
          <w:rStyle w:val="FootnoteReference"/>
        </w:rPr>
        <w:footnoteRef/>
      </w:r>
      <w:r>
        <w:t xml:space="preserve"> </w:t>
      </w:r>
      <w:r>
        <w:rPr>
          <w:i/>
        </w:rPr>
        <w:t>See, e.g.</w:t>
      </w:r>
      <w:r>
        <w:t xml:space="preserve">, </w:t>
      </w:r>
      <w:r w:rsidRPr="00B50CAA">
        <w:rPr>
          <w:i/>
        </w:rPr>
        <w:t>199</w:t>
      </w:r>
      <w:r>
        <w:rPr>
          <w:i/>
        </w:rPr>
        <w:t>8</w:t>
      </w:r>
      <w:r w:rsidRPr="00B50CAA">
        <w:rPr>
          <w:i/>
        </w:rPr>
        <w:t xml:space="preserve"> CPNI Order</w:t>
      </w:r>
      <w:r>
        <w:t>, 13 FCC Rcd at 8064, para. 2.</w:t>
      </w:r>
    </w:p>
  </w:footnote>
  <w:footnote w:id="463">
    <w:p w:rsidR="00474D51" w:rsidRPr="00BF0665" w:rsidRDefault="00474D51" w:rsidP="00324CD5">
      <w:pPr>
        <w:pStyle w:val="FootnoteText"/>
      </w:pPr>
      <w:r>
        <w:rPr>
          <w:rStyle w:val="FootnoteReference"/>
        </w:rPr>
        <w:footnoteRef/>
      </w:r>
      <w:r>
        <w:t xml:space="preserve"> </w:t>
      </w:r>
      <w:r>
        <w:rPr>
          <w:i/>
        </w:rPr>
        <w:t>Id.</w:t>
      </w:r>
      <w:r>
        <w:t xml:space="preserve"> at 8182-83, paras. 174-175.</w:t>
      </w:r>
    </w:p>
  </w:footnote>
  <w:footnote w:id="464">
    <w:p w:rsidR="00474D51" w:rsidRPr="003B2FD4" w:rsidRDefault="00474D51" w:rsidP="00324CD5">
      <w:pPr>
        <w:pStyle w:val="FootnoteText"/>
      </w:pPr>
      <w:r>
        <w:rPr>
          <w:rStyle w:val="FootnoteReference"/>
        </w:rPr>
        <w:footnoteRef/>
      </w:r>
      <w:r>
        <w:t xml:space="preserve"> </w:t>
      </w:r>
      <w:r>
        <w:rPr>
          <w:i/>
        </w:rPr>
        <w:t>See 2007 CPNI Order</w:t>
      </w:r>
      <w:r>
        <w:t xml:space="preserve">, 22 FCC Rcd at 6928-29, paras. 1-2; </w:t>
      </w:r>
      <w:r>
        <w:rPr>
          <w:i/>
        </w:rPr>
        <w:t>see 2006 CPNI NPRM</w:t>
      </w:r>
      <w:r>
        <w:t>, 21 FCC Rcd at 1783-84, paras. 2-4.</w:t>
      </w:r>
    </w:p>
  </w:footnote>
  <w:footnote w:id="465">
    <w:p w:rsidR="00474D51" w:rsidRPr="005C41E4" w:rsidRDefault="00474D51" w:rsidP="00324CD5">
      <w:pPr>
        <w:pStyle w:val="FootnoteText"/>
      </w:pPr>
      <w:r>
        <w:rPr>
          <w:rStyle w:val="FootnoteReference"/>
        </w:rPr>
        <w:footnoteRef/>
      </w:r>
      <w:r>
        <w:t xml:space="preserve"> </w:t>
      </w:r>
      <w:r>
        <w:rPr>
          <w:i/>
        </w:rPr>
        <w:t>TerraCom NAL</w:t>
      </w:r>
      <w:r>
        <w:t>, 29 FCC Rcd at 13330-32, paras. 14-20.</w:t>
      </w:r>
    </w:p>
  </w:footnote>
  <w:footnote w:id="466">
    <w:p w:rsidR="00474D51" w:rsidRPr="004D2842" w:rsidRDefault="00474D51" w:rsidP="00324CD5">
      <w:pPr>
        <w:pStyle w:val="FootnoteText"/>
      </w:pPr>
      <w:r>
        <w:rPr>
          <w:rStyle w:val="FootnoteReference"/>
        </w:rPr>
        <w:footnoteRef/>
      </w:r>
      <w:r>
        <w:t xml:space="preserve"> </w:t>
      </w:r>
      <w:r w:rsidRPr="001F038C">
        <w:rPr>
          <w:i/>
        </w:rPr>
        <w:t xml:space="preserve">2015 </w:t>
      </w:r>
      <w:r>
        <w:rPr>
          <w:i/>
        </w:rPr>
        <w:t>Lifeline Reform Order</w:t>
      </w:r>
      <w:r>
        <w:t>, 30 FCC Rcd at 7895-96, para. 234 (stating that carriers’ duty to protect customer information “includes all documentation submitted by a consumer or collected by an [eligible telecommunications carrier] to determine a consumer’s eligibility for Lifeline service, as well as all personally identifiable information contained therein”).</w:t>
      </w:r>
    </w:p>
  </w:footnote>
  <w:footnote w:id="467">
    <w:p w:rsidR="00474D51" w:rsidRPr="00622AD2" w:rsidRDefault="00474D51" w:rsidP="00324CD5">
      <w:pPr>
        <w:pStyle w:val="FootnoteText"/>
      </w:pPr>
      <w:r>
        <w:rPr>
          <w:rStyle w:val="FootnoteReference"/>
        </w:rPr>
        <w:footnoteRef/>
      </w:r>
      <w:r>
        <w:t xml:space="preserve"> </w:t>
      </w:r>
      <w:r>
        <w:rPr>
          <w:i/>
        </w:rPr>
        <w:t>See, e.g.</w:t>
      </w:r>
      <w:r>
        <w:t xml:space="preserve">, </w:t>
      </w:r>
      <w:r w:rsidRPr="00622AD2">
        <w:rPr>
          <w:i/>
        </w:rPr>
        <w:t>Confidential</w:t>
      </w:r>
      <w:r>
        <w:t xml:space="preserve">, </w:t>
      </w:r>
      <w:r w:rsidRPr="00622AD2">
        <w:t>Black’s</w:t>
      </w:r>
      <w:r>
        <w:t xml:space="preserve"> Law Dictionary (10th ed. 2014) (“</w:t>
      </w:r>
      <w:r>
        <w:rPr>
          <w:rStyle w:val="Strong"/>
        </w:rPr>
        <w:t xml:space="preserve">2. </w:t>
      </w:r>
      <w:r>
        <w:t xml:space="preserve">(Of a relationship) based on or characterized by trust and a willingness to impart secrets to the other.”); </w:t>
      </w:r>
      <w:r>
        <w:rPr>
          <w:i/>
        </w:rPr>
        <w:t>Confidentiality</w:t>
      </w:r>
      <w:r>
        <w:t xml:space="preserve">, </w:t>
      </w:r>
      <w:r>
        <w:rPr>
          <w:i/>
        </w:rPr>
        <w:t>id.</w:t>
      </w:r>
      <w:r>
        <w:t xml:space="preserve"> (“</w:t>
      </w:r>
      <w:r>
        <w:rPr>
          <w:rStyle w:val="Strong"/>
        </w:rPr>
        <w:t xml:space="preserve">2. </w:t>
      </w:r>
      <w:r>
        <w:t xml:space="preserve">The trusting relation between two people who have an especially close bond — as between lawyer and client, guardian and ward, or spouses — with regard to the faith that is placed in the one by the other.”); </w:t>
      </w:r>
      <w:r>
        <w:rPr>
          <w:i/>
        </w:rPr>
        <w:t>Confidential</w:t>
      </w:r>
      <w:r>
        <w:t xml:space="preserve">, Merriam-Webster, </w:t>
      </w:r>
      <w:r w:rsidRPr="003D0824">
        <w:t>http://www.merriam-webster.com/dictionary/confidential</w:t>
      </w:r>
      <w:r w:rsidRPr="003D0824" w:rsidDel="003D0824">
        <w:t xml:space="preserve"> </w:t>
      </w:r>
      <w:r>
        <w:t>(last visited March 8, 2016) (“trusted with secret or private information”).</w:t>
      </w:r>
    </w:p>
  </w:footnote>
  <w:footnote w:id="468">
    <w:p w:rsidR="00474D51" w:rsidRPr="00F14FBF" w:rsidRDefault="00474D51" w:rsidP="00324CD5">
      <w:pPr>
        <w:pStyle w:val="FootnoteText"/>
      </w:pPr>
      <w:r>
        <w:rPr>
          <w:rStyle w:val="FootnoteReference"/>
        </w:rPr>
        <w:footnoteRef/>
      </w:r>
      <w:r>
        <w:t xml:space="preserve"> </w:t>
      </w:r>
      <w:r>
        <w:rPr>
          <w:i/>
        </w:rPr>
        <w:t>See, e.g.</w:t>
      </w:r>
      <w:r>
        <w:t xml:space="preserve">, </w:t>
      </w:r>
      <w:r>
        <w:rPr>
          <w:i/>
        </w:rPr>
        <w:t>1998 CPNI Order</w:t>
      </w:r>
      <w:r>
        <w:t xml:space="preserve">, 13 FCC Rcd at 8127-28, paras. 86-87; </w:t>
      </w:r>
      <w:r>
        <w:rPr>
          <w:i/>
        </w:rPr>
        <w:t xml:space="preserve">see id. </w:t>
      </w:r>
      <w:r>
        <w:t>at 8128, para. 87 (“[I]n order to ensure that customers can provide informed approval under Section 222(c)(1), we require that carriers give customers explicit notice of their CPNI rights prior to any solicitation for approval.”).</w:t>
      </w:r>
    </w:p>
  </w:footnote>
  <w:footnote w:id="469">
    <w:p w:rsidR="00474D51" w:rsidRDefault="00474D51" w:rsidP="00324CD5">
      <w:pPr>
        <w:pStyle w:val="FootnoteText"/>
      </w:pPr>
      <w:r>
        <w:rPr>
          <w:rStyle w:val="FootnoteReference"/>
        </w:rPr>
        <w:footnoteRef/>
      </w:r>
      <w:r>
        <w:t xml:space="preserve"> 47 U.S.C. § 222(a).</w:t>
      </w:r>
    </w:p>
  </w:footnote>
  <w:footnote w:id="470">
    <w:p w:rsidR="00474D51" w:rsidRPr="009C7C5A" w:rsidRDefault="00474D51" w:rsidP="00324CD5">
      <w:pPr>
        <w:pStyle w:val="FootnoteText"/>
      </w:pPr>
      <w:r>
        <w:rPr>
          <w:rStyle w:val="FootnoteReference"/>
        </w:rPr>
        <w:footnoteRef/>
      </w:r>
      <w:r>
        <w:t xml:space="preserve"> </w:t>
      </w:r>
      <w:r>
        <w:rPr>
          <w:i/>
        </w:rPr>
        <w:t>U.S. West v. FCC</w:t>
      </w:r>
      <w:r>
        <w:t>, 182 F.3d 1224 (10th Cir. 1999).</w:t>
      </w:r>
    </w:p>
  </w:footnote>
  <w:footnote w:id="471">
    <w:p w:rsidR="00474D51" w:rsidRPr="00DA482C" w:rsidRDefault="00474D51" w:rsidP="00324CD5">
      <w:pPr>
        <w:pStyle w:val="FootnoteText"/>
        <w:rPr>
          <w:i/>
        </w:rPr>
      </w:pPr>
      <w:r>
        <w:rPr>
          <w:rStyle w:val="FootnoteReference"/>
        </w:rPr>
        <w:footnoteRef/>
      </w:r>
      <w:r>
        <w:t xml:space="preserve"> </w:t>
      </w:r>
      <w:r>
        <w:rPr>
          <w:i/>
        </w:rPr>
        <w:t>Central Hudson Gas &amp; Elec. Corp. v. Pub. Serv. Comm’n of N.Y.</w:t>
      </w:r>
      <w:r>
        <w:t>, 447 U.S 557 (1980).</w:t>
      </w:r>
      <w:r>
        <w:rPr>
          <w:i/>
        </w:rPr>
        <w:t xml:space="preserve"> </w:t>
      </w:r>
    </w:p>
  </w:footnote>
  <w:footnote w:id="472">
    <w:p w:rsidR="00474D51" w:rsidRPr="00B9504F" w:rsidRDefault="00474D51" w:rsidP="00324CD5">
      <w:pPr>
        <w:pStyle w:val="FootnoteText"/>
      </w:pPr>
      <w:r>
        <w:rPr>
          <w:rStyle w:val="FootnoteReference"/>
        </w:rPr>
        <w:footnoteRef/>
      </w:r>
      <w:r>
        <w:t xml:space="preserve"> </w:t>
      </w:r>
      <w:r>
        <w:rPr>
          <w:i/>
        </w:rPr>
        <w:t>See, e.g.</w:t>
      </w:r>
      <w:r>
        <w:t xml:space="preserve">, </w:t>
      </w:r>
      <w:r>
        <w:rPr>
          <w:i/>
        </w:rPr>
        <w:t>2007 CPNI Order</w:t>
      </w:r>
      <w:r>
        <w:t xml:space="preserve">, 22 FCC Rcd at 6931, para. 6, at 6943, para. 27; </w:t>
      </w:r>
      <w:r>
        <w:rPr>
          <w:i/>
        </w:rPr>
        <w:t>2013 CPNI Declaratory Ruling</w:t>
      </w:r>
      <w:r>
        <w:t>, 28 FCC Rcd at 9615, para. 19, 9618, para. 27 (“We also note that subsection (a)’s obligation to protect customer information is not limited to CPNI that the carrier has obtained or received.”).</w:t>
      </w:r>
    </w:p>
  </w:footnote>
  <w:footnote w:id="473">
    <w:p w:rsidR="00474D51" w:rsidRPr="00790BE7" w:rsidRDefault="00474D51" w:rsidP="00324CD5">
      <w:pPr>
        <w:pStyle w:val="FootnoteText"/>
      </w:pPr>
      <w:r>
        <w:rPr>
          <w:rStyle w:val="FootnoteReference"/>
        </w:rPr>
        <w:footnoteRef/>
      </w:r>
      <w:r>
        <w:t xml:space="preserve"> </w:t>
      </w:r>
      <w:r>
        <w:rPr>
          <w:i/>
        </w:rPr>
        <w:t>2015 Open Internet Order</w:t>
      </w:r>
      <w:r>
        <w:t>, 30 FCC Rcd at 5662, para. 141.</w:t>
      </w:r>
    </w:p>
  </w:footnote>
  <w:footnote w:id="474">
    <w:p w:rsidR="00474D51" w:rsidRDefault="00474D51" w:rsidP="00324CD5">
      <w:pPr>
        <w:pStyle w:val="FootnoteText"/>
      </w:pPr>
      <w:r>
        <w:rPr>
          <w:rStyle w:val="FootnoteReference"/>
        </w:rPr>
        <w:footnoteRef/>
      </w:r>
      <w:r>
        <w:t xml:space="preserve"> 15 U.S.C. § 45(a)(1).</w:t>
      </w:r>
    </w:p>
  </w:footnote>
  <w:footnote w:id="475">
    <w:p w:rsidR="00474D51" w:rsidRDefault="00474D51" w:rsidP="00324CD5">
      <w:pPr>
        <w:pStyle w:val="FootnoteText"/>
      </w:pPr>
      <w:r>
        <w:rPr>
          <w:rStyle w:val="FootnoteReference"/>
        </w:rPr>
        <w:footnoteRef/>
      </w:r>
      <w:r>
        <w:t xml:space="preserve"> FCC and FTC, Joint FCC/FTC Policy Statement for the Advertising of Dial-Around and Other Long-Distance Services to Consumers, 65 Fed. Reg. 44053, 44054 (Jul. 17, 2000).</w:t>
      </w:r>
    </w:p>
  </w:footnote>
  <w:footnote w:id="476">
    <w:p w:rsidR="00474D51" w:rsidRDefault="00474D51" w:rsidP="00324CD5">
      <w:pPr>
        <w:pStyle w:val="FootnoteText"/>
      </w:pPr>
      <w:r>
        <w:rPr>
          <w:rStyle w:val="FootnoteReference"/>
        </w:rPr>
        <w:footnoteRef/>
      </w:r>
      <w:r>
        <w:t xml:space="preserve"> 15 U.S.C. § 45(a)(2).</w:t>
      </w:r>
    </w:p>
  </w:footnote>
  <w:footnote w:id="477">
    <w:p w:rsidR="00474D51" w:rsidRDefault="00474D51" w:rsidP="00324CD5">
      <w:pPr>
        <w:pStyle w:val="FootnoteText"/>
      </w:pPr>
      <w:r>
        <w:rPr>
          <w:rStyle w:val="FootnoteReference"/>
        </w:rPr>
        <w:footnoteRef/>
      </w:r>
      <w:r>
        <w:t xml:space="preserve"> 47 U.S.C. § 605; </w:t>
      </w:r>
      <w:r>
        <w:rPr>
          <w:i/>
        </w:rPr>
        <w:t>see supra</w:t>
      </w:r>
      <w:r>
        <w:t xml:space="preserve"> note </w:t>
      </w:r>
      <w:r>
        <w:fldChar w:fldCharType="begin"/>
      </w:r>
      <w:r>
        <w:instrText xml:space="preserve"> NOTEREF _Ref445309018 \h </w:instrText>
      </w:r>
      <w:r>
        <w:fldChar w:fldCharType="separate"/>
      </w:r>
      <w:r w:rsidR="00327397">
        <w:t>454</w:t>
      </w:r>
      <w:r>
        <w:fldChar w:fldCharType="end"/>
      </w:r>
      <w:r>
        <w:t>.</w:t>
      </w:r>
    </w:p>
  </w:footnote>
  <w:footnote w:id="478">
    <w:p w:rsidR="00474D51" w:rsidRDefault="00474D51" w:rsidP="00324CD5">
      <w:pPr>
        <w:pStyle w:val="FootnoteText"/>
      </w:pPr>
      <w:r>
        <w:rPr>
          <w:rStyle w:val="FootnoteReference"/>
        </w:rPr>
        <w:footnoteRef/>
      </w:r>
      <w:r>
        <w:t xml:space="preserve"> 47 U.S.C. § 605(a).  </w:t>
      </w:r>
      <w:r w:rsidRPr="00765419">
        <w:t xml:space="preserve">In 1968, the Omnibus Crime Control and Safe Streets Act added chapter 119 to Title 18 of the United States Code to govern interception of the contents of communications.  </w:t>
      </w:r>
      <w:r>
        <w:t xml:space="preserve">Pub. L. No. 90-351, § 803, 82 Stat. at 223 (amending Section 605 of the Communications Act of 1934).  </w:t>
      </w:r>
      <w:r w:rsidRPr="00765419">
        <w:t>Chapter 119, referred to as the Wiretap Act, generally prohibits unauthorized interception, use, or disclosure of wire, oral, or electronic communications, including radio communications, and establishes procedures for authorizing law enforcement personnel to engage in such activities.</w:t>
      </w:r>
      <w:r>
        <w:t xml:space="preserve">  18 U.S.C. § 2510-2522.  </w:t>
      </w:r>
      <w:r w:rsidRPr="00765419">
        <w:t xml:space="preserve">At the same time Congress enacted the Wiretap Act, it added the phrase “[e]xcept as authorized by [the Wiretap Act]” to the beginning of the first sentence of </w:t>
      </w:r>
      <w:r>
        <w:t>Section</w:t>
      </w:r>
      <w:r w:rsidRPr="00765419">
        <w:t xml:space="preserve"> 705(a) and limited the applicability of the prohibitions in the second through fourth sentences to radio communications.</w:t>
      </w:r>
      <w:r>
        <w:t xml:space="preserve">  </w:t>
      </w:r>
    </w:p>
  </w:footnote>
  <w:footnote w:id="479">
    <w:p w:rsidR="00474D51" w:rsidRDefault="00474D51" w:rsidP="00324CD5">
      <w:pPr>
        <w:pStyle w:val="FootnoteText"/>
      </w:pPr>
      <w:r>
        <w:rPr>
          <w:rStyle w:val="FootnoteReference"/>
        </w:rPr>
        <w:footnoteRef/>
      </w:r>
      <w:r>
        <w:t xml:space="preserve"> 47 U.S.C. § 1302(a).  </w:t>
      </w:r>
    </w:p>
  </w:footnote>
  <w:footnote w:id="480">
    <w:p w:rsidR="00474D51" w:rsidRPr="004707A9" w:rsidRDefault="00474D51" w:rsidP="00324CD5">
      <w:pPr>
        <w:pStyle w:val="FootnoteText"/>
      </w:pPr>
      <w:r>
        <w:rPr>
          <w:rStyle w:val="FootnoteReference"/>
        </w:rPr>
        <w:footnoteRef/>
      </w:r>
      <w:r>
        <w:t xml:space="preserve"> </w:t>
      </w:r>
      <w:r>
        <w:rPr>
          <w:i/>
        </w:rPr>
        <w:t>Id.</w:t>
      </w:r>
    </w:p>
  </w:footnote>
  <w:footnote w:id="481">
    <w:p w:rsidR="00474D51" w:rsidRPr="00EF6E08" w:rsidRDefault="00474D51" w:rsidP="00324CD5">
      <w:pPr>
        <w:pStyle w:val="FootnoteText"/>
      </w:pPr>
      <w:r>
        <w:rPr>
          <w:rStyle w:val="FootnoteReference"/>
        </w:rPr>
        <w:footnoteRef/>
      </w:r>
      <w:r>
        <w:t xml:space="preserve"> 47 U.S.C. § 1302(b).  In the latest report issued under Section 706(b), we indeed found that deployment to all Americans was not taking place in a reasonable and timely fashion.  </w:t>
      </w:r>
      <w:r>
        <w:rPr>
          <w:i/>
        </w:rPr>
        <w:t>See 2016 Broadband Progress Report</w:t>
      </w:r>
      <w:r>
        <w:t xml:space="preserve"> at 2.</w:t>
      </w:r>
    </w:p>
  </w:footnote>
  <w:footnote w:id="482">
    <w:p w:rsidR="00474D51" w:rsidRDefault="00474D51" w:rsidP="00324CD5">
      <w:pPr>
        <w:pStyle w:val="FootnoteText"/>
      </w:pPr>
      <w:r>
        <w:rPr>
          <w:rStyle w:val="FootnoteReference"/>
        </w:rPr>
        <w:footnoteRef/>
      </w:r>
      <w:r>
        <w:t xml:space="preserve"> 740 F.3d 623 (2014).</w:t>
      </w:r>
    </w:p>
  </w:footnote>
  <w:footnote w:id="483">
    <w:p w:rsidR="00474D51" w:rsidRDefault="00474D51" w:rsidP="00324CD5">
      <w:pPr>
        <w:pStyle w:val="FootnoteText"/>
      </w:pPr>
      <w:r>
        <w:rPr>
          <w:rStyle w:val="FootnoteReference"/>
        </w:rPr>
        <w:footnoteRef/>
      </w:r>
      <w:r>
        <w:t xml:space="preserve"> </w:t>
      </w:r>
      <w:r>
        <w:rPr>
          <w:i/>
        </w:rPr>
        <w:t>Id.</w:t>
      </w:r>
      <w:r>
        <w:t xml:space="preserve"> at 640.</w:t>
      </w:r>
    </w:p>
  </w:footnote>
  <w:footnote w:id="484">
    <w:p w:rsidR="00474D51" w:rsidRPr="00A84605" w:rsidRDefault="00474D51" w:rsidP="00324CD5">
      <w:pPr>
        <w:pStyle w:val="FootnoteText"/>
      </w:pPr>
      <w:r>
        <w:rPr>
          <w:rStyle w:val="FootnoteReference"/>
        </w:rPr>
        <w:footnoteRef/>
      </w:r>
      <w:r>
        <w:t xml:space="preserve"> </w:t>
      </w:r>
      <w:r>
        <w:rPr>
          <w:i/>
        </w:rPr>
        <w:t>Id.</w:t>
      </w:r>
      <w:r>
        <w:t xml:space="preserve"> at 635-42.</w:t>
      </w:r>
    </w:p>
  </w:footnote>
  <w:footnote w:id="485">
    <w:p w:rsidR="00474D51" w:rsidRPr="001D541B" w:rsidRDefault="00474D51" w:rsidP="00324CD5">
      <w:pPr>
        <w:pStyle w:val="FootnoteText"/>
      </w:pPr>
      <w:r>
        <w:rPr>
          <w:rStyle w:val="FootnoteReference"/>
        </w:rPr>
        <w:footnoteRef/>
      </w:r>
      <w:r>
        <w:t xml:space="preserve"> </w:t>
      </w:r>
      <w:r>
        <w:rPr>
          <w:i/>
        </w:rPr>
        <w:t>2015 Open Internet Order</w:t>
      </w:r>
      <w:r>
        <w:t>, 30 FCC Rcd at 5721-24, paras. 275-282.</w:t>
      </w:r>
    </w:p>
  </w:footnote>
  <w:footnote w:id="486">
    <w:p w:rsidR="00474D51" w:rsidRDefault="00474D51" w:rsidP="00324CD5">
      <w:pPr>
        <w:pStyle w:val="FootnoteText"/>
      </w:pPr>
      <w:r>
        <w:rPr>
          <w:rStyle w:val="FootnoteReference"/>
        </w:rPr>
        <w:footnoteRef/>
      </w:r>
      <w:r>
        <w:t xml:space="preserve"> 47 U.S.C. § 303(b).</w:t>
      </w:r>
    </w:p>
  </w:footnote>
  <w:footnote w:id="487">
    <w:p w:rsidR="00474D51" w:rsidRDefault="00474D51" w:rsidP="00324CD5">
      <w:pPr>
        <w:pStyle w:val="FootnoteText"/>
      </w:pPr>
      <w:r>
        <w:rPr>
          <w:rStyle w:val="FootnoteReference"/>
        </w:rPr>
        <w:footnoteRef/>
      </w:r>
      <w:r>
        <w:t xml:space="preserve"> 47 U.S.C. § 303(r).</w:t>
      </w:r>
    </w:p>
  </w:footnote>
  <w:footnote w:id="488">
    <w:p w:rsidR="00474D51" w:rsidRDefault="00474D51" w:rsidP="00324CD5">
      <w:pPr>
        <w:pStyle w:val="FootnoteText"/>
      </w:pPr>
      <w:r>
        <w:rPr>
          <w:rStyle w:val="FootnoteReference"/>
        </w:rPr>
        <w:footnoteRef/>
      </w:r>
      <w:r>
        <w:t xml:space="preserve"> 47 U.S.C. § 316.</w:t>
      </w:r>
    </w:p>
  </w:footnote>
  <w:footnote w:id="489">
    <w:p w:rsidR="00474D51" w:rsidRPr="00C46655" w:rsidRDefault="00474D51" w:rsidP="00324CD5">
      <w:pPr>
        <w:pStyle w:val="FootnoteText"/>
      </w:pPr>
      <w:r>
        <w:rPr>
          <w:rStyle w:val="FootnoteReference"/>
        </w:rPr>
        <w:footnoteRef/>
      </w:r>
      <w:r>
        <w:t xml:space="preserve"> </w:t>
      </w:r>
      <w:r>
        <w:rPr>
          <w:i/>
        </w:rPr>
        <w:t>See 2015 Open Internet Order</w:t>
      </w:r>
      <w:r>
        <w:t xml:space="preserve">, 30 FCC Rcd at 5725, paras. 285-287; </w:t>
      </w:r>
      <w:r>
        <w:rPr>
          <w:i/>
        </w:rPr>
        <w:t>see also CellCo P’ship v. FCC</w:t>
      </w:r>
      <w:r>
        <w:t>, 700 F.3d 534 (D.C. Cir. 2012).</w:t>
      </w:r>
    </w:p>
  </w:footnote>
  <w:footnote w:id="490">
    <w:p w:rsidR="00474D51" w:rsidRPr="00D94448" w:rsidRDefault="00474D51" w:rsidP="00324CD5">
      <w:pPr>
        <w:pStyle w:val="FootnoteText"/>
        <w:rPr>
          <w:i/>
        </w:rPr>
      </w:pPr>
      <w:r w:rsidRPr="00D94448">
        <w:rPr>
          <w:rStyle w:val="FootnoteReference"/>
        </w:rPr>
        <w:footnoteRef/>
      </w:r>
      <w:r>
        <w:t xml:space="preserve"> 47 CFR § </w:t>
      </w:r>
      <w:r w:rsidRPr="00D94448">
        <w:t xml:space="preserve">1.1200 </w:t>
      </w:r>
      <w:r w:rsidRPr="00D94448">
        <w:rPr>
          <w:i/>
        </w:rPr>
        <w:t>et seq.</w:t>
      </w:r>
    </w:p>
  </w:footnote>
  <w:footnote w:id="491">
    <w:p w:rsidR="00474D51" w:rsidRPr="00FE7186" w:rsidRDefault="00474D51" w:rsidP="00324CD5">
      <w:pPr>
        <w:pStyle w:val="FootnoteText"/>
      </w:pPr>
      <w:r w:rsidRPr="00FE7186">
        <w:rPr>
          <w:rStyle w:val="FootnoteReference"/>
        </w:rPr>
        <w:footnoteRef/>
      </w:r>
      <w:r w:rsidRPr="00FE7186">
        <w:t xml:space="preserve"> </w:t>
      </w:r>
      <w:r w:rsidRPr="00FE7186">
        <w:rPr>
          <w:i/>
        </w:rPr>
        <w:t>See</w:t>
      </w:r>
      <w:r w:rsidRPr="00FE7186">
        <w:t xml:space="preserve"> 5 U.S.C. § 603.</w:t>
      </w:r>
    </w:p>
  </w:footnote>
  <w:footnote w:id="492">
    <w:p w:rsidR="00474D51" w:rsidRPr="00FE7186" w:rsidRDefault="00474D51" w:rsidP="00324CD5">
      <w:pPr>
        <w:pStyle w:val="FootnoteText"/>
      </w:pPr>
      <w:r w:rsidRPr="00FE7186">
        <w:rPr>
          <w:rStyle w:val="FootnoteReference"/>
        </w:rPr>
        <w:footnoteRef/>
      </w:r>
      <w:r w:rsidRPr="00FE7186">
        <w:t xml:space="preserve"> </w:t>
      </w:r>
      <w:r w:rsidRPr="00FE7186">
        <w:rPr>
          <w:i/>
        </w:rPr>
        <w:t>See</w:t>
      </w:r>
      <w:r w:rsidRPr="00FE7186">
        <w:t xml:space="preserve"> 5 U.S.C. § 603(a).</w:t>
      </w:r>
    </w:p>
  </w:footnote>
  <w:footnote w:id="493">
    <w:p w:rsidR="00474D51" w:rsidRDefault="00474D51" w:rsidP="00324CD5">
      <w:pPr>
        <w:pStyle w:val="FootnoteText"/>
      </w:pPr>
      <w:r>
        <w:rPr>
          <w:rStyle w:val="FootnoteReference"/>
        </w:rPr>
        <w:footnoteRef/>
      </w:r>
      <w:r>
        <w:t xml:space="preserve"> </w:t>
      </w:r>
      <w:r>
        <w:rPr>
          <w:i/>
          <w:iCs/>
          <w:szCs w:val="22"/>
        </w:rPr>
        <w:t>S</w:t>
      </w:r>
      <w:r w:rsidRPr="00FE7186">
        <w:rPr>
          <w:i/>
          <w:iCs/>
          <w:szCs w:val="22"/>
        </w:rPr>
        <w:t>ee</w:t>
      </w:r>
      <w:r w:rsidRPr="00FE7186">
        <w:rPr>
          <w:szCs w:val="22"/>
        </w:rPr>
        <w:t xml:space="preserve"> 44 U.S.C. </w:t>
      </w:r>
      <w:r>
        <w:rPr>
          <w:szCs w:val="22"/>
        </w:rPr>
        <w:t xml:space="preserve">§ </w:t>
      </w:r>
      <w:r w:rsidRPr="00FE7186">
        <w:rPr>
          <w:szCs w:val="22"/>
        </w:rPr>
        <w:t>3506(c)(4)</w:t>
      </w:r>
      <w:r>
        <w:rPr>
          <w:szCs w:val="22"/>
        </w:rPr>
        <w:t>.</w:t>
      </w:r>
    </w:p>
  </w:footnote>
  <w:footnote w:id="494">
    <w:p w:rsidR="00474D51" w:rsidRDefault="00474D51" w:rsidP="00324CD5">
      <w:pPr>
        <w:pStyle w:val="FootnoteText"/>
      </w:pPr>
      <w:r>
        <w:rPr>
          <w:rStyle w:val="FootnoteReference"/>
        </w:rPr>
        <w:footnoteRef/>
      </w:r>
      <w:r>
        <w:t xml:space="preserve"> </w:t>
      </w:r>
      <w:r w:rsidRPr="002979D2">
        <w:rPr>
          <w:i/>
          <w:iCs/>
        </w:rPr>
        <w:t xml:space="preserve">See </w:t>
      </w:r>
      <w:r w:rsidRPr="002979D2">
        <w:t xml:space="preserve">5 U.S.C. § 603. </w:t>
      </w:r>
      <w:r>
        <w:t xml:space="preserve"> </w:t>
      </w:r>
      <w:r w:rsidRPr="002979D2">
        <w:t xml:space="preserve">The RFA, </w:t>
      </w:r>
      <w:r w:rsidRPr="002979D2">
        <w:rPr>
          <w:i/>
          <w:iCs/>
        </w:rPr>
        <w:t xml:space="preserve">see </w:t>
      </w:r>
      <w:r>
        <w:t>5 U.S.C. §§ 601-6</w:t>
      </w:r>
      <w:r w:rsidRPr="002979D2">
        <w:t xml:space="preserve">12, has been amended by the Small Business Regulatory Enforcement Fairness Act of 1996 (SBREFA), Pub. L. No. 104-121, Title II, 110 Stat. 857 (1996).  </w:t>
      </w:r>
    </w:p>
  </w:footnote>
  <w:footnote w:id="495">
    <w:p w:rsidR="00474D51" w:rsidRDefault="00474D51" w:rsidP="00324CD5">
      <w:pPr>
        <w:pStyle w:val="FootnoteText"/>
      </w:pPr>
      <w:r>
        <w:rPr>
          <w:rStyle w:val="FootnoteReference"/>
        </w:rPr>
        <w:footnoteRef/>
      </w:r>
      <w:r>
        <w:t xml:space="preserve"> </w:t>
      </w:r>
      <w:r>
        <w:rPr>
          <w:i/>
          <w:iCs/>
        </w:rPr>
        <w:t xml:space="preserve">See </w:t>
      </w:r>
      <w:r>
        <w:t>5 U.S.C. § 603(a).</w:t>
      </w:r>
    </w:p>
  </w:footnote>
  <w:footnote w:id="496">
    <w:p w:rsidR="00474D51" w:rsidRDefault="00474D51" w:rsidP="00324CD5">
      <w:pPr>
        <w:pStyle w:val="FootnoteText"/>
      </w:pPr>
      <w:r>
        <w:rPr>
          <w:rStyle w:val="FootnoteReference"/>
        </w:rPr>
        <w:footnoteRef/>
      </w:r>
      <w:r>
        <w:t xml:space="preserve"> </w:t>
      </w:r>
      <w:r>
        <w:rPr>
          <w:i/>
          <w:iCs/>
        </w:rPr>
        <w:t xml:space="preserve">See </w:t>
      </w:r>
      <w:r>
        <w:rPr>
          <w:i/>
        </w:rPr>
        <w:t>id</w:t>
      </w:r>
      <w:r>
        <w:t>.</w:t>
      </w:r>
    </w:p>
  </w:footnote>
  <w:footnote w:id="497">
    <w:p w:rsidR="00474D51" w:rsidRDefault="00474D51" w:rsidP="00324CD5">
      <w:pPr>
        <w:pStyle w:val="FootnoteText"/>
      </w:pPr>
      <w:r>
        <w:rPr>
          <w:rStyle w:val="FootnoteReference"/>
        </w:rPr>
        <w:footnoteRef/>
      </w:r>
      <w:r>
        <w:t xml:space="preserve"> </w:t>
      </w:r>
      <w:r w:rsidRPr="001662B5">
        <w:t>5 U.S.C. § 603(b)(3).</w:t>
      </w:r>
    </w:p>
  </w:footnote>
  <w:footnote w:id="498">
    <w:p w:rsidR="00474D51" w:rsidRDefault="00474D51" w:rsidP="00324CD5">
      <w:pPr>
        <w:pStyle w:val="FootnoteText"/>
      </w:pPr>
      <w:r>
        <w:rPr>
          <w:rStyle w:val="FootnoteReference"/>
        </w:rPr>
        <w:footnoteRef/>
      </w:r>
      <w:r>
        <w:t xml:space="preserve"> </w:t>
      </w:r>
      <w:r w:rsidRPr="001662B5">
        <w:t>5 U.S.C. § 601(6).</w:t>
      </w:r>
    </w:p>
  </w:footnote>
  <w:footnote w:id="499">
    <w:p w:rsidR="00474D51" w:rsidRDefault="00474D51" w:rsidP="00324CD5">
      <w:pPr>
        <w:pStyle w:val="FootnoteText"/>
      </w:pPr>
      <w:r>
        <w:rPr>
          <w:rStyle w:val="FootnoteReference"/>
        </w:rPr>
        <w:footnoteRef/>
      </w:r>
      <w:r>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p>
  </w:footnote>
  <w:footnote w:id="500">
    <w:p w:rsidR="00474D51" w:rsidRDefault="00474D51" w:rsidP="00324CD5">
      <w:pPr>
        <w:pStyle w:val="FootnoteText"/>
      </w:pPr>
      <w:r>
        <w:rPr>
          <w:rStyle w:val="FootnoteReference"/>
        </w:rPr>
        <w:footnoteRef/>
      </w:r>
      <w:r>
        <w:t xml:space="preserve"> 15 U.S.C. § 632.</w:t>
      </w:r>
    </w:p>
  </w:footnote>
  <w:footnote w:id="501">
    <w:p w:rsidR="00474D51" w:rsidRDefault="00474D51" w:rsidP="00180AAA">
      <w:pPr>
        <w:pStyle w:val="FootnoteText"/>
      </w:pPr>
      <w:r>
        <w:rPr>
          <w:rStyle w:val="FootnoteReference"/>
        </w:rPr>
        <w:footnoteRef/>
      </w:r>
      <w:r>
        <w:t xml:space="preserve"> </w:t>
      </w:r>
      <w:r w:rsidRPr="00180AAA">
        <w:rPr>
          <w:i/>
        </w:rPr>
        <w:t>See</w:t>
      </w:r>
      <w:r>
        <w:t xml:space="preserve"> 5 U.S.C. § 601(3)-(6).</w:t>
      </w:r>
    </w:p>
  </w:footnote>
  <w:footnote w:id="502">
    <w:p w:rsidR="00474D51" w:rsidRDefault="00474D51" w:rsidP="00180AAA">
      <w:pPr>
        <w:pStyle w:val="FootnoteText"/>
      </w:pPr>
      <w:r>
        <w:rPr>
          <w:rStyle w:val="FootnoteReference"/>
        </w:rPr>
        <w:footnoteRef/>
      </w:r>
      <w:r>
        <w:t xml:space="preserve"> </w:t>
      </w:r>
      <w:r w:rsidRPr="00180AAA">
        <w:rPr>
          <w:i/>
        </w:rPr>
        <w:t>See</w:t>
      </w:r>
      <w:r>
        <w:t xml:space="preserve"> SBA, Office of Advocacy, Frequently Asked Questions (2014), </w:t>
      </w:r>
      <w:r w:rsidRPr="00FA3F7B">
        <w:t>https://www.sba.gov/sites/default/files/advocacy/FAQ_March_2014_0.pdf</w:t>
      </w:r>
      <w:r>
        <w:t>.</w:t>
      </w:r>
    </w:p>
  </w:footnote>
  <w:footnote w:id="503">
    <w:p w:rsidR="00474D51" w:rsidRDefault="00474D51" w:rsidP="00180AAA">
      <w:pPr>
        <w:pStyle w:val="FootnoteText"/>
      </w:pPr>
      <w:r>
        <w:rPr>
          <w:rStyle w:val="FootnoteReference"/>
        </w:rPr>
        <w:footnoteRef/>
      </w:r>
      <w:r>
        <w:t xml:space="preserve"> 5 U.S.C § 601(4).</w:t>
      </w:r>
    </w:p>
  </w:footnote>
  <w:footnote w:id="504">
    <w:p w:rsidR="00474D51" w:rsidRDefault="00474D51" w:rsidP="00180AAA">
      <w:pPr>
        <w:pStyle w:val="FootnoteText"/>
      </w:pPr>
      <w:r>
        <w:rPr>
          <w:rStyle w:val="FootnoteReference"/>
        </w:rPr>
        <w:footnoteRef/>
      </w:r>
      <w:r>
        <w:t xml:space="preserve"> Independent Sector, The New Nonprofit Almanac and Desk Reference (2010).</w:t>
      </w:r>
    </w:p>
  </w:footnote>
  <w:footnote w:id="505">
    <w:p w:rsidR="00474D51" w:rsidRDefault="00474D51" w:rsidP="00180AAA">
      <w:pPr>
        <w:pStyle w:val="FootnoteText"/>
      </w:pPr>
      <w:r>
        <w:rPr>
          <w:rStyle w:val="FootnoteReference"/>
        </w:rPr>
        <w:footnoteRef/>
      </w:r>
      <w:r>
        <w:t xml:space="preserve"> 5 U.S.C. § 601(5).</w:t>
      </w:r>
    </w:p>
  </w:footnote>
  <w:footnote w:id="506">
    <w:p w:rsidR="00474D51" w:rsidRDefault="00474D51" w:rsidP="00180AAA">
      <w:pPr>
        <w:pStyle w:val="FootnoteText"/>
      </w:pPr>
      <w:r>
        <w:rPr>
          <w:rStyle w:val="FootnoteReference"/>
        </w:rPr>
        <w:footnoteRef/>
      </w:r>
      <w:r>
        <w:t xml:space="preserve">  </w:t>
      </w:r>
      <w:r w:rsidRPr="00180AAA">
        <w:rPr>
          <w:i/>
        </w:rPr>
        <w:t>See</w:t>
      </w:r>
      <w:r>
        <w:t xml:space="preserve"> SBA, Office of Advocacy, Frequently Asked Questions (2014), </w:t>
      </w:r>
      <w:r w:rsidRPr="00FA3F7B">
        <w:t>https://www.sba.gov/sites/default/files/advocacy/FAQ_March_2014_0.pdf</w:t>
      </w:r>
      <w:r>
        <w:t>.</w:t>
      </w:r>
    </w:p>
  </w:footnote>
  <w:footnote w:id="507">
    <w:p w:rsidR="00474D51" w:rsidRDefault="00474D51" w:rsidP="00180AAA">
      <w:pPr>
        <w:pStyle w:val="FootnoteText"/>
      </w:pPr>
      <w:r>
        <w:rPr>
          <w:rStyle w:val="FootnoteReference"/>
        </w:rPr>
        <w:footnoteRef/>
      </w:r>
      <w:r>
        <w:t xml:space="preserve"> The 2011 Census data for small governmental organizations are not presented based on the size of the population in each organization.  As stated above, there were 90,056 local governmental organizations in 2011.  As a basis for estimating how many of these 90,056 local organizations were small, in 2011 we note that there were a total of 729 cities and towns (incorporated places and minor civil divisions) with populations over 50,000.  </w:t>
      </w:r>
      <w:r w:rsidRPr="00970527">
        <w:rPr>
          <w:i/>
        </w:rPr>
        <w:t>See</w:t>
      </w:r>
      <w:r>
        <w:rPr>
          <w:i/>
        </w:rPr>
        <w:t xml:space="preserve"> </w:t>
      </w:r>
      <w:r>
        <w:t xml:space="preserve">U.S. Census Bureau, American FactFinder, </w:t>
      </w:r>
      <w:hyperlink r:id="rId114" w:history="1">
        <w:r w:rsidRPr="00345EBC">
          <w:rPr>
            <w:rStyle w:val="Hyperlink"/>
          </w:rPr>
          <w:t>http://factfinder.census.gov/faces/nav/jsf/pages/index.xhtml</w:t>
        </w:r>
      </w:hyperlink>
      <w:r>
        <w:t xml:space="preserve"> (last visited March 23, 2016).</w:t>
      </w:r>
      <w:r w:rsidRPr="00970527">
        <w:rPr>
          <w:i/>
        </w:rPr>
        <w:t xml:space="preserve"> </w:t>
      </w:r>
      <w:r>
        <w:t xml:space="preserve"> If we subtract the 729 cities and towns that exceed the 50,000 population threshold, we conclude that approximately 89,327 are small.</w:t>
      </w:r>
    </w:p>
  </w:footnote>
  <w:footnote w:id="508">
    <w:p w:rsidR="00474D51" w:rsidRPr="00F01612" w:rsidRDefault="00474D51" w:rsidP="00324CD5">
      <w:pPr>
        <w:pStyle w:val="FootnoteText"/>
      </w:pPr>
      <w:r w:rsidRPr="00F01612">
        <w:rPr>
          <w:rStyle w:val="FootnoteReference"/>
        </w:rPr>
        <w:footnoteRef/>
      </w:r>
      <w:r w:rsidRPr="00F01612">
        <w:t xml:space="preserve">  U.S. Census Bureau, 2012 NAICS Definitions, “517110 Wired Telecommunications Carriers,” </w:t>
      </w:r>
      <w:hyperlink r:id="rId115" w:history="1">
        <w:r w:rsidRPr="006F080D">
          <w:rPr>
            <w:rStyle w:val="Hyperlink"/>
          </w:rPr>
          <w:t>http://www.census.gov/cgi-bin/sssd/naics/naicsrch?code=517110&amp;search=2012%20NAICS%20Search</w:t>
        </w:r>
      </w:hyperlink>
      <w:r>
        <w:t xml:space="preserve">. </w:t>
      </w:r>
    </w:p>
  </w:footnote>
  <w:footnote w:id="509">
    <w:p w:rsidR="00474D51" w:rsidRPr="00F01612" w:rsidRDefault="00474D51" w:rsidP="00324CD5">
      <w:pPr>
        <w:pStyle w:val="FootnoteText"/>
      </w:pPr>
      <w:r w:rsidRPr="00F01612">
        <w:rPr>
          <w:rStyle w:val="FootnoteReference"/>
        </w:rPr>
        <w:footnoteRef/>
      </w:r>
      <w:r w:rsidRPr="00F01612">
        <w:t xml:space="preserve"> 13 C</w:t>
      </w:r>
      <w:r>
        <w:t>FR</w:t>
      </w:r>
      <w:r w:rsidRPr="00F01612">
        <w:t xml:space="preserve"> § 121.201, NAICS code 517110.</w:t>
      </w:r>
    </w:p>
  </w:footnote>
  <w:footnote w:id="510">
    <w:p w:rsidR="00474D51" w:rsidRPr="00F01612" w:rsidRDefault="00474D51" w:rsidP="00324CD5">
      <w:pPr>
        <w:pStyle w:val="FootnoteText"/>
      </w:pPr>
      <w:r w:rsidRPr="00F01612">
        <w:rPr>
          <w:rStyle w:val="FootnoteReference"/>
        </w:rPr>
        <w:footnoteRef/>
      </w:r>
      <w:r w:rsidRPr="00F01612">
        <w:t xml:space="preserve">  U.S. Census Bureau, 2012 NAICS Definitions, “517919</w:t>
      </w:r>
      <w:r w:rsidR="003241BA">
        <w:t xml:space="preserve"> All Other Telecommunications,”</w:t>
      </w:r>
      <w:r w:rsidRPr="00F01612">
        <w:t xml:space="preserve"> </w:t>
      </w:r>
      <w:hyperlink r:id="rId116" w:history="1">
        <w:r w:rsidRPr="006F080D">
          <w:rPr>
            <w:rStyle w:val="Hyperlink"/>
          </w:rPr>
          <w:t>http://www.census.gov/cgi-bin/sssd/naics/naicsrch?code=517919&amp;search=2012%20NAICS%20Search</w:t>
        </w:r>
      </w:hyperlink>
      <w:r w:rsidRPr="00F01612">
        <w:t>.</w:t>
      </w:r>
    </w:p>
  </w:footnote>
  <w:footnote w:id="511">
    <w:p w:rsidR="00474D51" w:rsidRPr="00F01612" w:rsidRDefault="00474D51" w:rsidP="00324CD5">
      <w:pPr>
        <w:pStyle w:val="FootnoteText"/>
      </w:pPr>
      <w:r w:rsidRPr="00F01612">
        <w:rPr>
          <w:rStyle w:val="FootnoteReference"/>
        </w:rPr>
        <w:footnoteRef/>
      </w:r>
      <w:r>
        <w:t xml:space="preserve"> 13 CFR</w:t>
      </w:r>
      <w:r w:rsidRPr="00F01612">
        <w:t xml:space="preserve"> § 121.201, NAICS code 517919.</w:t>
      </w:r>
    </w:p>
  </w:footnote>
  <w:footnote w:id="512">
    <w:p w:rsidR="00474D51" w:rsidRDefault="00474D51" w:rsidP="00324CD5">
      <w:pPr>
        <w:pStyle w:val="FootnoteText"/>
      </w:pPr>
      <w:r>
        <w:rPr>
          <w:rStyle w:val="FootnoteReference"/>
        </w:rPr>
        <w:footnoteRef/>
      </w:r>
      <w:r>
        <w:t xml:space="preserve"> U.S. Census Bureau, 2007 Economic Census, Subject Series: Information, Table 5, “Establishment and Firm Size: Employment Size of Firms for the United States: 2007 NAICS Code 517110” (2010).</w:t>
      </w:r>
    </w:p>
  </w:footnote>
  <w:footnote w:id="513">
    <w:p w:rsidR="00474D51" w:rsidRPr="00024AE7" w:rsidRDefault="00474D51" w:rsidP="00324CD5">
      <w:pPr>
        <w:pStyle w:val="FootnoteText"/>
      </w:pPr>
      <w:r>
        <w:rPr>
          <w:rStyle w:val="FootnoteReference"/>
        </w:rPr>
        <w:footnoteRef/>
      </w:r>
      <w:r>
        <w:t xml:space="preserve"> </w:t>
      </w:r>
      <w:r>
        <w:rPr>
          <w:i/>
        </w:rPr>
        <w:t>See id.</w:t>
      </w:r>
    </w:p>
  </w:footnote>
  <w:footnote w:id="514">
    <w:p w:rsidR="00474D51" w:rsidRPr="00F01612" w:rsidRDefault="00474D51" w:rsidP="00324CD5">
      <w:pPr>
        <w:pStyle w:val="FootnoteText"/>
      </w:pPr>
      <w:r w:rsidRPr="00F01612">
        <w:rPr>
          <w:rStyle w:val="FootnoteReference"/>
        </w:rPr>
        <w:footnoteRef/>
      </w:r>
      <w:r w:rsidRPr="00F01612">
        <w:t xml:space="preserve">  U.S. Census Bureau, 2007 Economic Census, Subject Series: Information, “Establishment and Firm Size,” NAICS code 5179191 (2010) (receipts size).</w:t>
      </w:r>
    </w:p>
  </w:footnote>
  <w:footnote w:id="515">
    <w:p w:rsidR="00474D51" w:rsidRDefault="00474D51" w:rsidP="00324CD5">
      <w:pPr>
        <w:pStyle w:val="FootnoteText"/>
        <w:rPr>
          <w:lang w:val="fr-FR"/>
        </w:rPr>
      </w:pPr>
      <w:r>
        <w:rPr>
          <w:rStyle w:val="FootnoteReference"/>
        </w:rPr>
        <w:footnoteRef/>
      </w:r>
      <w:r>
        <w:rPr>
          <w:lang w:val="fr-FR"/>
        </w:rPr>
        <w:t xml:space="preserve"> 13 CFR § 121.201, NAICS code 517110.  </w:t>
      </w:r>
    </w:p>
  </w:footnote>
  <w:footnote w:id="516">
    <w:p w:rsidR="00474D51" w:rsidRPr="00EC560B" w:rsidRDefault="00474D51" w:rsidP="00324CD5">
      <w:pPr>
        <w:pStyle w:val="FootnoteText"/>
      </w:pPr>
      <w:r>
        <w:rPr>
          <w:rStyle w:val="FootnoteReference"/>
        </w:rPr>
        <w:footnoteRef/>
      </w:r>
      <w:r>
        <w:t xml:space="preserve"> U.S. Census Bureau, 2007 Economic Census, Information:  Subject Series – Establishment and Firm Size: Table 5, “Employment Size of Firms for the United States:  2007, NAICS Code 517110,” </w:t>
      </w:r>
      <w:hyperlink r:id="rId117" w:history="1">
        <w:r w:rsidRPr="005B0E30">
          <w:rPr>
            <w:rStyle w:val="Hyperlink"/>
          </w:rPr>
          <w:t>http://factfinder2.census.gov/bkmk/table/1.0/en/ECN/2007_US/51SSSZ1/naics~517110</w:t>
        </w:r>
      </w:hyperlink>
      <w:r>
        <w:rPr>
          <w:rStyle w:val="Hyperlink"/>
        </w:rPr>
        <w:t xml:space="preserve"> </w:t>
      </w:r>
      <w:r w:rsidRPr="00EC560B">
        <w:t xml:space="preserve">(last visited </w:t>
      </w:r>
      <w:r>
        <w:t>July 10</w:t>
      </w:r>
      <w:r w:rsidRPr="00EC560B">
        <w:t>, 2015).</w:t>
      </w:r>
    </w:p>
  </w:footnote>
  <w:footnote w:id="517">
    <w:p w:rsidR="00474D51" w:rsidRDefault="00474D51" w:rsidP="00324CD5">
      <w:pPr>
        <w:pStyle w:val="FootnoteText"/>
      </w:pPr>
      <w:r>
        <w:rPr>
          <w:rStyle w:val="FootnoteReference"/>
        </w:rPr>
        <w:footnoteRef/>
      </w:r>
      <w:r>
        <w:t xml:space="preserve"> </w:t>
      </w:r>
      <w:r>
        <w:rPr>
          <w:i/>
        </w:rPr>
        <w:t>See id</w:t>
      </w:r>
      <w:r>
        <w:t xml:space="preserve">.  </w:t>
      </w:r>
    </w:p>
  </w:footnote>
  <w:footnote w:id="518">
    <w:p w:rsidR="00474D51" w:rsidRDefault="00474D51" w:rsidP="00324CD5">
      <w:pPr>
        <w:pStyle w:val="FootnoteText"/>
      </w:pPr>
      <w:r>
        <w:rPr>
          <w:rStyle w:val="FootnoteReference"/>
        </w:rPr>
        <w:footnoteRef/>
      </w:r>
      <w:r>
        <w:t xml:space="preserve"> 13 CFR § 121.201, NAICS code 517110.</w:t>
      </w:r>
    </w:p>
  </w:footnote>
  <w:footnote w:id="519">
    <w:p w:rsidR="00474D51" w:rsidRDefault="00474D51" w:rsidP="00324CD5">
      <w:pPr>
        <w:pStyle w:val="FootnoteText"/>
      </w:pPr>
      <w:r>
        <w:rPr>
          <w:rStyle w:val="FootnoteReference"/>
        </w:rPr>
        <w:footnoteRef/>
      </w:r>
      <w:r>
        <w:t xml:space="preserve"> </w:t>
      </w:r>
      <w:r w:rsidRPr="00F01612">
        <w:rPr>
          <w:rStyle w:val="FootnoteTextChar"/>
        </w:rPr>
        <w:t xml:space="preserve">Federal Communications </w:t>
      </w:r>
      <w:r w:rsidRPr="00F01612">
        <w:t>Commission</w:t>
      </w:r>
      <w:r w:rsidRPr="00F01612">
        <w:rPr>
          <w:rStyle w:val="FootnoteTextChar"/>
        </w:rPr>
        <w:t xml:space="preserve">, Wireline Competition Bureau, Industry Analysis and Technology Division, </w:t>
      </w:r>
      <w:r w:rsidRPr="00F01612">
        <w:rPr>
          <w:rStyle w:val="FootnoteTextChar"/>
          <w:i/>
        </w:rPr>
        <w:t>Trends in Telephone Service</w:t>
      </w:r>
      <w:r>
        <w:rPr>
          <w:rStyle w:val="FootnoteTextChar"/>
        </w:rPr>
        <w:t>, tbl. 5.3</w:t>
      </w:r>
      <w:r w:rsidRPr="00F01612">
        <w:rPr>
          <w:rStyle w:val="FootnoteTextChar"/>
        </w:rPr>
        <w:t xml:space="preserve"> (Sept. 2010)</w:t>
      </w:r>
      <w:r>
        <w:rPr>
          <w:rStyle w:val="FootnoteTextChar"/>
        </w:rPr>
        <w:t xml:space="preserve">, </w:t>
      </w:r>
      <w:hyperlink r:id="rId118" w:history="1">
        <w:r w:rsidRPr="008A023B">
          <w:rPr>
            <w:rStyle w:val="Hyperlink"/>
          </w:rPr>
          <w:t>https://apps.fcc.gov/edocs_public/attachmatch/DOC-301823A1.pdf</w:t>
        </w:r>
      </w:hyperlink>
      <w:r>
        <w:rPr>
          <w:rStyle w:val="FootnoteTextChar"/>
        </w:rPr>
        <w:t xml:space="preserve"> </w:t>
      </w:r>
      <w:r w:rsidRPr="00F01612">
        <w:rPr>
          <w:rStyle w:val="FootnoteTextChar"/>
        </w:rPr>
        <w:t>(</w:t>
      </w:r>
      <w:r w:rsidRPr="00F01612">
        <w:rPr>
          <w:rStyle w:val="FootnoteTextChar"/>
          <w:i/>
        </w:rPr>
        <w:t>Trends in Telephone Service</w:t>
      </w:r>
      <w:r w:rsidRPr="00F01612">
        <w:rPr>
          <w:rStyle w:val="FootnoteTextChar"/>
        </w:rPr>
        <w:t>).</w:t>
      </w:r>
    </w:p>
  </w:footnote>
  <w:footnote w:id="520">
    <w:p w:rsidR="00474D51" w:rsidRDefault="00474D51" w:rsidP="00324CD5">
      <w:pPr>
        <w:pStyle w:val="FootnoteText"/>
      </w:pPr>
      <w:r>
        <w:rPr>
          <w:rStyle w:val="FootnoteReference"/>
        </w:rPr>
        <w:footnoteRef/>
      </w:r>
      <w:r>
        <w:t xml:space="preserve"> </w:t>
      </w:r>
      <w:r>
        <w:rPr>
          <w:i/>
        </w:rPr>
        <w:t>See id</w:t>
      </w:r>
      <w:r>
        <w:t>.</w:t>
      </w:r>
    </w:p>
  </w:footnote>
  <w:footnote w:id="521">
    <w:p w:rsidR="00474D51" w:rsidRPr="00F01612" w:rsidRDefault="00474D51" w:rsidP="00324CD5">
      <w:pPr>
        <w:pStyle w:val="FootnoteText"/>
        <w:rPr>
          <w:rStyle w:val="Heading2CharChar2"/>
          <w:b w:val="0"/>
          <w:snapToGrid/>
          <w:sz w:val="20"/>
        </w:rPr>
      </w:pPr>
      <w:r w:rsidRPr="00F01612">
        <w:rPr>
          <w:rStyle w:val="Footnote"/>
          <w:vertAlign w:val="superscript"/>
        </w:rPr>
        <w:footnoteRef/>
      </w:r>
      <w:r>
        <w:rPr>
          <w:rStyle w:val="Footnote"/>
        </w:rPr>
        <w:t xml:space="preserve"> 13 CFR</w:t>
      </w:r>
      <w:r w:rsidRPr="00F01612">
        <w:rPr>
          <w:rStyle w:val="Footnote"/>
        </w:rPr>
        <w:t xml:space="preserve"> § 121.201, NAICS </w:t>
      </w:r>
      <w:r w:rsidRPr="00F01612">
        <w:t>code</w:t>
      </w:r>
      <w:r w:rsidRPr="00F01612">
        <w:rPr>
          <w:rStyle w:val="Footnote"/>
        </w:rPr>
        <w:t xml:space="preserve"> 517110.</w:t>
      </w:r>
    </w:p>
  </w:footnote>
  <w:footnote w:id="522">
    <w:p w:rsidR="00474D51" w:rsidRPr="00F01612" w:rsidRDefault="00474D51" w:rsidP="00324CD5">
      <w:pPr>
        <w:pStyle w:val="FootnoteText"/>
        <w:rPr>
          <w:rStyle w:val="Heading2CharChar2"/>
          <w:b w:val="0"/>
          <w:snapToGrid/>
          <w:sz w:val="20"/>
        </w:rPr>
      </w:pPr>
      <w:r w:rsidRPr="00F01612">
        <w:rPr>
          <w:rStyle w:val="Footnote"/>
          <w:vertAlign w:val="superscript"/>
        </w:rPr>
        <w:footnoteRef/>
      </w:r>
      <w:r w:rsidRPr="00F01612">
        <w:rPr>
          <w:rStyle w:val="Footnote"/>
        </w:rPr>
        <w:t xml:space="preserve"> </w:t>
      </w:r>
      <w:r>
        <w:rPr>
          <w:rStyle w:val="FootnoteTextChar"/>
        </w:rPr>
        <w:t>FCC</w:t>
      </w:r>
      <w:r w:rsidRPr="00F01612">
        <w:rPr>
          <w:rStyle w:val="FootnoteTextChar"/>
        </w:rPr>
        <w:t xml:space="preserve">, Wireline Competition Bureau, Industry Analysis and Technology Division, </w:t>
      </w:r>
      <w:r w:rsidRPr="00F01612">
        <w:rPr>
          <w:rStyle w:val="FootnoteTextChar"/>
          <w:i/>
        </w:rPr>
        <w:t>Trends in Telephone Service</w:t>
      </w:r>
      <w:r w:rsidR="003241BA">
        <w:rPr>
          <w:rStyle w:val="FootnoteTextChar"/>
        </w:rPr>
        <w:t>, tbl. 5.3</w:t>
      </w:r>
      <w:r w:rsidRPr="00F01612">
        <w:rPr>
          <w:rStyle w:val="FootnoteTextChar"/>
        </w:rPr>
        <w:t xml:space="preserve"> (2010) (</w:t>
      </w:r>
      <w:r w:rsidRPr="00F01612">
        <w:rPr>
          <w:rStyle w:val="FootnoteTextChar"/>
          <w:i/>
        </w:rPr>
        <w:t>Trends in Telephone Service</w:t>
      </w:r>
      <w:r w:rsidRPr="00F01612">
        <w:rPr>
          <w:rStyle w:val="FootnoteTextChar"/>
        </w:rPr>
        <w:t xml:space="preserve">).  </w:t>
      </w:r>
    </w:p>
  </w:footnote>
  <w:footnote w:id="523">
    <w:p w:rsidR="00474D51" w:rsidRPr="00F01612" w:rsidRDefault="00474D51" w:rsidP="00324CD5">
      <w:pPr>
        <w:pStyle w:val="FootnoteText"/>
      </w:pPr>
      <w:r w:rsidRPr="00F01612">
        <w:rPr>
          <w:rStyle w:val="FootnoteReference"/>
        </w:rPr>
        <w:footnoteRef/>
      </w:r>
      <w:r w:rsidRPr="00F01612">
        <w:t xml:space="preserve"> </w:t>
      </w:r>
      <w:r w:rsidRPr="00F01612">
        <w:rPr>
          <w:i/>
        </w:rPr>
        <w:t>See Trends in Telephone Service</w:t>
      </w:r>
      <w:r w:rsidRPr="00F01612">
        <w:t xml:space="preserve"> at tbl. 5.3. </w:t>
      </w:r>
    </w:p>
  </w:footnote>
  <w:footnote w:id="524">
    <w:p w:rsidR="00474D51" w:rsidRPr="00F01612" w:rsidRDefault="00474D51" w:rsidP="00324CD5">
      <w:pPr>
        <w:pStyle w:val="FootnoteText"/>
      </w:pPr>
      <w:r w:rsidRPr="00F01612">
        <w:rPr>
          <w:rStyle w:val="FootnoteReference"/>
        </w:rPr>
        <w:footnoteRef/>
      </w:r>
      <w:r w:rsidRPr="00F01612">
        <w:t xml:space="preserve"> </w:t>
      </w:r>
      <w:r w:rsidRPr="00F01612">
        <w:rPr>
          <w:i/>
        </w:rPr>
        <w:t>See id</w:t>
      </w:r>
      <w:r w:rsidRPr="00F01612">
        <w:t>.</w:t>
      </w:r>
    </w:p>
  </w:footnote>
  <w:footnote w:id="525">
    <w:p w:rsidR="00474D51" w:rsidRPr="00F01612" w:rsidRDefault="00474D51" w:rsidP="00324CD5">
      <w:pPr>
        <w:pStyle w:val="FootnoteText"/>
        <w:rPr>
          <w:rStyle w:val="Heading2CharChar2"/>
          <w:b w:val="0"/>
          <w:snapToGrid/>
          <w:sz w:val="20"/>
        </w:rPr>
      </w:pPr>
      <w:r w:rsidRPr="00F01612">
        <w:rPr>
          <w:rStyle w:val="Footnote"/>
          <w:vertAlign w:val="superscript"/>
        </w:rPr>
        <w:footnoteRef/>
      </w:r>
      <w:r w:rsidRPr="00F01612">
        <w:rPr>
          <w:rStyle w:val="Heading2CharChar2"/>
          <w:sz w:val="20"/>
        </w:rPr>
        <w:t xml:space="preserve"> </w:t>
      </w:r>
      <w:r>
        <w:rPr>
          <w:rStyle w:val="FootnoteTextChar"/>
        </w:rPr>
        <w:t>13 CFR</w:t>
      </w:r>
      <w:r w:rsidRPr="00F01612">
        <w:rPr>
          <w:rStyle w:val="FootnoteTextChar"/>
        </w:rPr>
        <w:t xml:space="preserve"> § 121.</w:t>
      </w:r>
      <w:r w:rsidRPr="00F01612">
        <w:t>201</w:t>
      </w:r>
      <w:r w:rsidRPr="00F01612">
        <w:rPr>
          <w:rStyle w:val="FootnoteTextChar"/>
        </w:rPr>
        <w:t>, NAICS code 517110.</w:t>
      </w:r>
    </w:p>
  </w:footnote>
  <w:footnote w:id="526">
    <w:p w:rsidR="00474D51" w:rsidRPr="00F01612" w:rsidRDefault="00474D51" w:rsidP="00324CD5">
      <w:pPr>
        <w:pStyle w:val="FootnoteText"/>
      </w:pPr>
      <w:r w:rsidRPr="00F01612">
        <w:rPr>
          <w:rStyle w:val="FootnoteReference"/>
        </w:rPr>
        <w:footnoteRef/>
      </w:r>
      <w:r w:rsidRPr="00F01612">
        <w:t xml:space="preserve"> </w:t>
      </w:r>
      <w:r w:rsidRPr="00F01612">
        <w:rPr>
          <w:i/>
        </w:rPr>
        <w:t>See Trends in Telephone Service</w:t>
      </w:r>
      <w:r w:rsidRPr="00F01612">
        <w:t xml:space="preserve"> at tbl.5.3.</w:t>
      </w:r>
    </w:p>
  </w:footnote>
  <w:footnote w:id="527">
    <w:p w:rsidR="00474D51" w:rsidRPr="00F01612" w:rsidRDefault="00474D51" w:rsidP="00324CD5">
      <w:pPr>
        <w:pStyle w:val="FootnoteText"/>
      </w:pPr>
      <w:r w:rsidRPr="00F01612">
        <w:rPr>
          <w:rStyle w:val="FootnoteReference"/>
        </w:rPr>
        <w:footnoteRef/>
      </w:r>
      <w:r w:rsidRPr="00F01612">
        <w:t xml:space="preserve"> </w:t>
      </w:r>
      <w:r w:rsidRPr="00F01612">
        <w:rPr>
          <w:i/>
        </w:rPr>
        <w:t>See id.</w:t>
      </w:r>
    </w:p>
  </w:footnote>
  <w:footnote w:id="528">
    <w:p w:rsidR="00474D51" w:rsidRPr="00F01612" w:rsidRDefault="00474D51" w:rsidP="00324CD5">
      <w:pPr>
        <w:pStyle w:val="FootnoteText"/>
      </w:pPr>
      <w:r w:rsidRPr="00F01612">
        <w:rPr>
          <w:rStyle w:val="FootnoteReference"/>
        </w:rPr>
        <w:footnoteRef/>
      </w:r>
      <w:r w:rsidRPr="00F01612">
        <w:t xml:space="preserve"> </w:t>
      </w:r>
      <w:r w:rsidRPr="00F01612">
        <w:rPr>
          <w:i/>
        </w:rPr>
        <w:t>See id</w:t>
      </w:r>
      <w:r w:rsidRPr="00F01612">
        <w:t>.</w:t>
      </w:r>
    </w:p>
  </w:footnote>
  <w:footnote w:id="529">
    <w:p w:rsidR="00474D51" w:rsidRPr="00F01612" w:rsidRDefault="00474D51" w:rsidP="00324CD5">
      <w:pPr>
        <w:pStyle w:val="FootnoteText"/>
      </w:pPr>
      <w:r w:rsidRPr="00F01612">
        <w:rPr>
          <w:rStyle w:val="FootnoteReference"/>
        </w:rPr>
        <w:footnoteRef/>
      </w:r>
      <w:r w:rsidRPr="00F01612">
        <w:t xml:space="preserve"> </w:t>
      </w:r>
      <w:r w:rsidRPr="00F01612">
        <w:rPr>
          <w:i/>
        </w:rPr>
        <w:t>See id</w:t>
      </w:r>
      <w:r w:rsidRPr="00F01612">
        <w:t>.</w:t>
      </w:r>
    </w:p>
  </w:footnote>
  <w:footnote w:id="530">
    <w:p w:rsidR="00474D51" w:rsidRPr="00F01612" w:rsidRDefault="00474D51" w:rsidP="00324CD5">
      <w:pPr>
        <w:pStyle w:val="FootnoteText"/>
      </w:pPr>
      <w:r w:rsidRPr="00F01612">
        <w:rPr>
          <w:rStyle w:val="FootnoteReference"/>
        </w:rPr>
        <w:footnoteRef/>
      </w:r>
      <w:r w:rsidRPr="00F01612">
        <w:t xml:space="preserve"> </w:t>
      </w:r>
      <w:r w:rsidRPr="00F01612">
        <w:rPr>
          <w:i/>
        </w:rPr>
        <w:t>See id</w:t>
      </w:r>
      <w:r w:rsidRPr="00F01612">
        <w:t>.</w:t>
      </w:r>
    </w:p>
  </w:footnote>
  <w:footnote w:id="531">
    <w:p w:rsidR="00474D51" w:rsidRPr="00F01612" w:rsidRDefault="00474D51" w:rsidP="00324CD5">
      <w:pPr>
        <w:adjustRightInd w:val="0"/>
        <w:spacing w:after="120"/>
        <w:rPr>
          <w:sz w:val="20"/>
        </w:rPr>
      </w:pPr>
      <w:r w:rsidRPr="00F01612">
        <w:rPr>
          <w:rStyle w:val="FootnoteReference"/>
        </w:rPr>
        <w:footnoteRef/>
      </w:r>
      <w:r w:rsidRPr="00F01612">
        <w:rPr>
          <w:sz w:val="20"/>
        </w:rPr>
        <w:t xml:space="preserve"> </w:t>
      </w:r>
      <w:r w:rsidRPr="00F01612">
        <w:rPr>
          <w:rStyle w:val="FootnoteTextChar"/>
          <w:sz w:val="20"/>
        </w:rPr>
        <w:t>5 U.S.C. § 601(3).</w:t>
      </w:r>
    </w:p>
  </w:footnote>
  <w:footnote w:id="532">
    <w:p w:rsidR="00474D51" w:rsidRPr="00F01612" w:rsidRDefault="00474D51" w:rsidP="00324CD5">
      <w:pPr>
        <w:pStyle w:val="FootnoteText"/>
      </w:pPr>
      <w:r w:rsidRPr="00F01612">
        <w:rPr>
          <w:rStyle w:val="FootnoteReference"/>
        </w:rPr>
        <w:footnoteRef/>
      </w:r>
      <w:r w:rsidRPr="00F01612">
        <w:t xml:space="preserve"> Letter from Jere W. Glover, Chief Counsel for Advocacy, SBA, to William E. Kennard, Chairman, Federal Communications Commission (filed May 27, 1999).  The Small Business Act contains a definition of “small business concern,” which the RFA incorporates into its own definition of “small business.”  15 U.S.C. § 632(a); 5 U.S.C. § 601(3).  SBA regulations interpret “small business concern” to include the concept of domin</w:t>
      </w:r>
      <w:r>
        <w:t>ance on a national basis.  13 CFR</w:t>
      </w:r>
      <w:r w:rsidRPr="00F01612">
        <w:t xml:space="preserve"> § 121.102(b).</w:t>
      </w:r>
    </w:p>
  </w:footnote>
  <w:footnote w:id="533">
    <w:p w:rsidR="00474D51" w:rsidRPr="00F01612" w:rsidRDefault="00474D51" w:rsidP="00324CD5">
      <w:pPr>
        <w:pStyle w:val="FootnoteText"/>
        <w:rPr>
          <w:rStyle w:val="Heading2CharChar2"/>
          <w:b w:val="0"/>
          <w:snapToGrid/>
          <w:sz w:val="20"/>
        </w:rPr>
      </w:pPr>
      <w:r w:rsidRPr="00F01612">
        <w:rPr>
          <w:rStyle w:val="Footnote"/>
          <w:vertAlign w:val="superscript"/>
        </w:rPr>
        <w:footnoteRef/>
      </w:r>
      <w:r w:rsidRPr="00F01612">
        <w:rPr>
          <w:rStyle w:val="Heading2CharChar2"/>
          <w:sz w:val="20"/>
        </w:rPr>
        <w:t xml:space="preserve"> </w:t>
      </w:r>
      <w:r>
        <w:rPr>
          <w:rStyle w:val="Footnote"/>
        </w:rPr>
        <w:t>13 CFR</w:t>
      </w:r>
      <w:r w:rsidRPr="00F01612">
        <w:rPr>
          <w:rStyle w:val="Footnote"/>
        </w:rPr>
        <w:t xml:space="preserve"> § 121.201, </w:t>
      </w:r>
      <w:r w:rsidRPr="00F01612">
        <w:t>NAICS</w:t>
      </w:r>
      <w:r w:rsidRPr="00F01612">
        <w:rPr>
          <w:rStyle w:val="Footnote"/>
        </w:rPr>
        <w:t xml:space="preserve"> code 517110.</w:t>
      </w:r>
    </w:p>
  </w:footnote>
  <w:footnote w:id="534">
    <w:p w:rsidR="00474D51" w:rsidRPr="00F01612" w:rsidRDefault="00474D51" w:rsidP="00324CD5">
      <w:pPr>
        <w:pStyle w:val="FootnoteText"/>
        <w:rPr>
          <w:rStyle w:val="Heading2CharChar2"/>
          <w:b w:val="0"/>
          <w:snapToGrid/>
          <w:sz w:val="20"/>
        </w:rPr>
      </w:pPr>
      <w:r w:rsidRPr="00F01612">
        <w:rPr>
          <w:rStyle w:val="Footnote"/>
          <w:vertAlign w:val="superscript"/>
        </w:rPr>
        <w:footnoteRef/>
      </w:r>
      <w:r w:rsidRPr="00F01612">
        <w:rPr>
          <w:rStyle w:val="Footnote"/>
        </w:rPr>
        <w:t xml:space="preserve"> </w:t>
      </w:r>
      <w:r w:rsidRPr="00F01612">
        <w:rPr>
          <w:rStyle w:val="Footnote"/>
          <w:i/>
        </w:rPr>
        <w:t xml:space="preserve">Trends in Telephone </w:t>
      </w:r>
      <w:r w:rsidRPr="00F01612">
        <w:rPr>
          <w:i/>
        </w:rPr>
        <w:t>Service</w:t>
      </w:r>
      <w:r w:rsidRPr="00F01612">
        <w:rPr>
          <w:rStyle w:val="Footnote"/>
        </w:rPr>
        <w:t>, tbl. 5.3.</w:t>
      </w:r>
    </w:p>
  </w:footnote>
  <w:footnote w:id="535">
    <w:p w:rsidR="00474D51" w:rsidRPr="00F01612" w:rsidRDefault="00474D51" w:rsidP="00324CD5">
      <w:pPr>
        <w:pStyle w:val="FootnoteText"/>
      </w:pPr>
      <w:r w:rsidRPr="00F01612">
        <w:rPr>
          <w:rStyle w:val="FootnoteReference"/>
        </w:rPr>
        <w:footnoteRef/>
      </w:r>
      <w:r>
        <w:t xml:space="preserve"> 13 CFR</w:t>
      </w:r>
      <w:r w:rsidRPr="00F01612">
        <w:t xml:space="preserve"> § 121.201, NAICS code 517110.</w:t>
      </w:r>
    </w:p>
  </w:footnote>
  <w:footnote w:id="536">
    <w:p w:rsidR="00474D51" w:rsidRPr="00F01612" w:rsidRDefault="00474D51" w:rsidP="00324CD5">
      <w:pPr>
        <w:pStyle w:val="FootnoteText"/>
      </w:pPr>
      <w:r w:rsidRPr="00F01612">
        <w:rPr>
          <w:rStyle w:val="FootnoteReference"/>
        </w:rPr>
        <w:footnoteRef/>
      </w:r>
      <w:r w:rsidRPr="00F01612">
        <w:t xml:space="preserve"> </w:t>
      </w:r>
      <w:r w:rsidRPr="00F01612">
        <w:rPr>
          <w:i/>
        </w:rPr>
        <w:t>Trends in Telephone Service</w:t>
      </w:r>
      <w:r w:rsidRPr="00F01612">
        <w:t>, tbl. 5.3.</w:t>
      </w:r>
    </w:p>
  </w:footnote>
  <w:footnote w:id="537">
    <w:p w:rsidR="00474D51" w:rsidRDefault="00474D51" w:rsidP="00324CD5">
      <w:pPr>
        <w:pStyle w:val="FootnoteText"/>
      </w:pPr>
      <w:r>
        <w:rPr>
          <w:rStyle w:val="FootnoteReference"/>
        </w:rPr>
        <w:footnoteRef/>
      </w:r>
      <w:r>
        <w:t xml:space="preserve"> </w:t>
      </w:r>
      <w:r>
        <w:rPr>
          <w:i/>
        </w:rPr>
        <w:t xml:space="preserve">See </w:t>
      </w:r>
      <w:r>
        <w:t>13 CFR § 121.201, NAICS code 517110.</w:t>
      </w:r>
    </w:p>
  </w:footnote>
  <w:footnote w:id="538">
    <w:p w:rsidR="00474D51" w:rsidRDefault="00474D51" w:rsidP="00324CD5">
      <w:pPr>
        <w:pStyle w:val="FootnoteText"/>
      </w:pPr>
      <w:r>
        <w:rPr>
          <w:rStyle w:val="FootnoteReference"/>
        </w:rPr>
        <w:footnoteRef/>
      </w:r>
      <w:r>
        <w:t xml:space="preserve"> </w:t>
      </w:r>
      <w:r>
        <w:rPr>
          <w:i/>
        </w:rPr>
        <w:t>See Trends in Telephone Service</w:t>
      </w:r>
      <w:r>
        <w:t xml:space="preserve"> at tbl. 5.3.</w:t>
      </w:r>
    </w:p>
  </w:footnote>
  <w:footnote w:id="539">
    <w:p w:rsidR="00474D51" w:rsidRDefault="00474D51" w:rsidP="00324CD5">
      <w:pPr>
        <w:pStyle w:val="FootnoteText"/>
      </w:pPr>
      <w:r>
        <w:rPr>
          <w:rStyle w:val="FootnoteReference"/>
        </w:rPr>
        <w:footnoteRef/>
      </w:r>
      <w:r>
        <w:t xml:space="preserve"> </w:t>
      </w:r>
      <w:r>
        <w:rPr>
          <w:i/>
        </w:rPr>
        <w:t>See id</w:t>
      </w:r>
      <w:r>
        <w:t>.</w:t>
      </w:r>
    </w:p>
  </w:footnote>
  <w:footnote w:id="540">
    <w:p w:rsidR="00474D51" w:rsidRPr="00F01612" w:rsidRDefault="00474D51" w:rsidP="00324CD5">
      <w:pPr>
        <w:pStyle w:val="FootnoteText"/>
      </w:pPr>
      <w:r w:rsidRPr="00F01612">
        <w:rPr>
          <w:rStyle w:val="FootnoteReference"/>
        </w:rPr>
        <w:footnoteRef/>
      </w:r>
      <w:r w:rsidRPr="00F01612">
        <w:t xml:space="preserve"> U.S. Census Bureau, 2012 NAICS Definitions, “</w:t>
      </w:r>
      <w:r w:rsidRPr="00F01612">
        <w:rPr>
          <w:bCs/>
        </w:rPr>
        <w:t>517210 Wireless Telecommunications Categories (Except Satellite)”;</w:t>
      </w:r>
      <w:r w:rsidRPr="00F01612">
        <w:t xml:space="preserve"> </w:t>
      </w:r>
      <w:hyperlink r:id="rId119" w:history="1">
        <w:r w:rsidRPr="006F080D">
          <w:rPr>
            <w:rStyle w:val="Hyperlink"/>
          </w:rPr>
          <w:t>http://www.census.gov/cgi-bin/sssd/naics/naicsrch?code=517210&amp;search=2012%20NAICS%20Search</w:t>
        </w:r>
      </w:hyperlink>
      <w:r w:rsidRPr="00F01612">
        <w:t>.</w:t>
      </w:r>
    </w:p>
  </w:footnote>
  <w:footnote w:id="541">
    <w:p w:rsidR="00474D51" w:rsidRPr="00F01612" w:rsidRDefault="00474D51" w:rsidP="00324CD5">
      <w:pPr>
        <w:pStyle w:val="FootnoteText"/>
      </w:pPr>
      <w:r w:rsidRPr="00F01612">
        <w:rPr>
          <w:rStyle w:val="FootnoteReference"/>
        </w:rPr>
        <w:footnoteRef/>
      </w:r>
      <w:r>
        <w:t xml:space="preserve"> 13 CFR</w:t>
      </w:r>
      <w:r w:rsidRPr="00F01612">
        <w:t xml:space="preserve"> § 121.201, NAICS code 517210 (2012 NAICS).  The now-superseded, pre-</w:t>
      </w:r>
      <w:r>
        <w:t>2007 CFR citations were 13 CFR</w:t>
      </w:r>
      <w:r w:rsidRPr="00F01612">
        <w:t xml:space="preserve"> § 121.201, NAICS codes 517211 and 517212 (referring to the 2002 NAICS).</w:t>
      </w:r>
    </w:p>
  </w:footnote>
  <w:footnote w:id="542">
    <w:p w:rsidR="00474D51" w:rsidRDefault="00474D51" w:rsidP="00324CD5">
      <w:pPr>
        <w:pStyle w:val="FootnoteText"/>
      </w:pPr>
      <w:r>
        <w:rPr>
          <w:rStyle w:val="FootnoteReference"/>
        </w:rPr>
        <w:footnoteRef/>
      </w:r>
      <w:r>
        <w:t xml:space="preserve"> U.S. Census Bureau, Subject Series: Information, Table 5, “Establishment and Firm Size: Employment Size of Firms for the United States: 2007 NAICS Code 517210” (issued Nov. 2010).</w:t>
      </w:r>
    </w:p>
  </w:footnote>
  <w:footnote w:id="543">
    <w:p w:rsidR="00474D51" w:rsidRPr="00AD5226" w:rsidRDefault="00474D51" w:rsidP="00324CD5">
      <w:pPr>
        <w:pStyle w:val="FootnoteText"/>
      </w:pPr>
      <w:r>
        <w:rPr>
          <w:rStyle w:val="FootnoteReference"/>
        </w:rPr>
        <w:footnoteRef/>
      </w:r>
      <w:r>
        <w:t xml:space="preserve"> </w:t>
      </w:r>
      <w:r>
        <w:rPr>
          <w:i/>
        </w:rPr>
        <w:t>See id.</w:t>
      </w:r>
    </w:p>
  </w:footnote>
  <w:footnote w:id="544">
    <w:p w:rsidR="00474D51" w:rsidRPr="00F01612" w:rsidRDefault="00474D51" w:rsidP="00324CD5">
      <w:pPr>
        <w:pStyle w:val="FootnoteText"/>
      </w:pPr>
      <w:r w:rsidRPr="00F01612">
        <w:rPr>
          <w:rStyle w:val="Footnote"/>
          <w:vertAlign w:val="superscript"/>
        </w:rPr>
        <w:footnoteRef/>
      </w:r>
      <w:r w:rsidRPr="00F01612">
        <w:rPr>
          <w:rStyle w:val="Footnote"/>
        </w:rPr>
        <w:t xml:space="preserve"> </w:t>
      </w:r>
      <w:r w:rsidRPr="00F01612">
        <w:rPr>
          <w:rStyle w:val="Footnote"/>
          <w:i/>
        </w:rPr>
        <w:t>Amendment of the Commission’s Rules to Establish Part 27</w:t>
      </w:r>
      <w:r w:rsidRPr="00F01612">
        <w:rPr>
          <w:rStyle w:val="Footnote"/>
        </w:rPr>
        <w:t>,</w:t>
      </w:r>
      <w:r w:rsidRPr="00F01612">
        <w:rPr>
          <w:rStyle w:val="Footnote"/>
          <w:i/>
        </w:rPr>
        <w:t xml:space="preserve"> the Wireless Communications Service (WCS)</w:t>
      </w:r>
      <w:r w:rsidRPr="00F01612">
        <w:rPr>
          <w:rStyle w:val="Footnote"/>
        </w:rPr>
        <w:t>, Report and Order, 12 FCC Rcd 10785, 10879, para. 194 (1997).</w:t>
      </w:r>
    </w:p>
  </w:footnote>
  <w:footnote w:id="545">
    <w:p w:rsidR="00474D51" w:rsidRPr="00F01612" w:rsidRDefault="00474D51" w:rsidP="00324CD5">
      <w:pPr>
        <w:pStyle w:val="FootnoteText"/>
      </w:pPr>
      <w:r w:rsidRPr="00F01612">
        <w:rPr>
          <w:rStyle w:val="Footnote"/>
          <w:vertAlign w:val="superscript"/>
        </w:rPr>
        <w:footnoteRef/>
      </w:r>
      <w:r w:rsidRPr="00F01612">
        <w:rPr>
          <w:rStyle w:val="Footnote"/>
        </w:rPr>
        <w:t xml:space="preserve"> </w:t>
      </w:r>
      <w:r w:rsidRPr="00F01612">
        <w:rPr>
          <w:rStyle w:val="Footnote"/>
          <w:i/>
        </w:rPr>
        <w:t>See</w:t>
      </w:r>
      <w:r w:rsidRPr="00F01612">
        <w:rPr>
          <w:rStyle w:val="Footnote"/>
        </w:rPr>
        <w:t xml:space="preserve"> Letter from Aida Alvarez, Administrator, SBA, to Amy Zoslov, Chief, Auctions and Industry Analysis Division, Wireless Telecommunications Bureau, </w:t>
      </w:r>
      <w:r>
        <w:rPr>
          <w:rStyle w:val="Footnote"/>
        </w:rPr>
        <w:t>FCC</w:t>
      </w:r>
      <w:r w:rsidRPr="00F01612">
        <w:rPr>
          <w:rStyle w:val="Footnote"/>
        </w:rPr>
        <w:t xml:space="preserve"> (filed Dec. 2, 1998)</w:t>
      </w:r>
      <w:r w:rsidRPr="00F01612">
        <w:rPr>
          <w:rStyle w:val="Footnote"/>
          <w:i/>
        </w:rPr>
        <w:t xml:space="preserve"> </w:t>
      </w:r>
      <w:r w:rsidRPr="00F01612">
        <w:rPr>
          <w:rStyle w:val="Footnote"/>
        </w:rPr>
        <w:t>(</w:t>
      </w:r>
      <w:r w:rsidRPr="00F01612">
        <w:rPr>
          <w:rStyle w:val="Footnote"/>
          <w:i/>
        </w:rPr>
        <w:t>Alvarez Letter 1998</w:t>
      </w:r>
      <w:r w:rsidRPr="00F01612">
        <w:rPr>
          <w:rStyle w:val="Footnote"/>
        </w:rPr>
        <w:t>).</w:t>
      </w:r>
    </w:p>
  </w:footnote>
  <w:footnote w:id="546">
    <w:p w:rsidR="00474D51" w:rsidRPr="00F01612" w:rsidRDefault="00474D51" w:rsidP="00324CD5">
      <w:pPr>
        <w:pStyle w:val="FootnoteText"/>
      </w:pPr>
      <w:r w:rsidRPr="00F01612">
        <w:rPr>
          <w:rStyle w:val="FootnoteReference"/>
        </w:rPr>
        <w:footnoteRef/>
      </w:r>
      <w:r>
        <w:t xml:space="preserve"> 47 CFR</w:t>
      </w:r>
      <w:r w:rsidRPr="00F01612">
        <w:t xml:space="preserve"> § 2.106; </w:t>
      </w:r>
      <w:r w:rsidRPr="00F01612">
        <w:rPr>
          <w:i/>
        </w:rPr>
        <w:t>see generally</w:t>
      </w:r>
      <w:r>
        <w:t xml:space="preserve"> 47 CFR</w:t>
      </w:r>
      <w:r w:rsidRPr="00F01612">
        <w:t xml:space="preserve"> §§ 27.1-27.70.</w:t>
      </w:r>
    </w:p>
  </w:footnote>
  <w:footnote w:id="547">
    <w:p w:rsidR="00474D51" w:rsidRPr="00F01612" w:rsidRDefault="00474D51" w:rsidP="00324CD5">
      <w:pPr>
        <w:pStyle w:val="FootnoteText"/>
      </w:pPr>
      <w:r w:rsidRPr="00F01612">
        <w:rPr>
          <w:rStyle w:val="Footnote"/>
          <w:vertAlign w:val="superscript"/>
        </w:rPr>
        <w:footnoteRef/>
      </w:r>
      <w:r>
        <w:rPr>
          <w:rStyle w:val="Footnote"/>
        </w:rPr>
        <w:t xml:space="preserve"> 13 CFR</w:t>
      </w:r>
      <w:r w:rsidRPr="00F01612">
        <w:rPr>
          <w:rStyle w:val="Footnote"/>
        </w:rPr>
        <w:t xml:space="preserve"> § 121.201, NAICS code 517210.</w:t>
      </w:r>
    </w:p>
  </w:footnote>
  <w:footnote w:id="548">
    <w:p w:rsidR="00474D51" w:rsidRPr="00F01612" w:rsidRDefault="00474D51" w:rsidP="00324CD5">
      <w:pPr>
        <w:pStyle w:val="FootnoteText"/>
      </w:pPr>
      <w:r w:rsidRPr="00F01612">
        <w:rPr>
          <w:rStyle w:val="Footnote"/>
          <w:vertAlign w:val="superscript"/>
        </w:rPr>
        <w:footnoteRef/>
      </w:r>
      <w:r w:rsidRPr="00F01612">
        <w:rPr>
          <w:rStyle w:val="Footnote"/>
          <w:vertAlign w:val="superscript"/>
        </w:rPr>
        <w:t xml:space="preserve"> </w:t>
      </w:r>
      <w:r w:rsidRPr="00F01612">
        <w:rPr>
          <w:rStyle w:val="Footnote"/>
          <w:i/>
        </w:rPr>
        <w:t>Id</w:t>
      </w:r>
      <w:r w:rsidRPr="00F01612">
        <w:rPr>
          <w:rStyle w:val="Footnote"/>
        </w:rPr>
        <w:t>.</w:t>
      </w:r>
    </w:p>
  </w:footnote>
  <w:footnote w:id="549">
    <w:p w:rsidR="00474D51" w:rsidRPr="00F01612" w:rsidRDefault="00474D51" w:rsidP="00324CD5">
      <w:pPr>
        <w:pStyle w:val="FootnoteText"/>
      </w:pPr>
      <w:r w:rsidRPr="00F01612">
        <w:rPr>
          <w:rStyle w:val="Footnote"/>
          <w:vertAlign w:val="superscript"/>
        </w:rPr>
        <w:footnoteRef/>
      </w:r>
      <w:r w:rsidRPr="00F01612">
        <w:rPr>
          <w:rStyle w:val="Footnote"/>
        </w:rPr>
        <w:t xml:space="preserve"> </w:t>
      </w:r>
      <w:r w:rsidRPr="00F01612">
        <w:rPr>
          <w:rStyle w:val="Footnote"/>
          <w:i/>
        </w:rPr>
        <w:t>Trends in Telephone Service</w:t>
      </w:r>
      <w:r w:rsidRPr="00F01612">
        <w:rPr>
          <w:rStyle w:val="Footnote"/>
        </w:rPr>
        <w:t>, tbl. 5.3.</w:t>
      </w:r>
    </w:p>
  </w:footnote>
  <w:footnote w:id="550">
    <w:p w:rsidR="00474D51" w:rsidRPr="00F01612" w:rsidRDefault="00474D51" w:rsidP="00324CD5">
      <w:pPr>
        <w:pStyle w:val="FootnoteText"/>
      </w:pPr>
      <w:r w:rsidRPr="00F01612">
        <w:rPr>
          <w:rStyle w:val="Footnote"/>
          <w:vertAlign w:val="superscript"/>
        </w:rPr>
        <w:footnoteRef/>
      </w:r>
      <w:r w:rsidRPr="00F01612">
        <w:rPr>
          <w:rStyle w:val="Footnote"/>
        </w:rPr>
        <w:t xml:space="preserve"> </w:t>
      </w:r>
      <w:r w:rsidRPr="00F01612">
        <w:rPr>
          <w:rStyle w:val="Footnote"/>
          <w:i/>
        </w:rPr>
        <w:t>Id.</w:t>
      </w:r>
    </w:p>
  </w:footnote>
  <w:footnote w:id="551">
    <w:p w:rsidR="00474D51" w:rsidRPr="00F01612" w:rsidRDefault="00474D51" w:rsidP="00324CD5">
      <w:pPr>
        <w:pStyle w:val="FootnoteText"/>
      </w:pPr>
      <w:r w:rsidRPr="00F01612">
        <w:rPr>
          <w:rStyle w:val="Footnote"/>
          <w:vertAlign w:val="superscript"/>
        </w:rPr>
        <w:footnoteRef/>
      </w:r>
      <w:r w:rsidRPr="00F01612">
        <w:rPr>
          <w:rStyle w:val="Footnote"/>
        </w:rPr>
        <w:t xml:space="preserve"> </w:t>
      </w:r>
      <w:r w:rsidRPr="00F01612">
        <w:rPr>
          <w:rStyle w:val="Footnote"/>
          <w:i/>
        </w:rPr>
        <w:t>See</w:t>
      </w:r>
      <w:r w:rsidRPr="00F01612">
        <w:rPr>
          <w:rStyle w:val="Footnote"/>
        </w:rPr>
        <w:t xml:space="preserve"> </w:t>
      </w:r>
      <w:r w:rsidRPr="00F01612">
        <w:rPr>
          <w:rStyle w:val="Footnote"/>
          <w:i/>
        </w:rPr>
        <w:t>Amendment of Parts 20 and 24 of the Commission’s Rules – Broadband PCS Competitive Bidding and the Commercial Mobile Radio Service Spectrum Cap; Amendment of the Commission’s Cellular/PCS Cross-Ownership Rule</w:t>
      </w:r>
      <w:r>
        <w:rPr>
          <w:rStyle w:val="Footnote"/>
        </w:rPr>
        <w:t>,</w:t>
      </w:r>
      <w:r w:rsidRPr="00F01612">
        <w:rPr>
          <w:rStyle w:val="Footnote"/>
        </w:rPr>
        <w:t xml:space="preserve"> Report and Order, 11 FCC Rcd 7824, 7850-52, paras. 57-60 (1996) (</w:t>
      </w:r>
      <w:r w:rsidRPr="00F01612">
        <w:rPr>
          <w:rStyle w:val="Footnote"/>
          <w:i/>
        </w:rPr>
        <w:t>PCS Report and Order</w:t>
      </w:r>
      <w:r w:rsidRPr="00F01612">
        <w:rPr>
          <w:rStyle w:val="Footnote"/>
        </w:rPr>
        <w:t xml:space="preserve">); </w:t>
      </w:r>
      <w:r w:rsidRPr="00F01612">
        <w:rPr>
          <w:rStyle w:val="Footnote"/>
          <w:i/>
        </w:rPr>
        <w:t>see also</w:t>
      </w:r>
      <w:r>
        <w:rPr>
          <w:rStyle w:val="Footnote"/>
        </w:rPr>
        <w:t xml:space="preserve"> 47 CFR</w:t>
      </w:r>
      <w:r w:rsidRPr="00F01612">
        <w:rPr>
          <w:rStyle w:val="Footnote"/>
        </w:rPr>
        <w:t xml:space="preserve"> § 24.720(b).</w:t>
      </w:r>
    </w:p>
  </w:footnote>
  <w:footnote w:id="552">
    <w:p w:rsidR="00474D51" w:rsidRPr="00F01612" w:rsidRDefault="00474D51" w:rsidP="00324CD5">
      <w:pPr>
        <w:pStyle w:val="FootnoteText"/>
      </w:pPr>
      <w:r w:rsidRPr="00F01612">
        <w:rPr>
          <w:rStyle w:val="Footnote"/>
          <w:vertAlign w:val="superscript"/>
        </w:rPr>
        <w:footnoteRef/>
      </w:r>
      <w:r w:rsidRPr="00F01612">
        <w:rPr>
          <w:rStyle w:val="Footnote"/>
        </w:rPr>
        <w:t xml:space="preserve"> </w:t>
      </w:r>
      <w:r w:rsidRPr="00F01612">
        <w:rPr>
          <w:rStyle w:val="Footnote"/>
          <w:i/>
        </w:rPr>
        <w:t>See</w:t>
      </w:r>
      <w:r w:rsidRPr="00F01612">
        <w:rPr>
          <w:rStyle w:val="Footnote"/>
        </w:rPr>
        <w:t xml:space="preserve"> </w:t>
      </w:r>
      <w:r w:rsidRPr="00F01612">
        <w:rPr>
          <w:rStyle w:val="Footnote"/>
          <w:i/>
        </w:rPr>
        <w:t>PCS Report and Order</w:t>
      </w:r>
      <w:r w:rsidRPr="00F01612">
        <w:rPr>
          <w:rStyle w:val="Footnote"/>
        </w:rPr>
        <w:t>, 11 FCC Rcd at 7852, para. 60.</w:t>
      </w:r>
    </w:p>
  </w:footnote>
  <w:footnote w:id="553">
    <w:p w:rsidR="00474D51" w:rsidRPr="00F01612" w:rsidRDefault="00474D51" w:rsidP="00324CD5">
      <w:pPr>
        <w:pStyle w:val="FootnoteText"/>
      </w:pPr>
      <w:r w:rsidRPr="00F01612">
        <w:rPr>
          <w:rStyle w:val="Footnote"/>
          <w:vertAlign w:val="superscript"/>
        </w:rPr>
        <w:footnoteRef/>
      </w:r>
      <w:r w:rsidRPr="00F01612">
        <w:rPr>
          <w:rStyle w:val="Footnote"/>
        </w:rPr>
        <w:t xml:space="preserve"> </w:t>
      </w:r>
      <w:r w:rsidRPr="00F01612">
        <w:rPr>
          <w:rStyle w:val="Footnote"/>
          <w:i/>
        </w:rPr>
        <w:t>See</w:t>
      </w:r>
      <w:r w:rsidRPr="00F01612">
        <w:rPr>
          <w:rStyle w:val="Footnote"/>
        </w:rPr>
        <w:t xml:space="preserve"> </w:t>
      </w:r>
      <w:r w:rsidRPr="00F01612">
        <w:rPr>
          <w:rStyle w:val="Footnote"/>
          <w:i/>
        </w:rPr>
        <w:t>Alvarez Letter 1998</w:t>
      </w:r>
      <w:r w:rsidRPr="00F01612">
        <w:rPr>
          <w:rStyle w:val="Footnote"/>
        </w:rPr>
        <w:t>.</w:t>
      </w:r>
    </w:p>
  </w:footnote>
  <w:footnote w:id="554">
    <w:p w:rsidR="00474D51" w:rsidRPr="00F01612" w:rsidRDefault="00474D51" w:rsidP="00324CD5">
      <w:pPr>
        <w:pStyle w:val="FootnoteText"/>
      </w:pPr>
      <w:r w:rsidRPr="00F01612">
        <w:rPr>
          <w:rStyle w:val="Footnote"/>
          <w:vertAlign w:val="superscript"/>
        </w:rPr>
        <w:footnoteRef/>
      </w:r>
      <w:r w:rsidRPr="00F01612">
        <w:t xml:space="preserve"> </w:t>
      </w:r>
      <w:r w:rsidRPr="00F01612">
        <w:rPr>
          <w:i/>
          <w:iCs/>
        </w:rPr>
        <w:t>See</w:t>
      </w:r>
      <w:r w:rsidRPr="00F01612">
        <w:t xml:space="preserve"> </w:t>
      </w:r>
      <w:r w:rsidRPr="00F01612">
        <w:rPr>
          <w:i/>
          <w:iCs/>
        </w:rPr>
        <w:t>Broadband PCS</w:t>
      </w:r>
      <w:r w:rsidRPr="00F01612">
        <w:rPr>
          <w:iCs/>
        </w:rPr>
        <w:t>,</w:t>
      </w:r>
      <w:r w:rsidRPr="00F01612">
        <w:rPr>
          <w:i/>
          <w:iCs/>
        </w:rPr>
        <w:t xml:space="preserve"> D</w:t>
      </w:r>
      <w:r w:rsidRPr="00F01612">
        <w:rPr>
          <w:iCs/>
        </w:rPr>
        <w:t>,</w:t>
      </w:r>
      <w:r w:rsidRPr="00F01612">
        <w:rPr>
          <w:i/>
          <w:iCs/>
        </w:rPr>
        <w:t xml:space="preserve"> E and F Block Auction Closes</w:t>
      </w:r>
      <w:r w:rsidRPr="00F01612">
        <w:t>, Public Notice, Doc. No. 89838 (rel. Jan. 14, 1997).</w:t>
      </w:r>
    </w:p>
  </w:footnote>
  <w:footnote w:id="555">
    <w:p w:rsidR="00474D51" w:rsidRPr="00F01612" w:rsidRDefault="00474D51" w:rsidP="00324CD5">
      <w:pPr>
        <w:pStyle w:val="FootnoteText"/>
      </w:pPr>
      <w:r w:rsidRPr="00F01612">
        <w:rPr>
          <w:rStyle w:val="Footnote"/>
          <w:vertAlign w:val="superscript"/>
        </w:rPr>
        <w:footnoteRef/>
      </w:r>
      <w:r w:rsidRPr="00F01612">
        <w:rPr>
          <w:rStyle w:val="Footnote"/>
        </w:rPr>
        <w:t xml:space="preserve"> </w:t>
      </w:r>
      <w:r w:rsidRPr="00F01612">
        <w:rPr>
          <w:rStyle w:val="Footnote"/>
          <w:i/>
        </w:rPr>
        <w:t>See</w:t>
      </w:r>
      <w:r w:rsidRPr="00F01612">
        <w:rPr>
          <w:rStyle w:val="Footnote"/>
        </w:rPr>
        <w:t xml:space="preserve"> </w:t>
      </w:r>
      <w:r w:rsidRPr="00F01612">
        <w:rPr>
          <w:rStyle w:val="Footnote"/>
          <w:i/>
        </w:rPr>
        <w:t>C</w:t>
      </w:r>
      <w:r w:rsidRPr="00F01612">
        <w:rPr>
          <w:rStyle w:val="Footnote"/>
        </w:rPr>
        <w:t>,</w:t>
      </w:r>
      <w:r w:rsidRPr="00F01612">
        <w:rPr>
          <w:rStyle w:val="Footnote"/>
          <w:i/>
        </w:rPr>
        <w:t xml:space="preserve"> D</w:t>
      </w:r>
      <w:r w:rsidRPr="00F01612">
        <w:rPr>
          <w:rStyle w:val="Footnote"/>
        </w:rPr>
        <w:t>,</w:t>
      </w:r>
      <w:r w:rsidRPr="00F01612">
        <w:rPr>
          <w:rStyle w:val="Footnote"/>
          <w:i/>
        </w:rPr>
        <w:t xml:space="preserve"> E</w:t>
      </w:r>
      <w:r w:rsidRPr="00F01612">
        <w:rPr>
          <w:rStyle w:val="Footnote"/>
        </w:rPr>
        <w:t>,</w:t>
      </w:r>
      <w:r w:rsidRPr="00F01612">
        <w:rPr>
          <w:rStyle w:val="Footnote"/>
          <w:i/>
        </w:rPr>
        <w:t xml:space="preserve"> and F Block Broadband PCS Auction Closes</w:t>
      </w:r>
      <w:r w:rsidRPr="00F01612">
        <w:rPr>
          <w:rStyle w:val="Footnote"/>
        </w:rPr>
        <w:t xml:space="preserve">, Public Notice, 14 FCC Rcd 6688 (WTB 1999).  </w:t>
      </w:r>
      <w:r w:rsidRPr="00F01612">
        <w:t xml:space="preserve">Before Auction No. 22, the Commission established a very small standard for the C Block to match the standard used for F Block.  </w:t>
      </w:r>
      <w:r w:rsidRPr="00F01612">
        <w:rPr>
          <w:i/>
        </w:rPr>
        <w:t>Amendment of the Commission’s Rules Regarding Installment Payment Financing for Personal Communications Services (PCS) Licensees</w:t>
      </w:r>
      <w:r w:rsidRPr="00F01612">
        <w:t>, Fourth Report and Order, 13 FCC Rcd 15743, 15768, para. 46 (1998).</w:t>
      </w:r>
    </w:p>
  </w:footnote>
  <w:footnote w:id="556">
    <w:p w:rsidR="00474D51" w:rsidRPr="00F01612" w:rsidRDefault="00474D51" w:rsidP="00324CD5">
      <w:pPr>
        <w:pStyle w:val="FootnoteText"/>
      </w:pPr>
      <w:r w:rsidRPr="00F01612">
        <w:rPr>
          <w:rStyle w:val="Footnote"/>
          <w:vertAlign w:val="superscript"/>
        </w:rPr>
        <w:footnoteRef/>
      </w:r>
      <w:r w:rsidRPr="00F01612">
        <w:rPr>
          <w:rStyle w:val="Footnote"/>
        </w:rPr>
        <w:t xml:space="preserve"> </w:t>
      </w:r>
      <w:r w:rsidRPr="00F01612">
        <w:rPr>
          <w:rStyle w:val="Footnote"/>
          <w:i/>
        </w:rPr>
        <w:t>See</w:t>
      </w:r>
      <w:r w:rsidRPr="00F01612">
        <w:rPr>
          <w:rStyle w:val="Footnote"/>
        </w:rPr>
        <w:t xml:space="preserve"> </w:t>
      </w:r>
      <w:r w:rsidRPr="00F01612">
        <w:rPr>
          <w:rStyle w:val="Footnote"/>
          <w:i/>
        </w:rPr>
        <w:t>C and F Block Broadband PCS Auction Closes; Winning Bidders Announced</w:t>
      </w:r>
      <w:r w:rsidRPr="00F01612">
        <w:rPr>
          <w:rStyle w:val="Footnote"/>
        </w:rPr>
        <w:t>, Public Notice, 16 FCC Rcd 2339 (2001).</w:t>
      </w:r>
    </w:p>
  </w:footnote>
  <w:footnote w:id="557">
    <w:p w:rsidR="00474D51" w:rsidRPr="00F01612" w:rsidRDefault="00474D51" w:rsidP="00324CD5">
      <w:pPr>
        <w:pStyle w:val="FootnoteText"/>
      </w:pPr>
      <w:r w:rsidRPr="00F01612">
        <w:rPr>
          <w:rStyle w:val="FootnoteReference"/>
        </w:rPr>
        <w:footnoteRef/>
      </w:r>
      <w:r w:rsidRPr="00F01612">
        <w:t xml:space="preserve"> </w:t>
      </w:r>
      <w:r w:rsidRPr="00F01612">
        <w:rPr>
          <w:i/>
        </w:rPr>
        <w:t>See</w:t>
      </w:r>
      <w:r w:rsidRPr="00F01612">
        <w:t xml:space="preserve"> </w:t>
      </w:r>
      <w:r w:rsidRPr="00F01612">
        <w:rPr>
          <w:i/>
        </w:rPr>
        <w:t>Broadband PCS Spectrum Auction Closes; Winning Bidders Announced for Auction No. 58</w:t>
      </w:r>
      <w:r w:rsidRPr="00F01612">
        <w:t>, Public Notice, 20 FCC Rcd 3703 (2005).</w:t>
      </w:r>
    </w:p>
  </w:footnote>
  <w:footnote w:id="558">
    <w:p w:rsidR="00474D51" w:rsidRPr="00F01612" w:rsidRDefault="00474D51" w:rsidP="00324CD5">
      <w:pPr>
        <w:pStyle w:val="FootnoteText"/>
      </w:pPr>
      <w:r w:rsidRPr="00F01612">
        <w:rPr>
          <w:rStyle w:val="FootnoteReference"/>
        </w:rPr>
        <w:footnoteRef/>
      </w:r>
      <w:r w:rsidRPr="00F01612">
        <w:t xml:space="preserve"> </w:t>
      </w:r>
      <w:r w:rsidRPr="00F01612">
        <w:rPr>
          <w:i/>
        </w:rPr>
        <w:t>See</w:t>
      </w:r>
      <w:r w:rsidRPr="00F01612">
        <w:t xml:space="preserve"> </w:t>
      </w:r>
      <w:r w:rsidRPr="00F01612">
        <w:rPr>
          <w:i/>
        </w:rPr>
        <w:t>Auction of Broadband PCS Spectrum Licenses Closes; Winning Bidders Announced for Auction No. 71</w:t>
      </w:r>
      <w:r w:rsidRPr="00F01612">
        <w:t>, Public Notice, 22 FCC Rcd 9247 (2007).</w:t>
      </w:r>
    </w:p>
  </w:footnote>
  <w:footnote w:id="559">
    <w:p w:rsidR="00474D51" w:rsidRPr="00F01612" w:rsidRDefault="00474D51" w:rsidP="00324CD5">
      <w:pPr>
        <w:pStyle w:val="FootnoteText"/>
      </w:pPr>
      <w:r w:rsidRPr="00F01612">
        <w:rPr>
          <w:rStyle w:val="FootnoteReference"/>
        </w:rPr>
        <w:footnoteRef/>
      </w:r>
      <w:r w:rsidRPr="00F01612">
        <w:t xml:space="preserve"> </w:t>
      </w:r>
      <w:r w:rsidRPr="00F01612">
        <w:rPr>
          <w:i/>
        </w:rPr>
        <w:t>Id</w:t>
      </w:r>
      <w:r w:rsidRPr="00F01612">
        <w:t>.</w:t>
      </w:r>
    </w:p>
  </w:footnote>
  <w:footnote w:id="560">
    <w:p w:rsidR="00474D51" w:rsidRPr="00F01612" w:rsidRDefault="00474D51" w:rsidP="00324CD5">
      <w:pPr>
        <w:pStyle w:val="FootnoteText"/>
      </w:pPr>
      <w:r w:rsidRPr="00F01612">
        <w:rPr>
          <w:rStyle w:val="FootnoteReference"/>
        </w:rPr>
        <w:footnoteRef/>
      </w:r>
      <w:r w:rsidRPr="00F01612">
        <w:t xml:space="preserve"> </w:t>
      </w:r>
      <w:r w:rsidRPr="00F01612">
        <w:rPr>
          <w:i/>
        </w:rPr>
        <w:t>See</w:t>
      </w:r>
      <w:r w:rsidRPr="00F01612">
        <w:t xml:space="preserve"> </w:t>
      </w:r>
      <w:r w:rsidRPr="00F01612">
        <w:rPr>
          <w:bCs/>
          <w:i/>
        </w:rPr>
        <w:t>Auction</w:t>
      </w:r>
      <w:r w:rsidRPr="00F01612">
        <w:rPr>
          <w:b/>
          <w:bCs/>
          <w:i/>
        </w:rPr>
        <w:t xml:space="preserve"> </w:t>
      </w:r>
      <w:r w:rsidRPr="00F01612">
        <w:rPr>
          <w:bCs/>
          <w:i/>
        </w:rPr>
        <w:t>of AWS-1 and Broadband PCS Licenses Closes; Winning Bidders Announced for Auction 78</w:t>
      </w:r>
      <w:r w:rsidRPr="00F01612">
        <w:rPr>
          <w:bCs/>
        </w:rPr>
        <w:t xml:space="preserve">, </w:t>
      </w:r>
      <w:r w:rsidRPr="00F01612">
        <w:t>Public Notice, 23 FCC Rcd 12749 (WTB 2008).</w:t>
      </w:r>
    </w:p>
  </w:footnote>
  <w:footnote w:id="561">
    <w:p w:rsidR="00474D51" w:rsidRPr="00F01612" w:rsidRDefault="00474D51" w:rsidP="00324CD5">
      <w:pPr>
        <w:pStyle w:val="FootnoteText"/>
      </w:pPr>
      <w:r w:rsidRPr="00F01612">
        <w:rPr>
          <w:rStyle w:val="FootnoteReference"/>
        </w:rPr>
        <w:footnoteRef/>
      </w:r>
      <w:r w:rsidRPr="00F01612">
        <w:t xml:space="preserve"> </w:t>
      </w:r>
      <w:r w:rsidRPr="00F01612">
        <w:rPr>
          <w:i/>
        </w:rPr>
        <w:t>Id.</w:t>
      </w:r>
    </w:p>
  </w:footnote>
  <w:footnote w:id="562">
    <w:p w:rsidR="00474D51" w:rsidRPr="00F01612" w:rsidRDefault="00474D51" w:rsidP="00324CD5">
      <w:pPr>
        <w:pStyle w:val="FootnoteText"/>
      </w:pPr>
      <w:r w:rsidRPr="00F01612">
        <w:rPr>
          <w:rStyle w:val="Footnote"/>
          <w:vertAlign w:val="superscript"/>
        </w:rPr>
        <w:footnoteRef/>
      </w:r>
      <w:r>
        <w:rPr>
          <w:rStyle w:val="Footnote"/>
        </w:rPr>
        <w:t xml:space="preserve"> 47 CFR</w:t>
      </w:r>
      <w:r w:rsidRPr="00F01612">
        <w:rPr>
          <w:rStyle w:val="Footnote"/>
        </w:rPr>
        <w:t xml:space="preserve"> § 90.814(b)(1).</w:t>
      </w:r>
    </w:p>
  </w:footnote>
  <w:footnote w:id="563">
    <w:p w:rsidR="00474D51" w:rsidRPr="00F01612" w:rsidRDefault="00474D51" w:rsidP="00324CD5">
      <w:pPr>
        <w:pStyle w:val="FootnoteText"/>
      </w:pPr>
      <w:r w:rsidRPr="00F01612">
        <w:rPr>
          <w:rStyle w:val="Footnote"/>
          <w:vertAlign w:val="superscript"/>
        </w:rPr>
        <w:footnoteRef/>
      </w:r>
      <w:r w:rsidRPr="00F01612">
        <w:t xml:space="preserve"> </w:t>
      </w:r>
      <w:r w:rsidRPr="00F01612">
        <w:rPr>
          <w:rStyle w:val="Footnote"/>
          <w:i/>
        </w:rPr>
        <w:t>Id</w:t>
      </w:r>
      <w:r w:rsidRPr="00F01612">
        <w:rPr>
          <w:rStyle w:val="Footnote"/>
        </w:rPr>
        <w:t xml:space="preserve">. </w:t>
      </w:r>
    </w:p>
  </w:footnote>
  <w:footnote w:id="564">
    <w:p w:rsidR="00474D51" w:rsidRPr="00F01612" w:rsidRDefault="00474D51" w:rsidP="00324CD5">
      <w:pPr>
        <w:pStyle w:val="FootnoteText"/>
      </w:pPr>
      <w:r w:rsidRPr="00F01612">
        <w:rPr>
          <w:rStyle w:val="Footnote"/>
          <w:vertAlign w:val="superscript"/>
        </w:rPr>
        <w:footnoteRef/>
      </w:r>
      <w:r w:rsidRPr="00F01612">
        <w:t xml:space="preserve"> </w:t>
      </w:r>
      <w:r w:rsidRPr="00F01612">
        <w:rPr>
          <w:rStyle w:val="Footnote"/>
          <w:i/>
        </w:rPr>
        <w:t>See</w:t>
      </w:r>
      <w:r w:rsidRPr="00F01612">
        <w:rPr>
          <w:rStyle w:val="Footnote"/>
        </w:rPr>
        <w:t xml:space="preserve"> </w:t>
      </w:r>
      <w:r w:rsidRPr="00F01612">
        <w:t>Letter from Aida Alvarez, Administrator, SBA, to Thomas Sugrue, Chief, Wireless Telecommunications Bureau, Federal Communications Commission (filed Aug. 10, 1999) (</w:t>
      </w:r>
      <w:r w:rsidRPr="00F01612">
        <w:rPr>
          <w:rStyle w:val="Footnote"/>
          <w:i/>
        </w:rPr>
        <w:t>Alvarez Letter 1999</w:t>
      </w:r>
      <w:r w:rsidRPr="00F01612">
        <w:rPr>
          <w:rStyle w:val="Footnote"/>
        </w:rPr>
        <w:t>).</w:t>
      </w:r>
    </w:p>
  </w:footnote>
  <w:footnote w:id="565">
    <w:p w:rsidR="00474D51" w:rsidRPr="00F01612" w:rsidRDefault="00474D51" w:rsidP="00324CD5">
      <w:pPr>
        <w:pStyle w:val="FootnoteText"/>
      </w:pPr>
      <w:r w:rsidRPr="00F01612">
        <w:rPr>
          <w:rStyle w:val="Footnote"/>
          <w:vertAlign w:val="superscript"/>
        </w:rPr>
        <w:footnoteRef/>
      </w:r>
      <w:r w:rsidRPr="00F01612">
        <w:rPr>
          <w:rStyle w:val="Footnote"/>
        </w:rPr>
        <w:t xml:space="preserve"> </w:t>
      </w:r>
      <w:r w:rsidRPr="00F01612">
        <w:rPr>
          <w:rStyle w:val="Footnote"/>
          <w:i/>
        </w:rPr>
        <w:t>See</w:t>
      </w:r>
      <w:r w:rsidRPr="00F01612">
        <w:rPr>
          <w:rStyle w:val="Footnote"/>
        </w:rPr>
        <w:t xml:space="preserve"> </w:t>
      </w:r>
      <w:r w:rsidRPr="00F01612">
        <w:rPr>
          <w:rStyle w:val="Footnote"/>
          <w:i/>
        </w:rPr>
        <w:t>Correction to Public Notice DA 96-586 “FCC Announces Winning Bidders in the Auction of 1020 Licenses to Provide 900 MHz SMR in Major Trading Areas</w:t>
      </w:r>
      <w:r w:rsidRPr="00F01612">
        <w:rPr>
          <w:rStyle w:val="Footnote"/>
        </w:rPr>
        <w:t>,</w:t>
      </w:r>
      <w:r w:rsidRPr="00F01612">
        <w:rPr>
          <w:rStyle w:val="Footnote"/>
          <w:i/>
        </w:rPr>
        <w:t>”</w:t>
      </w:r>
      <w:r w:rsidRPr="00F01612">
        <w:rPr>
          <w:rStyle w:val="Footnote"/>
        </w:rPr>
        <w:t xml:space="preserve"> Public Notice, 18 FCC Rcd 18367 (WTB 1996).</w:t>
      </w:r>
    </w:p>
  </w:footnote>
  <w:footnote w:id="566">
    <w:p w:rsidR="00474D51" w:rsidRPr="00F01612" w:rsidRDefault="00474D51" w:rsidP="00324CD5">
      <w:pPr>
        <w:pStyle w:val="FootnoteText"/>
      </w:pPr>
      <w:r w:rsidRPr="00F01612">
        <w:rPr>
          <w:rStyle w:val="Footnote"/>
          <w:vertAlign w:val="superscript"/>
        </w:rPr>
        <w:footnoteRef/>
      </w:r>
      <w:r w:rsidRPr="00F01612">
        <w:rPr>
          <w:rStyle w:val="Footnote"/>
        </w:rPr>
        <w:t xml:space="preserve"> </w:t>
      </w:r>
      <w:r w:rsidRPr="00F01612">
        <w:rPr>
          <w:rStyle w:val="Footnote"/>
          <w:i/>
        </w:rPr>
        <w:t>See</w:t>
      </w:r>
      <w:r w:rsidRPr="00F01612">
        <w:rPr>
          <w:rStyle w:val="Footnote"/>
        </w:rPr>
        <w:t xml:space="preserve"> </w:t>
      </w:r>
      <w:r w:rsidRPr="00F01612">
        <w:rPr>
          <w:rStyle w:val="Footnote"/>
          <w:i/>
        </w:rPr>
        <w:t>Multi-Radio Service Auction Closes</w:t>
      </w:r>
      <w:r w:rsidRPr="00F01612">
        <w:rPr>
          <w:rStyle w:val="Footnote"/>
        </w:rPr>
        <w:t>, Public Notice, 17 FCC Rcd 1446 (WTB 2002).</w:t>
      </w:r>
    </w:p>
  </w:footnote>
  <w:footnote w:id="567">
    <w:p w:rsidR="00474D51" w:rsidRPr="00F01612" w:rsidRDefault="00474D51" w:rsidP="00324CD5">
      <w:pPr>
        <w:pStyle w:val="FootnoteText"/>
      </w:pPr>
      <w:r w:rsidRPr="00F01612">
        <w:rPr>
          <w:rStyle w:val="Footnote"/>
          <w:vertAlign w:val="superscript"/>
        </w:rPr>
        <w:footnoteRef/>
      </w:r>
      <w:r w:rsidRPr="00F01612">
        <w:rPr>
          <w:rStyle w:val="Footnote"/>
        </w:rPr>
        <w:t xml:space="preserve"> </w:t>
      </w:r>
      <w:r w:rsidRPr="00F01612">
        <w:rPr>
          <w:rStyle w:val="Footnote"/>
          <w:i/>
        </w:rPr>
        <w:t>See 800 MHz Specialized Mobile Radio (SMR) Service General Category (851–854 MHz) and Upper Band (861–865 MHz) Auction Closes; Winning Bidders Announced</w:t>
      </w:r>
      <w:r w:rsidRPr="00F01612">
        <w:rPr>
          <w:rStyle w:val="Footnote"/>
        </w:rPr>
        <w:t>, Public Notice, 15 FCC Rcd 17162 (2000).</w:t>
      </w:r>
    </w:p>
  </w:footnote>
  <w:footnote w:id="568">
    <w:p w:rsidR="00474D51" w:rsidRPr="00F01612" w:rsidRDefault="00474D51" w:rsidP="00324CD5">
      <w:pPr>
        <w:pStyle w:val="FootnoteText"/>
      </w:pPr>
      <w:r w:rsidRPr="00F01612">
        <w:rPr>
          <w:rStyle w:val="Footnote"/>
          <w:vertAlign w:val="superscript"/>
        </w:rPr>
        <w:footnoteRef/>
      </w:r>
      <w:r w:rsidRPr="00F01612">
        <w:rPr>
          <w:rStyle w:val="Footnote"/>
        </w:rPr>
        <w:t xml:space="preserve"> </w:t>
      </w:r>
      <w:r w:rsidRPr="00F01612">
        <w:rPr>
          <w:rStyle w:val="Footnote"/>
          <w:i/>
        </w:rPr>
        <w:t>See</w:t>
      </w:r>
      <w:r w:rsidRPr="00F01612">
        <w:rPr>
          <w:rStyle w:val="Footnote"/>
        </w:rPr>
        <w:t xml:space="preserve"> </w:t>
      </w:r>
      <w:r w:rsidRPr="00F01612">
        <w:rPr>
          <w:rStyle w:val="Footnote"/>
          <w:i/>
        </w:rPr>
        <w:t>800 MHz SMR Service Lower 80 Channels Auction Closes; Winning Bidders Announced</w:t>
      </w:r>
      <w:r w:rsidRPr="00F01612">
        <w:rPr>
          <w:rStyle w:val="Footnote"/>
        </w:rPr>
        <w:t>, Public Notice, 16 FCC Rcd 1736 (2000).</w:t>
      </w:r>
    </w:p>
  </w:footnote>
  <w:footnote w:id="569">
    <w:p w:rsidR="00474D51" w:rsidRPr="00F01612" w:rsidRDefault="00474D51" w:rsidP="00324CD5">
      <w:pPr>
        <w:pStyle w:val="FootnoteText"/>
      </w:pPr>
      <w:r w:rsidRPr="00F01612">
        <w:rPr>
          <w:rStyle w:val="FootnoteReference"/>
        </w:rPr>
        <w:footnoteRef/>
      </w:r>
      <w:r w:rsidRPr="00F01612">
        <w:t xml:space="preserve"> </w:t>
      </w:r>
      <w:r w:rsidRPr="00F01612">
        <w:rPr>
          <w:i/>
        </w:rPr>
        <w:t>See generally</w:t>
      </w:r>
      <w:r w:rsidRPr="00F01612">
        <w:t xml:space="preserve"> </w:t>
      </w:r>
      <w:r>
        <w:rPr>
          <w:rStyle w:val="Footnote"/>
        </w:rPr>
        <w:t>13 C</w:t>
      </w:r>
      <w:r w:rsidRPr="00F01612">
        <w:rPr>
          <w:rStyle w:val="Footnote"/>
        </w:rPr>
        <w:t>F</w:t>
      </w:r>
      <w:r>
        <w:rPr>
          <w:rStyle w:val="Footnote"/>
        </w:rPr>
        <w:t>R</w:t>
      </w:r>
      <w:r w:rsidRPr="00F01612">
        <w:rPr>
          <w:rStyle w:val="Footnote"/>
        </w:rPr>
        <w:t xml:space="preserve"> § 121.201, NAICS code 517210.</w:t>
      </w:r>
    </w:p>
  </w:footnote>
  <w:footnote w:id="570">
    <w:p w:rsidR="00474D51" w:rsidRPr="00F01612" w:rsidRDefault="00474D51" w:rsidP="00324CD5">
      <w:pPr>
        <w:pStyle w:val="FootnoteText"/>
      </w:pPr>
      <w:r w:rsidRPr="00F01612">
        <w:rPr>
          <w:vertAlign w:val="superscript"/>
        </w:rPr>
        <w:footnoteRef/>
      </w:r>
      <w:r w:rsidRPr="00F01612">
        <w:t xml:space="preserve"> </w:t>
      </w:r>
      <w:r w:rsidRPr="00F01612">
        <w:rPr>
          <w:i/>
        </w:rPr>
        <w:t>See</w:t>
      </w:r>
      <w:r w:rsidRPr="00F01612">
        <w:t xml:space="preserve"> </w:t>
      </w:r>
      <w:r w:rsidRPr="00F01612">
        <w:rPr>
          <w:i/>
        </w:rPr>
        <w:t>Reallocation and Service Rules for the 698</w:t>
      </w:r>
      <w:r w:rsidRPr="00F01612">
        <w:rPr>
          <w:rStyle w:val="Footnote"/>
        </w:rPr>
        <w:t>–</w:t>
      </w:r>
      <w:r w:rsidRPr="00F01612">
        <w:rPr>
          <w:i/>
        </w:rPr>
        <w:t>746 MHz Spectrum Band (Television Channels 52</w:t>
      </w:r>
      <w:r w:rsidRPr="00F01612">
        <w:rPr>
          <w:rStyle w:val="Footnote"/>
        </w:rPr>
        <w:t>–</w:t>
      </w:r>
      <w:r w:rsidRPr="00F01612">
        <w:rPr>
          <w:i/>
        </w:rPr>
        <w:t>59)</w:t>
      </w:r>
      <w:r w:rsidRPr="00F01612">
        <w:t>, Report and Order, 17 FCC Rcd 1022 (2002) (</w:t>
      </w:r>
      <w:r w:rsidRPr="00F01612">
        <w:rPr>
          <w:i/>
        </w:rPr>
        <w:t>Channels 52</w:t>
      </w:r>
      <w:r w:rsidRPr="00F01612">
        <w:rPr>
          <w:rStyle w:val="Footnote"/>
        </w:rPr>
        <w:t>–</w:t>
      </w:r>
      <w:r w:rsidRPr="00F01612">
        <w:rPr>
          <w:i/>
        </w:rPr>
        <w:t>59 Report and Order</w:t>
      </w:r>
      <w:r w:rsidRPr="00F01612">
        <w:t>).</w:t>
      </w:r>
    </w:p>
  </w:footnote>
  <w:footnote w:id="571">
    <w:p w:rsidR="00474D51" w:rsidRPr="00F01612" w:rsidRDefault="00474D51" w:rsidP="00324CD5">
      <w:pPr>
        <w:pStyle w:val="FootnoteText"/>
      </w:pPr>
      <w:r w:rsidRPr="00F01612">
        <w:rPr>
          <w:vertAlign w:val="superscript"/>
        </w:rPr>
        <w:footnoteRef/>
      </w:r>
      <w:r w:rsidRPr="00F01612">
        <w:t xml:space="preserve"> </w:t>
      </w:r>
      <w:r w:rsidRPr="00F01612">
        <w:rPr>
          <w:i/>
        </w:rPr>
        <w:t>See</w:t>
      </w:r>
      <w:r w:rsidRPr="00F01612">
        <w:t xml:space="preserve"> </w:t>
      </w:r>
      <w:r w:rsidRPr="00F01612">
        <w:rPr>
          <w:i/>
        </w:rPr>
        <w:t>id.</w:t>
      </w:r>
      <w:r w:rsidRPr="00F01612">
        <w:t xml:space="preserve"> at 1087</w:t>
      </w:r>
      <w:r w:rsidRPr="00F01612">
        <w:rPr>
          <w:rStyle w:val="Footnote"/>
        </w:rPr>
        <w:t>-</w:t>
      </w:r>
      <w:r w:rsidRPr="00F01612">
        <w:t>88, para. 172.</w:t>
      </w:r>
    </w:p>
  </w:footnote>
  <w:footnote w:id="572">
    <w:p w:rsidR="00474D51" w:rsidRPr="00F01612" w:rsidRDefault="00474D51" w:rsidP="00324CD5">
      <w:pPr>
        <w:pStyle w:val="FootnoteText"/>
      </w:pPr>
      <w:r w:rsidRPr="00F01612">
        <w:rPr>
          <w:vertAlign w:val="superscript"/>
        </w:rPr>
        <w:footnoteRef/>
      </w:r>
      <w:r w:rsidRPr="00F01612">
        <w:t xml:space="preserve"> </w:t>
      </w:r>
      <w:r w:rsidRPr="00F01612">
        <w:rPr>
          <w:i/>
        </w:rPr>
        <w:t>See</w:t>
      </w:r>
      <w:r w:rsidRPr="00F01612">
        <w:t xml:space="preserve"> </w:t>
      </w:r>
      <w:r w:rsidRPr="00F01612">
        <w:rPr>
          <w:i/>
        </w:rPr>
        <w:t>id</w:t>
      </w:r>
      <w:r w:rsidRPr="00F01612">
        <w:t>.</w:t>
      </w:r>
    </w:p>
  </w:footnote>
  <w:footnote w:id="573">
    <w:p w:rsidR="00474D51" w:rsidRPr="00F01612" w:rsidRDefault="00474D51" w:rsidP="00324CD5">
      <w:pPr>
        <w:pStyle w:val="FootnoteText"/>
      </w:pPr>
      <w:r w:rsidRPr="00F01612">
        <w:rPr>
          <w:vertAlign w:val="superscript"/>
        </w:rPr>
        <w:footnoteRef/>
      </w:r>
      <w:r w:rsidRPr="00F01612">
        <w:t xml:space="preserve"> </w:t>
      </w:r>
      <w:r w:rsidRPr="00F01612">
        <w:rPr>
          <w:i/>
        </w:rPr>
        <w:t>See</w:t>
      </w:r>
      <w:r w:rsidRPr="00F01612">
        <w:t xml:space="preserve"> </w:t>
      </w:r>
      <w:r w:rsidRPr="00F01612">
        <w:rPr>
          <w:i/>
        </w:rPr>
        <w:t>id.</w:t>
      </w:r>
      <w:r w:rsidRPr="00F01612">
        <w:t>, at 1088, para. 173.</w:t>
      </w:r>
    </w:p>
  </w:footnote>
  <w:footnote w:id="574">
    <w:p w:rsidR="00474D51" w:rsidRPr="00F01612" w:rsidRDefault="00474D51" w:rsidP="00324CD5">
      <w:pPr>
        <w:pStyle w:val="FootnoteText"/>
      </w:pPr>
      <w:r w:rsidRPr="00F01612">
        <w:rPr>
          <w:vertAlign w:val="superscript"/>
        </w:rPr>
        <w:footnoteRef/>
      </w:r>
      <w:r w:rsidRPr="00F01612">
        <w:t xml:space="preserve"> </w:t>
      </w:r>
      <w:r w:rsidRPr="00F01612">
        <w:rPr>
          <w:i/>
        </w:rPr>
        <w:t>See</w:t>
      </w:r>
      <w:r w:rsidRPr="00F01612">
        <w:t xml:space="preserve"> </w:t>
      </w:r>
      <w:r w:rsidRPr="00F01612">
        <w:rPr>
          <w:rStyle w:val="Footnote"/>
          <w:i/>
        </w:rPr>
        <w:t>Alvarez Letter 1999</w:t>
      </w:r>
      <w:r w:rsidRPr="00F01612">
        <w:rPr>
          <w:rStyle w:val="Footnote"/>
        </w:rPr>
        <w:t>.</w:t>
      </w:r>
    </w:p>
  </w:footnote>
  <w:footnote w:id="575">
    <w:p w:rsidR="00474D51" w:rsidRPr="00F01612" w:rsidRDefault="00474D51" w:rsidP="00324CD5">
      <w:pPr>
        <w:pStyle w:val="FootnoteText"/>
      </w:pPr>
      <w:r w:rsidRPr="00F01612">
        <w:rPr>
          <w:vertAlign w:val="superscript"/>
        </w:rPr>
        <w:footnoteRef/>
      </w:r>
      <w:r w:rsidRPr="00F01612">
        <w:t xml:space="preserve"> </w:t>
      </w:r>
      <w:r w:rsidRPr="00F01612">
        <w:rPr>
          <w:i/>
        </w:rPr>
        <w:t>See</w:t>
      </w:r>
      <w:r w:rsidRPr="00F01612">
        <w:t xml:space="preserve"> </w:t>
      </w:r>
      <w:r w:rsidRPr="00F01612">
        <w:rPr>
          <w:i/>
        </w:rPr>
        <w:t>Lower 700 MHz Band Auction Closes</w:t>
      </w:r>
      <w:r w:rsidRPr="00F01612">
        <w:t>, Public Notice, 17 FCC Rcd 17272 (WTB 2002).</w:t>
      </w:r>
    </w:p>
  </w:footnote>
  <w:footnote w:id="576">
    <w:p w:rsidR="00474D51" w:rsidRPr="00F01612" w:rsidRDefault="00474D51" w:rsidP="00324CD5">
      <w:pPr>
        <w:pStyle w:val="FootnoteText"/>
      </w:pPr>
      <w:r w:rsidRPr="00F01612">
        <w:rPr>
          <w:vertAlign w:val="superscript"/>
        </w:rPr>
        <w:footnoteRef/>
      </w:r>
      <w:r w:rsidRPr="00F01612">
        <w:t xml:space="preserve"> </w:t>
      </w:r>
      <w:r w:rsidRPr="00F01612">
        <w:rPr>
          <w:i/>
        </w:rPr>
        <w:t>See</w:t>
      </w:r>
      <w:r w:rsidRPr="00F01612">
        <w:t xml:space="preserve"> </w:t>
      </w:r>
      <w:r w:rsidRPr="00F01612">
        <w:rPr>
          <w:i/>
        </w:rPr>
        <w:t xml:space="preserve">id. </w:t>
      </w:r>
    </w:p>
  </w:footnote>
  <w:footnote w:id="577">
    <w:p w:rsidR="00474D51" w:rsidRPr="00F01612" w:rsidRDefault="00474D51" w:rsidP="00324CD5">
      <w:pPr>
        <w:pStyle w:val="FootnoteText"/>
      </w:pPr>
      <w:r w:rsidRPr="00F01612">
        <w:rPr>
          <w:vertAlign w:val="superscript"/>
        </w:rPr>
        <w:footnoteRef/>
      </w:r>
      <w:r w:rsidRPr="00F01612">
        <w:t xml:space="preserve"> </w:t>
      </w:r>
      <w:r w:rsidRPr="00F01612">
        <w:rPr>
          <w:i/>
        </w:rPr>
        <w:t>See id.</w:t>
      </w:r>
    </w:p>
  </w:footnote>
  <w:footnote w:id="578">
    <w:p w:rsidR="00474D51" w:rsidRPr="00F01612" w:rsidRDefault="00474D51" w:rsidP="00324CD5">
      <w:pPr>
        <w:pStyle w:val="FootnoteText"/>
      </w:pPr>
      <w:r w:rsidRPr="00F01612">
        <w:rPr>
          <w:rStyle w:val="FootnoteReference"/>
        </w:rPr>
        <w:footnoteRef/>
      </w:r>
      <w:r w:rsidRPr="00F01612">
        <w:t xml:space="preserve"> </w:t>
      </w:r>
      <w:r w:rsidRPr="00F01612">
        <w:rPr>
          <w:i/>
          <w:iCs/>
        </w:rPr>
        <w:t>Service Rules for the 698</w:t>
      </w:r>
      <w:r w:rsidRPr="00F01612">
        <w:t>–</w:t>
      </w:r>
      <w:r w:rsidRPr="00F01612">
        <w:rPr>
          <w:i/>
          <w:iCs/>
        </w:rPr>
        <w:t>746</w:t>
      </w:r>
      <w:r w:rsidRPr="00F01612">
        <w:rPr>
          <w:iCs/>
        </w:rPr>
        <w:t>,</w:t>
      </w:r>
      <w:r w:rsidRPr="00F01612">
        <w:rPr>
          <w:i/>
          <w:iCs/>
        </w:rPr>
        <w:t xml:space="preserve"> 747</w:t>
      </w:r>
      <w:r w:rsidRPr="00F01612">
        <w:t>–</w:t>
      </w:r>
      <w:r w:rsidRPr="00F01612">
        <w:rPr>
          <w:i/>
          <w:iCs/>
        </w:rPr>
        <w:t>762 and 777</w:t>
      </w:r>
      <w:r w:rsidRPr="00F01612">
        <w:t>–</w:t>
      </w:r>
      <w:r w:rsidRPr="00F01612">
        <w:rPr>
          <w:i/>
          <w:iCs/>
        </w:rPr>
        <w:t>792 MHz Band; Revision of the Commission’s Rules to Ensure Compatibility with Enhanced 911 Emergency Calling Systems; Section 68.4(a) of the Commission’s Rules Governing Hearing Aid-Compatible Telephones; Biennial Regulatory Review</w:t>
      </w:r>
      <w:r w:rsidRPr="00F01612">
        <w:t>—</w:t>
      </w:r>
      <w:r w:rsidRPr="00F01612">
        <w:rPr>
          <w:i/>
          <w:iCs/>
        </w:rPr>
        <w:t>Amendment of Parts 1</w:t>
      </w:r>
      <w:r w:rsidRPr="00F01612">
        <w:rPr>
          <w:iCs/>
        </w:rPr>
        <w:t>,</w:t>
      </w:r>
      <w:r w:rsidRPr="00F01612">
        <w:rPr>
          <w:i/>
          <w:iCs/>
        </w:rPr>
        <w:t xml:space="preserve"> 22</w:t>
      </w:r>
      <w:r w:rsidRPr="00F01612">
        <w:rPr>
          <w:iCs/>
        </w:rPr>
        <w:t>,</w:t>
      </w:r>
      <w:r w:rsidRPr="00F01612">
        <w:rPr>
          <w:i/>
          <w:iCs/>
        </w:rPr>
        <w:t xml:space="preserve"> 24</w:t>
      </w:r>
      <w:r w:rsidRPr="00F01612">
        <w:rPr>
          <w:iCs/>
        </w:rPr>
        <w:t>,</w:t>
      </w:r>
      <w:r w:rsidRPr="00F01612">
        <w:rPr>
          <w:i/>
          <w:iCs/>
        </w:rPr>
        <w:t xml:space="preserve"> 27</w:t>
      </w:r>
      <w:r w:rsidRPr="00F01612">
        <w:rPr>
          <w:iCs/>
        </w:rPr>
        <w:t>,</w:t>
      </w:r>
      <w:r w:rsidRPr="00F01612">
        <w:rPr>
          <w:i/>
          <w:iCs/>
        </w:rPr>
        <w:t xml:space="preserve"> and 90 to Streamline and Harmonize Various Rules Affecting Wireless Radio Services; Former Nextel Communications</w:t>
      </w:r>
      <w:r w:rsidRPr="00F01612">
        <w:rPr>
          <w:iCs/>
        </w:rPr>
        <w:t>,</w:t>
      </w:r>
      <w:r w:rsidRPr="00F01612">
        <w:rPr>
          <w:i/>
          <w:iCs/>
        </w:rPr>
        <w:t xml:space="preserve"> Inc. Upper 700 MHz Guard Band Licenses and Revisions to Part 27 of the Commission’s Rules; Implementing a Nationwide</w:t>
      </w:r>
      <w:r w:rsidRPr="00F01612">
        <w:rPr>
          <w:iCs/>
        </w:rPr>
        <w:t>,</w:t>
      </w:r>
      <w:r w:rsidRPr="00F01612">
        <w:rPr>
          <w:i/>
          <w:iCs/>
        </w:rPr>
        <w:t xml:space="preserve"> Broadband</w:t>
      </w:r>
      <w:r w:rsidRPr="00F01612">
        <w:rPr>
          <w:iCs/>
        </w:rPr>
        <w:t>,</w:t>
      </w:r>
      <w:r w:rsidRPr="00F01612">
        <w:rPr>
          <w:i/>
          <w:iCs/>
        </w:rPr>
        <w:t xml:space="preserve"> Interoperable Public Safety Network in the 700 MHz Band; Development of Operational</w:t>
      </w:r>
      <w:r w:rsidRPr="00F01612">
        <w:rPr>
          <w:iCs/>
        </w:rPr>
        <w:t>,</w:t>
      </w:r>
      <w:r w:rsidRPr="00F01612">
        <w:rPr>
          <w:i/>
          <w:iCs/>
        </w:rPr>
        <w:t xml:space="preserve"> Technical and Spectrum Requirements for Meeting Federal</w:t>
      </w:r>
      <w:r w:rsidRPr="00F01612">
        <w:rPr>
          <w:iCs/>
        </w:rPr>
        <w:t>,</w:t>
      </w:r>
      <w:r w:rsidRPr="00F01612">
        <w:rPr>
          <w:i/>
          <w:iCs/>
        </w:rPr>
        <w:t xml:space="preserve"> State and Local Public Safety Communications Requirements Through the Year 2010; Declaratory Ruling on Reporting Requirement under Commission’s Part 1 Anti-Collusion Rule</w:t>
      </w:r>
      <w:r w:rsidRPr="00F01612">
        <w:t>, Second Report and Order, 22 FCC Rcd 15289, 15359 n. 434 (2007) (</w:t>
      </w:r>
      <w:r w:rsidRPr="00F01612">
        <w:rPr>
          <w:i/>
          <w:iCs/>
        </w:rPr>
        <w:t>700 MHz Second Report and Order</w:t>
      </w:r>
      <w:r w:rsidRPr="00F01612">
        <w:t>).</w:t>
      </w:r>
    </w:p>
  </w:footnote>
  <w:footnote w:id="579">
    <w:p w:rsidR="00474D51" w:rsidRPr="00F01612" w:rsidRDefault="00474D51" w:rsidP="00324CD5">
      <w:pPr>
        <w:pStyle w:val="FootnoteText"/>
      </w:pPr>
      <w:r w:rsidRPr="00F01612">
        <w:rPr>
          <w:rStyle w:val="FootnoteReference"/>
        </w:rPr>
        <w:footnoteRef/>
      </w:r>
      <w:r w:rsidRPr="00F01612">
        <w:t xml:space="preserve"> </w:t>
      </w:r>
      <w:r w:rsidRPr="00F01612">
        <w:rPr>
          <w:i/>
        </w:rPr>
        <w:t>See</w:t>
      </w:r>
      <w:r w:rsidRPr="00F01612">
        <w:t xml:space="preserve"> </w:t>
      </w:r>
      <w:r w:rsidRPr="00F01612">
        <w:rPr>
          <w:i/>
        </w:rPr>
        <w:t>Auction of 700 MHz Band Licenses Closes</w:t>
      </w:r>
      <w:r w:rsidRPr="00F01612">
        <w:rPr>
          <w:rStyle w:val="FootnoteTextCharCharCharChar3CharCharChar1"/>
        </w:rPr>
        <w:t>, Public Notice, 23 FCC Rcd 4572 (WTB 2008).</w:t>
      </w:r>
    </w:p>
  </w:footnote>
  <w:footnote w:id="580">
    <w:p w:rsidR="00474D51" w:rsidRPr="00F01612" w:rsidRDefault="00474D51" w:rsidP="00324CD5">
      <w:pPr>
        <w:pStyle w:val="FootnoteText"/>
      </w:pPr>
      <w:r w:rsidRPr="00F01612">
        <w:rPr>
          <w:rStyle w:val="FootnoteReference"/>
        </w:rPr>
        <w:footnoteRef/>
      </w:r>
      <w:r w:rsidRPr="00F01612">
        <w:t xml:space="preserve"> </w:t>
      </w:r>
      <w:r w:rsidRPr="00F01612">
        <w:rPr>
          <w:i/>
        </w:rPr>
        <w:t>700 MHz Second Report and Order</w:t>
      </w:r>
      <w:r w:rsidRPr="00F01612">
        <w:t>, 22 FCC Rcd 15289.</w:t>
      </w:r>
    </w:p>
  </w:footnote>
  <w:footnote w:id="581">
    <w:p w:rsidR="00474D51" w:rsidRPr="00F01612" w:rsidRDefault="00474D51" w:rsidP="00324CD5">
      <w:pPr>
        <w:pStyle w:val="FootnoteText"/>
      </w:pPr>
      <w:r w:rsidRPr="00F01612">
        <w:rPr>
          <w:rStyle w:val="FootnoteReference"/>
        </w:rPr>
        <w:footnoteRef/>
      </w:r>
      <w:r w:rsidRPr="00F01612">
        <w:t xml:space="preserve"> </w:t>
      </w:r>
      <w:r w:rsidRPr="00F01612">
        <w:rPr>
          <w:i/>
        </w:rPr>
        <w:t>See</w:t>
      </w:r>
      <w:r w:rsidRPr="00F01612">
        <w:t xml:space="preserve"> </w:t>
      </w:r>
      <w:r w:rsidRPr="00F01612">
        <w:rPr>
          <w:i/>
        </w:rPr>
        <w:t>Auction of 700 MHz Band Licenses Closes</w:t>
      </w:r>
      <w:r w:rsidRPr="00F01612">
        <w:rPr>
          <w:rStyle w:val="FootnoteTextCharCharCharChar3CharCharChar1"/>
        </w:rPr>
        <w:t>, Public Notice, 23 FCC Rcd 4572 (WTB 2008).</w:t>
      </w:r>
    </w:p>
  </w:footnote>
  <w:footnote w:id="582">
    <w:p w:rsidR="00474D51" w:rsidRPr="00F01612" w:rsidRDefault="00474D51" w:rsidP="00324CD5">
      <w:pPr>
        <w:pStyle w:val="FootnoteText"/>
      </w:pPr>
      <w:r w:rsidRPr="00F01612">
        <w:rPr>
          <w:rStyle w:val="Footnote"/>
          <w:vertAlign w:val="superscript"/>
        </w:rPr>
        <w:footnoteRef/>
      </w:r>
      <w:r w:rsidRPr="00F01612">
        <w:rPr>
          <w:rStyle w:val="Footnote"/>
        </w:rPr>
        <w:t xml:space="preserve"> </w:t>
      </w:r>
      <w:r w:rsidRPr="00F01612">
        <w:rPr>
          <w:rStyle w:val="Footnote"/>
          <w:i/>
        </w:rPr>
        <w:t>See</w:t>
      </w:r>
      <w:r w:rsidRPr="00F01612">
        <w:rPr>
          <w:rStyle w:val="Footnote"/>
        </w:rPr>
        <w:t xml:space="preserve"> </w:t>
      </w:r>
      <w:r w:rsidRPr="00F01612">
        <w:rPr>
          <w:rStyle w:val="Footnote"/>
          <w:i/>
        </w:rPr>
        <w:t>Service Rules for the 746–764 MHz Bands</w:t>
      </w:r>
      <w:r w:rsidRPr="00F01612">
        <w:rPr>
          <w:rStyle w:val="Footnote"/>
        </w:rPr>
        <w:t>,</w:t>
      </w:r>
      <w:r w:rsidRPr="00F01612">
        <w:rPr>
          <w:rStyle w:val="Footnote"/>
          <w:i/>
        </w:rPr>
        <w:t xml:space="preserve"> and Revisions to Part 27 of the Commission’s Rules</w:t>
      </w:r>
      <w:r w:rsidRPr="00F01612">
        <w:rPr>
          <w:rStyle w:val="Footnote"/>
        </w:rPr>
        <w:t>, Second Report and Order, 15 FCC Rcd 5299 (2000) (</w:t>
      </w:r>
      <w:r w:rsidRPr="00F01612">
        <w:rPr>
          <w:rStyle w:val="Footnote"/>
          <w:i/>
        </w:rPr>
        <w:t>746–764 MHz Band Second Report and Order</w:t>
      </w:r>
      <w:r w:rsidRPr="00F01612">
        <w:rPr>
          <w:rStyle w:val="Footnote"/>
        </w:rPr>
        <w:t>).</w:t>
      </w:r>
    </w:p>
  </w:footnote>
  <w:footnote w:id="583">
    <w:p w:rsidR="00474D51" w:rsidRPr="00F01612" w:rsidRDefault="00474D51" w:rsidP="00324CD5">
      <w:pPr>
        <w:pStyle w:val="FootnoteText"/>
      </w:pPr>
      <w:r w:rsidRPr="00F01612">
        <w:rPr>
          <w:rStyle w:val="Footnote"/>
          <w:vertAlign w:val="superscript"/>
        </w:rPr>
        <w:footnoteRef/>
      </w:r>
      <w:r w:rsidRPr="00F01612">
        <w:rPr>
          <w:rStyle w:val="Footnote"/>
        </w:rPr>
        <w:t xml:space="preserve"> </w:t>
      </w:r>
      <w:r w:rsidRPr="00F01612">
        <w:rPr>
          <w:rStyle w:val="Footnote"/>
          <w:i/>
        </w:rPr>
        <w:t>See</w:t>
      </w:r>
      <w:r w:rsidRPr="00F01612">
        <w:rPr>
          <w:rStyle w:val="Footnote"/>
        </w:rPr>
        <w:t xml:space="preserve"> </w:t>
      </w:r>
      <w:r w:rsidRPr="00F01612">
        <w:rPr>
          <w:rStyle w:val="Footnote"/>
          <w:i/>
        </w:rPr>
        <w:t xml:space="preserve">id. </w:t>
      </w:r>
      <w:r w:rsidRPr="00F01612">
        <w:rPr>
          <w:rStyle w:val="Footnote"/>
        </w:rPr>
        <w:t>at 5343, para. 108.</w:t>
      </w:r>
    </w:p>
  </w:footnote>
  <w:footnote w:id="584">
    <w:p w:rsidR="00474D51" w:rsidRPr="00F01612" w:rsidRDefault="00474D51" w:rsidP="00324CD5">
      <w:pPr>
        <w:pStyle w:val="FootnoteText"/>
      </w:pPr>
      <w:r w:rsidRPr="00F01612">
        <w:rPr>
          <w:rStyle w:val="Footnote"/>
          <w:vertAlign w:val="superscript"/>
        </w:rPr>
        <w:footnoteRef/>
      </w:r>
      <w:r w:rsidRPr="00F01612">
        <w:rPr>
          <w:rStyle w:val="Footnote"/>
        </w:rPr>
        <w:t xml:space="preserve"> </w:t>
      </w:r>
      <w:r w:rsidRPr="00F01612">
        <w:rPr>
          <w:rStyle w:val="Footnote"/>
          <w:i/>
        </w:rPr>
        <w:t>See</w:t>
      </w:r>
      <w:r w:rsidRPr="00F01612">
        <w:rPr>
          <w:rStyle w:val="Footnote"/>
        </w:rPr>
        <w:t xml:space="preserve"> </w:t>
      </w:r>
      <w:r w:rsidRPr="00F01612">
        <w:rPr>
          <w:rStyle w:val="Footnote"/>
          <w:i/>
        </w:rPr>
        <w:t>id.</w:t>
      </w:r>
    </w:p>
  </w:footnote>
  <w:footnote w:id="585">
    <w:p w:rsidR="00474D51" w:rsidRPr="00F01612" w:rsidRDefault="00474D51" w:rsidP="00324CD5">
      <w:pPr>
        <w:pStyle w:val="FootnoteText"/>
      </w:pPr>
      <w:r w:rsidRPr="00F01612">
        <w:rPr>
          <w:rStyle w:val="Footnote"/>
          <w:vertAlign w:val="superscript"/>
        </w:rPr>
        <w:footnoteRef/>
      </w:r>
      <w:r w:rsidRPr="00F01612">
        <w:t xml:space="preserve"> </w:t>
      </w:r>
      <w:r w:rsidRPr="00F01612">
        <w:rPr>
          <w:rStyle w:val="Footnote"/>
          <w:i/>
        </w:rPr>
        <w:t>See</w:t>
      </w:r>
      <w:r w:rsidRPr="00F01612">
        <w:rPr>
          <w:rStyle w:val="Footnote"/>
        </w:rPr>
        <w:t xml:space="preserve"> </w:t>
      </w:r>
      <w:r w:rsidRPr="00F01612">
        <w:rPr>
          <w:rStyle w:val="Footnote"/>
          <w:i/>
        </w:rPr>
        <w:t>id.</w:t>
      </w:r>
      <w:r w:rsidRPr="00F01612">
        <w:rPr>
          <w:rStyle w:val="Footnote"/>
        </w:rPr>
        <w:t xml:space="preserve"> at 5343, para. 108 n.246 (for the 746–764 MHz and 776–794 MHz bands, the Commission is exempt from 15 U.S.C. § 632, which requires Federal agencies to obtain SBA approval before adopting small business size standards).</w:t>
      </w:r>
    </w:p>
  </w:footnote>
  <w:footnote w:id="586">
    <w:p w:rsidR="00474D51" w:rsidRPr="00F01612" w:rsidRDefault="00474D51" w:rsidP="00324CD5">
      <w:pPr>
        <w:pStyle w:val="FootnoteText"/>
      </w:pPr>
      <w:r w:rsidRPr="00F01612">
        <w:rPr>
          <w:rStyle w:val="Footnote"/>
          <w:vertAlign w:val="superscript"/>
        </w:rPr>
        <w:footnoteRef/>
      </w:r>
      <w:r w:rsidRPr="00F01612">
        <w:rPr>
          <w:rStyle w:val="Footnote"/>
        </w:rPr>
        <w:t xml:space="preserve"> </w:t>
      </w:r>
      <w:r w:rsidRPr="00F01612">
        <w:rPr>
          <w:rStyle w:val="Footnote"/>
          <w:i/>
        </w:rPr>
        <w:t>See</w:t>
      </w:r>
      <w:r w:rsidRPr="00F01612">
        <w:rPr>
          <w:rStyle w:val="Footnote"/>
        </w:rPr>
        <w:t xml:space="preserve"> </w:t>
      </w:r>
      <w:r w:rsidRPr="00F01612">
        <w:rPr>
          <w:rStyle w:val="Footnote"/>
          <w:i/>
        </w:rPr>
        <w:t>700 MHz Guard Bands Auction Closes:  Winning Bidders Announced</w:t>
      </w:r>
      <w:r w:rsidRPr="00F01612">
        <w:rPr>
          <w:rStyle w:val="Footnote"/>
        </w:rPr>
        <w:t>, Public Notice, 15 FCC Rcd 18026 (WTB 2000).</w:t>
      </w:r>
    </w:p>
  </w:footnote>
  <w:footnote w:id="587">
    <w:p w:rsidR="00474D51" w:rsidRPr="00F01612" w:rsidRDefault="00474D51" w:rsidP="00324CD5">
      <w:pPr>
        <w:pStyle w:val="FootnoteText"/>
        <w:tabs>
          <w:tab w:val="left" w:pos="1080"/>
        </w:tabs>
      </w:pPr>
      <w:r w:rsidRPr="00F01612">
        <w:rPr>
          <w:rStyle w:val="Footnote"/>
          <w:vertAlign w:val="superscript"/>
        </w:rPr>
        <w:footnoteRef/>
      </w:r>
      <w:r w:rsidRPr="00F01612">
        <w:rPr>
          <w:rStyle w:val="Footnote"/>
        </w:rPr>
        <w:t xml:space="preserve"> </w:t>
      </w:r>
      <w:r w:rsidRPr="00F01612">
        <w:rPr>
          <w:rStyle w:val="Footnote"/>
          <w:i/>
        </w:rPr>
        <w:t>See</w:t>
      </w:r>
      <w:r w:rsidRPr="00F01612">
        <w:rPr>
          <w:rStyle w:val="Footnote"/>
        </w:rPr>
        <w:t xml:space="preserve"> </w:t>
      </w:r>
      <w:r w:rsidRPr="00F01612">
        <w:rPr>
          <w:rStyle w:val="Footnote"/>
          <w:i/>
        </w:rPr>
        <w:t>700 MHz Guard Bands Auction Closes: Winning Bidders Announced</w:t>
      </w:r>
      <w:r w:rsidRPr="00F01612">
        <w:rPr>
          <w:rStyle w:val="Footnote"/>
        </w:rPr>
        <w:t>, Public Notice, 16 FCC Rcd 4590 (WTB 2001).</w:t>
      </w:r>
    </w:p>
  </w:footnote>
  <w:footnote w:id="588">
    <w:p w:rsidR="00474D51" w:rsidRPr="00F01612" w:rsidRDefault="00474D51" w:rsidP="00324CD5">
      <w:pPr>
        <w:pStyle w:val="FootnoteText"/>
        <w:rPr>
          <w:rStyle w:val="Heading2CharChar2"/>
          <w:b w:val="0"/>
          <w:snapToGrid/>
          <w:sz w:val="20"/>
        </w:rPr>
      </w:pPr>
      <w:r w:rsidRPr="00F01612">
        <w:rPr>
          <w:rStyle w:val="Footnote"/>
          <w:vertAlign w:val="superscript"/>
        </w:rPr>
        <w:footnoteRef/>
      </w:r>
      <w:r w:rsidRPr="00F01612">
        <w:rPr>
          <w:rStyle w:val="Footnote"/>
          <w:vertAlign w:val="superscript"/>
        </w:rPr>
        <w:t xml:space="preserve"> </w:t>
      </w:r>
      <w:r>
        <w:rPr>
          <w:rStyle w:val="Footnote"/>
        </w:rPr>
        <w:t>13 CFR</w:t>
      </w:r>
      <w:r w:rsidRPr="00F01612">
        <w:rPr>
          <w:rStyle w:val="Footnote"/>
        </w:rPr>
        <w:t xml:space="preserve"> § 121.201, </w:t>
      </w:r>
      <w:r w:rsidRPr="00F01612">
        <w:t>NAICS</w:t>
      </w:r>
      <w:r w:rsidRPr="00F01612">
        <w:rPr>
          <w:rStyle w:val="Footnote"/>
        </w:rPr>
        <w:t xml:space="preserve"> codes 517210.</w:t>
      </w:r>
    </w:p>
  </w:footnote>
  <w:footnote w:id="589">
    <w:p w:rsidR="00474D51" w:rsidRPr="00F01612" w:rsidRDefault="00474D51" w:rsidP="00324CD5">
      <w:pPr>
        <w:pStyle w:val="FootnoteText"/>
      </w:pPr>
      <w:r w:rsidRPr="00F01612">
        <w:rPr>
          <w:rStyle w:val="FootnoteReference"/>
        </w:rPr>
        <w:footnoteRef/>
      </w:r>
      <w:r w:rsidRPr="00F01612">
        <w:t xml:space="preserve"> </w:t>
      </w:r>
      <w:r w:rsidRPr="00F01612">
        <w:rPr>
          <w:i/>
        </w:rPr>
        <w:t>Amendment of Part 22 of the Commission’s Rules to Benefit the Consumers of Air-Ground Telecommunications Services</w:t>
      </w:r>
      <w:r w:rsidRPr="00F01612">
        <w:t>,</w:t>
      </w:r>
      <w:r w:rsidRPr="00F01612">
        <w:rPr>
          <w:i/>
        </w:rPr>
        <w:t xml:space="preserve"> Biennial Regulatory Review—Amendment of Parts 1</w:t>
      </w:r>
      <w:r w:rsidRPr="00F01612">
        <w:t>,</w:t>
      </w:r>
      <w:r w:rsidRPr="00F01612">
        <w:rPr>
          <w:i/>
        </w:rPr>
        <w:t xml:space="preserve"> 22</w:t>
      </w:r>
      <w:r w:rsidRPr="00F01612">
        <w:t>,</w:t>
      </w:r>
      <w:r w:rsidRPr="00F01612">
        <w:rPr>
          <w:i/>
        </w:rPr>
        <w:t xml:space="preserve"> and 90 of the Commission’s Rules</w:t>
      </w:r>
      <w:r w:rsidRPr="00F01612">
        <w:t>,</w:t>
      </w:r>
      <w:r w:rsidRPr="00F01612">
        <w:rPr>
          <w:i/>
        </w:rPr>
        <w:t xml:space="preserve"> Amendment of Parts 1 and 22 of the Commission’s Rules to Adopt Competitive Bidding Rules for Commercial and General Aviation Air-Ground Radiotelephone Service</w:t>
      </w:r>
      <w:r w:rsidRPr="00F01612">
        <w:t xml:space="preserve">, Order on Reconsideration and Report and Order, 20 FCC Rcd 19663, </w:t>
      </w:r>
      <w:r w:rsidRPr="00F01612">
        <w:rPr>
          <w:rStyle w:val="Footnote"/>
        </w:rPr>
        <w:t xml:space="preserve">paras. </w:t>
      </w:r>
      <w:r w:rsidRPr="00F01612">
        <w:t>28</w:t>
      </w:r>
      <w:r w:rsidRPr="00F01612">
        <w:rPr>
          <w:rStyle w:val="Footnote"/>
          <w:i/>
        </w:rPr>
        <w:t>-</w:t>
      </w:r>
      <w:r w:rsidRPr="00F01612">
        <w:t>42 (2005).</w:t>
      </w:r>
    </w:p>
  </w:footnote>
  <w:footnote w:id="590">
    <w:p w:rsidR="00474D51" w:rsidRPr="00F01612" w:rsidRDefault="00474D51" w:rsidP="00324CD5">
      <w:pPr>
        <w:pStyle w:val="FootnoteText"/>
      </w:pPr>
      <w:r w:rsidRPr="00F01612">
        <w:rPr>
          <w:rStyle w:val="FootnoteReference"/>
        </w:rPr>
        <w:footnoteRef/>
      </w:r>
      <w:r w:rsidRPr="00F01612">
        <w:t xml:space="preserve"> </w:t>
      </w:r>
      <w:r w:rsidRPr="00F01612">
        <w:rPr>
          <w:i/>
        </w:rPr>
        <w:t>Id.</w:t>
      </w:r>
    </w:p>
  </w:footnote>
  <w:footnote w:id="591">
    <w:p w:rsidR="00474D51" w:rsidRPr="00F01612" w:rsidRDefault="00474D51" w:rsidP="00324CD5">
      <w:pPr>
        <w:pStyle w:val="FootnoteText"/>
      </w:pPr>
      <w:r w:rsidRPr="00F01612">
        <w:rPr>
          <w:rStyle w:val="FootnoteReference"/>
        </w:rPr>
        <w:footnoteRef/>
      </w:r>
      <w:r w:rsidRPr="00F01612">
        <w:t xml:space="preserve"> </w:t>
      </w:r>
      <w:r w:rsidRPr="00F01612">
        <w:rPr>
          <w:i/>
        </w:rPr>
        <w:t>See</w:t>
      </w:r>
      <w:r w:rsidRPr="00F01612">
        <w:t xml:space="preserve"> Letter from Hector V. Barreto, Administrator, SBA, to Gary D. Michaels, Deputy Chief, Auctions and Spectrum Access Division, Wireless Telecommunications Bureau, Federal Communications Commission (filed Sept. 19, 2005).</w:t>
      </w:r>
    </w:p>
  </w:footnote>
  <w:footnote w:id="592">
    <w:p w:rsidR="00474D51" w:rsidRPr="00F01612" w:rsidRDefault="00474D51" w:rsidP="00324CD5">
      <w:pPr>
        <w:pStyle w:val="FootnoteText"/>
      </w:pPr>
      <w:r w:rsidRPr="00F01612">
        <w:rPr>
          <w:rStyle w:val="FootnoteReference"/>
        </w:rPr>
        <w:footnoteRef/>
      </w:r>
      <w:r w:rsidRPr="00F01612">
        <w:t xml:space="preserve"> The service is defined in section 90.1301 </w:t>
      </w:r>
      <w:r w:rsidRPr="00F01612">
        <w:rPr>
          <w:i/>
        </w:rPr>
        <w:t>et seq</w:t>
      </w:r>
      <w:r w:rsidRPr="00F01612">
        <w:t xml:space="preserve">. </w:t>
      </w:r>
      <w:r>
        <w:t>of the Commission’s Rules, 47 CFR</w:t>
      </w:r>
      <w:r w:rsidRPr="00F01612">
        <w:t xml:space="preserve"> § 90.1301 </w:t>
      </w:r>
      <w:r w:rsidRPr="00F01612">
        <w:rPr>
          <w:i/>
        </w:rPr>
        <w:t>et seq</w:t>
      </w:r>
      <w:r w:rsidRPr="00F01612">
        <w:t>.</w:t>
      </w:r>
    </w:p>
  </w:footnote>
  <w:footnote w:id="593">
    <w:p w:rsidR="00474D51" w:rsidRPr="00F01612" w:rsidRDefault="00474D51" w:rsidP="00324CD5">
      <w:pPr>
        <w:pStyle w:val="FootnoteText"/>
      </w:pPr>
      <w:r w:rsidRPr="00F01612">
        <w:rPr>
          <w:rStyle w:val="FootnoteReference"/>
        </w:rPr>
        <w:footnoteRef/>
      </w:r>
      <w:r w:rsidRPr="00F01612">
        <w:t xml:space="preserve"> </w:t>
      </w:r>
      <w:r w:rsidRPr="00F01612">
        <w:rPr>
          <w:i/>
        </w:rPr>
        <w:t>See</w:t>
      </w:r>
      <w:r w:rsidRPr="00F01612">
        <w:t xml:space="preserve"> </w:t>
      </w:r>
      <w:r w:rsidRPr="00F01612">
        <w:rPr>
          <w:i/>
        </w:rPr>
        <w:t>Service Rules for Advanced Wireless Services in the 1.7 GHz and 2.1 GHz Bands</w:t>
      </w:r>
      <w:r w:rsidRPr="00F01612">
        <w:t xml:space="preserve">, Report and Order, 18 FCC Rcd 25162, Appx. B (2003), </w:t>
      </w:r>
      <w:r w:rsidRPr="00F01612">
        <w:rPr>
          <w:i/>
        </w:rPr>
        <w:t>modified by Service Rules for Advanced Wireless Services in the 1.7 GHz and 2.1 GHz Bands</w:t>
      </w:r>
      <w:r w:rsidRPr="00F01612">
        <w:t xml:space="preserve">, Order on Reconsideration, 20 FCC Rcd 14058, Appx. C (2005); </w:t>
      </w:r>
      <w:r w:rsidRPr="00F01612">
        <w:rPr>
          <w:i/>
        </w:rPr>
        <w:t>Service Rules for Advanced Wireless Services in the 1915–1920 MHz</w:t>
      </w:r>
      <w:r w:rsidRPr="00F01612">
        <w:t>,</w:t>
      </w:r>
      <w:r w:rsidRPr="00F01612">
        <w:rPr>
          <w:i/>
        </w:rPr>
        <w:t xml:space="preserve"> 1995–2000 MHz</w:t>
      </w:r>
      <w:r w:rsidRPr="00F01612">
        <w:t>,</w:t>
      </w:r>
      <w:r w:rsidRPr="00F01612">
        <w:rPr>
          <w:i/>
        </w:rPr>
        <w:t xml:space="preserve"> 2020–2025 MHz and 2175–2180 MHz Bands; Service Rules for Advanced Wireless Services in the 1.7 GHz and 2.1 GHz Bands</w:t>
      </w:r>
      <w:r w:rsidRPr="00F01612">
        <w:t xml:space="preserve">, Notice of Proposed Rulemaking, 19 FCC Rcd 19263, Appx. B (2005); </w:t>
      </w:r>
      <w:r w:rsidRPr="00F01612">
        <w:rPr>
          <w:i/>
        </w:rPr>
        <w:t>Service Rules for Advanced Wireless Services in the 2155–2175 MHz Band</w:t>
      </w:r>
      <w:r w:rsidRPr="00F01612">
        <w:t>, Notice of Proposed Rulemaking, 22 FCC Rcd 17035, Appx. (2007).</w:t>
      </w:r>
    </w:p>
  </w:footnote>
  <w:footnote w:id="594">
    <w:p w:rsidR="00474D51" w:rsidRPr="00F01612" w:rsidRDefault="00474D51" w:rsidP="00324CD5">
      <w:pPr>
        <w:pStyle w:val="FootnoteText"/>
      </w:pPr>
      <w:r w:rsidRPr="00F01612">
        <w:rPr>
          <w:rStyle w:val="FootnoteReference"/>
        </w:rPr>
        <w:footnoteRef/>
      </w:r>
      <w:r w:rsidRPr="00F01612">
        <w:t xml:space="preserve"> </w:t>
      </w:r>
      <w:r w:rsidRPr="00F01612">
        <w:rPr>
          <w:i/>
        </w:rPr>
        <w:t xml:space="preserve">See </w:t>
      </w:r>
      <w:r>
        <w:t>47 CFR</w:t>
      </w:r>
      <w:r w:rsidRPr="00F01612">
        <w:t xml:space="preserve"> Part 101, Subparts C and I.</w:t>
      </w:r>
    </w:p>
  </w:footnote>
  <w:footnote w:id="595">
    <w:p w:rsidR="00474D51" w:rsidRPr="00F01612" w:rsidRDefault="00474D51" w:rsidP="00324CD5">
      <w:pPr>
        <w:pStyle w:val="FootnoteText"/>
      </w:pPr>
      <w:r w:rsidRPr="00F01612">
        <w:rPr>
          <w:rStyle w:val="FootnoteReference"/>
        </w:rPr>
        <w:footnoteRef/>
      </w:r>
      <w:r w:rsidRPr="00F01612">
        <w:t xml:space="preserve"> </w:t>
      </w:r>
      <w:r w:rsidRPr="00F01612">
        <w:rPr>
          <w:i/>
        </w:rPr>
        <w:t xml:space="preserve">See </w:t>
      </w:r>
      <w:r>
        <w:t>47 CFR</w:t>
      </w:r>
      <w:r w:rsidRPr="00F01612">
        <w:t xml:space="preserve"> Part 101, Subparts C and H.</w:t>
      </w:r>
    </w:p>
  </w:footnote>
  <w:footnote w:id="596">
    <w:p w:rsidR="00474D51" w:rsidRPr="00F01612" w:rsidRDefault="00474D51" w:rsidP="00324CD5">
      <w:pPr>
        <w:pStyle w:val="FootnoteText"/>
      </w:pPr>
      <w:r w:rsidRPr="00F01612">
        <w:rPr>
          <w:rStyle w:val="FootnoteReference"/>
        </w:rPr>
        <w:footnoteRef/>
      </w:r>
      <w:r w:rsidRPr="00F01612">
        <w:t xml:space="preserve"> Auxiliary Microwave Service is governed by Part 74 of Title 47 of the Commission’s Rules.  </w:t>
      </w:r>
      <w:r w:rsidRPr="00F01612">
        <w:rPr>
          <w:i/>
        </w:rPr>
        <w:t>See</w:t>
      </w:r>
      <w:r>
        <w:t xml:space="preserve"> 47 CFR</w:t>
      </w:r>
      <w:r w:rsidRPr="00F01612">
        <w:t xml:space="preserve"> Part 74.  Available to licensees of broadcast stations and to broadcast and cable network entities, broadcast auxiliary microwave stations are used for relaying broadcast television signals from the studio to the transmitter, or between two points such as a main studio and an auxiliary studio.  The service also includes mobile TV pickups, which relay signals from a remote location back to the studio.</w:t>
      </w:r>
    </w:p>
  </w:footnote>
  <w:footnote w:id="597">
    <w:p w:rsidR="00474D51" w:rsidRPr="00F01612" w:rsidRDefault="00474D51" w:rsidP="00324CD5">
      <w:pPr>
        <w:pStyle w:val="FootnoteText"/>
      </w:pPr>
      <w:r w:rsidRPr="00F01612">
        <w:rPr>
          <w:rStyle w:val="FootnoteReference"/>
        </w:rPr>
        <w:footnoteRef/>
      </w:r>
      <w:r w:rsidRPr="00F01612">
        <w:t xml:space="preserve"> </w:t>
      </w:r>
      <w:r w:rsidRPr="00F01612">
        <w:rPr>
          <w:i/>
        </w:rPr>
        <w:t>See</w:t>
      </w:r>
      <w:r>
        <w:t xml:space="preserve"> 47 CFR</w:t>
      </w:r>
      <w:r w:rsidRPr="00F01612">
        <w:t xml:space="preserve"> Part 101, Subpart L.</w:t>
      </w:r>
    </w:p>
  </w:footnote>
  <w:footnote w:id="598">
    <w:p w:rsidR="00474D51" w:rsidRPr="00F01612" w:rsidRDefault="00474D51" w:rsidP="00324CD5">
      <w:pPr>
        <w:pStyle w:val="FootnoteText"/>
      </w:pPr>
      <w:r w:rsidRPr="00F01612">
        <w:rPr>
          <w:rStyle w:val="FootnoteReference"/>
        </w:rPr>
        <w:footnoteRef/>
      </w:r>
      <w:r w:rsidRPr="00F01612">
        <w:t xml:space="preserve"> </w:t>
      </w:r>
      <w:r w:rsidRPr="00F01612">
        <w:rPr>
          <w:i/>
        </w:rPr>
        <w:t>See</w:t>
      </w:r>
      <w:r>
        <w:t xml:space="preserve"> 47 CFR</w:t>
      </w:r>
      <w:r w:rsidRPr="00F01612">
        <w:t xml:space="preserve"> Part 101, Subpart G.</w:t>
      </w:r>
    </w:p>
  </w:footnote>
  <w:footnote w:id="599">
    <w:p w:rsidR="00474D51" w:rsidRPr="00F01612" w:rsidRDefault="00474D51" w:rsidP="00324CD5">
      <w:pPr>
        <w:pStyle w:val="FootnoteText"/>
      </w:pPr>
      <w:r w:rsidRPr="00F01612">
        <w:rPr>
          <w:rStyle w:val="FootnoteReference"/>
        </w:rPr>
        <w:footnoteRef/>
      </w:r>
      <w:r w:rsidRPr="00F01612">
        <w:t xml:space="preserve"> </w:t>
      </w:r>
      <w:r w:rsidRPr="00F01612">
        <w:rPr>
          <w:i/>
        </w:rPr>
        <w:t>See</w:t>
      </w:r>
      <w:r w:rsidRPr="00F01612">
        <w:t xml:space="preserve"> </w:t>
      </w:r>
      <w:r w:rsidRPr="00F01612">
        <w:rPr>
          <w:i/>
        </w:rPr>
        <w:t>id.</w:t>
      </w:r>
    </w:p>
  </w:footnote>
  <w:footnote w:id="600">
    <w:p w:rsidR="00474D51" w:rsidRPr="00F01612" w:rsidRDefault="00474D51" w:rsidP="00324CD5">
      <w:pPr>
        <w:pStyle w:val="FootnoteText"/>
      </w:pPr>
      <w:r w:rsidRPr="00F01612">
        <w:rPr>
          <w:rStyle w:val="FootnoteReference"/>
        </w:rPr>
        <w:footnoteRef/>
      </w:r>
      <w:r w:rsidRPr="00F01612">
        <w:t xml:space="preserve"> </w:t>
      </w:r>
      <w:r w:rsidRPr="00F01612">
        <w:rPr>
          <w:i/>
        </w:rPr>
        <w:t>See</w:t>
      </w:r>
      <w:r>
        <w:t xml:space="preserve"> 47 CFR</w:t>
      </w:r>
      <w:r w:rsidRPr="00F01612">
        <w:t xml:space="preserve"> §§ 101.533, 101.1017.</w:t>
      </w:r>
    </w:p>
  </w:footnote>
  <w:footnote w:id="601">
    <w:p w:rsidR="00474D51" w:rsidRPr="00F01612" w:rsidRDefault="00474D51" w:rsidP="00324CD5">
      <w:pPr>
        <w:pStyle w:val="FootnoteText"/>
      </w:pPr>
      <w:r w:rsidRPr="00F01612">
        <w:rPr>
          <w:rStyle w:val="FootnoteReference"/>
        </w:rPr>
        <w:footnoteRef/>
      </w:r>
      <w:r>
        <w:rPr>
          <w:lang w:val="fr-FR"/>
        </w:rPr>
        <w:t xml:space="preserve"> 13 CFR</w:t>
      </w:r>
      <w:r w:rsidRPr="00F01612">
        <w:rPr>
          <w:lang w:val="fr-FR"/>
        </w:rPr>
        <w:t xml:space="preserve"> § 121.201, NAICS code 517210.</w:t>
      </w:r>
    </w:p>
  </w:footnote>
  <w:footnote w:id="602">
    <w:p w:rsidR="00474D51" w:rsidRPr="00F01612" w:rsidRDefault="00474D51" w:rsidP="00324CD5">
      <w:pPr>
        <w:pStyle w:val="FootnoteText"/>
      </w:pPr>
      <w:r w:rsidRPr="00F01612">
        <w:rPr>
          <w:rStyle w:val="FootnoteReference"/>
        </w:rPr>
        <w:footnoteRef/>
      </w:r>
      <w:r>
        <w:t xml:space="preserve"> 13 CFR</w:t>
      </w:r>
      <w:r w:rsidRPr="00F01612">
        <w:t xml:space="preserve"> § 121.201, NAICS code 517210 (2007 NAICS). </w:t>
      </w:r>
      <w:r>
        <w:t xml:space="preserve"> The now-superseded, pre-2007 CFR</w:t>
      </w:r>
      <w:r w:rsidRPr="00F01612">
        <w:t xml:space="preserve"> ci</w:t>
      </w:r>
      <w:r>
        <w:t>tations were 13 CFR</w:t>
      </w:r>
      <w:r w:rsidRPr="00F01612">
        <w:t xml:space="preserve"> § 121.201, NAICS codes 517211 and 517212 (referring to the 2002 NAICS).</w:t>
      </w:r>
    </w:p>
  </w:footnote>
  <w:footnote w:id="603">
    <w:p w:rsidR="00474D51" w:rsidRPr="00F01612" w:rsidRDefault="00474D51" w:rsidP="00324CD5">
      <w:pPr>
        <w:pStyle w:val="FootnoteText"/>
      </w:pPr>
      <w:r w:rsidRPr="00F01612">
        <w:rPr>
          <w:rStyle w:val="FootnoteReference"/>
        </w:rPr>
        <w:footnoteRef/>
      </w:r>
      <w:r w:rsidRPr="00F01612">
        <w:t xml:space="preserve"> </w:t>
      </w:r>
      <w:r w:rsidRPr="00F01612">
        <w:rPr>
          <w:i/>
        </w:rPr>
        <w:t>Amendment of Parts 21 and 74 of the Commission’s Rules with Regard to Filing Procedures in the Multipoint Distribution Service and in the Instructional Television Fixed Service and Implementation of Section 309(j) of the Communications Act—Competitive Bidding</w:t>
      </w:r>
      <w:r w:rsidRPr="00F01612">
        <w:t>, Report and Order, 10 FCC Rcd 9589, 9593, para. 7 (1995).</w:t>
      </w:r>
    </w:p>
  </w:footnote>
  <w:footnote w:id="604">
    <w:p w:rsidR="00474D51" w:rsidRPr="00F01612" w:rsidRDefault="00474D51" w:rsidP="00324CD5">
      <w:pPr>
        <w:pStyle w:val="FootnoteText"/>
      </w:pPr>
      <w:r w:rsidRPr="00F01612">
        <w:rPr>
          <w:rStyle w:val="FootnoteReference"/>
        </w:rPr>
        <w:footnoteRef/>
      </w:r>
      <w:r>
        <w:t xml:space="preserve"> 47 CFR</w:t>
      </w:r>
      <w:r w:rsidRPr="00F01612">
        <w:t xml:space="preserve"> § 21.961(b)(1).</w:t>
      </w:r>
    </w:p>
  </w:footnote>
  <w:footnote w:id="605">
    <w:p w:rsidR="00474D51" w:rsidRPr="00F01612" w:rsidRDefault="00474D51" w:rsidP="00324CD5">
      <w:pPr>
        <w:pStyle w:val="FootnoteText"/>
      </w:pPr>
      <w:r w:rsidRPr="00F01612">
        <w:rPr>
          <w:rStyle w:val="FootnoteReference"/>
        </w:rPr>
        <w:footnoteRef/>
      </w:r>
      <w:r w:rsidRPr="00F01612">
        <w:t xml:space="preserve"> 47 U.S.C. § 309(j).  Hundreds of stations were licensed to incumbent MDS licensees prior to implementation of Section 309(j) of the Communications Act of 1934, 47 U.S.C. § 309(j).  For these pre-auction licenses, the applicable standard is SBA’s small business size standard of 1500 or fewer employees.</w:t>
      </w:r>
    </w:p>
  </w:footnote>
  <w:footnote w:id="606">
    <w:p w:rsidR="00474D51" w:rsidRPr="00F01612" w:rsidRDefault="00474D51" w:rsidP="00324CD5">
      <w:pPr>
        <w:pStyle w:val="FootnoteText"/>
      </w:pPr>
      <w:r w:rsidRPr="00F01612">
        <w:rPr>
          <w:rStyle w:val="FootnoteReference"/>
        </w:rPr>
        <w:footnoteRef/>
      </w:r>
      <w:r w:rsidRPr="00F01612">
        <w:t xml:space="preserve"> </w:t>
      </w:r>
      <w:r w:rsidRPr="0010038C">
        <w:rPr>
          <w:i/>
        </w:rPr>
        <w:t>Auction of Broadband Radio Service (BRS) Licenses, Scheduled for October 27, 2009, Notice and Filing Requirements, Minimum Opening Bids, Upfront Payments, and Other Procedures for Auction 86</w:t>
      </w:r>
      <w:r w:rsidRPr="00F01612">
        <w:t xml:space="preserve">, </w:t>
      </w:r>
      <w:r w:rsidRPr="0010038C">
        <w:t>Public Notice</w:t>
      </w:r>
      <w:r w:rsidRPr="00F01612">
        <w:t>, 24 FCC Rcd 8277 (2009).</w:t>
      </w:r>
    </w:p>
  </w:footnote>
  <w:footnote w:id="607">
    <w:p w:rsidR="00474D51" w:rsidRPr="00F01612" w:rsidRDefault="00474D51" w:rsidP="00324CD5">
      <w:pPr>
        <w:pStyle w:val="FootnoteText"/>
      </w:pPr>
      <w:r w:rsidRPr="00F01612">
        <w:rPr>
          <w:rStyle w:val="FootnoteReference"/>
        </w:rPr>
        <w:footnoteRef/>
      </w:r>
      <w:r w:rsidRPr="00F01612">
        <w:t xml:space="preserve"> </w:t>
      </w:r>
      <w:r w:rsidRPr="00F01612">
        <w:rPr>
          <w:i/>
        </w:rPr>
        <w:t>Id.</w:t>
      </w:r>
      <w:r w:rsidRPr="00F01612">
        <w:t xml:space="preserve"> at 8296 para. 73.</w:t>
      </w:r>
    </w:p>
  </w:footnote>
  <w:footnote w:id="608">
    <w:p w:rsidR="00474D51" w:rsidRPr="00F01612" w:rsidRDefault="00474D51" w:rsidP="00324CD5">
      <w:pPr>
        <w:pStyle w:val="FootnoteText"/>
      </w:pPr>
      <w:r w:rsidRPr="00F01612">
        <w:rPr>
          <w:rStyle w:val="FootnoteReference"/>
        </w:rPr>
        <w:footnoteRef/>
      </w:r>
      <w:r w:rsidRPr="00F01612">
        <w:t xml:space="preserve"> </w:t>
      </w:r>
      <w:r w:rsidRPr="0010038C">
        <w:rPr>
          <w:i/>
        </w:rPr>
        <w:t>Auction of Broadband Radio Service Licenses Closes, Winning Bidders Announced for Auction 86, Down Payments Due November 23, 2009, Final Payments Due December 8, 2009, Ten-Day Petition to Deny Period</w:t>
      </w:r>
      <w:r w:rsidRPr="00F01612">
        <w:t xml:space="preserve">, </w:t>
      </w:r>
      <w:r w:rsidRPr="0010038C">
        <w:t>Public Notice</w:t>
      </w:r>
      <w:r w:rsidRPr="00F01612">
        <w:t>, 24 FCC Rcd 13572 (2009).</w:t>
      </w:r>
    </w:p>
  </w:footnote>
  <w:footnote w:id="609">
    <w:p w:rsidR="00474D51" w:rsidRPr="00F01612" w:rsidRDefault="00474D51" w:rsidP="00324CD5">
      <w:pPr>
        <w:pStyle w:val="FootnoteText"/>
      </w:pPr>
      <w:r w:rsidRPr="00F01612">
        <w:rPr>
          <w:rStyle w:val="FootnoteReference"/>
        </w:rPr>
        <w:footnoteRef/>
      </w:r>
      <w:r w:rsidRPr="00F01612">
        <w:t xml:space="preserve"> The term “small entity” within SBREFA applies to small organizations (nonprofits) and to small governmental jurisdictions (cities, counties, towns, townships, villages, school districts, and special districts with populations of less than 50,000).  5 U.S.C. §§ 601(4)-(6).  We do not collect annual revenue data on EBS licensees.</w:t>
      </w:r>
    </w:p>
  </w:footnote>
  <w:footnote w:id="610">
    <w:p w:rsidR="00474D51" w:rsidRPr="00F01612" w:rsidRDefault="00474D51" w:rsidP="00324CD5">
      <w:pPr>
        <w:pStyle w:val="FootnoteText"/>
      </w:pPr>
      <w:r w:rsidRPr="00F01612">
        <w:rPr>
          <w:rStyle w:val="FootnoteReference"/>
        </w:rPr>
        <w:footnoteRef/>
      </w:r>
      <w:r w:rsidRPr="00F01612">
        <w:t xml:space="preserve"> U.S. Census Bureau, 2012 NAICS Definitions, “</w:t>
      </w:r>
      <w:r w:rsidRPr="00F01612">
        <w:rPr>
          <w:bCs/>
        </w:rPr>
        <w:t>517110 Wired Telecommunications C</w:t>
      </w:r>
      <w:r w:rsidR="003241BA">
        <w:rPr>
          <w:bCs/>
        </w:rPr>
        <w:t>arriers,” (partial definition),</w:t>
      </w:r>
      <w:r w:rsidRPr="00F01612">
        <w:t xml:space="preserve"> </w:t>
      </w:r>
      <w:hyperlink r:id="rId120" w:history="1">
        <w:r w:rsidRPr="006F080D">
          <w:rPr>
            <w:rStyle w:val="Hyperlink"/>
          </w:rPr>
          <w:t>http://www.census.gov/cgi-bin/sssd/naics/naicsrch?code=517110&amp;search=2012</w:t>
        </w:r>
      </w:hyperlink>
      <w:r w:rsidRPr="00F01612">
        <w:t xml:space="preserve">. </w:t>
      </w:r>
    </w:p>
  </w:footnote>
  <w:footnote w:id="611">
    <w:p w:rsidR="00474D51" w:rsidRPr="00F01612" w:rsidRDefault="00474D51" w:rsidP="00324CD5">
      <w:pPr>
        <w:pStyle w:val="FootnoteText"/>
      </w:pPr>
      <w:r w:rsidRPr="00F01612">
        <w:rPr>
          <w:rStyle w:val="FootnoteReference"/>
        </w:rPr>
        <w:footnoteRef/>
      </w:r>
      <w:r>
        <w:t xml:space="preserve"> 13 CFR</w:t>
      </w:r>
      <w:r w:rsidRPr="00F01612">
        <w:t xml:space="preserve"> § 121.201, NAICS code 517110.</w:t>
      </w:r>
    </w:p>
  </w:footnote>
  <w:footnote w:id="612">
    <w:p w:rsidR="00474D51" w:rsidRPr="00F01612" w:rsidRDefault="00474D51" w:rsidP="00324CD5">
      <w:pPr>
        <w:pStyle w:val="FootnoteText"/>
      </w:pPr>
      <w:r w:rsidRPr="00F01612">
        <w:rPr>
          <w:rStyle w:val="FootnoteReference"/>
        </w:rPr>
        <w:footnoteRef/>
      </w:r>
      <w:r w:rsidRPr="00F01612">
        <w:t xml:space="preserve"> U.S. Census Bureau, 2007 Economic Census, Subject Series: Information, Receipts by Enterprise Employment Size for the United States:  2007, NAICS code 517510 (rel</w:t>
      </w:r>
      <w:r>
        <w:t>.</w:t>
      </w:r>
      <w:r w:rsidRPr="00F01612">
        <w:t xml:space="preserve"> Nov. 19, 2010).</w:t>
      </w:r>
    </w:p>
  </w:footnote>
  <w:footnote w:id="613">
    <w:p w:rsidR="00474D51" w:rsidRPr="00F01612" w:rsidRDefault="00474D51" w:rsidP="00324CD5">
      <w:pPr>
        <w:pStyle w:val="FootnoteText"/>
      </w:pPr>
      <w:r w:rsidRPr="00F01612">
        <w:rPr>
          <w:rStyle w:val="FootnoteReference"/>
        </w:rPr>
        <w:footnoteRef/>
      </w:r>
      <w:r w:rsidRPr="00F01612">
        <w:t xml:space="preserve"> </w:t>
      </w:r>
      <w:r w:rsidRPr="00F01612">
        <w:rPr>
          <w:i/>
        </w:rPr>
        <w:t>Id</w:t>
      </w:r>
      <w:r w:rsidRPr="00F01612">
        <w:t xml:space="preserve">.  </w:t>
      </w:r>
    </w:p>
  </w:footnote>
  <w:footnote w:id="614">
    <w:p w:rsidR="00474D51" w:rsidRPr="00F01612" w:rsidRDefault="00474D51" w:rsidP="00324CD5">
      <w:pPr>
        <w:pStyle w:val="FootnoteText"/>
        <w:spacing w:line="120" w:lineRule="atLeast"/>
        <w:rPr>
          <w:lang w:val="fr-FR"/>
        </w:rPr>
      </w:pPr>
      <w:r w:rsidRPr="00F01612">
        <w:rPr>
          <w:rStyle w:val="FootnoteReference"/>
        </w:rPr>
        <w:footnoteRef/>
      </w:r>
      <w:r>
        <w:rPr>
          <w:lang w:val="fr-FR"/>
        </w:rPr>
        <w:t xml:space="preserve"> 13 CFR</w:t>
      </w:r>
      <w:r w:rsidRPr="00F01612">
        <w:rPr>
          <w:lang w:val="fr-FR"/>
        </w:rPr>
        <w:t xml:space="preserve"> § 121.201, NAICS Code 517410.</w:t>
      </w:r>
    </w:p>
  </w:footnote>
  <w:footnote w:id="615">
    <w:p w:rsidR="00474D51" w:rsidRPr="00F01612" w:rsidRDefault="00474D51" w:rsidP="00324CD5">
      <w:pPr>
        <w:pStyle w:val="FootnoteText"/>
        <w:spacing w:line="120" w:lineRule="atLeast"/>
        <w:rPr>
          <w:lang w:val="fr-FR"/>
        </w:rPr>
      </w:pPr>
      <w:r w:rsidRPr="00F01612">
        <w:rPr>
          <w:rStyle w:val="FootnoteReference"/>
        </w:rPr>
        <w:footnoteRef/>
      </w:r>
      <w:r>
        <w:rPr>
          <w:lang w:val="fr-FR"/>
        </w:rPr>
        <w:t xml:space="preserve"> 13 CFR</w:t>
      </w:r>
      <w:r w:rsidRPr="00F01612">
        <w:rPr>
          <w:lang w:val="fr-FR"/>
        </w:rPr>
        <w:t xml:space="preserve"> § 121.201, NAICS Code 517919.</w:t>
      </w:r>
    </w:p>
  </w:footnote>
  <w:footnote w:id="616">
    <w:p w:rsidR="00474D51" w:rsidRPr="00F01612" w:rsidRDefault="00474D51" w:rsidP="00324CD5">
      <w:pPr>
        <w:pStyle w:val="FootnoteText"/>
      </w:pPr>
      <w:r w:rsidRPr="00F01612">
        <w:rPr>
          <w:rStyle w:val="FootnoteReference"/>
        </w:rPr>
        <w:footnoteRef/>
      </w:r>
      <w:r w:rsidRPr="00F01612">
        <w:t xml:space="preserve"> U.S. Census Bureau, 2012 NAICS Definitions, “517410 Satellite Telecommunications,” </w:t>
      </w:r>
      <w:hyperlink r:id="rId121" w:history="1">
        <w:r w:rsidRPr="006F080D">
          <w:rPr>
            <w:rStyle w:val="Hyperlink"/>
          </w:rPr>
          <w:t>http://www.census.gov/cgi-bin/sssd/naics/naicsrch?code=517410&amp;search=2012</w:t>
        </w:r>
      </w:hyperlink>
      <w:r w:rsidRPr="00F01612">
        <w:t>.</w:t>
      </w:r>
    </w:p>
  </w:footnote>
  <w:footnote w:id="617">
    <w:p w:rsidR="00474D51" w:rsidRPr="00F01612" w:rsidRDefault="00474D51" w:rsidP="00324CD5">
      <w:pPr>
        <w:pStyle w:val="FootnoteText"/>
      </w:pPr>
      <w:r w:rsidRPr="00F01612">
        <w:rPr>
          <w:rStyle w:val="FootnoteReference"/>
        </w:rPr>
        <w:footnoteRef/>
      </w:r>
      <w:r w:rsidRPr="00F01612">
        <w:t xml:space="preserve"> U.S. Census Bureau, 2007 Economic Census, Subject Series: Information, “Establishment and Firm Size,” NAICS code 517410 (rel</w:t>
      </w:r>
      <w:r>
        <w:t xml:space="preserve">. </w:t>
      </w:r>
      <w:r w:rsidRPr="00F01612">
        <w:t>Nov. 19, 2010).</w:t>
      </w:r>
    </w:p>
  </w:footnote>
  <w:footnote w:id="618">
    <w:p w:rsidR="00474D51" w:rsidRPr="00F01612" w:rsidRDefault="00474D51" w:rsidP="00324CD5">
      <w:pPr>
        <w:pStyle w:val="FootnoteText"/>
      </w:pPr>
      <w:r w:rsidRPr="00F01612">
        <w:rPr>
          <w:rStyle w:val="FootnoteReference"/>
        </w:rPr>
        <w:footnoteRef/>
      </w:r>
      <w:r w:rsidRPr="00F01612">
        <w:t xml:space="preserve"> </w:t>
      </w:r>
      <w:r w:rsidRPr="00F01612">
        <w:rPr>
          <w:i/>
        </w:rPr>
        <w:t>Id</w:t>
      </w:r>
      <w:r w:rsidRPr="00F01612">
        <w:t xml:space="preserve">.  </w:t>
      </w:r>
    </w:p>
  </w:footnote>
  <w:footnote w:id="619">
    <w:p w:rsidR="00474D51" w:rsidRPr="00F01612" w:rsidRDefault="00474D51" w:rsidP="00324CD5">
      <w:pPr>
        <w:pStyle w:val="FootnoteText"/>
      </w:pPr>
      <w:r w:rsidRPr="00F01612">
        <w:rPr>
          <w:rStyle w:val="FootnoteReference"/>
        </w:rPr>
        <w:footnoteRef/>
      </w:r>
      <w:r w:rsidRPr="00F01612">
        <w:t xml:space="preserve"> U.S. Census Bureau, 2012 NAICS Definitions, “517919 All Other Telecommunications,” </w:t>
      </w:r>
      <w:hyperlink r:id="rId122" w:history="1">
        <w:r w:rsidRPr="006F080D">
          <w:rPr>
            <w:rStyle w:val="Hyperlink"/>
          </w:rPr>
          <w:t>http://www.census.gov/cgi-bin/sssd/naics/naicsrch?code=517919&amp;search=2012</w:t>
        </w:r>
      </w:hyperlink>
      <w:r w:rsidRPr="00F01612">
        <w:t xml:space="preserve">. </w:t>
      </w:r>
    </w:p>
  </w:footnote>
  <w:footnote w:id="620">
    <w:p w:rsidR="00474D51" w:rsidRPr="00F01612" w:rsidRDefault="00474D51" w:rsidP="00324CD5">
      <w:pPr>
        <w:pStyle w:val="FootnoteText"/>
      </w:pPr>
      <w:r w:rsidRPr="00F01612">
        <w:rPr>
          <w:rStyle w:val="FootnoteReference"/>
        </w:rPr>
        <w:footnoteRef/>
      </w:r>
      <w:r w:rsidRPr="00F01612">
        <w:t xml:space="preserve"> U.S. Census Bureau, 2007 Economic Census, Subject Series: Information, “Establishment and Firm Size,” NAICS code 517410 (rel</w:t>
      </w:r>
      <w:r>
        <w:t>.</w:t>
      </w:r>
      <w:r w:rsidRPr="00F01612">
        <w:t xml:space="preserve"> Nov. 19, 2010).</w:t>
      </w:r>
    </w:p>
  </w:footnote>
  <w:footnote w:id="621">
    <w:p w:rsidR="00474D51" w:rsidRPr="00F01612" w:rsidRDefault="00474D51" w:rsidP="00324CD5">
      <w:pPr>
        <w:pStyle w:val="FootnoteText"/>
      </w:pPr>
      <w:r w:rsidRPr="00F01612">
        <w:rPr>
          <w:rStyle w:val="FootnoteReference"/>
        </w:rPr>
        <w:footnoteRef/>
      </w:r>
      <w:r w:rsidRPr="00F01612">
        <w:t xml:space="preserve"> </w:t>
      </w:r>
      <w:r w:rsidRPr="00F01612">
        <w:rPr>
          <w:i/>
        </w:rPr>
        <w:t>Id</w:t>
      </w:r>
      <w:r w:rsidRPr="00F01612">
        <w:t xml:space="preserve">.  </w:t>
      </w:r>
    </w:p>
  </w:footnote>
  <w:footnote w:id="622">
    <w:p w:rsidR="00474D51" w:rsidRPr="00F01612" w:rsidRDefault="00474D51" w:rsidP="00324CD5">
      <w:pPr>
        <w:pStyle w:val="FootnoteText"/>
      </w:pPr>
      <w:r w:rsidRPr="00F01612">
        <w:rPr>
          <w:rStyle w:val="FootnoteReference"/>
        </w:rPr>
        <w:footnoteRef/>
      </w:r>
      <w:r w:rsidRPr="00F01612">
        <w:t xml:space="preserve"> U.S. Census Bureau, 2012 NAICS Definitions, “</w:t>
      </w:r>
      <w:r w:rsidRPr="00F01612">
        <w:rPr>
          <w:bCs/>
        </w:rPr>
        <w:t xml:space="preserve">517110 Wired Telecommunications Carriers,” (partial definition), </w:t>
      </w:r>
      <w:hyperlink r:id="rId123" w:history="1">
        <w:r w:rsidRPr="006F080D">
          <w:rPr>
            <w:rStyle w:val="Hyperlink"/>
          </w:rPr>
          <w:t>http://www.census.gov/cgi-bin/sssd/naics/naicsrch?code=517110&amp;search=2012</w:t>
        </w:r>
      </w:hyperlink>
      <w:r w:rsidRPr="00F01612">
        <w:rPr>
          <w:bCs/>
        </w:rPr>
        <w:t>.</w:t>
      </w:r>
    </w:p>
  </w:footnote>
  <w:footnote w:id="623">
    <w:p w:rsidR="00474D51" w:rsidRPr="00F01612" w:rsidRDefault="00474D51" w:rsidP="00324CD5">
      <w:pPr>
        <w:pStyle w:val="FootnoteText"/>
      </w:pPr>
      <w:r w:rsidRPr="00F01612">
        <w:rPr>
          <w:rStyle w:val="FootnoteReference"/>
        </w:rPr>
        <w:footnoteRef/>
      </w:r>
      <w:r>
        <w:t xml:space="preserve"> 13 CFR</w:t>
      </w:r>
      <w:r w:rsidRPr="00F01612">
        <w:t xml:space="preserve"> § 121.201, NAICS code 517110.</w:t>
      </w:r>
    </w:p>
  </w:footnote>
  <w:footnote w:id="624">
    <w:p w:rsidR="00474D51" w:rsidRPr="00F01612" w:rsidRDefault="00474D51" w:rsidP="00324CD5">
      <w:pPr>
        <w:pStyle w:val="FootnoteText"/>
      </w:pPr>
      <w:r w:rsidRPr="00F01612">
        <w:rPr>
          <w:rStyle w:val="FootnoteReference"/>
        </w:rPr>
        <w:footnoteRef/>
      </w:r>
      <w:r w:rsidRPr="00F01612">
        <w:t xml:space="preserve"> U.S. Census Bureau, 2007 Economic Census, Subject Series: Information, “Establishment and Firm Size,” NAICS code 517110 (rel</w:t>
      </w:r>
      <w:r>
        <w:t xml:space="preserve">. </w:t>
      </w:r>
      <w:r w:rsidRPr="00F01612">
        <w:t>Nov. 19, 2010).</w:t>
      </w:r>
    </w:p>
  </w:footnote>
  <w:footnote w:id="625">
    <w:p w:rsidR="00474D51" w:rsidRPr="00F01612" w:rsidRDefault="00474D51" w:rsidP="00324CD5">
      <w:pPr>
        <w:pStyle w:val="FootnoteText"/>
      </w:pPr>
      <w:r w:rsidRPr="00F01612">
        <w:rPr>
          <w:rStyle w:val="FootnoteReference"/>
        </w:rPr>
        <w:footnoteRef/>
      </w:r>
      <w:r w:rsidRPr="00F01612">
        <w:t xml:space="preserve"> </w:t>
      </w:r>
      <w:r w:rsidRPr="00F01612">
        <w:rPr>
          <w:i/>
        </w:rPr>
        <w:t>Id</w:t>
      </w:r>
      <w:r w:rsidRPr="00F01612">
        <w:t xml:space="preserve">.  </w:t>
      </w:r>
    </w:p>
  </w:footnote>
  <w:footnote w:id="626">
    <w:p w:rsidR="00474D51" w:rsidRPr="00F01612" w:rsidRDefault="00474D51" w:rsidP="00324CD5">
      <w:pPr>
        <w:pStyle w:val="FootnoteText"/>
      </w:pPr>
      <w:r w:rsidRPr="00F01612">
        <w:rPr>
          <w:rStyle w:val="FootnoteReference"/>
        </w:rPr>
        <w:footnoteRef/>
      </w:r>
      <w:r>
        <w:t xml:space="preserve"> 47 CFR</w:t>
      </w:r>
      <w:r w:rsidRPr="00F01612">
        <w:t xml:space="preserve"> § 76.901(e).  The Commission determined that this size standard equates approximately to a size standard of $100 million or less in annual revenues.  </w:t>
      </w:r>
      <w:r w:rsidRPr="00F01612">
        <w:rPr>
          <w:i/>
        </w:rPr>
        <w:t>Implementation of Sections of the 1992 Cable Act: Rate Regulation</w:t>
      </w:r>
      <w:r w:rsidRPr="00F01612">
        <w:t>,</w:t>
      </w:r>
      <w:r w:rsidRPr="00F01612">
        <w:rPr>
          <w:i/>
        </w:rPr>
        <w:t xml:space="preserve"> </w:t>
      </w:r>
      <w:r w:rsidRPr="00F01612">
        <w:t>Sixth Report and Order and Eleventh Order on Reconsideration, 10 FCC Rcd 7393, 7408 (1995).</w:t>
      </w:r>
    </w:p>
  </w:footnote>
  <w:footnote w:id="627">
    <w:p w:rsidR="00474D51" w:rsidRPr="00F01612" w:rsidRDefault="00474D51" w:rsidP="00324CD5">
      <w:pPr>
        <w:pStyle w:val="FootnoteText"/>
      </w:pPr>
      <w:r w:rsidRPr="00F01612">
        <w:rPr>
          <w:rStyle w:val="FootnoteReference"/>
        </w:rPr>
        <w:footnoteRef/>
      </w:r>
      <w:r w:rsidRPr="00F01612">
        <w:t xml:space="preserve"> NCTA, Industry Data, Number of Cable Operating Companies (June 2012), </w:t>
      </w:r>
      <w:hyperlink r:id="rId124" w:history="1">
        <w:r w:rsidRPr="006F080D">
          <w:rPr>
            <w:rStyle w:val="Hyperlink"/>
          </w:rPr>
          <w:t>http://www.ncta.com/Statistics.aspx</w:t>
        </w:r>
      </w:hyperlink>
      <w:r>
        <w:t xml:space="preserve"> </w:t>
      </w:r>
      <w:r w:rsidRPr="00F01612">
        <w:t xml:space="preserve"> (visited Sept. 28, 2012).  Depending upon the number of homes and the size of the geographic area served, cable operators use one or more cable systems to provide video service.  </w:t>
      </w:r>
      <w:r w:rsidRPr="00F01612">
        <w:rPr>
          <w:i/>
        </w:rPr>
        <w:t>See Annual Assessment of the Status of Competition in the Market for Delivery of Video Programming</w:t>
      </w:r>
      <w:r w:rsidRPr="00F01612">
        <w:t>,</w:t>
      </w:r>
      <w:r w:rsidRPr="00F01612">
        <w:rPr>
          <w:i/>
        </w:rPr>
        <w:t xml:space="preserve"> </w:t>
      </w:r>
      <w:r w:rsidRPr="00F01612">
        <w:t>Fifteenth Report, 28 FCC Rcd 10496, 10505-06, para. 24 (2013) (</w:t>
      </w:r>
      <w:r w:rsidRPr="00F01612">
        <w:rPr>
          <w:i/>
        </w:rPr>
        <w:t>15</w:t>
      </w:r>
      <w:r w:rsidRPr="00F01612">
        <w:rPr>
          <w:i/>
          <w:vertAlign w:val="superscript"/>
        </w:rPr>
        <w:t>th</w:t>
      </w:r>
      <w:r w:rsidRPr="00F01612">
        <w:rPr>
          <w:i/>
        </w:rPr>
        <w:t xml:space="preserve"> Annual Competition Report)</w:t>
      </w:r>
      <w:r w:rsidRPr="00F01612">
        <w:t>.</w:t>
      </w:r>
    </w:p>
  </w:footnote>
  <w:footnote w:id="628">
    <w:p w:rsidR="00474D51" w:rsidRPr="00F01612" w:rsidRDefault="00474D51" w:rsidP="00324CD5">
      <w:pPr>
        <w:pStyle w:val="FootnoteText"/>
      </w:pPr>
      <w:r w:rsidRPr="00F01612">
        <w:rPr>
          <w:rStyle w:val="FootnoteReference"/>
        </w:rPr>
        <w:footnoteRef/>
      </w:r>
      <w:r w:rsidRPr="00F01612">
        <w:t xml:space="preserve"> </w:t>
      </w:r>
      <w:r w:rsidRPr="00F01612">
        <w:rPr>
          <w:i/>
        </w:rPr>
        <w:t xml:space="preserve">See </w:t>
      </w:r>
      <w:r w:rsidRPr="00F01612">
        <w:t xml:space="preserve">SNL Kagan, “Top Cable MSOs – 12/12 Q”, </w:t>
      </w:r>
      <w:hyperlink r:id="rId125" w:history="1">
        <w:r w:rsidRPr="006F080D">
          <w:rPr>
            <w:rStyle w:val="Hyperlink"/>
          </w:rPr>
          <w:t>http://www.snl.com/InteractiveX/TopCableMSOs.aspx?period=2012Q4&amp;sortcol=subscribersbasic&amp;sortorder=desc</w:t>
        </w:r>
      </w:hyperlink>
      <w:r w:rsidRPr="00F01612">
        <w:t>.</w:t>
      </w:r>
      <w:r w:rsidRPr="00F01612">
        <w:rPr>
          <w:b/>
        </w:rPr>
        <w:t xml:space="preserve">  </w:t>
      </w:r>
      <w:r w:rsidRPr="00F01612">
        <w:t xml:space="preserve">We note that, when applied to an MVPD operator, under this size standard (i.e., 400,000 or fewer subscribers) all but 14 MVPD operators would be considered small.  </w:t>
      </w:r>
      <w:r w:rsidRPr="00F01612">
        <w:rPr>
          <w:i/>
        </w:rPr>
        <w:t>See</w:t>
      </w:r>
      <w:r w:rsidRPr="00F01612">
        <w:t xml:space="preserve"> NCTA, Industry Data, Top 25 Multichannel Video Service Customers (2012), </w:t>
      </w:r>
      <w:hyperlink r:id="rId126" w:history="1">
        <w:r w:rsidRPr="006F080D">
          <w:rPr>
            <w:rStyle w:val="Hyperlink"/>
          </w:rPr>
          <w:t>http://www.ncta.com/industry-data</w:t>
        </w:r>
      </w:hyperlink>
      <w:r w:rsidRPr="00F01612">
        <w:t xml:space="preserve">.  The Commission applied this size standard to MVPD operators in its implementation of the CALM Act.  </w:t>
      </w:r>
      <w:r w:rsidRPr="00F01612">
        <w:rPr>
          <w:i/>
        </w:rPr>
        <w:t>See Implementation of the Commercial Advertisement Loudness Mitigation (CALM) Act</w:t>
      </w:r>
      <w:r w:rsidRPr="00F01612">
        <w:t>, Report and Order, 26 FCC Rcd 17222, 17245-46, para. 37 (2011) (</w:t>
      </w:r>
      <w:r w:rsidRPr="00F01612">
        <w:rPr>
          <w:i/>
        </w:rPr>
        <w:t>CALM Act Report and Order</w:t>
      </w:r>
      <w:r w:rsidRPr="00F01612">
        <w:t>) (defining a smaller MVPD operator as one serving 400,000 or fewer subscribers nationwide, as of December 31, 2011).</w:t>
      </w:r>
    </w:p>
  </w:footnote>
  <w:footnote w:id="629">
    <w:p w:rsidR="00474D51" w:rsidRPr="00F01612" w:rsidRDefault="00474D51" w:rsidP="00324CD5">
      <w:pPr>
        <w:pStyle w:val="FootnoteText"/>
      </w:pPr>
      <w:r w:rsidRPr="00F01612">
        <w:rPr>
          <w:rStyle w:val="FootnoteReference"/>
        </w:rPr>
        <w:footnoteRef/>
      </w:r>
      <w:r>
        <w:t xml:space="preserve"> 47 CFR</w:t>
      </w:r>
      <w:r w:rsidRPr="00F01612">
        <w:t xml:space="preserve"> § 76.901(c).</w:t>
      </w:r>
    </w:p>
  </w:footnote>
  <w:footnote w:id="630">
    <w:p w:rsidR="00474D51" w:rsidRPr="00F01612" w:rsidRDefault="00474D51" w:rsidP="00324CD5">
      <w:pPr>
        <w:pStyle w:val="FootnoteText"/>
      </w:pPr>
      <w:r w:rsidRPr="00F01612">
        <w:rPr>
          <w:rStyle w:val="FootnoteReference"/>
        </w:rPr>
        <w:footnoteRef/>
      </w:r>
      <w:r w:rsidRPr="00F01612">
        <w:t xml:space="preserve"> The number of active, registered cable systems comes from the Commission’s Cable Operations and Licensing System (COALS) database on Aug. 28, 2013.  A cable system is a physical system integrated to a principal headend.</w:t>
      </w:r>
    </w:p>
  </w:footnote>
  <w:footnote w:id="631">
    <w:p w:rsidR="00474D51" w:rsidRPr="00F01612" w:rsidRDefault="00474D51" w:rsidP="00324CD5">
      <w:pPr>
        <w:pStyle w:val="FootnoteText"/>
      </w:pPr>
      <w:r w:rsidRPr="00F01612">
        <w:rPr>
          <w:rStyle w:val="FootnoteReference"/>
        </w:rPr>
        <w:footnoteRef/>
      </w:r>
      <w:r w:rsidRPr="00F01612">
        <w:t xml:space="preserve"> 47 U.S.C. § 543(m)(2); </w:t>
      </w:r>
      <w:r w:rsidRPr="00F01612">
        <w:rPr>
          <w:i/>
        </w:rPr>
        <w:t>see</w:t>
      </w:r>
      <w:r>
        <w:t xml:space="preserve"> 47 CFR</w:t>
      </w:r>
      <w:r w:rsidRPr="00F01612">
        <w:t xml:space="preserve"> § 76.901(f) &amp; nn.1-3.</w:t>
      </w:r>
    </w:p>
  </w:footnote>
  <w:footnote w:id="632">
    <w:p w:rsidR="00474D51" w:rsidRPr="00F01612" w:rsidRDefault="00474D51" w:rsidP="00324CD5">
      <w:pPr>
        <w:pStyle w:val="FootnoteText"/>
      </w:pPr>
      <w:r w:rsidRPr="00F01612">
        <w:rPr>
          <w:rStyle w:val="FootnoteReference"/>
        </w:rPr>
        <w:footnoteRef/>
      </w:r>
      <w:r>
        <w:t xml:space="preserve"> 47 CFR</w:t>
      </w:r>
      <w:r w:rsidRPr="00F01612">
        <w:t xml:space="preserve"> § 76.901(f); </w:t>
      </w:r>
      <w:r w:rsidRPr="00F01612">
        <w:rPr>
          <w:i/>
        </w:rPr>
        <w:t>see</w:t>
      </w:r>
      <w:r w:rsidRPr="00F01612">
        <w:t xml:space="preserve"> </w:t>
      </w:r>
      <w:r w:rsidRPr="00F01612">
        <w:rPr>
          <w:i/>
        </w:rPr>
        <w:t>FCC Announces New Subscriber Count for the Definition of Small Cable Operator</w:t>
      </w:r>
      <w:r w:rsidRPr="00F01612">
        <w:t>, Public Notice, 16 FCC Rcd 2225 (Cable Services Bureau 2001).</w:t>
      </w:r>
    </w:p>
  </w:footnote>
  <w:footnote w:id="633">
    <w:p w:rsidR="00474D51" w:rsidRPr="00F01612" w:rsidRDefault="00474D51" w:rsidP="00324CD5">
      <w:pPr>
        <w:pStyle w:val="FootnoteText"/>
        <w:tabs>
          <w:tab w:val="left" w:pos="0"/>
        </w:tabs>
        <w:suppressAutoHyphens/>
      </w:pPr>
      <w:r w:rsidRPr="00F01612">
        <w:rPr>
          <w:rStyle w:val="FootnoteReference"/>
        </w:rPr>
        <w:footnoteRef/>
      </w:r>
      <w:r w:rsidRPr="00F01612">
        <w:t xml:space="preserve"> </w:t>
      </w:r>
      <w:r w:rsidRPr="00F01612">
        <w:rPr>
          <w:i/>
        </w:rPr>
        <w:t>See</w:t>
      </w:r>
      <w:r w:rsidRPr="00F01612">
        <w:t xml:space="preserve"> NCTA, Industry Data, Top 25 Multichannel Video Service Customers (2012), http://www.ncta.com/industry-data.</w:t>
      </w:r>
    </w:p>
  </w:footnote>
  <w:footnote w:id="634">
    <w:p w:rsidR="00474D51" w:rsidRPr="00F01612" w:rsidRDefault="00474D51" w:rsidP="00324CD5">
      <w:pPr>
        <w:pStyle w:val="FootnoteText"/>
      </w:pPr>
      <w:r w:rsidRPr="00F01612">
        <w:rPr>
          <w:rStyle w:val="FootnoteReference"/>
        </w:rPr>
        <w:footnoteRef/>
      </w:r>
      <w:r w:rsidRPr="00F01612">
        <w:t xml:space="preserve"> The Commission does receive such information on a case-by-case basis if a cable operator appeals a local franchise authority’s finding that the operator does not qualify as a small cable operator pursuant to § 76.901(f) of the Commission’s rules.  </w:t>
      </w:r>
      <w:r w:rsidRPr="00F01612">
        <w:rPr>
          <w:i/>
        </w:rPr>
        <w:t>See</w:t>
      </w:r>
      <w:r>
        <w:t xml:space="preserve"> 47 CFR</w:t>
      </w:r>
      <w:r w:rsidRPr="00F01612">
        <w:t xml:space="preserve"> § 76.909(b).</w:t>
      </w:r>
    </w:p>
  </w:footnote>
  <w:footnote w:id="635">
    <w:p w:rsidR="00474D51" w:rsidRPr="007A6FE3" w:rsidRDefault="00474D51" w:rsidP="00324CD5">
      <w:pPr>
        <w:pStyle w:val="FootnoteText"/>
      </w:pPr>
      <w:r w:rsidRPr="007A6FE3">
        <w:rPr>
          <w:rStyle w:val="FootnoteReference"/>
        </w:rPr>
        <w:footnoteRef/>
      </w:r>
      <w:r w:rsidRPr="007A6FE3">
        <w:t xml:space="preserve"> </w:t>
      </w:r>
      <w:r w:rsidRPr="00F01612">
        <w:t>U.S. Census B</w:t>
      </w:r>
      <w:r>
        <w:t xml:space="preserve">ureau, 2012 NAICS Definitions, </w:t>
      </w:r>
      <w:r>
        <w:rPr>
          <w:bCs/>
          <w:i/>
        </w:rPr>
        <w:t>517919</w:t>
      </w:r>
      <w:r w:rsidRPr="00EC560B">
        <w:rPr>
          <w:bCs/>
          <w:i/>
        </w:rPr>
        <w:t xml:space="preserve"> </w:t>
      </w:r>
      <w:r>
        <w:rPr>
          <w:bCs/>
          <w:i/>
        </w:rPr>
        <w:t>All Other Telecommunications</w:t>
      </w:r>
      <w:r w:rsidRPr="00EC560B">
        <w:rPr>
          <w:bCs/>
        </w:rPr>
        <w:t>,</w:t>
      </w:r>
      <w:r w:rsidRPr="00EC560B">
        <w:t xml:space="preserve"> </w:t>
      </w:r>
      <w:hyperlink r:id="rId127" w:history="1">
        <w:r w:rsidRPr="000F387E">
          <w:rPr>
            <w:rStyle w:val="Hyperlink"/>
          </w:rPr>
          <w:t>http://www.census.gov/cgi-bin/sssd/naics/naicsrch?code=517919&amp;search=2012</w:t>
        </w:r>
      </w:hyperlink>
      <w:r>
        <w:rPr>
          <w:rStyle w:val="Hyperlink"/>
        </w:rPr>
        <w:t xml:space="preserve"> (last visited July 16, 2015)</w:t>
      </w:r>
      <w:r w:rsidRPr="00EC560B">
        <w:t>.</w:t>
      </w:r>
    </w:p>
  </w:footnote>
  <w:footnote w:id="636">
    <w:p w:rsidR="00474D51" w:rsidRPr="007A6FE3" w:rsidRDefault="00474D51" w:rsidP="00324CD5">
      <w:pPr>
        <w:pStyle w:val="FootnoteText"/>
      </w:pPr>
      <w:r w:rsidRPr="007A6FE3">
        <w:rPr>
          <w:rStyle w:val="FootnoteReference"/>
        </w:rPr>
        <w:footnoteRef/>
      </w:r>
      <w:r w:rsidRPr="007A6FE3">
        <w:t xml:space="preserve"> </w:t>
      </w:r>
      <w:r w:rsidRPr="007A6FE3">
        <w:rPr>
          <w:i/>
        </w:rPr>
        <w:t xml:space="preserve">See </w:t>
      </w:r>
      <w:r>
        <w:t>13 CFR</w:t>
      </w:r>
      <w:r w:rsidRPr="007A6FE3">
        <w:t xml:space="preserve"> § 121.201, NAICS code 517919.</w:t>
      </w:r>
    </w:p>
  </w:footnote>
  <w:footnote w:id="637">
    <w:p w:rsidR="00474D51" w:rsidRPr="000800F4" w:rsidRDefault="00474D51" w:rsidP="00324CD5">
      <w:pPr>
        <w:pStyle w:val="FootnoteText"/>
      </w:pPr>
      <w:r w:rsidRPr="007A6FE3">
        <w:rPr>
          <w:rStyle w:val="FootnoteReference"/>
        </w:rPr>
        <w:footnoteRef/>
      </w:r>
      <w:r w:rsidRPr="007A6FE3">
        <w:t xml:space="preserve"> </w:t>
      </w:r>
      <w:r>
        <w:t>U</w:t>
      </w:r>
      <w:r w:rsidRPr="000800F4">
        <w:t xml:space="preserve">.S. Census Bureau, 2007 Economic Census, Information:  Subject Series – Establishment and Firm Size: Table 4, “Receipts Size of Firms for the United States:  2007, NAICS Code 517919,” </w:t>
      </w:r>
      <w:hyperlink r:id="rId128" w:history="1">
        <w:r w:rsidRPr="000800F4">
          <w:rPr>
            <w:rStyle w:val="Hyperlink"/>
          </w:rPr>
          <w:t>http://factfinder2.census.gov/bkmk/table/1.0/en/ECN/2007_US/51SSSZ4/naics~517919</w:t>
        </w:r>
      </w:hyperlink>
      <w:r w:rsidRPr="000800F4">
        <w:t xml:space="preserve"> (last visited July 16, 2015).</w:t>
      </w:r>
    </w:p>
  </w:footnote>
  <w:footnote w:id="638">
    <w:p w:rsidR="00474D51" w:rsidRPr="000800F4" w:rsidRDefault="00474D51" w:rsidP="00324CD5">
      <w:pPr>
        <w:pStyle w:val="FootnoteText"/>
      </w:pPr>
      <w:r w:rsidRPr="000800F4">
        <w:rPr>
          <w:rStyle w:val="FootnoteReference"/>
        </w:rPr>
        <w:footnoteRef/>
      </w:r>
      <w:r w:rsidRPr="000800F4">
        <w:t xml:space="preserve"> </w:t>
      </w:r>
      <w:r w:rsidRPr="000800F4">
        <w:rPr>
          <w:i/>
        </w:rPr>
        <w:t>See id</w:t>
      </w:r>
      <w:r w:rsidRPr="000800F4">
        <w:t>.</w:t>
      </w:r>
    </w:p>
  </w:footnote>
  <w:footnote w:id="639">
    <w:p w:rsidR="00474D51" w:rsidRPr="0028094E" w:rsidRDefault="00474D51" w:rsidP="00324CD5">
      <w:pPr>
        <w:pStyle w:val="FootnoteText"/>
      </w:pPr>
      <w:r w:rsidRPr="000800F4">
        <w:rPr>
          <w:rStyle w:val="FootnoteReference"/>
        </w:rPr>
        <w:footnoteRef/>
      </w:r>
      <w:r w:rsidRPr="000800F4">
        <w:t xml:space="preserve"> </w:t>
      </w:r>
      <w:r w:rsidRPr="000800F4">
        <w:rPr>
          <w:i/>
        </w:rPr>
        <w:t xml:space="preserve">See </w:t>
      </w:r>
      <w:r>
        <w:rPr>
          <w:i/>
        </w:rPr>
        <w:t xml:space="preserve">supra </w:t>
      </w:r>
      <w:r>
        <w:t xml:space="preserve">Part </w:t>
      </w:r>
      <w:r>
        <w:fldChar w:fldCharType="begin"/>
      </w:r>
      <w:r>
        <w:instrText xml:space="preserve"> REF _Ref446516649 \r \h </w:instrText>
      </w:r>
      <w:r>
        <w:fldChar w:fldCharType="separate"/>
      </w:r>
      <w:r w:rsidR="00327397">
        <w:t>III.B</w:t>
      </w:r>
      <w:r>
        <w:fldChar w:fldCharType="end"/>
      </w:r>
      <w:r>
        <w:t>.</w:t>
      </w:r>
    </w:p>
  </w:footnote>
  <w:footnote w:id="640">
    <w:p w:rsidR="00474D51" w:rsidRPr="000800F4" w:rsidRDefault="00474D51" w:rsidP="00324CD5">
      <w:pPr>
        <w:pStyle w:val="FootnoteText"/>
      </w:pPr>
      <w:r w:rsidRPr="000800F4">
        <w:rPr>
          <w:rStyle w:val="FootnoteReference"/>
        </w:rPr>
        <w:footnoteRef/>
      </w:r>
      <w:r w:rsidRPr="000800F4">
        <w:t xml:space="preserve"> </w:t>
      </w:r>
      <w:r w:rsidRPr="000800F4">
        <w:rPr>
          <w:i/>
        </w:rPr>
        <w:t xml:space="preserve">See </w:t>
      </w:r>
      <w:r>
        <w:rPr>
          <w:i/>
        </w:rPr>
        <w:t xml:space="preserve">supra </w:t>
      </w:r>
      <w:r>
        <w:t xml:space="preserve">Part </w:t>
      </w:r>
      <w:r>
        <w:fldChar w:fldCharType="begin"/>
      </w:r>
      <w:r>
        <w:instrText xml:space="preserve"> REF _Ref446516672 \r \h </w:instrText>
      </w:r>
      <w:r>
        <w:fldChar w:fldCharType="separate"/>
      </w:r>
      <w:r w:rsidR="00327397">
        <w:t>III.B.1</w:t>
      </w:r>
      <w:r>
        <w:fldChar w:fldCharType="end"/>
      </w:r>
      <w:r>
        <w:t>.</w:t>
      </w:r>
    </w:p>
  </w:footnote>
  <w:footnote w:id="641">
    <w:p w:rsidR="00474D51" w:rsidRPr="000800F4" w:rsidRDefault="00474D51" w:rsidP="00324CD5">
      <w:pPr>
        <w:pStyle w:val="FootnoteText"/>
      </w:pPr>
      <w:r w:rsidRPr="000800F4">
        <w:rPr>
          <w:rStyle w:val="FootnoteReference"/>
        </w:rPr>
        <w:footnoteRef/>
      </w:r>
      <w:r w:rsidRPr="000800F4">
        <w:t xml:space="preserve"> </w:t>
      </w:r>
      <w:r w:rsidRPr="000800F4">
        <w:rPr>
          <w:i/>
        </w:rPr>
        <w:t xml:space="preserve">See </w:t>
      </w:r>
      <w:r>
        <w:rPr>
          <w:i/>
        </w:rPr>
        <w:t xml:space="preserve">supra </w:t>
      </w:r>
      <w:r>
        <w:t xml:space="preserve">Part </w:t>
      </w:r>
      <w:r>
        <w:fldChar w:fldCharType="begin"/>
      </w:r>
      <w:r>
        <w:instrText xml:space="preserve"> REF _Ref446516692 \r \h </w:instrText>
      </w:r>
      <w:r>
        <w:fldChar w:fldCharType="separate"/>
      </w:r>
      <w:r w:rsidR="00327397">
        <w:t>III.B.4</w:t>
      </w:r>
      <w:r>
        <w:fldChar w:fldCharType="end"/>
      </w:r>
      <w:r>
        <w:t>.</w:t>
      </w:r>
    </w:p>
  </w:footnote>
  <w:footnote w:id="642">
    <w:p w:rsidR="00474D51" w:rsidRPr="000800F4" w:rsidRDefault="00474D51" w:rsidP="00324CD5">
      <w:pPr>
        <w:pStyle w:val="FootnoteText"/>
      </w:pPr>
      <w:r w:rsidRPr="000800F4">
        <w:rPr>
          <w:rStyle w:val="FootnoteReference"/>
        </w:rPr>
        <w:footnoteRef/>
      </w:r>
      <w:r w:rsidRPr="000800F4">
        <w:t xml:space="preserve"> </w:t>
      </w:r>
      <w:r w:rsidRPr="000800F4">
        <w:rPr>
          <w:i/>
        </w:rPr>
        <w:t xml:space="preserve">See </w:t>
      </w:r>
      <w:r>
        <w:rPr>
          <w:i/>
        </w:rPr>
        <w:t xml:space="preserve">supra </w:t>
      </w:r>
      <w:r>
        <w:t xml:space="preserve">Part </w:t>
      </w:r>
      <w:r>
        <w:fldChar w:fldCharType="begin"/>
      </w:r>
      <w:r>
        <w:instrText xml:space="preserve"> REF _Ref446516707 \r \h </w:instrText>
      </w:r>
      <w:r>
        <w:fldChar w:fldCharType="separate"/>
      </w:r>
      <w:r w:rsidR="00327397">
        <w:t>III.C</w:t>
      </w:r>
      <w:r>
        <w:fldChar w:fldCharType="end"/>
      </w:r>
      <w:r>
        <w:t>.</w:t>
      </w:r>
    </w:p>
  </w:footnote>
  <w:footnote w:id="643">
    <w:p w:rsidR="00474D51" w:rsidRPr="000800F4" w:rsidRDefault="00474D51" w:rsidP="00324CD5">
      <w:pPr>
        <w:pStyle w:val="FootnoteText"/>
      </w:pPr>
      <w:r w:rsidRPr="000800F4">
        <w:rPr>
          <w:rStyle w:val="FootnoteReference"/>
        </w:rPr>
        <w:footnoteRef/>
      </w:r>
      <w:r w:rsidRPr="000800F4">
        <w:t xml:space="preserve"> </w:t>
      </w:r>
      <w:r w:rsidRPr="000800F4">
        <w:rPr>
          <w:i/>
        </w:rPr>
        <w:t xml:space="preserve">See </w:t>
      </w:r>
      <w:r>
        <w:rPr>
          <w:i/>
        </w:rPr>
        <w:t xml:space="preserve">supra </w:t>
      </w:r>
      <w:r>
        <w:t xml:space="preserve">Part </w:t>
      </w:r>
      <w:r>
        <w:fldChar w:fldCharType="begin"/>
      </w:r>
      <w:r>
        <w:instrText xml:space="preserve"> REF _Ref446516831 \r \h </w:instrText>
      </w:r>
      <w:r>
        <w:fldChar w:fldCharType="separate"/>
      </w:r>
      <w:r w:rsidR="00327397">
        <w:t>III.C.1</w:t>
      </w:r>
      <w:r>
        <w:fldChar w:fldCharType="end"/>
      </w:r>
      <w:r>
        <w:t>.</w:t>
      </w:r>
    </w:p>
  </w:footnote>
  <w:footnote w:id="644">
    <w:p w:rsidR="00474D51" w:rsidRPr="000800F4" w:rsidRDefault="00474D51" w:rsidP="00324CD5">
      <w:pPr>
        <w:pStyle w:val="FootnoteText"/>
      </w:pPr>
      <w:r w:rsidRPr="000800F4">
        <w:rPr>
          <w:rStyle w:val="FootnoteReference"/>
        </w:rPr>
        <w:footnoteRef/>
      </w:r>
      <w:r w:rsidRPr="000800F4">
        <w:t xml:space="preserve"> </w:t>
      </w:r>
      <w:r w:rsidRPr="000800F4">
        <w:rPr>
          <w:i/>
        </w:rPr>
        <w:t xml:space="preserve">See </w:t>
      </w:r>
      <w:r>
        <w:rPr>
          <w:i/>
        </w:rPr>
        <w:t xml:space="preserve">supra </w:t>
      </w:r>
      <w:r>
        <w:t xml:space="preserve">Part </w:t>
      </w:r>
      <w:r>
        <w:fldChar w:fldCharType="begin"/>
      </w:r>
      <w:r>
        <w:instrText xml:space="preserve"> REF _Ref446516849 \r \h </w:instrText>
      </w:r>
      <w:r>
        <w:fldChar w:fldCharType="separate"/>
      </w:r>
      <w:r w:rsidR="00327397">
        <w:t>III.C.2</w:t>
      </w:r>
      <w:r>
        <w:fldChar w:fldCharType="end"/>
      </w:r>
      <w:r>
        <w:t>.</w:t>
      </w:r>
    </w:p>
  </w:footnote>
  <w:footnote w:id="645">
    <w:p w:rsidR="00474D51" w:rsidRPr="000800F4" w:rsidRDefault="00474D51" w:rsidP="00324CD5">
      <w:pPr>
        <w:pStyle w:val="FootnoteText"/>
      </w:pPr>
      <w:r w:rsidRPr="000800F4">
        <w:rPr>
          <w:rStyle w:val="FootnoteReference"/>
        </w:rPr>
        <w:footnoteRef/>
      </w:r>
      <w:r w:rsidRPr="000800F4">
        <w:t xml:space="preserve"> </w:t>
      </w:r>
      <w:r w:rsidRPr="000800F4">
        <w:rPr>
          <w:i/>
        </w:rPr>
        <w:t xml:space="preserve">See </w:t>
      </w:r>
      <w:r>
        <w:rPr>
          <w:i/>
        </w:rPr>
        <w:t xml:space="preserve">supra </w:t>
      </w:r>
      <w:r>
        <w:t xml:space="preserve">Part </w:t>
      </w:r>
      <w:r>
        <w:fldChar w:fldCharType="begin"/>
      </w:r>
      <w:r>
        <w:instrText xml:space="preserve"> REF _Ref446516862 \r \h </w:instrText>
      </w:r>
      <w:r>
        <w:fldChar w:fldCharType="separate"/>
      </w:r>
      <w:r w:rsidR="00327397">
        <w:t>III.C.3</w:t>
      </w:r>
      <w:r>
        <w:fldChar w:fldCharType="end"/>
      </w:r>
      <w:r>
        <w:t>.</w:t>
      </w:r>
    </w:p>
  </w:footnote>
  <w:footnote w:id="646">
    <w:p w:rsidR="00474D51" w:rsidRPr="000800F4" w:rsidRDefault="00474D51" w:rsidP="00324CD5">
      <w:pPr>
        <w:pStyle w:val="FootnoteText"/>
      </w:pPr>
      <w:r w:rsidRPr="000800F4">
        <w:rPr>
          <w:rStyle w:val="FootnoteReference"/>
        </w:rPr>
        <w:footnoteRef/>
      </w:r>
      <w:r w:rsidRPr="000800F4">
        <w:t xml:space="preserve"> </w:t>
      </w:r>
      <w:r w:rsidRPr="000800F4">
        <w:rPr>
          <w:i/>
        </w:rPr>
        <w:t xml:space="preserve">See </w:t>
      </w:r>
      <w:r>
        <w:rPr>
          <w:i/>
        </w:rPr>
        <w:t xml:space="preserve">supra </w:t>
      </w:r>
      <w:r>
        <w:t xml:space="preserve">Part </w:t>
      </w:r>
      <w:r>
        <w:fldChar w:fldCharType="begin"/>
      </w:r>
      <w:r>
        <w:instrText xml:space="preserve"> REF _Ref446516878 \r \h </w:instrText>
      </w:r>
      <w:r>
        <w:fldChar w:fldCharType="separate"/>
      </w:r>
      <w:r w:rsidR="00327397">
        <w:t>III.C.4</w:t>
      </w:r>
      <w:r>
        <w:fldChar w:fldCharType="end"/>
      </w:r>
      <w:r>
        <w:t>.</w:t>
      </w:r>
    </w:p>
  </w:footnote>
  <w:footnote w:id="647">
    <w:p w:rsidR="00474D51" w:rsidRPr="000800F4" w:rsidRDefault="00474D51" w:rsidP="00324CD5">
      <w:pPr>
        <w:pStyle w:val="FootnoteText"/>
      </w:pPr>
      <w:r w:rsidRPr="000800F4">
        <w:rPr>
          <w:rStyle w:val="FootnoteReference"/>
        </w:rPr>
        <w:footnoteRef/>
      </w:r>
      <w:r w:rsidRPr="000800F4">
        <w:t xml:space="preserve"> </w:t>
      </w:r>
      <w:r w:rsidRPr="000800F4">
        <w:rPr>
          <w:i/>
        </w:rPr>
        <w:t xml:space="preserve">See </w:t>
      </w:r>
      <w:r>
        <w:rPr>
          <w:i/>
        </w:rPr>
        <w:t xml:space="preserve">supra </w:t>
      </w:r>
      <w:r>
        <w:t xml:space="preserve">Part </w:t>
      </w:r>
      <w:r>
        <w:fldChar w:fldCharType="begin"/>
      </w:r>
      <w:r>
        <w:instrText xml:space="preserve"> REF _Ref446516895 \r \h </w:instrText>
      </w:r>
      <w:r>
        <w:fldChar w:fldCharType="separate"/>
      </w:r>
      <w:r w:rsidR="00327397">
        <w:t>III.C.5</w:t>
      </w:r>
      <w:r>
        <w:fldChar w:fldCharType="end"/>
      </w:r>
      <w:r>
        <w:t>.</w:t>
      </w:r>
    </w:p>
  </w:footnote>
  <w:footnote w:id="648">
    <w:p w:rsidR="00474D51" w:rsidRPr="000800F4" w:rsidRDefault="00474D51" w:rsidP="00324CD5">
      <w:pPr>
        <w:pStyle w:val="FootnoteText"/>
      </w:pPr>
      <w:r w:rsidRPr="000800F4">
        <w:rPr>
          <w:rStyle w:val="FootnoteReference"/>
        </w:rPr>
        <w:footnoteRef/>
      </w:r>
      <w:r w:rsidRPr="000800F4">
        <w:t xml:space="preserve"> </w:t>
      </w:r>
      <w:r w:rsidRPr="000800F4">
        <w:rPr>
          <w:i/>
        </w:rPr>
        <w:t xml:space="preserve">See </w:t>
      </w:r>
      <w:r>
        <w:rPr>
          <w:i/>
        </w:rPr>
        <w:t xml:space="preserve">supra </w:t>
      </w:r>
      <w:r>
        <w:t xml:space="preserve">Part </w:t>
      </w:r>
      <w:r>
        <w:fldChar w:fldCharType="begin"/>
      </w:r>
      <w:r>
        <w:instrText xml:space="preserve"> REF _Ref446516907 \r \h </w:instrText>
      </w:r>
      <w:r>
        <w:fldChar w:fldCharType="separate"/>
      </w:r>
      <w:r w:rsidR="00327397">
        <w:t>III.D</w:t>
      </w:r>
      <w:r>
        <w:fldChar w:fldCharType="end"/>
      </w:r>
      <w:r>
        <w:t>.</w:t>
      </w:r>
    </w:p>
  </w:footnote>
  <w:footnote w:id="649">
    <w:p w:rsidR="00474D51" w:rsidRPr="000800F4" w:rsidRDefault="00474D51" w:rsidP="00324CD5">
      <w:pPr>
        <w:pStyle w:val="FootnoteText"/>
      </w:pPr>
      <w:r w:rsidRPr="000800F4">
        <w:rPr>
          <w:rStyle w:val="FootnoteReference"/>
        </w:rPr>
        <w:footnoteRef/>
      </w:r>
      <w:r w:rsidRPr="000800F4">
        <w:t xml:space="preserve"> </w:t>
      </w:r>
      <w:r w:rsidRPr="000800F4">
        <w:rPr>
          <w:i/>
        </w:rPr>
        <w:t xml:space="preserve">See </w:t>
      </w:r>
      <w:r>
        <w:rPr>
          <w:i/>
        </w:rPr>
        <w:t>id.</w:t>
      </w:r>
    </w:p>
  </w:footnote>
  <w:footnote w:id="650">
    <w:p w:rsidR="00474D51" w:rsidRPr="000800F4" w:rsidRDefault="00474D51" w:rsidP="00324CD5">
      <w:pPr>
        <w:pStyle w:val="FootnoteText"/>
      </w:pPr>
      <w:r w:rsidRPr="000800F4">
        <w:rPr>
          <w:rStyle w:val="FootnoteReference"/>
        </w:rPr>
        <w:footnoteRef/>
      </w:r>
      <w:r w:rsidRPr="000800F4">
        <w:t xml:space="preserve"> </w:t>
      </w:r>
      <w:r w:rsidRPr="000800F4">
        <w:rPr>
          <w:i/>
        </w:rPr>
        <w:t>See</w:t>
      </w:r>
      <w:r>
        <w:rPr>
          <w:i/>
        </w:rPr>
        <w:t xml:space="preserve"> id.</w:t>
      </w:r>
    </w:p>
  </w:footnote>
  <w:footnote w:id="651">
    <w:p w:rsidR="00474D51" w:rsidRPr="000800F4" w:rsidRDefault="00474D51" w:rsidP="00324CD5">
      <w:pPr>
        <w:pStyle w:val="FootnoteText"/>
      </w:pPr>
      <w:r w:rsidRPr="000800F4">
        <w:rPr>
          <w:rStyle w:val="FootnoteReference"/>
        </w:rPr>
        <w:footnoteRef/>
      </w:r>
      <w:r w:rsidRPr="000800F4">
        <w:t xml:space="preserve"> </w:t>
      </w:r>
      <w:r w:rsidRPr="000800F4">
        <w:rPr>
          <w:i/>
        </w:rPr>
        <w:t xml:space="preserve">See </w:t>
      </w:r>
      <w:r>
        <w:rPr>
          <w:i/>
        </w:rPr>
        <w:t xml:space="preserve">supra </w:t>
      </w:r>
      <w:r>
        <w:t xml:space="preserve">Part </w:t>
      </w:r>
      <w:r>
        <w:fldChar w:fldCharType="begin"/>
      </w:r>
      <w:r>
        <w:instrText xml:space="preserve"> REF _Ref446516981 \r \h </w:instrText>
      </w:r>
      <w:r>
        <w:fldChar w:fldCharType="separate"/>
      </w:r>
      <w:r w:rsidR="00327397">
        <w:t>III.E</w:t>
      </w:r>
      <w:r>
        <w:fldChar w:fldCharType="end"/>
      </w:r>
      <w:r>
        <w:t>.</w:t>
      </w:r>
    </w:p>
  </w:footnote>
  <w:footnote w:id="652">
    <w:p w:rsidR="00474D51" w:rsidRPr="000800F4" w:rsidRDefault="00474D51" w:rsidP="00324CD5">
      <w:pPr>
        <w:pStyle w:val="FootnoteText"/>
      </w:pPr>
      <w:r w:rsidRPr="000800F4">
        <w:rPr>
          <w:rStyle w:val="FootnoteReference"/>
        </w:rPr>
        <w:footnoteRef/>
      </w:r>
      <w:r w:rsidRPr="000800F4">
        <w:t xml:space="preserve"> </w:t>
      </w:r>
      <w:r w:rsidRPr="000800F4">
        <w:rPr>
          <w:i/>
        </w:rPr>
        <w:t xml:space="preserve">See </w:t>
      </w:r>
      <w:r>
        <w:rPr>
          <w:i/>
        </w:rPr>
        <w:t xml:space="preserve">supra </w:t>
      </w:r>
      <w:r>
        <w:t xml:space="preserve">Part </w:t>
      </w:r>
      <w:r>
        <w:fldChar w:fldCharType="begin"/>
      </w:r>
      <w:r>
        <w:instrText xml:space="preserve"> REF _Ref446517020 \r \h </w:instrText>
      </w:r>
      <w:r>
        <w:fldChar w:fldCharType="separate"/>
      </w:r>
      <w:r w:rsidR="00327397">
        <w:t>III.E.2.a</w:t>
      </w:r>
      <w:r>
        <w:fldChar w:fldCharType="end"/>
      </w:r>
      <w:r>
        <w:t>.</w:t>
      </w:r>
    </w:p>
  </w:footnote>
  <w:footnote w:id="653">
    <w:p w:rsidR="00474D51" w:rsidRPr="000800F4" w:rsidRDefault="00474D51" w:rsidP="00324CD5">
      <w:pPr>
        <w:pStyle w:val="FootnoteText"/>
      </w:pPr>
      <w:r w:rsidRPr="000800F4">
        <w:rPr>
          <w:rStyle w:val="FootnoteReference"/>
        </w:rPr>
        <w:footnoteRef/>
      </w:r>
      <w:r w:rsidRPr="000800F4">
        <w:t xml:space="preserve"> </w:t>
      </w:r>
      <w:r w:rsidRPr="000800F4">
        <w:rPr>
          <w:i/>
        </w:rPr>
        <w:t xml:space="preserve">See </w:t>
      </w:r>
      <w:r>
        <w:rPr>
          <w:i/>
        </w:rPr>
        <w:t xml:space="preserve">supra </w:t>
      </w:r>
      <w:r>
        <w:t xml:space="preserve">Part </w:t>
      </w:r>
      <w:r>
        <w:fldChar w:fldCharType="begin"/>
      </w:r>
      <w:r>
        <w:instrText xml:space="preserve"> REF _Ref446517032 \r \h </w:instrText>
      </w:r>
      <w:r>
        <w:fldChar w:fldCharType="separate"/>
      </w:r>
      <w:r w:rsidR="00327397">
        <w:t>III.E.2.b</w:t>
      </w:r>
      <w:r>
        <w:fldChar w:fldCharType="end"/>
      </w:r>
      <w:r>
        <w:t>.</w:t>
      </w:r>
    </w:p>
  </w:footnote>
  <w:footnote w:id="654">
    <w:p w:rsidR="00474D51" w:rsidRPr="000800F4" w:rsidRDefault="00474D51" w:rsidP="00324CD5">
      <w:pPr>
        <w:pStyle w:val="FootnoteText"/>
      </w:pPr>
      <w:r w:rsidRPr="000800F4">
        <w:rPr>
          <w:rStyle w:val="FootnoteReference"/>
        </w:rPr>
        <w:footnoteRef/>
      </w:r>
      <w:r w:rsidRPr="000800F4">
        <w:t xml:space="preserve"> </w:t>
      </w:r>
      <w:r w:rsidRPr="000800F4">
        <w:rPr>
          <w:i/>
        </w:rPr>
        <w:t xml:space="preserve">See </w:t>
      </w:r>
      <w:r>
        <w:rPr>
          <w:i/>
        </w:rPr>
        <w:t xml:space="preserve">supra </w:t>
      </w:r>
      <w:r>
        <w:t xml:space="preserve">Part </w:t>
      </w:r>
      <w:r>
        <w:fldChar w:fldCharType="begin"/>
      </w:r>
      <w:r>
        <w:instrText xml:space="preserve"> REF _Ref446517049 \r \h </w:instrText>
      </w:r>
      <w:r>
        <w:fldChar w:fldCharType="separate"/>
      </w:r>
      <w:r w:rsidR="00327397">
        <w:t>III.E.2.c</w:t>
      </w:r>
      <w:r>
        <w:fldChar w:fldCharType="end"/>
      </w:r>
      <w:r>
        <w:t>.</w:t>
      </w:r>
    </w:p>
  </w:footnote>
  <w:footnote w:id="655">
    <w:p w:rsidR="00474D51" w:rsidRPr="000800F4" w:rsidRDefault="00474D51" w:rsidP="00324CD5">
      <w:pPr>
        <w:pStyle w:val="FootnoteText"/>
      </w:pPr>
      <w:r w:rsidRPr="000800F4">
        <w:rPr>
          <w:rStyle w:val="FootnoteReference"/>
        </w:rPr>
        <w:footnoteRef/>
      </w:r>
      <w:r w:rsidRPr="000800F4">
        <w:t xml:space="preserve"> </w:t>
      </w:r>
      <w:r w:rsidRPr="000800F4">
        <w:rPr>
          <w:i/>
        </w:rPr>
        <w:t xml:space="preserve">See </w:t>
      </w:r>
      <w:r>
        <w:rPr>
          <w:i/>
        </w:rPr>
        <w:t xml:space="preserve">supra </w:t>
      </w:r>
      <w:r>
        <w:t xml:space="preserve">Part </w:t>
      </w:r>
      <w:r>
        <w:fldChar w:fldCharType="begin"/>
      </w:r>
      <w:r>
        <w:instrText xml:space="preserve"> REF _Ref446517068 \r \h </w:instrText>
      </w:r>
      <w:r>
        <w:fldChar w:fldCharType="separate"/>
      </w:r>
      <w:r w:rsidR="00327397">
        <w:t>III.E.2.d</w:t>
      </w:r>
      <w:r>
        <w:fldChar w:fldCharType="end"/>
      </w:r>
      <w:r>
        <w:t>.</w:t>
      </w:r>
    </w:p>
  </w:footnote>
  <w:footnote w:id="656">
    <w:p w:rsidR="00474D51" w:rsidRPr="000800F4" w:rsidRDefault="00474D51" w:rsidP="00324CD5">
      <w:pPr>
        <w:pStyle w:val="FootnoteText"/>
      </w:pPr>
      <w:r w:rsidRPr="000800F4">
        <w:rPr>
          <w:rStyle w:val="FootnoteReference"/>
        </w:rPr>
        <w:footnoteRef/>
      </w:r>
      <w:r w:rsidRPr="000800F4">
        <w:t xml:space="preserve"> </w:t>
      </w:r>
      <w:r w:rsidRPr="000800F4">
        <w:rPr>
          <w:i/>
        </w:rPr>
        <w:t xml:space="preserve">See </w:t>
      </w:r>
      <w:r>
        <w:rPr>
          <w:i/>
        </w:rPr>
        <w:t xml:space="preserve">supra </w:t>
      </w:r>
      <w:r>
        <w:t xml:space="preserve">Part </w:t>
      </w:r>
      <w:r>
        <w:fldChar w:fldCharType="begin"/>
      </w:r>
      <w:r>
        <w:instrText xml:space="preserve"> REF _Ref446517085 \r \h </w:instrText>
      </w:r>
      <w:r>
        <w:fldChar w:fldCharType="separate"/>
      </w:r>
      <w:r w:rsidR="00327397">
        <w:t>III.E.2.e</w:t>
      </w:r>
      <w:r>
        <w:fldChar w:fldCharType="end"/>
      </w:r>
      <w:r>
        <w:t>.</w:t>
      </w:r>
    </w:p>
  </w:footnote>
  <w:footnote w:id="657">
    <w:p w:rsidR="00474D51" w:rsidRPr="000800F4" w:rsidRDefault="00474D51" w:rsidP="00324CD5">
      <w:pPr>
        <w:pStyle w:val="FootnoteText"/>
      </w:pPr>
      <w:r w:rsidRPr="000800F4">
        <w:rPr>
          <w:rStyle w:val="FootnoteReference"/>
        </w:rPr>
        <w:footnoteRef/>
      </w:r>
      <w:r w:rsidRPr="000800F4">
        <w:t xml:space="preserve"> </w:t>
      </w:r>
      <w:r w:rsidRPr="000800F4">
        <w:rPr>
          <w:i/>
        </w:rPr>
        <w:t xml:space="preserve">See </w:t>
      </w:r>
      <w:r>
        <w:rPr>
          <w:i/>
        </w:rPr>
        <w:t xml:space="preserve">supra </w:t>
      </w:r>
      <w:r>
        <w:t xml:space="preserve">Part </w:t>
      </w:r>
      <w:r>
        <w:fldChar w:fldCharType="begin"/>
      </w:r>
      <w:r>
        <w:instrText xml:space="preserve"> REF _Ref446517117 \r \h </w:instrText>
      </w:r>
      <w:r>
        <w:fldChar w:fldCharType="separate"/>
      </w:r>
      <w:r w:rsidR="00327397">
        <w:t>III.E.4</w:t>
      </w:r>
      <w:r>
        <w:fldChar w:fldCharType="end"/>
      </w:r>
      <w:r>
        <w:t>.</w:t>
      </w:r>
    </w:p>
  </w:footnote>
  <w:footnote w:id="658">
    <w:p w:rsidR="00474D51" w:rsidRPr="001358BC" w:rsidRDefault="00474D51">
      <w:pPr>
        <w:pStyle w:val="FootnoteText"/>
      </w:pPr>
      <w:r>
        <w:rPr>
          <w:rStyle w:val="FootnoteReference"/>
        </w:rPr>
        <w:footnoteRef/>
      </w:r>
      <w:r>
        <w:t xml:space="preserve"> </w:t>
      </w:r>
      <w:r>
        <w:rPr>
          <w:i/>
        </w:rPr>
        <w:t>See supra, e.g.</w:t>
      </w:r>
      <w:r>
        <w:t xml:space="preserve">, Part </w:t>
      </w:r>
      <w:r>
        <w:fldChar w:fldCharType="begin"/>
      </w:r>
      <w:r>
        <w:instrText xml:space="preserve"> REF _Ref446579591 \r \h </w:instrText>
      </w:r>
      <w:r>
        <w:fldChar w:fldCharType="separate"/>
      </w:r>
      <w:r w:rsidR="00327397">
        <w:t>III.E.2</w:t>
      </w:r>
      <w:r>
        <w:fldChar w:fldCharType="end"/>
      </w:r>
      <w:r>
        <w:t>.</w:t>
      </w:r>
    </w:p>
  </w:footnote>
  <w:footnote w:id="659">
    <w:p w:rsidR="00474D51" w:rsidRPr="000800F4" w:rsidRDefault="00474D51" w:rsidP="00324CD5">
      <w:pPr>
        <w:pStyle w:val="FootnoteText"/>
      </w:pPr>
      <w:r w:rsidRPr="000800F4">
        <w:rPr>
          <w:rStyle w:val="FootnoteReference"/>
        </w:rPr>
        <w:footnoteRef/>
      </w:r>
      <w:r w:rsidRPr="000800F4">
        <w:t xml:space="preserve"> </w:t>
      </w:r>
      <w:r w:rsidRPr="000800F4">
        <w:rPr>
          <w:i/>
        </w:rPr>
        <w:t xml:space="preserve">See </w:t>
      </w:r>
      <w:r>
        <w:rPr>
          <w:i/>
        </w:rPr>
        <w:t xml:space="preserve">supra </w:t>
      </w:r>
      <w:r>
        <w:t xml:space="preserve">Part </w:t>
      </w:r>
      <w:r>
        <w:fldChar w:fldCharType="begin"/>
      </w:r>
      <w:r>
        <w:instrText xml:space="preserve"> REF _Ref446517244 \r \h </w:instrText>
      </w:r>
      <w:r>
        <w:fldChar w:fldCharType="separate"/>
      </w:r>
      <w:r w:rsidR="00327397">
        <w:t>III.F</w:t>
      </w:r>
      <w:r>
        <w:fldChar w:fldCharType="end"/>
      </w:r>
      <w:r>
        <w:t>.</w:t>
      </w:r>
    </w:p>
  </w:footnote>
  <w:footnote w:id="660">
    <w:p w:rsidR="00474D51" w:rsidRPr="000800F4" w:rsidRDefault="00474D51" w:rsidP="00324CD5">
      <w:pPr>
        <w:pStyle w:val="FootnoteText"/>
      </w:pPr>
      <w:r w:rsidRPr="000800F4">
        <w:rPr>
          <w:rStyle w:val="FootnoteReference"/>
        </w:rPr>
        <w:footnoteRef/>
      </w:r>
      <w:r w:rsidRPr="000800F4">
        <w:t xml:space="preserve"> </w:t>
      </w:r>
      <w:r w:rsidRPr="000800F4">
        <w:rPr>
          <w:i/>
        </w:rPr>
        <w:t xml:space="preserve">See </w:t>
      </w:r>
      <w:r>
        <w:rPr>
          <w:i/>
        </w:rPr>
        <w:t xml:space="preserve">supra </w:t>
      </w:r>
      <w:r>
        <w:t xml:space="preserve">Part </w:t>
      </w:r>
      <w:r>
        <w:fldChar w:fldCharType="begin"/>
      </w:r>
      <w:r>
        <w:instrText xml:space="preserve"> REF _Ref446517271 \r \h </w:instrText>
      </w:r>
      <w:r>
        <w:fldChar w:fldCharType="separate"/>
      </w:r>
      <w:r w:rsidR="00327397">
        <w:t>III.F.1</w:t>
      </w:r>
      <w:r>
        <w:fldChar w:fldCharType="end"/>
      </w:r>
      <w:r>
        <w:t>.</w:t>
      </w:r>
    </w:p>
  </w:footnote>
  <w:footnote w:id="661">
    <w:p w:rsidR="00474D51" w:rsidRPr="000800F4" w:rsidRDefault="00474D51" w:rsidP="00324CD5">
      <w:pPr>
        <w:pStyle w:val="FootnoteText"/>
      </w:pPr>
      <w:r w:rsidRPr="000800F4">
        <w:rPr>
          <w:rStyle w:val="FootnoteReference"/>
        </w:rPr>
        <w:footnoteRef/>
      </w:r>
      <w:r w:rsidRPr="000800F4">
        <w:t xml:space="preserve"> </w:t>
      </w:r>
      <w:r w:rsidRPr="000800F4">
        <w:rPr>
          <w:i/>
        </w:rPr>
        <w:t xml:space="preserve">See </w:t>
      </w:r>
      <w:r>
        <w:rPr>
          <w:i/>
        </w:rPr>
        <w:t>id.</w:t>
      </w:r>
    </w:p>
  </w:footnote>
  <w:footnote w:id="662">
    <w:p w:rsidR="00474D51" w:rsidRDefault="00474D51" w:rsidP="00324CD5">
      <w:pPr>
        <w:pStyle w:val="FootnoteText"/>
      </w:pPr>
      <w:r w:rsidRPr="000800F4">
        <w:rPr>
          <w:rStyle w:val="FootnoteReference"/>
        </w:rPr>
        <w:footnoteRef/>
      </w:r>
      <w:r w:rsidRPr="000800F4">
        <w:t xml:space="preserve"> </w:t>
      </w:r>
      <w:r w:rsidRPr="000800F4">
        <w:rPr>
          <w:i/>
        </w:rPr>
        <w:t xml:space="preserve">See </w:t>
      </w:r>
      <w:r>
        <w:rPr>
          <w:i/>
        </w:rPr>
        <w:t xml:space="preserve">supra </w:t>
      </w:r>
      <w:r>
        <w:t xml:space="preserve">Part </w:t>
      </w:r>
      <w:r>
        <w:fldChar w:fldCharType="begin"/>
      </w:r>
      <w:r>
        <w:instrText xml:space="preserve"> REF _Ref446517310 \r \h </w:instrText>
      </w:r>
      <w:r>
        <w:fldChar w:fldCharType="separate"/>
      </w:r>
      <w:r w:rsidR="00327397">
        <w:t>III.F.2</w:t>
      </w:r>
      <w:r>
        <w:fldChar w:fldCharType="end"/>
      </w:r>
      <w:r>
        <w:t>.</w:t>
      </w:r>
    </w:p>
  </w:footnote>
  <w:footnote w:id="663">
    <w:p w:rsidR="00474D51" w:rsidRPr="000800F4" w:rsidRDefault="00474D51" w:rsidP="00324CD5">
      <w:pPr>
        <w:pStyle w:val="FootnoteText"/>
      </w:pPr>
      <w:r>
        <w:rPr>
          <w:rStyle w:val="FootnoteReference"/>
        </w:rPr>
        <w:footnoteRef/>
      </w:r>
      <w:r>
        <w:t xml:space="preserve"> </w:t>
      </w:r>
      <w:r w:rsidRPr="000800F4">
        <w:rPr>
          <w:i/>
        </w:rPr>
        <w:t xml:space="preserve">See </w:t>
      </w:r>
      <w:r>
        <w:rPr>
          <w:i/>
        </w:rPr>
        <w:t xml:space="preserve">supra </w:t>
      </w:r>
      <w:r>
        <w:t xml:space="preserve">Part </w:t>
      </w:r>
      <w:r>
        <w:fldChar w:fldCharType="begin"/>
      </w:r>
      <w:r>
        <w:instrText xml:space="preserve"> REF _Ref446517332 \r \h </w:instrText>
      </w:r>
      <w:r>
        <w:fldChar w:fldCharType="separate"/>
      </w:r>
      <w:r w:rsidR="00327397">
        <w:t>III.F.3</w:t>
      </w:r>
      <w:r>
        <w:fldChar w:fldCharType="end"/>
      </w:r>
      <w:r>
        <w:t>.</w:t>
      </w:r>
    </w:p>
  </w:footnote>
  <w:footnote w:id="664">
    <w:p w:rsidR="00474D51" w:rsidRPr="000800F4" w:rsidRDefault="00474D51" w:rsidP="00324CD5">
      <w:pPr>
        <w:pStyle w:val="FootnoteText"/>
      </w:pPr>
      <w:r w:rsidRPr="000800F4">
        <w:rPr>
          <w:rStyle w:val="FootnoteReference"/>
        </w:rPr>
        <w:footnoteRef/>
      </w:r>
      <w:r w:rsidRPr="000800F4">
        <w:t xml:space="preserve"> </w:t>
      </w:r>
      <w:r w:rsidRPr="000800F4">
        <w:rPr>
          <w:i/>
        </w:rPr>
        <w:t xml:space="preserve">See </w:t>
      </w:r>
      <w:r>
        <w:rPr>
          <w:i/>
        </w:rPr>
        <w:t xml:space="preserve">supra </w:t>
      </w:r>
      <w:r>
        <w:t xml:space="preserve">Part </w:t>
      </w:r>
      <w:r>
        <w:fldChar w:fldCharType="begin"/>
      </w:r>
      <w:r>
        <w:instrText xml:space="preserve"> REF _Ref446517366 \r \h </w:instrText>
      </w:r>
      <w:r>
        <w:fldChar w:fldCharType="separate"/>
      </w:r>
      <w:r w:rsidR="00327397">
        <w:t>III.F.5</w:t>
      </w:r>
      <w:r>
        <w:fldChar w:fldCharType="end"/>
      </w:r>
      <w:r>
        <w:t>.</w:t>
      </w:r>
    </w:p>
  </w:footnote>
  <w:footnote w:id="665">
    <w:p w:rsidR="00474D51" w:rsidRPr="003456ED" w:rsidRDefault="00474D51">
      <w:pPr>
        <w:pStyle w:val="FootnoteText"/>
      </w:pPr>
      <w:r>
        <w:rPr>
          <w:rStyle w:val="FootnoteReference"/>
        </w:rPr>
        <w:footnoteRef/>
      </w:r>
      <w:r>
        <w:t xml:space="preserve"> </w:t>
      </w:r>
      <w:r>
        <w:rPr>
          <w:i/>
        </w:rPr>
        <w:t>See supra, e.g.</w:t>
      </w:r>
      <w:r>
        <w:t xml:space="preserve">, para. </w:t>
      </w:r>
      <w:r>
        <w:fldChar w:fldCharType="begin"/>
      </w:r>
      <w:r>
        <w:instrText xml:space="preserve"> REF _Ref446579773 \r \h </w:instrText>
      </w:r>
      <w:r>
        <w:fldChar w:fldCharType="separate"/>
      </w:r>
      <w:r w:rsidR="00327397">
        <w:t>244</w:t>
      </w:r>
      <w:r>
        <w:fldChar w:fldCharType="end"/>
      </w:r>
      <w:r>
        <w:t>.</w:t>
      </w:r>
    </w:p>
  </w:footnote>
  <w:footnote w:id="666">
    <w:p w:rsidR="00474D51" w:rsidRPr="000800F4" w:rsidRDefault="00474D51" w:rsidP="00324CD5">
      <w:pPr>
        <w:pStyle w:val="FootnoteText"/>
      </w:pPr>
      <w:r w:rsidRPr="000800F4">
        <w:rPr>
          <w:rStyle w:val="FootnoteReference"/>
        </w:rPr>
        <w:footnoteRef/>
      </w:r>
      <w:r w:rsidRPr="000800F4">
        <w:t xml:space="preserve"> </w:t>
      </w:r>
      <w:r w:rsidRPr="000800F4">
        <w:rPr>
          <w:i/>
        </w:rPr>
        <w:t xml:space="preserve">See </w:t>
      </w:r>
      <w:r>
        <w:rPr>
          <w:i/>
        </w:rPr>
        <w:t xml:space="preserve">supra </w:t>
      </w:r>
      <w:r>
        <w:t xml:space="preserve">Part </w:t>
      </w:r>
      <w:r>
        <w:fldChar w:fldCharType="begin"/>
      </w:r>
      <w:r>
        <w:instrText xml:space="preserve"> REF _Ref446517432 \r \h </w:instrText>
      </w:r>
      <w:r>
        <w:fldChar w:fldCharType="separate"/>
      </w:r>
      <w:r w:rsidR="00327397">
        <w:t>III.G</w:t>
      </w:r>
      <w:r>
        <w:fldChar w:fldCharType="end"/>
      </w:r>
      <w:r>
        <w:t>.</w:t>
      </w:r>
    </w:p>
  </w:footnote>
  <w:footnote w:id="667">
    <w:p w:rsidR="00474D51" w:rsidRPr="0087160A" w:rsidRDefault="00474D51" w:rsidP="00324CD5">
      <w:pPr>
        <w:pStyle w:val="FootnoteText"/>
        <w:rPr>
          <w:i/>
        </w:rPr>
      </w:pPr>
      <w:r w:rsidRPr="000800F4">
        <w:rPr>
          <w:rStyle w:val="FootnoteReference"/>
        </w:rPr>
        <w:footnoteRef/>
      </w:r>
      <w:r w:rsidRPr="000800F4">
        <w:t xml:space="preserve"> </w:t>
      </w:r>
      <w:r w:rsidRPr="000800F4">
        <w:rPr>
          <w:i/>
        </w:rPr>
        <w:t xml:space="preserve">See </w:t>
      </w:r>
      <w:r>
        <w:rPr>
          <w:i/>
        </w:rPr>
        <w:t>id.</w:t>
      </w:r>
    </w:p>
  </w:footnote>
  <w:footnote w:id="668">
    <w:p w:rsidR="00474D51" w:rsidRPr="000800F4" w:rsidRDefault="00474D51" w:rsidP="00324CD5">
      <w:pPr>
        <w:pStyle w:val="FootnoteText"/>
      </w:pPr>
      <w:r w:rsidRPr="000800F4">
        <w:rPr>
          <w:rStyle w:val="FootnoteReference"/>
        </w:rPr>
        <w:footnoteRef/>
      </w:r>
      <w:r w:rsidRPr="000800F4">
        <w:t xml:space="preserve"> </w:t>
      </w:r>
      <w:r w:rsidRPr="000800F4">
        <w:rPr>
          <w:i/>
        </w:rPr>
        <w:t xml:space="preserve">See </w:t>
      </w:r>
      <w:r>
        <w:rPr>
          <w:i/>
        </w:rPr>
        <w:t>id.</w:t>
      </w:r>
    </w:p>
  </w:footnote>
  <w:footnote w:id="669">
    <w:p w:rsidR="00474D51" w:rsidRPr="000800F4" w:rsidRDefault="00474D51" w:rsidP="00324CD5">
      <w:pPr>
        <w:pStyle w:val="FootnoteText"/>
      </w:pPr>
      <w:r w:rsidRPr="000800F4">
        <w:rPr>
          <w:rStyle w:val="FootnoteReference"/>
        </w:rPr>
        <w:footnoteRef/>
      </w:r>
      <w:r w:rsidRPr="000800F4">
        <w:t xml:space="preserve"> </w:t>
      </w:r>
      <w:r w:rsidRPr="000800F4">
        <w:rPr>
          <w:i/>
        </w:rPr>
        <w:t xml:space="preserve">See </w:t>
      </w:r>
      <w:r>
        <w:rPr>
          <w:i/>
        </w:rPr>
        <w:t>id.</w:t>
      </w:r>
    </w:p>
  </w:footnote>
  <w:footnote w:id="670">
    <w:p w:rsidR="00474D51" w:rsidRPr="000800F4" w:rsidRDefault="00474D51" w:rsidP="00324CD5">
      <w:pPr>
        <w:pStyle w:val="FootnoteText"/>
      </w:pPr>
      <w:r w:rsidRPr="000800F4">
        <w:rPr>
          <w:rStyle w:val="FootnoteReference"/>
        </w:rPr>
        <w:footnoteRef/>
      </w:r>
      <w:r w:rsidRPr="000800F4">
        <w:t xml:space="preserve"> </w:t>
      </w:r>
      <w:r w:rsidRPr="000800F4">
        <w:rPr>
          <w:i/>
        </w:rPr>
        <w:t xml:space="preserve">See </w:t>
      </w:r>
      <w:r>
        <w:rPr>
          <w:i/>
        </w:rPr>
        <w:t>id.</w:t>
      </w:r>
    </w:p>
  </w:footnote>
  <w:footnote w:id="671">
    <w:p w:rsidR="00474D51" w:rsidRPr="000800F4" w:rsidRDefault="00474D51" w:rsidP="00324CD5">
      <w:pPr>
        <w:pStyle w:val="FootnoteText"/>
      </w:pPr>
      <w:r w:rsidRPr="000800F4">
        <w:rPr>
          <w:rStyle w:val="FootnoteReference"/>
        </w:rPr>
        <w:footnoteRef/>
      </w:r>
      <w:r w:rsidRPr="000800F4">
        <w:t xml:space="preserve"> </w:t>
      </w:r>
      <w:r w:rsidRPr="000800F4">
        <w:rPr>
          <w:i/>
        </w:rPr>
        <w:t xml:space="preserve">See </w:t>
      </w:r>
      <w:r>
        <w:rPr>
          <w:i/>
        </w:rPr>
        <w:t>id.</w:t>
      </w:r>
    </w:p>
  </w:footnote>
  <w:footnote w:id="672">
    <w:p w:rsidR="00474D51" w:rsidRPr="000800F4" w:rsidRDefault="00474D51" w:rsidP="00324CD5">
      <w:pPr>
        <w:pStyle w:val="FootnoteText"/>
      </w:pPr>
      <w:r w:rsidRPr="000800F4">
        <w:rPr>
          <w:rStyle w:val="FootnoteReference"/>
        </w:rPr>
        <w:footnoteRef/>
      </w:r>
      <w:r w:rsidRPr="000800F4">
        <w:t xml:space="preserve"> </w:t>
      </w:r>
      <w:r w:rsidRPr="000800F4">
        <w:rPr>
          <w:i/>
        </w:rPr>
        <w:t xml:space="preserve">See </w:t>
      </w:r>
      <w:r>
        <w:rPr>
          <w:i/>
        </w:rPr>
        <w:t xml:space="preserve">supra </w:t>
      </w:r>
      <w:r>
        <w:t xml:space="preserve">Part </w:t>
      </w:r>
      <w:r>
        <w:fldChar w:fldCharType="begin"/>
      </w:r>
      <w:r>
        <w:instrText xml:space="preserve"> REF _Ref446517499 \r \h </w:instrText>
      </w:r>
      <w:r>
        <w:fldChar w:fldCharType="separate"/>
      </w:r>
      <w:r w:rsidR="00327397">
        <w:t>III.H</w:t>
      </w:r>
      <w:r>
        <w:fldChar w:fldCharType="end"/>
      </w:r>
      <w:r>
        <w:t>.</w:t>
      </w:r>
    </w:p>
  </w:footnote>
  <w:footnote w:id="673">
    <w:p w:rsidR="00474D51" w:rsidRPr="0087160A" w:rsidRDefault="00474D51" w:rsidP="00324CD5">
      <w:pPr>
        <w:pStyle w:val="FootnoteText"/>
      </w:pPr>
      <w:r w:rsidRPr="000800F4">
        <w:rPr>
          <w:rStyle w:val="FootnoteReference"/>
        </w:rPr>
        <w:footnoteRef/>
      </w:r>
      <w:r w:rsidRPr="000800F4">
        <w:t xml:space="preserve"> </w:t>
      </w:r>
      <w:r w:rsidRPr="000800F4">
        <w:rPr>
          <w:i/>
        </w:rPr>
        <w:t xml:space="preserve">See </w:t>
      </w:r>
      <w:r>
        <w:rPr>
          <w:i/>
        </w:rPr>
        <w:t>id</w:t>
      </w:r>
      <w:r>
        <w:t>.</w:t>
      </w:r>
    </w:p>
  </w:footnote>
  <w:footnote w:id="674">
    <w:p w:rsidR="00474D51" w:rsidRDefault="00474D51" w:rsidP="00324CD5">
      <w:pPr>
        <w:pStyle w:val="FootnoteText"/>
      </w:pPr>
      <w:r w:rsidRPr="000800F4">
        <w:rPr>
          <w:rStyle w:val="FootnoteReference"/>
        </w:rPr>
        <w:footnoteRef/>
      </w:r>
      <w:r w:rsidRPr="000800F4">
        <w:t xml:space="preserve"> 5 U.S.C. § 603(c)(1)–(c)(4).</w:t>
      </w:r>
    </w:p>
  </w:footnote>
  <w:footnote w:id="675">
    <w:p w:rsidR="00474D51" w:rsidRPr="000800F4" w:rsidRDefault="00474D51" w:rsidP="00324CD5">
      <w:pPr>
        <w:pStyle w:val="FootnoteText"/>
      </w:pPr>
      <w:r>
        <w:rPr>
          <w:rStyle w:val="FootnoteReference"/>
        </w:rPr>
        <w:footnoteRef/>
      </w:r>
      <w:r>
        <w:t xml:space="preserve"> </w:t>
      </w:r>
      <w:r w:rsidRPr="000800F4">
        <w:rPr>
          <w:i/>
        </w:rPr>
        <w:t>See, e.g.</w:t>
      </w:r>
      <w:r w:rsidRPr="000800F4">
        <w:t>,</w:t>
      </w:r>
      <w:r w:rsidRPr="000800F4">
        <w:rPr>
          <w:i/>
        </w:rPr>
        <w:t xml:space="preserve"> </w:t>
      </w:r>
      <w:r>
        <w:t xml:space="preserve">Part </w:t>
      </w:r>
      <w:r>
        <w:fldChar w:fldCharType="begin"/>
      </w:r>
      <w:r>
        <w:instrText xml:space="preserve"> REF _Ref446518434 \r \h </w:instrText>
      </w:r>
      <w:r>
        <w:fldChar w:fldCharType="separate"/>
      </w:r>
      <w:r w:rsidR="00327397">
        <w:t>III.E.3</w:t>
      </w:r>
      <w:r>
        <w:fldChar w:fldCharType="end"/>
      </w:r>
      <w:r>
        <w:t>.</w:t>
      </w:r>
    </w:p>
  </w:footnote>
  <w:footnote w:id="676">
    <w:p w:rsidR="00474D51" w:rsidRPr="000800F4" w:rsidRDefault="00474D51" w:rsidP="00324CD5">
      <w:pPr>
        <w:pStyle w:val="FootnoteText"/>
      </w:pPr>
      <w:r w:rsidRPr="000800F4">
        <w:rPr>
          <w:rStyle w:val="FootnoteReference"/>
        </w:rPr>
        <w:footnoteRef/>
      </w:r>
      <w:r w:rsidRPr="000800F4">
        <w:t xml:space="preserve"> </w:t>
      </w:r>
      <w:r w:rsidRPr="000800F4">
        <w:rPr>
          <w:i/>
        </w:rPr>
        <w:t xml:space="preserve">See </w:t>
      </w:r>
      <w:r>
        <w:rPr>
          <w:i/>
        </w:rPr>
        <w:t xml:space="preserve">supra </w:t>
      </w:r>
      <w:r>
        <w:t xml:space="preserve">Part </w:t>
      </w:r>
      <w:r>
        <w:fldChar w:fldCharType="begin"/>
      </w:r>
      <w:r>
        <w:instrText xml:space="preserve"> REF _Ref446518454 \r \h </w:instrText>
      </w:r>
      <w:r>
        <w:fldChar w:fldCharType="separate"/>
      </w:r>
      <w:r w:rsidR="00327397">
        <w:t>III.A</w:t>
      </w:r>
      <w:r>
        <w:fldChar w:fldCharType="end"/>
      </w:r>
      <w:r>
        <w:t>.</w:t>
      </w:r>
    </w:p>
  </w:footnote>
  <w:footnote w:id="677">
    <w:p w:rsidR="00474D51" w:rsidRPr="000800F4" w:rsidRDefault="00474D51" w:rsidP="00324CD5">
      <w:pPr>
        <w:pStyle w:val="FootnoteText"/>
      </w:pPr>
      <w:r w:rsidRPr="000800F4">
        <w:rPr>
          <w:rStyle w:val="FootnoteReference"/>
        </w:rPr>
        <w:footnoteRef/>
      </w:r>
      <w:r w:rsidRPr="000800F4">
        <w:t xml:space="preserve"> </w:t>
      </w:r>
      <w:r w:rsidRPr="000800F4">
        <w:rPr>
          <w:i/>
        </w:rPr>
        <w:t xml:space="preserve">See </w:t>
      </w:r>
      <w:r>
        <w:rPr>
          <w:i/>
        </w:rPr>
        <w:t xml:space="preserve">supra </w:t>
      </w:r>
      <w:r>
        <w:t xml:space="preserve">Part </w:t>
      </w:r>
      <w:r>
        <w:fldChar w:fldCharType="begin"/>
      </w:r>
      <w:r>
        <w:instrText xml:space="preserve"> REF _Ref446518467 \r \h </w:instrText>
      </w:r>
      <w:r>
        <w:fldChar w:fldCharType="separate"/>
      </w:r>
      <w:r w:rsidR="00327397">
        <w:t>III.A.2</w:t>
      </w:r>
      <w:r>
        <w:fldChar w:fldCharType="end"/>
      </w:r>
      <w:r>
        <w:t>.</w:t>
      </w:r>
    </w:p>
  </w:footnote>
  <w:footnote w:id="678">
    <w:p w:rsidR="00474D51" w:rsidRPr="000800F4" w:rsidRDefault="00474D51" w:rsidP="00324CD5">
      <w:pPr>
        <w:pStyle w:val="FootnoteText"/>
      </w:pPr>
      <w:r w:rsidRPr="000800F4">
        <w:rPr>
          <w:rStyle w:val="FootnoteReference"/>
        </w:rPr>
        <w:footnoteRef/>
      </w:r>
      <w:r w:rsidRPr="000800F4">
        <w:t xml:space="preserve"> </w:t>
      </w:r>
      <w:r w:rsidRPr="000800F4">
        <w:rPr>
          <w:i/>
        </w:rPr>
        <w:t xml:space="preserve">See </w:t>
      </w:r>
      <w:r>
        <w:rPr>
          <w:i/>
        </w:rPr>
        <w:t xml:space="preserve">supra </w:t>
      </w:r>
      <w:r>
        <w:t xml:space="preserve">Part </w:t>
      </w:r>
      <w:r>
        <w:fldChar w:fldCharType="begin"/>
      </w:r>
      <w:r>
        <w:instrText xml:space="preserve"> REF _Ref446518477 \r \h </w:instrText>
      </w:r>
      <w:r>
        <w:fldChar w:fldCharType="separate"/>
      </w:r>
      <w:r w:rsidR="00327397">
        <w:t>III.A.3</w:t>
      </w:r>
      <w:r>
        <w:fldChar w:fldCharType="end"/>
      </w:r>
      <w:r>
        <w:t>.</w:t>
      </w:r>
    </w:p>
  </w:footnote>
  <w:footnote w:id="679">
    <w:p w:rsidR="00474D51" w:rsidRPr="000800F4" w:rsidRDefault="00474D51" w:rsidP="00324CD5">
      <w:pPr>
        <w:pStyle w:val="FootnoteText"/>
      </w:pPr>
      <w:r w:rsidRPr="000800F4">
        <w:rPr>
          <w:rStyle w:val="FootnoteReference"/>
        </w:rPr>
        <w:footnoteRef/>
      </w:r>
      <w:r w:rsidRPr="000800F4">
        <w:t xml:space="preserve"> </w:t>
      </w:r>
      <w:r w:rsidRPr="000800F4">
        <w:rPr>
          <w:i/>
        </w:rPr>
        <w:t xml:space="preserve">See </w:t>
      </w:r>
      <w:r>
        <w:rPr>
          <w:i/>
        </w:rPr>
        <w:t xml:space="preserve">supra </w:t>
      </w:r>
      <w:r>
        <w:t xml:space="preserve">Part </w:t>
      </w:r>
      <w:r>
        <w:fldChar w:fldCharType="begin"/>
      </w:r>
      <w:r>
        <w:instrText xml:space="preserve"> REF _Ref446518488 \r \h </w:instrText>
      </w:r>
      <w:r>
        <w:fldChar w:fldCharType="separate"/>
      </w:r>
      <w:r w:rsidR="00327397">
        <w:t>III.A.4</w:t>
      </w:r>
      <w:r>
        <w:fldChar w:fldCharType="end"/>
      </w:r>
      <w:r>
        <w:t>.</w:t>
      </w:r>
    </w:p>
  </w:footnote>
  <w:footnote w:id="680">
    <w:p w:rsidR="00474D51" w:rsidRPr="000800F4" w:rsidRDefault="00474D51" w:rsidP="00324CD5">
      <w:pPr>
        <w:pStyle w:val="FootnoteText"/>
      </w:pPr>
      <w:r w:rsidRPr="000800F4">
        <w:rPr>
          <w:rStyle w:val="FootnoteReference"/>
        </w:rPr>
        <w:footnoteRef/>
      </w:r>
      <w:r w:rsidRPr="000800F4">
        <w:t xml:space="preserve"> </w:t>
      </w:r>
      <w:r w:rsidRPr="000800F4">
        <w:rPr>
          <w:i/>
        </w:rPr>
        <w:t xml:space="preserve">See </w:t>
      </w:r>
      <w:r>
        <w:rPr>
          <w:i/>
        </w:rPr>
        <w:t xml:space="preserve">supra </w:t>
      </w:r>
      <w:r>
        <w:t xml:space="preserve">Part </w:t>
      </w:r>
      <w:r>
        <w:fldChar w:fldCharType="begin"/>
      </w:r>
      <w:r>
        <w:instrText xml:space="preserve"> REF _Ref446518556 \r \h </w:instrText>
      </w:r>
      <w:r>
        <w:fldChar w:fldCharType="separate"/>
      </w:r>
      <w:r w:rsidR="00327397">
        <w:t>III.A.5</w:t>
      </w:r>
      <w:r>
        <w:fldChar w:fldCharType="end"/>
      </w:r>
      <w:r>
        <w:t>.</w:t>
      </w:r>
    </w:p>
  </w:footnote>
  <w:footnote w:id="681">
    <w:p w:rsidR="00474D51" w:rsidRPr="000800F4" w:rsidRDefault="00474D51" w:rsidP="00324CD5">
      <w:pPr>
        <w:pStyle w:val="FootnoteText"/>
      </w:pPr>
      <w:r w:rsidRPr="000800F4">
        <w:rPr>
          <w:rStyle w:val="FootnoteReference"/>
        </w:rPr>
        <w:footnoteRef/>
      </w:r>
      <w:r w:rsidRPr="000800F4">
        <w:t xml:space="preserve"> </w:t>
      </w:r>
      <w:r w:rsidRPr="000800F4">
        <w:rPr>
          <w:i/>
        </w:rPr>
        <w:t xml:space="preserve">See </w:t>
      </w:r>
      <w:r>
        <w:rPr>
          <w:i/>
        </w:rPr>
        <w:t xml:space="preserve">supra </w:t>
      </w:r>
      <w:r>
        <w:t xml:space="preserve">Part </w:t>
      </w:r>
      <w:r>
        <w:fldChar w:fldCharType="begin"/>
      </w:r>
      <w:r>
        <w:instrText xml:space="preserve"> REF _Ref446518571 \r \h </w:instrText>
      </w:r>
      <w:r>
        <w:fldChar w:fldCharType="separate"/>
      </w:r>
      <w:r w:rsidR="00327397">
        <w:t>III.A.8</w:t>
      </w:r>
      <w:r>
        <w:fldChar w:fldCharType="end"/>
      </w:r>
      <w:r>
        <w:t>.</w:t>
      </w:r>
    </w:p>
  </w:footnote>
  <w:footnote w:id="682">
    <w:p w:rsidR="00474D51" w:rsidRPr="000800F4" w:rsidRDefault="00474D51" w:rsidP="00324CD5">
      <w:pPr>
        <w:pStyle w:val="FootnoteText"/>
      </w:pPr>
      <w:r w:rsidRPr="000800F4">
        <w:rPr>
          <w:rStyle w:val="FootnoteReference"/>
        </w:rPr>
        <w:footnoteRef/>
      </w:r>
      <w:r w:rsidRPr="000800F4">
        <w:t xml:space="preserve"> </w:t>
      </w:r>
      <w:r w:rsidRPr="000800F4">
        <w:rPr>
          <w:i/>
        </w:rPr>
        <w:t xml:space="preserve">See </w:t>
      </w:r>
      <w:r>
        <w:rPr>
          <w:i/>
        </w:rPr>
        <w:t xml:space="preserve">supra </w:t>
      </w:r>
      <w:r>
        <w:t xml:space="preserve">Part </w:t>
      </w:r>
      <w:r>
        <w:fldChar w:fldCharType="begin"/>
      </w:r>
      <w:r>
        <w:instrText xml:space="preserve"> REF _Ref446518587 \r \h </w:instrText>
      </w:r>
      <w:r>
        <w:fldChar w:fldCharType="separate"/>
      </w:r>
      <w:r w:rsidR="00327397">
        <w:t>III.A.9</w:t>
      </w:r>
      <w:r>
        <w:fldChar w:fldCharType="end"/>
      </w:r>
      <w:r>
        <w:t>.</w:t>
      </w:r>
    </w:p>
  </w:footnote>
  <w:footnote w:id="683">
    <w:p w:rsidR="00474D51" w:rsidRPr="000800F4" w:rsidRDefault="00474D51" w:rsidP="00324CD5">
      <w:pPr>
        <w:pStyle w:val="FootnoteText"/>
      </w:pPr>
      <w:r w:rsidRPr="000800F4">
        <w:rPr>
          <w:rStyle w:val="FootnoteReference"/>
        </w:rPr>
        <w:footnoteRef/>
      </w:r>
      <w:r w:rsidRPr="000800F4">
        <w:t xml:space="preserve"> </w:t>
      </w:r>
      <w:r w:rsidRPr="000800F4">
        <w:rPr>
          <w:i/>
        </w:rPr>
        <w:t xml:space="preserve">See </w:t>
      </w:r>
      <w:r>
        <w:rPr>
          <w:i/>
        </w:rPr>
        <w:t xml:space="preserve">supra </w:t>
      </w:r>
      <w:r>
        <w:t xml:space="preserve">Part </w:t>
      </w:r>
      <w:r>
        <w:fldChar w:fldCharType="begin"/>
      </w:r>
      <w:r>
        <w:instrText xml:space="preserve"> REF _Ref446518617 \r \h </w:instrText>
      </w:r>
      <w:r>
        <w:fldChar w:fldCharType="separate"/>
      </w:r>
      <w:r w:rsidR="00327397">
        <w:t>III.A.11</w:t>
      </w:r>
      <w:r>
        <w:fldChar w:fldCharType="end"/>
      </w:r>
      <w:r>
        <w:t>.</w:t>
      </w:r>
    </w:p>
  </w:footnote>
  <w:footnote w:id="684">
    <w:p w:rsidR="00474D51" w:rsidRPr="000800F4" w:rsidRDefault="00474D51" w:rsidP="00324CD5">
      <w:pPr>
        <w:pStyle w:val="FootnoteText"/>
      </w:pPr>
      <w:r w:rsidRPr="000800F4">
        <w:rPr>
          <w:rStyle w:val="FootnoteReference"/>
        </w:rPr>
        <w:footnoteRef/>
      </w:r>
      <w:r w:rsidRPr="000800F4">
        <w:t xml:space="preserve"> </w:t>
      </w:r>
      <w:r w:rsidRPr="000800F4">
        <w:rPr>
          <w:i/>
        </w:rPr>
        <w:t xml:space="preserve">See </w:t>
      </w:r>
      <w:r>
        <w:rPr>
          <w:i/>
        </w:rPr>
        <w:t xml:space="preserve">supra </w:t>
      </w:r>
      <w:r>
        <w:t xml:space="preserve">Part </w:t>
      </w:r>
      <w:r>
        <w:fldChar w:fldCharType="begin"/>
      </w:r>
      <w:r>
        <w:instrText xml:space="preserve"> REF _Ref446518632 \r \h </w:instrText>
      </w:r>
      <w:r>
        <w:fldChar w:fldCharType="separate"/>
      </w:r>
      <w:r w:rsidR="00327397">
        <w:t>III.A.12</w:t>
      </w:r>
      <w:r>
        <w:fldChar w:fldCharType="end"/>
      </w:r>
      <w:r>
        <w:t>.</w:t>
      </w:r>
    </w:p>
  </w:footnote>
  <w:footnote w:id="685">
    <w:p w:rsidR="00474D51" w:rsidRPr="000800F4" w:rsidRDefault="00474D51" w:rsidP="00324CD5">
      <w:pPr>
        <w:pStyle w:val="FootnoteText"/>
      </w:pPr>
      <w:r w:rsidRPr="000800F4">
        <w:rPr>
          <w:rStyle w:val="FootnoteReference"/>
        </w:rPr>
        <w:footnoteRef/>
      </w:r>
      <w:r w:rsidRPr="000800F4">
        <w:t xml:space="preserve"> </w:t>
      </w:r>
      <w:r w:rsidRPr="000800F4">
        <w:rPr>
          <w:i/>
        </w:rPr>
        <w:t xml:space="preserve">See </w:t>
      </w:r>
      <w:r>
        <w:rPr>
          <w:i/>
        </w:rPr>
        <w:t xml:space="preserve">generally supra </w:t>
      </w:r>
      <w:r>
        <w:t xml:space="preserve">Part </w:t>
      </w:r>
      <w:r>
        <w:fldChar w:fldCharType="begin"/>
      </w:r>
      <w:r>
        <w:instrText xml:space="preserve"> REF _Ref446518454 \r \h </w:instrText>
      </w:r>
      <w:r>
        <w:fldChar w:fldCharType="separate"/>
      </w:r>
      <w:r w:rsidR="00327397">
        <w:t>III.A</w:t>
      </w:r>
      <w:r>
        <w:fldChar w:fldCharType="end"/>
      </w:r>
      <w:r>
        <w:t>.</w:t>
      </w:r>
    </w:p>
  </w:footnote>
  <w:footnote w:id="686">
    <w:p w:rsidR="00474D51" w:rsidRPr="000800F4" w:rsidRDefault="00474D51" w:rsidP="00324CD5">
      <w:pPr>
        <w:pStyle w:val="FootnoteText"/>
      </w:pPr>
      <w:r w:rsidRPr="000800F4">
        <w:rPr>
          <w:rStyle w:val="FootnoteReference"/>
        </w:rPr>
        <w:footnoteRef/>
      </w:r>
      <w:r w:rsidRPr="000800F4">
        <w:t xml:space="preserve"> </w:t>
      </w:r>
      <w:r w:rsidRPr="000800F4">
        <w:rPr>
          <w:i/>
        </w:rPr>
        <w:t xml:space="preserve">See </w:t>
      </w:r>
      <w:r>
        <w:rPr>
          <w:i/>
        </w:rPr>
        <w:t xml:space="preserve">supra </w:t>
      </w:r>
      <w:r>
        <w:t xml:space="preserve">Part </w:t>
      </w:r>
      <w:r>
        <w:fldChar w:fldCharType="begin"/>
      </w:r>
      <w:r>
        <w:instrText xml:space="preserve"> REF _Ref446518962 \r \h </w:instrText>
      </w:r>
      <w:r>
        <w:fldChar w:fldCharType="separate"/>
      </w:r>
      <w:r w:rsidR="00327397">
        <w:t>III.B</w:t>
      </w:r>
      <w:r>
        <w:fldChar w:fldCharType="end"/>
      </w:r>
      <w:r>
        <w:t>.</w:t>
      </w:r>
    </w:p>
  </w:footnote>
  <w:footnote w:id="687">
    <w:p w:rsidR="00474D51" w:rsidRPr="003456ED" w:rsidRDefault="00474D51" w:rsidP="00324CD5">
      <w:pPr>
        <w:pStyle w:val="FootnoteText"/>
      </w:pPr>
      <w:r w:rsidRPr="000800F4">
        <w:rPr>
          <w:rStyle w:val="FootnoteReference"/>
        </w:rPr>
        <w:footnoteRef/>
      </w:r>
      <w:r w:rsidRPr="000800F4">
        <w:t xml:space="preserve"> </w:t>
      </w:r>
      <w:r w:rsidRPr="000800F4">
        <w:rPr>
          <w:i/>
        </w:rPr>
        <w:t>See</w:t>
      </w:r>
      <w:r>
        <w:rPr>
          <w:i/>
        </w:rPr>
        <w:t xml:space="preserve"> supra</w:t>
      </w:r>
      <w:r>
        <w:t xml:space="preserve"> para. </w:t>
      </w:r>
      <w:r>
        <w:fldChar w:fldCharType="begin"/>
      </w:r>
      <w:r>
        <w:instrText xml:space="preserve"> REF _Ref446580069 \r \h </w:instrText>
      </w:r>
      <w:r>
        <w:fldChar w:fldCharType="separate"/>
      </w:r>
      <w:r w:rsidR="00327397">
        <w:t>84</w:t>
      </w:r>
      <w:r>
        <w:fldChar w:fldCharType="end"/>
      </w:r>
      <w:r>
        <w:t>.</w:t>
      </w:r>
    </w:p>
  </w:footnote>
  <w:footnote w:id="688">
    <w:p w:rsidR="00474D51" w:rsidRPr="000800F4" w:rsidRDefault="00474D51" w:rsidP="00324CD5">
      <w:pPr>
        <w:pStyle w:val="FootnoteText"/>
      </w:pPr>
      <w:r w:rsidRPr="000800F4">
        <w:rPr>
          <w:rStyle w:val="FootnoteReference"/>
        </w:rPr>
        <w:footnoteRef/>
      </w:r>
      <w:r w:rsidRPr="000800F4">
        <w:t xml:space="preserve"> </w:t>
      </w:r>
      <w:r w:rsidRPr="000800F4">
        <w:rPr>
          <w:i/>
        </w:rPr>
        <w:t>See</w:t>
      </w:r>
      <w:r>
        <w:rPr>
          <w:i/>
        </w:rPr>
        <w:t xml:space="preserve"> supra</w:t>
      </w:r>
      <w:r>
        <w:t xml:space="preserve"> para. </w:t>
      </w:r>
      <w:r>
        <w:fldChar w:fldCharType="begin"/>
      </w:r>
      <w:r>
        <w:instrText xml:space="preserve"> REF _Ref446580101 \r \h </w:instrText>
      </w:r>
      <w:r>
        <w:fldChar w:fldCharType="separate"/>
      </w:r>
      <w:r w:rsidR="00327397">
        <w:t>89</w:t>
      </w:r>
      <w:r>
        <w:fldChar w:fldCharType="end"/>
      </w:r>
      <w:r>
        <w:t>.</w:t>
      </w:r>
    </w:p>
  </w:footnote>
  <w:footnote w:id="689">
    <w:p w:rsidR="00474D51" w:rsidRPr="000800F4" w:rsidRDefault="00474D51" w:rsidP="00324CD5">
      <w:pPr>
        <w:pStyle w:val="FootnoteText"/>
      </w:pPr>
      <w:r w:rsidRPr="000800F4">
        <w:rPr>
          <w:rStyle w:val="FootnoteReference"/>
        </w:rPr>
        <w:footnoteRef/>
      </w:r>
      <w:r w:rsidRPr="000800F4">
        <w:t xml:space="preserve"> </w:t>
      </w:r>
      <w:r w:rsidRPr="000800F4">
        <w:rPr>
          <w:i/>
        </w:rPr>
        <w:t>See</w:t>
      </w:r>
      <w:r>
        <w:rPr>
          <w:i/>
        </w:rPr>
        <w:t xml:space="preserve"> supra</w:t>
      </w:r>
      <w:r>
        <w:t xml:space="preserve"> para. </w:t>
      </w:r>
      <w:r>
        <w:fldChar w:fldCharType="begin"/>
      </w:r>
      <w:r>
        <w:instrText xml:space="preserve"> REF _Ref446580208 \r \h </w:instrText>
      </w:r>
      <w:r>
        <w:fldChar w:fldCharType="separate"/>
      </w:r>
      <w:r w:rsidR="00327397">
        <w:t>92</w:t>
      </w:r>
      <w:r>
        <w:fldChar w:fldCharType="end"/>
      </w:r>
      <w:r>
        <w:t>.</w:t>
      </w:r>
    </w:p>
  </w:footnote>
  <w:footnote w:id="690">
    <w:p w:rsidR="00474D51" w:rsidRPr="000800F4" w:rsidRDefault="00474D51" w:rsidP="00324CD5">
      <w:pPr>
        <w:pStyle w:val="FootnoteText"/>
      </w:pPr>
      <w:r w:rsidRPr="000800F4">
        <w:rPr>
          <w:rStyle w:val="FootnoteReference"/>
        </w:rPr>
        <w:footnoteRef/>
      </w:r>
      <w:r w:rsidRPr="000800F4">
        <w:t xml:space="preserve"> </w:t>
      </w:r>
      <w:r w:rsidRPr="000800F4">
        <w:rPr>
          <w:i/>
        </w:rPr>
        <w:t>See</w:t>
      </w:r>
      <w:r>
        <w:rPr>
          <w:i/>
        </w:rPr>
        <w:t xml:space="preserve"> supra</w:t>
      </w:r>
      <w:r>
        <w:t xml:space="preserve"> para. </w:t>
      </w:r>
      <w:r>
        <w:fldChar w:fldCharType="begin"/>
      </w:r>
      <w:r>
        <w:instrText xml:space="preserve"> REF _Ref446580163 \r \h </w:instrText>
      </w:r>
      <w:r>
        <w:fldChar w:fldCharType="separate"/>
      </w:r>
      <w:r w:rsidR="00327397">
        <w:t>90</w:t>
      </w:r>
      <w:r>
        <w:fldChar w:fldCharType="end"/>
      </w:r>
      <w:r>
        <w:t>.</w:t>
      </w:r>
    </w:p>
  </w:footnote>
  <w:footnote w:id="691">
    <w:p w:rsidR="00474D51" w:rsidRPr="000800F4" w:rsidRDefault="00474D51" w:rsidP="00324CD5">
      <w:pPr>
        <w:pStyle w:val="FootnoteText"/>
      </w:pPr>
      <w:r w:rsidRPr="000800F4">
        <w:rPr>
          <w:rStyle w:val="FootnoteReference"/>
        </w:rPr>
        <w:footnoteRef/>
      </w:r>
      <w:r w:rsidRPr="000800F4">
        <w:t xml:space="preserve"> </w:t>
      </w:r>
      <w:r w:rsidRPr="000800F4">
        <w:rPr>
          <w:i/>
        </w:rPr>
        <w:t>See</w:t>
      </w:r>
      <w:r>
        <w:rPr>
          <w:i/>
        </w:rPr>
        <w:t xml:space="preserve"> supra</w:t>
      </w:r>
      <w:r>
        <w:t xml:space="preserve"> para. </w:t>
      </w:r>
      <w:r>
        <w:fldChar w:fldCharType="begin"/>
      </w:r>
      <w:r>
        <w:instrText xml:space="preserve"> REF _Ref446580341 \r \h </w:instrText>
      </w:r>
      <w:r>
        <w:fldChar w:fldCharType="separate"/>
      </w:r>
      <w:r w:rsidR="00327397">
        <w:t>101</w:t>
      </w:r>
      <w:r>
        <w:fldChar w:fldCharType="end"/>
      </w:r>
      <w:r>
        <w:t>.</w:t>
      </w:r>
    </w:p>
  </w:footnote>
  <w:footnote w:id="692">
    <w:p w:rsidR="00474D51" w:rsidRPr="000800F4" w:rsidRDefault="00474D51" w:rsidP="00324CD5">
      <w:pPr>
        <w:pStyle w:val="FootnoteText"/>
      </w:pPr>
      <w:r w:rsidRPr="000800F4">
        <w:rPr>
          <w:rStyle w:val="FootnoteReference"/>
        </w:rPr>
        <w:footnoteRef/>
      </w:r>
      <w:r w:rsidRPr="000800F4">
        <w:t xml:space="preserve"> </w:t>
      </w:r>
      <w:r w:rsidRPr="000800F4">
        <w:rPr>
          <w:i/>
        </w:rPr>
        <w:t xml:space="preserve">See </w:t>
      </w:r>
      <w:r>
        <w:rPr>
          <w:i/>
        </w:rPr>
        <w:t xml:space="preserve">supra </w:t>
      </w:r>
      <w:r>
        <w:t xml:space="preserve">Part </w:t>
      </w:r>
      <w:r>
        <w:fldChar w:fldCharType="begin"/>
      </w:r>
      <w:r>
        <w:instrText xml:space="preserve"> REF _Ref446518882 \r \h </w:instrText>
      </w:r>
      <w:r>
        <w:fldChar w:fldCharType="separate"/>
      </w:r>
      <w:r w:rsidR="00327397">
        <w:t>III.C</w:t>
      </w:r>
      <w:r>
        <w:fldChar w:fldCharType="end"/>
      </w:r>
      <w:r>
        <w:t>.</w:t>
      </w:r>
    </w:p>
  </w:footnote>
  <w:footnote w:id="693">
    <w:p w:rsidR="00474D51" w:rsidRPr="000800F4" w:rsidRDefault="00474D51" w:rsidP="00324CD5">
      <w:pPr>
        <w:pStyle w:val="FootnoteText"/>
      </w:pPr>
      <w:r w:rsidRPr="000800F4">
        <w:rPr>
          <w:rStyle w:val="FootnoteReference"/>
        </w:rPr>
        <w:footnoteRef/>
      </w:r>
      <w:r w:rsidRPr="000800F4">
        <w:t xml:space="preserve"> </w:t>
      </w:r>
      <w:r w:rsidRPr="000800F4">
        <w:rPr>
          <w:i/>
        </w:rPr>
        <w:t xml:space="preserve">See </w:t>
      </w:r>
      <w:r>
        <w:rPr>
          <w:i/>
        </w:rPr>
        <w:t xml:space="preserve">supra </w:t>
      </w:r>
      <w:r>
        <w:t xml:space="preserve">Part </w:t>
      </w:r>
      <w:r>
        <w:fldChar w:fldCharType="begin"/>
      </w:r>
      <w:r>
        <w:instrText xml:space="preserve"> REF _Ref446518947 \r \h </w:instrText>
      </w:r>
      <w:r>
        <w:fldChar w:fldCharType="separate"/>
      </w:r>
      <w:r w:rsidR="00327397">
        <w:t>III.C.4</w:t>
      </w:r>
      <w:r>
        <w:fldChar w:fldCharType="end"/>
      </w:r>
      <w:r>
        <w:t>.</w:t>
      </w:r>
    </w:p>
  </w:footnote>
  <w:footnote w:id="694">
    <w:p w:rsidR="00474D51" w:rsidRPr="000800F4" w:rsidRDefault="00474D51" w:rsidP="00324CD5">
      <w:pPr>
        <w:pStyle w:val="FootnoteText"/>
      </w:pPr>
      <w:r w:rsidRPr="000800F4">
        <w:rPr>
          <w:rStyle w:val="FootnoteReference"/>
        </w:rPr>
        <w:footnoteRef/>
      </w:r>
      <w:r w:rsidRPr="000800F4">
        <w:t xml:space="preserve"> </w:t>
      </w:r>
      <w:r w:rsidRPr="000800F4">
        <w:rPr>
          <w:i/>
        </w:rPr>
        <w:t xml:space="preserve">See </w:t>
      </w:r>
      <w:r w:rsidRPr="000800F4">
        <w:t>FTC 2012 Privacy Report at 15-16.</w:t>
      </w:r>
    </w:p>
  </w:footnote>
  <w:footnote w:id="695">
    <w:p w:rsidR="00474D51" w:rsidRPr="000800F4" w:rsidRDefault="00474D51" w:rsidP="00324CD5">
      <w:pPr>
        <w:pStyle w:val="FootnoteText"/>
      </w:pPr>
      <w:r w:rsidRPr="000800F4">
        <w:rPr>
          <w:rStyle w:val="FootnoteReference"/>
        </w:rPr>
        <w:footnoteRef/>
      </w:r>
      <w:r w:rsidRPr="000800F4">
        <w:t xml:space="preserve"> </w:t>
      </w:r>
      <w:r w:rsidRPr="000800F4">
        <w:rPr>
          <w:i/>
        </w:rPr>
        <w:t xml:space="preserve">See </w:t>
      </w:r>
      <w:r>
        <w:rPr>
          <w:i/>
        </w:rPr>
        <w:t xml:space="preserve">supra </w:t>
      </w:r>
      <w:r>
        <w:t xml:space="preserve">Part </w:t>
      </w:r>
      <w:r>
        <w:fldChar w:fldCharType="begin"/>
      </w:r>
      <w:r>
        <w:instrText xml:space="preserve"> REF _Ref446518855 \r \h </w:instrText>
      </w:r>
      <w:r>
        <w:fldChar w:fldCharType="separate"/>
      </w:r>
      <w:r w:rsidR="00327397">
        <w:t>III.D</w:t>
      </w:r>
      <w:r>
        <w:fldChar w:fldCharType="end"/>
      </w:r>
      <w:r>
        <w:t>.</w:t>
      </w:r>
    </w:p>
  </w:footnote>
  <w:footnote w:id="696">
    <w:p w:rsidR="00474D51" w:rsidRPr="00C64DFE" w:rsidRDefault="00474D51" w:rsidP="00324CD5">
      <w:pPr>
        <w:pStyle w:val="FootnoteText"/>
        <w:rPr>
          <w:i/>
        </w:rPr>
      </w:pPr>
      <w:r w:rsidRPr="000800F4">
        <w:rPr>
          <w:rStyle w:val="FootnoteReference"/>
        </w:rPr>
        <w:footnoteRef/>
      </w:r>
      <w:r w:rsidRPr="000800F4">
        <w:t xml:space="preserve"> </w:t>
      </w:r>
      <w:r w:rsidRPr="000800F4">
        <w:rPr>
          <w:i/>
        </w:rPr>
        <w:t xml:space="preserve">See </w:t>
      </w:r>
      <w:r>
        <w:rPr>
          <w:i/>
        </w:rPr>
        <w:t>id.</w:t>
      </w:r>
    </w:p>
  </w:footnote>
  <w:footnote w:id="697">
    <w:p w:rsidR="00474D51" w:rsidRPr="000800F4" w:rsidRDefault="00474D51" w:rsidP="00324CD5">
      <w:pPr>
        <w:pStyle w:val="FootnoteText"/>
      </w:pPr>
      <w:r w:rsidRPr="000800F4">
        <w:rPr>
          <w:rStyle w:val="FootnoteReference"/>
        </w:rPr>
        <w:footnoteRef/>
      </w:r>
      <w:r w:rsidRPr="000800F4">
        <w:t xml:space="preserve"> </w:t>
      </w:r>
      <w:r w:rsidRPr="000800F4">
        <w:rPr>
          <w:i/>
        </w:rPr>
        <w:t xml:space="preserve">See </w:t>
      </w:r>
      <w:r>
        <w:rPr>
          <w:i/>
        </w:rPr>
        <w:t>id.</w:t>
      </w:r>
    </w:p>
  </w:footnote>
  <w:footnote w:id="698">
    <w:p w:rsidR="00474D51" w:rsidRPr="000800F4" w:rsidRDefault="00474D51" w:rsidP="00324CD5">
      <w:pPr>
        <w:pStyle w:val="FootnoteText"/>
      </w:pPr>
      <w:r w:rsidRPr="000800F4">
        <w:rPr>
          <w:rStyle w:val="FootnoteReference"/>
        </w:rPr>
        <w:footnoteRef/>
      </w:r>
      <w:r w:rsidRPr="000800F4">
        <w:t xml:space="preserve"> </w:t>
      </w:r>
      <w:r w:rsidRPr="000800F4">
        <w:rPr>
          <w:i/>
        </w:rPr>
        <w:t xml:space="preserve">See </w:t>
      </w:r>
      <w:r>
        <w:rPr>
          <w:i/>
        </w:rPr>
        <w:t xml:space="preserve">supra </w:t>
      </w:r>
      <w:r>
        <w:t xml:space="preserve">Part </w:t>
      </w:r>
      <w:r>
        <w:fldChar w:fldCharType="begin"/>
      </w:r>
      <w:r>
        <w:instrText xml:space="preserve"> REF _Ref446518835 \r \h </w:instrText>
      </w:r>
      <w:r>
        <w:fldChar w:fldCharType="separate"/>
      </w:r>
      <w:r w:rsidR="00327397">
        <w:t>III.E</w:t>
      </w:r>
      <w:r>
        <w:fldChar w:fldCharType="end"/>
      </w:r>
      <w:r>
        <w:t>.</w:t>
      </w:r>
    </w:p>
  </w:footnote>
  <w:footnote w:id="699">
    <w:p w:rsidR="00474D51" w:rsidRPr="000800F4" w:rsidRDefault="00474D51" w:rsidP="00324CD5">
      <w:pPr>
        <w:pStyle w:val="FootnoteText"/>
      </w:pPr>
      <w:r w:rsidRPr="000800F4">
        <w:rPr>
          <w:rStyle w:val="FootnoteReference"/>
        </w:rPr>
        <w:footnoteRef/>
      </w:r>
      <w:r w:rsidRPr="000800F4">
        <w:t xml:space="preserve"> </w:t>
      </w:r>
      <w:r w:rsidRPr="000800F4">
        <w:rPr>
          <w:i/>
        </w:rPr>
        <w:t xml:space="preserve">See </w:t>
      </w:r>
      <w:r>
        <w:rPr>
          <w:i/>
        </w:rPr>
        <w:t xml:space="preserve">supra </w:t>
      </w:r>
      <w:r>
        <w:t xml:space="preserve">Part </w:t>
      </w:r>
      <w:r>
        <w:fldChar w:fldCharType="begin"/>
      </w:r>
      <w:r>
        <w:instrText xml:space="preserve"> REF _Ref446519061 \r \h </w:instrText>
      </w:r>
      <w:r>
        <w:fldChar w:fldCharType="separate"/>
      </w:r>
      <w:r w:rsidR="00327397">
        <w:t>III.E.3</w:t>
      </w:r>
      <w:r>
        <w:fldChar w:fldCharType="end"/>
      </w:r>
      <w:r>
        <w:t>.</w:t>
      </w:r>
    </w:p>
  </w:footnote>
  <w:footnote w:id="700">
    <w:p w:rsidR="00474D51" w:rsidRPr="000800F4" w:rsidRDefault="00474D51" w:rsidP="00324CD5">
      <w:pPr>
        <w:pStyle w:val="FootnoteText"/>
      </w:pPr>
      <w:r w:rsidRPr="000800F4">
        <w:rPr>
          <w:rStyle w:val="FootnoteReference"/>
        </w:rPr>
        <w:footnoteRef/>
      </w:r>
      <w:r w:rsidRPr="000800F4">
        <w:t xml:space="preserve"> </w:t>
      </w:r>
      <w:r w:rsidRPr="000800F4">
        <w:rPr>
          <w:i/>
        </w:rPr>
        <w:t>1998 CPNI Order</w:t>
      </w:r>
      <w:r w:rsidRPr="000800F4">
        <w:t>, 13 FCC Rcd at 8196, para. 194.</w:t>
      </w:r>
    </w:p>
  </w:footnote>
  <w:footnote w:id="701">
    <w:p w:rsidR="00474D51" w:rsidRPr="000800F4" w:rsidRDefault="00474D51" w:rsidP="00324CD5">
      <w:pPr>
        <w:pStyle w:val="FootnoteText"/>
      </w:pPr>
      <w:r w:rsidRPr="000800F4">
        <w:rPr>
          <w:rStyle w:val="FootnoteReference"/>
        </w:rPr>
        <w:footnoteRef/>
      </w:r>
      <w:r w:rsidRPr="000800F4">
        <w:t xml:space="preserve"> </w:t>
      </w:r>
      <w:r w:rsidRPr="000800F4">
        <w:rPr>
          <w:i/>
        </w:rPr>
        <w:t>See</w:t>
      </w:r>
      <w:r>
        <w:rPr>
          <w:i/>
        </w:rPr>
        <w:t xml:space="preserve"> supra</w:t>
      </w:r>
      <w:r>
        <w:t xml:space="preserve"> para. </w:t>
      </w:r>
      <w:r>
        <w:fldChar w:fldCharType="begin"/>
      </w:r>
      <w:r>
        <w:instrText xml:space="preserve"> REF _Ref446580773 \r \h </w:instrText>
      </w:r>
      <w:r>
        <w:fldChar w:fldCharType="separate"/>
      </w:r>
      <w:r w:rsidR="00327397">
        <w:t>177</w:t>
      </w:r>
      <w:r>
        <w:fldChar w:fldCharType="end"/>
      </w:r>
      <w:r>
        <w:t>.</w:t>
      </w:r>
    </w:p>
  </w:footnote>
  <w:footnote w:id="702">
    <w:p w:rsidR="00474D51" w:rsidRPr="000800F4" w:rsidRDefault="00474D51" w:rsidP="00324CD5">
      <w:pPr>
        <w:pStyle w:val="FootnoteText"/>
      </w:pPr>
      <w:r w:rsidRPr="000800F4">
        <w:rPr>
          <w:rStyle w:val="FootnoteReference"/>
        </w:rPr>
        <w:footnoteRef/>
      </w:r>
      <w:r w:rsidRPr="000800F4">
        <w:t xml:space="preserve"> </w:t>
      </w:r>
      <w:r w:rsidRPr="000800F4">
        <w:rPr>
          <w:i/>
        </w:rPr>
        <w:t xml:space="preserve">See </w:t>
      </w:r>
      <w:r>
        <w:rPr>
          <w:i/>
        </w:rPr>
        <w:t xml:space="preserve">supra </w:t>
      </w:r>
      <w:r>
        <w:t xml:space="preserve">Part </w:t>
      </w:r>
      <w:r>
        <w:fldChar w:fldCharType="begin"/>
      </w:r>
      <w:r>
        <w:instrText xml:space="preserve"> REF _Ref446580936 \r \h </w:instrText>
      </w:r>
      <w:r>
        <w:fldChar w:fldCharType="separate"/>
      </w:r>
      <w:r w:rsidR="00327397">
        <w:t>III.E.2.d(ii)</w:t>
      </w:r>
      <w:r>
        <w:fldChar w:fldCharType="end"/>
      </w:r>
      <w:r>
        <w:t>.</w:t>
      </w:r>
    </w:p>
  </w:footnote>
  <w:footnote w:id="703">
    <w:p w:rsidR="00474D51" w:rsidRPr="000800F4" w:rsidRDefault="00474D51" w:rsidP="00324CD5">
      <w:pPr>
        <w:pStyle w:val="FootnoteText"/>
      </w:pPr>
      <w:r w:rsidRPr="000800F4">
        <w:rPr>
          <w:rStyle w:val="FootnoteReference"/>
        </w:rPr>
        <w:footnoteRef/>
      </w:r>
      <w:r w:rsidRPr="000800F4">
        <w:t xml:space="preserve"> </w:t>
      </w:r>
      <w:r w:rsidRPr="000800F4">
        <w:rPr>
          <w:i/>
        </w:rPr>
        <w:t xml:space="preserve">See </w:t>
      </w:r>
      <w:r>
        <w:rPr>
          <w:i/>
        </w:rPr>
        <w:t xml:space="preserve">supra </w:t>
      </w:r>
      <w:r>
        <w:t xml:space="preserve">Part </w:t>
      </w:r>
      <w:r>
        <w:fldChar w:fldCharType="begin"/>
      </w:r>
      <w:r>
        <w:instrText xml:space="preserve"> REF _Ref446580982 \r \h </w:instrText>
      </w:r>
      <w:r>
        <w:fldChar w:fldCharType="separate"/>
      </w:r>
      <w:r w:rsidR="00327397">
        <w:t>III.E.2.d(i)</w:t>
      </w:r>
      <w:r>
        <w:fldChar w:fldCharType="end"/>
      </w:r>
      <w:r>
        <w:t>.</w:t>
      </w:r>
    </w:p>
  </w:footnote>
  <w:footnote w:id="704">
    <w:p w:rsidR="00474D51" w:rsidRPr="000800F4" w:rsidRDefault="00474D51" w:rsidP="00324CD5">
      <w:pPr>
        <w:pStyle w:val="FootnoteText"/>
      </w:pPr>
      <w:r w:rsidRPr="000800F4">
        <w:rPr>
          <w:rStyle w:val="FootnoteReference"/>
        </w:rPr>
        <w:footnoteRef/>
      </w:r>
      <w:r w:rsidRPr="000800F4">
        <w:t xml:space="preserve"> </w:t>
      </w:r>
      <w:r w:rsidRPr="000800F4">
        <w:rPr>
          <w:i/>
        </w:rPr>
        <w:t xml:space="preserve">See </w:t>
      </w:r>
      <w:r>
        <w:rPr>
          <w:i/>
        </w:rPr>
        <w:t xml:space="preserve">supra </w:t>
      </w:r>
      <w:r>
        <w:t xml:space="preserve">Part </w:t>
      </w:r>
      <w:r>
        <w:fldChar w:fldCharType="begin"/>
      </w:r>
      <w:r>
        <w:instrText xml:space="preserve"> REF _Ref446581016 \r \h </w:instrText>
      </w:r>
      <w:r>
        <w:fldChar w:fldCharType="separate"/>
      </w:r>
      <w:r w:rsidR="00327397">
        <w:t>III.E.4.c</w:t>
      </w:r>
      <w:r>
        <w:fldChar w:fldCharType="end"/>
      </w:r>
      <w:r>
        <w:t>.</w:t>
      </w:r>
    </w:p>
  </w:footnote>
  <w:footnote w:id="705">
    <w:p w:rsidR="00474D51" w:rsidRPr="000800F4" w:rsidRDefault="00474D51" w:rsidP="00324CD5">
      <w:pPr>
        <w:pStyle w:val="FootnoteText"/>
      </w:pPr>
      <w:r w:rsidRPr="000800F4">
        <w:rPr>
          <w:rStyle w:val="FootnoteReference"/>
        </w:rPr>
        <w:footnoteRef/>
      </w:r>
      <w:r w:rsidRPr="000800F4">
        <w:t xml:space="preserve"> </w:t>
      </w:r>
      <w:r w:rsidRPr="000800F4">
        <w:rPr>
          <w:i/>
        </w:rPr>
        <w:t xml:space="preserve">See </w:t>
      </w:r>
      <w:r>
        <w:rPr>
          <w:i/>
        </w:rPr>
        <w:t xml:space="preserve">supra </w:t>
      </w:r>
      <w:r>
        <w:t xml:space="preserve">Part </w:t>
      </w:r>
      <w:r>
        <w:fldChar w:fldCharType="begin"/>
      </w:r>
      <w:r>
        <w:instrText xml:space="preserve"> REF _Ref446518814 \r \h </w:instrText>
      </w:r>
      <w:r>
        <w:fldChar w:fldCharType="separate"/>
      </w:r>
      <w:r w:rsidR="00327397">
        <w:t>III.F</w:t>
      </w:r>
      <w:r>
        <w:fldChar w:fldCharType="end"/>
      </w:r>
      <w:r>
        <w:t>.</w:t>
      </w:r>
    </w:p>
  </w:footnote>
  <w:footnote w:id="706">
    <w:p w:rsidR="00474D51" w:rsidRPr="000800F4" w:rsidRDefault="00474D51" w:rsidP="00324CD5">
      <w:pPr>
        <w:pStyle w:val="FootnoteText"/>
      </w:pPr>
      <w:r w:rsidRPr="000800F4">
        <w:rPr>
          <w:rStyle w:val="FootnoteReference"/>
        </w:rPr>
        <w:footnoteRef/>
      </w:r>
      <w:r w:rsidRPr="000800F4">
        <w:t xml:space="preserve"> </w:t>
      </w:r>
      <w:r w:rsidRPr="000800F4">
        <w:rPr>
          <w:i/>
        </w:rPr>
        <w:t>See</w:t>
      </w:r>
      <w:r>
        <w:rPr>
          <w:i/>
        </w:rPr>
        <w:t xml:space="preserve"> supra</w:t>
      </w:r>
      <w:r>
        <w:t xml:space="preserve"> para. </w:t>
      </w:r>
      <w:r>
        <w:fldChar w:fldCharType="begin"/>
      </w:r>
      <w:r>
        <w:instrText xml:space="preserve"> REF _Ref446581075 \r \h </w:instrText>
      </w:r>
      <w:r>
        <w:fldChar w:fldCharType="separate"/>
      </w:r>
      <w:r w:rsidR="00327397">
        <w:t>247</w:t>
      </w:r>
      <w:r>
        <w:fldChar w:fldCharType="end"/>
      </w:r>
      <w:r>
        <w:t>.</w:t>
      </w:r>
    </w:p>
  </w:footnote>
  <w:footnote w:id="707">
    <w:p w:rsidR="00474D51" w:rsidRPr="000800F4" w:rsidRDefault="00474D51" w:rsidP="00324CD5">
      <w:pPr>
        <w:pStyle w:val="FootnoteText"/>
      </w:pPr>
      <w:r w:rsidRPr="000800F4">
        <w:rPr>
          <w:rStyle w:val="FootnoteReference"/>
        </w:rPr>
        <w:footnoteRef/>
      </w:r>
      <w:r w:rsidRPr="000800F4">
        <w:t xml:space="preserve"> </w:t>
      </w:r>
      <w:r w:rsidRPr="000800F4">
        <w:rPr>
          <w:i/>
        </w:rPr>
        <w:t xml:space="preserve">See </w:t>
      </w:r>
      <w:r>
        <w:rPr>
          <w:i/>
        </w:rPr>
        <w:t xml:space="preserve">supra </w:t>
      </w:r>
      <w:r>
        <w:t xml:space="preserve">Part </w:t>
      </w:r>
      <w:r>
        <w:fldChar w:fldCharType="begin"/>
      </w:r>
      <w:r>
        <w:instrText xml:space="preserve"> REF _Ref446581121 \r \h </w:instrText>
      </w:r>
      <w:r>
        <w:fldChar w:fldCharType="separate"/>
      </w:r>
      <w:r w:rsidR="00327397">
        <w:t>III.F.3</w:t>
      </w:r>
      <w:r>
        <w:fldChar w:fldCharType="end"/>
      </w:r>
      <w:r>
        <w:t>.</w:t>
      </w:r>
    </w:p>
  </w:footnote>
  <w:footnote w:id="708">
    <w:p w:rsidR="00474D51" w:rsidRPr="000800F4" w:rsidRDefault="00474D51" w:rsidP="00324CD5">
      <w:pPr>
        <w:pStyle w:val="FootnoteText"/>
      </w:pPr>
      <w:r w:rsidRPr="000800F4">
        <w:rPr>
          <w:rStyle w:val="FootnoteReference"/>
        </w:rPr>
        <w:footnoteRef/>
      </w:r>
      <w:r w:rsidRPr="000800F4">
        <w:t xml:space="preserve"> </w:t>
      </w:r>
      <w:r w:rsidRPr="000800F4">
        <w:rPr>
          <w:i/>
        </w:rPr>
        <w:t xml:space="preserve">See </w:t>
      </w:r>
      <w:r>
        <w:rPr>
          <w:i/>
        </w:rPr>
        <w:t xml:space="preserve">supra </w:t>
      </w:r>
      <w:r>
        <w:t xml:space="preserve">Part </w:t>
      </w:r>
      <w:r>
        <w:fldChar w:fldCharType="begin"/>
      </w:r>
      <w:r>
        <w:instrText xml:space="preserve"> REF _Ref446518793 \r \h </w:instrText>
      </w:r>
      <w:r>
        <w:fldChar w:fldCharType="separate"/>
      </w:r>
      <w:r w:rsidR="00327397">
        <w:t>III.G</w:t>
      </w:r>
      <w:r>
        <w:fldChar w:fldCharType="end"/>
      </w:r>
      <w:r>
        <w:t>.</w:t>
      </w:r>
    </w:p>
  </w:footnote>
  <w:footnote w:id="709">
    <w:p w:rsidR="00474D51" w:rsidRPr="00C64DFE" w:rsidRDefault="00474D51" w:rsidP="00324CD5">
      <w:pPr>
        <w:pStyle w:val="FootnoteText"/>
        <w:rPr>
          <w:i/>
        </w:rPr>
      </w:pPr>
      <w:r w:rsidRPr="000800F4">
        <w:rPr>
          <w:rStyle w:val="FootnoteReference"/>
        </w:rPr>
        <w:footnoteRef/>
      </w:r>
      <w:r w:rsidRPr="000800F4">
        <w:t xml:space="preserve"> </w:t>
      </w:r>
      <w:r w:rsidRPr="000800F4">
        <w:rPr>
          <w:i/>
        </w:rPr>
        <w:t xml:space="preserve">See </w:t>
      </w:r>
      <w:r>
        <w:rPr>
          <w:i/>
        </w:rPr>
        <w:t>id.</w:t>
      </w:r>
    </w:p>
  </w:footnote>
  <w:footnote w:id="710">
    <w:p w:rsidR="00474D51" w:rsidRDefault="00474D51" w:rsidP="00324CD5">
      <w:pPr>
        <w:pStyle w:val="FootnoteText"/>
      </w:pPr>
      <w:r w:rsidRPr="000800F4">
        <w:rPr>
          <w:rStyle w:val="FootnoteReference"/>
        </w:rPr>
        <w:footnoteRef/>
      </w:r>
      <w:r w:rsidRPr="000800F4">
        <w:t xml:space="preserve"> </w:t>
      </w:r>
      <w:r w:rsidRPr="000800F4">
        <w:rPr>
          <w:i/>
        </w:rPr>
        <w:t xml:space="preserve">See </w:t>
      </w:r>
      <w:r>
        <w:rPr>
          <w:i/>
        </w:rPr>
        <w:t xml:space="preserve">supra </w:t>
      </w:r>
      <w:r>
        <w:t xml:space="preserve">Part </w:t>
      </w:r>
      <w:r>
        <w:fldChar w:fldCharType="begin"/>
      </w:r>
      <w:r>
        <w:instrText xml:space="preserve"> REF _Ref446518771 \r \h </w:instrText>
      </w:r>
      <w:r>
        <w:fldChar w:fldCharType="separate"/>
      </w:r>
      <w:r w:rsidR="00327397">
        <w:t>III.H</w:t>
      </w:r>
      <w:r>
        <w:fldChar w:fldCharType="end"/>
      </w:r>
      <w:r>
        <w:t>.</w:t>
      </w:r>
    </w:p>
  </w:footnote>
  <w:footnote w:id="711">
    <w:p w:rsidR="00056C23" w:rsidRPr="007243DA" w:rsidRDefault="00056C23" w:rsidP="00056C23">
      <w:pPr>
        <w:pStyle w:val="FootnoteText"/>
      </w:pPr>
      <w:r>
        <w:rPr>
          <w:rStyle w:val="FootnoteReference"/>
        </w:rPr>
        <w:footnoteRef/>
      </w:r>
      <w:r>
        <w:t xml:space="preserve"> Remarks of Maureen K. Ohlhausen, Commissioner, U.S. Federal Trade Commission, at the Free State Foundation Eighth Annual Telecom Policy Conference, “Privacy Regulation in the Internet Ecosystem,” at 3 (Mar. 23, 2016), </w:t>
      </w:r>
      <w:r>
        <w:rPr>
          <w:i/>
        </w:rPr>
        <w:t>available at</w:t>
      </w:r>
      <w:r>
        <w:t xml:space="preserve"> </w:t>
      </w:r>
      <w:r w:rsidRPr="007243DA">
        <w:t>http://go.usa.gov/csDS4</w:t>
      </w:r>
      <w:r>
        <w:t>.</w:t>
      </w:r>
    </w:p>
  </w:footnote>
  <w:footnote w:id="712">
    <w:p w:rsidR="00056C23" w:rsidRPr="00932439" w:rsidRDefault="00056C23" w:rsidP="00056C23">
      <w:pPr>
        <w:pStyle w:val="FootnoteText"/>
      </w:pPr>
      <w:r>
        <w:rPr>
          <w:rStyle w:val="FootnoteReference"/>
        </w:rPr>
        <w:footnoteRef/>
      </w:r>
      <w:r>
        <w:t xml:space="preserve"> </w:t>
      </w:r>
      <w:r>
        <w:rPr>
          <w:i/>
        </w:rPr>
        <w:t>See</w:t>
      </w:r>
      <w:r>
        <w:t xml:space="preserve"> Letter from Penny Pritzker, U.S. Secretary of Commerce, to Vera Jourova, Commissioner for Justice, Consumers and Gender Equality, European Commission (Feb. 23, 2016), </w:t>
      </w:r>
      <w:r>
        <w:rPr>
          <w:i/>
        </w:rPr>
        <w:t>available at</w:t>
      </w:r>
      <w:r>
        <w:t xml:space="preserve"> </w:t>
      </w:r>
      <w:r w:rsidRPr="00932439">
        <w:t>http://go.usa.gov/csWxP</w:t>
      </w:r>
      <w:r>
        <w:t>.</w:t>
      </w:r>
    </w:p>
  </w:footnote>
  <w:footnote w:id="713">
    <w:p w:rsidR="00056C23" w:rsidRDefault="00056C23" w:rsidP="00056C23">
      <w:pPr>
        <w:pStyle w:val="FootnoteText"/>
      </w:pPr>
      <w:r>
        <w:rPr>
          <w:rStyle w:val="FootnoteReference"/>
        </w:rPr>
        <w:footnoteRef/>
      </w:r>
      <w:r>
        <w:t xml:space="preserve"> </w:t>
      </w:r>
      <w:r w:rsidRPr="004827CE">
        <w:rPr>
          <w:i/>
        </w:rPr>
        <w:t>Protecting and Promoting the Open Internet</w:t>
      </w:r>
      <w:r>
        <w:t>, GN Docket No. 14-28, Report and Order on Remand, Declaratory Ruling, and Order, 30 FCC Rcd 5601 (2015) (</w:t>
      </w:r>
      <w:r>
        <w:rPr>
          <w:i/>
        </w:rPr>
        <w:t>Title II Order</w:t>
      </w:r>
      <w:r>
        <w:t>).</w:t>
      </w:r>
    </w:p>
  </w:footnote>
  <w:footnote w:id="714">
    <w:p w:rsidR="00056C23" w:rsidRDefault="00056C23" w:rsidP="00056C23">
      <w:pPr>
        <w:autoSpaceDE w:val="0"/>
        <w:autoSpaceDN w:val="0"/>
        <w:adjustRightInd w:val="0"/>
        <w:rPr>
          <w:rFonts w:ascii="TimesNewRoman" w:hAnsi="TimesNewRoman" w:cs="TimesNewRoman"/>
          <w:sz w:val="20"/>
        </w:rPr>
      </w:pPr>
      <w:r>
        <w:rPr>
          <w:rStyle w:val="FootnoteReference"/>
        </w:rPr>
        <w:footnoteRef/>
      </w:r>
      <w:r>
        <w:t xml:space="preserve"> </w:t>
      </w:r>
      <w:r>
        <w:rPr>
          <w:rFonts w:ascii="TimesNewRoman" w:hAnsi="TimesNewRoman" w:cs="TimesNewRoman"/>
          <w:sz w:val="20"/>
        </w:rPr>
        <w:t>Hearing before the U.S. House of Representatives Subcommittee on Communications and Technology,</w:t>
      </w:r>
    </w:p>
    <w:p w:rsidR="00056C23" w:rsidRDefault="00056C23" w:rsidP="00056C23">
      <w:pPr>
        <w:pStyle w:val="FootnoteText"/>
      </w:pPr>
      <w:r>
        <w:rPr>
          <w:rFonts w:ascii="TimesNewRoman" w:hAnsi="TimesNewRoman" w:cs="TimesNewRoman"/>
        </w:rPr>
        <w:t>“Oversight of the Federal Communications Commission,” Preliminary Transcript at 141 (Nov. 17, 2015).</w:t>
      </w:r>
    </w:p>
  </w:footnote>
  <w:footnote w:id="715">
    <w:p w:rsidR="00056C23" w:rsidRDefault="00056C23" w:rsidP="00056C23">
      <w:pPr>
        <w:pStyle w:val="FootnoteText"/>
      </w:pPr>
      <w:r>
        <w:rPr>
          <w:rStyle w:val="FootnoteReference"/>
        </w:rPr>
        <w:footnoteRef/>
      </w:r>
      <w:r>
        <w:t xml:space="preserve"> </w:t>
      </w:r>
      <w:r>
        <w:rPr>
          <w:shd w:val="clear" w:color="auto" w:fill="FFFFFF"/>
        </w:rPr>
        <w:t xml:space="preserve">Federal Trade Commission, </w:t>
      </w:r>
      <w:r>
        <w:rPr>
          <w:i/>
          <w:shd w:val="clear" w:color="auto" w:fill="FFFFFF"/>
        </w:rPr>
        <w:t xml:space="preserve">Protecting Consumer Privacy in an Era of Rapid Change: Recommendations for Businesses and Policymakers </w:t>
      </w:r>
      <w:r>
        <w:rPr>
          <w:shd w:val="clear" w:color="auto" w:fill="FFFFFF"/>
        </w:rPr>
        <w:t xml:space="preserve">at 56 (Mar. 26, 2012), </w:t>
      </w:r>
      <w:r>
        <w:rPr>
          <w:i/>
          <w:shd w:val="clear" w:color="auto" w:fill="FFFFFF"/>
        </w:rPr>
        <w:t xml:space="preserve">available at </w:t>
      </w:r>
      <w:r w:rsidRPr="003F1E6F">
        <w:rPr>
          <w:shd w:val="clear" w:color="auto" w:fill="FFFFFF"/>
        </w:rPr>
        <w:t>http://go.usa.gov/csYRz</w:t>
      </w:r>
      <w:r>
        <w:rPr>
          <w:shd w:val="clear" w:color="auto" w:fill="FFFFFF"/>
        </w:rPr>
        <w:t>.</w:t>
      </w:r>
    </w:p>
  </w:footnote>
  <w:footnote w:id="716">
    <w:p w:rsidR="00056C23" w:rsidRPr="004827CE" w:rsidRDefault="00056C23" w:rsidP="00056C23">
      <w:pPr>
        <w:pStyle w:val="FootnoteText"/>
      </w:pPr>
      <w:r>
        <w:rPr>
          <w:rStyle w:val="FootnoteReference"/>
        </w:rPr>
        <w:footnoteRef/>
      </w:r>
      <w:r>
        <w:t xml:space="preserve"> </w:t>
      </w:r>
      <w:r>
        <w:rPr>
          <w:i/>
        </w:rPr>
        <w:t>Order</w:t>
      </w:r>
      <w:r>
        <w:t xml:space="preserve"> at para. 4.</w:t>
      </w:r>
    </w:p>
  </w:footnote>
  <w:footnote w:id="717">
    <w:p w:rsidR="00056C23" w:rsidRDefault="00056C23" w:rsidP="00056C23">
      <w:pPr>
        <w:pStyle w:val="FootnoteText"/>
      </w:pPr>
      <w:r>
        <w:rPr>
          <w:rStyle w:val="FootnoteReference"/>
        </w:rPr>
        <w:footnoteRef/>
      </w:r>
      <w:r>
        <w:t xml:space="preserve"> Peter Swire, </w:t>
      </w:r>
      <w:r>
        <w:rPr>
          <w:i/>
        </w:rPr>
        <w:t>Online Privacy and ISPs:  ISP Access to Consumer Data is Limited and Often Less than Access by Others</w:t>
      </w:r>
      <w:r>
        <w:t xml:space="preserve"> at 8 (Feb. 29, 2016)</w:t>
      </w:r>
      <w:r w:rsidRPr="002651BF">
        <w:t>,</w:t>
      </w:r>
      <w:r>
        <w:t xml:space="preserve"> </w:t>
      </w:r>
      <w:r>
        <w:rPr>
          <w:i/>
        </w:rPr>
        <w:t>available at</w:t>
      </w:r>
      <w:r w:rsidRPr="002651BF">
        <w:t xml:space="preserve"> http://b.gatech.edu/1RIWXUa.</w:t>
      </w:r>
    </w:p>
  </w:footnote>
  <w:footnote w:id="718">
    <w:p w:rsidR="00056C23" w:rsidRDefault="00056C23" w:rsidP="00056C23">
      <w:pPr>
        <w:pStyle w:val="FootnoteText"/>
      </w:pPr>
      <w:r>
        <w:rPr>
          <w:rStyle w:val="FootnoteReference"/>
        </w:rPr>
        <w:footnoteRef/>
      </w:r>
      <w:r>
        <w:t xml:space="preserve"> </w:t>
      </w:r>
      <w:r>
        <w:rPr>
          <w:i/>
        </w:rPr>
        <w:t>Id.</w:t>
      </w:r>
      <w:r>
        <w:t xml:space="preserve"> at 7</w:t>
      </w:r>
      <w:r w:rsidRPr="002651BF">
        <w:t>.</w:t>
      </w:r>
    </w:p>
  </w:footnote>
  <w:footnote w:id="719">
    <w:p w:rsidR="00056C23" w:rsidRDefault="00056C23" w:rsidP="00056C23">
      <w:pPr>
        <w:pStyle w:val="FootnoteText"/>
      </w:pPr>
      <w:r>
        <w:rPr>
          <w:rStyle w:val="FootnoteReference"/>
        </w:rPr>
        <w:footnoteRef/>
      </w:r>
      <w:r>
        <w:t xml:space="preserve"> </w:t>
      </w:r>
      <w:r w:rsidRPr="002C3180">
        <w:rPr>
          <w:shd w:val="clear" w:color="auto" w:fill="FFFFFF"/>
        </w:rPr>
        <w:t xml:space="preserve">Rick Boucher, Level the Privacy Playing Field to Protect Consumers, </w:t>
      </w:r>
      <w:r w:rsidRPr="002C3180">
        <w:rPr>
          <w:i/>
          <w:shd w:val="clear" w:color="auto" w:fill="FFFFFF"/>
        </w:rPr>
        <w:t>The Bureau of National Affairs, Inc.</w:t>
      </w:r>
      <w:r w:rsidRPr="002C3180">
        <w:rPr>
          <w:shd w:val="clear" w:color="auto" w:fill="FFFFFF"/>
        </w:rPr>
        <w:t xml:space="preserve"> (Mar. 28, 2016), </w:t>
      </w:r>
      <w:r w:rsidRPr="002C3180">
        <w:rPr>
          <w:i/>
          <w:shd w:val="clear" w:color="auto" w:fill="FFFFFF"/>
        </w:rPr>
        <w:t xml:space="preserve">available at </w:t>
      </w:r>
      <w:r w:rsidRPr="002C3180">
        <w:rPr>
          <w:shd w:val="clear" w:color="auto" w:fill="FFFFFF"/>
        </w:rPr>
        <w:t>http://www.bna.com/level-privacy-playing-n57982069099/</w:t>
      </w:r>
      <w:r>
        <w:rPr>
          <w:shd w:val="clear" w:color="auto" w:fill="FFFFFF"/>
        </w:rPr>
        <w:t>.</w:t>
      </w:r>
    </w:p>
  </w:footnote>
  <w:footnote w:id="720">
    <w:p w:rsidR="00056C23" w:rsidRPr="00F45AA3" w:rsidRDefault="00056C23" w:rsidP="00056C23">
      <w:pPr>
        <w:pStyle w:val="FootnoteText"/>
        <w:rPr>
          <w:i/>
        </w:rPr>
      </w:pPr>
      <w:r>
        <w:rPr>
          <w:rStyle w:val="FootnoteReference"/>
        </w:rPr>
        <w:footnoteRef/>
      </w:r>
      <w:r>
        <w:t xml:space="preserve"> Chairman Wheeler’s Proposal to Give Broadband Consumers Increased Choice, Transparency &amp; Security With Respect to Their Data at 1 (Mar. 10, 2016), </w:t>
      </w:r>
      <w:r w:rsidRPr="00F45AA3">
        <w:rPr>
          <w:i/>
        </w:rPr>
        <w:t>available at</w:t>
      </w:r>
      <w:r>
        <w:t xml:space="preserve"> </w:t>
      </w:r>
      <w:r w:rsidRPr="003F1E6F">
        <w:t>http://go.usa.gov/csYN5</w:t>
      </w:r>
      <w:r>
        <w:t>.</w:t>
      </w:r>
    </w:p>
  </w:footnote>
  <w:footnote w:id="721">
    <w:p w:rsidR="00056C23" w:rsidRPr="008D5CA6" w:rsidRDefault="00056C23" w:rsidP="00056C23">
      <w:pPr>
        <w:pStyle w:val="FootnoteText"/>
      </w:pPr>
      <w:r>
        <w:rPr>
          <w:rStyle w:val="FootnoteReference"/>
        </w:rPr>
        <w:footnoteRef/>
      </w:r>
      <w:r>
        <w:t xml:space="preserve"> </w:t>
      </w:r>
      <w:r>
        <w:rPr>
          <w:i/>
        </w:rPr>
        <w:t>Order</w:t>
      </w:r>
      <w:r>
        <w:t xml:space="preserve"> at para. 3.</w:t>
      </w:r>
    </w:p>
  </w:footnote>
  <w:footnote w:id="722">
    <w:p w:rsidR="00056C23" w:rsidRPr="00FB6E61" w:rsidRDefault="00056C23" w:rsidP="00056C23">
      <w:pPr>
        <w:pStyle w:val="FootnoteText"/>
      </w:pPr>
      <w:r w:rsidRPr="00FB6E61">
        <w:rPr>
          <w:rStyle w:val="FootnoteReference"/>
        </w:rPr>
        <w:footnoteRef/>
      </w:r>
      <w:r w:rsidRPr="00FB6E61">
        <w:t xml:space="preserve"> Gordon Kelly, Microsoft Admits Windows 10 Automatic Spying Cannot Be Stopped, </w:t>
      </w:r>
      <w:r w:rsidRPr="00FB6E61">
        <w:rPr>
          <w:i/>
        </w:rPr>
        <w:t>Forbes</w:t>
      </w:r>
      <w:r w:rsidRPr="00FB6E61">
        <w:t xml:space="preserve"> (Nov. 2, 2015), </w:t>
      </w:r>
      <w:r w:rsidRPr="00FB6E61">
        <w:rPr>
          <w:i/>
        </w:rPr>
        <w:t>available at</w:t>
      </w:r>
      <w:r w:rsidRPr="00FB6E61">
        <w:t xml:space="preserve"> </w:t>
      </w:r>
      <w:r w:rsidRPr="003F1E6F">
        <w:t>http://onforb.es/1ZJgaeG</w:t>
      </w:r>
      <w:r>
        <w:t>.</w:t>
      </w:r>
    </w:p>
  </w:footnote>
  <w:footnote w:id="723">
    <w:p w:rsidR="00056C23" w:rsidRDefault="00056C23" w:rsidP="00056C23">
      <w:pPr>
        <w:pStyle w:val="FootnoteText"/>
      </w:pPr>
      <w:r>
        <w:rPr>
          <w:rStyle w:val="FootnoteReference"/>
        </w:rPr>
        <w:footnoteRef/>
      </w:r>
      <w:r>
        <w:t xml:space="preserve"> Hidden iPhone feature tracks your every move, </w:t>
      </w:r>
      <w:r>
        <w:rPr>
          <w:i/>
        </w:rPr>
        <w:t>CBS News</w:t>
      </w:r>
      <w:r>
        <w:t xml:space="preserve"> (Dec. 9, 2015), </w:t>
      </w:r>
      <w:r>
        <w:rPr>
          <w:i/>
        </w:rPr>
        <w:t>available at</w:t>
      </w:r>
      <w:r>
        <w:t xml:space="preserve"> </w:t>
      </w:r>
      <w:r w:rsidRPr="003F1E6F">
        <w:t>http://cbsn.ws/1IFkZlc</w:t>
      </w:r>
      <w:r>
        <w:t>.</w:t>
      </w:r>
    </w:p>
  </w:footnote>
  <w:footnote w:id="724">
    <w:p w:rsidR="00056C23" w:rsidRDefault="00056C23" w:rsidP="00056C23">
      <w:pPr>
        <w:pStyle w:val="FootnoteText"/>
      </w:pPr>
      <w:r>
        <w:rPr>
          <w:rStyle w:val="FootnoteReference"/>
        </w:rPr>
        <w:footnoteRef/>
      </w:r>
      <w:r>
        <w:t xml:space="preserve"> Annalee Newitz, Facebook’s ad platform now guesses at your race based on your behavior, </w:t>
      </w:r>
      <w:r>
        <w:rPr>
          <w:i/>
        </w:rPr>
        <w:t>Ars Technica</w:t>
      </w:r>
      <w:r>
        <w:t xml:space="preserve"> (Mar. 18, 2016), </w:t>
      </w:r>
      <w:r>
        <w:rPr>
          <w:i/>
        </w:rPr>
        <w:t>available at</w:t>
      </w:r>
      <w:r>
        <w:t xml:space="preserve"> </w:t>
      </w:r>
      <w:r w:rsidRPr="003F1E6F">
        <w:t>http://bit.ly/1VlxZQI</w:t>
      </w:r>
      <w:r>
        <w:t>.</w:t>
      </w:r>
    </w:p>
  </w:footnote>
  <w:footnote w:id="725">
    <w:p w:rsidR="00056C23" w:rsidRDefault="00056C23" w:rsidP="00056C23">
      <w:pPr>
        <w:pStyle w:val="FootnoteText"/>
      </w:pPr>
      <w:r w:rsidRPr="00FB6E61">
        <w:rPr>
          <w:rStyle w:val="FootnoteReference"/>
        </w:rPr>
        <w:footnoteRef/>
      </w:r>
      <w:r w:rsidRPr="00FB6E61">
        <w:t xml:space="preserve"> Amy Kraft, Google is </w:t>
      </w:r>
      <w:r>
        <w:t>s</w:t>
      </w:r>
      <w:r w:rsidRPr="00FB6E61">
        <w:t xml:space="preserve">pying on K-12 </w:t>
      </w:r>
      <w:r>
        <w:t>s</w:t>
      </w:r>
      <w:r w:rsidRPr="00FB6E61">
        <w:t xml:space="preserve">tudents, </w:t>
      </w:r>
      <w:r>
        <w:t>p</w:t>
      </w:r>
      <w:r w:rsidRPr="00FB6E61">
        <w:t xml:space="preserve">rivacy </w:t>
      </w:r>
      <w:r>
        <w:t>a</w:t>
      </w:r>
      <w:r w:rsidRPr="00FB6E61">
        <w:t xml:space="preserve">dvocates </w:t>
      </w:r>
      <w:r>
        <w:t>w</w:t>
      </w:r>
      <w:r w:rsidRPr="00FB6E61">
        <w:t xml:space="preserve">arn, </w:t>
      </w:r>
      <w:r w:rsidRPr="00FB6E61">
        <w:rPr>
          <w:i/>
        </w:rPr>
        <w:t>CBS News</w:t>
      </w:r>
      <w:r w:rsidRPr="00FB6E61">
        <w:t xml:space="preserve"> (Dec. 29, 2015), </w:t>
      </w:r>
      <w:r w:rsidRPr="00FB6E61">
        <w:rPr>
          <w:i/>
        </w:rPr>
        <w:t xml:space="preserve">available at </w:t>
      </w:r>
      <w:r w:rsidRPr="003F1E6F">
        <w:t>http://cbsn.ws/1OwMCj2</w:t>
      </w:r>
      <w:r>
        <w:t>.</w:t>
      </w:r>
    </w:p>
  </w:footnote>
  <w:footnote w:id="726">
    <w:p w:rsidR="00056C23" w:rsidRPr="00FB6E61" w:rsidRDefault="00056C23" w:rsidP="00056C23">
      <w:pPr>
        <w:pStyle w:val="FootnoteText"/>
      </w:pPr>
      <w:r>
        <w:rPr>
          <w:rStyle w:val="FootnoteReference"/>
        </w:rPr>
        <w:footnoteRef/>
      </w:r>
      <w:r>
        <w:t xml:space="preserve"> </w:t>
      </w:r>
      <w:r w:rsidRPr="00FB6E61">
        <w:t xml:space="preserve">David Goldman, Your Samsung TV is eavesdropping on your private conversations, </w:t>
      </w:r>
      <w:r w:rsidRPr="00FB6E61">
        <w:rPr>
          <w:i/>
        </w:rPr>
        <w:t>CNN Money</w:t>
      </w:r>
      <w:r w:rsidRPr="00FB6E61">
        <w:t xml:space="preserve"> (Feb. 10, 2015), </w:t>
      </w:r>
      <w:r w:rsidRPr="00FB6E61">
        <w:rPr>
          <w:i/>
        </w:rPr>
        <w:t>available at</w:t>
      </w:r>
      <w:r w:rsidRPr="00FB6E61">
        <w:t xml:space="preserve"> </w:t>
      </w:r>
      <w:r w:rsidRPr="003F1E6F">
        <w:t>http://cnnmon.ie/1DvzR08</w:t>
      </w:r>
      <w:r>
        <w:t>;</w:t>
      </w:r>
      <w:r w:rsidRPr="00FB6E61">
        <w:t xml:space="preserve"> </w:t>
      </w:r>
      <w:r>
        <w:rPr>
          <w:i/>
        </w:rPr>
        <w:t>s</w:t>
      </w:r>
      <w:r w:rsidRPr="00FB6E61">
        <w:rPr>
          <w:i/>
        </w:rPr>
        <w:t>ee also</w:t>
      </w:r>
      <w:r w:rsidRPr="00FB6E61">
        <w:t xml:space="preserve"> Andrea Peterson, This smart TV takes tracking to a new level, </w:t>
      </w:r>
      <w:r w:rsidRPr="00FB6E61">
        <w:rPr>
          <w:i/>
        </w:rPr>
        <w:t>The Washington Post</w:t>
      </w:r>
      <w:r w:rsidRPr="00FB6E61">
        <w:t xml:space="preserve"> (Nov. </w:t>
      </w:r>
      <w:r>
        <w:t>1</w:t>
      </w:r>
      <w:r w:rsidRPr="00FB6E61">
        <w:t xml:space="preserve">0, 2015), </w:t>
      </w:r>
      <w:r w:rsidRPr="00FB6E61">
        <w:rPr>
          <w:i/>
        </w:rPr>
        <w:t>available at</w:t>
      </w:r>
      <w:r w:rsidRPr="00FB6E61">
        <w:t xml:space="preserve"> </w:t>
      </w:r>
      <w:r w:rsidRPr="003F1E6F">
        <w:t>http://wapo.st/1L8FYau</w:t>
      </w:r>
      <w:r>
        <w:t>.</w:t>
      </w:r>
    </w:p>
  </w:footnote>
  <w:footnote w:id="727">
    <w:p w:rsidR="00056C23" w:rsidRDefault="00056C23" w:rsidP="00056C23">
      <w:pPr>
        <w:pStyle w:val="FootnoteText"/>
      </w:pPr>
      <w:r>
        <w:rPr>
          <w:rStyle w:val="FootnoteReference"/>
        </w:rPr>
        <w:footnoteRef/>
      </w:r>
      <w:r>
        <w:t xml:space="preserve"> Meghan Sali, Why is Netflix cracking down on essential privacy tools?, </w:t>
      </w:r>
      <w:r>
        <w:rPr>
          <w:i/>
        </w:rPr>
        <w:t>Rabble.</w:t>
      </w:r>
      <w:r w:rsidRPr="009C53E4">
        <w:rPr>
          <w:i/>
        </w:rPr>
        <w:t>ca</w:t>
      </w:r>
      <w:r>
        <w:t xml:space="preserve"> (Feb. 2, 2016), </w:t>
      </w:r>
      <w:r>
        <w:rPr>
          <w:i/>
        </w:rPr>
        <w:t>available at</w:t>
      </w:r>
      <w:r w:rsidRPr="009C53E4">
        <w:t xml:space="preserve"> </w:t>
      </w:r>
      <w:r w:rsidRPr="003F1E6F">
        <w:t>http://bit.ly/1MzsVXc</w:t>
      </w:r>
      <w:r>
        <w:t>.</w:t>
      </w:r>
    </w:p>
  </w:footnote>
  <w:footnote w:id="728">
    <w:p w:rsidR="00056C23" w:rsidRDefault="00056C23" w:rsidP="00056C23">
      <w:pPr>
        <w:pStyle w:val="FootnoteText"/>
      </w:pPr>
      <w:r>
        <w:rPr>
          <w:rStyle w:val="FootnoteReference"/>
        </w:rPr>
        <w:footnoteRef/>
      </w:r>
      <w:r>
        <w:t xml:space="preserve"> Hayley Tsukayama, Yahoo escalates the war on ad-blockers – by keeping people out of their own e-mail, </w:t>
      </w:r>
      <w:r>
        <w:rPr>
          <w:i/>
        </w:rPr>
        <w:t xml:space="preserve">The Washington </w:t>
      </w:r>
      <w:r w:rsidRPr="0087380F">
        <w:rPr>
          <w:i/>
        </w:rPr>
        <w:t>Post</w:t>
      </w:r>
      <w:r>
        <w:t xml:space="preserve"> (Nov. 23, 2015), </w:t>
      </w:r>
      <w:r>
        <w:rPr>
          <w:i/>
        </w:rPr>
        <w:t>available at</w:t>
      </w:r>
      <w:r>
        <w:t xml:space="preserve"> </w:t>
      </w:r>
      <w:r w:rsidRPr="003F1E6F">
        <w:t>http://wapo.st/1Tb9jre</w:t>
      </w:r>
      <w:r>
        <w:t>.</w:t>
      </w:r>
    </w:p>
  </w:footnote>
  <w:footnote w:id="729">
    <w:p w:rsidR="00056C23" w:rsidRDefault="00056C23" w:rsidP="00056C23">
      <w:pPr>
        <w:pStyle w:val="FootnoteText"/>
      </w:pPr>
      <w:r>
        <w:rPr>
          <w:rStyle w:val="FootnoteReference"/>
        </w:rPr>
        <w:footnoteRef/>
      </w:r>
      <w:r>
        <w:t xml:space="preserve"> Or, as security expert Bruce Schneier observed in 2014:  “Surveillance is the business model of the Internet.  We build systems that spy on people in exchange for services.”  </w:t>
      </w:r>
      <w:r w:rsidRPr="00FB6E61">
        <w:t xml:space="preserve">Fahmida Y. Rashid, Surveillance is the Business Model of the Internet: Bruce Schneier, </w:t>
      </w:r>
      <w:r w:rsidRPr="00FB6E61">
        <w:rPr>
          <w:i/>
        </w:rPr>
        <w:t>Security Week</w:t>
      </w:r>
      <w:r w:rsidRPr="00FB6E61">
        <w:t xml:space="preserve"> (Apr. 4, 2014), </w:t>
      </w:r>
      <w:r w:rsidRPr="00FB6E61">
        <w:rPr>
          <w:i/>
        </w:rPr>
        <w:t>available at</w:t>
      </w:r>
      <w:r w:rsidRPr="00FB6E61">
        <w:t xml:space="preserve"> </w:t>
      </w:r>
      <w:r w:rsidRPr="003F1E6F">
        <w:t>http://bit.ly/1SuNLWL</w:t>
      </w:r>
      <w:r w:rsidRPr="00FB6E61">
        <w:t>.</w:t>
      </w:r>
    </w:p>
  </w:footnote>
  <w:footnote w:id="730">
    <w:p w:rsidR="00056C23" w:rsidRPr="004827CE" w:rsidRDefault="00056C23" w:rsidP="00056C23">
      <w:pPr>
        <w:pStyle w:val="FootnoteText"/>
      </w:pPr>
      <w:r>
        <w:rPr>
          <w:rStyle w:val="FootnoteReference"/>
        </w:rPr>
        <w:footnoteRef/>
      </w:r>
      <w:r>
        <w:t xml:space="preserve"> The </w:t>
      </w:r>
      <w:r>
        <w:rPr>
          <w:i/>
        </w:rPr>
        <w:t>Order</w:t>
      </w:r>
      <w:r>
        <w:t xml:space="preserve"> even (reluctantly) acknowledges as much.  </w:t>
      </w:r>
      <w:r>
        <w:rPr>
          <w:i/>
        </w:rPr>
        <w:t>See Order</w:t>
      </w:r>
      <w:r>
        <w:t xml:space="preserve"> at para. 132 (“We recognize that edge providers . . . are not subject to the same regulatory framework, and this this regulatory disparity could have competitive ripple effects.”).</w:t>
      </w:r>
    </w:p>
  </w:footnote>
  <w:footnote w:id="731">
    <w:p w:rsidR="00056C23" w:rsidRPr="00CE2AA3" w:rsidRDefault="00056C23" w:rsidP="00056C23">
      <w:pPr>
        <w:pStyle w:val="FootnoteText"/>
      </w:pPr>
      <w:r>
        <w:rPr>
          <w:rStyle w:val="FootnoteReference"/>
        </w:rPr>
        <w:footnoteRef/>
      </w:r>
      <w:r>
        <w:t xml:space="preserve"> </w:t>
      </w:r>
      <w:r w:rsidRPr="00814A2F">
        <w:rPr>
          <w:i/>
        </w:rPr>
        <w:t>See, e.g.</w:t>
      </w:r>
      <w:r>
        <w:t xml:space="preserve">, Omnibus Broadband Initiative, FCC, </w:t>
      </w:r>
      <w:r>
        <w:rPr>
          <w:i/>
        </w:rPr>
        <w:t>Connecting America: The National Broadband Plan</w:t>
      </w:r>
      <w:r>
        <w:t xml:space="preserve"> at 53 (2010); </w:t>
      </w:r>
      <w:r>
        <w:rPr>
          <w:i/>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t xml:space="preserve">, GN Docket No. 15-191, 2016 Broadband Progress Report, 31 FCC Rcd 699, 751–52, para. 126 (2016); </w:t>
      </w:r>
      <w:r>
        <w:rPr>
          <w:i/>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t>, GN Docket No. 14-126, Tenth Broadband Progress Notice of Inquiry, 29 FCC Rcd 9747, 9770, para. 50 (2014).</w:t>
      </w:r>
    </w:p>
  </w:footnote>
  <w:footnote w:id="732">
    <w:p w:rsidR="00056C23" w:rsidRDefault="00056C23" w:rsidP="00056C23">
      <w:pPr>
        <w:pStyle w:val="FootnoteText"/>
      </w:pPr>
      <w:r>
        <w:rPr>
          <w:rStyle w:val="FootnoteReference"/>
        </w:rPr>
        <w:footnoteRef/>
      </w:r>
      <w:r>
        <w:t xml:space="preserve"> </w:t>
      </w:r>
      <w:r w:rsidRPr="001545B8">
        <w:rPr>
          <w:i/>
        </w:rPr>
        <w:t>See</w:t>
      </w:r>
      <w:r>
        <w:t xml:space="preserve"> Telecommunications Act § 706; </w:t>
      </w:r>
      <w:r>
        <w:rPr>
          <w:i/>
        </w:rPr>
        <w:t>Order</w:t>
      </w:r>
      <w:r>
        <w:t xml:space="preserve"> at para. 309.</w:t>
      </w:r>
    </w:p>
  </w:footnote>
  <w:footnote w:id="733">
    <w:p w:rsidR="00056C23" w:rsidRDefault="00056C23" w:rsidP="00056C23">
      <w:pPr>
        <w:pStyle w:val="FootnoteText"/>
      </w:pPr>
      <w:r>
        <w:rPr>
          <w:rStyle w:val="FootnoteReference"/>
        </w:rPr>
        <w:footnoteRef/>
      </w:r>
      <w:r>
        <w:t xml:space="preserve"> Memorandum from Claire Gartland, Khaliah Barnes, and Marc Rotenberg, Electronic Privacy Information Center (EPIC), at 1–2 (Mar. 18, 2016).</w:t>
      </w:r>
    </w:p>
  </w:footnote>
  <w:footnote w:id="734">
    <w:p w:rsidR="00056C23" w:rsidRPr="00D74580" w:rsidRDefault="00056C23" w:rsidP="00056C23">
      <w:pPr>
        <w:pStyle w:val="FootnoteText"/>
        <w:rPr>
          <w:i/>
        </w:rPr>
      </w:pPr>
      <w:r>
        <w:rPr>
          <w:rStyle w:val="FootnoteReference"/>
        </w:rPr>
        <w:footnoteRef/>
      </w:r>
      <w:r>
        <w:t xml:space="preserve"> Ryan Knutson &amp; Shalini Ramachandran, Netflix Throttles Its Videos on AT&amp;T, Verizon Networks, </w:t>
      </w:r>
      <w:r>
        <w:rPr>
          <w:i/>
        </w:rPr>
        <w:t>The Wall Street Journal</w:t>
      </w:r>
      <w:r>
        <w:t xml:space="preserve"> (Mar. 24, 2016).</w:t>
      </w:r>
    </w:p>
  </w:footnote>
  <w:footnote w:id="735">
    <w:p w:rsidR="00056C23" w:rsidRDefault="00056C23" w:rsidP="00056C23">
      <w:pPr>
        <w:pStyle w:val="FootnoteText"/>
      </w:pPr>
      <w:r>
        <w:rPr>
          <w:rStyle w:val="FootnoteReference"/>
        </w:rPr>
        <w:footnoteRef/>
      </w:r>
      <w:r>
        <w:t xml:space="preserve"> </w:t>
      </w:r>
      <w:r>
        <w:rPr>
          <w:i/>
        </w:rPr>
        <w:t>Title II Order</w:t>
      </w:r>
      <w:r>
        <w:t>, 30 FCC Rcd at 5628, para. 78.</w:t>
      </w:r>
    </w:p>
  </w:footnote>
  <w:footnote w:id="736">
    <w:p w:rsidR="00E21717" w:rsidRDefault="00E21717" w:rsidP="00E21717">
      <w:pPr>
        <w:pStyle w:val="FootnoteText"/>
      </w:pPr>
      <w:r>
        <w:rPr>
          <w:rStyle w:val="FootnoteReference"/>
        </w:rPr>
        <w:footnoteRef/>
      </w:r>
      <w:r>
        <w:t xml:space="preserve"> I strenuously object to the notion that this is just a simple NPRM to start the process and ask questions, as has been falsely yammered about other items.  If that were the case, then just why would the Commission need to set such short comment dates and base them on the item’s release as opposed to publication in the Federal Register?  Instead, this entrée is a pre-cooked one, where the only reason for the NPRM is because the law requires it.  </w:t>
      </w:r>
    </w:p>
  </w:footnote>
  <w:footnote w:id="737">
    <w:p w:rsidR="00E21717" w:rsidRDefault="00E21717" w:rsidP="00E21717">
      <w:pPr>
        <w:pStyle w:val="FootnoteText"/>
      </w:pPr>
      <w:r>
        <w:rPr>
          <w:rStyle w:val="FootnoteReference"/>
        </w:rPr>
        <w:footnoteRef/>
      </w:r>
      <w:r>
        <w:t xml:space="preserve"> </w:t>
      </w:r>
      <w:r>
        <w:rPr>
          <w:i/>
        </w:rPr>
        <w:t>TerraCom, Inc. and YourTel America, Inc.</w:t>
      </w:r>
      <w:r>
        <w:t>, Notice of Apparent Liability for Forfeiture, 29 FCC Rcd</w:t>
      </w:r>
      <w:r>
        <w:rPr>
          <w:i/>
        </w:rPr>
        <w:t xml:space="preserve"> </w:t>
      </w:r>
      <w:r>
        <w:t>13325 (2014) (</w:t>
      </w:r>
      <w:r>
        <w:rPr>
          <w:i/>
        </w:rPr>
        <w:t>TerraCom NAL</w:t>
      </w:r>
      <w:r>
        <w:t xml:space="preserve">).  My only consolation is that this Notice concedes that prior section 222 rulemakings had been confined to CPNI.  Thus, parties had no notice that the Commission would find independent authority in section 222(a), and the </w:t>
      </w:r>
      <w:r w:rsidRPr="00117DDE">
        <w:rPr>
          <w:i/>
        </w:rPr>
        <w:t>TerraCom NAL</w:t>
      </w:r>
      <w:r>
        <w:t xml:space="preserve"> was unlawful.  Moreover, because the Commission cannot adopt rules solely on the basis of tentative conclusions in an NAL, the Lifeline privacy and security rules adopted last year must be reconsidered and discarded.</w:t>
      </w:r>
    </w:p>
  </w:footnote>
  <w:footnote w:id="738">
    <w:p w:rsidR="00E21717" w:rsidRDefault="00E21717" w:rsidP="00E21717">
      <w:pPr>
        <w:pStyle w:val="FootnoteText"/>
      </w:pPr>
      <w:r>
        <w:rPr>
          <w:rStyle w:val="FootnoteReference"/>
        </w:rPr>
        <w:footnoteRef/>
      </w:r>
      <w:r>
        <w:t xml:space="preserve"> I also disagree with the suggestion that all CPNI should be considered individually identifiable and, therefore, subject to the restrictions of section 222(c)(1).  The plain language of section 222(c)(1) makes clear that there are different types of CPNI and they should be treated differently.  Only the subset of CPNI that the statute calls “personally identifiable CPNI” is protected.  De-identified CPNI, therefore, would not be subject to section 222(c)(1).</w:t>
      </w:r>
    </w:p>
  </w:footnote>
  <w:footnote w:id="739">
    <w:p w:rsidR="00E21717" w:rsidRDefault="00E21717" w:rsidP="00E21717">
      <w:pPr>
        <w:pStyle w:val="FootnoteText"/>
      </w:pPr>
      <w:r>
        <w:rPr>
          <w:rStyle w:val="FootnoteReference"/>
        </w:rPr>
        <w:footnoteRef/>
      </w:r>
      <w:r>
        <w:t xml:space="preserve"> National Telecommunications and Information Administration, </w:t>
      </w:r>
      <w:r w:rsidRPr="00D23B0B">
        <w:t>Exploring the Digital Nation: Embracing the Mobile Internet</w:t>
      </w:r>
      <w:r w:rsidDel="00DD550F">
        <w:t xml:space="preserve"> </w:t>
      </w:r>
      <w:r>
        <w:t xml:space="preserve">at 26 (2014), </w:t>
      </w:r>
      <w:r w:rsidRPr="00DD550F">
        <w:t>https://www.ntia.doc.gov/files/ntia/publications/exploring_the_digital_nation_embracing_the_mobile_internet_10162014.pdf</w:t>
      </w:r>
      <w:r>
        <w:t>.</w:t>
      </w:r>
    </w:p>
  </w:footnote>
  <w:footnote w:id="740">
    <w:p w:rsidR="00E21717" w:rsidRDefault="00E21717" w:rsidP="00E21717">
      <w:pPr>
        <w:pStyle w:val="FootnoteText"/>
      </w:pPr>
      <w:r>
        <w:rPr>
          <w:rStyle w:val="FootnoteReference"/>
        </w:rPr>
        <w:footnoteRef/>
      </w:r>
      <w:r>
        <w:t xml:space="preserve"> </w:t>
      </w:r>
      <w:r w:rsidRPr="00516924">
        <w:t xml:space="preserve">Federal Trade Commission, Protecting Consumer Privacy in an </w:t>
      </w:r>
      <w:r>
        <w:t>E</w:t>
      </w:r>
      <w:r w:rsidRPr="00516924">
        <w:t xml:space="preserve">ra of Rapid Change:  Recommendations for Businesses and Policymakers at </w:t>
      </w:r>
      <w:r>
        <w:t>38-39</w:t>
      </w:r>
      <w:r w:rsidRPr="00516924">
        <w:t xml:space="preserve"> (2012), https://www.ftc.gov/sites/default/files/documents/reports/federal-trade-commission-report-protecting-consumer-privacy-era-rapid-change-recommendations/120326privacyreport.pdf</w:t>
      </w:r>
      <w:r>
        <w:t xml:space="preserve">. </w:t>
      </w:r>
    </w:p>
  </w:footnote>
  <w:footnote w:id="741">
    <w:p w:rsidR="00E21717" w:rsidRPr="00007016" w:rsidRDefault="00E21717" w:rsidP="00E21717">
      <w:pPr>
        <w:pStyle w:val="FootnoteText"/>
      </w:pPr>
      <w:r>
        <w:rPr>
          <w:rStyle w:val="FootnoteReference"/>
        </w:rPr>
        <w:footnoteRef/>
      </w:r>
      <w:r>
        <w:t xml:space="preserve"> For example, </w:t>
      </w:r>
      <w:r w:rsidRPr="00E21717">
        <w:rPr>
          <w:color w:val="000000"/>
          <w:shd w:val="clear" w:color="auto" w:fill="FFFFFF"/>
        </w:rPr>
        <w:t xml:space="preserve">no consent is needed for first party marketing by affiliates where the relationship is clear to consumers.  </w:t>
      </w:r>
      <w:r w:rsidRPr="00E21717">
        <w:rPr>
          <w:i/>
          <w:color w:val="000000"/>
          <w:shd w:val="clear" w:color="auto" w:fill="FFFFFF"/>
        </w:rPr>
        <w:t xml:space="preserve">Id. </w:t>
      </w:r>
      <w:r w:rsidRPr="00E21717">
        <w:rPr>
          <w:color w:val="000000"/>
          <w:shd w:val="clear" w:color="auto" w:fill="FFFFFF"/>
        </w:rPr>
        <w:t>at 41-42.</w:t>
      </w:r>
    </w:p>
  </w:footnote>
  <w:footnote w:id="742">
    <w:p w:rsidR="00E21717" w:rsidRDefault="00E21717" w:rsidP="00E21717">
      <w:pPr>
        <w:pStyle w:val="FootnoteText"/>
      </w:pPr>
      <w:r>
        <w:rPr>
          <w:rStyle w:val="FootnoteReference"/>
        </w:rPr>
        <w:footnoteRef/>
      </w:r>
      <w:r>
        <w:t xml:space="preserve"> </w:t>
      </w:r>
      <w:r w:rsidRPr="00D23B0B">
        <w:rPr>
          <w:i/>
        </w:rPr>
        <w:t>Id</w:t>
      </w:r>
      <w:r>
        <w:t>. at 57-60.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C28" w:rsidRDefault="00C16C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D51" w:rsidRDefault="00A64AE2" w:rsidP="00324CD5">
    <w:pPr>
      <w:pStyle w:val="Header"/>
      <w:rPr>
        <w:b w:val="0"/>
      </w:rPr>
    </w:pPr>
    <w:r>
      <w:rPr>
        <w:noProof/>
      </w:rPr>
      <w:pict>
        <v:rect id="_x0000_s2053" style="position:absolute;margin-left:.6pt;margin-top:12.65pt;width:468pt;height:.95pt;z-index:-25165772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474D51">
      <w:tab/>
      <w:t>Federal Communications Commission</w:t>
    </w:r>
    <w:r w:rsidR="00474D51">
      <w:tab/>
    </w:r>
    <w:r w:rsidR="0051143F">
      <w:rPr>
        <w:spacing w:val="-2"/>
      </w:rPr>
      <w:t>FCC 16-39</w:t>
    </w:r>
  </w:p>
  <w:p w:rsidR="00474D51" w:rsidRDefault="00A64AE2">
    <w:pPr>
      <w:tabs>
        <w:tab w:val="left" w:pos="-720"/>
      </w:tabs>
      <w:suppressAutoHyphens/>
      <w:spacing w:line="19" w:lineRule="exact"/>
      <w:rPr>
        <w:spacing w:val="-2"/>
      </w:rPr>
    </w:pPr>
    <w:r>
      <w:rPr>
        <w:noProof/>
      </w:rPr>
      <w:pict>
        <v:rect id="_x0000_s2052" style="position:absolute;margin-left:0;margin-top:0;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474D51" w:rsidRDefault="00474D51">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D51" w:rsidRDefault="00A64AE2" w:rsidP="00FD44A3">
    <w:pPr>
      <w:pStyle w:val="Header"/>
      <w:rPr>
        <w:b w:val="0"/>
      </w:rPr>
    </w:pPr>
    <w:r>
      <w:rPr>
        <w:noProof/>
      </w:rPr>
      <w:pict>
        <v:rect id="_x0000_s2054" style="position:absolute;margin-left:.6pt;margin-top:12.65pt;width:468pt;height:.95pt;z-index:-25165670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474D51">
      <w:tab/>
      <w:t>Federal Communications Commission</w:t>
    </w:r>
    <w:r w:rsidR="00474D51">
      <w:tab/>
    </w:r>
    <w:r w:rsidR="00FB0864">
      <w:rPr>
        <w:spacing w:val="-2"/>
      </w:rPr>
      <w:t>FCC 16-39</w:t>
    </w:r>
  </w:p>
  <w:p w:rsidR="00474D51" w:rsidRPr="000910C2" w:rsidRDefault="00474D51" w:rsidP="00324CD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D51" w:rsidRDefault="00474D51" w:rsidP="00810B6F">
    <w:pPr>
      <w:pStyle w:val="Header"/>
      <w:rPr>
        <w:b w:val="0"/>
      </w:rPr>
    </w:pPr>
    <w:r>
      <w:tab/>
      <w:t>Federal Communications Commission</w:t>
    </w:r>
    <w:r>
      <w:tab/>
    </w:r>
    <w:r w:rsidR="0051143F">
      <w:t>FCC 16-39</w:t>
    </w:r>
  </w:p>
  <w:p w:rsidR="00474D51" w:rsidRDefault="00A64AE2">
    <w:pPr>
      <w:tabs>
        <w:tab w:val="left" w:pos="-720"/>
      </w:tabs>
      <w:suppressAutoHyphens/>
      <w:spacing w:line="19" w:lineRule="exact"/>
      <w:rPr>
        <w:spacing w:val="-2"/>
      </w:rPr>
    </w:pPr>
    <w:r>
      <w:rPr>
        <w:noProof/>
      </w:rPr>
      <w:pict>
        <v:rect id="Rectangle 1" o:spid="_x0000_s2050" style="position:absolute;margin-left:0;margin-top:0;width:468pt;height:.95pt;z-index:-25166080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474D51" w:rsidRDefault="00474D51">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D51" w:rsidRDefault="00A64AE2" w:rsidP="00810B6F">
    <w:pPr>
      <w:pStyle w:val="Header"/>
      <w:rPr>
        <w:b w:val="0"/>
      </w:rPr>
    </w:pPr>
    <w:r>
      <w:rPr>
        <w:noProof/>
      </w:rPr>
      <w:pict>
        <v:rect id="Rectangle 3" o:spid="_x0000_s2049" style="position:absolute;margin-left:.6pt;margin-top:12.65pt;width:468pt;height:.95pt;z-index:-25165977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474D51">
      <w:tab/>
      <w:t>Federal Communications Commission</w:t>
    </w:r>
    <w:r w:rsidR="00474D51">
      <w:tab/>
    </w:r>
    <w:r w:rsidR="00474D51">
      <w:rPr>
        <w:spacing w:val="-2"/>
      </w:rPr>
      <w:fldChar w:fldCharType="begin"/>
    </w:r>
    <w:r w:rsidR="00474D51">
      <w:rPr>
        <w:spacing w:val="-2"/>
      </w:rPr>
      <w:instrText xml:space="preserve"> MACROBUTTON  Overtype "FCC  XX-XXX" </w:instrText>
    </w:r>
    <w:r w:rsidR="00474D51">
      <w:rPr>
        <w:spacing w:val="-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666573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11357"/>
    <w:multiLevelType w:val="hybridMultilevel"/>
    <w:tmpl w:val="2ACE9B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2044AB"/>
    <w:multiLevelType w:val="multilevel"/>
    <w:tmpl w:val="527E0572"/>
    <w:lvl w:ilvl="0">
      <w:start w:val="1"/>
      <w:numFmt w:val="lowerLetter"/>
      <w:lvlText w:val="(%1)"/>
      <w:lvlJc w:val="left"/>
      <w:pPr>
        <w:ind w:left="0" w:firstLine="360"/>
      </w:pPr>
      <w:rPr>
        <w:rFonts w:ascii="Times New Roman" w:hAnsi="Times New Roman" w:cs="Times New Roman" w:hint="default"/>
        <w:color w:val="222222"/>
      </w:rPr>
    </w:lvl>
    <w:lvl w:ilvl="1">
      <w:start w:val="1"/>
      <w:numFmt w:val="decimal"/>
      <w:lvlText w:val="(%2)"/>
      <w:lvlJc w:val="left"/>
      <w:pPr>
        <w:tabs>
          <w:tab w:val="num" w:pos="1080"/>
        </w:tabs>
        <w:ind w:left="0" w:firstLine="720"/>
      </w:pPr>
      <w:rPr>
        <w:rFonts w:hint="default"/>
      </w:rPr>
    </w:lvl>
    <w:lvl w:ilvl="2">
      <w:start w:val="1"/>
      <w:numFmt w:val="lowerRoman"/>
      <w:lvlText w:val="(%3)"/>
      <w:lvlJc w:val="left"/>
      <w:pPr>
        <w:ind w:left="0" w:firstLine="1080"/>
      </w:pPr>
      <w:rPr>
        <w:rFonts w:hint="default"/>
      </w:rPr>
    </w:lvl>
    <w:lvl w:ilvl="3">
      <w:start w:val="1"/>
      <w:numFmt w:val="upperLetter"/>
      <w:lvlText w:val="(%4)"/>
      <w:lvlJc w:val="left"/>
      <w:pPr>
        <w:tabs>
          <w:tab w:val="num" w:pos="1800"/>
        </w:tabs>
        <w:ind w:left="0" w:firstLine="1440"/>
      </w:pPr>
      <w:rPr>
        <w:rFonts w:hint="default"/>
      </w:rPr>
    </w:lvl>
    <w:lvl w:ilvl="4">
      <w:start w:val="1"/>
      <w:numFmt w:val="decimal"/>
      <w:lvlText w:val="(%5)"/>
      <w:lvlJc w:val="left"/>
      <w:pPr>
        <w:ind w:left="0" w:firstLine="1800"/>
      </w:pPr>
      <w:rPr>
        <w:rFonts w:hint="default"/>
        <w:b w:val="0"/>
        <w:i/>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3C53C1A"/>
    <w:multiLevelType w:val="hybridMultilevel"/>
    <w:tmpl w:val="DD547F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B1850D3"/>
    <w:multiLevelType w:val="hybridMultilevel"/>
    <w:tmpl w:val="E56CFC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D731F16"/>
    <w:multiLevelType w:val="hybridMultilevel"/>
    <w:tmpl w:val="A238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1032A8"/>
    <w:multiLevelType w:val="multilevel"/>
    <w:tmpl w:val="F6FCEE0A"/>
    <w:lvl w:ilvl="0">
      <w:start w:val="18"/>
      <w:numFmt w:val="lowerLetter"/>
      <w:lvlText w:val="(%1)"/>
      <w:lvlJc w:val="left"/>
      <w:pPr>
        <w:ind w:left="0" w:firstLine="360"/>
      </w:pPr>
      <w:rPr>
        <w:rFonts w:ascii="Times New Roman" w:hAnsi="Times New Roman" w:cs="Times New Roman" w:hint="default"/>
        <w:color w:val="222222"/>
      </w:rPr>
    </w:lvl>
    <w:lvl w:ilvl="1">
      <w:start w:val="1"/>
      <w:numFmt w:val="decimal"/>
      <w:lvlText w:val="(%2)"/>
      <w:lvlJc w:val="left"/>
      <w:pPr>
        <w:tabs>
          <w:tab w:val="num" w:pos="1080"/>
        </w:tabs>
        <w:ind w:left="0" w:firstLine="720"/>
      </w:pPr>
      <w:rPr>
        <w:rFonts w:hint="default"/>
      </w:rPr>
    </w:lvl>
    <w:lvl w:ilvl="2">
      <w:start w:val="1"/>
      <w:numFmt w:val="lowerRoman"/>
      <w:lvlText w:val="(%3)"/>
      <w:lvlJc w:val="left"/>
      <w:pPr>
        <w:ind w:left="0" w:firstLine="1080"/>
      </w:pPr>
      <w:rPr>
        <w:rFonts w:hint="default"/>
      </w:rPr>
    </w:lvl>
    <w:lvl w:ilvl="3">
      <w:start w:val="1"/>
      <w:numFmt w:val="upperLetter"/>
      <w:lvlText w:val="(%4)"/>
      <w:lvlJc w:val="left"/>
      <w:pPr>
        <w:tabs>
          <w:tab w:val="num" w:pos="1800"/>
        </w:tabs>
        <w:ind w:left="0" w:firstLine="1440"/>
      </w:pPr>
      <w:rPr>
        <w:rFonts w:hint="default"/>
      </w:rPr>
    </w:lvl>
    <w:lvl w:ilvl="4">
      <w:start w:val="1"/>
      <w:numFmt w:val="decimal"/>
      <w:lvlText w:val="(%5)"/>
      <w:lvlJc w:val="left"/>
      <w:pPr>
        <w:ind w:left="0" w:firstLine="1800"/>
      </w:pPr>
      <w:rPr>
        <w:rFonts w:hint="default"/>
        <w:b w:val="0"/>
        <w:i/>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10E55E15"/>
    <w:multiLevelType w:val="multilevel"/>
    <w:tmpl w:val="F578C430"/>
    <w:lvl w:ilvl="0">
      <w:start w:val="1"/>
      <w:numFmt w:val="lowerLetter"/>
      <w:lvlText w:val="(%1)"/>
      <w:lvlJc w:val="left"/>
      <w:pPr>
        <w:ind w:left="0" w:firstLine="360"/>
      </w:pPr>
      <w:rPr>
        <w:rFonts w:ascii="Times New Roman" w:hAnsi="Times New Roman" w:cs="Times New Roman" w:hint="default"/>
        <w:color w:val="222222"/>
      </w:rPr>
    </w:lvl>
    <w:lvl w:ilvl="1">
      <w:start w:val="1"/>
      <w:numFmt w:val="decimal"/>
      <w:lvlText w:val="(%2)"/>
      <w:lvlJc w:val="left"/>
      <w:pPr>
        <w:tabs>
          <w:tab w:val="num" w:pos="1080"/>
        </w:tabs>
        <w:ind w:left="0" w:firstLine="720"/>
      </w:pPr>
      <w:rPr>
        <w:rFonts w:hint="default"/>
      </w:rPr>
    </w:lvl>
    <w:lvl w:ilvl="2">
      <w:start w:val="1"/>
      <w:numFmt w:val="lowerRoman"/>
      <w:lvlText w:val="(%3)"/>
      <w:lvlJc w:val="left"/>
      <w:pPr>
        <w:ind w:left="0" w:firstLine="1080"/>
      </w:pPr>
      <w:rPr>
        <w:rFonts w:hint="default"/>
      </w:rPr>
    </w:lvl>
    <w:lvl w:ilvl="3">
      <w:start w:val="1"/>
      <w:numFmt w:val="upperLetter"/>
      <w:lvlText w:val="(%4)"/>
      <w:lvlJc w:val="left"/>
      <w:pPr>
        <w:tabs>
          <w:tab w:val="num" w:pos="1800"/>
        </w:tabs>
        <w:ind w:left="0" w:firstLine="1440"/>
      </w:pPr>
      <w:rPr>
        <w:rFonts w:hint="default"/>
      </w:rPr>
    </w:lvl>
    <w:lvl w:ilvl="4">
      <w:start w:val="1"/>
      <w:numFmt w:val="decimal"/>
      <w:lvlText w:val="(%5)"/>
      <w:lvlJc w:val="left"/>
      <w:pPr>
        <w:ind w:left="0" w:firstLine="1800"/>
      </w:pPr>
      <w:rPr>
        <w:rFonts w:hint="default"/>
        <w:b w:val="0"/>
        <w:i/>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FFB160D"/>
    <w:multiLevelType w:val="hybridMultilevel"/>
    <w:tmpl w:val="50CACE0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1F568B4"/>
    <w:multiLevelType w:val="multilevel"/>
    <w:tmpl w:val="527E0572"/>
    <w:lvl w:ilvl="0">
      <w:start w:val="1"/>
      <w:numFmt w:val="lowerLetter"/>
      <w:lvlText w:val="(%1)"/>
      <w:lvlJc w:val="left"/>
      <w:pPr>
        <w:ind w:left="0" w:firstLine="360"/>
      </w:pPr>
      <w:rPr>
        <w:rFonts w:ascii="Times New Roman" w:hAnsi="Times New Roman" w:cs="Times New Roman" w:hint="default"/>
        <w:color w:val="222222"/>
      </w:rPr>
    </w:lvl>
    <w:lvl w:ilvl="1">
      <w:start w:val="1"/>
      <w:numFmt w:val="decimal"/>
      <w:lvlText w:val="(%2)"/>
      <w:lvlJc w:val="left"/>
      <w:pPr>
        <w:tabs>
          <w:tab w:val="num" w:pos="1080"/>
        </w:tabs>
        <w:ind w:left="0" w:firstLine="720"/>
      </w:pPr>
      <w:rPr>
        <w:rFonts w:hint="default"/>
      </w:rPr>
    </w:lvl>
    <w:lvl w:ilvl="2">
      <w:start w:val="1"/>
      <w:numFmt w:val="lowerRoman"/>
      <w:lvlText w:val="(%3)"/>
      <w:lvlJc w:val="left"/>
      <w:pPr>
        <w:ind w:left="0" w:firstLine="1080"/>
      </w:pPr>
      <w:rPr>
        <w:rFonts w:hint="default"/>
      </w:rPr>
    </w:lvl>
    <w:lvl w:ilvl="3">
      <w:start w:val="1"/>
      <w:numFmt w:val="upperLetter"/>
      <w:lvlText w:val="(%4)"/>
      <w:lvlJc w:val="left"/>
      <w:pPr>
        <w:tabs>
          <w:tab w:val="num" w:pos="1800"/>
        </w:tabs>
        <w:ind w:left="0" w:firstLine="1440"/>
      </w:pPr>
      <w:rPr>
        <w:rFonts w:hint="default"/>
      </w:rPr>
    </w:lvl>
    <w:lvl w:ilvl="4">
      <w:start w:val="1"/>
      <w:numFmt w:val="decimal"/>
      <w:lvlText w:val="(%5)"/>
      <w:lvlJc w:val="left"/>
      <w:pPr>
        <w:ind w:left="0" w:firstLine="1800"/>
      </w:pPr>
      <w:rPr>
        <w:rFonts w:hint="default"/>
        <w:b w:val="0"/>
        <w:i/>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2">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3">
    <w:nsid w:val="2DCA673D"/>
    <w:multiLevelType w:val="multilevel"/>
    <w:tmpl w:val="527E0572"/>
    <w:lvl w:ilvl="0">
      <w:start w:val="1"/>
      <w:numFmt w:val="lowerLetter"/>
      <w:lvlText w:val="(%1)"/>
      <w:lvlJc w:val="left"/>
      <w:pPr>
        <w:ind w:left="0" w:firstLine="360"/>
      </w:pPr>
      <w:rPr>
        <w:rFonts w:ascii="Times New Roman" w:hAnsi="Times New Roman" w:cs="Times New Roman" w:hint="default"/>
        <w:color w:val="222222"/>
      </w:rPr>
    </w:lvl>
    <w:lvl w:ilvl="1">
      <w:start w:val="1"/>
      <w:numFmt w:val="decimal"/>
      <w:lvlText w:val="(%2)"/>
      <w:lvlJc w:val="left"/>
      <w:pPr>
        <w:tabs>
          <w:tab w:val="num" w:pos="1080"/>
        </w:tabs>
        <w:ind w:left="0" w:firstLine="720"/>
      </w:pPr>
      <w:rPr>
        <w:rFonts w:hint="default"/>
      </w:rPr>
    </w:lvl>
    <w:lvl w:ilvl="2">
      <w:start w:val="1"/>
      <w:numFmt w:val="lowerRoman"/>
      <w:lvlText w:val="(%3)"/>
      <w:lvlJc w:val="left"/>
      <w:pPr>
        <w:ind w:left="0" w:firstLine="1080"/>
      </w:pPr>
      <w:rPr>
        <w:rFonts w:hint="default"/>
      </w:rPr>
    </w:lvl>
    <w:lvl w:ilvl="3">
      <w:start w:val="1"/>
      <w:numFmt w:val="upperLetter"/>
      <w:lvlText w:val="(%4)"/>
      <w:lvlJc w:val="left"/>
      <w:pPr>
        <w:tabs>
          <w:tab w:val="num" w:pos="1800"/>
        </w:tabs>
        <w:ind w:left="0" w:firstLine="1440"/>
      </w:pPr>
      <w:rPr>
        <w:rFonts w:hint="default"/>
      </w:rPr>
    </w:lvl>
    <w:lvl w:ilvl="4">
      <w:start w:val="1"/>
      <w:numFmt w:val="decimal"/>
      <w:lvlText w:val="(%5)"/>
      <w:lvlJc w:val="left"/>
      <w:pPr>
        <w:ind w:left="0" w:firstLine="1800"/>
      </w:pPr>
      <w:rPr>
        <w:rFonts w:hint="default"/>
        <w:b w:val="0"/>
        <w:i/>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2F980532"/>
    <w:multiLevelType w:val="hybridMultilevel"/>
    <w:tmpl w:val="19F40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4515681"/>
    <w:multiLevelType w:val="multilevel"/>
    <w:tmpl w:val="7E3EB2A4"/>
    <w:lvl w:ilvl="0">
      <w:start w:val="8"/>
      <w:numFmt w:val="lowerLetter"/>
      <w:lvlText w:val="(%1)"/>
      <w:lvlJc w:val="left"/>
      <w:pPr>
        <w:ind w:left="0" w:firstLine="360"/>
      </w:pPr>
      <w:rPr>
        <w:rFonts w:ascii="Times New Roman" w:hAnsi="Times New Roman" w:cs="Times New Roman" w:hint="default"/>
        <w:color w:val="222222"/>
      </w:rPr>
    </w:lvl>
    <w:lvl w:ilvl="1">
      <w:start w:val="1"/>
      <w:numFmt w:val="decimal"/>
      <w:lvlText w:val="(%2)"/>
      <w:lvlJc w:val="left"/>
      <w:pPr>
        <w:tabs>
          <w:tab w:val="num" w:pos="1080"/>
        </w:tabs>
        <w:ind w:left="0" w:firstLine="720"/>
      </w:pPr>
      <w:rPr>
        <w:rFonts w:hint="default"/>
      </w:rPr>
    </w:lvl>
    <w:lvl w:ilvl="2">
      <w:start w:val="1"/>
      <w:numFmt w:val="lowerRoman"/>
      <w:lvlText w:val="(%3)"/>
      <w:lvlJc w:val="left"/>
      <w:pPr>
        <w:ind w:left="0" w:firstLine="1080"/>
      </w:pPr>
      <w:rPr>
        <w:rFonts w:hint="default"/>
      </w:rPr>
    </w:lvl>
    <w:lvl w:ilvl="3">
      <w:start w:val="1"/>
      <w:numFmt w:val="upperLetter"/>
      <w:lvlText w:val="(%4)"/>
      <w:lvlJc w:val="left"/>
      <w:pPr>
        <w:tabs>
          <w:tab w:val="num" w:pos="1800"/>
        </w:tabs>
        <w:ind w:left="0" w:firstLine="1440"/>
      </w:pPr>
      <w:rPr>
        <w:rFonts w:hint="default"/>
      </w:rPr>
    </w:lvl>
    <w:lvl w:ilvl="4">
      <w:start w:val="1"/>
      <w:numFmt w:val="decimal"/>
      <w:lvlText w:val="(%5)"/>
      <w:lvlJc w:val="left"/>
      <w:pPr>
        <w:ind w:left="0" w:firstLine="1800"/>
      </w:pPr>
      <w:rPr>
        <w:rFonts w:hint="default"/>
        <w:b w:val="0"/>
        <w:i/>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36372737"/>
    <w:multiLevelType w:val="multilevel"/>
    <w:tmpl w:val="527E0572"/>
    <w:lvl w:ilvl="0">
      <w:start w:val="1"/>
      <w:numFmt w:val="lowerLetter"/>
      <w:lvlText w:val="(%1)"/>
      <w:lvlJc w:val="left"/>
      <w:pPr>
        <w:ind w:left="0" w:firstLine="360"/>
      </w:pPr>
      <w:rPr>
        <w:rFonts w:ascii="Times New Roman" w:hAnsi="Times New Roman" w:cs="Times New Roman" w:hint="default"/>
        <w:color w:val="222222"/>
      </w:rPr>
    </w:lvl>
    <w:lvl w:ilvl="1">
      <w:start w:val="1"/>
      <w:numFmt w:val="decimal"/>
      <w:lvlText w:val="(%2)"/>
      <w:lvlJc w:val="left"/>
      <w:pPr>
        <w:tabs>
          <w:tab w:val="num" w:pos="1080"/>
        </w:tabs>
        <w:ind w:left="0" w:firstLine="720"/>
      </w:pPr>
      <w:rPr>
        <w:rFonts w:hint="default"/>
      </w:rPr>
    </w:lvl>
    <w:lvl w:ilvl="2">
      <w:start w:val="1"/>
      <w:numFmt w:val="lowerRoman"/>
      <w:lvlText w:val="(%3)"/>
      <w:lvlJc w:val="left"/>
      <w:pPr>
        <w:ind w:left="0" w:firstLine="1080"/>
      </w:pPr>
      <w:rPr>
        <w:rFonts w:hint="default"/>
      </w:rPr>
    </w:lvl>
    <w:lvl w:ilvl="3">
      <w:start w:val="1"/>
      <w:numFmt w:val="upperLetter"/>
      <w:lvlText w:val="(%4)"/>
      <w:lvlJc w:val="left"/>
      <w:pPr>
        <w:tabs>
          <w:tab w:val="num" w:pos="1800"/>
        </w:tabs>
        <w:ind w:left="0" w:firstLine="1440"/>
      </w:pPr>
      <w:rPr>
        <w:rFonts w:hint="default"/>
      </w:rPr>
    </w:lvl>
    <w:lvl w:ilvl="4">
      <w:start w:val="1"/>
      <w:numFmt w:val="decimal"/>
      <w:lvlText w:val="(%5)"/>
      <w:lvlJc w:val="left"/>
      <w:pPr>
        <w:ind w:left="0" w:firstLine="1800"/>
      </w:pPr>
      <w:rPr>
        <w:rFonts w:hint="default"/>
        <w:b w:val="0"/>
        <w:i/>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E545B65"/>
    <w:multiLevelType w:val="hybridMultilevel"/>
    <w:tmpl w:val="1124C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EDB2A1F"/>
    <w:multiLevelType w:val="hybridMultilevel"/>
    <w:tmpl w:val="201088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E6238D3"/>
    <w:multiLevelType w:val="multilevel"/>
    <w:tmpl w:val="527E0572"/>
    <w:lvl w:ilvl="0">
      <w:start w:val="1"/>
      <w:numFmt w:val="lowerLetter"/>
      <w:lvlText w:val="(%1)"/>
      <w:lvlJc w:val="left"/>
      <w:pPr>
        <w:ind w:left="0" w:firstLine="360"/>
      </w:pPr>
      <w:rPr>
        <w:rFonts w:ascii="Times New Roman" w:hAnsi="Times New Roman" w:cs="Times New Roman" w:hint="default"/>
        <w:color w:val="222222"/>
      </w:rPr>
    </w:lvl>
    <w:lvl w:ilvl="1">
      <w:start w:val="1"/>
      <w:numFmt w:val="decimal"/>
      <w:lvlText w:val="(%2)"/>
      <w:lvlJc w:val="left"/>
      <w:pPr>
        <w:tabs>
          <w:tab w:val="num" w:pos="1080"/>
        </w:tabs>
        <w:ind w:left="0" w:firstLine="720"/>
      </w:pPr>
      <w:rPr>
        <w:rFonts w:hint="default"/>
      </w:rPr>
    </w:lvl>
    <w:lvl w:ilvl="2">
      <w:start w:val="1"/>
      <w:numFmt w:val="lowerRoman"/>
      <w:lvlText w:val="(%3)"/>
      <w:lvlJc w:val="left"/>
      <w:pPr>
        <w:ind w:left="0" w:firstLine="1080"/>
      </w:pPr>
      <w:rPr>
        <w:rFonts w:hint="default"/>
      </w:rPr>
    </w:lvl>
    <w:lvl w:ilvl="3">
      <w:start w:val="1"/>
      <w:numFmt w:val="upperLetter"/>
      <w:lvlText w:val="(%4)"/>
      <w:lvlJc w:val="left"/>
      <w:pPr>
        <w:tabs>
          <w:tab w:val="num" w:pos="1800"/>
        </w:tabs>
        <w:ind w:left="0" w:firstLine="1440"/>
      </w:pPr>
      <w:rPr>
        <w:rFonts w:hint="default"/>
      </w:rPr>
    </w:lvl>
    <w:lvl w:ilvl="4">
      <w:start w:val="1"/>
      <w:numFmt w:val="decimal"/>
      <w:lvlText w:val="(%5)"/>
      <w:lvlJc w:val="left"/>
      <w:pPr>
        <w:ind w:left="0" w:firstLine="1800"/>
      </w:pPr>
      <w:rPr>
        <w:rFonts w:hint="default"/>
        <w:b w:val="0"/>
        <w:i/>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4FBC1A3B"/>
    <w:multiLevelType w:val="hybridMultilevel"/>
    <w:tmpl w:val="54A0032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B54A42"/>
    <w:multiLevelType w:val="multilevel"/>
    <w:tmpl w:val="70B43F40"/>
    <w:lvl w:ilvl="0">
      <w:start w:val="10"/>
      <w:numFmt w:val="lowerLetter"/>
      <w:lvlText w:val="(%1)"/>
      <w:lvlJc w:val="left"/>
      <w:pPr>
        <w:ind w:left="0" w:firstLine="360"/>
      </w:pPr>
      <w:rPr>
        <w:rFonts w:ascii="Times New Roman" w:hAnsi="Times New Roman" w:cs="Times New Roman" w:hint="default"/>
        <w:color w:val="222222"/>
      </w:rPr>
    </w:lvl>
    <w:lvl w:ilvl="1">
      <w:start w:val="1"/>
      <w:numFmt w:val="decimal"/>
      <w:lvlText w:val="(%2)"/>
      <w:lvlJc w:val="left"/>
      <w:pPr>
        <w:tabs>
          <w:tab w:val="num" w:pos="1080"/>
        </w:tabs>
        <w:ind w:left="0" w:firstLine="720"/>
      </w:pPr>
      <w:rPr>
        <w:rFonts w:hint="default"/>
      </w:rPr>
    </w:lvl>
    <w:lvl w:ilvl="2">
      <w:start w:val="1"/>
      <w:numFmt w:val="lowerRoman"/>
      <w:lvlText w:val="(%3)"/>
      <w:lvlJc w:val="left"/>
      <w:pPr>
        <w:ind w:left="0" w:firstLine="1080"/>
      </w:pPr>
      <w:rPr>
        <w:rFonts w:hint="default"/>
      </w:rPr>
    </w:lvl>
    <w:lvl w:ilvl="3">
      <w:start w:val="1"/>
      <w:numFmt w:val="upperLetter"/>
      <w:lvlText w:val="(%4)"/>
      <w:lvlJc w:val="left"/>
      <w:pPr>
        <w:tabs>
          <w:tab w:val="num" w:pos="1800"/>
        </w:tabs>
        <w:ind w:left="0" w:firstLine="1440"/>
      </w:pPr>
      <w:rPr>
        <w:rFonts w:hint="default"/>
      </w:rPr>
    </w:lvl>
    <w:lvl w:ilvl="4">
      <w:start w:val="1"/>
      <w:numFmt w:val="decimal"/>
      <w:lvlText w:val="(%5)"/>
      <w:lvlJc w:val="left"/>
      <w:pPr>
        <w:ind w:left="0" w:firstLine="1800"/>
      </w:pPr>
      <w:rPr>
        <w:rFonts w:hint="default"/>
        <w:b w:val="0"/>
        <w:i/>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5BB87135"/>
    <w:multiLevelType w:val="multilevel"/>
    <w:tmpl w:val="D34A5436"/>
    <w:lvl w:ilvl="0">
      <w:start w:val="3"/>
      <w:numFmt w:val="lowerLetter"/>
      <w:lvlText w:val="(%1)"/>
      <w:lvlJc w:val="left"/>
      <w:pPr>
        <w:ind w:left="0" w:firstLine="360"/>
      </w:pPr>
      <w:rPr>
        <w:rFonts w:ascii="Times New Roman" w:hAnsi="Times New Roman" w:cs="Times New Roman" w:hint="default"/>
        <w:color w:val="222222"/>
      </w:rPr>
    </w:lvl>
    <w:lvl w:ilvl="1">
      <w:start w:val="1"/>
      <w:numFmt w:val="decimal"/>
      <w:lvlText w:val="(%2)"/>
      <w:lvlJc w:val="left"/>
      <w:pPr>
        <w:tabs>
          <w:tab w:val="num" w:pos="1080"/>
        </w:tabs>
        <w:ind w:left="0" w:firstLine="720"/>
      </w:pPr>
      <w:rPr>
        <w:rFonts w:hint="default"/>
      </w:rPr>
    </w:lvl>
    <w:lvl w:ilvl="2">
      <w:start w:val="1"/>
      <w:numFmt w:val="lowerRoman"/>
      <w:lvlText w:val="(%3)"/>
      <w:lvlJc w:val="left"/>
      <w:pPr>
        <w:ind w:left="0" w:firstLine="1080"/>
      </w:pPr>
      <w:rPr>
        <w:rFonts w:hint="default"/>
      </w:rPr>
    </w:lvl>
    <w:lvl w:ilvl="3">
      <w:start w:val="1"/>
      <w:numFmt w:val="upperLetter"/>
      <w:lvlText w:val="(%4)"/>
      <w:lvlJc w:val="left"/>
      <w:pPr>
        <w:tabs>
          <w:tab w:val="num" w:pos="1800"/>
        </w:tabs>
        <w:ind w:left="0" w:firstLine="1440"/>
      </w:pPr>
      <w:rPr>
        <w:rFonts w:hint="default"/>
      </w:rPr>
    </w:lvl>
    <w:lvl w:ilvl="4">
      <w:start w:val="1"/>
      <w:numFmt w:val="decimal"/>
      <w:lvlText w:val="(%5)"/>
      <w:lvlJc w:val="left"/>
      <w:pPr>
        <w:ind w:left="0" w:firstLine="1800"/>
      </w:pPr>
      <w:rPr>
        <w:rFonts w:hint="default"/>
        <w:b w:val="0"/>
        <w:i/>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5C49308A"/>
    <w:multiLevelType w:val="hybridMultilevel"/>
    <w:tmpl w:val="BF64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182925"/>
    <w:multiLevelType w:val="singleLevel"/>
    <w:tmpl w:val="24A401DC"/>
    <w:lvl w:ilvl="0">
      <w:start w:val="1"/>
      <w:numFmt w:val="decimal"/>
      <w:pStyle w:val="ParaNum"/>
      <w:lvlText w:val="%1."/>
      <w:lvlJc w:val="left"/>
      <w:pPr>
        <w:tabs>
          <w:tab w:val="num" w:pos="1080"/>
        </w:tabs>
        <w:ind w:left="0" w:firstLine="720"/>
      </w:pPr>
      <w:rPr>
        <w:sz w:val="22"/>
        <w:szCs w:val="22"/>
      </w:rPr>
    </w:lvl>
  </w:abstractNum>
  <w:abstractNum w:abstractNumId="26">
    <w:nsid w:val="674D3E17"/>
    <w:multiLevelType w:val="multilevel"/>
    <w:tmpl w:val="ACC20E0E"/>
    <w:lvl w:ilvl="0">
      <w:start w:val="15"/>
      <w:numFmt w:val="lowerLetter"/>
      <w:lvlText w:val="(%1)"/>
      <w:lvlJc w:val="left"/>
      <w:pPr>
        <w:ind w:left="0" w:firstLine="360"/>
      </w:pPr>
      <w:rPr>
        <w:rFonts w:ascii="Times New Roman" w:hAnsi="Times New Roman" w:cs="Times New Roman" w:hint="default"/>
        <w:color w:val="222222"/>
      </w:rPr>
    </w:lvl>
    <w:lvl w:ilvl="1">
      <w:start w:val="1"/>
      <w:numFmt w:val="decimal"/>
      <w:lvlText w:val="(%2)"/>
      <w:lvlJc w:val="left"/>
      <w:pPr>
        <w:tabs>
          <w:tab w:val="num" w:pos="1080"/>
        </w:tabs>
        <w:ind w:left="0" w:firstLine="720"/>
      </w:pPr>
      <w:rPr>
        <w:rFonts w:hint="default"/>
      </w:rPr>
    </w:lvl>
    <w:lvl w:ilvl="2">
      <w:start w:val="1"/>
      <w:numFmt w:val="lowerRoman"/>
      <w:lvlText w:val="(%3)"/>
      <w:lvlJc w:val="left"/>
      <w:pPr>
        <w:ind w:left="0" w:firstLine="1080"/>
      </w:pPr>
      <w:rPr>
        <w:rFonts w:hint="default"/>
      </w:rPr>
    </w:lvl>
    <w:lvl w:ilvl="3">
      <w:start w:val="1"/>
      <w:numFmt w:val="upperLetter"/>
      <w:lvlText w:val="(%4)"/>
      <w:lvlJc w:val="left"/>
      <w:pPr>
        <w:tabs>
          <w:tab w:val="num" w:pos="1800"/>
        </w:tabs>
        <w:ind w:left="0" w:firstLine="1440"/>
      </w:pPr>
      <w:rPr>
        <w:rFonts w:hint="default"/>
      </w:rPr>
    </w:lvl>
    <w:lvl w:ilvl="4">
      <w:start w:val="1"/>
      <w:numFmt w:val="decimal"/>
      <w:lvlText w:val="(%5)"/>
      <w:lvlJc w:val="left"/>
      <w:pPr>
        <w:ind w:left="0" w:firstLine="1800"/>
      </w:pPr>
      <w:rPr>
        <w:rFonts w:hint="default"/>
        <w:b w:val="0"/>
        <w:i/>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676965B9"/>
    <w:multiLevelType w:val="hybridMultilevel"/>
    <w:tmpl w:val="8B8853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8D042F4"/>
    <w:multiLevelType w:val="multilevel"/>
    <w:tmpl w:val="527E0572"/>
    <w:lvl w:ilvl="0">
      <w:start w:val="1"/>
      <w:numFmt w:val="lowerLetter"/>
      <w:lvlText w:val="(%1)"/>
      <w:lvlJc w:val="left"/>
      <w:pPr>
        <w:ind w:left="0" w:firstLine="360"/>
      </w:pPr>
      <w:rPr>
        <w:rFonts w:ascii="Times New Roman" w:hAnsi="Times New Roman" w:cs="Times New Roman" w:hint="default"/>
        <w:color w:val="222222"/>
      </w:rPr>
    </w:lvl>
    <w:lvl w:ilvl="1">
      <w:start w:val="1"/>
      <w:numFmt w:val="decimal"/>
      <w:lvlText w:val="(%2)"/>
      <w:lvlJc w:val="left"/>
      <w:pPr>
        <w:tabs>
          <w:tab w:val="num" w:pos="1080"/>
        </w:tabs>
        <w:ind w:left="0" w:firstLine="720"/>
      </w:pPr>
      <w:rPr>
        <w:rFonts w:hint="default"/>
      </w:rPr>
    </w:lvl>
    <w:lvl w:ilvl="2">
      <w:start w:val="1"/>
      <w:numFmt w:val="lowerRoman"/>
      <w:lvlText w:val="(%3)"/>
      <w:lvlJc w:val="left"/>
      <w:pPr>
        <w:ind w:left="0" w:firstLine="1080"/>
      </w:pPr>
      <w:rPr>
        <w:rFonts w:hint="default"/>
      </w:rPr>
    </w:lvl>
    <w:lvl w:ilvl="3">
      <w:start w:val="1"/>
      <w:numFmt w:val="upperLetter"/>
      <w:lvlText w:val="(%4)"/>
      <w:lvlJc w:val="left"/>
      <w:pPr>
        <w:tabs>
          <w:tab w:val="num" w:pos="1800"/>
        </w:tabs>
        <w:ind w:left="0" w:firstLine="1440"/>
      </w:pPr>
      <w:rPr>
        <w:rFonts w:hint="default"/>
      </w:rPr>
    </w:lvl>
    <w:lvl w:ilvl="4">
      <w:start w:val="1"/>
      <w:numFmt w:val="decimal"/>
      <w:lvlText w:val="(%5)"/>
      <w:lvlJc w:val="left"/>
      <w:pPr>
        <w:ind w:left="0" w:firstLine="1800"/>
      </w:pPr>
      <w:rPr>
        <w:rFonts w:hint="default"/>
        <w:b w:val="0"/>
        <w:i/>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6CF8454D"/>
    <w:multiLevelType w:val="hybridMultilevel"/>
    <w:tmpl w:val="DDB04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8FA6F5B"/>
    <w:multiLevelType w:val="hybridMultilevel"/>
    <w:tmpl w:val="704458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25"/>
  </w:num>
  <w:num w:numId="2">
    <w:abstractNumId w:val="12"/>
  </w:num>
  <w:num w:numId="3">
    <w:abstractNumId w:val="27"/>
  </w:num>
  <w:num w:numId="4">
    <w:abstractNumId w:val="9"/>
  </w:num>
  <w:num w:numId="5">
    <w:abstractNumId w:val="6"/>
  </w:num>
  <w:num w:numId="6">
    <w:abstractNumId w:val="5"/>
  </w:num>
  <w:num w:numId="7">
    <w:abstractNumId w:val="19"/>
  </w:num>
  <w:num w:numId="8">
    <w:abstractNumId w:val="29"/>
  </w:num>
  <w:num w:numId="9">
    <w:abstractNumId w:val="24"/>
  </w:num>
  <w:num w:numId="10">
    <w:abstractNumId w:val="3"/>
  </w:num>
  <w:num w:numId="11">
    <w:abstractNumId w:val="30"/>
  </w:num>
  <w:num w:numId="12">
    <w:abstractNumId w:val="14"/>
  </w:num>
  <w:num w:numId="13">
    <w:abstractNumId w:val="1"/>
  </w:num>
  <w:num w:numId="14">
    <w:abstractNumId w:val="18"/>
  </w:num>
  <w:num w:numId="15">
    <w:abstractNumId w:val="4"/>
  </w:num>
  <w:num w:numId="16">
    <w:abstractNumId w:val="31"/>
  </w:num>
  <w:num w:numId="17">
    <w:abstractNumId w:val="17"/>
  </w:num>
  <w:num w:numId="18">
    <w:abstractNumId w:val="23"/>
  </w:num>
  <w:num w:numId="19">
    <w:abstractNumId w:val="10"/>
  </w:num>
  <w:num w:numId="20">
    <w:abstractNumId w:val="13"/>
  </w:num>
  <w:num w:numId="21">
    <w:abstractNumId w:val="20"/>
  </w:num>
  <w:num w:numId="22">
    <w:abstractNumId w:val="28"/>
  </w:num>
  <w:num w:numId="23">
    <w:abstractNumId w:val="16"/>
  </w:num>
  <w:num w:numId="24">
    <w:abstractNumId w:val="2"/>
  </w:num>
  <w:num w:numId="25">
    <w:abstractNumId w:val="26"/>
  </w:num>
  <w:num w:numId="26">
    <w:abstractNumId w:val="15"/>
  </w:num>
  <w:num w:numId="27">
    <w:abstractNumId w:val="22"/>
  </w:num>
  <w:num w:numId="28">
    <w:abstractNumId w:val="7"/>
  </w:num>
  <w:num w:numId="29">
    <w:abstractNumId w:val="8"/>
  </w:num>
  <w:num w:numId="30">
    <w:abstractNumId w:val="0"/>
  </w:num>
  <w:num w:numId="31">
    <w:abstractNumId w:val="25"/>
    <w:lvlOverride w:ilvl="0">
      <w:startOverride w:val="1"/>
    </w:lvlOverride>
  </w:num>
  <w:num w:numId="32">
    <w:abstractNumId w:val="11"/>
  </w:num>
  <w:num w:numId="33">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5"/>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4CD5"/>
    <w:rsid w:val="000029A0"/>
    <w:rsid w:val="00010D29"/>
    <w:rsid w:val="00026E0A"/>
    <w:rsid w:val="00036039"/>
    <w:rsid w:val="00037F90"/>
    <w:rsid w:val="00042EDF"/>
    <w:rsid w:val="00056C23"/>
    <w:rsid w:val="00067A8D"/>
    <w:rsid w:val="0008149F"/>
    <w:rsid w:val="000875BF"/>
    <w:rsid w:val="00096D8C"/>
    <w:rsid w:val="000A09B5"/>
    <w:rsid w:val="000A6B2B"/>
    <w:rsid w:val="000B1112"/>
    <w:rsid w:val="000C0B65"/>
    <w:rsid w:val="000E05FE"/>
    <w:rsid w:val="000E3D42"/>
    <w:rsid w:val="00101089"/>
    <w:rsid w:val="00112A95"/>
    <w:rsid w:val="00120F02"/>
    <w:rsid w:val="00122BD5"/>
    <w:rsid w:val="00122F30"/>
    <w:rsid w:val="00133F79"/>
    <w:rsid w:val="001358BC"/>
    <w:rsid w:val="001372B0"/>
    <w:rsid w:val="00144A72"/>
    <w:rsid w:val="00172112"/>
    <w:rsid w:val="00176D83"/>
    <w:rsid w:val="00180AAA"/>
    <w:rsid w:val="00194A66"/>
    <w:rsid w:val="001B1612"/>
    <w:rsid w:val="001D6BCF"/>
    <w:rsid w:val="001E01CA"/>
    <w:rsid w:val="001E7592"/>
    <w:rsid w:val="001F038C"/>
    <w:rsid w:val="0021262B"/>
    <w:rsid w:val="00217A26"/>
    <w:rsid w:val="002207DE"/>
    <w:rsid w:val="00225DA8"/>
    <w:rsid w:val="0024066B"/>
    <w:rsid w:val="00256E51"/>
    <w:rsid w:val="00275CF5"/>
    <w:rsid w:val="002801FC"/>
    <w:rsid w:val="0028094E"/>
    <w:rsid w:val="0028301F"/>
    <w:rsid w:val="00285017"/>
    <w:rsid w:val="002A2894"/>
    <w:rsid w:val="002A2D2E"/>
    <w:rsid w:val="002C00E8"/>
    <w:rsid w:val="002C22DD"/>
    <w:rsid w:val="002D38EF"/>
    <w:rsid w:val="002E3013"/>
    <w:rsid w:val="003241BA"/>
    <w:rsid w:val="00324CD5"/>
    <w:rsid w:val="00324D73"/>
    <w:rsid w:val="00325361"/>
    <w:rsid w:val="00327397"/>
    <w:rsid w:val="00330F6B"/>
    <w:rsid w:val="00337692"/>
    <w:rsid w:val="00343749"/>
    <w:rsid w:val="003456ED"/>
    <w:rsid w:val="003660ED"/>
    <w:rsid w:val="003849EA"/>
    <w:rsid w:val="003B0550"/>
    <w:rsid w:val="003B694F"/>
    <w:rsid w:val="003C56E6"/>
    <w:rsid w:val="003F05A8"/>
    <w:rsid w:val="003F171C"/>
    <w:rsid w:val="003F47DD"/>
    <w:rsid w:val="00412FC5"/>
    <w:rsid w:val="00422276"/>
    <w:rsid w:val="004242F1"/>
    <w:rsid w:val="00426280"/>
    <w:rsid w:val="00445A00"/>
    <w:rsid w:val="00451B0F"/>
    <w:rsid w:val="00474D51"/>
    <w:rsid w:val="004C2EE3"/>
    <w:rsid w:val="004D72C6"/>
    <w:rsid w:val="004E4A22"/>
    <w:rsid w:val="004F400E"/>
    <w:rsid w:val="0051143F"/>
    <w:rsid w:val="00511968"/>
    <w:rsid w:val="00522C52"/>
    <w:rsid w:val="005417C0"/>
    <w:rsid w:val="00554E5F"/>
    <w:rsid w:val="00555F1E"/>
    <w:rsid w:val="0055614C"/>
    <w:rsid w:val="005619D4"/>
    <w:rsid w:val="005860A5"/>
    <w:rsid w:val="005A43C2"/>
    <w:rsid w:val="005B1B85"/>
    <w:rsid w:val="005E14C2"/>
    <w:rsid w:val="00607BA5"/>
    <w:rsid w:val="0061180A"/>
    <w:rsid w:val="006234FD"/>
    <w:rsid w:val="00626EB6"/>
    <w:rsid w:val="00632A23"/>
    <w:rsid w:val="00655D03"/>
    <w:rsid w:val="00676BFB"/>
    <w:rsid w:val="00683388"/>
    <w:rsid w:val="00683F84"/>
    <w:rsid w:val="00686496"/>
    <w:rsid w:val="0069115D"/>
    <w:rsid w:val="006A6A81"/>
    <w:rsid w:val="006C27BD"/>
    <w:rsid w:val="006F7393"/>
    <w:rsid w:val="0070224F"/>
    <w:rsid w:val="007115F7"/>
    <w:rsid w:val="00713D6F"/>
    <w:rsid w:val="00721840"/>
    <w:rsid w:val="00724F14"/>
    <w:rsid w:val="00727BCB"/>
    <w:rsid w:val="007332B9"/>
    <w:rsid w:val="00746CA3"/>
    <w:rsid w:val="00752F22"/>
    <w:rsid w:val="00764B25"/>
    <w:rsid w:val="00785689"/>
    <w:rsid w:val="0079754B"/>
    <w:rsid w:val="007A1E6D"/>
    <w:rsid w:val="007B0EB2"/>
    <w:rsid w:val="007C28A9"/>
    <w:rsid w:val="007D6B76"/>
    <w:rsid w:val="007F701F"/>
    <w:rsid w:val="00801C7F"/>
    <w:rsid w:val="00807B88"/>
    <w:rsid w:val="00810B6F"/>
    <w:rsid w:val="00822972"/>
    <w:rsid w:val="00822CE0"/>
    <w:rsid w:val="008269AC"/>
    <w:rsid w:val="008333DD"/>
    <w:rsid w:val="00841AB1"/>
    <w:rsid w:val="00851BAB"/>
    <w:rsid w:val="00854452"/>
    <w:rsid w:val="0087160A"/>
    <w:rsid w:val="008A38C4"/>
    <w:rsid w:val="008A3CEA"/>
    <w:rsid w:val="008A5A84"/>
    <w:rsid w:val="008C20BE"/>
    <w:rsid w:val="008C68F1"/>
    <w:rsid w:val="00901B0E"/>
    <w:rsid w:val="00902DA0"/>
    <w:rsid w:val="00921803"/>
    <w:rsid w:val="00926503"/>
    <w:rsid w:val="0092703A"/>
    <w:rsid w:val="00935FE1"/>
    <w:rsid w:val="00940104"/>
    <w:rsid w:val="009704E5"/>
    <w:rsid w:val="009721BF"/>
    <w:rsid w:val="009726D8"/>
    <w:rsid w:val="009741B7"/>
    <w:rsid w:val="009F76DB"/>
    <w:rsid w:val="00A009B3"/>
    <w:rsid w:val="00A1147F"/>
    <w:rsid w:val="00A32C3B"/>
    <w:rsid w:val="00A408DE"/>
    <w:rsid w:val="00A45F4F"/>
    <w:rsid w:val="00A476E8"/>
    <w:rsid w:val="00A47F5A"/>
    <w:rsid w:val="00A553BA"/>
    <w:rsid w:val="00A600A9"/>
    <w:rsid w:val="00A63814"/>
    <w:rsid w:val="00A64AE2"/>
    <w:rsid w:val="00A65881"/>
    <w:rsid w:val="00AA4109"/>
    <w:rsid w:val="00AA55B7"/>
    <w:rsid w:val="00AA5A22"/>
    <w:rsid w:val="00AA5B9E"/>
    <w:rsid w:val="00AB2407"/>
    <w:rsid w:val="00AB53DF"/>
    <w:rsid w:val="00B07E5C"/>
    <w:rsid w:val="00B5038C"/>
    <w:rsid w:val="00B61594"/>
    <w:rsid w:val="00B80AAD"/>
    <w:rsid w:val="00B811F7"/>
    <w:rsid w:val="00B82DDD"/>
    <w:rsid w:val="00B93012"/>
    <w:rsid w:val="00BA5DC6"/>
    <w:rsid w:val="00BA6196"/>
    <w:rsid w:val="00BC6D8C"/>
    <w:rsid w:val="00BD7AC3"/>
    <w:rsid w:val="00C107A5"/>
    <w:rsid w:val="00C16C28"/>
    <w:rsid w:val="00C34006"/>
    <w:rsid w:val="00C426B1"/>
    <w:rsid w:val="00C64DFE"/>
    <w:rsid w:val="00C66160"/>
    <w:rsid w:val="00C67767"/>
    <w:rsid w:val="00C721AC"/>
    <w:rsid w:val="00C76FF5"/>
    <w:rsid w:val="00C90D6A"/>
    <w:rsid w:val="00CA247E"/>
    <w:rsid w:val="00CC72B6"/>
    <w:rsid w:val="00CF0243"/>
    <w:rsid w:val="00CF283E"/>
    <w:rsid w:val="00CF54C6"/>
    <w:rsid w:val="00D0218D"/>
    <w:rsid w:val="00D25FB5"/>
    <w:rsid w:val="00D44223"/>
    <w:rsid w:val="00DA2529"/>
    <w:rsid w:val="00DB130A"/>
    <w:rsid w:val="00DB2EBB"/>
    <w:rsid w:val="00DC10A1"/>
    <w:rsid w:val="00DC655F"/>
    <w:rsid w:val="00DD0B59"/>
    <w:rsid w:val="00DD1589"/>
    <w:rsid w:val="00DD381D"/>
    <w:rsid w:val="00DD7EBD"/>
    <w:rsid w:val="00DF62B6"/>
    <w:rsid w:val="00DF6C38"/>
    <w:rsid w:val="00E04B0C"/>
    <w:rsid w:val="00E07225"/>
    <w:rsid w:val="00E151A9"/>
    <w:rsid w:val="00E21717"/>
    <w:rsid w:val="00E5409F"/>
    <w:rsid w:val="00E60731"/>
    <w:rsid w:val="00E80944"/>
    <w:rsid w:val="00E82937"/>
    <w:rsid w:val="00EB5739"/>
    <w:rsid w:val="00EB6074"/>
    <w:rsid w:val="00EE6488"/>
    <w:rsid w:val="00EF2E4B"/>
    <w:rsid w:val="00F00683"/>
    <w:rsid w:val="00F021FA"/>
    <w:rsid w:val="00F066C4"/>
    <w:rsid w:val="00F45F22"/>
    <w:rsid w:val="00F62E97"/>
    <w:rsid w:val="00F64209"/>
    <w:rsid w:val="00F748A7"/>
    <w:rsid w:val="00F91900"/>
    <w:rsid w:val="00F93BF5"/>
    <w:rsid w:val="00FA3F7B"/>
    <w:rsid w:val="00FA498F"/>
    <w:rsid w:val="00FA62FF"/>
    <w:rsid w:val="00FB0864"/>
    <w:rsid w:val="00FB6CC8"/>
    <w:rsid w:val="00FD4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4CD5"/>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rsid w:val="00626EB6"/>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Heading 2 Char Char1"/>
    <w:basedOn w:val="Normal"/>
    <w:next w:val="ParaNum"/>
    <w:link w:val="Heading2Char"/>
    <w:autoRedefine/>
    <w:qFormat/>
    <w:rsid w:val="007A1E6D"/>
    <w:pPr>
      <w:keepNext/>
      <w:numPr>
        <w:ilvl w:val="1"/>
        <w:numId w:val="2"/>
      </w:numPr>
      <w:spacing w:after="120"/>
      <w:outlineLvl w:val="1"/>
    </w:pPr>
    <w:rPr>
      <w:b/>
    </w:rPr>
  </w:style>
  <w:style w:type="paragraph" w:styleId="Heading3">
    <w:name w:val="heading 3"/>
    <w:aliases w:val="Heading 3 Char1 Char,Heading 3 Char Char Char,Heading 3 Char1,Heading 3 Char Char,Heading 3 Char1 Char Char,Heading 3 Char Char Char Char,Heading 3 Char2 Char1 Char Char,Heading 3 Char Char Char Char Char,Heading 3 Char Char1 Ch,3 Char,1 Char"/>
    <w:basedOn w:val="Normal"/>
    <w:next w:val="ParaNum"/>
    <w:link w:val="Heading3Char"/>
    <w:qFormat/>
    <w:rsid w:val="00BA6196"/>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link w:val="Heading4Char"/>
    <w:qFormat/>
    <w:rsid w:val="00C426B1"/>
    <w:pPr>
      <w:keepNext/>
      <w:numPr>
        <w:ilvl w:val="3"/>
        <w:numId w:val="2"/>
      </w:numPr>
      <w:tabs>
        <w:tab w:val="left" w:pos="2880"/>
      </w:tabs>
      <w:spacing w:after="120"/>
      <w:outlineLvl w:val="3"/>
    </w:pPr>
    <w:rPr>
      <w:b/>
    </w:rPr>
  </w:style>
  <w:style w:type="paragraph" w:styleId="Heading5">
    <w:name w:val="heading 5"/>
    <w:aliases w:val="Heading 5 Char,Heading 5 Char2,Heading 5 Char1 Char1,Heading 5 Char Char Char1,Heading 5 Char1 Char Char Char,Heading 5 Char Char Char Char Char,Heading 5 Char Char1 Char,Heading 5 Char Char2,Heading 5 Char1 Char Char1"/>
    <w:basedOn w:val="Normal"/>
    <w:next w:val="ParaNum"/>
    <w:qFormat/>
    <w:rsid w:val="00511968"/>
    <w:pPr>
      <w:keepNext/>
      <w:numPr>
        <w:ilvl w:val="4"/>
        <w:numId w:val="2"/>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
    <w:basedOn w:val="Normal"/>
    <w:next w:val="ParaNum"/>
    <w:link w:val="Heading6Char"/>
    <w:qFormat/>
    <w:rsid w:val="00036039"/>
    <w:pPr>
      <w:numPr>
        <w:ilvl w:val="5"/>
        <w:numId w:val="2"/>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2"/>
      </w:numPr>
      <w:tabs>
        <w:tab w:val="clear" w:pos="5400"/>
        <w:tab w:val="left" w:pos="5760"/>
      </w:tabs>
      <w:spacing w:after="120"/>
      <w:ind w:left="5760" w:hanging="720"/>
      <w:outlineLvl w:val="7"/>
    </w:pPr>
    <w:rPr>
      <w:b/>
    </w:rPr>
  </w:style>
  <w:style w:type="paragraph" w:styleId="Heading9">
    <w:name w:val="heading 9"/>
    <w:aliases w:val="Heading 9 Char,Topic,table,t,9,Heading 9.table,Titre 9"/>
    <w:basedOn w:val="Normal"/>
    <w:next w:val="ParaNum"/>
    <w:qFormat/>
    <w:rsid w:val="001E01CA"/>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1"/>
      </w:numPr>
      <w:tabs>
        <w:tab w:val="clear" w:pos="1080"/>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link w:val="FootnoteTextChar"/>
    <w:rsid w:val="000E3D42"/>
    <w:pPr>
      <w:spacing w:after="120"/>
    </w:pPr>
  </w:style>
  <w:style w:type="character" w:styleId="FootnoteReference">
    <w:name w:val="footnote reference"/>
    <w:aliases w:val="Style 13,Style 12,(NECG) Footnote Reference,Appel note de bas de p,Style 124,fr,o,Style 3,FR,Style 17,Style 6,Footnote Reference/,Style 7,Style 4,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pPr>
      <w:tabs>
        <w:tab w:val="left" w:pos="1440"/>
        <w:tab w:val="right" w:leader="dot" w:pos="9360"/>
      </w:tabs>
      <w:suppressAutoHyphens/>
      <w:ind w:left="1440" w:right="720" w:hanging="360"/>
    </w:pPr>
    <w:rPr>
      <w:noProof/>
    </w:rPr>
  </w:style>
  <w:style w:type="paragraph" w:styleId="TOC5">
    <w:name w:val="toc 5"/>
    <w:basedOn w:val="Normal"/>
    <w:next w:val="Normal"/>
    <w:autoRedefin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rsid w:val="00324CD5"/>
  </w:style>
  <w:style w:type="character" w:styleId="CommentReference">
    <w:name w:val="annotation reference"/>
    <w:rsid w:val="00324CD5"/>
    <w:rPr>
      <w:sz w:val="16"/>
      <w:szCs w:val="16"/>
    </w:rPr>
  </w:style>
  <w:style w:type="paragraph" w:styleId="CommentText">
    <w:name w:val="annotation text"/>
    <w:basedOn w:val="Normal"/>
    <w:link w:val="CommentTextChar"/>
    <w:rsid w:val="00324CD5"/>
    <w:rPr>
      <w:sz w:val="20"/>
    </w:rPr>
  </w:style>
  <w:style w:type="character" w:customStyle="1" w:styleId="CommentTextChar">
    <w:name w:val="Comment Text Char"/>
    <w:link w:val="CommentText"/>
    <w:rsid w:val="00324CD5"/>
    <w:rPr>
      <w:snapToGrid w:val="0"/>
      <w:kern w:val="28"/>
    </w:rPr>
  </w:style>
  <w:style w:type="paragraph" w:styleId="BalloonText">
    <w:name w:val="Balloon Text"/>
    <w:basedOn w:val="Normal"/>
    <w:link w:val="BalloonTextChar"/>
    <w:rsid w:val="00324CD5"/>
    <w:rPr>
      <w:rFonts w:ascii="Segoe UI" w:hAnsi="Segoe UI" w:cs="Segoe UI"/>
      <w:sz w:val="18"/>
      <w:szCs w:val="18"/>
    </w:rPr>
  </w:style>
  <w:style w:type="character" w:customStyle="1" w:styleId="BalloonTextChar">
    <w:name w:val="Balloon Text Char"/>
    <w:link w:val="BalloonText"/>
    <w:rsid w:val="00324CD5"/>
    <w:rPr>
      <w:rFonts w:ascii="Segoe UI" w:hAnsi="Segoe UI" w:cs="Segoe UI"/>
      <w:snapToGrid w:val="0"/>
      <w:kern w:val="28"/>
      <w:sz w:val="18"/>
      <w:szCs w:val="18"/>
    </w:r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link w:val="Heading2"/>
    <w:rsid w:val="00324CD5"/>
    <w:rPr>
      <w:b/>
      <w:snapToGrid w:val="0"/>
      <w:kern w:val="28"/>
      <w:sz w:val="22"/>
    </w:rPr>
  </w:style>
  <w:style w:type="character" w:customStyle="1" w:styleId="ParaNumChar">
    <w:name w:val="ParaNum Char"/>
    <w:link w:val="ParaNum"/>
    <w:locked/>
    <w:rsid w:val="00324CD5"/>
    <w:rPr>
      <w:snapToGrid w:val="0"/>
      <w:kern w:val="28"/>
      <w:sz w:val="22"/>
    </w:rPr>
  </w:style>
  <w:style w:type="character" w:customStyle="1" w:styleId="Heading3Char">
    <w:name w:val="Heading 3 Char"/>
    <w:aliases w:val="Heading 3 Char1 Char Char1,Heading 3 Char Char Char Char1,Heading 3 Char1 Char1,Heading 3 Char Char Char1,Heading 3 Char1 Char Char Char,Heading 3 Char Char Char Char Char1,Heading 3 Char2 Char1 Char Char Char,Heading 3 Char Char1 Ch Char"/>
    <w:link w:val="Heading3"/>
    <w:rsid w:val="00324CD5"/>
    <w:rPr>
      <w:b/>
      <w:snapToGrid w:val="0"/>
      <w:kern w:val="28"/>
      <w:sz w:val="22"/>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sid w:val="00324CD5"/>
    <w:rPr>
      <w:rFonts w:ascii="Times New Roman Bold" w:hAnsi="Times New Roman Bold"/>
      <w:b/>
      <w:caps/>
      <w:snapToGrid w:val="0"/>
      <w:kern w:val="28"/>
      <w:sz w:val="22"/>
    </w:rPr>
  </w:style>
  <w:style w:type="character" w:customStyle="1" w:styleId="FootnoteTextChar1">
    <w:name w:val="Footnote Text Char1"/>
    <w:aliases w:val="Footnote Text Char1 Char Char,rrfootnote Char Char Char,Style 5 Char Char Char,Footnote Text Char Char Char Char,Footnote Text Char1 Char Char Char Char,Footnote Text Char Char Char Char Char Char,fn Char,Style Char"/>
    <w:rsid w:val="00324CD5"/>
    <w:rPr>
      <w:rFonts w:ascii="Times New Roman" w:eastAsia="Times New Roman" w:hAnsi="Times New Roman" w:cs="Times New Roman"/>
      <w:sz w:val="20"/>
      <w:szCs w:val="20"/>
    </w:rPr>
  </w:style>
  <w:style w:type="paragraph" w:styleId="NormalWeb">
    <w:name w:val="Normal (Web)"/>
    <w:basedOn w:val="Normal"/>
    <w:uiPriority w:val="99"/>
    <w:unhideWhenUsed/>
    <w:rsid w:val="00324CD5"/>
    <w:pPr>
      <w:widowControl/>
      <w:spacing w:before="100" w:beforeAutospacing="1" w:after="100" w:afterAutospacing="1"/>
    </w:pPr>
    <w:rPr>
      <w:snapToGrid/>
      <w:kern w:val="0"/>
      <w:sz w:val="24"/>
      <w:szCs w:val="24"/>
    </w:rPr>
  </w:style>
  <w:style w:type="character" w:customStyle="1" w:styleId="cosearchterm">
    <w:name w:val="co_searchterm"/>
    <w:rsid w:val="00324CD5"/>
  </w:style>
  <w:style w:type="paragraph" w:styleId="ListParagraph">
    <w:name w:val="List Paragraph"/>
    <w:basedOn w:val="Normal"/>
    <w:uiPriority w:val="34"/>
    <w:qFormat/>
    <w:rsid w:val="00324CD5"/>
    <w:pPr>
      <w:tabs>
        <w:tab w:val="left" w:pos="2160"/>
      </w:tabs>
      <w:spacing w:after="220"/>
      <w:ind w:left="1008" w:hanging="288"/>
      <w:contextualSpacing/>
    </w:pPr>
  </w:style>
  <w:style w:type="paragraph" w:styleId="Caption">
    <w:name w:val="caption"/>
    <w:basedOn w:val="Normal"/>
    <w:next w:val="Normal"/>
    <w:qFormat/>
    <w:rsid w:val="00324CD5"/>
    <w:pPr>
      <w:spacing w:before="120" w:after="120"/>
    </w:pPr>
    <w:rPr>
      <w:b/>
    </w:rPr>
  </w:style>
  <w:style w:type="paragraph" w:styleId="CommentSubject">
    <w:name w:val="annotation subject"/>
    <w:basedOn w:val="CommentText"/>
    <w:next w:val="CommentText"/>
    <w:link w:val="CommentSubjectChar"/>
    <w:rsid w:val="00324CD5"/>
    <w:rPr>
      <w:b/>
      <w:bCs/>
    </w:rPr>
  </w:style>
  <w:style w:type="character" w:customStyle="1" w:styleId="CommentSubjectChar">
    <w:name w:val="Comment Subject Char"/>
    <w:link w:val="CommentSubject"/>
    <w:rsid w:val="00324CD5"/>
    <w:rPr>
      <w:b/>
      <w:bCs/>
      <w:snapToGrid w:val="0"/>
      <w:kern w:val="28"/>
    </w:rPr>
  </w:style>
  <w:style w:type="paragraph" w:styleId="Revision">
    <w:name w:val="Revision"/>
    <w:hidden/>
    <w:uiPriority w:val="99"/>
    <w:semiHidden/>
    <w:rsid w:val="00324CD5"/>
    <w:rPr>
      <w:snapToGrid w:val="0"/>
      <w:kern w:val="28"/>
      <w:sz w:val="22"/>
    </w:rPr>
  </w:style>
  <w:style w:type="character" w:customStyle="1" w:styleId="apple-converted-space">
    <w:name w:val="apple-converted-space"/>
    <w:rsid w:val="00324CD5"/>
  </w:style>
  <w:style w:type="character" w:customStyle="1" w:styleId="Heading4Char">
    <w:name w:val="Heading 4 Char"/>
    <w:aliases w:val="Heading 4 Char2 Char,Heading 4 Char1 Char Char,Heading 4 Char Char Char Char,Heading 4 Char Char1 Char,Heading 4 Char1 Char2,Heading 4 Char Char Char1,Heading 4 Char1 Char1 Char,Heading 4 Char2 Char Char Char"/>
    <w:link w:val="Heading4"/>
    <w:rsid w:val="00324CD5"/>
    <w:rPr>
      <w:b/>
      <w:snapToGrid w:val="0"/>
      <w:kern w:val="28"/>
      <w:sz w:val="22"/>
    </w:rPr>
  </w:style>
  <w:style w:type="character" w:styleId="FollowedHyperlink">
    <w:name w:val="FollowedHyperlink"/>
    <w:rsid w:val="00324CD5"/>
    <w:rPr>
      <w:color w:val="954F72"/>
      <w:u w:val="single"/>
    </w:rPr>
  </w:style>
  <w:style w:type="table" w:styleId="TableGrid">
    <w:name w:val="Table Grid"/>
    <w:basedOn w:val="TableNormal"/>
    <w:rsid w:val="00324C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324CD5"/>
    <w:rPr>
      <w:b/>
      <w:bCs/>
    </w:rPr>
  </w:style>
  <w:style w:type="character" w:customStyle="1" w:styleId="Heading6Char">
    <w:name w:val="Heading 6 Char"/>
    <w:aliases w:val="h6 Char,Heading 6 Char2 Char,Heading 6 Char1 Char Char,Heading 6 Char Char Char Char,Heading 6 Char Char1 Char,Heading 6 Char1 Char1,Heading 6 Char Char Char1"/>
    <w:link w:val="Heading6"/>
    <w:rsid w:val="00324CD5"/>
    <w:rPr>
      <w:b/>
      <w:snapToGrid w:val="0"/>
      <w:kern w:val="28"/>
      <w:sz w:val="22"/>
    </w:rPr>
  </w:style>
  <w:style w:type="character" w:customStyle="1" w:styleId="Heading8Char">
    <w:name w:val="Heading 8 Char"/>
    <w:link w:val="Heading8"/>
    <w:rsid w:val="00324CD5"/>
    <w:rPr>
      <w:b/>
      <w:snapToGrid w:val="0"/>
      <w:kern w:val="28"/>
      <w:sz w:val="22"/>
    </w:rPr>
  </w:style>
  <w:style w:type="character" w:customStyle="1" w:styleId="EndnoteTextChar">
    <w:name w:val="Endnote Text Char"/>
    <w:link w:val="EndnoteText"/>
    <w:semiHidden/>
    <w:rsid w:val="00324CD5"/>
    <w:rPr>
      <w:snapToGrid w:val="0"/>
      <w:kern w:val="28"/>
    </w:rPr>
  </w:style>
  <w:style w:type="character" w:customStyle="1" w:styleId="HeaderChar">
    <w:name w:val="Header Char"/>
    <w:link w:val="Header"/>
    <w:rsid w:val="00324CD5"/>
    <w:rPr>
      <w:b/>
      <w:snapToGrid w:val="0"/>
      <w:kern w:val="28"/>
      <w:sz w:val="22"/>
    </w:rPr>
  </w:style>
  <w:style w:type="character" w:customStyle="1" w:styleId="FooterChar">
    <w:name w:val="Footer Char"/>
    <w:link w:val="Footer"/>
    <w:rsid w:val="00324CD5"/>
    <w:rPr>
      <w:snapToGrid w:val="0"/>
      <w:kern w:val="28"/>
      <w:sz w:val="22"/>
    </w:rPr>
  </w:style>
  <w:style w:type="paragraph" w:styleId="ListBullet">
    <w:name w:val="List Bullet"/>
    <w:basedOn w:val="Normal"/>
    <w:rsid w:val="00324CD5"/>
    <w:pPr>
      <w:numPr>
        <w:numId w:val="30"/>
      </w:numPr>
      <w:spacing w:after="120"/>
    </w:pPr>
  </w:style>
  <w:style w:type="character" w:customStyle="1" w:styleId="Footnote">
    <w:name w:val="Footnote"/>
    <w:rsid w:val="00324CD5"/>
    <w:rPr>
      <w:rFonts w:cs="Times New Roman"/>
    </w:rPr>
  </w:style>
  <w:style w:type="character" w:customStyle="1" w:styleId="Heading2CharChar2">
    <w:name w:val="Heading 2 Char Char2"/>
    <w:rsid w:val="00324CD5"/>
    <w:rPr>
      <w:rFonts w:cs="Times New Roman"/>
      <w:b/>
      <w:snapToGrid w:val="0"/>
      <w:kern w:val="28"/>
      <w:sz w:val="24"/>
      <w:lang w:val="en-US" w:eastAsia="en-US" w:bidi="ar-SA"/>
    </w:rPr>
  </w:style>
  <w:style w:type="character" w:customStyle="1" w:styleId="FootnoteTextCharCharCharChar3CharCharChar1">
    <w:name w:val="Footnote Text Char Char Char Char3 Char Char Char1"/>
    <w:aliases w:val="Footnote Text Char Char3 Char,Footnote Text Char1 Char Char3 Char,Footnote Text Char Char Char Char3 Char"/>
    <w:rsid w:val="00324CD5"/>
    <w:rPr>
      <w:rFonts w:cs="Times New Roman"/>
      <w:lang w:val="en-US" w:eastAsia="en-US" w:bidi="ar-SA"/>
    </w:rPr>
  </w:style>
  <w:style w:type="character" w:customStyle="1" w:styleId="StyleFootnoteReferenceStyle13Style12NECGFootnoteReferenc">
    <w:name w:val="Style Footnote ReferenceStyle 13Style 12(NECG) Footnote Referenc..."/>
    <w:rsid w:val="00324CD5"/>
    <w:rPr>
      <w:rFonts w:ascii="Times New Roman" w:hAnsi="Times New Roman" w:cs="Times New Roman" w:hint="default"/>
      <w:strike w:val="0"/>
      <w:dstrike w:val="0"/>
      <w:color w:val="auto"/>
      <w:sz w:val="20"/>
      <w:u w:val="none"/>
      <w:effect w:val="none"/>
      <w:vertAlign w:val="superscript"/>
    </w:rPr>
  </w:style>
  <w:style w:type="character" w:styleId="LineNumber">
    <w:name w:val="line number"/>
    <w:rsid w:val="00324C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15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26" Type="http://schemas.openxmlformats.org/officeDocument/2006/relationships/hyperlink" Target="http://prisec.kau.se/pdf/Fischer-Huebner2013d.pdf" TargetMode="External"/><Relationship Id="rId117" Type="http://schemas.openxmlformats.org/officeDocument/2006/relationships/hyperlink" Target="http://factfinder2.census.gov/bkmk/table/1.0/en/ECN/2007_US/51SSSZ1/naics~517110" TargetMode="External"/><Relationship Id="rId21" Type="http://schemas.openxmlformats.org/officeDocument/2006/relationships/hyperlink" Target="http://thehill.com/policy/technology/200818-apps-look-to-simplify-privacy-notices" TargetMode="External"/><Relationship Id="rId42" Type="http://schemas.openxmlformats.org/officeDocument/2006/relationships/hyperlink" Target="http://www.networkadvertising.org/mobile/NAI_Mobile_Application_Code.pdf" TargetMode="External"/><Relationship Id="rId47" Type="http://schemas.openxmlformats.org/officeDocument/2006/relationships/hyperlink" Target="https://www.verizon.com/about/privacy/mobile-location-analytics-privacy-notice" TargetMode="External"/><Relationship Id="rId63" Type="http://schemas.openxmlformats.org/officeDocument/2006/relationships/hyperlink" Target="https://www.ftc.gov/system/files/documents/cases/140821gmrcmpt.pdf" TargetMode="External"/><Relationship Id="rId68" Type="http://schemas.openxmlformats.org/officeDocument/2006/relationships/hyperlink" Target="http://www.hhs.gov/sites/default/files/ocr/privacy/hipaa/administrative/securityrule/nist80066.pdf" TargetMode="External"/><Relationship Id="rId84" Type="http://schemas.openxmlformats.org/officeDocument/2006/relationships/hyperlink" Target="https://www.ftc.gov/news-events/press-releases/2015/03/ftc-testifies-proposed-data-security-legislation-house-energy" TargetMode="External"/><Relationship Id="rId89" Type="http://schemas.openxmlformats.org/officeDocument/2006/relationships/hyperlink" Target="http://www.att.com/esupport/article.html" TargetMode="External"/><Relationship Id="rId112" Type="http://schemas.openxmlformats.org/officeDocument/2006/relationships/hyperlink" Target="https://www.ntia.doc.gov/other-publication/2015/privacy-multistakeholder-process-facial-recognition-technology" TargetMode="External"/><Relationship Id="rId16" Type="http://schemas.openxmlformats.org/officeDocument/2006/relationships/hyperlink" Target="https://www.ntia.doc.gov/files/ntia/publications/july_25_code_draft.pdf" TargetMode="External"/><Relationship Id="rId107" Type="http://schemas.openxmlformats.org/officeDocument/2006/relationships/hyperlink" Target="http://www.nytimes.com/2015/11/02/business/dealbook/in-arbitration-a-privatization-of-the-justice-system.html" TargetMode="External"/><Relationship Id="rId11" Type="http://schemas.openxmlformats.org/officeDocument/2006/relationships/hyperlink" Target="http://www.networkadvertising.org/sites/default/files/NAI_Code15encr.pdf" TargetMode="External"/><Relationship Id="rId32" Type="http://schemas.openxmlformats.org/officeDocument/2006/relationships/hyperlink" Target="http://www.xfinity.com/Corporate/Customers/Policies/CustomerPrivacy.html" TargetMode="External"/><Relationship Id="rId37" Type="http://schemas.openxmlformats.org/officeDocument/2006/relationships/hyperlink" Target="https://www.asc.upenn.edu/sites/default/files/TradeoffFallacy_1.pdf" TargetMode="External"/><Relationship Id="rId53" Type="http://schemas.openxmlformats.org/officeDocument/2006/relationships/hyperlink" Target="http://www.networkadvertising.org/mobile/NAI_Mobile_Application_Code.pdf" TargetMode="External"/><Relationship Id="rId58" Type="http://schemas.openxmlformats.org/officeDocument/2006/relationships/hyperlink" Target="http://apps.fcc.gov/ecfs/document/view?id=7520963695" TargetMode="External"/><Relationship Id="rId74" Type="http://schemas.openxmlformats.org/officeDocument/2006/relationships/hyperlink" Target="http://www.computerworld.com/article/2556908/security0/biometric-authentication.html" TargetMode="External"/><Relationship Id="rId79" Type="http://schemas.openxmlformats.org/officeDocument/2006/relationships/hyperlink" Target="https://www.usenix.org/conference/soups2015/proceedings/presentation/schaub" TargetMode="External"/><Relationship Id="rId102" Type="http://schemas.openxmlformats.org/officeDocument/2006/relationships/hyperlink" Target="https://www.adr.org/cs/idcplg?IdcService=GET_FILE&amp;dDocName=ADRSTG_005014&amp;RevisionSelectionMethod=LatestReleased" TargetMode="External"/><Relationship Id="rId123" Type="http://schemas.openxmlformats.org/officeDocument/2006/relationships/hyperlink" Target="http://www.census.gov/cgi-bin/sssd/naics/naicsrch?code=517110&amp;search=2012" TargetMode="External"/><Relationship Id="rId128" Type="http://schemas.openxmlformats.org/officeDocument/2006/relationships/hyperlink" Target="http://factfinder2.census.gov/bkmk/table/1.0/en/ECN/2007_US/51SSSZ4/naics~517919" TargetMode="External"/><Relationship Id="rId5" Type="http://schemas.openxmlformats.org/officeDocument/2006/relationships/hyperlink" Target="http://www.weather.com/" TargetMode="External"/><Relationship Id="rId90" Type="http://schemas.openxmlformats.org/officeDocument/2006/relationships/hyperlink" Target="http://www.att.com/esupport/article.html" TargetMode="External"/><Relationship Id="rId95" Type="http://schemas.openxmlformats.org/officeDocument/2006/relationships/hyperlink" Target="http://www.nytimes.com/2012/02/19/magazine/shopping-habits.html?pagewanted=9&amp;_r=1&amp;hp" TargetMode="External"/><Relationship Id="rId19" Type="http://schemas.openxmlformats.org/officeDocument/2006/relationships/hyperlink" Target="http://www.networkadvertising.org/sites/default/files/NAI_Code15encr.pdf" TargetMode="External"/><Relationship Id="rId14" Type="http://schemas.openxmlformats.org/officeDocument/2006/relationships/hyperlink" Target="http://www.guanotronic.com/~serge/papers/soups12-android.pdf" TargetMode="External"/><Relationship Id="rId22" Type="http://schemas.openxmlformats.org/officeDocument/2006/relationships/hyperlink" Target="https://www.lookout.com/img/images/lookout-mobile-app-advertising-guidelines.pdf" TargetMode="External"/><Relationship Id="rId27" Type="http://schemas.openxmlformats.org/officeDocument/2006/relationships/hyperlink" Target="https://www.whitehouse.gov/sites/default/files/docs/big_data_privacy_report_may_1_2014.pdf" TargetMode="External"/><Relationship Id="rId30" Type="http://schemas.openxmlformats.org/officeDocument/2006/relationships/hyperlink" Target="https://apps.fcc.gov/edocs_public/attachmatch/DOC-262015A1.pdf" TargetMode="External"/><Relationship Id="rId35" Type="http://schemas.openxmlformats.org/officeDocument/2006/relationships/hyperlink" Target="http://www.t-mobile.com/company/website/privacypolicy.aspx/" TargetMode="External"/><Relationship Id="rId43" Type="http://schemas.openxmlformats.org/officeDocument/2006/relationships/hyperlink" Target="https://policies.yahoo.com/us/en/yahoo/privacy/topics/mobile/index.htm" TargetMode="External"/><Relationship Id="rId48" Type="http://schemas.openxmlformats.org/officeDocument/2006/relationships/hyperlink" Target="https://www.verizon.com/about/privacy/full-privacy-policy" TargetMode="External"/><Relationship Id="rId56" Type="http://schemas.openxmlformats.org/officeDocument/2006/relationships/hyperlink" Target="http://dataprivacylab.org/projects/identifiability/index.html" TargetMode="External"/><Relationship Id="rId64" Type="http://schemas.openxmlformats.org/officeDocument/2006/relationships/hyperlink" Target="https://www.ftc.gov/sites/default/files/documents/cases/140107genelinkcmpt.pdf" TargetMode="External"/><Relationship Id="rId69" Type="http://schemas.openxmlformats.org/officeDocument/2006/relationships/hyperlink" Target="http://www.hhs.gov/sites/default/files/ocr/privacy/hipaa/administrative/securityrule/rafinalguidancepdf.pdf" TargetMode="External"/><Relationship Id="rId77" Type="http://schemas.openxmlformats.org/officeDocument/2006/relationships/hyperlink" Target="http://www3.epa.gov/ttncatc1/rblc/htm/welcome.html" TargetMode="External"/><Relationship Id="rId100" Type="http://schemas.openxmlformats.org/officeDocument/2006/relationships/hyperlink" Target="https://www.accessnow.org/cms/assets/uploads/archive/AIBT-Report.pdf" TargetMode="External"/><Relationship Id="rId105" Type="http://schemas.openxmlformats.org/officeDocument/2006/relationships/hyperlink" Target="http://www.nytimes.com/2015/11/02/business/dealbook/in-arbitration-a-privatization-of-the-justice-system.html" TargetMode="External"/><Relationship Id="rId113" Type="http://schemas.openxmlformats.org/officeDocument/2006/relationships/hyperlink" Target="https://www.ntia.doc.gov/other-publication/2016/multistakeholder-process-unmanned-aircraft-systems" TargetMode="External"/><Relationship Id="rId118" Type="http://schemas.openxmlformats.org/officeDocument/2006/relationships/hyperlink" Target="https://apps.fcc.gov/edocs_public/attachmatch/DOC-301823A1.pdf" TargetMode="External"/><Relationship Id="rId126" Type="http://schemas.openxmlformats.org/officeDocument/2006/relationships/hyperlink" Target="http://www.ncta.com/industry-data" TargetMode="External"/><Relationship Id="rId8" Type="http://schemas.openxmlformats.org/officeDocument/2006/relationships/hyperlink" Target="http://2010-2014.commerce.gov/sites/default/files/documents/2010/december/iptf-privacy-green-paper.pdf" TargetMode="External"/><Relationship Id="rId51" Type="http://schemas.openxmlformats.org/officeDocument/2006/relationships/hyperlink" Target="https://www.ftc.gov/sites/default/files/documents/reports/mobile-privacy-disclosures-building-trust-through-transparency-federal-trade-commission-staff-report/130201mobileprivacyreport.pdf" TargetMode="External"/><Relationship Id="rId72" Type="http://schemas.openxmlformats.org/officeDocument/2006/relationships/hyperlink" Target="https://www.whitehouse.gov/sites/default/files/rss_viewer/NSTICstrategy_041511.pdf" TargetMode="External"/><Relationship Id="rId80" Type="http://schemas.openxmlformats.org/officeDocument/2006/relationships/hyperlink" Target="http://csrc.nist.gov/publications/nistpubs/800-60-rev1/SP800-60_Vol1-Rev1.pdf" TargetMode="External"/><Relationship Id="rId85" Type="http://schemas.openxmlformats.org/officeDocument/2006/relationships/hyperlink" Target="https://www.whitehouse.gov/sites/default/files/omb/legislative/letters/data-breach-notification.pdf" TargetMode="External"/><Relationship Id="rId93" Type="http://schemas.openxmlformats.org/officeDocument/2006/relationships/hyperlink" Target="http://www.consumeraffairs.com/news04/2005/loyalty_cards.html" TargetMode="External"/><Relationship Id="rId98" Type="http://schemas.openxmlformats.org/officeDocument/2006/relationships/hyperlink" Target="http://www.cisco.com/c/en/us/td/docs/solutions/Enterprise/Data_Center/SCE_DPI.html" TargetMode="External"/><Relationship Id="rId121" Type="http://schemas.openxmlformats.org/officeDocument/2006/relationships/hyperlink" Target="http://www.census.gov/cgi-bin/sssd/naics/naicsrch?code=517410&amp;search=2012" TargetMode="External"/><Relationship Id="rId3" Type="http://schemas.openxmlformats.org/officeDocument/2006/relationships/hyperlink" Target="https://www.ftc.gov/enforcement/cases-proceedings/042-3160/bjs-wholesale-club-inc-matter" TargetMode="External"/><Relationship Id="rId12" Type="http://schemas.openxmlformats.org/officeDocument/2006/relationships/hyperlink" Target="https://cdt.org/insight/applying-communications-act-consumer-privacy-protections-to-broadband-providers/" TargetMode="External"/><Relationship Id="rId17" Type="http://schemas.openxmlformats.org/officeDocument/2006/relationships/hyperlink" Target="http://www.aboutads.info/DAA_Mobile_Guidance.pdf" TargetMode="External"/><Relationship Id="rId25" Type="http://schemas.openxmlformats.org/officeDocument/2006/relationships/hyperlink" Target="https://www.ftc.gov/system/files/documents/public_comments/2015/10/00081-99936.pdf" TargetMode="External"/><Relationship Id="rId33" Type="http://schemas.openxmlformats.org/officeDocument/2006/relationships/hyperlink" Target="https://www.cox.com/aboutus/policies/annual-privacy-notice.html" TargetMode="External"/><Relationship Id="rId38" Type="http://schemas.openxmlformats.org/officeDocument/2006/relationships/hyperlink" Target="http://papers.ssrn.com/sol3/papers.cfm?abstract_id=2434800" TargetMode="External"/><Relationship Id="rId46" Type="http://schemas.openxmlformats.org/officeDocument/2006/relationships/hyperlink" Target="https://www.petsymposium.org/2014/papers/Miller.pdf" TargetMode="External"/><Relationship Id="rId59" Type="http://schemas.openxmlformats.org/officeDocument/2006/relationships/hyperlink" Target="file:///\\fccnet\data\Bureaus-Offices\WCB\CPD\CPNI\Broadband%20CPNI\Drafts\Full%20Drafts\Pre-Circ\%20" TargetMode="External"/><Relationship Id="rId67" Type="http://schemas.openxmlformats.org/officeDocument/2006/relationships/hyperlink" Target="https://www.ntia.doc.gov/press-release/2015/ntia-seeks-comment-process-developing-best-practices-commercial-and-private-use-u" TargetMode="External"/><Relationship Id="rId103" Type="http://schemas.openxmlformats.org/officeDocument/2006/relationships/hyperlink" Target="http://www.whitehouse.gov/sites/default/files/rss_viewer/NSTICstrategy_041511.pdf" TargetMode="External"/><Relationship Id="rId108" Type="http://schemas.openxmlformats.org/officeDocument/2006/relationships/hyperlink" Target="https://static.newamerica.org/attachments/12325-the-fccs-role-in-protecting-online-privacy/CPNI__web.d4fbdb12e83f4adc89f37ebffa3e6075.pdf" TargetMode="External"/><Relationship Id="rId116" Type="http://schemas.openxmlformats.org/officeDocument/2006/relationships/hyperlink" Target="http://www.census.gov/cgi-bin/sssd/naics/naicsrch?code=517919&amp;search=2012%20NAICS%20Search" TargetMode="External"/><Relationship Id="rId124" Type="http://schemas.openxmlformats.org/officeDocument/2006/relationships/hyperlink" Target="http://www.ncta.com/Statistics.aspx" TargetMode="External"/><Relationship Id="rId20" Type="http://schemas.openxmlformats.org/officeDocument/2006/relationships/hyperlink" Target="https://www.ftc.gov/system/files/documents/public_comments/2015/10/00081-99936.pdf" TargetMode="External"/><Relationship Id="rId41" Type="http://schemas.openxmlformats.org/officeDocument/2006/relationships/hyperlink" Target="http://www.aboutads.info/DAA_Mobile_Guidance.pdf" TargetMode="External"/><Relationship Id="rId54" Type="http://schemas.openxmlformats.org/officeDocument/2006/relationships/hyperlink" Target="http://www.networkadvertising.org/sites/default/files/NAI_Code15encr.pdf" TargetMode="External"/><Relationship Id="rId62" Type="http://schemas.openxmlformats.org/officeDocument/2006/relationships/hyperlink" Target="http://www.nist.gov/nstic/NSTIC-FIPPs.pdf" TargetMode="External"/><Relationship Id="rId70" Type="http://schemas.openxmlformats.org/officeDocument/2006/relationships/hyperlink" Target="http://nvlpubs.nist.gov/nistpubs/SpecialPublications/NIST.SP.800-63-2.pdf" TargetMode="External"/><Relationship Id="rId75" Type="http://schemas.openxmlformats.org/officeDocument/2006/relationships/hyperlink" Target="http://www.internetsociety.org/sites/default/files/01_2_4.pdf" TargetMode="External"/><Relationship Id="rId83" Type="http://schemas.openxmlformats.org/officeDocument/2006/relationships/hyperlink" Target="http://www.ncsl.org/research/telecommunications-and-information-technology/security-breach-notification-laws.aspx" TargetMode="External"/><Relationship Id="rId88" Type="http://schemas.openxmlformats.org/officeDocument/2006/relationships/hyperlink" Target="http://bits.blogs.nytimes.com/2015/02/18/atts-offer-share-your-data-for-personalized-ads-or-pay-more/?_r=0" TargetMode="External"/><Relationship Id="rId91" Type="http://schemas.openxmlformats.org/officeDocument/2006/relationships/hyperlink" Target="http://bits.blogs.nytimes.com/2015/02/18/atts-offer-share-your-data-for-personalized-ads-or-pay-more/?_r=0" TargetMode="External"/><Relationship Id="rId96" Type="http://schemas.openxmlformats.org/officeDocument/2006/relationships/hyperlink" Target="https://www.weforum.org/agenda/2012/01/davos-daily-big-data-privacy-and-the-huge-opportunity-in-the-monetization-of-trust" TargetMode="External"/><Relationship Id="rId111" Type="http://schemas.openxmlformats.org/officeDocument/2006/relationships/hyperlink" Target="https://www.ntia.doc.gov/other-publication/2013/privacy-multistakeholder-process-mobile-application-transparency" TargetMode="External"/><Relationship Id="rId1" Type="http://schemas.openxmlformats.org/officeDocument/2006/relationships/hyperlink" Target="https://www.ftc.gov/enforcement/cases-proceedings/092-3184/facebook-inc" TargetMode="External"/><Relationship Id="rId6" Type="http://schemas.openxmlformats.org/officeDocument/2006/relationships/hyperlink" Target="http://www.fandango.com/" TargetMode="External"/><Relationship Id="rId15" Type="http://schemas.openxmlformats.org/officeDocument/2006/relationships/hyperlink" Target="https://www.ftc.gov/system/files/documents/public_comments/2015/10/00081-99936.pdf" TargetMode="External"/><Relationship Id="rId23" Type="http://schemas.openxmlformats.org/officeDocument/2006/relationships/hyperlink" Target="https://www.ntia.doc.gov/files/ntia/publications/july_25_code_draft.pdf" TargetMode="External"/><Relationship Id="rId28" Type="http://schemas.openxmlformats.org/officeDocument/2006/relationships/hyperlink" Target="https://oag.ca.gov/sites/all/files/agweb/pdfs/cybersecurity/making_your_privacy_practices_public.pdf" TargetMode="External"/><Relationship Id="rId36" Type="http://schemas.openxmlformats.org/officeDocument/2006/relationships/hyperlink" Target="http://www.verizon.com/about/privacy/policy/" TargetMode="External"/><Relationship Id="rId49" Type="http://schemas.openxmlformats.org/officeDocument/2006/relationships/hyperlink" Target="https://www.att.com/gen/privacy-policy?pid=24339" TargetMode="External"/><Relationship Id="rId57" Type="http://schemas.openxmlformats.org/officeDocument/2006/relationships/hyperlink" Target="http://www.cs.utexas.edu/~shmat/shmat_oak08netflix.pdf" TargetMode="External"/><Relationship Id="rId106" Type="http://schemas.openxmlformats.org/officeDocument/2006/relationships/hyperlink" Target="http://www.nytimes.com/2015/11/01/business/dealbook/arbitration-everywhere-stacking-the-deck-of-justice.html?_r=1" TargetMode="External"/><Relationship Id="rId114" Type="http://schemas.openxmlformats.org/officeDocument/2006/relationships/hyperlink" Target="http://factfinder.census.gov/faces/nav/jsf/pages/index.xhtml" TargetMode="External"/><Relationship Id="rId119" Type="http://schemas.openxmlformats.org/officeDocument/2006/relationships/hyperlink" Target="http://www.census.gov/cgi-bin/sssd/naics/naicsrch?code=517210&amp;search=2012%20NAICS%20Search" TargetMode="External"/><Relationship Id="rId127" Type="http://schemas.openxmlformats.org/officeDocument/2006/relationships/hyperlink" Target="http://www.census.gov/cgi-bin/sssd/naics/naicsrch?code=517919&amp;search=2012" TargetMode="External"/><Relationship Id="rId10" Type="http://schemas.openxmlformats.org/officeDocument/2006/relationships/hyperlink" Target="http://www.networkadvertising.org/mobile/NAI_Mobile_Application_Code.pdf" TargetMode="External"/><Relationship Id="rId31" Type="http://schemas.openxmlformats.org/officeDocument/2006/relationships/hyperlink" Target="http://www.att.com/gen/privacy-policy?pid=2506" TargetMode="External"/><Relationship Id="rId44" Type="http://schemas.openxmlformats.org/officeDocument/2006/relationships/hyperlink" Target="https://static.newamerica.org/attachments/12325-the-fccs-role-in-protecting-online-privacy/CPNI__web.d4fbdb12e83f4adc89f37ebffa3e6075.pdf" TargetMode="External"/><Relationship Id="rId52" Type="http://schemas.openxmlformats.org/officeDocument/2006/relationships/hyperlink" Target="http://www.aboutads.info/DAA_Mobile_Guidance.pdf" TargetMode="External"/><Relationship Id="rId60" Type="http://schemas.openxmlformats.org/officeDocument/2006/relationships/hyperlink" Target="https://www.ftc.gov/tips-advice/business-center/guidance/start-security-guide-business" TargetMode="External"/><Relationship Id="rId65" Type="http://schemas.openxmlformats.org/officeDocument/2006/relationships/hyperlink" Target="https://www.ftc.gov/system/files/documents/cases/140224accretivehealthcmpt.pdf" TargetMode="External"/><Relationship Id="rId73" Type="http://schemas.openxmlformats.org/officeDocument/2006/relationships/hyperlink" Target="http://www.sans.org/reading-room/whitepapers/authentication/biometrics-user-authentication-122" TargetMode="External"/><Relationship Id="rId78" Type="http://schemas.openxmlformats.org/officeDocument/2006/relationships/hyperlink" Target="http://www.techlicious.com/blog/should-you-use-facebook-or-google-to-log-in-to-other-sites/" TargetMode="External"/><Relationship Id="rId81" Type="http://schemas.openxmlformats.org/officeDocument/2006/relationships/hyperlink" Target="http://csrc.nist.gov/publications/nistpubs/800-60-rev1/SP800-60_Vol2-Rev1.pdf" TargetMode="External"/><Relationship Id="rId86" Type="http://schemas.openxmlformats.org/officeDocument/2006/relationships/hyperlink" Target="https://www.fcc.gov/general/cpni-breach-reporting-facility" TargetMode="External"/><Relationship Id="rId94" Type="http://schemas.openxmlformats.org/officeDocument/2006/relationships/hyperlink" Target="http://www.infosecurity-magazine.com/magazine-features/loyalty-cards-the-security-risks-and-the-rewards/" TargetMode="External"/><Relationship Id="rId99" Type="http://schemas.openxmlformats.org/officeDocument/2006/relationships/hyperlink" Target="http://www.wired.com/images_blogs/threatlevel/files/dpi.pdf" TargetMode="External"/><Relationship Id="rId101" Type="http://schemas.openxmlformats.org/officeDocument/2006/relationships/hyperlink" Target="https://consumercomplaints.fcc.gov/hc/en-us" TargetMode="External"/><Relationship Id="rId122" Type="http://schemas.openxmlformats.org/officeDocument/2006/relationships/hyperlink" Target="http://www.census.gov/cgi-bin/sssd/naics/naicsrch?code=517919&amp;search=2012" TargetMode="External"/><Relationship Id="rId4" Type="http://schemas.openxmlformats.org/officeDocument/2006/relationships/hyperlink" Target="https://www.ftc.gov/enforcement/cases-proceedings/052-3096/dsw-incin-matter" TargetMode="External"/><Relationship Id="rId9" Type="http://schemas.openxmlformats.org/officeDocument/2006/relationships/hyperlink" Target="http://www.aboutads.info/DAA_Mobile_Guidance.pdf" TargetMode="External"/><Relationship Id="rId13" Type="http://schemas.openxmlformats.org/officeDocument/2006/relationships/hyperlink" Target="https://www.whitehouse.gov/sites/default/files/omb/memoranda/fy2007/m07-16.pdf" TargetMode="External"/><Relationship Id="rId18" Type="http://schemas.openxmlformats.org/officeDocument/2006/relationships/hyperlink" Target="http://www.networkadvertising.org/mobile/NAI_Mobile_Application_Code.pdf" TargetMode="External"/><Relationship Id="rId39" Type="http://schemas.openxmlformats.org/officeDocument/2006/relationships/hyperlink" Target="https://www.youtube.com/watch?v=U056LQ9qekU" TargetMode="External"/><Relationship Id="rId109" Type="http://schemas.openxmlformats.org/officeDocument/2006/relationships/hyperlink" Target="http://www2.itif.org/2016-broadband-privacy-folly.pdf" TargetMode="External"/><Relationship Id="rId34" Type="http://schemas.openxmlformats.org/officeDocument/2006/relationships/hyperlink" Target="https://www.sprint.com/legal/privacy.html" TargetMode="External"/><Relationship Id="rId50" Type="http://schemas.openxmlformats.org/officeDocument/2006/relationships/hyperlink" Target="http://www.xfinity.com/Corporate/Customers/Policies/CustomerPrivacy.html" TargetMode="External"/><Relationship Id="rId55" Type="http://schemas.openxmlformats.org/officeDocument/2006/relationships/hyperlink" Target="http://usacm.acm.org/images/documents/BigDataOSTPfinal.pdf" TargetMode="External"/><Relationship Id="rId76" Type="http://schemas.openxmlformats.org/officeDocument/2006/relationships/hyperlink" Target="http://www.pistolstar.com/authentication-solutions/regulation/GLBA.html" TargetMode="External"/><Relationship Id="rId97" Type="http://schemas.openxmlformats.org/officeDocument/2006/relationships/hyperlink" Target="https://www.sandvine.com/technology/deep-packet-inspection.html" TargetMode="External"/><Relationship Id="rId104" Type="http://schemas.openxmlformats.org/officeDocument/2006/relationships/hyperlink" Target="http://www.nytimes.com/2015/11/01/business/dealbook/arbitration-everywhere-stacking-the-deck-of-justice.html?_r=1" TargetMode="External"/><Relationship Id="rId120" Type="http://schemas.openxmlformats.org/officeDocument/2006/relationships/hyperlink" Target="http://www.census.gov/cgi-bin/sssd/naics/naicsrch?code=517110&amp;search=2012" TargetMode="External"/><Relationship Id="rId125" Type="http://schemas.openxmlformats.org/officeDocument/2006/relationships/hyperlink" Target="http://www.snl.com/InteractiveX/TopCableMSOs.aspx?period=2012Q4&amp;sortcol=subscribersbasic&amp;sortorder=desc" TargetMode="External"/><Relationship Id="rId7" Type="http://schemas.openxmlformats.org/officeDocument/2006/relationships/hyperlink" Target="https://static.newamerica.org/attachments/12325-the-fccs-role-in-protecting-online-privacy/CPNI__web.d4fbdb12e83f4adc89f37ebffa3e6075.pdf" TargetMode="External"/><Relationship Id="rId71" Type="http://schemas.openxmlformats.org/officeDocument/2006/relationships/hyperlink" Target="https://www.pcisecuritystandards.org/pci_security/maintaining_payment_security" TargetMode="External"/><Relationship Id="rId92" Type="http://schemas.openxmlformats.org/officeDocument/2006/relationships/hyperlink" Target="http://www.forbes.com/sites/bryanpearson/2015/10/12/nailing-loyalty-62-of-retailers-boosting-loyalty-budgets-but-do-they-have-the-right-tools/%2361afdc565830" TargetMode="External"/><Relationship Id="rId2" Type="http://schemas.openxmlformats.org/officeDocument/2006/relationships/hyperlink" Target="https://www.ftc.gov/enforcement/cases-proceedings/102-3136/google-inc-matter" TargetMode="External"/><Relationship Id="rId29" Type="http://schemas.openxmlformats.org/officeDocument/2006/relationships/hyperlink" Target="http://www.hhs.gov/ocr/privacy/hipaa/understanding/coveredentities/notice.html" TargetMode="External"/><Relationship Id="rId24" Type="http://schemas.openxmlformats.org/officeDocument/2006/relationships/hyperlink" Target="https://www.ftc.gov/system/files/documents/public_comments/2015/10/00081-99936.pdf" TargetMode="External"/><Relationship Id="rId40" Type="http://schemas.openxmlformats.org/officeDocument/2006/relationships/hyperlink" Target="http://www.wsj.com/articles/experian-data-breach-may-have-compromised-roughly-15-million-consumers-1443732359" TargetMode="External"/><Relationship Id="rId45" Type="http://schemas.openxmlformats.org/officeDocument/2006/relationships/hyperlink" Target="https://cdt.org/files/2016/01/2016-01-20-Packets_Layers_fnl.pdf" TargetMode="External"/><Relationship Id="rId66" Type="http://schemas.openxmlformats.org/officeDocument/2006/relationships/hyperlink" Target="https://www.whitehouse.gov/sites/default/files/privacy-final.pdf" TargetMode="External"/><Relationship Id="rId87" Type="http://schemas.openxmlformats.org/officeDocument/2006/relationships/hyperlink" Target="https://www.cpnireporting.gov/" TargetMode="External"/><Relationship Id="rId110" Type="http://schemas.openxmlformats.org/officeDocument/2006/relationships/hyperlink" Target="https://www.ftc.gov/public-statements/1980/12/ftc-policy-statement-unfairness" TargetMode="External"/><Relationship Id="rId115" Type="http://schemas.openxmlformats.org/officeDocument/2006/relationships/hyperlink" Target="http://www.census.gov/cgi-bin/sssd/naics/naicsrch?code=517110&amp;search=2012%20NAICS%20Search" TargetMode="External"/><Relationship Id="rId61" Type="http://schemas.openxmlformats.org/officeDocument/2006/relationships/hyperlink" Target="https://www.ftc.gov/sites/default/files/documents/cases/2013/05/130503cbrdo.pdf" TargetMode="External"/><Relationship Id="rId82" Type="http://schemas.openxmlformats.org/officeDocument/2006/relationships/hyperlink" Target="http://www.futureofprivacy.org/wp-content/uploads/TECH-Rubinstein-Big-Data-A-Pretty-Good-Privacy-Solutio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66796</Words>
  <Characters>371355</Characters>
  <Application>Microsoft Office Word</Application>
  <DocSecurity>0</DocSecurity>
  <Lines>4982</Lines>
  <Paragraphs>896</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439842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2016-04-01T19:19:00Z</cp:lastPrinted>
  <dcterms:created xsi:type="dcterms:W3CDTF">2016-04-01T22:18:00Z</dcterms:created>
  <dcterms:modified xsi:type="dcterms:W3CDTF">2016-04-01T22:18:00Z</dcterms:modified>
  <cp:category> </cp:category>
  <cp:contentStatus> </cp:contentStatus>
</cp:coreProperties>
</file>