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19C35A" w14:textId="77777777"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14:paraId="43682DFC" w14:textId="77777777" w:rsidR="00921803" w:rsidRDefault="00921803" w:rsidP="00921803">
      <w:pPr>
        <w:pStyle w:val="StyleBoldCentered"/>
      </w:pPr>
      <w:r>
        <w:t>F</w:t>
      </w:r>
      <w:r>
        <w:rPr>
          <w:caps w:val="0"/>
        </w:rPr>
        <w:t>ederal Communications Commission</w:t>
      </w:r>
    </w:p>
    <w:p w14:paraId="0EB8F1AB" w14:textId="77777777" w:rsidR="004C2EE3" w:rsidRDefault="00810B6F" w:rsidP="00096D8C">
      <w:pPr>
        <w:pStyle w:val="StyleBoldCentered"/>
      </w:pPr>
      <w:r>
        <w:rPr>
          <w:caps w:val="0"/>
        </w:rPr>
        <w:t>Washington, D.C. 20554</w:t>
      </w:r>
    </w:p>
    <w:p w14:paraId="681BEDC8" w14:textId="77777777"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14:paraId="3869BE88" w14:textId="77777777">
        <w:tc>
          <w:tcPr>
            <w:tcW w:w="4698" w:type="dxa"/>
          </w:tcPr>
          <w:p w14:paraId="0818A6C3" w14:textId="77777777" w:rsidR="004C2EE3" w:rsidRDefault="004C2EE3">
            <w:pPr>
              <w:tabs>
                <w:tab w:val="center" w:pos="4680"/>
              </w:tabs>
              <w:suppressAutoHyphens/>
              <w:rPr>
                <w:spacing w:val="-2"/>
              </w:rPr>
            </w:pPr>
            <w:r>
              <w:rPr>
                <w:spacing w:val="-2"/>
              </w:rPr>
              <w:t>In the Matter of</w:t>
            </w:r>
          </w:p>
          <w:p w14:paraId="34C24A47" w14:textId="77777777" w:rsidR="004C2EE3" w:rsidRDefault="004C2EE3">
            <w:pPr>
              <w:tabs>
                <w:tab w:val="center" w:pos="4680"/>
              </w:tabs>
              <w:suppressAutoHyphens/>
              <w:rPr>
                <w:spacing w:val="-2"/>
              </w:rPr>
            </w:pPr>
          </w:p>
          <w:p w14:paraId="1CA84B8E" w14:textId="77777777" w:rsidR="004C2EE3" w:rsidRPr="001C7D76" w:rsidRDefault="007B444C" w:rsidP="001C7D76">
            <w:r>
              <w:rPr>
                <w:spacing w:val="-2"/>
              </w:rPr>
              <w:t>Application</w:t>
            </w:r>
            <w:r w:rsidR="00130A41">
              <w:rPr>
                <w:spacing w:val="-2"/>
              </w:rPr>
              <w:t>s</w:t>
            </w:r>
            <w:r w:rsidR="0000377B">
              <w:rPr>
                <w:spacing w:val="-2"/>
              </w:rPr>
              <w:t xml:space="preserve"> </w:t>
            </w:r>
            <w:r w:rsidR="0000377B">
              <w:t>of</w:t>
            </w:r>
            <w:r>
              <w:rPr>
                <w:spacing w:val="-2"/>
              </w:rPr>
              <w:t xml:space="preserve"> Powell Meredith Communications </w:t>
            </w:r>
            <w:r w:rsidR="003A4615">
              <w:rPr>
                <w:spacing w:val="-2"/>
              </w:rPr>
              <w:t xml:space="preserve">Co. </w:t>
            </w:r>
            <w:r>
              <w:rPr>
                <w:spacing w:val="-2"/>
              </w:rPr>
              <w:t>and Community Translator Network, LLC for Consent to Assign Construction Permits</w:t>
            </w:r>
          </w:p>
          <w:p w14:paraId="7F673E2E" w14:textId="77777777" w:rsidR="007B444C" w:rsidRDefault="007B444C" w:rsidP="007B444C">
            <w:pPr>
              <w:tabs>
                <w:tab w:val="center" w:pos="4680"/>
              </w:tabs>
              <w:suppressAutoHyphens/>
              <w:rPr>
                <w:spacing w:val="-2"/>
              </w:rPr>
            </w:pPr>
          </w:p>
          <w:p w14:paraId="36C9625F" w14:textId="77777777" w:rsidR="007B444C" w:rsidRDefault="007B444C" w:rsidP="007B444C">
            <w:pPr>
              <w:tabs>
                <w:tab w:val="center" w:pos="4680"/>
              </w:tabs>
              <w:suppressAutoHyphens/>
              <w:rPr>
                <w:spacing w:val="-2"/>
              </w:rPr>
            </w:pPr>
            <w:r>
              <w:rPr>
                <w:spacing w:val="-2"/>
              </w:rPr>
              <w:t>K262CM, Needles, California</w:t>
            </w:r>
          </w:p>
          <w:p w14:paraId="66CFB37F" w14:textId="77777777" w:rsidR="007B444C" w:rsidRDefault="007B444C" w:rsidP="007B444C">
            <w:pPr>
              <w:tabs>
                <w:tab w:val="center" w:pos="4680"/>
              </w:tabs>
              <w:suppressAutoHyphens/>
              <w:rPr>
                <w:spacing w:val="-2"/>
              </w:rPr>
            </w:pPr>
          </w:p>
          <w:p w14:paraId="4925F8EF" w14:textId="77777777" w:rsidR="007B444C" w:rsidRDefault="007B444C" w:rsidP="007B444C">
            <w:pPr>
              <w:tabs>
                <w:tab w:val="center" w:pos="4680"/>
              </w:tabs>
              <w:suppressAutoHyphens/>
              <w:rPr>
                <w:spacing w:val="-2"/>
              </w:rPr>
            </w:pPr>
            <w:r>
              <w:rPr>
                <w:spacing w:val="-2"/>
              </w:rPr>
              <w:t>K283CB, Ruidoso, New Mexico</w:t>
            </w:r>
          </w:p>
          <w:p w14:paraId="50CBD4F2" w14:textId="77777777" w:rsidR="007B444C" w:rsidRDefault="007B444C" w:rsidP="007B444C">
            <w:pPr>
              <w:tabs>
                <w:tab w:val="center" w:pos="4680"/>
              </w:tabs>
              <w:suppressAutoHyphens/>
              <w:rPr>
                <w:spacing w:val="-2"/>
              </w:rPr>
            </w:pPr>
          </w:p>
          <w:p w14:paraId="36B525E0" w14:textId="77777777" w:rsidR="007B444C" w:rsidRDefault="007B444C" w:rsidP="007B444C">
            <w:pPr>
              <w:tabs>
                <w:tab w:val="center" w:pos="4680"/>
              </w:tabs>
              <w:suppressAutoHyphens/>
              <w:rPr>
                <w:spacing w:val="-2"/>
              </w:rPr>
            </w:pPr>
            <w:r>
              <w:rPr>
                <w:spacing w:val="-2"/>
              </w:rPr>
              <w:t>K227CO, Logan, Utah</w:t>
            </w:r>
          </w:p>
          <w:p w14:paraId="5E7AD3AC" w14:textId="77777777" w:rsidR="007B444C" w:rsidRDefault="007B444C" w:rsidP="007B444C">
            <w:pPr>
              <w:tabs>
                <w:tab w:val="center" w:pos="4680"/>
              </w:tabs>
              <w:suppressAutoHyphens/>
              <w:rPr>
                <w:spacing w:val="-2"/>
              </w:rPr>
            </w:pPr>
          </w:p>
          <w:p w14:paraId="29174A66" w14:textId="77777777" w:rsidR="007B444C" w:rsidRDefault="007B444C" w:rsidP="007B444C">
            <w:pPr>
              <w:tabs>
                <w:tab w:val="center" w:pos="4680"/>
              </w:tabs>
              <w:suppressAutoHyphens/>
              <w:rPr>
                <w:spacing w:val="-2"/>
              </w:rPr>
            </w:pPr>
            <w:r>
              <w:rPr>
                <w:spacing w:val="-2"/>
              </w:rPr>
              <w:t>K294CP, Roseburg, Oregon</w:t>
            </w:r>
          </w:p>
          <w:p w14:paraId="7D8DE785" w14:textId="77777777" w:rsidR="007B444C" w:rsidRDefault="007B444C" w:rsidP="007B444C">
            <w:pPr>
              <w:tabs>
                <w:tab w:val="center" w:pos="4680"/>
              </w:tabs>
              <w:suppressAutoHyphens/>
              <w:rPr>
                <w:spacing w:val="-2"/>
              </w:rPr>
            </w:pPr>
          </w:p>
          <w:p w14:paraId="47F7C98F" w14:textId="77777777" w:rsidR="007B444C" w:rsidRPr="007115F7" w:rsidRDefault="007B444C" w:rsidP="007B444C">
            <w:pPr>
              <w:tabs>
                <w:tab w:val="center" w:pos="4680"/>
              </w:tabs>
              <w:suppressAutoHyphens/>
              <w:rPr>
                <w:spacing w:val="-2"/>
              </w:rPr>
            </w:pPr>
            <w:r>
              <w:rPr>
                <w:spacing w:val="-2"/>
              </w:rPr>
              <w:t>K227CP, Cheyenne, Wyoming</w:t>
            </w:r>
          </w:p>
        </w:tc>
        <w:tc>
          <w:tcPr>
            <w:tcW w:w="630" w:type="dxa"/>
          </w:tcPr>
          <w:p w14:paraId="07FC50B0" w14:textId="77777777" w:rsidR="004C2EE3" w:rsidRDefault="004C2EE3">
            <w:pPr>
              <w:tabs>
                <w:tab w:val="center" w:pos="4680"/>
              </w:tabs>
              <w:suppressAutoHyphens/>
              <w:rPr>
                <w:b/>
                <w:spacing w:val="-2"/>
              </w:rPr>
            </w:pPr>
            <w:r>
              <w:rPr>
                <w:b/>
                <w:spacing w:val="-2"/>
              </w:rPr>
              <w:t>)</w:t>
            </w:r>
          </w:p>
          <w:p w14:paraId="75B02C54" w14:textId="77777777" w:rsidR="004C2EE3" w:rsidRDefault="004C2EE3">
            <w:pPr>
              <w:tabs>
                <w:tab w:val="center" w:pos="4680"/>
              </w:tabs>
              <w:suppressAutoHyphens/>
              <w:rPr>
                <w:b/>
                <w:spacing w:val="-2"/>
              </w:rPr>
            </w:pPr>
            <w:r>
              <w:rPr>
                <w:b/>
                <w:spacing w:val="-2"/>
              </w:rPr>
              <w:t>)</w:t>
            </w:r>
          </w:p>
          <w:p w14:paraId="02A17BCB" w14:textId="77777777" w:rsidR="004C2EE3" w:rsidRDefault="004C2EE3">
            <w:pPr>
              <w:tabs>
                <w:tab w:val="center" w:pos="4680"/>
              </w:tabs>
              <w:suppressAutoHyphens/>
              <w:rPr>
                <w:b/>
                <w:spacing w:val="-2"/>
              </w:rPr>
            </w:pPr>
            <w:r>
              <w:rPr>
                <w:b/>
                <w:spacing w:val="-2"/>
              </w:rPr>
              <w:t>)</w:t>
            </w:r>
          </w:p>
          <w:p w14:paraId="0816D62B" w14:textId="77777777" w:rsidR="004C2EE3" w:rsidRDefault="004C2EE3">
            <w:pPr>
              <w:tabs>
                <w:tab w:val="center" w:pos="4680"/>
              </w:tabs>
              <w:suppressAutoHyphens/>
              <w:rPr>
                <w:b/>
                <w:spacing w:val="-2"/>
              </w:rPr>
            </w:pPr>
            <w:r>
              <w:rPr>
                <w:b/>
                <w:spacing w:val="-2"/>
              </w:rPr>
              <w:t>)</w:t>
            </w:r>
          </w:p>
          <w:p w14:paraId="6F22E4AC" w14:textId="77777777" w:rsidR="004C2EE3" w:rsidRDefault="004C2EE3">
            <w:pPr>
              <w:tabs>
                <w:tab w:val="center" w:pos="4680"/>
              </w:tabs>
              <w:suppressAutoHyphens/>
              <w:rPr>
                <w:b/>
                <w:spacing w:val="-2"/>
              </w:rPr>
            </w:pPr>
            <w:r>
              <w:rPr>
                <w:b/>
                <w:spacing w:val="-2"/>
              </w:rPr>
              <w:t>)</w:t>
            </w:r>
          </w:p>
          <w:p w14:paraId="28AB7C09" w14:textId="77777777" w:rsidR="004C2EE3" w:rsidRDefault="004C2EE3">
            <w:pPr>
              <w:tabs>
                <w:tab w:val="center" w:pos="4680"/>
              </w:tabs>
              <w:suppressAutoHyphens/>
              <w:rPr>
                <w:b/>
                <w:spacing w:val="-2"/>
              </w:rPr>
            </w:pPr>
            <w:r>
              <w:rPr>
                <w:b/>
                <w:spacing w:val="-2"/>
              </w:rPr>
              <w:t>)</w:t>
            </w:r>
          </w:p>
          <w:p w14:paraId="55C21CA4" w14:textId="77777777" w:rsidR="004C2EE3" w:rsidRDefault="004C2EE3">
            <w:pPr>
              <w:tabs>
                <w:tab w:val="center" w:pos="4680"/>
              </w:tabs>
              <w:suppressAutoHyphens/>
              <w:rPr>
                <w:b/>
                <w:spacing w:val="-2"/>
              </w:rPr>
            </w:pPr>
            <w:r>
              <w:rPr>
                <w:b/>
                <w:spacing w:val="-2"/>
              </w:rPr>
              <w:t>)</w:t>
            </w:r>
          </w:p>
          <w:p w14:paraId="12D1A256" w14:textId="77777777" w:rsidR="004C2EE3" w:rsidRDefault="004C2EE3">
            <w:pPr>
              <w:tabs>
                <w:tab w:val="center" w:pos="4680"/>
              </w:tabs>
              <w:suppressAutoHyphens/>
              <w:rPr>
                <w:b/>
                <w:spacing w:val="-2"/>
              </w:rPr>
            </w:pPr>
            <w:r>
              <w:rPr>
                <w:b/>
                <w:spacing w:val="-2"/>
              </w:rPr>
              <w:t>)</w:t>
            </w:r>
          </w:p>
          <w:p w14:paraId="0F4D8028" w14:textId="77777777" w:rsidR="004C2EE3" w:rsidRDefault="004C2EE3">
            <w:pPr>
              <w:tabs>
                <w:tab w:val="center" w:pos="4680"/>
              </w:tabs>
              <w:suppressAutoHyphens/>
              <w:rPr>
                <w:b/>
                <w:spacing w:val="-2"/>
              </w:rPr>
            </w:pPr>
            <w:r>
              <w:rPr>
                <w:b/>
                <w:spacing w:val="-2"/>
              </w:rPr>
              <w:t>)</w:t>
            </w:r>
          </w:p>
          <w:p w14:paraId="2B3A39E0" w14:textId="77777777" w:rsidR="007B444C" w:rsidRDefault="007B444C">
            <w:pPr>
              <w:tabs>
                <w:tab w:val="center" w:pos="4680"/>
              </w:tabs>
              <w:suppressAutoHyphens/>
              <w:rPr>
                <w:b/>
                <w:spacing w:val="-2"/>
              </w:rPr>
            </w:pPr>
            <w:r>
              <w:rPr>
                <w:b/>
                <w:spacing w:val="-2"/>
              </w:rPr>
              <w:t>)</w:t>
            </w:r>
          </w:p>
          <w:p w14:paraId="73CB1AD1" w14:textId="77777777" w:rsidR="007B444C" w:rsidRDefault="007B444C">
            <w:pPr>
              <w:tabs>
                <w:tab w:val="center" w:pos="4680"/>
              </w:tabs>
              <w:suppressAutoHyphens/>
              <w:rPr>
                <w:b/>
                <w:spacing w:val="-2"/>
              </w:rPr>
            </w:pPr>
            <w:r>
              <w:rPr>
                <w:b/>
                <w:spacing w:val="-2"/>
              </w:rPr>
              <w:t>)</w:t>
            </w:r>
          </w:p>
          <w:p w14:paraId="51D0B8F7" w14:textId="77777777" w:rsidR="007B444C" w:rsidRDefault="007B444C">
            <w:pPr>
              <w:tabs>
                <w:tab w:val="center" w:pos="4680"/>
              </w:tabs>
              <w:suppressAutoHyphens/>
              <w:rPr>
                <w:b/>
                <w:spacing w:val="-2"/>
              </w:rPr>
            </w:pPr>
            <w:r>
              <w:rPr>
                <w:b/>
                <w:spacing w:val="-2"/>
              </w:rPr>
              <w:t>)</w:t>
            </w:r>
          </w:p>
          <w:p w14:paraId="4F54AB14" w14:textId="77777777" w:rsidR="007B444C" w:rsidRDefault="007B444C">
            <w:pPr>
              <w:tabs>
                <w:tab w:val="center" w:pos="4680"/>
              </w:tabs>
              <w:suppressAutoHyphens/>
              <w:rPr>
                <w:b/>
                <w:spacing w:val="-2"/>
              </w:rPr>
            </w:pPr>
            <w:r>
              <w:rPr>
                <w:b/>
                <w:spacing w:val="-2"/>
              </w:rPr>
              <w:t>)</w:t>
            </w:r>
          </w:p>
          <w:p w14:paraId="7E3405D0" w14:textId="77777777" w:rsidR="007B444C" w:rsidRDefault="007B444C">
            <w:pPr>
              <w:tabs>
                <w:tab w:val="center" w:pos="4680"/>
              </w:tabs>
              <w:suppressAutoHyphens/>
              <w:rPr>
                <w:b/>
                <w:spacing w:val="-2"/>
              </w:rPr>
            </w:pPr>
            <w:r>
              <w:rPr>
                <w:b/>
                <w:spacing w:val="-2"/>
              </w:rPr>
              <w:t>)</w:t>
            </w:r>
          </w:p>
          <w:p w14:paraId="2CCFFDD1" w14:textId="77777777" w:rsidR="007B444C" w:rsidRDefault="007B444C">
            <w:pPr>
              <w:tabs>
                <w:tab w:val="center" w:pos="4680"/>
              </w:tabs>
              <w:suppressAutoHyphens/>
              <w:rPr>
                <w:b/>
                <w:spacing w:val="-2"/>
              </w:rPr>
            </w:pPr>
            <w:r>
              <w:rPr>
                <w:b/>
                <w:spacing w:val="-2"/>
              </w:rPr>
              <w:t>)</w:t>
            </w:r>
          </w:p>
          <w:p w14:paraId="4248FB24" w14:textId="77777777" w:rsidR="007B444C" w:rsidRDefault="007B444C">
            <w:pPr>
              <w:tabs>
                <w:tab w:val="center" w:pos="4680"/>
              </w:tabs>
              <w:suppressAutoHyphens/>
              <w:rPr>
                <w:b/>
                <w:spacing w:val="-2"/>
              </w:rPr>
            </w:pPr>
            <w:r>
              <w:rPr>
                <w:b/>
                <w:spacing w:val="-2"/>
              </w:rPr>
              <w:t>)</w:t>
            </w:r>
          </w:p>
          <w:p w14:paraId="04D7611C" w14:textId="77777777" w:rsidR="007B444C" w:rsidRDefault="007B444C">
            <w:pPr>
              <w:tabs>
                <w:tab w:val="center" w:pos="4680"/>
              </w:tabs>
              <w:suppressAutoHyphens/>
              <w:rPr>
                <w:spacing w:val="-2"/>
              </w:rPr>
            </w:pPr>
            <w:r>
              <w:rPr>
                <w:b/>
                <w:spacing w:val="-2"/>
              </w:rPr>
              <w:t>)</w:t>
            </w:r>
          </w:p>
        </w:tc>
        <w:tc>
          <w:tcPr>
            <w:tcW w:w="4248" w:type="dxa"/>
          </w:tcPr>
          <w:p w14:paraId="55B51828" w14:textId="77777777" w:rsidR="004C2EE3" w:rsidRDefault="004C2EE3">
            <w:pPr>
              <w:tabs>
                <w:tab w:val="center" w:pos="4680"/>
              </w:tabs>
              <w:suppressAutoHyphens/>
              <w:rPr>
                <w:spacing w:val="-2"/>
              </w:rPr>
            </w:pPr>
          </w:p>
          <w:p w14:paraId="1F6C9E16" w14:textId="77777777" w:rsidR="004C2EE3" w:rsidRDefault="004C2EE3">
            <w:pPr>
              <w:pStyle w:val="TOAHeading"/>
              <w:tabs>
                <w:tab w:val="clear" w:pos="9360"/>
                <w:tab w:val="center" w:pos="4680"/>
              </w:tabs>
              <w:rPr>
                <w:spacing w:val="-2"/>
              </w:rPr>
            </w:pPr>
          </w:p>
          <w:p w14:paraId="24F96685" w14:textId="77777777" w:rsidR="007B444C" w:rsidRDefault="007B444C">
            <w:pPr>
              <w:tabs>
                <w:tab w:val="center" w:pos="4680"/>
              </w:tabs>
              <w:suppressAutoHyphens/>
              <w:rPr>
                <w:spacing w:val="-2"/>
              </w:rPr>
            </w:pPr>
          </w:p>
          <w:p w14:paraId="0EDEBC75" w14:textId="77777777" w:rsidR="007B444C" w:rsidRDefault="007B444C">
            <w:pPr>
              <w:tabs>
                <w:tab w:val="center" w:pos="4680"/>
              </w:tabs>
              <w:suppressAutoHyphens/>
              <w:rPr>
                <w:spacing w:val="-2"/>
              </w:rPr>
            </w:pPr>
          </w:p>
          <w:p w14:paraId="11F09A91" w14:textId="77777777" w:rsidR="007B444C" w:rsidRDefault="007B444C">
            <w:pPr>
              <w:tabs>
                <w:tab w:val="center" w:pos="4680"/>
              </w:tabs>
              <w:suppressAutoHyphens/>
              <w:rPr>
                <w:spacing w:val="-2"/>
              </w:rPr>
            </w:pPr>
          </w:p>
          <w:p w14:paraId="566659C8" w14:textId="77777777" w:rsidR="007B444C" w:rsidRDefault="007B444C">
            <w:pPr>
              <w:tabs>
                <w:tab w:val="center" w:pos="4680"/>
              </w:tabs>
              <w:suppressAutoHyphens/>
              <w:rPr>
                <w:spacing w:val="-2"/>
              </w:rPr>
            </w:pPr>
          </w:p>
          <w:p w14:paraId="2F8F34D5" w14:textId="77777777" w:rsidR="007B444C" w:rsidRDefault="007B444C" w:rsidP="007B444C">
            <w:pPr>
              <w:tabs>
                <w:tab w:val="center" w:pos="4680"/>
              </w:tabs>
              <w:suppressAutoHyphens/>
              <w:rPr>
                <w:spacing w:val="-2"/>
              </w:rPr>
            </w:pPr>
            <w:r>
              <w:rPr>
                <w:spacing w:val="-2"/>
              </w:rPr>
              <w:t>File No. BAPFT-20140113ABD</w:t>
            </w:r>
          </w:p>
          <w:p w14:paraId="23EAADCA" w14:textId="77777777" w:rsidR="007B444C" w:rsidRDefault="007B444C">
            <w:pPr>
              <w:tabs>
                <w:tab w:val="center" w:pos="4680"/>
              </w:tabs>
              <w:suppressAutoHyphens/>
              <w:rPr>
                <w:spacing w:val="-2"/>
              </w:rPr>
            </w:pPr>
            <w:r>
              <w:rPr>
                <w:spacing w:val="-2"/>
              </w:rPr>
              <w:t>Facility ID No. 142491</w:t>
            </w:r>
          </w:p>
          <w:p w14:paraId="7D19F320" w14:textId="77777777" w:rsidR="007B444C" w:rsidRDefault="007B444C">
            <w:pPr>
              <w:tabs>
                <w:tab w:val="center" w:pos="4680"/>
              </w:tabs>
              <w:suppressAutoHyphens/>
              <w:rPr>
                <w:spacing w:val="-2"/>
              </w:rPr>
            </w:pPr>
            <w:r>
              <w:rPr>
                <w:spacing w:val="-2"/>
              </w:rPr>
              <w:t>File No. BAPFT-20140113ABE</w:t>
            </w:r>
          </w:p>
          <w:p w14:paraId="6790FD2C" w14:textId="77777777" w:rsidR="007B444C" w:rsidRDefault="007B444C">
            <w:pPr>
              <w:tabs>
                <w:tab w:val="center" w:pos="4680"/>
              </w:tabs>
              <w:suppressAutoHyphens/>
              <w:rPr>
                <w:spacing w:val="-2"/>
              </w:rPr>
            </w:pPr>
            <w:r>
              <w:rPr>
                <w:spacing w:val="-2"/>
              </w:rPr>
              <w:t>Facility ID No. 142745</w:t>
            </w:r>
          </w:p>
          <w:p w14:paraId="404D6636" w14:textId="77777777" w:rsidR="007B444C" w:rsidRDefault="007B444C">
            <w:pPr>
              <w:tabs>
                <w:tab w:val="center" w:pos="4680"/>
              </w:tabs>
              <w:suppressAutoHyphens/>
              <w:rPr>
                <w:spacing w:val="-2"/>
              </w:rPr>
            </w:pPr>
            <w:r>
              <w:rPr>
                <w:spacing w:val="-2"/>
              </w:rPr>
              <w:t>File No. BAPFT-20140113ABF</w:t>
            </w:r>
          </w:p>
          <w:p w14:paraId="74570EAA" w14:textId="77777777" w:rsidR="007B444C" w:rsidRDefault="007B444C">
            <w:pPr>
              <w:tabs>
                <w:tab w:val="center" w:pos="4680"/>
              </w:tabs>
              <w:suppressAutoHyphens/>
              <w:rPr>
                <w:spacing w:val="-2"/>
              </w:rPr>
            </w:pPr>
            <w:r>
              <w:rPr>
                <w:spacing w:val="-2"/>
              </w:rPr>
              <w:t>Facility ID No. 143532</w:t>
            </w:r>
          </w:p>
          <w:p w14:paraId="4ADA82EC" w14:textId="77777777" w:rsidR="007B444C" w:rsidRDefault="007B444C">
            <w:pPr>
              <w:tabs>
                <w:tab w:val="center" w:pos="4680"/>
              </w:tabs>
              <w:suppressAutoHyphens/>
              <w:rPr>
                <w:spacing w:val="-2"/>
              </w:rPr>
            </w:pPr>
            <w:r>
              <w:rPr>
                <w:spacing w:val="-2"/>
              </w:rPr>
              <w:t>File No. BAPFT-20140113ABG</w:t>
            </w:r>
          </w:p>
          <w:p w14:paraId="3BDD789E" w14:textId="77777777" w:rsidR="007B444C" w:rsidRDefault="007B444C">
            <w:pPr>
              <w:tabs>
                <w:tab w:val="center" w:pos="4680"/>
              </w:tabs>
              <w:suppressAutoHyphens/>
              <w:rPr>
                <w:spacing w:val="-2"/>
              </w:rPr>
            </w:pPr>
            <w:r>
              <w:rPr>
                <w:spacing w:val="-2"/>
              </w:rPr>
              <w:t>Facility ID No. 142743</w:t>
            </w:r>
          </w:p>
          <w:p w14:paraId="3A6919EB" w14:textId="77777777" w:rsidR="007B444C" w:rsidRDefault="007B444C">
            <w:pPr>
              <w:tabs>
                <w:tab w:val="center" w:pos="4680"/>
              </w:tabs>
              <w:suppressAutoHyphens/>
              <w:rPr>
                <w:spacing w:val="-2"/>
              </w:rPr>
            </w:pPr>
            <w:r>
              <w:rPr>
                <w:spacing w:val="-2"/>
              </w:rPr>
              <w:t>File No. BAPFT-20140113ABH</w:t>
            </w:r>
          </w:p>
          <w:p w14:paraId="6D142203" w14:textId="77777777" w:rsidR="007B444C" w:rsidRDefault="007B444C">
            <w:pPr>
              <w:tabs>
                <w:tab w:val="center" w:pos="4680"/>
              </w:tabs>
              <w:suppressAutoHyphens/>
              <w:rPr>
                <w:spacing w:val="-2"/>
              </w:rPr>
            </w:pPr>
            <w:r>
              <w:rPr>
                <w:spacing w:val="-2"/>
              </w:rPr>
              <w:t>Facility ID No. 143430</w:t>
            </w:r>
          </w:p>
        </w:tc>
      </w:tr>
    </w:tbl>
    <w:p w14:paraId="4BBF418B" w14:textId="77777777" w:rsidR="0000377B" w:rsidRDefault="0000377B" w:rsidP="00F021FA">
      <w:pPr>
        <w:pStyle w:val="StyleBoldCentered"/>
      </w:pPr>
    </w:p>
    <w:p w14:paraId="03425F0C" w14:textId="77777777" w:rsidR="00841AB1" w:rsidRDefault="003A4615" w:rsidP="00F021FA">
      <w:pPr>
        <w:pStyle w:val="StyleBoldCentered"/>
      </w:pPr>
      <w:r>
        <w:t>memorandum opinion and order</w:t>
      </w:r>
    </w:p>
    <w:p w14:paraId="2444F1E7" w14:textId="77777777" w:rsidR="004C2EE3" w:rsidRDefault="004C2EE3">
      <w:pPr>
        <w:tabs>
          <w:tab w:val="left" w:pos="-720"/>
        </w:tabs>
        <w:suppressAutoHyphens/>
        <w:spacing w:line="227" w:lineRule="auto"/>
        <w:rPr>
          <w:spacing w:val="-2"/>
        </w:rPr>
      </w:pPr>
    </w:p>
    <w:p w14:paraId="0400FAA6" w14:textId="3FD162B0" w:rsidR="004C2EE3" w:rsidRDefault="004C2EE3" w:rsidP="00133F79">
      <w:pPr>
        <w:tabs>
          <w:tab w:val="left" w:pos="720"/>
          <w:tab w:val="right" w:pos="9360"/>
        </w:tabs>
        <w:suppressAutoHyphens/>
        <w:spacing w:line="227" w:lineRule="auto"/>
        <w:rPr>
          <w:spacing w:val="-2"/>
        </w:rPr>
      </w:pPr>
      <w:r>
        <w:rPr>
          <w:b/>
          <w:spacing w:val="-2"/>
        </w:rPr>
        <w:t xml:space="preserve">Adopted:  </w:t>
      </w:r>
      <w:r w:rsidR="002173D5">
        <w:rPr>
          <w:b/>
          <w:spacing w:val="-2"/>
        </w:rPr>
        <w:t>March 30, 2016</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2173D5">
        <w:rPr>
          <w:b/>
          <w:spacing w:val="-2"/>
        </w:rPr>
        <w:t>March 30, 2016</w:t>
      </w:r>
    </w:p>
    <w:p w14:paraId="349C609D" w14:textId="77777777" w:rsidR="00822CE0" w:rsidRDefault="00822CE0"/>
    <w:p w14:paraId="6E332440" w14:textId="77777777" w:rsidR="004C2EE3" w:rsidRDefault="004C2EE3">
      <w:pPr>
        <w:rPr>
          <w:spacing w:val="-2"/>
        </w:rPr>
      </w:pPr>
      <w:r>
        <w:t xml:space="preserve">By </w:t>
      </w:r>
      <w:r w:rsidR="004E4A22">
        <w:t>the</w:t>
      </w:r>
      <w:r w:rsidR="002A2D2E">
        <w:t xml:space="preserve"> </w:t>
      </w:r>
      <w:r w:rsidR="003A4615">
        <w:t>Commission</w:t>
      </w:r>
      <w:r>
        <w:rPr>
          <w:spacing w:val="-2"/>
        </w:rPr>
        <w:t>:</w:t>
      </w:r>
    </w:p>
    <w:p w14:paraId="6D05DA83" w14:textId="77777777" w:rsidR="00412FC5" w:rsidRDefault="00412FC5" w:rsidP="00412FC5"/>
    <w:p w14:paraId="149CD285" w14:textId="77777777" w:rsidR="00DF1CF4" w:rsidRDefault="00130A41" w:rsidP="00130A41">
      <w:pPr>
        <w:pStyle w:val="ParaNum"/>
      </w:pPr>
      <w:r>
        <w:t>We have before us an Application for Review</w:t>
      </w:r>
      <w:r w:rsidR="007B707F">
        <w:t xml:space="preserve"> (“AFR”)</w:t>
      </w:r>
      <w:r>
        <w:t xml:space="preserve"> filed by Amy Meredith (“Meredith”)</w:t>
      </w:r>
      <w:r w:rsidR="007B707F">
        <w:t>, the President of Powell Meredith Communications Company (“PMCC”),</w:t>
      </w:r>
      <w:r>
        <w:t xml:space="preserve"> on December 23, 2014.</w:t>
      </w:r>
      <w:r w:rsidR="001E7FC9">
        <w:rPr>
          <w:rStyle w:val="FootnoteReference"/>
        </w:rPr>
        <w:footnoteReference w:id="2"/>
      </w:r>
      <w:r>
        <w:t xml:space="preserve">  Meredith seeks review of a letter issued by the Media Bureau (“Bureau”).</w:t>
      </w:r>
      <w:r w:rsidR="000D36E5">
        <w:rPr>
          <w:rStyle w:val="FootnoteReference"/>
        </w:rPr>
        <w:footnoteReference w:id="3"/>
      </w:r>
      <w:r>
        <w:t xml:space="preserve">  Therein, the Bureau dismissed as untimely a </w:t>
      </w:r>
      <w:r w:rsidR="007B707F">
        <w:t>Petition for Reconsideration</w:t>
      </w:r>
      <w:r>
        <w:t xml:space="preserve"> </w:t>
      </w:r>
      <w:r w:rsidR="00DF1CF4">
        <w:t xml:space="preserve">(“Petition”) </w:t>
      </w:r>
      <w:r>
        <w:t xml:space="preserve">filed by Meredith, which challenged our grant of applications </w:t>
      </w:r>
      <w:r w:rsidR="00A156E0">
        <w:t xml:space="preserve">(“Applications”) </w:t>
      </w:r>
      <w:r>
        <w:t>for consent to the assignment of the construction permits for five FM translator stations from PMCC</w:t>
      </w:r>
      <w:r w:rsidRPr="00600276">
        <w:t xml:space="preserve"> to </w:t>
      </w:r>
      <w:r>
        <w:t>Community Translator Network, LLC.</w:t>
      </w:r>
      <w:r w:rsidRPr="00600276">
        <w:t xml:space="preserve">  </w:t>
      </w:r>
      <w:r w:rsidR="00DF1CF4">
        <w:t>The Bureau found that Meredith had failed to object to the applications prior to their grant and had not shown good cause for her failure to participate earlier as required by Section 1.106(b)(1) of the Commission’s Rules (“Rules”).</w:t>
      </w:r>
    </w:p>
    <w:p w14:paraId="5F4506C4" w14:textId="6F691E8E" w:rsidR="00950037" w:rsidRDefault="00DF1CF4" w:rsidP="003A4615">
      <w:pPr>
        <w:pStyle w:val="ParaNum"/>
      </w:pPr>
      <w:r>
        <w:t>M</w:t>
      </w:r>
      <w:r w:rsidR="00C36AD4">
        <w:t>eredith first</w:t>
      </w:r>
      <w:r w:rsidR="00CE651C">
        <w:t xml:space="preserve"> </w:t>
      </w:r>
      <w:r w:rsidR="00C36AD4">
        <w:t>argues that she did object to</w:t>
      </w:r>
      <w:r w:rsidR="00C8591F">
        <w:t xml:space="preserve"> </w:t>
      </w:r>
      <w:r w:rsidR="00C36AD4">
        <w:t>the applications prior to their grant.  She attaches to the AFR a letter that is dated January 24, 2014.  The letter appears to be a cover letter</w:t>
      </w:r>
      <w:r w:rsidR="00CE651C">
        <w:t xml:space="preserve"> for an objection</w:t>
      </w:r>
      <w:r w:rsidR="00950037">
        <w:t>.</w:t>
      </w:r>
      <w:r w:rsidR="00C36AD4">
        <w:t xml:space="preserve">  Meredith does not include the </w:t>
      </w:r>
      <w:r w:rsidR="00A156E0">
        <w:t>objection</w:t>
      </w:r>
      <w:r w:rsidR="00C36AD4">
        <w:t xml:space="preserve"> that is referenced in the letter.  Nor does she include a date-stamped copy of the letter.  </w:t>
      </w:r>
      <w:r w:rsidR="00950037">
        <w:t xml:space="preserve">Meredith </w:t>
      </w:r>
      <w:r w:rsidR="00CE651C">
        <w:t>has</w:t>
      </w:r>
      <w:r w:rsidR="00950037">
        <w:t xml:space="preserve"> not produce</w:t>
      </w:r>
      <w:r w:rsidR="00CE651C">
        <w:t>d</w:t>
      </w:r>
      <w:r w:rsidR="00950037">
        <w:t xml:space="preserve"> any evidence to support her allegation that the Commission received the letter </w:t>
      </w:r>
      <w:r w:rsidR="00A156E0">
        <w:t>or the objection</w:t>
      </w:r>
      <w:r w:rsidR="00950037">
        <w:t xml:space="preserve"> prior </w:t>
      </w:r>
      <w:r w:rsidR="00CE651C">
        <w:t xml:space="preserve">to acting upon the Applications.  In addition, </w:t>
      </w:r>
      <w:r w:rsidR="00950037">
        <w:t xml:space="preserve">we can find no record of the letter or </w:t>
      </w:r>
      <w:r w:rsidR="00A156E0">
        <w:t>the objection</w:t>
      </w:r>
      <w:r w:rsidR="00950037">
        <w:t xml:space="preserve"> in the Commission’s electronic consolidated database and we cannot locate a copy of the filing in the Commission’s Reference Information Center</w:t>
      </w:r>
      <w:r w:rsidR="00CE651C">
        <w:t>.</w:t>
      </w:r>
      <w:r w:rsidR="00260412">
        <w:rPr>
          <w:rStyle w:val="FootnoteReference"/>
        </w:rPr>
        <w:footnoteReference w:id="4"/>
      </w:r>
      <w:r w:rsidR="00C8591F">
        <w:t xml:space="preserve">  </w:t>
      </w:r>
      <w:r w:rsidR="00CE651C">
        <w:t xml:space="preserve">Thus, </w:t>
      </w:r>
      <w:r w:rsidR="00950037">
        <w:t xml:space="preserve">we </w:t>
      </w:r>
      <w:r w:rsidR="00502A19">
        <w:t xml:space="preserve">find </w:t>
      </w:r>
      <w:r w:rsidR="00502A19">
        <w:lastRenderedPageBreak/>
        <w:t>that Meredith has not demonstrated that she participated in this proceeding prior to grant of the Applications.</w:t>
      </w:r>
      <w:r w:rsidR="00CE651C" w:rsidRPr="00CE651C">
        <w:rPr>
          <w:rStyle w:val="FootnoteReference"/>
        </w:rPr>
        <w:t xml:space="preserve"> </w:t>
      </w:r>
      <w:r w:rsidR="00CE651C">
        <w:rPr>
          <w:rStyle w:val="FootnoteReference"/>
        </w:rPr>
        <w:footnoteReference w:id="5"/>
      </w:r>
      <w:r w:rsidR="00502A19">
        <w:t xml:space="preserve">  </w:t>
      </w:r>
      <w:r w:rsidR="00950037" w:rsidRPr="00502A19">
        <w:rPr>
          <w:b/>
        </w:rPr>
        <w:t xml:space="preserve">  </w:t>
      </w:r>
    </w:p>
    <w:p w14:paraId="76216DDC" w14:textId="6B2693F9" w:rsidR="00D335FD" w:rsidRDefault="00C36AD4" w:rsidP="00F10DE5">
      <w:pPr>
        <w:pStyle w:val="ParaNum"/>
        <w:ind w:firstLine="630"/>
      </w:pPr>
      <w:r w:rsidRPr="00C36AD4">
        <w:t xml:space="preserve">In the alternative, Meredith appears to argue that she did, in fact, have good cause for failing to participate earlier.  </w:t>
      </w:r>
      <w:r w:rsidR="00D335FD">
        <w:t xml:space="preserve">She argues that CTN engaged in fraud and identity theft in filing the Applications and consummating the assignment of the </w:t>
      </w:r>
      <w:r w:rsidR="00CE651C">
        <w:t xml:space="preserve">five </w:t>
      </w:r>
      <w:r w:rsidR="00D335FD">
        <w:t>construction permits</w:t>
      </w:r>
      <w:r w:rsidR="00CE651C">
        <w:t xml:space="preserve"> from PMCC to CTN</w:t>
      </w:r>
      <w:r w:rsidR="00D335FD">
        <w:t>.</w:t>
      </w:r>
      <w:r w:rsidR="00066AC8">
        <w:rPr>
          <w:rStyle w:val="FootnoteReference"/>
        </w:rPr>
        <w:footnoteReference w:id="6"/>
      </w:r>
      <w:r w:rsidR="00D335FD">
        <w:t xml:space="preserve">  However, she at no point claims that </w:t>
      </w:r>
      <w:r w:rsidR="00E32DC0">
        <w:t>the alleged fraud and identify theft cause</w:t>
      </w:r>
      <w:r w:rsidR="00690812">
        <w:t xml:space="preserve">d </w:t>
      </w:r>
      <w:r w:rsidR="00E32DC0">
        <w:t>her to be</w:t>
      </w:r>
      <w:r w:rsidR="00D335FD">
        <w:t xml:space="preserve"> unaware of the filing of the Applications prior to their grant.</w:t>
      </w:r>
      <w:r w:rsidR="003C4681">
        <w:rPr>
          <w:rStyle w:val="FootnoteReference"/>
        </w:rPr>
        <w:footnoteReference w:id="7"/>
      </w:r>
      <w:r w:rsidR="00D335FD">
        <w:t xml:space="preserve">  </w:t>
      </w:r>
      <w:r w:rsidR="00043A7A">
        <w:t>Further</w:t>
      </w:r>
      <w:r w:rsidR="00066AC8">
        <w:t xml:space="preserve">, while Meredith </w:t>
      </w:r>
      <w:r w:rsidR="00043A7A">
        <w:t>asserts</w:t>
      </w:r>
      <w:r w:rsidR="00066AC8">
        <w:t xml:space="preserve"> that she never received “any sort of notification by mail or email from the [Commission],”</w:t>
      </w:r>
      <w:r w:rsidR="00066AC8">
        <w:rPr>
          <w:rStyle w:val="FootnoteReference"/>
        </w:rPr>
        <w:footnoteReference w:id="8"/>
      </w:r>
      <w:r w:rsidR="00066AC8">
        <w:t xml:space="preserve"> she indicates</w:t>
      </w:r>
      <w:r w:rsidR="00690812">
        <w:t xml:space="preserve"> that she found out about the Applications in January 2014</w:t>
      </w:r>
      <w:r w:rsidR="00E93E19">
        <w:t xml:space="preserve">, </w:t>
      </w:r>
      <w:r w:rsidR="00E93E19" w:rsidRPr="0077248C">
        <w:t>over a month before the applications were granted,</w:t>
      </w:r>
      <w:r w:rsidR="00690812">
        <w:t xml:space="preserve"> through “a trade journal.”</w:t>
      </w:r>
      <w:r w:rsidR="00690812">
        <w:rPr>
          <w:rStyle w:val="FootnoteReference"/>
        </w:rPr>
        <w:footnoteReference w:id="9"/>
      </w:r>
      <w:r w:rsidR="003C4681">
        <w:t xml:space="preserve">  In any event</w:t>
      </w:r>
      <w:r w:rsidR="00F828FF">
        <w:t xml:space="preserve">, we note that the Bureau </w:t>
      </w:r>
      <w:r w:rsidR="00CE651C">
        <w:t>gave</w:t>
      </w:r>
      <w:r w:rsidR="00F828FF">
        <w:t xml:space="preserve"> public notice </w:t>
      </w:r>
      <w:r w:rsidR="00CE651C">
        <w:t>of</w:t>
      </w:r>
      <w:r w:rsidR="00F828FF">
        <w:t xml:space="preserve"> its acceptance of the Applications.</w:t>
      </w:r>
      <w:r w:rsidR="00CE651C">
        <w:rPr>
          <w:rStyle w:val="FootnoteReference"/>
        </w:rPr>
        <w:footnoteReference w:id="10"/>
      </w:r>
      <w:r w:rsidR="00F828FF">
        <w:t xml:space="preserve">  It is well-established that a </w:t>
      </w:r>
      <w:r w:rsidR="009A4519">
        <w:t>“</w:t>
      </w:r>
      <w:r w:rsidR="00F828FF">
        <w:t>would-be petitioner’s lack of actual notice of the pendency of a proceeding does not establish good cause for its failure to participate.</w:t>
      </w:r>
      <w:r w:rsidR="009A4519">
        <w:t>”</w:t>
      </w:r>
      <w:r w:rsidR="00F828FF">
        <w:rPr>
          <w:rStyle w:val="FootnoteReference"/>
          <w:b/>
          <w:bCs/>
        </w:rPr>
        <w:footnoteReference w:id="11"/>
      </w:r>
      <w:r w:rsidR="00F828FF" w:rsidRPr="00043A7A">
        <w:rPr>
          <w:b/>
          <w:bCs/>
        </w:rPr>
        <w:t xml:space="preserve">  </w:t>
      </w:r>
      <w:r w:rsidR="007C06E8">
        <w:t>Accordingly, we</w:t>
      </w:r>
      <w:r w:rsidR="00F828FF">
        <w:t xml:space="preserve"> find Meredith has not demonstrated good cause for her failure to object to the Applications prior to their grant</w:t>
      </w:r>
      <w:r w:rsidR="007C06E8">
        <w:t>.</w:t>
      </w:r>
      <w:r w:rsidR="007B707F">
        <w:t xml:space="preserve">  We affirm the Bureau’s dismissal of her Petition on procedural grounds.</w:t>
      </w:r>
      <w:r w:rsidR="0069307F">
        <w:t xml:space="preserve">  </w:t>
      </w:r>
    </w:p>
    <w:p w14:paraId="05896E64" w14:textId="0CB4D617" w:rsidR="00661623" w:rsidRDefault="00260412" w:rsidP="00F10DE5">
      <w:pPr>
        <w:pStyle w:val="ParaNum"/>
        <w:ind w:firstLine="630"/>
      </w:pPr>
      <w:r>
        <w:t>Finally, Meredith relies on</w:t>
      </w:r>
      <w:r w:rsidR="00661623">
        <w:t xml:space="preserve"> two new arguments, which are impermissible under our procedural rules</w:t>
      </w:r>
      <w:r>
        <w:t xml:space="preserve"> because she did not raise these arguments before the Bureau</w:t>
      </w:r>
      <w:r w:rsidR="00661623">
        <w:t>.</w:t>
      </w:r>
      <w:r>
        <w:rPr>
          <w:rStyle w:val="FootnoteReference"/>
        </w:rPr>
        <w:footnoteReference w:id="12"/>
      </w:r>
      <w:r w:rsidR="00661623">
        <w:t xml:space="preserve">  Thus, we dismiss these portions of the Application for Review.</w:t>
      </w:r>
    </w:p>
    <w:p w14:paraId="7B8076E5" w14:textId="6E098472" w:rsidR="006335AB" w:rsidRPr="00D22B28" w:rsidRDefault="006335AB" w:rsidP="00402718">
      <w:pPr>
        <w:pStyle w:val="ParaNum"/>
        <w:keepNext/>
        <w:keepLines/>
        <w:widowControl/>
        <w:ind w:firstLine="634"/>
      </w:pPr>
      <w:r w:rsidRPr="00D22B28">
        <w:rPr>
          <w:szCs w:val="22"/>
        </w:rPr>
        <w:lastRenderedPageBreak/>
        <w:t xml:space="preserve">ACCORDINGLY, IT IS ORDERED that, pursuant to Section 5(c)(5) of the </w:t>
      </w:r>
      <w:r w:rsidR="00F828FF" w:rsidRPr="00D22B28">
        <w:rPr>
          <w:szCs w:val="22"/>
        </w:rPr>
        <w:t>Communications</w:t>
      </w:r>
      <w:r w:rsidRPr="00D22B28">
        <w:rPr>
          <w:szCs w:val="22"/>
        </w:rPr>
        <w:t xml:space="preserve"> Act of 1934, as amended,</w:t>
      </w:r>
      <w:r w:rsidRPr="003C24C9">
        <w:rPr>
          <w:rStyle w:val="FootnoteReference"/>
          <w:szCs w:val="22"/>
        </w:rPr>
        <w:footnoteReference w:id="13"/>
      </w:r>
      <w:r w:rsidRPr="00D22B28">
        <w:rPr>
          <w:szCs w:val="22"/>
        </w:rPr>
        <w:t xml:space="preserve"> and Section 1.115</w:t>
      </w:r>
      <w:r w:rsidR="00661623">
        <w:rPr>
          <w:szCs w:val="22"/>
        </w:rPr>
        <w:t xml:space="preserve">(c), </w:t>
      </w:r>
      <w:r w:rsidRPr="00D22B28">
        <w:rPr>
          <w:szCs w:val="22"/>
        </w:rPr>
        <w:t>(g) of the Commission’s Rules,</w:t>
      </w:r>
      <w:r w:rsidRPr="003C24C9">
        <w:rPr>
          <w:rStyle w:val="FootnoteReference"/>
          <w:szCs w:val="22"/>
        </w:rPr>
        <w:footnoteReference w:id="14"/>
      </w:r>
      <w:r w:rsidRPr="00D22B28">
        <w:rPr>
          <w:szCs w:val="22"/>
        </w:rPr>
        <w:t xml:space="preserve"> the Application for Review filed by </w:t>
      </w:r>
      <w:r w:rsidR="00A01F85">
        <w:rPr>
          <w:szCs w:val="22"/>
        </w:rPr>
        <w:t>Amy Meredith on December 23, 2014</w:t>
      </w:r>
      <w:r w:rsidRPr="00D22B28">
        <w:rPr>
          <w:szCs w:val="22"/>
        </w:rPr>
        <w:t xml:space="preserve">, IS </w:t>
      </w:r>
      <w:r w:rsidR="00233D71">
        <w:rPr>
          <w:szCs w:val="22"/>
        </w:rPr>
        <w:t xml:space="preserve">DISMISSED to the extent discussed in paragraph 4 above and otherwise IS </w:t>
      </w:r>
      <w:r w:rsidRPr="00D22B28">
        <w:rPr>
          <w:szCs w:val="22"/>
        </w:rPr>
        <w:t>DENIED</w:t>
      </w:r>
      <w:r w:rsidR="00A01F85">
        <w:rPr>
          <w:szCs w:val="22"/>
        </w:rPr>
        <w:t>.</w:t>
      </w:r>
      <w:r w:rsidRPr="00D22B28">
        <w:rPr>
          <w:szCs w:val="22"/>
        </w:rPr>
        <w:t xml:space="preserve"> </w:t>
      </w:r>
    </w:p>
    <w:p w14:paraId="0A5E37A4" w14:textId="77777777" w:rsidR="00D22B28" w:rsidRPr="00D22B28" w:rsidRDefault="00D22B28" w:rsidP="00F10DE5"/>
    <w:p w14:paraId="5B893936" w14:textId="77777777" w:rsidR="00D22B28" w:rsidRDefault="00D22B28" w:rsidP="0017296B">
      <w:r>
        <w:tab/>
      </w:r>
      <w:r>
        <w:tab/>
      </w:r>
      <w:r>
        <w:tab/>
      </w:r>
      <w:r>
        <w:tab/>
      </w:r>
      <w:r>
        <w:tab/>
      </w:r>
      <w:r>
        <w:tab/>
        <w:t>FEDERAL COMMUNICATIONS COMMISSION</w:t>
      </w:r>
    </w:p>
    <w:p w14:paraId="3A64B405" w14:textId="77777777" w:rsidR="00D22B28" w:rsidRDefault="00D22B28" w:rsidP="0017296B"/>
    <w:p w14:paraId="445AF0C5" w14:textId="77777777" w:rsidR="00D22B28" w:rsidRDefault="00D22B28" w:rsidP="0017296B"/>
    <w:p w14:paraId="6FD37DF2" w14:textId="77777777" w:rsidR="00D22B28" w:rsidRDefault="00D22B28" w:rsidP="0017296B"/>
    <w:p w14:paraId="1F939897" w14:textId="77777777" w:rsidR="00D22B28" w:rsidRDefault="00D22B28" w:rsidP="0017296B"/>
    <w:p w14:paraId="7C518D14" w14:textId="77777777" w:rsidR="00D22B28" w:rsidRDefault="00D22B28" w:rsidP="0017296B">
      <w:r>
        <w:tab/>
      </w:r>
      <w:r>
        <w:tab/>
      </w:r>
      <w:r>
        <w:tab/>
      </w:r>
      <w:r>
        <w:tab/>
      </w:r>
      <w:r>
        <w:tab/>
      </w:r>
      <w:r>
        <w:tab/>
        <w:t>Marlene H. Dortch</w:t>
      </w:r>
    </w:p>
    <w:p w14:paraId="5F9E2942" w14:textId="77777777" w:rsidR="00D22B28" w:rsidRPr="00C36AD4" w:rsidRDefault="00D22B28" w:rsidP="00D22B28">
      <w:r>
        <w:tab/>
      </w:r>
      <w:r>
        <w:tab/>
      </w:r>
      <w:r>
        <w:tab/>
      </w:r>
      <w:r>
        <w:tab/>
      </w:r>
      <w:r>
        <w:tab/>
      </w:r>
      <w:r>
        <w:tab/>
        <w:t>Secretary</w:t>
      </w:r>
    </w:p>
    <w:sectPr w:rsidR="00D22B28" w:rsidRPr="00C36AD4"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BBC365" w14:textId="77777777" w:rsidR="002C33F7" w:rsidRDefault="002C33F7">
      <w:pPr>
        <w:spacing w:line="20" w:lineRule="exact"/>
      </w:pPr>
    </w:p>
  </w:endnote>
  <w:endnote w:type="continuationSeparator" w:id="0">
    <w:p w14:paraId="2F2612FC" w14:textId="77777777" w:rsidR="002C33F7" w:rsidRDefault="002C33F7">
      <w:r>
        <w:t xml:space="preserve"> </w:t>
      </w:r>
    </w:p>
  </w:endnote>
  <w:endnote w:type="continuationNotice" w:id="1">
    <w:p w14:paraId="09B0C40B" w14:textId="77777777" w:rsidR="002C33F7" w:rsidRDefault="002C33F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8C859"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1D2AB1BC" w14:textId="77777777"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CAA884" w14:textId="77777777" w:rsidR="00D25FB5" w:rsidRDefault="00D25FB5" w:rsidP="0055614C">
    <w:pPr>
      <w:pStyle w:val="Footer"/>
      <w:framePr w:wrap="around" w:vAnchor="text" w:hAnchor="margin" w:xAlign="center" w:y="1"/>
    </w:pPr>
    <w:r>
      <w:fldChar w:fldCharType="begin"/>
    </w:r>
    <w:r>
      <w:instrText xml:space="preserve">PAGE  </w:instrText>
    </w:r>
    <w:r>
      <w:fldChar w:fldCharType="separate"/>
    </w:r>
    <w:r w:rsidR="00A55F89">
      <w:rPr>
        <w:noProof/>
      </w:rPr>
      <w:t>3</w:t>
    </w:r>
    <w:r>
      <w:fldChar w:fldCharType="end"/>
    </w:r>
  </w:p>
  <w:p w14:paraId="04AF94BE" w14:textId="77777777"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6233BF" w14:textId="77777777"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B3D810" w14:textId="77777777" w:rsidR="002C33F7" w:rsidRDefault="002C33F7">
      <w:r>
        <w:separator/>
      </w:r>
    </w:p>
  </w:footnote>
  <w:footnote w:type="continuationSeparator" w:id="0">
    <w:p w14:paraId="23CD7DD1" w14:textId="77777777" w:rsidR="002C33F7" w:rsidRDefault="002C33F7" w:rsidP="00C721AC">
      <w:pPr>
        <w:spacing w:before="120"/>
        <w:rPr>
          <w:sz w:val="20"/>
        </w:rPr>
      </w:pPr>
      <w:r>
        <w:rPr>
          <w:sz w:val="20"/>
        </w:rPr>
        <w:t xml:space="preserve">(Continued from previous page)  </w:t>
      </w:r>
      <w:r>
        <w:rPr>
          <w:sz w:val="20"/>
        </w:rPr>
        <w:separator/>
      </w:r>
    </w:p>
  </w:footnote>
  <w:footnote w:type="continuationNotice" w:id="1">
    <w:p w14:paraId="1B71C950" w14:textId="77777777" w:rsidR="002C33F7" w:rsidRDefault="002C33F7" w:rsidP="00C721AC">
      <w:pPr>
        <w:jc w:val="right"/>
        <w:rPr>
          <w:sz w:val="20"/>
        </w:rPr>
      </w:pPr>
      <w:r>
        <w:rPr>
          <w:sz w:val="20"/>
        </w:rPr>
        <w:t>(continued….)</w:t>
      </w:r>
    </w:p>
  </w:footnote>
  <w:footnote w:id="2">
    <w:p w14:paraId="17D57A4F" w14:textId="120E019C" w:rsidR="001E7FC9" w:rsidRPr="00B50FF2" w:rsidRDefault="001E7FC9">
      <w:pPr>
        <w:pStyle w:val="FootnoteText"/>
      </w:pPr>
      <w:r>
        <w:rPr>
          <w:rStyle w:val="FootnoteReference"/>
        </w:rPr>
        <w:footnoteRef/>
      </w:r>
      <w:r>
        <w:t xml:space="preserve"> Community Translator Network opposed the AFR on January 13, 2015.</w:t>
      </w:r>
      <w:r w:rsidR="00B50FF2">
        <w:t xml:space="preserve">  Meredith replied on January 16, 2015.  Community Translator Network then filed an additional pleading on January 27, 2015.  This pleading, however, is unauthorized.  </w:t>
      </w:r>
      <w:r w:rsidR="00B50FF2">
        <w:rPr>
          <w:i/>
        </w:rPr>
        <w:t xml:space="preserve">See </w:t>
      </w:r>
      <w:r w:rsidR="00B50FF2">
        <w:t>47 CFR § 1.115(d) (providing only for the filing of applications for review, oppositions to applications for review and replies to oppositions).  Accordingly, we do not consider it.</w:t>
      </w:r>
    </w:p>
  </w:footnote>
  <w:footnote w:id="3">
    <w:p w14:paraId="73C1F4F9" w14:textId="77777777" w:rsidR="000D36E5" w:rsidRPr="000D36E5" w:rsidRDefault="000D36E5">
      <w:pPr>
        <w:pStyle w:val="FootnoteText"/>
      </w:pPr>
      <w:r>
        <w:rPr>
          <w:rStyle w:val="FootnoteReference"/>
        </w:rPr>
        <w:footnoteRef/>
      </w:r>
      <w:r>
        <w:t xml:space="preserve"> </w:t>
      </w:r>
      <w:r>
        <w:rPr>
          <w:i/>
        </w:rPr>
        <w:t>Powell Meredith Communications Co.</w:t>
      </w:r>
      <w:r>
        <w:t>, Letter (MB dated Dec. 15, 2014).</w:t>
      </w:r>
    </w:p>
  </w:footnote>
  <w:footnote w:id="4">
    <w:p w14:paraId="149C7CC1" w14:textId="1218F4C2" w:rsidR="00260412" w:rsidRDefault="00260412">
      <w:pPr>
        <w:pStyle w:val="FootnoteText"/>
      </w:pPr>
      <w:r>
        <w:rPr>
          <w:rStyle w:val="FootnoteReference"/>
        </w:rPr>
        <w:footnoteRef/>
      </w:r>
      <w:r>
        <w:t xml:space="preserve"> </w:t>
      </w:r>
      <w:r w:rsidR="00233D71">
        <w:t xml:space="preserve">Moreover, Meredith admits that she did not object, prior to the grant, to three of the five Applications.  </w:t>
      </w:r>
      <w:r>
        <w:t xml:space="preserve">AFR at 4-5 (stating that the objection allegedly filed in January 2014 sought to rescind only two of the five </w:t>
      </w:r>
      <w:r w:rsidR="00233D71">
        <w:t>Applications and asserting</w:t>
      </w:r>
      <w:r>
        <w:t xml:space="preserve"> that PMCC submitted this filing after reaching an agreement with CTN that three of the translators should be assigned to CTN).</w:t>
      </w:r>
    </w:p>
  </w:footnote>
  <w:footnote w:id="5">
    <w:p w14:paraId="72DFF136" w14:textId="17AD5047" w:rsidR="00CE651C" w:rsidRPr="008050C7" w:rsidRDefault="00CE651C" w:rsidP="00CE651C">
      <w:pPr>
        <w:pStyle w:val="FootnoteText"/>
      </w:pPr>
      <w:r>
        <w:rPr>
          <w:rStyle w:val="FootnoteReference"/>
        </w:rPr>
        <w:footnoteRef/>
      </w:r>
      <w:r>
        <w:t xml:space="preserve"> </w:t>
      </w:r>
      <w:r>
        <w:rPr>
          <w:i/>
        </w:rPr>
        <w:t>See</w:t>
      </w:r>
      <w:r w:rsidR="00A60C0F">
        <w:rPr>
          <w:i/>
        </w:rPr>
        <w:t>, e.g.,</w:t>
      </w:r>
      <w:r>
        <w:rPr>
          <w:i/>
        </w:rPr>
        <w:t xml:space="preserve"> Green Valley Broadcasters, Inc.</w:t>
      </w:r>
      <w:r>
        <w:t>, Memorandum Opinion and Order, 19 FCC Rcd 13341</w:t>
      </w:r>
      <w:r w:rsidR="00A60C0F">
        <w:t xml:space="preserve">, 13344 </w:t>
      </w:r>
      <w:r w:rsidR="00B92456">
        <w:t>para.</w:t>
      </w:r>
      <w:r w:rsidR="00A60C0F">
        <w:t xml:space="preserve"> 7</w:t>
      </w:r>
      <w:r>
        <w:t xml:space="preserve"> (2004) (</w:t>
      </w:r>
      <w:r w:rsidR="00A156E0">
        <w:t xml:space="preserve">finding </w:t>
      </w:r>
      <w:r w:rsidR="00A60C0F">
        <w:t xml:space="preserve">a </w:t>
      </w:r>
      <w:r w:rsidR="00A156E0">
        <w:t xml:space="preserve">subjective belief that a document was submitted to be immaterial and noting </w:t>
      </w:r>
      <w:r w:rsidR="00A60C0F">
        <w:t>that, where the Commission has no record of  the document, it g</w:t>
      </w:r>
      <w:r w:rsidR="00A156E0">
        <w:t xml:space="preserve">enerally requires submission of a date-stamped copy of before it will conclude that the document was </w:t>
      </w:r>
      <w:r w:rsidR="00A60C0F">
        <w:t xml:space="preserve">received); </w:t>
      </w:r>
      <w:r>
        <w:rPr>
          <w:i/>
        </w:rPr>
        <w:t>WMCB-LP, Green field, MA</w:t>
      </w:r>
      <w:r>
        <w:t xml:space="preserve">, Letter, 25 FCC Rcd 14172, 14173 n.13 (MB 2010) (refusing to consider an objection that objector claimed was filed on a particular date where the Commission’s electronic database had “no record of the filing” and the staff could not “locate a date-stamped copy of [the] filing in the Commission’s Reference </w:t>
      </w:r>
      <w:r w:rsidRPr="008050C7">
        <w:t>Information Center”).</w:t>
      </w:r>
    </w:p>
  </w:footnote>
  <w:footnote w:id="6">
    <w:p w14:paraId="14358F18" w14:textId="77777777" w:rsidR="00066AC8" w:rsidRDefault="00066AC8">
      <w:pPr>
        <w:pStyle w:val="FootnoteText"/>
      </w:pPr>
      <w:r>
        <w:rPr>
          <w:rStyle w:val="FootnoteReference"/>
        </w:rPr>
        <w:footnoteRef/>
      </w:r>
      <w:r>
        <w:t xml:space="preserve"> AFR at </w:t>
      </w:r>
      <w:r w:rsidR="00E5361B">
        <w:t>3.</w:t>
      </w:r>
    </w:p>
  </w:footnote>
  <w:footnote w:id="7">
    <w:p w14:paraId="65BF438A" w14:textId="6FAA5DC1" w:rsidR="003C4681" w:rsidRPr="003C4681" w:rsidRDefault="003C4681">
      <w:pPr>
        <w:pStyle w:val="FootnoteText"/>
      </w:pPr>
      <w:r>
        <w:rPr>
          <w:rStyle w:val="FootnoteReference"/>
        </w:rPr>
        <w:footnoteRef/>
      </w:r>
      <w:r>
        <w:t xml:space="preserve"> Meredith </w:t>
      </w:r>
      <w:r w:rsidR="000C1BAA">
        <w:t>also</w:t>
      </w:r>
      <w:r>
        <w:t xml:space="preserve"> argue</w:t>
      </w:r>
      <w:r w:rsidR="000C1BAA">
        <w:t>s</w:t>
      </w:r>
      <w:r>
        <w:t xml:space="preserve"> that, given the alleged fraud, she “should have been given a longer time to file a petition to deny.”  AFR at 4. Had Meredith wished to make such an argument, she should have made it in a motion for extension of time and should have done so prior to the deadline for filing petitions to deny the Applications. </w:t>
      </w:r>
      <w:r>
        <w:rPr>
          <w:i/>
        </w:rPr>
        <w:t xml:space="preserve">See </w:t>
      </w:r>
      <w:r>
        <w:t xml:space="preserve">47 CFR § 1.46. </w:t>
      </w:r>
    </w:p>
  </w:footnote>
  <w:footnote w:id="8">
    <w:p w14:paraId="758EEB55" w14:textId="77777777" w:rsidR="00066AC8" w:rsidRDefault="00066AC8">
      <w:pPr>
        <w:pStyle w:val="FootnoteText"/>
      </w:pPr>
      <w:r>
        <w:rPr>
          <w:rStyle w:val="FootnoteReference"/>
        </w:rPr>
        <w:footnoteRef/>
      </w:r>
      <w:r>
        <w:t xml:space="preserve"> AFR at 11.</w:t>
      </w:r>
    </w:p>
  </w:footnote>
  <w:footnote w:id="9">
    <w:p w14:paraId="06E712CB" w14:textId="77777777" w:rsidR="00690812" w:rsidRDefault="00690812">
      <w:pPr>
        <w:pStyle w:val="FootnoteText"/>
      </w:pPr>
      <w:r>
        <w:rPr>
          <w:rStyle w:val="FootnoteReference"/>
        </w:rPr>
        <w:footnoteRef/>
      </w:r>
      <w:r>
        <w:t xml:space="preserve"> AFR at 4.</w:t>
      </w:r>
    </w:p>
  </w:footnote>
  <w:footnote w:id="10">
    <w:p w14:paraId="69C8B369" w14:textId="5560454E" w:rsidR="00CE651C" w:rsidRPr="00CE651C" w:rsidRDefault="00CE651C">
      <w:pPr>
        <w:pStyle w:val="FootnoteText"/>
      </w:pPr>
      <w:r>
        <w:rPr>
          <w:rStyle w:val="FootnoteReference"/>
        </w:rPr>
        <w:footnoteRef/>
      </w:r>
      <w:r>
        <w:t xml:space="preserve"> </w:t>
      </w:r>
      <w:r>
        <w:rPr>
          <w:i/>
        </w:rPr>
        <w:t xml:space="preserve">Broadcast Applications, </w:t>
      </w:r>
      <w:r w:rsidR="00A01F85">
        <w:t xml:space="preserve">Public Notice, </w:t>
      </w:r>
      <w:r>
        <w:t xml:space="preserve">Report No. </w:t>
      </w:r>
      <w:r w:rsidR="00A01F85">
        <w:t>28157</w:t>
      </w:r>
      <w:r>
        <w:t xml:space="preserve"> (MB </w:t>
      </w:r>
      <w:r w:rsidR="00A01F85">
        <w:t>Jan 16, 2014).</w:t>
      </w:r>
    </w:p>
  </w:footnote>
  <w:footnote w:id="11">
    <w:p w14:paraId="5397AFCA" w14:textId="722F181A" w:rsidR="00F828FF" w:rsidRPr="008050C7" w:rsidRDefault="00F828FF" w:rsidP="00F828FF">
      <w:pPr>
        <w:pStyle w:val="FootnoteText"/>
      </w:pPr>
      <w:r w:rsidRPr="008050C7">
        <w:rPr>
          <w:rStyle w:val="FootnoteReference"/>
        </w:rPr>
        <w:footnoteRef/>
      </w:r>
      <w:r w:rsidRPr="008050C7">
        <w:t xml:space="preserve"> </w:t>
      </w:r>
      <w:r w:rsidRPr="008050C7">
        <w:rPr>
          <w:i/>
          <w:iCs/>
          <w:snapToGrid w:val="0"/>
          <w:kern w:val="28"/>
        </w:rPr>
        <w:t>See</w:t>
      </w:r>
      <w:r w:rsidR="009A4519" w:rsidRPr="008050C7">
        <w:rPr>
          <w:i/>
          <w:iCs/>
          <w:snapToGrid w:val="0"/>
          <w:kern w:val="28"/>
        </w:rPr>
        <w:t xml:space="preserve"> </w:t>
      </w:r>
      <w:r w:rsidR="00FE1880" w:rsidRPr="008050C7">
        <w:rPr>
          <w:i/>
          <w:iCs/>
          <w:snapToGrid w:val="0"/>
          <w:kern w:val="28"/>
        </w:rPr>
        <w:t>Pamplin Broadcasting, Inc.</w:t>
      </w:r>
      <w:r w:rsidR="00FE1880" w:rsidRPr="008050C7">
        <w:rPr>
          <w:iCs/>
          <w:snapToGrid w:val="0"/>
          <w:kern w:val="28"/>
        </w:rPr>
        <w:t xml:space="preserve">, Memorandum Opinion </w:t>
      </w:r>
      <w:r w:rsidR="00B92456">
        <w:rPr>
          <w:iCs/>
          <w:snapToGrid w:val="0"/>
          <w:kern w:val="28"/>
        </w:rPr>
        <w:t>and Order, 23 FCC Rcd 649, 654 para.</w:t>
      </w:r>
      <w:r w:rsidR="00FE1880" w:rsidRPr="008050C7">
        <w:rPr>
          <w:iCs/>
          <w:snapToGrid w:val="0"/>
          <w:kern w:val="28"/>
        </w:rPr>
        <w:t xml:space="preserve"> 12 (2008)</w:t>
      </w:r>
      <w:r w:rsidR="009A4519" w:rsidRPr="008050C7">
        <w:rPr>
          <w:iCs/>
          <w:snapToGrid w:val="0"/>
          <w:kern w:val="28"/>
        </w:rPr>
        <w:t xml:space="preserve">.  </w:t>
      </w:r>
      <w:r w:rsidR="009A4519" w:rsidRPr="008050C7">
        <w:rPr>
          <w:i/>
          <w:iCs/>
          <w:snapToGrid w:val="0"/>
          <w:kern w:val="28"/>
        </w:rPr>
        <w:t>See also Northwest Broadcasting, Inc.</w:t>
      </w:r>
      <w:r w:rsidR="009A4519" w:rsidRPr="008050C7">
        <w:rPr>
          <w:iCs/>
          <w:snapToGrid w:val="0"/>
          <w:kern w:val="28"/>
        </w:rPr>
        <w:t xml:space="preserve">, Memorandum Opinion and Order, 12 FCC Rcd 3289, 3291 </w:t>
      </w:r>
      <w:r w:rsidR="00B92456">
        <w:rPr>
          <w:iCs/>
          <w:snapToGrid w:val="0"/>
          <w:kern w:val="28"/>
        </w:rPr>
        <w:t>para.</w:t>
      </w:r>
      <w:r w:rsidR="009A4519" w:rsidRPr="008050C7">
        <w:rPr>
          <w:iCs/>
          <w:snapToGrid w:val="0"/>
          <w:kern w:val="28"/>
        </w:rPr>
        <w:t xml:space="preserve"> 6 (1997) (noting that staff action on the applications at issue was </w:t>
      </w:r>
      <w:r w:rsidR="008050C7">
        <w:rPr>
          <w:iCs/>
          <w:snapToGrid w:val="0"/>
          <w:kern w:val="28"/>
        </w:rPr>
        <w:t>“</w:t>
      </w:r>
      <w:r w:rsidR="009A4519" w:rsidRPr="008050C7">
        <w:rPr>
          <w:iCs/>
          <w:snapToGrid w:val="0"/>
          <w:kern w:val="28"/>
        </w:rPr>
        <w:t>preceded by public notice</w:t>
      </w:r>
      <w:r w:rsidR="008050C7">
        <w:rPr>
          <w:iCs/>
          <w:snapToGrid w:val="0"/>
          <w:kern w:val="28"/>
        </w:rPr>
        <w:t>”</w:t>
      </w:r>
      <w:r w:rsidR="009A4519" w:rsidRPr="008050C7">
        <w:rPr>
          <w:iCs/>
          <w:snapToGrid w:val="0"/>
          <w:kern w:val="28"/>
        </w:rPr>
        <w:t xml:space="preserve"> and </w:t>
      </w:r>
      <w:r w:rsidR="008050C7">
        <w:rPr>
          <w:iCs/>
          <w:snapToGrid w:val="0"/>
          <w:kern w:val="28"/>
        </w:rPr>
        <w:t>finding therefore that</w:t>
      </w:r>
      <w:r w:rsidR="009A4519" w:rsidRPr="008050C7">
        <w:rPr>
          <w:iCs/>
          <w:snapToGrid w:val="0"/>
          <w:kern w:val="28"/>
        </w:rPr>
        <w:t xml:space="preserve"> staff </w:t>
      </w:r>
      <w:r w:rsidR="008050C7">
        <w:rPr>
          <w:iCs/>
          <w:snapToGrid w:val="0"/>
          <w:kern w:val="28"/>
        </w:rPr>
        <w:t>“was correct to dismiss procedurally a request for reconsideration from a non-participant”)</w:t>
      </w:r>
      <w:r w:rsidR="00CF53AF">
        <w:rPr>
          <w:iCs/>
          <w:snapToGrid w:val="0"/>
          <w:kern w:val="28"/>
        </w:rPr>
        <w:t xml:space="preserve">, </w:t>
      </w:r>
      <w:r w:rsidR="00CF53AF">
        <w:rPr>
          <w:i/>
          <w:iCs/>
          <w:snapToGrid w:val="0"/>
          <w:kern w:val="28"/>
        </w:rPr>
        <w:t>aff’d sub nom. M</w:t>
      </w:r>
      <w:r w:rsidR="00FD2F47">
        <w:rPr>
          <w:i/>
          <w:iCs/>
          <w:snapToGrid w:val="0"/>
          <w:kern w:val="28"/>
        </w:rPr>
        <w:t xml:space="preserve">ontierth </w:t>
      </w:r>
      <w:r w:rsidR="00CF53AF">
        <w:rPr>
          <w:i/>
          <w:iCs/>
          <w:snapToGrid w:val="0"/>
          <w:kern w:val="28"/>
        </w:rPr>
        <w:t>v. FCC</w:t>
      </w:r>
      <w:r w:rsidR="00CF53AF">
        <w:rPr>
          <w:iCs/>
          <w:snapToGrid w:val="0"/>
          <w:kern w:val="28"/>
        </w:rPr>
        <w:t>, 159 F.3d 636 (D.C. Cir. 1998) (unpublished)</w:t>
      </w:r>
      <w:r w:rsidR="008050C7" w:rsidRPr="008050C7">
        <w:rPr>
          <w:iCs/>
          <w:snapToGrid w:val="0"/>
          <w:kern w:val="28"/>
        </w:rPr>
        <w:t>.</w:t>
      </w:r>
    </w:p>
  </w:footnote>
  <w:footnote w:id="12">
    <w:p w14:paraId="1085DC91" w14:textId="72F3FE15" w:rsidR="00260412" w:rsidRDefault="00260412">
      <w:pPr>
        <w:pStyle w:val="FootnoteText"/>
      </w:pPr>
      <w:r>
        <w:rPr>
          <w:rStyle w:val="FootnoteReference"/>
        </w:rPr>
        <w:footnoteRef/>
      </w:r>
      <w:r>
        <w:t xml:space="preserve"> 47 CFR § 1.115(c). Meredith alleges that (1) staff’s actions in this matter were based on gender discrimination and (2) PMCC’s account with the Commission was in red light status due to unpaid filing fees, and the applications therefore should not have been processed.  AFR at 6, 8</w:t>
      </w:r>
      <w:r w:rsidR="009851C8">
        <w:t>.</w:t>
      </w:r>
    </w:p>
  </w:footnote>
  <w:footnote w:id="13">
    <w:p w14:paraId="7D3FC0C1" w14:textId="77777777" w:rsidR="006335AB" w:rsidRPr="00EC5899" w:rsidRDefault="006335AB" w:rsidP="006335AB">
      <w:pPr>
        <w:pStyle w:val="FootnoteText"/>
        <w:spacing w:after="200"/>
      </w:pPr>
      <w:r w:rsidRPr="00EC5899">
        <w:rPr>
          <w:rStyle w:val="FootnoteReference"/>
        </w:rPr>
        <w:footnoteRef/>
      </w:r>
      <w:r w:rsidRPr="00EC5899">
        <w:t xml:space="preserve"> 47 U.S.C. § 155(c)(5).</w:t>
      </w:r>
    </w:p>
  </w:footnote>
  <w:footnote w:id="14">
    <w:p w14:paraId="11D2AD4B" w14:textId="5E50ED90" w:rsidR="006335AB" w:rsidRPr="00EC5899" w:rsidRDefault="006335AB" w:rsidP="008050C7">
      <w:pPr>
        <w:pStyle w:val="FootnoteText"/>
      </w:pPr>
      <w:r w:rsidRPr="00EC5899">
        <w:rPr>
          <w:rStyle w:val="FootnoteReference"/>
        </w:rPr>
        <w:footnoteRef/>
      </w:r>
      <w:r w:rsidRPr="00EC5899">
        <w:t xml:space="preserve"> 47 CFR § 1.115</w:t>
      </w:r>
      <w:r w:rsidR="00260412">
        <w:t xml:space="preserve">(c), </w:t>
      </w:r>
      <w:r w:rsidRPr="00EC5899">
        <w:t>(g).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ABA47B" w14:textId="77777777" w:rsidR="00395319" w:rsidRDefault="003953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686CFD" w14:textId="6099F740" w:rsidR="00D25FB5" w:rsidRDefault="00D25FB5" w:rsidP="00810B6F">
    <w:pPr>
      <w:pStyle w:val="Header"/>
      <w:rPr>
        <w:b w:val="0"/>
      </w:rPr>
    </w:pPr>
    <w:r>
      <w:tab/>
      <w:t>Federal Communications Commission</w:t>
    </w:r>
    <w:r>
      <w:tab/>
    </w:r>
    <w:r w:rsidR="00E30C86">
      <w:t>FCC 1</w:t>
    </w:r>
    <w:r w:rsidR="009549B5">
      <w:t>6</w:t>
    </w:r>
    <w:r w:rsidR="00A01757">
      <w:t>-40</w:t>
    </w:r>
  </w:p>
  <w:p w14:paraId="072A169B" w14:textId="34E52232" w:rsidR="00D25FB5" w:rsidRDefault="00156EAE">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797C2F74" wp14:editId="1948C5D5">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519CE6C"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680FC" w14:textId="3F6B2F47" w:rsidR="00D25FB5" w:rsidRDefault="00156EAE" w:rsidP="00810B6F">
    <w:pPr>
      <w:pStyle w:val="Header"/>
      <w:rPr>
        <w:b w:val="0"/>
      </w:rPr>
    </w:pPr>
    <w:r>
      <w:rPr>
        <w:noProof/>
        <w:snapToGrid/>
      </w:rPr>
      <mc:AlternateContent>
        <mc:Choice Requires="wps">
          <w:drawing>
            <wp:anchor distT="0" distB="0" distL="114300" distR="114300" simplePos="0" relativeHeight="251658240" behindDoc="1" locked="0" layoutInCell="0" allowOverlap="1" wp14:anchorId="2C3567A2" wp14:editId="6A6BC9BD">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AB713E8"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3A4615">
      <w:rPr>
        <w:spacing w:val="-2"/>
      </w:rPr>
      <w:t>FCC 1</w:t>
    </w:r>
    <w:r w:rsidR="009549B5">
      <w:rPr>
        <w:spacing w:val="-2"/>
      </w:rPr>
      <w:t>6</w:t>
    </w:r>
    <w:r w:rsidR="00A01757">
      <w:rPr>
        <w:spacing w:val="-2"/>
      </w:rPr>
      <w:t>-40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7E8"/>
    <w:rsid w:val="0000377B"/>
    <w:rsid w:val="00036039"/>
    <w:rsid w:val="00037F90"/>
    <w:rsid w:val="00043A7A"/>
    <w:rsid w:val="00066AC8"/>
    <w:rsid w:val="000875BF"/>
    <w:rsid w:val="00096D8C"/>
    <w:rsid w:val="00097224"/>
    <w:rsid w:val="000A208B"/>
    <w:rsid w:val="000B3E61"/>
    <w:rsid w:val="000C0B65"/>
    <w:rsid w:val="000C1BAA"/>
    <w:rsid w:val="000D36E5"/>
    <w:rsid w:val="000D5817"/>
    <w:rsid w:val="000E05FE"/>
    <w:rsid w:val="000E3D42"/>
    <w:rsid w:val="00122BD5"/>
    <w:rsid w:val="00130A41"/>
    <w:rsid w:val="00130BDE"/>
    <w:rsid w:val="00133F79"/>
    <w:rsid w:val="00156EAE"/>
    <w:rsid w:val="001674EB"/>
    <w:rsid w:val="0018239B"/>
    <w:rsid w:val="00194A66"/>
    <w:rsid w:val="001C721F"/>
    <w:rsid w:val="001C7D76"/>
    <w:rsid w:val="001D6BCF"/>
    <w:rsid w:val="001E01CA"/>
    <w:rsid w:val="001E7FC9"/>
    <w:rsid w:val="002173D5"/>
    <w:rsid w:val="00222EB8"/>
    <w:rsid w:val="00223507"/>
    <w:rsid w:val="00233D71"/>
    <w:rsid w:val="00260412"/>
    <w:rsid w:val="00275CF5"/>
    <w:rsid w:val="0028301F"/>
    <w:rsid w:val="00285017"/>
    <w:rsid w:val="002A2D2E"/>
    <w:rsid w:val="002C00E8"/>
    <w:rsid w:val="002C0CC4"/>
    <w:rsid w:val="002C33F7"/>
    <w:rsid w:val="002D0144"/>
    <w:rsid w:val="002D5BDF"/>
    <w:rsid w:val="002E2186"/>
    <w:rsid w:val="00343749"/>
    <w:rsid w:val="003438DF"/>
    <w:rsid w:val="003514EC"/>
    <w:rsid w:val="00356588"/>
    <w:rsid w:val="003660ED"/>
    <w:rsid w:val="003801D0"/>
    <w:rsid w:val="00395319"/>
    <w:rsid w:val="003A4615"/>
    <w:rsid w:val="003B0550"/>
    <w:rsid w:val="003B694F"/>
    <w:rsid w:val="003C4681"/>
    <w:rsid w:val="003D4958"/>
    <w:rsid w:val="003F171C"/>
    <w:rsid w:val="00402718"/>
    <w:rsid w:val="00412FC5"/>
    <w:rsid w:val="00422276"/>
    <w:rsid w:val="004242F1"/>
    <w:rsid w:val="00445A00"/>
    <w:rsid w:val="00450F41"/>
    <w:rsid w:val="00451B0F"/>
    <w:rsid w:val="00490BEB"/>
    <w:rsid w:val="004A433F"/>
    <w:rsid w:val="004C2EE3"/>
    <w:rsid w:val="004E4A22"/>
    <w:rsid w:val="00502A19"/>
    <w:rsid w:val="0050409E"/>
    <w:rsid w:val="00511968"/>
    <w:rsid w:val="0055614C"/>
    <w:rsid w:val="00561780"/>
    <w:rsid w:val="005832F6"/>
    <w:rsid w:val="005B7997"/>
    <w:rsid w:val="005C75A2"/>
    <w:rsid w:val="005E14C2"/>
    <w:rsid w:val="00607BA5"/>
    <w:rsid w:val="0061180A"/>
    <w:rsid w:val="00626EB6"/>
    <w:rsid w:val="00632740"/>
    <w:rsid w:val="006335AB"/>
    <w:rsid w:val="00635F3E"/>
    <w:rsid w:val="00655D03"/>
    <w:rsid w:val="00661623"/>
    <w:rsid w:val="00683388"/>
    <w:rsid w:val="00683F84"/>
    <w:rsid w:val="00690812"/>
    <w:rsid w:val="0069307F"/>
    <w:rsid w:val="006A6A81"/>
    <w:rsid w:val="006A7A62"/>
    <w:rsid w:val="006B571D"/>
    <w:rsid w:val="006F7393"/>
    <w:rsid w:val="0070224F"/>
    <w:rsid w:val="007046E8"/>
    <w:rsid w:val="007115F7"/>
    <w:rsid w:val="00767476"/>
    <w:rsid w:val="0077248C"/>
    <w:rsid w:val="0077663D"/>
    <w:rsid w:val="00785689"/>
    <w:rsid w:val="00793044"/>
    <w:rsid w:val="0079754B"/>
    <w:rsid w:val="007A1E6D"/>
    <w:rsid w:val="007B0EB2"/>
    <w:rsid w:val="007B444C"/>
    <w:rsid w:val="007B707F"/>
    <w:rsid w:val="007C06E8"/>
    <w:rsid w:val="007D68DA"/>
    <w:rsid w:val="008050C7"/>
    <w:rsid w:val="00810B6F"/>
    <w:rsid w:val="00822CE0"/>
    <w:rsid w:val="00841AB1"/>
    <w:rsid w:val="00864DCB"/>
    <w:rsid w:val="008749F2"/>
    <w:rsid w:val="008C59EE"/>
    <w:rsid w:val="008C68F1"/>
    <w:rsid w:val="008F1B12"/>
    <w:rsid w:val="00921803"/>
    <w:rsid w:val="00922239"/>
    <w:rsid w:val="00926503"/>
    <w:rsid w:val="00950037"/>
    <w:rsid w:val="009549B5"/>
    <w:rsid w:val="009726D8"/>
    <w:rsid w:val="009851C8"/>
    <w:rsid w:val="00994264"/>
    <w:rsid w:val="009A4519"/>
    <w:rsid w:val="009E452A"/>
    <w:rsid w:val="009F76DB"/>
    <w:rsid w:val="009F7C42"/>
    <w:rsid w:val="00A01757"/>
    <w:rsid w:val="00A01F85"/>
    <w:rsid w:val="00A156E0"/>
    <w:rsid w:val="00A32C3B"/>
    <w:rsid w:val="00A45F4F"/>
    <w:rsid w:val="00A55F89"/>
    <w:rsid w:val="00A600A9"/>
    <w:rsid w:val="00A60C0F"/>
    <w:rsid w:val="00AA55B7"/>
    <w:rsid w:val="00AA5B9E"/>
    <w:rsid w:val="00AB2407"/>
    <w:rsid w:val="00AB46CF"/>
    <w:rsid w:val="00AB53DF"/>
    <w:rsid w:val="00AC2C15"/>
    <w:rsid w:val="00AF036E"/>
    <w:rsid w:val="00B07E5C"/>
    <w:rsid w:val="00B25ACF"/>
    <w:rsid w:val="00B3285B"/>
    <w:rsid w:val="00B50FF2"/>
    <w:rsid w:val="00B65D09"/>
    <w:rsid w:val="00B80C73"/>
    <w:rsid w:val="00B811F7"/>
    <w:rsid w:val="00B92456"/>
    <w:rsid w:val="00BA0DA2"/>
    <w:rsid w:val="00BA5DC6"/>
    <w:rsid w:val="00BA6196"/>
    <w:rsid w:val="00BC2C21"/>
    <w:rsid w:val="00BC6D8C"/>
    <w:rsid w:val="00BF4F04"/>
    <w:rsid w:val="00C2741F"/>
    <w:rsid w:val="00C34006"/>
    <w:rsid w:val="00C36AD4"/>
    <w:rsid w:val="00C426B1"/>
    <w:rsid w:val="00C4671E"/>
    <w:rsid w:val="00C470C9"/>
    <w:rsid w:val="00C57DE8"/>
    <w:rsid w:val="00C66160"/>
    <w:rsid w:val="00C721AC"/>
    <w:rsid w:val="00C8591F"/>
    <w:rsid w:val="00C86751"/>
    <w:rsid w:val="00C90D6A"/>
    <w:rsid w:val="00CA247E"/>
    <w:rsid w:val="00CC3DDE"/>
    <w:rsid w:val="00CC72B6"/>
    <w:rsid w:val="00CD65AD"/>
    <w:rsid w:val="00CE6128"/>
    <w:rsid w:val="00CE651C"/>
    <w:rsid w:val="00CF53AF"/>
    <w:rsid w:val="00D00252"/>
    <w:rsid w:val="00D0218D"/>
    <w:rsid w:val="00D0688A"/>
    <w:rsid w:val="00D22B28"/>
    <w:rsid w:val="00D25FB5"/>
    <w:rsid w:val="00D26C23"/>
    <w:rsid w:val="00D335FD"/>
    <w:rsid w:val="00D3543D"/>
    <w:rsid w:val="00D44223"/>
    <w:rsid w:val="00D54E14"/>
    <w:rsid w:val="00D67CD9"/>
    <w:rsid w:val="00D753CD"/>
    <w:rsid w:val="00DA2529"/>
    <w:rsid w:val="00DB130A"/>
    <w:rsid w:val="00DB2EBB"/>
    <w:rsid w:val="00DC10A1"/>
    <w:rsid w:val="00DC655F"/>
    <w:rsid w:val="00DD0B59"/>
    <w:rsid w:val="00DD7EBD"/>
    <w:rsid w:val="00DF1CF4"/>
    <w:rsid w:val="00DF62B6"/>
    <w:rsid w:val="00E07225"/>
    <w:rsid w:val="00E30C86"/>
    <w:rsid w:val="00E32DC0"/>
    <w:rsid w:val="00E5192C"/>
    <w:rsid w:val="00E5361B"/>
    <w:rsid w:val="00E5409F"/>
    <w:rsid w:val="00E873A1"/>
    <w:rsid w:val="00E93E19"/>
    <w:rsid w:val="00E97FE3"/>
    <w:rsid w:val="00EB63B4"/>
    <w:rsid w:val="00EE6488"/>
    <w:rsid w:val="00F021FA"/>
    <w:rsid w:val="00F10DE5"/>
    <w:rsid w:val="00F62E97"/>
    <w:rsid w:val="00F64209"/>
    <w:rsid w:val="00F702CE"/>
    <w:rsid w:val="00F71927"/>
    <w:rsid w:val="00F828FF"/>
    <w:rsid w:val="00F93BF5"/>
    <w:rsid w:val="00FA6813"/>
    <w:rsid w:val="00FC27E8"/>
    <w:rsid w:val="00FD2F47"/>
    <w:rsid w:val="00FE1880"/>
    <w:rsid w:val="00FF7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38CF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F89"/>
    <w:pPr>
      <w:widowControl w:val="0"/>
    </w:pPr>
    <w:rPr>
      <w:snapToGrid w:val="0"/>
      <w:kern w:val="28"/>
      <w:sz w:val="22"/>
    </w:rPr>
  </w:style>
  <w:style w:type="paragraph" w:styleId="Heading1">
    <w:name w:val="heading 1"/>
    <w:basedOn w:val="Normal"/>
    <w:next w:val="ParaNum"/>
    <w:qFormat/>
    <w:rsid w:val="00A55F89"/>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A55F89"/>
    <w:pPr>
      <w:keepNext/>
      <w:numPr>
        <w:ilvl w:val="1"/>
        <w:numId w:val="3"/>
      </w:numPr>
      <w:spacing w:after="120"/>
      <w:outlineLvl w:val="1"/>
    </w:pPr>
    <w:rPr>
      <w:b/>
    </w:rPr>
  </w:style>
  <w:style w:type="paragraph" w:styleId="Heading3">
    <w:name w:val="heading 3"/>
    <w:basedOn w:val="Normal"/>
    <w:next w:val="ParaNum"/>
    <w:qFormat/>
    <w:rsid w:val="00A55F89"/>
    <w:pPr>
      <w:keepNext/>
      <w:numPr>
        <w:ilvl w:val="2"/>
        <w:numId w:val="3"/>
      </w:numPr>
      <w:tabs>
        <w:tab w:val="left" w:pos="2160"/>
      </w:tabs>
      <w:spacing w:after="120"/>
      <w:outlineLvl w:val="2"/>
    </w:pPr>
    <w:rPr>
      <w:b/>
    </w:rPr>
  </w:style>
  <w:style w:type="paragraph" w:styleId="Heading4">
    <w:name w:val="heading 4"/>
    <w:basedOn w:val="Normal"/>
    <w:next w:val="ParaNum"/>
    <w:qFormat/>
    <w:rsid w:val="00A55F89"/>
    <w:pPr>
      <w:keepNext/>
      <w:numPr>
        <w:ilvl w:val="3"/>
        <w:numId w:val="3"/>
      </w:numPr>
      <w:tabs>
        <w:tab w:val="left" w:pos="2880"/>
      </w:tabs>
      <w:spacing w:after="120"/>
      <w:outlineLvl w:val="3"/>
    </w:pPr>
    <w:rPr>
      <w:b/>
    </w:rPr>
  </w:style>
  <w:style w:type="paragraph" w:styleId="Heading5">
    <w:name w:val="heading 5"/>
    <w:basedOn w:val="Normal"/>
    <w:next w:val="ParaNum"/>
    <w:qFormat/>
    <w:rsid w:val="00A55F89"/>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A55F89"/>
    <w:pPr>
      <w:numPr>
        <w:ilvl w:val="5"/>
        <w:numId w:val="3"/>
      </w:numPr>
      <w:tabs>
        <w:tab w:val="left" w:pos="4320"/>
      </w:tabs>
      <w:spacing w:after="120"/>
      <w:outlineLvl w:val="5"/>
    </w:pPr>
    <w:rPr>
      <w:b/>
    </w:rPr>
  </w:style>
  <w:style w:type="paragraph" w:styleId="Heading7">
    <w:name w:val="heading 7"/>
    <w:basedOn w:val="Normal"/>
    <w:next w:val="ParaNum"/>
    <w:qFormat/>
    <w:rsid w:val="00A55F8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A55F89"/>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A55F89"/>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A55F8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55F89"/>
  </w:style>
  <w:style w:type="paragraph" w:customStyle="1" w:styleId="ParaNum">
    <w:name w:val="ParaNum"/>
    <w:basedOn w:val="Normal"/>
    <w:link w:val="ParaNumChar"/>
    <w:rsid w:val="00A55F89"/>
    <w:pPr>
      <w:numPr>
        <w:numId w:val="2"/>
      </w:numPr>
      <w:tabs>
        <w:tab w:val="clear" w:pos="1080"/>
        <w:tab w:val="num" w:pos="1440"/>
      </w:tabs>
      <w:spacing w:after="120"/>
    </w:pPr>
  </w:style>
  <w:style w:type="paragraph" w:styleId="EndnoteText">
    <w:name w:val="endnote text"/>
    <w:basedOn w:val="Normal"/>
    <w:semiHidden/>
    <w:rsid w:val="00A55F89"/>
    <w:rPr>
      <w:sz w:val="20"/>
    </w:rPr>
  </w:style>
  <w:style w:type="character" w:styleId="EndnoteReference">
    <w:name w:val="endnote reference"/>
    <w:semiHidden/>
    <w:rsid w:val="00A55F89"/>
    <w:rPr>
      <w:vertAlign w:val="superscript"/>
    </w:r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rrfootnote,fn,fn Char,f"/>
    <w:link w:val="FootnoteTextChar2"/>
    <w:rsid w:val="00A55F89"/>
    <w:pPr>
      <w:spacing w:after="120"/>
    </w:pPr>
  </w:style>
  <w:style w:type="character" w:styleId="FootnoteReference">
    <w:name w:val="footnote reference"/>
    <w:aliases w:val="Style 12,(NECG) Footnote Reference,o,fr,Style 3,Appel note de bas de p,Style 124,Style 13"/>
    <w:rsid w:val="00A55F89"/>
    <w:rPr>
      <w:rFonts w:ascii="Times New Roman" w:hAnsi="Times New Roman"/>
      <w:dstrike w:val="0"/>
      <w:color w:val="auto"/>
      <w:sz w:val="20"/>
      <w:vertAlign w:val="superscript"/>
    </w:rPr>
  </w:style>
  <w:style w:type="paragraph" w:styleId="TOC1">
    <w:name w:val="toc 1"/>
    <w:basedOn w:val="Normal"/>
    <w:next w:val="Normal"/>
    <w:semiHidden/>
    <w:rsid w:val="00A55F89"/>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A55F89"/>
    <w:pPr>
      <w:tabs>
        <w:tab w:val="left" w:pos="720"/>
        <w:tab w:val="right" w:leader="dot" w:pos="9360"/>
      </w:tabs>
      <w:suppressAutoHyphens/>
      <w:ind w:left="720" w:right="720" w:hanging="360"/>
    </w:pPr>
    <w:rPr>
      <w:noProof/>
    </w:rPr>
  </w:style>
  <w:style w:type="paragraph" w:styleId="TOC3">
    <w:name w:val="toc 3"/>
    <w:basedOn w:val="Normal"/>
    <w:next w:val="Normal"/>
    <w:semiHidden/>
    <w:rsid w:val="00A55F8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A55F8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A55F8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A55F8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A55F8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A55F8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A55F89"/>
    <w:pPr>
      <w:tabs>
        <w:tab w:val="left" w:pos="3240"/>
        <w:tab w:val="right" w:leader="dot" w:pos="9360"/>
      </w:tabs>
      <w:suppressAutoHyphens/>
      <w:ind w:left="3240" w:hanging="360"/>
    </w:pPr>
    <w:rPr>
      <w:noProof/>
    </w:rPr>
  </w:style>
  <w:style w:type="paragraph" w:styleId="TOAHeading">
    <w:name w:val="toa heading"/>
    <w:basedOn w:val="Normal"/>
    <w:next w:val="Normal"/>
    <w:semiHidden/>
    <w:rsid w:val="00A55F89"/>
    <w:pPr>
      <w:tabs>
        <w:tab w:val="right" w:pos="9360"/>
      </w:tabs>
      <w:suppressAutoHyphens/>
    </w:pPr>
  </w:style>
  <w:style w:type="character" w:customStyle="1" w:styleId="EquationCaption">
    <w:name w:val="_Equation Caption"/>
    <w:rsid w:val="00A55F89"/>
  </w:style>
  <w:style w:type="paragraph" w:styleId="Header">
    <w:name w:val="header"/>
    <w:basedOn w:val="Normal"/>
    <w:autoRedefine/>
    <w:rsid w:val="00A55F89"/>
    <w:pPr>
      <w:tabs>
        <w:tab w:val="center" w:pos="4680"/>
        <w:tab w:val="right" w:pos="9360"/>
      </w:tabs>
    </w:pPr>
    <w:rPr>
      <w:b/>
    </w:rPr>
  </w:style>
  <w:style w:type="paragraph" w:styleId="Footer">
    <w:name w:val="footer"/>
    <w:basedOn w:val="Normal"/>
    <w:rsid w:val="00A55F89"/>
    <w:pPr>
      <w:tabs>
        <w:tab w:val="center" w:pos="4320"/>
        <w:tab w:val="right" w:pos="8640"/>
      </w:tabs>
    </w:pPr>
  </w:style>
  <w:style w:type="character" w:styleId="PageNumber">
    <w:name w:val="page number"/>
    <w:basedOn w:val="DefaultParagraphFont"/>
    <w:rsid w:val="00A55F89"/>
  </w:style>
  <w:style w:type="paragraph" w:styleId="BlockText">
    <w:name w:val="Block Text"/>
    <w:basedOn w:val="Normal"/>
    <w:rsid w:val="00A55F89"/>
    <w:pPr>
      <w:spacing w:after="240"/>
      <w:ind w:left="1440" w:right="1440"/>
    </w:pPr>
  </w:style>
  <w:style w:type="paragraph" w:customStyle="1" w:styleId="Paratitle">
    <w:name w:val="Para title"/>
    <w:basedOn w:val="Normal"/>
    <w:rsid w:val="00A55F89"/>
    <w:pPr>
      <w:tabs>
        <w:tab w:val="center" w:pos="9270"/>
      </w:tabs>
      <w:spacing w:after="240"/>
    </w:pPr>
    <w:rPr>
      <w:spacing w:val="-2"/>
    </w:rPr>
  </w:style>
  <w:style w:type="paragraph" w:customStyle="1" w:styleId="Bullet">
    <w:name w:val="Bullet"/>
    <w:basedOn w:val="Normal"/>
    <w:rsid w:val="00A55F89"/>
    <w:pPr>
      <w:tabs>
        <w:tab w:val="left" w:pos="2160"/>
      </w:tabs>
      <w:spacing w:after="220"/>
      <w:ind w:left="2160" w:hanging="720"/>
    </w:pPr>
  </w:style>
  <w:style w:type="paragraph" w:customStyle="1" w:styleId="TableFormat">
    <w:name w:val="TableFormat"/>
    <w:basedOn w:val="Bullet"/>
    <w:rsid w:val="00A55F89"/>
    <w:pPr>
      <w:tabs>
        <w:tab w:val="clear" w:pos="2160"/>
        <w:tab w:val="left" w:pos="5040"/>
      </w:tabs>
      <w:ind w:left="5040" w:hanging="3600"/>
    </w:pPr>
  </w:style>
  <w:style w:type="paragraph" w:customStyle="1" w:styleId="TOCTitle">
    <w:name w:val="TOC Title"/>
    <w:basedOn w:val="Normal"/>
    <w:rsid w:val="00A55F8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55F89"/>
    <w:pPr>
      <w:jc w:val="center"/>
    </w:pPr>
    <w:rPr>
      <w:rFonts w:ascii="Times New Roman Bold" w:hAnsi="Times New Roman Bold"/>
      <w:b/>
      <w:bCs/>
      <w:caps/>
      <w:szCs w:val="22"/>
    </w:rPr>
  </w:style>
  <w:style w:type="character" w:styleId="Hyperlink">
    <w:name w:val="Hyperlink"/>
    <w:rsid w:val="00A55F89"/>
    <w:rPr>
      <w:color w:val="0000FF"/>
      <w:u w:val="single"/>
    </w:rPr>
  </w:style>
  <w:style w:type="character" w:customStyle="1" w:styleId="FootnoteTextChar2">
    <w:name w:val="Footnote Text Char2"/>
    <w:aliases w:val="Footnote Text Char1 Char,Footnote Text Char7 Char Char,Footnote Text Char4 Char1 Char Char,Footnote Text Char Char Char4 Char Char,Footnote Text Char7 Char Char Char Char Char1,Footnote Text Char4 Char1 Char Char Char Char Char1"/>
    <w:link w:val="FootnoteText"/>
    <w:locked/>
    <w:rsid w:val="00130A41"/>
  </w:style>
  <w:style w:type="character" w:customStyle="1" w:styleId="FootnoteTextChar">
    <w:name w:val="Footnote Text Char"/>
    <w:aliases w:val="Footnote Text Char3 Char Char,Footnote Text Char2 Char Char Char,Footnote Text Char1 Char Char Char Char,Footnote Text Char7 Char Char Char Char Char,Footnote Text Char4 Char1 Char Char Char Char Char,Footnote Text Char2 Char"/>
    <w:rsid w:val="006335AB"/>
  </w:style>
  <w:style w:type="character" w:customStyle="1" w:styleId="ParaNumChar">
    <w:name w:val="ParaNum Char"/>
    <w:link w:val="ParaNum"/>
    <w:rsid w:val="006335AB"/>
    <w:rPr>
      <w:snapToGrid w:val="0"/>
      <w:kern w:val="28"/>
      <w:sz w:val="22"/>
    </w:rPr>
  </w:style>
  <w:style w:type="character" w:customStyle="1" w:styleId="term1">
    <w:name w:val="term1"/>
    <w:rsid w:val="00B25ACF"/>
    <w:rPr>
      <w:b/>
      <w:bCs/>
    </w:rPr>
  </w:style>
  <w:style w:type="character" w:styleId="CommentReference">
    <w:name w:val="annotation reference"/>
    <w:basedOn w:val="DefaultParagraphFont"/>
    <w:semiHidden/>
    <w:unhideWhenUsed/>
    <w:rsid w:val="00FF745E"/>
    <w:rPr>
      <w:sz w:val="16"/>
      <w:szCs w:val="16"/>
    </w:rPr>
  </w:style>
  <w:style w:type="paragraph" w:styleId="CommentText">
    <w:name w:val="annotation text"/>
    <w:basedOn w:val="Normal"/>
    <w:link w:val="CommentTextChar"/>
    <w:unhideWhenUsed/>
    <w:rsid w:val="00FF745E"/>
    <w:rPr>
      <w:sz w:val="20"/>
    </w:rPr>
  </w:style>
  <w:style w:type="character" w:customStyle="1" w:styleId="CommentTextChar">
    <w:name w:val="Comment Text Char"/>
    <w:basedOn w:val="DefaultParagraphFont"/>
    <w:link w:val="CommentText"/>
    <w:rsid w:val="00FF745E"/>
    <w:rPr>
      <w:snapToGrid w:val="0"/>
      <w:kern w:val="28"/>
    </w:rPr>
  </w:style>
  <w:style w:type="paragraph" w:styleId="CommentSubject">
    <w:name w:val="annotation subject"/>
    <w:basedOn w:val="CommentText"/>
    <w:next w:val="CommentText"/>
    <w:link w:val="CommentSubjectChar"/>
    <w:semiHidden/>
    <w:unhideWhenUsed/>
    <w:rsid w:val="00FF745E"/>
    <w:rPr>
      <w:b/>
      <w:bCs/>
    </w:rPr>
  </w:style>
  <w:style w:type="character" w:customStyle="1" w:styleId="CommentSubjectChar">
    <w:name w:val="Comment Subject Char"/>
    <w:basedOn w:val="CommentTextChar"/>
    <w:link w:val="CommentSubject"/>
    <w:semiHidden/>
    <w:rsid w:val="00FF745E"/>
    <w:rPr>
      <w:b/>
      <w:bCs/>
      <w:snapToGrid w:val="0"/>
      <w:kern w:val="28"/>
    </w:rPr>
  </w:style>
  <w:style w:type="paragraph" w:styleId="BalloonText">
    <w:name w:val="Balloon Text"/>
    <w:basedOn w:val="Normal"/>
    <w:link w:val="BalloonTextChar"/>
    <w:semiHidden/>
    <w:unhideWhenUsed/>
    <w:rsid w:val="00FF745E"/>
    <w:rPr>
      <w:rFonts w:ascii="Segoe UI" w:hAnsi="Segoe UI" w:cs="Segoe UI"/>
      <w:sz w:val="18"/>
      <w:szCs w:val="18"/>
    </w:rPr>
  </w:style>
  <w:style w:type="character" w:customStyle="1" w:styleId="BalloonTextChar">
    <w:name w:val="Balloon Text Char"/>
    <w:basedOn w:val="DefaultParagraphFont"/>
    <w:link w:val="BalloonText"/>
    <w:semiHidden/>
    <w:rsid w:val="00FF745E"/>
    <w:rPr>
      <w:rFonts w:ascii="Segoe UI" w:hAnsi="Segoe UI" w:cs="Segoe UI"/>
      <w:snapToGrid w:val="0"/>
      <w:kern w:val="28"/>
      <w:sz w:val="18"/>
      <w:szCs w:val="18"/>
    </w:rPr>
  </w:style>
  <w:style w:type="paragraph" w:styleId="Revision">
    <w:name w:val="Revision"/>
    <w:hidden/>
    <w:uiPriority w:val="99"/>
    <w:semiHidden/>
    <w:rsid w:val="0077248C"/>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F89"/>
    <w:pPr>
      <w:widowControl w:val="0"/>
    </w:pPr>
    <w:rPr>
      <w:snapToGrid w:val="0"/>
      <w:kern w:val="28"/>
      <w:sz w:val="22"/>
    </w:rPr>
  </w:style>
  <w:style w:type="paragraph" w:styleId="Heading1">
    <w:name w:val="heading 1"/>
    <w:basedOn w:val="Normal"/>
    <w:next w:val="ParaNum"/>
    <w:qFormat/>
    <w:rsid w:val="00A55F89"/>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A55F89"/>
    <w:pPr>
      <w:keepNext/>
      <w:numPr>
        <w:ilvl w:val="1"/>
        <w:numId w:val="3"/>
      </w:numPr>
      <w:spacing w:after="120"/>
      <w:outlineLvl w:val="1"/>
    </w:pPr>
    <w:rPr>
      <w:b/>
    </w:rPr>
  </w:style>
  <w:style w:type="paragraph" w:styleId="Heading3">
    <w:name w:val="heading 3"/>
    <w:basedOn w:val="Normal"/>
    <w:next w:val="ParaNum"/>
    <w:qFormat/>
    <w:rsid w:val="00A55F89"/>
    <w:pPr>
      <w:keepNext/>
      <w:numPr>
        <w:ilvl w:val="2"/>
        <w:numId w:val="3"/>
      </w:numPr>
      <w:tabs>
        <w:tab w:val="left" w:pos="2160"/>
      </w:tabs>
      <w:spacing w:after="120"/>
      <w:outlineLvl w:val="2"/>
    </w:pPr>
    <w:rPr>
      <w:b/>
    </w:rPr>
  </w:style>
  <w:style w:type="paragraph" w:styleId="Heading4">
    <w:name w:val="heading 4"/>
    <w:basedOn w:val="Normal"/>
    <w:next w:val="ParaNum"/>
    <w:qFormat/>
    <w:rsid w:val="00A55F89"/>
    <w:pPr>
      <w:keepNext/>
      <w:numPr>
        <w:ilvl w:val="3"/>
        <w:numId w:val="3"/>
      </w:numPr>
      <w:tabs>
        <w:tab w:val="left" w:pos="2880"/>
      </w:tabs>
      <w:spacing w:after="120"/>
      <w:outlineLvl w:val="3"/>
    </w:pPr>
    <w:rPr>
      <w:b/>
    </w:rPr>
  </w:style>
  <w:style w:type="paragraph" w:styleId="Heading5">
    <w:name w:val="heading 5"/>
    <w:basedOn w:val="Normal"/>
    <w:next w:val="ParaNum"/>
    <w:qFormat/>
    <w:rsid w:val="00A55F89"/>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A55F89"/>
    <w:pPr>
      <w:numPr>
        <w:ilvl w:val="5"/>
        <w:numId w:val="3"/>
      </w:numPr>
      <w:tabs>
        <w:tab w:val="left" w:pos="4320"/>
      </w:tabs>
      <w:spacing w:after="120"/>
      <w:outlineLvl w:val="5"/>
    </w:pPr>
    <w:rPr>
      <w:b/>
    </w:rPr>
  </w:style>
  <w:style w:type="paragraph" w:styleId="Heading7">
    <w:name w:val="heading 7"/>
    <w:basedOn w:val="Normal"/>
    <w:next w:val="ParaNum"/>
    <w:qFormat/>
    <w:rsid w:val="00A55F8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A55F89"/>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A55F89"/>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A55F8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55F89"/>
  </w:style>
  <w:style w:type="paragraph" w:customStyle="1" w:styleId="ParaNum">
    <w:name w:val="ParaNum"/>
    <w:basedOn w:val="Normal"/>
    <w:link w:val="ParaNumChar"/>
    <w:rsid w:val="00A55F89"/>
    <w:pPr>
      <w:numPr>
        <w:numId w:val="2"/>
      </w:numPr>
      <w:tabs>
        <w:tab w:val="clear" w:pos="1080"/>
        <w:tab w:val="num" w:pos="1440"/>
      </w:tabs>
      <w:spacing w:after="120"/>
    </w:pPr>
  </w:style>
  <w:style w:type="paragraph" w:styleId="EndnoteText">
    <w:name w:val="endnote text"/>
    <w:basedOn w:val="Normal"/>
    <w:semiHidden/>
    <w:rsid w:val="00A55F89"/>
    <w:rPr>
      <w:sz w:val="20"/>
    </w:rPr>
  </w:style>
  <w:style w:type="character" w:styleId="EndnoteReference">
    <w:name w:val="endnote reference"/>
    <w:semiHidden/>
    <w:rsid w:val="00A55F89"/>
    <w:rPr>
      <w:vertAlign w:val="superscript"/>
    </w:r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rrfootnote,fn,fn Char,f"/>
    <w:link w:val="FootnoteTextChar2"/>
    <w:rsid w:val="00A55F89"/>
    <w:pPr>
      <w:spacing w:after="120"/>
    </w:pPr>
  </w:style>
  <w:style w:type="character" w:styleId="FootnoteReference">
    <w:name w:val="footnote reference"/>
    <w:aliases w:val="Style 12,(NECG) Footnote Reference,o,fr,Style 3,Appel note de bas de p,Style 124,Style 13"/>
    <w:rsid w:val="00A55F89"/>
    <w:rPr>
      <w:rFonts w:ascii="Times New Roman" w:hAnsi="Times New Roman"/>
      <w:dstrike w:val="0"/>
      <w:color w:val="auto"/>
      <w:sz w:val="20"/>
      <w:vertAlign w:val="superscript"/>
    </w:rPr>
  </w:style>
  <w:style w:type="paragraph" w:styleId="TOC1">
    <w:name w:val="toc 1"/>
    <w:basedOn w:val="Normal"/>
    <w:next w:val="Normal"/>
    <w:semiHidden/>
    <w:rsid w:val="00A55F89"/>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A55F89"/>
    <w:pPr>
      <w:tabs>
        <w:tab w:val="left" w:pos="720"/>
        <w:tab w:val="right" w:leader="dot" w:pos="9360"/>
      </w:tabs>
      <w:suppressAutoHyphens/>
      <w:ind w:left="720" w:right="720" w:hanging="360"/>
    </w:pPr>
    <w:rPr>
      <w:noProof/>
    </w:rPr>
  </w:style>
  <w:style w:type="paragraph" w:styleId="TOC3">
    <w:name w:val="toc 3"/>
    <w:basedOn w:val="Normal"/>
    <w:next w:val="Normal"/>
    <w:semiHidden/>
    <w:rsid w:val="00A55F8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A55F8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A55F8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A55F8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A55F8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A55F8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A55F89"/>
    <w:pPr>
      <w:tabs>
        <w:tab w:val="left" w:pos="3240"/>
        <w:tab w:val="right" w:leader="dot" w:pos="9360"/>
      </w:tabs>
      <w:suppressAutoHyphens/>
      <w:ind w:left="3240" w:hanging="360"/>
    </w:pPr>
    <w:rPr>
      <w:noProof/>
    </w:rPr>
  </w:style>
  <w:style w:type="paragraph" w:styleId="TOAHeading">
    <w:name w:val="toa heading"/>
    <w:basedOn w:val="Normal"/>
    <w:next w:val="Normal"/>
    <w:semiHidden/>
    <w:rsid w:val="00A55F89"/>
    <w:pPr>
      <w:tabs>
        <w:tab w:val="right" w:pos="9360"/>
      </w:tabs>
      <w:suppressAutoHyphens/>
    </w:pPr>
  </w:style>
  <w:style w:type="character" w:customStyle="1" w:styleId="EquationCaption">
    <w:name w:val="_Equation Caption"/>
    <w:rsid w:val="00A55F89"/>
  </w:style>
  <w:style w:type="paragraph" w:styleId="Header">
    <w:name w:val="header"/>
    <w:basedOn w:val="Normal"/>
    <w:autoRedefine/>
    <w:rsid w:val="00A55F89"/>
    <w:pPr>
      <w:tabs>
        <w:tab w:val="center" w:pos="4680"/>
        <w:tab w:val="right" w:pos="9360"/>
      </w:tabs>
    </w:pPr>
    <w:rPr>
      <w:b/>
    </w:rPr>
  </w:style>
  <w:style w:type="paragraph" w:styleId="Footer">
    <w:name w:val="footer"/>
    <w:basedOn w:val="Normal"/>
    <w:rsid w:val="00A55F89"/>
    <w:pPr>
      <w:tabs>
        <w:tab w:val="center" w:pos="4320"/>
        <w:tab w:val="right" w:pos="8640"/>
      </w:tabs>
    </w:pPr>
  </w:style>
  <w:style w:type="character" w:styleId="PageNumber">
    <w:name w:val="page number"/>
    <w:basedOn w:val="DefaultParagraphFont"/>
    <w:rsid w:val="00A55F89"/>
  </w:style>
  <w:style w:type="paragraph" w:styleId="BlockText">
    <w:name w:val="Block Text"/>
    <w:basedOn w:val="Normal"/>
    <w:rsid w:val="00A55F89"/>
    <w:pPr>
      <w:spacing w:after="240"/>
      <w:ind w:left="1440" w:right="1440"/>
    </w:pPr>
  </w:style>
  <w:style w:type="paragraph" w:customStyle="1" w:styleId="Paratitle">
    <w:name w:val="Para title"/>
    <w:basedOn w:val="Normal"/>
    <w:rsid w:val="00A55F89"/>
    <w:pPr>
      <w:tabs>
        <w:tab w:val="center" w:pos="9270"/>
      </w:tabs>
      <w:spacing w:after="240"/>
    </w:pPr>
    <w:rPr>
      <w:spacing w:val="-2"/>
    </w:rPr>
  </w:style>
  <w:style w:type="paragraph" w:customStyle="1" w:styleId="Bullet">
    <w:name w:val="Bullet"/>
    <w:basedOn w:val="Normal"/>
    <w:rsid w:val="00A55F89"/>
    <w:pPr>
      <w:tabs>
        <w:tab w:val="left" w:pos="2160"/>
      </w:tabs>
      <w:spacing w:after="220"/>
      <w:ind w:left="2160" w:hanging="720"/>
    </w:pPr>
  </w:style>
  <w:style w:type="paragraph" w:customStyle="1" w:styleId="TableFormat">
    <w:name w:val="TableFormat"/>
    <w:basedOn w:val="Bullet"/>
    <w:rsid w:val="00A55F89"/>
    <w:pPr>
      <w:tabs>
        <w:tab w:val="clear" w:pos="2160"/>
        <w:tab w:val="left" w:pos="5040"/>
      </w:tabs>
      <w:ind w:left="5040" w:hanging="3600"/>
    </w:pPr>
  </w:style>
  <w:style w:type="paragraph" w:customStyle="1" w:styleId="TOCTitle">
    <w:name w:val="TOC Title"/>
    <w:basedOn w:val="Normal"/>
    <w:rsid w:val="00A55F8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55F89"/>
    <w:pPr>
      <w:jc w:val="center"/>
    </w:pPr>
    <w:rPr>
      <w:rFonts w:ascii="Times New Roman Bold" w:hAnsi="Times New Roman Bold"/>
      <w:b/>
      <w:bCs/>
      <w:caps/>
      <w:szCs w:val="22"/>
    </w:rPr>
  </w:style>
  <w:style w:type="character" w:styleId="Hyperlink">
    <w:name w:val="Hyperlink"/>
    <w:rsid w:val="00A55F89"/>
    <w:rPr>
      <w:color w:val="0000FF"/>
      <w:u w:val="single"/>
    </w:rPr>
  </w:style>
  <w:style w:type="character" w:customStyle="1" w:styleId="FootnoteTextChar2">
    <w:name w:val="Footnote Text Char2"/>
    <w:aliases w:val="Footnote Text Char1 Char,Footnote Text Char7 Char Char,Footnote Text Char4 Char1 Char Char,Footnote Text Char Char Char4 Char Char,Footnote Text Char7 Char Char Char Char Char1,Footnote Text Char4 Char1 Char Char Char Char Char1"/>
    <w:link w:val="FootnoteText"/>
    <w:locked/>
    <w:rsid w:val="00130A41"/>
  </w:style>
  <w:style w:type="character" w:customStyle="1" w:styleId="FootnoteTextChar">
    <w:name w:val="Footnote Text Char"/>
    <w:aliases w:val="Footnote Text Char3 Char Char,Footnote Text Char2 Char Char Char,Footnote Text Char1 Char Char Char Char,Footnote Text Char7 Char Char Char Char Char,Footnote Text Char4 Char1 Char Char Char Char Char,Footnote Text Char2 Char"/>
    <w:rsid w:val="006335AB"/>
  </w:style>
  <w:style w:type="character" w:customStyle="1" w:styleId="ParaNumChar">
    <w:name w:val="ParaNum Char"/>
    <w:link w:val="ParaNum"/>
    <w:rsid w:val="006335AB"/>
    <w:rPr>
      <w:snapToGrid w:val="0"/>
      <w:kern w:val="28"/>
      <w:sz w:val="22"/>
    </w:rPr>
  </w:style>
  <w:style w:type="character" w:customStyle="1" w:styleId="term1">
    <w:name w:val="term1"/>
    <w:rsid w:val="00B25ACF"/>
    <w:rPr>
      <w:b/>
      <w:bCs/>
    </w:rPr>
  </w:style>
  <w:style w:type="character" w:styleId="CommentReference">
    <w:name w:val="annotation reference"/>
    <w:basedOn w:val="DefaultParagraphFont"/>
    <w:semiHidden/>
    <w:unhideWhenUsed/>
    <w:rsid w:val="00FF745E"/>
    <w:rPr>
      <w:sz w:val="16"/>
      <w:szCs w:val="16"/>
    </w:rPr>
  </w:style>
  <w:style w:type="paragraph" w:styleId="CommentText">
    <w:name w:val="annotation text"/>
    <w:basedOn w:val="Normal"/>
    <w:link w:val="CommentTextChar"/>
    <w:unhideWhenUsed/>
    <w:rsid w:val="00FF745E"/>
    <w:rPr>
      <w:sz w:val="20"/>
    </w:rPr>
  </w:style>
  <w:style w:type="character" w:customStyle="1" w:styleId="CommentTextChar">
    <w:name w:val="Comment Text Char"/>
    <w:basedOn w:val="DefaultParagraphFont"/>
    <w:link w:val="CommentText"/>
    <w:rsid w:val="00FF745E"/>
    <w:rPr>
      <w:snapToGrid w:val="0"/>
      <w:kern w:val="28"/>
    </w:rPr>
  </w:style>
  <w:style w:type="paragraph" w:styleId="CommentSubject">
    <w:name w:val="annotation subject"/>
    <w:basedOn w:val="CommentText"/>
    <w:next w:val="CommentText"/>
    <w:link w:val="CommentSubjectChar"/>
    <w:semiHidden/>
    <w:unhideWhenUsed/>
    <w:rsid w:val="00FF745E"/>
    <w:rPr>
      <w:b/>
      <w:bCs/>
    </w:rPr>
  </w:style>
  <w:style w:type="character" w:customStyle="1" w:styleId="CommentSubjectChar">
    <w:name w:val="Comment Subject Char"/>
    <w:basedOn w:val="CommentTextChar"/>
    <w:link w:val="CommentSubject"/>
    <w:semiHidden/>
    <w:rsid w:val="00FF745E"/>
    <w:rPr>
      <w:b/>
      <w:bCs/>
      <w:snapToGrid w:val="0"/>
      <w:kern w:val="28"/>
    </w:rPr>
  </w:style>
  <w:style w:type="paragraph" w:styleId="BalloonText">
    <w:name w:val="Balloon Text"/>
    <w:basedOn w:val="Normal"/>
    <w:link w:val="BalloonTextChar"/>
    <w:semiHidden/>
    <w:unhideWhenUsed/>
    <w:rsid w:val="00FF745E"/>
    <w:rPr>
      <w:rFonts w:ascii="Segoe UI" w:hAnsi="Segoe UI" w:cs="Segoe UI"/>
      <w:sz w:val="18"/>
      <w:szCs w:val="18"/>
    </w:rPr>
  </w:style>
  <w:style w:type="character" w:customStyle="1" w:styleId="BalloonTextChar">
    <w:name w:val="Balloon Text Char"/>
    <w:basedOn w:val="DefaultParagraphFont"/>
    <w:link w:val="BalloonText"/>
    <w:semiHidden/>
    <w:rsid w:val="00FF745E"/>
    <w:rPr>
      <w:rFonts w:ascii="Segoe UI" w:hAnsi="Segoe UI" w:cs="Segoe UI"/>
      <w:snapToGrid w:val="0"/>
      <w:kern w:val="28"/>
      <w:sz w:val="18"/>
      <w:szCs w:val="18"/>
    </w:rPr>
  </w:style>
  <w:style w:type="paragraph" w:styleId="Revision">
    <w:name w:val="Revision"/>
    <w:hidden/>
    <w:uiPriority w:val="99"/>
    <w:semiHidden/>
    <w:rsid w:val="0077248C"/>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660</Words>
  <Characters>3496</Characters>
  <Application>Microsoft Office Word</Application>
  <DocSecurity>0</DocSecurity>
  <Lines>103</Lines>
  <Paragraphs>48</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4154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2005-07-20T17:06:00Z</cp:lastPrinted>
  <dcterms:created xsi:type="dcterms:W3CDTF">2016-03-30T18:34:00Z</dcterms:created>
  <dcterms:modified xsi:type="dcterms:W3CDTF">2016-03-30T18:34:00Z</dcterms:modified>
  <cp:category> </cp:category>
  <cp:contentStatus> </cp:contentStatus>
</cp:coreProperties>
</file>