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F3B7A"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48A9859F" w14:textId="77777777" w:rsidR="00921803" w:rsidRDefault="00921803" w:rsidP="00921803">
      <w:pPr>
        <w:pStyle w:val="StyleBoldCentered"/>
      </w:pPr>
      <w:r>
        <w:t>F</w:t>
      </w:r>
      <w:r>
        <w:rPr>
          <w:caps w:val="0"/>
        </w:rPr>
        <w:t>ederal Communications Commission</w:t>
      </w:r>
    </w:p>
    <w:p w14:paraId="2A77F77C" w14:textId="77777777" w:rsidR="004C2EE3" w:rsidRDefault="00810B6F" w:rsidP="00096D8C">
      <w:pPr>
        <w:pStyle w:val="StyleBoldCentered"/>
      </w:pPr>
      <w:r>
        <w:rPr>
          <w:caps w:val="0"/>
        </w:rPr>
        <w:t>Washington, D.C. 20554</w:t>
      </w:r>
    </w:p>
    <w:p w14:paraId="4FC7DA2D"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559A318D" w14:textId="77777777">
        <w:tc>
          <w:tcPr>
            <w:tcW w:w="4698" w:type="dxa"/>
          </w:tcPr>
          <w:p w14:paraId="4109C158" w14:textId="77777777" w:rsidR="004C2EE3" w:rsidRDefault="004C2EE3">
            <w:pPr>
              <w:tabs>
                <w:tab w:val="center" w:pos="4680"/>
              </w:tabs>
              <w:suppressAutoHyphens/>
              <w:rPr>
                <w:spacing w:val="-2"/>
              </w:rPr>
            </w:pPr>
            <w:r>
              <w:rPr>
                <w:spacing w:val="-2"/>
              </w:rPr>
              <w:t>In the Matter of</w:t>
            </w:r>
          </w:p>
          <w:p w14:paraId="2E4B345F" w14:textId="77777777" w:rsidR="004C2EE3" w:rsidRDefault="004C2EE3">
            <w:pPr>
              <w:tabs>
                <w:tab w:val="center" w:pos="4680"/>
              </w:tabs>
              <w:suppressAutoHyphens/>
              <w:rPr>
                <w:spacing w:val="-2"/>
              </w:rPr>
            </w:pPr>
          </w:p>
          <w:p w14:paraId="1624ED77" w14:textId="77777777" w:rsidR="004C2EE3" w:rsidRDefault="00F1456D" w:rsidP="007115F7">
            <w:pPr>
              <w:tabs>
                <w:tab w:val="center" w:pos="4680"/>
              </w:tabs>
              <w:suppressAutoHyphens/>
              <w:rPr>
                <w:spacing w:val="-2"/>
              </w:rPr>
            </w:pPr>
            <w:r>
              <w:rPr>
                <w:spacing w:val="-2"/>
              </w:rPr>
              <w:t xml:space="preserve">Expanding the Economic and </w:t>
            </w:r>
            <w:r w:rsidR="00756B96">
              <w:rPr>
                <w:spacing w:val="-2"/>
              </w:rPr>
              <w:t>I</w:t>
            </w:r>
            <w:r>
              <w:rPr>
                <w:spacing w:val="-2"/>
              </w:rPr>
              <w:t>nnovation Opportunities of Spectrum Through Incentive Auctions</w:t>
            </w:r>
          </w:p>
          <w:p w14:paraId="21B6B69D" w14:textId="77777777" w:rsidR="00756B96" w:rsidRPr="007115F7" w:rsidRDefault="00756B96" w:rsidP="007115F7">
            <w:pPr>
              <w:tabs>
                <w:tab w:val="center" w:pos="4680"/>
              </w:tabs>
              <w:suppressAutoHyphens/>
              <w:rPr>
                <w:spacing w:val="-2"/>
              </w:rPr>
            </w:pPr>
          </w:p>
        </w:tc>
        <w:tc>
          <w:tcPr>
            <w:tcW w:w="630" w:type="dxa"/>
          </w:tcPr>
          <w:p w14:paraId="79886A57" w14:textId="77777777" w:rsidR="004C2EE3" w:rsidRDefault="004C2EE3">
            <w:pPr>
              <w:tabs>
                <w:tab w:val="center" w:pos="4680"/>
              </w:tabs>
              <w:suppressAutoHyphens/>
              <w:rPr>
                <w:b/>
                <w:spacing w:val="-2"/>
              </w:rPr>
            </w:pPr>
            <w:r>
              <w:rPr>
                <w:b/>
                <w:spacing w:val="-2"/>
              </w:rPr>
              <w:t>)</w:t>
            </w:r>
          </w:p>
          <w:p w14:paraId="01648C7C" w14:textId="77777777" w:rsidR="004C2EE3" w:rsidRDefault="004C2EE3">
            <w:pPr>
              <w:tabs>
                <w:tab w:val="center" w:pos="4680"/>
              </w:tabs>
              <w:suppressAutoHyphens/>
              <w:rPr>
                <w:b/>
                <w:spacing w:val="-2"/>
              </w:rPr>
            </w:pPr>
            <w:r>
              <w:rPr>
                <w:b/>
                <w:spacing w:val="-2"/>
              </w:rPr>
              <w:t>)</w:t>
            </w:r>
          </w:p>
          <w:p w14:paraId="096E34B6" w14:textId="77777777" w:rsidR="004C2EE3" w:rsidRDefault="004C2EE3">
            <w:pPr>
              <w:tabs>
                <w:tab w:val="center" w:pos="4680"/>
              </w:tabs>
              <w:suppressAutoHyphens/>
              <w:rPr>
                <w:b/>
                <w:spacing w:val="-2"/>
              </w:rPr>
            </w:pPr>
            <w:r>
              <w:rPr>
                <w:b/>
                <w:spacing w:val="-2"/>
              </w:rPr>
              <w:t>)</w:t>
            </w:r>
          </w:p>
          <w:p w14:paraId="63E8DE6B" w14:textId="77777777" w:rsidR="004C2EE3" w:rsidRDefault="004C2EE3">
            <w:pPr>
              <w:tabs>
                <w:tab w:val="center" w:pos="4680"/>
              </w:tabs>
              <w:suppressAutoHyphens/>
              <w:rPr>
                <w:b/>
                <w:spacing w:val="-2"/>
              </w:rPr>
            </w:pPr>
            <w:r>
              <w:rPr>
                <w:b/>
                <w:spacing w:val="-2"/>
              </w:rPr>
              <w:t>)</w:t>
            </w:r>
          </w:p>
          <w:p w14:paraId="6B78E5EF" w14:textId="51FB3B9C" w:rsidR="004C2EE3" w:rsidRPr="00C579FD" w:rsidRDefault="004C2EE3">
            <w:pPr>
              <w:tabs>
                <w:tab w:val="center" w:pos="4680"/>
              </w:tabs>
              <w:suppressAutoHyphens/>
              <w:rPr>
                <w:b/>
                <w:spacing w:val="-2"/>
              </w:rPr>
            </w:pPr>
            <w:r>
              <w:rPr>
                <w:b/>
                <w:spacing w:val="-2"/>
              </w:rPr>
              <w:t>)</w:t>
            </w:r>
          </w:p>
        </w:tc>
        <w:tc>
          <w:tcPr>
            <w:tcW w:w="4248" w:type="dxa"/>
          </w:tcPr>
          <w:p w14:paraId="1819F79D" w14:textId="77777777" w:rsidR="004C2EE3" w:rsidRDefault="004C2EE3">
            <w:pPr>
              <w:tabs>
                <w:tab w:val="center" w:pos="4680"/>
              </w:tabs>
              <w:suppressAutoHyphens/>
              <w:rPr>
                <w:spacing w:val="-2"/>
              </w:rPr>
            </w:pPr>
          </w:p>
          <w:p w14:paraId="373D0A31" w14:textId="77777777" w:rsidR="004C2EE3" w:rsidRDefault="004C2EE3">
            <w:pPr>
              <w:pStyle w:val="TOAHeading"/>
              <w:tabs>
                <w:tab w:val="clear" w:pos="9360"/>
                <w:tab w:val="center" w:pos="4680"/>
              </w:tabs>
              <w:rPr>
                <w:spacing w:val="-2"/>
              </w:rPr>
            </w:pPr>
          </w:p>
          <w:p w14:paraId="3BBCD091" w14:textId="77777777" w:rsidR="004C2EE3" w:rsidRDefault="00F1456D">
            <w:pPr>
              <w:tabs>
                <w:tab w:val="center" w:pos="4680"/>
              </w:tabs>
              <w:suppressAutoHyphens/>
              <w:rPr>
                <w:spacing w:val="-2"/>
              </w:rPr>
            </w:pPr>
            <w:r>
              <w:rPr>
                <w:spacing w:val="-2"/>
              </w:rPr>
              <w:t>GN Docket No. 12-268</w:t>
            </w:r>
          </w:p>
        </w:tc>
      </w:tr>
    </w:tbl>
    <w:p w14:paraId="1F28A57E" w14:textId="77777777" w:rsidR="00841AB1" w:rsidRDefault="00F1456D" w:rsidP="00F021FA">
      <w:pPr>
        <w:pStyle w:val="StyleBoldCentered"/>
      </w:pPr>
      <w:r>
        <w:t>Declaratory ruling</w:t>
      </w:r>
    </w:p>
    <w:p w14:paraId="75619575" w14:textId="77777777" w:rsidR="004C2EE3" w:rsidRDefault="004C2EE3">
      <w:pPr>
        <w:tabs>
          <w:tab w:val="left" w:pos="-720"/>
        </w:tabs>
        <w:suppressAutoHyphens/>
        <w:spacing w:line="227" w:lineRule="auto"/>
        <w:rPr>
          <w:spacing w:val="-2"/>
        </w:rPr>
      </w:pPr>
    </w:p>
    <w:p w14:paraId="3BAF9CAB" w14:textId="7A96148C" w:rsidR="004C2EE3" w:rsidRDefault="004C2EE3" w:rsidP="00133F79">
      <w:pPr>
        <w:tabs>
          <w:tab w:val="left" w:pos="720"/>
          <w:tab w:val="right" w:pos="9360"/>
        </w:tabs>
        <w:suppressAutoHyphens/>
        <w:spacing w:line="227" w:lineRule="auto"/>
        <w:rPr>
          <w:spacing w:val="-2"/>
        </w:rPr>
      </w:pPr>
      <w:r>
        <w:rPr>
          <w:b/>
          <w:spacing w:val="-2"/>
        </w:rPr>
        <w:t xml:space="preserve">Adopted:  </w:t>
      </w:r>
      <w:r w:rsidR="00371F43">
        <w:rPr>
          <w:b/>
          <w:spacing w:val="-2"/>
        </w:rPr>
        <w:t>April 15,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365E4">
        <w:rPr>
          <w:b/>
          <w:spacing w:val="-2"/>
        </w:rPr>
        <w:t>April 18, 201</w:t>
      </w:r>
      <w:r w:rsidR="00371F43">
        <w:rPr>
          <w:b/>
          <w:spacing w:val="-2"/>
        </w:rPr>
        <w:t>6</w:t>
      </w:r>
    </w:p>
    <w:p w14:paraId="5B1A2D01" w14:textId="77777777" w:rsidR="00822CE0" w:rsidRDefault="00822CE0"/>
    <w:p w14:paraId="163D53E3" w14:textId="77777777" w:rsidR="004C2EE3" w:rsidRDefault="004C2EE3">
      <w:pPr>
        <w:rPr>
          <w:spacing w:val="-2"/>
        </w:rPr>
      </w:pPr>
      <w:r>
        <w:t xml:space="preserve">By </w:t>
      </w:r>
      <w:r w:rsidR="004E4A22">
        <w:t>the</w:t>
      </w:r>
      <w:r w:rsidR="002A2D2E">
        <w:t xml:space="preserve"> </w:t>
      </w:r>
      <w:r w:rsidR="00F1456D">
        <w:rPr>
          <w:spacing w:val="-2"/>
        </w:rPr>
        <w:t>Commission</w:t>
      </w:r>
      <w:r>
        <w:rPr>
          <w:spacing w:val="-2"/>
        </w:rPr>
        <w:t>:</w:t>
      </w:r>
      <w:r w:rsidR="00120CCF">
        <w:rPr>
          <w:spacing w:val="-2"/>
        </w:rPr>
        <w:t xml:space="preserve"> </w:t>
      </w:r>
      <w:r w:rsidR="00AC2621">
        <w:rPr>
          <w:spacing w:val="-2"/>
        </w:rPr>
        <w:t xml:space="preserve"> </w:t>
      </w:r>
    </w:p>
    <w:p w14:paraId="49C7DABF" w14:textId="77777777" w:rsidR="00822CE0" w:rsidRDefault="00822CE0">
      <w:pPr>
        <w:rPr>
          <w:spacing w:val="-2"/>
        </w:rPr>
      </w:pPr>
    </w:p>
    <w:p w14:paraId="131F9C78" w14:textId="77777777" w:rsidR="002C00E8" w:rsidRDefault="00FB237A" w:rsidP="002C00E8">
      <w:pPr>
        <w:pStyle w:val="Heading1"/>
      </w:pPr>
      <w:bookmarkStart w:id="1" w:name="_Toc398816946"/>
      <w:r>
        <w:t>introduction</w:t>
      </w:r>
      <w:bookmarkEnd w:id="1"/>
    </w:p>
    <w:p w14:paraId="3EC25B38" w14:textId="1E04D650" w:rsidR="00FB237A" w:rsidRPr="00564A9C" w:rsidRDefault="00FB237A" w:rsidP="00FB237A">
      <w:pPr>
        <w:pStyle w:val="ParaNum"/>
      </w:pPr>
      <w:r w:rsidRPr="00564A9C">
        <w:t xml:space="preserve">In this Declaratory Ruling, we </w:t>
      </w:r>
      <w:r w:rsidR="00AC0A81">
        <w:t>determine that</w:t>
      </w:r>
      <w:r w:rsidR="00AC2621">
        <w:t xml:space="preserve"> the Spectrum Act’s reimbursement mandate </w:t>
      </w:r>
      <w:r w:rsidR="007B5EFA">
        <w:t>encompass</w:t>
      </w:r>
      <w:r w:rsidR="00AC0A81">
        <w:t>es</w:t>
      </w:r>
      <w:r w:rsidR="00AC2621">
        <w:t xml:space="preserve"> “costs reasonably incurred” prior to the </w:t>
      </w:r>
      <w:r w:rsidR="005F1C27">
        <w:t xml:space="preserve">close of the </w:t>
      </w:r>
      <w:r w:rsidR="00AC2621">
        <w:t>auction that otherwise are eligible for reimbursement.</w:t>
      </w:r>
      <w:r w:rsidRPr="00564A9C">
        <w:rPr>
          <w:sz w:val="20"/>
          <w:vertAlign w:val="superscript"/>
        </w:rPr>
        <w:footnoteReference w:id="2"/>
      </w:r>
      <w:r w:rsidRPr="00564A9C">
        <w:t xml:space="preserve">  We take this action in order to remove uncertainty regarding the</w:t>
      </w:r>
      <w:r w:rsidR="00D6230D">
        <w:t xml:space="preserve"> eligibility of expenses</w:t>
      </w:r>
      <w:r w:rsidR="005F1C27">
        <w:t xml:space="preserve"> incurred before and during the auction</w:t>
      </w:r>
      <w:r w:rsidR="00D6230D">
        <w:t xml:space="preserve"> for reimbursement</w:t>
      </w:r>
      <w:r w:rsidRPr="00564A9C">
        <w:t>.</w:t>
      </w:r>
      <w:r w:rsidR="00756B96">
        <w:rPr>
          <w:rStyle w:val="FootnoteReference"/>
        </w:rPr>
        <w:footnoteReference w:id="3"/>
      </w:r>
      <w:r w:rsidR="00FF0DAC">
        <w:t xml:space="preserve">  Of course, only stations that ultimately are reassigned to a new channel in their </w:t>
      </w:r>
      <w:r w:rsidR="00A24E14">
        <w:t xml:space="preserve">pre-auction </w:t>
      </w:r>
      <w:r w:rsidR="00FF0DAC">
        <w:t xml:space="preserve">band in the repacking process will be eligible for reimbursement of </w:t>
      </w:r>
      <w:r w:rsidR="005F1C27">
        <w:t xml:space="preserve">such </w:t>
      </w:r>
      <w:r w:rsidR="00FF0DAC">
        <w:t>expenses, which will be subject to the same reimbursement process as post-auction expenses.</w:t>
      </w:r>
      <w:r w:rsidRPr="00564A9C">
        <w:t xml:space="preserve">  </w:t>
      </w:r>
      <w:r w:rsidR="00800C10">
        <w:t>B</w:t>
      </w:r>
      <w:r w:rsidR="00D6230D">
        <w:t xml:space="preserve">y </w:t>
      </w:r>
      <w:r w:rsidR="005F1C27">
        <w:t xml:space="preserve">allowing </w:t>
      </w:r>
      <w:r w:rsidR="00D6230D">
        <w:t xml:space="preserve">broadcasters to </w:t>
      </w:r>
      <w:r w:rsidR="008430D3">
        <w:t>get a jump start</w:t>
      </w:r>
      <w:r w:rsidR="002E15FE">
        <w:t xml:space="preserve"> on the relocation process, </w:t>
      </w:r>
      <w:r w:rsidR="00800C10">
        <w:t xml:space="preserve">this </w:t>
      </w:r>
      <w:r w:rsidR="00FF0DAC">
        <w:t xml:space="preserve">Ruling </w:t>
      </w:r>
      <w:r w:rsidR="002E15FE">
        <w:t>will promote a rapid, non-disruptive transition following the broadcast television spectrum incentive auction</w:t>
      </w:r>
      <w:r w:rsidR="008430D3">
        <w:t>.</w:t>
      </w:r>
      <w:r w:rsidRPr="00564A9C">
        <w:rPr>
          <w:sz w:val="20"/>
          <w:vertAlign w:val="superscript"/>
        </w:rPr>
        <w:footnoteReference w:id="4"/>
      </w:r>
      <w:r w:rsidRPr="00564A9C">
        <w:t xml:space="preserve"> </w:t>
      </w:r>
    </w:p>
    <w:p w14:paraId="413252F4" w14:textId="77777777" w:rsidR="00FB237A" w:rsidRPr="00564A9C" w:rsidRDefault="00FB237A" w:rsidP="00FB237A">
      <w:pPr>
        <w:pStyle w:val="Heading1"/>
      </w:pPr>
      <w:bookmarkStart w:id="2" w:name="_Toc397610968"/>
      <w:bookmarkStart w:id="3" w:name="_Toc397962818"/>
      <w:bookmarkStart w:id="4" w:name="_Toc398023596"/>
      <w:bookmarkStart w:id="5" w:name="_Toc398816947"/>
      <w:r w:rsidRPr="00564A9C">
        <w:t>Background</w:t>
      </w:r>
      <w:bookmarkEnd w:id="2"/>
      <w:bookmarkEnd w:id="3"/>
      <w:bookmarkEnd w:id="4"/>
      <w:bookmarkEnd w:id="5"/>
    </w:p>
    <w:p w14:paraId="42A52BCA" w14:textId="7F955C77" w:rsidR="009D3969" w:rsidRDefault="0076228D" w:rsidP="00FF0DAC">
      <w:pPr>
        <w:pStyle w:val="ParaNum"/>
      </w:pPr>
      <w:r w:rsidRPr="005842F0">
        <w:t xml:space="preserve">The Spectrum Act requires the Commission to reimburse broadcast television licensees and </w:t>
      </w:r>
      <w:r>
        <w:t>multichannel video programming distributors (</w:t>
      </w:r>
      <w:r w:rsidRPr="005842F0">
        <w:t>MVPDs</w:t>
      </w:r>
      <w:r>
        <w:t>)</w:t>
      </w:r>
      <w:r w:rsidR="00800C10">
        <w:t>, respectively,</w:t>
      </w:r>
      <w:r w:rsidRPr="005842F0">
        <w:t xml:space="preserve"> for </w:t>
      </w:r>
      <w:r w:rsidR="0059033C">
        <w:t>“</w:t>
      </w:r>
      <w:r w:rsidR="00800C10" w:rsidRPr="005842F0">
        <w:t xml:space="preserve">costs reasonably incurred” in relocating to new channels assigned in the repacking process </w:t>
      </w:r>
      <w:r w:rsidR="00800C10">
        <w:t xml:space="preserve">and </w:t>
      </w:r>
      <w:r w:rsidRPr="005842F0">
        <w:t>in order to continue to carry the signals of stations relocating to new channels.</w:t>
      </w:r>
      <w:r w:rsidRPr="005842F0">
        <w:rPr>
          <w:rStyle w:val="FootnoteReference"/>
          <w:szCs w:val="22"/>
        </w:rPr>
        <w:footnoteReference w:id="5"/>
      </w:r>
      <w:r w:rsidRPr="005842F0">
        <w:t xml:space="preserve">  </w:t>
      </w:r>
      <w:r w:rsidR="00800C10">
        <w:t>R</w:t>
      </w:r>
      <w:r w:rsidRPr="005842F0">
        <w:t xml:space="preserve">eimbursements </w:t>
      </w:r>
      <w:r w:rsidR="00800C10">
        <w:t xml:space="preserve">must </w:t>
      </w:r>
      <w:r w:rsidRPr="005842F0">
        <w:t xml:space="preserve">be made from the </w:t>
      </w:r>
      <w:r w:rsidR="00800C10">
        <w:t xml:space="preserve">$1.75 billion </w:t>
      </w:r>
      <w:r w:rsidRPr="005842F0">
        <w:t>TV Broadcaster Relocation Fund</w:t>
      </w:r>
      <w:r w:rsidR="009B662D">
        <w:t xml:space="preserve"> (Fund)</w:t>
      </w:r>
      <w:r w:rsidRPr="005842F0">
        <w:t xml:space="preserve"> </w:t>
      </w:r>
      <w:r w:rsidR="00160DBF">
        <w:t>within three years of</w:t>
      </w:r>
      <w:r w:rsidRPr="005842F0">
        <w:t xml:space="preserve"> complet</w:t>
      </w:r>
      <w:r w:rsidR="00160DBF">
        <w:t>ion of the forward auction</w:t>
      </w:r>
      <w:r w:rsidRPr="005842F0">
        <w:t>.</w:t>
      </w:r>
      <w:r w:rsidRPr="005842F0">
        <w:rPr>
          <w:rStyle w:val="FootnoteReference"/>
          <w:szCs w:val="22"/>
        </w:rPr>
        <w:footnoteReference w:id="6"/>
      </w:r>
      <w:r w:rsidR="003371ED">
        <w:t xml:space="preserve">  </w:t>
      </w:r>
    </w:p>
    <w:p w14:paraId="558DB35B" w14:textId="77777777" w:rsidR="009D3969" w:rsidRDefault="003371ED" w:rsidP="009D3969">
      <w:pPr>
        <w:pStyle w:val="ParaNum"/>
      </w:pPr>
      <w:r>
        <w:t xml:space="preserve">In the </w:t>
      </w:r>
      <w:r w:rsidRPr="003371ED">
        <w:rPr>
          <w:i/>
        </w:rPr>
        <w:t>Incentive Auction R&amp;O</w:t>
      </w:r>
      <w:r>
        <w:t xml:space="preserve">, the Commission established a </w:t>
      </w:r>
      <w:r w:rsidR="007B11E5">
        <w:t>process</w:t>
      </w:r>
      <w:r w:rsidR="009B662D">
        <w:t xml:space="preserve"> </w:t>
      </w:r>
      <w:r>
        <w:t xml:space="preserve">that </w:t>
      </w:r>
      <w:r w:rsidR="007B11E5">
        <w:t>requires</w:t>
      </w:r>
      <w:r w:rsidR="0059033C">
        <w:t xml:space="preserve"> eligible entities </w:t>
      </w:r>
      <w:r w:rsidR="007B11E5">
        <w:t xml:space="preserve">seeking reimbursement to provide an estimate of their eligible costs following the </w:t>
      </w:r>
      <w:r w:rsidR="009B662D">
        <w:t xml:space="preserve">close of the forward auction and the </w:t>
      </w:r>
      <w:r w:rsidR="007B11E5">
        <w:t xml:space="preserve">release of the </w:t>
      </w:r>
      <w:r w:rsidR="007B11E5" w:rsidRPr="003371ED">
        <w:rPr>
          <w:i/>
        </w:rPr>
        <w:t>Channel Reassignment PN</w:t>
      </w:r>
      <w:r w:rsidR="007B11E5">
        <w:t>.</w:t>
      </w:r>
      <w:r w:rsidR="007B11E5">
        <w:rPr>
          <w:rStyle w:val="FootnoteReference"/>
        </w:rPr>
        <w:footnoteReference w:id="7"/>
      </w:r>
      <w:r w:rsidR="007B11E5">
        <w:t xml:space="preserve">  The Media Bureau (Bureau) will </w:t>
      </w:r>
      <w:r w:rsidR="007B11E5">
        <w:lastRenderedPageBreak/>
        <w:t>r</w:t>
      </w:r>
      <w:r w:rsidR="009B662D">
        <w:t>eview the estimates based on a</w:t>
      </w:r>
      <w:r w:rsidR="007B11E5">
        <w:t xml:space="preserve"> Catalog of Eligible Expenses.</w:t>
      </w:r>
      <w:r w:rsidR="007B11E5">
        <w:rPr>
          <w:rStyle w:val="FootnoteReference"/>
        </w:rPr>
        <w:footnoteReference w:id="8"/>
      </w:r>
      <w:r w:rsidR="006B5C06">
        <w:t xml:space="preserve">  The Catalog provide</w:t>
      </w:r>
      <w:r w:rsidR="00571846">
        <w:t>s</w:t>
      </w:r>
      <w:r w:rsidR="0059033C">
        <w:t xml:space="preserve"> </w:t>
      </w:r>
      <w:r w:rsidR="006B5C06">
        <w:t xml:space="preserve">guidance regarding the kinds and amounts of expenses that will be reimbursed, but </w:t>
      </w:r>
      <w:r w:rsidR="00571846">
        <w:t>“[a]ll claimed expenses are subject to review by the Media Bureau to ensure that each expense is reasonable.”</w:t>
      </w:r>
      <w:r w:rsidR="00571846">
        <w:rPr>
          <w:rStyle w:val="FootnoteReference"/>
        </w:rPr>
        <w:footnoteReference w:id="9"/>
      </w:r>
      <w:r w:rsidR="009B662D">
        <w:t xml:space="preserve">  After reviewing </w:t>
      </w:r>
      <w:r w:rsidR="00571846">
        <w:t xml:space="preserve">cost </w:t>
      </w:r>
      <w:r w:rsidR="009B662D">
        <w:t>estimates, the Bureau will</w:t>
      </w:r>
      <w:r w:rsidR="00571846">
        <w:t xml:space="preserve"> allocate funds to</w:t>
      </w:r>
      <w:r w:rsidR="009B662D">
        <w:t xml:space="preserve"> each eligible </w:t>
      </w:r>
      <w:r w:rsidR="0059033C">
        <w:t>entity</w:t>
      </w:r>
      <w:r w:rsidR="00571846">
        <w:t xml:space="preserve">, and reimbursement will be available from the allocated funds </w:t>
      </w:r>
      <w:r w:rsidR="009B662D">
        <w:t xml:space="preserve">as </w:t>
      </w:r>
      <w:r w:rsidR="00571846">
        <w:t>expenses are incurred</w:t>
      </w:r>
      <w:r w:rsidR="009B662D">
        <w:t>.</w:t>
      </w:r>
      <w:r w:rsidR="009B662D">
        <w:rPr>
          <w:rStyle w:val="FootnoteReference"/>
        </w:rPr>
        <w:footnoteReference w:id="10"/>
      </w:r>
      <w:r w:rsidR="009B662D" w:rsidRPr="005842F0">
        <w:t xml:space="preserve">  Prio</w:t>
      </w:r>
      <w:r w:rsidR="00571846">
        <w:t>r to the end of the three-year r</w:t>
      </w:r>
      <w:r w:rsidR="009B662D" w:rsidRPr="005842F0">
        <w:t>eimbursement</w:t>
      </w:r>
      <w:r w:rsidR="00571846">
        <w:t xml:space="preserve"> p</w:t>
      </w:r>
      <w:r w:rsidR="009B662D" w:rsidRPr="005842F0">
        <w:t xml:space="preserve">eriod, </w:t>
      </w:r>
      <w:r w:rsidR="00EB5652">
        <w:t xml:space="preserve">eligible </w:t>
      </w:r>
      <w:r w:rsidR="009B662D" w:rsidRPr="005842F0">
        <w:t>entities will</w:t>
      </w:r>
      <w:r w:rsidR="00EB5652">
        <w:t xml:space="preserve"> be required to</w:t>
      </w:r>
      <w:r w:rsidR="009B662D" w:rsidRPr="005842F0">
        <w:t xml:space="preserve"> provide information regarding their actual </w:t>
      </w:r>
      <w:r w:rsidR="009B662D">
        <w:t xml:space="preserve">and remaining estimated </w:t>
      </w:r>
      <w:r w:rsidR="009B662D" w:rsidRPr="005842F0">
        <w:t xml:space="preserve">costs and will be issued a final </w:t>
      </w:r>
      <w:r w:rsidR="009B662D">
        <w:t>allocation</w:t>
      </w:r>
      <w:r w:rsidR="009B662D" w:rsidRPr="005842F0">
        <w:t>, if appropriate, to cover the remainder of their eligible costs.</w:t>
      </w:r>
      <w:r w:rsidR="00571846">
        <w:rPr>
          <w:rStyle w:val="FootnoteReference"/>
        </w:rPr>
        <w:footnoteReference w:id="11"/>
      </w:r>
      <w:r w:rsidR="009D3969">
        <w:t xml:space="preserve">  </w:t>
      </w:r>
    </w:p>
    <w:p w14:paraId="38269522" w14:textId="77777777" w:rsidR="009D3969" w:rsidRDefault="009D3969" w:rsidP="009D3969">
      <w:pPr>
        <w:pStyle w:val="ParaNum"/>
      </w:pPr>
      <w:r>
        <w:t xml:space="preserve">We did not address </w:t>
      </w:r>
      <w:r w:rsidR="00EB5652">
        <w:t xml:space="preserve">in the </w:t>
      </w:r>
      <w:r w:rsidR="00EB5652" w:rsidRPr="009D3969">
        <w:rPr>
          <w:i/>
        </w:rPr>
        <w:t xml:space="preserve">Incentive Auction R&amp;O </w:t>
      </w:r>
      <w:r w:rsidR="00EB5652">
        <w:t xml:space="preserve">whether pre-auction expenses are eligible for reimbursement.  We </w:t>
      </w:r>
      <w:r>
        <w:t xml:space="preserve">did </w:t>
      </w:r>
      <w:r w:rsidR="00EB5652">
        <w:t>state</w:t>
      </w:r>
      <w:r>
        <w:t xml:space="preserve"> </w:t>
      </w:r>
      <w:r w:rsidR="00EB5652">
        <w:t>that “[w]e interpret the Spectrum Act’s mandate to reimburse ‘costs reasonably incurred’ to require that we reimburse costs that are reasonable to provide facilities comparable to those that a broadcaster or MVPD had prior to the auction that are reasonably replaced or modified following the auction, as a result of the repacking process, in order to allow the broadcaster to operate on a new channel or to allow the MVPD to carry the signal of a broadcaster on a new channel.”</w:t>
      </w:r>
      <w:r w:rsidR="00EB5652">
        <w:rPr>
          <w:rStyle w:val="FootnoteReference"/>
        </w:rPr>
        <w:footnoteReference w:id="12"/>
      </w:r>
      <w:r w:rsidR="00EB5652">
        <w:t xml:space="preserve">  </w:t>
      </w:r>
    </w:p>
    <w:p w14:paraId="3B34027B" w14:textId="58848A5E" w:rsidR="00FB237A" w:rsidRPr="00564A9C" w:rsidRDefault="009D3969" w:rsidP="009D3969">
      <w:pPr>
        <w:pStyle w:val="ParaNum"/>
      </w:pPr>
      <w:r>
        <w:t>I</w:t>
      </w:r>
      <w:r w:rsidR="00BE48CD">
        <w:t xml:space="preserve">nterested parties </w:t>
      </w:r>
      <w:r w:rsidR="00BA2753">
        <w:t xml:space="preserve">have </w:t>
      </w:r>
      <w:r w:rsidR="00BE48CD">
        <w:t>ask</w:t>
      </w:r>
      <w:r>
        <w:t>ed</w:t>
      </w:r>
      <w:r w:rsidR="00BE48CD">
        <w:t xml:space="preserve"> for clarification </w:t>
      </w:r>
      <w:r w:rsidR="00BA2753">
        <w:t xml:space="preserve">whether expenses </w:t>
      </w:r>
      <w:r w:rsidR="005F1C27">
        <w:t xml:space="preserve">incurred before the auction closes and the repacking results are announced </w:t>
      </w:r>
      <w:r w:rsidR="00BA2753">
        <w:t xml:space="preserve">are eligible for reimbursement, explaining that uncertainty </w:t>
      </w:r>
      <w:r w:rsidR="0059033C">
        <w:t>regarding</w:t>
      </w:r>
      <w:r w:rsidR="00BA2753">
        <w:t xml:space="preserve"> this </w:t>
      </w:r>
      <w:r>
        <w:t>issue</w:t>
      </w:r>
      <w:r w:rsidR="00BA2753">
        <w:t xml:space="preserve"> discourages </w:t>
      </w:r>
      <w:r w:rsidR="0059033C">
        <w:t>advance work that could be performed</w:t>
      </w:r>
      <w:r w:rsidR="00BA2753">
        <w:t xml:space="preserve"> to expedite the post-auction transition for stations that are reassigned to new channels.  </w:t>
      </w:r>
      <w:r w:rsidR="00BA2753" w:rsidRPr="00771DF8">
        <w:t xml:space="preserve">On November 9, 2015, </w:t>
      </w:r>
      <w:r w:rsidR="00BA2753">
        <w:t xml:space="preserve">for example, </w:t>
      </w:r>
      <w:r w:rsidR="001F52AF">
        <w:t xml:space="preserve">the </w:t>
      </w:r>
      <w:r w:rsidR="00BA2753" w:rsidRPr="00771DF8">
        <w:t xml:space="preserve">American Tower Corporation </w:t>
      </w:r>
      <w:r>
        <w:t>ask</w:t>
      </w:r>
      <w:r w:rsidR="00BA2753">
        <w:t>ed</w:t>
      </w:r>
      <w:r>
        <w:t xml:space="preserve"> for</w:t>
      </w:r>
      <w:r w:rsidR="00BA2753">
        <w:t xml:space="preserve"> “</w:t>
      </w:r>
      <w:r w:rsidR="00BA2753" w:rsidRPr="0008661E">
        <w:t>a Commission statement that if an expense would be eligible for</w:t>
      </w:r>
      <w:r w:rsidR="00BA2753">
        <w:t xml:space="preserve"> </w:t>
      </w:r>
      <w:r w:rsidR="00BA2753" w:rsidRPr="0008661E">
        <w:t>reimbursement if it were incurred during the 39-month repack period, that same expense also</w:t>
      </w:r>
      <w:r w:rsidR="00BA2753">
        <w:t xml:space="preserve"> </w:t>
      </w:r>
      <w:r w:rsidR="00BA2753" w:rsidRPr="0008661E">
        <w:t>would be eligible for reimbursement if the work was started or completed prior to the</w:t>
      </w:r>
      <w:r w:rsidR="00BA2753">
        <w:t xml:space="preserve"> </w:t>
      </w:r>
      <w:r w:rsidR="00BA2753" w:rsidRPr="0008661E">
        <w:t>commencemen</w:t>
      </w:r>
      <w:r w:rsidR="00BA2753">
        <w:t>t of the 39-month repack period.</w:t>
      </w:r>
      <w:r w:rsidR="001F52AF">
        <w:t>”</w:t>
      </w:r>
      <w:r w:rsidR="001F52AF" w:rsidRPr="00771DF8">
        <w:rPr>
          <w:rStyle w:val="FootnoteReference"/>
          <w:szCs w:val="22"/>
        </w:rPr>
        <w:footnoteReference w:id="13"/>
      </w:r>
      <w:r w:rsidR="001F52AF">
        <w:t xml:space="preserve">  </w:t>
      </w:r>
      <w:r w:rsidR="00906520">
        <w:t>Resolution of this issue</w:t>
      </w:r>
      <w:r w:rsidR="001F52AF">
        <w:t xml:space="preserve">, </w:t>
      </w:r>
      <w:r w:rsidR="00906520">
        <w:t>it</w:t>
      </w:r>
      <w:r w:rsidR="001F52AF">
        <w:t xml:space="preserve"> </w:t>
      </w:r>
      <w:r w:rsidR="00BA2753">
        <w:t>state</w:t>
      </w:r>
      <w:r w:rsidR="001F52AF">
        <w:t xml:space="preserve">s, would enable it to </w:t>
      </w:r>
      <w:r w:rsidR="00BA2753" w:rsidRPr="00771DF8">
        <w:t>“perform pre-repack work such as tower mapping and structural analysis starting now</w:t>
      </w:r>
      <w:r w:rsidR="00BA2753">
        <w:t>.</w:t>
      </w:r>
      <w:r w:rsidR="00BA2753" w:rsidRPr="00771DF8">
        <w:t>”</w:t>
      </w:r>
      <w:r w:rsidR="001F52AF">
        <w:rPr>
          <w:rStyle w:val="FootnoteReference"/>
        </w:rPr>
        <w:footnoteReference w:id="14"/>
      </w:r>
      <w:r w:rsidR="00B42B94">
        <w:t xml:space="preserve">  Other parties have made similar requests for clarification.</w:t>
      </w:r>
      <w:r w:rsidR="00B42B94">
        <w:rPr>
          <w:rStyle w:val="FootnoteReference"/>
        </w:rPr>
        <w:footnoteReference w:id="15"/>
      </w:r>
    </w:p>
    <w:p w14:paraId="55500D50" w14:textId="77777777" w:rsidR="00FB237A" w:rsidRPr="00564A9C" w:rsidRDefault="00FB237A" w:rsidP="00FB237A">
      <w:pPr>
        <w:pStyle w:val="Heading1"/>
      </w:pPr>
      <w:bookmarkStart w:id="6" w:name="_Toc397610969"/>
      <w:bookmarkStart w:id="7" w:name="_Toc397962819"/>
      <w:bookmarkStart w:id="8" w:name="_Toc398023597"/>
      <w:bookmarkStart w:id="9" w:name="_Toc398816948"/>
      <w:r w:rsidRPr="00564A9C">
        <w:lastRenderedPageBreak/>
        <w:t>Discussion</w:t>
      </w:r>
      <w:bookmarkEnd w:id="6"/>
      <w:bookmarkEnd w:id="7"/>
      <w:bookmarkEnd w:id="8"/>
      <w:bookmarkEnd w:id="9"/>
    </w:p>
    <w:p w14:paraId="7B1B8DBA" w14:textId="453F535F" w:rsidR="00C642D0" w:rsidRPr="00C642D0" w:rsidRDefault="00CA73B1" w:rsidP="00DC193F">
      <w:pPr>
        <w:pStyle w:val="ParaNum"/>
      </w:pPr>
      <w:r>
        <w:t>W</w:t>
      </w:r>
      <w:r w:rsidRPr="00564A9C">
        <w:t xml:space="preserve">e </w:t>
      </w:r>
      <w:r>
        <w:t xml:space="preserve">interpret the </w:t>
      </w:r>
      <w:r w:rsidR="00BE48CD">
        <w:t>statutory</w:t>
      </w:r>
      <w:r>
        <w:t xml:space="preserve"> reimbursement mandate to </w:t>
      </w:r>
      <w:r w:rsidR="00967D66">
        <w:t xml:space="preserve">include </w:t>
      </w:r>
      <w:r>
        <w:t xml:space="preserve">“costs reasonably incurred” </w:t>
      </w:r>
      <w:r w:rsidR="005F1C27">
        <w:t>before and during</w:t>
      </w:r>
      <w:r>
        <w:t xml:space="preserve"> the auction that otherwise are eligible for reimbursement.  </w:t>
      </w:r>
      <w:r w:rsidRPr="00771DF8">
        <w:rPr>
          <w:color w:val="000000" w:themeColor="text1"/>
          <w:szCs w:val="22"/>
        </w:rPr>
        <w:t>Section 1452(b)(4)</w:t>
      </w:r>
      <w:r w:rsidR="00732F09">
        <w:rPr>
          <w:color w:val="000000" w:themeColor="text1"/>
          <w:szCs w:val="22"/>
        </w:rPr>
        <w:t>(A)</w:t>
      </w:r>
      <w:r w:rsidRPr="00771DF8">
        <w:rPr>
          <w:color w:val="000000" w:themeColor="text1"/>
          <w:szCs w:val="22"/>
        </w:rPr>
        <w:t xml:space="preserve"> defines</w:t>
      </w:r>
      <w:r>
        <w:rPr>
          <w:color w:val="000000" w:themeColor="text1"/>
          <w:szCs w:val="22"/>
        </w:rPr>
        <w:t xml:space="preserve"> which </w:t>
      </w:r>
      <w:r w:rsidR="00BE48CD">
        <w:rPr>
          <w:color w:val="000000" w:themeColor="text1"/>
          <w:szCs w:val="22"/>
        </w:rPr>
        <w:t>entitie</w:t>
      </w:r>
      <w:r>
        <w:rPr>
          <w:color w:val="000000" w:themeColor="text1"/>
          <w:szCs w:val="22"/>
        </w:rPr>
        <w:t>s are</w:t>
      </w:r>
      <w:r w:rsidRPr="00771DF8">
        <w:rPr>
          <w:color w:val="000000" w:themeColor="text1"/>
          <w:szCs w:val="22"/>
        </w:rPr>
        <w:t xml:space="preserve"> eligible for reimbursement (</w:t>
      </w:r>
      <w:r w:rsidR="00BE48CD">
        <w:rPr>
          <w:i/>
          <w:color w:val="000000" w:themeColor="text1"/>
          <w:szCs w:val="22"/>
        </w:rPr>
        <w:t>e.g.</w:t>
      </w:r>
      <w:r w:rsidR="00BE48CD">
        <w:rPr>
          <w:color w:val="000000" w:themeColor="text1"/>
          <w:szCs w:val="22"/>
        </w:rPr>
        <w:t>,</w:t>
      </w:r>
      <w:r w:rsidR="00BE48CD">
        <w:rPr>
          <w:i/>
          <w:color w:val="000000" w:themeColor="text1"/>
          <w:szCs w:val="22"/>
        </w:rPr>
        <w:t xml:space="preserve"> </w:t>
      </w:r>
      <w:r w:rsidRPr="00771DF8">
        <w:rPr>
          <w:color w:val="000000" w:themeColor="text1"/>
          <w:szCs w:val="22"/>
        </w:rPr>
        <w:t>“a broadcast television licensee that was reassigned”</w:t>
      </w:r>
      <w:r w:rsidR="00732F09">
        <w:rPr>
          <w:color w:val="000000" w:themeColor="text1"/>
          <w:szCs w:val="22"/>
        </w:rPr>
        <w:t xml:space="preserve"> in the repacking process</w:t>
      </w:r>
      <w:r w:rsidRPr="00771DF8">
        <w:rPr>
          <w:color w:val="000000" w:themeColor="text1"/>
          <w:szCs w:val="22"/>
        </w:rPr>
        <w:t>) and what</w:t>
      </w:r>
      <w:r>
        <w:rPr>
          <w:color w:val="000000" w:themeColor="text1"/>
          <w:szCs w:val="22"/>
        </w:rPr>
        <w:t xml:space="preserve"> expenses</w:t>
      </w:r>
      <w:r w:rsidRPr="00771DF8">
        <w:rPr>
          <w:color w:val="000000" w:themeColor="text1"/>
          <w:szCs w:val="22"/>
        </w:rPr>
        <w:t xml:space="preserve"> </w:t>
      </w:r>
      <w:r>
        <w:rPr>
          <w:color w:val="000000" w:themeColor="text1"/>
          <w:szCs w:val="22"/>
        </w:rPr>
        <w:t>are</w:t>
      </w:r>
      <w:r w:rsidRPr="00771DF8">
        <w:rPr>
          <w:color w:val="000000" w:themeColor="text1"/>
          <w:szCs w:val="22"/>
        </w:rPr>
        <w:t xml:space="preserve"> eligible </w:t>
      </w:r>
      <w:r>
        <w:rPr>
          <w:color w:val="000000" w:themeColor="text1"/>
          <w:szCs w:val="22"/>
        </w:rPr>
        <w:t>(</w:t>
      </w:r>
      <w:r w:rsidR="00BE48CD">
        <w:rPr>
          <w:i/>
          <w:color w:val="000000" w:themeColor="text1"/>
          <w:szCs w:val="22"/>
        </w:rPr>
        <w:t>e.g.</w:t>
      </w:r>
      <w:r w:rsidR="00BE48CD">
        <w:rPr>
          <w:color w:val="000000" w:themeColor="text1"/>
          <w:szCs w:val="22"/>
        </w:rPr>
        <w:t>, “costs reasonably incurred …</w:t>
      </w:r>
      <w:r w:rsidRPr="00771DF8">
        <w:rPr>
          <w:color w:val="000000" w:themeColor="text1"/>
          <w:szCs w:val="22"/>
        </w:rPr>
        <w:t xml:space="preserve"> in order for the licensee to relocate its television service from one channel to the other”).</w:t>
      </w:r>
      <w:r>
        <w:rPr>
          <w:rStyle w:val="FootnoteReference"/>
          <w:szCs w:val="22"/>
        </w:rPr>
        <w:footnoteReference w:id="16"/>
      </w:r>
      <w:r w:rsidRPr="00771DF8">
        <w:rPr>
          <w:color w:val="000000" w:themeColor="text1"/>
          <w:szCs w:val="22"/>
        </w:rPr>
        <w:t xml:space="preserve">  </w:t>
      </w:r>
      <w:r w:rsidR="0007704B">
        <w:rPr>
          <w:color w:val="000000" w:themeColor="text1"/>
          <w:szCs w:val="22"/>
        </w:rPr>
        <w:t>Although the statute imposes a deadline on when the Commission makes reimbursements,</w:t>
      </w:r>
      <w:r w:rsidR="0007704B">
        <w:rPr>
          <w:rStyle w:val="FootnoteReference"/>
          <w:szCs w:val="22"/>
        </w:rPr>
        <w:footnoteReference w:id="17"/>
      </w:r>
      <w:r w:rsidR="0007704B">
        <w:rPr>
          <w:color w:val="000000" w:themeColor="text1"/>
          <w:szCs w:val="22"/>
        </w:rPr>
        <w:t xml:space="preserve"> it contains no temporal restriction on when expenses are incurred or when</w:t>
      </w:r>
      <w:r w:rsidR="0015327B">
        <w:rPr>
          <w:color w:val="000000" w:themeColor="text1"/>
          <w:szCs w:val="22"/>
        </w:rPr>
        <w:t xml:space="preserve"> faci</w:t>
      </w:r>
      <w:r w:rsidR="0059033C">
        <w:rPr>
          <w:color w:val="000000" w:themeColor="text1"/>
          <w:szCs w:val="22"/>
        </w:rPr>
        <w:t xml:space="preserve">lities </w:t>
      </w:r>
      <w:r w:rsidR="0007704B">
        <w:rPr>
          <w:color w:val="000000" w:themeColor="text1"/>
          <w:szCs w:val="22"/>
        </w:rPr>
        <w:t xml:space="preserve">are </w:t>
      </w:r>
      <w:r w:rsidR="0059033C">
        <w:rPr>
          <w:color w:val="000000" w:themeColor="text1"/>
          <w:szCs w:val="22"/>
        </w:rPr>
        <w:t>modified or replaced</w:t>
      </w:r>
      <w:r w:rsidR="0007704B">
        <w:rPr>
          <w:color w:val="000000" w:themeColor="text1"/>
          <w:szCs w:val="22"/>
        </w:rPr>
        <w:t>.  Accordingly, we interpret the statute to cover pre-auction expenses that otherwise are eligible for reimbursement</w:t>
      </w:r>
      <w:r w:rsidR="00BE48CD">
        <w:rPr>
          <w:color w:val="000000" w:themeColor="text1"/>
          <w:szCs w:val="22"/>
        </w:rPr>
        <w:t>.</w:t>
      </w:r>
      <w:r w:rsidR="00BE48CD">
        <w:rPr>
          <w:rStyle w:val="FootnoteReference"/>
        </w:rPr>
        <w:footnoteReference w:id="18"/>
      </w:r>
      <w:r w:rsidR="00BE48CD">
        <w:rPr>
          <w:color w:val="000000" w:themeColor="text1"/>
          <w:szCs w:val="22"/>
        </w:rPr>
        <w:t xml:space="preserve">  </w:t>
      </w:r>
    </w:p>
    <w:p w14:paraId="6B190657" w14:textId="77777777" w:rsidR="00A15FEB" w:rsidRPr="00A15FEB" w:rsidRDefault="00BE48CD" w:rsidP="00DC193F">
      <w:pPr>
        <w:pStyle w:val="ParaNum"/>
      </w:pPr>
      <w:r>
        <w:rPr>
          <w:color w:val="000000" w:themeColor="text1"/>
          <w:szCs w:val="22"/>
        </w:rPr>
        <w:t xml:space="preserve">In addition to being consistent with the statutory language, treating pre-auction expenses as eligible for reimbursement </w:t>
      </w:r>
      <w:r w:rsidR="00352BD7">
        <w:rPr>
          <w:color w:val="000000" w:themeColor="text1"/>
          <w:szCs w:val="22"/>
        </w:rPr>
        <w:t>is consistent with</w:t>
      </w:r>
      <w:r>
        <w:rPr>
          <w:color w:val="000000" w:themeColor="text1"/>
          <w:szCs w:val="22"/>
        </w:rPr>
        <w:t xml:space="preserve"> the </w:t>
      </w:r>
      <w:r w:rsidR="00C642D0">
        <w:rPr>
          <w:color w:val="000000" w:themeColor="text1"/>
          <w:szCs w:val="22"/>
        </w:rPr>
        <w:t xml:space="preserve">statutory </w:t>
      </w:r>
      <w:r w:rsidR="00352BD7">
        <w:rPr>
          <w:color w:val="000000" w:themeColor="text1"/>
          <w:szCs w:val="22"/>
        </w:rPr>
        <w:t>purpose</w:t>
      </w:r>
      <w:r w:rsidR="001A312B">
        <w:rPr>
          <w:color w:val="000000" w:themeColor="text1"/>
          <w:szCs w:val="22"/>
        </w:rPr>
        <w:t xml:space="preserve"> of repurposing UHF spectrum for new licensed uses, which will be facilitated by a rapid, non-disruptive transition</w:t>
      </w:r>
      <w:r w:rsidR="00C642D0">
        <w:rPr>
          <w:color w:val="000000" w:themeColor="text1"/>
          <w:szCs w:val="22"/>
        </w:rPr>
        <w:t xml:space="preserve">.  As interested parties have explained, </w:t>
      </w:r>
      <w:r w:rsidR="00352BD7">
        <w:rPr>
          <w:color w:val="000000" w:themeColor="text1"/>
          <w:szCs w:val="22"/>
        </w:rPr>
        <w:t>making</w:t>
      </w:r>
      <w:r w:rsidR="00C642D0">
        <w:rPr>
          <w:color w:val="000000" w:themeColor="text1"/>
          <w:szCs w:val="22"/>
        </w:rPr>
        <w:t xml:space="preserve"> pre-auction expenses </w:t>
      </w:r>
      <w:r w:rsidR="00352BD7">
        <w:rPr>
          <w:color w:val="000000" w:themeColor="text1"/>
          <w:szCs w:val="22"/>
        </w:rPr>
        <w:t xml:space="preserve">eligible for reimbursement </w:t>
      </w:r>
      <w:r w:rsidR="00C642D0">
        <w:rPr>
          <w:color w:val="000000" w:themeColor="text1"/>
          <w:szCs w:val="22"/>
        </w:rPr>
        <w:t>will encourage performance of potentially reimbursable work before completion of the auction, providing a head start on what we have recognized will be a “complex and challenging” 39-month transition process for broadcasters.</w:t>
      </w:r>
      <w:r w:rsidR="00C642D0">
        <w:rPr>
          <w:rStyle w:val="FootnoteReference"/>
          <w:szCs w:val="22"/>
        </w:rPr>
        <w:footnoteReference w:id="19"/>
      </w:r>
      <w:r w:rsidR="00C642D0">
        <w:rPr>
          <w:color w:val="000000" w:themeColor="text1"/>
          <w:szCs w:val="22"/>
        </w:rPr>
        <w:t xml:space="preserve">  </w:t>
      </w:r>
    </w:p>
    <w:p w14:paraId="3A15157E" w14:textId="20094388" w:rsidR="00FB237A" w:rsidRPr="00FB237A" w:rsidRDefault="002C0BAA" w:rsidP="00B50F06">
      <w:pPr>
        <w:pStyle w:val="ParaNum"/>
      </w:pPr>
      <w:r>
        <w:t xml:space="preserve">Only stations that ultimately are reassigned to a new channel in their </w:t>
      </w:r>
      <w:r w:rsidR="00A24E14">
        <w:t xml:space="preserve">pre-auction </w:t>
      </w:r>
      <w:r>
        <w:t>band in the repacking process will be eligible for reimbursement of expenses</w:t>
      </w:r>
      <w:r w:rsidR="00967D66">
        <w:t xml:space="preserve"> incurred before and during the auction</w:t>
      </w:r>
      <w:r>
        <w:t xml:space="preserve">, which will be subject to the same reimbursement process as post-auction expenses.  </w:t>
      </w:r>
      <w:r w:rsidR="001A312B">
        <w:rPr>
          <w:color w:val="000000" w:themeColor="text1"/>
          <w:szCs w:val="22"/>
        </w:rPr>
        <w:t>As indicated above</w:t>
      </w:r>
      <w:r w:rsidR="00B01C8E">
        <w:rPr>
          <w:color w:val="000000" w:themeColor="text1"/>
          <w:szCs w:val="22"/>
        </w:rPr>
        <w:t>,</w:t>
      </w:r>
      <w:r w:rsidR="00044BBD">
        <w:rPr>
          <w:color w:val="000000" w:themeColor="text1"/>
          <w:szCs w:val="22"/>
        </w:rPr>
        <w:t xml:space="preserve"> we are not </w:t>
      </w:r>
      <w:r w:rsidR="00B01C8E">
        <w:rPr>
          <w:color w:val="000000" w:themeColor="text1"/>
          <w:szCs w:val="22"/>
        </w:rPr>
        <w:t>expand</w:t>
      </w:r>
      <w:r w:rsidR="00044BBD">
        <w:rPr>
          <w:color w:val="000000" w:themeColor="text1"/>
          <w:szCs w:val="22"/>
        </w:rPr>
        <w:t>ing</w:t>
      </w:r>
      <w:r w:rsidR="00B01C8E">
        <w:rPr>
          <w:color w:val="000000" w:themeColor="text1"/>
          <w:szCs w:val="22"/>
        </w:rPr>
        <w:t xml:space="preserve"> the </w:t>
      </w:r>
      <w:r w:rsidR="001A312B">
        <w:rPr>
          <w:color w:val="000000" w:themeColor="text1"/>
          <w:szCs w:val="22"/>
        </w:rPr>
        <w:t>type</w:t>
      </w:r>
      <w:r w:rsidR="00B01C8E">
        <w:rPr>
          <w:color w:val="000000" w:themeColor="text1"/>
          <w:szCs w:val="22"/>
        </w:rPr>
        <w:t xml:space="preserve">s </w:t>
      </w:r>
      <w:r w:rsidR="001A312B">
        <w:rPr>
          <w:color w:val="000000" w:themeColor="text1"/>
          <w:szCs w:val="22"/>
        </w:rPr>
        <w:t>or</w:t>
      </w:r>
      <w:r w:rsidR="00B01C8E">
        <w:rPr>
          <w:color w:val="000000" w:themeColor="text1"/>
          <w:szCs w:val="22"/>
        </w:rPr>
        <w:t xml:space="preserve"> amounts of</w:t>
      </w:r>
      <w:r w:rsidR="00A15FEB">
        <w:t xml:space="preserve"> expen</w:t>
      </w:r>
      <w:r w:rsidR="00B01C8E">
        <w:t>ses eligible for reimbursement.</w:t>
      </w:r>
      <w:r w:rsidR="00044BBD">
        <w:rPr>
          <w:rStyle w:val="FootnoteReference"/>
        </w:rPr>
        <w:footnoteReference w:id="20"/>
      </w:r>
      <w:r w:rsidR="00B01C8E">
        <w:t xml:space="preserve"> </w:t>
      </w:r>
      <w:r w:rsidR="00DA4CC9" w:rsidDel="00DA4CC9">
        <w:rPr>
          <w:szCs w:val="22"/>
        </w:rPr>
        <w:t xml:space="preserve"> </w:t>
      </w:r>
      <w:r w:rsidR="006E0B42">
        <w:rPr>
          <w:szCs w:val="22"/>
        </w:rPr>
        <w:t>Eligibility</w:t>
      </w:r>
      <w:r w:rsidR="00A12B1D">
        <w:rPr>
          <w:szCs w:val="22"/>
        </w:rPr>
        <w:t xml:space="preserve"> for </w:t>
      </w:r>
      <w:r w:rsidR="00A12B1D" w:rsidRPr="00771DF8">
        <w:rPr>
          <w:szCs w:val="22"/>
        </w:rPr>
        <w:t>reimburs</w:t>
      </w:r>
      <w:r w:rsidR="00A12B1D">
        <w:rPr>
          <w:szCs w:val="22"/>
        </w:rPr>
        <w:t xml:space="preserve">ement </w:t>
      </w:r>
      <w:r w:rsidR="00DA4CC9">
        <w:rPr>
          <w:szCs w:val="22"/>
        </w:rPr>
        <w:t xml:space="preserve">will be </w:t>
      </w:r>
      <w:r w:rsidR="00352BD7">
        <w:rPr>
          <w:szCs w:val="22"/>
        </w:rPr>
        <w:t>based on the guidance</w:t>
      </w:r>
      <w:r w:rsidR="00A12B1D" w:rsidRPr="00771DF8">
        <w:rPr>
          <w:szCs w:val="22"/>
        </w:rPr>
        <w:t xml:space="preserve"> set forth in the Catalog of Eligible Expenses</w:t>
      </w:r>
      <w:r w:rsidR="00B50F06">
        <w:rPr>
          <w:szCs w:val="22"/>
        </w:rPr>
        <w:t xml:space="preserve"> and the Bureau’s case-by-case determinations of </w:t>
      </w:r>
      <w:r w:rsidR="00044BBD" w:rsidRPr="00771DF8">
        <w:rPr>
          <w:color w:val="000000" w:themeColor="text1"/>
          <w:szCs w:val="22"/>
        </w:rPr>
        <w:t xml:space="preserve">whether </w:t>
      </w:r>
      <w:r w:rsidR="00044BBD">
        <w:rPr>
          <w:color w:val="000000" w:themeColor="text1"/>
          <w:szCs w:val="22"/>
        </w:rPr>
        <w:t>particular expense</w:t>
      </w:r>
      <w:r w:rsidR="00B50F06">
        <w:rPr>
          <w:color w:val="000000" w:themeColor="text1"/>
          <w:szCs w:val="22"/>
        </w:rPr>
        <w:t>s qualify</w:t>
      </w:r>
      <w:r w:rsidR="00044BBD" w:rsidRPr="00771DF8">
        <w:rPr>
          <w:color w:val="000000" w:themeColor="text1"/>
          <w:szCs w:val="22"/>
        </w:rPr>
        <w:t xml:space="preserve"> for reimbursement.</w:t>
      </w:r>
      <w:r w:rsidR="00044BBD" w:rsidRPr="00771DF8">
        <w:rPr>
          <w:rStyle w:val="FootnoteReference"/>
          <w:color w:val="000000" w:themeColor="text1"/>
          <w:szCs w:val="22"/>
        </w:rPr>
        <w:footnoteReference w:id="21"/>
      </w:r>
      <w:r w:rsidR="00967D66">
        <w:rPr>
          <w:color w:val="000000" w:themeColor="text1"/>
          <w:szCs w:val="22"/>
        </w:rPr>
        <w:t xml:space="preserve">  </w:t>
      </w:r>
      <w:r w:rsidR="00EE492C">
        <w:rPr>
          <w:color w:val="000000" w:themeColor="text1"/>
          <w:szCs w:val="22"/>
        </w:rPr>
        <w:t>There is no</w:t>
      </w:r>
      <w:r w:rsidR="00EE492C" w:rsidRPr="00EE492C">
        <w:rPr>
          <w:color w:val="000000" w:themeColor="text1"/>
          <w:szCs w:val="22"/>
        </w:rPr>
        <w:t xml:space="preserve"> guarantee of reimbursement</w:t>
      </w:r>
      <w:r w:rsidR="00EE492C">
        <w:rPr>
          <w:color w:val="000000" w:themeColor="text1"/>
          <w:szCs w:val="22"/>
        </w:rPr>
        <w:t xml:space="preserve"> of pre</w:t>
      </w:r>
      <w:r w:rsidR="00E922F7">
        <w:rPr>
          <w:color w:val="000000" w:themeColor="text1"/>
          <w:szCs w:val="22"/>
        </w:rPr>
        <w:t>-auction</w:t>
      </w:r>
      <w:r w:rsidR="00696DE9">
        <w:rPr>
          <w:color w:val="000000" w:themeColor="text1"/>
          <w:szCs w:val="22"/>
        </w:rPr>
        <w:t xml:space="preserve"> expenses.</w:t>
      </w:r>
      <w:r w:rsidR="00967D66">
        <w:rPr>
          <w:rStyle w:val="FootnoteReference"/>
          <w:szCs w:val="22"/>
        </w:rPr>
        <w:footnoteReference w:id="22"/>
      </w:r>
      <w:r w:rsidR="00044BBD">
        <w:rPr>
          <w:color w:val="000000" w:themeColor="text1"/>
          <w:szCs w:val="22"/>
        </w:rPr>
        <w:t xml:space="preserve">  </w:t>
      </w:r>
      <w:r w:rsidR="001A312B">
        <w:rPr>
          <w:color w:val="000000" w:themeColor="text1"/>
          <w:szCs w:val="22"/>
        </w:rPr>
        <w:t>As ATC explain</w:t>
      </w:r>
      <w:r w:rsidR="00B01C8E">
        <w:rPr>
          <w:color w:val="000000" w:themeColor="text1"/>
          <w:szCs w:val="22"/>
        </w:rPr>
        <w:t>s, “[i]</w:t>
      </w:r>
      <w:r w:rsidR="00B01C8E" w:rsidRPr="0008661E">
        <w:t>f an expense is incurred prior to the 39-month</w:t>
      </w:r>
      <w:r w:rsidR="00B01C8E">
        <w:t xml:space="preserve"> </w:t>
      </w:r>
      <w:r w:rsidR="00B01C8E" w:rsidRPr="0008661E">
        <w:t>repack period, but it turns out that the expense is not eligible for reimbursement (for example, if</w:t>
      </w:r>
      <w:r w:rsidR="00B01C8E">
        <w:t xml:space="preserve"> </w:t>
      </w:r>
      <w:r w:rsidR="00B01C8E" w:rsidRPr="0008661E">
        <w:t>a TV station incurs a repacking planning expense but its bid to go off air is accepted or if a TV</w:t>
      </w:r>
      <w:r w:rsidR="00B01C8E">
        <w:t xml:space="preserve"> </w:t>
      </w:r>
      <w:r w:rsidR="00B01C8E" w:rsidRPr="0008661E">
        <w:t>station is not repacked), that expense would be incurred at the station’s own risk and would not</w:t>
      </w:r>
      <w:r w:rsidR="00B01C8E">
        <w:t xml:space="preserve"> </w:t>
      </w:r>
      <w:r w:rsidR="00B01C8E" w:rsidRPr="0008661E">
        <w:t>be reimbursed.”</w:t>
      </w:r>
      <w:r w:rsidR="00A12B1D" w:rsidRPr="00771DF8">
        <w:rPr>
          <w:rStyle w:val="FootnoteReference"/>
          <w:color w:val="000000" w:themeColor="text1"/>
          <w:szCs w:val="22"/>
        </w:rPr>
        <w:footnoteReference w:id="23"/>
      </w:r>
      <w:r w:rsidR="00044BBD">
        <w:t xml:space="preserve">  Likewise, if an expense is incurred prior to completion of the auction, but the Bureau determines that </w:t>
      </w:r>
      <w:r w:rsidR="008760CC">
        <w:t xml:space="preserve">it was not </w:t>
      </w:r>
      <w:r w:rsidR="00044BBD" w:rsidRPr="00044BBD">
        <w:rPr>
          <w:color w:val="000000" w:themeColor="text1"/>
          <w:szCs w:val="22"/>
        </w:rPr>
        <w:t>“reasonably incurred … in order for the licensee to relocate its television service from one channel to the other</w:t>
      </w:r>
      <w:r w:rsidR="008760CC">
        <w:rPr>
          <w:color w:val="000000" w:themeColor="text1"/>
          <w:szCs w:val="22"/>
        </w:rPr>
        <w:t>,</w:t>
      </w:r>
      <w:r w:rsidR="00044BBD" w:rsidRPr="00044BBD">
        <w:rPr>
          <w:color w:val="000000" w:themeColor="text1"/>
          <w:szCs w:val="22"/>
        </w:rPr>
        <w:t>”</w:t>
      </w:r>
      <w:r w:rsidR="008760CC">
        <w:rPr>
          <w:rStyle w:val="FootnoteReference"/>
          <w:szCs w:val="22"/>
        </w:rPr>
        <w:footnoteReference w:id="24"/>
      </w:r>
      <w:r w:rsidR="00044BBD" w:rsidRPr="00044BBD">
        <w:rPr>
          <w:color w:val="000000" w:themeColor="text1"/>
          <w:szCs w:val="22"/>
        </w:rPr>
        <w:t xml:space="preserve"> </w:t>
      </w:r>
      <w:r w:rsidR="008760CC">
        <w:rPr>
          <w:color w:val="000000" w:themeColor="text1"/>
          <w:szCs w:val="22"/>
        </w:rPr>
        <w:t>then</w:t>
      </w:r>
      <w:r w:rsidR="00D95385">
        <w:rPr>
          <w:color w:val="000000" w:themeColor="text1"/>
          <w:szCs w:val="22"/>
        </w:rPr>
        <w:t>, like any other expense subject to such a determination,</w:t>
      </w:r>
      <w:r w:rsidR="008760CC">
        <w:rPr>
          <w:color w:val="000000" w:themeColor="text1"/>
          <w:szCs w:val="22"/>
        </w:rPr>
        <w:t xml:space="preserve"> it would not be reimbursed</w:t>
      </w:r>
      <w:r w:rsidR="00B50F06">
        <w:rPr>
          <w:color w:val="000000" w:themeColor="text1"/>
          <w:szCs w:val="22"/>
        </w:rPr>
        <w:t>.</w:t>
      </w:r>
      <w:r w:rsidR="00B50F06">
        <w:rPr>
          <w:rStyle w:val="FootnoteReference"/>
          <w:szCs w:val="22"/>
        </w:rPr>
        <w:footnoteReference w:id="25"/>
      </w:r>
      <w:r w:rsidR="00352BD7" w:rsidRPr="00B50F06">
        <w:rPr>
          <w:color w:val="000000" w:themeColor="text1"/>
          <w:szCs w:val="22"/>
        </w:rPr>
        <w:t xml:space="preserve"> </w:t>
      </w:r>
      <w:r w:rsidR="00044BBD" w:rsidRPr="00B50F06">
        <w:rPr>
          <w:color w:val="000000" w:themeColor="text1"/>
          <w:szCs w:val="22"/>
        </w:rPr>
        <w:t xml:space="preserve">  </w:t>
      </w:r>
      <w:r w:rsidR="00044BBD" w:rsidRPr="00B50F06">
        <w:rPr>
          <w:szCs w:val="22"/>
        </w:rPr>
        <w:t xml:space="preserve">     </w:t>
      </w:r>
      <w:r w:rsidR="00044BBD">
        <w:t xml:space="preserve">  </w:t>
      </w:r>
      <w:r w:rsidR="00044BBD" w:rsidRPr="00B50F06">
        <w:rPr>
          <w:color w:val="000000" w:themeColor="text1"/>
          <w:szCs w:val="22"/>
        </w:rPr>
        <w:t xml:space="preserve">   </w:t>
      </w:r>
    </w:p>
    <w:p w14:paraId="55E64D2D" w14:textId="77777777" w:rsidR="00FB237A" w:rsidRPr="00B604D6" w:rsidRDefault="00FB237A" w:rsidP="00FB237A">
      <w:pPr>
        <w:pStyle w:val="Heading1"/>
      </w:pPr>
      <w:bookmarkStart w:id="10" w:name="_Toc397962827"/>
      <w:bookmarkStart w:id="11" w:name="_Toc398023605"/>
      <w:bookmarkStart w:id="12" w:name="_Toc398816949"/>
      <w:r w:rsidRPr="00B604D6">
        <w:t>ordering clauses</w:t>
      </w:r>
      <w:bookmarkEnd w:id="10"/>
      <w:bookmarkEnd w:id="11"/>
      <w:bookmarkEnd w:id="12"/>
    </w:p>
    <w:p w14:paraId="478CF7AB" w14:textId="77777777" w:rsidR="00FB237A" w:rsidRPr="00B604D6" w:rsidRDefault="00FB237A" w:rsidP="00AA4E01">
      <w:pPr>
        <w:pStyle w:val="ParaNum"/>
      </w:pPr>
      <w:r w:rsidRPr="00BB4A93">
        <w:rPr>
          <w:b/>
        </w:rPr>
        <w:t>IT IS ORDERED</w:t>
      </w:r>
      <w:r w:rsidRPr="00B604D6">
        <w:t xml:space="preserve">, pursuant to the authority found in </w:t>
      </w:r>
      <w:r w:rsidR="00B50F06">
        <w:t xml:space="preserve">Section </w:t>
      </w:r>
      <w:r w:rsidRPr="00B604D6">
        <w:t>6403</w:t>
      </w:r>
      <w:r w:rsidR="00B50F06">
        <w:t>(b)</w:t>
      </w:r>
      <w:r w:rsidRPr="00B604D6">
        <w:t xml:space="preserve"> of </w:t>
      </w:r>
      <w:r w:rsidR="00B50F06">
        <w:t xml:space="preserve">the </w:t>
      </w:r>
      <w:r w:rsidRPr="00BB4A93">
        <w:rPr>
          <w:color w:val="000000"/>
        </w:rPr>
        <w:t xml:space="preserve">Middle Class Tax Relief and Job Creation Act of 2012, Pub. L. No. 112-96, 126 Stat. 156, </w:t>
      </w:r>
      <w:r w:rsidRPr="00B604D6">
        <w:t>47 U.S.C. §</w:t>
      </w:r>
      <w:r w:rsidR="00B50F06">
        <w:t xml:space="preserve"> 1452(b)</w:t>
      </w:r>
      <w:r w:rsidRPr="00B604D6">
        <w:t xml:space="preserve">, </w:t>
      </w:r>
      <w:r w:rsidRPr="00BB4A93">
        <w:rPr>
          <w:color w:val="000000"/>
          <w:szCs w:val="22"/>
        </w:rPr>
        <w:t xml:space="preserve">and section 1.2 of the Commission’s rules, </w:t>
      </w:r>
      <w:bookmarkStart w:id="13" w:name="SR;3535"/>
      <w:bookmarkStart w:id="14" w:name="SR;3536"/>
      <w:bookmarkStart w:id="15" w:name="SR;3543"/>
      <w:bookmarkStart w:id="16" w:name="SR;3544"/>
      <w:bookmarkEnd w:id="13"/>
      <w:bookmarkEnd w:id="14"/>
      <w:bookmarkEnd w:id="15"/>
      <w:bookmarkEnd w:id="16"/>
      <w:r w:rsidRPr="00BB4A93">
        <w:rPr>
          <w:color w:val="000000"/>
          <w:szCs w:val="22"/>
        </w:rPr>
        <w:t>47 C.F.R. § 1.2,</w:t>
      </w:r>
      <w:r w:rsidRPr="00BB4A93">
        <w:rPr>
          <w:rFonts w:ascii="Verdana" w:hAnsi="Verdana"/>
          <w:color w:val="000000"/>
          <w:sz w:val="19"/>
          <w:szCs w:val="19"/>
        </w:rPr>
        <w:t xml:space="preserve"> </w:t>
      </w:r>
      <w:r w:rsidRPr="00B604D6">
        <w:t xml:space="preserve">the </w:t>
      </w:r>
      <w:r w:rsidRPr="00BB4A93">
        <w:rPr>
          <w:i/>
          <w:iCs/>
        </w:rPr>
        <w:t>Declaratory Ruling</w:t>
      </w:r>
      <w:r w:rsidRPr="00B604D6">
        <w:t xml:space="preserve"> </w:t>
      </w:r>
      <w:r w:rsidRPr="00BB4A93">
        <w:rPr>
          <w:b/>
        </w:rPr>
        <w:t>IS ADOPTED</w:t>
      </w:r>
      <w:r w:rsidRPr="00B604D6">
        <w:t xml:space="preserve">. </w:t>
      </w:r>
    </w:p>
    <w:p w14:paraId="060628FA" w14:textId="77777777" w:rsidR="00FB237A" w:rsidRDefault="00FB237A" w:rsidP="00B50F06">
      <w:pPr>
        <w:pStyle w:val="ParaNum"/>
      </w:pPr>
      <w:r w:rsidRPr="00B604D6">
        <w:rPr>
          <w:b/>
        </w:rPr>
        <w:t>IT IS FURTHER ORDERED</w:t>
      </w:r>
      <w:r w:rsidRPr="00B604D6">
        <w:t xml:space="preserve"> that the Declaratory Ruling adopted herein shall be effective upon release.</w:t>
      </w:r>
    </w:p>
    <w:p w14:paraId="231B7B8C" w14:textId="77777777" w:rsidR="0011265B" w:rsidRDefault="0011265B" w:rsidP="0017296B">
      <w:r>
        <w:tab/>
      </w:r>
      <w:r>
        <w:tab/>
      </w:r>
      <w:r>
        <w:tab/>
      </w:r>
      <w:r>
        <w:tab/>
      </w:r>
      <w:r>
        <w:tab/>
      </w:r>
      <w:r>
        <w:tab/>
        <w:t>FEDERAL COMMUNICATIONS COMMISSION</w:t>
      </w:r>
    </w:p>
    <w:p w14:paraId="705F6C18" w14:textId="77777777" w:rsidR="0011265B" w:rsidRDefault="0011265B" w:rsidP="0017296B"/>
    <w:p w14:paraId="17C2C471" w14:textId="77777777" w:rsidR="0011265B" w:rsidRDefault="0011265B" w:rsidP="0017296B"/>
    <w:p w14:paraId="25F6CFEF" w14:textId="77777777" w:rsidR="0011265B" w:rsidRDefault="0011265B" w:rsidP="0017296B"/>
    <w:p w14:paraId="0893D619" w14:textId="77777777" w:rsidR="0011265B" w:rsidRDefault="0011265B" w:rsidP="0017296B"/>
    <w:p w14:paraId="2A89417E" w14:textId="77777777" w:rsidR="0011265B" w:rsidRDefault="0011265B" w:rsidP="0017296B">
      <w:r>
        <w:tab/>
      </w:r>
      <w:r>
        <w:tab/>
      </w:r>
      <w:r>
        <w:tab/>
      </w:r>
      <w:r>
        <w:tab/>
      </w:r>
      <w:r>
        <w:tab/>
      </w:r>
      <w:r>
        <w:tab/>
        <w:t>Marlene H. Dortch</w:t>
      </w:r>
    </w:p>
    <w:p w14:paraId="6EA25264" w14:textId="77777777" w:rsidR="0011265B" w:rsidRDefault="0011265B" w:rsidP="0017296B">
      <w:r>
        <w:tab/>
      </w:r>
      <w:r>
        <w:tab/>
      </w:r>
      <w:r>
        <w:tab/>
      </w:r>
      <w:r>
        <w:tab/>
      </w:r>
      <w:r>
        <w:tab/>
      </w:r>
      <w:r>
        <w:tab/>
        <w:t>Secretary</w:t>
      </w:r>
    </w:p>
    <w:sectPr w:rsidR="0011265B"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05B73" w14:textId="77777777" w:rsidR="00696D34" w:rsidRDefault="00696D34">
      <w:pPr>
        <w:spacing w:line="20" w:lineRule="exact"/>
      </w:pPr>
    </w:p>
  </w:endnote>
  <w:endnote w:type="continuationSeparator" w:id="0">
    <w:p w14:paraId="64E6E5D6" w14:textId="77777777" w:rsidR="00696D34" w:rsidRDefault="00696D34">
      <w:r>
        <w:t xml:space="preserve"> </w:t>
      </w:r>
    </w:p>
  </w:endnote>
  <w:endnote w:type="continuationNotice" w:id="1">
    <w:p w14:paraId="34EFE0EB" w14:textId="77777777" w:rsidR="00696D34" w:rsidRDefault="00696D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C23C5" w14:textId="77777777" w:rsidR="002C0BAA" w:rsidRDefault="002C0BAA" w:rsidP="0055614C">
    <w:pPr>
      <w:pStyle w:val="Footer"/>
      <w:framePr w:wrap="around" w:vAnchor="text" w:hAnchor="margin" w:xAlign="center" w:y="1"/>
    </w:pPr>
    <w:r>
      <w:fldChar w:fldCharType="begin"/>
    </w:r>
    <w:r>
      <w:instrText xml:space="preserve">PAGE  </w:instrText>
    </w:r>
    <w:r>
      <w:fldChar w:fldCharType="end"/>
    </w:r>
  </w:p>
  <w:p w14:paraId="47953B92" w14:textId="77777777" w:rsidR="002C0BAA" w:rsidRDefault="002C0B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5F62C" w14:textId="77777777" w:rsidR="002C0BAA" w:rsidRDefault="002C0BAA" w:rsidP="0055614C">
    <w:pPr>
      <w:pStyle w:val="Footer"/>
      <w:framePr w:wrap="around" w:vAnchor="text" w:hAnchor="margin" w:xAlign="center" w:y="1"/>
    </w:pPr>
    <w:r>
      <w:fldChar w:fldCharType="begin"/>
    </w:r>
    <w:r>
      <w:instrText xml:space="preserve">PAGE  </w:instrText>
    </w:r>
    <w:r>
      <w:fldChar w:fldCharType="separate"/>
    </w:r>
    <w:r w:rsidR="009B28E3">
      <w:rPr>
        <w:noProof/>
      </w:rPr>
      <w:t>2</w:t>
    </w:r>
    <w:r>
      <w:fldChar w:fldCharType="end"/>
    </w:r>
  </w:p>
  <w:p w14:paraId="5F71BA18" w14:textId="77777777" w:rsidR="002C0BAA" w:rsidRDefault="002C0BAA">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8E5F4" w14:textId="77777777" w:rsidR="002C0BAA" w:rsidRDefault="002C0BAA">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F8591" w14:textId="77777777" w:rsidR="00696D34" w:rsidRDefault="00696D34">
      <w:r>
        <w:separator/>
      </w:r>
    </w:p>
  </w:footnote>
  <w:footnote w:type="continuationSeparator" w:id="0">
    <w:p w14:paraId="0EC0BE1A" w14:textId="77777777" w:rsidR="00696D34" w:rsidRDefault="00696D34" w:rsidP="00C721AC">
      <w:pPr>
        <w:spacing w:before="120"/>
        <w:rPr>
          <w:sz w:val="20"/>
        </w:rPr>
      </w:pPr>
      <w:r>
        <w:rPr>
          <w:sz w:val="20"/>
        </w:rPr>
        <w:t xml:space="preserve">(Continued from previous page)  </w:t>
      </w:r>
      <w:r>
        <w:rPr>
          <w:sz w:val="20"/>
        </w:rPr>
        <w:separator/>
      </w:r>
    </w:p>
  </w:footnote>
  <w:footnote w:type="continuationNotice" w:id="1">
    <w:p w14:paraId="08E7267B" w14:textId="77777777" w:rsidR="00696D34" w:rsidRDefault="00696D34" w:rsidP="00C721AC">
      <w:pPr>
        <w:jc w:val="right"/>
        <w:rPr>
          <w:sz w:val="20"/>
        </w:rPr>
      </w:pPr>
      <w:r>
        <w:rPr>
          <w:sz w:val="20"/>
        </w:rPr>
        <w:t>(continued….)</w:t>
      </w:r>
    </w:p>
  </w:footnote>
  <w:footnote w:id="2">
    <w:p w14:paraId="1EEF79D1" w14:textId="1E708D74" w:rsidR="002C0BAA" w:rsidRPr="00752590" w:rsidRDefault="002C0BAA" w:rsidP="00FB237A">
      <w:pPr>
        <w:pStyle w:val="FootnoteText"/>
        <w:rPr>
          <w:u w:val="single"/>
        </w:rPr>
      </w:pPr>
      <w:r w:rsidRPr="00752590">
        <w:rPr>
          <w:rStyle w:val="FootnoteReference"/>
        </w:rPr>
        <w:footnoteRef/>
      </w:r>
      <w:r w:rsidRPr="00752590">
        <w:t xml:space="preserve"> Middle Class Tax Relief and Job Creation Act of 2012, Pub. L. No. 112-96, § 6403(b)(4) (codified at 47 U.S.C. § 1452), 126 Stat. 156 (2012) (Spectrum Act).  </w:t>
      </w:r>
      <w:r w:rsidRPr="00752590">
        <w:rPr>
          <w:i/>
        </w:rPr>
        <w:t xml:space="preserve">See Expanding the Economic and Innovation Opportunities of Spectrum Through Incentive Auctions, </w:t>
      </w:r>
      <w:r w:rsidRPr="00752590">
        <w:t>Report and Order, 29 FCC Rcd 6567, 6822</w:t>
      </w:r>
      <w:r w:rsidR="001D4E3E">
        <w:t>,</w:t>
      </w:r>
      <w:r w:rsidRPr="00752590">
        <w:t xml:space="preserve"> para. 623 (2014) (</w:t>
      </w:r>
      <w:r w:rsidRPr="00752590">
        <w:rPr>
          <w:i/>
        </w:rPr>
        <w:t>Incentive Auction R&amp;O</w:t>
      </w:r>
      <w:r w:rsidRPr="00752590">
        <w:t xml:space="preserve">).    </w:t>
      </w:r>
    </w:p>
  </w:footnote>
  <w:footnote w:id="3">
    <w:p w14:paraId="64211A8B" w14:textId="0B7A41DB" w:rsidR="002C0BAA" w:rsidRPr="00752590" w:rsidRDefault="002C0BAA">
      <w:pPr>
        <w:pStyle w:val="FootnoteText"/>
      </w:pPr>
      <w:r w:rsidRPr="00752590">
        <w:rPr>
          <w:rStyle w:val="FootnoteReference"/>
        </w:rPr>
        <w:footnoteRef/>
      </w:r>
      <w:r w:rsidRPr="00752590">
        <w:t xml:space="preserve"> </w:t>
      </w:r>
      <w:r w:rsidRPr="00752590">
        <w:rPr>
          <w:i/>
        </w:rPr>
        <w:t xml:space="preserve">See </w:t>
      </w:r>
      <w:r w:rsidRPr="00752590">
        <w:t xml:space="preserve">47 CFR § 1.2(a) (FCC may, </w:t>
      </w:r>
      <w:r w:rsidRPr="00752590">
        <w:rPr>
          <w:i/>
        </w:rPr>
        <w:t>inter alia</w:t>
      </w:r>
      <w:r w:rsidRPr="00752590">
        <w:t>, on its own motion issue a declaratory ruling removing uncertainty).</w:t>
      </w:r>
      <w:r w:rsidR="005F1C27">
        <w:t xml:space="preserve">  </w:t>
      </w:r>
    </w:p>
  </w:footnote>
  <w:footnote w:id="4">
    <w:p w14:paraId="65043B9B" w14:textId="272E7408" w:rsidR="002C0BAA" w:rsidRPr="00752590" w:rsidRDefault="002C0BAA" w:rsidP="00FB237A">
      <w:pPr>
        <w:pStyle w:val="FootnoteText"/>
      </w:pPr>
      <w:r w:rsidRPr="00752590">
        <w:rPr>
          <w:rStyle w:val="FootnoteReference"/>
        </w:rPr>
        <w:footnoteRef/>
      </w:r>
      <w:r w:rsidRPr="00752590">
        <w:t xml:space="preserve"> </w:t>
      </w:r>
      <w:r w:rsidRPr="00752590">
        <w:rPr>
          <w:i/>
        </w:rPr>
        <w:t>See Incentive Auction R&amp;O,</w:t>
      </w:r>
      <w:r w:rsidRPr="00752590">
        <w:t xml:space="preserve"> 29 FCC Rcd at 6573</w:t>
      </w:r>
      <w:r w:rsidR="001D4E3E">
        <w:t>,</w:t>
      </w:r>
      <w:r w:rsidRPr="00752590">
        <w:t xml:space="preserve"> para. 11 (identifying goal of a post-auction transition that is “as rapid as possible without causing unnecessary disruption.”), 6815</w:t>
      </w:r>
      <w:r w:rsidR="001D4E3E">
        <w:t>,</w:t>
      </w:r>
      <w:r w:rsidRPr="00752590">
        <w:t xml:space="preserve"> para. 605 (reimbursement process must be “prompt and efficient in light of the three-year statutory deadline for issuing reimbursements”).</w:t>
      </w:r>
    </w:p>
  </w:footnote>
  <w:footnote w:id="5">
    <w:p w14:paraId="6E6FA5D6" w14:textId="77777777" w:rsidR="002C0BAA" w:rsidRPr="00752590" w:rsidRDefault="002C0BAA" w:rsidP="0076228D">
      <w:pPr>
        <w:pStyle w:val="FootnoteText"/>
      </w:pPr>
      <w:r w:rsidRPr="00752590">
        <w:rPr>
          <w:rStyle w:val="FootnoteReference"/>
        </w:rPr>
        <w:footnoteRef/>
      </w:r>
      <w:r w:rsidRPr="00752590">
        <w:t xml:space="preserve"> 47 U.S.C. § 1452(b)(4)(A)(i), (ii).  </w:t>
      </w:r>
    </w:p>
  </w:footnote>
  <w:footnote w:id="6">
    <w:p w14:paraId="4C39FE99" w14:textId="6C3D3583" w:rsidR="002C0BAA" w:rsidRPr="00752590" w:rsidRDefault="002C0BAA" w:rsidP="0076228D">
      <w:pPr>
        <w:pStyle w:val="FootnoteText"/>
      </w:pPr>
      <w:r w:rsidRPr="00752590">
        <w:rPr>
          <w:rStyle w:val="FootnoteReference"/>
        </w:rPr>
        <w:footnoteRef/>
      </w:r>
      <w:r w:rsidRPr="00752590">
        <w:t xml:space="preserve"> </w:t>
      </w:r>
      <w:r w:rsidRPr="00752590">
        <w:rPr>
          <w:i/>
        </w:rPr>
        <w:t>See</w:t>
      </w:r>
      <w:r w:rsidRPr="00752590">
        <w:t xml:space="preserve"> </w:t>
      </w:r>
      <w:r w:rsidRPr="00752590">
        <w:rPr>
          <w:snapToGrid w:val="0"/>
        </w:rPr>
        <w:t>47 U.S.C. §§ 309(j)(8)(G)(iii)(I)</w:t>
      </w:r>
      <w:r w:rsidR="001D4E3E">
        <w:rPr>
          <w:snapToGrid w:val="0"/>
        </w:rPr>
        <w:t>-</w:t>
      </w:r>
      <w:r w:rsidRPr="00752590">
        <w:rPr>
          <w:snapToGrid w:val="0"/>
        </w:rPr>
        <w:t xml:space="preserve">(II), 1452(b)(4)(D), </w:t>
      </w:r>
      <w:r w:rsidRPr="00752590">
        <w:t xml:space="preserve">(d).  </w:t>
      </w:r>
    </w:p>
  </w:footnote>
  <w:footnote w:id="7">
    <w:p w14:paraId="67E91729" w14:textId="1B23FADF" w:rsidR="002C0BAA" w:rsidRPr="00752590" w:rsidRDefault="002C0BAA" w:rsidP="007B11E5">
      <w:pPr>
        <w:pStyle w:val="FootnoteText"/>
      </w:pPr>
      <w:r w:rsidRPr="00752590">
        <w:rPr>
          <w:rStyle w:val="FootnoteReference"/>
        </w:rPr>
        <w:footnoteRef/>
      </w:r>
      <w:r w:rsidRPr="00752590">
        <w:t xml:space="preserve"> </w:t>
      </w:r>
      <w:r w:rsidRPr="00752590">
        <w:rPr>
          <w:i/>
        </w:rPr>
        <w:t>See Incentive Auction R&amp;O</w:t>
      </w:r>
      <w:r w:rsidRPr="00752590">
        <w:t>, 29 FCC Rcd at 6815</w:t>
      </w:r>
      <w:r w:rsidR="001D4E3E">
        <w:t>,</w:t>
      </w:r>
      <w:r w:rsidRPr="00752590">
        <w:t xml:space="preserve"> para. 607.  Eligible broadcasters will estimate the costs they expect to reasonably incur to change channels, and eligible MVPDs will estimate the costs they expect to reasonably incur to accommodate new channel assignments.  </w:t>
      </w:r>
      <w:r w:rsidRPr="00752590">
        <w:rPr>
          <w:i/>
        </w:rPr>
        <w:t xml:space="preserve">Id. </w:t>
      </w:r>
      <w:r w:rsidRPr="00752590">
        <w:t>at 6817-18</w:t>
      </w:r>
      <w:r w:rsidR="001D4E3E">
        <w:t>,</w:t>
      </w:r>
      <w:r w:rsidRPr="00752590">
        <w:t xml:space="preserve"> para. 611.</w:t>
      </w:r>
    </w:p>
  </w:footnote>
  <w:footnote w:id="8">
    <w:p w14:paraId="742A6917" w14:textId="033AE352" w:rsidR="002C0BAA" w:rsidRPr="00752590" w:rsidRDefault="002C0BAA">
      <w:pPr>
        <w:pStyle w:val="FootnoteText"/>
      </w:pPr>
      <w:r w:rsidRPr="00752590">
        <w:rPr>
          <w:rStyle w:val="FootnoteReference"/>
        </w:rPr>
        <w:footnoteRef/>
      </w:r>
      <w:r w:rsidRPr="00752590">
        <w:t xml:space="preserve"> </w:t>
      </w:r>
      <w:r w:rsidRPr="00752590">
        <w:rPr>
          <w:i/>
        </w:rPr>
        <w:t>Id.</w:t>
      </w:r>
      <w:r w:rsidRPr="00752590">
        <w:t xml:space="preserve">; </w:t>
      </w:r>
      <w:r w:rsidRPr="00752590">
        <w:rPr>
          <w:i/>
        </w:rPr>
        <w:t>see</w:t>
      </w:r>
      <w:r w:rsidRPr="00752590">
        <w:t xml:space="preserve"> </w:t>
      </w:r>
      <w:r w:rsidRPr="003365E4">
        <w:rPr>
          <w:i/>
        </w:rPr>
        <w:t>Media Bureau Finalizes Reimbursement Form for Submission to OMB and Adopts Catalog of Expenses</w:t>
      </w:r>
      <w:r w:rsidRPr="00752590">
        <w:t xml:space="preserve">, </w:t>
      </w:r>
      <w:r w:rsidR="001D4E3E" w:rsidRPr="00752590">
        <w:t xml:space="preserve">Public Notice, </w:t>
      </w:r>
      <w:r w:rsidRPr="00752590">
        <w:t>DA 15-1328 (Oct. 30, 2015) (</w:t>
      </w:r>
      <w:r w:rsidRPr="00752590">
        <w:rPr>
          <w:i/>
        </w:rPr>
        <w:t>Reimbursement P</w:t>
      </w:r>
      <w:r w:rsidR="001D4E3E">
        <w:rPr>
          <w:i/>
        </w:rPr>
        <w:t xml:space="preserve">ublic </w:t>
      </w:r>
      <w:r w:rsidRPr="00752590">
        <w:rPr>
          <w:i/>
        </w:rPr>
        <w:t>N</w:t>
      </w:r>
      <w:r w:rsidR="001D4E3E">
        <w:rPr>
          <w:i/>
        </w:rPr>
        <w:t>otice</w:t>
      </w:r>
      <w:r w:rsidRPr="00752590">
        <w:t xml:space="preserve">). </w:t>
      </w:r>
    </w:p>
  </w:footnote>
  <w:footnote w:id="9">
    <w:p w14:paraId="1A0E9876" w14:textId="1DCDA17D" w:rsidR="002C0BAA" w:rsidRPr="00FF0DAC" w:rsidRDefault="002C0BAA" w:rsidP="00714D05">
      <w:pPr>
        <w:pStyle w:val="FootnoteText"/>
      </w:pPr>
      <w:r w:rsidRPr="00FF0DAC">
        <w:rPr>
          <w:rStyle w:val="FootnoteReference"/>
        </w:rPr>
        <w:footnoteRef/>
      </w:r>
      <w:r w:rsidRPr="00FF0DAC">
        <w:t xml:space="preserve"> </w:t>
      </w:r>
      <w:r w:rsidRPr="00FF0DAC">
        <w:rPr>
          <w:i/>
        </w:rPr>
        <w:t>Incentive Auction R&amp;O</w:t>
      </w:r>
      <w:r w:rsidRPr="00FF0DAC">
        <w:t>, 29 FCC Rcd at 6821</w:t>
      </w:r>
      <w:r w:rsidR="001D4E3E">
        <w:t>,</w:t>
      </w:r>
      <w:r w:rsidRPr="00FF0DAC">
        <w:t xml:space="preserve"> para. 622; </w:t>
      </w:r>
      <w:r w:rsidRPr="00FF0DAC">
        <w:rPr>
          <w:i/>
        </w:rPr>
        <w:t xml:space="preserve">see id. </w:t>
      </w:r>
      <w:r w:rsidRPr="00FF0DAC">
        <w:t xml:space="preserve">at 6817-18 para. 611.  </w:t>
      </w:r>
      <w:r w:rsidRPr="00FF0DAC">
        <w:rPr>
          <w:i/>
        </w:rPr>
        <w:t>See</w:t>
      </w:r>
      <w:r>
        <w:rPr>
          <w:i/>
        </w:rPr>
        <w:t xml:space="preserve"> also</w:t>
      </w:r>
      <w:r w:rsidRPr="00FF0DAC">
        <w:rPr>
          <w:i/>
        </w:rPr>
        <w:t xml:space="preserve"> Reimbursement P</w:t>
      </w:r>
      <w:r w:rsidR="001D4E3E">
        <w:rPr>
          <w:i/>
        </w:rPr>
        <w:t xml:space="preserve">ublic </w:t>
      </w:r>
      <w:r w:rsidRPr="00FF0DAC">
        <w:rPr>
          <w:i/>
        </w:rPr>
        <w:t>N</w:t>
      </w:r>
      <w:r w:rsidR="001D4E3E">
        <w:rPr>
          <w:i/>
        </w:rPr>
        <w:t>otice</w:t>
      </w:r>
      <w:r w:rsidRPr="00FF0DAC">
        <w:t xml:space="preserve"> at 1 (“</w:t>
      </w:r>
      <w:r>
        <w:t>A</w:t>
      </w:r>
      <w:r w:rsidRPr="00FF0DAC">
        <w:t xml:space="preserve">s the Commission has explained, the catalog of expenses is not intended to be a definitive list of all reimbursable expenses.  Rather, it is a means of facilitating the reimbursement process of claiming reimbursement by setting forth categories of expenses that are most likely to be commonly incurred by relocated broadcasters and </w:t>
      </w:r>
      <w:r w:rsidR="004E7985">
        <w:t>MVPDs.”).</w:t>
      </w:r>
    </w:p>
  </w:footnote>
  <w:footnote w:id="10">
    <w:p w14:paraId="3CFB9925" w14:textId="6071A01F" w:rsidR="002C0BAA" w:rsidRPr="00752590" w:rsidRDefault="002C0BAA" w:rsidP="009B662D">
      <w:pPr>
        <w:pStyle w:val="FootnoteText"/>
        <w:rPr>
          <w:i/>
        </w:rPr>
      </w:pPr>
      <w:r w:rsidRPr="00752590">
        <w:rPr>
          <w:rStyle w:val="FootnoteReference"/>
        </w:rPr>
        <w:footnoteRef/>
      </w:r>
      <w:r w:rsidRPr="00752590">
        <w:t xml:space="preserve"> </w:t>
      </w:r>
      <w:r w:rsidRPr="00752590">
        <w:rPr>
          <w:i/>
        </w:rPr>
        <w:t xml:space="preserve">Id. </w:t>
      </w:r>
      <w:r w:rsidRPr="00752590">
        <w:t>at 6815-16 para. 607;</w:t>
      </w:r>
      <w:r w:rsidRPr="00752590">
        <w:rPr>
          <w:i/>
        </w:rPr>
        <w:t xml:space="preserve"> Reimbursement P</w:t>
      </w:r>
      <w:r w:rsidR="001D4E3E">
        <w:rPr>
          <w:i/>
        </w:rPr>
        <w:t xml:space="preserve">ublic </w:t>
      </w:r>
      <w:r w:rsidRPr="00752590">
        <w:rPr>
          <w:i/>
        </w:rPr>
        <w:t>N</w:t>
      </w:r>
      <w:r w:rsidR="001D4E3E">
        <w:rPr>
          <w:i/>
        </w:rPr>
        <w:t>otice</w:t>
      </w:r>
      <w:r w:rsidRPr="00752590">
        <w:rPr>
          <w:i/>
        </w:rPr>
        <w:t xml:space="preserve"> </w:t>
      </w:r>
      <w:r w:rsidRPr="00752590">
        <w:t xml:space="preserve">at 3-4.  Any time an eligible entity requests reimbursement from its allocated funds, it must also submit actual cost documentation.  </w:t>
      </w:r>
      <w:r w:rsidRPr="00752590">
        <w:rPr>
          <w:i/>
        </w:rPr>
        <w:t>Reimbursement P</w:t>
      </w:r>
      <w:r w:rsidR="001D4E3E">
        <w:rPr>
          <w:i/>
        </w:rPr>
        <w:t xml:space="preserve">ublic </w:t>
      </w:r>
      <w:r w:rsidRPr="00752590">
        <w:rPr>
          <w:i/>
        </w:rPr>
        <w:t>N</w:t>
      </w:r>
      <w:r w:rsidR="001D4E3E">
        <w:rPr>
          <w:i/>
        </w:rPr>
        <w:t>otice</w:t>
      </w:r>
      <w:r w:rsidRPr="00752590">
        <w:rPr>
          <w:i/>
        </w:rPr>
        <w:t xml:space="preserve"> </w:t>
      </w:r>
      <w:r w:rsidRPr="00752590">
        <w:t>at 4.</w:t>
      </w:r>
      <w:r w:rsidRPr="00752590">
        <w:rPr>
          <w:i/>
        </w:rPr>
        <w:t xml:space="preserve">  </w:t>
      </w:r>
    </w:p>
  </w:footnote>
  <w:footnote w:id="11">
    <w:p w14:paraId="1B2EF5B6" w14:textId="0218C05F" w:rsidR="002C0BAA" w:rsidRPr="00752590" w:rsidRDefault="002C0BAA">
      <w:pPr>
        <w:pStyle w:val="FootnoteText"/>
      </w:pPr>
      <w:r w:rsidRPr="00752590">
        <w:rPr>
          <w:rStyle w:val="FootnoteReference"/>
        </w:rPr>
        <w:footnoteRef/>
      </w:r>
      <w:r w:rsidRPr="00752590">
        <w:t xml:space="preserve"> </w:t>
      </w:r>
      <w:r w:rsidRPr="00752590">
        <w:rPr>
          <w:i/>
        </w:rPr>
        <w:t>Incentive Auction R&amp;O</w:t>
      </w:r>
      <w:r w:rsidRPr="00752590">
        <w:t>, 29 FCC Rcd</w:t>
      </w:r>
      <w:r w:rsidRPr="00752590">
        <w:rPr>
          <w:i/>
        </w:rPr>
        <w:t xml:space="preserve"> </w:t>
      </w:r>
      <w:r w:rsidRPr="00752590">
        <w:t>at 6815-16</w:t>
      </w:r>
      <w:r w:rsidR="001D4E3E">
        <w:t>,</w:t>
      </w:r>
      <w:r w:rsidRPr="00752590">
        <w:t xml:space="preserve"> para. 607.</w:t>
      </w:r>
    </w:p>
  </w:footnote>
  <w:footnote w:id="12">
    <w:p w14:paraId="739515B7" w14:textId="0A98C0B3" w:rsidR="002C0BAA" w:rsidRPr="00752590" w:rsidRDefault="002C0BAA">
      <w:pPr>
        <w:pStyle w:val="FootnoteText"/>
      </w:pPr>
      <w:r w:rsidRPr="00752590">
        <w:rPr>
          <w:rStyle w:val="FootnoteReference"/>
        </w:rPr>
        <w:footnoteRef/>
      </w:r>
      <w:r w:rsidRPr="00752590">
        <w:t xml:space="preserve"> </w:t>
      </w:r>
      <w:r w:rsidRPr="00752590">
        <w:rPr>
          <w:i/>
        </w:rPr>
        <w:t xml:space="preserve">Id. </w:t>
      </w:r>
      <w:r w:rsidRPr="00752590">
        <w:t>at 6822</w:t>
      </w:r>
      <w:r w:rsidR="001D4E3E">
        <w:t>,</w:t>
      </w:r>
      <w:r w:rsidRPr="00752590">
        <w:t xml:space="preserve"> para. 623.</w:t>
      </w:r>
    </w:p>
  </w:footnote>
  <w:footnote w:id="13">
    <w:p w14:paraId="396EFC13" w14:textId="7EC7E53E" w:rsidR="002C0BAA" w:rsidRPr="00752590" w:rsidRDefault="002C0BAA" w:rsidP="001F52AF">
      <w:pPr>
        <w:pStyle w:val="FootnoteText"/>
      </w:pPr>
      <w:r w:rsidRPr="00752590">
        <w:rPr>
          <w:rStyle w:val="FootnoteReference"/>
        </w:rPr>
        <w:footnoteRef/>
      </w:r>
      <w:r w:rsidRPr="00752590">
        <w:t xml:space="preserve"> </w:t>
      </w:r>
      <w:r w:rsidR="00156A79">
        <w:t>Letter from Timothy J. Cooney,</w:t>
      </w:r>
      <w:r w:rsidR="004E7985">
        <w:t xml:space="preserve"> Counsel for American Tower Cor</w:t>
      </w:r>
      <w:r w:rsidR="00156A79">
        <w:t xml:space="preserve">poration, to Marlene H. Dortch, Secretary, FCC, </w:t>
      </w:r>
      <w:r w:rsidRPr="00752590">
        <w:t>, GN Docket No. 12-268 (</w:t>
      </w:r>
      <w:r w:rsidR="00156A79">
        <w:t xml:space="preserve">filed </w:t>
      </w:r>
      <w:r w:rsidRPr="00752590">
        <w:t xml:space="preserve">Nov 9, 2015), at 2 (ATC </w:t>
      </w:r>
      <w:r w:rsidR="00156A79">
        <w:rPr>
          <w:i/>
        </w:rPr>
        <w:t>E</w:t>
      </w:r>
      <w:r w:rsidRPr="003365E4">
        <w:rPr>
          <w:i/>
        </w:rPr>
        <w:t xml:space="preserve">x </w:t>
      </w:r>
      <w:r w:rsidR="00156A79">
        <w:rPr>
          <w:i/>
        </w:rPr>
        <w:t>P</w:t>
      </w:r>
      <w:r w:rsidRPr="003365E4">
        <w:rPr>
          <w:i/>
        </w:rPr>
        <w:t>arte</w:t>
      </w:r>
      <w:r w:rsidRPr="00752590">
        <w:t xml:space="preserve">).  The “39-month repack period” refers to the post-auction transition period beginning with the release of the </w:t>
      </w:r>
      <w:r w:rsidRPr="00935404">
        <w:rPr>
          <w:i/>
        </w:rPr>
        <w:t>Channel Reassignment P</w:t>
      </w:r>
      <w:r w:rsidR="00156A79" w:rsidRPr="00845A88">
        <w:rPr>
          <w:i/>
        </w:rPr>
        <w:t xml:space="preserve">ublic </w:t>
      </w:r>
      <w:r w:rsidRPr="00845A88">
        <w:rPr>
          <w:i/>
        </w:rPr>
        <w:t>N</w:t>
      </w:r>
      <w:r w:rsidR="00156A79" w:rsidRPr="00845A88">
        <w:rPr>
          <w:i/>
        </w:rPr>
        <w:t>otice</w:t>
      </w:r>
      <w:r w:rsidRPr="00752590">
        <w:rPr>
          <w:i/>
        </w:rPr>
        <w:t xml:space="preserve"> </w:t>
      </w:r>
      <w:r w:rsidRPr="00752590">
        <w:t xml:space="preserve">and ending with the deadline for all television stations that are assigned to new channels in the repacking process to vacate their pre-auction channels.  </w:t>
      </w:r>
      <w:r w:rsidRPr="00752590">
        <w:rPr>
          <w:i/>
        </w:rPr>
        <w:t>See Incentive Auction R&amp;O</w:t>
      </w:r>
      <w:r w:rsidRPr="00752590">
        <w:t xml:space="preserve">, 29 FCC Rcd at 6782 para. 525. </w:t>
      </w:r>
    </w:p>
  </w:footnote>
  <w:footnote w:id="14">
    <w:p w14:paraId="71C942A3" w14:textId="3BF0CF6F" w:rsidR="002C0BAA" w:rsidRPr="00752590" w:rsidRDefault="002C0BAA" w:rsidP="00356A3A">
      <w:pPr>
        <w:pStyle w:val="FootnoteText"/>
      </w:pPr>
      <w:r w:rsidRPr="00752590">
        <w:rPr>
          <w:rStyle w:val="FootnoteReference"/>
        </w:rPr>
        <w:footnoteRef/>
      </w:r>
      <w:r w:rsidRPr="00752590">
        <w:t xml:space="preserve"> ATC </w:t>
      </w:r>
      <w:r w:rsidR="00156A79">
        <w:rPr>
          <w:i/>
        </w:rPr>
        <w:t>E</w:t>
      </w:r>
      <w:r w:rsidRPr="003365E4">
        <w:rPr>
          <w:i/>
        </w:rPr>
        <w:t xml:space="preserve">x </w:t>
      </w:r>
      <w:r w:rsidR="00156A79">
        <w:rPr>
          <w:i/>
        </w:rPr>
        <w:t>P</w:t>
      </w:r>
      <w:r w:rsidRPr="003365E4">
        <w:rPr>
          <w:i/>
        </w:rPr>
        <w:t>arte</w:t>
      </w:r>
      <w:r w:rsidRPr="00752590">
        <w:rPr>
          <w:i/>
        </w:rPr>
        <w:t xml:space="preserve"> </w:t>
      </w:r>
      <w:r w:rsidRPr="00752590">
        <w:t xml:space="preserve">at 1-2.  </w:t>
      </w:r>
    </w:p>
  </w:footnote>
  <w:footnote w:id="15">
    <w:p w14:paraId="64D73E8E" w14:textId="3736F783" w:rsidR="002C0BAA" w:rsidRDefault="002C0BAA">
      <w:pPr>
        <w:pStyle w:val="FootnoteText"/>
      </w:pPr>
      <w:r>
        <w:rPr>
          <w:rStyle w:val="FootnoteReference"/>
        </w:rPr>
        <w:footnoteRef/>
      </w:r>
      <w:r>
        <w:t xml:space="preserve"> </w:t>
      </w:r>
      <w:r w:rsidRPr="00752590">
        <w:rPr>
          <w:i/>
        </w:rPr>
        <w:t xml:space="preserve">See </w:t>
      </w:r>
      <w:r w:rsidR="00935404" w:rsidRPr="003365E4">
        <w:t>Letter from</w:t>
      </w:r>
      <w:r w:rsidR="00935404">
        <w:rPr>
          <w:i/>
        </w:rPr>
        <w:t xml:space="preserve"> </w:t>
      </w:r>
      <w:r w:rsidR="00935404">
        <w:t xml:space="preserve">Paul J. Feldman, Counsel for </w:t>
      </w:r>
      <w:r w:rsidRPr="00752590">
        <w:t>Empire State Realty Trust, Inc.</w:t>
      </w:r>
      <w:r w:rsidR="00935404">
        <w:t>, to Marlene H. Dortch, Secretary, FCC</w:t>
      </w:r>
      <w:r w:rsidRPr="00752590">
        <w:t>, GN Docket No. 12-268 (</w:t>
      </w:r>
      <w:r w:rsidR="00935404">
        <w:t xml:space="preserve">filed </w:t>
      </w:r>
      <w:r w:rsidRPr="00752590">
        <w:t xml:space="preserve">Feb. 2, 2016), at 1 (stating that </w:t>
      </w:r>
      <w:r w:rsidRPr="00752590">
        <w:rPr>
          <w:color w:val="000000" w:themeColor="text1"/>
        </w:rPr>
        <w:t>numerous broadcasters are located on top of the</w:t>
      </w:r>
      <w:r w:rsidRPr="00752590">
        <w:t xml:space="preserve"> Empire State Building, some of which are anticipated to be reassigned to new channels in the repacking process, and that clarification of whether pre-auction expenses are eligible for reimbursement if a broadcaster is reassigned in the repacking would allow preparatory work now, such as reinforcing towers, that in turn would facilitate the post-auction transition); </w:t>
      </w:r>
      <w:r w:rsidR="00845A88">
        <w:t xml:space="preserve">Letter from Steve Sharkey, Vice President, Government Affairs Technology and Engineering Policy, </w:t>
      </w:r>
      <w:r w:rsidRPr="00752590">
        <w:t>T-Mobile USA, Inc.</w:t>
      </w:r>
      <w:r w:rsidR="00845A88">
        <w:t>, to Marlene H. Dortch, Secretary, FCC</w:t>
      </w:r>
      <w:r w:rsidRPr="00752590">
        <w:t xml:space="preserve">, GN Docket No. 12-268 </w:t>
      </w:r>
      <w:r w:rsidRPr="00845A88">
        <w:t>(</w:t>
      </w:r>
      <w:r w:rsidR="00845A88" w:rsidRPr="003365E4">
        <w:t>filed Feb. 17, 2016</w:t>
      </w:r>
      <w:r w:rsidRPr="00845A88">
        <w:t>),</w:t>
      </w:r>
      <w:r w:rsidRPr="00752590">
        <w:t xml:space="preserve"> Attachment at 47 (“the FCC should clarify that preplanning expenses are reimbursable. Clarifying that broadcasters are eligible to receive reimbursement for their preplanning costs even though they are incurred prior to the close of the auction would encourage stations to begin these initial planning steps.</w:t>
      </w:r>
      <w:r>
        <w:t>”)</w:t>
      </w:r>
      <w:r w:rsidRPr="00752590">
        <w:t>.</w:t>
      </w:r>
    </w:p>
  </w:footnote>
  <w:footnote w:id="16">
    <w:p w14:paraId="510E49F8" w14:textId="77777777" w:rsidR="002C0BAA" w:rsidRPr="00752590" w:rsidRDefault="002C0BAA">
      <w:pPr>
        <w:pStyle w:val="FootnoteText"/>
      </w:pPr>
      <w:r w:rsidRPr="00752590">
        <w:rPr>
          <w:rStyle w:val="FootnoteReference"/>
        </w:rPr>
        <w:footnoteRef/>
      </w:r>
      <w:r w:rsidRPr="00752590">
        <w:t xml:space="preserve"> 47 U.S.C. § 1452(b)(4)(A).</w:t>
      </w:r>
    </w:p>
  </w:footnote>
  <w:footnote w:id="17">
    <w:p w14:paraId="2C389885" w14:textId="77777777" w:rsidR="002C0BAA" w:rsidRPr="00752590" w:rsidRDefault="002C0BAA">
      <w:pPr>
        <w:pStyle w:val="FootnoteText"/>
      </w:pPr>
      <w:r w:rsidRPr="00752590">
        <w:rPr>
          <w:rStyle w:val="FootnoteReference"/>
        </w:rPr>
        <w:footnoteRef/>
      </w:r>
      <w:r w:rsidRPr="00752590">
        <w:t xml:space="preserve"> </w:t>
      </w:r>
      <w:r w:rsidRPr="00752590">
        <w:rPr>
          <w:i/>
        </w:rPr>
        <w:t xml:space="preserve">See id. </w:t>
      </w:r>
      <w:r w:rsidRPr="00752590">
        <w:t>at § 1452(b)(4)(D) (“The Commission shall make all reimbursements required by subparagraph (A) not later than the date that is 3 years after the completion of the forward auction under subsection (c)(1).”).</w:t>
      </w:r>
    </w:p>
  </w:footnote>
  <w:footnote w:id="18">
    <w:p w14:paraId="123FEF99" w14:textId="46C141F4" w:rsidR="002C0BAA" w:rsidRPr="00752590" w:rsidRDefault="002C0BAA" w:rsidP="00BE48CD">
      <w:pPr>
        <w:pStyle w:val="FootnoteText"/>
      </w:pPr>
      <w:r w:rsidRPr="00752590">
        <w:rPr>
          <w:rStyle w:val="FootnoteReference"/>
        </w:rPr>
        <w:footnoteRef/>
      </w:r>
      <w:r w:rsidRPr="00752590">
        <w:t xml:space="preserve"> </w:t>
      </w:r>
      <w:r w:rsidRPr="00752590">
        <w:rPr>
          <w:i/>
        </w:rPr>
        <w:t>Incentive Auction R&amp;O</w:t>
      </w:r>
      <w:r w:rsidRPr="00752590">
        <w:t>, 29 FCC Rcd</w:t>
      </w:r>
      <w:r w:rsidRPr="00752590">
        <w:rPr>
          <w:i/>
        </w:rPr>
        <w:t xml:space="preserve"> </w:t>
      </w:r>
      <w:r w:rsidRPr="00752590">
        <w:t>at 6822</w:t>
      </w:r>
      <w:r w:rsidR="00845A88">
        <w:t>,</w:t>
      </w:r>
      <w:r w:rsidRPr="00752590">
        <w:t xml:space="preserve"> para. 623.  </w:t>
      </w:r>
      <w:r w:rsidRPr="00752590">
        <w:rPr>
          <w:i/>
        </w:rPr>
        <w:t xml:space="preserve">See </w:t>
      </w:r>
      <w:r w:rsidRPr="00752590">
        <w:t>47 U.S.C. § 1452(b)(4)(A).</w:t>
      </w:r>
      <w:r w:rsidR="00967D66">
        <w:t xml:space="preserve">  In the discussion that follows, we use the term “pre-auction expenses” to refer to expenses incurred prior to the release of the </w:t>
      </w:r>
      <w:r w:rsidR="00967D66">
        <w:rPr>
          <w:i/>
        </w:rPr>
        <w:t xml:space="preserve">Channel Reassignment PN </w:t>
      </w:r>
      <w:r w:rsidR="00967D66">
        <w:t>announcing the results of the incentive auction and the repacking process.</w:t>
      </w:r>
    </w:p>
  </w:footnote>
  <w:footnote w:id="19">
    <w:p w14:paraId="39D78CC9" w14:textId="7D648603" w:rsidR="002C0BAA" w:rsidRPr="00752590" w:rsidRDefault="002C0BAA">
      <w:pPr>
        <w:pStyle w:val="FootnoteText"/>
      </w:pPr>
      <w:r w:rsidRPr="00752590">
        <w:rPr>
          <w:rStyle w:val="FootnoteReference"/>
        </w:rPr>
        <w:footnoteRef/>
      </w:r>
      <w:r w:rsidRPr="00752590">
        <w:t xml:space="preserve"> </w:t>
      </w:r>
      <w:r w:rsidRPr="00752590">
        <w:rPr>
          <w:i/>
        </w:rPr>
        <w:t>Incentive Auction R&amp;O</w:t>
      </w:r>
      <w:r w:rsidRPr="00752590">
        <w:t>, 29 FCC Rcd at 6788</w:t>
      </w:r>
      <w:r w:rsidR="00845A88">
        <w:t>,</w:t>
      </w:r>
      <w:r w:rsidRPr="00752590">
        <w:t xml:space="preserve"> para. 539.  </w:t>
      </w:r>
      <w:r w:rsidRPr="00752590">
        <w:rPr>
          <w:i/>
        </w:rPr>
        <w:t xml:space="preserve">See </w:t>
      </w:r>
      <w:r w:rsidRPr="00752590">
        <w:t xml:space="preserve">ATC </w:t>
      </w:r>
      <w:r w:rsidR="00845A88" w:rsidRPr="003365E4">
        <w:rPr>
          <w:i/>
        </w:rPr>
        <w:t>E</w:t>
      </w:r>
      <w:r w:rsidRPr="003365E4">
        <w:rPr>
          <w:i/>
        </w:rPr>
        <w:t xml:space="preserve">x </w:t>
      </w:r>
      <w:r w:rsidR="00845A88" w:rsidRPr="003365E4">
        <w:rPr>
          <w:i/>
        </w:rPr>
        <w:t>P</w:t>
      </w:r>
      <w:r w:rsidRPr="003365E4">
        <w:rPr>
          <w:i/>
        </w:rPr>
        <w:t>arte</w:t>
      </w:r>
      <w:r w:rsidRPr="00752590">
        <w:t xml:space="preserve"> at 1-2 (“…  Other advantages of allowing potentially reimbursable work to begin before the 39-month repack period are that tower prep work will free up tower engineering and construction support resources during the 39-month repacking period”).</w:t>
      </w:r>
    </w:p>
  </w:footnote>
  <w:footnote w:id="20">
    <w:p w14:paraId="1D40CA72" w14:textId="14761D8C" w:rsidR="002C0BAA" w:rsidRPr="00752590" w:rsidRDefault="002C0BAA">
      <w:pPr>
        <w:pStyle w:val="FootnoteText"/>
      </w:pPr>
      <w:r w:rsidRPr="00752590">
        <w:rPr>
          <w:rStyle w:val="FootnoteReference"/>
        </w:rPr>
        <w:footnoteRef/>
      </w:r>
      <w:r w:rsidRPr="00752590">
        <w:t xml:space="preserve"> </w:t>
      </w:r>
      <w:r w:rsidRPr="00752590">
        <w:rPr>
          <w:i/>
        </w:rPr>
        <w:t xml:space="preserve">See </w:t>
      </w:r>
      <w:r w:rsidR="00845A88" w:rsidRPr="00752590">
        <w:t xml:space="preserve">ATC </w:t>
      </w:r>
      <w:r w:rsidR="00845A88" w:rsidRPr="00021CE9">
        <w:rPr>
          <w:i/>
        </w:rPr>
        <w:t>Ex Parte</w:t>
      </w:r>
      <w:r w:rsidR="00845A88" w:rsidRPr="00752590">
        <w:t xml:space="preserve"> </w:t>
      </w:r>
      <w:r w:rsidRPr="00752590">
        <w:t>at 2 (“ATC is asking only for a Commission statement that if an expense would be eligible for reimbursement if it were incurred during the 39-month repack period, that same expense also would be eligible for reimbursement if the work was started or completed prior to the commencement of the 39-month repack period.”).</w:t>
      </w:r>
    </w:p>
  </w:footnote>
  <w:footnote w:id="21">
    <w:p w14:paraId="59A33F92" w14:textId="44AE39D1" w:rsidR="002C0BAA" w:rsidRPr="00752590" w:rsidRDefault="002C0BAA" w:rsidP="00044BBD">
      <w:pPr>
        <w:pStyle w:val="FootnoteText"/>
      </w:pPr>
      <w:r w:rsidRPr="00752590">
        <w:rPr>
          <w:rStyle w:val="FootnoteReference"/>
        </w:rPr>
        <w:footnoteRef/>
      </w:r>
      <w:r w:rsidRPr="00752590">
        <w:t xml:space="preserve"> </w:t>
      </w:r>
      <w:r w:rsidRPr="00752590">
        <w:rPr>
          <w:i/>
        </w:rPr>
        <w:t>IA R&amp;O</w:t>
      </w:r>
      <w:r w:rsidR="00967D66">
        <w:t>, 29 FCC Rcd at 6821</w:t>
      </w:r>
      <w:r w:rsidR="002B7AEA">
        <w:t>,</w:t>
      </w:r>
      <w:r w:rsidRPr="00752590">
        <w:t xml:space="preserve"> para. 622 (“The appropriate scope of ‘costs reasonably incurred’ necessarily will have to be decided on a case-by-case basis….  All claimed expenses are subject to review by the Media Bureau to ensure that each expense is reasonable.”); </w:t>
      </w:r>
      <w:r w:rsidRPr="00752590">
        <w:rPr>
          <w:i/>
        </w:rPr>
        <w:t xml:space="preserve">see </w:t>
      </w:r>
      <w:r w:rsidRPr="00752590">
        <w:t xml:space="preserve">47 CFR § 73.3700(e)(7).  </w:t>
      </w:r>
    </w:p>
  </w:footnote>
  <w:footnote w:id="22">
    <w:p w14:paraId="6EA0D36A" w14:textId="307359E3" w:rsidR="00967D66" w:rsidRPr="00967D66" w:rsidRDefault="00967D66">
      <w:pPr>
        <w:pStyle w:val="FootnoteText"/>
      </w:pPr>
      <w:r>
        <w:rPr>
          <w:rStyle w:val="FootnoteReference"/>
        </w:rPr>
        <w:footnoteRef/>
      </w:r>
      <w:r>
        <w:t xml:space="preserve"> </w:t>
      </w:r>
      <w:r>
        <w:rPr>
          <w:i/>
        </w:rPr>
        <w:t>See IA R&amp;O</w:t>
      </w:r>
      <w:r>
        <w:t>, 29 FCC Rcd at 6821</w:t>
      </w:r>
      <w:r w:rsidR="002B7AEA">
        <w:t>,</w:t>
      </w:r>
      <w:r>
        <w:t xml:space="preserve"> para. 622. </w:t>
      </w:r>
    </w:p>
  </w:footnote>
  <w:footnote w:id="23">
    <w:p w14:paraId="66CA9ACE" w14:textId="6AECE9AE" w:rsidR="002C0BAA" w:rsidRPr="00752590" w:rsidRDefault="002C0BAA" w:rsidP="00A12B1D">
      <w:pPr>
        <w:pStyle w:val="FootnoteText"/>
      </w:pPr>
      <w:r w:rsidRPr="00752590">
        <w:rPr>
          <w:rStyle w:val="FootnoteReference"/>
        </w:rPr>
        <w:footnoteRef/>
      </w:r>
      <w:r w:rsidRPr="00752590">
        <w:t xml:space="preserve"> </w:t>
      </w:r>
      <w:r w:rsidR="001D5C30" w:rsidRPr="00752590">
        <w:t xml:space="preserve">ATC </w:t>
      </w:r>
      <w:r w:rsidR="001D5C30" w:rsidRPr="00021CE9">
        <w:rPr>
          <w:i/>
        </w:rPr>
        <w:t>Ex Parte</w:t>
      </w:r>
      <w:r w:rsidR="001D5C30" w:rsidRPr="00752590">
        <w:t xml:space="preserve"> </w:t>
      </w:r>
      <w:r w:rsidRPr="00752590">
        <w:t xml:space="preserve">at 2.  </w:t>
      </w:r>
      <w:r w:rsidRPr="00752590">
        <w:rPr>
          <w:i/>
        </w:rPr>
        <w:t>See Incentive Auction R&amp;O</w:t>
      </w:r>
      <w:r w:rsidRPr="00752590">
        <w:t>, 29 FCC Rcd at 6814</w:t>
      </w:r>
      <w:r w:rsidR="000C3EC8">
        <w:t>,</w:t>
      </w:r>
      <w:r w:rsidRPr="00752590">
        <w:t xml:space="preserve"> para. 602 (“Stations that are not reassigned to a new channel will not be eligible for reimbursement.”).  </w:t>
      </w:r>
    </w:p>
  </w:footnote>
  <w:footnote w:id="24">
    <w:p w14:paraId="05A1B7B7" w14:textId="77777777" w:rsidR="002C0BAA" w:rsidRPr="00752590" w:rsidRDefault="002C0BAA">
      <w:pPr>
        <w:pStyle w:val="FootnoteText"/>
      </w:pPr>
      <w:r w:rsidRPr="00752590">
        <w:rPr>
          <w:rStyle w:val="FootnoteReference"/>
        </w:rPr>
        <w:footnoteRef/>
      </w:r>
      <w:r w:rsidRPr="00752590">
        <w:t xml:space="preserve"> 47 U.S.C. § 1452(b)(4)(A)(i).</w:t>
      </w:r>
    </w:p>
  </w:footnote>
  <w:footnote w:id="25">
    <w:p w14:paraId="2811AA05" w14:textId="6D669AF7" w:rsidR="002C0BAA" w:rsidRPr="00752590" w:rsidRDefault="002C0BAA">
      <w:pPr>
        <w:pStyle w:val="FootnoteText"/>
      </w:pPr>
      <w:r w:rsidRPr="00752590">
        <w:rPr>
          <w:rStyle w:val="FootnoteReference"/>
        </w:rPr>
        <w:footnoteRef/>
      </w:r>
      <w:r w:rsidRPr="00752590">
        <w:t xml:space="preserve"> </w:t>
      </w:r>
      <w:r w:rsidRPr="00752590">
        <w:rPr>
          <w:color w:val="000000" w:themeColor="text1"/>
        </w:rPr>
        <w:t xml:space="preserve">Because we are interpreting the statute to authorize reimbursement of pre-auction expenses, notice-and-comment procedures are not required to implement our action.  </w:t>
      </w:r>
      <w:r w:rsidRPr="00752590">
        <w:rPr>
          <w:i/>
        </w:rPr>
        <w:t>See</w:t>
      </w:r>
      <w:r w:rsidR="00DF5E17">
        <w:rPr>
          <w:i/>
        </w:rPr>
        <w:t xml:space="preserve">, e.g., </w:t>
      </w:r>
      <w:r w:rsidR="00DF5E17" w:rsidRPr="00DF5E17">
        <w:rPr>
          <w:bCs/>
          <w:i/>
          <w:snapToGrid w:val="0"/>
          <w:color w:val="000000"/>
        </w:rPr>
        <w:t>Chisholm v. FCC</w:t>
      </w:r>
      <w:r w:rsidR="00DF5E17" w:rsidRPr="00DF5E17">
        <w:rPr>
          <w:bCs/>
          <w:snapToGrid w:val="0"/>
          <w:color w:val="000000"/>
        </w:rPr>
        <w:t>, 538 F.2d 349, 364-65 (D.C.</w:t>
      </w:r>
      <w:r w:rsidR="00DF5E17">
        <w:rPr>
          <w:bCs/>
          <w:snapToGrid w:val="0"/>
          <w:color w:val="000000"/>
        </w:rPr>
        <w:t xml:space="preserve"> </w:t>
      </w:r>
      <w:r w:rsidR="00DF5E17" w:rsidRPr="00DF5E17">
        <w:rPr>
          <w:bCs/>
          <w:snapToGrid w:val="0"/>
          <w:color w:val="000000"/>
        </w:rPr>
        <w:t>Cir. 1976) (</w:t>
      </w:r>
      <w:r w:rsidR="00DF5E17" w:rsidRPr="00DF5E17">
        <w:rPr>
          <w:bCs/>
          <w:color w:val="212121"/>
        </w:rPr>
        <w:t>FCC acted properly in interpreting equal time provisions of Communications Act of 1934 via declaratory order rather than through notice and comment rule making</w:t>
      </w:r>
      <w:r w:rsidR="00DF5E17" w:rsidRPr="00DF5E17">
        <w:rPr>
          <w:bCs/>
          <w:snapToGrid w:val="0"/>
          <w:color w:val="000000"/>
        </w:rPr>
        <w:t>)</w:t>
      </w:r>
      <w:r w:rsidRPr="00752590">
        <w:rPr>
          <w:color w:val="000000" w:themeColor="text1"/>
        </w:rPr>
        <w:t xml:space="preserve">.  </w:t>
      </w:r>
      <w:r w:rsidRPr="00752590">
        <w:rPr>
          <w:i/>
          <w:color w:val="000000" w:themeColor="text1"/>
        </w:rPr>
        <w:t>See also</w:t>
      </w:r>
      <w:r w:rsidRPr="00752590">
        <w:rPr>
          <w:color w:val="000000" w:themeColor="text1"/>
        </w:rPr>
        <w:t xml:space="preserve"> </w:t>
      </w:r>
      <w:r w:rsidRPr="00752590">
        <w:rPr>
          <w:i/>
          <w:color w:val="000000" w:themeColor="text1"/>
        </w:rPr>
        <w:t>Perez v. Mortgage Bankers Ass’n</w:t>
      </w:r>
      <w:r w:rsidRPr="00752590">
        <w:rPr>
          <w:color w:val="000000" w:themeColor="text1"/>
        </w:rPr>
        <w:t xml:space="preserve">, 135 S.Ct. 1199, 1206 (2015) (“Because an agency is not required to use notice-and-comment procedures to issue an initial interpretive rule, it is also not required to use those procedures when it amends or repeals that interpretive rule.”).  Pursuant to the </w:t>
      </w:r>
      <w:r w:rsidRPr="00752590">
        <w:rPr>
          <w:i/>
          <w:color w:val="000000" w:themeColor="text1"/>
        </w:rPr>
        <w:t>Incentive Auction R&amp;O</w:t>
      </w:r>
      <w:r w:rsidRPr="00752590">
        <w:rPr>
          <w:color w:val="000000" w:themeColor="text1"/>
        </w:rPr>
        <w:t xml:space="preserve">, 29 FCC Rcd at 6812 para. 599 and 6820 para. 619, the Media Bureau has delegated authority to make any modifications necessary to the rules or the associated forms in order to implement our action.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A2B05" w14:textId="77777777" w:rsidR="00EF1BEB" w:rsidRDefault="00EF1B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6F59A" w14:textId="03C5649B" w:rsidR="002C0BAA" w:rsidRDefault="002C0BAA" w:rsidP="00810B6F">
    <w:pPr>
      <w:pStyle w:val="Header"/>
      <w:rPr>
        <w:b w:val="0"/>
      </w:rPr>
    </w:pPr>
    <w:r>
      <w:tab/>
      <w:t>Federal Communications Commission</w:t>
    </w:r>
    <w:r>
      <w:tab/>
      <w:t>FCC 16-</w:t>
    </w:r>
    <w:r w:rsidR="003365E4">
      <w:t>47</w:t>
    </w:r>
  </w:p>
  <w:p w14:paraId="02D90E8F" w14:textId="77777777" w:rsidR="002C0BAA" w:rsidRDefault="002C0BAA">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7A267E83" wp14:editId="31D06AE7">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E9792A"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LU8QIAAEU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" o:allowincell="f" fillcolor="black" stroked="f" strokeweight=".05pt">
              <o:lock v:ext="edit" aspectratio="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88C41" w14:textId="17B13184" w:rsidR="002C0BAA" w:rsidRDefault="002C0BAA"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23A1F32A" wp14:editId="16FA6488">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BAC07A"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" o:allowincell="f" fillcolor="black" stroked="f" strokeweight=".05pt">
              <o:lock v:ext="edit" aspectratio="t"/>
              <w10:wrap anchorx="margin"/>
            </v:rect>
          </w:pict>
        </mc:Fallback>
      </mc:AlternateContent>
    </w:r>
    <w:r>
      <w:tab/>
      <w:t>Federal Communications Commission</w:t>
    </w:r>
    <w:r>
      <w:tab/>
    </w:r>
    <w:r>
      <w:rPr>
        <w:spacing w:val="-2"/>
      </w:rPr>
      <w:t>FCC 16-</w:t>
    </w:r>
    <w:r w:rsidR="003365E4">
      <w:rPr>
        <w:spacing w:val="-2"/>
      </w:rPr>
      <w:t>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D771232"/>
    <w:multiLevelType w:val="hybridMultilevel"/>
    <w:tmpl w:val="AE161F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56D"/>
    <w:rsid w:val="000111EC"/>
    <w:rsid w:val="00036039"/>
    <w:rsid w:val="00037F90"/>
    <w:rsid w:val="00044BBD"/>
    <w:rsid w:val="00062640"/>
    <w:rsid w:val="0007704B"/>
    <w:rsid w:val="000875BF"/>
    <w:rsid w:val="00096D8C"/>
    <w:rsid w:val="000C0B65"/>
    <w:rsid w:val="000C1A51"/>
    <w:rsid w:val="000C3EC8"/>
    <w:rsid w:val="000E05FE"/>
    <w:rsid w:val="000E3D42"/>
    <w:rsid w:val="00100314"/>
    <w:rsid w:val="00107900"/>
    <w:rsid w:val="0011265B"/>
    <w:rsid w:val="00120CCF"/>
    <w:rsid w:val="00122BD5"/>
    <w:rsid w:val="00133F79"/>
    <w:rsid w:val="0015327B"/>
    <w:rsid w:val="00156A79"/>
    <w:rsid w:val="00160DBF"/>
    <w:rsid w:val="00171FB8"/>
    <w:rsid w:val="00187A4D"/>
    <w:rsid w:val="00194A66"/>
    <w:rsid w:val="001969B8"/>
    <w:rsid w:val="001A312B"/>
    <w:rsid w:val="001D4E3E"/>
    <w:rsid w:val="001D5C30"/>
    <w:rsid w:val="001D6BCF"/>
    <w:rsid w:val="001E01CA"/>
    <w:rsid w:val="001F52AF"/>
    <w:rsid w:val="00224061"/>
    <w:rsid w:val="0024173A"/>
    <w:rsid w:val="00246612"/>
    <w:rsid w:val="00275CF5"/>
    <w:rsid w:val="0028301F"/>
    <w:rsid w:val="00285017"/>
    <w:rsid w:val="002A2002"/>
    <w:rsid w:val="002A2D2E"/>
    <w:rsid w:val="002B7AEA"/>
    <w:rsid w:val="002C00E8"/>
    <w:rsid w:val="002C0BAA"/>
    <w:rsid w:val="002E15FE"/>
    <w:rsid w:val="002F7F41"/>
    <w:rsid w:val="00327F13"/>
    <w:rsid w:val="00332942"/>
    <w:rsid w:val="003365E4"/>
    <w:rsid w:val="003371ED"/>
    <w:rsid w:val="00343749"/>
    <w:rsid w:val="00350D53"/>
    <w:rsid w:val="00352BD7"/>
    <w:rsid w:val="00356A3A"/>
    <w:rsid w:val="003660ED"/>
    <w:rsid w:val="00371F43"/>
    <w:rsid w:val="003B0550"/>
    <w:rsid w:val="003B694F"/>
    <w:rsid w:val="003F171C"/>
    <w:rsid w:val="00412FC5"/>
    <w:rsid w:val="0042040A"/>
    <w:rsid w:val="00422276"/>
    <w:rsid w:val="004242F1"/>
    <w:rsid w:val="00441A78"/>
    <w:rsid w:val="00445A00"/>
    <w:rsid w:val="00451B0F"/>
    <w:rsid w:val="00462CAC"/>
    <w:rsid w:val="0047278E"/>
    <w:rsid w:val="004803E6"/>
    <w:rsid w:val="004C2EE3"/>
    <w:rsid w:val="004C76C6"/>
    <w:rsid w:val="004E4A22"/>
    <w:rsid w:val="004E7985"/>
    <w:rsid w:val="00506914"/>
    <w:rsid w:val="00511968"/>
    <w:rsid w:val="005275E3"/>
    <w:rsid w:val="00541757"/>
    <w:rsid w:val="0054649A"/>
    <w:rsid w:val="0055614C"/>
    <w:rsid w:val="00565122"/>
    <w:rsid w:val="00571846"/>
    <w:rsid w:val="00576359"/>
    <w:rsid w:val="00576732"/>
    <w:rsid w:val="0057766E"/>
    <w:rsid w:val="00581F68"/>
    <w:rsid w:val="0059033C"/>
    <w:rsid w:val="005B6516"/>
    <w:rsid w:val="005E14C2"/>
    <w:rsid w:val="005F1C27"/>
    <w:rsid w:val="00607BA5"/>
    <w:rsid w:val="0061180A"/>
    <w:rsid w:val="00626EB6"/>
    <w:rsid w:val="00655D03"/>
    <w:rsid w:val="00683388"/>
    <w:rsid w:val="00683F84"/>
    <w:rsid w:val="00692C66"/>
    <w:rsid w:val="0069489B"/>
    <w:rsid w:val="00696D34"/>
    <w:rsid w:val="00696DE9"/>
    <w:rsid w:val="006A6A81"/>
    <w:rsid w:val="006B142A"/>
    <w:rsid w:val="006B5C06"/>
    <w:rsid w:val="006E0B42"/>
    <w:rsid w:val="006F7393"/>
    <w:rsid w:val="0070224F"/>
    <w:rsid w:val="007115F7"/>
    <w:rsid w:val="00714D05"/>
    <w:rsid w:val="00716311"/>
    <w:rsid w:val="00726FB3"/>
    <w:rsid w:val="00732F09"/>
    <w:rsid w:val="00752375"/>
    <w:rsid w:val="00752590"/>
    <w:rsid w:val="00756B96"/>
    <w:rsid w:val="0076228D"/>
    <w:rsid w:val="00785689"/>
    <w:rsid w:val="0079754B"/>
    <w:rsid w:val="007A1E6D"/>
    <w:rsid w:val="007B0EB2"/>
    <w:rsid w:val="007B11E5"/>
    <w:rsid w:val="007B5EFA"/>
    <w:rsid w:val="00800C10"/>
    <w:rsid w:val="00810B6F"/>
    <w:rsid w:val="00822CE0"/>
    <w:rsid w:val="0082440B"/>
    <w:rsid w:val="00825E1D"/>
    <w:rsid w:val="00841AB1"/>
    <w:rsid w:val="008430D3"/>
    <w:rsid w:val="00845A88"/>
    <w:rsid w:val="0086387D"/>
    <w:rsid w:val="008760CC"/>
    <w:rsid w:val="008832D6"/>
    <w:rsid w:val="008A2258"/>
    <w:rsid w:val="008C68F1"/>
    <w:rsid w:val="008E3BD0"/>
    <w:rsid w:val="00906520"/>
    <w:rsid w:val="009111B6"/>
    <w:rsid w:val="00921803"/>
    <w:rsid w:val="00926503"/>
    <w:rsid w:val="00935404"/>
    <w:rsid w:val="009545F5"/>
    <w:rsid w:val="00965D2A"/>
    <w:rsid w:val="00967D66"/>
    <w:rsid w:val="009726D8"/>
    <w:rsid w:val="009B2735"/>
    <w:rsid w:val="009B28E3"/>
    <w:rsid w:val="009B662D"/>
    <w:rsid w:val="009D3969"/>
    <w:rsid w:val="009F618D"/>
    <w:rsid w:val="009F76DB"/>
    <w:rsid w:val="00A11075"/>
    <w:rsid w:val="00A12B1D"/>
    <w:rsid w:val="00A15FEB"/>
    <w:rsid w:val="00A24E14"/>
    <w:rsid w:val="00A32C3B"/>
    <w:rsid w:val="00A45F4F"/>
    <w:rsid w:val="00A600A9"/>
    <w:rsid w:val="00AA55B7"/>
    <w:rsid w:val="00AA5B9E"/>
    <w:rsid w:val="00AB2407"/>
    <w:rsid w:val="00AB53DF"/>
    <w:rsid w:val="00AC0A81"/>
    <w:rsid w:val="00AC2621"/>
    <w:rsid w:val="00B01C8E"/>
    <w:rsid w:val="00B07E5C"/>
    <w:rsid w:val="00B222DE"/>
    <w:rsid w:val="00B42B94"/>
    <w:rsid w:val="00B50F06"/>
    <w:rsid w:val="00B56F93"/>
    <w:rsid w:val="00B66ACC"/>
    <w:rsid w:val="00B811F7"/>
    <w:rsid w:val="00B83BF6"/>
    <w:rsid w:val="00BA2753"/>
    <w:rsid w:val="00BA5DC6"/>
    <w:rsid w:val="00BA6196"/>
    <w:rsid w:val="00BB4A93"/>
    <w:rsid w:val="00BC6D8C"/>
    <w:rsid w:val="00BE48CD"/>
    <w:rsid w:val="00C001AC"/>
    <w:rsid w:val="00C07331"/>
    <w:rsid w:val="00C112C6"/>
    <w:rsid w:val="00C114BB"/>
    <w:rsid w:val="00C34006"/>
    <w:rsid w:val="00C36AD2"/>
    <w:rsid w:val="00C426B1"/>
    <w:rsid w:val="00C459D7"/>
    <w:rsid w:val="00C579FD"/>
    <w:rsid w:val="00C600C9"/>
    <w:rsid w:val="00C62495"/>
    <w:rsid w:val="00C642D0"/>
    <w:rsid w:val="00C66160"/>
    <w:rsid w:val="00C662ED"/>
    <w:rsid w:val="00C721AC"/>
    <w:rsid w:val="00C90D6A"/>
    <w:rsid w:val="00CA247E"/>
    <w:rsid w:val="00CA73B1"/>
    <w:rsid w:val="00CC72B6"/>
    <w:rsid w:val="00CF6BBD"/>
    <w:rsid w:val="00D0218D"/>
    <w:rsid w:val="00D1123B"/>
    <w:rsid w:val="00D16F85"/>
    <w:rsid w:val="00D25FB5"/>
    <w:rsid w:val="00D400D9"/>
    <w:rsid w:val="00D44223"/>
    <w:rsid w:val="00D6230D"/>
    <w:rsid w:val="00D87F54"/>
    <w:rsid w:val="00D95385"/>
    <w:rsid w:val="00DA2529"/>
    <w:rsid w:val="00DA4CC9"/>
    <w:rsid w:val="00DB130A"/>
    <w:rsid w:val="00DB2EBB"/>
    <w:rsid w:val="00DC10A1"/>
    <w:rsid w:val="00DC193F"/>
    <w:rsid w:val="00DC655F"/>
    <w:rsid w:val="00DC7B0B"/>
    <w:rsid w:val="00DD0B59"/>
    <w:rsid w:val="00DD7EBD"/>
    <w:rsid w:val="00DE4A34"/>
    <w:rsid w:val="00DF5E17"/>
    <w:rsid w:val="00DF62B6"/>
    <w:rsid w:val="00E053EE"/>
    <w:rsid w:val="00E07225"/>
    <w:rsid w:val="00E42045"/>
    <w:rsid w:val="00E5409F"/>
    <w:rsid w:val="00E922F7"/>
    <w:rsid w:val="00EB5652"/>
    <w:rsid w:val="00EE1B54"/>
    <w:rsid w:val="00EE492C"/>
    <w:rsid w:val="00EE6488"/>
    <w:rsid w:val="00EF1BEB"/>
    <w:rsid w:val="00F021FA"/>
    <w:rsid w:val="00F032DA"/>
    <w:rsid w:val="00F1456D"/>
    <w:rsid w:val="00F62E97"/>
    <w:rsid w:val="00F64209"/>
    <w:rsid w:val="00F93BF5"/>
    <w:rsid w:val="00FB237A"/>
    <w:rsid w:val="00FC1749"/>
    <w:rsid w:val="00FD1D0A"/>
    <w:rsid w:val="00FF0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BF2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8E3"/>
    <w:pPr>
      <w:widowControl w:val="0"/>
    </w:pPr>
    <w:rPr>
      <w:snapToGrid w:val="0"/>
      <w:kern w:val="28"/>
      <w:sz w:val="22"/>
    </w:rPr>
  </w:style>
  <w:style w:type="paragraph" w:styleId="Heading1">
    <w:name w:val="heading 1"/>
    <w:aliases w:val="Heading 1 Char2,Heading 1 Char1 Char,Heading 1 Char Char1 Char,Heading 1 Char2 Char Char1 Char,Heading 1 Char1 Char Char Char2 Char,Heading 1 Char Char Char Char Char Char,Heading 1 Char2 Char Char Char Char Char1 Char,Heading 1 Char Char2"/>
    <w:basedOn w:val="Normal"/>
    <w:next w:val="ParaNum"/>
    <w:link w:val="Heading1Char"/>
    <w:qFormat/>
    <w:rsid w:val="009B28E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4,Heading 2 Char1 Char,Heading 2 Char Char Char,Heading 2 Char1 Char Char Char,Heading 2 Char Char Char Char Char,Heading 2 Char2 Char Char Char Char Char,Heading 2 Char1 Char Char Char Char Char Char,Heading 2 Ch"/>
    <w:basedOn w:val="Normal"/>
    <w:next w:val="ParaNum"/>
    <w:link w:val="Heading2Char"/>
    <w:autoRedefine/>
    <w:qFormat/>
    <w:rsid w:val="009B28E3"/>
    <w:pPr>
      <w:keepNext/>
      <w:numPr>
        <w:ilvl w:val="1"/>
        <w:numId w:val="3"/>
      </w:numPr>
      <w:spacing w:after="120"/>
      <w:outlineLvl w:val="1"/>
    </w:pPr>
    <w:rPr>
      <w:b/>
    </w:rPr>
  </w:style>
  <w:style w:type="paragraph" w:styleId="Heading3">
    <w:name w:val="heading 3"/>
    <w:aliases w:val="Heading 3 Char1,Heading 3 Char2,Heading 3 Char Char2,Heading 3 Char1 Char Char,Heading 3 Char Char Char Char,Heading 3 Char Char1 Char,Heading 3 Char1 Char1,Heading 3 Char Char Char1"/>
    <w:basedOn w:val="Normal"/>
    <w:next w:val="ParaNum"/>
    <w:qFormat/>
    <w:rsid w:val="009B28E3"/>
    <w:pPr>
      <w:keepNext/>
      <w:numPr>
        <w:ilvl w:val="2"/>
        <w:numId w:val="3"/>
      </w:numPr>
      <w:tabs>
        <w:tab w:val="left" w:pos="2160"/>
      </w:tabs>
      <w:spacing w:after="120"/>
      <w:outlineLvl w:val="2"/>
    </w:pPr>
    <w:rPr>
      <w:b/>
    </w:rPr>
  </w:style>
  <w:style w:type="paragraph" w:styleId="Heading4">
    <w:name w:val="heading 4"/>
    <w:basedOn w:val="Normal"/>
    <w:next w:val="ParaNum"/>
    <w:qFormat/>
    <w:rsid w:val="009B28E3"/>
    <w:pPr>
      <w:keepNext/>
      <w:numPr>
        <w:ilvl w:val="3"/>
        <w:numId w:val="3"/>
      </w:numPr>
      <w:tabs>
        <w:tab w:val="left" w:pos="2880"/>
      </w:tabs>
      <w:spacing w:after="120"/>
      <w:outlineLvl w:val="3"/>
    </w:pPr>
    <w:rPr>
      <w:b/>
    </w:rPr>
  </w:style>
  <w:style w:type="paragraph" w:styleId="Heading5">
    <w:name w:val="heading 5"/>
    <w:basedOn w:val="Normal"/>
    <w:next w:val="ParaNum"/>
    <w:qFormat/>
    <w:rsid w:val="009B28E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B28E3"/>
    <w:pPr>
      <w:numPr>
        <w:ilvl w:val="5"/>
        <w:numId w:val="3"/>
      </w:numPr>
      <w:tabs>
        <w:tab w:val="left" w:pos="4320"/>
      </w:tabs>
      <w:spacing w:after="120"/>
      <w:outlineLvl w:val="5"/>
    </w:pPr>
    <w:rPr>
      <w:b/>
    </w:rPr>
  </w:style>
  <w:style w:type="paragraph" w:styleId="Heading7">
    <w:name w:val="heading 7"/>
    <w:basedOn w:val="Normal"/>
    <w:next w:val="ParaNum"/>
    <w:qFormat/>
    <w:rsid w:val="009B28E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B28E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B28E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B28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28E3"/>
  </w:style>
  <w:style w:type="paragraph" w:customStyle="1" w:styleId="ParaNum">
    <w:name w:val="ParaNum"/>
    <w:basedOn w:val="Normal"/>
    <w:link w:val="ParaNumChar"/>
    <w:rsid w:val="009B28E3"/>
    <w:pPr>
      <w:numPr>
        <w:numId w:val="2"/>
      </w:numPr>
      <w:tabs>
        <w:tab w:val="clear" w:pos="1080"/>
        <w:tab w:val="num" w:pos="1440"/>
      </w:tabs>
      <w:spacing w:after="120"/>
    </w:pPr>
  </w:style>
  <w:style w:type="paragraph" w:styleId="EndnoteText">
    <w:name w:val="endnote text"/>
    <w:basedOn w:val="Normal"/>
    <w:semiHidden/>
    <w:rsid w:val="009B28E3"/>
    <w:rPr>
      <w:sz w:val="20"/>
    </w:rPr>
  </w:style>
  <w:style w:type="character" w:styleId="EndnoteReference">
    <w:name w:val="endnote reference"/>
    <w:semiHidden/>
    <w:rsid w:val="009B28E3"/>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ALTS FOOTNOT"/>
    <w:link w:val="FootnoteTextChar"/>
    <w:rsid w:val="009B28E3"/>
    <w:pPr>
      <w:spacing w:after="120"/>
    </w:pPr>
  </w:style>
  <w:style w:type="character" w:styleId="FootnoteReference">
    <w:name w:val="footnote reference"/>
    <w:aliases w:val="Style 124,Appel note de bas de p,Style 12,(NECG) Footnote Reference,o,fr,Style 3,Style 17,FR,Style 13,Footnote Reference/,Style 6,Style 4,Style 7"/>
    <w:rsid w:val="009B28E3"/>
    <w:rPr>
      <w:rFonts w:ascii="Times New Roman" w:hAnsi="Times New Roman"/>
      <w:dstrike w:val="0"/>
      <w:color w:val="auto"/>
      <w:sz w:val="20"/>
      <w:vertAlign w:val="superscript"/>
    </w:rPr>
  </w:style>
  <w:style w:type="paragraph" w:styleId="TOC1">
    <w:name w:val="toc 1"/>
    <w:basedOn w:val="Normal"/>
    <w:next w:val="Normal"/>
    <w:rsid w:val="009B28E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B28E3"/>
    <w:pPr>
      <w:tabs>
        <w:tab w:val="left" w:pos="720"/>
        <w:tab w:val="right" w:leader="dot" w:pos="9360"/>
      </w:tabs>
      <w:suppressAutoHyphens/>
      <w:ind w:left="720" w:right="720" w:hanging="360"/>
    </w:pPr>
    <w:rPr>
      <w:noProof/>
    </w:rPr>
  </w:style>
  <w:style w:type="paragraph" w:styleId="TOC3">
    <w:name w:val="toc 3"/>
    <w:basedOn w:val="Normal"/>
    <w:next w:val="Normal"/>
    <w:semiHidden/>
    <w:rsid w:val="009B28E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B28E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B28E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B28E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B28E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B28E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B28E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B28E3"/>
    <w:pPr>
      <w:tabs>
        <w:tab w:val="right" w:pos="9360"/>
      </w:tabs>
      <w:suppressAutoHyphens/>
    </w:pPr>
  </w:style>
  <w:style w:type="character" w:customStyle="1" w:styleId="EquationCaption">
    <w:name w:val="_Equation Caption"/>
    <w:rsid w:val="009B28E3"/>
  </w:style>
  <w:style w:type="paragraph" w:styleId="Header">
    <w:name w:val="header"/>
    <w:basedOn w:val="Normal"/>
    <w:autoRedefine/>
    <w:rsid w:val="009B28E3"/>
    <w:pPr>
      <w:tabs>
        <w:tab w:val="center" w:pos="4680"/>
        <w:tab w:val="right" w:pos="9360"/>
      </w:tabs>
    </w:pPr>
    <w:rPr>
      <w:b/>
    </w:rPr>
  </w:style>
  <w:style w:type="paragraph" w:styleId="Footer">
    <w:name w:val="footer"/>
    <w:basedOn w:val="Normal"/>
    <w:rsid w:val="009B28E3"/>
    <w:pPr>
      <w:tabs>
        <w:tab w:val="center" w:pos="4320"/>
        <w:tab w:val="right" w:pos="8640"/>
      </w:tabs>
    </w:pPr>
  </w:style>
  <w:style w:type="character" w:styleId="PageNumber">
    <w:name w:val="page number"/>
    <w:basedOn w:val="DefaultParagraphFont"/>
    <w:rsid w:val="009B28E3"/>
  </w:style>
  <w:style w:type="paragraph" w:styleId="BlockText">
    <w:name w:val="Block Text"/>
    <w:basedOn w:val="Normal"/>
    <w:rsid w:val="009B28E3"/>
    <w:pPr>
      <w:spacing w:after="240"/>
      <w:ind w:left="1440" w:right="1440"/>
    </w:pPr>
  </w:style>
  <w:style w:type="paragraph" w:customStyle="1" w:styleId="Paratitle">
    <w:name w:val="Para title"/>
    <w:basedOn w:val="Normal"/>
    <w:rsid w:val="009B28E3"/>
    <w:pPr>
      <w:tabs>
        <w:tab w:val="center" w:pos="9270"/>
      </w:tabs>
      <w:spacing w:after="240"/>
    </w:pPr>
    <w:rPr>
      <w:spacing w:val="-2"/>
    </w:rPr>
  </w:style>
  <w:style w:type="paragraph" w:customStyle="1" w:styleId="Bullet">
    <w:name w:val="Bullet"/>
    <w:basedOn w:val="Normal"/>
    <w:rsid w:val="009B28E3"/>
    <w:pPr>
      <w:tabs>
        <w:tab w:val="left" w:pos="2160"/>
      </w:tabs>
      <w:spacing w:after="220"/>
      <w:ind w:left="2160" w:hanging="720"/>
    </w:pPr>
  </w:style>
  <w:style w:type="paragraph" w:customStyle="1" w:styleId="TableFormat">
    <w:name w:val="TableFormat"/>
    <w:basedOn w:val="Bullet"/>
    <w:rsid w:val="009B28E3"/>
    <w:pPr>
      <w:tabs>
        <w:tab w:val="clear" w:pos="2160"/>
        <w:tab w:val="left" w:pos="5040"/>
      </w:tabs>
      <w:ind w:left="5040" w:hanging="3600"/>
    </w:pPr>
  </w:style>
  <w:style w:type="paragraph" w:customStyle="1" w:styleId="TOCTitle">
    <w:name w:val="TOC Title"/>
    <w:basedOn w:val="Normal"/>
    <w:rsid w:val="009B28E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B28E3"/>
    <w:pPr>
      <w:jc w:val="center"/>
    </w:pPr>
    <w:rPr>
      <w:rFonts w:ascii="Times New Roman Bold" w:hAnsi="Times New Roman Bold"/>
      <w:b/>
      <w:bCs/>
      <w:caps/>
      <w:szCs w:val="22"/>
    </w:rPr>
  </w:style>
  <w:style w:type="character" w:styleId="Hyperlink">
    <w:name w:val="Hyperlink"/>
    <w:rsid w:val="009B28E3"/>
    <w:rPr>
      <w:color w:val="0000FF"/>
      <w:u w:val="single"/>
    </w:rPr>
  </w:style>
  <w:style w:type="character" w:customStyle="1" w:styleId="ParaNumChar">
    <w:name w:val="ParaNum Char"/>
    <w:link w:val="ParaNum"/>
    <w:rsid w:val="00FB237A"/>
    <w:rPr>
      <w:snapToGrid w:val="0"/>
      <w:kern w:val="28"/>
      <w:sz w:val="22"/>
    </w:rPr>
  </w:style>
  <w:style w:type="character" w:customStyle="1" w:styleId="Heading1Char">
    <w:name w:val="Heading 1 Char"/>
    <w:aliases w:val="Heading 1 Char2 Char,Heading 1 Char1 Char Char,Heading 1 Char Char1 Char Char,Heading 1 Char2 Char Char1 Char Char,Heading 1 Char1 Char Char Char2 Char Char,Heading 1 Char Char Char Char Char Char Char,Heading 1 Char Char2 Char"/>
    <w:link w:val="Heading1"/>
    <w:rsid w:val="00FB237A"/>
    <w:rPr>
      <w:rFonts w:ascii="Times New Roman Bold" w:hAnsi="Times New Roman Bold"/>
      <w:b/>
      <w:caps/>
      <w:snapToGrid w:val="0"/>
      <w:kern w:val="28"/>
      <w:sz w:val="22"/>
    </w:rPr>
  </w:style>
  <w:style w:type="character" w:customStyle="1" w:styleId="Heading2Char">
    <w:name w:val="Heading 2 Char"/>
    <w:aliases w:val="Heading 2 Char4 Char,Heading 2 Char1 Char Char,Heading 2 Char Char Char Char,Heading 2 Char1 Char Char Char Char,Heading 2 Char Char Char Char Char Char,Heading 2 Char2 Char Char Char Char Char Char,Heading 2 Ch Char"/>
    <w:basedOn w:val="DefaultParagraphFont"/>
    <w:link w:val="Heading2"/>
    <w:rsid w:val="00FB237A"/>
    <w:rPr>
      <w:b/>
      <w:snapToGrid w:val="0"/>
      <w:kern w:val="28"/>
      <w:sz w:val="22"/>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basedOn w:val="DefaultParagraphFont"/>
    <w:link w:val="FootnoteText"/>
    <w:rsid w:val="00FB237A"/>
  </w:style>
  <w:style w:type="paragraph" w:styleId="BalloonText">
    <w:name w:val="Balloon Text"/>
    <w:basedOn w:val="Normal"/>
    <w:link w:val="BalloonTextChar"/>
    <w:rsid w:val="00756B96"/>
    <w:rPr>
      <w:rFonts w:ascii="Tahoma" w:hAnsi="Tahoma" w:cs="Tahoma"/>
      <w:sz w:val="16"/>
      <w:szCs w:val="16"/>
    </w:rPr>
  </w:style>
  <w:style w:type="character" w:customStyle="1" w:styleId="BalloonTextChar">
    <w:name w:val="Balloon Text Char"/>
    <w:basedOn w:val="DefaultParagraphFont"/>
    <w:link w:val="BalloonText"/>
    <w:rsid w:val="00756B96"/>
    <w:rPr>
      <w:rFonts w:ascii="Tahoma" w:hAnsi="Tahoma" w:cs="Tahoma"/>
      <w:snapToGrid w:val="0"/>
      <w:kern w:val="28"/>
      <w:sz w:val="16"/>
      <w:szCs w:val="16"/>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locked/>
    <w:rsid w:val="0076228D"/>
  </w:style>
  <w:style w:type="paragraph" w:styleId="NormalWeb">
    <w:name w:val="Normal (Web)"/>
    <w:basedOn w:val="Normal"/>
    <w:uiPriority w:val="99"/>
    <w:unhideWhenUsed/>
    <w:rsid w:val="00BA2753"/>
    <w:pPr>
      <w:widowControl/>
    </w:pPr>
    <w:rPr>
      <w:rFonts w:eastAsiaTheme="minorHAnsi"/>
      <w:snapToGrid/>
      <w:kern w:val="0"/>
      <w:sz w:val="24"/>
      <w:szCs w:val="24"/>
    </w:rPr>
  </w:style>
  <w:style w:type="character" w:styleId="CommentReference">
    <w:name w:val="annotation reference"/>
    <w:basedOn w:val="DefaultParagraphFont"/>
    <w:semiHidden/>
    <w:unhideWhenUsed/>
    <w:rsid w:val="00AC0A81"/>
    <w:rPr>
      <w:sz w:val="16"/>
      <w:szCs w:val="16"/>
    </w:rPr>
  </w:style>
  <w:style w:type="paragraph" w:styleId="CommentText">
    <w:name w:val="annotation text"/>
    <w:basedOn w:val="Normal"/>
    <w:link w:val="CommentTextChar"/>
    <w:semiHidden/>
    <w:unhideWhenUsed/>
    <w:rsid w:val="00AC0A81"/>
    <w:rPr>
      <w:sz w:val="20"/>
    </w:rPr>
  </w:style>
  <w:style w:type="character" w:customStyle="1" w:styleId="CommentTextChar">
    <w:name w:val="Comment Text Char"/>
    <w:basedOn w:val="DefaultParagraphFont"/>
    <w:link w:val="CommentText"/>
    <w:semiHidden/>
    <w:rsid w:val="00AC0A81"/>
    <w:rPr>
      <w:snapToGrid w:val="0"/>
      <w:kern w:val="28"/>
    </w:rPr>
  </w:style>
  <w:style w:type="paragraph" w:styleId="CommentSubject">
    <w:name w:val="annotation subject"/>
    <w:basedOn w:val="CommentText"/>
    <w:next w:val="CommentText"/>
    <w:link w:val="CommentSubjectChar"/>
    <w:semiHidden/>
    <w:unhideWhenUsed/>
    <w:rsid w:val="00AC0A81"/>
    <w:rPr>
      <w:b/>
      <w:bCs/>
    </w:rPr>
  </w:style>
  <w:style w:type="character" w:customStyle="1" w:styleId="CommentSubjectChar">
    <w:name w:val="Comment Subject Char"/>
    <w:basedOn w:val="CommentTextChar"/>
    <w:link w:val="CommentSubject"/>
    <w:semiHidden/>
    <w:rsid w:val="00AC0A81"/>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8E3"/>
    <w:pPr>
      <w:widowControl w:val="0"/>
    </w:pPr>
    <w:rPr>
      <w:snapToGrid w:val="0"/>
      <w:kern w:val="28"/>
      <w:sz w:val="22"/>
    </w:rPr>
  </w:style>
  <w:style w:type="paragraph" w:styleId="Heading1">
    <w:name w:val="heading 1"/>
    <w:aliases w:val="Heading 1 Char2,Heading 1 Char1 Char,Heading 1 Char Char1 Char,Heading 1 Char2 Char Char1 Char,Heading 1 Char1 Char Char Char2 Char,Heading 1 Char Char Char Char Char Char,Heading 1 Char2 Char Char Char Char Char1 Char,Heading 1 Char Char2"/>
    <w:basedOn w:val="Normal"/>
    <w:next w:val="ParaNum"/>
    <w:link w:val="Heading1Char"/>
    <w:qFormat/>
    <w:rsid w:val="009B28E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4,Heading 2 Char1 Char,Heading 2 Char Char Char,Heading 2 Char1 Char Char Char,Heading 2 Char Char Char Char Char,Heading 2 Char2 Char Char Char Char Char,Heading 2 Char1 Char Char Char Char Char Char,Heading 2 Ch"/>
    <w:basedOn w:val="Normal"/>
    <w:next w:val="ParaNum"/>
    <w:link w:val="Heading2Char"/>
    <w:autoRedefine/>
    <w:qFormat/>
    <w:rsid w:val="009B28E3"/>
    <w:pPr>
      <w:keepNext/>
      <w:numPr>
        <w:ilvl w:val="1"/>
        <w:numId w:val="3"/>
      </w:numPr>
      <w:spacing w:after="120"/>
      <w:outlineLvl w:val="1"/>
    </w:pPr>
    <w:rPr>
      <w:b/>
    </w:rPr>
  </w:style>
  <w:style w:type="paragraph" w:styleId="Heading3">
    <w:name w:val="heading 3"/>
    <w:aliases w:val="Heading 3 Char1,Heading 3 Char2,Heading 3 Char Char2,Heading 3 Char1 Char Char,Heading 3 Char Char Char Char,Heading 3 Char Char1 Char,Heading 3 Char1 Char1,Heading 3 Char Char Char1"/>
    <w:basedOn w:val="Normal"/>
    <w:next w:val="ParaNum"/>
    <w:qFormat/>
    <w:rsid w:val="009B28E3"/>
    <w:pPr>
      <w:keepNext/>
      <w:numPr>
        <w:ilvl w:val="2"/>
        <w:numId w:val="3"/>
      </w:numPr>
      <w:tabs>
        <w:tab w:val="left" w:pos="2160"/>
      </w:tabs>
      <w:spacing w:after="120"/>
      <w:outlineLvl w:val="2"/>
    </w:pPr>
    <w:rPr>
      <w:b/>
    </w:rPr>
  </w:style>
  <w:style w:type="paragraph" w:styleId="Heading4">
    <w:name w:val="heading 4"/>
    <w:basedOn w:val="Normal"/>
    <w:next w:val="ParaNum"/>
    <w:qFormat/>
    <w:rsid w:val="009B28E3"/>
    <w:pPr>
      <w:keepNext/>
      <w:numPr>
        <w:ilvl w:val="3"/>
        <w:numId w:val="3"/>
      </w:numPr>
      <w:tabs>
        <w:tab w:val="left" w:pos="2880"/>
      </w:tabs>
      <w:spacing w:after="120"/>
      <w:outlineLvl w:val="3"/>
    </w:pPr>
    <w:rPr>
      <w:b/>
    </w:rPr>
  </w:style>
  <w:style w:type="paragraph" w:styleId="Heading5">
    <w:name w:val="heading 5"/>
    <w:basedOn w:val="Normal"/>
    <w:next w:val="ParaNum"/>
    <w:qFormat/>
    <w:rsid w:val="009B28E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B28E3"/>
    <w:pPr>
      <w:numPr>
        <w:ilvl w:val="5"/>
        <w:numId w:val="3"/>
      </w:numPr>
      <w:tabs>
        <w:tab w:val="left" w:pos="4320"/>
      </w:tabs>
      <w:spacing w:after="120"/>
      <w:outlineLvl w:val="5"/>
    </w:pPr>
    <w:rPr>
      <w:b/>
    </w:rPr>
  </w:style>
  <w:style w:type="paragraph" w:styleId="Heading7">
    <w:name w:val="heading 7"/>
    <w:basedOn w:val="Normal"/>
    <w:next w:val="ParaNum"/>
    <w:qFormat/>
    <w:rsid w:val="009B28E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B28E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B28E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B28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28E3"/>
  </w:style>
  <w:style w:type="paragraph" w:customStyle="1" w:styleId="ParaNum">
    <w:name w:val="ParaNum"/>
    <w:basedOn w:val="Normal"/>
    <w:link w:val="ParaNumChar"/>
    <w:rsid w:val="009B28E3"/>
    <w:pPr>
      <w:numPr>
        <w:numId w:val="2"/>
      </w:numPr>
      <w:tabs>
        <w:tab w:val="clear" w:pos="1080"/>
        <w:tab w:val="num" w:pos="1440"/>
      </w:tabs>
      <w:spacing w:after="120"/>
    </w:pPr>
  </w:style>
  <w:style w:type="paragraph" w:styleId="EndnoteText">
    <w:name w:val="endnote text"/>
    <w:basedOn w:val="Normal"/>
    <w:semiHidden/>
    <w:rsid w:val="009B28E3"/>
    <w:rPr>
      <w:sz w:val="20"/>
    </w:rPr>
  </w:style>
  <w:style w:type="character" w:styleId="EndnoteReference">
    <w:name w:val="endnote reference"/>
    <w:semiHidden/>
    <w:rsid w:val="009B28E3"/>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ALTS FOOTNOT"/>
    <w:link w:val="FootnoteTextChar"/>
    <w:rsid w:val="009B28E3"/>
    <w:pPr>
      <w:spacing w:after="120"/>
    </w:pPr>
  </w:style>
  <w:style w:type="character" w:styleId="FootnoteReference">
    <w:name w:val="footnote reference"/>
    <w:aliases w:val="Style 124,Appel note de bas de p,Style 12,(NECG) Footnote Reference,o,fr,Style 3,Style 17,FR,Style 13,Footnote Reference/,Style 6,Style 4,Style 7"/>
    <w:rsid w:val="009B28E3"/>
    <w:rPr>
      <w:rFonts w:ascii="Times New Roman" w:hAnsi="Times New Roman"/>
      <w:dstrike w:val="0"/>
      <w:color w:val="auto"/>
      <w:sz w:val="20"/>
      <w:vertAlign w:val="superscript"/>
    </w:rPr>
  </w:style>
  <w:style w:type="paragraph" w:styleId="TOC1">
    <w:name w:val="toc 1"/>
    <w:basedOn w:val="Normal"/>
    <w:next w:val="Normal"/>
    <w:rsid w:val="009B28E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B28E3"/>
    <w:pPr>
      <w:tabs>
        <w:tab w:val="left" w:pos="720"/>
        <w:tab w:val="right" w:leader="dot" w:pos="9360"/>
      </w:tabs>
      <w:suppressAutoHyphens/>
      <w:ind w:left="720" w:right="720" w:hanging="360"/>
    </w:pPr>
    <w:rPr>
      <w:noProof/>
    </w:rPr>
  </w:style>
  <w:style w:type="paragraph" w:styleId="TOC3">
    <w:name w:val="toc 3"/>
    <w:basedOn w:val="Normal"/>
    <w:next w:val="Normal"/>
    <w:semiHidden/>
    <w:rsid w:val="009B28E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B28E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B28E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B28E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B28E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B28E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B28E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B28E3"/>
    <w:pPr>
      <w:tabs>
        <w:tab w:val="right" w:pos="9360"/>
      </w:tabs>
      <w:suppressAutoHyphens/>
    </w:pPr>
  </w:style>
  <w:style w:type="character" w:customStyle="1" w:styleId="EquationCaption">
    <w:name w:val="_Equation Caption"/>
    <w:rsid w:val="009B28E3"/>
  </w:style>
  <w:style w:type="paragraph" w:styleId="Header">
    <w:name w:val="header"/>
    <w:basedOn w:val="Normal"/>
    <w:autoRedefine/>
    <w:rsid w:val="009B28E3"/>
    <w:pPr>
      <w:tabs>
        <w:tab w:val="center" w:pos="4680"/>
        <w:tab w:val="right" w:pos="9360"/>
      </w:tabs>
    </w:pPr>
    <w:rPr>
      <w:b/>
    </w:rPr>
  </w:style>
  <w:style w:type="paragraph" w:styleId="Footer">
    <w:name w:val="footer"/>
    <w:basedOn w:val="Normal"/>
    <w:rsid w:val="009B28E3"/>
    <w:pPr>
      <w:tabs>
        <w:tab w:val="center" w:pos="4320"/>
        <w:tab w:val="right" w:pos="8640"/>
      </w:tabs>
    </w:pPr>
  </w:style>
  <w:style w:type="character" w:styleId="PageNumber">
    <w:name w:val="page number"/>
    <w:basedOn w:val="DefaultParagraphFont"/>
    <w:rsid w:val="009B28E3"/>
  </w:style>
  <w:style w:type="paragraph" w:styleId="BlockText">
    <w:name w:val="Block Text"/>
    <w:basedOn w:val="Normal"/>
    <w:rsid w:val="009B28E3"/>
    <w:pPr>
      <w:spacing w:after="240"/>
      <w:ind w:left="1440" w:right="1440"/>
    </w:pPr>
  </w:style>
  <w:style w:type="paragraph" w:customStyle="1" w:styleId="Paratitle">
    <w:name w:val="Para title"/>
    <w:basedOn w:val="Normal"/>
    <w:rsid w:val="009B28E3"/>
    <w:pPr>
      <w:tabs>
        <w:tab w:val="center" w:pos="9270"/>
      </w:tabs>
      <w:spacing w:after="240"/>
    </w:pPr>
    <w:rPr>
      <w:spacing w:val="-2"/>
    </w:rPr>
  </w:style>
  <w:style w:type="paragraph" w:customStyle="1" w:styleId="Bullet">
    <w:name w:val="Bullet"/>
    <w:basedOn w:val="Normal"/>
    <w:rsid w:val="009B28E3"/>
    <w:pPr>
      <w:tabs>
        <w:tab w:val="left" w:pos="2160"/>
      </w:tabs>
      <w:spacing w:after="220"/>
      <w:ind w:left="2160" w:hanging="720"/>
    </w:pPr>
  </w:style>
  <w:style w:type="paragraph" w:customStyle="1" w:styleId="TableFormat">
    <w:name w:val="TableFormat"/>
    <w:basedOn w:val="Bullet"/>
    <w:rsid w:val="009B28E3"/>
    <w:pPr>
      <w:tabs>
        <w:tab w:val="clear" w:pos="2160"/>
        <w:tab w:val="left" w:pos="5040"/>
      </w:tabs>
      <w:ind w:left="5040" w:hanging="3600"/>
    </w:pPr>
  </w:style>
  <w:style w:type="paragraph" w:customStyle="1" w:styleId="TOCTitle">
    <w:name w:val="TOC Title"/>
    <w:basedOn w:val="Normal"/>
    <w:rsid w:val="009B28E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B28E3"/>
    <w:pPr>
      <w:jc w:val="center"/>
    </w:pPr>
    <w:rPr>
      <w:rFonts w:ascii="Times New Roman Bold" w:hAnsi="Times New Roman Bold"/>
      <w:b/>
      <w:bCs/>
      <w:caps/>
      <w:szCs w:val="22"/>
    </w:rPr>
  </w:style>
  <w:style w:type="character" w:styleId="Hyperlink">
    <w:name w:val="Hyperlink"/>
    <w:rsid w:val="009B28E3"/>
    <w:rPr>
      <w:color w:val="0000FF"/>
      <w:u w:val="single"/>
    </w:rPr>
  </w:style>
  <w:style w:type="character" w:customStyle="1" w:styleId="ParaNumChar">
    <w:name w:val="ParaNum Char"/>
    <w:link w:val="ParaNum"/>
    <w:rsid w:val="00FB237A"/>
    <w:rPr>
      <w:snapToGrid w:val="0"/>
      <w:kern w:val="28"/>
      <w:sz w:val="22"/>
    </w:rPr>
  </w:style>
  <w:style w:type="character" w:customStyle="1" w:styleId="Heading1Char">
    <w:name w:val="Heading 1 Char"/>
    <w:aliases w:val="Heading 1 Char2 Char,Heading 1 Char1 Char Char,Heading 1 Char Char1 Char Char,Heading 1 Char2 Char Char1 Char Char,Heading 1 Char1 Char Char Char2 Char Char,Heading 1 Char Char Char Char Char Char Char,Heading 1 Char Char2 Char"/>
    <w:link w:val="Heading1"/>
    <w:rsid w:val="00FB237A"/>
    <w:rPr>
      <w:rFonts w:ascii="Times New Roman Bold" w:hAnsi="Times New Roman Bold"/>
      <w:b/>
      <w:caps/>
      <w:snapToGrid w:val="0"/>
      <w:kern w:val="28"/>
      <w:sz w:val="22"/>
    </w:rPr>
  </w:style>
  <w:style w:type="character" w:customStyle="1" w:styleId="Heading2Char">
    <w:name w:val="Heading 2 Char"/>
    <w:aliases w:val="Heading 2 Char4 Char,Heading 2 Char1 Char Char,Heading 2 Char Char Char Char,Heading 2 Char1 Char Char Char Char,Heading 2 Char Char Char Char Char Char,Heading 2 Char2 Char Char Char Char Char Char,Heading 2 Ch Char"/>
    <w:basedOn w:val="DefaultParagraphFont"/>
    <w:link w:val="Heading2"/>
    <w:rsid w:val="00FB237A"/>
    <w:rPr>
      <w:b/>
      <w:snapToGrid w:val="0"/>
      <w:kern w:val="28"/>
      <w:sz w:val="22"/>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basedOn w:val="DefaultParagraphFont"/>
    <w:link w:val="FootnoteText"/>
    <w:rsid w:val="00FB237A"/>
  </w:style>
  <w:style w:type="paragraph" w:styleId="BalloonText">
    <w:name w:val="Balloon Text"/>
    <w:basedOn w:val="Normal"/>
    <w:link w:val="BalloonTextChar"/>
    <w:rsid w:val="00756B96"/>
    <w:rPr>
      <w:rFonts w:ascii="Tahoma" w:hAnsi="Tahoma" w:cs="Tahoma"/>
      <w:sz w:val="16"/>
      <w:szCs w:val="16"/>
    </w:rPr>
  </w:style>
  <w:style w:type="character" w:customStyle="1" w:styleId="BalloonTextChar">
    <w:name w:val="Balloon Text Char"/>
    <w:basedOn w:val="DefaultParagraphFont"/>
    <w:link w:val="BalloonText"/>
    <w:rsid w:val="00756B96"/>
    <w:rPr>
      <w:rFonts w:ascii="Tahoma" w:hAnsi="Tahoma" w:cs="Tahoma"/>
      <w:snapToGrid w:val="0"/>
      <w:kern w:val="28"/>
      <w:sz w:val="16"/>
      <w:szCs w:val="16"/>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locked/>
    <w:rsid w:val="0076228D"/>
  </w:style>
  <w:style w:type="paragraph" w:styleId="NormalWeb">
    <w:name w:val="Normal (Web)"/>
    <w:basedOn w:val="Normal"/>
    <w:uiPriority w:val="99"/>
    <w:unhideWhenUsed/>
    <w:rsid w:val="00BA2753"/>
    <w:pPr>
      <w:widowControl/>
    </w:pPr>
    <w:rPr>
      <w:rFonts w:eastAsiaTheme="minorHAnsi"/>
      <w:snapToGrid/>
      <w:kern w:val="0"/>
      <w:sz w:val="24"/>
      <w:szCs w:val="24"/>
    </w:rPr>
  </w:style>
  <w:style w:type="character" w:styleId="CommentReference">
    <w:name w:val="annotation reference"/>
    <w:basedOn w:val="DefaultParagraphFont"/>
    <w:semiHidden/>
    <w:unhideWhenUsed/>
    <w:rsid w:val="00AC0A81"/>
    <w:rPr>
      <w:sz w:val="16"/>
      <w:szCs w:val="16"/>
    </w:rPr>
  </w:style>
  <w:style w:type="paragraph" w:styleId="CommentText">
    <w:name w:val="annotation text"/>
    <w:basedOn w:val="Normal"/>
    <w:link w:val="CommentTextChar"/>
    <w:semiHidden/>
    <w:unhideWhenUsed/>
    <w:rsid w:val="00AC0A81"/>
    <w:rPr>
      <w:sz w:val="20"/>
    </w:rPr>
  </w:style>
  <w:style w:type="character" w:customStyle="1" w:styleId="CommentTextChar">
    <w:name w:val="Comment Text Char"/>
    <w:basedOn w:val="DefaultParagraphFont"/>
    <w:link w:val="CommentText"/>
    <w:semiHidden/>
    <w:rsid w:val="00AC0A81"/>
    <w:rPr>
      <w:snapToGrid w:val="0"/>
      <w:kern w:val="28"/>
    </w:rPr>
  </w:style>
  <w:style w:type="paragraph" w:styleId="CommentSubject">
    <w:name w:val="annotation subject"/>
    <w:basedOn w:val="CommentText"/>
    <w:next w:val="CommentText"/>
    <w:link w:val="CommentSubjectChar"/>
    <w:semiHidden/>
    <w:unhideWhenUsed/>
    <w:rsid w:val="00AC0A81"/>
    <w:rPr>
      <w:b/>
      <w:bCs/>
    </w:rPr>
  </w:style>
  <w:style w:type="character" w:customStyle="1" w:styleId="CommentSubjectChar">
    <w:name w:val="Comment Subject Char"/>
    <w:basedOn w:val="CommentTextChar"/>
    <w:link w:val="CommentSubject"/>
    <w:semiHidden/>
    <w:rsid w:val="00AC0A81"/>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18752">
      <w:bodyDiv w:val="1"/>
      <w:marLeft w:val="0"/>
      <w:marRight w:val="0"/>
      <w:marTop w:val="0"/>
      <w:marBottom w:val="0"/>
      <w:divBdr>
        <w:top w:val="none" w:sz="0" w:space="0" w:color="auto"/>
        <w:left w:val="none" w:sz="0" w:space="0" w:color="auto"/>
        <w:bottom w:val="none" w:sz="0" w:space="0" w:color="auto"/>
        <w:right w:val="none" w:sz="0" w:space="0" w:color="auto"/>
      </w:divBdr>
    </w:div>
    <w:div w:id="1189828027">
      <w:bodyDiv w:val="1"/>
      <w:marLeft w:val="0"/>
      <w:marRight w:val="0"/>
      <w:marTop w:val="0"/>
      <w:marBottom w:val="0"/>
      <w:divBdr>
        <w:top w:val="none" w:sz="0" w:space="0" w:color="auto"/>
        <w:left w:val="none" w:sz="0" w:space="0" w:color="auto"/>
        <w:bottom w:val="none" w:sz="0" w:space="0" w:color="auto"/>
        <w:right w:val="none" w:sz="0" w:space="0" w:color="auto"/>
      </w:divBdr>
      <w:divsChild>
        <w:div w:id="716929839">
          <w:marLeft w:val="0"/>
          <w:marRight w:val="0"/>
          <w:marTop w:val="0"/>
          <w:marBottom w:val="0"/>
          <w:divBdr>
            <w:top w:val="none" w:sz="0" w:space="0" w:color="auto"/>
            <w:left w:val="none" w:sz="0" w:space="0" w:color="auto"/>
            <w:bottom w:val="none" w:sz="0" w:space="0" w:color="auto"/>
            <w:right w:val="none" w:sz="0" w:space="0" w:color="auto"/>
          </w:divBdr>
        </w:div>
        <w:div w:id="1748454084">
          <w:marLeft w:val="0"/>
          <w:marRight w:val="0"/>
          <w:marTop w:val="0"/>
          <w:marBottom w:val="0"/>
          <w:divBdr>
            <w:top w:val="none" w:sz="0" w:space="0" w:color="auto"/>
            <w:left w:val="none" w:sz="0" w:space="0" w:color="auto"/>
            <w:bottom w:val="none" w:sz="0" w:space="0" w:color="auto"/>
            <w:right w:val="none" w:sz="0" w:space="0" w:color="auto"/>
          </w:divBdr>
        </w:div>
        <w:div w:id="1416704458">
          <w:marLeft w:val="0"/>
          <w:marRight w:val="0"/>
          <w:marTop w:val="0"/>
          <w:marBottom w:val="0"/>
          <w:divBdr>
            <w:top w:val="none" w:sz="0" w:space="0" w:color="auto"/>
            <w:left w:val="none" w:sz="0" w:space="0" w:color="auto"/>
            <w:bottom w:val="none" w:sz="0" w:space="0" w:color="auto"/>
            <w:right w:val="none" w:sz="0" w:space="0" w:color="auto"/>
          </w:divBdr>
        </w:div>
        <w:div w:id="841315642">
          <w:marLeft w:val="0"/>
          <w:marRight w:val="0"/>
          <w:marTop w:val="0"/>
          <w:marBottom w:val="0"/>
          <w:divBdr>
            <w:top w:val="none" w:sz="0" w:space="0" w:color="auto"/>
            <w:left w:val="none" w:sz="0" w:space="0" w:color="auto"/>
            <w:bottom w:val="none" w:sz="0" w:space="0" w:color="auto"/>
            <w:right w:val="none" w:sz="0" w:space="0" w:color="auto"/>
          </w:divBdr>
        </w:div>
        <w:div w:id="1477138968">
          <w:marLeft w:val="0"/>
          <w:marRight w:val="0"/>
          <w:marTop w:val="0"/>
          <w:marBottom w:val="0"/>
          <w:divBdr>
            <w:top w:val="none" w:sz="0" w:space="0" w:color="auto"/>
            <w:left w:val="none" w:sz="0" w:space="0" w:color="auto"/>
            <w:bottom w:val="none" w:sz="0" w:space="0" w:color="auto"/>
            <w:right w:val="none" w:sz="0" w:space="0" w:color="auto"/>
          </w:divBdr>
        </w:div>
        <w:div w:id="1622882156">
          <w:marLeft w:val="0"/>
          <w:marRight w:val="0"/>
          <w:marTop w:val="0"/>
          <w:marBottom w:val="0"/>
          <w:divBdr>
            <w:top w:val="none" w:sz="0" w:space="0" w:color="auto"/>
            <w:left w:val="none" w:sz="0" w:space="0" w:color="auto"/>
            <w:bottom w:val="none" w:sz="0" w:space="0" w:color="auto"/>
            <w:right w:val="none" w:sz="0" w:space="0" w:color="auto"/>
          </w:divBdr>
        </w:div>
        <w:div w:id="1048259205">
          <w:marLeft w:val="0"/>
          <w:marRight w:val="0"/>
          <w:marTop w:val="0"/>
          <w:marBottom w:val="0"/>
          <w:divBdr>
            <w:top w:val="none" w:sz="0" w:space="0" w:color="auto"/>
            <w:left w:val="none" w:sz="0" w:space="0" w:color="auto"/>
            <w:bottom w:val="none" w:sz="0" w:space="0" w:color="auto"/>
            <w:right w:val="none" w:sz="0" w:space="0" w:color="auto"/>
          </w:divBdr>
        </w:div>
        <w:div w:id="1242914051">
          <w:marLeft w:val="0"/>
          <w:marRight w:val="0"/>
          <w:marTop w:val="0"/>
          <w:marBottom w:val="0"/>
          <w:divBdr>
            <w:top w:val="none" w:sz="0" w:space="0" w:color="auto"/>
            <w:left w:val="none" w:sz="0" w:space="0" w:color="auto"/>
            <w:bottom w:val="none" w:sz="0" w:space="0" w:color="auto"/>
            <w:right w:val="none" w:sz="0" w:space="0" w:color="auto"/>
          </w:divBdr>
        </w:div>
        <w:div w:id="1761754503">
          <w:marLeft w:val="0"/>
          <w:marRight w:val="0"/>
          <w:marTop w:val="0"/>
          <w:marBottom w:val="0"/>
          <w:divBdr>
            <w:top w:val="none" w:sz="0" w:space="0" w:color="auto"/>
            <w:left w:val="none" w:sz="0" w:space="0" w:color="auto"/>
            <w:bottom w:val="none" w:sz="0" w:space="0" w:color="auto"/>
            <w:right w:val="none" w:sz="0" w:space="0" w:color="auto"/>
          </w:divBdr>
        </w:div>
        <w:div w:id="43990334">
          <w:marLeft w:val="0"/>
          <w:marRight w:val="0"/>
          <w:marTop w:val="0"/>
          <w:marBottom w:val="0"/>
          <w:divBdr>
            <w:top w:val="none" w:sz="0" w:space="0" w:color="auto"/>
            <w:left w:val="none" w:sz="0" w:space="0" w:color="auto"/>
            <w:bottom w:val="none" w:sz="0" w:space="0" w:color="auto"/>
            <w:right w:val="none" w:sz="0" w:space="0" w:color="auto"/>
          </w:divBdr>
        </w:div>
        <w:div w:id="402141885">
          <w:marLeft w:val="0"/>
          <w:marRight w:val="0"/>
          <w:marTop w:val="0"/>
          <w:marBottom w:val="0"/>
          <w:divBdr>
            <w:top w:val="none" w:sz="0" w:space="0" w:color="auto"/>
            <w:left w:val="none" w:sz="0" w:space="0" w:color="auto"/>
            <w:bottom w:val="none" w:sz="0" w:space="0" w:color="auto"/>
            <w:right w:val="none" w:sz="0" w:space="0" w:color="auto"/>
          </w:divBdr>
        </w:div>
        <w:div w:id="219176812">
          <w:marLeft w:val="0"/>
          <w:marRight w:val="0"/>
          <w:marTop w:val="0"/>
          <w:marBottom w:val="0"/>
          <w:divBdr>
            <w:top w:val="none" w:sz="0" w:space="0" w:color="auto"/>
            <w:left w:val="none" w:sz="0" w:space="0" w:color="auto"/>
            <w:bottom w:val="none" w:sz="0" w:space="0" w:color="auto"/>
            <w:right w:val="none" w:sz="0" w:space="0" w:color="auto"/>
          </w:divBdr>
        </w:div>
        <w:div w:id="1770390922">
          <w:marLeft w:val="0"/>
          <w:marRight w:val="0"/>
          <w:marTop w:val="0"/>
          <w:marBottom w:val="0"/>
          <w:divBdr>
            <w:top w:val="none" w:sz="0" w:space="0" w:color="auto"/>
            <w:left w:val="none" w:sz="0" w:space="0" w:color="auto"/>
            <w:bottom w:val="none" w:sz="0" w:space="0" w:color="auto"/>
            <w:right w:val="none" w:sz="0" w:space="0" w:color="auto"/>
          </w:divBdr>
        </w:div>
        <w:div w:id="244151988">
          <w:marLeft w:val="0"/>
          <w:marRight w:val="0"/>
          <w:marTop w:val="0"/>
          <w:marBottom w:val="0"/>
          <w:divBdr>
            <w:top w:val="none" w:sz="0" w:space="0" w:color="auto"/>
            <w:left w:val="none" w:sz="0" w:space="0" w:color="auto"/>
            <w:bottom w:val="none" w:sz="0" w:space="0" w:color="auto"/>
            <w:right w:val="none" w:sz="0" w:space="0" w:color="auto"/>
          </w:divBdr>
        </w:div>
        <w:div w:id="2073040332">
          <w:marLeft w:val="0"/>
          <w:marRight w:val="0"/>
          <w:marTop w:val="0"/>
          <w:marBottom w:val="0"/>
          <w:divBdr>
            <w:top w:val="none" w:sz="0" w:space="0" w:color="auto"/>
            <w:left w:val="none" w:sz="0" w:space="0" w:color="auto"/>
            <w:bottom w:val="none" w:sz="0" w:space="0" w:color="auto"/>
            <w:right w:val="none" w:sz="0" w:space="0" w:color="auto"/>
          </w:divBdr>
        </w:div>
        <w:div w:id="1259867076">
          <w:marLeft w:val="0"/>
          <w:marRight w:val="0"/>
          <w:marTop w:val="0"/>
          <w:marBottom w:val="0"/>
          <w:divBdr>
            <w:top w:val="none" w:sz="0" w:space="0" w:color="auto"/>
            <w:left w:val="none" w:sz="0" w:space="0" w:color="auto"/>
            <w:bottom w:val="none" w:sz="0" w:space="0" w:color="auto"/>
            <w:right w:val="none" w:sz="0" w:space="0" w:color="auto"/>
          </w:divBdr>
        </w:div>
        <w:div w:id="1644626037">
          <w:marLeft w:val="0"/>
          <w:marRight w:val="0"/>
          <w:marTop w:val="0"/>
          <w:marBottom w:val="0"/>
          <w:divBdr>
            <w:top w:val="none" w:sz="0" w:space="0" w:color="auto"/>
            <w:left w:val="none" w:sz="0" w:space="0" w:color="auto"/>
            <w:bottom w:val="none" w:sz="0" w:space="0" w:color="auto"/>
            <w:right w:val="none" w:sz="0" w:space="0" w:color="auto"/>
          </w:divBdr>
        </w:div>
        <w:div w:id="147793143">
          <w:marLeft w:val="0"/>
          <w:marRight w:val="0"/>
          <w:marTop w:val="0"/>
          <w:marBottom w:val="0"/>
          <w:divBdr>
            <w:top w:val="none" w:sz="0" w:space="0" w:color="auto"/>
            <w:left w:val="none" w:sz="0" w:space="0" w:color="auto"/>
            <w:bottom w:val="none" w:sz="0" w:space="0" w:color="auto"/>
            <w:right w:val="none" w:sz="0" w:space="0" w:color="auto"/>
          </w:divBdr>
        </w:div>
        <w:div w:id="665935655">
          <w:marLeft w:val="0"/>
          <w:marRight w:val="0"/>
          <w:marTop w:val="0"/>
          <w:marBottom w:val="0"/>
          <w:divBdr>
            <w:top w:val="none" w:sz="0" w:space="0" w:color="auto"/>
            <w:left w:val="none" w:sz="0" w:space="0" w:color="auto"/>
            <w:bottom w:val="none" w:sz="0" w:space="0" w:color="auto"/>
            <w:right w:val="none" w:sz="0" w:space="0" w:color="auto"/>
          </w:divBdr>
        </w:div>
        <w:div w:id="112751263">
          <w:marLeft w:val="0"/>
          <w:marRight w:val="0"/>
          <w:marTop w:val="0"/>
          <w:marBottom w:val="0"/>
          <w:divBdr>
            <w:top w:val="none" w:sz="0" w:space="0" w:color="auto"/>
            <w:left w:val="none" w:sz="0" w:space="0" w:color="auto"/>
            <w:bottom w:val="none" w:sz="0" w:space="0" w:color="auto"/>
            <w:right w:val="none" w:sz="0" w:space="0" w:color="auto"/>
          </w:divBdr>
        </w:div>
        <w:div w:id="2004039912">
          <w:marLeft w:val="0"/>
          <w:marRight w:val="0"/>
          <w:marTop w:val="0"/>
          <w:marBottom w:val="0"/>
          <w:divBdr>
            <w:top w:val="none" w:sz="0" w:space="0" w:color="auto"/>
            <w:left w:val="none" w:sz="0" w:space="0" w:color="auto"/>
            <w:bottom w:val="none" w:sz="0" w:space="0" w:color="auto"/>
            <w:right w:val="none" w:sz="0" w:space="0" w:color="auto"/>
          </w:divBdr>
        </w:div>
        <w:div w:id="686175167">
          <w:marLeft w:val="0"/>
          <w:marRight w:val="0"/>
          <w:marTop w:val="0"/>
          <w:marBottom w:val="0"/>
          <w:divBdr>
            <w:top w:val="none" w:sz="0" w:space="0" w:color="auto"/>
            <w:left w:val="none" w:sz="0" w:space="0" w:color="auto"/>
            <w:bottom w:val="none" w:sz="0" w:space="0" w:color="auto"/>
            <w:right w:val="none" w:sz="0" w:space="0" w:color="auto"/>
          </w:divBdr>
        </w:div>
        <w:div w:id="959144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1130</Words>
  <Characters>6308</Characters>
  <Application>Microsoft Office Word</Application>
  <DocSecurity>0</DocSecurity>
  <Lines>107</Lines>
  <Paragraphs>31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7475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2016-04-18T16:35:00Z</dcterms:created>
  <dcterms:modified xsi:type="dcterms:W3CDTF">2016-04-18T16:35:00Z</dcterms:modified>
  <cp:category> </cp:category>
  <cp:contentStatus> </cp:contentStatus>
</cp:coreProperties>
</file>