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C8F52" w14:textId="77777777" w:rsidR="004C2EE3" w:rsidRPr="00A81C34" w:rsidRDefault="004C2EE3">
      <w:pPr>
        <w:jc w:val="center"/>
        <w:rPr>
          <w:b/>
        </w:rPr>
      </w:pPr>
      <w:bookmarkStart w:id="0" w:name="_GoBack"/>
      <w:bookmarkEnd w:id="0"/>
      <w:r w:rsidRPr="00A81C34">
        <w:rPr>
          <w:b/>
        </w:rPr>
        <w:t>Before the</w:t>
      </w:r>
    </w:p>
    <w:p w14:paraId="2E3325C4" w14:textId="77777777" w:rsidR="00921803" w:rsidRPr="00A81C34" w:rsidRDefault="00921803" w:rsidP="00921803">
      <w:pPr>
        <w:pStyle w:val="StyleBoldCentered"/>
        <w:rPr>
          <w:rFonts w:ascii="Times New Roman" w:hAnsi="Times New Roman"/>
        </w:rPr>
      </w:pPr>
      <w:r w:rsidRPr="00A81C34">
        <w:rPr>
          <w:rFonts w:ascii="Times New Roman" w:hAnsi="Times New Roman"/>
        </w:rPr>
        <w:t>F</w:t>
      </w:r>
      <w:r w:rsidRPr="00A81C34">
        <w:rPr>
          <w:rFonts w:ascii="Times New Roman" w:hAnsi="Times New Roman"/>
          <w:caps w:val="0"/>
        </w:rPr>
        <w:t>ederal Communications Commission</w:t>
      </w:r>
    </w:p>
    <w:p w14:paraId="7B3C9608" w14:textId="77777777" w:rsidR="004C2EE3" w:rsidRPr="00A81C34" w:rsidRDefault="00810B6F" w:rsidP="00096D8C">
      <w:pPr>
        <w:pStyle w:val="StyleBoldCentered"/>
        <w:rPr>
          <w:rFonts w:ascii="Times New Roman" w:hAnsi="Times New Roman"/>
        </w:rPr>
      </w:pPr>
      <w:r w:rsidRPr="00A81C34">
        <w:rPr>
          <w:rFonts w:ascii="Times New Roman" w:hAnsi="Times New Roman"/>
          <w:caps w:val="0"/>
        </w:rPr>
        <w:t>Washington, D.C. 20554</w:t>
      </w:r>
    </w:p>
    <w:p w14:paraId="5E54BC32" w14:textId="77777777" w:rsidR="004C2EE3" w:rsidRPr="00A81C3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81C34" w14:paraId="19098072" w14:textId="77777777">
        <w:tc>
          <w:tcPr>
            <w:tcW w:w="4698" w:type="dxa"/>
          </w:tcPr>
          <w:p w14:paraId="73C4BDC7" w14:textId="77777777" w:rsidR="004C2EE3" w:rsidRPr="00A81C34" w:rsidRDefault="004C2EE3">
            <w:pPr>
              <w:tabs>
                <w:tab w:val="center" w:pos="4680"/>
              </w:tabs>
              <w:suppressAutoHyphens/>
              <w:rPr>
                <w:spacing w:val="-2"/>
              </w:rPr>
            </w:pPr>
            <w:r w:rsidRPr="00A81C34">
              <w:rPr>
                <w:spacing w:val="-2"/>
              </w:rPr>
              <w:t>In the Matter of</w:t>
            </w:r>
          </w:p>
          <w:p w14:paraId="5DB15F8C" w14:textId="77777777" w:rsidR="009D0075" w:rsidRDefault="009D0075" w:rsidP="009D0075">
            <w:pPr>
              <w:tabs>
                <w:tab w:val="center" w:pos="4680"/>
              </w:tabs>
              <w:suppressAutoHyphens/>
              <w:rPr>
                <w:spacing w:val="-2"/>
              </w:rPr>
            </w:pPr>
          </w:p>
          <w:p w14:paraId="78AB5932" w14:textId="77777777" w:rsidR="00B81E9A" w:rsidRPr="00A81C34" w:rsidRDefault="00CB67D7" w:rsidP="009D0075">
            <w:pPr>
              <w:tabs>
                <w:tab w:val="center" w:pos="4680"/>
              </w:tabs>
              <w:suppressAutoHyphens/>
              <w:rPr>
                <w:spacing w:val="-2"/>
              </w:rPr>
            </w:pPr>
            <w:r>
              <w:rPr>
                <w:spacing w:val="-2"/>
              </w:rPr>
              <w:t>Edward A. Schober</w:t>
            </w:r>
          </w:p>
          <w:p w14:paraId="6089BD1C" w14:textId="77777777" w:rsidR="009D0075" w:rsidRPr="00A81C34" w:rsidRDefault="009D0075" w:rsidP="009D0075">
            <w:pPr>
              <w:tabs>
                <w:tab w:val="center" w:pos="4680"/>
              </w:tabs>
              <w:suppressAutoHyphens/>
              <w:rPr>
                <w:spacing w:val="-2"/>
              </w:rPr>
            </w:pPr>
          </w:p>
          <w:p w14:paraId="1F28D562" w14:textId="77777777" w:rsidR="009D0075" w:rsidRPr="00A81C34" w:rsidRDefault="009D0075" w:rsidP="009D0075">
            <w:pPr>
              <w:tabs>
                <w:tab w:val="center" w:pos="4680"/>
              </w:tabs>
              <w:suppressAutoHyphens/>
              <w:rPr>
                <w:spacing w:val="-2"/>
              </w:rPr>
            </w:pPr>
            <w:r w:rsidRPr="00A81C34">
              <w:rPr>
                <w:spacing w:val="-2"/>
              </w:rPr>
              <w:t>Application for Construction Permit for</w:t>
            </w:r>
          </w:p>
          <w:p w14:paraId="7C8ECDE4" w14:textId="77777777" w:rsidR="009D0075" w:rsidRPr="00A81C34" w:rsidRDefault="00B81E9A" w:rsidP="009D0075">
            <w:pPr>
              <w:tabs>
                <w:tab w:val="center" w:pos="4680"/>
              </w:tabs>
              <w:suppressAutoHyphens/>
              <w:rPr>
                <w:spacing w:val="-2"/>
              </w:rPr>
            </w:pPr>
            <w:r>
              <w:rPr>
                <w:spacing w:val="-2"/>
              </w:rPr>
              <w:t xml:space="preserve">New </w:t>
            </w:r>
            <w:r w:rsidR="009D0075" w:rsidRPr="00A81C34">
              <w:rPr>
                <w:spacing w:val="-2"/>
              </w:rPr>
              <w:t xml:space="preserve">FM </w:t>
            </w:r>
            <w:r w:rsidR="00CB67D7">
              <w:rPr>
                <w:spacing w:val="-2"/>
              </w:rPr>
              <w:t xml:space="preserve">Translator </w:t>
            </w:r>
            <w:r w:rsidR="009D0075" w:rsidRPr="00A81C34">
              <w:rPr>
                <w:spacing w:val="-2"/>
              </w:rPr>
              <w:t>Station</w:t>
            </w:r>
            <w:r w:rsidR="00843462">
              <w:rPr>
                <w:spacing w:val="-2"/>
              </w:rPr>
              <w:t xml:space="preserve"> </w:t>
            </w:r>
            <w:r w:rsidR="00AE1FF0">
              <w:rPr>
                <w:spacing w:val="-2"/>
              </w:rPr>
              <w:t>W250BA, at</w:t>
            </w:r>
          </w:p>
          <w:p w14:paraId="0D7D9400" w14:textId="77777777" w:rsidR="004C2EE3" w:rsidRPr="00A81C34" w:rsidRDefault="00CB67D7" w:rsidP="009D0075">
            <w:pPr>
              <w:tabs>
                <w:tab w:val="center" w:pos="4680"/>
              </w:tabs>
              <w:suppressAutoHyphens/>
              <w:rPr>
                <w:spacing w:val="-2"/>
              </w:rPr>
            </w:pPr>
            <w:r>
              <w:rPr>
                <w:spacing w:val="-2"/>
              </w:rPr>
              <w:t>Manahawkin, New Jersey</w:t>
            </w:r>
          </w:p>
        </w:tc>
        <w:tc>
          <w:tcPr>
            <w:tcW w:w="630" w:type="dxa"/>
          </w:tcPr>
          <w:p w14:paraId="25A37455" w14:textId="77777777" w:rsidR="004C2EE3" w:rsidRPr="00A81C34" w:rsidRDefault="004C2EE3">
            <w:pPr>
              <w:tabs>
                <w:tab w:val="center" w:pos="4680"/>
              </w:tabs>
              <w:suppressAutoHyphens/>
              <w:rPr>
                <w:b/>
                <w:spacing w:val="-2"/>
              </w:rPr>
            </w:pPr>
            <w:r w:rsidRPr="00A81C34">
              <w:rPr>
                <w:b/>
                <w:spacing w:val="-2"/>
              </w:rPr>
              <w:t>)</w:t>
            </w:r>
          </w:p>
          <w:p w14:paraId="0AB29A6D" w14:textId="77777777" w:rsidR="004C2EE3" w:rsidRPr="00A81C34" w:rsidRDefault="004C2EE3">
            <w:pPr>
              <w:tabs>
                <w:tab w:val="center" w:pos="4680"/>
              </w:tabs>
              <w:suppressAutoHyphens/>
              <w:rPr>
                <w:b/>
                <w:spacing w:val="-2"/>
              </w:rPr>
            </w:pPr>
            <w:r w:rsidRPr="00A81C34">
              <w:rPr>
                <w:b/>
                <w:spacing w:val="-2"/>
              </w:rPr>
              <w:t>)</w:t>
            </w:r>
          </w:p>
          <w:p w14:paraId="00DB0E42" w14:textId="77777777" w:rsidR="004C2EE3" w:rsidRPr="00A81C34" w:rsidRDefault="004C2EE3">
            <w:pPr>
              <w:tabs>
                <w:tab w:val="center" w:pos="4680"/>
              </w:tabs>
              <w:suppressAutoHyphens/>
              <w:rPr>
                <w:b/>
                <w:spacing w:val="-2"/>
              </w:rPr>
            </w:pPr>
            <w:r w:rsidRPr="00A81C34">
              <w:rPr>
                <w:b/>
                <w:spacing w:val="-2"/>
              </w:rPr>
              <w:t>)</w:t>
            </w:r>
          </w:p>
          <w:p w14:paraId="6EBEB877" w14:textId="77777777" w:rsidR="004C2EE3" w:rsidRPr="00A81C34" w:rsidRDefault="004C2EE3">
            <w:pPr>
              <w:tabs>
                <w:tab w:val="center" w:pos="4680"/>
              </w:tabs>
              <w:suppressAutoHyphens/>
              <w:rPr>
                <w:b/>
                <w:spacing w:val="-2"/>
              </w:rPr>
            </w:pPr>
            <w:r w:rsidRPr="00A81C34">
              <w:rPr>
                <w:b/>
                <w:spacing w:val="-2"/>
              </w:rPr>
              <w:t>)</w:t>
            </w:r>
          </w:p>
          <w:p w14:paraId="25B799CE" w14:textId="77777777" w:rsidR="004C2EE3" w:rsidRPr="00A81C34" w:rsidRDefault="004C2EE3">
            <w:pPr>
              <w:tabs>
                <w:tab w:val="center" w:pos="4680"/>
              </w:tabs>
              <w:suppressAutoHyphens/>
              <w:rPr>
                <w:b/>
                <w:spacing w:val="-2"/>
              </w:rPr>
            </w:pPr>
            <w:r w:rsidRPr="00A81C34">
              <w:rPr>
                <w:b/>
                <w:spacing w:val="-2"/>
              </w:rPr>
              <w:t>)</w:t>
            </w:r>
          </w:p>
          <w:p w14:paraId="0F943A7F" w14:textId="77777777" w:rsidR="004C2EE3" w:rsidRPr="00A81C34" w:rsidRDefault="004C2EE3">
            <w:pPr>
              <w:tabs>
                <w:tab w:val="center" w:pos="4680"/>
              </w:tabs>
              <w:suppressAutoHyphens/>
              <w:rPr>
                <w:b/>
                <w:spacing w:val="-2"/>
              </w:rPr>
            </w:pPr>
            <w:r w:rsidRPr="00A81C34">
              <w:rPr>
                <w:b/>
                <w:spacing w:val="-2"/>
              </w:rPr>
              <w:t>)</w:t>
            </w:r>
          </w:p>
          <w:p w14:paraId="4494D8A1" w14:textId="77777777" w:rsidR="004C2EE3" w:rsidRPr="00A81C34" w:rsidRDefault="004C2EE3">
            <w:pPr>
              <w:tabs>
                <w:tab w:val="center" w:pos="4680"/>
              </w:tabs>
              <w:suppressAutoHyphens/>
              <w:rPr>
                <w:b/>
                <w:spacing w:val="-2"/>
              </w:rPr>
            </w:pPr>
            <w:r w:rsidRPr="00A81C34">
              <w:rPr>
                <w:b/>
                <w:spacing w:val="-2"/>
              </w:rPr>
              <w:t>)</w:t>
            </w:r>
          </w:p>
          <w:p w14:paraId="1D475EB3" w14:textId="77777777" w:rsidR="004C2EE3" w:rsidRPr="00420C49" w:rsidRDefault="004C2EE3">
            <w:pPr>
              <w:tabs>
                <w:tab w:val="center" w:pos="4680"/>
              </w:tabs>
              <w:suppressAutoHyphens/>
              <w:rPr>
                <w:b/>
                <w:spacing w:val="-2"/>
              </w:rPr>
            </w:pPr>
            <w:r w:rsidRPr="00A81C34">
              <w:rPr>
                <w:b/>
                <w:spacing w:val="-2"/>
              </w:rPr>
              <w:t>)</w:t>
            </w:r>
          </w:p>
        </w:tc>
        <w:tc>
          <w:tcPr>
            <w:tcW w:w="4248" w:type="dxa"/>
          </w:tcPr>
          <w:p w14:paraId="5608B412" w14:textId="77777777" w:rsidR="004C2EE3" w:rsidRPr="00A81C34" w:rsidRDefault="004C2EE3">
            <w:pPr>
              <w:tabs>
                <w:tab w:val="center" w:pos="4680"/>
              </w:tabs>
              <w:suppressAutoHyphens/>
              <w:rPr>
                <w:spacing w:val="-2"/>
              </w:rPr>
            </w:pPr>
          </w:p>
          <w:p w14:paraId="26F0F57A" w14:textId="77777777" w:rsidR="004C2EE3" w:rsidRPr="00A81C34" w:rsidRDefault="004C2EE3">
            <w:pPr>
              <w:pStyle w:val="TOAHeading"/>
              <w:tabs>
                <w:tab w:val="clear" w:pos="9360"/>
                <w:tab w:val="center" w:pos="4680"/>
              </w:tabs>
              <w:rPr>
                <w:spacing w:val="-2"/>
              </w:rPr>
            </w:pPr>
          </w:p>
          <w:p w14:paraId="0506021F" w14:textId="77777777" w:rsidR="00420C49" w:rsidRDefault="00420C49" w:rsidP="009D0075">
            <w:pPr>
              <w:pStyle w:val="TOAHeading"/>
              <w:tabs>
                <w:tab w:val="center" w:pos="4680"/>
              </w:tabs>
              <w:rPr>
                <w:spacing w:val="-2"/>
              </w:rPr>
            </w:pPr>
          </w:p>
          <w:p w14:paraId="528C0699" w14:textId="77777777" w:rsidR="00420C49" w:rsidRDefault="00420C49" w:rsidP="009D0075">
            <w:pPr>
              <w:pStyle w:val="TOAHeading"/>
              <w:tabs>
                <w:tab w:val="center" w:pos="4680"/>
              </w:tabs>
              <w:rPr>
                <w:spacing w:val="-2"/>
              </w:rPr>
            </w:pPr>
          </w:p>
          <w:p w14:paraId="60E60348" w14:textId="77777777" w:rsidR="009D0075" w:rsidRPr="00A81C34" w:rsidRDefault="009D0075" w:rsidP="009D0075">
            <w:pPr>
              <w:pStyle w:val="TOAHeading"/>
              <w:tabs>
                <w:tab w:val="center" w:pos="4680"/>
              </w:tabs>
              <w:rPr>
                <w:spacing w:val="-2"/>
              </w:rPr>
            </w:pPr>
            <w:r w:rsidRPr="00A81C34">
              <w:rPr>
                <w:spacing w:val="-2"/>
              </w:rPr>
              <w:t xml:space="preserve">File No. </w:t>
            </w:r>
            <w:r w:rsidR="00CB67D7">
              <w:rPr>
                <w:spacing w:val="-2"/>
              </w:rPr>
              <w:t>BNPFT-20030825AIW</w:t>
            </w:r>
          </w:p>
          <w:p w14:paraId="7318C9FA" w14:textId="77777777" w:rsidR="004C2EE3" w:rsidRPr="00A81C34" w:rsidRDefault="009D0075" w:rsidP="009D0075">
            <w:pPr>
              <w:tabs>
                <w:tab w:val="center" w:pos="4680"/>
              </w:tabs>
              <w:suppressAutoHyphens/>
              <w:rPr>
                <w:spacing w:val="-2"/>
              </w:rPr>
            </w:pPr>
            <w:r w:rsidRPr="00A81C34">
              <w:rPr>
                <w:spacing w:val="-2"/>
              </w:rPr>
              <w:t xml:space="preserve">Facility ID No. </w:t>
            </w:r>
            <w:r w:rsidR="00CB67D7">
              <w:rPr>
                <w:spacing w:val="-2"/>
              </w:rPr>
              <w:t>142127</w:t>
            </w:r>
          </w:p>
        </w:tc>
      </w:tr>
    </w:tbl>
    <w:p w14:paraId="1C915C60" w14:textId="77777777" w:rsidR="004C2EE3" w:rsidRPr="00A81C34" w:rsidRDefault="004C2EE3" w:rsidP="0070224F"/>
    <w:p w14:paraId="0F9182E1" w14:textId="77777777" w:rsidR="00841AB1" w:rsidRPr="00A81C34" w:rsidRDefault="009D0075" w:rsidP="00F021FA">
      <w:pPr>
        <w:pStyle w:val="StyleBoldCentered"/>
        <w:rPr>
          <w:rFonts w:ascii="Times New Roman" w:hAnsi="Times New Roman"/>
        </w:rPr>
      </w:pPr>
      <w:r w:rsidRPr="00A81C34">
        <w:rPr>
          <w:rFonts w:ascii="Times New Roman" w:hAnsi="Times New Roman"/>
        </w:rPr>
        <w:t>Memorandum Opinion and order</w:t>
      </w:r>
    </w:p>
    <w:p w14:paraId="5C56A776" w14:textId="77777777" w:rsidR="004C2EE3" w:rsidRPr="00A81C34" w:rsidRDefault="004C2EE3">
      <w:pPr>
        <w:tabs>
          <w:tab w:val="left" w:pos="-720"/>
        </w:tabs>
        <w:suppressAutoHyphens/>
        <w:spacing w:line="227" w:lineRule="auto"/>
        <w:rPr>
          <w:spacing w:val="-2"/>
        </w:rPr>
      </w:pPr>
    </w:p>
    <w:p w14:paraId="03633CC7" w14:textId="610AF99E" w:rsidR="004C2EE3" w:rsidRPr="005C470F" w:rsidRDefault="004C2EE3" w:rsidP="00133F79">
      <w:pPr>
        <w:tabs>
          <w:tab w:val="left" w:pos="720"/>
          <w:tab w:val="right" w:pos="9360"/>
        </w:tabs>
        <w:suppressAutoHyphens/>
        <w:spacing w:line="227" w:lineRule="auto"/>
        <w:rPr>
          <w:spacing w:val="-2"/>
          <w:szCs w:val="22"/>
        </w:rPr>
      </w:pPr>
      <w:r w:rsidRPr="00A81C34">
        <w:rPr>
          <w:b/>
          <w:spacing w:val="-2"/>
        </w:rPr>
        <w:t>Ado</w:t>
      </w:r>
      <w:r w:rsidRPr="005C470F">
        <w:rPr>
          <w:b/>
          <w:spacing w:val="-2"/>
          <w:szCs w:val="22"/>
        </w:rPr>
        <w:t xml:space="preserve">pted:  </w:t>
      </w:r>
      <w:r w:rsidR="007F6B9D" w:rsidRPr="007F6B9D">
        <w:rPr>
          <w:b/>
          <w:spacing w:val="-2"/>
          <w:szCs w:val="22"/>
        </w:rPr>
        <w:t>April 26, 2016</w:t>
      </w:r>
      <w:r w:rsidRPr="005C470F">
        <w:rPr>
          <w:b/>
          <w:spacing w:val="-2"/>
          <w:szCs w:val="22"/>
        </w:rPr>
        <w:tab/>
      </w:r>
      <w:r w:rsidR="00822CE0" w:rsidRPr="005C470F">
        <w:rPr>
          <w:b/>
          <w:spacing w:val="-2"/>
          <w:szCs w:val="22"/>
        </w:rPr>
        <w:t>Released</w:t>
      </w:r>
      <w:r w:rsidRPr="005C470F">
        <w:rPr>
          <w:b/>
          <w:spacing w:val="-2"/>
          <w:szCs w:val="22"/>
        </w:rPr>
        <w:t>:</w:t>
      </w:r>
      <w:r w:rsidR="00822CE0" w:rsidRPr="005C470F">
        <w:rPr>
          <w:b/>
          <w:spacing w:val="-2"/>
          <w:szCs w:val="22"/>
        </w:rPr>
        <w:t xml:space="preserve"> </w:t>
      </w:r>
      <w:r w:rsidRPr="005C470F">
        <w:rPr>
          <w:b/>
          <w:spacing w:val="-2"/>
          <w:szCs w:val="22"/>
        </w:rPr>
        <w:t xml:space="preserve"> </w:t>
      </w:r>
      <w:r w:rsidR="007F6B9D">
        <w:rPr>
          <w:b/>
          <w:spacing w:val="-2"/>
          <w:szCs w:val="22"/>
        </w:rPr>
        <w:t>April 27, 2016</w:t>
      </w:r>
    </w:p>
    <w:p w14:paraId="111F48C8" w14:textId="77777777" w:rsidR="00822CE0" w:rsidRPr="005C470F" w:rsidRDefault="00822CE0">
      <w:pPr>
        <w:rPr>
          <w:szCs w:val="22"/>
        </w:rPr>
      </w:pPr>
    </w:p>
    <w:p w14:paraId="7837D3C1" w14:textId="77777777" w:rsidR="009D0075" w:rsidRPr="005C470F" w:rsidRDefault="009D0075" w:rsidP="009D0075">
      <w:pPr>
        <w:rPr>
          <w:szCs w:val="22"/>
        </w:rPr>
      </w:pPr>
      <w:r w:rsidRPr="005C470F">
        <w:rPr>
          <w:szCs w:val="22"/>
        </w:rPr>
        <w:t>By the Commission:</w:t>
      </w:r>
    </w:p>
    <w:p w14:paraId="10C38EAC" w14:textId="77777777" w:rsidR="009D0075" w:rsidRPr="005C470F" w:rsidRDefault="009D0075" w:rsidP="009D0075">
      <w:pPr>
        <w:rPr>
          <w:szCs w:val="22"/>
        </w:rPr>
      </w:pPr>
    </w:p>
    <w:p w14:paraId="39452431" w14:textId="64AA9D15" w:rsidR="0052207C" w:rsidRPr="005C470F" w:rsidRDefault="0052207C" w:rsidP="005C470F">
      <w:pPr>
        <w:pStyle w:val="ParaNum"/>
        <w:widowControl/>
        <w:rPr>
          <w:szCs w:val="22"/>
        </w:rPr>
      </w:pPr>
      <w:r w:rsidRPr="005C470F">
        <w:rPr>
          <w:szCs w:val="22"/>
        </w:rPr>
        <w:t xml:space="preserve">In this Memorandum Opinion and Order, we grant </w:t>
      </w:r>
      <w:r w:rsidR="00DA3B58">
        <w:rPr>
          <w:szCs w:val="22"/>
        </w:rPr>
        <w:t xml:space="preserve">in part </w:t>
      </w:r>
      <w:r w:rsidRPr="005C470F">
        <w:rPr>
          <w:szCs w:val="22"/>
        </w:rPr>
        <w:t>the Application for Review filed by Edward A. Schober (Schober) on May 6, 2013 (Application for Review).  Schober seeks review of an April 25, 2013, decision</w:t>
      </w:r>
      <w:r w:rsidRPr="005C470F">
        <w:rPr>
          <w:i/>
          <w:szCs w:val="22"/>
        </w:rPr>
        <w:t xml:space="preserve"> </w:t>
      </w:r>
      <w:r w:rsidRPr="005C470F">
        <w:rPr>
          <w:szCs w:val="22"/>
        </w:rPr>
        <w:t>by the Audio Division, Media Bureau (Bureau) that: (1) granted a Petition for Reconsideration filed by Jersey Shore Broadcasting Corporation (Jersey Shore) on January 11, 2005 (Petition for Reconsideration); (2) rescinded the grant of Schober’s above-captioned application (Application) for a new FM translator station at Manahawkin, New Jersey (Station); and (3) dismissed the Application.</w:t>
      </w:r>
      <w:r w:rsidRPr="005C470F">
        <w:rPr>
          <w:szCs w:val="22"/>
          <w:vertAlign w:val="superscript"/>
        </w:rPr>
        <w:footnoteReference w:id="2"/>
      </w:r>
      <w:r w:rsidRPr="005C470F">
        <w:rPr>
          <w:szCs w:val="22"/>
        </w:rPr>
        <w:t xml:space="preserve">  On May 20, 2013, Jersey Shore filed an Opposition to the Application for Review (Opposition) and on June 4, 2013, Schober filed a Reply to the Opposition (Reply).</w:t>
      </w:r>
    </w:p>
    <w:p w14:paraId="2C8A3F1F" w14:textId="77777777" w:rsidR="0052207C" w:rsidRPr="005C470F" w:rsidRDefault="0052207C" w:rsidP="0052207C">
      <w:pPr>
        <w:pStyle w:val="Heading1"/>
        <w:widowControl/>
        <w:spacing w:line="276" w:lineRule="auto"/>
        <w:rPr>
          <w:rFonts w:ascii="Times New Roman" w:hAnsi="Times New Roman"/>
          <w:szCs w:val="22"/>
        </w:rPr>
      </w:pPr>
      <w:r w:rsidRPr="005C470F">
        <w:rPr>
          <w:rFonts w:ascii="Times New Roman" w:hAnsi="Times New Roman"/>
          <w:szCs w:val="22"/>
        </w:rPr>
        <w:t>Background</w:t>
      </w:r>
    </w:p>
    <w:p w14:paraId="4EA46180" w14:textId="77777777" w:rsidR="0052207C" w:rsidRPr="005C470F" w:rsidRDefault="0052207C" w:rsidP="005C470F">
      <w:pPr>
        <w:pStyle w:val="ParaNum"/>
        <w:widowControl/>
        <w:rPr>
          <w:szCs w:val="22"/>
        </w:rPr>
      </w:pPr>
      <w:r w:rsidRPr="005C470F">
        <w:rPr>
          <w:szCs w:val="22"/>
        </w:rPr>
        <w:t>On March 11, 2003, Schober filed a Form 175 short-form application proposing a new FM translator station at Manahawkin, New Jersey, during the filing window for FM Translator Auction 83.</w:t>
      </w:r>
      <w:r w:rsidRPr="005C470F">
        <w:rPr>
          <w:rStyle w:val="FootnoteReference"/>
          <w:sz w:val="22"/>
          <w:szCs w:val="22"/>
        </w:rPr>
        <w:footnoteReference w:id="3"/>
      </w:r>
      <w:r w:rsidRPr="005C470F">
        <w:rPr>
          <w:szCs w:val="22"/>
        </w:rPr>
        <w:t xml:space="preserve">  Schober’s proposal was not mutually exclusive with any other Auction 83 application; accordingly, after the Bureau directed him to do so,</w:t>
      </w:r>
      <w:r w:rsidRPr="005C470F">
        <w:rPr>
          <w:rStyle w:val="FootnoteReference"/>
          <w:sz w:val="22"/>
          <w:szCs w:val="22"/>
        </w:rPr>
        <w:footnoteReference w:id="4"/>
      </w:r>
      <w:r w:rsidRPr="005C470F">
        <w:rPr>
          <w:szCs w:val="22"/>
        </w:rPr>
        <w:t xml:space="preserve"> on August 25, 2003, Schober filed the above-captioned Form 349 long-form Application.  On January 30, 2004, Jersey Shore filed a Petition to Deny the Application, claiming that it owned and operated the tower site specified in the Application and had not authorized Schober to use the site.  On August 3, 2004, Schober amended the Application to specify a new site.  On August 5, 2004, Schober filed an Opposition to the Petition to Deny, acknowledging that he had not contacted Jersey Shore regarding the use of its tower, but claiming that, when he filed the Application, he had the requisite reasonable assurance of site availability because there was space available on the Jersey Shore tower, as well as at other nearby sites.  </w:t>
      </w:r>
    </w:p>
    <w:p w14:paraId="133D5228" w14:textId="77777777" w:rsidR="0052207C" w:rsidRPr="005C470F" w:rsidRDefault="0052207C" w:rsidP="005C470F">
      <w:pPr>
        <w:pStyle w:val="ParaNum"/>
        <w:widowControl/>
        <w:rPr>
          <w:szCs w:val="22"/>
        </w:rPr>
      </w:pPr>
      <w:r w:rsidRPr="005C470F">
        <w:rPr>
          <w:szCs w:val="22"/>
        </w:rPr>
        <w:t xml:space="preserve">On December 10, 2004, the Bureau granted the Application and issued a construction permit, concluding that “Schober has amended its application to specify a different tower site.  Thus, </w:t>
      </w:r>
      <w:r w:rsidRPr="005C470F">
        <w:rPr>
          <w:szCs w:val="22"/>
        </w:rPr>
        <w:lastRenderedPageBreak/>
        <w:t>availability of Jersey Shore’s tower site is no longer an issue.”</w:t>
      </w:r>
      <w:r w:rsidRPr="005C470F">
        <w:rPr>
          <w:rStyle w:val="FootnoteReference"/>
          <w:sz w:val="22"/>
          <w:szCs w:val="22"/>
        </w:rPr>
        <w:footnoteReference w:id="5"/>
      </w:r>
      <w:r w:rsidRPr="005C470F">
        <w:rPr>
          <w:szCs w:val="22"/>
        </w:rPr>
        <w:t xml:space="preserve">  On January 11, 2005, Jersey Shore filed the Petition for Reconsideration, arguing again that a lack of reasonable assurance of site availability is a fatal deficiency that cannot be cured by amendment.</w:t>
      </w:r>
      <w:r w:rsidRPr="005C470F">
        <w:rPr>
          <w:rStyle w:val="FootnoteReference"/>
          <w:sz w:val="22"/>
          <w:szCs w:val="22"/>
        </w:rPr>
        <w:footnoteReference w:id="6"/>
      </w:r>
      <w:r w:rsidRPr="005C470F">
        <w:rPr>
          <w:szCs w:val="22"/>
        </w:rPr>
        <w:t xml:space="preserve">  On reconsideration, the Bureau rescinded its grant of the Application, agreeing with Jersey Shore that an applicant “may not cure its lack of site assurance by amending its application to specify a different transmitter site.”</w:t>
      </w:r>
      <w:r w:rsidRPr="005C470F">
        <w:rPr>
          <w:rStyle w:val="FootnoteReference"/>
          <w:sz w:val="22"/>
          <w:szCs w:val="22"/>
        </w:rPr>
        <w:footnoteReference w:id="7"/>
      </w:r>
      <w:r w:rsidRPr="005C470F">
        <w:rPr>
          <w:szCs w:val="22"/>
        </w:rPr>
        <w:t xml:space="preserve"> </w:t>
      </w:r>
    </w:p>
    <w:p w14:paraId="3285762A" w14:textId="77777777" w:rsidR="0052207C" w:rsidRPr="005C470F" w:rsidRDefault="0052207C" w:rsidP="005C470F">
      <w:pPr>
        <w:pStyle w:val="ParaNum"/>
        <w:widowControl/>
        <w:rPr>
          <w:szCs w:val="22"/>
        </w:rPr>
      </w:pPr>
      <w:r w:rsidRPr="005C470F">
        <w:rPr>
          <w:szCs w:val="22"/>
        </w:rPr>
        <w:t xml:space="preserve">On review, Schober contends that in the 1998 </w:t>
      </w:r>
      <w:r w:rsidRPr="005C470F">
        <w:rPr>
          <w:i/>
          <w:szCs w:val="22"/>
        </w:rPr>
        <w:t>Auction Order</w:t>
      </w:r>
      <w:r w:rsidRPr="005C470F">
        <w:rPr>
          <w:szCs w:val="22"/>
        </w:rPr>
        <w:t>, the Commission eliminated the reasonable assurance of site availability requirement for auction participants.</w:t>
      </w:r>
      <w:r w:rsidRPr="005C470F">
        <w:rPr>
          <w:rStyle w:val="FootnoteReference"/>
          <w:sz w:val="22"/>
          <w:szCs w:val="22"/>
        </w:rPr>
        <w:footnoteReference w:id="8"/>
      </w:r>
      <w:r w:rsidRPr="005C470F">
        <w:rPr>
          <w:szCs w:val="22"/>
        </w:rPr>
        <w:t xml:space="preserve">  Schober further submits that the instructions to the FCC Forms 301 and 349 are incorrect and misleading and should be amended to remove “any mention of requirements for assurance of site availability [for auction applicants].”</w:t>
      </w:r>
      <w:r w:rsidRPr="005C470F">
        <w:rPr>
          <w:rStyle w:val="FootnoteReference"/>
          <w:sz w:val="22"/>
          <w:szCs w:val="22"/>
        </w:rPr>
        <w:footnoteReference w:id="9"/>
      </w:r>
      <w:r w:rsidRPr="005C470F">
        <w:rPr>
          <w:szCs w:val="22"/>
        </w:rPr>
        <w:t xml:space="preserve">  Schober also argues that even if the requirement still applies, the </w:t>
      </w:r>
      <w:r w:rsidRPr="005C470F">
        <w:rPr>
          <w:i/>
          <w:szCs w:val="22"/>
        </w:rPr>
        <w:t xml:space="preserve">Auction Order </w:t>
      </w:r>
      <w:r w:rsidRPr="005C470F">
        <w:rPr>
          <w:szCs w:val="22"/>
        </w:rPr>
        <w:t>established a liberal amendment policy that allows auction applicants to amend their applications to cure defects, including site availability defects.</w:t>
      </w:r>
      <w:r w:rsidRPr="005C470F">
        <w:rPr>
          <w:rStyle w:val="FootnoteReference"/>
          <w:sz w:val="22"/>
          <w:szCs w:val="22"/>
        </w:rPr>
        <w:footnoteReference w:id="10"/>
      </w:r>
      <w:r w:rsidRPr="005C470F">
        <w:rPr>
          <w:szCs w:val="22"/>
        </w:rPr>
        <w:t xml:space="preserve">  </w:t>
      </w:r>
    </w:p>
    <w:p w14:paraId="4512F47C" w14:textId="77777777" w:rsidR="0052207C" w:rsidRPr="005C470F" w:rsidRDefault="0052207C" w:rsidP="005C470F">
      <w:pPr>
        <w:pStyle w:val="ParaNum"/>
        <w:widowControl/>
        <w:rPr>
          <w:szCs w:val="22"/>
        </w:rPr>
      </w:pPr>
      <w:r w:rsidRPr="005C470F">
        <w:rPr>
          <w:szCs w:val="22"/>
        </w:rPr>
        <w:t>In its Opposition, Jersey Shore argues that the Application for Review is procedurally unacceptable because it relies upon questions of fact or law upon which the designated authority has had no opportunity to pass, namely, that the site availability requirement was “no longer in force” for auction applicants.</w:t>
      </w:r>
      <w:r w:rsidRPr="005C470F">
        <w:rPr>
          <w:rStyle w:val="FootnoteReference"/>
          <w:sz w:val="22"/>
          <w:szCs w:val="22"/>
        </w:rPr>
        <w:footnoteReference w:id="11"/>
      </w:r>
      <w:r w:rsidRPr="005C470F">
        <w:rPr>
          <w:szCs w:val="22"/>
        </w:rPr>
        <w:t xml:space="preserve">  Substantively, Jersey Shore contends that the </w:t>
      </w:r>
      <w:r w:rsidRPr="005C470F">
        <w:rPr>
          <w:i/>
          <w:szCs w:val="22"/>
        </w:rPr>
        <w:t xml:space="preserve">Auction Order </w:t>
      </w:r>
      <w:r w:rsidRPr="005C470F">
        <w:rPr>
          <w:szCs w:val="22"/>
        </w:rPr>
        <w:t>did not eliminate the underlying site availability requirement and that an initial site availability defect is fatal and may not be amended, citing to a 2008 decision also involving Schober.</w:t>
      </w:r>
      <w:r w:rsidRPr="005C470F">
        <w:rPr>
          <w:rStyle w:val="FootnoteReference"/>
          <w:sz w:val="22"/>
          <w:szCs w:val="22"/>
        </w:rPr>
        <w:footnoteReference w:id="12"/>
      </w:r>
    </w:p>
    <w:p w14:paraId="033A20FA" w14:textId="77777777" w:rsidR="0052207C" w:rsidRPr="005C470F" w:rsidRDefault="0052207C" w:rsidP="005C470F">
      <w:pPr>
        <w:pStyle w:val="ParaNum"/>
        <w:widowControl/>
        <w:rPr>
          <w:szCs w:val="22"/>
        </w:rPr>
      </w:pPr>
      <w:r w:rsidRPr="005C470F">
        <w:rPr>
          <w:szCs w:val="22"/>
        </w:rPr>
        <w:t>In his Reply, Schober argues that the Application for Review should be considered by the Commission because conflicting decisions at the Bureau level indicate the need for Commission-level resolution of the matter.</w:t>
      </w:r>
      <w:r w:rsidRPr="005C470F">
        <w:rPr>
          <w:rStyle w:val="FootnoteReference"/>
          <w:sz w:val="22"/>
          <w:szCs w:val="22"/>
        </w:rPr>
        <w:footnoteReference w:id="13"/>
      </w:r>
      <w:r w:rsidRPr="005C470F">
        <w:rPr>
          <w:szCs w:val="22"/>
        </w:rPr>
        <w:t xml:space="preserve">  Schober also urges procedural leniency because he is represented </w:t>
      </w:r>
      <w:r w:rsidRPr="005C470F">
        <w:rPr>
          <w:i/>
          <w:szCs w:val="22"/>
        </w:rPr>
        <w:t xml:space="preserve">pro se </w:t>
      </w:r>
      <w:r w:rsidRPr="005C470F">
        <w:rPr>
          <w:szCs w:val="22"/>
        </w:rPr>
        <w:t>and has “been waiting for over ten years for a final decision on this application.”</w:t>
      </w:r>
      <w:r w:rsidRPr="005C470F">
        <w:rPr>
          <w:rStyle w:val="FootnoteReference"/>
          <w:sz w:val="22"/>
          <w:szCs w:val="22"/>
        </w:rPr>
        <w:footnoteReference w:id="14"/>
      </w:r>
      <w:r w:rsidRPr="005C470F">
        <w:rPr>
          <w:szCs w:val="22"/>
        </w:rPr>
        <w:t xml:space="preserve">  </w:t>
      </w:r>
    </w:p>
    <w:p w14:paraId="680FC7D2" w14:textId="77777777" w:rsidR="0052207C" w:rsidRPr="005C470F" w:rsidRDefault="0052207C" w:rsidP="0052207C">
      <w:pPr>
        <w:pStyle w:val="Heading1"/>
        <w:widowControl/>
        <w:spacing w:line="276" w:lineRule="auto"/>
        <w:rPr>
          <w:rFonts w:ascii="Times New Roman" w:hAnsi="Times New Roman"/>
        </w:rPr>
      </w:pPr>
      <w:r w:rsidRPr="005C470F">
        <w:rPr>
          <w:rFonts w:ascii="Times New Roman" w:hAnsi="Times New Roman"/>
        </w:rPr>
        <w:t>Discussion</w:t>
      </w:r>
    </w:p>
    <w:p w14:paraId="4071BB8D" w14:textId="77777777" w:rsidR="0052207C" w:rsidRPr="005C470F" w:rsidRDefault="0052207C" w:rsidP="005C470F">
      <w:pPr>
        <w:pStyle w:val="ParaNum"/>
        <w:widowControl/>
        <w:rPr>
          <w:szCs w:val="22"/>
        </w:rPr>
      </w:pPr>
      <w:r w:rsidRPr="005C470F">
        <w:rPr>
          <w:i/>
          <w:szCs w:val="22"/>
        </w:rPr>
        <w:t>Procedural issues</w:t>
      </w:r>
      <w:r w:rsidRPr="005C470F">
        <w:rPr>
          <w:szCs w:val="22"/>
        </w:rPr>
        <w:t>.  No application for review will be granted if it relies upon questions of fact or law upon which the designated authority has been afforded no opportunity to pass.</w:t>
      </w:r>
      <w:r w:rsidRPr="005C470F">
        <w:rPr>
          <w:rStyle w:val="FootnoteReference"/>
          <w:sz w:val="22"/>
          <w:szCs w:val="22"/>
        </w:rPr>
        <w:footnoteReference w:id="15"/>
      </w:r>
      <w:r w:rsidRPr="005C470F">
        <w:rPr>
          <w:szCs w:val="22"/>
        </w:rPr>
        <w:t xml:space="preserve">  Here, the Bureau was not presented with the argument that the </w:t>
      </w:r>
      <w:r w:rsidRPr="005C470F">
        <w:rPr>
          <w:i/>
          <w:szCs w:val="22"/>
        </w:rPr>
        <w:t xml:space="preserve">Auction Order </w:t>
      </w:r>
      <w:r w:rsidRPr="005C470F">
        <w:rPr>
          <w:szCs w:val="22"/>
        </w:rPr>
        <w:t xml:space="preserve">eliminated the site availability requirement for auction applicants.  Therefore, we dismiss the Application for Review to the extent that it relies upon this argument.  However, the Bureau did have the opportunity to pass upon the dispositive issue of whether an auction applicant may amend to cure a site availability defect.  In the </w:t>
      </w:r>
      <w:r w:rsidRPr="005C470F">
        <w:rPr>
          <w:i/>
          <w:szCs w:val="22"/>
        </w:rPr>
        <w:t>Reconsideration Decision</w:t>
      </w:r>
      <w:r w:rsidRPr="005C470F">
        <w:rPr>
          <w:szCs w:val="22"/>
        </w:rPr>
        <w:t>, the Bureau</w:t>
      </w:r>
      <w:r w:rsidRPr="005C470F">
        <w:rPr>
          <w:i/>
          <w:szCs w:val="22"/>
        </w:rPr>
        <w:t xml:space="preserve"> </w:t>
      </w:r>
      <w:r w:rsidRPr="005C470F">
        <w:rPr>
          <w:szCs w:val="22"/>
        </w:rPr>
        <w:t xml:space="preserve">directly stated that “an applicant may not cure its lack of site assurance by amending </w:t>
      </w:r>
      <w:r w:rsidRPr="005C470F">
        <w:rPr>
          <w:szCs w:val="22"/>
        </w:rPr>
        <w:lastRenderedPageBreak/>
        <w:t>its application to specify a different transmitter site.”</w:t>
      </w:r>
      <w:r w:rsidRPr="005C470F">
        <w:rPr>
          <w:rStyle w:val="FootnoteReference"/>
          <w:sz w:val="22"/>
          <w:szCs w:val="22"/>
        </w:rPr>
        <w:footnoteReference w:id="16"/>
      </w:r>
      <w:r w:rsidRPr="005C470F">
        <w:rPr>
          <w:szCs w:val="22"/>
        </w:rPr>
        <w:t xml:space="preserve">  Therefore, we find that the site amendment issue is now properly before the Commission on review. </w:t>
      </w:r>
    </w:p>
    <w:p w14:paraId="6634EF28" w14:textId="77777777" w:rsidR="0052207C" w:rsidRPr="005C470F" w:rsidRDefault="0052207C" w:rsidP="005C470F">
      <w:pPr>
        <w:pStyle w:val="ParaNum"/>
        <w:widowControl/>
        <w:rPr>
          <w:szCs w:val="22"/>
        </w:rPr>
      </w:pPr>
      <w:r w:rsidRPr="005C470F">
        <w:rPr>
          <w:i/>
          <w:szCs w:val="22"/>
        </w:rPr>
        <w:t>Substantive issue</w:t>
      </w:r>
      <w:r w:rsidRPr="005C470F">
        <w:rPr>
          <w:szCs w:val="22"/>
        </w:rPr>
        <w:t xml:space="preserve">.  In </w:t>
      </w:r>
      <w:r w:rsidRPr="005C470F">
        <w:rPr>
          <w:i/>
          <w:szCs w:val="22"/>
        </w:rPr>
        <w:t>Christopher Falletti,</w:t>
      </w:r>
      <w:r w:rsidRPr="005C470F">
        <w:rPr>
          <w:rStyle w:val="FootnoteReference"/>
          <w:sz w:val="22"/>
          <w:szCs w:val="22"/>
        </w:rPr>
        <w:footnoteReference w:id="17"/>
      </w:r>
      <w:r w:rsidRPr="005C470F">
        <w:rPr>
          <w:szCs w:val="22"/>
        </w:rPr>
        <w:t xml:space="preserve"> issued after Schober filed his Application for Review, we considered the issue of whether an FM auction applicant may amend to specify a new transmitter site where it lacked reasonable assurance of the availability of its originally-specified transmitter site.  Therein, we noted that, in the 1998 </w:t>
      </w:r>
      <w:r w:rsidRPr="005C470F">
        <w:rPr>
          <w:i/>
          <w:szCs w:val="22"/>
        </w:rPr>
        <w:t>Auction Order</w:t>
      </w:r>
      <w:r w:rsidRPr="005C470F">
        <w:rPr>
          <w:szCs w:val="22"/>
        </w:rPr>
        <w:t>, the Commission adopted a liberal amendment policy for auction applicants, under which “[l]ong-form applications for new facilities and for major changes in existing facilities in all broadcast services will no longer be immediately returned for defects pertaining to completeness or technical or legal acceptance criteria, without ample opportunity to correct the deficiency . . . the new processing standards for broadcast long-form applications will enable applicants for new facilities and for major changes to avoid dismissal and to liberally correct heretofore fatal defects in application information.”</w:t>
      </w:r>
      <w:r w:rsidRPr="005C470F">
        <w:rPr>
          <w:rStyle w:val="FootnoteReference"/>
          <w:sz w:val="22"/>
          <w:szCs w:val="22"/>
        </w:rPr>
        <w:footnoteReference w:id="18"/>
      </w:r>
      <w:r w:rsidRPr="005C470F">
        <w:rPr>
          <w:szCs w:val="22"/>
        </w:rPr>
        <w:t xml:space="preserve">  This liberal amendment policy was codified at Section 73.3522(a)(2) of the Rules, which states that amendments to any long form application filed by “a winning bidder or a non-mutually exclusive applicant for a new station . . . in all broadcast services subject to competitive bidding” may be filed to “cur[e] any defect, omission or inconsistency identified by the Commission, or to make minor modifications to the application, or pursuant to § 1.65.”</w:t>
      </w:r>
      <w:r w:rsidRPr="005C470F">
        <w:rPr>
          <w:rStyle w:val="FootnoteReference"/>
          <w:sz w:val="22"/>
          <w:szCs w:val="22"/>
        </w:rPr>
        <w:footnoteReference w:id="19"/>
      </w:r>
    </w:p>
    <w:p w14:paraId="17C7B0B1" w14:textId="148BEDD8" w:rsidR="0052207C" w:rsidRPr="005C470F" w:rsidRDefault="0052207C" w:rsidP="005C470F">
      <w:pPr>
        <w:pStyle w:val="ParaNum"/>
        <w:widowControl/>
        <w:rPr>
          <w:szCs w:val="22"/>
        </w:rPr>
      </w:pPr>
      <w:r w:rsidRPr="005C470F">
        <w:rPr>
          <w:szCs w:val="22"/>
        </w:rPr>
        <w:t xml:space="preserve">In </w:t>
      </w:r>
      <w:r w:rsidRPr="005C470F">
        <w:rPr>
          <w:i/>
          <w:szCs w:val="22"/>
        </w:rPr>
        <w:t>Falletti</w:t>
      </w:r>
      <w:r w:rsidRPr="005C470F">
        <w:rPr>
          <w:szCs w:val="22"/>
        </w:rPr>
        <w:t>, we clarified that the liberal amendment policy applies to site availability defects in the same way that it does to all other application defects in the auctioned services.</w:t>
      </w:r>
      <w:r w:rsidRPr="005C470F">
        <w:rPr>
          <w:rStyle w:val="FootnoteReference"/>
          <w:sz w:val="22"/>
          <w:szCs w:val="22"/>
        </w:rPr>
        <w:footnoteReference w:id="20"/>
      </w:r>
      <w:r w:rsidRPr="005C470F">
        <w:rPr>
          <w:szCs w:val="22"/>
        </w:rPr>
        <w:t xml:space="preserve">   In so holding, we ruled, “To the extent that our decision in</w:t>
      </w:r>
      <w:r w:rsidRPr="005C470F">
        <w:rPr>
          <w:i/>
          <w:szCs w:val="22"/>
        </w:rPr>
        <w:t xml:space="preserve"> </w:t>
      </w:r>
      <w:r w:rsidRPr="005C470F">
        <w:rPr>
          <w:szCs w:val="22"/>
        </w:rPr>
        <w:t>[the</w:t>
      </w:r>
      <w:r w:rsidRPr="005C470F">
        <w:rPr>
          <w:i/>
          <w:szCs w:val="22"/>
        </w:rPr>
        <w:t xml:space="preserve"> 2008 Schober Decision</w:t>
      </w:r>
      <w:r w:rsidRPr="005C470F">
        <w:rPr>
          <w:szCs w:val="22"/>
        </w:rPr>
        <w:t>]</w:t>
      </w:r>
      <w:r w:rsidR="00177AFD">
        <w:rPr>
          <w:szCs w:val="22"/>
        </w:rPr>
        <w:t xml:space="preserve"> </w:t>
      </w:r>
      <w:r w:rsidRPr="005C470F">
        <w:rPr>
          <w:szCs w:val="22"/>
        </w:rPr>
        <w:t>is inconsistent with this holding, it is overruled.”</w:t>
      </w:r>
      <w:r w:rsidRPr="005C470F">
        <w:rPr>
          <w:rStyle w:val="FootnoteReference"/>
          <w:sz w:val="22"/>
          <w:szCs w:val="22"/>
        </w:rPr>
        <w:footnoteReference w:id="21"/>
      </w:r>
      <w:r w:rsidRPr="005C470F">
        <w:rPr>
          <w:szCs w:val="22"/>
        </w:rPr>
        <w:t xml:space="preserve">  Because Schober was allowed under the liberal amendment policy to amend the Application to cure the alleged site availability defect, we reinstate and grant the Application effective with the release of this Order.</w:t>
      </w:r>
      <w:r w:rsidRPr="005C470F">
        <w:rPr>
          <w:rStyle w:val="FootnoteReference"/>
          <w:sz w:val="22"/>
          <w:szCs w:val="22"/>
        </w:rPr>
        <w:footnoteReference w:id="22"/>
      </w:r>
    </w:p>
    <w:p w14:paraId="62D24400" w14:textId="4086C59C" w:rsidR="00177AFD" w:rsidRDefault="0052207C" w:rsidP="005C470F">
      <w:pPr>
        <w:pStyle w:val="ParaNum"/>
        <w:widowControl/>
        <w:rPr>
          <w:szCs w:val="22"/>
        </w:rPr>
      </w:pPr>
      <w:r w:rsidRPr="005C470F">
        <w:rPr>
          <w:szCs w:val="22"/>
        </w:rPr>
        <w:t>Accordingly, IT IS ORDERED that, pursuant to Section 5(c)(5) of the Communications Act of 1934, as amended,</w:t>
      </w:r>
      <w:r w:rsidRPr="005C470F">
        <w:rPr>
          <w:szCs w:val="22"/>
          <w:vertAlign w:val="superscript"/>
        </w:rPr>
        <w:footnoteReference w:id="23"/>
      </w:r>
      <w:r w:rsidRPr="005C470F">
        <w:rPr>
          <w:szCs w:val="22"/>
        </w:rPr>
        <w:t xml:space="preserve"> and Sections 1.115(c) and (g) of the Commission’s Rules,</w:t>
      </w:r>
      <w:r w:rsidRPr="005C470F">
        <w:rPr>
          <w:szCs w:val="22"/>
          <w:vertAlign w:val="superscript"/>
        </w:rPr>
        <w:footnoteReference w:id="24"/>
      </w:r>
      <w:r w:rsidRPr="005C470F">
        <w:rPr>
          <w:szCs w:val="22"/>
        </w:rPr>
        <w:t xml:space="preserve"> the Application for Review filed by Edward A. Schober on May 6, 2013, IS DISMISSED to the extent described in paragraph 7 of this Order and IS OTHERWISE GRANTED.</w:t>
      </w:r>
    </w:p>
    <w:p w14:paraId="3F4E790D" w14:textId="6626B355" w:rsidR="0052207C" w:rsidRPr="005C470F" w:rsidRDefault="00177AFD" w:rsidP="00177AFD">
      <w:pPr>
        <w:widowControl/>
        <w:rPr>
          <w:szCs w:val="22"/>
        </w:rPr>
      </w:pPr>
      <w:r>
        <w:rPr>
          <w:szCs w:val="22"/>
        </w:rPr>
        <w:br w:type="page"/>
      </w:r>
    </w:p>
    <w:p w14:paraId="37879BB4" w14:textId="77777777" w:rsidR="0052207C" w:rsidRDefault="0052207C" w:rsidP="005C470F">
      <w:pPr>
        <w:pStyle w:val="ParaNum"/>
        <w:widowControl/>
        <w:rPr>
          <w:spacing w:val="-2"/>
          <w:szCs w:val="22"/>
        </w:rPr>
      </w:pPr>
      <w:r w:rsidRPr="005C470F">
        <w:rPr>
          <w:szCs w:val="22"/>
        </w:rPr>
        <w:t>IT IS FURTHER ORDERED that Schober’s Application to construct a new FM translator station at Manahawkin, New Jersey (</w:t>
      </w:r>
      <w:r w:rsidRPr="005C470F">
        <w:rPr>
          <w:spacing w:val="-2"/>
          <w:szCs w:val="22"/>
        </w:rPr>
        <w:t>File No. BNPFT-20030825AIW)</w:t>
      </w:r>
      <w:r w:rsidRPr="005C470F">
        <w:rPr>
          <w:szCs w:val="22"/>
        </w:rPr>
        <w:t xml:space="preserve"> </w:t>
      </w:r>
      <w:r w:rsidRPr="005C470F">
        <w:rPr>
          <w:spacing w:val="-2"/>
          <w:szCs w:val="22"/>
        </w:rPr>
        <w:t>IS REINSTATED and GRANTED.</w:t>
      </w:r>
    </w:p>
    <w:p w14:paraId="14A52A74" w14:textId="77777777" w:rsidR="007F6B9D" w:rsidRPr="005C470F" w:rsidRDefault="007F6B9D" w:rsidP="007F6B9D"/>
    <w:p w14:paraId="686D0ADA" w14:textId="77777777" w:rsidR="005E0FBC" w:rsidRDefault="005E0FBC" w:rsidP="0017296B">
      <w:r>
        <w:tab/>
      </w:r>
      <w:r>
        <w:tab/>
      </w:r>
      <w:r>
        <w:tab/>
      </w:r>
      <w:r>
        <w:tab/>
      </w:r>
      <w:r>
        <w:tab/>
      </w:r>
      <w:r>
        <w:tab/>
        <w:t>FEDERAL COMMUNICATIONS COMMISSION</w:t>
      </w:r>
    </w:p>
    <w:p w14:paraId="3A462B75" w14:textId="77777777" w:rsidR="005E0FBC" w:rsidRDefault="005E0FBC" w:rsidP="0017296B"/>
    <w:p w14:paraId="30FDEE50" w14:textId="77777777" w:rsidR="005E0FBC" w:rsidRDefault="005E0FBC" w:rsidP="0017296B"/>
    <w:p w14:paraId="18AC3F7E" w14:textId="77777777" w:rsidR="005E0FBC" w:rsidRDefault="005E0FBC" w:rsidP="0017296B"/>
    <w:p w14:paraId="230C82BE" w14:textId="77777777" w:rsidR="005E0FBC" w:rsidRDefault="005E0FBC" w:rsidP="0017296B"/>
    <w:p w14:paraId="32006ED1" w14:textId="77777777" w:rsidR="005E0FBC" w:rsidRDefault="005E0FBC" w:rsidP="0017296B">
      <w:r>
        <w:tab/>
      </w:r>
      <w:r>
        <w:tab/>
      </w:r>
      <w:r>
        <w:tab/>
      </w:r>
      <w:r>
        <w:tab/>
      </w:r>
      <w:r>
        <w:tab/>
      </w:r>
      <w:r>
        <w:tab/>
        <w:t>Marlene H. Dortch</w:t>
      </w:r>
    </w:p>
    <w:p w14:paraId="55A81FD1" w14:textId="77777777" w:rsidR="005E0FBC" w:rsidRPr="00A81C34" w:rsidRDefault="005E0FBC" w:rsidP="005808E2">
      <w:r>
        <w:tab/>
      </w:r>
      <w:r>
        <w:tab/>
      </w:r>
      <w:r>
        <w:tab/>
      </w:r>
      <w:r>
        <w:tab/>
      </w:r>
      <w:r>
        <w:tab/>
      </w:r>
      <w:r>
        <w:tab/>
        <w:t>Secretary</w:t>
      </w:r>
    </w:p>
    <w:sectPr w:rsidR="005E0FBC" w:rsidRPr="00A81C3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9C0A" w14:textId="77777777" w:rsidR="00E50784" w:rsidRDefault="00E50784">
      <w:pPr>
        <w:spacing w:line="20" w:lineRule="exact"/>
      </w:pPr>
    </w:p>
  </w:endnote>
  <w:endnote w:type="continuationSeparator" w:id="0">
    <w:p w14:paraId="65B735A0" w14:textId="77777777" w:rsidR="00E50784" w:rsidRDefault="00E50784">
      <w:r>
        <w:t xml:space="preserve"> </w:t>
      </w:r>
    </w:p>
  </w:endnote>
  <w:endnote w:type="continuationNotice" w:id="1">
    <w:p w14:paraId="1BEBF63A" w14:textId="77777777" w:rsidR="00E50784" w:rsidRDefault="00E507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5065" w14:textId="77777777" w:rsidR="00655696" w:rsidRDefault="00655696" w:rsidP="0055614C">
    <w:pPr>
      <w:pStyle w:val="Footer"/>
      <w:framePr w:wrap="around" w:vAnchor="text" w:hAnchor="margin" w:xAlign="center" w:y="1"/>
    </w:pPr>
    <w:r>
      <w:fldChar w:fldCharType="begin"/>
    </w:r>
    <w:r>
      <w:instrText xml:space="preserve">PAGE  </w:instrText>
    </w:r>
    <w:r>
      <w:fldChar w:fldCharType="end"/>
    </w:r>
  </w:p>
  <w:p w14:paraId="580224F5" w14:textId="77777777" w:rsidR="00655696" w:rsidRDefault="0065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83E1" w14:textId="77777777" w:rsidR="00655696" w:rsidRDefault="00655696" w:rsidP="0055614C">
    <w:pPr>
      <w:pStyle w:val="Footer"/>
      <w:framePr w:wrap="around" w:vAnchor="text" w:hAnchor="margin" w:xAlign="center" w:y="1"/>
    </w:pPr>
    <w:r>
      <w:fldChar w:fldCharType="begin"/>
    </w:r>
    <w:r>
      <w:instrText xml:space="preserve">PAGE  </w:instrText>
    </w:r>
    <w:r>
      <w:fldChar w:fldCharType="separate"/>
    </w:r>
    <w:r w:rsidR="00AA6B63">
      <w:rPr>
        <w:noProof/>
      </w:rPr>
      <w:t>2</w:t>
    </w:r>
    <w:r>
      <w:fldChar w:fldCharType="end"/>
    </w:r>
  </w:p>
  <w:p w14:paraId="7D8E463F" w14:textId="77777777" w:rsidR="00655696" w:rsidRDefault="0065569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F56E" w14:textId="77777777" w:rsidR="00655696" w:rsidRDefault="0065569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8B5" w14:textId="77777777" w:rsidR="00E50784" w:rsidRDefault="00E50784">
      <w:r>
        <w:separator/>
      </w:r>
    </w:p>
  </w:footnote>
  <w:footnote w:type="continuationSeparator" w:id="0">
    <w:p w14:paraId="2B88C7E2" w14:textId="77777777" w:rsidR="00E50784" w:rsidRDefault="00E50784" w:rsidP="00C721AC">
      <w:pPr>
        <w:spacing w:before="120"/>
        <w:rPr>
          <w:sz w:val="20"/>
        </w:rPr>
      </w:pPr>
      <w:r>
        <w:rPr>
          <w:sz w:val="20"/>
        </w:rPr>
        <w:t xml:space="preserve">(Continued from previous page)  </w:t>
      </w:r>
      <w:r>
        <w:rPr>
          <w:sz w:val="20"/>
        </w:rPr>
        <w:separator/>
      </w:r>
    </w:p>
  </w:footnote>
  <w:footnote w:type="continuationNotice" w:id="1">
    <w:p w14:paraId="0D2CA305" w14:textId="77777777" w:rsidR="00E50784" w:rsidRDefault="00E50784" w:rsidP="00C721AC">
      <w:pPr>
        <w:jc w:val="right"/>
        <w:rPr>
          <w:sz w:val="20"/>
        </w:rPr>
      </w:pPr>
      <w:r>
        <w:rPr>
          <w:sz w:val="20"/>
        </w:rPr>
        <w:t>(continued….)</w:t>
      </w:r>
    </w:p>
  </w:footnote>
  <w:footnote w:id="2">
    <w:p w14:paraId="6CDCCF54" w14:textId="77777777" w:rsidR="0052207C" w:rsidRPr="00706282" w:rsidRDefault="0052207C" w:rsidP="0052207C">
      <w:pPr>
        <w:pStyle w:val="FootnoteText"/>
      </w:pPr>
      <w:r w:rsidRPr="00706282">
        <w:rPr>
          <w:rStyle w:val="FootnoteReference"/>
        </w:rPr>
        <w:footnoteRef/>
      </w:r>
      <w:r w:rsidRPr="00706282">
        <w:t xml:space="preserve"> </w:t>
      </w:r>
      <w:r>
        <w:rPr>
          <w:i/>
        </w:rPr>
        <w:t>Edward A. Schober</w:t>
      </w:r>
      <w:r>
        <w:t>, Letter Order, Ref. No. 1800B3-ATS (MB Apr. 25, 2013) (</w:t>
      </w:r>
      <w:r>
        <w:rPr>
          <w:i/>
        </w:rPr>
        <w:t>Reconsideration Decision</w:t>
      </w:r>
      <w:r>
        <w:t xml:space="preserve">).  In the </w:t>
      </w:r>
      <w:r>
        <w:rPr>
          <w:i/>
        </w:rPr>
        <w:t>Reconsideration Decision</w:t>
      </w:r>
      <w:r>
        <w:t>, the Bureau also</w:t>
      </w:r>
      <w:r>
        <w:rPr>
          <w:i/>
        </w:rPr>
        <w:t xml:space="preserve"> </w:t>
      </w:r>
      <w:r>
        <w:t xml:space="preserve">dismissed as moot a Petition for Reconsideration filed by Press Communications, LLC on January 14, 2005. </w:t>
      </w:r>
    </w:p>
  </w:footnote>
  <w:footnote w:id="3">
    <w:p w14:paraId="6E0AB9AE" w14:textId="77777777" w:rsidR="0052207C" w:rsidRPr="00946D69" w:rsidRDefault="0052207C" w:rsidP="0052207C">
      <w:pPr>
        <w:pStyle w:val="FootnoteText"/>
      </w:pPr>
      <w:r>
        <w:rPr>
          <w:rStyle w:val="FootnoteReference"/>
        </w:rPr>
        <w:footnoteRef/>
      </w:r>
      <w:r>
        <w:t xml:space="preserve"> </w:t>
      </w:r>
      <w:r>
        <w:rPr>
          <w:i/>
        </w:rPr>
        <w:t xml:space="preserve">See </w:t>
      </w:r>
      <w:r>
        <w:t xml:space="preserve">BNPFT-20030311AAD; </w:t>
      </w:r>
      <w:r>
        <w:rPr>
          <w:i/>
        </w:rPr>
        <w:t>FM Translator Auction Filing Window and Application Freeze</w:t>
      </w:r>
      <w:r>
        <w:t>, Public Notice, 18 FCC Rcd 1565 (MB/WTB 2003).</w:t>
      </w:r>
    </w:p>
  </w:footnote>
  <w:footnote w:id="4">
    <w:p w14:paraId="2C824545" w14:textId="77777777" w:rsidR="0052207C" w:rsidRDefault="0052207C" w:rsidP="0052207C">
      <w:pPr>
        <w:pStyle w:val="FootnoteText"/>
      </w:pPr>
      <w:r>
        <w:rPr>
          <w:rStyle w:val="FootnoteReference"/>
        </w:rPr>
        <w:footnoteRef/>
      </w:r>
      <w:r>
        <w:t xml:space="preserve"> </w:t>
      </w:r>
      <w:r w:rsidRPr="0084251C">
        <w:rPr>
          <w:i/>
        </w:rPr>
        <w:t>See FM Translator Auction No. 83 Non-Mutually Exclusive Applications,</w:t>
      </w:r>
      <w:r>
        <w:t xml:space="preserve"> Public Notice, 18 FCC Rcd 12702 (MB 2003).</w:t>
      </w:r>
    </w:p>
  </w:footnote>
  <w:footnote w:id="5">
    <w:p w14:paraId="1CA821B0" w14:textId="77777777" w:rsidR="0052207C" w:rsidRPr="007406B4" w:rsidRDefault="0052207C" w:rsidP="0052207C">
      <w:pPr>
        <w:pStyle w:val="FootnoteText"/>
      </w:pPr>
      <w:r>
        <w:rPr>
          <w:rStyle w:val="FootnoteReference"/>
        </w:rPr>
        <w:footnoteRef/>
      </w:r>
      <w:r>
        <w:t xml:space="preserve"> </w:t>
      </w:r>
      <w:r>
        <w:rPr>
          <w:i/>
        </w:rPr>
        <w:t>Edward A. Schober</w:t>
      </w:r>
      <w:r>
        <w:t>, Letter Order, Ref. No. 1800B3-TB (MB Dec. 10, 2004) at 2.</w:t>
      </w:r>
    </w:p>
  </w:footnote>
  <w:footnote w:id="6">
    <w:p w14:paraId="79212A8F" w14:textId="77777777" w:rsidR="0052207C" w:rsidRDefault="0052207C" w:rsidP="0052207C">
      <w:pPr>
        <w:pStyle w:val="FootnoteText"/>
      </w:pPr>
      <w:r>
        <w:rPr>
          <w:rStyle w:val="FootnoteReference"/>
        </w:rPr>
        <w:footnoteRef/>
      </w:r>
      <w:r>
        <w:t xml:space="preserve"> Petition for Reconsideration at 3. Schober did not file a response to the Petition.</w:t>
      </w:r>
    </w:p>
  </w:footnote>
  <w:footnote w:id="7">
    <w:p w14:paraId="086AB70C" w14:textId="77777777" w:rsidR="0052207C" w:rsidRPr="00623DBE" w:rsidRDefault="0052207C" w:rsidP="0052207C">
      <w:pPr>
        <w:pStyle w:val="FootnoteText"/>
      </w:pPr>
      <w:r>
        <w:rPr>
          <w:rStyle w:val="FootnoteReference"/>
        </w:rPr>
        <w:footnoteRef/>
      </w:r>
      <w:r>
        <w:t xml:space="preserve"> </w:t>
      </w:r>
      <w:r>
        <w:rPr>
          <w:i/>
        </w:rPr>
        <w:t>Reconsideration Decision</w:t>
      </w:r>
      <w:r>
        <w:t xml:space="preserve"> at 3.</w:t>
      </w:r>
    </w:p>
  </w:footnote>
  <w:footnote w:id="8">
    <w:p w14:paraId="00FD0E05" w14:textId="77777777" w:rsidR="0052207C" w:rsidRDefault="0052207C" w:rsidP="0052207C">
      <w:pPr>
        <w:pStyle w:val="FootnoteText"/>
      </w:pPr>
      <w:r>
        <w:rPr>
          <w:rStyle w:val="FootnoteReference"/>
        </w:rPr>
        <w:footnoteRef/>
      </w:r>
      <w:r>
        <w:t xml:space="preserve"> Application for Review at 1; </w:t>
      </w:r>
      <w:r w:rsidRPr="00706282">
        <w:rPr>
          <w:rStyle w:val="emphi"/>
          <w:i/>
        </w:rPr>
        <w:t>Implementation of Section 309(j) of the Communications Act—Competitive Bidding for Commercial Broadcast and Instructional Television Fixed Services Licenses</w:t>
      </w:r>
      <w:r w:rsidRPr="00706282">
        <w:rPr>
          <w:rStyle w:val="emphi"/>
        </w:rPr>
        <w:t>,</w:t>
      </w:r>
      <w:r w:rsidRPr="00706282">
        <w:t xml:space="preserve"> First Report an</w:t>
      </w:r>
      <w:r>
        <w:t>d Order, 13 FCC Rcd 15920</w:t>
      </w:r>
      <w:r w:rsidRPr="00706282">
        <w:t xml:space="preserve"> (1998) (</w:t>
      </w:r>
      <w:r w:rsidRPr="00D00FF5">
        <w:rPr>
          <w:rStyle w:val="displayhltext"/>
          <w:i/>
        </w:rPr>
        <w:t>Auction Order</w:t>
      </w:r>
      <w:r w:rsidRPr="00706282">
        <w:rPr>
          <w:noProof/>
          <w:color w:val="0000FF"/>
        </w:rPr>
        <w:drawing>
          <wp:inline distT="0" distB="0" distL="0" distR="0" wp14:anchorId="3A1C3CA1" wp14:editId="684EBE02">
            <wp:extent cx="9525" cy="9525"/>
            <wp:effectExtent l="0" t="0" r="0" b="0"/>
            <wp:docPr id="15" name="Picture 15" descr="next hit">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w:t>
      </w:r>
    </w:p>
  </w:footnote>
  <w:footnote w:id="9">
    <w:p w14:paraId="070F944F" w14:textId="77777777" w:rsidR="0052207C" w:rsidRDefault="0052207C" w:rsidP="0052207C">
      <w:pPr>
        <w:pStyle w:val="FootnoteText"/>
      </w:pPr>
      <w:r>
        <w:rPr>
          <w:rStyle w:val="FootnoteReference"/>
        </w:rPr>
        <w:footnoteRef/>
      </w:r>
      <w:r>
        <w:t xml:space="preserve"> Application for Review at 3-4.</w:t>
      </w:r>
    </w:p>
  </w:footnote>
  <w:footnote w:id="10">
    <w:p w14:paraId="7BB960E8" w14:textId="77777777" w:rsidR="0052207C" w:rsidRDefault="0052207C" w:rsidP="0052207C">
      <w:pPr>
        <w:pStyle w:val="FootnoteText"/>
      </w:pPr>
      <w:r>
        <w:rPr>
          <w:rStyle w:val="FootnoteReference"/>
        </w:rPr>
        <w:footnoteRef/>
      </w:r>
      <w:r>
        <w:t xml:space="preserve"> </w:t>
      </w:r>
      <w:r>
        <w:rPr>
          <w:i/>
        </w:rPr>
        <w:t>Id</w:t>
      </w:r>
      <w:r>
        <w:t>. at 2, 4-6.</w:t>
      </w:r>
    </w:p>
  </w:footnote>
  <w:footnote w:id="11">
    <w:p w14:paraId="11C79131" w14:textId="77777777" w:rsidR="0052207C" w:rsidRDefault="0052207C" w:rsidP="0052207C">
      <w:pPr>
        <w:pStyle w:val="FootnoteText"/>
      </w:pPr>
      <w:r>
        <w:rPr>
          <w:rStyle w:val="FootnoteReference"/>
        </w:rPr>
        <w:footnoteRef/>
      </w:r>
      <w:r>
        <w:t xml:space="preserve"> Opposition at 1-2.</w:t>
      </w:r>
    </w:p>
  </w:footnote>
  <w:footnote w:id="12">
    <w:p w14:paraId="3019CC0F" w14:textId="77777777" w:rsidR="0052207C" w:rsidRDefault="0052207C" w:rsidP="0052207C">
      <w:pPr>
        <w:pStyle w:val="FootnoteText"/>
      </w:pPr>
      <w:r>
        <w:rPr>
          <w:rStyle w:val="FootnoteReference"/>
        </w:rPr>
        <w:footnoteRef/>
      </w:r>
      <w:r>
        <w:t xml:space="preserve"> Opposition at 3-5 (citing</w:t>
      </w:r>
      <w:r w:rsidRPr="00706282">
        <w:rPr>
          <w:i/>
        </w:rPr>
        <w:t xml:space="preserve"> Edward A. Schober</w:t>
      </w:r>
      <w:r w:rsidRPr="00706282">
        <w:t>, Memorandum Opinion and Order, 23 FCC Rcd 14263 (2008)</w:t>
      </w:r>
      <w:r>
        <w:t>)</w:t>
      </w:r>
      <w:r w:rsidRPr="00706282">
        <w:t xml:space="preserve"> (</w:t>
      </w:r>
      <w:r>
        <w:rPr>
          <w:i/>
        </w:rPr>
        <w:t xml:space="preserve">2008 </w:t>
      </w:r>
      <w:r w:rsidRPr="00706282">
        <w:rPr>
          <w:i/>
        </w:rPr>
        <w:t>Schobe</w:t>
      </w:r>
      <w:r>
        <w:rPr>
          <w:i/>
        </w:rPr>
        <w:t>r Decision</w:t>
      </w:r>
      <w:r>
        <w:t>).</w:t>
      </w:r>
    </w:p>
  </w:footnote>
  <w:footnote w:id="13">
    <w:p w14:paraId="68B62B52" w14:textId="77777777" w:rsidR="0052207C" w:rsidRDefault="0052207C" w:rsidP="0052207C">
      <w:pPr>
        <w:pStyle w:val="FootnoteText"/>
      </w:pPr>
      <w:r>
        <w:rPr>
          <w:rStyle w:val="FootnoteReference"/>
        </w:rPr>
        <w:footnoteRef/>
      </w:r>
      <w:r>
        <w:t xml:space="preserve"> Reply at 1-2.</w:t>
      </w:r>
    </w:p>
  </w:footnote>
  <w:footnote w:id="14">
    <w:p w14:paraId="2FA8DAC2" w14:textId="77777777" w:rsidR="0052207C" w:rsidRDefault="0052207C" w:rsidP="0052207C">
      <w:pPr>
        <w:pStyle w:val="FootnoteText"/>
      </w:pPr>
      <w:r>
        <w:rPr>
          <w:rStyle w:val="FootnoteReference"/>
        </w:rPr>
        <w:footnoteRef/>
      </w:r>
      <w:r>
        <w:t xml:space="preserve"> </w:t>
      </w:r>
      <w:r>
        <w:rPr>
          <w:i/>
        </w:rPr>
        <w:t>Id</w:t>
      </w:r>
      <w:r>
        <w:t>. at 2.</w:t>
      </w:r>
    </w:p>
  </w:footnote>
  <w:footnote w:id="15">
    <w:p w14:paraId="7BDD0284" w14:textId="77777777" w:rsidR="0052207C" w:rsidRDefault="0052207C" w:rsidP="0052207C">
      <w:pPr>
        <w:pStyle w:val="FootnoteText"/>
      </w:pPr>
      <w:r>
        <w:rPr>
          <w:rStyle w:val="FootnoteReference"/>
        </w:rPr>
        <w:footnoteRef/>
      </w:r>
      <w:r>
        <w:t xml:space="preserve"> 47 CFR § 1.115(c).</w:t>
      </w:r>
    </w:p>
  </w:footnote>
  <w:footnote w:id="16">
    <w:p w14:paraId="68B66B13" w14:textId="7E197D22" w:rsidR="0052207C" w:rsidRPr="00B86BA4" w:rsidRDefault="0052207C" w:rsidP="0052207C">
      <w:pPr>
        <w:pStyle w:val="FootnoteText"/>
      </w:pPr>
      <w:r>
        <w:rPr>
          <w:rStyle w:val="FootnoteReference"/>
        </w:rPr>
        <w:footnoteRef/>
      </w:r>
      <w:r>
        <w:t xml:space="preserve"> </w:t>
      </w:r>
      <w:r w:rsidR="000711F6">
        <w:rPr>
          <w:i/>
        </w:rPr>
        <w:t>Reconsideration Decision</w:t>
      </w:r>
      <w:r w:rsidR="000711F6">
        <w:t xml:space="preserve"> at 3.</w:t>
      </w:r>
    </w:p>
  </w:footnote>
  <w:footnote w:id="17">
    <w:p w14:paraId="3936B21C" w14:textId="77777777" w:rsidR="0052207C" w:rsidRPr="0048182D" w:rsidRDefault="0052207C" w:rsidP="0052207C">
      <w:pPr>
        <w:pStyle w:val="FootnoteText"/>
      </w:pPr>
      <w:r>
        <w:rPr>
          <w:rStyle w:val="FootnoteReference"/>
        </w:rPr>
        <w:footnoteRef/>
      </w:r>
      <w:r>
        <w:t xml:space="preserve"> </w:t>
      </w:r>
      <w:r>
        <w:rPr>
          <w:i/>
        </w:rPr>
        <w:t>Christopher Falletti</w:t>
      </w:r>
      <w:r>
        <w:t>, Memorandum Opinion and Order, 30 FCC Rcd 827 (2015) (</w:t>
      </w:r>
      <w:r w:rsidRPr="0084251C">
        <w:rPr>
          <w:i/>
        </w:rPr>
        <w:t>Falletti</w:t>
      </w:r>
      <w:r>
        <w:t>).</w:t>
      </w:r>
    </w:p>
  </w:footnote>
  <w:footnote w:id="18">
    <w:p w14:paraId="025BBFD5" w14:textId="77777777" w:rsidR="0052207C" w:rsidRPr="00706282" w:rsidRDefault="0052207C" w:rsidP="0052207C">
      <w:pPr>
        <w:pStyle w:val="FootnoteText"/>
      </w:pPr>
      <w:r w:rsidRPr="00706282">
        <w:rPr>
          <w:rStyle w:val="FootnoteReference"/>
        </w:rPr>
        <w:footnoteRef/>
      </w:r>
      <w:r w:rsidRPr="00706282">
        <w:t xml:space="preserve"> </w:t>
      </w:r>
      <w:r>
        <w:rPr>
          <w:i/>
        </w:rPr>
        <w:t>Auction Order</w:t>
      </w:r>
      <w:r>
        <w:t>, 13 FCC Rcd</w:t>
      </w:r>
      <w:r>
        <w:rPr>
          <w:i/>
        </w:rPr>
        <w:t xml:space="preserve"> </w:t>
      </w:r>
      <w:r>
        <w:t>at 15986-87.</w:t>
      </w:r>
      <w:r w:rsidRPr="00706282">
        <w:t xml:space="preserve">  </w:t>
      </w:r>
    </w:p>
  </w:footnote>
  <w:footnote w:id="19">
    <w:p w14:paraId="14DAF1D3" w14:textId="77777777" w:rsidR="0052207C" w:rsidRDefault="0052207C" w:rsidP="0052207C">
      <w:pPr>
        <w:pStyle w:val="FootnoteText"/>
      </w:pPr>
      <w:r>
        <w:rPr>
          <w:rStyle w:val="FootnoteReference"/>
        </w:rPr>
        <w:footnoteRef/>
      </w:r>
      <w:r>
        <w:t xml:space="preserve"> </w:t>
      </w:r>
      <w:r w:rsidRPr="00706282">
        <w:t xml:space="preserve">47 </w:t>
      </w:r>
      <w:r>
        <w:t>CFR</w:t>
      </w:r>
      <w:r w:rsidRPr="00706282">
        <w:t xml:space="preserve"> § 73.3522(a)(2)</w:t>
      </w:r>
    </w:p>
  </w:footnote>
  <w:footnote w:id="20">
    <w:p w14:paraId="2E7BDBE9" w14:textId="4E481E10" w:rsidR="0052207C" w:rsidRPr="00A30A49" w:rsidRDefault="0052207C" w:rsidP="0052207C">
      <w:pPr>
        <w:pStyle w:val="FootnoteText"/>
      </w:pPr>
      <w:r>
        <w:rPr>
          <w:rStyle w:val="FootnoteReference"/>
        </w:rPr>
        <w:footnoteRef/>
      </w:r>
      <w:r>
        <w:t xml:space="preserve"> </w:t>
      </w:r>
      <w:r w:rsidR="000711F6">
        <w:t xml:space="preserve">To the extent that the Instructions to FCC Forms 301 and 349 do not reflect our holding in </w:t>
      </w:r>
      <w:r w:rsidR="000711F6">
        <w:rPr>
          <w:i/>
        </w:rPr>
        <w:t>Falletti</w:t>
      </w:r>
      <w:r w:rsidR="000711F6">
        <w:t xml:space="preserve">, we direct the Bureau to modify the relevant language as necessary when these forms are transitioned to </w:t>
      </w:r>
      <w:r w:rsidR="00A30A49">
        <w:t>the new License and Management System (</w:t>
      </w:r>
      <w:r w:rsidR="000711F6">
        <w:t>LMS</w:t>
      </w:r>
      <w:r w:rsidR="00A30A49">
        <w:t>)</w:t>
      </w:r>
      <w:r w:rsidR="000711F6">
        <w:t>.</w:t>
      </w:r>
      <w:r w:rsidR="00A30A49">
        <w:t xml:space="preserve">  </w:t>
      </w:r>
      <w:r w:rsidR="00A30A49">
        <w:rPr>
          <w:i/>
        </w:rPr>
        <w:t>See generally, Media Bureau Announces Completion of First Phase of Licensing and Management System for Full Power TV Stations</w:t>
      </w:r>
      <w:r w:rsidR="00A30A49">
        <w:t>, Public Notice, 29 FCC Rcd 11585 (MB 2014).</w:t>
      </w:r>
    </w:p>
  </w:footnote>
  <w:footnote w:id="21">
    <w:p w14:paraId="60B04339" w14:textId="77777777" w:rsidR="0052207C" w:rsidRPr="00645EED" w:rsidRDefault="0052207C" w:rsidP="0052207C">
      <w:pPr>
        <w:pStyle w:val="FootnoteText"/>
      </w:pPr>
      <w:r>
        <w:rPr>
          <w:rStyle w:val="FootnoteReference"/>
        </w:rPr>
        <w:footnoteRef/>
      </w:r>
      <w:r>
        <w:t xml:space="preserve"> </w:t>
      </w:r>
      <w:r>
        <w:rPr>
          <w:i/>
        </w:rPr>
        <w:t xml:space="preserve">Falletti, </w:t>
      </w:r>
      <w:r>
        <w:t>30 FCC Rcd at 831.</w:t>
      </w:r>
    </w:p>
  </w:footnote>
  <w:footnote w:id="22">
    <w:p w14:paraId="650FC9C8" w14:textId="77777777" w:rsidR="0052207C" w:rsidRPr="00DD7C45" w:rsidRDefault="0052207C" w:rsidP="0052207C">
      <w:pPr>
        <w:pStyle w:val="FootnoteText"/>
      </w:pPr>
      <w:r>
        <w:rPr>
          <w:rStyle w:val="FootnoteReference"/>
        </w:rPr>
        <w:footnoteRef/>
      </w:r>
      <w:r>
        <w:t xml:space="preserve"> We note that Schober was granted tolling based on administrative review on December 10, 2007.  </w:t>
      </w:r>
      <w:r>
        <w:rPr>
          <w:i/>
        </w:rPr>
        <w:t>Edward A. Schober</w:t>
      </w:r>
      <w:r>
        <w:t>, Letter, Ref. No. 1800B3-IB (MB Dec. 10, 2007).  At the time tolling was granted, there were tw</w:t>
      </w:r>
      <w:r w:rsidRPr="008B515F">
        <w:t xml:space="preserve">o months and five days remaining before expiration of the Construction Permit.  </w:t>
      </w:r>
      <w:r w:rsidRPr="008B515F">
        <w:rPr>
          <w:i/>
        </w:rPr>
        <w:t>Id</w:t>
      </w:r>
      <w:r w:rsidRPr="008B515F">
        <w:t xml:space="preserve">.  </w:t>
      </w:r>
      <w:r>
        <w:t xml:space="preserve">When tolling ends, the expiration date will be modified to reflect this remaining time on the Construction Permit, unless Schober requests and receives further tolling. </w:t>
      </w:r>
    </w:p>
  </w:footnote>
  <w:footnote w:id="23">
    <w:p w14:paraId="29BCE2F6" w14:textId="77777777" w:rsidR="0052207C" w:rsidRPr="00706282" w:rsidRDefault="0052207C" w:rsidP="0052207C">
      <w:pPr>
        <w:pStyle w:val="FootnoteText"/>
      </w:pPr>
      <w:r w:rsidRPr="00706282">
        <w:rPr>
          <w:rStyle w:val="FootnoteReference"/>
        </w:rPr>
        <w:footnoteRef/>
      </w:r>
      <w:r w:rsidRPr="00706282">
        <w:t xml:space="preserve"> 47 U.S.C. § 155(c)(5).</w:t>
      </w:r>
    </w:p>
  </w:footnote>
  <w:footnote w:id="24">
    <w:p w14:paraId="4E5BC105" w14:textId="77777777" w:rsidR="0052207C" w:rsidRPr="00706282" w:rsidRDefault="0052207C" w:rsidP="0052207C">
      <w:pPr>
        <w:pStyle w:val="FootnoteText"/>
      </w:pPr>
      <w:r w:rsidRPr="00706282">
        <w:rPr>
          <w:rStyle w:val="FootnoteReference"/>
        </w:rPr>
        <w:footnoteRef/>
      </w:r>
      <w:r w:rsidRPr="00706282">
        <w:t xml:space="preserve"> 47 </w:t>
      </w:r>
      <w:r>
        <w:t>CFR</w:t>
      </w:r>
      <w:r w:rsidRPr="00706282">
        <w:t xml:space="preserve"> § 1.115</w:t>
      </w:r>
      <w:r>
        <w:t>(c),</w:t>
      </w:r>
      <w:r w:rsidRPr="00706282">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D205" w14:textId="77777777" w:rsidR="004A385D" w:rsidRDefault="004A3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749A" w14:textId="107640F4" w:rsidR="00655696" w:rsidRDefault="00655696" w:rsidP="00810B6F">
    <w:pPr>
      <w:pStyle w:val="Header"/>
      <w:rPr>
        <w:b w:val="0"/>
      </w:rPr>
    </w:pPr>
    <w:r>
      <w:tab/>
      <w:t>Federal Communications Commission</w:t>
    </w:r>
    <w:r>
      <w:tab/>
    </w:r>
    <w:r w:rsidR="00CB67D7">
      <w:t xml:space="preserve">FCC </w:t>
    </w:r>
    <w:r w:rsidR="007F6B9D">
      <w:t>16-50</w:t>
    </w:r>
  </w:p>
  <w:p w14:paraId="43351921" w14:textId="77777777" w:rsidR="00655696" w:rsidRDefault="0065569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02B30E9" wp14:editId="7727D2B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E7AF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79EF" w14:textId="777934F6" w:rsidR="00655696" w:rsidRDefault="00655696" w:rsidP="00810B6F">
    <w:pPr>
      <w:pStyle w:val="Header"/>
      <w:rPr>
        <w:b w:val="0"/>
      </w:rPr>
    </w:pPr>
    <w:r>
      <w:rPr>
        <w:noProof/>
      </w:rPr>
      <mc:AlternateContent>
        <mc:Choice Requires="wps">
          <w:drawing>
            <wp:anchor distT="0" distB="0" distL="114300" distR="114300" simplePos="0" relativeHeight="251658240" behindDoc="1" locked="0" layoutInCell="0" allowOverlap="1" wp14:anchorId="141BAB0E" wp14:editId="047DE59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36E2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84772B">
      <w:rPr>
        <w:spacing w:val="-2"/>
      </w:rPr>
      <w:t xml:space="preserve">FCC </w:t>
    </w:r>
    <w:r w:rsidR="007F6B9D">
      <w:rPr>
        <w:spacing w:val="-2"/>
      </w:rPr>
      <w:t>16-50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5"/>
    <w:rsid w:val="0000381C"/>
    <w:rsid w:val="000042FE"/>
    <w:rsid w:val="0001294A"/>
    <w:rsid w:val="00014290"/>
    <w:rsid w:val="000143FC"/>
    <w:rsid w:val="000170F2"/>
    <w:rsid w:val="0003017B"/>
    <w:rsid w:val="00030193"/>
    <w:rsid w:val="00032CC6"/>
    <w:rsid w:val="00035F6B"/>
    <w:rsid w:val="00036039"/>
    <w:rsid w:val="00037F90"/>
    <w:rsid w:val="00042EB8"/>
    <w:rsid w:val="00052FF2"/>
    <w:rsid w:val="00055AC7"/>
    <w:rsid w:val="000571EB"/>
    <w:rsid w:val="00060A22"/>
    <w:rsid w:val="00062F8C"/>
    <w:rsid w:val="00070E66"/>
    <w:rsid w:val="000711F6"/>
    <w:rsid w:val="000712A4"/>
    <w:rsid w:val="00071473"/>
    <w:rsid w:val="00074B35"/>
    <w:rsid w:val="000810C9"/>
    <w:rsid w:val="00085282"/>
    <w:rsid w:val="000875BF"/>
    <w:rsid w:val="00096D8C"/>
    <w:rsid w:val="000A7289"/>
    <w:rsid w:val="000B3B6B"/>
    <w:rsid w:val="000B61AA"/>
    <w:rsid w:val="000B7CDE"/>
    <w:rsid w:val="000C0B65"/>
    <w:rsid w:val="000C0EFB"/>
    <w:rsid w:val="000C2AD6"/>
    <w:rsid w:val="000C6822"/>
    <w:rsid w:val="000E004F"/>
    <w:rsid w:val="000E05FE"/>
    <w:rsid w:val="000E0E26"/>
    <w:rsid w:val="000E3D42"/>
    <w:rsid w:val="000E7786"/>
    <w:rsid w:val="000F59B8"/>
    <w:rsid w:val="0010720D"/>
    <w:rsid w:val="00113B3B"/>
    <w:rsid w:val="00113FEF"/>
    <w:rsid w:val="001141FA"/>
    <w:rsid w:val="00122BD5"/>
    <w:rsid w:val="00133F79"/>
    <w:rsid w:val="00136210"/>
    <w:rsid w:val="00136577"/>
    <w:rsid w:val="00145186"/>
    <w:rsid w:val="00147C22"/>
    <w:rsid w:val="00173A26"/>
    <w:rsid w:val="00176B4F"/>
    <w:rsid w:val="00177AFD"/>
    <w:rsid w:val="00183510"/>
    <w:rsid w:val="00191F7A"/>
    <w:rsid w:val="00194A66"/>
    <w:rsid w:val="00195602"/>
    <w:rsid w:val="00195B31"/>
    <w:rsid w:val="001969B4"/>
    <w:rsid w:val="001A4B71"/>
    <w:rsid w:val="001A7F6A"/>
    <w:rsid w:val="001B1F54"/>
    <w:rsid w:val="001C30BA"/>
    <w:rsid w:val="001C541E"/>
    <w:rsid w:val="001D3966"/>
    <w:rsid w:val="001D4CDF"/>
    <w:rsid w:val="001D6BCF"/>
    <w:rsid w:val="001D6FEC"/>
    <w:rsid w:val="001E01CA"/>
    <w:rsid w:val="001E0D3F"/>
    <w:rsid w:val="001E2AEE"/>
    <w:rsid w:val="001E2D53"/>
    <w:rsid w:val="00202793"/>
    <w:rsid w:val="00203A0B"/>
    <w:rsid w:val="002046FA"/>
    <w:rsid w:val="00220EAD"/>
    <w:rsid w:val="00221CA2"/>
    <w:rsid w:val="00223A87"/>
    <w:rsid w:val="00226E6E"/>
    <w:rsid w:val="00236407"/>
    <w:rsid w:val="00242848"/>
    <w:rsid w:val="00244333"/>
    <w:rsid w:val="002526F9"/>
    <w:rsid w:val="00261274"/>
    <w:rsid w:val="00275CF5"/>
    <w:rsid w:val="0028301F"/>
    <w:rsid w:val="00285017"/>
    <w:rsid w:val="0028692A"/>
    <w:rsid w:val="00287C0A"/>
    <w:rsid w:val="0029171B"/>
    <w:rsid w:val="0029540C"/>
    <w:rsid w:val="002A2D2E"/>
    <w:rsid w:val="002B292B"/>
    <w:rsid w:val="002B5623"/>
    <w:rsid w:val="002C00E8"/>
    <w:rsid w:val="002C3D79"/>
    <w:rsid w:val="002D0FF4"/>
    <w:rsid w:val="002D4E47"/>
    <w:rsid w:val="002E4938"/>
    <w:rsid w:val="002E4FC0"/>
    <w:rsid w:val="002E6305"/>
    <w:rsid w:val="002F0A21"/>
    <w:rsid w:val="002F0BA6"/>
    <w:rsid w:val="002F6C43"/>
    <w:rsid w:val="00301228"/>
    <w:rsid w:val="00307DA6"/>
    <w:rsid w:val="0031021B"/>
    <w:rsid w:val="003104B0"/>
    <w:rsid w:val="0031075C"/>
    <w:rsid w:val="003118C4"/>
    <w:rsid w:val="0031682F"/>
    <w:rsid w:val="003210BF"/>
    <w:rsid w:val="00321142"/>
    <w:rsid w:val="003232D5"/>
    <w:rsid w:val="0032611B"/>
    <w:rsid w:val="00343749"/>
    <w:rsid w:val="0034390F"/>
    <w:rsid w:val="003540D2"/>
    <w:rsid w:val="00364DDB"/>
    <w:rsid w:val="003660ED"/>
    <w:rsid w:val="00366372"/>
    <w:rsid w:val="00370DB2"/>
    <w:rsid w:val="00374F47"/>
    <w:rsid w:val="0037798C"/>
    <w:rsid w:val="003833D4"/>
    <w:rsid w:val="00384B95"/>
    <w:rsid w:val="0038591D"/>
    <w:rsid w:val="00385E07"/>
    <w:rsid w:val="0039176A"/>
    <w:rsid w:val="00397390"/>
    <w:rsid w:val="003A3CD4"/>
    <w:rsid w:val="003A69D0"/>
    <w:rsid w:val="003B0550"/>
    <w:rsid w:val="003B155F"/>
    <w:rsid w:val="003B694F"/>
    <w:rsid w:val="003B75E1"/>
    <w:rsid w:val="003C09D4"/>
    <w:rsid w:val="003C4DB0"/>
    <w:rsid w:val="003C71D7"/>
    <w:rsid w:val="003D02EA"/>
    <w:rsid w:val="003E1BBB"/>
    <w:rsid w:val="003E3330"/>
    <w:rsid w:val="003F171C"/>
    <w:rsid w:val="003F3449"/>
    <w:rsid w:val="003F3735"/>
    <w:rsid w:val="00406F56"/>
    <w:rsid w:val="00411DAE"/>
    <w:rsid w:val="00412FC5"/>
    <w:rsid w:val="00420C49"/>
    <w:rsid w:val="00422276"/>
    <w:rsid w:val="0042264A"/>
    <w:rsid w:val="00423FB7"/>
    <w:rsid w:val="004242F1"/>
    <w:rsid w:val="004349F2"/>
    <w:rsid w:val="004401D8"/>
    <w:rsid w:val="0044308F"/>
    <w:rsid w:val="004449DD"/>
    <w:rsid w:val="00445A00"/>
    <w:rsid w:val="00451B0F"/>
    <w:rsid w:val="004562FF"/>
    <w:rsid w:val="00471D51"/>
    <w:rsid w:val="0048182D"/>
    <w:rsid w:val="00484EB1"/>
    <w:rsid w:val="004A385D"/>
    <w:rsid w:val="004A5AFC"/>
    <w:rsid w:val="004A6984"/>
    <w:rsid w:val="004A6EE9"/>
    <w:rsid w:val="004B3BA8"/>
    <w:rsid w:val="004B43EC"/>
    <w:rsid w:val="004B526E"/>
    <w:rsid w:val="004C2EE3"/>
    <w:rsid w:val="004C7950"/>
    <w:rsid w:val="004D1BD1"/>
    <w:rsid w:val="004D1CD5"/>
    <w:rsid w:val="004D5469"/>
    <w:rsid w:val="004D6F25"/>
    <w:rsid w:val="004E4A22"/>
    <w:rsid w:val="004F1376"/>
    <w:rsid w:val="004F1553"/>
    <w:rsid w:val="004F44D5"/>
    <w:rsid w:val="00502B26"/>
    <w:rsid w:val="005034AB"/>
    <w:rsid w:val="00505EE8"/>
    <w:rsid w:val="00511968"/>
    <w:rsid w:val="00512A20"/>
    <w:rsid w:val="00515644"/>
    <w:rsid w:val="0051705E"/>
    <w:rsid w:val="005203CB"/>
    <w:rsid w:val="005217E9"/>
    <w:rsid w:val="00522014"/>
    <w:rsid w:val="0052207C"/>
    <w:rsid w:val="00525210"/>
    <w:rsid w:val="00536B6E"/>
    <w:rsid w:val="005557A0"/>
    <w:rsid w:val="0055614C"/>
    <w:rsid w:val="00560B56"/>
    <w:rsid w:val="00562E14"/>
    <w:rsid w:val="005643EF"/>
    <w:rsid w:val="005653E6"/>
    <w:rsid w:val="00571FA0"/>
    <w:rsid w:val="005808E2"/>
    <w:rsid w:val="00583550"/>
    <w:rsid w:val="0058538F"/>
    <w:rsid w:val="00597C23"/>
    <w:rsid w:val="00597E74"/>
    <w:rsid w:val="005B39A9"/>
    <w:rsid w:val="005C0A5D"/>
    <w:rsid w:val="005C470F"/>
    <w:rsid w:val="005C47A3"/>
    <w:rsid w:val="005C5B07"/>
    <w:rsid w:val="005C73DE"/>
    <w:rsid w:val="005D704B"/>
    <w:rsid w:val="005E0FBC"/>
    <w:rsid w:val="005E112B"/>
    <w:rsid w:val="005E14C2"/>
    <w:rsid w:val="005F1117"/>
    <w:rsid w:val="005F4A9A"/>
    <w:rsid w:val="006013C0"/>
    <w:rsid w:val="006013EB"/>
    <w:rsid w:val="00604035"/>
    <w:rsid w:val="0060549F"/>
    <w:rsid w:val="00607BA5"/>
    <w:rsid w:val="0061180A"/>
    <w:rsid w:val="00613257"/>
    <w:rsid w:val="0061520D"/>
    <w:rsid w:val="00623DBE"/>
    <w:rsid w:val="006263BA"/>
    <w:rsid w:val="00626EB6"/>
    <w:rsid w:val="00627683"/>
    <w:rsid w:val="00635215"/>
    <w:rsid w:val="00640E67"/>
    <w:rsid w:val="0064627C"/>
    <w:rsid w:val="006501AB"/>
    <w:rsid w:val="00655696"/>
    <w:rsid w:val="00655D03"/>
    <w:rsid w:val="00657CF8"/>
    <w:rsid w:val="0066266C"/>
    <w:rsid w:val="006640F1"/>
    <w:rsid w:val="006709FF"/>
    <w:rsid w:val="00670D67"/>
    <w:rsid w:val="0067379F"/>
    <w:rsid w:val="0067782A"/>
    <w:rsid w:val="0068089F"/>
    <w:rsid w:val="00683388"/>
    <w:rsid w:val="00683F84"/>
    <w:rsid w:val="006A28A8"/>
    <w:rsid w:val="006A5924"/>
    <w:rsid w:val="006A6A81"/>
    <w:rsid w:val="006B30EF"/>
    <w:rsid w:val="006C256C"/>
    <w:rsid w:val="006C6DB6"/>
    <w:rsid w:val="006C78ED"/>
    <w:rsid w:val="006D418D"/>
    <w:rsid w:val="006E1D53"/>
    <w:rsid w:val="006F13FC"/>
    <w:rsid w:val="006F7393"/>
    <w:rsid w:val="0070224F"/>
    <w:rsid w:val="00706282"/>
    <w:rsid w:val="00707440"/>
    <w:rsid w:val="00707486"/>
    <w:rsid w:val="00710678"/>
    <w:rsid w:val="007115F7"/>
    <w:rsid w:val="00711F2C"/>
    <w:rsid w:val="00712E3C"/>
    <w:rsid w:val="00714601"/>
    <w:rsid w:val="00715414"/>
    <w:rsid w:val="00717D64"/>
    <w:rsid w:val="007229D8"/>
    <w:rsid w:val="00730130"/>
    <w:rsid w:val="00730754"/>
    <w:rsid w:val="00730FC9"/>
    <w:rsid w:val="007333DA"/>
    <w:rsid w:val="007406B4"/>
    <w:rsid w:val="00741803"/>
    <w:rsid w:val="007562A8"/>
    <w:rsid w:val="00760179"/>
    <w:rsid w:val="0076299B"/>
    <w:rsid w:val="0076359A"/>
    <w:rsid w:val="0076488F"/>
    <w:rsid w:val="00765095"/>
    <w:rsid w:val="00765C13"/>
    <w:rsid w:val="0077324C"/>
    <w:rsid w:val="00775A7C"/>
    <w:rsid w:val="00784C3F"/>
    <w:rsid w:val="00785689"/>
    <w:rsid w:val="0078651C"/>
    <w:rsid w:val="0079754B"/>
    <w:rsid w:val="007A1D80"/>
    <w:rsid w:val="007A1E6D"/>
    <w:rsid w:val="007A5307"/>
    <w:rsid w:val="007A5FF4"/>
    <w:rsid w:val="007A7BA1"/>
    <w:rsid w:val="007B0EB2"/>
    <w:rsid w:val="007B2F4F"/>
    <w:rsid w:val="007B7C7E"/>
    <w:rsid w:val="007C0A66"/>
    <w:rsid w:val="007C17C5"/>
    <w:rsid w:val="007D192C"/>
    <w:rsid w:val="007E5E11"/>
    <w:rsid w:val="007F1E3F"/>
    <w:rsid w:val="007F5D3C"/>
    <w:rsid w:val="007F6B9D"/>
    <w:rsid w:val="00801BA6"/>
    <w:rsid w:val="008060F4"/>
    <w:rsid w:val="00810B6F"/>
    <w:rsid w:val="00811C7B"/>
    <w:rsid w:val="008131BE"/>
    <w:rsid w:val="00822CE0"/>
    <w:rsid w:val="00840A35"/>
    <w:rsid w:val="008416F2"/>
    <w:rsid w:val="00841AB1"/>
    <w:rsid w:val="00843462"/>
    <w:rsid w:val="0084772B"/>
    <w:rsid w:val="0084783B"/>
    <w:rsid w:val="00853968"/>
    <w:rsid w:val="00861978"/>
    <w:rsid w:val="00864A00"/>
    <w:rsid w:val="0087715D"/>
    <w:rsid w:val="008909FC"/>
    <w:rsid w:val="00897CCE"/>
    <w:rsid w:val="008A0E24"/>
    <w:rsid w:val="008A61D0"/>
    <w:rsid w:val="008B2459"/>
    <w:rsid w:val="008B3EF8"/>
    <w:rsid w:val="008B488D"/>
    <w:rsid w:val="008B515F"/>
    <w:rsid w:val="008C1585"/>
    <w:rsid w:val="008C2419"/>
    <w:rsid w:val="008C4D15"/>
    <w:rsid w:val="008C68F1"/>
    <w:rsid w:val="008D2166"/>
    <w:rsid w:val="008D3035"/>
    <w:rsid w:val="008D57C1"/>
    <w:rsid w:val="008D7763"/>
    <w:rsid w:val="008D77F4"/>
    <w:rsid w:val="008E0BE4"/>
    <w:rsid w:val="008E1739"/>
    <w:rsid w:val="008E43C4"/>
    <w:rsid w:val="008F54CB"/>
    <w:rsid w:val="008F626D"/>
    <w:rsid w:val="00901008"/>
    <w:rsid w:val="009049E8"/>
    <w:rsid w:val="00907011"/>
    <w:rsid w:val="00911BE4"/>
    <w:rsid w:val="0091381B"/>
    <w:rsid w:val="00914CAB"/>
    <w:rsid w:val="00916FD0"/>
    <w:rsid w:val="00921803"/>
    <w:rsid w:val="00922071"/>
    <w:rsid w:val="009246B3"/>
    <w:rsid w:val="0092507A"/>
    <w:rsid w:val="0092558F"/>
    <w:rsid w:val="00925EC2"/>
    <w:rsid w:val="00926503"/>
    <w:rsid w:val="00932CA9"/>
    <w:rsid w:val="00932D40"/>
    <w:rsid w:val="00937B2B"/>
    <w:rsid w:val="00944B1A"/>
    <w:rsid w:val="009459D7"/>
    <w:rsid w:val="00946D69"/>
    <w:rsid w:val="009479D1"/>
    <w:rsid w:val="00953357"/>
    <w:rsid w:val="009537AA"/>
    <w:rsid w:val="0096477D"/>
    <w:rsid w:val="00966A79"/>
    <w:rsid w:val="0097066D"/>
    <w:rsid w:val="009726D8"/>
    <w:rsid w:val="00974D07"/>
    <w:rsid w:val="00976AB0"/>
    <w:rsid w:val="00983288"/>
    <w:rsid w:val="00992D91"/>
    <w:rsid w:val="009B2999"/>
    <w:rsid w:val="009C5023"/>
    <w:rsid w:val="009C785F"/>
    <w:rsid w:val="009D0075"/>
    <w:rsid w:val="009D4EDB"/>
    <w:rsid w:val="009E302B"/>
    <w:rsid w:val="009E3D02"/>
    <w:rsid w:val="009F2208"/>
    <w:rsid w:val="009F76DB"/>
    <w:rsid w:val="009F776D"/>
    <w:rsid w:val="009F7E45"/>
    <w:rsid w:val="00A05227"/>
    <w:rsid w:val="00A05233"/>
    <w:rsid w:val="00A14015"/>
    <w:rsid w:val="00A1585C"/>
    <w:rsid w:val="00A15912"/>
    <w:rsid w:val="00A21486"/>
    <w:rsid w:val="00A2374F"/>
    <w:rsid w:val="00A23E5B"/>
    <w:rsid w:val="00A23FED"/>
    <w:rsid w:val="00A2771E"/>
    <w:rsid w:val="00A30A49"/>
    <w:rsid w:val="00A32C3B"/>
    <w:rsid w:val="00A33519"/>
    <w:rsid w:val="00A414E2"/>
    <w:rsid w:val="00A433CF"/>
    <w:rsid w:val="00A45F4F"/>
    <w:rsid w:val="00A467E7"/>
    <w:rsid w:val="00A510E4"/>
    <w:rsid w:val="00A54D5A"/>
    <w:rsid w:val="00A600A9"/>
    <w:rsid w:val="00A60115"/>
    <w:rsid w:val="00A647DF"/>
    <w:rsid w:val="00A676A8"/>
    <w:rsid w:val="00A7126F"/>
    <w:rsid w:val="00A721FE"/>
    <w:rsid w:val="00A73B2A"/>
    <w:rsid w:val="00A757A5"/>
    <w:rsid w:val="00A80D06"/>
    <w:rsid w:val="00A81C34"/>
    <w:rsid w:val="00A81DA6"/>
    <w:rsid w:val="00A82B10"/>
    <w:rsid w:val="00A85119"/>
    <w:rsid w:val="00A90361"/>
    <w:rsid w:val="00A930B5"/>
    <w:rsid w:val="00AA0445"/>
    <w:rsid w:val="00AA1A7F"/>
    <w:rsid w:val="00AA26B8"/>
    <w:rsid w:val="00AA491F"/>
    <w:rsid w:val="00AA55B7"/>
    <w:rsid w:val="00AA5694"/>
    <w:rsid w:val="00AA5B9E"/>
    <w:rsid w:val="00AA5E70"/>
    <w:rsid w:val="00AA6B63"/>
    <w:rsid w:val="00AB0606"/>
    <w:rsid w:val="00AB2407"/>
    <w:rsid w:val="00AB53DF"/>
    <w:rsid w:val="00AB727B"/>
    <w:rsid w:val="00AB74BD"/>
    <w:rsid w:val="00AC51D2"/>
    <w:rsid w:val="00AC5CEE"/>
    <w:rsid w:val="00AD39FE"/>
    <w:rsid w:val="00AE1FF0"/>
    <w:rsid w:val="00AE2643"/>
    <w:rsid w:val="00AE416C"/>
    <w:rsid w:val="00AF01B3"/>
    <w:rsid w:val="00AF3824"/>
    <w:rsid w:val="00AF4B69"/>
    <w:rsid w:val="00AF7C87"/>
    <w:rsid w:val="00B035BF"/>
    <w:rsid w:val="00B044B2"/>
    <w:rsid w:val="00B0612D"/>
    <w:rsid w:val="00B0642D"/>
    <w:rsid w:val="00B07E5C"/>
    <w:rsid w:val="00B12E51"/>
    <w:rsid w:val="00B227D4"/>
    <w:rsid w:val="00B22916"/>
    <w:rsid w:val="00B27B62"/>
    <w:rsid w:val="00B3612E"/>
    <w:rsid w:val="00B51273"/>
    <w:rsid w:val="00B52CA1"/>
    <w:rsid w:val="00B52E1D"/>
    <w:rsid w:val="00B53A5D"/>
    <w:rsid w:val="00B54D57"/>
    <w:rsid w:val="00B55F15"/>
    <w:rsid w:val="00B56E3F"/>
    <w:rsid w:val="00B624C9"/>
    <w:rsid w:val="00B67CB6"/>
    <w:rsid w:val="00B811F7"/>
    <w:rsid w:val="00B81E9A"/>
    <w:rsid w:val="00B85258"/>
    <w:rsid w:val="00B85826"/>
    <w:rsid w:val="00B85EE3"/>
    <w:rsid w:val="00B86BA4"/>
    <w:rsid w:val="00B9370E"/>
    <w:rsid w:val="00BA0D02"/>
    <w:rsid w:val="00BA15BD"/>
    <w:rsid w:val="00BA4283"/>
    <w:rsid w:val="00BA502A"/>
    <w:rsid w:val="00BA5DC6"/>
    <w:rsid w:val="00BA6196"/>
    <w:rsid w:val="00BC6D8C"/>
    <w:rsid w:val="00BC7186"/>
    <w:rsid w:val="00BD3523"/>
    <w:rsid w:val="00BD5A40"/>
    <w:rsid w:val="00BD7213"/>
    <w:rsid w:val="00BE0019"/>
    <w:rsid w:val="00BF12D2"/>
    <w:rsid w:val="00BF6958"/>
    <w:rsid w:val="00C063FE"/>
    <w:rsid w:val="00C13AE2"/>
    <w:rsid w:val="00C22806"/>
    <w:rsid w:val="00C22E7B"/>
    <w:rsid w:val="00C24D51"/>
    <w:rsid w:val="00C34006"/>
    <w:rsid w:val="00C35227"/>
    <w:rsid w:val="00C35E39"/>
    <w:rsid w:val="00C426B1"/>
    <w:rsid w:val="00C43FC1"/>
    <w:rsid w:val="00C47BEA"/>
    <w:rsid w:val="00C66160"/>
    <w:rsid w:val="00C6666A"/>
    <w:rsid w:val="00C721AC"/>
    <w:rsid w:val="00C7570D"/>
    <w:rsid w:val="00C80586"/>
    <w:rsid w:val="00C8309B"/>
    <w:rsid w:val="00C83A2C"/>
    <w:rsid w:val="00C85430"/>
    <w:rsid w:val="00C90D6A"/>
    <w:rsid w:val="00CA015A"/>
    <w:rsid w:val="00CA247E"/>
    <w:rsid w:val="00CA36F1"/>
    <w:rsid w:val="00CB43FC"/>
    <w:rsid w:val="00CB5C32"/>
    <w:rsid w:val="00CB67D7"/>
    <w:rsid w:val="00CB69FF"/>
    <w:rsid w:val="00CC30E5"/>
    <w:rsid w:val="00CC4184"/>
    <w:rsid w:val="00CC72B6"/>
    <w:rsid w:val="00CE0740"/>
    <w:rsid w:val="00CE2839"/>
    <w:rsid w:val="00CE4A11"/>
    <w:rsid w:val="00D00A78"/>
    <w:rsid w:val="00D00FF5"/>
    <w:rsid w:val="00D0218D"/>
    <w:rsid w:val="00D0663A"/>
    <w:rsid w:val="00D177E5"/>
    <w:rsid w:val="00D202A8"/>
    <w:rsid w:val="00D25FB5"/>
    <w:rsid w:val="00D266AB"/>
    <w:rsid w:val="00D371B9"/>
    <w:rsid w:val="00D423F5"/>
    <w:rsid w:val="00D441C4"/>
    <w:rsid w:val="00D441D3"/>
    <w:rsid w:val="00D44223"/>
    <w:rsid w:val="00D45162"/>
    <w:rsid w:val="00D47786"/>
    <w:rsid w:val="00D531BC"/>
    <w:rsid w:val="00D53410"/>
    <w:rsid w:val="00D5369D"/>
    <w:rsid w:val="00D662EF"/>
    <w:rsid w:val="00D67A83"/>
    <w:rsid w:val="00D7074C"/>
    <w:rsid w:val="00D75872"/>
    <w:rsid w:val="00D7687E"/>
    <w:rsid w:val="00D81DE0"/>
    <w:rsid w:val="00D824B8"/>
    <w:rsid w:val="00D826E2"/>
    <w:rsid w:val="00D865CF"/>
    <w:rsid w:val="00D93127"/>
    <w:rsid w:val="00DA2529"/>
    <w:rsid w:val="00DA3B58"/>
    <w:rsid w:val="00DA503B"/>
    <w:rsid w:val="00DA64D4"/>
    <w:rsid w:val="00DB130A"/>
    <w:rsid w:val="00DB2EBB"/>
    <w:rsid w:val="00DB7C02"/>
    <w:rsid w:val="00DC10A1"/>
    <w:rsid w:val="00DC31FB"/>
    <w:rsid w:val="00DC45E5"/>
    <w:rsid w:val="00DC655F"/>
    <w:rsid w:val="00DC7F2D"/>
    <w:rsid w:val="00DD0B59"/>
    <w:rsid w:val="00DD31F2"/>
    <w:rsid w:val="00DD46EA"/>
    <w:rsid w:val="00DD5F32"/>
    <w:rsid w:val="00DD6156"/>
    <w:rsid w:val="00DD6CBD"/>
    <w:rsid w:val="00DD7C45"/>
    <w:rsid w:val="00DD7EBD"/>
    <w:rsid w:val="00DE1200"/>
    <w:rsid w:val="00DE42C0"/>
    <w:rsid w:val="00DF6186"/>
    <w:rsid w:val="00DF62B6"/>
    <w:rsid w:val="00E07225"/>
    <w:rsid w:val="00E12080"/>
    <w:rsid w:val="00E1427A"/>
    <w:rsid w:val="00E16333"/>
    <w:rsid w:val="00E17DA4"/>
    <w:rsid w:val="00E2773E"/>
    <w:rsid w:val="00E36556"/>
    <w:rsid w:val="00E37D60"/>
    <w:rsid w:val="00E50784"/>
    <w:rsid w:val="00E5409F"/>
    <w:rsid w:val="00E56D0F"/>
    <w:rsid w:val="00E63026"/>
    <w:rsid w:val="00E66991"/>
    <w:rsid w:val="00E70BC1"/>
    <w:rsid w:val="00E7257F"/>
    <w:rsid w:val="00E87F69"/>
    <w:rsid w:val="00E90F63"/>
    <w:rsid w:val="00E917EE"/>
    <w:rsid w:val="00E9562B"/>
    <w:rsid w:val="00E9783E"/>
    <w:rsid w:val="00EA5290"/>
    <w:rsid w:val="00EA5D3F"/>
    <w:rsid w:val="00EA77CE"/>
    <w:rsid w:val="00EB725C"/>
    <w:rsid w:val="00EC0844"/>
    <w:rsid w:val="00EC2BEF"/>
    <w:rsid w:val="00ED3094"/>
    <w:rsid w:val="00EE6488"/>
    <w:rsid w:val="00EE65E7"/>
    <w:rsid w:val="00F00878"/>
    <w:rsid w:val="00F021FA"/>
    <w:rsid w:val="00F03276"/>
    <w:rsid w:val="00F0593E"/>
    <w:rsid w:val="00F06352"/>
    <w:rsid w:val="00F11CAF"/>
    <w:rsid w:val="00F13C54"/>
    <w:rsid w:val="00F159A9"/>
    <w:rsid w:val="00F16F6B"/>
    <w:rsid w:val="00F21687"/>
    <w:rsid w:val="00F21C69"/>
    <w:rsid w:val="00F22B11"/>
    <w:rsid w:val="00F3102F"/>
    <w:rsid w:val="00F323D2"/>
    <w:rsid w:val="00F33AF9"/>
    <w:rsid w:val="00F35DC1"/>
    <w:rsid w:val="00F37959"/>
    <w:rsid w:val="00F47281"/>
    <w:rsid w:val="00F6196F"/>
    <w:rsid w:val="00F61CFE"/>
    <w:rsid w:val="00F62E97"/>
    <w:rsid w:val="00F6373B"/>
    <w:rsid w:val="00F64209"/>
    <w:rsid w:val="00F66700"/>
    <w:rsid w:val="00F67073"/>
    <w:rsid w:val="00F73194"/>
    <w:rsid w:val="00F80A1F"/>
    <w:rsid w:val="00F8153A"/>
    <w:rsid w:val="00F83780"/>
    <w:rsid w:val="00F90DB0"/>
    <w:rsid w:val="00F90E61"/>
    <w:rsid w:val="00F93BF5"/>
    <w:rsid w:val="00F96326"/>
    <w:rsid w:val="00FA64D6"/>
    <w:rsid w:val="00FB4CD0"/>
    <w:rsid w:val="00FC0C21"/>
    <w:rsid w:val="00FC33BD"/>
    <w:rsid w:val="00FE571C"/>
    <w:rsid w:val="00FF0379"/>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D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63"/>
    <w:pPr>
      <w:widowControl w:val="0"/>
    </w:pPr>
    <w:rPr>
      <w:snapToGrid w:val="0"/>
      <w:kern w:val="28"/>
      <w:sz w:val="22"/>
    </w:rPr>
  </w:style>
  <w:style w:type="paragraph" w:styleId="Heading1">
    <w:name w:val="heading 1"/>
    <w:basedOn w:val="Normal"/>
    <w:next w:val="ParaNum"/>
    <w:qFormat/>
    <w:rsid w:val="00AA6B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6B63"/>
    <w:pPr>
      <w:keepNext/>
      <w:numPr>
        <w:ilvl w:val="1"/>
        <w:numId w:val="3"/>
      </w:numPr>
      <w:spacing w:after="120"/>
      <w:outlineLvl w:val="1"/>
    </w:pPr>
    <w:rPr>
      <w:b/>
    </w:rPr>
  </w:style>
  <w:style w:type="paragraph" w:styleId="Heading3">
    <w:name w:val="heading 3"/>
    <w:basedOn w:val="Normal"/>
    <w:next w:val="ParaNum"/>
    <w:qFormat/>
    <w:rsid w:val="00AA6B63"/>
    <w:pPr>
      <w:keepNext/>
      <w:numPr>
        <w:ilvl w:val="2"/>
        <w:numId w:val="3"/>
      </w:numPr>
      <w:tabs>
        <w:tab w:val="left" w:pos="2160"/>
      </w:tabs>
      <w:spacing w:after="120"/>
      <w:outlineLvl w:val="2"/>
    </w:pPr>
    <w:rPr>
      <w:b/>
    </w:rPr>
  </w:style>
  <w:style w:type="paragraph" w:styleId="Heading4">
    <w:name w:val="heading 4"/>
    <w:basedOn w:val="Normal"/>
    <w:next w:val="ParaNum"/>
    <w:qFormat/>
    <w:rsid w:val="00AA6B63"/>
    <w:pPr>
      <w:keepNext/>
      <w:numPr>
        <w:ilvl w:val="3"/>
        <w:numId w:val="3"/>
      </w:numPr>
      <w:tabs>
        <w:tab w:val="left" w:pos="2880"/>
      </w:tabs>
      <w:spacing w:after="120"/>
      <w:outlineLvl w:val="3"/>
    </w:pPr>
    <w:rPr>
      <w:b/>
    </w:rPr>
  </w:style>
  <w:style w:type="paragraph" w:styleId="Heading5">
    <w:name w:val="heading 5"/>
    <w:basedOn w:val="Normal"/>
    <w:next w:val="ParaNum"/>
    <w:qFormat/>
    <w:rsid w:val="00AA6B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6B63"/>
    <w:pPr>
      <w:numPr>
        <w:ilvl w:val="5"/>
        <w:numId w:val="3"/>
      </w:numPr>
      <w:tabs>
        <w:tab w:val="left" w:pos="4320"/>
      </w:tabs>
      <w:spacing w:after="120"/>
      <w:outlineLvl w:val="5"/>
    </w:pPr>
    <w:rPr>
      <w:b/>
    </w:rPr>
  </w:style>
  <w:style w:type="paragraph" w:styleId="Heading7">
    <w:name w:val="heading 7"/>
    <w:basedOn w:val="Normal"/>
    <w:next w:val="ParaNum"/>
    <w:qFormat/>
    <w:rsid w:val="00AA6B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6B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6B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6B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B63"/>
  </w:style>
  <w:style w:type="paragraph" w:customStyle="1" w:styleId="ParaNum">
    <w:name w:val="ParaNum"/>
    <w:basedOn w:val="Normal"/>
    <w:rsid w:val="00AA6B63"/>
    <w:pPr>
      <w:numPr>
        <w:numId w:val="2"/>
      </w:numPr>
      <w:tabs>
        <w:tab w:val="clear" w:pos="1080"/>
        <w:tab w:val="num" w:pos="1440"/>
      </w:tabs>
      <w:spacing w:after="120"/>
    </w:pPr>
  </w:style>
  <w:style w:type="paragraph" w:styleId="EndnoteText">
    <w:name w:val="endnote text"/>
    <w:basedOn w:val="Normal"/>
    <w:semiHidden/>
    <w:rsid w:val="00AA6B63"/>
    <w:rPr>
      <w:sz w:val="20"/>
    </w:rPr>
  </w:style>
  <w:style w:type="character" w:styleId="EndnoteReference">
    <w:name w:val="endnote reference"/>
    <w:semiHidden/>
    <w:rsid w:val="00AA6B63"/>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AA6B63"/>
    <w:pPr>
      <w:spacing w:after="120"/>
    </w:pPr>
  </w:style>
  <w:style w:type="character" w:styleId="FootnoteReference">
    <w:name w:val="footnote reference"/>
    <w:aliases w:val="Style 12,(NECG) Footnote Reference,o,fr,Style 3,Appel note de bas de p,Style 124"/>
    <w:rsid w:val="00AA6B63"/>
    <w:rPr>
      <w:rFonts w:ascii="Times New Roman" w:hAnsi="Times New Roman"/>
      <w:dstrike w:val="0"/>
      <w:color w:val="auto"/>
      <w:sz w:val="20"/>
      <w:vertAlign w:val="superscript"/>
    </w:rPr>
  </w:style>
  <w:style w:type="paragraph" w:styleId="TOC1">
    <w:name w:val="toc 1"/>
    <w:basedOn w:val="Normal"/>
    <w:next w:val="Normal"/>
    <w:semiHidden/>
    <w:rsid w:val="00AA6B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6B63"/>
    <w:pPr>
      <w:tabs>
        <w:tab w:val="left" w:pos="720"/>
        <w:tab w:val="right" w:leader="dot" w:pos="9360"/>
      </w:tabs>
      <w:suppressAutoHyphens/>
      <w:ind w:left="720" w:right="720" w:hanging="360"/>
    </w:pPr>
    <w:rPr>
      <w:noProof/>
    </w:rPr>
  </w:style>
  <w:style w:type="paragraph" w:styleId="TOC3">
    <w:name w:val="toc 3"/>
    <w:basedOn w:val="Normal"/>
    <w:next w:val="Normal"/>
    <w:semiHidden/>
    <w:rsid w:val="00AA6B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B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6B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B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B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B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B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B63"/>
    <w:pPr>
      <w:tabs>
        <w:tab w:val="right" w:pos="9360"/>
      </w:tabs>
      <w:suppressAutoHyphens/>
    </w:pPr>
  </w:style>
  <w:style w:type="character" w:customStyle="1" w:styleId="EquationCaption">
    <w:name w:val="_Equation Caption"/>
    <w:rsid w:val="00AA6B63"/>
  </w:style>
  <w:style w:type="paragraph" w:styleId="Header">
    <w:name w:val="header"/>
    <w:basedOn w:val="Normal"/>
    <w:autoRedefine/>
    <w:rsid w:val="00AA6B63"/>
    <w:pPr>
      <w:tabs>
        <w:tab w:val="center" w:pos="4680"/>
        <w:tab w:val="right" w:pos="9360"/>
      </w:tabs>
    </w:pPr>
    <w:rPr>
      <w:b/>
    </w:rPr>
  </w:style>
  <w:style w:type="paragraph" w:styleId="Footer">
    <w:name w:val="footer"/>
    <w:basedOn w:val="Normal"/>
    <w:rsid w:val="00AA6B63"/>
    <w:pPr>
      <w:tabs>
        <w:tab w:val="center" w:pos="4320"/>
        <w:tab w:val="right" w:pos="8640"/>
      </w:tabs>
    </w:pPr>
  </w:style>
  <w:style w:type="character" w:styleId="PageNumber">
    <w:name w:val="page number"/>
    <w:basedOn w:val="DefaultParagraphFont"/>
    <w:rsid w:val="00AA6B63"/>
  </w:style>
  <w:style w:type="paragraph" w:styleId="BlockText">
    <w:name w:val="Block Text"/>
    <w:basedOn w:val="Normal"/>
    <w:rsid w:val="00AA6B63"/>
    <w:pPr>
      <w:spacing w:after="240"/>
      <w:ind w:left="1440" w:right="1440"/>
    </w:pPr>
  </w:style>
  <w:style w:type="paragraph" w:customStyle="1" w:styleId="Paratitle">
    <w:name w:val="Para title"/>
    <w:basedOn w:val="Normal"/>
    <w:rsid w:val="00AA6B63"/>
    <w:pPr>
      <w:tabs>
        <w:tab w:val="center" w:pos="9270"/>
      </w:tabs>
      <w:spacing w:after="240"/>
    </w:pPr>
    <w:rPr>
      <w:spacing w:val="-2"/>
    </w:rPr>
  </w:style>
  <w:style w:type="paragraph" w:customStyle="1" w:styleId="Bullet">
    <w:name w:val="Bullet"/>
    <w:basedOn w:val="Normal"/>
    <w:rsid w:val="00AA6B63"/>
    <w:pPr>
      <w:tabs>
        <w:tab w:val="left" w:pos="2160"/>
      </w:tabs>
      <w:spacing w:after="220"/>
      <w:ind w:left="2160" w:hanging="720"/>
    </w:pPr>
  </w:style>
  <w:style w:type="paragraph" w:customStyle="1" w:styleId="TableFormat">
    <w:name w:val="TableFormat"/>
    <w:basedOn w:val="Bullet"/>
    <w:rsid w:val="00AA6B63"/>
    <w:pPr>
      <w:tabs>
        <w:tab w:val="clear" w:pos="2160"/>
        <w:tab w:val="left" w:pos="5040"/>
      </w:tabs>
      <w:ind w:left="5040" w:hanging="3600"/>
    </w:pPr>
  </w:style>
  <w:style w:type="paragraph" w:customStyle="1" w:styleId="TOCTitle">
    <w:name w:val="TOC Title"/>
    <w:basedOn w:val="Normal"/>
    <w:rsid w:val="00AA6B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B63"/>
    <w:pPr>
      <w:jc w:val="center"/>
    </w:pPr>
    <w:rPr>
      <w:rFonts w:ascii="Times New Roman Bold" w:hAnsi="Times New Roman Bold"/>
      <w:b/>
      <w:bCs/>
      <w:caps/>
      <w:szCs w:val="22"/>
    </w:rPr>
  </w:style>
  <w:style w:type="character" w:styleId="Hyperlink">
    <w:name w:val="Hyperlink"/>
    <w:rsid w:val="00AA6B63"/>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63"/>
    <w:pPr>
      <w:widowControl w:val="0"/>
    </w:pPr>
    <w:rPr>
      <w:snapToGrid w:val="0"/>
      <w:kern w:val="28"/>
      <w:sz w:val="22"/>
    </w:rPr>
  </w:style>
  <w:style w:type="paragraph" w:styleId="Heading1">
    <w:name w:val="heading 1"/>
    <w:basedOn w:val="Normal"/>
    <w:next w:val="ParaNum"/>
    <w:qFormat/>
    <w:rsid w:val="00AA6B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6B63"/>
    <w:pPr>
      <w:keepNext/>
      <w:numPr>
        <w:ilvl w:val="1"/>
        <w:numId w:val="3"/>
      </w:numPr>
      <w:spacing w:after="120"/>
      <w:outlineLvl w:val="1"/>
    </w:pPr>
    <w:rPr>
      <w:b/>
    </w:rPr>
  </w:style>
  <w:style w:type="paragraph" w:styleId="Heading3">
    <w:name w:val="heading 3"/>
    <w:basedOn w:val="Normal"/>
    <w:next w:val="ParaNum"/>
    <w:qFormat/>
    <w:rsid w:val="00AA6B63"/>
    <w:pPr>
      <w:keepNext/>
      <w:numPr>
        <w:ilvl w:val="2"/>
        <w:numId w:val="3"/>
      </w:numPr>
      <w:tabs>
        <w:tab w:val="left" w:pos="2160"/>
      </w:tabs>
      <w:spacing w:after="120"/>
      <w:outlineLvl w:val="2"/>
    </w:pPr>
    <w:rPr>
      <w:b/>
    </w:rPr>
  </w:style>
  <w:style w:type="paragraph" w:styleId="Heading4">
    <w:name w:val="heading 4"/>
    <w:basedOn w:val="Normal"/>
    <w:next w:val="ParaNum"/>
    <w:qFormat/>
    <w:rsid w:val="00AA6B63"/>
    <w:pPr>
      <w:keepNext/>
      <w:numPr>
        <w:ilvl w:val="3"/>
        <w:numId w:val="3"/>
      </w:numPr>
      <w:tabs>
        <w:tab w:val="left" w:pos="2880"/>
      </w:tabs>
      <w:spacing w:after="120"/>
      <w:outlineLvl w:val="3"/>
    </w:pPr>
    <w:rPr>
      <w:b/>
    </w:rPr>
  </w:style>
  <w:style w:type="paragraph" w:styleId="Heading5">
    <w:name w:val="heading 5"/>
    <w:basedOn w:val="Normal"/>
    <w:next w:val="ParaNum"/>
    <w:qFormat/>
    <w:rsid w:val="00AA6B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6B63"/>
    <w:pPr>
      <w:numPr>
        <w:ilvl w:val="5"/>
        <w:numId w:val="3"/>
      </w:numPr>
      <w:tabs>
        <w:tab w:val="left" w:pos="4320"/>
      </w:tabs>
      <w:spacing w:after="120"/>
      <w:outlineLvl w:val="5"/>
    </w:pPr>
    <w:rPr>
      <w:b/>
    </w:rPr>
  </w:style>
  <w:style w:type="paragraph" w:styleId="Heading7">
    <w:name w:val="heading 7"/>
    <w:basedOn w:val="Normal"/>
    <w:next w:val="ParaNum"/>
    <w:qFormat/>
    <w:rsid w:val="00AA6B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6B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6B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6B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B63"/>
  </w:style>
  <w:style w:type="paragraph" w:customStyle="1" w:styleId="ParaNum">
    <w:name w:val="ParaNum"/>
    <w:basedOn w:val="Normal"/>
    <w:rsid w:val="00AA6B63"/>
    <w:pPr>
      <w:numPr>
        <w:numId w:val="2"/>
      </w:numPr>
      <w:tabs>
        <w:tab w:val="clear" w:pos="1080"/>
        <w:tab w:val="num" w:pos="1440"/>
      </w:tabs>
      <w:spacing w:after="120"/>
    </w:pPr>
  </w:style>
  <w:style w:type="paragraph" w:styleId="EndnoteText">
    <w:name w:val="endnote text"/>
    <w:basedOn w:val="Normal"/>
    <w:semiHidden/>
    <w:rsid w:val="00AA6B63"/>
    <w:rPr>
      <w:sz w:val="20"/>
    </w:rPr>
  </w:style>
  <w:style w:type="character" w:styleId="EndnoteReference">
    <w:name w:val="endnote reference"/>
    <w:semiHidden/>
    <w:rsid w:val="00AA6B63"/>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AA6B63"/>
    <w:pPr>
      <w:spacing w:after="120"/>
    </w:pPr>
  </w:style>
  <w:style w:type="character" w:styleId="FootnoteReference">
    <w:name w:val="footnote reference"/>
    <w:aliases w:val="Style 12,(NECG) Footnote Reference,o,fr,Style 3,Appel note de bas de p,Style 124"/>
    <w:rsid w:val="00AA6B63"/>
    <w:rPr>
      <w:rFonts w:ascii="Times New Roman" w:hAnsi="Times New Roman"/>
      <w:dstrike w:val="0"/>
      <w:color w:val="auto"/>
      <w:sz w:val="20"/>
      <w:vertAlign w:val="superscript"/>
    </w:rPr>
  </w:style>
  <w:style w:type="paragraph" w:styleId="TOC1">
    <w:name w:val="toc 1"/>
    <w:basedOn w:val="Normal"/>
    <w:next w:val="Normal"/>
    <w:semiHidden/>
    <w:rsid w:val="00AA6B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6B63"/>
    <w:pPr>
      <w:tabs>
        <w:tab w:val="left" w:pos="720"/>
        <w:tab w:val="right" w:leader="dot" w:pos="9360"/>
      </w:tabs>
      <w:suppressAutoHyphens/>
      <w:ind w:left="720" w:right="720" w:hanging="360"/>
    </w:pPr>
    <w:rPr>
      <w:noProof/>
    </w:rPr>
  </w:style>
  <w:style w:type="paragraph" w:styleId="TOC3">
    <w:name w:val="toc 3"/>
    <w:basedOn w:val="Normal"/>
    <w:next w:val="Normal"/>
    <w:semiHidden/>
    <w:rsid w:val="00AA6B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B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6B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B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B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B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B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B63"/>
    <w:pPr>
      <w:tabs>
        <w:tab w:val="right" w:pos="9360"/>
      </w:tabs>
      <w:suppressAutoHyphens/>
    </w:pPr>
  </w:style>
  <w:style w:type="character" w:customStyle="1" w:styleId="EquationCaption">
    <w:name w:val="_Equation Caption"/>
    <w:rsid w:val="00AA6B63"/>
  </w:style>
  <w:style w:type="paragraph" w:styleId="Header">
    <w:name w:val="header"/>
    <w:basedOn w:val="Normal"/>
    <w:autoRedefine/>
    <w:rsid w:val="00AA6B63"/>
    <w:pPr>
      <w:tabs>
        <w:tab w:val="center" w:pos="4680"/>
        <w:tab w:val="right" w:pos="9360"/>
      </w:tabs>
    </w:pPr>
    <w:rPr>
      <w:b/>
    </w:rPr>
  </w:style>
  <w:style w:type="paragraph" w:styleId="Footer">
    <w:name w:val="footer"/>
    <w:basedOn w:val="Normal"/>
    <w:rsid w:val="00AA6B63"/>
    <w:pPr>
      <w:tabs>
        <w:tab w:val="center" w:pos="4320"/>
        <w:tab w:val="right" w:pos="8640"/>
      </w:tabs>
    </w:pPr>
  </w:style>
  <w:style w:type="character" w:styleId="PageNumber">
    <w:name w:val="page number"/>
    <w:basedOn w:val="DefaultParagraphFont"/>
    <w:rsid w:val="00AA6B63"/>
  </w:style>
  <w:style w:type="paragraph" w:styleId="BlockText">
    <w:name w:val="Block Text"/>
    <w:basedOn w:val="Normal"/>
    <w:rsid w:val="00AA6B63"/>
    <w:pPr>
      <w:spacing w:after="240"/>
      <w:ind w:left="1440" w:right="1440"/>
    </w:pPr>
  </w:style>
  <w:style w:type="paragraph" w:customStyle="1" w:styleId="Paratitle">
    <w:name w:val="Para title"/>
    <w:basedOn w:val="Normal"/>
    <w:rsid w:val="00AA6B63"/>
    <w:pPr>
      <w:tabs>
        <w:tab w:val="center" w:pos="9270"/>
      </w:tabs>
      <w:spacing w:after="240"/>
    </w:pPr>
    <w:rPr>
      <w:spacing w:val="-2"/>
    </w:rPr>
  </w:style>
  <w:style w:type="paragraph" w:customStyle="1" w:styleId="Bullet">
    <w:name w:val="Bullet"/>
    <w:basedOn w:val="Normal"/>
    <w:rsid w:val="00AA6B63"/>
    <w:pPr>
      <w:tabs>
        <w:tab w:val="left" w:pos="2160"/>
      </w:tabs>
      <w:spacing w:after="220"/>
      <w:ind w:left="2160" w:hanging="720"/>
    </w:pPr>
  </w:style>
  <w:style w:type="paragraph" w:customStyle="1" w:styleId="TableFormat">
    <w:name w:val="TableFormat"/>
    <w:basedOn w:val="Bullet"/>
    <w:rsid w:val="00AA6B63"/>
    <w:pPr>
      <w:tabs>
        <w:tab w:val="clear" w:pos="2160"/>
        <w:tab w:val="left" w:pos="5040"/>
      </w:tabs>
      <w:ind w:left="5040" w:hanging="3600"/>
    </w:pPr>
  </w:style>
  <w:style w:type="paragraph" w:customStyle="1" w:styleId="TOCTitle">
    <w:name w:val="TOC Title"/>
    <w:basedOn w:val="Normal"/>
    <w:rsid w:val="00AA6B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B63"/>
    <w:pPr>
      <w:jc w:val="center"/>
    </w:pPr>
    <w:rPr>
      <w:rFonts w:ascii="Times New Roman Bold" w:hAnsi="Times New Roman Bold"/>
      <w:b/>
      <w:bCs/>
      <w:caps/>
      <w:szCs w:val="22"/>
    </w:rPr>
  </w:style>
  <w:style w:type="character" w:styleId="Hyperlink">
    <w:name w:val="Hyperlink"/>
    <w:rsid w:val="00AA6B63"/>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8978">
      <w:bodyDiv w:val="1"/>
      <w:marLeft w:val="0"/>
      <w:marRight w:val="0"/>
      <w:marTop w:val="0"/>
      <w:marBottom w:val="0"/>
      <w:divBdr>
        <w:top w:val="none" w:sz="0" w:space="0" w:color="auto"/>
        <w:left w:val="none" w:sz="0" w:space="0" w:color="auto"/>
        <w:bottom w:val="none" w:sz="0" w:space="0" w:color="auto"/>
        <w:right w:val="none" w:sz="0" w:space="0" w:color="auto"/>
      </w:divBdr>
      <w:divsChild>
        <w:div w:id="56368269">
          <w:marLeft w:val="0"/>
          <w:marRight w:val="0"/>
          <w:marTop w:val="0"/>
          <w:marBottom w:val="0"/>
          <w:divBdr>
            <w:top w:val="none" w:sz="0" w:space="0" w:color="auto"/>
            <w:left w:val="none" w:sz="0" w:space="0" w:color="auto"/>
            <w:bottom w:val="none" w:sz="0" w:space="0" w:color="auto"/>
            <w:right w:val="none" w:sz="0" w:space="0" w:color="auto"/>
          </w:divBdr>
        </w:div>
        <w:div w:id="1667973231">
          <w:marLeft w:val="0"/>
          <w:marRight w:val="0"/>
          <w:marTop w:val="0"/>
          <w:marBottom w:val="0"/>
          <w:divBdr>
            <w:top w:val="none" w:sz="0" w:space="0" w:color="auto"/>
            <w:left w:val="none" w:sz="0" w:space="0" w:color="auto"/>
            <w:bottom w:val="none" w:sz="0" w:space="0" w:color="auto"/>
            <w:right w:val="none" w:sz="0" w:space="0" w:color="auto"/>
          </w:divBdr>
        </w:div>
      </w:divsChild>
    </w:div>
    <w:div w:id="749040292">
      <w:bodyDiv w:val="1"/>
      <w:marLeft w:val="0"/>
      <w:marRight w:val="0"/>
      <w:marTop w:val="0"/>
      <w:marBottom w:val="0"/>
      <w:divBdr>
        <w:top w:val="none" w:sz="0" w:space="0" w:color="auto"/>
        <w:left w:val="none" w:sz="0" w:space="0" w:color="auto"/>
        <w:bottom w:val="none" w:sz="0" w:space="0" w:color="auto"/>
        <w:right w:val="none" w:sz="0" w:space="0" w:color="auto"/>
      </w:divBdr>
    </w:div>
    <w:div w:id="898857276">
      <w:bodyDiv w:val="1"/>
      <w:marLeft w:val="0"/>
      <w:marRight w:val="0"/>
      <w:marTop w:val="0"/>
      <w:marBottom w:val="0"/>
      <w:divBdr>
        <w:top w:val="none" w:sz="0" w:space="0" w:color="auto"/>
        <w:left w:val="none" w:sz="0" w:space="0" w:color="auto"/>
        <w:bottom w:val="none" w:sz="0" w:space="0" w:color="auto"/>
        <w:right w:val="none" w:sz="0" w:space="0" w:color="auto"/>
      </w:divBdr>
      <w:divsChild>
        <w:div w:id="2086803820">
          <w:marLeft w:val="0"/>
          <w:marRight w:val="0"/>
          <w:marTop w:val="0"/>
          <w:marBottom w:val="0"/>
          <w:divBdr>
            <w:top w:val="none" w:sz="0" w:space="0" w:color="auto"/>
            <w:left w:val="none" w:sz="0" w:space="0" w:color="auto"/>
            <w:bottom w:val="none" w:sz="0" w:space="0" w:color="auto"/>
            <w:right w:val="none" w:sz="0" w:space="0" w:color="auto"/>
          </w:divBdr>
        </w:div>
        <w:div w:id="1562015113">
          <w:marLeft w:val="0"/>
          <w:marRight w:val="0"/>
          <w:marTop w:val="0"/>
          <w:marBottom w:val="0"/>
          <w:divBdr>
            <w:top w:val="none" w:sz="0" w:space="0" w:color="auto"/>
            <w:left w:val="none" w:sz="0" w:space="0" w:color="auto"/>
            <w:bottom w:val="none" w:sz="0" w:space="0" w:color="auto"/>
            <w:right w:val="none" w:sz="0" w:space="0" w:color="auto"/>
          </w:divBdr>
        </w:div>
      </w:divsChild>
    </w:div>
    <w:div w:id="1097170341">
      <w:bodyDiv w:val="1"/>
      <w:marLeft w:val="0"/>
      <w:marRight w:val="0"/>
      <w:marTop w:val="0"/>
      <w:marBottom w:val="0"/>
      <w:divBdr>
        <w:top w:val="none" w:sz="0" w:space="0" w:color="auto"/>
        <w:left w:val="none" w:sz="0" w:space="0" w:color="auto"/>
        <w:bottom w:val="none" w:sz="0" w:space="0" w:color="auto"/>
        <w:right w:val="none" w:sz="0" w:space="0" w:color="auto"/>
      </w:divBdr>
      <w:divsChild>
        <w:div w:id="239366307">
          <w:marLeft w:val="0"/>
          <w:marRight w:val="0"/>
          <w:marTop w:val="0"/>
          <w:marBottom w:val="0"/>
          <w:divBdr>
            <w:top w:val="none" w:sz="0" w:space="0" w:color="auto"/>
            <w:left w:val="none" w:sz="0" w:space="0" w:color="auto"/>
            <w:bottom w:val="none" w:sz="0" w:space="0" w:color="auto"/>
            <w:right w:val="none" w:sz="0" w:space="0" w:color="auto"/>
          </w:divBdr>
          <w:divsChild>
            <w:div w:id="310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8009">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4">
          <w:marLeft w:val="0"/>
          <w:marRight w:val="0"/>
          <w:marTop w:val="0"/>
          <w:marBottom w:val="0"/>
          <w:divBdr>
            <w:top w:val="none" w:sz="0" w:space="0" w:color="auto"/>
            <w:left w:val="none" w:sz="0" w:space="0" w:color="auto"/>
            <w:bottom w:val="none" w:sz="0" w:space="0" w:color="auto"/>
            <w:right w:val="none" w:sz="0" w:space="0" w:color="auto"/>
          </w:divBdr>
          <w:divsChild>
            <w:div w:id="1210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759">
      <w:bodyDiv w:val="1"/>
      <w:marLeft w:val="0"/>
      <w:marRight w:val="0"/>
      <w:marTop w:val="0"/>
      <w:marBottom w:val="0"/>
      <w:divBdr>
        <w:top w:val="none" w:sz="0" w:space="0" w:color="auto"/>
        <w:left w:val="none" w:sz="0" w:space="0" w:color="auto"/>
        <w:bottom w:val="none" w:sz="0" w:space="0" w:color="auto"/>
        <w:right w:val="none" w:sz="0" w:space="0" w:color="auto"/>
      </w:divBdr>
      <w:divsChild>
        <w:div w:id="198204998">
          <w:marLeft w:val="0"/>
          <w:marRight w:val="0"/>
          <w:marTop w:val="0"/>
          <w:marBottom w:val="0"/>
          <w:divBdr>
            <w:top w:val="none" w:sz="0" w:space="0" w:color="auto"/>
            <w:left w:val="none" w:sz="0" w:space="0" w:color="auto"/>
            <w:bottom w:val="none" w:sz="0" w:space="0" w:color="auto"/>
            <w:right w:val="none" w:sz="0" w:space="0" w:color="auto"/>
          </w:divBdr>
          <w:divsChild>
            <w:div w:id="1948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8525">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8">
          <w:marLeft w:val="0"/>
          <w:marRight w:val="0"/>
          <w:marTop w:val="0"/>
          <w:marBottom w:val="0"/>
          <w:divBdr>
            <w:top w:val="none" w:sz="0" w:space="0" w:color="auto"/>
            <w:left w:val="none" w:sz="0" w:space="0" w:color="auto"/>
            <w:bottom w:val="none" w:sz="0" w:space="0" w:color="auto"/>
            <w:right w:val="none" w:sz="0" w:space="0" w:color="auto"/>
          </w:divBdr>
          <w:divsChild>
            <w:div w:id="1751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javascript:top.docjs.next_hit(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1229</Words>
  <Characters>6682</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2015-04-16T20:42:00Z</cp:lastPrinted>
  <dcterms:created xsi:type="dcterms:W3CDTF">2016-04-27T14:10:00Z</dcterms:created>
  <dcterms:modified xsi:type="dcterms:W3CDTF">2016-04-27T14:10:00Z</dcterms:modified>
  <cp:category> </cp:category>
  <cp:contentStatus> </cp:contentStatus>
</cp:coreProperties>
</file>