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52" w:rsidRPr="00580941" w:rsidRDefault="00B81D52" w:rsidP="00B81D52">
      <w:pPr>
        <w:widowControl/>
        <w:jc w:val="center"/>
        <w:rPr>
          <w:b/>
          <w:snapToGrid/>
          <w:kern w:val="0"/>
          <w:szCs w:val="22"/>
        </w:rPr>
      </w:pPr>
      <w:bookmarkStart w:id="0" w:name="_GoBack"/>
      <w:bookmarkEnd w:id="0"/>
      <w:r w:rsidRPr="00580941">
        <w:rPr>
          <w:b/>
          <w:snapToGrid/>
          <w:kern w:val="0"/>
          <w:szCs w:val="22"/>
        </w:rPr>
        <w:t>Before the</w:t>
      </w:r>
    </w:p>
    <w:p w:rsidR="00B81D52" w:rsidRPr="00580941" w:rsidRDefault="00B81D52" w:rsidP="00B81D52">
      <w:pPr>
        <w:widowControl/>
        <w:jc w:val="center"/>
        <w:rPr>
          <w:b/>
          <w:bCs/>
          <w:caps/>
          <w:szCs w:val="22"/>
        </w:rPr>
      </w:pPr>
      <w:r w:rsidRPr="00580941">
        <w:rPr>
          <w:b/>
          <w:bCs/>
          <w:caps/>
          <w:szCs w:val="22"/>
        </w:rPr>
        <w:t>F</w:t>
      </w:r>
      <w:r w:rsidRPr="00580941">
        <w:rPr>
          <w:b/>
          <w:bCs/>
          <w:szCs w:val="22"/>
        </w:rPr>
        <w:t>ederal Communications Commission</w:t>
      </w:r>
    </w:p>
    <w:p w:rsidR="00B81D52" w:rsidRPr="00580941" w:rsidRDefault="00B81D52" w:rsidP="00B81D52">
      <w:pPr>
        <w:widowControl/>
        <w:jc w:val="center"/>
        <w:rPr>
          <w:b/>
          <w:bCs/>
          <w:caps/>
          <w:szCs w:val="22"/>
        </w:rPr>
      </w:pPr>
      <w:r w:rsidRPr="00580941">
        <w:rPr>
          <w:b/>
          <w:bCs/>
          <w:szCs w:val="22"/>
        </w:rPr>
        <w:t>Washington, D.C. 20554</w:t>
      </w:r>
    </w:p>
    <w:p w:rsidR="00B81D52" w:rsidRPr="00580941" w:rsidRDefault="00B81D52" w:rsidP="00B81D52">
      <w:pPr>
        <w:widowControl/>
        <w:rPr>
          <w:snapToGrid/>
          <w:kern w:val="0"/>
          <w:szCs w:val="22"/>
        </w:rPr>
      </w:pPr>
    </w:p>
    <w:tbl>
      <w:tblPr>
        <w:tblW w:w="0" w:type="auto"/>
        <w:tblLayout w:type="fixed"/>
        <w:tblLook w:val="0000" w:firstRow="0" w:lastRow="0" w:firstColumn="0" w:lastColumn="0" w:noHBand="0" w:noVBand="0"/>
      </w:tblPr>
      <w:tblGrid>
        <w:gridCol w:w="4698"/>
        <w:gridCol w:w="630"/>
        <w:gridCol w:w="4248"/>
      </w:tblGrid>
      <w:tr w:rsidR="00B81D52" w:rsidRPr="00580941" w:rsidTr="00D6081E">
        <w:tc>
          <w:tcPr>
            <w:tcW w:w="4698" w:type="dxa"/>
          </w:tcPr>
          <w:p w:rsidR="00B81D52" w:rsidRPr="00580941" w:rsidRDefault="00B81D52" w:rsidP="00D6081E">
            <w:pPr>
              <w:widowControl/>
              <w:ind w:right="-18"/>
              <w:rPr>
                <w:snapToGrid/>
                <w:kern w:val="0"/>
                <w:szCs w:val="22"/>
              </w:rPr>
            </w:pPr>
            <w:r w:rsidRPr="00580941">
              <w:rPr>
                <w:snapToGrid/>
                <w:kern w:val="0"/>
                <w:szCs w:val="22"/>
              </w:rPr>
              <w:t xml:space="preserve">In the Matter of  </w:t>
            </w:r>
          </w:p>
          <w:p w:rsidR="00B81D52" w:rsidRPr="00580941" w:rsidRDefault="00B81D52" w:rsidP="00D6081E">
            <w:pPr>
              <w:widowControl/>
              <w:ind w:right="-18"/>
              <w:rPr>
                <w:snapToGrid/>
                <w:kern w:val="0"/>
                <w:szCs w:val="22"/>
              </w:rPr>
            </w:pPr>
          </w:p>
          <w:p w:rsidR="00B81D52" w:rsidRPr="00580941" w:rsidRDefault="00B81D52" w:rsidP="00D6081E">
            <w:pPr>
              <w:widowControl/>
              <w:ind w:right="-18"/>
              <w:rPr>
                <w:snapToGrid/>
                <w:kern w:val="0"/>
                <w:szCs w:val="22"/>
              </w:rPr>
            </w:pPr>
            <w:r>
              <w:rPr>
                <w:snapToGrid/>
                <w:kern w:val="0"/>
                <w:szCs w:val="22"/>
              </w:rPr>
              <w:t>US Pro Descubierta</w:t>
            </w:r>
          </w:p>
          <w:p w:rsidR="00B81D52" w:rsidRPr="00580941" w:rsidRDefault="00B81D52" w:rsidP="00D6081E">
            <w:pPr>
              <w:widowControl/>
              <w:ind w:right="-18"/>
              <w:rPr>
                <w:b/>
                <w:snapToGrid/>
                <w:kern w:val="0"/>
                <w:szCs w:val="22"/>
              </w:rPr>
            </w:pPr>
          </w:p>
          <w:p w:rsidR="00B81D52" w:rsidRPr="00580941" w:rsidRDefault="00B81D52" w:rsidP="00D6081E">
            <w:pPr>
              <w:widowControl/>
              <w:ind w:right="-18"/>
              <w:rPr>
                <w:snapToGrid/>
                <w:kern w:val="0"/>
                <w:szCs w:val="22"/>
              </w:rPr>
            </w:pPr>
            <w:r w:rsidRPr="00580941">
              <w:rPr>
                <w:snapToGrid/>
                <w:kern w:val="0"/>
                <w:szCs w:val="22"/>
              </w:rPr>
              <w:t>Application for a New LPFM Station at</w:t>
            </w:r>
          </w:p>
          <w:p w:rsidR="00B81D52" w:rsidRPr="00580941" w:rsidRDefault="00B81D52" w:rsidP="00D6081E">
            <w:pPr>
              <w:widowControl/>
              <w:ind w:right="-18"/>
              <w:rPr>
                <w:b/>
                <w:snapToGrid/>
                <w:kern w:val="0"/>
                <w:szCs w:val="22"/>
              </w:rPr>
            </w:pPr>
            <w:r>
              <w:rPr>
                <w:snapToGrid/>
                <w:kern w:val="0"/>
                <w:szCs w:val="22"/>
              </w:rPr>
              <w:t>Seffner, Florida</w:t>
            </w:r>
            <w:r w:rsidRPr="00580941">
              <w:rPr>
                <w:snapToGrid/>
                <w:kern w:val="0"/>
                <w:szCs w:val="22"/>
              </w:rPr>
              <w:t xml:space="preserve"> </w:t>
            </w:r>
          </w:p>
        </w:tc>
        <w:tc>
          <w:tcPr>
            <w:tcW w:w="630" w:type="dxa"/>
          </w:tcPr>
          <w:p w:rsidR="00B81D52" w:rsidRPr="00580941" w:rsidRDefault="00B81D52" w:rsidP="00D6081E">
            <w:pPr>
              <w:widowControl/>
              <w:rPr>
                <w:b/>
                <w:snapToGrid/>
                <w:kern w:val="0"/>
                <w:szCs w:val="22"/>
              </w:rPr>
            </w:pPr>
            <w:r w:rsidRPr="00580941">
              <w:rPr>
                <w:b/>
                <w:snapToGrid/>
                <w:kern w:val="0"/>
                <w:szCs w:val="22"/>
              </w:rPr>
              <w:t>)</w:t>
            </w:r>
          </w:p>
          <w:p w:rsidR="00B81D52" w:rsidRPr="00580941" w:rsidRDefault="00B81D52" w:rsidP="00D6081E">
            <w:pPr>
              <w:widowControl/>
              <w:rPr>
                <w:b/>
                <w:snapToGrid/>
                <w:kern w:val="0"/>
                <w:szCs w:val="22"/>
              </w:rPr>
            </w:pPr>
            <w:r w:rsidRPr="00580941">
              <w:rPr>
                <w:b/>
                <w:snapToGrid/>
                <w:kern w:val="0"/>
                <w:szCs w:val="22"/>
              </w:rPr>
              <w:t>)</w:t>
            </w:r>
          </w:p>
          <w:p w:rsidR="00B81D52" w:rsidRPr="00580941" w:rsidRDefault="00B81D52" w:rsidP="00D6081E">
            <w:pPr>
              <w:widowControl/>
              <w:rPr>
                <w:b/>
                <w:snapToGrid/>
                <w:kern w:val="0"/>
                <w:szCs w:val="22"/>
              </w:rPr>
            </w:pPr>
            <w:r w:rsidRPr="00580941">
              <w:rPr>
                <w:b/>
                <w:snapToGrid/>
                <w:kern w:val="0"/>
                <w:szCs w:val="22"/>
              </w:rPr>
              <w:t>)</w:t>
            </w:r>
          </w:p>
          <w:p w:rsidR="00B81D52" w:rsidRPr="00580941" w:rsidRDefault="00B81D52" w:rsidP="00D6081E">
            <w:pPr>
              <w:widowControl/>
              <w:rPr>
                <w:b/>
                <w:snapToGrid/>
                <w:kern w:val="0"/>
                <w:szCs w:val="22"/>
              </w:rPr>
            </w:pPr>
            <w:r w:rsidRPr="00580941">
              <w:rPr>
                <w:b/>
                <w:snapToGrid/>
                <w:kern w:val="0"/>
                <w:szCs w:val="22"/>
              </w:rPr>
              <w:t>)</w:t>
            </w:r>
          </w:p>
          <w:p w:rsidR="00B81D52" w:rsidRPr="00580941" w:rsidRDefault="00B81D52" w:rsidP="00D6081E">
            <w:pPr>
              <w:widowControl/>
              <w:rPr>
                <w:b/>
                <w:snapToGrid/>
                <w:kern w:val="0"/>
                <w:szCs w:val="22"/>
              </w:rPr>
            </w:pPr>
            <w:r w:rsidRPr="00580941">
              <w:rPr>
                <w:b/>
                <w:snapToGrid/>
                <w:kern w:val="0"/>
                <w:szCs w:val="22"/>
              </w:rPr>
              <w:t>)</w:t>
            </w:r>
          </w:p>
          <w:p w:rsidR="00B81D52" w:rsidRPr="00580941" w:rsidRDefault="00B81D52" w:rsidP="00D6081E">
            <w:pPr>
              <w:widowControl/>
              <w:rPr>
                <w:b/>
                <w:snapToGrid/>
                <w:kern w:val="0"/>
                <w:szCs w:val="22"/>
              </w:rPr>
            </w:pPr>
            <w:r w:rsidRPr="00580941">
              <w:rPr>
                <w:b/>
                <w:snapToGrid/>
                <w:kern w:val="0"/>
                <w:szCs w:val="22"/>
              </w:rPr>
              <w:t xml:space="preserve">) </w:t>
            </w:r>
          </w:p>
        </w:tc>
        <w:tc>
          <w:tcPr>
            <w:tcW w:w="4248" w:type="dxa"/>
          </w:tcPr>
          <w:p w:rsidR="00B81D52" w:rsidRPr="00580941" w:rsidRDefault="00B81D52" w:rsidP="00D6081E">
            <w:pPr>
              <w:widowControl/>
              <w:rPr>
                <w:snapToGrid/>
                <w:kern w:val="0"/>
                <w:szCs w:val="22"/>
              </w:rPr>
            </w:pPr>
          </w:p>
          <w:p w:rsidR="00B81D52" w:rsidRPr="00580941" w:rsidRDefault="00B81D52" w:rsidP="00D6081E">
            <w:pPr>
              <w:widowControl/>
              <w:rPr>
                <w:snapToGrid/>
                <w:kern w:val="0"/>
                <w:szCs w:val="22"/>
              </w:rPr>
            </w:pPr>
          </w:p>
          <w:p w:rsidR="00B81D52" w:rsidRPr="00580941" w:rsidRDefault="00B81D52" w:rsidP="00D6081E">
            <w:pPr>
              <w:widowControl/>
              <w:rPr>
                <w:snapToGrid/>
                <w:kern w:val="0"/>
                <w:szCs w:val="22"/>
              </w:rPr>
            </w:pPr>
          </w:p>
          <w:p w:rsidR="00B81D52" w:rsidRPr="00580941" w:rsidRDefault="00B81D52" w:rsidP="00D6081E">
            <w:pPr>
              <w:widowControl/>
              <w:rPr>
                <w:snapToGrid/>
                <w:kern w:val="0"/>
                <w:szCs w:val="22"/>
              </w:rPr>
            </w:pPr>
          </w:p>
          <w:p w:rsidR="00B81D52" w:rsidRPr="00580941" w:rsidRDefault="00B81D52" w:rsidP="00D6081E">
            <w:pPr>
              <w:widowControl/>
              <w:rPr>
                <w:snapToGrid/>
                <w:kern w:val="0"/>
                <w:szCs w:val="22"/>
              </w:rPr>
            </w:pPr>
            <w:r w:rsidRPr="00580941">
              <w:rPr>
                <w:snapToGrid/>
                <w:kern w:val="0"/>
                <w:szCs w:val="22"/>
              </w:rPr>
              <w:t>File No. BNPL-20131021</w:t>
            </w:r>
            <w:r>
              <w:rPr>
                <w:snapToGrid/>
                <w:kern w:val="0"/>
                <w:szCs w:val="22"/>
              </w:rPr>
              <w:t>ABI</w:t>
            </w:r>
          </w:p>
          <w:p w:rsidR="00B81D52" w:rsidRDefault="00B81D52" w:rsidP="00D6081E">
            <w:pPr>
              <w:widowControl/>
              <w:rPr>
                <w:snapToGrid/>
                <w:kern w:val="0"/>
                <w:szCs w:val="22"/>
              </w:rPr>
            </w:pPr>
            <w:r w:rsidRPr="00580941">
              <w:rPr>
                <w:snapToGrid/>
                <w:kern w:val="0"/>
                <w:szCs w:val="22"/>
              </w:rPr>
              <w:t xml:space="preserve">Facility ID No. </w:t>
            </w:r>
            <w:r>
              <w:rPr>
                <w:snapToGrid/>
                <w:kern w:val="0"/>
                <w:szCs w:val="22"/>
              </w:rPr>
              <w:t>193467</w:t>
            </w:r>
          </w:p>
          <w:p w:rsidR="00B81D52" w:rsidRPr="00580941" w:rsidRDefault="00B81D52" w:rsidP="00D6081E">
            <w:pPr>
              <w:widowControl/>
              <w:rPr>
                <w:snapToGrid/>
                <w:kern w:val="0"/>
                <w:szCs w:val="22"/>
              </w:rPr>
            </w:pPr>
            <w:r w:rsidRPr="00580941">
              <w:rPr>
                <w:snapToGrid/>
                <w:kern w:val="0"/>
                <w:szCs w:val="22"/>
              </w:rPr>
              <w:t xml:space="preserve">      </w:t>
            </w:r>
          </w:p>
        </w:tc>
      </w:tr>
    </w:tbl>
    <w:p w:rsidR="00B81D52" w:rsidRDefault="00B81D52" w:rsidP="00B81D52">
      <w:pPr>
        <w:widowControl/>
        <w:jc w:val="center"/>
        <w:rPr>
          <w:rFonts w:ascii="Times New Roman Bold" w:hAnsi="Times New Roman Bold"/>
          <w:b/>
          <w:bCs/>
          <w:caps/>
          <w:szCs w:val="22"/>
        </w:rPr>
      </w:pPr>
      <w:r w:rsidRPr="00580941">
        <w:rPr>
          <w:rFonts w:ascii="Times New Roman Bold" w:hAnsi="Times New Roman Bold"/>
          <w:b/>
          <w:bCs/>
          <w:caps/>
          <w:szCs w:val="22"/>
        </w:rPr>
        <w:t>MEMORANDUM OPINION AND ORDER</w:t>
      </w:r>
    </w:p>
    <w:p w:rsidR="00B81D52" w:rsidRPr="00580941" w:rsidRDefault="00B81D52" w:rsidP="00B81D52">
      <w:pPr>
        <w:widowControl/>
        <w:tabs>
          <w:tab w:val="left" w:pos="-720"/>
        </w:tabs>
        <w:suppressAutoHyphens/>
        <w:spacing w:line="227" w:lineRule="auto"/>
        <w:rPr>
          <w:snapToGrid/>
          <w:spacing w:val="-2"/>
          <w:kern w:val="0"/>
          <w:szCs w:val="22"/>
        </w:rPr>
      </w:pPr>
    </w:p>
    <w:p w:rsidR="004673E7" w:rsidRDefault="004673E7" w:rsidP="004673E7">
      <w:pPr>
        <w:tabs>
          <w:tab w:val="left" w:pos="720"/>
          <w:tab w:val="right" w:pos="9360"/>
        </w:tabs>
        <w:suppressAutoHyphens/>
        <w:spacing w:line="227" w:lineRule="auto"/>
        <w:rPr>
          <w:spacing w:val="-2"/>
        </w:rPr>
      </w:pPr>
      <w:r>
        <w:rPr>
          <w:b/>
          <w:spacing w:val="-2"/>
        </w:rPr>
        <w:t>Adopted:  April 2</w:t>
      </w:r>
      <w:r w:rsidR="006912A5">
        <w:rPr>
          <w:b/>
          <w:spacing w:val="-2"/>
        </w:rPr>
        <w:t>6</w:t>
      </w:r>
      <w:r>
        <w:rPr>
          <w:b/>
          <w:spacing w:val="-2"/>
        </w:rPr>
        <w:t>, 2016</w:t>
      </w:r>
      <w:r>
        <w:rPr>
          <w:b/>
          <w:spacing w:val="-2"/>
        </w:rPr>
        <w:tab/>
        <w:t>Released:  April 27, 2016</w:t>
      </w:r>
    </w:p>
    <w:p w:rsidR="00B81D52" w:rsidRPr="00580941" w:rsidRDefault="00B81D52" w:rsidP="00B81D52">
      <w:pPr>
        <w:widowControl/>
        <w:rPr>
          <w:snapToGrid/>
          <w:kern w:val="0"/>
          <w:szCs w:val="22"/>
        </w:rPr>
      </w:pPr>
    </w:p>
    <w:p w:rsidR="00B81D52" w:rsidRPr="00580941" w:rsidRDefault="00B81D52" w:rsidP="00B81D52">
      <w:pPr>
        <w:widowControl/>
        <w:rPr>
          <w:snapToGrid/>
          <w:spacing w:val="-2"/>
          <w:kern w:val="0"/>
          <w:szCs w:val="22"/>
        </w:rPr>
      </w:pPr>
      <w:r w:rsidRPr="00580941">
        <w:rPr>
          <w:snapToGrid/>
          <w:kern w:val="0"/>
          <w:szCs w:val="22"/>
        </w:rPr>
        <w:t xml:space="preserve">By the </w:t>
      </w:r>
      <w:r w:rsidRPr="00580941">
        <w:rPr>
          <w:snapToGrid/>
          <w:spacing w:val="-2"/>
          <w:kern w:val="0"/>
          <w:szCs w:val="22"/>
        </w:rPr>
        <w:t>Commission:</w:t>
      </w:r>
    </w:p>
    <w:p w:rsidR="00B81D52" w:rsidRPr="00580941" w:rsidRDefault="00B81D52" w:rsidP="00B81D52">
      <w:pPr>
        <w:widowControl/>
        <w:rPr>
          <w:snapToGrid/>
          <w:kern w:val="0"/>
          <w:szCs w:val="22"/>
        </w:rPr>
      </w:pPr>
    </w:p>
    <w:p w:rsidR="00B81D52" w:rsidRDefault="00B81D52" w:rsidP="00B81D52">
      <w:pPr>
        <w:pStyle w:val="ParaNum"/>
      </w:pPr>
      <w:r>
        <w:t>The Commission has before it the Application for Review (AFR) filed by US Pro Descubierta (USPD) on November 30, 2015.  USPD seeks review of a Media Bureau (Bureau) decision that affirmed the dismissal of its application for a construction permit for a new LPFM station at Seffner, Florida (Application).</w:t>
      </w:r>
      <w:r>
        <w:rPr>
          <w:rStyle w:val="FootnoteReference"/>
        </w:rPr>
        <w:footnoteReference w:id="2"/>
      </w:r>
      <w:r>
        <w:t xml:space="preserve">  Although the Bureau initially dismissed the Application because an amendment filed on February 26, 2014 (February Amendment) resulted in a spacing violation under Section 73.807 of the FCC’s rules (Rules),</w:t>
      </w:r>
      <w:r>
        <w:rPr>
          <w:rStyle w:val="FootnoteReference"/>
        </w:rPr>
        <w:footnoteReference w:id="3"/>
      </w:r>
      <w:r>
        <w:t xml:space="preserve"> the Bureau subsequently determined that the Application was also defective because, among other things,  a prior USPD post-application filing window amendment, filed on January 31, 2014 (January Amendment), had disclosed a prohibited change of more than 50 percent of USPD’s board of directors, in violation of Section 73.871(c)(3) of the Rules.</w:t>
      </w:r>
      <w:r>
        <w:rPr>
          <w:rStyle w:val="FootnoteReference"/>
        </w:rPr>
        <w:footnoteReference w:id="4"/>
      </w:r>
      <w:r>
        <w:t xml:space="preserve"> </w:t>
      </w:r>
    </w:p>
    <w:p w:rsidR="00B81D52" w:rsidRDefault="00B81D52" w:rsidP="00B81D52">
      <w:pPr>
        <w:pStyle w:val="ParaNum"/>
      </w:pPr>
      <w:r>
        <w:t>The Application was one of three applications filed in the 2013 LPFM filing window in which Frank Greer was listed as a board member, in violation of the FCC rule that prohibits the filing of inconsistent broadcast applications.</w:t>
      </w:r>
      <w:r>
        <w:rPr>
          <w:rStyle w:val="FootnoteReference"/>
        </w:rPr>
        <w:footnoteReference w:id="5"/>
      </w:r>
      <w:r>
        <w:t xml:space="preserve">  The January Amendment was filed shortly after the Bureau </w:t>
      </w:r>
      <w:r>
        <w:lastRenderedPageBreak/>
        <w:t>dismissed one of those applications–that of Hispanic Broadcasting Institute, Inc.–pursuant to that rule.</w:t>
      </w:r>
      <w:r>
        <w:rPr>
          <w:rStyle w:val="FootnoteReference"/>
        </w:rPr>
        <w:footnoteReference w:id="6"/>
      </w:r>
      <w:r>
        <w:t xml:space="preserve">  USPD’s January Amendment specified an entirely new USPD board of directors, in violation of Section 73.871(c)(3).</w:t>
      </w:r>
      <w:r>
        <w:rPr>
          <w:rStyle w:val="FootnoteReference"/>
        </w:rPr>
        <w:footnoteReference w:id="7"/>
      </w:r>
      <w:r>
        <w:t xml:space="preserve">  We uphold the Bureau’s determination that this major change in control of USPD constituted a fatal application defect.</w:t>
      </w:r>
      <w:r>
        <w:rPr>
          <w:rStyle w:val="FootnoteReference"/>
        </w:rPr>
        <w:footnoteReference w:id="8"/>
      </w:r>
      <w:r>
        <w:t xml:space="preserve">  To the extent that the AFR raises issues regarding other parties’ applications, we need not address them here because the only relevant issue before us is whether it was appropriate to dismiss the USPD Application for the violation of Section 73.871(c)(3), and we hold that it was.</w:t>
      </w:r>
      <w:r>
        <w:rPr>
          <w:rStyle w:val="FootnoteReference"/>
        </w:rPr>
        <w:footnoteReference w:id="9"/>
      </w:r>
    </w:p>
    <w:p w:rsidR="00B81D52" w:rsidRPr="00580941" w:rsidRDefault="00B81D52" w:rsidP="00B81D52">
      <w:pPr>
        <w:pStyle w:val="ParaNum"/>
        <w:rPr>
          <w:szCs w:val="22"/>
        </w:rPr>
      </w:pPr>
      <w:r w:rsidRPr="00580941">
        <w:rPr>
          <w:szCs w:val="22"/>
        </w:rPr>
        <w:t>ACCORDINGLY, IT IS ORDERED that</w:t>
      </w:r>
      <w:r>
        <w:rPr>
          <w:szCs w:val="22"/>
        </w:rPr>
        <w:t xml:space="preserve"> the </w:t>
      </w:r>
      <w:r w:rsidRPr="00580941">
        <w:rPr>
          <w:szCs w:val="22"/>
        </w:rPr>
        <w:t xml:space="preserve">Application for Review filed by </w:t>
      </w:r>
      <w:r>
        <w:rPr>
          <w:szCs w:val="22"/>
        </w:rPr>
        <w:t>US Pro Descubierta</w:t>
      </w:r>
      <w:r w:rsidRPr="00580941">
        <w:rPr>
          <w:szCs w:val="22"/>
        </w:rPr>
        <w:t xml:space="preserve"> on </w:t>
      </w:r>
      <w:r>
        <w:rPr>
          <w:szCs w:val="22"/>
        </w:rPr>
        <w:t>November 30, 2015</w:t>
      </w:r>
      <w:r w:rsidRPr="00580941">
        <w:rPr>
          <w:szCs w:val="22"/>
        </w:rPr>
        <w:t xml:space="preserve">, </w:t>
      </w:r>
      <w:r>
        <w:t xml:space="preserve">IS </w:t>
      </w:r>
      <w:r w:rsidRPr="00D46DE1">
        <w:t>DENIED</w:t>
      </w:r>
      <w:r>
        <w:t xml:space="preserve"> </w:t>
      </w:r>
      <w:r w:rsidRPr="00D46DE1">
        <w:t xml:space="preserve">pursuant to Section 5(c)(5) of the Communications Act of 1934, as amended, and Section 1.115(g) of the </w:t>
      </w:r>
      <w:r>
        <w:t>FCC rules</w:t>
      </w:r>
      <w:r w:rsidRPr="00D46DE1">
        <w:t>.</w:t>
      </w:r>
      <w:r w:rsidRPr="00D46DE1">
        <w:rPr>
          <w:sz w:val="20"/>
          <w:vertAlign w:val="superscript"/>
        </w:rPr>
        <w:footnoteReference w:id="10"/>
      </w:r>
    </w:p>
    <w:p w:rsidR="00B81D52" w:rsidRPr="00580941" w:rsidRDefault="00B81D52" w:rsidP="00B81D52">
      <w:pPr>
        <w:widowControl/>
        <w:rPr>
          <w:snapToGrid/>
          <w:kern w:val="0"/>
          <w:szCs w:val="22"/>
        </w:rPr>
      </w:pP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t>FEDERAL COMMUNICATIONS COMMISSION</w:t>
      </w:r>
    </w:p>
    <w:p w:rsidR="00B81D52" w:rsidRPr="00580941" w:rsidRDefault="00B81D52" w:rsidP="00B81D52">
      <w:pPr>
        <w:widowControl/>
        <w:rPr>
          <w:snapToGrid/>
          <w:kern w:val="0"/>
          <w:szCs w:val="22"/>
        </w:rPr>
      </w:pPr>
    </w:p>
    <w:p w:rsidR="00B81D52" w:rsidRPr="00580941" w:rsidRDefault="00B81D52" w:rsidP="00B81D52">
      <w:pPr>
        <w:widowControl/>
        <w:rPr>
          <w:snapToGrid/>
          <w:kern w:val="0"/>
          <w:szCs w:val="22"/>
        </w:rPr>
      </w:pPr>
    </w:p>
    <w:p w:rsidR="00B81D52" w:rsidRPr="00580941" w:rsidRDefault="00B81D52" w:rsidP="00B81D52">
      <w:pPr>
        <w:widowControl/>
        <w:rPr>
          <w:snapToGrid/>
          <w:kern w:val="0"/>
          <w:szCs w:val="22"/>
        </w:rPr>
      </w:pPr>
    </w:p>
    <w:p w:rsidR="00B81D52" w:rsidRPr="00580941" w:rsidRDefault="00B81D52" w:rsidP="00B81D52">
      <w:pPr>
        <w:widowControl/>
        <w:rPr>
          <w:snapToGrid/>
          <w:kern w:val="0"/>
          <w:szCs w:val="22"/>
        </w:rPr>
      </w:pPr>
    </w:p>
    <w:p w:rsidR="00B81D52" w:rsidRPr="00580941" w:rsidRDefault="00B81D52" w:rsidP="00B81D52">
      <w:pPr>
        <w:widowControl/>
        <w:rPr>
          <w:snapToGrid/>
          <w:kern w:val="0"/>
          <w:szCs w:val="22"/>
        </w:rPr>
      </w:pPr>
      <w:r w:rsidRPr="00580941">
        <w:rPr>
          <w:snapToGrid/>
          <w:kern w:val="0"/>
          <w:szCs w:val="22"/>
        </w:rPr>
        <w:t xml:space="preserve"> </w:t>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t>Marlene H. Dortch</w:t>
      </w:r>
    </w:p>
    <w:p w:rsidR="002C00E8" w:rsidRPr="00B81D52" w:rsidRDefault="00B81D52" w:rsidP="00AC5E75">
      <w:pPr>
        <w:widowControl/>
      </w:pPr>
      <w:r w:rsidRPr="00580941">
        <w:rPr>
          <w:snapToGrid/>
          <w:kern w:val="0"/>
          <w:szCs w:val="22"/>
        </w:rPr>
        <w:t xml:space="preserve"> </w:t>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r>
      <w:r w:rsidRPr="00580941">
        <w:rPr>
          <w:snapToGrid/>
          <w:kern w:val="0"/>
          <w:szCs w:val="22"/>
        </w:rPr>
        <w:tab/>
        <w:t>Secretary</w:t>
      </w:r>
    </w:p>
    <w:sectPr w:rsidR="002C00E8" w:rsidRPr="00B81D5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A2" w:rsidRDefault="00731FA2">
      <w:pPr>
        <w:spacing w:line="20" w:lineRule="exact"/>
      </w:pPr>
    </w:p>
  </w:endnote>
  <w:endnote w:type="continuationSeparator" w:id="0">
    <w:p w:rsidR="00731FA2" w:rsidRDefault="00731FA2">
      <w:r>
        <w:t xml:space="preserve"> </w:t>
      </w:r>
    </w:p>
  </w:endnote>
  <w:endnote w:type="continuationNotice" w:id="1">
    <w:p w:rsidR="00731FA2" w:rsidRDefault="00731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42F4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A2" w:rsidRDefault="00731FA2">
      <w:r>
        <w:separator/>
      </w:r>
    </w:p>
  </w:footnote>
  <w:footnote w:type="continuationSeparator" w:id="0">
    <w:p w:rsidR="00731FA2" w:rsidRDefault="00731FA2" w:rsidP="00C721AC">
      <w:pPr>
        <w:spacing w:before="120"/>
        <w:rPr>
          <w:sz w:val="20"/>
        </w:rPr>
      </w:pPr>
      <w:r>
        <w:rPr>
          <w:sz w:val="20"/>
        </w:rPr>
        <w:t xml:space="preserve">(Continued from previous page)  </w:t>
      </w:r>
      <w:r>
        <w:rPr>
          <w:sz w:val="20"/>
        </w:rPr>
        <w:separator/>
      </w:r>
    </w:p>
  </w:footnote>
  <w:footnote w:type="continuationNotice" w:id="1">
    <w:p w:rsidR="00731FA2" w:rsidRDefault="00731FA2" w:rsidP="00C721AC">
      <w:pPr>
        <w:jc w:val="right"/>
        <w:rPr>
          <w:sz w:val="20"/>
        </w:rPr>
      </w:pPr>
      <w:r>
        <w:rPr>
          <w:sz w:val="20"/>
        </w:rPr>
        <w:t>(continued….)</w:t>
      </w:r>
    </w:p>
  </w:footnote>
  <w:footnote w:id="2">
    <w:p w:rsidR="00B81D52" w:rsidRPr="003F64CF" w:rsidRDefault="00B81D52" w:rsidP="00B81D52">
      <w:pPr>
        <w:pStyle w:val="FootnoteText"/>
      </w:pPr>
      <w:r>
        <w:rPr>
          <w:rStyle w:val="FootnoteReference"/>
        </w:rPr>
        <w:footnoteRef/>
      </w:r>
      <w:r>
        <w:t xml:space="preserve"> </w:t>
      </w:r>
      <w:r>
        <w:rPr>
          <w:i/>
        </w:rPr>
        <w:t>US Pro Descubierta</w:t>
      </w:r>
      <w:r>
        <w:t>, Letter Order (MB Oct. 29, 2015) (dismissing petition for reconsideration filed by USPD on July 21, 2015 (July 2015 Petition), as repetitious, and finding that the Application was an inconsistent application because USPD had a common board member with two other LPFM applicants from the 2013 LPFM filing window);</w:t>
      </w:r>
      <w:r w:rsidRPr="00EB64AE">
        <w:rPr>
          <w:i/>
        </w:rPr>
        <w:t xml:space="preserve"> US Pro Descubierta</w:t>
      </w:r>
      <w:r w:rsidRPr="00EB64AE">
        <w:t xml:space="preserve">, </w:t>
      </w:r>
      <w:r>
        <w:t xml:space="preserve">Letter Order (MB June 24, 2015) (dismissing petition for reconsideration filed by USPD on April 9, 2015 (April 2015 Petition), as repetitious and as untimely); </w:t>
      </w:r>
      <w:r w:rsidRPr="00EB64AE">
        <w:rPr>
          <w:i/>
        </w:rPr>
        <w:t>US Pro Descubierta</w:t>
      </w:r>
      <w:r w:rsidRPr="00EB64AE">
        <w:t xml:space="preserve">, </w:t>
      </w:r>
      <w:r>
        <w:t>Letter Order</w:t>
      </w:r>
      <w:r w:rsidRPr="00EB64AE">
        <w:t xml:space="preserve"> (MB Feb. 3, 2015</w:t>
      </w:r>
      <w:r>
        <w:t>) (</w:t>
      </w:r>
      <w:r w:rsidRPr="00EB64AE">
        <w:rPr>
          <w:i/>
        </w:rPr>
        <w:t>Second</w:t>
      </w:r>
      <w:r w:rsidRPr="00EB64AE">
        <w:t xml:space="preserve"> </w:t>
      </w:r>
      <w:r w:rsidRPr="00EB64AE">
        <w:rPr>
          <w:i/>
        </w:rPr>
        <w:t>Reconsideration Decision</w:t>
      </w:r>
      <w:r>
        <w:t>) (denying petitions for reconsideration filed by USPD on November 3, 2014);</w:t>
      </w:r>
      <w:r w:rsidRPr="00EB64AE">
        <w:t xml:space="preserve"> </w:t>
      </w:r>
      <w:r w:rsidRPr="00EB64AE">
        <w:rPr>
          <w:i/>
        </w:rPr>
        <w:t>US Pro Descubierta</w:t>
      </w:r>
      <w:r w:rsidRPr="00EB64AE">
        <w:t xml:space="preserve">, </w:t>
      </w:r>
      <w:r>
        <w:t>Letter Order (MB Oct. 9, 2014) (</w:t>
      </w:r>
      <w:r w:rsidRPr="00EB64AE">
        <w:rPr>
          <w:i/>
        </w:rPr>
        <w:t>First Reconsideration Decision</w:t>
      </w:r>
      <w:r w:rsidRPr="00EB64AE">
        <w:t>)</w:t>
      </w:r>
      <w:r>
        <w:t xml:space="preserve"> (denying petition for reconsideration filed by USPD on March 24, 2014, and finding that USPD was not eligible to hold an LPFM license because its corporate status with the Commonwealth of Massachusetts had lapsed several years prior to the filing of the Application)</w:t>
      </w:r>
      <w:r w:rsidRPr="00EB64AE">
        <w:t xml:space="preserve">; </w:t>
      </w:r>
      <w:r>
        <w:rPr>
          <w:i/>
        </w:rPr>
        <w:t xml:space="preserve">US Pro </w:t>
      </w:r>
      <w:r w:rsidRPr="008C64C8">
        <w:rPr>
          <w:i/>
        </w:rPr>
        <w:t>Descubierta</w:t>
      </w:r>
      <w:r>
        <w:t xml:space="preserve">, </w:t>
      </w:r>
      <w:r w:rsidRPr="008C64C8">
        <w:t>Letter</w:t>
      </w:r>
      <w:r>
        <w:t xml:space="preserve"> Order (MB Feb. 28, 2014) (</w:t>
      </w:r>
      <w:r>
        <w:rPr>
          <w:i/>
        </w:rPr>
        <w:t>Dismissal Letter</w:t>
      </w:r>
      <w:r>
        <w:t>).</w:t>
      </w:r>
    </w:p>
  </w:footnote>
  <w:footnote w:id="3">
    <w:p w:rsidR="00B81D52" w:rsidRPr="008D17BF" w:rsidRDefault="00B81D52" w:rsidP="00B81D52">
      <w:pPr>
        <w:pStyle w:val="FootnoteText"/>
        <w:rPr>
          <w:i/>
        </w:rPr>
      </w:pPr>
      <w:r>
        <w:rPr>
          <w:rStyle w:val="FootnoteReference"/>
        </w:rPr>
        <w:footnoteRef/>
      </w:r>
      <w:r>
        <w:t xml:space="preserve"> 47 CFR </w:t>
      </w:r>
      <w:r w:rsidRPr="00390FE9">
        <w:t>§</w:t>
      </w:r>
      <w:r>
        <w:t xml:space="preserve"> 73.807; </w:t>
      </w:r>
      <w:r>
        <w:rPr>
          <w:i/>
        </w:rPr>
        <w:t xml:space="preserve">Dismissal Letter </w:t>
      </w:r>
      <w:r>
        <w:t xml:space="preserve">at 1 (February Amendment resulted in a violation of Section 73.807 and curative amendment could not be filed pursuant to Section 73.870(c)).  </w:t>
      </w:r>
      <w:r>
        <w:rPr>
          <w:i/>
        </w:rPr>
        <w:t xml:space="preserve">See </w:t>
      </w:r>
      <w:r>
        <w:t xml:space="preserve">47 CFR </w:t>
      </w:r>
      <w:r w:rsidRPr="00390FE9">
        <w:t>§</w:t>
      </w:r>
      <w:r>
        <w:t xml:space="preserve"> 73.870(c).</w:t>
      </w:r>
    </w:p>
  </w:footnote>
  <w:footnote w:id="4">
    <w:p w:rsidR="00B81D52" w:rsidRPr="00390FE9" w:rsidRDefault="00B81D52" w:rsidP="00B81D52">
      <w:pPr>
        <w:pStyle w:val="FootnoteText"/>
      </w:pPr>
      <w:r w:rsidRPr="00390FE9">
        <w:rPr>
          <w:rStyle w:val="FootnoteReference"/>
        </w:rPr>
        <w:footnoteRef/>
      </w:r>
      <w:r w:rsidRPr="00390FE9">
        <w:t xml:space="preserve"> 47 CFR § 73.871(c)(3</w:t>
      </w:r>
      <w:r>
        <w:t xml:space="preserve">); </w:t>
      </w:r>
      <w:r w:rsidRPr="00390FE9">
        <w:rPr>
          <w:i/>
        </w:rPr>
        <w:t xml:space="preserve">First Reconsideration Decision </w:t>
      </w:r>
      <w:r w:rsidRPr="00390FE9">
        <w:t xml:space="preserve">at 3 (application could not be reinstated because </w:t>
      </w:r>
      <w:r>
        <w:t>January Amendment</w:t>
      </w:r>
      <w:r w:rsidRPr="00390FE9">
        <w:t xml:space="preserve"> </w:t>
      </w:r>
      <w:r>
        <w:t>reported</w:t>
      </w:r>
      <w:r w:rsidRPr="00390FE9">
        <w:t xml:space="preserve"> a 100</w:t>
      </w:r>
      <w:r>
        <w:t xml:space="preserve"> percent</w:t>
      </w:r>
      <w:r w:rsidRPr="00390FE9">
        <w:t xml:space="preserve"> change in control of USPD’s board).  </w:t>
      </w:r>
      <w:r w:rsidRPr="00390FE9">
        <w:rPr>
          <w:i/>
        </w:rPr>
        <w:t>See also Second Reconsideration Decision</w:t>
      </w:r>
      <w:r w:rsidRPr="00390FE9">
        <w:t xml:space="preserve"> at 3 (affirming dismissal of Application for violation of </w:t>
      </w:r>
      <w:r>
        <w:t>Section</w:t>
      </w:r>
      <w:r w:rsidRPr="00390FE9">
        <w:t xml:space="preserve"> 73.871(c)(3)).</w:t>
      </w:r>
      <w:r>
        <w:t xml:space="preserve">  </w:t>
      </w:r>
    </w:p>
  </w:footnote>
  <w:footnote w:id="5">
    <w:p w:rsidR="00B81D52" w:rsidRPr="00A92BBF" w:rsidRDefault="00B81D52" w:rsidP="00B81D52">
      <w:pPr>
        <w:pStyle w:val="FootnoteText"/>
      </w:pPr>
      <w:r>
        <w:rPr>
          <w:rStyle w:val="FootnoteReference"/>
        </w:rPr>
        <w:footnoteRef/>
      </w:r>
      <w:r>
        <w:t xml:space="preserve"> 47 CFR § 73.3518; </w:t>
      </w:r>
      <w:r>
        <w:rPr>
          <w:i/>
        </w:rPr>
        <w:t>Hispanic Broad. Inst., Inc.</w:t>
      </w:r>
      <w:r>
        <w:t>, Memorandum Opinion and Order, 30 FCC Rcd 10560, 10562, para. 4 (2015) (</w:t>
      </w:r>
      <w:r>
        <w:rPr>
          <w:i/>
        </w:rPr>
        <w:t>HBI Order</w:t>
      </w:r>
      <w:r>
        <w:t xml:space="preserve">) (affirming dismissal of application for a construction permit for a new LPFM station filed by Hispanic Broadcasting Institute, Inc. because it was an inconsistent application).  Because the USPD Application was the first of the three Frank Greer applications to be filed, it was not subject to immediate dismissal pursuant to the inconsistent application rule (Section 73.3518).  </w:t>
      </w:r>
      <w:r>
        <w:rPr>
          <w:i/>
        </w:rPr>
        <w:t xml:space="preserve">See </w:t>
      </w:r>
      <w:r w:rsidRPr="00E6301B">
        <w:rPr>
          <w:bCs/>
          <w:i/>
          <w:shd w:val="clear" w:color="auto" w:fill="FFFFFF"/>
        </w:rPr>
        <w:t>Media Bureau Announces Availability of the Revised FCC Form 318 and the Filing Procedures for October 15 - October 29, 2013 Low Power FM Filing Window</w:t>
      </w:r>
      <w:r w:rsidRPr="00CC27E2">
        <w:rPr>
          <w:bCs/>
          <w:shd w:val="clear" w:color="auto" w:fill="FFFFFF"/>
        </w:rPr>
        <w:t>, Public Notice, 28 FCC Rcd 8854, 8856-57 (MB 2013)</w:t>
      </w:r>
      <w:r w:rsidRPr="00CC27E2">
        <w:t xml:space="preserve"> (“For applicants subject to the one application filing limit, a second application filed by such an applicant in this window would be treated as a “conflicting” application subject to dismissal under Section 73.3518.”).</w:t>
      </w:r>
      <w:r>
        <w:t xml:space="preserve">  </w:t>
      </w:r>
    </w:p>
  </w:footnote>
  <w:footnote w:id="6">
    <w:p w:rsidR="00B81D52" w:rsidRDefault="00B81D52" w:rsidP="00B81D52">
      <w:pPr>
        <w:pStyle w:val="FootnoteText"/>
      </w:pPr>
      <w:r>
        <w:rPr>
          <w:rStyle w:val="FootnoteReference"/>
        </w:rPr>
        <w:footnoteRef/>
      </w:r>
      <w:r>
        <w:t xml:space="preserve"> </w:t>
      </w:r>
      <w:r w:rsidRPr="00CC27E2">
        <w:rPr>
          <w:i/>
        </w:rPr>
        <w:t>See Broadcast Actions</w:t>
      </w:r>
      <w:r w:rsidRPr="00CC27E2">
        <w:t xml:space="preserve">, Public Notice, Report No. 48138 (MB Dec. 18, 2013) (“Dismissed 12/13/2013 per DA 13-1385.  Applicant has a common board member (Frank Greer) with another LPFM application filed in the window.  No letter sent.”).  </w:t>
      </w:r>
    </w:p>
  </w:footnote>
  <w:footnote w:id="7">
    <w:p w:rsidR="00B81D52" w:rsidRPr="007938BF" w:rsidRDefault="00B81D52" w:rsidP="00B81D52">
      <w:pPr>
        <w:pStyle w:val="FootnoteText"/>
      </w:pPr>
      <w:r>
        <w:rPr>
          <w:rStyle w:val="FootnoteReference"/>
        </w:rPr>
        <w:footnoteRef/>
      </w:r>
      <w:r>
        <w:t xml:space="preserve"> </w:t>
      </w:r>
      <w:r>
        <w:rPr>
          <w:i/>
        </w:rPr>
        <w:t xml:space="preserve">See </w:t>
      </w:r>
      <w:r>
        <w:t xml:space="preserve">note 3 </w:t>
      </w:r>
      <w:r>
        <w:rPr>
          <w:i/>
        </w:rPr>
        <w:t>supra</w:t>
      </w:r>
      <w:r>
        <w:t xml:space="preserve">.  </w:t>
      </w:r>
      <w:r w:rsidRPr="00390FE9">
        <w:t xml:space="preserve">As discussed in the </w:t>
      </w:r>
      <w:r w:rsidRPr="00390FE9">
        <w:rPr>
          <w:i/>
        </w:rPr>
        <w:t>First Reconsideration Decision</w:t>
      </w:r>
      <w:r w:rsidRPr="00390FE9">
        <w:t>,</w:t>
      </w:r>
      <w:r w:rsidRPr="00390FE9">
        <w:rPr>
          <w:i/>
        </w:rPr>
        <w:t xml:space="preserve"> </w:t>
      </w:r>
      <w:r w:rsidRPr="00390FE9">
        <w:t>the Application originally identified USPD’s board as consisting of Frank Greer, Paula Perez, and Rolando Padron, each with 33</w:t>
      </w:r>
      <w:r>
        <w:t xml:space="preserve"> percent</w:t>
      </w:r>
      <w:r w:rsidRPr="00390FE9">
        <w:t xml:space="preserve"> of the board’s votes.  Application at Section II, Question 3.  The </w:t>
      </w:r>
      <w:r>
        <w:t xml:space="preserve">January </w:t>
      </w:r>
      <w:r w:rsidRPr="00390FE9">
        <w:t>Amendment removed Frank Greer, Paula Perez</w:t>
      </w:r>
      <w:r>
        <w:t>,</w:t>
      </w:r>
      <w:r w:rsidRPr="00390FE9">
        <w:t xml:space="preserve"> and Rolando Padron as board members</w:t>
      </w:r>
      <w:r>
        <w:t>,</w:t>
      </w:r>
      <w:r w:rsidRPr="00390FE9">
        <w:t xml:space="preserve"> and identified Paula Greer and Isidora Acosta as the </w:t>
      </w:r>
      <w:r>
        <w:t xml:space="preserve">new </w:t>
      </w:r>
      <w:r w:rsidRPr="00390FE9">
        <w:t>board members</w:t>
      </w:r>
      <w:r>
        <w:t>,</w:t>
      </w:r>
      <w:r w:rsidRPr="00390FE9">
        <w:t xml:space="preserve"> </w:t>
      </w:r>
      <w:r>
        <w:t>each with 33 percent</w:t>
      </w:r>
      <w:r w:rsidRPr="00390FE9">
        <w:t xml:space="preserve"> of the board’s votes.  </w:t>
      </w:r>
      <w:r>
        <w:t xml:space="preserve">January </w:t>
      </w:r>
      <w:r w:rsidRPr="00390FE9">
        <w:t xml:space="preserve">Amendment at Section II, Question 3.  The </w:t>
      </w:r>
      <w:r>
        <w:t>January Amendment</w:t>
      </w:r>
      <w:r w:rsidRPr="00390FE9">
        <w:t xml:space="preserve"> d</w:t>
      </w:r>
      <w:r>
        <w:t xml:space="preserve">id not identify who holds the remaining 33 percent of the board’s votes.  </w:t>
      </w:r>
    </w:p>
  </w:footnote>
  <w:footnote w:id="8">
    <w:p w:rsidR="00B81D52" w:rsidRDefault="00B81D52" w:rsidP="00B81D52">
      <w:pPr>
        <w:pStyle w:val="FootnoteText"/>
      </w:pPr>
      <w:r>
        <w:rPr>
          <w:rStyle w:val="FootnoteReference"/>
        </w:rPr>
        <w:footnoteRef/>
      </w:r>
      <w:r>
        <w:t xml:space="preserve"> </w:t>
      </w:r>
      <w:r w:rsidRPr="00ED7F7B">
        <w:rPr>
          <w:i/>
        </w:rPr>
        <w:t>See</w:t>
      </w:r>
      <w:r>
        <w:rPr>
          <w:i/>
        </w:rPr>
        <w:t xml:space="preserve">, e.g., </w:t>
      </w:r>
      <w:r>
        <w:rPr>
          <w:i/>
          <w:iCs/>
        </w:rPr>
        <w:t>Fatima Response, Inc.</w:t>
      </w:r>
      <w:r>
        <w:t>, Letter Order, 21 FCC Rcd 11711 (MB 2006) (</w:t>
      </w:r>
      <w:bookmarkStart w:id="1" w:name="SR;2220"/>
      <w:bookmarkEnd w:id="1"/>
      <w:r>
        <w:rPr>
          <w:rStyle w:val="searchterm"/>
        </w:rPr>
        <w:t>dismissing</w:t>
      </w:r>
      <w:r>
        <w:t xml:space="preserve"> application for new noncommercial educational station where applicant had experienced major </w:t>
      </w:r>
      <w:bookmarkStart w:id="2" w:name="SR;2229"/>
      <w:bookmarkEnd w:id="2"/>
      <w:r>
        <w:rPr>
          <w:rStyle w:val="searchterm"/>
        </w:rPr>
        <w:t>changes</w:t>
      </w:r>
      <w:r>
        <w:t xml:space="preserve"> in </w:t>
      </w:r>
      <w:bookmarkStart w:id="3" w:name="SR;2231"/>
      <w:bookmarkEnd w:id="3"/>
      <w:r>
        <w:rPr>
          <w:rStyle w:val="searchterm"/>
        </w:rPr>
        <w:t>board</w:t>
      </w:r>
      <w:r>
        <w:t xml:space="preserve"> composition), </w:t>
      </w:r>
      <w:r>
        <w:rPr>
          <w:i/>
        </w:rPr>
        <w:t>recon. denied</w:t>
      </w:r>
      <w:r>
        <w:t xml:space="preserve">, Letter Order, 22 FCC Rcd 8402 (MB 2007).  </w:t>
      </w:r>
      <w:r>
        <w:rPr>
          <w:i/>
        </w:rPr>
        <w:t>Cf. Ct</w:t>
      </w:r>
      <w:r w:rsidRPr="00ED7F7B">
        <w:rPr>
          <w:i/>
        </w:rPr>
        <w:t>r</w:t>
      </w:r>
      <w:r>
        <w:rPr>
          <w:i/>
        </w:rPr>
        <w:t xml:space="preserve">. for Cmty. </w:t>
      </w:r>
      <w:r w:rsidRPr="00ED7F7B">
        <w:rPr>
          <w:i/>
        </w:rPr>
        <w:t>Arts, Inc.</w:t>
      </w:r>
      <w:r>
        <w:t>,</w:t>
      </w:r>
      <w:r>
        <w:rPr>
          <w:i/>
        </w:rPr>
        <w:t xml:space="preserve"> </w:t>
      </w:r>
      <w:r w:rsidRPr="00ED7F7B">
        <w:t>Memorandum Opinion and Order, 20 FCC Rcd 11164</w:t>
      </w:r>
      <w:r>
        <w:t>, 11165, para. 3</w:t>
      </w:r>
      <w:r w:rsidRPr="00ED7F7B">
        <w:t xml:space="preserve"> (2005) (waiving Section </w:t>
      </w:r>
      <w:r>
        <w:t xml:space="preserve">73.871(c)(3) where LPFM applicant’s major board change was gradual and took place over a period of four years).  </w:t>
      </w:r>
    </w:p>
  </w:footnote>
  <w:footnote w:id="9">
    <w:p w:rsidR="00B81D52" w:rsidRPr="00DE418F" w:rsidRDefault="00B81D52" w:rsidP="00B81D52">
      <w:pPr>
        <w:pStyle w:val="FootnoteText"/>
      </w:pPr>
      <w:r>
        <w:rPr>
          <w:rStyle w:val="FootnoteReference"/>
        </w:rPr>
        <w:footnoteRef/>
      </w:r>
      <w:r>
        <w:t xml:space="preserve"> </w:t>
      </w:r>
      <w:r w:rsidRPr="00841AC0">
        <w:rPr>
          <w:i/>
        </w:rPr>
        <w:t>See</w:t>
      </w:r>
      <w:r>
        <w:t xml:space="preserve"> 47 CFR § 73.3566(a).  USPD additionally alleges misconduct by the Bureau staff in failing to reinstate the Application after USPD filed corrective technical amendments, subsequent to the January Amendment, to address the spacing violation identified in the </w:t>
      </w:r>
      <w:r>
        <w:rPr>
          <w:i/>
        </w:rPr>
        <w:t>Dismissal Letter</w:t>
      </w:r>
      <w:r>
        <w:t xml:space="preserve">, and for failing to acknowledge a certificate from the Secretary of the Commonwealth of Massachusetts showing that USPD had been reinstated as a valid corporation.  AFR at 10-11.  HBI raised a similar allegation of staff misconduct, which the Commission dismissed as unsupported.  </w:t>
      </w:r>
      <w:r>
        <w:rPr>
          <w:i/>
        </w:rPr>
        <w:t>See HBI Order</w:t>
      </w:r>
      <w:r>
        <w:t>, 30 FCC Rcd at 10562-63, para. 3.  We likewise find that USPD’s claims of staff misconduct here are unsupported.  Because the January Amendment rendered the Application fatally defective due to the major change in USPD’s board of directors, USPD’s other arguments involve issues which are moot because the Application was correctly dismissed for the violation of Section 73.871(c)(3).</w:t>
      </w:r>
    </w:p>
  </w:footnote>
  <w:footnote w:id="10">
    <w:p w:rsidR="00B81D52" w:rsidRPr="00CC27E2" w:rsidRDefault="00B81D52" w:rsidP="00B81D52">
      <w:pPr>
        <w:pStyle w:val="FootnoteText"/>
      </w:pPr>
      <w:r w:rsidRPr="00CC27E2">
        <w:rPr>
          <w:rStyle w:val="FootnoteReference"/>
        </w:rPr>
        <w:footnoteRef/>
      </w:r>
      <w:r>
        <w:t xml:space="preserve"> 47 U.S.C. § 155(c)(5); 47 CF</w:t>
      </w:r>
      <w:r w:rsidRPr="00CC27E2">
        <w:t>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74" w:rsidRDefault="001B1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C5E75">
      <w:t>FCC 16</w:t>
    </w:r>
    <w:r w:rsidR="004673E7">
      <w:t>-</w:t>
    </w:r>
    <w:r w:rsidR="00AC5E75">
      <w:t>5</w:t>
    </w:r>
    <w:r w:rsidR="004673E7">
      <w:t>2</w:t>
    </w:r>
  </w:p>
  <w:p w:rsidR="00D25FB5" w:rsidRDefault="00FE283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824" behindDoc="1" locked="0" layoutInCell="0" allowOverlap="1" wp14:anchorId="73CA9EBE" wp14:editId="3F38DF4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ECF52" id="Rectangle 1" o:spid="_x0000_s1026" style="position:absolute;margin-left:0;margin-top:0;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E283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9FA1C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673E7">
      <w:rPr>
        <w:spacing w:val="-2"/>
      </w:rPr>
      <w:t>FCC 1</w:t>
    </w:r>
    <w:r w:rsidR="00AC5E75">
      <w:rPr>
        <w:spacing w:val="-2"/>
      </w:rPr>
      <w:t>6</w:t>
    </w:r>
    <w:r w:rsidR="004673E7">
      <w:rPr>
        <w:spacing w:val="-2"/>
      </w:rPr>
      <w:t>-</w:t>
    </w:r>
    <w:r w:rsidR="00AC5E75">
      <w:rPr>
        <w:spacing w:val="-2"/>
      </w:rPr>
      <w:t>5</w:t>
    </w:r>
    <w:r w:rsidR="004673E7">
      <w:rPr>
        <w:spacing w:val="-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52"/>
    <w:rsid w:val="00036039"/>
    <w:rsid w:val="00037F90"/>
    <w:rsid w:val="000875BF"/>
    <w:rsid w:val="00096D8C"/>
    <w:rsid w:val="000C0B65"/>
    <w:rsid w:val="000E05FE"/>
    <w:rsid w:val="000E3D42"/>
    <w:rsid w:val="00122BD5"/>
    <w:rsid w:val="00133F79"/>
    <w:rsid w:val="00194A66"/>
    <w:rsid w:val="001A06A7"/>
    <w:rsid w:val="001B1B74"/>
    <w:rsid w:val="001D6BCF"/>
    <w:rsid w:val="001E01CA"/>
    <w:rsid w:val="00275CF5"/>
    <w:rsid w:val="0028301F"/>
    <w:rsid w:val="00285017"/>
    <w:rsid w:val="002A2D2E"/>
    <w:rsid w:val="002C00E8"/>
    <w:rsid w:val="00342F4F"/>
    <w:rsid w:val="00343749"/>
    <w:rsid w:val="003660ED"/>
    <w:rsid w:val="003B0550"/>
    <w:rsid w:val="003B694F"/>
    <w:rsid w:val="003F171C"/>
    <w:rsid w:val="00412FC5"/>
    <w:rsid w:val="00422276"/>
    <w:rsid w:val="004242F1"/>
    <w:rsid w:val="00445A00"/>
    <w:rsid w:val="00451B0F"/>
    <w:rsid w:val="004673E7"/>
    <w:rsid w:val="004C2EE3"/>
    <w:rsid w:val="004E4A22"/>
    <w:rsid w:val="00511968"/>
    <w:rsid w:val="0055614C"/>
    <w:rsid w:val="005E14C2"/>
    <w:rsid w:val="00607BA5"/>
    <w:rsid w:val="0061180A"/>
    <w:rsid w:val="00626EB6"/>
    <w:rsid w:val="00655D03"/>
    <w:rsid w:val="00657BB2"/>
    <w:rsid w:val="00683388"/>
    <w:rsid w:val="00683F84"/>
    <w:rsid w:val="00690ED4"/>
    <w:rsid w:val="006912A5"/>
    <w:rsid w:val="006A6A81"/>
    <w:rsid w:val="006F7393"/>
    <w:rsid w:val="0070224F"/>
    <w:rsid w:val="007115F7"/>
    <w:rsid w:val="00731FA2"/>
    <w:rsid w:val="00785689"/>
    <w:rsid w:val="0079754B"/>
    <w:rsid w:val="007A1E6D"/>
    <w:rsid w:val="007B0EB2"/>
    <w:rsid w:val="00810B6F"/>
    <w:rsid w:val="00822CE0"/>
    <w:rsid w:val="00841AB1"/>
    <w:rsid w:val="008C68F1"/>
    <w:rsid w:val="00921803"/>
    <w:rsid w:val="00926503"/>
    <w:rsid w:val="009726D8"/>
    <w:rsid w:val="00973869"/>
    <w:rsid w:val="009F76DB"/>
    <w:rsid w:val="00A32C3B"/>
    <w:rsid w:val="00A45F4F"/>
    <w:rsid w:val="00A600A9"/>
    <w:rsid w:val="00AA55B7"/>
    <w:rsid w:val="00AA5B9E"/>
    <w:rsid w:val="00AB2407"/>
    <w:rsid w:val="00AB53DF"/>
    <w:rsid w:val="00AC5E75"/>
    <w:rsid w:val="00AE6246"/>
    <w:rsid w:val="00B07E5C"/>
    <w:rsid w:val="00B811F7"/>
    <w:rsid w:val="00B81D52"/>
    <w:rsid w:val="00BA5DC6"/>
    <w:rsid w:val="00BA6196"/>
    <w:rsid w:val="00BC6D8C"/>
    <w:rsid w:val="00C34006"/>
    <w:rsid w:val="00C426B1"/>
    <w:rsid w:val="00C66160"/>
    <w:rsid w:val="00C721AC"/>
    <w:rsid w:val="00C90D6A"/>
    <w:rsid w:val="00CA247E"/>
    <w:rsid w:val="00CC72B6"/>
    <w:rsid w:val="00D0218D"/>
    <w:rsid w:val="00D25FB5"/>
    <w:rsid w:val="00D44223"/>
    <w:rsid w:val="00D6081E"/>
    <w:rsid w:val="00DA2529"/>
    <w:rsid w:val="00DB130A"/>
    <w:rsid w:val="00DB2EBB"/>
    <w:rsid w:val="00DC10A1"/>
    <w:rsid w:val="00DC655F"/>
    <w:rsid w:val="00DD0B59"/>
    <w:rsid w:val="00DD7EBD"/>
    <w:rsid w:val="00DF62B6"/>
    <w:rsid w:val="00E07225"/>
    <w:rsid w:val="00E5409F"/>
    <w:rsid w:val="00EE6488"/>
    <w:rsid w:val="00F021FA"/>
    <w:rsid w:val="00F45884"/>
    <w:rsid w:val="00F62E97"/>
    <w:rsid w:val="00F64209"/>
    <w:rsid w:val="00F654B8"/>
    <w:rsid w:val="00F86CAB"/>
    <w:rsid w:val="00F93BF5"/>
    <w:rsid w:val="00FE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4F"/>
    <w:pPr>
      <w:widowControl w:val="0"/>
    </w:pPr>
    <w:rPr>
      <w:snapToGrid w:val="0"/>
      <w:kern w:val="28"/>
      <w:sz w:val="22"/>
    </w:rPr>
  </w:style>
  <w:style w:type="paragraph" w:styleId="Heading1">
    <w:name w:val="heading 1"/>
    <w:basedOn w:val="Normal"/>
    <w:next w:val="ParaNum"/>
    <w:qFormat/>
    <w:rsid w:val="00342F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42F4F"/>
    <w:pPr>
      <w:keepNext/>
      <w:numPr>
        <w:ilvl w:val="1"/>
        <w:numId w:val="3"/>
      </w:numPr>
      <w:spacing w:after="120"/>
      <w:outlineLvl w:val="1"/>
    </w:pPr>
    <w:rPr>
      <w:b/>
    </w:rPr>
  </w:style>
  <w:style w:type="paragraph" w:styleId="Heading3">
    <w:name w:val="heading 3"/>
    <w:basedOn w:val="Normal"/>
    <w:next w:val="ParaNum"/>
    <w:qFormat/>
    <w:rsid w:val="00342F4F"/>
    <w:pPr>
      <w:keepNext/>
      <w:numPr>
        <w:ilvl w:val="2"/>
        <w:numId w:val="3"/>
      </w:numPr>
      <w:tabs>
        <w:tab w:val="left" w:pos="2160"/>
      </w:tabs>
      <w:spacing w:after="120"/>
      <w:outlineLvl w:val="2"/>
    </w:pPr>
    <w:rPr>
      <w:b/>
    </w:rPr>
  </w:style>
  <w:style w:type="paragraph" w:styleId="Heading4">
    <w:name w:val="heading 4"/>
    <w:basedOn w:val="Normal"/>
    <w:next w:val="ParaNum"/>
    <w:qFormat/>
    <w:rsid w:val="00342F4F"/>
    <w:pPr>
      <w:keepNext/>
      <w:numPr>
        <w:ilvl w:val="3"/>
        <w:numId w:val="3"/>
      </w:numPr>
      <w:tabs>
        <w:tab w:val="left" w:pos="2880"/>
      </w:tabs>
      <w:spacing w:after="120"/>
      <w:outlineLvl w:val="3"/>
    </w:pPr>
    <w:rPr>
      <w:b/>
    </w:rPr>
  </w:style>
  <w:style w:type="paragraph" w:styleId="Heading5">
    <w:name w:val="heading 5"/>
    <w:basedOn w:val="Normal"/>
    <w:next w:val="ParaNum"/>
    <w:qFormat/>
    <w:rsid w:val="00342F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42F4F"/>
    <w:pPr>
      <w:numPr>
        <w:ilvl w:val="5"/>
        <w:numId w:val="3"/>
      </w:numPr>
      <w:tabs>
        <w:tab w:val="left" w:pos="4320"/>
      </w:tabs>
      <w:spacing w:after="120"/>
      <w:outlineLvl w:val="5"/>
    </w:pPr>
    <w:rPr>
      <w:b/>
    </w:rPr>
  </w:style>
  <w:style w:type="paragraph" w:styleId="Heading7">
    <w:name w:val="heading 7"/>
    <w:basedOn w:val="Normal"/>
    <w:next w:val="ParaNum"/>
    <w:qFormat/>
    <w:rsid w:val="00342F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42F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42F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2F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2F4F"/>
  </w:style>
  <w:style w:type="paragraph" w:customStyle="1" w:styleId="ParaNum">
    <w:name w:val="ParaNum"/>
    <w:basedOn w:val="Normal"/>
    <w:rsid w:val="00342F4F"/>
    <w:pPr>
      <w:numPr>
        <w:numId w:val="2"/>
      </w:numPr>
      <w:tabs>
        <w:tab w:val="clear" w:pos="1080"/>
        <w:tab w:val="num" w:pos="1440"/>
      </w:tabs>
      <w:spacing w:after="120"/>
    </w:pPr>
  </w:style>
  <w:style w:type="paragraph" w:styleId="EndnoteText">
    <w:name w:val="endnote text"/>
    <w:basedOn w:val="Normal"/>
    <w:semiHidden/>
    <w:rsid w:val="00342F4F"/>
    <w:rPr>
      <w:sz w:val="20"/>
    </w:rPr>
  </w:style>
  <w:style w:type="character" w:styleId="EndnoteReference">
    <w:name w:val="endnote reference"/>
    <w:semiHidden/>
    <w:rsid w:val="00342F4F"/>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342F4F"/>
    <w:pPr>
      <w:spacing w:after="120"/>
    </w:pPr>
  </w:style>
  <w:style w:type="character" w:styleId="FootnoteReference">
    <w:name w:val="footnote reference"/>
    <w:aliases w:val="Style 12,(NECG) Footnote Reference,Appel note de bas de p,Style 124,o,fr,Style 3,Style 13,Style 17,FR,Style 4,Footnote Reference/,Style 6"/>
    <w:rsid w:val="00342F4F"/>
    <w:rPr>
      <w:rFonts w:ascii="Times New Roman" w:hAnsi="Times New Roman"/>
      <w:dstrike w:val="0"/>
      <w:color w:val="auto"/>
      <w:sz w:val="20"/>
      <w:vertAlign w:val="superscript"/>
    </w:rPr>
  </w:style>
  <w:style w:type="paragraph" w:styleId="TOC1">
    <w:name w:val="toc 1"/>
    <w:basedOn w:val="Normal"/>
    <w:next w:val="Normal"/>
    <w:semiHidden/>
    <w:rsid w:val="00342F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2F4F"/>
    <w:pPr>
      <w:tabs>
        <w:tab w:val="left" w:pos="720"/>
        <w:tab w:val="right" w:leader="dot" w:pos="9360"/>
      </w:tabs>
      <w:suppressAutoHyphens/>
      <w:ind w:left="720" w:right="720" w:hanging="360"/>
    </w:pPr>
    <w:rPr>
      <w:noProof/>
    </w:rPr>
  </w:style>
  <w:style w:type="paragraph" w:styleId="TOC3">
    <w:name w:val="toc 3"/>
    <w:basedOn w:val="Normal"/>
    <w:next w:val="Normal"/>
    <w:semiHidden/>
    <w:rsid w:val="00342F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2F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2F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2F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2F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2F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2F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2F4F"/>
    <w:pPr>
      <w:tabs>
        <w:tab w:val="right" w:pos="9360"/>
      </w:tabs>
      <w:suppressAutoHyphens/>
    </w:pPr>
  </w:style>
  <w:style w:type="character" w:customStyle="1" w:styleId="EquationCaption">
    <w:name w:val="_Equation Caption"/>
    <w:rsid w:val="00342F4F"/>
  </w:style>
  <w:style w:type="paragraph" w:styleId="Header">
    <w:name w:val="header"/>
    <w:basedOn w:val="Normal"/>
    <w:autoRedefine/>
    <w:rsid w:val="00342F4F"/>
    <w:pPr>
      <w:tabs>
        <w:tab w:val="center" w:pos="4680"/>
        <w:tab w:val="right" w:pos="9360"/>
      </w:tabs>
    </w:pPr>
    <w:rPr>
      <w:b/>
    </w:rPr>
  </w:style>
  <w:style w:type="paragraph" w:styleId="Footer">
    <w:name w:val="footer"/>
    <w:basedOn w:val="Normal"/>
    <w:rsid w:val="00342F4F"/>
    <w:pPr>
      <w:tabs>
        <w:tab w:val="center" w:pos="4320"/>
        <w:tab w:val="right" w:pos="8640"/>
      </w:tabs>
    </w:pPr>
  </w:style>
  <w:style w:type="character" w:styleId="PageNumber">
    <w:name w:val="page number"/>
    <w:basedOn w:val="DefaultParagraphFont"/>
    <w:rsid w:val="00342F4F"/>
  </w:style>
  <w:style w:type="paragraph" w:styleId="BlockText">
    <w:name w:val="Block Text"/>
    <w:basedOn w:val="Normal"/>
    <w:rsid w:val="00342F4F"/>
    <w:pPr>
      <w:spacing w:after="240"/>
      <w:ind w:left="1440" w:right="1440"/>
    </w:pPr>
  </w:style>
  <w:style w:type="paragraph" w:customStyle="1" w:styleId="Paratitle">
    <w:name w:val="Para title"/>
    <w:basedOn w:val="Normal"/>
    <w:rsid w:val="00342F4F"/>
    <w:pPr>
      <w:tabs>
        <w:tab w:val="center" w:pos="9270"/>
      </w:tabs>
      <w:spacing w:after="240"/>
    </w:pPr>
    <w:rPr>
      <w:spacing w:val="-2"/>
    </w:rPr>
  </w:style>
  <w:style w:type="paragraph" w:customStyle="1" w:styleId="Bullet">
    <w:name w:val="Bullet"/>
    <w:basedOn w:val="Normal"/>
    <w:rsid w:val="00342F4F"/>
    <w:pPr>
      <w:tabs>
        <w:tab w:val="left" w:pos="2160"/>
      </w:tabs>
      <w:spacing w:after="220"/>
      <w:ind w:left="2160" w:hanging="720"/>
    </w:pPr>
  </w:style>
  <w:style w:type="paragraph" w:customStyle="1" w:styleId="TableFormat">
    <w:name w:val="TableFormat"/>
    <w:basedOn w:val="Bullet"/>
    <w:rsid w:val="00342F4F"/>
    <w:pPr>
      <w:tabs>
        <w:tab w:val="clear" w:pos="2160"/>
        <w:tab w:val="left" w:pos="5040"/>
      </w:tabs>
      <w:ind w:left="5040" w:hanging="3600"/>
    </w:pPr>
  </w:style>
  <w:style w:type="paragraph" w:customStyle="1" w:styleId="TOCTitle">
    <w:name w:val="TOC Title"/>
    <w:basedOn w:val="Normal"/>
    <w:rsid w:val="00342F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2F4F"/>
    <w:pPr>
      <w:jc w:val="center"/>
    </w:pPr>
    <w:rPr>
      <w:rFonts w:ascii="Times New Roman Bold" w:hAnsi="Times New Roman Bold"/>
      <w:b/>
      <w:bCs/>
      <w:caps/>
      <w:szCs w:val="22"/>
    </w:rPr>
  </w:style>
  <w:style w:type="character" w:styleId="Hyperlink">
    <w:name w:val="Hyperlink"/>
    <w:rsid w:val="00342F4F"/>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B81D52"/>
  </w:style>
  <w:style w:type="character" w:customStyle="1" w:styleId="searchterm">
    <w:name w:val="searchterm"/>
    <w:rsid w:val="00B8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4F"/>
    <w:pPr>
      <w:widowControl w:val="0"/>
    </w:pPr>
    <w:rPr>
      <w:snapToGrid w:val="0"/>
      <w:kern w:val="28"/>
      <w:sz w:val="22"/>
    </w:rPr>
  </w:style>
  <w:style w:type="paragraph" w:styleId="Heading1">
    <w:name w:val="heading 1"/>
    <w:basedOn w:val="Normal"/>
    <w:next w:val="ParaNum"/>
    <w:qFormat/>
    <w:rsid w:val="00342F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42F4F"/>
    <w:pPr>
      <w:keepNext/>
      <w:numPr>
        <w:ilvl w:val="1"/>
        <w:numId w:val="3"/>
      </w:numPr>
      <w:spacing w:after="120"/>
      <w:outlineLvl w:val="1"/>
    </w:pPr>
    <w:rPr>
      <w:b/>
    </w:rPr>
  </w:style>
  <w:style w:type="paragraph" w:styleId="Heading3">
    <w:name w:val="heading 3"/>
    <w:basedOn w:val="Normal"/>
    <w:next w:val="ParaNum"/>
    <w:qFormat/>
    <w:rsid w:val="00342F4F"/>
    <w:pPr>
      <w:keepNext/>
      <w:numPr>
        <w:ilvl w:val="2"/>
        <w:numId w:val="3"/>
      </w:numPr>
      <w:tabs>
        <w:tab w:val="left" w:pos="2160"/>
      </w:tabs>
      <w:spacing w:after="120"/>
      <w:outlineLvl w:val="2"/>
    </w:pPr>
    <w:rPr>
      <w:b/>
    </w:rPr>
  </w:style>
  <w:style w:type="paragraph" w:styleId="Heading4">
    <w:name w:val="heading 4"/>
    <w:basedOn w:val="Normal"/>
    <w:next w:val="ParaNum"/>
    <w:qFormat/>
    <w:rsid w:val="00342F4F"/>
    <w:pPr>
      <w:keepNext/>
      <w:numPr>
        <w:ilvl w:val="3"/>
        <w:numId w:val="3"/>
      </w:numPr>
      <w:tabs>
        <w:tab w:val="left" w:pos="2880"/>
      </w:tabs>
      <w:spacing w:after="120"/>
      <w:outlineLvl w:val="3"/>
    </w:pPr>
    <w:rPr>
      <w:b/>
    </w:rPr>
  </w:style>
  <w:style w:type="paragraph" w:styleId="Heading5">
    <w:name w:val="heading 5"/>
    <w:basedOn w:val="Normal"/>
    <w:next w:val="ParaNum"/>
    <w:qFormat/>
    <w:rsid w:val="00342F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42F4F"/>
    <w:pPr>
      <w:numPr>
        <w:ilvl w:val="5"/>
        <w:numId w:val="3"/>
      </w:numPr>
      <w:tabs>
        <w:tab w:val="left" w:pos="4320"/>
      </w:tabs>
      <w:spacing w:after="120"/>
      <w:outlineLvl w:val="5"/>
    </w:pPr>
    <w:rPr>
      <w:b/>
    </w:rPr>
  </w:style>
  <w:style w:type="paragraph" w:styleId="Heading7">
    <w:name w:val="heading 7"/>
    <w:basedOn w:val="Normal"/>
    <w:next w:val="ParaNum"/>
    <w:qFormat/>
    <w:rsid w:val="00342F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42F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42F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2F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2F4F"/>
  </w:style>
  <w:style w:type="paragraph" w:customStyle="1" w:styleId="ParaNum">
    <w:name w:val="ParaNum"/>
    <w:basedOn w:val="Normal"/>
    <w:rsid w:val="00342F4F"/>
    <w:pPr>
      <w:numPr>
        <w:numId w:val="2"/>
      </w:numPr>
      <w:tabs>
        <w:tab w:val="clear" w:pos="1080"/>
        <w:tab w:val="num" w:pos="1440"/>
      </w:tabs>
      <w:spacing w:after="120"/>
    </w:pPr>
  </w:style>
  <w:style w:type="paragraph" w:styleId="EndnoteText">
    <w:name w:val="endnote text"/>
    <w:basedOn w:val="Normal"/>
    <w:semiHidden/>
    <w:rsid w:val="00342F4F"/>
    <w:rPr>
      <w:sz w:val="20"/>
    </w:rPr>
  </w:style>
  <w:style w:type="character" w:styleId="EndnoteReference">
    <w:name w:val="endnote reference"/>
    <w:semiHidden/>
    <w:rsid w:val="00342F4F"/>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342F4F"/>
    <w:pPr>
      <w:spacing w:after="120"/>
    </w:pPr>
  </w:style>
  <w:style w:type="character" w:styleId="FootnoteReference">
    <w:name w:val="footnote reference"/>
    <w:aliases w:val="Style 12,(NECG) Footnote Reference,Appel note de bas de p,Style 124,o,fr,Style 3,Style 13,Style 17,FR,Style 4,Footnote Reference/,Style 6"/>
    <w:rsid w:val="00342F4F"/>
    <w:rPr>
      <w:rFonts w:ascii="Times New Roman" w:hAnsi="Times New Roman"/>
      <w:dstrike w:val="0"/>
      <w:color w:val="auto"/>
      <w:sz w:val="20"/>
      <w:vertAlign w:val="superscript"/>
    </w:rPr>
  </w:style>
  <w:style w:type="paragraph" w:styleId="TOC1">
    <w:name w:val="toc 1"/>
    <w:basedOn w:val="Normal"/>
    <w:next w:val="Normal"/>
    <w:semiHidden/>
    <w:rsid w:val="00342F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2F4F"/>
    <w:pPr>
      <w:tabs>
        <w:tab w:val="left" w:pos="720"/>
        <w:tab w:val="right" w:leader="dot" w:pos="9360"/>
      </w:tabs>
      <w:suppressAutoHyphens/>
      <w:ind w:left="720" w:right="720" w:hanging="360"/>
    </w:pPr>
    <w:rPr>
      <w:noProof/>
    </w:rPr>
  </w:style>
  <w:style w:type="paragraph" w:styleId="TOC3">
    <w:name w:val="toc 3"/>
    <w:basedOn w:val="Normal"/>
    <w:next w:val="Normal"/>
    <w:semiHidden/>
    <w:rsid w:val="00342F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2F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2F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2F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2F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2F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2F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2F4F"/>
    <w:pPr>
      <w:tabs>
        <w:tab w:val="right" w:pos="9360"/>
      </w:tabs>
      <w:suppressAutoHyphens/>
    </w:pPr>
  </w:style>
  <w:style w:type="character" w:customStyle="1" w:styleId="EquationCaption">
    <w:name w:val="_Equation Caption"/>
    <w:rsid w:val="00342F4F"/>
  </w:style>
  <w:style w:type="paragraph" w:styleId="Header">
    <w:name w:val="header"/>
    <w:basedOn w:val="Normal"/>
    <w:autoRedefine/>
    <w:rsid w:val="00342F4F"/>
    <w:pPr>
      <w:tabs>
        <w:tab w:val="center" w:pos="4680"/>
        <w:tab w:val="right" w:pos="9360"/>
      </w:tabs>
    </w:pPr>
    <w:rPr>
      <w:b/>
    </w:rPr>
  </w:style>
  <w:style w:type="paragraph" w:styleId="Footer">
    <w:name w:val="footer"/>
    <w:basedOn w:val="Normal"/>
    <w:rsid w:val="00342F4F"/>
    <w:pPr>
      <w:tabs>
        <w:tab w:val="center" w:pos="4320"/>
        <w:tab w:val="right" w:pos="8640"/>
      </w:tabs>
    </w:pPr>
  </w:style>
  <w:style w:type="character" w:styleId="PageNumber">
    <w:name w:val="page number"/>
    <w:basedOn w:val="DefaultParagraphFont"/>
    <w:rsid w:val="00342F4F"/>
  </w:style>
  <w:style w:type="paragraph" w:styleId="BlockText">
    <w:name w:val="Block Text"/>
    <w:basedOn w:val="Normal"/>
    <w:rsid w:val="00342F4F"/>
    <w:pPr>
      <w:spacing w:after="240"/>
      <w:ind w:left="1440" w:right="1440"/>
    </w:pPr>
  </w:style>
  <w:style w:type="paragraph" w:customStyle="1" w:styleId="Paratitle">
    <w:name w:val="Para title"/>
    <w:basedOn w:val="Normal"/>
    <w:rsid w:val="00342F4F"/>
    <w:pPr>
      <w:tabs>
        <w:tab w:val="center" w:pos="9270"/>
      </w:tabs>
      <w:spacing w:after="240"/>
    </w:pPr>
    <w:rPr>
      <w:spacing w:val="-2"/>
    </w:rPr>
  </w:style>
  <w:style w:type="paragraph" w:customStyle="1" w:styleId="Bullet">
    <w:name w:val="Bullet"/>
    <w:basedOn w:val="Normal"/>
    <w:rsid w:val="00342F4F"/>
    <w:pPr>
      <w:tabs>
        <w:tab w:val="left" w:pos="2160"/>
      </w:tabs>
      <w:spacing w:after="220"/>
      <w:ind w:left="2160" w:hanging="720"/>
    </w:pPr>
  </w:style>
  <w:style w:type="paragraph" w:customStyle="1" w:styleId="TableFormat">
    <w:name w:val="TableFormat"/>
    <w:basedOn w:val="Bullet"/>
    <w:rsid w:val="00342F4F"/>
    <w:pPr>
      <w:tabs>
        <w:tab w:val="clear" w:pos="2160"/>
        <w:tab w:val="left" w:pos="5040"/>
      </w:tabs>
      <w:ind w:left="5040" w:hanging="3600"/>
    </w:pPr>
  </w:style>
  <w:style w:type="paragraph" w:customStyle="1" w:styleId="TOCTitle">
    <w:name w:val="TOC Title"/>
    <w:basedOn w:val="Normal"/>
    <w:rsid w:val="00342F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2F4F"/>
    <w:pPr>
      <w:jc w:val="center"/>
    </w:pPr>
    <w:rPr>
      <w:rFonts w:ascii="Times New Roman Bold" w:hAnsi="Times New Roman Bold"/>
      <w:b/>
      <w:bCs/>
      <w:caps/>
      <w:szCs w:val="22"/>
    </w:rPr>
  </w:style>
  <w:style w:type="character" w:styleId="Hyperlink">
    <w:name w:val="Hyperlink"/>
    <w:rsid w:val="00342F4F"/>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B81D52"/>
  </w:style>
  <w:style w:type="character" w:customStyle="1" w:styleId="searchterm">
    <w:name w:val="searchterm"/>
    <w:rsid w:val="00B8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374</Words>
  <Characters>2019</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2016-04-27T14:16:00Z</dcterms:created>
  <dcterms:modified xsi:type="dcterms:W3CDTF">2016-04-27T14:16:00Z</dcterms:modified>
  <cp:category> </cp:category>
  <cp:contentStatus> </cp:contentStatus>
</cp:coreProperties>
</file>