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049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969A5E5" w14:textId="77777777" w:rsidR="00921803" w:rsidRDefault="00921803" w:rsidP="00921803">
      <w:pPr>
        <w:pStyle w:val="StyleBoldCentered"/>
      </w:pPr>
      <w:r>
        <w:t>F</w:t>
      </w:r>
      <w:r>
        <w:rPr>
          <w:caps w:val="0"/>
        </w:rPr>
        <w:t>ederal Communications Commission</w:t>
      </w:r>
    </w:p>
    <w:p w14:paraId="250E1823" w14:textId="77777777" w:rsidR="004C2EE3" w:rsidRDefault="00810B6F" w:rsidP="00096D8C">
      <w:pPr>
        <w:pStyle w:val="StyleBoldCentered"/>
      </w:pPr>
      <w:r>
        <w:rPr>
          <w:caps w:val="0"/>
        </w:rPr>
        <w:t>Washington, D.C. 20554</w:t>
      </w:r>
    </w:p>
    <w:p w14:paraId="0444F4D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47F8E02" w14:textId="77777777">
        <w:tc>
          <w:tcPr>
            <w:tcW w:w="4698" w:type="dxa"/>
          </w:tcPr>
          <w:p w14:paraId="6471BD36" w14:textId="77777777" w:rsidR="004C2EE3" w:rsidRDefault="004C2EE3">
            <w:pPr>
              <w:tabs>
                <w:tab w:val="center" w:pos="4680"/>
              </w:tabs>
              <w:suppressAutoHyphens/>
              <w:rPr>
                <w:spacing w:val="-2"/>
              </w:rPr>
            </w:pPr>
            <w:r>
              <w:rPr>
                <w:spacing w:val="-2"/>
              </w:rPr>
              <w:t>In the Matter of</w:t>
            </w:r>
          </w:p>
          <w:p w14:paraId="7A74AA0A" w14:textId="77777777" w:rsidR="004C2EE3" w:rsidRDefault="004C2EE3">
            <w:pPr>
              <w:tabs>
                <w:tab w:val="center" w:pos="4680"/>
              </w:tabs>
              <w:suppressAutoHyphens/>
              <w:rPr>
                <w:spacing w:val="-2"/>
              </w:rPr>
            </w:pPr>
          </w:p>
          <w:p w14:paraId="68AC3146" w14:textId="77777777" w:rsidR="00651C1A" w:rsidRDefault="00651C1A" w:rsidP="00651C1A">
            <w:pPr>
              <w:pStyle w:val="ParaNum"/>
              <w:numPr>
                <w:ilvl w:val="0"/>
                <w:numId w:val="0"/>
              </w:numPr>
              <w:spacing w:after="0"/>
            </w:pPr>
            <w:r>
              <w:t>WKMJ Radio Live The People Station, Inc.</w:t>
            </w:r>
          </w:p>
          <w:p w14:paraId="30EB3D25" w14:textId="77777777" w:rsidR="00651C1A" w:rsidRDefault="00651C1A" w:rsidP="00651C1A">
            <w:pPr>
              <w:pStyle w:val="ParaNum"/>
              <w:numPr>
                <w:ilvl w:val="0"/>
                <w:numId w:val="0"/>
              </w:numPr>
              <w:spacing w:after="0"/>
            </w:pPr>
          </w:p>
          <w:p w14:paraId="4B9591CD" w14:textId="77777777" w:rsidR="00651C1A" w:rsidRPr="003E34D7" w:rsidRDefault="00651C1A" w:rsidP="00651C1A">
            <w:pPr>
              <w:pStyle w:val="ParaNum"/>
              <w:numPr>
                <w:ilvl w:val="0"/>
                <w:numId w:val="0"/>
              </w:numPr>
              <w:spacing w:after="0"/>
            </w:pPr>
            <w:r>
              <w:t xml:space="preserve">Application for a Construction Permit for a new LPFM Station at Pinellas Park, Florida </w:t>
            </w:r>
          </w:p>
          <w:p w14:paraId="44074BC0" w14:textId="77777777" w:rsidR="004C2EE3" w:rsidRPr="007115F7" w:rsidRDefault="004C2EE3" w:rsidP="007115F7">
            <w:pPr>
              <w:tabs>
                <w:tab w:val="center" w:pos="4680"/>
              </w:tabs>
              <w:suppressAutoHyphens/>
              <w:rPr>
                <w:spacing w:val="-2"/>
              </w:rPr>
            </w:pPr>
          </w:p>
        </w:tc>
        <w:tc>
          <w:tcPr>
            <w:tcW w:w="630" w:type="dxa"/>
          </w:tcPr>
          <w:p w14:paraId="66F1DC44" w14:textId="77777777" w:rsidR="004C2EE3" w:rsidRDefault="004C2EE3">
            <w:pPr>
              <w:tabs>
                <w:tab w:val="center" w:pos="4680"/>
              </w:tabs>
              <w:suppressAutoHyphens/>
              <w:rPr>
                <w:b/>
                <w:spacing w:val="-2"/>
              </w:rPr>
            </w:pPr>
            <w:r>
              <w:rPr>
                <w:b/>
                <w:spacing w:val="-2"/>
              </w:rPr>
              <w:t>)</w:t>
            </w:r>
          </w:p>
          <w:p w14:paraId="679BFC89" w14:textId="77777777" w:rsidR="004C2EE3" w:rsidRDefault="004C2EE3">
            <w:pPr>
              <w:tabs>
                <w:tab w:val="center" w:pos="4680"/>
              </w:tabs>
              <w:suppressAutoHyphens/>
              <w:rPr>
                <w:b/>
                <w:spacing w:val="-2"/>
              </w:rPr>
            </w:pPr>
            <w:r>
              <w:rPr>
                <w:b/>
                <w:spacing w:val="-2"/>
              </w:rPr>
              <w:t>)</w:t>
            </w:r>
          </w:p>
          <w:p w14:paraId="6633F9D2" w14:textId="77777777" w:rsidR="004C2EE3" w:rsidRDefault="004C2EE3">
            <w:pPr>
              <w:tabs>
                <w:tab w:val="center" w:pos="4680"/>
              </w:tabs>
              <w:suppressAutoHyphens/>
              <w:rPr>
                <w:b/>
                <w:spacing w:val="-2"/>
              </w:rPr>
            </w:pPr>
            <w:r>
              <w:rPr>
                <w:b/>
                <w:spacing w:val="-2"/>
              </w:rPr>
              <w:t>)</w:t>
            </w:r>
          </w:p>
          <w:p w14:paraId="7303D643" w14:textId="77777777" w:rsidR="004C2EE3" w:rsidRDefault="004C2EE3">
            <w:pPr>
              <w:tabs>
                <w:tab w:val="center" w:pos="4680"/>
              </w:tabs>
              <w:suppressAutoHyphens/>
              <w:rPr>
                <w:b/>
                <w:spacing w:val="-2"/>
              </w:rPr>
            </w:pPr>
            <w:r>
              <w:rPr>
                <w:b/>
                <w:spacing w:val="-2"/>
              </w:rPr>
              <w:t>)</w:t>
            </w:r>
          </w:p>
          <w:p w14:paraId="753FB489" w14:textId="77777777" w:rsidR="004C2EE3" w:rsidRDefault="004C2EE3">
            <w:pPr>
              <w:tabs>
                <w:tab w:val="center" w:pos="4680"/>
              </w:tabs>
              <w:suppressAutoHyphens/>
              <w:rPr>
                <w:b/>
                <w:spacing w:val="-2"/>
              </w:rPr>
            </w:pPr>
            <w:r>
              <w:rPr>
                <w:b/>
                <w:spacing w:val="-2"/>
              </w:rPr>
              <w:t>)</w:t>
            </w:r>
          </w:p>
          <w:p w14:paraId="27FDD0B3" w14:textId="77777777" w:rsidR="004C2EE3" w:rsidRDefault="004C2EE3">
            <w:pPr>
              <w:tabs>
                <w:tab w:val="center" w:pos="4680"/>
              </w:tabs>
              <w:suppressAutoHyphens/>
              <w:rPr>
                <w:b/>
                <w:spacing w:val="-2"/>
              </w:rPr>
            </w:pPr>
            <w:r>
              <w:rPr>
                <w:b/>
                <w:spacing w:val="-2"/>
              </w:rPr>
              <w:t>)</w:t>
            </w:r>
          </w:p>
          <w:p w14:paraId="667CBF8C" w14:textId="0A262C73" w:rsidR="004C2EE3" w:rsidRDefault="004C2EE3">
            <w:pPr>
              <w:tabs>
                <w:tab w:val="center" w:pos="4680"/>
              </w:tabs>
              <w:suppressAutoHyphens/>
              <w:rPr>
                <w:spacing w:val="-2"/>
              </w:rPr>
            </w:pPr>
          </w:p>
        </w:tc>
        <w:tc>
          <w:tcPr>
            <w:tcW w:w="4248" w:type="dxa"/>
          </w:tcPr>
          <w:p w14:paraId="5ACD39DF" w14:textId="77777777" w:rsidR="004C2EE3" w:rsidRDefault="004C2EE3">
            <w:pPr>
              <w:tabs>
                <w:tab w:val="center" w:pos="4680"/>
              </w:tabs>
              <w:suppressAutoHyphens/>
              <w:rPr>
                <w:spacing w:val="-2"/>
              </w:rPr>
            </w:pPr>
          </w:p>
          <w:p w14:paraId="0E31FBF4" w14:textId="77777777" w:rsidR="004C2EE3" w:rsidRDefault="004C2EE3">
            <w:pPr>
              <w:pStyle w:val="TOAHeading"/>
              <w:tabs>
                <w:tab w:val="clear" w:pos="9360"/>
                <w:tab w:val="center" w:pos="4680"/>
              </w:tabs>
              <w:rPr>
                <w:spacing w:val="-2"/>
              </w:rPr>
            </w:pPr>
          </w:p>
          <w:p w14:paraId="2E9B6E3F" w14:textId="77777777" w:rsidR="00651C1A" w:rsidRPr="002443D1" w:rsidRDefault="00651C1A" w:rsidP="00651C1A">
            <w:pPr>
              <w:rPr>
                <w:szCs w:val="22"/>
              </w:rPr>
            </w:pPr>
            <w:r>
              <w:rPr>
                <w:szCs w:val="22"/>
              </w:rPr>
              <w:t xml:space="preserve">File No. </w:t>
            </w:r>
            <w:r>
              <w:t>BNPL-</w:t>
            </w:r>
            <w:r w:rsidRPr="00395C36">
              <w:t>20131107AAI</w:t>
            </w:r>
          </w:p>
          <w:p w14:paraId="1BE13FFB" w14:textId="77777777" w:rsidR="00651C1A" w:rsidRDefault="00651C1A" w:rsidP="00651C1A">
            <w:pPr>
              <w:tabs>
                <w:tab w:val="center" w:pos="4680"/>
              </w:tabs>
              <w:suppressAutoHyphens/>
              <w:rPr>
                <w:spacing w:val="-2"/>
              </w:rPr>
            </w:pPr>
            <w:r>
              <w:rPr>
                <w:szCs w:val="22"/>
              </w:rPr>
              <w:t xml:space="preserve">Facility ID No. </w:t>
            </w:r>
            <w:r>
              <w:t>194483</w:t>
            </w:r>
          </w:p>
          <w:p w14:paraId="2B603289" w14:textId="77777777" w:rsidR="004C2EE3" w:rsidRDefault="004C2EE3">
            <w:pPr>
              <w:tabs>
                <w:tab w:val="center" w:pos="4680"/>
              </w:tabs>
              <w:suppressAutoHyphens/>
              <w:rPr>
                <w:spacing w:val="-2"/>
              </w:rPr>
            </w:pPr>
          </w:p>
        </w:tc>
      </w:tr>
    </w:tbl>
    <w:p w14:paraId="263C92DC" w14:textId="77777777" w:rsidR="00841AB1" w:rsidRDefault="00651C1A" w:rsidP="00F021FA">
      <w:pPr>
        <w:pStyle w:val="StyleBoldCentered"/>
      </w:pPr>
      <w:r>
        <w:t>memorandum opinion and order</w:t>
      </w:r>
    </w:p>
    <w:p w14:paraId="7CDADC22" w14:textId="77777777" w:rsidR="004C2EE3" w:rsidRDefault="004C2EE3">
      <w:pPr>
        <w:tabs>
          <w:tab w:val="left" w:pos="-720"/>
        </w:tabs>
        <w:suppressAutoHyphens/>
        <w:spacing w:line="227" w:lineRule="auto"/>
        <w:rPr>
          <w:spacing w:val="-2"/>
        </w:rPr>
      </w:pPr>
    </w:p>
    <w:p w14:paraId="733BF8DD" w14:textId="19B454EE" w:rsidR="004C2EE3" w:rsidRDefault="004C2EE3" w:rsidP="00133F79">
      <w:pPr>
        <w:tabs>
          <w:tab w:val="left" w:pos="720"/>
          <w:tab w:val="right" w:pos="9360"/>
        </w:tabs>
        <w:suppressAutoHyphens/>
        <w:spacing w:line="227" w:lineRule="auto"/>
        <w:rPr>
          <w:spacing w:val="-2"/>
        </w:rPr>
      </w:pPr>
      <w:r>
        <w:rPr>
          <w:b/>
          <w:spacing w:val="-2"/>
        </w:rPr>
        <w:t xml:space="preserve">Adopted:  </w:t>
      </w:r>
      <w:r w:rsidR="0000146B">
        <w:rPr>
          <w:b/>
          <w:spacing w:val="-2"/>
        </w:rPr>
        <w:t>April 27,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146B">
        <w:rPr>
          <w:b/>
          <w:spacing w:val="-2"/>
        </w:rPr>
        <w:t>April 28, 2016</w:t>
      </w:r>
    </w:p>
    <w:p w14:paraId="5EC72182" w14:textId="77777777" w:rsidR="00822CE0" w:rsidRDefault="00822CE0"/>
    <w:p w14:paraId="185D4F5F" w14:textId="77777777" w:rsidR="004C2EE3" w:rsidRDefault="004C2EE3">
      <w:pPr>
        <w:rPr>
          <w:spacing w:val="-2"/>
        </w:rPr>
      </w:pPr>
      <w:r>
        <w:t xml:space="preserve">By </w:t>
      </w:r>
      <w:r w:rsidR="004E4A22">
        <w:t>the</w:t>
      </w:r>
      <w:r w:rsidR="002A2D2E">
        <w:t xml:space="preserve"> </w:t>
      </w:r>
      <w:r w:rsidR="00651C1A">
        <w:rPr>
          <w:spacing w:val="-2"/>
        </w:rPr>
        <w:t>Commission</w:t>
      </w:r>
      <w:r>
        <w:rPr>
          <w:spacing w:val="-2"/>
        </w:rPr>
        <w:t>:</w:t>
      </w:r>
    </w:p>
    <w:p w14:paraId="4EBAAC81" w14:textId="77777777" w:rsidR="00822CE0" w:rsidRDefault="00822CE0">
      <w:pPr>
        <w:rPr>
          <w:spacing w:val="-2"/>
        </w:rPr>
      </w:pPr>
    </w:p>
    <w:p w14:paraId="3164D6A2" w14:textId="77777777" w:rsidR="00651C1A" w:rsidRDefault="00651C1A" w:rsidP="00895062">
      <w:pPr>
        <w:pStyle w:val="ParaNum"/>
      </w:pPr>
      <w:r>
        <w:t>We have before us a December 18, 2015 Petition for Reconsideration</w:t>
      </w:r>
      <w:r>
        <w:rPr>
          <w:rStyle w:val="FootnoteReference"/>
        </w:rPr>
        <w:footnoteReference w:id="2"/>
      </w:r>
      <w:r>
        <w:t xml:space="preserve"> filed by WKMJ Radio Live The People Station, Inc. (WKMJ) in response to the Commission’s denial of its Application for Review.</w:t>
      </w:r>
      <w:r>
        <w:rPr>
          <w:rStyle w:val="FootnoteReference"/>
          <w:szCs w:val="22"/>
        </w:rPr>
        <w:footnoteReference w:id="3"/>
      </w:r>
      <w:r>
        <w:t xml:space="preserve">  The Commission affirmed a Media Bureau (Bureau) finding that WKMJ is, by statute, ineligible to hold a Low Power FM (LPFM) authorization because WKMJ’s Chief Executive Officer operated an unauthorized radio station from WKMJ’s address, in violation of Section 301 of the Communications Act of 1934, as amended.</w:t>
      </w:r>
      <w:r>
        <w:rPr>
          <w:rStyle w:val="FootnoteReference"/>
          <w:szCs w:val="22"/>
        </w:rPr>
        <w:footnoteReference w:id="4"/>
      </w:r>
      <w:r>
        <w:t xml:space="preserve">  The Commission, therefore, upheld the Bureau’s dismissal of WKMJ’s above-referenced application to construct a new LPFM station.  For the reasons discussed below, we dismiss the Petition as repetitious.</w:t>
      </w:r>
    </w:p>
    <w:p w14:paraId="3F87D658" w14:textId="3BCF3B59" w:rsidR="00651C1A" w:rsidRDefault="00651C1A" w:rsidP="00895062">
      <w:pPr>
        <w:pStyle w:val="ParaNum"/>
      </w:pPr>
      <w:r>
        <w:t>Where t</w:t>
      </w:r>
      <w:r w:rsidRPr="00DC2574">
        <w:t xml:space="preserve">he Commission </w:t>
      </w:r>
      <w:r>
        <w:t xml:space="preserve">has denied an application for review, it will entertain a petition for reconsideration </w:t>
      </w:r>
      <w:bookmarkStart w:id="1" w:name="SR;929"/>
      <w:bookmarkStart w:id="2" w:name="SR;931"/>
      <w:bookmarkEnd w:id="1"/>
      <w:bookmarkEnd w:id="2"/>
      <w:r w:rsidRPr="00DC2574">
        <w:t xml:space="preserve">only </w:t>
      </w:r>
      <w:r>
        <w:t>if the petition relies on (1) events which have occurred or circumstances which have changed since the last opportunity to present such matters; or (2) facts or arguments previously unknown, of which the petitioner could not have learned through ordinary diligence.</w:t>
      </w:r>
      <w:r>
        <w:rPr>
          <w:rStyle w:val="FootnoteReference"/>
          <w:szCs w:val="22"/>
        </w:rPr>
        <w:footnoteReference w:id="5"/>
      </w:r>
      <w:r>
        <w:t xml:space="preserve">  It is well settled that a petition for reconsideration is not to be used to reargue points to which the agency has already spoken or to raise new arguments that could have been made previously.</w:t>
      </w:r>
      <w:r>
        <w:rPr>
          <w:rStyle w:val="FootnoteReference"/>
        </w:rPr>
        <w:footnoteReference w:id="6"/>
      </w:r>
      <w:r>
        <w:t xml:space="preserve">  Accordingly, the Commission will dismiss a petition as repetitious if it fails to introduce relevant new facts or changed circumstances.</w:t>
      </w:r>
      <w:r>
        <w:rPr>
          <w:rStyle w:val="FootnoteReference"/>
        </w:rPr>
        <w:footnoteReference w:id="7"/>
      </w:r>
      <w:r>
        <w:t xml:space="preserve">  WKMJ states that it could not have anticipated the Decision’s allegedly incorrect statement that WKMJ did not contest</w:t>
      </w:r>
      <w:r w:rsidR="00895062">
        <w:t xml:space="preserve"> </w:t>
      </w:r>
      <w:r>
        <w:t>the underlying facts.</w:t>
      </w:r>
      <w:r>
        <w:rPr>
          <w:rStyle w:val="FootnoteReference"/>
          <w:szCs w:val="22"/>
        </w:rPr>
        <w:footnoteReference w:id="8"/>
      </w:r>
      <w:r>
        <w:t xml:space="preserve">  WKMJ also argues that, after its last opportunity to present </w:t>
      </w:r>
      <w:r>
        <w:lastRenderedPageBreak/>
        <w:t>arguments, it learned of a Bureau action which allegedly demonstrates that the Bureau acts in an inconsistent and discriminatory manner by giving non-minority applicants opportunities to respond while denying such opportunities to minority-owned entities like WKMJ.</w:t>
      </w:r>
      <w:r>
        <w:rPr>
          <w:rStyle w:val="FootnoteReference"/>
        </w:rPr>
        <w:footnoteReference w:id="9"/>
      </w:r>
    </w:p>
    <w:p w14:paraId="5936D691" w14:textId="41AA2E9C" w:rsidR="00651C1A" w:rsidRDefault="00651C1A" w:rsidP="00895062">
      <w:pPr>
        <w:pStyle w:val="ParaNum"/>
      </w:pPr>
      <w:r>
        <w:t xml:space="preserve">Although WKMJ claims to raise new matters previously unknown, it does no more than repeat, re-characterize, or expand arguments already made, considered, and rejected.  WKMJ’s alleged “factual” dispute is merely a reframed presentation of its unsuccessful procedural arguments, </w:t>
      </w:r>
      <w:r w:rsidRPr="00583940">
        <w:rPr>
          <w:i/>
        </w:rPr>
        <w:t>i.e.,</w:t>
      </w:r>
      <w:r>
        <w:t xml:space="preserve"> that the evidence leading to WKMJ’s disqualification was unsworn and outside of any formal adjudication.</w:t>
      </w:r>
      <w:r>
        <w:rPr>
          <w:rStyle w:val="FootnoteReference"/>
          <w:szCs w:val="22"/>
        </w:rPr>
        <w:footnoteReference w:id="10"/>
      </w:r>
      <w:r>
        <w:t xml:space="preserve">  Similarly, WKMJ’s allegation of recently discovered discriminatory Bureau practices violating WKMJ’s due process rights, merely builds upon its rejected due process claims by adding an irrelevant discussion of Bureau action in an unrelated case involving different factual issues.</w:t>
      </w:r>
      <w:r>
        <w:rPr>
          <w:rStyle w:val="FootnoteReference"/>
          <w:szCs w:val="22"/>
        </w:rPr>
        <w:footnoteReference w:id="11"/>
      </w:r>
      <w:r w:rsidR="00AF48BA">
        <w:t xml:space="preserve">  </w:t>
      </w:r>
      <w:r w:rsidR="00145164">
        <w:t>In conclusion</w:t>
      </w:r>
      <w:r>
        <w:t xml:space="preserve">, because the Chief Executive Officer of WKMJ illegally operated a radio station from WKMJ’s address, WKMJ is prohibited, by statute, from obtaining the LPFM license that it seeks. Accordingly, as we concluded in the </w:t>
      </w:r>
      <w:r w:rsidRPr="009C0724">
        <w:t>Decision</w:t>
      </w:r>
      <w:r>
        <w:t xml:space="preserve">, the Bureau’s dismissal of its application was appropriate. </w:t>
      </w:r>
    </w:p>
    <w:p w14:paraId="4DFBBDDC" w14:textId="0CA06B97" w:rsidR="00651C1A" w:rsidRPr="00856E08" w:rsidRDefault="00651C1A" w:rsidP="0096165B">
      <w:pPr>
        <w:pStyle w:val="ParaNum"/>
        <w:keepNext/>
        <w:keepLines/>
        <w:widowControl/>
      </w:pPr>
      <w:r>
        <w:lastRenderedPageBreak/>
        <w:t>ACCORDINGLY, IT IS ORDERED that</w:t>
      </w:r>
      <w:r w:rsidRPr="008121A6">
        <w:t xml:space="preserve"> the </w:t>
      </w:r>
      <w:r>
        <w:t xml:space="preserve">Petition for Reconsideration filed by </w:t>
      </w:r>
      <w:r w:rsidRPr="008121A6">
        <w:t xml:space="preserve">Application for Review filed by </w:t>
      </w:r>
      <w:r>
        <w:t xml:space="preserve">WKMJ Radio Live The People Station, Inc., </w:t>
      </w:r>
      <w:r w:rsidRPr="008121A6">
        <w:t xml:space="preserve">on </w:t>
      </w:r>
      <w:r>
        <w:t xml:space="preserve">December 18, 2015, IS </w:t>
      </w:r>
      <w:r w:rsidRPr="00F83DD5">
        <w:t xml:space="preserve">DISMISSED, </w:t>
      </w:r>
      <w:r>
        <w:t xml:space="preserve">as repetitious, </w:t>
      </w:r>
      <w:r w:rsidRPr="00F83DD5">
        <w:t>pursuant to Section 405 of the Communications Act of 1934, as amended,</w:t>
      </w:r>
      <w:r w:rsidRPr="00DA06FF">
        <w:rPr>
          <w:rStyle w:val="FootnoteReference"/>
        </w:rPr>
        <w:t xml:space="preserve"> </w:t>
      </w:r>
      <w:r>
        <w:rPr>
          <w:rStyle w:val="FootnoteReference"/>
        </w:rPr>
        <w:footnoteReference w:id="12"/>
      </w:r>
      <w:r w:rsidRPr="00F83DD5">
        <w:t xml:space="preserve"> and 47 CFR §§ 1.106(b)(2), (b)(3), and (j)</w:t>
      </w:r>
      <w:r>
        <w:t xml:space="preserve">. </w:t>
      </w:r>
    </w:p>
    <w:p w14:paraId="4DAF9296" w14:textId="77777777" w:rsidR="00651C1A" w:rsidRDefault="00651C1A" w:rsidP="0096165B">
      <w:pPr>
        <w:keepNext/>
        <w:keepLines/>
        <w:widowControl/>
      </w:pPr>
      <w:r>
        <w:tab/>
      </w:r>
      <w:r>
        <w:tab/>
      </w:r>
      <w:r>
        <w:tab/>
      </w:r>
      <w:r>
        <w:tab/>
      </w:r>
      <w:r>
        <w:tab/>
      </w:r>
      <w:r>
        <w:tab/>
        <w:t>FEDERAL COMMUNICATIONS COMMISSION</w:t>
      </w:r>
    </w:p>
    <w:p w14:paraId="63977362" w14:textId="77777777" w:rsidR="00651C1A" w:rsidRDefault="00651C1A" w:rsidP="00651C1A"/>
    <w:p w14:paraId="44327036" w14:textId="77777777" w:rsidR="00651C1A" w:rsidRDefault="00651C1A" w:rsidP="00651C1A"/>
    <w:p w14:paraId="5E0799E3" w14:textId="77777777" w:rsidR="00651C1A" w:rsidRDefault="00651C1A" w:rsidP="00651C1A"/>
    <w:p w14:paraId="64A7843C" w14:textId="77777777" w:rsidR="00651C1A" w:rsidRDefault="00651C1A" w:rsidP="00651C1A"/>
    <w:p w14:paraId="0988EBC9" w14:textId="77777777" w:rsidR="00651C1A" w:rsidRDefault="00651C1A" w:rsidP="00651C1A">
      <w:r>
        <w:tab/>
      </w:r>
      <w:r>
        <w:tab/>
      </w:r>
      <w:r>
        <w:tab/>
      </w:r>
      <w:r>
        <w:tab/>
      </w:r>
      <w:r>
        <w:tab/>
      </w:r>
      <w:r>
        <w:tab/>
        <w:t>Marlene H. Dortch</w:t>
      </w:r>
    </w:p>
    <w:p w14:paraId="64CA2667" w14:textId="77777777" w:rsidR="00651C1A" w:rsidRDefault="00651C1A" w:rsidP="00651C1A">
      <w:r>
        <w:tab/>
      </w:r>
      <w:r>
        <w:tab/>
      </w:r>
      <w:r>
        <w:tab/>
      </w:r>
      <w:r>
        <w:tab/>
      </w:r>
      <w:r>
        <w:tab/>
      </w:r>
      <w:r>
        <w:tab/>
        <w:t>Secretary</w:t>
      </w:r>
    </w:p>
    <w:sectPr w:rsidR="00651C1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62DF" w14:textId="77777777" w:rsidR="00844A35" w:rsidRDefault="00844A35">
      <w:pPr>
        <w:spacing w:line="20" w:lineRule="exact"/>
      </w:pPr>
    </w:p>
  </w:endnote>
  <w:endnote w:type="continuationSeparator" w:id="0">
    <w:p w14:paraId="1E39ED03" w14:textId="77777777" w:rsidR="00844A35" w:rsidRDefault="00844A35">
      <w:r>
        <w:t xml:space="preserve"> </w:t>
      </w:r>
    </w:p>
  </w:endnote>
  <w:endnote w:type="continuationNotice" w:id="1">
    <w:p w14:paraId="39CCD820" w14:textId="77777777" w:rsidR="00844A35" w:rsidRDefault="00844A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5AA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DD802E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E2E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B4891">
      <w:rPr>
        <w:noProof/>
      </w:rPr>
      <w:t>2</w:t>
    </w:r>
    <w:r>
      <w:fldChar w:fldCharType="end"/>
    </w:r>
  </w:p>
  <w:p w14:paraId="006DE20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C7F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32554" w14:textId="77777777" w:rsidR="00844A35" w:rsidRDefault="00844A35">
      <w:r>
        <w:separator/>
      </w:r>
    </w:p>
  </w:footnote>
  <w:footnote w:type="continuationSeparator" w:id="0">
    <w:p w14:paraId="350A138F" w14:textId="77777777" w:rsidR="00844A35" w:rsidRDefault="00844A35" w:rsidP="00C721AC">
      <w:pPr>
        <w:spacing w:before="120"/>
        <w:rPr>
          <w:sz w:val="20"/>
        </w:rPr>
      </w:pPr>
      <w:r>
        <w:rPr>
          <w:sz w:val="20"/>
        </w:rPr>
        <w:t xml:space="preserve">(Continued from previous page)  </w:t>
      </w:r>
      <w:r>
        <w:rPr>
          <w:sz w:val="20"/>
        </w:rPr>
        <w:separator/>
      </w:r>
    </w:p>
  </w:footnote>
  <w:footnote w:type="continuationNotice" w:id="1">
    <w:p w14:paraId="4D2D432B" w14:textId="77777777" w:rsidR="00844A35" w:rsidRDefault="00844A35" w:rsidP="00C721AC">
      <w:pPr>
        <w:jc w:val="right"/>
        <w:rPr>
          <w:sz w:val="20"/>
        </w:rPr>
      </w:pPr>
      <w:r>
        <w:rPr>
          <w:sz w:val="20"/>
        </w:rPr>
        <w:t>(continued….)</w:t>
      </w:r>
    </w:p>
  </w:footnote>
  <w:footnote w:id="2">
    <w:p w14:paraId="34A07349" w14:textId="77777777" w:rsidR="00651C1A" w:rsidRPr="00017091" w:rsidRDefault="00651C1A" w:rsidP="00651C1A">
      <w:pPr>
        <w:pStyle w:val="FootnoteText"/>
      </w:pPr>
      <w:r>
        <w:rPr>
          <w:rStyle w:val="FootnoteReference"/>
        </w:rPr>
        <w:footnoteRef/>
      </w:r>
      <w:r>
        <w:t xml:space="preserve"> </w:t>
      </w:r>
      <w:r>
        <w:rPr>
          <w:i/>
        </w:rPr>
        <w:t xml:space="preserve">See </w:t>
      </w:r>
      <w:r w:rsidRPr="00F83DD5">
        <w:rPr>
          <w:i/>
        </w:rPr>
        <w:t>WKMJ Radio Live the People Station, Inc</w:t>
      </w:r>
      <w:r>
        <w:t>. Petition for Reconsideration (filed Dec. 18, 2015) (Petition).</w:t>
      </w:r>
    </w:p>
  </w:footnote>
  <w:footnote w:id="3">
    <w:p w14:paraId="0A738EAA" w14:textId="77777777" w:rsidR="00651C1A" w:rsidRPr="00935015" w:rsidRDefault="00651C1A" w:rsidP="00651C1A">
      <w:pPr>
        <w:pStyle w:val="FootnoteText"/>
      </w:pPr>
      <w:r w:rsidRPr="001B53BC">
        <w:rPr>
          <w:rStyle w:val="FootnoteReference"/>
        </w:rPr>
        <w:footnoteRef/>
      </w:r>
      <w:r w:rsidRPr="001B53BC">
        <w:t xml:space="preserve"> </w:t>
      </w:r>
      <w:r>
        <w:rPr>
          <w:i/>
        </w:rPr>
        <w:t xml:space="preserve">See WKMJ Radio Live the People Station, Inc., </w:t>
      </w:r>
      <w:r>
        <w:t xml:space="preserve">Memorandum Opinion and Order, 30 FCC Rcd 13779 (2015) (Decision).  </w:t>
      </w:r>
    </w:p>
  </w:footnote>
  <w:footnote w:id="4">
    <w:p w14:paraId="0E34CCC1" w14:textId="77777777" w:rsidR="00651C1A" w:rsidRPr="00410CC4" w:rsidRDefault="00651C1A" w:rsidP="00651C1A">
      <w:pPr>
        <w:pStyle w:val="FootnoteText"/>
      </w:pPr>
      <w:r w:rsidRPr="001B53BC">
        <w:rPr>
          <w:rStyle w:val="FootnoteReference"/>
        </w:rPr>
        <w:footnoteRef/>
      </w:r>
      <w:r w:rsidRPr="001B53BC">
        <w:t xml:space="preserve"> </w:t>
      </w:r>
      <w:r>
        <w:rPr>
          <w:i/>
        </w:rPr>
        <w:t>Id.</w:t>
      </w:r>
      <w:r>
        <w:t xml:space="preserve">, 30 FCC Rcd at 13779-80, paras. 1 and 3, </w:t>
      </w:r>
      <w:r>
        <w:rPr>
          <w:i/>
        </w:rPr>
        <w:t xml:space="preserve">citing </w:t>
      </w:r>
      <w:r w:rsidRPr="00410CC4">
        <w:rPr>
          <w:i/>
        </w:rPr>
        <w:t xml:space="preserve">LPFM MX Group 108, </w:t>
      </w:r>
      <w:r w:rsidRPr="00410CC4">
        <w:t xml:space="preserve">Letter Order, Ref. No. 1800B3-ATS </w:t>
      </w:r>
      <w:r>
        <w:t xml:space="preserve">(MB Mar. 16, 2015), 47 U.S.C. § 301, 47 CFR § 73.854, </w:t>
      </w:r>
      <w:r>
        <w:rPr>
          <w:i/>
        </w:rPr>
        <w:t xml:space="preserve">Making Appropriations for the Government of the District of Columbia for Fiscal Year 2001 Act, </w:t>
      </w:r>
      <w:r w:rsidRPr="00CC03F3">
        <w:t>Pub. L. No. 106-553, 114 Stat. 27</w:t>
      </w:r>
      <w:r>
        <w:t xml:space="preserve">62, Section 632(a)(1)(B) (2000), and </w:t>
      </w:r>
      <w:r w:rsidRPr="00CC03F3">
        <w:rPr>
          <w:i/>
        </w:rPr>
        <w:t>Creation of a Low Power Radio Service</w:t>
      </w:r>
      <w:r w:rsidRPr="00CC03F3">
        <w:t>, Second Report and Order, 16 FCC Rcd 8026, 8030 (2001)</w:t>
      </w:r>
      <w:r>
        <w:t xml:space="preserve">.  </w:t>
      </w:r>
    </w:p>
  </w:footnote>
  <w:footnote w:id="5">
    <w:p w14:paraId="1A9FB60C" w14:textId="77777777" w:rsidR="00651C1A" w:rsidRDefault="00651C1A" w:rsidP="00651C1A">
      <w:pPr>
        <w:pStyle w:val="FootnoteText"/>
      </w:pPr>
      <w:r>
        <w:rPr>
          <w:rStyle w:val="FootnoteReference"/>
        </w:rPr>
        <w:footnoteRef/>
      </w:r>
      <w:r>
        <w:t xml:space="preserve"> </w:t>
      </w:r>
      <w:r w:rsidRPr="00CC03F3">
        <w:rPr>
          <w:i/>
          <w:iCs/>
        </w:rPr>
        <w:t>See</w:t>
      </w:r>
      <w:r>
        <w:t xml:space="preserve"> 47 CFR</w:t>
      </w:r>
      <w:r w:rsidRPr="00CC03F3">
        <w:t xml:space="preserve"> § 1.106</w:t>
      </w:r>
      <w:r>
        <w:t>(b)(2).</w:t>
      </w:r>
    </w:p>
  </w:footnote>
  <w:footnote w:id="6">
    <w:p w14:paraId="7C17AB18" w14:textId="77777777" w:rsidR="00651C1A" w:rsidRPr="00B13C64" w:rsidRDefault="00651C1A" w:rsidP="00651C1A">
      <w:pPr>
        <w:pStyle w:val="FootnoteText"/>
      </w:pPr>
      <w:r>
        <w:rPr>
          <w:rStyle w:val="FootnoteReference"/>
        </w:rPr>
        <w:footnoteRef/>
      </w:r>
      <w:r>
        <w:t xml:space="preserve"> </w:t>
      </w:r>
      <w:r>
        <w:rPr>
          <w:i/>
        </w:rPr>
        <w:t xml:space="preserve">See Knoxville Broad. Corp., </w:t>
      </w:r>
      <w:r>
        <w:t>Memorandum Opinion and Order, 87 FCC 2d 1103, 1107, para. 11 (1981).</w:t>
      </w:r>
    </w:p>
  </w:footnote>
  <w:footnote w:id="7">
    <w:p w14:paraId="330BB586" w14:textId="77777777" w:rsidR="00651C1A" w:rsidRPr="007B3405" w:rsidRDefault="00651C1A" w:rsidP="00651C1A">
      <w:pPr>
        <w:pStyle w:val="FootnoteText"/>
      </w:pPr>
      <w:r>
        <w:rPr>
          <w:rStyle w:val="FootnoteReference"/>
        </w:rPr>
        <w:footnoteRef/>
      </w:r>
      <w:r>
        <w:t xml:space="preserve"> </w:t>
      </w:r>
      <w:r>
        <w:rPr>
          <w:i/>
        </w:rPr>
        <w:t xml:space="preserve">See </w:t>
      </w:r>
      <w:r>
        <w:t>47 CFR</w:t>
      </w:r>
      <w:r w:rsidRPr="00CC03F3">
        <w:t xml:space="preserve"> § 1.106</w:t>
      </w:r>
      <w:r>
        <w:t xml:space="preserve">(b)(3); </w:t>
      </w:r>
      <w:r>
        <w:rPr>
          <w:i/>
        </w:rPr>
        <w:t xml:space="preserve">see, e.g., California Ass’n for Research and Education, Inc., </w:t>
      </w:r>
      <w:r>
        <w:t>Order on Recon., 30 FCC Rcd 14914, 14915-16, para. 4 (2015).</w:t>
      </w:r>
    </w:p>
  </w:footnote>
  <w:footnote w:id="8">
    <w:p w14:paraId="633FAE9E" w14:textId="77777777" w:rsidR="00651C1A" w:rsidRPr="00E323D4" w:rsidRDefault="00651C1A" w:rsidP="00651C1A">
      <w:pPr>
        <w:pStyle w:val="FootnoteText"/>
      </w:pPr>
      <w:r w:rsidRPr="001B53BC">
        <w:rPr>
          <w:rStyle w:val="FootnoteReference"/>
        </w:rPr>
        <w:footnoteRef/>
      </w:r>
      <w:r w:rsidRPr="001B53BC">
        <w:t xml:space="preserve"> </w:t>
      </w:r>
      <w:r>
        <w:rPr>
          <w:i/>
        </w:rPr>
        <w:t xml:space="preserve">See </w:t>
      </w:r>
      <w:r>
        <w:t xml:space="preserve">Petition at 2-3, </w:t>
      </w:r>
      <w:r w:rsidRPr="00FD6015">
        <w:rPr>
          <w:i/>
        </w:rPr>
        <w:t xml:space="preserve">citing </w:t>
      </w:r>
      <w:r w:rsidRPr="003C1638">
        <w:t>Decision,</w:t>
      </w:r>
      <w:r>
        <w:t xml:space="preserve"> 30 FCC Rcd at 13779, para. 2.  WKMJ had argued that the Bureau: (1) erred by relying on unsworn documents; (2) denied WKMJ due process; and (3) impermissibly disqualified WKMJ without any formal adjudication by a court or administrative tribunal.  </w:t>
      </w:r>
      <w:r w:rsidRPr="00CE592B">
        <w:t xml:space="preserve">The </w:t>
      </w:r>
      <w:r>
        <w:t xml:space="preserve">Commission viewed those arguments as procedural and found them to be meritless.  </w:t>
      </w:r>
      <w:r>
        <w:rPr>
          <w:i/>
        </w:rPr>
        <w:t xml:space="preserve">See </w:t>
      </w:r>
      <w:r>
        <w:t xml:space="preserve">Decision, 30 FCC Rcd at 13779-80, paras. 2-3.  In particular, the Commission stated that no formal Commission determination of illegal operation is necessary to disqualify an LPFM applicant and that the </w:t>
      </w:r>
      <w:r w:rsidRPr="00CE592B">
        <w:t>Bureau</w:t>
      </w:r>
      <w:r>
        <w:t xml:space="preserve"> had not erred in taking</w:t>
      </w:r>
      <w:r w:rsidRPr="00CE592B">
        <w:t xml:space="preserve"> official notice</w:t>
      </w:r>
      <w:r>
        <w:t xml:space="preserve"> of (1) Commission enforcement records of unlicensed operations [</w:t>
      </w:r>
      <w:r w:rsidRPr="00CC03F3">
        <w:rPr>
          <w:i/>
        </w:rPr>
        <w:t>Kervenson Joseph</w:t>
      </w:r>
      <w:r w:rsidRPr="00CC03F3">
        <w:t>, Notice o</w:t>
      </w:r>
      <w:r>
        <w:t>f Unlicensed Operation (EB Tampa Office, rel. Dec.</w:t>
      </w:r>
      <w:r w:rsidRPr="00CC03F3">
        <w:t xml:space="preserve"> 19, 2013)</w:t>
      </w:r>
      <w:r>
        <w:t xml:space="preserve"> (NOUO)]; and (2) a police report, showing</w:t>
      </w:r>
      <w:r w:rsidRPr="00CE592B">
        <w:t xml:space="preserve"> that </w:t>
      </w:r>
      <w:r>
        <w:t>local p</w:t>
      </w:r>
      <w:r w:rsidRPr="00CE592B">
        <w:t xml:space="preserve">olice </w:t>
      </w:r>
      <w:r>
        <w:t xml:space="preserve">working together with </w:t>
      </w:r>
      <w:r w:rsidRPr="00CE592B">
        <w:t>Commi</w:t>
      </w:r>
      <w:r>
        <w:t xml:space="preserve">ssion field agents investigated unauthorized transmissions on 102.1 MHz; </w:t>
      </w:r>
      <w:r w:rsidRPr="00CE592B">
        <w:t xml:space="preserve">found </w:t>
      </w:r>
      <w:r>
        <w:t>WKMJ’s CEO, Kervenson Joseph,</w:t>
      </w:r>
      <w:r w:rsidRPr="00CE592B">
        <w:t xml:space="preserve"> </w:t>
      </w:r>
      <w:r>
        <w:t xml:space="preserve">operating </w:t>
      </w:r>
      <w:r w:rsidRPr="00CE592B">
        <w:t>without a license from 6251 Park Boulevard, Pinellas Park, Florida</w:t>
      </w:r>
      <w:r>
        <w:t xml:space="preserve">; and </w:t>
      </w:r>
      <w:r w:rsidRPr="00CE592B">
        <w:t>seized the an</w:t>
      </w:r>
      <w:r>
        <w:t xml:space="preserve">tenna and transmitter.  </w:t>
      </w:r>
      <w:r>
        <w:rPr>
          <w:i/>
        </w:rPr>
        <w:t>See</w:t>
      </w:r>
      <w:r>
        <w:t xml:space="preserve"> Decision, 30 FCC Rcd at 13779-80, paras. 2-3; </w:t>
      </w:r>
      <w:r w:rsidRPr="00CE592B">
        <w:rPr>
          <w:i/>
        </w:rPr>
        <w:t>Dennis Kelly, Esq.,</w:t>
      </w:r>
      <w:r>
        <w:rPr>
          <w:i/>
        </w:rPr>
        <w:t xml:space="preserve"> </w:t>
      </w:r>
      <w:r>
        <w:t xml:space="preserve">Letter Order, 30 FCC Rcd 7427, 7428 (MB 2015).  It is these officially noticed facts, recited in the Bureau’s Order, that WKMJ never contested. </w:t>
      </w:r>
    </w:p>
  </w:footnote>
  <w:footnote w:id="9">
    <w:p w14:paraId="1D1AD48B" w14:textId="77777777" w:rsidR="00651C1A" w:rsidRDefault="00651C1A" w:rsidP="00651C1A">
      <w:pPr>
        <w:pStyle w:val="FootnoteText"/>
      </w:pPr>
      <w:r>
        <w:rPr>
          <w:rStyle w:val="FootnoteReference"/>
        </w:rPr>
        <w:footnoteRef/>
      </w:r>
      <w:r>
        <w:t xml:space="preserve"> Petition at 4-5.</w:t>
      </w:r>
    </w:p>
  </w:footnote>
  <w:footnote w:id="10">
    <w:p w14:paraId="2958969D" w14:textId="77777777" w:rsidR="00651C1A" w:rsidRDefault="00651C1A" w:rsidP="00651C1A">
      <w:pPr>
        <w:pStyle w:val="FootnoteText"/>
      </w:pPr>
      <w:r>
        <w:rPr>
          <w:rStyle w:val="FootnoteReference"/>
        </w:rPr>
        <w:footnoteRef/>
      </w:r>
      <w:r>
        <w:t xml:space="preserve"> Specifically, WKMJ repeats claims that the Bureau improperly relied on information in informal objections, the Enforcement Bureau’s NOUO, and an unsworn police report.  </w:t>
      </w:r>
      <w:r>
        <w:rPr>
          <w:i/>
        </w:rPr>
        <w:t>See</w:t>
      </w:r>
      <w:r>
        <w:t xml:space="preserve"> Petition at 3.  The Commission has already addressed each of these points.  </w:t>
      </w:r>
      <w:r>
        <w:rPr>
          <w:i/>
        </w:rPr>
        <w:t xml:space="preserve">See </w:t>
      </w:r>
      <w:r>
        <w:t>Decision, 30 FCC Rcd at 13779-80, paras. 2-3.</w:t>
      </w:r>
    </w:p>
  </w:footnote>
  <w:footnote w:id="11">
    <w:p w14:paraId="4696CEC4" w14:textId="77777777" w:rsidR="00651C1A" w:rsidRDefault="00651C1A" w:rsidP="00651C1A">
      <w:pPr>
        <w:pStyle w:val="FootnoteText"/>
      </w:pPr>
      <w:r>
        <w:rPr>
          <w:rStyle w:val="FootnoteReference"/>
        </w:rPr>
        <w:footnoteRef/>
      </w:r>
      <w:r>
        <w:t xml:space="preserve"> </w:t>
      </w:r>
      <w:r w:rsidRPr="00CF76DE">
        <w:rPr>
          <w:snapToGrid w:val="0"/>
        </w:rPr>
        <w:t xml:space="preserve">WKMJ </w:t>
      </w:r>
      <w:r>
        <w:rPr>
          <w:snapToGrid w:val="0"/>
        </w:rPr>
        <w:t>previously maintained that it, a minority applicant, did not receive</w:t>
      </w:r>
      <w:r w:rsidRPr="00CF76DE">
        <w:rPr>
          <w:snapToGrid w:val="0"/>
        </w:rPr>
        <w:t xml:space="preserve"> due process</w:t>
      </w:r>
      <w:r>
        <w:rPr>
          <w:snapToGrid w:val="0"/>
        </w:rPr>
        <w:t xml:space="preserve"> because it had no opportunity to respond to allegations of unlicensed operations. </w:t>
      </w:r>
      <w:r w:rsidRPr="00CF76DE">
        <w:rPr>
          <w:i/>
        </w:rPr>
        <w:t xml:space="preserve"> </w:t>
      </w:r>
      <w:r>
        <w:rPr>
          <w:i/>
        </w:rPr>
        <w:t xml:space="preserve">See </w:t>
      </w:r>
      <w:r w:rsidRPr="00505F0A">
        <w:t>Application for Review</w:t>
      </w:r>
      <w:r>
        <w:rPr>
          <w:i/>
        </w:rPr>
        <w:t xml:space="preserve"> </w:t>
      </w:r>
      <w:r>
        <w:t xml:space="preserve">at 8-9 (filed Aug. 21, 2015).  The Commission found this </w:t>
      </w:r>
      <w:r w:rsidRPr="00201402">
        <w:t xml:space="preserve">argument </w:t>
      </w:r>
      <w:r>
        <w:t>meritless because WKMJ and its principal had been provided numerous opportunities to respond, but failed to do so</w:t>
      </w:r>
      <w:r w:rsidRPr="00201402">
        <w:t>.</w:t>
      </w:r>
      <w:r>
        <w:t xml:space="preserve">  </w:t>
      </w:r>
      <w:r>
        <w:rPr>
          <w:i/>
        </w:rPr>
        <w:t xml:space="preserve">See </w:t>
      </w:r>
      <w:r>
        <w:t xml:space="preserve">Decision, 30 FCC Rcd at 13780, para. 3.  WKMJ now repeats the rejected argument but adds a claim that WKMJ was not given the opportunity to respond </w:t>
      </w:r>
      <w:r>
        <w:rPr>
          <w:i/>
        </w:rPr>
        <w:t xml:space="preserve">because </w:t>
      </w:r>
      <w:r>
        <w:t>it is a minority applicant.  The entirety of WKMJ’s</w:t>
      </w:r>
      <w:r w:rsidRPr="00091735">
        <w:t xml:space="preserve"> </w:t>
      </w:r>
      <w:r>
        <w:t>support for its allegation</w:t>
      </w:r>
      <w:r w:rsidRPr="00091735">
        <w:t xml:space="preserve"> </w:t>
      </w:r>
      <w:r>
        <w:t xml:space="preserve">of </w:t>
      </w:r>
      <w:r w:rsidRPr="00091735">
        <w:t xml:space="preserve">discrimination is </w:t>
      </w:r>
      <w:r>
        <w:t>its</w:t>
      </w:r>
      <w:r w:rsidRPr="00091735">
        <w:t xml:space="preserve"> showing that the Bureau</w:t>
      </w:r>
      <w:r>
        <w:t xml:space="preserve"> </w:t>
      </w:r>
      <w:r w:rsidRPr="00091735">
        <w:t xml:space="preserve">sent a </w:t>
      </w:r>
      <w:r>
        <w:t>l</w:t>
      </w:r>
      <w:r w:rsidRPr="00091735">
        <w:t xml:space="preserve">etter of </w:t>
      </w:r>
      <w:r>
        <w:t>i</w:t>
      </w:r>
      <w:r w:rsidRPr="00091735">
        <w:t xml:space="preserve">nquiry to an unrelated, allegedly non-minority, </w:t>
      </w:r>
      <w:r>
        <w:t>applicant</w:t>
      </w:r>
      <w:r w:rsidRPr="00091735">
        <w:t xml:space="preserve"> in an unrelated </w:t>
      </w:r>
      <w:r>
        <w:t xml:space="preserve">Oregon </w:t>
      </w:r>
      <w:r w:rsidRPr="00091735">
        <w:t xml:space="preserve">LPFM proceeding, seeking information about an unrelated matter (concerning </w:t>
      </w:r>
      <w:r>
        <w:t xml:space="preserve">the applicant’s </w:t>
      </w:r>
      <w:r w:rsidRPr="00091735">
        <w:t>corporate status)</w:t>
      </w:r>
      <w:r>
        <w:t xml:space="preserve">.  </w:t>
      </w:r>
      <w:r>
        <w:rPr>
          <w:i/>
        </w:rPr>
        <w:t xml:space="preserve">See Leanna McKendree, </w:t>
      </w:r>
      <w:r>
        <w:t xml:space="preserve">Letter of Inquiry, Ref. 1800B3-ATS (MB Jul. 21, 2015).  This new allegation completely fails to address, much less refute, the Decision’s statement that WKMJ was afforded multiple opportunities to respond.  In contrast, the alleged non-minority applicant in the Oregon case cited by WKMJ was asked to respond because it had not previously had an opportunity to address the alleged facts. </w:t>
      </w:r>
      <w:r w:rsidRPr="00091735">
        <w:t xml:space="preserve"> </w:t>
      </w:r>
      <w:r>
        <w:rPr>
          <w:i/>
        </w:rPr>
        <w:t xml:space="preserve">See Tylor Stone, </w:t>
      </w:r>
      <w:r>
        <w:t xml:space="preserve">Letter Order, DA 15-1452 (MB rel. Dec. 18, 2015) (subsequently dismissing the same Oregon application).   In addition, WKMJ’s argument fails to distinguish the numerous published decisions in which the Bureau has given known minority applicants opportunities to submit information in licensing cases.  </w:t>
      </w:r>
      <w:r w:rsidRPr="00726831">
        <w:rPr>
          <w:i/>
        </w:rPr>
        <w:t>See, e.g.</w:t>
      </w:r>
      <w:r>
        <w:t>,</w:t>
      </w:r>
      <w:r>
        <w:rPr>
          <w:i/>
        </w:rPr>
        <w:t xml:space="preserve"> Tango Radio, LLC, </w:t>
      </w:r>
      <w:r>
        <w:t xml:space="preserve">Memorandum Opinion and Order, 30 FCC Rcd 10564, 10565-66, para. 3 (2015) (FM applications dismissed following opportunity to provide information about construction); </w:t>
      </w:r>
      <w:r>
        <w:rPr>
          <w:i/>
        </w:rPr>
        <w:t xml:space="preserve">Antonio Cesar Guel, </w:t>
      </w:r>
      <w:r>
        <w:t xml:space="preserve">Letter Order, 29 FCC Rcd 5264 (MB 2014) (LPFM applications dismissed following opportunity to provide information about ownership and site availability).  Thus, WKMJ’s claim of disparate treatment of minorities is specious, and the proceeding cited by WKMJ is irrelevant.  </w:t>
      </w:r>
    </w:p>
  </w:footnote>
  <w:footnote w:id="12">
    <w:p w14:paraId="228704DB" w14:textId="77777777" w:rsidR="00651C1A" w:rsidRPr="003319EC" w:rsidRDefault="00651C1A" w:rsidP="00651C1A">
      <w:pPr>
        <w:pStyle w:val="FootnoteText"/>
      </w:pPr>
      <w:r w:rsidRPr="003319EC">
        <w:rPr>
          <w:rStyle w:val="FootnoteReference"/>
        </w:rPr>
        <w:footnoteRef/>
      </w:r>
      <w:r w:rsidRPr="003319EC">
        <w:t xml:space="preserve"> </w:t>
      </w:r>
      <w:r>
        <w:t>47 U.S.C. § 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BC61" w14:textId="77777777" w:rsidR="00ED2669" w:rsidRDefault="00ED2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E867" w14:textId="32AF9582" w:rsidR="00D25FB5" w:rsidRDefault="00D25FB5" w:rsidP="00810B6F">
    <w:pPr>
      <w:pStyle w:val="Header"/>
      <w:rPr>
        <w:b w:val="0"/>
      </w:rPr>
    </w:pPr>
    <w:r>
      <w:tab/>
      <w:t>Federal Communications Commission</w:t>
    </w:r>
    <w:r>
      <w:tab/>
    </w:r>
    <w:r w:rsidR="00D426C4">
      <w:t>FCC 16-</w:t>
    </w:r>
    <w:r w:rsidR="004929AC">
      <w:t>56</w:t>
    </w:r>
  </w:p>
  <w:p w14:paraId="0E70A63E" w14:textId="77777777" w:rsidR="00D25FB5" w:rsidRDefault="00E66DF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4B3EDD7" wp14:editId="25B8199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2F26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3E97" w14:textId="5B3C20EB" w:rsidR="00D25FB5" w:rsidRDefault="00E66DF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2B97597" wp14:editId="3FE0F8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A583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26C4">
      <w:rPr>
        <w:spacing w:val="-2"/>
      </w:rPr>
      <w:t>FCC 16-</w:t>
    </w:r>
    <w:r w:rsidR="004929AC">
      <w:rPr>
        <w:spacing w:val="-2"/>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1A"/>
    <w:rsid w:val="0000146B"/>
    <w:rsid w:val="00036039"/>
    <w:rsid w:val="00037F90"/>
    <w:rsid w:val="000875BF"/>
    <w:rsid w:val="00096D8C"/>
    <w:rsid w:val="000C0B65"/>
    <w:rsid w:val="000E05FE"/>
    <w:rsid w:val="000E3D42"/>
    <w:rsid w:val="00122BD5"/>
    <w:rsid w:val="00133F79"/>
    <w:rsid w:val="00145164"/>
    <w:rsid w:val="00194A66"/>
    <w:rsid w:val="001D6BCF"/>
    <w:rsid w:val="001E01CA"/>
    <w:rsid w:val="002629E1"/>
    <w:rsid w:val="00275CF5"/>
    <w:rsid w:val="0028301F"/>
    <w:rsid w:val="00285017"/>
    <w:rsid w:val="002A2D2E"/>
    <w:rsid w:val="002C00E8"/>
    <w:rsid w:val="00343749"/>
    <w:rsid w:val="003660ED"/>
    <w:rsid w:val="003B0550"/>
    <w:rsid w:val="003B694F"/>
    <w:rsid w:val="003F171C"/>
    <w:rsid w:val="003F20D1"/>
    <w:rsid w:val="00412FC5"/>
    <w:rsid w:val="00422276"/>
    <w:rsid w:val="00424284"/>
    <w:rsid w:val="004242F1"/>
    <w:rsid w:val="00435C32"/>
    <w:rsid w:val="00445A00"/>
    <w:rsid w:val="00451B0F"/>
    <w:rsid w:val="004929AC"/>
    <w:rsid w:val="004A72DC"/>
    <w:rsid w:val="004C2EE3"/>
    <w:rsid w:val="004E4A22"/>
    <w:rsid w:val="00511968"/>
    <w:rsid w:val="0055614C"/>
    <w:rsid w:val="00575357"/>
    <w:rsid w:val="005E14C2"/>
    <w:rsid w:val="00607BA5"/>
    <w:rsid w:val="00610001"/>
    <w:rsid w:val="0061180A"/>
    <w:rsid w:val="00626EB6"/>
    <w:rsid w:val="00651C1A"/>
    <w:rsid w:val="0065596A"/>
    <w:rsid w:val="00655D03"/>
    <w:rsid w:val="00683388"/>
    <w:rsid w:val="00683F84"/>
    <w:rsid w:val="0069206B"/>
    <w:rsid w:val="006A6A81"/>
    <w:rsid w:val="006B4891"/>
    <w:rsid w:val="006F7393"/>
    <w:rsid w:val="0070224F"/>
    <w:rsid w:val="007115F7"/>
    <w:rsid w:val="007546D5"/>
    <w:rsid w:val="00785689"/>
    <w:rsid w:val="0079754B"/>
    <w:rsid w:val="007A1E6D"/>
    <w:rsid w:val="007B0EB2"/>
    <w:rsid w:val="007F5375"/>
    <w:rsid w:val="00810B6F"/>
    <w:rsid w:val="00822CE0"/>
    <w:rsid w:val="00841AB1"/>
    <w:rsid w:val="00844A35"/>
    <w:rsid w:val="0086387B"/>
    <w:rsid w:val="0087541E"/>
    <w:rsid w:val="00895062"/>
    <w:rsid w:val="008C68F1"/>
    <w:rsid w:val="00921803"/>
    <w:rsid w:val="00926503"/>
    <w:rsid w:val="0096165B"/>
    <w:rsid w:val="009726D8"/>
    <w:rsid w:val="0099254F"/>
    <w:rsid w:val="009F76DB"/>
    <w:rsid w:val="00A13AD5"/>
    <w:rsid w:val="00A32C3B"/>
    <w:rsid w:val="00A45F4F"/>
    <w:rsid w:val="00A600A9"/>
    <w:rsid w:val="00AA55B7"/>
    <w:rsid w:val="00AA5B9E"/>
    <w:rsid w:val="00AB2407"/>
    <w:rsid w:val="00AB53DF"/>
    <w:rsid w:val="00AF48BA"/>
    <w:rsid w:val="00B07E5C"/>
    <w:rsid w:val="00B811F7"/>
    <w:rsid w:val="00BA5DC6"/>
    <w:rsid w:val="00BA6196"/>
    <w:rsid w:val="00BB49DF"/>
    <w:rsid w:val="00BC6D8C"/>
    <w:rsid w:val="00C27986"/>
    <w:rsid w:val="00C34006"/>
    <w:rsid w:val="00C426B1"/>
    <w:rsid w:val="00C66160"/>
    <w:rsid w:val="00C721AC"/>
    <w:rsid w:val="00C90D6A"/>
    <w:rsid w:val="00CA247E"/>
    <w:rsid w:val="00CC72B6"/>
    <w:rsid w:val="00CF412E"/>
    <w:rsid w:val="00CF551A"/>
    <w:rsid w:val="00D0218D"/>
    <w:rsid w:val="00D25FB5"/>
    <w:rsid w:val="00D426C4"/>
    <w:rsid w:val="00D44223"/>
    <w:rsid w:val="00D62A82"/>
    <w:rsid w:val="00D83A8B"/>
    <w:rsid w:val="00DA2529"/>
    <w:rsid w:val="00DB130A"/>
    <w:rsid w:val="00DB2EBB"/>
    <w:rsid w:val="00DC10A1"/>
    <w:rsid w:val="00DC655F"/>
    <w:rsid w:val="00DD0B59"/>
    <w:rsid w:val="00DD7EBD"/>
    <w:rsid w:val="00DF62B6"/>
    <w:rsid w:val="00E07225"/>
    <w:rsid w:val="00E5409F"/>
    <w:rsid w:val="00E66DFF"/>
    <w:rsid w:val="00EA6857"/>
    <w:rsid w:val="00ED2669"/>
    <w:rsid w:val="00EE6488"/>
    <w:rsid w:val="00F021FA"/>
    <w:rsid w:val="00F62E97"/>
    <w:rsid w:val="00F64209"/>
    <w:rsid w:val="00F85BC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7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91"/>
    <w:pPr>
      <w:widowControl w:val="0"/>
    </w:pPr>
    <w:rPr>
      <w:snapToGrid w:val="0"/>
      <w:kern w:val="28"/>
      <w:sz w:val="22"/>
    </w:rPr>
  </w:style>
  <w:style w:type="paragraph" w:styleId="Heading1">
    <w:name w:val="heading 1"/>
    <w:basedOn w:val="Normal"/>
    <w:next w:val="ParaNum"/>
    <w:qFormat/>
    <w:rsid w:val="006B48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4891"/>
    <w:pPr>
      <w:keepNext/>
      <w:numPr>
        <w:ilvl w:val="1"/>
        <w:numId w:val="3"/>
      </w:numPr>
      <w:spacing w:after="120"/>
      <w:outlineLvl w:val="1"/>
    </w:pPr>
    <w:rPr>
      <w:b/>
    </w:rPr>
  </w:style>
  <w:style w:type="paragraph" w:styleId="Heading3">
    <w:name w:val="heading 3"/>
    <w:basedOn w:val="Normal"/>
    <w:next w:val="ParaNum"/>
    <w:qFormat/>
    <w:rsid w:val="006B4891"/>
    <w:pPr>
      <w:keepNext/>
      <w:numPr>
        <w:ilvl w:val="2"/>
        <w:numId w:val="3"/>
      </w:numPr>
      <w:tabs>
        <w:tab w:val="left" w:pos="2160"/>
      </w:tabs>
      <w:spacing w:after="120"/>
      <w:outlineLvl w:val="2"/>
    </w:pPr>
    <w:rPr>
      <w:b/>
    </w:rPr>
  </w:style>
  <w:style w:type="paragraph" w:styleId="Heading4">
    <w:name w:val="heading 4"/>
    <w:basedOn w:val="Normal"/>
    <w:next w:val="ParaNum"/>
    <w:qFormat/>
    <w:rsid w:val="006B4891"/>
    <w:pPr>
      <w:keepNext/>
      <w:numPr>
        <w:ilvl w:val="3"/>
        <w:numId w:val="3"/>
      </w:numPr>
      <w:tabs>
        <w:tab w:val="left" w:pos="2880"/>
      </w:tabs>
      <w:spacing w:after="120"/>
      <w:outlineLvl w:val="3"/>
    </w:pPr>
    <w:rPr>
      <w:b/>
    </w:rPr>
  </w:style>
  <w:style w:type="paragraph" w:styleId="Heading5">
    <w:name w:val="heading 5"/>
    <w:basedOn w:val="Normal"/>
    <w:next w:val="ParaNum"/>
    <w:qFormat/>
    <w:rsid w:val="006B48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4891"/>
    <w:pPr>
      <w:numPr>
        <w:ilvl w:val="5"/>
        <w:numId w:val="3"/>
      </w:numPr>
      <w:tabs>
        <w:tab w:val="left" w:pos="4320"/>
      </w:tabs>
      <w:spacing w:after="120"/>
      <w:outlineLvl w:val="5"/>
    </w:pPr>
    <w:rPr>
      <w:b/>
    </w:rPr>
  </w:style>
  <w:style w:type="paragraph" w:styleId="Heading7">
    <w:name w:val="heading 7"/>
    <w:basedOn w:val="Normal"/>
    <w:next w:val="ParaNum"/>
    <w:qFormat/>
    <w:rsid w:val="006B48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48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48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48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891"/>
  </w:style>
  <w:style w:type="paragraph" w:customStyle="1" w:styleId="ParaNum">
    <w:name w:val="ParaNum"/>
    <w:basedOn w:val="Normal"/>
    <w:link w:val="ParaNumChar"/>
    <w:rsid w:val="006B4891"/>
    <w:pPr>
      <w:numPr>
        <w:numId w:val="2"/>
      </w:numPr>
      <w:tabs>
        <w:tab w:val="clear" w:pos="1080"/>
        <w:tab w:val="num" w:pos="1440"/>
      </w:tabs>
      <w:spacing w:after="120"/>
    </w:pPr>
  </w:style>
  <w:style w:type="paragraph" w:styleId="EndnoteText">
    <w:name w:val="endnote text"/>
    <w:basedOn w:val="Normal"/>
    <w:semiHidden/>
    <w:rsid w:val="006B4891"/>
    <w:rPr>
      <w:sz w:val="20"/>
    </w:rPr>
  </w:style>
  <w:style w:type="character" w:styleId="EndnoteReference">
    <w:name w:val="endnote reference"/>
    <w:semiHidden/>
    <w:rsid w:val="006B489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6B4891"/>
    <w:pPr>
      <w:spacing w:after="120"/>
    </w:pPr>
  </w:style>
  <w:style w:type="character" w:styleId="FootnoteReference">
    <w:name w:val="footnote reference"/>
    <w:aliases w:val="Style 12,(NECG) Footnote Reference,Appel note de bas de p,Style 124,o,fr,Style 3,Style 13,Style 17,FR,Style 4,Footnote Reference/,Style 6"/>
    <w:rsid w:val="006B4891"/>
    <w:rPr>
      <w:rFonts w:ascii="Times New Roman" w:hAnsi="Times New Roman"/>
      <w:dstrike w:val="0"/>
      <w:color w:val="auto"/>
      <w:sz w:val="20"/>
      <w:vertAlign w:val="superscript"/>
    </w:rPr>
  </w:style>
  <w:style w:type="paragraph" w:styleId="TOC1">
    <w:name w:val="toc 1"/>
    <w:basedOn w:val="Normal"/>
    <w:next w:val="Normal"/>
    <w:semiHidden/>
    <w:rsid w:val="006B48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4891"/>
    <w:pPr>
      <w:tabs>
        <w:tab w:val="left" w:pos="720"/>
        <w:tab w:val="right" w:leader="dot" w:pos="9360"/>
      </w:tabs>
      <w:suppressAutoHyphens/>
      <w:ind w:left="720" w:right="720" w:hanging="360"/>
    </w:pPr>
    <w:rPr>
      <w:noProof/>
    </w:rPr>
  </w:style>
  <w:style w:type="paragraph" w:styleId="TOC3">
    <w:name w:val="toc 3"/>
    <w:basedOn w:val="Normal"/>
    <w:next w:val="Normal"/>
    <w:semiHidden/>
    <w:rsid w:val="006B48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48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48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48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48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48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48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4891"/>
    <w:pPr>
      <w:tabs>
        <w:tab w:val="right" w:pos="9360"/>
      </w:tabs>
      <w:suppressAutoHyphens/>
    </w:pPr>
  </w:style>
  <w:style w:type="character" w:customStyle="1" w:styleId="EquationCaption">
    <w:name w:val="_Equation Caption"/>
    <w:rsid w:val="006B4891"/>
  </w:style>
  <w:style w:type="paragraph" w:styleId="Header">
    <w:name w:val="header"/>
    <w:basedOn w:val="Normal"/>
    <w:autoRedefine/>
    <w:rsid w:val="006B4891"/>
    <w:pPr>
      <w:tabs>
        <w:tab w:val="center" w:pos="4680"/>
        <w:tab w:val="right" w:pos="9360"/>
      </w:tabs>
    </w:pPr>
    <w:rPr>
      <w:b/>
    </w:rPr>
  </w:style>
  <w:style w:type="paragraph" w:styleId="Footer">
    <w:name w:val="footer"/>
    <w:basedOn w:val="Normal"/>
    <w:rsid w:val="006B4891"/>
    <w:pPr>
      <w:tabs>
        <w:tab w:val="center" w:pos="4320"/>
        <w:tab w:val="right" w:pos="8640"/>
      </w:tabs>
    </w:pPr>
  </w:style>
  <w:style w:type="character" w:styleId="PageNumber">
    <w:name w:val="page number"/>
    <w:basedOn w:val="DefaultParagraphFont"/>
    <w:rsid w:val="006B4891"/>
  </w:style>
  <w:style w:type="paragraph" w:styleId="BlockText">
    <w:name w:val="Block Text"/>
    <w:basedOn w:val="Normal"/>
    <w:rsid w:val="006B4891"/>
    <w:pPr>
      <w:spacing w:after="240"/>
      <w:ind w:left="1440" w:right="1440"/>
    </w:pPr>
  </w:style>
  <w:style w:type="paragraph" w:customStyle="1" w:styleId="Paratitle">
    <w:name w:val="Para title"/>
    <w:basedOn w:val="Normal"/>
    <w:rsid w:val="006B4891"/>
    <w:pPr>
      <w:tabs>
        <w:tab w:val="center" w:pos="9270"/>
      </w:tabs>
      <w:spacing w:after="240"/>
    </w:pPr>
    <w:rPr>
      <w:spacing w:val="-2"/>
    </w:rPr>
  </w:style>
  <w:style w:type="paragraph" w:customStyle="1" w:styleId="Bullet">
    <w:name w:val="Bullet"/>
    <w:basedOn w:val="Normal"/>
    <w:rsid w:val="006B4891"/>
    <w:pPr>
      <w:tabs>
        <w:tab w:val="left" w:pos="2160"/>
      </w:tabs>
      <w:spacing w:after="220"/>
      <w:ind w:left="2160" w:hanging="720"/>
    </w:pPr>
  </w:style>
  <w:style w:type="paragraph" w:customStyle="1" w:styleId="TableFormat">
    <w:name w:val="TableFormat"/>
    <w:basedOn w:val="Bullet"/>
    <w:rsid w:val="006B4891"/>
    <w:pPr>
      <w:tabs>
        <w:tab w:val="clear" w:pos="2160"/>
        <w:tab w:val="left" w:pos="5040"/>
      </w:tabs>
      <w:ind w:left="5040" w:hanging="3600"/>
    </w:pPr>
  </w:style>
  <w:style w:type="paragraph" w:customStyle="1" w:styleId="TOCTitle">
    <w:name w:val="TOC Title"/>
    <w:basedOn w:val="Normal"/>
    <w:rsid w:val="006B48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4891"/>
    <w:pPr>
      <w:jc w:val="center"/>
    </w:pPr>
    <w:rPr>
      <w:rFonts w:ascii="Times New Roman Bold" w:hAnsi="Times New Roman Bold"/>
      <w:b/>
      <w:bCs/>
      <w:caps/>
      <w:szCs w:val="22"/>
    </w:rPr>
  </w:style>
  <w:style w:type="character" w:styleId="Hyperlink">
    <w:name w:val="Hyperlink"/>
    <w:rsid w:val="006B489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651C1A"/>
  </w:style>
  <w:style w:type="character" w:customStyle="1" w:styleId="ParaNumChar">
    <w:name w:val="ParaNum Char"/>
    <w:link w:val="ParaNum"/>
    <w:rsid w:val="00651C1A"/>
    <w:rPr>
      <w:snapToGrid w:val="0"/>
      <w:kern w:val="28"/>
      <w:sz w:val="22"/>
    </w:rPr>
  </w:style>
  <w:style w:type="character" w:styleId="CommentReference">
    <w:name w:val="annotation reference"/>
    <w:basedOn w:val="DefaultParagraphFont"/>
    <w:semiHidden/>
    <w:unhideWhenUsed/>
    <w:rsid w:val="0086387B"/>
    <w:rPr>
      <w:sz w:val="16"/>
      <w:szCs w:val="16"/>
    </w:rPr>
  </w:style>
  <w:style w:type="paragraph" w:styleId="CommentText">
    <w:name w:val="annotation text"/>
    <w:basedOn w:val="Normal"/>
    <w:link w:val="CommentTextChar"/>
    <w:semiHidden/>
    <w:unhideWhenUsed/>
    <w:rsid w:val="0086387B"/>
    <w:rPr>
      <w:sz w:val="20"/>
    </w:rPr>
  </w:style>
  <w:style w:type="character" w:customStyle="1" w:styleId="CommentTextChar">
    <w:name w:val="Comment Text Char"/>
    <w:basedOn w:val="DefaultParagraphFont"/>
    <w:link w:val="CommentText"/>
    <w:semiHidden/>
    <w:rsid w:val="0086387B"/>
    <w:rPr>
      <w:snapToGrid w:val="0"/>
      <w:kern w:val="28"/>
    </w:rPr>
  </w:style>
  <w:style w:type="paragraph" w:styleId="CommentSubject">
    <w:name w:val="annotation subject"/>
    <w:basedOn w:val="CommentText"/>
    <w:next w:val="CommentText"/>
    <w:link w:val="CommentSubjectChar"/>
    <w:semiHidden/>
    <w:unhideWhenUsed/>
    <w:rsid w:val="0086387B"/>
    <w:rPr>
      <w:b/>
      <w:bCs/>
    </w:rPr>
  </w:style>
  <w:style w:type="character" w:customStyle="1" w:styleId="CommentSubjectChar">
    <w:name w:val="Comment Subject Char"/>
    <w:basedOn w:val="CommentTextChar"/>
    <w:link w:val="CommentSubject"/>
    <w:semiHidden/>
    <w:rsid w:val="0086387B"/>
    <w:rPr>
      <w:b/>
      <w:bCs/>
      <w:snapToGrid w:val="0"/>
      <w:kern w:val="28"/>
    </w:rPr>
  </w:style>
  <w:style w:type="paragraph" w:styleId="BalloonText">
    <w:name w:val="Balloon Text"/>
    <w:basedOn w:val="Normal"/>
    <w:link w:val="BalloonTextChar"/>
    <w:semiHidden/>
    <w:unhideWhenUsed/>
    <w:rsid w:val="0086387B"/>
    <w:rPr>
      <w:rFonts w:ascii="Segoe UI" w:hAnsi="Segoe UI" w:cs="Segoe UI"/>
      <w:sz w:val="18"/>
      <w:szCs w:val="18"/>
    </w:rPr>
  </w:style>
  <w:style w:type="character" w:customStyle="1" w:styleId="BalloonTextChar">
    <w:name w:val="Balloon Text Char"/>
    <w:basedOn w:val="DefaultParagraphFont"/>
    <w:link w:val="BalloonText"/>
    <w:semiHidden/>
    <w:rsid w:val="0086387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91"/>
    <w:pPr>
      <w:widowControl w:val="0"/>
    </w:pPr>
    <w:rPr>
      <w:snapToGrid w:val="0"/>
      <w:kern w:val="28"/>
      <w:sz w:val="22"/>
    </w:rPr>
  </w:style>
  <w:style w:type="paragraph" w:styleId="Heading1">
    <w:name w:val="heading 1"/>
    <w:basedOn w:val="Normal"/>
    <w:next w:val="ParaNum"/>
    <w:qFormat/>
    <w:rsid w:val="006B48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4891"/>
    <w:pPr>
      <w:keepNext/>
      <w:numPr>
        <w:ilvl w:val="1"/>
        <w:numId w:val="3"/>
      </w:numPr>
      <w:spacing w:after="120"/>
      <w:outlineLvl w:val="1"/>
    </w:pPr>
    <w:rPr>
      <w:b/>
    </w:rPr>
  </w:style>
  <w:style w:type="paragraph" w:styleId="Heading3">
    <w:name w:val="heading 3"/>
    <w:basedOn w:val="Normal"/>
    <w:next w:val="ParaNum"/>
    <w:qFormat/>
    <w:rsid w:val="006B4891"/>
    <w:pPr>
      <w:keepNext/>
      <w:numPr>
        <w:ilvl w:val="2"/>
        <w:numId w:val="3"/>
      </w:numPr>
      <w:tabs>
        <w:tab w:val="left" w:pos="2160"/>
      </w:tabs>
      <w:spacing w:after="120"/>
      <w:outlineLvl w:val="2"/>
    </w:pPr>
    <w:rPr>
      <w:b/>
    </w:rPr>
  </w:style>
  <w:style w:type="paragraph" w:styleId="Heading4">
    <w:name w:val="heading 4"/>
    <w:basedOn w:val="Normal"/>
    <w:next w:val="ParaNum"/>
    <w:qFormat/>
    <w:rsid w:val="006B4891"/>
    <w:pPr>
      <w:keepNext/>
      <w:numPr>
        <w:ilvl w:val="3"/>
        <w:numId w:val="3"/>
      </w:numPr>
      <w:tabs>
        <w:tab w:val="left" w:pos="2880"/>
      </w:tabs>
      <w:spacing w:after="120"/>
      <w:outlineLvl w:val="3"/>
    </w:pPr>
    <w:rPr>
      <w:b/>
    </w:rPr>
  </w:style>
  <w:style w:type="paragraph" w:styleId="Heading5">
    <w:name w:val="heading 5"/>
    <w:basedOn w:val="Normal"/>
    <w:next w:val="ParaNum"/>
    <w:qFormat/>
    <w:rsid w:val="006B48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4891"/>
    <w:pPr>
      <w:numPr>
        <w:ilvl w:val="5"/>
        <w:numId w:val="3"/>
      </w:numPr>
      <w:tabs>
        <w:tab w:val="left" w:pos="4320"/>
      </w:tabs>
      <w:spacing w:after="120"/>
      <w:outlineLvl w:val="5"/>
    </w:pPr>
    <w:rPr>
      <w:b/>
    </w:rPr>
  </w:style>
  <w:style w:type="paragraph" w:styleId="Heading7">
    <w:name w:val="heading 7"/>
    <w:basedOn w:val="Normal"/>
    <w:next w:val="ParaNum"/>
    <w:qFormat/>
    <w:rsid w:val="006B48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48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48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48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891"/>
  </w:style>
  <w:style w:type="paragraph" w:customStyle="1" w:styleId="ParaNum">
    <w:name w:val="ParaNum"/>
    <w:basedOn w:val="Normal"/>
    <w:link w:val="ParaNumChar"/>
    <w:rsid w:val="006B4891"/>
    <w:pPr>
      <w:numPr>
        <w:numId w:val="2"/>
      </w:numPr>
      <w:tabs>
        <w:tab w:val="clear" w:pos="1080"/>
        <w:tab w:val="num" w:pos="1440"/>
      </w:tabs>
      <w:spacing w:after="120"/>
    </w:pPr>
  </w:style>
  <w:style w:type="paragraph" w:styleId="EndnoteText">
    <w:name w:val="endnote text"/>
    <w:basedOn w:val="Normal"/>
    <w:semiHidden/>
    <w:rsid w:val="006B4891"/>
    <w:rPr>
      <w:sz w:val="20"/>
    </w:rPr>
  </w:style>
  <w:style w:type="character" w:styleId="EndnoteReference">
    <w:name w:val="endnote reference"/>
    <w:semiHidden/>
    <w:rsid w:val="006B489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6B4891"/>
    <w:pPr>
      <w:spacing w:after="120"/>
    </w:pPr>
  </w:style>
  <w:style w:type="character" w:styleId="FootnoteReference">
    <w:name w:val="footnote reference"/>
    <w:aliases w:val="Style 12,(NECG) Footnote Reference,Appel note de bas de p,Style 124,o,fr,Style 3,Style 13,Style 17,FR,Style 4,Footnote Reference/,Style 6"/>
    <w:rsid w:val="006B4891"/>
    <w:rPr>
      <w:rFonts w:ascii="Times New Roman" w:hAnsi="Times New Roman"/>
      <w:dstrike w:val="0"/>
      <w:color w:val="auto"/>
      <w:sz w:val="20"/>
      <w:vertAlign w:val="superscript"/>
    </w:rPr>
  </w:style>
  <w:style w:type="paragraph" w:styleId="TOC1">
    <w:name w:val="toc 1"/>
    <w:basedOn w:val="Normal"/>
    <w:next w:val="Normal"/>
    <w:semiHidden/>
    <w:rsid w:val="006B48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4891"/>
    <w:pPr>
      <w:tabs>
        <w:tab w:val="left" w:pos="720"/>
        <w:tab w:val="right" w:leader="dot" w:pos="9360"/>
      </w:tabs>
      <w:suppressAutoHyphens/>
      <w:ind w:left="720" w:right="720" w:hanging="360"/>
    </w:pPr>
    <w:rPr>
      <w:noProof/>
    </w:rPr>
  </w:style>
  <w:style w:type="paragraph" w:styleId="TOC3">
    <w:name w:val="toc 3"/>
    <w:basedOn w:val="Normal"/>
    <w:next w:val="Normal"/>
    <w:semiHidden/>
    <w:rsid w:val="006B48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48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48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48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48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48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48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4891"/>
    <w:pPr>
      <w:tabs>
        <w:tab w:val="right" w:pos="9360"/>
      </w:tabs>
      <w:suppressAutoHyphens/>
    </w:pPr>
  </w:style>
  <w:style w:type="character" w:customStyle="1" w:styleId="EquationCaption">
    <w:name w:val="_Equation Caption"/>
    <w:rsid w:val="006B4891"/>
  </w:style>
  <w:style w:type="paragraph" w:styleId="Header">
    <w:name w:val="header"/>
    <w:basedOn w:val="Normal"/>
    <w:autoRedefine/>
    <w:rsid w:val="006B4891"/>
    <w:pPr>
      <w:tabs>
        <w:tab w:val="center" w:pos="4680"/>
        <w:tab w:val="right" w:pos="9360"/>
      </w:tabs>
    </w:pPr>
    <w:rPr>
      <w:b/>
    </w:rPr>
  </w:style>
  <w:style w:type="paragraph" w:styleId="Footer">
    <w:name w:val="footer"/>
    <w:basedOn w:val="Normal"/>
    <w:rsid w:val="006B4891"/>
    <w:pPr>
      <w:tabs>
        <w:tab w:val="center" w:pos="4320"/>
        <w:tab w:val="right" w:pos="8640"/>
      </w:tabs>
    </w:pPr>
  </w:style>
  <w:style w:type="character" w:styleId="PageNumber">
    <w:name w:val="page number"/>
    <w:basedOn w:val="DefaultParagraphFont"/>
    <w:rsid w:val="006B4891"/>
  </w:style>
  <w:style w:type="paragraph" w:styleId="BlockText">
    <w:name w:val="Block Text"/>
    <w:basedOn w:val="Normal"/>
    <w:rsid w:val="006B4891"/>
    <w:pPr>
      <w:spacing w:after="240"/>
      <w:ind w:left="1440" w:right="1440"/>
    </w:pPr>
  </w:style>
  <w:style w:type="paragraph" w:customStyle="1" w:styleId="Paratitle">
    <w:name w:val="Para title"/>
    <w:basedOn w:val="Normal"/>
    <w:rsid w:val="006B4891"/>
    <w:pPr>
      <w:tabs>
        <w:tab w:val="center" w:pos="9270"/>
      </w:tabs>
      <w:spacing w:after="240"/>
    </w:pPr>
    <w:rPr>
      <w:spacing w:val="-2"/>
    </w:rPr>
  </w:style>
  <w:style w:type="paragraph" w:customStyle="1" w:styleId="Bullet">
    <w:name w:val="Bullet"/>
    <w:basedOn w:val="Normal"/>
    <w:rsid w:val="006B4891"/>
    <w:pPr>
      <w:tabs>
        <w:tab w:val="left" w:pos="2160"/>
      </w:tabs>
      <w:spacing w:after="220"/>
      <w:ind w:left="2160" w:hanging="720"/>
    </w:pPr>
  </w:style>
  <w:style w:type="paragraph" w:customStyle="1" w:styleId="TableFormat">
    <w:name w:val="TableFormat"/>
    <w:basedOn w:val="Bullet"/>
    <w:rsid w:val="006B4891"/>
    <w:pPr>
      <w:tabs>
        <w:tab w:val="clear" w:pos="2160"/>
        <w:tab w:val="left" w:pos="5040"/>
      </w:tabs>
      <w:ind w:left="5040" w:hanging="3600"/>
    </w:pPr>
  </w:style>
  <w:style w:type="paragraph" w:customStyle="1" w:styleId="TOCTitle">
    <w:name w:val="TOC Title"/>
    <w:basedOn w:val="Normal"/>
    <w:rsid w:val="006B48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4891"/>
    <w:pPr>
      <w:jc w:val="center"/>
    </w:pPr>
    <w:rPr>
      <w:rFonts w:ascii="Times New Roman Bold" w:hAnsi="Times New Roman Bold"/>
      <w:b/>
      <w:bCs/>
      <w:caps/>
      <w:szCs w:val="22"/>
    </w:rPr>
  </w:style>
  <w:style w:type="character" w:styleId="Hyperlink">
    <w:name w:val="Hyperlink"/>
    <w:rsid w:val="006B489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651C1A"/>
  </w:style>
  <w:style w:type="character" w:customStyle="1" w:styleId="ParaNumChar">
    <w:name w:val="ParaNum Char"/>
    <w:link w:val="ParaNum"/>
    <w:rsid w:val="00651C1A"/>
    <w:rPr>
      <w:snapToGrid w:val="0"/>
      <w:kern w:val="28"/>
      <w:sz w:val="22"/>
    </w:rPr>
  </w:style>
  <w:style w:type="character" w:styleId="CommentReference">
    <w:name w:val="annotation reference"/>
    <w:basedOn w:val="DefaultParagraphFont"/>
    <w:semiHidden/>
    <w:unhideWhenUsed/>
    <w:rsid w:val="0086387B"/>
    <w:rPr>
      <w:sz w:val="16"/>
      <w:szCs w:val="16"/>
    </w:rPr>
  </w:style>
  <w:style w:type="paragraph" w:styleId="CommentText">
    <w:name w:val="annotation text"/>
    <w:basedOn w:val="Normal"/>
    <w:link w:val="CommentTextChar"/>
    <w:semiHidden/>
    <w:unhideWhenUsed/>
    <w:rsid w:val="0086387B"/>
    <w:rPr>
      <w:sz w:val="20"/>
    </w:rPr>
  </w:style>
  <w:style w:type="character" w:customStyle="1" w:styleId="CommentTextChar">
    <w:name w:val="Comment Text Char"/>
    <w:basedOn w:val="DefaultParagraphFont"/>
    <w:link w:val="CommentText"/>
    <w:semiHidden/>
    <w:rsid w:val="0086387B"/>
    <w:rPr>
      <w:snapToGrid w:val="0"/>
      <w:kern w:val="28"/>
    </w:rPr>
  </w:style>
  <w:style w:type="paragraph" w:styleId="CommentSubject">
    <w:name w:val="annotation subject"/>
    <w:basedOn w:val="CommentText"/>
    <w:next w:val="CommentText"/>
    <w:link w:val="CommentSubjectChar"/>
    <w:semiHidden/>
    <w:unhideWhenUsed/>
    <w:rsid w:val="0086387B"/>
    <w:rPr>
      <w:b/>
      <w:bCs/>
    </w:rPr>
  </w:style>
  <w:style w:type="character" w:customStyle="1" w:styleId="CommentSubjectChar">
    <w:name w:val="Comment Subject Char"/>
    <w:basedOn w:val="CommentTextChar"/>
    <w:link w:val="CommentSubject"/>
    <w:semiHidden/>
    <w:rsid w:val="0086387B"/>
    <w:rPr>
      <w:b/>
      <w:bCs/>
      <w:snapToGrid w:val="0"/>
      <w:kern w:val="28"/>
    </w:rPr>
  </w:style>
  <w:style w:type="paragraph" w:styleId="BalloonText">
    <w:name w:val="Balloon Text"/>
    <w:basedOn w:val="Normal"/>
    <w:link w:val="BalloonTextChar"/>
    <w:semiHidden/>
    <w:unhideWhenUsed/>
    <w:rsid w:val="0086387B"/>
    <w:rPr>
      <w:rFonts w:ascii="Segoe UI" w:hAnsi="Segoe UI" w:cs="Segoe UI"/>
      <w:sz w:val="18"/>
      <w:szCs w:val="18"/>
    </w:rPr>
  </w:style>
  <w:style w:type="character" w:customStyle="1" w:styleId="BalloonTextChar">
    <w:name w:val="Balloon Text Char"/>
    <w:basedOn w:val="DefaultParagraphFont"/>
    <w:link w:val="BalloonText"/>
    <w:semiHidden/>
    <w:rsid w:val="0086387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548</Words>
  <Characters>3075</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2016-04-28T14:06:00Z</dcterms:created>
  <dcterms:modified xsi:type="dcterms:W3CDTF">2016-04-28T14:06:00Z</dcterms:modified>
  <cp:category> </cp:category>
  <cp:contentStatus> </cp:contentStatus>
</cp:coreProperties>
</file>