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50CC4" w14:textId="77777777" w:rsidR="004C2EE3" w:rsidRPr="00C61AF7" w:rsidRDefault="004C2EE3">
      <w:pPr>
        <w:jc w:val="center"/>
        <w:rPr>
          <w:b/>
          <w:szCs w:val="22"/>
        </w:rPr>
      </w:pPr>
      <w:bookmarkStart w:id="0" w:name="_GoBack"/>
      <w:bookmarkEnd w:id="0"/>
      <w:r w:rsidRPr="00C61AF7">
        <w:rPr>
          <w:rFonts w:ascii="Times New Roman Bold" w:hAnsi="Times New Roman Bold"/>
          <w:b/>
          <w:szCs w:val="22"/>
        </w:rPr>
        <w:t>Before</w:t>
      </w:r>
      <w:r w:rsidRPr="00C61AF7">
        <w:rPr>
          <w:b/>
          <w:szCs w:val="22"/>
        </w:rPr>
        <w:t xml:space="preserve"> the</w:t>
      </w:r>
    </w:p>
    <w:p w14:paraId="30A77978" w14:textId="77777777" w:rsidR="00921803" w:rsidRPr="00C61AF7" w:rsidRDefault="00921803" w:rsidP="00921803">
      <w:pPr>
        <w:pStyle w:val="StyleBoldCentered"/>
      </w:pPr>
      <w:r w:rsidRPr="00C61AF7">
        <w:t>F</w:t>
      </w:r>
      <w:r w:rsidRPr="00C61AF7">
        <w:rPr>
          <w:caps w:val="0"/>
        </w:rPr>
        <w:t>ederal Communications Commission</w:t>
      </w:r>
    </w:p>
    <w:p w14:paraId="23EBC843" w14:textId="77777777" w:rsidR="004C2EE3" w:rsidRPr="00C61AF7" w:rsidRDefault="00810B6F" w:rsidP="00096D8C">
      <w:pPr>
        <w:pStyle w:val="StyleBoldCentered"/>
      </w:pPr>
      <w:r w:rsidRPr="00C61AF7">
        <w:rPr>
          <w:caps w:val="0"/>
        </w:rPr>
        <w:t>Washington, D.C. 20554</w:t>
      </w:r>
    </w:p>
    <w:p w14:paraId="276E79C0" w14:textId="77777777" w:rsidR="004C2EE3" w:rsidRPr="00C61AF7"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C61AF7" w14:paraId="367D3279" w14:textId="77777777" w:rsidTr="00AE2114">
        <w:tc>
          <w:tcPr>
            <w:tcW w:w="4698" w:type="dxa"/>
          </w:tcPr>
          <w:p w14:paraId="54417232" w14:textId="77777777" w:rsidR="004C2EE3" w:rsidRPr="00C61AF7" w:rsidRDefault="004C2EE3">
            <w:pPr>
              <w:tabs>
                <w:tab w:val="center" w:pos="4680"/>
              </w:tabs>
              <w:suppressAutoHyphens/>
              <w:rPr>
                <w:spacing w:val="-2"/>
                <w:szCs w:val="22"/>
              </w:rPr>
            </w:pPr>
            <w:r w:rsidRPr="00C61AF7">
              <w:rPr>
                <w:spacing w:val="-2"/>
                <w:szCs w:val="22"/>
              </w:rPr>
              <w:t>In the Matter of</w:t>
            </w:r>
          </w:p>
          <w:p w14:paraId="6DC6D1E3" w14:textId="77777777" w:rsidR="004C2EE3" w:rsidRPr="00C61AF7" w:rsidRDefault="004C2EE3">
            <w:pPr>
              <w:tabs>
                <w:tab w:val="center" w:pos="4680"/>
              </w:tabs>
              <w:suppressAutoHyphens/>
              <w:rPr>
                <w:spacing w:val="-2"/>
                <w:szCs w:val="22"/>
              </w:rPr>
            </w:pPr>
          </w:p>
          <w:p w14:paraId="7F6ED69D" w14:textId="77777777" w:rsidR="004C2EE3" w:rsidRPr="00C61AF7" w:rsidRDefault="002F46A3" w:rsidP="007115F7">
            <w:pPr>
              <w:tabs>
                <w:tab w:val="center" w:pos="4680"/>
              </w:tabs>
              <w:suppressAutoHyphens/>
              <w:rPr>
                <w:spacing w:val="-2"/>
                <w:szCs w:val="22"/>
              </w:rPr>
            </w:pPr>
            <w:r w:rsidRPr="00C61AF7">
              <w:rPr>
                <w:spacing w:val="-2"/>
                <w:szCs w:val="22"/>
              </w:rPr>
              <w:t>Amendment of Part 11 of the Commission’s Rules</w:t>
            </w:r>
            <w:r w:rsidRPr="00C61AF7">
              <w:rPr>
                <w:szCs w:val="22"/>
              </w:rPr>
              <w:t xml:space="preserve"> </w:t>
            </w:r>
            <w:r w:rsidRPr="00C61AF7">
              <w:rPr>
                <w:spacing w:val="-2"/>
                <w:szCs w:val="22"/>
              </w:rPr>
              <w:t>Regarding the Emergency Alert System</w:t>
            </w:r>
          </w:p>
        </w:tc>
        <w:tc>
          <w:tcPr>
            <w:tcW w:w="630" w:type="dxa"/>
          </w:tcPr>
          <w:p w14:paraId="5A2C4D7A" w14:textId="77777777" w:rsidR="004C2EE3" w:rsidRPr="00C61AF7" w:rsidRDefault="004C2EE3">
            <w:pPr>
              <w:tabs>
                <w:tab w:val="center" w:pos="4680"/>
              </w:tabs>
              <w:suppressAutoHyphens/>
              <w:rPr>
                <w:b/>
                <w:spacing w:val="-2"/>
                <w:szCs w:val="22"/>
              </w:rPr>
            </w:pPr>
            <w:r w:rsidRPr="00C61AF7">
              <w:rPr>
                <w:b/>
                <w:spacing w:val="-2"/>
                <w:szCs w:val="22"/>
              </w:rPr>
              <w:t>)</w:t>
            </w:r>
          </w:p>
          <w:p w14:paraId="70A538AE" w14:textId="77777777" w:rsidR="004C2EE3" w:rsidRPr="00C61AF7" w:rsidRDefault="004C2EE3">
            <w:pPr>
              <w:tabs>
                <w:tab w:val="center" w:pos="4680"/>
              </w:tabs>
              <w:suppressAutoHyphens/>
              <w:rPr>
                <w:b/>
                <w:spacing w:val="-2"/>
                <w:szCs w:val="22"/>
              </w:rPr>
            </w:pPr>
            <w:r w:rsidRPr="00C61AF7">
              <w:rPr>
                <w:b/>
                <w:spacing w:val="-2"/>
                <w:szCs w:val="22"/>
              </w:rPr>
              <w:t>)</w:t>
            </w:r>
          </w:p>
          <w:p w14:paraId="0D7C529E" w14:textId="77777777" w:rsidR="004C2EE3" w:rsidRPr="00C61AF7" w:rsidRDefault="004C2EE3">
            <w:pPr>
              <w:tabs>
                <w:tab w:val="center" w:pos="4680"/>
              </w:tabs>
              <w:suppressAutoHyphens/>
              <w:rPr>
                <w:b/>
                <w:spacing w:val="-2"/>
                <w:szCs w:val="22"/>
              </w:rPr>
            </w:pPr>
            <w:r w:rsidRPr="00C61AF7">
              <w:rPr>
                <w:b/>
                <w:spacing w:val="-2"/>
                <w:szCs w:val="22"/>
              </w:rPr>
              <w:t>)</w:t>
            </w:r>
          </w:p>
          <w:p w14:paraId="757A1DFC" w14:textId="77777777" w:rsidR="004C2EE3" w:rsidRPr="00C61AF7" w:rsidRDefault="004C2EE3">
            <w:pPr>
              <w:tabs>
                <w:tab w:val="center" w:pos="4680"/>
              </w:tabs>
              <w:suppressAutoHyphens/>
              <w:rPr>
                <w:b/>
                <w:spacing w:val="-2"/>
                <w:szCs w:val="22"/>
              </w:rPr>
            </w:pPr>
            <w:r w:rsidRPr="00C61AF7">
              <w:rPr>
                <w:b/>
                <w:spacing w:val="-2"/>
                <w:szCs w:val="22"/>
              </w:rPr>
              <w:t>)</w:t>
            </w:r>
          </w:p>
          <w:p w14:paraId="68DD3B4A" w14:textId="77777777" w:rsidR="004C2EE3" w:rsidRPr="00C61AF7" w:rsidRDefault="004C2EE3" w:rsidP="001B42B8">
            <w:pPr>
              <w:tabs>
                <w:tab w:val="center" w:pos="4680"/>
              </w:tabs>
              <w:suppressAutoHyphens/>
              <w:rPr>
                <w:spacing w:val="-2"/>
                <w:szCs w:val="22"/>
              </w:rPr>
            </w:pPr>
          </w:p>
        </w:tc>
        <w:tc>
          <w:tcPr>
            <w:tcW w:w="4248" w:type="dxa"/>
          </w:tcPr>
          <w:p w14:paraId="0A38718F" w14:textId="77777777" w:rsidR="004C2EE3" w:rsidRPr="00C61AF7" w:rsidRDefault="004C2EE3">
            <w:pPr>
              <w:tabs>
                <w:tab w:val="center" w:pos="4680"/>
              </w:tabs>
              <w:suppressAutoHyphens/>
              <w:rPr>
                <w:spacing w:val="-2"/>
                <w:szCs w:val="22"/>
              </w:rPr>
            </w:pPr>
          </w:p>
          <w:p w14:paraId="32692F1A" w14:textId="77777777" w:rsidR="004C2EE3" w:rsidRPr="00C61AF7" w:rsidRDefault="004C2EE3">
            <w:pPr>
              <w:pStyle w:val="TOAHeading"/>
              <w:tabs>
                <w:tab w:val="clear" w:pos="9360"/>
                <w:tab w:val="center" w:pos="4680"/>
              </w:tabs>
              <w:rPr>
                <w:spacing w:val="-2"/>
                <w:szCs w:val="22"/>
              </w:rPr>
            </w:pPr>
          </w:p>
          <w:p w14:paraId="0840BC1C" w14:textId="77777777" w:rsidR="002F46A3" w:rsidRPr="00C61AF7" w:rsidRDefault="00153AC0" w:rsidP="00D17CE8">
            <w:pPr>
              <w:tabs>
                <w:tab w:val="center" w:pos="4680"/>
              </w:tabs>
              <w:suppressAutoHyphens/>
              <w:rPr>
                <w:spacing w:val="-2"/>
                <w:szCs w:val="22"/>
              </w:rPr>
            </w:pPr>
            <w:r w:rsidRPr="00C61AF7">
              <w:rPr>
                <w:szCs w:val="22"/>
              </w:rPr>
              <w:t xml:space="preserve">PSHSB </w:t>
            </w:r>
            <w:r w:rsidR="00350DE1" w:rsidRPr="00C61AF7">
              <w:rPr>
                <w:szCs w:val="22"/>
              </w:rPr>
              <w:t xml:space="preserve">Docket No. </w:t>
            </w:r>
            <w:r w:rsidRPr="00C61AF7">
              <w:rPr>
                <w:szCs w:val="22"/>
              </w:rPr>
              <w:t>15</w:t>
            </w:r>
            <w:r w:rsidR="00350DE1" w:rsidRPr="00C61AF7">
              <w:rPr>
                <w:szCs w:val="22"/>
              </w:rPr>
              <w:t>-</w:t>
            </w:r>
            <w:r w:rsidR="00D17CE8">
              <w:rPr>
                <w:szCs w:val="22"/>
              </w:rPr>
              <w:t>94</w:t>
            </w:r>
          </w:p>
        </w:tc>
      </w:tr>
    </w:tbl>
    <w:p w14:paraId="7C061D8D" w14:textId="77777777" w:rsidR="00841AB1" w:rsidRPr="00C61AF7" w:rsidRDefault="0034080F" w:rsidP="00F021FA">
      <w:pPr>
        <w:pStyle w:val="StyleBoldCentered"/>
      </w:pPr>
      <w:r>
        <w:t>report and o</w:t>
      </w:r>
      <w:r w:rsidR="00D442DD">
        <w:t>rder</w:t>
      </w:r>
    </w:p>
    <w:p w14:paraId="11A8A303" w14:textId="77777777" w:rsidR="004C2EE3" w:rsidRPr="00C61AF7" w:rsidRDefault="004C2EE3">
      <w:pPr>
        <w:tabs>
          <w:tab w:val="left" w:pos="-720"/>
        </w:tabs>
        <w:suppressAutoHyphens/>
        <w:spacing w:line="227" w:lineRule="auto"/>
        <w:rPr>
          <w:spacing w:val="-2"/>
          <w:szCs w:val="22"/>
        </w:rPr>
      </w:pPr>
    </w:p>
    <w:p w14:paraId="0D825613" w14:textId="79C28174" w:rsidR="004C2EE3" w:rsidRPr="00C61AF7" w:rsidRDefault="00FF5E0D" w:rsidP="00133F79">
      <w:pPr>
        <w:tabs>
          <w:tab w:val="left" w:pos="720"/>
          <w:tab w:val="right" w:pos="9360"/>
        </w:tabs>
        <w:suppressAutoHyphens/>
        <w:spacing w:line="227" w:lineRule="auto"/>
        <w:rPr>
          <w:spacing w:val="-2"/>
          <w:szCs w:val="22"/>
        </w:rPr>
      </w:pPr>
      <w:r>
        <w:rPr>
          <w:b/>
          <w:spacing w:val="-2"/>
          <w:szCs w:val="22"/>
        </w:rPr>
        <w:t xml:space="preserve">Adopted:  July </w:t>
      </w:r>
      <w:r w:rsidR="00411809">
        <w:rPr>
          <w:b/>
          <w:spacing w:val="-2"/>
          <w:szCs w:val="22"/>
        </w:rPr>
        <w:t>6</w:t>
      </w:r>
      <w:r>
        <w:rPr>
          <w:b/>
          <w:spacing w:val="-2"/>
          <w:szCs w:val="22"/>
        </w:rPr>
        <w:t>, 2016</w:t>
      </w:r>
      <w:r w:rsidR="004C2EE3" w:rsidRPr="00C61AF7">
        <w:rPr>
          <w:b/>
          <w:spacing w:val="-2"/>
          <w:szCs w:val="22"/>
        </w:rPr>
        <w:tab/>
      </w:r>
      <w:r w:rsidR="00822CE0" w:rsidRPr="00C61AF7">
        <w:rPr>
          <w:b/>
          <w:spacing w:val="-2"/>
          <w:szCs w:val="22"/>
        </w:rPr>
        <w:t>Released</w:t>
      </w:r>
      <w:r w:rsidR="004C2EE3" w:rsidRPr="00C61AF7">
        <w:rPr>
          <w:b/>
          <w:spacing w:val="-2"/>
          <w:szCs w:val="22"/>
        </w:rPr>
        <w:t>:</w:t>
      </w:r>
      <w:r w:rsidR="00822CE0" w:rsidRPr="00C61AF7">
        <w:rPr>
          <w:b/>
          <w:spacing w:val="-2"/>
          <w:szCs w:val="22"/>
        </w:rPr>
        <w:t xml:space="preserve"> </w:t>
      </w:r>
      <w:r w:rsidR="004C2EE3" w:rsidRPr="00C61AF7">
        <w:rPr>
          <w:b/>
          <w:spacing w:val="-2"/>
          <w:szCs w:val="22"/>
        </w:rPr>
        <w:t xml:space="preserve"> </w:t>
      </w:r>
      <w:r w:rsidR="00411809">
        <w:rPr>
          <w:b/>
          <w:spacing w:val="-2"/>
          <w:szCs w:val="22"/>
        </w:rPr>
        <w:t>July 11, 2016</w:t>
      </w:r>
    </w:p>
    <w:p w14:paraId="5C2CE247" w14:textId="77777777" w:rsidR="00822CE0" w:rsidRPr="00C61AF7" w:rsidRDefault="00822CE0">
      <w:pPr>
        <w:rPr>
          <w:szCs w:val="22"/>
        </w:rPr>
      </w:pPr>
    </w:p>
    <w:p w14:paraId="40F1B3A8" w14:textId="7B2647A8" w:rsidR="002F46A3" w:rsidRPr="00C61AF7" w:rsidRDefault="00EA3FAD" w:rsidP="002F46A3">
      <w:pPr>
        <w:rPr>
          <w:szCs w:val="22"/>
        </w:rPr>
      </w:pPr>
      <w:r w:rsidRPr="00C61AF7">
        <w:rPr>
          <w:szCs w:val="22"/>
        </w:rPr>
        <w:t>By the Commission</w:t>
      </w:r>
      <w:r w:rsidRPr="00C61AF7">
        <w:rPr>
          <w:spacing w:val="-2"/>
          <w:szCs w:val="22"/>
        </w:rPr>
        <w:t>:</w:t>
      </w:r>
      <w:r w:rsidR="001B42B8" w:rsidRPr="00C61AF7">
        <w:rPr>
          <w:szCs w:val="22"/>
        </w:rPr>
        <w:t xml:space="preserve"> </w:t>
      </w:r>
      <w:r w:rsidR="001A7242" w:rsidRPr="001A7242">
        <w:rPr>
          <w:szCs w:val="22"/>
        </w:rPr>
        <w:t>Commissioner O’Rielly approving in part, dissenting in part and issuing a statement.</w:t>
      </w:r>
    </w:p>
    <w:p w14:paraId="13860329" w14:textId="77777777" w:rsidR="00DA72B7" w:rsidRPr="001517F1" w:rsidRDefault="00DA72B7" w:rsidP="00DA72B7">
      <w:pPr>
        <w:pStyle w:val="TOCTitle"/>
        <w:rPr>
          <w:rFonts w:ascii="Times New Roman" w:hAnsi="Times New Roman"/>
          <w:szCs w:val="22"/>
        </w:rPr>
      </w:pPr>
      <w:bookmarkStart w:id="1" w:name="TOChere"/>
      <w:r w:rsidRPr="001517F1">
        <w:rPr>
          <w:rFonts w:ascii="Times New Roman" w:hAnsi="Times New Roman"/>
          <w:szCs w:val="22"/>
        </w:rPr>
        <w:t>Table of Contents</w:t>
      </w:r>
    </w:p>
    <w:p w14:paraId="1733E82E" w14:textId="77777777" w:rsidR="00DA72B7" w:rsidRPr="001517F1" w:rsidRDefault="00DA72B7" w:rsidP="00DA72B7">
      <w:pPr>
        <w:pStyle w:val="Paratitle"/>
        <w:rPr>
          <w:szCs w:val="22"/>
        </w:rPr>
      </w:pPr>
      <w:r w:rsidRPr="001517F1">
        <w:rPr>
          <w:szCs w:val="22"/>
        </w:rPr>
        <w:t>Heading</w:t>
      </w:r>
      <w:r w:rsidRPr="001517F1">
        <w:rPr>
          <w:szCs w:val="22"/>
        </w:rPr>
        <w:tab/>
        <w:t>Paragraph #</w:t>
      </w:r>
      <w:bookmarkStart w:id="2" w:name="start_here"/>
      <w:bookmarkEnd w:id="2"/>
    </w:p>
    <w:p w14:paraId="3D5EED99" w14:textId="77777777" w:rsidR="00DA72B7" w:rsidRPr="001517F1" w:rsidRDefault="00DA72B7" w:rsidP="00DA72B7">
      <w:pPr>
        <w:pStyle w:val="TOC1"/>
        <w:rPr>
          <w:rFonts w:eastAsiaTheme="minorEastAsia"/>
          <w:caps w:val="0"/>
          <w:snapToGrid/>
          <w:kern w:val="0"/>
          <w:szCs w:val="22"/>
        </w:rPr>
      </w:pPr>
      <w:r w:rsidRPr="001517F1">
        <w:rPr>
          <w:szCs w:val="22"/>
        </w:rPr>
        <w:t>I.</w:t>
      </w:r>
      <w:r w:rsidRPr="001517F1">
        <w:rPr>
          <w:rFonts w:eastAsiaTheme="minorEastAsia"/>
          <w:caps w:val="0"/>
          <w:snapToGrid/>
          <w:kern w:val="0"/>
          <w:szCs w:val="22"/>
        </w:rPr>
        <w:tab/>
      </w:r>
      <w:r w:rsidRPr="001517F1">
        <w:rPr>
          <w:szCs w:val="22"/>
        </w:rPr>
        <w:t>INTRODUCTION</w:t>
      </w:r>
      <w:r w:rsidRPr="001517F1">
        <w:rPr>
          <w:szCs w:val="22"/>
        </w:rPr>
        <w:tab/>
        <w:t>1</w:t>
      </w:r>
    </w:p>
    <w:p w14:paraId="7DCDEBF5" w14:textId="77777777" w:rsidR="00DA72B7" w:rsidRPr="001517F1" w:rsidRDefault="00DA72B7" w:rsidP="00DA72B7">
      <w:pPr>
        <w:pStyle w:val="TOC1"/>
        <w:rPr>
          <w:rFonts w:eastAsiaTheme="minorEastAsia"/>
          <w:caps w:val="0"/>
          <w:snapToGrid/>
          <w:kern w:val="0"/>
          <w:szCs w:val="22"/>
        </w:rPr>
      </w:pPr>
      <w:r w:rsidRPr="001517F1">
        <w:rPr>
          <w:szCs w:val="22"/>
        </w:rPr>
        <w:t>II.</w:t>
      </w:r>
      <w:r w:rsidRPr="001517F1">
        <w:rPr>
          <w:rFonts w:eastAsiaTheme="minorEastAsia"/>
          <w:caps w:val="0"/>
          <w:snapToGrid/>
          <w:kern w:val="0"/>
          <w:szCs w:val="22"/>
        </w:rPr>
        <w:tab/>
      </w:r>
      <w:r w:rsidRPr="001517F1">
        <w:rPr>
          <w:szCs w:val="22"/>
        </w:rPr>
        <w:t>BACKGROUND</w:t>
      </w:r>
      <w:r w:rsidRPr="001517F1">
        <w:rPr>
          <w:szCs w:val="22"/>
        </w:rPr>
        <w:tab/>
        <w:t>2</w:t>
      </w:r>
    </w:p>
    <w:p w14:paraId="5FE20CFD" w14:textId="77777777" w:rsidR="00DA72B7" w:rsidRPr="001517F1" w:rsidRDefault="00DA72B7" w:rsidP="00DA72B7">
      <w:pPr>
        <w:pStyle w:val="TOC1"/>
        <w:rPr>
          <w:rFonts w:eastAsiaTheme="minorEastAsia"/>
          <w:caps w:val="0"/>
          <w:snapToGrid/>
          <w:kern w:val="0"/>
          <w:szCs w:val="22"/>
        </w:rPr>
      </w:pPr>
      <w:r w:rsidRPr="001517F1">
        <w:rPr>
          <w:szCs w:val="22"/>
        </w:rPr>
        <w:t>III.</w:t>
      </w:r>
      <w:r w:rsidRPr="001517F1">
        <w:rPr>
          <w:rFonts w:eastAsiaTheme="minorEastAsia"/>
          <w:caps w:val="0"/>
          <w:snapToGrid/>
          <w:kern w:val="0"/>
          <w:szCs w:val="22"/>
        </w:rPr>
        <w:tab/>
      </w:r>
      <w:r w:rsidRPr="001517F1">
        <w:rPr>
          <w:szCs w:val="22"/>
        </w:rPr>
        <w:t>DISCUSSION</w:t>
      </w:r>
      <w:r w:rsidRPr="001517F1">
        <w:rPr>
          <w:szCs w:val="22"/>
        </w:rPr>
        <w:tab/>
      </w:r>
      <w:r w:rsidR="009066B0" w:rsidRPr="001517F1">
        <w:rPr>
          <w:szCs w:val="22"/>
        </w:rPr>
        <w:t>4</w:t>
      </w:r>
    </w:p>
    <w:p w14:paraId="7E1930D4" w14:textId="77777777" w:rsidR="00DA72B7" w:rsidRPr="001517F1" w:rsidRDefault="00DA72B7" w:rsidP="00DA72B7">
      <w:pPr>
        <w:pStyle w:val="TOC2"/>
        <w:tabs>
          <w:tab w:val="left" w:pos="360"/>
        </w:tabs>
        <w:rPr>
          <w:rFonts w:eastAsiaTheme="minorEastAsia"/>
          <w:snapToGrid/>
          <w:kern w:val="0"/>
          <w:szCs w:val="22"/>
        </w:rPr>
      </w:pPr>
      <w:r w:rsidRPr="001517F1">
        <w:rPr>
          <w:szCs w:val="22"/>
        </w:rPr>
        <w:t>A.</w:t>
      </w:r>
      <w:r w:rsidRPr="001517F1">
        <w:rPr>
          <w:rFonts w:eastAsiaTheme="minorEastAsia"/>
          <w:snapToGrid/>
          <w:kern w:val="0"/>
          <w:szCs w:val="22"/>
        </w:rPr>
        <w:tab/>
      </w:r>
      <w:r w:rsidRPr="001517F1">
        <w:rPr>
          <w:szCs w:val="22"/>
        </w:rPr>
        <w:t>Proposed EAS Event Codes</w:t>
      </w:r>
      <w:r w:rsidRPr="001517F1">
        <w:rPr>
          <w:szCs w:val="22"/>
        </w:rPr>
        <w:tab/>
      </w:r>
      <w:r w:rsidR="009066B0" w:rsidRPr="001517F1">
        <w:rPr>
          <w:szCs w:val="22"/>
        </w:rPr>
        <w:t>4</w:t>
      </w:r>
    </w:p>
    <w:p w14:paraId="27733CF0" w14:textId="7CCDFE27" w:rsidR="00DA72B7" w:rsidRPr="001517F1" w:rsidRDefault="00DA72B7" w:rsidP="00DA72B7">
      <w:pPr>
        <w:pStyle w:val="TOC2"/>
        <w:tabs>
          <w:tab w:val="left" w:pos="360"/>
        </w:tabs>
        <w:rPr>
          <w:rFonts w:eastAsiaTheme="minorEastAsia"/>
          <w:snapToGrid/>
          <w:kern w:val="0"/>
          <w:szCs w:val="22"/>
        </w:rPr>
      </w:pPr>
      <w:r w:rsidRPr="001517F1">
        <w:rPr>
          <w:szCs w:val="22"/>
        </w:rPr>
        <w:t>B.</w:t>
      </w:r>
      <w:r w:rsidRPr="001517F1">
        <w:rPr>
          <w:rFonts w:eastAsiaTheme="minorEastAsia"/>
          <w:snapToGrid/>
          <w:kern w:val="0"/>
          <w:szCs w:val="22"/>
        </w:rPr>
        <w:tab/>
      </w:r>
      <w:r w:rsidRPr="001517F1">
        <w:rPr>
          <w:szCs w:val="22"/>
        </w:rPr>
        <w:t>Proposed Geographic Location Code Revisions</w:t>
      </w:r>
      <w:r w:rsidRPr="001517F1">
        <w:rPr>
          <w:szCs w:val="22"/>
        </w:rPr>
        <w:tab/>
        <w:t>1</w:t>
      </w:r>
      <w:r w:rsidR="0027360B">
        <w:rPr>
          <w:szCs w:val="22"/>
        </w:rPr>
        <w:t>4</w:t>
      </w:r>
    </w:p>
    <w:p w14:paraId="6FD47D6B" w14:textId="1FB68AA2" w:rsidR="0027360B" w:rsidRPr="0027360B" w:rsidRDefault="0027360B" w:rsidP="0027360B">
      <w:pPr>
        <w:pStyle w:val="TOC2"/>
        <w:tabs>
          <w:tab w:val="left" w:pos="360"/>
        </w:tabs>
        <w:rPr>
          <w:szCs w:val="22"/>
        </w:rPr>
      </w:pPr>
      <w:r w:rsidRPr="0027360B">
        <w:rPr>
          <w:szCs w:val="22"/>
        </w:rPr>
        <w:t>C.</w:t>
      </w:r>
      <w:r w:rsidRPr="00AE2114">
        <w:tab/>
      </w:r>
      <w:r>
        <w:rPr>
          <w:szCs w:val="22"/>
        </w:rPr>
        <w:t>Cost Benefit Analysis</w:t>
      </w:r>
      <w:r w:rsidRPr="0027360B">
        <w:rPr>
          <w:szCs w:val="22"/>
        </w:rPr>
        <w:t>.</w:t>
      </w:r>
      <w:r w:rsidRPr="0027360B">
        <w:rPr>
          <w:szCs w:val="22"/>
        </w:rPr>
        <w:tab/>
        <w:t>2</w:t>
      </w:r>
      <w:r>
        <w:rPr>
          <w:szCs w:val="22"/>
        </w:rPr>
        <w:t>2</w:t>
      </w:r>
    </w:p>
    <w:p w14:paraId="0AF589B3" w14:textId="4EF8AED8" w:rsidR="00DA72B7" w:rsidRPr="001517F1" w:rsidRDefault="0027360B" w:rsidP="00DA72B7">
      <w:pPr>
        <w:pStyle w:val="TOC2"/>
        <w:tabs>
          <w:tab w:val="left" w:pos="360"/>
        </w:tabs>
        <w:rPr>
          <w:rFonts w:eastAsiaTheme="minorEastAsia"/>
          <w:snapToGrid/>
          <w:kern w:val="0"/>
          <w:szCs w:val="22"/>
        </w:rPr>
      </w:pPr>
      <w:r>
        <w:rPr>
          <w:szCs w:val="22"/>
        </w:rPr>
        <w:t>D</w:t>
      </w:r>
      <w:r w:rsidR="00DA72B7" w:rsidRPr="001517F1">
        <w:rPr>
          <w:szCs w:val="22"/>
        </w:rPr>
        <w:t>.</w:t>
      </w:r>
      <w:r w:rsidR="00DA72B7" w:rsidRPr="001517F1">
        <w:rPr>
          <w:rFonts w:eastAsiaTheme="minorEastAsia"/>
          <w:snapToGrid/>
          <w:kern w:val="0"/>
          <w:szCs w:val="22"/>
        </w:rPr>
        <w:tab/>
      </w:r>
      <w:r w:rsidR="00DA72B7" w:rsidRPr="001517F1">
        <w:rPr>
          <w:szCs w:val="22"/>
        </w:rPr>
        <w:t>Implementation Schedule.</w:t>
      </w:r>
      <w:r w:rsidR="00DA72B7" w:rsidRPr="001517F1">
        <w:rPr>
          <w:szCs w:val="22"/>
        </w:rPr>
        <w:tab/>
      </w:r>
      <w:r w:rsidR="00944655" w:rsidRPr="001517F1">
        <w:rPr>
          <w:szCs w:val="22"/>
        </w:rPr>
        <w:t>2</w:t>
      </w:r>
      <w:r w:rsidR="00A34212">
        <w:rPr>
          <w:szCs w:val="22"/>
        </w:rPr>
        <w:t>5</w:t>
      </w:r>
    </w:p>
    <w:p w14:paraId="08B04896" w14:textId="35587C9F" w:rsidR="00DA72B7" w:rsidRPr="001517F1" w:rsidRDefault="00DA72B7" w:rsidP="00DA72B7">
      <w:pPr>
        <w:pStyle w:val="TOC1"/>
        <w:rPr>
          <w:rFonts w:eastAsiaTheme="minorEastAsia"/>
          <w:caps w:val="0"/>
          <w:snapToGrid/>
          <w:kern w:val="0"/>
          <w:szCs w:val="22"/>
        </w:rPr>
      </w:pPr>
      <w:r w:rsidRPr="001517F1">
        <w:rPr>
          <w:szCs w:val="22"/>
        </w:rPr>
        <w:t>IV.</w:t>
      </w:r>
      <w:r w:rsidRPr="001517F1">
        <w:rPr>
          <w:rFonts w:eastAsiaTheme="minorEastAsia"/>
          <w:caps w:val="0"/>
          <w:snapToGrid/>
          <w:kern w:val="0"/>
          <w:szCs w:val="22"/>
        </w:rPr>
        <w:tab/>
      </w:r>
      <w:r w:rsidRPr="001517F1">
        <w:rPr>
          <w:szCs w:val="22"/>
        </w:rPr>
        <w:t>PROCEDURAL MATTERS</w:t>
      </w:r>
      <w:r w:rsidRPr="001517F1">
        <w:rPr>
          <w:szCs w:val="22"/>
        </w:rPr>
        <w:tab/>
      </w:r>
      <w:r w:rsidR="00D6030D">
        <w:rPr>
          <w:szCs w:val="22"/>
        </w:rPr>
        <w:t>3</w:t>
      </w:r>
      <w:r w:rsidR="00A34212">
        <w:rPr>
          <w:szCs w:val="22"/>
        </w:rPr>
        <w:t>1</w:t>
      </w:r>
    </w:p>
    <w:p w14:paraId="6DDD4A94" w14:textId="1EB1A5AC" w:rsidR="00DA72B7" w:rsidRPr="001517F1" w:rsidRDefault="00DA72B7" w:rsidP="00DA72B7">
      <w:pPr>
        <w:pStyle w:val="TOC2"/>
        <w:tabs>
          <w:tab w:val="left" w:pos="360"/>
        </w:tabs>
        <w:rPr>
          <w:rFonts w:eastAsiaTheme="minorEastAsia"/>
          <w:snapToGrid/>
          <w:kern w:val="0"/>
          <w:szCs w:val="22"/>
        </w:rPr>
      </w:pPr>
      <w:r w:rsidRPr="001517F1">
        <w:rPr>
          <w:szCs w:val="22"/>
        </w:rPr>
        <w:t>A.</w:t>
      </w:r>
      <w:r w:rsidRPr="001517F1">
        <w:rPr>
          <w:rFonts w:eastAsiaTheme="minorEastAsia"/>
          <w:snapToGrid/>
          <w:kern w:val="0"/>
          <w:szCs w:val="22"/>
        </w:rPr>
        <w:tab/>
      </w:r>
      <w:r w:rsidR="00CC23E1" w:rsidRPr="001517F1">
        <w:rPr>
          <w:rFonts w:eastAsiaTheme="minorEastAsia"/>
          <w:snapToGrid/>
          <w:kern w:val="0"/>
          <w:szCs w:val="22"/>
        </w:rPr>
        <w:t>Accessible Formats</w:t>
      </w:r>
      <w:r w:rsidRPr="001517F1">
        <w:rPr>
          <w:szCs w:val="22"/>
        </w:rPr>
        <w:tab/>
      </w:r>
      <w:r w:rsidR="00D6030D">
        <w:rPr>
          <w:szCs w:val="22"/>
        </w:rPr>
        <w:t>3</w:t>
      </w:r>
      <w:r w:rsidR="00A34212">
        <w:rPr>
          <w:szCs w:val="22"/>
        </w:rPr>
        <w:t>1</w:t>
      </w:r>
    </w:p>
    <w:p w14:paraId="5D82F06C" w14:textId="0C21F1E0" w:rsidR="00DA72B7" w:rsidRPr="001517F1" w:rsidRDefault="00CC23E1" w:rsidP="00DA72B7">
      <w:pPr>
        <w:pStyle w:val="TOC2"/>
        <w:tabs>
          <w:tab w:val="left" w:pos="360"/>
        </w:tabs>
        <w:rPr>
          <w:rFonts w:eastAsiaTheme="minorEastAsia"/>
          <w:snapToGrid/>
          <w:kern w:val="0"/>
          <w:szCs w:val="22"/>
        </w:rPr>
      </w:pPr>
      <w:r w:rsidRPr="001517F1">
        <w:rPr>
          <w:szCs w:val="22"/>
        </w:rPr>
        <w:t>B</w:t>
      </w:r>
      <w:r w:rsidR="00DA72B7" w:rsidRPr="001517F1">
        <w:rPr>
          <w:szCs w:val="22"/>
        </w:rPr>
        <w:t>.</w:t>
      </w:r>
      <w:r w:rsidR="00DA72B7" w:rsidRPr="001517F1">
        <w:rPr>
          <w:rFonts w:eastAsiaTheme="minorEastAsia"/>
          <w:snapToGrid/>
          <w:kern w:val="0"/>
          <w:szCs w:val="22"/>
        </w:rPr>
        <w:tab/>
      </w:r>
      <w:r w:rsidR="00DA72B7" w:rsidRPr="001517F1">
        <w:rPr>
          <w:szCs w:val="22"/>
        </w:rPr>
        <w:t>Regulatory Flexibility Analysis</w:t>
      </w:r>
      <w:r w:rsidR="00DA72B7" w:rsidRPr="001517F1">
        <w:rPr>
          <w:szCs w:val="22"/>
        </w:rPr>
        <w:tab/>
      </w:r>
      <w:r w:rsidR="001D280C">
        <w:rPr>
          <w:szCs w:val="22"/>
        </w:rPr>
        <w:t>3</w:t>
      </w:r>
      <w:r w:rsidR="00A34212">
        <w:rPr>
          <w:szCs w:val="22"/>
        </w:rPr>
        <w:t>2</w:t>
      </w:r>
    </w:p>
    <w:p w14:paraId="034E4537" w14:textId="3E3A0346" w:rsidR="00DA72B7" w:rsidRPr="001517F1" w:rsidRDefault="00CC23E1" w:rsidP="00DA72B7">
      <w:pPr>
        <w:pStyle w:val="TOC2"/>
        <w:tabs>
          <w:tab w:val="left" w:pos="360"/>
        </w:tabs>
        <w:rPr>
          <w:szCs w:val="22"/>
        </w:rPr>
      </w:pPr>
      <w:r w:rsidRPr="001517F1">
        <w:rPr>
          <w:szCs w:val="22"/>
        </w:rPr>
        <w:t>C</w:t>
      </w:r>
      <w:r w:rsidR="00DA72B7" w:rsidRPr="001517F1">
        <w:rPr>
          <w:szCs w:val="22"/>
        </w:rPr>
        <w:t>.</w:t>
      </w:r>
      <w:r w:rsidR="00DA72B7" w:rsidRPr="001517F1">
        <w:rPr>
          <w:rFonts w:eastAsiaTheme="minorEastAsia"/>
          <w:snapToGrid/>
          <w:kern w:val="0"/>
          <w:szCs w:val="22"/>
        </w:rPr>
        <w:tab/>
      </w:r>
      <w:r w:rsidR="00DA72B7" w:rsidRPr="001517F1">
        <w:rPr>
          <w:szCs w:val="22"/>
        </w:rPr>
        <w:t>Paperwork Reduction Analysis</w:t>
      </w:r>
      <w:r w:rsidR="00DA72B7" w:rsidRPr="001517F1">
        <w:rPr>
          <w:szCs w:val="22"/>
        </w:rPr>
        <w:tab/>
      </w:r>
      <w:r w:rsidR="00B86A43" w:rsidRPr="001517F1">
        <w:rPr>
          <w:szCs w:val="22"/>
        </w:rPr>
        <w:t>3</w:t>
      </w:r>
      <w:r w:rsidR="00A34212">
        <w:rPr>
          <w:szCs w:val="22"/>
        </w:rPr>
        <w:t>3</w:t>
      </w:r>
    </w:p>
    <w:p w14:paraId="6CC20A9F" w14:textId="536D9F33" w:rsidR="00CC23E1" w:rsidRPr="001517F1" w:rsidRDefault="00CC23E1" w:rsidP="0077392D">
      <w:pPr>
        <w:pStyle w:val="TOC2"/>
        <w:tabs>
          <w:tab w:val="left" w:pos="360"/>
        </w:tabs>
        <w:rPr>
          <w:rFonts w:eastAsiaTheme="minorEastAsia"/>
        </w:rPr>
      </w:pPr>
      <w:r w:rsidRPr="001517F1">
        <w:rPr>
          <w:rFonts w:eastAsiaTheme="minorEastAsia"/>
        </w:rPr>
        <w:t>D.</w:t>
      </w:r>
      <w:r w:rsidRPr="001517F1">
        <w:rPr>
          <w:rFonts w:eastAsiaTheme="minorEastAsia"/>
        </w:rPr>
        <w:tab/>
        <w:t xml:space="preserve">Congressional Review </w:t>
      </w:r>
      <w:r w:rsidR="0077392D" w:rsidRPr="001517F1">
        <w:rPr>
          <w:rFonts w:eastAsiaTheme="minorEastAsia"/>
        </w:rPr>
        <w:t>Act</w:t>
      </w:r>
      <w:r w:rsidR="00E95112" w:rsidRPr="001517F1">
        <w:rPr>
          <w:rFonts w:eastAsiaTheme="minorEastAsia"/>
        </w:rPr>
        <w:tab/>
      </w:r>
      <w:r w:rsidRPr="001517F1">
        <w:rPr>
          <w:rFonts w:eastAsiaTheme="minorEastAsia"/>
        </w:rPr>
        <w:t>3</w:t>
      </w:r>
      <w:r w:rsidR="00A34212">
        <w:rPr>
          <w:rFonts w:eastAsiaTheme="minorEastAsia"/>
        </w:rPr>
        <w:t>4</w:t>
      </w:r>
    </w:p>
    <w:p w14:paraId="6B1E6614" w14:textId="0C6DA80F" w:rsidR="00DA72B7" w:rsidRPr="001517F1" w:rsidRDefault="00DA72B7" w:rsidP="00DA72B7">
      <w:pPr>
        <w:pStyle w:val="TOC1"/>
        <w:rPr>
          <w:rFonts w:eastAsiaTheme="minorEastAsia"/>
          <w:caps w:val="0"/>
          <w:snapToGrid/>
          <w:kern w:val="0"/>
          <w:szCs w:val="22"/>
        </w:rPr>
      </w:pPr>
      <w:r w:rsidRPr="001517F1">
        <w:rPr>
          <w:szCs w:val="22"/>
        </w:rPr>
        <w:t>V.</w:t>
      </w:r>
      <w:r w:rsidRPr="001517F1">
        <w:rPr>
          <w:rFonts w:eastAsiaTheme="minorEastAsia"/>
          <w:caps w:val="0"/>
          <w:snapToGrid/>
          <w:kern w:val="0"/>
          <w:szCs w:val="22"/>
        </w:rPr>
        <w:tab/>
      </w:r>
      <w:r w:rsidRPr="001517F1">
        <w:rPr>
          <w:szCs w:val="22"/>
        </w:rPr>
        <w:t>ORDERING CLAUSES</w:t>
      </w:r>
      <w:r w:rsidRPr="001517F1">
        <w:rPr>
          <w:szCs w:val="22"/>
        </w:rPr>
        <w:tab/>
      </w:r>
      <w:r w:rsidR="00CC23E1" w:rsidRPr="001517F1">
        <w:rPr>
          <w:szCs w:val="22"/>
        </w:rPr>
        <w:t>3</w:t>
      </w:r>
      <w:r w:rsidR="00A34212">
        <w:rPr>
          <w:szCs w:val="22"/>
        </w:rPr>
        <w:t>5</w:t>
      </w:r>
    </w:p>
    <w:bookmarkEnd w:id="1"/>
    <w:p w14:paraId="083F08D3" w14:textId="77777777" w:rsidR="00EA3FAD" w:rsidRPr="001517F1" w:rsidRDefault="00EA3FAD" w:rsidP="00EA3FAD">
      <w:pPr>
        <w:rPr>
          <w:szCs w:val="22"/>
        </w:rPr>
      </w:pPr>
      <w:r w:rsidRPr="001517F1">
        <w:rPr>
          <w:szCs w:val="22"/>
        </w:rPr>
        <w:t xml:space="preserve">APPENDIX A </w:t>
      </w:r>
      <w:r w:rsidR="0039648E" w:rsidRPr="001517F1">
        <w:rPr>
          <w:szCs w:val="22"/>
        </w:rPr>
        <w:t xml:space="preserve">– </w:t>
      </w:r>
      <w:r w:rsidR="00D67F84" w:rsidRPr="001517F1">
        <w:rPr>
          <w:szCs w:val="22"/>
        </w:rPr>
        <w:t>Final Rules</w:t>
      </w:r>
    </w:p>
    <w:p w14:paraId="75424E5B" w14:textId="77777777" w:rsidR="00EA3FAD" w:rsidRPr="001517F1" w:rsidRDefault="00EA3FAD" w:rsidP="00EA3FAD">
      <w:pPr>
        <w:rPr>
          <w:szCs w:val="22"/>
        </w:rPr>
      </w:pPr>
      <w:r w:rsidRPr="001517F1">
        <w:rPr>
          <w:szCs w:val="22"/>
        </w:rPr>
        <w:t xml:space="preserve">APPENDIX B – </w:t>
      </w:r>
      <w:r w:rsidR="00D67F84" w:rsidRPr="001517F1">
        <w:rPr>
          <w:szCs w:val="22"/>
        </w:rPr>
        <w:t xml:space="preserve">Final </w:t>
      </w:r>
      <w:r w:rsidR="00685FE1" w:rsidRPr="001517F1">
        <w:rPr>
          <w:szCs w:val="22"/>
        </w:rPr>
        <w:t>Regulatory Flexibility Analysis</w:t>
      </w:r>
      <w:r w:rsidR="00F85E01" w:rsidRPr="001517F1">
        <w:rPr>
          <w:szCs w:val="22"/>
        </w:rPr>
        <w:t xml:space="preserve"> </w:t>
      </w:r>
      <w:r w:rsidR="004C73C0" w:rsidRPr="001517F1">
        <w:rPr>
          <w:szCs w:val="22"/>
        </w:rPr>
        <w:t xml:space="preserve"> </w:t>
      </w:r>
    </w:p>
    <w:p w14:paraId="0BC4F2BF" w14:textId="77777777" w:rsidR="00EA3FAD" w:rsidRPr="001517F1" w:rsidRDefault="00EA3FAD" w:rsidP="002F46A3">
      <w:pPr>
        <w:rPr>
          <w:szCs w:val="22"/>
        </w:rPr>
      </w:pPr>
    </w:p>
    <w:p w14:paraId="1DA13C44" w14:textId="77777777" w:rsidR="002F46A3" w:rsidRPr="001517F1" w:rsidRDefault="002F46A3" w:rsidP="00B12809">
      <w:pPr>
        <w:pStyle w:val="Heading1"/>
        <w:rPr>
          <w:rFonts w:ascii="Times New Roman" w:hAnsi="Times New Roman"/>
        </w:rPr>
      </w:pPr>
      <w:bookmarkStart w:id="3" w:name="_Toc411452585"/>
      <w:bookmarkStart w:id="4" w:name="_Toc415747810"/>
      <w:r w:rsidRPr="001517F1">
        <w:rPr>
          <w:rFonts w:ascii="Times New Roman" w:hAnsi="Times New Roman"/>
        </w:rPr>
        <w:t>I</w:t>
      </w:r>
      <w:r w:rsidR="001D3BCA" w:rsidRPr="001517F1">
        <w:rPr>
          <w:rFonts w:ascii="Times New Roman" w:hAnsi="Times New Roman"/>
        </w:rPr>
        <w:t>NTRODUCTION</w:t>
      </w:r>
      <w:bookmarkEnd w:id="3"/>
      <w:bookmarkEnd w:id="4"/>
    </w:p>
    <w:p w14:paraId="4D91BCFE" w14:textId="07DF9940" w:rsidR="002F46A3" w:rsidRPr="00C61AF7" w:rsidRDefault="002F46A3" w:rsidP="00411809">
      <w:pPr>
        <w:pStyle w:val="ParaNum"/>
        <w:widowControl/>
      </w:pPr>
      <w:r w:rsidRPr="001517F1">
        <w:t xml:space="preserve">In this </w:t>
      </w:r>
      <w:r w:rsidR="00D442DD" w:rsidRPr="00AE2114">
        <w:t>Order</w:t>
      </w:r>
      <w:r w:rsidRPr="001517F1">
        <w:t xml:space="preserve">, we </w:t>
      </w:r>
      <w:r w:rsidR="00CC29EC" w:rsidRPr="001517F1">
        <w:t xml:space="preserve">revise </w:t>
      </w:r>
      <w:r w:rsidRPr="001517F1">
        <w:t xml:space="preserve">the </w:t>
      </w:r>
      <w:r w:rsidR="00CD30CF" w:rsidRPr="001517F1">
        <w:t xml:space="preserve">Federal Communications Commission’s (Commission or FCC) </w:t>
      </w:r>
      <w:r w:rsidRPr="001517F1">
        <w:t>Emergency Alert System (EAS)</w:t>
      </w:r>
      <w:r w:rsidR="00CD30CF" w:rsidRPr="001517F1">
        <w:t xml:space="preserve"> rules</w:t>
      </w:r>
      <w:r w:rsidRPr="001517F1">
        <w:rPr>
          <w:rStyle w:val="FootnoteReference"/>
          <w:sz w:val="22"/>
          <w:szCs w:val="22"/>
        </w:rPr>
        <w:footnoteReference w:id="2"/>
      </w:r>
      <w:r w:rsidR="00D442DD" w:rsidRPr="001517F1">
        <w:t xml:space="preserve"> to</w:t>
      </w:r>
      <w:r w:rsidRPr="001517F1">
        <w:t xml:space="preserve"> </w:t>
      </w:r>
      <w:r w:rsidR="00D442DD" w:rsidRPr="001517F1">
        <w:t xml:space="preserve">add three new EAS event codes, covering extreme wind and storm surges, as well as revise the territorial boundaries of the geographic location codes for two offshore marine areas.  </w:t>
      </w:r>
      <w:r w:rsidR="00202552">
        <w:t xml:space="preserve">We initiated this proceeding in response to a request </w:t>
      </w:r>
      <w:r w:rsidR="00C21653" w:rsidRPr="001517F1">
        <w:t>from</w:t>
      </w:r>
      <w:r w:rsidR="00C21653">
        <w:t xml:space="preserve"> </w:t>
      </w:r>
      <w:r w:rsidR="00D67F84">
        <w:t xml:space="preserve">the </w:t>
      </w:r>
      <w:r w:rsidR="00C21653" w:rsidRPr="00C61AF7">
        <w:t>National Weather Service (NWS) of the National Oceanic and Atmospheric Administration (NOAA)</w:t>
      </w:r>
      <w:r w:rsidR="00C21653">
        <w:t xml:space="preserve"> that the Commission adopt </w:t>
      </w:r>
      <w:r w:rsidR="00161CEA">
        <w:t>these revisions</w:t>
      </w:r>
      <w:r w:rsidR="00420199">
        <w:t xml:space="preserve"> </w:t>
      </w:r>
      <w:r w:rsidR="00D67F84">
        <w:t>to harmonize the EAS with the NWS’s weather radio system.</w:t>
      </w:r>
      <w:r w:rsidR="00C21653" w:rsidRPr="00C61AF7">
        <w:rPr>
          <w:rStyle w:val="FootnoteReference"/>
          <w:sz w:val="22"/>
          <w:szCs w:val="22"/>
        </w:rPr>
        <w:footnoteReference w:id="3"/>
      </w:r>
      <w:r w:rsidR="00C21653" w:rsidRPr="00C61AF7">
        <w:t xml:space="preserve">  </w:t>
      </w:r>
      <w:r w:rsidR="00D67F84">
        <w:t>Virtually all commenters supported adoption of the</w:t>
      </w:r>
      <w:r w:rsidR="00420199">
        <w:t xml:space="preserve"> new alert codes</w:t>
      </w:r>
      <w:r w:rsidR="00D67F84">
        <w:t xml:space="preserve"> </w:t>
      </w:r>
      <w:r w:rsidR="00420199">
        <w:t xml:space="preserve">and code </w:t>
      </w:r>
      <w:r w:rsidR="00D67F84">
        <w:t>revisions.</w:t>
      </w:r>
      <w:r w:rsidR="00D67F84">
        <w:rPr>
          <w:rStyle w:val="FootnoteReference"/>
        </w:rPr>
        <w:footnoteReference w:id="4"/>
      </w:r>
      <w:r w:rsidR="00D67F84">
        <w:t xml:space="preserve">  </w:t>
      </w:r>
      <w:r w:rsidR="00EB55D9" w:rsidRPr="00C61AF7">
        <w:t xml:space="preserve">  </w:t>
      </w:r>
    </w:p>
    <w:p w14:paraId="04F4F73B" w14:textId="77777777" w:rsidR="002F46A3" w:rsidRPr="00C61AF7" w:rsidRDefault="002F46A3" w:rsidP="00B12809">
      <w:pPr>
        <w:pStyle w:val="Heading1"/>
      </w:pPr>
      <w:bookmarkStart w:id="5" w:name="_Toc411452586"/>
      <w:bookmarkStart w:id="6" w:name="_Toc415747811"/>
      <w:r w:rsidRPr="00C61AF7">
        <w:lastRenderedPageBreak/>
        <w:t>B</w:t>
      </w:r>
      <w:r w:rsidR="001D3BCA" w:rsidRPr="00C61AF7">
        <w:t>ACKGROUND</w:t>
      </w:r>
      <w:bookmarkEnd w:id="5"/>
      <w:bookmarkEnd w:id="6"/>
    </w:p>
    <w:p w14:paraId="44BD34FA" w14:textId="0AB47923" w:rsidR="00A439BA" w:rsidRPr="00C61AF7" w:rsidRDefault="009F0781" w:rsidP="00B12809">
      <w:pPr>
        <w:pStyle w:val="ParaNum"/>
      </w:pPr>
      <w:r w:rsidRPr="00C61AF7">
        <w:t>The EAS is a national public warning system through which broadcasters, cable systems, and other service providers (EAS Participants)</w:t>
      </w:r>
      <w:r w:rsidRPr="00C61AF7">
        <w:rPr>
          <w:rStyle w:val="FootnoteReference"/>
          <w:sz w:val="22"/>
          <w:szCs w:val="22"/>
        </w:rPr>
        <w:footnoteReference w:id="5"/>
      </w:r>
      <w:r w:rsidRPr="00C61AF7">
        <w:t xml:space="preserve"> deliver alerts to the public to warn them of impending emergencies and dangers to life and property.</w:t>
      </w:r>
      <w:r w:rsidRPr="00C61AF7">
        <w:rPr>
          <w:rStyle w:val="FootnoteReference"/>
          <w:sz w:val="22"/>
          <w:szCs w:val="22"/>
        </w:rPr>
        <w:footnoteReference w:id="6"/>
      </w:r>
      <w:r w:rsidRPr="00C61AF7">
        <w:t xml:space="preserve">  The primary purpose of the EAS is to provide the President with “the capability to provide immediate communications and information to the general public at the </w:t>
      </w:r>
      <w:r w:rsidR="00DD2D9F" w:rsidRPr="00C61AF7">
        <w:t>n</w:t>
      </w:r>
      <w:r w:rsidRPr="00C61AF7">
        <w:t xml:space="preserve">ational, </w:t>
      </w:r>
      <w:r w:rsidR="00DD2D9F" w:rsidRPr="00C61AF7">
        <w:t>s</w:t>
      </w:r>
      <w:r w:rsidRPr="00C61AF7">
        <w:t xml:space="preserve">tate and </w:t>
      </w:r>
      <w:r w:rsidR="00DD2D9F" w:rsidRPr="00C61AF7">
        <w:t>l</w:t>
      </w:r>
      <w:r w:rsidRPr="00C61AF7">
        <w:t>ocal levels during periods of national emergency.”</w:t>
      </w:r>
      <w:r w:rsidRPr="00C61AF7">
        <w:rPr>
          <w:rStyle w:val="FootnoteReference"/>
          <w:sz w:val="22"/>
          <w:szCs w:val="22"/>
        </w:rPr>
        <w:footnoteReference w:id="7"/>
      </w:r>
      <w:r w:rsidRPr="00C61AF7">
        <w:t xml:space="preserve">  The EAS also is used </w:t>
      </w:r>
      <w:r w:rsidR="00CC29EC" w:rsidRPr="00C61AF7">
        <w:t xml:space="preserve">by state and local governments, as well as </w:t>
      </w:r>
      <w:r w:rsidR="00D442DD">
        <w:t>the NWS</w:t>
      </w:r>
      <w:r w:rsidR="00CC29EC" w:rsidRPr="00C61AF7">
        <w:t xml:space="preserve">, </w:t>
      </w:r>
      <w:r w:rsidRPr="00C61AF7">
        <w:t>to distribute alerts</w:t>
      </w:r>
      <w:r w:rsidR="001E074E" w:rsidRPr="00C61AF7">
        <w:t>.</w:t>
      </w:r>
      <w:r w:rsidR="00E77AA8" w:rsidRPr="00C61AF7">
        <w:rPr>
          <w:rStyle w:val="FootnoteReference"/>
          <w:sz w:val="22"/>
          <w:szCs w:val="22"/>
        </w:rPr>
        <w:footnoteReference w:id="8"/>
      </w:r>
      <w:r w:rsidRPr="00C61AF7">
        <w:t xml:space="preserve"> </w:t>
      </w:r>
      <w:r w:rsidR="00024F6C" w:rsidRPr="00C61AF7">
        <w:t xml:space="preserve"> </w:t>
      </w:r>
      <w:r w:rsidR="001E074E" w:rsidRPr="00C61AF7">
        <w:t>According to N</w:t>
      </w:r>
      <w:r w:rsidR="00E77AA8" w:rsidRPr="00C61AF7">
        <w:t>WS</w:t>
      </w:r>
      <w:r w:rsidR="001E074E" w:rsidRPr="00C61AF7">
        <w:t xml:space="preserve">, </w:t>
      </w:r>
      <w:r w:rsidR="00E77AA8" w:rsidRPr="00C61AF7">
        <w:t>about 90 percent of all EAS activations are generated by NWS and relate to short-term weather events.</w:t>
      </w:r>
      <w:r w:rsidR="00E77AA8" w:rsidRPr="00C61AF7">
        <w:rPr>
          <w:rStyle w:val="FootnoteReference"/>
          <w:sz w:val="22"/>
          <w:szCs w:val="22"/>
        </w:rPr>
        <w:footnoteReference w:id="9"/>
      </w:r>
      <w:r w:rsidR="00E77AA8" w:rsidRPr="00C61AF7">
        <w:t xml:space="preserve">  </w:t>
      </w:r>
      <w:r w:rsidRPr="00C61AF7">
        <w:t>The Commission, the Federal Emergency Management Agency (FEMA)</w:t>
      </w:r>
      <w:r w:rsidR="00F50DF8" w:rsidRPr="00C61AF7">
        <w:t>,</w:t>
      </w:r>
      <w:r w:rsidRPr="00C61AF7">
        <w:t xml:space="preserve"> and NWS implement the EAS at the federal level.</w:t>
      </w:r>
      <w:r w:rsidRPr="00C61AF7">
        <w:rPr>
          <w:rStyle w:val="FootnoteReference"/>
          <w:sz w:val="22"/>
          <w:szCs w:val="22"/>
        </w:rPr>
        <w:footnoteReference w:id="10"/>
      </w:r>
      <w:r w:rsidR="00CF1A1A" w:rsidRPr="00C61AF7">
        <w:t xml:space="preserve">  </w:t>
      </w:r>
      <w:r w:rsidR="00E77AA8" w:rsidRPr="00C61AF7">
        <w:t xml:space="preserve">The EAS is a broadcast-based, hierarchical alert message distribution system </w:t>
      </w:r>
      <w:r w:rsidR="00643913" w:rsidRPr="00C61AF7">
        <w:t>through</w:t>
      </w:r>
      <w:r w:rsidR="00E77AA8" w:rsidRPr="00C61AF7">
        <w:t xml:space="preserve"> </w:t>
      </w:r>
      <w:r w:rsidR="00E77AA8" w:rsidRPr="00C61AF7">
        <w:lastRenderedPageBreak/>
        <w:t>which an alert message originator at the local, state or national level encodes (or arranges to have encoded) a message in the EAS Protocol, which provides basic information about the emergency involved</w:t>
      </w:r>
      <w:r w:rsidR="00CC29EC" w:rsidRPr="00C61AF7">
        <w:t>.</w:t>
      </w:r>
      <w:r w:rsidR="00E77AA8" w:rsidRPr="00C61AF7">
        <w:rPr>
          <w:rStyle w:val="FootnoteReference"/>
          <w:sz w:val="22"/>
          <w:szCs w:val="22"/>
        </w:rPr>
        <w:footnoteReference w:id="11"/>
      </w:r>
      <w:r w:rsidR="00E77AA8" w:rsidRPr="00C61AF7">
        <w:t xml:space="preserve"> </w:t>
      </w:r>
      <w:r w:rsidR="0092791C">
        <w:t xml:space="preserve"> </w:t>
      </w:r>
      <w:r w:rsidR="00CC29EC" w:rsidRPr="00C61AF7">
        <w:t>The message is then</w:t>
      </w:r>
      <w:r w:rsidR="00E77AA8" w:rsidRPr="00C61AF7">
        <w:t xml:space="preserve"> broadcast </w:t>
      </w:r>
      <w:r w:rsidR="00CC29EC" w:rsidRPr="00C61AF7">
        <w:t xml:space="preserve">by </w:t>
      </w:r>
      <w:r w:rsidR="00E77AA8" w:rsidRPr="00C61AF7">
        <w:t>one or more EAS Participants and subsequently relayed from one station to another until all affected EAS Participants have received the alert and delivered it to the public.</w:t>
      </w:r>
      <w:r w:rsidR="00E77AA8" w:rsidRPr="00C61AF7">
        <w:rPr>
          <w:rStyle w:val="FootnoteReference"/>
          <w:sz w:val="22"/>
          <w:szCs w:val="22"/>
        </w:rPr>
        <w:footnoteReference w:id="12"/>
      </w:r>
      <w:r w:rsidR="00E77AA8" w:rsidRPr="00C61AF7">
        <w:t xml:space="preserve">  This process of EAS alert distribution among EAS Participants is often referred as the “daisy chain” distribution architecture.</w:t>
      </w:r>
      <w:r w:rsidR="00E77AA8" w:rsidRPr="00C61AF7">
        <w:rPr>
          <w:rStyle w:val="FootnoteReference"/>
          <w:sz w:val="22"/>
          <w:szCs w:val="22"/>
        </w:rPr>
        <w:footnoteReference w:id="13"/>
      </w:r>
      <w:r w:rsidR="00E77AA8" w:rsidRPr="00C61AF7">
        <w:t xml:space="preserve">  </w:t>
      </w:r>
    </w:p>
    <w:p w14:paraId="2F5C5B3B" w14:textId="4897EC8C" w:rsidR="00C02545" w:rsidRDefault="002D1611" w:rsidP="00B12809">
      <w:pPr>
        <w:pStyle w:val="ParaNum"/>
      </w:pPr>
      <w:r w:rsidRPr="00C61AF7">
        <w:t>The EAS Protocol</w:t>
      </w:r>
      <w:r w:rsidR="00A439BA" w:rsidRPr="00C61AF7">
        <w:t xml:space="preserve"> </w:t>
      </w:r>
      <w:r w:rsidR="00AE191C" w:rsidRPr="00C61AF7">
        <w:t>utilizes fixed codes to identify various aspects of the alert.  O</w:t>
      </w:r>
      <w:r w:rsidRPr="00C61AF7">
        <w:t xml:space="preserve">f </w:t>
      </w:r>
      <w:r w:rsidR="001D3BCA" w:rsidRPr="00C61AF7">
        <w:t xml:space="preserve">particular relevance </w:t>
      </w:r>
      <w:r w:rsidRPr="00C61AF7">
        <w:t xml:space="preserve">to this </w:t>
      </w:r>
      <w:r w:rsidR="007F4625">
        <w:t>Order,</w:t>
      </w:r>
      <w:r w:rsidR="00AE191C" w:rsidRPr="00C61AF7">
        <w:t xml:space="preserve"> </w:t>
      </w:r>
      <w:r w:rsidRPr="00C61AF7">
        <w:t xml:space="preserve">the EAS Protocol </w:t>
      </w:r>
      <w:r w:rsidR="00AE191C" w:rsidRPr="00C61AF7">
        <w:t xml:space="preserve">utilizes </w:t>
      </w:r>
      <w:r w:rsidRPr="00C61AF7">
        <w:t xml:space="preserve">a three-character </w:t>
      </w:r>
      <w:r w:rsidR="00AE191C" w:rsidRPr="00C61AF7">
        <w:t>“</w:t>
      </w:r>
      <w:r w:rsidR="00F90BA0" w:rsidRPr="00C61AF7">
        <w:t>e</w:t>
      </w:r>
      <w:r w:rsidR="00AE191C" w:rsidRPr="00C61AF7">
        <w:t>vent code”</w:t>
      </w:r>
      <w:r w:rsidRPr="00C61AF7">
        <w:t xml:space="preserve"> to describe the nature of the alert (</w:t>
      </w:r>
      <w:r w:rsidRPr="00C61AF7">
        <w:rPr>
          <w:i/>
        </w:rPr>
        <w:t>e.g.</w:t>
      </w:r>
      <w:r w:rsidRPr="00C61AF7">
        <w:t>, “TOR” signifies tornado).</w:t>
      </w:r>
      <w:r w:rsidR="00AE191C" w:rsidRPr="00C61AF7">
        <w:rPr>
          <w:rStyle w:val="FootnoteReference"/>
          <w:sz w:val="22"/>
          <w:szCs w:val="22"/>
        </w:rPr>
        <w:footnoteReference w:id="14"/>
      </w:r>
      <w:r w:rsidRPr="00C61AF7">
        <w:t xml:space="preserve"> </w:t>
      </w:r>
      <w:r w:rsidR="009E5B4A" w:rsidRPr="00C61AF7">
        <w:t xml:space="preserve"> </w:t>
      </w:r>
      <w:r w:rsidR="00A5665E" w:rsidRPr="00C61AF7">
        <w:t>The</w:t>
      </w:r>
      <w:r w:rsidR="00B83852" w:rsidRPr="00C61AF7">
        <w:t xml:space="preserve"> EAS Protocol identifies </w:t>
      </w:r>
      <w:r w:rsidR="009969E6" w:rsidRPr="00C61AF7">
        <w:t>“N</w:t>
      </w:r>
      <w:r w:rsidR="00B83852" w:rsidRPr="00C61AF7">
        <w:t xml:space="preserve">ational” event codes, such as the EAN and </w:t>
      </w:r>
      <w:r w:rsidR="006D2CB7" w:rsidRPr="00C61AF7">
        <w:t>National Periodic Test</w:t>
      </w:r>
      <w:r w:rsidR="00060C0A" w:rsidRPr="00C61AF7">
        <w:t xml:space="preserve"> (NPT)</w:t>
      </w:r>
      <w:r w:rsidR="00B83852" w:rsidRPr="00C61AF7">
        <w:t xml:space="preserve">, which EAS Participants </w:t>
      </w:r>
      <w:r w:rsidR="0035707B" w:rsidRPr="00C61AF7">
        <w:t xml:space="preserve">use </w:t>
      </w:r>
      <w:r w:rsidR="004C346F" w:rsidRPr="00C61AF7">
        <w:t>as part of required Presidential alerts and tests</w:t>
      </w:r>
      <w:r w:rsidR="00B83852" w:rsidRPr="00C61AF7">
        <w:t xml:space="preserve">, and </w:t>
      </w:r>
      <w:r w:rsidR="009969E6" w:rsidRPr="00C61AF7">
        <w:t>“</w:t>
      </w:r>
      <w:r w:rsidR="00B83852" w:rsidRPr="00C61AF7">
        <w:t>State</w:t>
      </w:r>
      <w:r w:rsidR="009969E6" w:rsidRPr="00C61AF7">
        <w:t xml:space="preserve"> and L</w:t>
      </w:r>
      <w:r w:rsidR="00B83852" w:rsidRPr="00C61AF7">
        <w:t>ocal</w:t>
      </w:r>
      <w:r w:rsidR="009969E6" w:rsidRPr="00C61AF7">
        <w:t>”</w:t>
      </w:r>
      <w:r w:rsidR="00B83852" w:rsidRPr="00C61AF7">
        <w:t xml:space="preserve"> event codes, </w:t>
      </w:r>
      <w:r w:rsidR="009969E6" w:rsidRPr="00C61AF7">
        <w:t xml:space="preserve">such as TOR, </w:t>
      </w:r>
      <w:r w:rsidR="00B83852" w:rsidRPr="00C61AF7">
        <w:t xml:space="preserve">which EAS Participants </w:t>
      </w:r>
      <w:r w:rsidR="004C346F" w:rsidRPr="00C61AF7">
        <w:t xml:space="preserve">use when they deliver </w:t>
      </w:r>
      <w:r w:rsidR="0035707B" w:rsidRPr="00C61AF7">
        <w:t xml:space="preserve">weather and other voluntary </w:t>
      </w:r>
      <w:r w:rsidR="004C346F" w:rsidRPr="00C61AF7">
        <w:t>alerts</w:t>
      </w:r>
      <w:r w:rsidR="00B83852" w:rsidRPr="00C61AF7">
        <w:t>.</w:t>
      </w:r>
      <w:r w:rsidR="00B83852" w:rsidRPr="00C61AF7">
        <w:rPr>
          <w:rStyle w:val="FootnoteReference"/>
          <w:sz w:val="22"/>
          <w:szCs w:val="22"/>
        </w:rPr>
        <w:footnoteReference w:id="15"/>
      </w:r>
      <w:r w:rsidR="00B83852" w:rsidRPr="00C61AF7">
        <w:t xml:space="preserve">  </w:t>
      </w:r>
      <w:r w:rsidR="009E5B4A" w:rsidRPr="00C61AF7">
        <w:t xml:space="preserve">In addition, the EAS Protocol utilizes six-digit numerical </w:t>
      </w:r>
      <w:r w:rsidR="005D171F" w:rsidRPr="00C61AF7">
        <w:t xml:space="preserve">location </w:t>
      </w:r>
      <w:r w:rsidR="009E5B4A" w:rsidRPr="00C61AF7">
        <w:t xml:space="preserve">codes to identify the geographic area(s) </w:t>
      </w:r>
      <w:r w:rsidR="00A0306B" w:rsidRPr="00C61AF7">
        <w:t>to which the alert applies.</w:t>
      </w:r>
      <w:r w:rsidR="00A0306B" w:rsidRPr="00C61AF7">
        <w:rPr>
          <w:rStyle w:val="FootnoteReference"/>
          <w:sz w:val="22"/>
          <w:szCs w:val="22"/>
        </w:rPr>
        <w:footnoteReference w:id="16"/>
      </w:r>
      <w:r w:rsidR="00A0306B" w:rsidRPr="00C61AF7">
        <w:t xml:space="preserve">  </w:t>
      </w:r>
      <w:r w:rsidR="000B0786" w:rsidRPr="00C61AF7">
        <w:t>Unlike</w:t>
      </w:r>
      <w:r w:rsidR="00ED53C6" w:rsidRPr="00C61AF7">
        <w:t xml:space="preserve"> the state and territory </w:t>
      </w:r>
      <w:r w:rsidR="00FA791E" w:rsidRPr="00C61AF7">
        <w:t>geographic location codes</w:t>
      </w:r>
      <w:r w:rsidR="000B0786" w:rsidRPr="00C61AF7">
        <w:t>, which</w:t>
      </w:r>
      <w:r w:rsidR="00FA791E" w:rsidRPr="00C61AF7">
        <w:t xml:space="preserve"> are based on </w:t>
      </w:r>
      <w:r w:rsidR="00E430C5">
        <w:t>an</w:t>
      </w:r>
      <w:r w:rsidR="00A64B20">
        <w:t xml:space="preserve"> </w:t>
      </w:r>
      <w:r w:rsidR="00FA791E" w:rsidRPr="00C61AF7">
        <w:t>American National Standards Institute (ANSI) standard,</w:t>
      </w:r>
      <w:r w:rsidR="00FA791E" w:rsidRPr="00C61AF7">
        <w:rPr>
          <w:rStyle w:val="FootnoteReference"/>
          <w:sz w:val="22"/>
          <w:szCs w:val="22"/>
        </w:rPr>
        <w:footnoteReference w:id="17"/>
      </w:r>
      <w:r w:rsidR="00FA791E" w:rsidRPr="00C61AF7">
        <w:t xml:space="preserve"> the codes assigned to the offshore marine areas were </w:t>
      </w:r>
      <w:r w:rsidR="00E75CB0" w:rsidRPr="00C61AF7">
        <w:t xml:space="preserve">created </w:t>
      </w:r>
      <w:r w:rsidR="00FA791E" w:rsidRPr="00C61AF7">
        <w:t>by the NWS</w:t>
      </w:r>
      <w:r w:rsidR="00E75CB0" w:rsidRPr="00C61AF7">
        <w:t xml:space="preserve"> and adopted by the Commission in 2002</w:t>
      </w:r>
      <w:r w:rsidR="00DD6201" w:rsidRPr="00C61AF7">
        <w:t xml:space="preserve"> at NWS’s request</w:t>
      </w:r>
      <w:r w:rsidR="0060325A">
        <w:t>,</w:t>
      </w:r>
      <w:r w:rsidR="00202552">
        <w:t xml:space="preserve"> following notice and opportunity for public comment</w:t>
      </w:r>
      <w:r w:rsidR="00FA791E" w:rsidRPr="00C61AF7">
        <w:t>.</w:t>
      </w:r>
      <w:r w:rsidR="00FA791E" w:rsidRPr="00C61AF7">
        <w:rPr>
          <w:rStyle w:val="FootnoteReference"/>
          <w:sz w:val="22"/>
          <w:szCs w:val="22"/>
        </w:rPr>
        <w:footnoteReference w:id="18"/>
      </w:r>
      <w:r w:rsidR="00FA791E" w:rsidRPr="00C61AF7">
        <w:t xml:space="preserve">  </w:t>
      </w:r>
    </w:p>
    <w:p w14:paraId="34EEC760" w14:textId="77777777" w:rsidR="002F46A3" w:rsidRPr="00C61AF7" w:rsidRDefault="002F46A3" w:rsidP="00B12809">
      <w:pPr>
        <w:pStyle w:val="Heading1"/>
      </w:pPr>
      <w:bookmarkStart w:id="8" w:name="_Toc411452587"/>
      <w:bookmarkStart w:id="9" w:name="_Toc415747812"/>
      <w:r w:rsidRPr="00C61AF7">
        <w:t>DISCUSSION</w:t>
      </w:r>
      <w:bookmarkEnd w:id="8"/>
      <w:bookmarkEnd w:id="9"/>
    </w:p>
    <w:p w14:paraId="47637E46" w14:textId="77777777" w:rsidR="00A25F35" w:rsidRPr="00A25F35" w:rsidRDefault="00A25F35" w:rsidP="005F296B">
      <w:pPr>
        <w:pStyle w:val="Heading2"/>
      </w:pPr>
      <w:r w:rsidRPr="00C61AF7">
        <w:t xml:space="preserve">Proposed </w:t>
      </w:r>
      <w:r>
        <w:t xml:space="preserve">EAS Event Codes </w:t>
      </w:r>
    </w:p>
    <w:p w14:paraId="4EF01972" w14:textId="075A9B3B" w:rsidR="00E62003" w:rsidRPr="00C61AF7" w:rsidRDefault="003916B7" w:rsidP="00B12809">
      <w:pPr>
        <w:pStyle w:val="ParaNum"/>
      </w:pPr>
      <w:r w:rsidRPr="00C61AF7">
        <w:t xml:space="preserve">NWS </w:t>
      </w:r>
      <w:r w:rsidR="00E62003" w:rsidRPr="00C61AF7">
        <w:t>request</w:t>
      </w:r>
      <w:r w:rsidR="00420199">
        <w:t>ed</w:t>
      </w:r>
      <w:r w:rsidR="00E62003" w:rsidRPr="00C61AF7">
        <w:t xml:space="preserve"> that the Commission </w:t>
      </w:r>
      <w:r w:rsidR="0035707B" w:rsidRPr="00C61AF7">
        <w:t xml:space="preserve">add </w:t>
      </w:r>
      <w:r w:rsidR="00E62003" w:rsidRPr="00C61AF7">
        <w:t xml:space="preserve">a new “Extreme Wind Warning” (EWW) event code to provide the public with advance notice of the onset of extreme sustained surface winds (greater than or equal to 115 miles per hour) </w:t>
      </w:r>
      <w:r w:rsidR="00583E98" w:rsidRPr="00C61AF7">
        <w:t xml:space="preserve">associated with </w:t>
      </w:r>
      <w:r w:rsidR="00E62003" w:rsidRPr="00C61AF7">
        <w:t>a major land-falling hurricane (category 3 or higher).</w:t>
      </w:r>
      <w:r w:rsidR="00E62003" w:rsidRPr="00C61AF7">
        <w:rPr>
          <w:rStyle w:val="FootnoteReference"/>
          <w:sz w:val="22"/>
          <w:szCs w:val="22"/>
        </w:rPr>
        <w:footnoteReference w:id="19"/>
      </w:r>
      <w:r w:rsidR="00E62003" w:rsidRPr="00C61AF7">
        <w:t xml:space="preserve">  </w:t>
      </w:r>
      <w:r w:rsidR="00420199">
        <w:t xml:space="preserve">According to </w:t>
      </w:r>
      <w:r w:rsidR="00E62003" w:rsidRPr="00C61AF7">
        <w:t>NWS</w:t>
      </w:r>
      <w:r w:rsidR="00420199">
        <w:t xml:space="preserve">, </w:t>
      </w:r>
      <w:r w:rsidR="00EE7A83" w:rsidRPr="00C61AF7">
        <w:t>no other existing EAS event code is adequate or acceptable to activate the EAS for an extreme wind warning</w:t>
      </w:r>
      <w:r w:rsidR="00EE7A83">
        <w:t xml:space="preserve"> associated with a hurricane</w:t>
      </w:r>
      <w:r w:rsidR="00EE7A83" w:rsidRPr="00C61AF7">
        <w:t>.</w:t>
      </w:r>
      <w:r w:rsidR="00EE7A83" w:rsidRPr="00C61AF7">
        <w:rPr>
          <w:rStyle w:val="FootnoteReference"/>
          <w:sz w:val="22"/>
          <w:szCs w:val="22"/>
        </w:rPr>
        <w:footnoteReference w:id="20"/>
      </w:r>
      <w:r w:rsidR="00EE7A83" w:rsidRPr="00C61AF7">
        <w:t xml:space="preserve">  </w:t>
      </w:r>
      <w:r w:rsidR="00EE7A83">
        <w:t xml:space="preserve">NWS </w:t>
      </w:r>
      <w:r w:rsidR="00FD300C">
        <w:t xml:space="preserve">explained that although it </w:t>
      </w:r>
      <w:r w:rsidR="00EE7A83">
        <w:t>began using the EWW code for its weather alert radio system warnings in 2007, E</w:t>
      </w:r>
      <w:r w:rsidR="00E62003" w:rsidRPr="00C61AF7">
        <w:t xml:space="preserve">AS Participants </w:t>
      </w:r>
      <w:r w:rsidR="00EE7A83">
        <w:t>we</w:t>
      </w:r>
      <w:r w:rsidR="00E62003" w:rsidRPr="00C61AF7">
        <w:t>re “reluctant to add and relay the new [e]vent [c]ode via the EAS, fearing FCC adverse action without addition of the new EWW Event Code to the Part 11</w:t>
      </w:r>
      <w:r w:rsidR="00E430C5">
        <w:t xml:space="preserve"> [rules]</w:t>
      </w:r>
      <w:r w:rsidR="00E62003" w:rsidRPr="00C61AF7">
        <w:t>.”</w:t>
      </w:r>
      <w:r w:rsidR="00E62003" w:rsidRPr="00C61AF7">
        <w:rPr>
          <w:rStyle w:val="FootnoteReference"/>
          <w:sz w:val="22"/>
          <w:szCs w:val="22"/>
        </w:rPr>
        <w:footnoteReference w:id="21"/>
      </w:r>
      <w:r w:rsidR="00E62003" w:rsidRPr="00C61AF7">
        <w:rPr>
          <w:color w:val="131313"/>
        </w:rPr>
        <w:t xml:space="preserve">  </w:t>
      </w:r>
    </w:p>
    <w:p w14:paraId="1F380F37" w14:textId="4707636B" w:rsidR="00877C63" w:rsidRPr="00C61AF7" w:rsidRDefault="00067007" w:rsidP="00B12809">
      <w:pPr>
        <w:pStyle w:val="ParaNum"/>
      </w:pPr>
      <w:r w:rsidRPr="00C61AF7">
        <w:t>NWS also request</w:t>
      </w:r>
      <w:r w:rsidR="00FD300C">
        <w:t>ed</w:t>
      </w:r>
      <w:r w:rsidRPr="00C61AF7">
        <w:t xml:space="preserve"> </w:t>
      </w:r>
      <w:r w:rsidR="000E11DA" w:rsidRPr="00C61AF7">
        <w:t xml:space="preserve">that the Commission add </w:t>
      </w:r>
      <w:r w:rsidR="009B147F" w:rsidRPr="00C61AF7">
        <w:t xml:space="preserve">two </w:t>
      </w:r>
      <w:r w:rsidRPr="00C61AF7">
        <w:t xml:space="preserve">new </w:t>
      </w:r>
      <w:r w:rsidR="009B147F" w:rsidRPr="00C61AF7">
        <w:t>event codes covering storm surges</w:t>
      </w:r>
      <w:r w:rsidR="005A57A6" w:rsidRPr="00C61AF7">
        <w:t xml:space="preserve">: </w:t>
      </w:r>
      <w:r w:rsidR="009B147F" w:rsidRPr="00C61AF7">
        <w:t xml:space="preserve"> “Storm Surge Watch” (SSA) and “Storm Surge Warning” (SSW)</w:t>
      </w:r>
      <w:r w:rsidR="009D6FEA" w:rsidRPr="00C61AF7">
        <w:t>.</w:t>
      </w:r>
      <w:r w:rsidR="00FD300C">
        <w:rPr>
          <w:rStyle w:val="FootnoteReference"/>
        </w:rPr>
        <w:footnoteReference w:id="22"/>
      </w:r>
      <w:r w:rsidR="009B147F" w:rsidRPr="00C61AF7">
        <w:t xml:space="preserve"> </w:t>
      </w:r>
      <w:r w:rsidR="005A57A6" w:rsidRPr="00C61AF7">
        <w:t xml:space="preserve"> </w:t>
      </w:r>
      <w:r w:rsidR="009D6FEA" w:rsidRPr="00C61AF7">
        <w:t>NWS indicate</w:t>
      </w:r>
      <w:r w:rsidR="00FD300C">
        <w:t>d</w:t>
      </w:r>
      <w:r w:rsidR="009D6FEA" w:rsidRPr="00C61AF7">
        <w:t xml:space="preserve"> that the “Storm Surge Watch/Warning will be issued when there is a significant risk of life-threatening inundation from rising water moving inland from the ocean</w:t>
      </w:r>
      <w:r w:rsidR="009F4B10" w:rsidRPr="00C61AF7">
        <w:t>.</w:t>
      </w:r>
      <w:r w:rsidR="009D6FEA" w:rsidRPr="00C61AF7">
        <w:t>”</w:t>
      </w:r>
      <w:r w:rsidR="009F4B10" w:rsidRPr="00C61AF7">
        <w:rPr>
          <w:rStyle w:val="FootnoteReference"/>
          <w:sz w:val="22"/>
          <w:szCs w:val="22"/>
        </w:rPr>
        <w:t xml:space="preserve"> </w:t>
      </w:r>
      <w:r w:rsidR="009F4B10" w:rsidRPr="00C61AF7">
        <w:rPr>
          <w:rStyle w:val="FootnoteReference"/>
          <w:sz w:val="22"/>
          <w:szCs w:val="22"/>
        </w:rPr>
        <w:footnoteReference w:id="23"/>
      </w:r>
      <w:r w:rsidR="009D6FEA" w:rsidRPr="00C61AF7">
        <w:t xml:space="preserve"> </w:t>
      </w:r>
      <w:r w:rsidR="009F4B10" w:rsidRPr="00C61AF7">
        <w:t xml:space="preserve"> </w:t>
      </w:r>
      <w:r w:rsidR="00FD300C">
        <w:t>According to NWS, i</w:t>
      </w:r>
      <w:r w:rsidR="00821A19" w:rsidRPr="00C61AF7">
        <w:t>n the event of a storm surge, a watch w</w:t>
      </w:r>
      <w:r w:rsidR="009F4B10" w:rsidRPr="00C61AF7">
        <w:t>ould</w:t>
      </w:r>
      <w:r w:rsidR="00821A19" w:rsidRPr="00C61AF7">
        <w:t xml:space="preserve"> be issued 48 hours in advance of the event taking place and a warning </w:t>
      </w:r>
      <w:r w:rsidR="009D6FEA" w:rsidRPr="00C61AF7">
        <w:t>w</w:t>
      </w:r>
      <w:r w:rsidR="009F4B10" w:rsidRPr="00C61AF7">
        <w:t>ould</w:t>
      </w:r>
      <w:r w:rsidR="009D6FEA" w:rsidRPr="00C61AF7">
        <w:t xml:space="preserve"> be issued 36 hours in advance of</w:t>
      </w:r>
      <w:r w:rsidR="009D6FEA" w:rsidRPr="009D6FEA">
        <w:t xml:space="preserve"> </w:t>
      </w:r>
      <w:r w:rsidR="009D6FEA" w:rsidRPr="00C61AF7">
        <w:t xml:space="preserve">the </w:t>
      </w:r>
      <w:r w:rsidR="00877C63" w:rsidRPr="00C61AF7">
        <w:t>event, and will help to mitigate damage from storm surge, the leading cause of death in tropical cyclones.</w:t>
      </w:r>
      <w:r w:rsidR="00877C63" w:rsidRPr="00C61AF7">
        <w:rPr>
          <w:vertAlign w:val="superscript"/>
        </w:rPr>
        <w:footnoteReference w:id="24"/>
      </w:r>
    </w:p>
    <w:p w14:paraId="593A9D21" w14:textId="77777777" w:rsidR="00235FFF" w:rsidRPr="009E5B4A" w:rsidRDefault="009D6FEA" w:rsidP="00B12809">
      <w:pPr>
        <w:pStyle w:val="ParaNum"/>
        <w:tabs>
          <w:tab w:val="left" w:pos="1440"/>
        </w:tabs>
      </w:pPr>
      <w:r w:rsidRPr="00C61AF7">
        <w:t xml:space="preserve">In support of its request, </w:t>
      </w:r>
      <w:r w:rsidR="00E04BAF" w:rsidRPr="00C61AF7">
        <w:t xml:space="preserve">NWS </w:t>
      </w:r>
      <w:r w:rsidR="00F70BAE">
        <w:t>observed that</w:t>
      </w:r>
      <w:r w:rsidR="00D80FD6" w:rsidRPr="00C61AF7">
        <w:t xml:space="preserve">, according to the </w:t>
      </w:r>
      <w:r w:rsidR="00F70BAE" w:rsidRPr="00C61AF7">
        <w:t>National Hurricane Center (NHC)</w:t>
      </w:r>
      <w:r w:rsidR="001A0C73" w:rsidRPr="00C61AF7">
        <w:t xml:space="preserve">, </w:t>
      </w:r>
      <w:r w:rsidR="00E04BAF" w:rsidRPr="00C61AF7">
        <w:t>“storm surge losses in the hundreds or thousands of lives have occurred in every coastal state from Texas to South Carolina, and in some states north of there.”</w:t>
      </w:r>
      <w:r w:rsidR="00E04BAF" w:rsidRPr="00C61AF7">
        <w:rPr>
          <w:rStyle w:val="FootnoteReference"/>
          <w:sz w:val="22"/>
          <w:szCs w:val="22"/>
        </w:rPr>
        <w:footnoteReference w:id="25"/>
      </w:r>
      <w:r w:rsidR="00E04BAF" w:rsidRPr="00C61AF7">
        <w:t xml:space="preserve">  </w:t>
      </w:r>
      <w:r w:rsidRPr="00C61AF7">
        <w:t>NWS explain</w:t>
      </w:r>
      <w:r w:rsidR="00F70BAE">
        <w:t>ed</w:t>
      </w:r>
      <w:r w:rsidRPr="00C61AF7">
        <w:t xml:space="preserve"> that “[w]hile the threatening winds of a hurricane are important, most deaths from tropical cyclones result from storm surge.”</w:t>
      </w:r>
      <w:r w:rsidR="009E5B4A" w:rsidRPr="00C61AF7">
        <w:rPr>
          <w:rStyle w:val="FootnoteReference"/>
          <w:sz w:val="22"/>
          <w:szCs w:val="22"/>
        </w:rPr>
        <w:footnoteReference w:id="26"/>
      </w:r>
      <w:r w:rsidRPr="00C61AF7">
        <w:t xml:space="preserve">  </w:t>
      </w:r>
      <w:r w:rsidR="00373BD3" w:rsidRPr="00C61AF7">
        <w:t>NWS further explain</w:t>
      </w:r>
      <w:r w:rsidR="00882E49">
        <w:t xml:space="preserve">ed </w:t>
      </w:r>
      <w:r w:rsidR="00373BD3" w:rsidRPr="00C61AF7">
        <w:t xml:space="preserve">that current </w:t>
      </w:r>
      <w:r w:rsidR="00882E49">
        <w:t>hurricane event codes are insufficient,</w:t>
      </w:r>
      <w:r w:rsidR="00373BD3" w:rsidRPr="00C61AF7">
        <w:t xml:space="preserve"> </w:t>
      </w:r>
      <w:r w:rsidR="00882E49">
        <w:t>and</w:t>
      </w:r>
      <w:r w:rsidR="00373BD3" w:rsidRPr="00C61AF7">
        <w:t xml:space="preserve"> </w:t>
      </w:r>
      <w:r w:rsidR="00696EFD" w:rsidRPr="00C61AF7">
        <w:t>that issuing storm surge watch</w:t>
      </w:r>
      <w:r w:rsidR="006B43B5" w:rsidRPr="00C61AF7">
        <w:t>/</w:t>
      </w:r>
      <w:r w:rsidR="00696EFD" w:rsidRPr="00C61AF7">
        <w:t xml:space="preserve">warning conditions is supported by both </w:t>
      </w:r>
      <w:r w:rsidR="00A565A7" w:rsidRPr="00C61AF7">
        <w:t>NHC</w:t>
      </w:r>
      <w:r w:rsidR="00696EFD" w:rsidRPr="00C61AF7">
        <w:t xml:space="preserve"> and FEMA,</w:t>
      </w:r>
      <w:r w:rsidR="00882E49">
        <w:t xml:space="preserve"> as well as </w:t>
      </w:r>
      <w:r w:rsidR="00696EFD" w:rsidRPr="00C61AF7">
        <w:t>the government meteorological services of other nations, such as Environment Canada, and the World Meteorological Organization</w:t>
      </w:r>
      <w:r w:rsidR="00882E49">
        <w:t>.</w:t>
      </w:r>
      <w:r w:rsidR="00696EFD" w:rsidRPr="00C61AF7">
        <w:rPr>
          <w:rStyle w:val="FootnoteReference"/>
          <w:sz w:val="22"/>
          <w:szCs w:val="22"/>
        </w:rPr>
        <w:footnoteReference w:id="27"/>
      </w:r>
      <w:r w:rsidR="00373BD3" w:rsidRPr="00C61AF7">
        <w:t xml:space="preserve">  </w:t>
      </w:r>
    </w:p>
    <w:p w14:paraId="578F54C6" w14:textId="6632BCDA" w:rsidR="00280EC3" w:rsidRPr="00C61AF7" w:rsidRDefault="00E11DC6" w:rsidP="00B12809">
      <w:pPr>
        <w:pStyle w:val="ParaNum"/>
      </w:pPr>
      <w:r w:rsidRPr="00C61AF7">
        <w:t xml:space="preserve">We </w:t>
      </w:r>
      <w:r w:rsidR="00821A19" w:rsidRPr="00C61AF7">
        <w:t>propose</w:t>
      </w:r>
      <w:r w:rsidR="00FD300C">
        <w:t xml:space="preserve">d </w:t>
      </w:r>
      <w:r w:rsidR="00C871DA" w:rsidRPr="00C61AF7">
        <w:t>add</w:t>
      </w:r>
      <w:r w:rsidR="0035707B" w:rsidRPr="00C61AF7">
        <w:t>ing</w:t>
      </w:r>
      <w:r w:rsidR="00C871DA" w:rsidRPr="00C61AF7">
        <w:t xml:space="preserve"> </w:t>
      </w:r>
      <w:r w:rsidR="00821A19" w:rsidRPr="00C61AF7">
        <w:t>both</w:t>
      </w:r>
      <w:r w:rsidRPr="00C61AF7">
        <w:t xml:space="preserve"> the extreme wind warning and storm surge event codes </w:t>
      </w:r>
      <w:r w:rsidR="0035707B" w:rsidRPr="00C61AF7">
        <w:t xml:space="preserve">to </w:t>
      </w:r>
      <w:r w:rsidR="007C5814">
        <w:t>S</w:t>
      </w:r>
      <w:r w:rsidR="007C5814" w:rsidRPr="00C61AF7">
        <w:t xml:space="preserve">ection </w:t>
      </w:r>
      <w:r w:rsidR="0035707B" w:rsidRPr="00C61AF7">
        <w:t>11.31(e) of the Commission’s rules</w:t>
      </w:r>
      <w:r w:rsidR="00222BE4" w:rsidRPr="00C61AF7">
        <w:t>, thus authorizing their use by EAS Participants</w:t>
      </w:r>
      <w:r w:rsidR="00361217" w:rsidRPr="00C61AF7">
        <w:t>.</w:t>
      </w:r>
      <w:r w:rsidR="00FD300C">
        <w:rPr>
          <w:rStyle w:val="FootnoteReference"/>
        </w:rPr>
        <w:footnoteReference w:id="28"/>
      </w:r>
      <w:r w:rsidR="00361217" w:rsidRPr="00C61AF7">
        <w:t xml:space="preserve">  </w:t>
      </w:r>
      <w:r w:rsidR="004877D3" w:rsidRPr="00C61AF7">
        <w:t>A</w:t>
      </w:r>
      <w:r w:rsidR="00FD300C">
        <w:t xml:space="preserve">mong other things, we </w:t>
      </w:r>
      <w:r w:rsidR="00E63CD1">
        <w:t xml:space="preserve">considered whether </w:t>
      </w:r>
      <w:r w:rsidR="00FD300C">
        <w:t xml:space="preserve">not adopting such revisions would risk </w:t>
      </w:r>
      <w:r w:rsidR="00D80FD6" w:rsidRPr="00C61AF7">
        <w:t xml:space="preserve">unnecessary harm to the public, a risk inconsistent with </w:t>
      </w:r>
      <w:r w:rsidR="00FA52DC" w:rsidRPr="00C61AF7">
        <w:t>our statutory m</w:t>
      </w:r>
      <w:r w:rsidR="00202552">
        <w:t>ission</w:t>
      </w:r>
      <w:r w:rsidR="00FA52DC" w:rsidRPr="00C61AF7">
        <w:t xml:space="preserve"> of “promoting the safety of life and property through the use of wire and radio communication.”</w:t>
      </w:r>
      <w:r w:rsidR="00FA52DC" w:rsidRPr="00C61AF7">
        <w:rPr>
          <w:rStyle w:val="FootnoteReference"/>
          <w:sz w:val="22"/>
          <w:szCs w:val="22"/>
        </w:rPr>
        <w:footnoteReference w:id="29"/>
      </w:r>
      <w:r w:rsidR="00FA52DC" w:rsidRPr="00C61AF7">
        <w:t xml:space="preserve">  </w:t>
      </w:r>
      <w:r w:rsidR="00D80FD6" w:rsidRPr="00C61AF7">
        <w:t xml:space="preserve">We </w:t>
      </w:r>
      <w:r w:rsidR="00882E49">
        <w:t>t</w:t>
      </w:r>
      <w:r w:rsidR="00DD6201" w:rsidRPr="00C61AF7">
        <w:t>entatively conclude</w:t>
      </w:r>
      <w:r w:rsidR="005506CD">
        <w:t>d</w:t>
      </w:r>
      <w:r w:rsidR="00DD6201" w:rsidRPr="00C61AF7">
        <w:t xml:space="preserve"> that </w:t>
      </w:r>
      <w:r w:rsidR="00361217" w:rsidRPr="00C61AF7">
        <w:t xml:space="preserve">the event codes </w:t>
      </w:r>
      <w:r w:rsidR="006B43B5" w:rsidRPr="00C61AF7">
        <w:t>NWS propose</w:t>
      </w:r>
      <w:r w:rsidR="005506CD">
        <w:t>d</w:t>
      </w:r>
      <w:r w:rsidR="00361217" w:rsidRPr="00C61AF7">
        <w:t xml:space="preserve"> </w:t>
      </w:r>
      <w:r w:rsidR="004877D3" w:rsidRPr="00C61AF7">
        <w:t xml:space="preserve">could </w:t>
      </w:r>
      <w:r w:rsidR="00F50DF8" w:rsidRPr="00C61AF7">
        <w:t xml:space="preserve">promote public safety by saving </w:t>
      </w:r>
      <w:r w:rsidR="00361217" w:rsidRPr="00C61AF7">
        <w:t xml:space="preserve">lives and </w:t>
      </w:r>
      <w:r w:rsidR="00F50DF8" w:rsidRPr="00C61AF7">
        <w:t xml:space="preserve">reducing </w:t>
      </w:r>
      <w:r w:rsidR="00361217" w:rsidRPr="00C61AF7">
        <w:t>the potential for injuries and damage to property</w:t>
      </w:r>
      <w:r w:rsidR="005506CD">
        <w:t xml:space="preserve">, and we sought </w:t>
      </w:r>
      <w:r w:rsidR="006B43B5" w:rsidRPr="00C61AF7">
        <w:t xml:space="preserve">comment on this </w:t>
      </w:r>
      <w:r w:rsidR="00DD6201" w:rsidRPr="00C61AF7">
        <w:t>tentative conclusion</w:t>
      </w:r>
      <w:r w:rsidR="006B43B5" w:rsidRPr="00C61AF7">
        <w:t>.</w:t>
      </w:r>
      <w:r w:rsidR="005506CD">
        <w:rPr>
          <w:rStyle w:val="FootnoteReference"/>
        </w:rPr>
        <w:footnoteReference w:id="30"/>
      </w:r>
    </w:p>
    <w:p w14:paraId="36C5CC57" w14:textId="77777777" w:rsidR="00CB7400" w:rsidRPr="00C61AF7" w:rsidRDefault="005506CD" w:rsidP="005F296B">
      <w:pPr>
        <w:pStyle w:val="ParaNum"/>
      </w:pPr>
      <w:r>
        <w:t xml:space="preserve">We also sought </w:t>
      </w:r>
      <w:r w:rsidR="0096189B" w:rsidRPr="00C61AF7">
        <w:t xml:space="preserve">comment </w:t>
      </w:r>
      <w:r w:rsidR="003F1ACB" w:rsidRPr="00C61AF7">
        <w:t>on whether the ad</w:t>
      </w:r>
      <w:r w:rsidR="0035707B" w:rsidRPr="00C61AF7">
        <w:t xml:space="preserve">dition </w:t>
      </w:r>
      <w:r w:rsidR="003F1ACB" w:rsidRPr="00C61AF7">
        <w:t>of</w:t>
      </w:r>
      <w:r w:rsidR="0096189B" w:rsidRPr="00C61AF7">
        <w:t xml:space="preserve"> the EWW, SSA, and SSW event codes</w:t>
      </w:r>
      <w:r w:rsidR="003F1ACB" w:rsidRPr="00C61AF7">
        <w:t xml:space="preserve"> </w:t>
      </w:r>
      <w:r w:rsidR="00DB0925" w:rsidRPr="00C61AF7">
        <w:t xml:space="preserve">would </w:t>
      </w:r>
      <w:r w:rsidR="003F1ACB" w:rsidRPr="00C61AF7">
        <w:t>promote the public interest</w:t>
      </w:r>
      <w:r w:rsidR="00DB0925" w:rsidRPr="00C61AF7">
        <w:t xml:space="preserve"> by enabling the public to deal more effectively with emergency situations, and, if so, how </w:t>
      </w:r>
      <w:r w:rsidR="00A2591C" w:rsidRPr="00C61AF7">
        <w:t>the specificity added by use of the codes would assist the public in these regards</w:t>
      </w:r>
      <w:r w:rsidR="0096189B" w:rsidRPr="00C61AF7">
        <w:t>.</w:t>
      </w:r>
      <w:r>
        <w:rPr>
          <w:rStyle w:val="FootnoteReference"/>
        </w:rPr>
        <w:footnoteReference w:id="31"/>
      </w:r>
      <w:r w:rsidR="0096189B" w:rsidRPr="00C61AF7">
        <w:t xml:space="preserve">  </w:t>
      </w:r>
      <w:r w:rsidR="003F1ACB" w:rsidRPr="00C61AF7">
        <w:t xml:space="preserve">We </w:t>
      </w:r>
      <w:r>
        <w:t xml:space="preserve">asked, for example, whether </w:t>
      </w:r>
      <w:r w:rsidR="003F1ACB" w:rsidRPr="00C61AF7">
        <w:t>the ad</w:t>
      </w:r>
      <w:r w:rsidR="0035707B" w:rsidRPr="00C61AF7">
        <w:t>dition</w:t>
      </w:r>
      <w:r w:rsidR="003F1ACB" w:rsidRPr="00C61AF7">
        <w:t xml:space="preserve"> of the</w:t>
      </w:r>
      <w:r w:rsidR="0035707B" w:rsidRPr="00C61AF7">
        <w:t xml:space="preserve">se </w:t>
      </w:r>
      <w:r w:rsidR="003F1ACB" w:rsidRPr="00C61AF7">
        <w:t xml:space="preserve">weather-related </w:t>
      </w:r>
      <w:r w:rsidR="0035707B" w:rsidRPr="00C61AF7">
        <w:t xml:space="preserve">event </w:t>
      </w:r>
      <w:r w:rsidR="003F1ACB" w:rsidRPr="00C61AF7">
        <w:t>codes w</w:t>
      </w:r>
      <w:r>
        <w:t>ould</w:t>
      </w:r>
      <w:r w:rsidR="003F1ACB" w:rsidRPr="00C61AF7">
        <w:t xml:space="preserve"> address the potential for confusion or incorrect guidance</w:t>
      </w:r>
      <w:r w:rsidR="005E097C" w:rsidRPr="00C61AF7">
        <w:t xml:space="preserve"> that might otherwise result from the continued use of the TOR event code.</w:t>
      </w:r>
      <w:r>
        <w:rPr>
          <w:rStyle w:val="FootnoteReference"/>
        </w:rPr>
        <w:footnoteReference w:id="32"/>
      </w:r>
      <w:r w:rsidR="005E097C" w:rsidRPr="00C61AF7">
        <w:t xml:space="preserve">  </w:t>
      </w:r>
      <w:r>
        <w:t xml:space="preserve">Citing various data </w:t>
      </w:r>
      <w:r w:rsidR="00A25F35">
        <w:t>explicating</w:t>
      </w:r>
      <w:r>
        <w:t xml:space="preserve"> the dangers to </w:t>
      </w:r>
      <w:r w:rsidR="00CB7966" w:rsidRPr="00C61AF7">
        <w:t>safety of life and property</w:t>
      </w:r>
      <w:r>
        <w:t xml:space="preserve"> posed by hurricane high winds and storm surges, </w:t>
      </w:r>
      <w:r w:rsidR="007A6245">
        <w:t xml:space="preserve">we stated our belief that </w:t>
      </w:r>
      <w:r w:rsidR="00D66397" w:rsidRPr="00C61AF7">
        <w:t xml:space="preserve">the </w:t>
      </w:r>
      <w:r w:rsidR="005E097C" w:rsidRPr="00C61AF7">
        <w:t>ad</w:t>
      </w:r>
      <w:r w:rsidR="0035707B" w:rsidRPr="00C61AF7">
        <w:t xml:space="preserve">dition </w:t>
      </w:r>
      <w:r w:rsidR="005E097C" w:rsidRPr="00C61AF7">
        <w:t xml:space="preserve">of EWW, SSA and SSW </w:t>
      </w:r>
      <w:r w:rsidR="0035707B" w:rsidRPr="00C61AF7">
        <w:t xml:space="preserve">to the </w:t>
      </w:r>
      <w:r w:rsidR="005E097C" w:rsidRPr="00C61AF7">
        <w:t xml:space="preserve">event codes </w:t>
      </w:r>
      <w:r w:rsidR="0035707B" w:rsidRPr="00C61AF7">
        <w:t>in Section 11.31</w:t>
      </w:r>
      <w:r w:rsidR="00D66397" w:rsidRPr="00C61AF7">
        <w:t>(</w:t>
      </w:r>
      <w:r w:rsidR="0035707B" w:rsidRPr="00C61AF7">
        <w:t xml:space="preserve">e) of the rules </w:t>
      </w:r>
      <w:r w:rsidR="00D66397" w:rsidRPr="00C61AF7">
        <w:t>would serve the public interest by providing more specific information regarding the emergency event.</w:t>
      </w:r>
      <w:r w:rsidR="007A6245">
        <w:rPr>
          <w:rStyle w:val="FootnoteReference"/>
        </w:rPr>
        <w:footnoteReference w:id="33"/>
      </w:r>
      <w:r w:rsidR="00D66397" w:rsidRPr="00C61AF7">
        <w:t xml:space="preserve">  We s</w:t>
      </w:r>
      <w:r w:rsidR="00137515">
        <w:t>ought</w:t>
      </w:r>
      <w:r w:rsidR="00D66397" w:rsidRPr="00C61AF7">
        <w:t xml:space="preserve"> comment on th</w:t>
      </w:r>
      <w:r w:rsidR="007A6245">
        <w:t>at</w:t>
      </w:r>
      <w:r w:rsidR="00D66397" w:rsidRPr="00C61AF7">
        <w:t xml:space="preserve"> analysis.</w:t>
      </w:r>
      <w:r w:rsidR="00137515">
        <w:rPr>
          <w:rStyle w:val="FootnoteReference"/>
        </w:rPr>
        <w:footnoteReference w:id="34"/>
      </w:r>
      <w:r w:rsidR="00D66397" w:rsidRPr="00C61AF7">
        <w:t xml:space="preserve">  </w:t>
      </w:r>
      <w:r w:rsidR="005E097C" w:rsidRPr="00C61AF7">
        <w:t>We observe</w:t>
      </w:r>
      <w:r w:rsidR="007A6245">
        <w:t>d</w:t>
      </w:r>
      <w:r w:rsidR="005E097C" w:rsidRPr="00C61AF7">
        <w:t xml:space="preserve"> that </w:t>
      </w:r>
      <w:r w:rsidR="007A6245">
        <w:t xml:space="preserve">survey data </w:t>
      </w:r>
      <w:r w:rsidR="00A25F35">
        <w:t xml:space="preserve">conducted and </w:t>
      </w:r>
      <w:r w:rsidR="007A6245">
        <w:t xml:space="preserve">supplied by </w:t>
      </w:r>
      <w:r w:rsidR="005E097C" w:rsidRPr="00C61AF7">
        <w:t>NWS indicate</w:t>
      </w:r>
      <w:r w:rsidR="007A6245">
        <w:t>d</w:t>
      </w:r>
      <w:r w:rsidR="005E097C" w:rsidRPr="00C61AF7">
        <w:t xml:space="preserve"> that broadcasters, emergency management offices and federal agencies support</w:t>
      </w:r>
      <w:r w:rsidR="007A6245">
        <w:t>ed</w:t>
      </w:r>
      <w:r w:rsidR="005E097C" w:rsidRPr="00C61AF7">
        <w:t xml:space="preserve"> the need to establish specific EAS warning alerts for these conditions, and we invite</w:t>
      </w:r>
      <w:r w:rsidR="007A6245">
        <w:t>d</w:t>
      </w:r>
      <w:r w:rsidR="005E097C" w:rsidRPr="00C61AF7">
        <w:t xml:space="preserve"> these entities in particular to submit their updated views on these issues.</w:t>
      </w:r>
      <w:r w:rsidR="005E097C" w:rsidRPr="00C61AF7">
        <w:rPr>
          <w:rStyle w:val="FootnoteReference"/>
          <w:sz w:val="22"/>
          <w:szCs w:val="22"/>
        </w:rPr>
        <w:footnoteReference w:id="35"/>
      </w:r>
      <w:r w:rsidR="005E097C" w:rsidRPr="00C61AF7">
        <w:t xml:space="preserve">   </w:t>
      </w:r>
    </w:p>
    <w:p w14:paraId="5DB31ED9" w14:textId="4753DCC4" w:rsidR="00E04BAF" w:rsidRDefault="004F2C11" w:rsidP="005F296B">
      <w:pPr>
        <w:pStyle w:val="ParaNum"/>
      </w:pPr>
      <w:r w:rsidRPr="00C61AF7">
        <w:t xml:space="preserve">We </w:t>
      </w:r>
      <w:r w:rsidR="00CB7966" w:rsidRPr="00C61AF7">
        <w:t xml:space="preserve">also </w:t>
      </w:r>
      <w:r w:rsidRPr="00C61AF7">
        <w:t>s</w:t>
      </w:r>
      <w:r w:rsidR="007A6245">
        <w:t>ought</w:t>
      </w:r>
      <w:r w:rsidRPr="00C61AF7">
        <w:t xml:space="preserve"> comment on the costs for implementing the proposed event codes.</w:t>
      </w:r>
      <w:r w:rsidR="007A6245">
        <w:rPr>
          <w:rStyle w:val="FootnoteReference"/>
        </w:rPr>
        <w:footnoteReference w:id="36"/>
      </w:r>
      <w:r w:rsidRPr="00C61AF7">
        <w:t xml:space="preserve">  </w:t>
      </w:r>
      <w:r w:rsidR="00137515">
        <w:t>NWS had s</w:t>
      </w:r>
      <w:r w:rsidR="00137515" w:rsidRPr="00C61AF7">
        <w:t>tate</w:t>
      </w:r>
      <w:r w:rsidR="00137515">
        <w:t>d</w:t>
      </w:r>
      <w:r w:rsidR="00137515" w:rsidRPr="00C61AF7">
        <w:t xml:space="preserve"> that the additional costs associated with these new event codes w</w:t>
      </w:r>
      <w:r w:rsidR="00137515">
        <w:t xml:space="preserve">ould </w:t>
      </w:r>
      <w:r w:rsidR="00137515" w:rsidRPr="00C61AF7">
        <w:t xml:space="preserve">be minimal and generally </w:t>
      </w:r>
      <w:r w:rsidR="00137515">
        <w:t xml:space="preserve">could be effected </w:t>
      </w:r>
      <w:r w:rsidR="00137515" w:rsidRPr="00C61AF7">
        <w:t>through a firmware and/or software update.</w:t>
      </w:r>
      <w:r w:rsidR="00137515" w:rsidRPr="00C61AF7">
        <w:rPr>
          <w:rStyle w:val="FootnoteReference"/>
          <w:sz w:val="22"/>
          <w:szCs w:val="22"/>
        </w:rPr>
        <w:footnoteReference w:id="37"/>
      </w:r>
      <w:r w:rsidR="00137515" w:rsidRPr="00C61AF7">
        <w:t xml:space="preserve">  </w:t>
      </w:r>
      <w:r w:rsidR="007A6245">
        <w:t xml:space="preserve">We </w:t>
      </w:r>
      <w:r w:rsidR="00137515">
        <w:t>observed that</w:t>
      </w:r>
      <w:r w:rsidR="00A25F35">
        <w:t xml:space="preserve"> </w:t>
      </w:r>
      <w:r w:rsidR="00137515">
        <w:t xml:space="preserve">filings </w:t>
      </w:r>
      <w:r w:rsidR="00A25F35">
        <w:t xml:space="preserve">made subsequent to NWS’s submissions </w:t>
      </w:r>
      <w:r w:rsidR="00137515">
        <w:t>by s</w:t>
      </w:r>
      <w:r w:rsidR="0096189B" w:rsidRPr="00C61AF7">
        <w:t xml:space="preserve">everal EAS equipment manufacturers </w:t>
      </w:r>
      <w:r w:rsidR="00137515">
        <w:t xml:space="preserve">seemed to </w:t>
      </w:r>
      <w:r w:rsidR="0096189B" w:rsidRPr="00C61AF7">
        <w:t>confirm NWS’s contentions.</w:t>
      </w:r>
      <w:r w:rsidR="00137515">
        <w:rPr>
          <w:rStyle w:val="FootnoteReference"/>
        </w:rPr>
        <w:footnoteReference w:id="38"/>
      </w:r>
      <w:r w:rsidR="0096189B" w:rsidRPr="00C61AF7">
        <w:t xml:space="preserve">  </w:t>
      </w:r>
      <w:r w:rsidR="009F2194">
        <w:t>W</w:t>
      </w:r>
      <w:r w:rsidRPr="00C61AF7">
        <w:t>e note</w:t>
      </w:r>
      <w:r w:rsidR="009F2194">
        <w:t>d</w:t>
      </w:r>
      <w:r w:rsidRPr="00C61AF7">
        <w:t xml:space="preserve"> that </w:t>
      </w:r>
      <w:r w:rsidR="00E16DE3">
        <w:t xml:space="preserve">one </w:t>
      </w:r>
      <w:r w:rsidR="00E16DE3" w:rsidRPr="00C61AF7">
        <w:t>EAS equipment manufacturer</w:t>
      </w:r>
      <w:r w:rsidR="00E16DE3">
        <w:t>,</w:t>
      </w:r>
      <w:r w:rsidR="00E16DE3" w:rsidRPr="00C61AF7">
        <w:t xml:space="preserve"> </w:t>
      </w:r>
      <w:r w:rsidR="009F2194" w:rsidRPr="00C61AF7">
        <w:t xml:space="preserve">Sage Alerting Systems, Inc. (Sage), </w:t>
      </w:r>
      <w:r w:rsidR="009F2194">
        <w:t xml:space="preserve">had indicated that </w:t>
      </w:r>
      <w:r w:rsidRPr="00C61AF7">
        <w:t xml:space="preserve">one of its EAS device models in the field </w:t>
      </w:r>
      <w:r w:rsidR="00060C0A" w:rsidRPr="00C61AF7">
        <w:t>c</w:t>
      </w:r>
      <w:r w:rsidR="00202552">
        <w:t>ould</w:t>
      </w:r>
      <w:r w:rsidR="00060C0A" w:rsidRPr="00C61AF7">
        <w:t xml:space="preserve"> no longer support</w:t>
      </w:r>
      <w:r w:rsidRPr="00C61AF7">
        <w:t xml:space="preserve"> software updates and, therefore, presumably </w:t>
      </w:r>
      <w:r w:rsidR="009F2194">
        <w:t>could n</w:t>
      </w:r>
      <w:r w:rsidRPr="00C61AF7">
        <w:t>ot be updated with the proposed event codes.</w:t>
      </w:r>
      <w:r w:rsidRPr="00C61AF7">
        <w:rPr>
          <w:rStyle w:val="FootnoteReference"/>
          <w:sz w:val="22"/>
          <w:szCs w:val="22"/>
        </w:rPr>
        <w:footnoteReference w:id="39"/>
      </w:r>
      <w:r w:rsidRPr="00C61AF7">
        <w:t xml:space="preserve">  We s</w:t>
      </w:r>
      <w:r w:rsidR="00E16DE3">
        <w:t>ought c</w:t>
      </w:r>
      <w:r w:rsidRPr="00C61AF7">
        <w:t xml:space="preserve">omment on how this might affect the </w:t>
      </w:r>
      <w:r w:rsidR="0096189B" w:rsidRPr="00C61AF7">
        <w:t xml:space="preserve">adoption of these additional </w:t>
      </w:r>
      <w:r w:rsidR="0035707B" w:rsidRPr="00C61AF7">
        <w:t>e</w:t>
      </w:r>
      <w:r w:rsidR="0096189B" w:rsidRPr="00C61AF7">
        <w:t xml:space="preserve">vent </w:t>
      </w:r>
      <w:r w:rsidR="0035707B" w:rsidRPr="00C61AF7">
        <w:t>c</w:t>
      </w:r>
      <w:r w:rsidR="0096189B" w:rsidRPr="00C61AF7">
        <w:t>odes</w:t>
      </w:r>
      <w:r w:rsidR="003973C1" w:rsidRPr="00C61AF7">
        <w:t xml:space="preserve"> </w:t>
      </w:r>
      <w:r w:rsidRPr="00C61AF7">
        <w:t xml:space="preserve">and to what extent this </w:t>
      </w:r>
      <w:r w:rsidR="003973C1" w:rsidRPr="00C61AF7">
        <w:t xml:space="preserve">device </w:t>
      </w:r>
      <w:r w:rsidRPr="00C61AF7">
        <w:t>model is being used by EAS Participants.</w:t>
      </w:r>
      <w:r w:rsidRPr="00C61AF7">
        <w:rPr>
          <w:rStyle w:val="FootnoteReference"/>
          <w:sz w:val="22"/>
          <w:szCs w:val="22"/>
        </w:rPr>
        <w:footnoteReference w:id="40"/>
      </w:r>
      <w:r w:rsidRPr="00C61AF7">
        <w:t xml:space="preserve">  </w:t>
      </w:r>
      <w:r w:rsidR="00A47629" w:rsidRPr="00C61AF7">
        <w:t xml:space="preserve">  </w:t>
      </w:r>
      <w:r w:rsidR="00992FC6" w:rsidRPr="00C61AF7">
        <w:t xml:space="preserve">  </w:t>
      </w:r>
    </w:p>
    <w:p w14:paraId="03B669C7" w14:textId="278E87F6" w:rsidR="00496235" w:rsidRPr="00496235" w:rsidRDefault="00080E0D" w:rsidP="00496235">
      <w:pPr>
        <w:pStyle w:val="ParaNum"/>
        <w:rPr>
          <w:snapToGrid/>
        </w:rPr>
      </w:pPr>
      <w:r>
        <w:t>T</w:t>
      </w:r>
      <w:r w:rsidR="00FE625A">
        <w:t xml:space="preserve">he </w:t>
      </w:r>
      <w:r>
        <w:t>majority of</w:t>
      </w:r>
      <w:r w:rsidR="00FE625A">
        <w:t xml:space="preserve"> comments that </w:t>
      </w:r>
      <w:r w:rsidR="00FA5D09">
        <w:t xml:space="preserve">specifically </w:t>
      </w:r>
      <w:r w:rsidR="00FE625A">
        <w:t>addressed this issue supported adoption of the new event codes and the revisions to the existing location codes.</w:t>
      </w:r>
      <w:r w:rsidR="00496235">
        <w:rPr>
          <w:rStyle w:val="FootnoteReference"/>
        </w:rPr>
        <w:footnoteReference w:id="41"/>
      </w:r>
      <w:r w:rsidR="00FE625A">
        <w:t xml:space="preserve">  The National Association of Broadcasters (NAB), for example, </w:t>
      </w:r>
      <w:r w:rsidR="00496235">
        <w:t>stated</w:t>
      </w:r>
      <w:r w:rsidR="00745622">
        <w:t>,</w:t>
      </w:r>
      <w:r w:rsidR="00496235">
        <w:t xml:space="preserve"> “</w:t>
      </w:r>
      <w:r w:rsidR="00496235" w:rsidRPr="00FE1F01">
        <w:rPr>
          <w:snapToGrid/>
        </w:rPr>
        <w:t>As NWS has explained, the additional specificity provided by these new codes should improve public safety by enabling emergency managers to more accurately trigger and target EAS alerts, reducing the risk of public confusion during an emergency situation.</w:t>
      </w:r>
      <w:r w:rsidR="00496235">
        <w:rPr>
          <w:snapToGrid/>
        </w:rPr>
        <w:t>”</w:t>
      </w:r>
      <w:r w:rsidR="00496235">
        <w:rPr>
          <w:rStyle w:val="FootnoteReference"/>
          <w:snapToGrid/>
        </w:rPr>
        <w:footnoteReference w:id="42"/>
      </w:r>
      <w:r w:rsidR="00496235" w:rsidRPr="00FE1F01">
        <w:rPr>
          <w:snapToGrid/>
        </w:rPr>
        <w:t xml:space="preserve">  </w:t>
      </w:r>
      <w:r w:rsidR="00496235">
        <w:rPr>
          <w:snapToGrid/>
        </w:rPr>
        <w:t xml:space="preserve">AT&amp;T </w:t>
      </w:r>
      <w:r w:rsidR="00B908B5">
        <w:rPr>
          <w:snapToGrid/>
        </w:rPr>
        <w:t xml:space="preserve">Services, Inc. (AT&amp;T), </w:t>
      </w:r>
      <w:r w:rsidR="00496235" w:rsidRPr="00FE1F01">
        <w:t>agreed that adoption of the new event codes and location code revisions would “promote the public interest by helping the public and emergency officials better respond to local safety threats.”</w:t>
      </w:r>
      <w:r w:rsidR="00496235">
        <w:rPr>
          <w:rStyle w:val="FootnoteReference"/>
        </w:rPr>
        <w:footnoteReference w:id="43"/>
      </w:r>
      <w:r w:rsidR="00496235" w:rsidRPr="00FE1F01">
        <w:t xml:space="preserve">  </w:t>
      </w:r>
    </w:p>
    <w:p w14:paraId="68275EA9" w14:textId="7DC261A1" w:rsidR="006D2210" w:rsidRPr="006D2210" w:rsidRDefault="007F4625" w:rsidP="000B5E70">
      <w:pPr>
        <w:pStyle w:val="ParaNum"/>
      </w:pPr>
      <w:r>
        <w:rPr>
          <w:snapToGrid/>
        </w:rPr>
        <w:t>E</w:t>
      </w:r>
      <w:r w:rsidR="00E63CD1">
        <w:rPr>
          <w:snapToGrid/>
        </w:rPr>
        <w:t>AS e</w:t>
      </w:r>
      <w:r w:rsidR="00496235" w:rsidRPr="006D2210">
        <w:rPr>
          <w:snapToGrid/>
        </w:rPr>
        <w:t>quipment manufacturer, TFT, opposed adoption of the</w:t>
      </w:r>
      <w:r w:rsidR="002203D6">
        <w:rPr>
          <w:snapToGrid/>
        </w:rPr>
        <w:t>se</w:t>
      </w:r>
      <w:r w:rsidR="00496235" w:rsidRPr="006D2210">
        <w:rPr>
          <w:snapToGrid/>
        </w:rPr>
        <w:t xml:space="preserve"> new </w:t>
      </w:r>
      <w:r w:rsidR="002203D6">
        <w:rPr>
          <w:snapToGrid/>
        </w:rPr>
        <w:t>hurricane-related weather alerts</w:t>
      </w:r>
      <w:r w:rsidR="00496235" w:rsidRPr="006D2210">
        <w:rPr>
          <w:snapToGrid/>
        </w:rPr>
        <w:t xml:space="preserve"> on grounds </w:t>
      </w:r>
      <w:r w:rsidR="00E63CD1">
        <w:rPr>
          <w:snapToGrid/>
        </w:rPr>
        <w:t xml:space="preserve">that </w:t>
      </w:r>
      <w:r w:rsidR="00496235" w:rsidRPr="006D2210">
        <w:rPr>
          <w:snapToGrid/>
        </w:rPr>
        <w:t xml:space="preserve">the public would not be able to discern the differences between these </w:t>
      </w:r>
      <w:r w:rsidR="002203D6">
        <w:rPr>
          <w:snapToGrid/>
        </w:rPr>
        <w:t xml:space="preserve">weather events </w:t>
      </w:r>
      <w:r w:rsidR="00496235" w:rsidRPr="006D2210">
        <w:rPr>
          <w:snapToGrid/>
        </w:rPr>
        <w:t xml:space="preserve">and the existing, general hurricane </w:t>
      </w:r>
      <w:r w:rsidR="002203D6">
        <w:rPr>
          <w:snapToGrid/>
        </w:rPr>
        <w:t>alert</w:t>
      </w:r>
      <w:r w:rsidR="00496235" w:rsidRPr="006D2210">
        <w:rPr>
          <w:snapToGrid/>
        </w:rPr>
        <w:t>.</w:t>
      </w:r>
      <w:r w:rsidR="00496235">
        <w:rPr>
          <w:rStyle w:val="FootnoteReference"/>
          <w:snapToGrid/>
        </w:rPr>
        <w:footnoteReference w:id="44"/>
      </w:r>
      <w:r w:rsidR="00496235" w:rsidRPr="006D2210">
        <w:rPr>
          <w:snapToGrid/>
        </w:rPr>
        <w:t xml:space="preserve">  Specifically, TFT argued, “[w]hen threatened by these weather-related events, the public will not take time to contemplate the various differences in possible actions but will seek the most immediate action for the general category of the threat.”</w:t>
      </w:r>
      <w:r w:rsidR="00496235">
        <w:rPr>
          <w:rStyle w:val="FootnoteReference"/>
          <w:snapToGrid/>
        </w:rPr>
        <w:footnoteReference w:id="45"/>
      </w:r>
      <w:r w:rsidR="00496235" w:rsidRPr="006D2210">
        <w:rPr>
          <w:snapToGrid/>
        </w:rPr>
        <w:t xml:space="preserve">  </w:t>
      </w:r>
    </w:p>
    <w:p w14:paraId="569B4B54" w14:textId="06FEEA96" w:rsidR="000A0FFC" w:rsidRDefault="00BD7C37" w:rsidP="00243671">
      <w:pPr>
        <w:pStyle w:val="ParaNum"/>
      </w:pPr>
      <w:r w:rsidRPr="006D2210">
        <w:rPr>
          <w:i/>
        </w:rPr>
        <w:t>Decision</w:t>
      </w:r>
      <w:r>
        <w:t xml:space="preserve">.  We </w:t>
      </w:r>
      <w:r w:rsidR="00E16DE3">
        <w:t xml:space="preserve">grant NWS’s request and revise Section 11.31 of the EAS rules to add the </w:t>
      </w:r>
      <w:r w:rsidR="00E16DE3" w:rsidRPr="00C61AF7">
        <w:t>EWW</w:t>
      </w:r>
      <w:r w:rsidR="00E16DE3">
        <w:t xml:space="preserve">, </w:t>
      </w:r>
      <w:r w:rsidR="00E16DE3" w:rsidRPr="00C61AF7">
        <w:t>SSA and SSW</w:t>
      </w:r>
      <w:r w:rsidR="00E16DE3">
        <w:t xml:space="preserve"> event codes to the EAS Protocol.</w:t>
      </w:r>
      <w:r w:rsidR="00E16DE3">
        <w:rPr>
          <w:rStyle w:val="FootnoteReference"/>
        </w:rPr>
        <w:footnoteReference w:id="46"/>
      </w:r>
      <w:r w:rsidR="00E16DE3">
        <w:t xml:space="preserve">  </w:t>
      </w:r>
      <w:r w:rsidR="00741391">
        <w:t xml:space="preserve">As we observed in the </w:t>
      </w:r>
      <w:r w:rsidR="00741391" w:rsidRPr="006D2210">
        <w:rPr>
          <w:i/>
        </w:rPr>
        <w:t>NWS NPRM</w:t>
      </w:r>
      <w:r w:rsidR="00741391">
        <w:t xml:space="preserve">, </w:t>
      </w:r>
      <w:r w:rsidR="00B45B01">
        <w:t>there is co</w:t>
      </w:r>
      <w:r w:rsidR="00321455">
        <w:t xml:space="preserve">nsiderable </w:t>
      </w:r>
      <w:r w:rsidR="00B45B01">
        <w:t>data attesting to the dangers posed to life and property by both high winds and, in particular, storm surges</w:t>
      </w:r>
      <w:r w:rsidR="00191CDE">
        <w:t>,</w:t>
      </w:r>
      <w:r w:rsidR="00B45B01">
        <w:t xml:space="preserve"> associated with hurricanes.</w:t>
      </w:r>
      <w:r w:rsidR="00B45B01">
        <w:rPr>
          <w:rStyle w:val="FootnoteReference"/>
        </w:rPr>
        <w:footnoteReference w:id="47"/>
      </w:r>
      <w:r w:rsidR="00B45B01">
        <w:t xml:space="preserve">  While the EAS Protocol currently contains </w:t>
      </w:r>
      <w:r w:rsidR="00741391">
        <w:t xml:space="preserve">event codes </w:t>
      </w:r>
      <w:r w:rsidR="00B45B01">
        <w:t xml:space="preserve">covering hurricanes, these codes only </w:t>
      </w:r>
      <w:r w:rsidR="001A0441">
        <w:t xml:space="preserve">generally </w:t>
      </w:r>
      <w:r w:rsidR="00741391">
        <w:t xml:space="preserve">warn of an impending hurricane </w:t>
      </w:r>
      <w:r w:rsidR="00B45B01">
        <w:t xml:space="preserve">– they do not </w:t>
      </w:r>
      <w:r w:rsidR="00741391">
        <w:t xml:space="preserve">specifically cover extreme high winds associated with </w:t>
      </w:r>
      <w:r w:rsidR="00191CDE">
        <w:t xml:space="preserve">a </w:t>
      </w:r>
      <w:r w:rsidR="00741391">
        <w:t xml:space="preserve">Category 3 </w:t>
      </w:r>
      <w:r w:rsidR="001008A6">
        <w:t xml:space="preserve">or higher </w:t>
      </w:r>
      <w:r w:rsidR="00741391">
        <w:t>hurricane or storm surges associated with a hurricane.</w:t>
      </w:r>
      <w:r w:rsidR="00741391">
        <w:rPr>
          <w:rStyle w:val="FootnoteReference"/>
        </w:rPr>
        <w:footnoteReference w:id="48"/>
      </w:r>
      <w:r w:rsidR="00741391">
        <w:t xml:space="preserve">  </w:t>
      </w:r>
      <w:r w:rsidR="00E63CD1">
        <w:t xml:space="preserve">The record </w:t>
      </w:r>
      <w:r w:rsidR="00B45B01">
        <w:t>demonstrate</w:t>
      </w:r>
      <w:r w:rsidR="00E63CD1">
        <w:t>s</w:t>
      </w:r>
      <w:r w:rsidR="00B45B01">
        <w:t xml:space="preserve"> that existing event codes </w:t>
      </w:r>
      <w:r w:rsidR="00CA4D77">
        <w:t xml:space="preserve">contained in the EAS Protocol </w:t>
      </w:r>
      <w:r w:rsidR="00B45B01">
        <w:t xml:space="preserve">are not </w:t>
      </w:r>
      <w:r w:rsidR="00E56236">
        <w:t xml:space="preserve">adequate substitutes </w:t>
      </w:r>
      <w:r w:rsidR="00CA4D77">
        <w:t xml:space="preserve">for the adoption of the EWW, SSA and SSW </w:t>
      </w:r>
      <w:r w:rsidR="00E56236">
        <w:t>event codes.</w:t>
      </w:r>
      <w:r w:rsidR="005F296B">
        <w:rPr>
          <w:rStyle w:val="FootnoteReference"/>
        </w:rPr>
        <w:footnoteReference w:id="49"/>
      </w:r>
      <w:r w:rsidR="00E56236">
        <w:t xml:space="preserve">  A</w:t>
      </w:r>
      <w:r w:rsidR="00741391">
        <w:t xml:space="preserve">s NWS </w:t>
      </w:r>
      <w:r w:rsidR="00E56236">
        <w:t xml:space="preserve">has </w:t>
      </w:r>
      <w:r w:rsidR="00741391">
        <w:t>observe</w:t>
      </w:r>
      <w:r w:rsidR="00E56236">
        <w:t>d</w:t>
      </w:r>
      <w:r w:rsidR="00741391">
        <w:t xml:space="preserve">, </w:t>
      </w:r>
      <w:r w:rsidR="00CA4D77">
        <w:t xml:space="preserve">for example, </w:t>
      </w:r>
      <w:r w:rsidR="00E56236">
        <w:t xml:space="preserve">use of the TOR event code during </w:t>
      </w:r>
      <w:r w:rsidR="00CA6D2E">
        <w:t>prior hurri</w:t>
      </w:r>
      <w:r w:rsidR="00E56236">
        <w:t>cane</w:t>
      </w:r>
      <w:r w:rsidR="00CA6D2E">
        <w:t>s</w:t>
      </w:r>
      <w:r w:rsidR="00E56236">
        <w:t xml:space="preserve"> led to confusion among the public and the dissemination of incorrect risk-avoidance advice.</w:t>
      </w:r>
      <w:r w:rsidR="00E56236">
        <w:rPr>
          <w:rStyle w:val="FootnoteReference"/>
        </w:rPr>
        <w:footnoteReference w:id="50"/>
      </w:r>
      <w:r w:rsidR="00E56236">
        <w:t xml:space="preserve">  </w:t>
      </w:r>
      <w:r w:rsidR="00243671" w:rsidRPr="00BE1F26">
        <w:t>Monroe County Florida Emergency Management</w:t>
      </w:r>
      <w:r w:rsidR="00243671">
        <w:t xml:space="preserve"> observes that “[c]</w:t>
      </w:r>
      <w:r w:rsidR="00243671" w:rsidRPr="00F50EE9">
        <w:rPr>
          <w:snapToGrid/>
        </w:rPr>
        <w:t>oastal residents may</w:t>
      </w:r>
      <w:r w:rsidR="00243671">
        <w:t xml:space="preserve"> </w:t>
      </w:r>
      <w:r w:rsidR="00243671" w:rsidRPr="00F50EE9">
        <w:rPr>
          <w:snapToGrid/>
        </w:rPr>
        <w:t>know or have an anticipated expectation regarding the impact of flood warnings which may be due in</w:t>
      </w:r>
      <w:r w:rsidR="00243671">
        <w:t xml:space="preserve"> </w:t>
      </w:r>
      <w:r w:rsidR="00243671" w:rsidRPr="00F50EE9">
        <w:rPr>
          <w:snapToGrid/>
        </w:rPr>
        <w:t>part to wind, tide, or heavy rain</w:t>
      </w:r>
      <w:r w:rsidR="00243671">
        <w:t>[, and]</w:t>
      </w:r>
      <w:r w:rsidR="00243671" w:rsidRPr="00F50EE9">
        <w:rPr>
          <w:snapToGrid/>
        </w:rPr>
        <w:t xml:space="preserve"> that anticipation can be confused unless the wording used is</w:t>
      </w:r>
      <w:r w:rsidR="00243671">
        <w:t xml:space="preserve"> </w:t>
      </w:r>
      <w:r w:rsidR="00243671" w:rsidRPr="00F50EE9">
        <w:rPr>
          <w:snapToGrid/>
        </w:rPr>
        <w:t>completely different as proposed.</w:t>
      </w:r>
      <w:r w:rsidR="00243671">
        <w:t>”</w:t>
      </w:r>
      <w:r w:rsidR="00243671">
        <w:rPr>
          <w:rStyle w:val="FootnoteReference"/>
        </w:rPr>
        <w:footnoteReference w:id="51"/>
      </w:r>
      <w:r w:rsidR="00243671">
        <w:t xml:space="preserve">  </w:t>
      </w:r>
      <w:r w:rsidR="00CA4D77">
        <w:t xml:space="preserve">We do not find that the public interest would be served by relying on inadequate </w:t>
      </w:r>
      <w:r w:rsidR="005F296B">
        <w:t xml:space="preserve">warnings that might provide incorrect or even opposite remedial advice to the public.  Based on the record before us and the subject matter expertise of the NWS, we conclude that adoption of the event codes proposed by the NWS will improve the function of the EAS, enhance safety of life and property, and therefore is in the public interest. </w:t>
      </w:r>
      <w:r w:rsidR="00E56236">
        <w:t xml:space="preserve"> </w:t>
      </w:r>
    </w:p>
    <w:p w14:paraId="3AE22556" w14:textId="22D6CB49" w:rsidR="00496235" w:rsidRPr="007C509C" w:rsidRDefault="00496235" w:rsidP="00742B70">
      <w:pPr>
        <w:pStyle w:val="ParaNum"/>
        <w:rPr>
          <w:snapToGrid/>
        </w:rPr>
      </w:pPr>
      <w:r w:rsidRPr="007C509C">
        <w:rPr>
          <w:snapToGrid/>
        </w:rPr>
        <w:t xml:space="preserve">We do not find TFT’s arguments </w:t>
      </w:r>
      <w:r w:rsidR="005F296B" w:rsidRPr="007C509C">
        <w:rPr>
          <w:snapToGrid/>
        </w:rPr>
        <w:t xml:space="preserve">against adoption of the new event codes </w:t>
      </w:r>
      <w:r w:rsidRPr="007C509C">
        <w:rPr>
          <w:snapToGrid/>
        </w:rPr>
        <w:t xml:space="preserve">persuasive.  </w:t>
      </w:r>
      <w:r w:rsidR="008B1794" w:rsidRPr="007C509C">
        <w:rPr>
          <w:snapToGrid/>
        </w:rPr>
        <w:t>The dangers posed by hurricane-induced extreme high winds and storm surges are well established,</w:t>
      </w:r>
      <w:r w:rsidR="00D01DCA">
        <w:rPr>
          <w:rStyle w:val="FootnoteReference"/>
          <w:snapToGrid/>
        </w:rPr>
        <w:footnoteReference w:id="52"/>
      </w:r>
      <w:r w:rsidR="008B1794" w:rsidRPr="007C509C">
        <w:rPr>
          <w:snapToGrid/>
        </w:rPr>
        <w:t xml:space="preserve"> and the record in this proceeding establishes a need and desire for adoption of these codes to better address such dangers.  NAB, for example, states that </w:t>
      </w:r>
      <w:r w:rsidR="008B1794">
        <w:t>“[e]xplicit codes for storm surges and warnings would better reflect their rapid development and movement than the existing codes for a flood watch or warning, or other water-related situations.”</w:t>
      </w:r>
      <w:r w:rsidR="008B1794">
        <w:rPr>
          <w:rStyle w:val="FootnoteReference"/>
        </w:rPr>
        <w:footnoteReference w:id="53"/>
      </w:r>
      <w:r w:rsidR="008B1794">
        <w:t xml:space="preserve">  </w:t>
      </w:r>
      <w:r w:rsidR="00D01DCA">
        <w:t>Radio Hatteras states that “[t]</w:t>
      </w:r>
      <w:r w:rsidR="008B1794" w:rsidRPr="00EE4FE9">
        <w:t>he addition of EWW, SSA and SSW codes would</w:t>
      </w:r>
      <w:r w:rsidR="008B1794">
        <w:t xml:space="preserve"> </w:t>
      </w:r>
      <w:r w:rsidR="008B1794" w:rsidRPr="00EE4FE9">
        <w:t>significantly enhance public safety in coastal regions</w:t>
      </w:r>
      <w:r w:rsidR="008B1794">
        <w:t>”</w:t>
      </w:r>
      <w:r w:rsidR="00D01DCA">
        <w:rPr>
          <w:rStyle w:val="FootnoteReference"/>
        </w:rPr>
        <w:footnoteReference w:id="54"/>
      </w:r>
      <w:r w:rsidRPr="007C509C">
        <w:rPr>
          <w:snapToGrid/>
        </w:rPr>
        <w:t xml:space="preserve"> </w:t>
      </w:r>
      <w:r w:rsidR="00D01DCA" w:rsidRPr="007C509C">
        <w:rPr>
          <w:snapToGrid/>
        </w:rPr>
        <w:t xml:space="preserve"> </w:t>
      </w:r>
      <w:r w:rsidRPr="007C509C">
        <w:rPr>
          <w:snapToGrid/>
        </w:rPr>
        <w:t>TFT</w:t>
      </w:r>
      <w:r w:rsidR="008C0B6A" w:rsidRPr="007C509C">
        <w:rPr>
          <w:snapToGrid/>
        </w:rPr>
        <w:t>’s</w:t>
      </w:r>
      <w:r w:rsidRPr="007C509C">
        <w:rPr>
          <w:snapToGrid/>
        </w:rPr>
        <w:t xml:space="preserve"> </w:t>
      </w:r>
      <w:r w:rsidR="005F296B" w:rsidRPr="007C509C">
        <w:rPr>
          <w:snapToGrid/>
        </w:rPr>
        <w:t>object</w:t>
      </w:r>
      <w:r w:rsidR="008C0B6A" w:rsidRPr="002F15E9">
        <w:rPr>
          <w:snapToGrid/>
        </w:rPr>
        <w:t>ion</w:t>
      </w:r>
      <w:r w:rsidR="005F296B" w:rsidRPr="002F15E9">
        <w:rPr>
          <w:snapToGrid/>
        </w:rPr>
        <w:t xml:space="preserve"> that the public </w:t>
      </w:r>
      <w:r w:rsidR="00D01DCA" w:rsidRPr="002F15E9">
        <w:rPr>
          <w:snapToGrid/>
        </w:rPr>
        <w:t xml:space="preserve">will not </w:t>
      </w:r>
      <w:r w:rsidR="005F296B" w:rsidRPr="00F21B1D">
        <w:rPr>
          <w:snapToGrid/>
        </w:rPr>
        <w:t xml:space="preserve">appreciate the nuances between the </w:t>
      </w:r>
      <w:r w:rsidR="001A0441" w:rsidRPr="00F21B1D">
        <w:rPr>
          <w:snapToGrid/>
        </w:rPr>
        <w:t>specific dangers posed by extreme winds and storm surges caused by a hurricane and the dangers posed generally by the hurricane itself</w:t>
      </w:r>
      <w:r w:rsidR="005F296B" w:rsidRPr="00F21B1D">
        <w:rPr>
          <w:snapToGrid/>
        </w:rPr>
        <w:t xml:space="preserve"> </w:t>
      </w:r>
      <w:r w:rsidR="008C0B6A" w:rsidRPr="00F21B1D">
        <w:rPr>
          <w:snapToGrid/>
        </w:rPr>
        <w:t>has no support in the record.</w:t>
      </w:r>
      <w:r w:rsidR="00DD4B16" w:rsidRPr="00F21B1D">
        <w:rPr>
          <w:snapToGrid/>
        </w:rPr>
        <w:t xml:space="preserve">  </w:t>
      </w:r>
      <w:r w:rsidR="00C72963" w:rsidRPr="00BE1F26">
        <w:t>Monroe County Florida Emergency Management</w:t>
      </w:r>
      <w:r w:rsidR="00C72963">
        <w:t>, for example, contends that “[s]</w:t>
      </w:r>
      <w:r w:rsidR="00C72963" w:rsidRPr="00407A16">
        <w:t>tudies show, the public is more likely to follow protective action recommendation, such as evacuations</w:t>
      </w:r>
      <w:r w:rsidR="00C72963">
        <w:t xml:space="preserve"> </w:t>
      </w:r>
      <w:r w:rsidR="00C72963" w:rsidRPr="00407A16">
        <w:t>or shelter in place, or limit travel, if the directives are clearly and concisely communicated to them.</w:t>
      </w:r>
      <w:r w:rsidR="00C72963">
        <w:t>”</w:t>
      </w:r>
      <w:r w:rsidR="00C72963">
        <w:rPr>
          <w:rStyle w:val="FootnoteReference"/>
        </w:rPr>
        <w:footnoteReference w:id="55"/>
      </w:r>
      <w:r w:rsidR="008C0B6A">
        <w:t xml:space="preserve">  </w:t>
      </w:r>
      <w:r w:rsidR="00DD4B16" w:rsidRPr="007C509C">
        <w:rPr>
          <w:snapToGrid/>
        </w:rPr>
        <w:t xml:space="preserve">Moreover, the NWS indicates that </w:t>
      </w:r>
      <w:r w:rsidR="00D036BF" w:rsidRPr="007C509C">
        <w:rPr>
          <w:snapToGrid/>
        </w:rPr>
        <w:t xml:space="preserve">having the new codes become effective in </w:t>
      </w:r>
      <w:r w:rsidR="001B3D6A">
        <w:rPr>
          <w:snapToGrid/>
        </w:rPr>
        <w:t>the summer of</w:t>
      </w:r>
      <w:r w:rsidR="00D036BF" w:rsidRPr="007C509C">
        <w:rPr>
          <w:snapToGrid/>
        </w:rPr>
        <w:t xml:space="preserve"> 2016 will provide the NWS sufficient time to </w:t>
      </w:r>
      <w:r w:rsidR="00321455" w:rsidRPr="007C509C">
        <w:rPr>
          <w:snapToGrid/>
        </w:rPr>
        <w:t xml:space="preserve">conduct outreach </w:t>
      </w:r>
      <w:r w:rsidR="00D036BF" w:rsidRPr="007C509C">
        <w:rPr>
          <w:snapToGrid/>
        </w:rPr>
        <w:t xml:space="preserve">and education </w:t>
      </w:r>
      <w:r w:rsidR="00321455" w:rsidRPr="007C509C">
        <w:rPr>
          <w:snapToGrid/>
        </w:rPr>
        <w:t>to on t</w:t>
      </w:r>
      <w:r w:rsidR="00321455" w:rsidRPr="002F15E9">
        <w:rPr>
          <w:snapToGrid/>
        </w:rPr>
        <w:t xml:space="preserve">he meaning of these new codes </w:t>
      </w:r>
      <w:r w:rsidR="00D036BF" w:rsidRPr="002F15E9">
        <w:rPr>
          <w:snapToGrid/>
        </w:rPr>
        <w:t xml:space="preserve">before the NWS begins to </w:t>
      </w:r>
      <w:r w:rsidR="00DD4B16" w:rsidRPr="002F15E9">
        <w:rPr>
          <w:snapToGrid/>
        </w:rPr>
        <w:t>issu</w:t>
      </w:r>
      <w:r w:rsidR="00D036BF" w:rsidRPr="002F15E9">
        <w:rPr>
          <w:snapToGrid/>
        </w:rPr>
        <w:t>e</w:t>
      </w:r>
      <w:r w:rsidR="00DD4B16" w:rsidRPr="00F21B1D">
        <w:rPr>
          <w:snapToGrid/>
        </w:rPr>
        <w:t xml:space="preserve"> alerts using these codes </w:t>
      </w:r>
      <w:r w:rsidR="00D036BF" w:rsidRPr="00F21B1D">
        <w:rPr>
          <w:snapToGrid/>
        </w:rPr>
        <w:t xml:space="preserve">for the </w:t>
      </w:r>
      <w:r w:rsidR="00DD4B16" w:rsidRPr="00F21B1D">
        <w:rPr>
          <w:snapToGrid/>
        </w:rPr>
        <w:t>2017</w:t>
      </w:r>
      <w:r w:rsidR="00D036BF" w:rsidRPr="00F21B1D">
        <w:rPr>
          <w:snapToGrid/>
        </w:rPr>
        <w:t xml:space="preserve"> hurricane season.</w:t>
      </w:r>
      <w:r w:rsidR="00D036BF">
        <w:rPr>
          <w:rStyle w:val="FootnoteReference"/>
          <w:snapToGrid/>
        </w:rPr>
        <w:footnoteReference w:id="56"/>
      </w:r>
      <w:r w:rsidR="00D036BF" w:rsidRPr="007C509C">
        <w:rPr>
          <w:snapToGrid/>
        </w:rPr>
        <w:t xml:space="preserve">  The outreach and education that NWS intends to conduct will </w:t>
      </w:r>
      <w:r w:rsidR="00177B59" w:rsidRPr="007C509C">
        <w:rPr>
          <w:snapToGrid/>
        </w:rPr>
        <w:t xml:space="preserve">include </w:t>
      </w:r>
      <w:r w:rsidR="00DD4B16">
        <w:t>a public education campaign, including “</w:t>
      </w:r>
      <w:r w:rsidR="00DD4B16" w:rsidRPr="002C2B86">
        <w:t>public service announcements over NWR; NWS News Releases; official NWS Service Change Notifications; advertising on NWS web sites; updates to official preparedness brochures and pamphlets; briefings to emergency managers; presentations at federal, state and local hurricane conferences;</w:t>
      </w:r>
      <w:r w:rsidR="00DD4B16">
        <w:t xml:space="preserve"> </w:t>
      </w:r>
      <w:r w:rsidR="00DD4B16" w:rsidRPr="002C2B86">
        <w:t>concurrent outreach and partnering efforts with FEMA; and extensive community outreach efforts by the NWS Warning Coordination Meteorologist in every Weather Forecast Office impacted by tropical cyclones.”</w:t>
      </w:r>
      <w:r w:rsidR="00DD4B16">
        <w:rPr>
          <w:rStyle w:val="FootnoteReference"/>
        </w:rPr>
        <w:footnoteReference w:id="57"/>
      </w:r>
      <w:r w:rsidR="00DD4B16" w:rsidRPr="007C509C" w:rsidDel="00DD4B16">
        <w:rPr>
          <w:snapToGrid/>
        </w:rPr>
        <w:t xml:space="preserve"> </w:t>
      </w:r>
    </w:p>
    <w:p w14:paraId="1FCA8D2F" w14:textId="77777777" w:rsidR="002F46A3" w:rsidRPr="00C61AF7" w:rsidRDefault="00EA3FAD" w:rsidP="00B12809">
      <w:pPr>
        <w:pStyle w:val="Heading2"/>
      </w:pPr>
      <w:bookmarkStart w:id="10" w:name="_Toc411452469"/>
      <w:bookmarkStart w:id="11" w:name="_Toc411452589"/>
      <w:bookmarkStart w:id="12" w:name="_Toc415747814"/>
      <w:r w:rsidRPr="00C61AF7">
        <w:t xml:space="preserve">Proposed </w:t>
      </w:r>
      <w:r w:rsidR="002D1689" w:rsidRPr="00C61AF7">
        <w:t xml:space="preserve">Geographic </w:t>
      </w:r>
      <w:r w:rsidRPr="00C61AF7">
        <w:t>Location Code Revisions</w:t>
      </w:r>
      <w:bookmarkEnd w:id="10"/>
      <w:bookmarkEnd w:id="11"/>
      <w:bookmarkEnd w:id="12"/>
    </w:p>
    <w:p w14:paraId="3896FE25" w14:textId="3CE90B7F" w:rsidR="006817AC" w:rsidRPr="00C61AF7" w:rsidRDefault="009E5B4A" w:rsidP="00B12809">
      <w:pPr>
        <w:pStyle w:val="ParaNum"/>
      </w:pPr>
      <w:r w:rsidRPr="00C61AF7">
        <w:t xml:space="preserve">NWS </w:t>
      </w:r>
      <w:r w:rsidR="00EF19CF">
        <w:t xml:space="preserve">also </w:t>
      </w:r>
      <w:r w:rsidRPr="00C61AF7">
        <w:t>request</w:t>
      </w:r>
      <w:r w:rsidR="00EF19CF">
        <w:t>ed</w:t>
      </w:r>
      <w:r w:rsidRPr="00C61AF7">
        <w:t xml:space="preserve"> that the Commission </w:t>
      </w:r>
      <w:r w:rsidR="00934B7F" w:rsidRPr="00C61AF7">
        <w:t xml:space="preserve">revise the </w:t>
      </w:r>
      <w:r w:rsidR="002D1689" w:rsidRPr="00C61AF7">
        <w:t xml:space="preserve">areas </w:t>
      </w:r>
      <w:r w:rsidR="00934B7F" w:rsidRPr="00C61AF7">
        <w:t>defin</w:t>
      </w:r>
      <w:r w:rsidR="002D1689" w:rsidRPr="00C61AF7">
        <w:t>ed</w:t>
      </w:r>
      <w:r w:rsidR="00934B7F" w:rsidRPr="00C61AF7">
        <w:t xml:space="preserve"> </w:t>
      </w:r>
      <w:r w:rsidR="002D1689" w:rsidRPr="00C61AF7">
        <w:t>in</w:t>
      </w:r>
      <w:r w:rsidR="00934B7F" w:rsidRPr="00C61AF7">
        <w:t xml:space="preserve"> the geographic location codes identified in </w:t>
      </w:r>
      <w:r w:rsidR="007C5814">
        <w:t>S</w:t>
      </w:r>
      <w:r w:rsidR="00E255FB" w:rsidRPr="00C61AF7">
        <w:t xml:space="preserve">ection 11.31(f) of </w:t>
      </w:r>
      <w:r w:rsidR="00934B7F" w:rsidRPr="00C61AF7">
        <w:t xml:space="preserve">the EAS </w:t>
      </w:r>
      <w:r w:rsidR="00E255FB" w:rsidRPr="00C61AF7">
        <w:t xml:space="preserve">rules </w:t>
      </w:r>
      <w:r w:rsidR="00934B7F" w:rsidRPr="00C61AF7">
        <w:t xml:space="preserve">as </w:t>
      </w:r>
      <w:r w:rsidR="00173A96" w:rsidRPr="00C61AF7">
        <w:t xml:space="preserve">location codes </w:t>
      </w:r>
      <w:r w:rsidR="00934B7F" w:rsidRPr="00C61AF7">
        <w:t>75 and 77</w:t>
      </w:r>
      <w:r w:rsidR="00B74AAF" w:rsidRPr="00C61AF7">
        <w:t>,</w:t>
      </w:r>
      <w:r w:rsidR="00696BCD" w:rsidRPr="00C61AF7">
        <w:rPr>
          <w:rStyle w:val="FootnoteReference"/>
          <w:sz w:val="22"/>
          <w:szCs w:val="22"/>
        </w:rPr>
        <w:footnoteReference w:id="58"/>
      </w:r>
      <w:r w:rsidR="00B74AAF" w:rsidRPr="00C61AF7">
        <w:t xml:space="preserve"> which cover offshore marine areas.</w:t>
      </w:r>
      <w:r w:rsidR="00E255FB" w:rsidRPr="00C61AF7">
        <w:rPr>
          <w:rStyle w:val="FootnoteReference"/>
          <w:sz w:val="22"/>
          <w:szCs w:val="22"/>
        </w:rPr>
        <w:footnoteReference w:id="59"/>
      </w:r>
      <w:r w:rsidR="00934B7F" w:rsidRPr="00C61AF7">
        <w:t xml:space="preserve">  </w:t>
      </w:r>
      <w:r w:rsidR="003F31A6">
        <w:t xml:space="preserve">Specifically, </w:t>
      </w:r>
      <w:r w:rsidR="002D1689" w:rsidRPr="00C61AF7">
        <w:t>NWS indicate</w:t>
      </w:r>
      <w:r w:rsidR="00EF19CF">
        <w:t>d</w:t>
      </w:r>
      <w:r w:rsidR="002D1689" w:rsidRPr="00C61AF7">
        <w:t xml:space="preserve"> that it has changed the end point it uses for generating weather alerts for both of these areas from Bonita Beach, F</w:t>
      </w:r>
      <w:r w:rsidR="00953FDE">
        <w:t>lorida</w:t>
      </w:r>
      <w:r w:rsidR="002D1689" w:rsidRPr="00C61AF7">
        <w:t>, to Ocean Reef, F</w:t>
      </w:r>
      <w:r w:rsidR="00953FDE">
        <w:t>lorida</w:t>
      </w:r>
      <w:r w:rsidR="002D1689" w:rsidRPr="00C61AF7">
        <w:t>, and</w:t>
      </w:r>
      <w:r w:rsidR="00441851" w:rsidRPr="00C61AF7">
        <w:t>, accordingly,</w:t>
      </w:r>
      <w:r w:rsidR="002D1689" w:rsidRPr="00C61AF7">
        <w:t xml:space="preserve"> request</w:t>
      </w:r>
      <w:r w:rsidR="00EF19CF">
        <w:t>ed</w:t>
      </w:r>
      <w:r w:rsidR="002D1689" w:rsidRPr="00C61AF7">
        <w:t xml:space="preserve"> that the area covered by</w:t>
      </w:r>
      <w:r w:rsidR="00206AF7" w:rsidRPr="00C61AF7">
        <w:t xml:space="preserve"> location code </w:t>
      </w:r>
      <w:r w:rsidR="002D1689" w:rsidRPr="00C61AF7">
        <w:t xml:space="preserve">75 be changed to “Western North Atlantic Ocean, and along U.S. East Coast, south of Currituck Beach Light, NC, following the coastline to Ocean Reef, FL, including the Caribbean,” and that the area covered by </w:t>
      </w:r>
      <w:r w:rsidR="00206AF7" w:rsidRPr="00C61AF7">
        <w:t xml:space="preserve">location code </w:t>
      </w:r>
      <w:r w:rsidR="002D1689" w:rsidRPr="00C61AF7">
        <w:t>77 be changed to “Gulf of Mexico, and along the U.S. Gulf Coast from the Mexican border to Ocean Reef, FL.”</w:t>
      </w:r>
      <w:r w:rsidR="002D1689" w:rsidRPr="00C61AF7">
        <w:rPr>
          <w:rStyle w:val="FootnoteReference"/>
          <w:sz w:val="22"/>
          <w:szCs w:val="22"/>
        </w:rPr>
        <w:footnoteReference w:id="60"/>
      </w:r>
      <w:r w:rsidR="00EC24C8" w:rsidRPr="00C61AF7">
        <w:t xml:space="preserve">  </w:t>
      </w:r>
      <w:r w:rsidR="00202552">
        <w:t>NWS state</w:t>
      </w:r>
      <w:r w:rsidR="00903656">
        <w:t>d</w:t>
      </w:r>
      <w:r w:rsidR="00202552">
        <w:t xml:space="preserve"> that </w:t>
      </w:r>
      <w:r w:rsidR="003F31A6">
        <w:t xml:space="preserve">harmonizing </w:t>
      </w:r>
      <w:r w:rsidR="006817AC" w:rsidRPr="00C61AF7">
        <w:t xml:space="preserve">the </w:t>
      </w:r>
      <w:r w:rsidR="003F31A6">
        <w:t xml:space="preserve">definitions for these areas in the </w:t>
      </w:r>
      <w:r w:rsidR="006817AC" w:rsidRPr="00C61AF7">
        <w:t xml:space="preserve">EAS rules to </w:t>
      </w:r>
      <w:r w:rsidR="003F31A6">
        <w:t xml:space="preserve">match those used by the NWS would </w:t>
      </w:r>
      <w:r w:rsidR="00321455">
        <w:t>alleviate</w:t>
      </w:r>
      <w:r w:rsidR="003F31A6">
        <w:t xml:space="preserve"> potential </w:t>
      </w:r>
      <w:r w:rsidR="003104A1" w:rsidRPr="00C61AF7">
        <w:t xml:space="preserve">confusion </w:t>
      </w:r>
      <w:r w:rsidR="003F31A6">
        <w:t>among</w:t>
      </w:r>
      <w:r w:rsidR="003104A1" w:rsidRPr="00C61AF7">
        <w:t xml:space="preserve"> broadcasters, the emergency management community and the maritime commerce community</w:t>
      </w:r>
      <w:r w:rsidR="003F31A6">
        <w:t xml:space="preserve"> that issue and monitor alerts for these areas.</w:t>
      </w:r>
      <w:r w:rsidR="003104A1" w:rsidRPr="00C61AF7">
        <w:rPr>
          <w:rStyle w:val="FootnoteReference"/>
          <w:sz w:val="22"/>
          <w:szCs w:val="22"/>
        </w:rPr>
        <w:footnoteReference w:id="61"/>
      </w:r>
      <w:r w:rsidR="00EC24C8" w:rsidRPr="00C61AF7">
        <w:t xml:space="preserve"> </w:t>
      </w:r>
      <w:r w:rsidR="003104A1" w:rsidRPr="00C61AF7">
        <w:t xml:space="preserve"> NWS </w:t>
      </w:r>
      <w:r w:rsidR="00EF19CF">
        <w:t xml:space="preserve">again </w:t>
      </w:r>
      <w:r w:rsidR="003104A1" w:rsidRPr="00C61AF7">
        <w:t>note</w:t>
      </w:r>
      <w:r w:rsidR="00EF19CF">
        <w:t>d</w:t>
      </w:r>
      <w:r w:rsidR="003104A1" w:rsidRPr="00C61AF7">
        <w:t xml:space="preserve"> that it ha</w:t>
      </w:r>
      <w:r w:rsidR="00EF19CF">
        <w:t>d</w:t>
      </w:r>
      <w:r w:rsidR="003104A1" w:rsidRPr="00C61AF7">
        <w:t xml:space="preserve"> checked with several EAS encoder/decoder manufacturers, and</w:t>
      </w:r>
      <w:r w:rsidR="00350DE1" w:rsidRPr="00C61AF7">
        <w:t xml:space="preserve"> was informed </w:t>
      </w:r>
      <w:r w:rsidR="003104A1" w:rsidRPr="00C61AF7">
        <w:t>that the cost and time to make the requested change would be nominal.</w:t>
      </w:r>
      <w:r w:rsidR="00C26CAF" w:rsidRPr="00C61AF7">
        <w:rPr>
          <w:rStyle w:val="FootnoteReference"/>
          <w:sz w:val="22"/>
          <w:szCs w:val="22"/>
        </w:rPr>
        <w:footnoteReference w:id="62"/>
      </w:r>
    </w:p>
    <w:p w14:paraId="68CF6A4F" w14:textId="536ACF97" w:rsidR="00CF09CA" w:rsidRPr="00C61AF7" w:rsidRDefault="00EF19CF" w:rsidP="00B12809">
      <w:pPr>
        <w:pStyle w:val="ParaNum"/>
      </w:pPr>
      <w:r>
        <w:t xml:space="preserve">In the </w:t>
      </w:r>
      <w:r w:rsidRPr="00EF19CF">
        <w:rPr>
          <w:i/>
        </w:rPr>
        <w:t>NWS NPRM</w:t>
      </w:r>
      <w:r>
        <w:t>, w</w:t>
      </w:r>
      <w:r w:rsidR="002D1689" w:rsidRPr="00C61AF7">
        <w:t xml:space="preserve">e </w:t>
      </w:r>
      <w:r w:rsidR="00ED14B8" w:rsidRPr="00C61AF7">
        <w:t>propose</w:t>
      </w:r>
      <w:r>
        <w:t>d</w:t>
      </w:r>
      <w:r w:rsidR="00ED14B8" w:rsidRPr="00C61AF7">
        <w:t xml:space="preserve"> revising </w:t>
      </w:r>
      <w:r w:rsidR="007C5814">
        <w:t>S</w:t>
      </w:r>
      <w:r w:rsidR="00317D30" w:rsidRPr="00C61AF7">
        <w:t xml:space="preserve">ection </w:t>
      </w:r>
      <w:r w:rsidR="003D29B1" w:rsidRPr="00C61AF7">
        <w:t xml:space="preserve">11.31 </w:t>
      </w:r>
      <w:r w:rsidR="00CF54A7" w:rsidRPr="00C61AF7">
        <w:t xml:space="preserve">of </w:t>
      </w:r>
      <w:r w:rsidR="00ED14B8" w:rsidRPr="00C61AF7">
        <w:t xml:space="preserve">our rules to </w:t>
      </w:r>
      <w:r w:rsidR="00473EA0" w:rsidRPr="00C61AF7">
        <w:t xml:space="preserve">adopt the </w:t>
      </w:r>
      <w:r w:rsidR="002D1689" w:rsidRPr="00C61AF7">
        <w:t xml:space="preserve">definitional changes for </w:t>
      </w:r>
      <w:r w:rsidR="00F847ED" w:rsidRPr="00C61AF7">
        <w:t xml:space="preserve">location codes </w:t>
      </w:r>
      <w:r w:rsidR="002D1689" w:rsidRPr="00C61AF7">
        <w:t>75 and 77</w:t>
      </w:r>
      <w:r w:rsidR="000B5E70">
        <w:t xml:space="preserve"> requested by NWS</w:t>
      </w:r>
      <w:r w:rsidR="002D1689" w:rsidRPr="00C61AF7">
        <w:t>.</w:t>
      </w:r>
      <w:r>
        <w:rPr>
          <w:rStyle w:val="FootnoteReference"/>
        </w:rPr>
        <w:footnoteReference w:id="63"/>
      </w:r>
      <w:r w:rsidR="002D1689" w:rsidRPr="00C61AF7">
        <w:t xml:space="preserve">  </w:t>
      </w:r>
      <w:r w:rsidR="00AA25E7" w:rsidRPr="00C61AF7">
        <w:t>We observe</w:t>
      </w:r>
      <w:r>
        <w:t>d</w:t>
      </w:r>
      <w:r w:rsidR="00AA25E7" w:rsidRPr="00C61AF7">
        <w:t xml:space="preserve"> that </w:t>
      </w:r>
      <w:r w:rsidR="00293C79">
        <w:t xml:space="preserve">these </w:t>
      </w:r>
      <w:r w:rsidR="00AA25E7" w:rsidRPr="00C61AF7">
        <w:t>location codes are used with the Special Marine Warning (SMW) event code, among others, and thus are vital to maintaining the efficiency of marine operations and safety of vessels and their crews.</w:t>
      </w:r>
      <w:r w:rsidR="00AA25E7" w:rsidRPr="00C61AF7">
        <w:rPr>
          <w:rStyle w:val="FootnoteReference"/>
          <w:sz w:val="22"/>
          <w:szCs w:val="22"/>
        </w:rPr>
        <w:footnoteReference w:id="64"/>
      </w:r>
      <w:r w:rsidR="00AA25E7" w:rsidRPr="00C61AF7">
        <w:t xml:space="preserve">  </w:t>
      </w:r>
      <w:r w:rsidR="00F86DBA" w:rsidRPr="00C61AF7">
        <w:t xml:space="preserve">We </w:t>
      </w:r>
      <w:r>
        <w:t xml:space="preserve">further </w:t>
      </w:r>
      <w:r w:rsidR="00F86DBA" w:rsidRPr="00C61AF7">
        <w:t>observe</w:t>
      </w:r>
      <w:r>
        <w:t>d</w:t>
      </w:r>
      <w:r w:rsidR="00F86DBA" w:rsidRPr="00C61AF7">
        <w:t xml:space="preserve"> that </w:t>
      </w:r>
      <w:r w:rsidR="00293C79">
        <w:t xml:space="preserve">failure to </w:t>
      </w:r>
      <w:r w:rsidR="003F31A6">
        <w:t>harmoniz</w:t>
      </w:r>
      <w:r w:rsidR="00293C79">
        <w:t>e</w:t>
      </w:r>
      <w:r w:rsidR="003F31A6">
        <w:t xml:space="preserve"> the definitions in the EAS rules to match those used by </w:t>
      </w:r>
      <w:r w:rsidR="00F86DBA" w:rsidRPr="00C61AF7">
        <w:t xml:space="preserve">NWS </w:t>
      </w:r>
      <w:r w:rsidR="00293C79">
        <w:t xml:space="preserve">potentially could result in </w:t>
      </w:r>
      <w:r w:rsidR="00C50DAB" w:rsidRPr="00C61AF7">
        <w:t>confusion among EAS Participants, the emergency management community and the maritime commerce community in a major hurricane corridor of the United States.</w:t>
      </w:r>
      <w:r w:rsidR="00600BF5">
        <w:rPr>
          <w:rStyle w:val="FootnoteReference"/>
        </w:rPr>
        <w:footnoteReference w:id="65"/>
      </w:r>
      <w:r w:rsidR="008A0257" w:rsidRPr="00C61AF7">
        <w:t xml:space="preserve">  </w:t>
      </w:r>
    </w:p>
    <w:p w14:paraId="1B4D850F" w14:textId="306998FC" w:rsidR="00B20B27" w:rsidRDefault="00293C79" w:rsidP="00B954F4">
      <w:pPr>
        <w:pStyle w:val="ParaNum"/>
        <w:widowControl/>
      </w:pPr>
      <w:r>
        <w:t>W</w:t>
      </w:r>
      <w:r w:rsidR="00CF09CA" w:rsidRPr="008068A1">
        <w:t>e s</w:t>
      </w:r>
      <w:r w:rsidR="00600BF5">
        <w:t>ought</w:t>
      </w:r>
      <w:r w:rsidR="00CF09CA" w:rsidRPr="008068A1">
        <w:t xml:space="preserve"> comment on our proposal to revise the geographic descriptions for location codes 75 and 77.</w:t>
      </w:r>
      <w:r w:rsidR="00600BF5">
        <w:rPr>
          <w:rStyle w:val="FootnoteReference"/>
        </w:rPr>
        <w:footnoteReference w:id="66"/>
      </w:r>
      <w:r w:rsidR="00CF09CA" w:rsidRPr="008068A1">
        <w:t xml:space="preserve">  </w:t>
      </w:r>
      <w:r w:rsidR="00600BF5">
        <w:t xml:space="preserve">We asked whether </w:t>
      </w:r>
      <w:r w:rsidR="00CF09CA" w:rsidRPr="008068A1">
        <w:t xml:space="preserve">such action </w:t>
      </w:r>
      <w:r w:rsidR="007D240D">
        <w:t>would</w:t>
      </w:r>
      <w:r w:rsidR="00CF09CA" w:rsidRPr="008068A1">
        <w:t xml:space="preserve"> prevent or ameliorate potential confusion among </w:t>
      </w:r>
      <w:r w:rsidR="007D240D">
        <w:t>those who use these codes, and,</w:t>
      </w:r>
      <w:r w:rsidR="00CF09CA" w:rsidRPr="008068A1">
        <w:t xml:space="preserve"> </w:t>
      </w:r>
      <w:r w:rsidR="00421EBD" w:rsidRPr="008068A1">
        <w:t xml:space="preserve">enhance the </w:t>
      </w:r>
      <w:r w:rsidR="00CF09CA" w:rsidRPr="008068A1">
        <w:t>efficiency of marine operations and safety of vessels and their crews</w:t>
      </w:r>
      <w:r w:rsidR="00421EBD" w:rsidRPr="008068A1">
        <w:t>, and otherwise benefit the public</w:t>
      </w:r>
      <w:r w:rsidR="006D2210">
        <w:t>.</w:t>
      </w:r>
      <w:r w:rsidR="006D2210">
        <w:rPr>
          <w:rStyle w:val="FootnoteReference"/>
        </w:rPr>
        <w:footnoteReference w:id="67"/>
      </w:r>
      <w:r w:rsidR="00421EBD" w:rsidRPr="008068A1">
        <w:t xml:space="preserve">  </w:t>
      </w:r>
      <w:r w:rsidR="007D240D">
        <w:t xml:space="preserve">We also asked about the costs for making these changes and whether </w:t>
      </w:r>
      <w:r w:rsidR="006D2210">
        <w:t>there a</w:t>
      </w:r>
      <w:r w:rsidR="00CF09CA" w:rsidRPr="008068A1">
        <w:t>re any EAS device models deployed by EAS Participants located in coastal geographic areas</w:t>
      </w:r>
      <w:r w:rsidR="006D2210">
        <w:t xml:space="preserve"> </w:t>
      </w:r>
      <w:r w:rsidR="00CF09CA" w:rsidRPr="008068A1">
        <w:t xml:space="preserve">that </w:t>
      </w:r>
      <w:r w:rsidR="00323450" w:rsidRPr="008068A1">
        <w:t xml:space="preserve">could not </w:t>
      </w:r>
      <w:r w:rsidR="00CF09CA" w:rsidRPr="008068A1">
        <w:t xml:space="preserve">be updated to </w:t>
      </w:r>
      <w:r w:rsidR="00421EBD" w:rsidRPr="008068A1">
        <w:t>reflect these revision</w:t>
      </w:r>
      <w:r w:rsidR="006D2210">
        <w:t>s.</w:t>
      </w:r>
      <w:r w:rsidR="006D2210">
        <w:rPr>
          <w:rStyle w:val="FootnoteReference"/>
        </w:rPr>
        <w:footnoteReference w:id="68"/>
      </w:r>
    </w:p>
    <w:p w14:paraId="27BFFA2D" w14:textId="7F82EC4E" w:rsidR="007D240D" w:rsidRDefault="007D240D" w:rsidP="00760E67">
      <w:pPr>
        <w:pStyle w:val="ParaNum"/>
        <w:widowControl/>
      </w:pPr>
      <w:r>
        <w:t>Finally, w</w:t>
      </w:r>
      <w:r w:rsidRPr="00C61AF7">
        <w:t>e propose</w:t>
      </w:r>
      <w:r>
        <w:t>d</w:t>
      </w:r>
      <w:r w:rsidRPr="00C61AF7">
        <w:t xml:space="preserve"> revising footnote 1 of </w:t>
      </w:r>
      <w:r w:rsidR="007C5814">
        <w:t>S</w:t>
      </w:r>
      <w:r w:rsidRPr="00C61AF7">
        <w:t xml:space="preserve">ection 11.31 to delete the reference to a past deadline and to clarify that the numbers assigned to the offshore marine areas listed in the table of geographic areas in </w:t>
      </w:r>
      <w:r w:rsidR="007C5814">
        <w:t>S</w:t>
      </w:r>
      <w:r w:rsidRPr="00C61AF7">
        <w:t>ection 11.31(f), while consistent with the format of the state and territory location codes derived from the ANSI standard</w:t>
      </w:r>
      <w:r>
        <w:t xml:space="preserve"> from which all other EAS location codes are derived</w:t>
      </w:r>
      <w:r w:rsidRPr="00C61AF7">
        <w:t>, are not a product of that standard, but rather were assigned by the NWS.</w:t>
      </w:r>
      <w:r w:rsidRPr="00C61AF7">
        <w:rPr>
          <w:rStyle w:val="FootnoteReference"/>
          <w:sz w:val="22"/>
          <w:szCs w:val="22"/>
        </w:rPr>
        <w:footnoteReference w:id="69"/>
      </w:r>
      <w:r w:rsidRPr="00C61AF7">
        <w:t xml:space="preserve">  </w:t>
      </w:r>
    </w:p>
    <w:p w14:paraId="628C2B51" w14:textId="77777777" w:rsidR="006D2210" w:rsidRPr="00745622" w:rsidRDefault="006D2210" w:rsidP="000B5E70">
      <w:pPr>
        <w:pStyle w:val="ParaNum"/>
        <w:rPr>
          <w:snapToGrid/>
        </w:rPr>
      </w:pPr>
      <w:r w:rsidRPr="00745622">
        <w:rPr>
          <w:snapToGrid/>
        </w:rPr>
        <w:t xml:space="preserve">Only two commenters, AT&amp;T and TFT, specifically addressed </w:t>
      </w:r>
      <w:r w:rsidR="00745622" w:rsidRPr="00745622">
        <w:rPr>
          <w:snapToGrid/>
        </w:rPr>
        <w:t>the proposed geographic code revisions.  AT&amp;T stated</w:t>
      </w:r>
      <w:r w:rsidR="00745622" w:rsidRPr="00FE1F01">
        <w:t xml:space="preserve"> </w:t>
      </w:r>
      <w:r w:rsidR="000B5E70">
        <w:t xml:space="preserve">generally </w:t>
      </w:r>
      <w:r w:rsidR="00745622" w:rsidRPr="00FE1F01">
        <w:t>that adoption of the location code revisions would “promote the public interest by helping the public and emergency officials better respond to local safety threats.”</w:t>
      </w:r>
      <w:r w:rsidR="00745622">
        <w:rPr>
          <w:rStyle w:val="FootnoteReference"/>
        </w:rPr>
        <w:footnoteReference w:id="70"/>
      </w:r>
      <w:r w:rsidR="00745622">
        <w:t xml:space="preserve">  T</w:t>
      </w:r>
      <w:r w:rsidRPr="00745622">
        <w:rPr>
          <w:snapToGrid/>
        </w:rPr>
        <w:t>FT opposed adoption of the geographic code revisions on grounds that “their use is quite limited,” and that the “inconsistencies in the descriptions of these areas will not be meaningful to the public.”</w:t>
      </w:r>
      <w:r>
        <w:rPr>
          <w:rStyle w:val="FootnoteReference"/>
          <w:snapToGrid/>
        </w:rPr>
        <w:footnoteReference w:id="71"/>
      </w:r>
      <w:r w:rsidRPr="00745622">
        <w:rPr>
          <w:snapToGrid/>
        </w:rPr>
        <w:t xml:space="preserve">    </w:t>
      </w:r>
    </w:p>
    <w:p w14:paraId="10C2097E" w14:textId="25416FE3" w:rsidR="006D2210" w:rsidRDefault="006D2210" w:rsidP="009A3102">
      <w:pPr>
        <w:pStyle w:val="ParaNum"/>
      </w:pPr>
      <w:r w:rsidRPr="00B45B01">
        <w:rPr>
          <w:i/>
        </w:rPr>
        <w:t>Decision</w:t>
      </w:r>
      <w:r>
        <w:t>.  We grant NWS’s request and</w:t>
      </w:r>
      <w:r w:rsidR="00745622">
        <w:t xml:space="preserve"> change</w:t>
      </w:r>
      <w:r>
        <w:t xml:space="preserve"> </w:t>
      </w:r>
      <w:r w:rsidRPr="00C61AF7">
        <w:t xml:space="preserve">the </w:t>
      </w:r>
      <w:r>
        <w:t xml:space="preserve">defined </w:t>
      </w:r>
      <w:r w:rsidRPr="00C61AF7">
        <w:t xml:space="preserve">areas identified in </w:t>
      </w:r>
      <w:r w:rsidR="007C5814">
        <w:t>S</w:t>
      </w:r>
      <w:r w:rsidRPr="00C61AF7">
        <w:t xml:space="preserve">ection 11.31(f) of the EAS rules </w:t>
      </w:r>
      <w:r>
        <w:t>for</w:t>
      </w:r>
      <w:r w:rsidRPr="00C61AF7">
        <w:t xml:space="preserve"> location codes 75 and 77</w:t>
      </w:r>
      <w:r>
        <w:t xml:space="preserve"> </w:t>
      </w:r>
      <w:r w:rsidRPr="00C61AF7">
        <w:t>to “Western North Atlantic Ocean, and along U.S. East Coast, south of Currituck Beach Light, NC, following the coastline to Ocean Reef, FL, including the Caribbean,” and “Gulf of Mexico, and along the U.S. Gulf Coast from the Mexican border to Ocean Reef, FL</w:t>
      </w:r>
      <w:r>
        <w:t>,</w:t>
      </w:r>
      <w:r w:rsidRPr="00C61AF7">
        <w:t>”</w:t>
      </w:r>
      <w:r>
        <w:t xml:space="preserve"> respectively.</w:t>
      </w:r>
      <w:r w:rsidRPr="00C61AF7">
        <w:t xml:space="preserve">  </w:t>
      </w:r>
      <w:r w:rsidR="007D240D">
        <w:t>T</w:t>
      </w:r>
      <w:r w:rsidR="00AD306F" w:rsidRPr="00C61AF7">
        <w:t>h</w:t>
      </w:r>
      <w:r w:rsidR="00AD306F">
        <w:t xml:space="preserve">ese definitional changes </w:t>
      </w:r>
      <w:r w:rsidR="00AD306F" w:rsidRPr="00C61AF7">
        <w:t xml:space="preserve">amount to </w:t>
      </w:r>
      <w:r w:rsidR="00C87BB1">
        <w:t xml:space="preserve">minor </w:t>
      </w:r>
      <w:r w:rsidR="00AD306F" w:rsidRPr="00C61AF7">
        <w:t>modification</w:t>
      </w:r>
      <w:r w:rsidR="00AD306F">
        <w:t>s</w:t>
      </w:r>
      <w:r w:rsidR="00AD306F" w:rsidRPr="00C61AF7">
        <w:t xml:space="preserve"> </w:t>
      </w:r>
      <w:r w:rsidR="00AD306F">
        <w:t>to</w:t>
      </w:r>
      <w:r w:rsidR="00AD306F" w:rsidRPr="00C61AF7">
        <w:t xml:space="preserve"> location definition</w:t>
      </w:r>
      <w:r w:rsidR="00321455">
        <w:t>s</w:t>
      </w:r>
      <w:r w:rsidR="00AD306F" w:rsidRPr="00C61AF7">
        <w:t xml:space="preserve"> created and used by the NWS.</w:t>
      </w:r>
      <w:r w:rsidR="00AD306F">
        <w:rPr>
          <w:rStyle w:val="FootnoteReference"/>
        </w:rPr>
        <w:footnoteReference w:id="72"/>
      </w:r>
      <w:r w:rsidR="00AD306F" w:rsidRPr="00C61AF7">
        <w:t xml:space="preserve">  </w:t>
      </w:r>
      <w:r w:rsidR="00CF3BB4">
        <w:t>Further, harmonizing the Part 11 definitions for these location</w:t>
      </w:r>
      <w:r w:rsidR="008D3DFA">
        <w:t>s</w:t>
      </w:r>
      <w:r w:rsidR="00CF3BB4">
        <w:t xml:space="preserve"> with those used by the NWS is necessary to ensure that the SMW and other marine-specific alerts reach their intended audiences</w:t>
      </w:r>
      <w:r w:rsidR="001D39C0">
        <w:t>.</w:t>
      </w:r>
      <w:r w:rsidR="00AD306F" w:rsidRPr="00C61AF7">
        <w:t xml:space="preserve">  </w:t>
      </w:r>
      <w:r w:rsidR="00CF3BB4">
        <w:t xml:space="preserve">Such action also should eliminate </w:t>
      </w:r>
      <w:r w:rsidR="00242D1F">
        <w:t xml:space="preserve">any </w:t>
      </w:r>
      <w:r w:rsidR="00AD306F" w:rsidRPr="00C61AF7">
        <w:t xml:space="preserve">potential for confusion </w:t>
      </w:r>
      <w:r w:rsidR="00CF3BB4">
        <w:t xml:space="preserve">that might otherwise exist </w:t>
      </w:r>
      <w:r w:rsidR="00AD306F" w:rsidRPr="00C61AF7">
        <w:t xml:space="preserve">among EAS Participants, the emergency management community and the maritime commerce community </w:t>
      </w:r>
      <w:r w:rsidR="00CF3BB4">
        <w:t xml:space="preserve">in the event that the EAS rules and NWS used different location definitions.  </w:t>
      </w:r>
      <w:r w:rsidR="000C3A71">
        <w:t xml:space="preserve">We </w:t>
      </w:r>
      <w:r w:rsidR="003C39C2">
        <w:t xml:space="preserve">also </w:t>
      </w:r>
      <w:r w:rsidR="000C3A71">
        <w:t xml:space="preserve">observe that EAS equipment manufacturers </w:t>
      </w:r>
      <w:r w:rsidR="009A3102">
        <w:t xml:space="preserve">have </w:t>
      </w:r>
      <w:r w:rsidR="00E63CD1">
        <w:t xml:space="preserve">confirmed that </w:t>
      </w:r>
      <w:r w:rsidR="00E63CD1" w:rsidRPr="008068A1">
        <w:t xml:space="preserve">these changes </w:t>
      </w:r>
      <w:r w:rsidR="00E63CD1">
        <w:t>can be implemented by EAS Participants via software downloads with minimal effort.</w:t>
      </w:r>
      <w:r w:rsidR="00E63CD1">
        <w:rPr>
          <w:rStyle w:val="FootnoteReference"/>
        </w:rPr>
        <w:footnoteReference w:id="73"/>
      </w:r>
      <w:r w:rsidR="00E63CD1" w:rsidRPr="008068A1">
        <w:t xml:space="preserve">  </w:t>
      </w:r>
      <w:r w:rsidR="000C3A71" w:rsidRPr="008068A1">
        <w:t xml:space="preserve"> </w:t>
      </w:r>
      <w:r w:rsidR="000C3A71">
        <w:t xml:space="preserve">  </w:t>
      </w:r>
    </w:p>
    <w:p w14:paraId="247CBC44" w14:textId="0C274F2B" w:rsidR="00AD306F" w:rsidRPr="000B5E70" w:rsidRDefault="000C3A71" w:rsidP="00B954F4">
      <w:pPr>
        <w:pStyle w:val="ParaNum"/>
        <w:widowControl/>
      </w:pPr>
      <w:r w:rsidRPr="00762762">
        <w:rPr>
          <w:snapToGrid/>
        </w:rPr>
        <w:t xml:space="preserve">We do not find TFT’s arguments </w:t>
      </w:r>
      <w:r>
        <w:rPr>
          <w:snapToGrid/>
        </w:rPr>
        <w:t xml:space="preserve">against adoption of the new </w:t>
      </w:r>
      <w:r w:rsidR="001008A6">
        <w:rPr>
          <w:snapToGrid/>
        </w:rPr>
        <w:t>location</w:t>
      </w:r>
      <w:r>
        <w:rPr>
          <w:snapToGrid/>
        </w:rPr>
        <w:t xml:space="preserve"> codes </w:t>
      </w:r>
      <w:r w:rsidRPr="00762762">
        <w:rPr>
          <w:snapToGrid/>
        </w:rPr>
        <w:t xml:space="preserve">persuasive.  </w:t>
      </w:r>
      <w:r w:rsidR="000221A7">
        <w:rPr>
          <w:snapToGrid/>
        </w:rPr>
        <w:t xml:space="preserve">Whether these codes are widely used or not, </w:t>
      </w:r>
      <w:r w:rsidR="00855DAE">
        <w:rPr>
          <w:snapToGrid/>
        </w:rPr>
        <w:t xml:space="preserve">we do not see what public interest would be served by allowing continued disharmony between the EAS definitions and those used by the NWS, particularly as these could lead to </w:t>
      </w:r>
      <w:r w:rsidR="008155B4">
        <w:rPr>
          <w:snapToGrid/>
        </w:rPr>
        <w:t xml:space="preserve">marine alerts not reaching their intended audiences as well as </w:t>
      </w:r>
      <w:r w:rsidR="00855DAE">
        <w:rPr>
          <w:snapToGrid/>
        </w:rPr>
        <w:t xml:space="preserve">confusion among the maritime users operating in these geographic areas, potentially placing the </w:t>
      </w:r>
      <w:r w:rsidR="00855DAE" w:rsidRPr="000221A7">
        <w:rPr>
          <w:snapToGrid/>
        </w:rPr>
        <w:t>safety of vessels and their crews</w:t>
      </w:r>
      <w:r w:rsidR="00855DAE">
        <w:rPr>
          <w:snapToGrid/>
        </w:rPr>
        <w:t xml:space="preserve"> at risk. </w:t>
      </w:r>
      <w:r>
        <w:rPr>
          <w:snapToGrid/>
        </w:rPr>
        <w:t xml:space="preserve"> </w:t>
      </w:r>
      <w:r w:rsidR="008155B4">
        <w:rPr>
          <w:snapToGrid/>
        </w:rPr>
        <w:t xml:space="preserve">Further, EAS Participants </w:t>
      </w:r>
      <w:r w:rsidR="00C93621">
        <w:rPr>
          <w:snapToGrid/>
        </w:rPr>
        <w:t xml:space="preserve">may install and utilize </w:t>
      </w:r>
      <w:r w:rsidR="008155B4">
        <w:rPr>
          <w:snapToGrid/>
        </w:rPr>
        <w:t xml:space="preserve">the </w:t>
      </w:r>
      <w:r w:rsidR="00C93621">
        <w:rPr>
          <w:snapToGrid/>
        </w:rPr>
        <w:t xml:space="preserve">revised codes as </w:t>
      </w:r>
      <w:r w:rsidR="005D3BB3">
        <w:rPr>
          <w:snapToGrid/>
        </w:rPr>
        <w:t xml:space="preserve">they </w:t>
      </w:r>
      <w:r w:rsidR="00C93621">
        <w:rPr>
          <w:snapToGrid/>
        </w:rPr>
        <w:t xml:space="preserve">deem fit, and we find that the EAS Participants that actually use these codes are best situated to determine whether use of the revised location codes is necessary and meaningful to the areas they serve.  </w:t>
      </w:r>
      <w:r w:rsidR="008155B4">
        <w:rPr>
          <w:snapToGrid/>
        </w:rPr>
        <w:t xml:space="preserve"> </w:t>
      </w:r>
    </w:p>
    <w:p w14:paraId="604F48FA" w14:textId="3721FCD4" w:rsidR="000B5E70" w:rsidRPr="00161CEA" w:rsidRDefault="000B5E70" w:rsidP="00411809">
      <w:pPr>
        <w:pStyle w:val="ParaNum"/>
        <w:widowControl/>
      </w:pPr>
      <w:r>
        <w:rPr>
          <w:snapToGrid/>
        </w:rPr>
        <w:t xml:space="preserve">Finally, we also </w:t>
      </w:r>
      <w:r w:rsidRPr="000B5E70">
        <w:rPr>
          <w:snapToGrid/>
        </w:rPr>
        <w:t>revis</w:t>
      </w:r>
      <w:r>
        <w:rPr>
          <w:snapToGrid/>
        </w:rPr>
        <w:t>e</w:t>
      </w:r>
      <w:r w:rsidRPr="000B5E70">
        <w:rPr>
          <w:snapToGrid/>
        </w:rPr>
        <w:t xml:space="preserve"> footnote 1 of </w:t>
      </w:r>
      <w:r w:rsidR="007C5814">
        <w:rPr>
          <w:snapToGrid/>
        </w:rPr>
        <w:t>S</w:t>
      </w:r>
      <w:r w:rsidRPr="000B5E70">
        <w:rPr>
          <w:snapToGrid/>
        </w:rPr>
        <w:t xml:space="preserve">ection 11.31 to delete the reference to </w:t>
      </w:r>
      <w:r>
        <w:rPr>
          <w:snapToGrid/>
        </w:rPr>
        <w:t>the</w:t>
      </w:r>
      <w:r w:rsidRPr="000B5E70">
        <w:rPr>
          <w:snapToGrid/>
        </w:rPr>
        <w:t xml:space="preserve"> past deadline and to clarify that the numbers assigned to the offshore marine areas listed in the table of geographic areas in </w:t>
      </w:r>
      <w:r w:rsidR="007C5814">
        <w:rPr>
          <w:snapToGrid/>
        </w:rPr>
        <w:t>S</w:t>
      </w:r>
      <w:r w:rsidRPr="000B5E70">
        <w:rPr>
          <w:snapToGrid/>
        </w:rPr>
        <w:t>ection 11.31(f), while consistent with the ANSI standard</w:t>
      </w:r>
      <w:r>
        <w:rPr>
          <w:snapToGrid/>
        </w:rPr>
        <w:t>,</w:t>
      </w:r>
      <w:r w:rsidRPr="000B5E70">
        <w:rPr>
          <w:snapToGrid/>
        </w:rPr>
        <w:t xml:space="preserve"> are not a product of that standard, but rather were assigned by the NWS.  </w:t>
      </w:r>
      <w:r>
        <w:rPr>
          <w:snapToGrid/>
        </w:rPr>
        <w:t>No party commented on that proposed change, which in any event, is largely administrative in nature.  We conclude that harmonizing the definitions in the EAS with those used by the NWS</w:t>
      </w:r>
      <w:r w:rsidR="000221A7">
        <w:rPr>
          <w:snapToGrid/>
        </w:rPr>
        <w:t xml:space="preserve"> will eliminate the potential for needless confusion among </w:t>
      </w:r>
      <w:r w:rsidR="000221A7" w:rsidRPr="00C61AF7">
        <w:t>EAS Participants, the emergency management community and the maritime commerce community</w:t>
      </w:r>
      <w:r w:rsidR="000221A7">
        <w:rPr>
          <w:snapToGrid/>
        </w:rPr>
        <w:t xml:space="preserve"> as to the geographic application of these codes, and </w:t>
      </w:r>
      <w:r w:rsidR="000221A7" w:rsidRPr="000221A7">
        <w:rPr>
          <w:snapToGrid/>
        </w:rPr>
        <w:t>maintain the efficiency of marine operations and safety of vessels and their crews</w:t>
      </w:r>
      <w:r w:rsidR="000221A7">
        <w:rPr>
          <w:snapToGrid/>
        </w:rPr>
        <w:t xml:space="preserve">.  </w:t>
      </w:r>
    </w:p>
    <w:p w14:paraId="77493200" w14:textId="47151ACC" w:rsidR="00CE3ABA" w:rsidRDefault="00C12CA7" w:rsidP="00B12809">
      <w:pPr>
        <w:pStyle w:val="Heading2"/>
      </w:pPr>
      <w:bookmarkStart w:id="13" w:name="_Toc411452470"/>
      <w:bookmarkStart w:id="14" w:name="_Toc411452590"/>
      <w:bookmarkStart w:id="15" w:name="_Toc415747815"/>
      <w:r>
        <w:t>Cost Benefit Analysis</w:t>
      </w:r>
    </w:p>
    <w:p w14:paraId="1D37DA66" w14:textId="7F004ACD" w:rsidR="00CE3ABA" w:rsidRDefault="00CE3ABA" w:rsidP="00CE3ABA">
      <w:pPr>
        <w:pStyle w:val="ParaNum"/>
      </w:pPr>
      <w:r>
        <w:t xml:space="preserve">We observe that </w:t>
      </w:r>
      <w:r w:rsidR="00B72E59">
        <w:t xml:space="preserve">although </w:t>
      </w:r>
      <w:r>
        <w:t xml:space="preserve">EAS equipment manufacturers </w:t>
      </w:r>
      <w:r w:rsidR="00B72E59">
        <w:t xml:space="preserve">must make the new event and locations codes available to all EAS Participants, these manufacturers </w:t>
      </w:r>
      <w:r>
        <w:t>have indicated in the record that the codes can be implemented by EAS Participants via minimally burdensome and low cost software downloads.</w:t>
      </w:r>
      <w:r>
        <w:rPr>
          <w:rStyle w:val="FootnoteReference"/>
        </w:rPr>
        <w:footnoteReference w:id="74"/>
      </w:r>
      <w:r>
        <w:t xml:space="preserve">  Trilithic, for example, </w:t>
      </w:r>
      <w:r w:rsidRPr="000A0FFC">
        <w:t>indicat</w:t>
      </w:r>
      <w:r>
        <w:t>es</w:t>
      </w:r>
      <w:r w:rsidRPr="000A0FFC">
        <w:t xml:space="preserve"> that “[t]he modifications are minimal and there would be no cost passed onto our customers</w:t>
      </w:r>
      <w:r>
        <w:t>.</w:t>
      </w:r>
      <w:r w:rsidRPr="000A0FFC">
        <w:t>”</w:t>
      </w:r>
      <w:r>
        <w:rPr>
          <w:rStyle w:val="FootnoteReference"/>
        </w:rPr>
        <w:footnoteReference w:id="75"/>
      </w:r>
      <w:r>
        <w:t xml:space="preserve">  </w:t>
      </w:r>
      <w:r w:rsidRPr="000A0FFC">
        <w:t xml:space="preserve">Monroe </w:t>
      </w:r>
      <w:r>
        <w:t xml:space="preserve">indicates that </w:t>
      </w:r>
      <w:r w:rsidRPr="000A0FFC">
        <w:t>the event codes could be implemented in its EAS device models through a software update, “downloaded by users from Monroe’s secure site, and applied to each EAS device by the user, with basic instructions provided by Monroe or its Digital Alert Systems subsidiary</w:t>
      </w:r>
      <w:r>
        <w:t>.</w:t>
      </w:r>
      <w:r w:rsidRPr="000A0FFC">
        <w:t>”</w:t>
      </w:r>
      <w:r>
        <w:rPr>
          <w:rStyle w:val="FootnoteReference"/>
        </w:rPr>
        <w:footnoteReference w:id="76"/>
      </w:r>
      <w:r>
        <w:t xml:space="preserve">  </w:t>
      </w:r>
      <w:r w:rsidRPr="000A0FFC">
        <w:t>Sage indicat</w:t>
      </w:r>
      <w:r>
        <w:t>es</w:t>
      </w:r>
      <w:r w:rsidRPr="000A0FFC">
        <w:t xml:space="preserve"> that end users could implement the proposed event codes by </w:t>
      </w:r>
      <w:r>
        <w:t>“</w:t>
      </w:r>
      <w:r w:rsidRPr="004859E5">
        <w:t>downloading the current settings file, using our settings editor to add new event codes, and uploading the settings file</w:t>
      </w:r>
      <w:r>
        <w:t>,</w:t>
      </w:r>
      <w:r w:rsidRPr="004859E5">
        <w:t>”</w:t>
      </w:r>
      <w:r>
        <w:rPr>
          <w:rStyle w:val="FootnoteReference"/>
        </w:rPr>
        <w:footnoteReference w:id="77"/>
      </w:r>
      <w:r>
        <w:t xml:space="preserve"> </w:t>
      </w:r>
      <w:r w:rsidRPr="004859E5">
        <w:t>which Sage further estimate</w:t>
      </w:r>
      <w:r>
        <w:t>s</w:t>
      </w:r>
      <w:r w:rsidRPr="004859E5">
        <w:t xml:space="preserve"> </w:t>
      </w:r>
      <w:r>
        <w:t>would</w:t>
      </w:r>
      <w:r w:rsidRPr="004859E5">
        <w:t xml:space="preserve"> take “10 minute or less processes on a per-ENDEC basis” with no cost other than labor.</w:t>
      </w:r>
      <w:r>
        <w:rPr>
          <w:rStyle w:val="FootnoteReference"/>
        </w:rPr>
        <w:footnoteReference w:id="78"/>
      </w:r>
      <w:r>
        <w:t xml:space="preserve">  Further, use of these codes is not mandatory</w:t>
      </w:r>
      <w:r w:rsidR="00B72E59">
        <w:t xml:space="preserve"> for EAS Participants; </w:t>
      </w:r>
      <w:r>
        <w:t>EAS Participants are free to implement them if and when they see fit</w:t>
      </w:r>
      <w:r w:rsidR="00B72E59">
        <w:t>, thus reducing the overall costs to EAS Participants even further.</w:t>
      </w:r>
      <w:r>
        <w:t xml:space="preserve">  W</w:t>
      </w:r>
      <w:r w:rsidR="00742B70">
        <w:t xml:space="preserve">hile some </w:t>
      </w:r>
      <w:r w:rsidR="00257E94">
        <w:t xml:space="preserve">currently deployed </w:t>
      </w:r>
      <w:r w:rsidR="00742B70">
        <w:t xml:space="preserve">legacy </w:t>
      </w:r>
      <w:r w:rsidR="000B38D4">
        <w:t xml:space="preserve">EAS </w:t>
      </w:r>
      <w:r w:rsidR="00742B70">
        <w:t>device</w:t>
      </w:r>
      <w:r w:rsidR="000B38D4">
        <w:t xml:space="preserve"> model</w:t>
      </w:r>
      <w:r w:rsidR="00742B70">
        <w:t>s may not be capable of being updated to accommodate these codes, we</w:t>
      </w:r>
      <w:r>
        <w:t xml:space="preserve"> observe that </w:t>
      </w:r>
      <w:r w:rsidRPr="00CD3170">
        <w:t xml:space="preserve">any </w:t>
      </w:r>
      <w:r w:rsidR="00742B70">
        <w:t xml:space="preserve">such </w:t>
      </w:r>
      <w:r w:rsidR="00C12CA7" w:rsidRPr="00CD3170">
        <w:t xml:space="preserve">equipment </w:t>
      </w:r>
      <w:r w:rsidR="00742B70">
        <w:t xml:space="preserve">already is required to be replaced to accommodate the recently adopted NPT </w:t>
      </w:r>
      <w:r w:rsidR="00A34212">
        <w:t xml:space="preserve">event code </w:t>
      </w:r>
      <w:r w:rsidR="00742B70">
        <w:t xml:space="preserve">and “000000” geographic code for national testing </w:t>
      </w:r>
      <w:r>
        <w:t xml:space="preserve">no later than July 30, 2016, </w:t>
      </w:r>
      <w:r w:rsidRPr="00CD3170">
        <w:t>thus</w:t>
      </w:r>
      <w:r w:rsidR="00257E94">
        <w:t xml:space="preserve">, no </w:t>
      </w:r>
      <w:r w:rsidR="00742B70">
        <w:t xml:space="preserve">EAS Participant </w:t>
      </w:r>
      <w:r w:rsidR="00257E94">
        <w:t xml:space="preserve">will be faced with the cost of obtaining new EAS equipment simply to use the </w:t>
      </w:r>
      <w:r w:rsidR="00742B70">
        <w:t xml:space="preserve">new event codes and geographic locations code revisions </w:t>
      </w:r>
      <w:r w:rsidR="00257E94">
        <w:t>adopted in this item.</w:t>
      </w:r>
      <w:r w:rsidR="000B38D4">
        <w:rPr>
          <w:rStyle w:val="FootnoteReference"/>
        </w:rPr>
        <w:footnoteReference w:id="79"/>
      </w:r>
      <w:r w:rsidR="00742B70">
        <w:t xml:space="preserve">  </w:t>
      </w:r>
      <w:r w:rsidR="00A34212">
        <w:t xml:space="preserve"> </w:t>
      </w:r>
      <w:r>
        <w:t xml:space="preserve"> </w:t>
      </w:r>
    </w:p>
    <w:p w14:paraId="3BF737C4" w14:textId="5A4B5162" w:rsidR="0050678A" w:rsidRPr="0050678A" w:rsidRDefault="00A86A5F" w:rsidP="0027360B">
      <w:pPr>
        <w:pStyle w:val="ParaNum"/>
      </w:pPr>
      <w:r w:rsidRPr="00A86A5F">
        <w:t>Based on the record, we anticipate that the only cost to EAS Participants who elect to install these new event codes and geographic location code revisions will be whatever labor cost is involved in downloading the software patches into their devices and associated clerical work.</w:t>
      </w:r>
      <w:r>
        <w:rPr>
          <w:rStyle w:val="FootnoteReference"/>
        </w:rPr>
        <w:footnoteReference w:id="80"/>
      </w:r>
      <w:r w:rsidRPr="00A86A5F">
        <w:t xml:space="preserve">  We further anticipate that such installation would not on average take more than one hour.</w:t>
      </w:r>
      <w:r w:rsidR="0050678A">
        <w:rPr>
          <w:rStyle w:val="FootnoteReference"/>
        </w:rPr>
        <w:footnoteReference w:id="81"/>
      </w:r>
      <w:r w:rsidRPr="00A86A5F">
        <w:t xml:space="preserve">  However, even using a worst case cost figure of $125.00 per device – which figure represents the labor cost estimate approved by the Office of Management and Budget for an EAS Participant to fill out the Commission’s online reporting form for EAS National Tests at a total time expenditure of </w:t>
      </w:r>
      <w:r w:rsidRPr="007D35AF">
        <w:rPr>
          <w:i/>
        </w:rPr>
        <w:t>five</w:t>
      </w:r>
      <w:r w:rsidRPr="00A86A5F">
        <w:t xml:space="preserve"> hours</w:t>
      </w:r>
      <w:r w:rsidR="0050678A">
        <w:rPr>
          <w:rStyle w:val="FootnoteReference"/>
        </w:rPr>
        <w:footnoteReference w:id="82"/>
      </w:r>
      <w:r w:rsidRPr="00A86A5F">
        <w:t xml:space="preserve"> – the cost of implementing these codes are far exceeded by the benefits they provide.  </w:t>
      </w:r>
      <w:r w:rsidR="0050678A">
        <w:t xml:space="preserve">At a per-unit cost of </w:t>
      </w:r>
      <w:r w:rsidR="0050678A" w:rsidRPr="00BB146B">
        <w:t>$125.00,</w:t>
      </w:r>
      <w:r w:rsidR="0050678A">
        <w:t xml:space="preserve"> </w:t>
      </w:r>
      <w:r w:rsidR="0050678A" w:rsidRPr="0050678A">
        <w:t>even if all EAS Participants elected to implement these codes (an unlikely event in areas not prone to hurricanes), the aggregate cost of adopting these new codes would be approximately $3.5 million.</w:t>
      </w:r>
      <w:r w:rsidR="0027360B">
        <w:rPr>
          <w:rStyle w:val="FootnoteReference"/>
        </w:rPr>
        <w:footnoteReference w:id="83"/>
      </w:r>
      <w:r w:rsidR="0050678A" w:rsidRPr="0050678A">
        <w:t xml:space="preserve">  </w:t>
      </w:r>
      <w:r w:rsidR="0027360B" w:rsidRPr="0027360B">
        <w:t xml:space="preserve">      </w:t>
      </w:r>
      <w:r w:rsidR="0050678A" w:rsidRPr="0050678A">
        <w:t xml:space="preserve"> </w:t>
      </w:r>
    </w:p>
    <w:p w14:paraId="3B8EB669" w14:textId="4710FF0E" w:rsidR="00CE3ABA" w:rsidRPr="00CE3ABA" w:rsidRDefault="00CE3ABA" w:rsidP="007D35AF">
      <w:pPr>
        <w:pStyle w:val="ParaNum"/>
      </w:pPr>
      <w:bookmarkStart w:id="16" w:name="_ftn1"/>
      <w:bookmarkEnd w:id="16"/>
      <w:r w:rsidRPr="00270249">
        <w:t>With respect to benefits, we have proposed that the benchmark for measuring these types of expected benefits should be the value of a statistical life (VSL), currently estimated at $9.1 million.</w:t>
      </w:r>
      <w:r>
        <w:rPr>
          <w:rStyle w:val="FootnoteReference"/>
        </w:rPr>
        <w:footnoteReference w:id="84"/>
      </w:r>
      <w:r w:rsidRPr="00270249">
        <w:t xml:space="preserve">  Accordingly, the value of this risk reduction to the public, measured in terms of expected lives saved, is at least $9.1 million, which far exceeds the one-time, highly conservative $3.</w:t>
      </w:r>
      <w:r>
        <w:t>5</w:t>
      </w:r>
      <w:r w:rsidRPr="00270249">
        <w:t xml:space="preserve"> million aggregated cost estimate </w:t>
      </w:r>
      <w:r w:rsidR="0027360B">
        <w:t>if each and every</w:t>
      </w:r>
      <w:r w:rsidRPr="00270249">
        <w:t xml:space="preserve"> EAS Participant</w:t>
      </w:r>
      <w:r w:rsidR="0027360B">
        <w:t xml:space="preserve"> across the U.S. elected to </w:t>
      </w:r>
      <w:r w:rsidRPr="00270249">
        <w:t xml:space="preserve">implement these new codes and code revisions.  Furthermore, this expected benefit is a conservative valuation because the EAS is likely to save more than just one life in the event of a storm surge or extreme high winds caused by a Category 3 </w:t>
      </w:r>
      <w:r>
        <w:t xml:space="preserve">or higher </w:t>
      </w:r>
      <w:r w:rsidRPr="00270249">
        <w:t>hurricane, will accrue annually, and does not include the benefits associated with reducing injuries</w:t>
      </w:r>
      <w:r w:rsidR="0027360B">
        <w:t xml:space="preserve"> and associated medical costs</w:t>
      </w:r>
      <w:r w:rsidRPr="00270249">
        <w:t>, mitigating property damage, and minimizing the disruption of our national economy.</w:t>
      </w:r>
      <w:r>
        <w:t xml:space="preserve">  </w:t>
      </w:r>
      <w:r w:rsidRPr="00270249">
        <w:t>Accordingly, we conclude that the minor burdens associated with adopting these codes will be more than offset by the benefits to public safety that will accrue from the introduction of these new codes into the EAS alerting framework</w:t>
      </w:r>
      <w:r>
        <w:t xml:space="preserve">.  </w:t>
      </w:r>
    </w:p>
    <w:p w14:paraId="5CAF9B93" w14:textId="77777777" w:rsidR="004E51F2" w:rsidRPr="004E51F2" w:rsidRDefault="00650879" w:rsidP="00B12809">
      <w:pPr>
        <w:pStyle w:val="Heading2"/>
      </w:pPr>
      <w:r>
        <w:t xml:space="preserve">Implementation </w:t>
      </w:r>
      <w:r w:rsidR="00FD62D1">
        <w:t>Schedule</w:t>
      </w:r>
      <w:bookmarkEnd w:id="13"/>
      <w:bookmarkEnd w:id="14"/>
      <w:bookmarkEnd w:id="15"/>
    </w:p>
    <w:p w14:paraId="57F040CD" w14:textId="5BE2520E" w:rsidR="00200E6E" w:rsidRDefault="00855DAE" w:rsidP="00B12809">
      <w:pPr>
        <w:pStyle w:val="ParaNum"/>
      </w:pPr>
      <w:r>
        <w:t xml:space="preserve">In the </w:t>
      </w:r>
      <w:r w:rsidRPr="00121ADB">
        <w:rPr>
          <w:i/>
        </w:rPr>
        <w:t>NWS NPRM</w:t>
      </w:r>
      <w:r>
        <w:t xml:space="preserve">, </w:t>
      </w:r>
      <w:r w:rsidR="003E396A" w:rsidRPr="00121ADB">
        <w:rPr>
          <w:color w:val="000000"/>
        </w:rPr>
        <w:t>we propose</w:t>
      </w:r>
      <w:r w:rsidRPr="00121ADB">
        <w:rPr>
          <w:color w:val="000000"/>
        </w:rPr>
        <w:t>d</w:t>
      </w:r>
      <w:r w:rsidR="003E396A" w:rsidRPr="00121ADB">
        <w:rPr>
          <w:color w:val="000000"/>
        </w:rPr>
        <w:t xml:space="preserve"> that EAS equipment manufacturers integrate the</w:t>
      </w:r>
      <w:r w:rsidRPr="00121ADB">
        <w:rPr>
          <w:color w:val="000000"/>
        </w:rPr>
        <w:t xml:space="preserve"> new event codes and location code revisions </w:t>
      </w:r>
      <w:r w:rsidR="003E396A" w:rsidRPr="00121ADB">
        <w:rPr>
          <w:color w:val="000000"/>
        </w:rPr>
        <w:t xml:space="preserve">into equipment yet to be manufactured or sold, and make necessary software upgrades available to EAS Participants </w:t>
      </w:r>
      <w:r w:rsidR="003E396A" w:rsidRPr="008068A1">
        <w:t>no later than six months from the effective date of any rules adopted as a result of th</w:t>
      </w:r>
      <w:r>
        <w:t xml:space="preserve">e </w:t>
      </w:r>
      <w:r w:rsidRPr="00121ADB">
        <w:rPr>
          <w:i/>
        </w:rPr>
        <w:t>NWS NPRM</w:t>
      </w:r>
      <w:r w:rsidR="003E396A" w:rsidRPr="008068A1">
        <w:t>.</w:t>
      </w:r>
      <w:r w:rsidR="003E396A" w:rsidRPr="008068A1">
        <w:rPr>
          <w:vertAlign w:val="superscript"/>
        </w:rPr>
        <w:footnoteReference w:id="85"/>
      </w:r>
      <w:r w:rsidR="003E396A" w:rsidRPr="008068A1">
        <w:t xml:space="preserve">  We also </w:t>
      </w:r>
      <w:r>
        <w:t xml:space="preserve">indicated that we </w:t>
      </w:r>
      <w:r w:rsidR="003E396A" w:rsidRPr="008068A1">
        <w:t>would encourage State Emergency Coordination Committees (SECCs) to update their state and local EAS plans and to take any other steps necessary to ensure the smooth implementation of these new codes within their states (</w:t>
      </w:r>
      <w:r w:rsidR="003E396A" w:rsidRPr="00121ADB">
        <w:rPr>
          <w:i/>
        </w:rPr>
        <w:t>e.g.</w:t>
      </w:r>
      <w:r w:rsidR="003E396A" w:rsidRPr="008068A1">
        <w:t>, by encouraging key sources which relay EAS messages to obtain the upgrades promptly).</w:t>
      </w:r>
      <w:r w:rsidR="003E396A" w:rsidRPr="008068A1">
        <w:rPr>
          <w:rStyle w:val="FootnoteReference"/>
          <w:sz w:val="22"/>
          <w:szCs w:val="22"/>
        </w:rPr>
        <w:footnoteReference w:id="86"/>
      </w:r>
      <w:r w:rsidR="003E396A" w:rsidRPr="008068A1">
        <w:t xml:space="preserve">  W</w:t>
      </w:r>
      <w:r>
        <w:t xml:space="preserve">e asked whether </w:t>
      </w:r>
      <w:r w:rsidR="003E396A" w:rsidRPr="008068A1">
        <w:t xml:space="preserve">these measures </w:t>
      </w:r>
      <w:r w:rsidR="00F20903">
        <w:t xml:space="preserve">would </w:t>
      </w:r>
      <w:r w:rsidR="003E396A" w:rsidRPr="008068A1">
        <w:t>help ensure that all EAS Participants have the capability of updating their EAS equipment and of delivering alerts using these new codes to the public, such that the alert is successfully distributed throughout the EAS distribution relay chain</w:t>
      </w:r>
      <w:r>
        <w:t>.</w:t>
      </w:r>
      <w:r>
        <w:rPr>
          <w:rStyle w:val="FootnoteReference"/>
        </w:rPr>
        <w:footnoteReference w:id="87"/>
      </w:r>
      <w:r w:rsidR="003E396A" w:rsidRPr="008068A1">
        <w:t xml:space="preserve">  </w:t>
      </w:r>
      <w:r>
        <w:t xml:space="preserve">We also asked whether </w:t>
      </w:r>
      <w:r w:rsidR="003E396A" w:rsidRPr="008068A1">
        <w:t xml:space="preserve">it </w:t>
      </w:r>
      <w:r>
        <w:t xml:space="preserve">would </w:t>
      </w:r>
      <w:r w:rsidR="003E396A" w:rsidRPr="008068A1">
        <w:t>be helpful if, for an interim transitional period, NWS issued any alert that uses one of the new event codes concurrent with an alert that uses the current event code</w:t>
      </w:r>
      <w:r w:rsidR="00121ADB">
        <w:t>.</w:t>
      </w:r>
      <w:r w:rsidR="003E396A" w:rsidRPr="008068A1">
        <w:rPr>
          <w:rStyle w:val="FootnoteReference"/>
          <w:sz w:val="22"/>
          <w:szCs w:val="22"/>
        </w:rPr>
        <w:footnoteReference w:id="88"/>
      </w:r>
      <w:r w:rsidR="003E396A" w:rsidRPr="008068A1">
        <w:t xml:space="preserve">  W</w:t>
      </w:r>
      <w:r w:rsidR="00121ADB">
        <w:t xml:space="preserve">e asked whether it would be </w:t>
      </w:r>
      <w:r w:rsidR="003E396A" w:rsidRPr="008068A1">
        <w:t>reasonable to expect that all EAS Participants would voluntarily integrate the new codes within their systems no later than one year from the effective date of any such rules, such that one year would provide an adequate transition period for NWS to issue concurrent alerts</w:t>
      </w:r>
      <w:r w:rsidR="00121ADB">
        <w:t>.</w:t>
      </w:r>
      <w:r w:rsidR="00121ADB">
        <w:rPr>
          <w:rStyle w:val="FootnoteReference"/>
        </w:rPr>
        <w:footnoteReference w:id="89"/>
      </w:r>
      <w:r w:rsidR="003E396A" w:rsidRPr="008068A1">
        <w:t xml:space="preserve">  </w:t>
      </w:r>
      <w:r w:rsidR="00121ADB">
        <w:t>Finally, we indicated ou</w:t>
      </w:r>
      <w:r w:rsidR="005D3BB3">
        <w:t>r</w:t>
      </w:r>
      <w:r w:rsidR="00121ADB">
        <w:t xml:space="preserve"> belief that </w:t>
      </w:r>
      <w:r w:rsidR="00200E6E" w:rsidRPr="008068A1">
        <w:t xml:space="preserve">enabling these codes </w:t>
      </w:r>
      <w:r w:rsidR="00121ADB">
        <w:t>with</w:t>
      </w:r>
      <w:r w:rsidR="00131D62" w:rsidRPr="008068A1">
        <w:t>in this timeframe</w:t>
      </w:r>
      <w:r w:rsidR="00200E6E" w:rsidRPr="008068A1">
        <w:t xml:space="preserve"> w</w:t>
      </w:r>
      <w:r w:rsidR="00121ADB">
        <w:t>ould</w:t>
      </w:r>
      <w:r w:rsidR="00200E6E" w:rsidRPr="008068A1">
        <w:t xml:space="preserve"> not unduly burden EAS Participants</w:t>
      </w:r>
      <w:r w:rsidR="00131D62" w:rsidRPr="008068A1">
        <w:t xml:space="preserve"> </w:t>
      </w:r>
      <w:r w:rsidR="00200E6E" w:rsidRPr="008068A1">
        <w:t>or EAS equipment manufacturers.</w:t>
      </w:r>
      <w:r w:rsidR="00A24EEF">
        <w:rPr>
          <w:rStyle w:val="FootnoteReference"/>
        </w:rPr>
        <w:footnoteReference w:id="90"/>
      </w:r>
      <w:r w:rsidR="00200E6E" w:rsidRPr="008068A1">
        <w:t xml:space="preserve">  </w:t>
      </w:r>
    </w:p>
    <w:p w14:paraId="090F8C80" w14:textId="6A2092C2" w:rsidR="00682595" w:rsidRDefault="009A3102" w:rsidP="00682595">
      <w:pPr>
        <w:pStyle w:val="ParaNum"/>
        <w:autoSpaceDE w:val="0"/>
        <w:autoSpaceDN w:val="0"/>
        <w:adjustRightInd w:val="0"/>
      </w:pPr>
      <w:r>
        <w:t xml:space="preserve">Commenters </w:t>
      </w:r>
      <w:r w:rsidR="00D96B8B">
        <w:t xml:space="preserve">generally agreed that EAS Participants could install the new codes within one year.  </w:t>
      </w:r>
      <w:r w:rsidR="00FD6ACE" w:rsidRPr="00FD6ACE">
        <w:t>AT&amp;T contended that “it would be reasonable to expect that EAS Participants [</w:t>
      </w:r>
      <w:r w:rsidR="00E63CD1">
        <w:t>would</w:t>
      </w:r>
      <w:r w:rsidR="00FD6ACE" w:rsidRPr="00FD6ACE">
        <w:t>] voluntarily integrate the new codes within their systems by one year from the effective date of any rules adopting new codes.”</w:t>
      </w:r>
      <w:r w:rsidR="00FD6ACE">
        <w:rPr>
          <w:rStyle w:val="FootnoteReference"/>
          <w:szCs w:val="24"/>
        </w:rPr>
        <w:footnoteReference w:id="91"/>
      </w:r>
      <w:r w:rsidR="00FD6ACE" w:rsidRPr="00682595">
        <w:rPr>
          <w:sz w:val="24"/>
          <w:szCs w:val="24"/>
        </w:rPr>
        <w:t xml:space="preserve">  </w:t>
      </w:r>
      <w:r w:rsidR="00FD6ACE" w:rsidRPr="00F86069">
        <w:t>NAB indicated that one year “should be enough time for most broadcasters to [implement the codes], assuming EAS equipment manufacturers are able to make the needed software upgrades available in a timely manner.”</w:t>
      </w:r>
      <w:r w:rsidR="00FD6ACE">
        <w:rPr>
          <w:rStyle w:val="FootnoteReference"/>
        </w:rPr>
        <w:footnoteReference w:id="92"/>
      </w:r>
      <w:r w:rsidR="00FD6ACE" w:rsidRPr="00F86069">
        <w:t xml:space="preserve">  </w:t>
      </w:r>
      <w:r w:rsidR="00FD6ACE" w:rsidRPr="00FD6ACE">
        <w:t xml:space="preserve">Cohen, Dippell and Everist, P.C., </w:t>
      </w:r>
      <w:r w:rsidR="00A24EEF">
        <w:t>however, cautioned</w:t>
      </w:r>
      <w:r w:rsidR="00FD6ACE" w:rsidRPr="00FD6ACE">
        <w:t xml:space="preserve"> that “depending on the distribution of the legacy equipment in the broadcast area</w:t>
      </w:r>
      <w:r w:rsidR="005D3BB3">
        <w:t>[, code installation]</w:t>
      </w:r>
      <w:r w:rsidR="00FD6ACE" w:rsidRPr="00FD6ACE">
        <w:t xml:space="preserve"> may require more than one year to implement throughout broadcast industry.”</w:t>
      </w:r>
      <w:r w:rsidR="00FD6ACE">
        <w:rPr>
          <w:rStyle w:val="FootnoteReference"/>
          <w:szCs w:val="24"/>
        </w:rPr>
        <w:footnoteReference w:id="93"/>
      </w:r>
      <w:r w:rsidR="00D96B8B">
        <w:t xml:space="preserve">  </w:t>
      </w:r>
      <w:r w:rsidR="00FD6ACE">
        <w:t>The Broadcast Warning Working Group (BWWG)</w:t>
      </w:r>
      <w:r w:rsidR="00FD6ACE" w:rsidRPr="00F86069">
        <w:t xml:space="preserve"> </w:t>
      </w:r>
      <w:r w:rsidR="00FD6ACE">
        <w:t>agreed with the 6-month timeline proposed for manufacturers, but recommend that “the Report and Order that will result from this Notice should specify a firm one-year timeline that would require EAS Participants to comply within that one-year period.”</w:t>
      </w:r>
      <w:r w:rsidR="00FD6ACE">
        <w:rPr>
          <w:rStyle w:val="FootnoteReference"/>
        </w:rPr>
        <w:footnoteReference w:id="94"/>
      </w:r>
      <w:r w:rsidR="00FD6ACE">
        <w:t xml:space="preserve">  </w:t>
      </w:r>
      <w:r w:rsidR="00682595">
        <w:t>Finally, two commenters, NAB and AT&amp;T, supported NWS issuing alerts using both the new codes and existing codes for some transitionary period while EAS Participants implement the new codes.</w:t>
      </w:r>
      <w:r w:rsidR="00682595">
        <w:rPr>
          <w:rStyle w:val="FootnoteReference"/>
        </w:rPr>
        <w:footnoteReference w:id="95"/>
      </w:r>
      <w:r w:rsidR="00682595">
        <w:t xml:space="preserve">    </w:t>
      </w:r>
    </w:p>
    <w:p w14:paraId="6CB5EA04" w14:textId="77777777" w:rsidR="00FD6ACE" w:rsidRPr="00682595" w:rsidRDefault="00682595" w:rsidP="00682595">
      <w:pPr>
        <w:pStyle w:val="ParaNum"/>
        <w:rPr>
          <w:rStyle w:val="FootnoteReference"/>
          <w:sz w:val="22"/>
          <w:vertAlign w:val="baseline"/>
        </w:rPr>
      </w:pPr>
      <w:r w:rsidRPr="00682595">
        <w:rPr>
          <w:i/>
        </w:rPr>
        <w:t>Decision</w:t>
      </w:r>
      <w:r>
        <w:t xml:space="preserve">.  </w:t>
      </w:r>
      <w:r w:rsidR="00FD6ACE" w:rsidRPr="00FD6ACE">
        <w:t xml:space="preserve">We believe that the prompt deployment of alerts using these new codes is consistent with the safety of the public in affected areas.  Accordingly, we </w:t>
      </w:r>
      <w:r w:rsidR="0034080F">
        <w:t>require</w:t>
      </w:r>
      <w:r>
        <w:t xml:space="preserve"> </w:t>
      </w:r>
      <w:r w:rsidR="00FD6ACE" w:rsidRPr="00FD6ACE">
        <w:t xml:space="preserve">EAS equipment manufacturers </w:t>
      </w:r>
      <w:r w:rsidR="0034080F">
        <w:t xml:space="preserve">to </w:t>
      </w:r>
      <w:r w:rsidR="00FD6ACE" w:rsidRPr="00FD6ACE">
        <w:t xml:space="preserve">integrate these codes into equipment yet to be manufactured or sold, and make necessary software upgrades available to EAS Participants no later than six months from the effective date of </w:t>
      </w:r>
      <w:r w:rsidR="0034080F">
        <w:t>the</w:t>
      </w:r>
      <w:r w:rsidR="00FD6ACE" w:rsidRPr="00FD6ACE">
        <w:t xml:space="preserve"> rule</w:t>
      </w:r>
      <w:r w:rsidR="0034080F">
        <w:t xml:space="preserve"> amendments</w:t>
      </w:r>
      <w:r w:rsidR="00FD6ACE" w:rsidRPr="00FD6ACE">
        <w:t xml:space="preserve"> adopted </w:t>
      </w:r>
      <w:r w:rsidR="0034080F">
        <w:t>in this order</w:t>
      </w:r>
      <w:r w:rsidR="00FD6ACE" w:rsidRPr="00FD6ACE">
        <w:t>.</w:t>
      </w:r>
      <w:r w:rsidR="00FD6ACE" w:rsidRPr="00FD6ACE">
        <w:rPr>
          <w:rStyle w:val="FootnoteReference"/>
        </w:rPr>
        <w:t xml:space="preserve"> </w:t>
      </w:r>
      <w:r w:rsidR="00D277FE">
        <w:rPr>
          <w:rStyle w:val="FootnoteReference"/>
        </w:rPr>
        <w:t xml:space="preserve"> </w:t>
      </w:r>
      <w:r w:rsidR="00453ECC">
        <w:rPr>
          <w:rStyle w:val="FootnoteReference"/>
        </w:rPr>
        <w:t xml:space="preserve"> </w:t>
      </w:r>
      <w:r w:rsidR="00FD6ACE" w:rsidRPr="00FD6ACE">
        <w:t xml:space="preserve">We </w:t>
      </w:r>
      <w:r w:rsidR="00453ECC">
        <w:t xml:space="preserve">observe that </w:t>
      </w:r>
      <w:r w:rsidR="00360BBE">
        <w:t>EAS equipment manufacturers already have confirmed that these code changes can be implemented fairly easily in the field, and no manufacturer has indicated that implementing such changes on the production line would present any difficulties or require any more time than six months.</w:t>
      </w:r>
      <w:r w:rsidR="00360BBE">
        <w:rPr>
          <w:rStyle w:val="FootnoteReference"/>
        </w:rPr>
        <w:footnoteReference w:id="96"/>
      </w:r>
      <w:r w:rsidR="00360BBE">
        <w:t xml:space="preserve">  We </w:t>
      </w:r>
      <w:r w:rsidR="00FD6ACE" w:rsidRPr="00FD6ACE">
        <w:t xml:space="preserve">also </w:t>
      </w:r>
      <w:r w:rsidR="0034080F">
        <w:t xml:space="preserve">allow </w:t>
      </w:r>
      <w:r w:rsidR="00FD6ACE" w:rsidRPr="00FD6ACE">
        <w:t>EAS Participants to upgrade their existing EAS equipment to include the new event and location code</w:t>
      </w:r>
      <w:r w:rsidR="0034080F">
        <w:t xml:space="preserve"> revision</w:t>
      </w:r>
      <w:r w:rsidR="00FD6ACE" w:rsidRPr="00FD6ACE">
        <w:t>s on a voluntary basis until their equipment is replace</w:t>
      </w:r>
      <w:r w:rsidR="00FD6ACE">
        <w:t>d.</w:t>
      </w:r>
      <w:r w:rsidR="00D277FE">
        <w:t xml:space="preserve">  We observe that this approach is the same approach taken by the Commission the only other time that </w:t>
      </w:r>
      <w:r w:rsidR="00360BBE">
        <w:t xml:space="preserve">it adopted </w:t>
      </w:r>
      <w:r w:rsidR="00D277FE">
        <w:t>new event and location codes, and the record does not indicate that any problems arose as a result of that approach.</w:t>
      </w:r>
      <w:r w:rsidR="00D277FE">
        <w:rPr>
          <w:rStyle w:val="FootnoteReference"/>
        </w:rPr>
        <w:footnoteReference w:id="97"/>
      </w:r>
      <w:r w:rsidR="00D277FE">
        <w:t xml:space="preserve">  </w:t>
      </w:r>
    </w:p>
    <w:p w14:paraId="24E104D3" w14:textId="77777777" w:rsidR="00C51888" w:rsidRDefault="00944655" w:rsidP="00C51888">
      <w:pPr>
        <w:pStyle w:val="ParaNum"/>
        <w:rPr>
          <w:snapToGrid/>
        </w:rPr>
      </w:pPr>
      <w:r>
        <w:t>We will not mandate installation of these codes, as requested by BWWG.</w:t>
      </w:r>
      <w:r>
        <w:rPr>
          <w:rStyle w:val="FootnoteReference"/>
        </w:rPr>
        <w:footnoteReference w:id="98"/>
      </w:r>
      <w:r>
        <w:t xml:space="preserve">  </w:t>
      </w:r>
      <w:r w:rsidR="00453ECC">
        <w:t>First, the event codes and location code revisions adopted in this item are germane to only a relatively small subset of EAS Participants located in areas affected by hurricane high winds and storm surges.  We believe EAS Participants in these areas already are highly motivated to install and use these codes, as demonstrated by NWS’s surveys.</w:t>
      </w:r>
      <w:r w:rsidR="00453ECC">
        <w:rPr>
          <w:rStyle w:val="FootnoteReference"/>
        </w:rPr>
        <w:footnoteReference w:id="99"/>
      </w:r>
      <w:r w:rsidR="00453ECC">
        <w:t xml:space="preserve">  Second, </w:t>
      </w:r>
      <w:r w:rsidR="00360BBE">
        <w:t xml:space="preserve">as indicated, </w:t>
      </w:r>
      <w:r w:rsidR="00453ECC">
        <w:t>this approach is consistent with the approach taken by the Commission the only other time it adopted event and location codes, and that time the Commission adopted codes that were germane to all EAS Participants.</w:t>
      </w:r>
      <w:r w:rsidR="00453ECC">
        <w:rPr>
          <w:rStyle w:val="FootnoteReference"/>
        </w:rPr>
        <w:footnoteReference w:id="100"/>
      </w:r>
      <w:r w:rsidR="00453ECC">
        <w:t xml:space="preserve">  </w:t>
      </w:r>
      <w:r w:rsidR="00360BBE">
        <w:t xml:space="preserve">Third, the use </w:t>
      </w:r>
      <w:r w:rsidR="0000032A">
        <w:t xml:space="preserve">by EAS Participants </w:t>
      </w:r>
      <w:r w:rsidR="00360BBE">
        <w:t xml:space="preserve">of these codes, like all State and local event codes, is and has always been voluntary, and </w:t>
      </w:r>
      <w:r w:rsidR="0000032A">
        <w:t>no commenter ha</w:t>
      </w:r>
      <w:r w:rsidR="00A24EEF">
        <w:t>s</w:t>
      </w:r>
      <w:r w:rsidR="0000032A">
        <w:t xml:space="preserve"> presented any arguments as to why that should not continue to be the case.</w:t>
      </w:r>
      <w:r w:rsidR="0000032A">
        <w:rPr>
          <w:rStyle w:val="FootnoteReference"/>
        </w:rPr>
        <w:footnoteReference w:id="101"/>
      </w:r>
      <w:r w:rsidR="0000032A">
        <w:t xml:space="preserve">  </w:t>
      </w:r>
      <w:r w:rsidR="00C51888">
        <w:t xml:space="preserve">As the Commission observed in adopting essentially the same approach to implementing new event and location codes in the </w:t>
      </w:r>
      <w:r w:rsidR="00C51888" w:rsidRPr="00C51888">
        <w:rPr>
          <w:i/>
          <w:szCs w:val="22"/>
        </w:rPr>
        <w:t>2002 Report and Order</w:t>
      </w:r>
      <w:r w:rsidR="00C51888" w:rsidRPr="00C51888">
        <w:rPr>
          <w:szCs w:val="22"/>
        </w:rPr>
        <w:t xml:space="preserve">, </w:t>
      </w:r>
      <w:r w:rsidR="00C51888">
        <w:rPr>
          <w:szCs w:val="22"/>
        </w:rPr>
        <w:t>“</w:t>
      </w:r>
      <w:r w:rsidR="00C51888" w:rsidRPr="00C51888">
        <w:rPr>
          <w:snapToGrid/>
        </w:rPr>
        <w:t>it would be contrary to the voluntary nature of state and local EAS to mandate upgrades to existing EAS equipment to incorporate new optional event codes.</w:t>
      </w:r>
      <w:r w:rsidR="00C51888">
        <w:rPr>
          <w:snapToGrid/>
        </w:rPr>
        <w:t>”</w:t>
      </w:r>
      <w:r w:rsidR="00C51888">
        <w:rPr>
          <w:rStyle w:val="FootnoteReference"/>
          <w:snapToGrid/>
        </w:rPr>
        <w:footnoteReference w:id="102"/>
      </w:r>
    </w:p>
    <w:p w14:paraId="37C2BF80" w14:textId="272FB3A3" w:rsidR="00430D65" w:rsidRDefault="00430D65" w:rsidP="004751B3">
      <w:pPr>
        <w:pStyle w:val="ParaNum"/>
      </w:pPr>
      <w:r w:rsidRPr="00B612BC">
        <w:t>Although we are not mandating that</w:t>
      </w:r>
      <w:r>
        <w:t xml:space="preserve"> EAS</w:t>
      </w:r>
      <w:r w:rsidRPr="00B612BC">
        <w:t xml:space="preserve"> </w:t>
      </w:r>
      <w:r>
        <w:t xml:space="preserve">Participants </w:t>
      </w:r>
      <w:r w:rsidRPr="00B612BC">
        <w:t>upgrade their existing EAS equipment to incorporate the new event codes</w:t>
      </w:r>
      <w:r>
        <w:t xml:space="preserve"> and location code revisions, </w:t>
      </w:r>
      <w:r w:rsidRPr="00B612BC">
        <w:t xml:space="preserve">we will require </w:t>
      </w:r>
      <w:r>
        <w:t>EAS</w:t>
      </w:r>
      <w:r w:rsidRPr="00B612BC">
        <w:t xml:space="preserve"> </w:t>
      </w:r>
      <w:r>
        <w:t>Participants who r</w:t>
      </w:r>
      <w:r w:rsidRPr="00B612BC">
        <w:t xml:space="preserve">eplace their EAS equipment after </w:t>
      </w:r>
      <w:r>
        <w:t xml:space="preserve">one year from the effective date of this Order </w:t>
      </w:r>
      <w:r w:rsidRPr="00B612BC">
        <w:t>to install EAS equipment that is capable of receiving and transmitting the new event codes</w:t>
      </w:r>
      <w:r>
        <w:t xml:space="preserve"> and revised location codes</w:t>
      </w:r>
      <w:r w:rsidRPr="00B612BC">
        <w:t xml:space="preserve">. </w:t>
      </w:r>
      <w:r>
        <w:t xml:space="preserve"> </w:t>
      </w:r>
      <w:r w:rsidRPr="00B612BC">
        <w:t xml:space="preserve">Thus, after </w:t>
      </w:r>
      <w:r>
        <w:t>this deadline, EAS</w:t>
      </w:r>
      <w:r w:rsidRPr="00B612BC">
        <w:t xml:space="preserve"> </w:t>
      </w:r>
      <w:r>
        <w:t xml:space="preserve">Participants </w:t>
      </w:r>
      <w:r w:rsidRPr="00B612BC">
        <w:t xml:space="preserve">may not replace their existing EAS equipment with used equipment or older models of equipment that has not been upgraded to incorporate the new codes. </w:t>
      </w:r>
      <w:r>
        <w:t xml:space="preserve"> </w:t>
      </w:r>
      <w:r w:rsidRPr="00B612BC">
        <w:t xml:space="preserve">This will ensure that all </w:t>
      </w:r>
      <w:r>
        <w:t>EAS</w:t>
      </w:r>
      <w:r w:rsidRPr="00B612BC">
        <w:t xml:space="preserve"> </w:t>
      </w:r>
      <w:r>
        <w:t xml:space="preserve">Participants </w:t>
      </w:r>
      <w:r w:rsidRPr="00B612BC">
        <w:t>have the capability to receive and transmit the new codes when their EAS equipment is replaced.</w:t>
      </w:r>
      <w:r>
        <w:t xml:space="preserve">  We observe that this approach is consistent with that taken by the Commission in the </w:t>
      </w:r>
      <w:r w:rsidRPr="00C955BC">
        <w:rPr>
          <w:i/>
        </w:rPr>
        <w:t>2002 Report and Order</w:t>
      </w:r>
      <w:r>
        <w:t>, and allows for a transition of deployed equipment that mirrors ordinary equipment replacement cycles for those EAS Participants that do not have an immediate need to install the new codes.</w:t>
      </w:r>
      <w:r>
        <w:rPr>
          <w:rStyle w:val="FootnoteReference"/>
        </w:rPr>
        <w:footnoteReference w:id="103"/>
      </w:r>
      <w:r>
        <w:t xml:space="preserve">  </w:t>
      </w:r>
    </w:p>
    <w:p w14:paraId="46987D1F" w14:textId="21B02558" w:rsidR="009A3102" w:rsidRPr="008068A1" w:rsidRDefault="00D61B4D" w:rsidP="00725962">
      <w:pPr>
        <w:pStyle w:val="ParaNum"/>
      </w:pPr>
      <w:r>
        <w:t>W</w:t>
      </w:r>
      <w:r w:rsidR="00782967">
        <w:t xml:space="preserve">ith respect to transitioning to the new codes, </w:t>
      </w:r>
      <w:r>
        <w:t xml:space="preserve">NWS has indicated that it will not initiate alerts using any </w:t>
      </w:r>
      <w:r w:rsidR="00C525DF">
        <w:t xml:space="preserve">of the proposed codes until the 2017 </w:t>
      </w:r>
      <w:r w:rsidR="00725962">
        <w:t>Atlantic H</w:t>
      </w:r>
      <w:r w:rsidR="00C525DF">
        <w:t>urricane season.</w:t>
      </w:r>
      <w:r w:rsidR="00C525DF">
        <w:rPr>
          <w:rStyle w:val="FootnoteReference"/>
        </w:rPr>
        <w:footnoteReference w:id="104"/>
      </w:r>
      <w:r w:rsidR="007707A0">
        <w:t xml:space="preserve">  The NWS states that </w:t>
      </w:r>
      <w:r>
        <w:t xml:space="preserve">focusing on the 2017 </w:t>
      </w:r>
      <w:r w:rsidR="00215F60">
        <w:t>Atlantic H</w:t>
      </w:r>
      <w:r>
        <w:t xml:space="preserve">urricane season will allow the NWS to deploy the codes </w:t>
      </w:r>
      <w:r w:rsidR="002229EB">
        <w:t>in a uniform manner</w:t>
      </w:r>
      <w:r w:rsidR="00763965">
        <w:t>,</w:t>
      </w:r>
      <w:r w:rsidR="002229EB">
        <w:t xml:space="preserve"> and </w:t>
      </w:r>
      <w:r w:rsidR="00763965">
        <w:t xml:space="preserve">will allow for </w:t>
      </w:r>
      <w:r>
        <w:t>an extensive public outreach program.</w:t>
      </w:r>
      <w:r>
        <w:rPr>
          <w:rStyle w:val="FootnoteReference"/>
        </w:rPr>
        <w:footnoteReference w:id="105"/>
      </w:r>
      <w:r>
        <w:t xml:space="preserve">  </w:t>
      </w:r>
      <w:r w:rsidR="002229EB">
        <w:t>The 2017</w:t>
      </w:r>
      <w:r w:rsidR="00725962">
        <w:t xml:space="preserve"> Atlantic Hurricane season </w:t>
      </w:r>
      <w:r w:rsidR="002229EB">
        <w:t xml:space="preserve">falls well outside of the </w:t>
      </w:r>
      <w:r w:rsidR="002406BA">
        <w:t xml:space="preserve">six month </w:t>
      </w:r>
      <w:r w:rsidR="002229EB">
        <w:t>deadline we adopt today for equipment</w:t>
      </w:r>
      <w:r w:rsidR="002406BA" w:rsidRPr="002406BA">
        <w:t xml:space="preserve"> yet to be manufactured or sold</w:t>
      </w:r>
      <w:r w:rsidR="002406BA">
        <w:t xml:space="preserve"> </w:t>
      </w:r>
      <w:r w:rsidR="002406BA" w:rsidRPr="002406BA">
        <w:t xml:space="preserve">and </w:t>
      </w:r>
      <w:r w:rsidR="002406BA">
        <w:t xml:space="preserve">the one year deadline we </w:t>
      </w:r>
      <w:r w:rsidR="002406BA" w:rsidRPr="002406BA">
        <w:t xml:space="preserve">require </w:t>
      </w:r>
      <w:r w:rsidR="002406BA">
        <w:t>for</w:t>
      </w:r>
      <w:r w:rsidR="00FF5E0D">
        <w:t xml:space="preserve"> EAS Participants </w:t>
      </w:r>
      <w:r w:rsidR="002406BA" w:rsidRPr="002406BA">
        <w:t>who replace their EAS</w:t>
      </w:r>
      <w:r w:rsidR="00FF5E0D">
        <w:t xml:space="preserve"> equipment</w:t>
      </w:r>
      <w:r w:rsidR="00215F60">
        <w:t>.  T</w:t>
      </w:r>
      <w:r w:rsidR="00827605">
        <w:t>hus</w:t>
      </w:r>
      <w:r w:rsidR="00215F60">
        <w:t>,</w:t>
      </w:r>
      <w:r w:rsidR="00827605">
        <w:t xml:space="preserve"> </w:t>
      </w:r>
      <w:r w:rsidR="00725962" w:rsidRPr="00725962">
        <w:t xml:space="preserve">EAS Participants </w:t>
      </w:r>
      <w:r w:rsidR="00827605">
        <w:t xml:space="preserve">will have sufficient time </w:t>
      </w:r>
      <w:r w:rsidR="00725962" w:rsidRPr="00725962">
        <w:t xml:space="preserve">to install the codes or purchase compliant equipment in time for </w:t>
      </w:r>
      <w:r w:rsidR="00827605">
        <w:t xml:space="preserve">the NWS actual adoption of the codes.  </w:t>
      </w:r>
      <w:r w:rsidR="00597C3A">
        <w:t>Because</w:t>
      </w:r>
      <w:r w:rsidR="002406BA">
        <w:t xml:space="preserve"> the NWS implementation dates for the proposed codes fall outside of our deadlines, and </w:t>
      </w:r>
      <w:r w:rsidR="00762C3F">
        <w:t xml:space="preserve">because </w:t>
      </w:r>
      <w:r w:rsidR="002406BA">
        <w:t xml:space="preserve">the NWS will only deploy the codes after an extensive education and outreach program, we believe that the NWS will be able to deliver the appropriate alerts to all recipients without the need for any transition period where it issues alerts using both codes.  </w:t>
      </w:r>
      <w:r w:rsidR="007B08E3">
        <w:t>We also believe that the deadlines we adopt today are consistent with the NWS schedule, as any extra time between our deadline and the NWS</w:t>
      </w:r>
      <w:r w:rsidR="00202ABE">
        <w:t>’s</w:t>
      </w:r>
      <w:r w:rsidR="007B08E3">
        <w:t xml:space="preserve"> actual use of the codes in an alert will allow EAS equipment manufacturers and EAS Participants time to resolve any technical issues that may arise.</w:t>
      </w:r>
    </w:p>
    <w:p w14:paraId="1A0FB059" w14:textId="77777777" w:rsidR="002F46A3" w:rsidRPr="008068A1" w:rsidRDefault="002F46A3" w:rsidP="00B12809">
      <w:pPr>
        <w:pStyle w:val="Heading1"/>
      </w:pPr>
      <w:bookmarkStart w:id="17" w:name="_Toc411452591"/>
      <w:bookmarkStart w:id="18" w:name="_Toc415747816"/>
      <w:r w:rsidRPr="008068A1">
        <w:t>PROCEDURAL MATTERS</w:t>
      </w:r>
      <w:bookmarkEnd w:id="17"/>
      <w:bookmarkEnd w:id="18"/>
    </w:p>
    <w:p w14:paraId="66ECF84F" w14:textId="77777777" w:rsidR="00EA3FAD" w:rsidRPr="004B65E4" w:rsidRDefault="0034080F" w:rsidP="00B12809">
      <w:pPr>
        <w:pStyle w:val="Heading2"/>
      </w:pPr>
      <w:bookmarkStart w:id="19" w:name="_Toc411452472"/>
      <w:bookmarkStart w:id="20" w:name="_Toc411452593"/>
      <w:bookmarkStart w:id="21" w:name="_Toc415747818"/>
      <w:r>
        <w:t>Accessible Formats</w:t>
      </w:r>
      <w:bookmarkEnd w:id="19"/>
      <w:bookmarkEnd w:id="20"/>
      <w:bookmarkEnd w:id="21"/>
    </w:p>
    <w:p w14:paraId="2BFECE76" w14:textId="77777777" w:rsidR="0034080F" w:rsidRDefault="0034080F" w:rsidP="00B12809">
      <w:pPr>
        <w:pStyle w:val="ParaNum"/>
      </w:pPr>
      <w:r w:rsidRPr="007F6264">
        <w:t>To request materials in accessible formats for people with disabilities (Braille, large print, electronic files, audio format), send an e-mail to fcc504@fcc.gov or call the Consumer &amp; Governme</w:t>
      </w:r>
      <w:r w:rsidRPr="00460C8F">
        <w:t>ntal Affairs Bureau at 202-418-0530 (voice), 202-418-0432 (TTY).</w:t>
      </w:r>
    </w:p>
    <w:p w14:paraId="69433D96" w14:textId="77777777" w:rsidR="00EA3FAD" w:rsidRPr="004B65E4" w:rsidRDefault="00EA3FAD" w:rsidP="00B12809">
      <w:pPr>
        <w:pStyle w:val="Heading2"/>
      </w:pPr>
      <w:bookmarkStart w:id="22" w:name="_Toc411452474"/>
      <w:bookmarkStart w:id="23" w:name="_Toc411452595"/>
      <w:bookmarkStart w:id="24" w:name="_Toc415747820"/>
      <w:r w:rsidRPr="004B65E4">
        <w:t>Regulatory Flexibility Analysis</w:t>
      </w:r>
      <w:bookmarkEnd w:id="22"/>
      <w:bookmarkEnd w:id="23"/>
      <w:bookmarkEnd w:id="24"/>
    </w:p>
    <w:p w14:paraId="539E9096" w14:textId="77777777" w:rsidR="0034080F" w:rsidRPr="008068A1" w:rsidRDefault="0034080F" w:rsidP="00B12809">
      <w:pPr>
        <w:pStyle w:val="ParaNum"/>
      </w:pPr>
      <w:r w:rsidRPr="007F6264">
        <w:t>As required by the Regulatory Flexibility Act of 1980, see 5 U.S.C. § 603, the Commi</w:t>
      </w:r>
      <w:r>
        <w:t>ssion has prepared a Final Regulatory Flexibility Analysis (FRFA) of the possible significant economic impact on small entities of the policies and rules addressed in this document.  The FRFA is set forth in Appendix B.</w:t>
      </w:r>
    </w:p>
    <w:p w14:paraId="051DB651" w14:textId="77777777" w:rsidR="00EA3FAD" w:rsidRPr="004B65E4" w:rsidRDefault="00EA3FAD" w:rsidP="00B12809">
      <w:pPr>
        <w:pStyle w:val="Heading2"/>
      </w:pPr>
      <w:bookmarkStart w:id="25" w:name="_Toc411452475"/>
      <w:bookmarkStart w:id="26" w:name="_Toc411452596"/>
      <w:bookmarkStart w:id="27" w:name="_Toc415747821"/>
      <w:r w:rsidRPr="004B65E4">
        <w:t>Paperwork Reduction Analysis</w:t>
      </w:r>
      <w:bookmarkEnd w:id="25"/>
      <w:bookmarkEnd w:id="26"/>
      <w:bookmarkEnd w:id="27"/>
    </w:p>
    <w:p w14:paraId="5FE80383" w14:textId="77777777" w:rsidR="0034080F" w:rsidRDefault="00C9053F" w:rsidP="0034080F">
      <w:pPr>
        <w:pStyle w:val="ParaNum"/>
      </w:pPr>
      <w:r w:rsidRPr="008068A1">
        <w:t xml:space="preserve">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8068A1">
        <w:rPr>
          <w:i/>
          <w:iCs/>
        </w:rPr>
        <w:t>see</w:t>
      </w:r>
      <w:r w:rsidRPr="008068A1">
        <w:t xml:space="preserve"> 44 U.S.C. 3506(c)(4).</w:t>
      </w:r>
    </w:p>
    <w:p w14:paraId="62DB9A5F" w14:textId="77777777" w:rsidR="0034080F" w:rsidRDefault="0034080F" w:rsidP="0034080F">
      <w:pPr>
        <w:pStyle w:val="Heading2"/>
      </w:pPr>
      <w:bookmarkStart w:id="28" w:name="_Toc405557612"/>
      <w:bookmarkStart w:id="29" w:name="_Toc405557722"/>
      <w:bookmarkStart w:id="30" w:name="_Toc405557988"/>
      <w:bookmarkStart w:id="31" w:name="_Toc405558268"/>
      <w:bookmarkStart w:id="32" w:name="_Toc405558644"/>
      <w:r>
        <w:t>Congressional Review Act</w:t>
      </w:r>
      <w:bookmarkEnd w:id="28"/>
      <w:bookmarkEnd w:id="29"/>
      <w:bookmarkEnd w:id="30"/>
      <w:bookmarkEnd w:id="31"/>
      <w:bookmarkEnd w:id="32"/>
    </w:p>
    <w:p w14:paraId="1DBE09ED" w14:textId="77777777" w:rsidR="0034080F" w:rsidRPr="008068A1" w:rsidRDefault="0034080F" w:rsidP="0034080F">
      <w:pPr>
        <w:pStyle w:val="ParaNum"/>
      </w:pPr>
      <w:r w:rsidRPr="007F6264">
        <w:t xml:space="preserve">The Commission will send a copy of this </w:t>
      </w:r>
      <w:r>
        <w:t>Order to Congress and the Government Accountability Office pursuant to the Congressional Review Act (“CRA”), see 5 U.S.C. § 801(a)(1)(A).</w:t>
      </w:r>
    </w:p>
    <w:p w14:paraId="1E8F93A7" w14:textId="77777777" w:rsidR="00EA3FAD" w:rsidRPr="008068A1" w:rsidRDefault="00EA3FAD" w:rsidP="00B12809">
      <w:pPr>
        <w:pStyle w:val="Heading1"/>
      </w:pPr>
      <w:bookmarkStart w:id="33" w:name="_Toc411452597"/>
      <w:bookmarkStart w:id="34" w:name="_Toc415747822"/>
      <w:r w:rsidRPr="008068A1">
        <w:t>ORDERING CLAUSES</w:t>
      </w:r>
      <w:bookmarkEnd w:id="33"/>
      <w:bookmarkEnd w:id="34"/>
    </w:p>
    <w:p w14:paraId="05203D3F" w14:textId="77777777" w:rsidR="00EA3FAD" w:rsidRDefault="00EA3FAD" w:rsidP="00B12809">
      <w:pPr>
        <w:pStyle w:val="ParaNum"/>
      </w:pPr>
      <w:r w:rsidRPr="008068A1">
        <w:t>Accordingly, IT IS ORDERED that pursuant to Sections 1, 2, 4(i), 4(o), 301, 303(r), 303(v), 307, 309, 335, 403, 624(g),</w:t>
      </w:r>
      <w:r w:rsidR="00696BCD" w:rsidRPr="008068A1">
        <w:t xml:space="preserve"> </w:t>
      </w:r>
      <w:r w:rsidRPr="008068A1">
        <w:t xml:space="preserve">706, and 715 of the Communications Act of 1934, as amended, 47 U.S.C. §§ 151, 152, 154(i), 154(o), 301, 303(r), 303(v), 307, 309, 335, 403, 544(g), 606, and 615, this </w:t>
      </w:r>
      <w:r w:rsidR="0034080F">
        <w:t>Order</w:t>
      </w:r>
      <w:r w:rsidRPr="008068A1">
        <w:t xml:space="preserve"> IS ADOPTED.</w:t>
      </w:r>
    </w:p>
    <w:p w14:paraId="01A6BFFE" w14:textId="52C49FC7" w:rsidR="00BE49BA" w:rsidRPr="008068A1" w:rsidRDefault="00BE49BA" w:rsidP="00D659F3">
      <w:pPr>
        <w:pStyle w:val="ParaNum"/>
        <w:widowControl/>
      </w:pPr>
      <w:r>
        <w:t>IT IS FURTHER ORDERED that Part 11 of the Commission’s rules, 47 CFR Part 11, IS AMENDED as set forth in Appendix A, and such rule amendments shall be effective thirty (30) days after publication of the rule amendments in the Federal Register.</w:t>
      </w:r>
    </w:p>
    <w:p w14:paraId="40DA499E" w14:textId="77777777" w:rsidR="00EA3FAD" w:rsidRPr="008068A1" w:rsidRDefault="00EA3FAD" w:rsidP="00B12809">
      <w:pPr>
        <w:pStyle w:val="ParaNum"/>
      </w:pPr>
      <w:r w:rsidRPr="008068A1">
        <w:t>IT IS FURTHER ORDERED that the Commission’s Consumer and Governmental Affairs Bureau, Reference Information Center, SHALL SEND a copy of this</w:t>
      </w:r>
      <w:r w:rsidR="0034080F">
        <w:t xml:space="preserve"> Order,</w:t>
      </w:r>
      <w:r w:rsidRPr="008068A1">
        <w:t xml:space="preserve"> including the Regulatory Flexibility Analysis, to the Chief Counsel for Advocacy of the Small Business Administration.</w:t>
      </w:r>
    </w:p>
    <w:p w14:paraId="114700ED" w14:textId="77777777" w:rsidR="002F46A3" w:rsidRPr="008068A1" w:rsidRDefault="002F46A3" w:rsidP="00F56F1B">
      <w:r w:rsidRPr="008068A1">
        <w:tab/>
      </w:r>
      <w:r w:rsidRPr="008068A1">
        <w:tab/>
      </w:r>
      <w:r w:rsidRPr="008068A1">
        <w:tab/>
      </w:r>
      <w:r w:rsidRPr="008068A1">
        <w:tab/>
      </w:r>
      <w:r w:rsidRPr="008068A1">
        <w:tab/>
      </w:r>
      <w:r w:rsidRPr="008068A1">
        <w:tab/>
        <w:t>FEDERAL COMMUNICATIONS COMMISSION</w:t>
      </w:r>
    </w:p>
    <w:p w14:paraId="6BFB455C" w14:textId="77777777" w:rsidR="002F46A3" w:rsidRDefault="002F46A3" w:rsidP="00F56F1B"/>
    <w:p w14:paraId="21A0BC48" w14:textId="77777777" w:rsidR="00B12809" w:rsidRPr="008068A1" w:rsidRDefault="00B12809" w:rsidP="00F56F1B"/>
    <w:p w14:paraId="2E63D22D" w14:textId="77777777" w:rsidR="002F46A3" w:rsidRPr="008068A1" w:rsidRDefault="002F46A3" w:rsidP="00F56F1B"/>
    <w:p w14:paraId="4682CEC8" w14:textId="77777777" w:rsidR="002F46A3" w:rsidRPr="008068A1" w:rsidRDefault="002F46A3" w:rsidP="00F56F1B"/>
    <w:p w14:paraId="23439E9B" w14:textId="77777777" w:rsidR="002F46A3" w:rsidRPr="008068A1" w:rsidRDefault="002F46A3" w:rsidP="00F56F1B">
      <w:r w:rsidRPr="008068A1">
        <w:tab/>
      </w:r>
      <w:r w:rsidRPr="008068A1">
        <w:tab/>
      </w:r>
      <w:r w:rsidRPr="008068A1">
        <w:tab/>
      </w:r>
      <w:r w:rsidRPr="008068A1">
        <w:tab/>
      </w:r>
      <w:r w:rsidRPr="008068A1">
        <w:tab/>
      </w:r>
      <w:r w:rsidRPr="008068A1">
        <w:tab/>
        <w:t>Marlene H. Dortch</w:t>
      </w:r>
    </w:p>
    <w:p w14:paraId="3510B727" w14:textId="77777777" w:rsidR="00074F59" w:rsidRDefault="002F46A3" w:rsidP="00074F59">
      <w:pPr>
        <w:sectPr w:rsidR="00074F59" w:rsidSect="00E4161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547" w:gutter="0"/>
          <w:pgNumType w:start="1"/>
          <w:cols w:space="720"/>
          <w:noEndnote/>
          <w:titlePg/>
        </w:sectPr>
      </w:pPr>
      <w:r>
        <w:tab/>
      </w:r>
      <w:r>
        <w:tab/>
      </w:r>
      <w:r>
        <w:tab/>
      </w:r>
      <w:r>
        <w:tab/>
      </w:r>
      <w:r>
        <w:tab/>
      </w:r>
      <w:r>
        <w:tab/>
        <w:t>Secretary</w:t>
      </w:r>
    </w:p>
    <w:p w14:paraId="5D4F1182" w14:textId="77777777" w:rsidR="00685FE1" w:rsidRPr="008068A1" w:rsidRDefault="00685FE1" w:rsidP="00E91B7A">
      <w:pPr>
        <w:jc w:val="center"/>
        <w:rPr>
          <w:b/>
          <w:szCs w:val="22"/>
        </w:rPr>
      </w:pPr>
      <w:r w:rsidRPr="008068A1">
        <w:rPr>
          <w:b/>
          <w:szCs w:val="22"/>
        </w:rPr>
        <w:t>APPENDIX A</w:t>
      </w:r>
    </w:p>
    <w:p w14:paraId="3D5F86DD" w14:textId="77777777" w:rsidR="00685FE1" w:rsidRPr="008068A1" w:rsidRDefault="00685FE1" w:rsidP="00685FE1">
      <w:pPr>
        <w:jc w:val="center"/>
        <w:rPr>
          <w:b/>
          <w:szCs w:val="22"/>
        </w:rPr>
      </w:pPr>
    </w:p>
    <w:p w14:paraId="14C58F93" w14:textId="77777777" w:rsidR="00685FE1" w:rsidRPr="008068A1" w:rsidRDefault="00944655" w:rsidP="00685FE1">
      <w:pPr>
        <w:jc w:val="center"/>
        <w:rPr>
          <w:b/>
          <w:szCs w:val="22"/>
        </w:rPr>
      </w:pPr>
      <w:r>
        <w:rPr>
          <w:b/>
          <w:szCs w:val="22"/>
        </w:rPr>
        <w:t>Final</w:t>
      </w:r>
      <w:r w:rsidR="00636CB0" w:rsidRPr="008068A1">
        <w:rPr>
          <w:b/>
          <w:szCs w:val="22"/>
        </w:rPr>
        <w:t xml:space="preserve"> </w:t>
      </w:r>
      <w:r w:rsidR="00685FE1" w:rsidRPr="008068A1">
        <w:rPr>
          <w:b/>
          <w:szCs w:val="22"/>
        </w:rPr>
        <w:t>Rules</w:t>
      </w:r>
    </w:p>
    <w:p w14:paraId="7A21B238" w14:textId="77777777" w:rsidR="00685FE1" w:rsidRPr="008068A1" w:rsidRDefault="00685FE1" w:rsidP="00685FE1">
      <w:pPr>
        <w:jc w:val="center"/>
        <w:rPr>
          <w:b/>
          <w:szCs w:val="22"/>
        </w:rPr>
      </w:pPr>
    </w:p>
    <w:p w14:paraId="79BF1AE8" w14:textId="490F7C98" w:rsidR="00685FE1" w:rsidRPr="008068A1" w:rsidRDefault="00685FE1" w:rsidP="00685FE1">
      <w:pPr>
        <w:rPr>
          <w:szCs w:val="22"/>
        </w:rPr>
      </w:pPr>
      <w:r w:rsidRPr="008068A1">
        <w:rPr>
          <w:szCs w:val="22"/>
        </w:rPr>
        <w:t xml:space="preserve">For the reasons discussed in the preamble, the Federal Communications Commission amends 47 C.F.R. Part 11 to read as follows: </w:t>
      </w:r>
    </w:p>
    <w:p w14:paraId="33782D32" w14:textId="77777777" w:rsidR="00685FE1" w:rsidRPr="008068A1" w:rsidRDefault="00685FE1" w:rsidP="00685FE1">
      <w:pPr>
        <w:rPr>
          <w:szCs w:val="22"/>
        </w:rPr>
      </w:pPr>
    </w:p>
    <w:p w14:paraId="246A94D5" w14:textId="77777777" w:rsidR="00685FE1" w:rsidRPr="008068A1" w:rsidRDefault="00685FE1" w:rsidP="00685FE1">
      <w:pPr>
        <w:spacing w:line="480" w:lineRule="auto"/>
        <w:rPr>
          <w:b/>
          <w:szCs w:val="22"/>
        </w:rPr>
      </w:pPr>
      <w:r w:rsidRPr="008068A1">
        <w:rPr>
          <w:b/>
          <w:szCs w:val="22"/>
        </w:rPr>
        <w:t>PART 11 – EMERGENCY ALERT SYSTEM (EAS)</w:t>
      </w:r>
    </w:p>
    <w:p w14:paraId="27DC75AA" w14:textId="77777777" w:rsidR="00685FE1" w:rsidRPr="008068A1" w:rsidRDefault="00685FE1" w:rsidP="00685FE1">
      <w:pPr>
        <w:spacing w:line="480" w:lineRule="auto"/>
        <w:rPr>
          <w:szCs w:val="22"/>
        </w:rPr>
      </w:pPr>
      <w:r w:rsidRPr="008068A1">
        <w:rPr>
          <w:szCs w:val="22"/>
        </w:rPr>
        <w:t>1.</w:t>
      </w:r>
      <w:r w:rsidRPr="008068A1">
        <w:rPr>
          <w:szCs w:val="22"/>
        </w:rPr>
        <w:tab/>
        <w:t xml:space="preserve">The authority citation for Part 11 continues to read as follows: </w:t>
      </w:r>
    </w:p>
    <w:p w14:paraId="4F9ABCC5" w14:textId="77777777" w:rsidR="00685FE1" w:rsidRPr="008068A1" w:rsidRDefault="00685FE1" w:rsidP="00685FE1">
      <w:pPr>
        <w:spacing w:line="480" w:lineRule="auto"/>
        <w:rPr>
          <w:szCs w:val="22"/>
        </w:rPr>
      </w:pPr>
      <w:r w:rsidRPr="008068A1">
        <w:rPr>
          <w:szCs w:val="22"/>
        </w:rPr>
        <w:t>Authority: 47 U.S.C. 151, 154 (i) and (o), 303(r), 544(g) and 606.</w:t>
      </w:r>
    </w:p>
    <w:p w14:paraId="7E48AC60" w14:textId="77777777" w:rsidR="00685FE1" w:rsidRPr="008068A1" w:rsidRDefault="00685FE1" w:rsidP="00685FE1">
      <w:pPr>
        <w:spacing w:line="480" w:lineRule="auto"/>
        <w:rPr>
          <w:szCs w:val="22"/>
        </w:rPr>
      </w:pPr>
      <w:bookmarkStart w:id="35" w:name="SP;8b3b0000958a4"/>
      <w:bookmarkStart w:id="36" w:name="IB81272A0EC9211DDB8ACB84BCC6CE36B"/>
      <w:bookmarkStart w:id="37" w:name="IB81001A2EC9211DDB8ACB84BCC6CE36B"/>
      <w:bookmarkEnd w:id="35"/>
      <w:bookmarkEnd w:id="36"/>
      <w:bookmarkEnd w:id="37"/>
      <w:r w:rsidRPr="008068A1">
        <w:rPr>
          <w:szCs w:val="22"/>
        </w:rPr>
        <w:t>2.</w:t>
      </w:r>
      <w:r w:rsidRPr="008068A1">
        <w:rPr>
          <w:szCs w:val="22"/>
        </w:rPr>
        <w:tab/>
        <w:t>Amend § 11.31 by revising paragraphs (</w:t>
      </w:r>
      <w:r w:rsidR="00EA684D" w:rsidRPr="008068A1">
        <w:rPr>
          <w:szCs w:val="22"/>
        </w:rPr>
        <w:t>e</w:t>
      </w:r>
      <w:r w:rsidRPr="008068A1">
        <w:rPr>
          <w:szCs w:val="22"/>
        </w:rPr>
        <w:t>) and (f) to read as follows:</w:t>
      </w:r>
    </w:p>
    <w:p w14:paraId="4509E4C6" w14:textId="77777777" w:rsidR="00685FE1" w:rsidRPr="008068A1" w:rsidRDefault="00685FE1" w:rsidP="00685FE1">
      <w:pPr>
        <w:spacing w:line="480" w:lineRule="auto"/>
        <w:rPr>
          <w:b/>
          <w:bCs/>
          <w:szCs w:val="22"/>
        </w:rPr>
      </w:pPr>
      <w:r w:rsidRPr="008068A1">
        <w:rPr>
          <w:b/>
          <w:bCs/>
          <w:szCs w:val="22"/>
          <w:u w:val="single"/>
        </w:rPr>
        <w:t>§ 11.31 EAS protocol</w:t>
      </w:r>
      <w:r w:rsidRPr="008068A1">
        <w:rPr>
          <w:b/>
          <w:bCs/>
          <w:szCs w:val="22"/>
        </w:rPr>
        <w:t>.</w:t>
      </w:r>
    </w:p>
    <w:p w14:paraId="279A4A2F" w14:textId="77777777" w:rsidR="00685FE1" w:rsidRPr="008068A1" w:rsidRDefault="00685FE1" w:rsidP="00685FE1">
      <w:pPr>
        <w:spacing w:line="480" w:lineRule="auto"/>
        <w:rPr>
          <w:szCs w:val="22"/>
        </w:rPr>
      </w:pPr>
      <w:r w:rsidRPr="008068A1">
        <w:rPr>
          <w:szCs w:val="22"/>
        </w:rPr>
        <w:t xml:space="preserve">* * * * * </w:t>
      </w:r>
    </w:p>
    <w:p w14:paraId="651CC723" w14:textId="77777777" w:rsidR="00685FE1" w:rsidRPr="008068A1" w:rsidRDefault="00685FE1" w:rsidP="00685FE1">
      <w:pPr>
        <w:spacing w:line="480" w:lineRule="auto"/>
        <w:rPr>
          <w:szCs w:val="22"/>
        </w:rPr>
      </w:pPr>
      <w:r w:rsidRPr="008068A1">
        <w:rPr>
          <w:szCs w:val="22"/>
        </w:rPr>
        <w:t>(e) The following Event (EEE) codes are presently authorized: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7376"/>
        <w:gridCol w:w="2014"/>
      </w:tblGrid>
      <w:tr w:rsidR="00685FE1" w:rsidRPr="008068A1" w14:paraId="3FE6DEC7"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1C10704B" w14:textId="77777777" w:rsidR="00685FE1" w:rsidRPr="008068A1" w:rsidRDefault="00685FE1" w:rsidP="009F4B10">
            <w:pPr>
              <w:spacing w:line="480" w:lineRule="auto"/>
              <w:rPr>
                <w:b/>
                <w:bCs/>
                <w:szCs w:val="22"/>
              </w:rPr>
            </w:pPr>
            <w:r w:rsidRPr="008068A1">
              <w:rPr>
                <w:b/>
                <w:bCs/>
                <w:szCs w:val="22"/>
              </w:rPr>
              <w:t>Nature of activation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DB0BA46" w14:textId="77777777" w:rsidR="00685FE1" w:rsidRPr="008068A1" w:rsidRDefault="00685FE1" w:rsidP="009F4B10">
            <w:pPr>
              <w:spacing w:line="480" w:lineRule="auto"/>
              <w:rPr>
                <w:b/>
                <w:bCs/>
                <w:szCs w:val="22"/>
              </w:rPr>
            </w:pPr>
            <w:r w:rsidRPr="008068A1">
              <w:rPr>
                <w:b/>
                <w:bCs/>
                <w:szCs w:val="22"/>
              </w:rPr>
              <w:t>Event codes</w:t>
            </w:r>
          </w:p>
        </w:tc>
      </w:tr>
      <w:tr w:rsidR="00685FE1" w:rsidRPr="008068A1" w14:paraId="2E10D590"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6FD5FD9" w14:textId="77777777" w:rsidR="00685FE1" w:rsidRPr="008068A1" w:rsidRDefault="00685FE1" w:rsidP="009F4B10">
            <w:pPr>
              <w:spacing w:line="480" w:lineRule="auto"/>
              <w:rPr>
                <w:szCs w:val="22"/>
              </w:rPr>
            </w:pPr>
            <w:r w:rsidRPr="008068A1">
              <w:rPr>
                <w:szCs w:val="22"/>
              </w:rPr>
              <w:t>National Codes (Required):</w:t>
            </w:r>
          </w:p>
        </w:tc>
        <w:tc>
          <w:tcPr>
            <w:tcW w:w="0" w:type="auto"/>
            <w:tcBorders>
              <w:top w:val="single" w:sz="6" w:space="0" w:color="000000"/>
              <w:left w:val="single" w:sz="6" w:space="0" w:color="000000"/>
              <w:bottom w:val="single" w:sz="6" w:space="0" w:color="000000"/>
              <w:right w:val="single" w:sz="6" w:space="0" w:color="000000"/>
            </w:tcBorders>
            <w:hideMark/>
          </w:tcPr>
          <w:p w14:paraId="1152BC5C" w14:textId="77777777" w:rsidR="00685FE1" w:rsidRPr="008068A1" w:rsidRDefault="00685FE1" w:rsidP="009F4B10">
            <w:pPr>
              <w:spacing w:line="480" w:lineRule="auto"/>
              <w:rPr>
                <w:szCs w:val="22"/>
              </w:rPr>
            </w:pPr>
          </w:p>
        </w:tc>
      </w:tr>
      <w:tr w:rsidR="00685FE1" w:rsidRPr="008068A1" w14:paraId="6467CA5C"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6DDBB5F" w14:textId="77777777" w:rsidR="00685FE1" w:rsidRPr="008068A1" w:rsidRDefault="00685FE1" w:rsidP="009F4B10">
            <w:pPr>
              <w:spacing w:line="480" w:lineRule="auto"/>
              <w:rPr>
                <w:szCs w:val="22"/>
              </w:rPr>
            </w:pPr>
            <w:r w:rsidRPr="008068A1">
              <w:rPr>
                <w:szCs w:val="22"/>
              </w:rPr>
              <w:t>Emergency Action Notification (National only)</w:t>
            </w:r>
          </w:p>
        </w:tc>
        <w:tc>
          <w:tcPr>
            <w:tcW w:w="0" w:type="auto"/>
            <w:tcBorders>
              <w:top w:val="single" w:sz="6" w:space="0" w:color="000000"/>
              <w:left w:val="single" w:sz="6" w:space="0" w:color="000000"/>
              <w:bottom w:val="single" w:sz="6" w:space="0" w:color="000000"/>
              <w:right w:val="single" w:sz="6" w:space="0" w:color="000000"/>
            </w:tcBorders>
            <w:hideMark/>
          </w:tcPr>
          <w:p w14:paraId="1369FEFC" w14:textId="77777777" w:rsidR="00685FE1" w:rsidRPr="008068A1" w:rsidRDefault="00685FE1" w:rsidP="009F4B10">
            <w:pPr>
              <w:spacing w:line="480" w:lineRule="auto"/>
              <w:rPr>
                <w:szCs w:val="22"/>
              </w:rPr>
            </w:pPr>
            <w:r w:rsidRPr="008068A1">
              <w:rPr>
                <w:szCs w:val="22"/>
              </w:rPr>
              <w:t>EAN.</w:t>
            </w:r>
          </w:p>
        </w:tc>
      </w:tr>
      <w:tr w:rsidR="00685FE1" w:rsidRPr="008068A1" w14:paraId="36E260E3"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CCB09D4" w14:textId="77777777" w:rsidR="00685FE1" w:rsidRPr="008068A1" w:rsidRDefault="00685FE1" w:rsidP="009F4B10">
            <w:pPr>
              <w:spacing w:line="480" w:lineRule="auto"/>
              <w:rPr>
                <w:szCs w:val="22"/>
              </w:rPr>
            </w:pPr>
            <w:r w:rsidRPr="008068A1">
              <w:rPr>
                <w:szCs w:val="22"/>
              </w:rPr>
              <w:t>National Information Center</w:t>
            </w:r>
          </w:p>
        </w:tc>
        <w:tc>
          <w:tcPr>
            <w:tcW w:w="0" w:type="auto"/>
            <w:tcBorders>
              <w:top w:val="single" w:sz="6" w:space="0" w:color="000000"/>
              <w:left w:val="single" w:sz="6" w:space="0" w:color="000000"/>
              <w:bottom w:val="single" w:sz="6" w:space="0" w:color="000000"/>
              <w:right w:val="single" w:sz="6" w:space="0" w:color="000000"/>
            </w:tcBorders>
            <w:hideMark/>
          </w:tcPr>
          <w:p w14:paraId="14450520" w14:textId="77777777" w:rsidR="00685FE1" w:rsidRPr="008068A1" w:rsidRDefault="00685FE1" w:rsidP="009F4B10">
            <w:pPr>
              <w:spacing w:line="480" w:lineRule="auto"/>
              <w:rPr>
                <w:szCs w:val="22"/>
              </w:rPr>
            </w:pPr>
            <w:r w:rsidRPr="008068A1">
              <w:rPr>
                <w:szCs w:val="22"/>
              </w:rPr>
              <w:t>NIC</w:t>
            </w:r>
          </w:p>
        </w:tc>
      </w:tr>
      <w:tr w:rsidR="00685FE1" w:rsidRPr="008068A1" w14:paraId="57614987"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5ABAA26" w14:textId="77777777" w:rsidR="00685FE1" w:rsidRPr="008068A1" w:rsidRDefault="00685FE1" w:rsidP="009F4B10">
            <w:pPr>
              <w:spacing w:line="480" w:lineRule="auto"/>
              <w:rPr>
                <w:szCs w:val="22"/>
              </w:rPr>
            </w:pPr>
            <w:r w:rsidRPr="008068A1">
              <w:rPr>
                <w:szCs w:val="22"/>
              </w:rPr>
              <w:t>National Periodic Test</w:t>
            </w:r>
          </w:p>
        </w:tc>
        <w:tc>
          <w:tcPr>
            <w:tcW w:w="0" w:type="auto"/>
            <w:tcBorders>
              <w:top w:val="single" w:sz="6" w:space="0" w:color="000000"/>
              <w:left w:val="single" w:sz="6" w:space="0" w:color="000000"/>
              <w:bottom w:val="single" w:sz="6" w:space="0" w:color="000000"/>
              <w:right w:val="single" w:sz="6" w:space="0" w:color="000000"/>
            </w:tcBorders>
            <w:hideMark/>
          </w:tcPr>
          <w:p w14:paraId="45AB4ACC" w14:textId="77777777" w:rsidR="00685FE1" w:rsidRPr="008068A1" w:rsidRDefault="00685FE1" w:rsidP="009F4B10">
            <w:pPr>
              <w:spacing w:line="480" w:lineRule="auto"/>
              <w:rPr>
                <w:szCs w:val="22"/>
              </w:rPr>
            </w:pPr>
            <w:r w:rsidRPr="008068A1">
              <w:rPr>
                <w:szCs w:val="22"/>
              </w:rPr>
              <w:t>NPT.</w:t>
            </w:r>
          </w:p>
        </w:tc>
      </w:tr>
      <w:tr w:rsidR="00685FE1" w:rsidRPr="008068A1" w14:paraId="70AC1D61"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A4E9C94" w14:textId="77777777" w:rsidR="00685FE1" w:rsidRPr="008068A1" w:rsidRDefault="00685FE1" w:rsidP="009F4B10">
            <w:pPr>
              <w:spacing w:line="480" w:lineRule="auto"/>
              <w:rPr>
                <w:szCs w:val="22"/>
              </w:rPr>
            </w:pPr>
            <w:r w:rsidRPr="008068A1">
              <w:rPr>
                <w:szCs w:val="22"/>
              </w:rPr>
              <w:t>Required Monthly Test</w:t>
            </w:r>
          </w:p>
        </w:tc>
        <w:tc>
          <w:tcPr>
            <w:tcW w:w="0" w:type="auto"/>
            <w:tcBorders>
              <w:top w:val="single" w:sz="6" w:space="0" w:color="000000"/>
              <w:left w:val="single" w:sz="6" w:space="0" w:color="000000"/>
              <w:bottom w:val="single" w:sz="6" w:space="0" w:color="000000"/>
              <w:right w:val="single" w:sz="6" w:space="0" w:color="000000"/>
            </w:tcBorders>
            <w:hideMark/>
          </w:tcPr>
          <w:p w14:paraId="44D9C01E" w14:textId="77777777" w:rsidR="00685FE1" w:rsidRPr="008068A1" w:rsidRDefault="00685FE1" w:rsidP="009F4B10">
            <w:pPr>
              <w:spacing w:line="480" w:lineRule="auto"/>
              <w:rPr>
                <w:szCs w:val="22"/>
              </w:rPr>
            </w:pPr>
            <w:r w:rsidRPr="008068A1">
              <w:rPr>
                <w:szCs w:val="22"/>
              </w:rPr>
              <w:t>RMT.</w:t>
            </w:r>
          </w:p>
        </w:tc>
      </w:tr>
      <w:tr w:rsidR="00685FE1" w:rsidRPr="008068A1" w14:paraId="091FCBDE"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5F01451" w14:textId="77777777" w:rsidR="00685FE1" w:rsidRPr="008068A1" w:rsidRDefault="00685FE1" w:rsidP="009F4B10">
            <w:pPr>
              <w:spacing w:line="480" w:lineRule="auto"/>
              <w:rPr>
                <w:szCs w:val="22"/>
              </w:rPr>
            </w:pPr>
            <w:r w:rsidRPr="008068A1">
              <w:rPr>
                <w:szCs w:val="22"/>
              </w:rPr>
              <w:t>Required Weekly Test</w:t>
            </w:r>
          </w:p>
        </w:tc>
        <w:tc>
          <w:tcPr>
            <w:tcW w:w="0" w:type="auto"/>
            <w:tcBorders>
              <w:top w:val="single" w:sz="6" w:space="0" w:color="000000"/>
              <w:left w:val="single" w:sz="6" w:space="0" w:color="000000"/>
              <w:bottom w:val="single" w:sz="6" w:space="0" w:color="000000"/>
              <w:right w:val="single" w:sz="6" w:space="0" w:color="000000"/>
            </w:tcBorders>
            <w:hideMark/>
          </w:tcPr>
          <w:p w14:paraId="3648277E" w14:textId="77777777" w:rsidR="00685FE1" w:rsidRPr="008068A1" w:rsidRDefault="00685FE1" w:rsidP="009F4B10">
            <w:pPr>
              <w:spacing w:line="480" w:lineRule="auto"/>
              <w:rPr>
                <w:szCs w:val="22"/>
              </w:rPr>
            </w:pPr>
            <w:r w:rsidRPr="008068A1">
              <w:rPr>
                <w:szCs w:val="22"/>
              </w:rPr>
              <w:t>RWT.</w:t>
            </w:r>
          </w:p>
        </w:tc>
      </w:tr>
      <w:tr w:rsidR="00685FE1" w:rsidRPr="008068A1" w14:paraId="45F28C47"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3DCB4E1" w14:textId="77777777" w:rsidR="00685FE1" w:rsidRPr="008068A1" w:rsidRDefault="00685FE1" w:rsidP="009F4B10">
            <w:pPr>
              <w:spacing w:line="480" w:lineRule="auto"/>
              <w:rPr>
                <w:szCs w:val="22"/>
              </w:rPr>
            </w:pPr>
            <w:r w:rsidRPr="008068A1">
              <w:rPr>
                <w:szCs w:val="22"/>
              </w:rPr>
              <w:t>State and Local Codes (Optional):</w:t>
            </w:r>
          </w:p>
        </w:tc>
        <w:tc>
          <w:tcPr>
            <w:tcW w:w="0" w:type="auto"/>
            <w:tcBorders>
              <w:top w:val="single" w:sz="6" w:space="0" w:color="000000"/>
              <w:left w:val="single" w:sz="6" w:space="0" w:color="000000"/>
              <w:bottom w:val="single" w:sz="6" w:space="0" w:color="000000"/>
              <w:right w:val="single" w:sz="6" w:space="0" w:color="000000"/>
            </w:tcBorders>
            <w:hideMark/>
          </w:tcPr>
          <w:p w14:paraId="6513DC2D" w14:textId="77777777" w:rsidR="00685FE1" w:rsidRPr="008068A1" w:rsidRDefault="00685FE1" w:rsidP="009F4B10">
            <w:pPr>
              <w:spacing w:line="480" w:lineRule="auto"/>
              <w:rPr>
                <w:szCs w:val="22"/>
              </w:rPr>
            </w:pPr>
          </w:p>
        </w:tc>
      </w:tr>
      <w:tr w:rsidR="00685FE1" w:rsidRPr="008068A1" w14:paraId="42F12670"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4FC6925" w14:textId="77777777" w:rsidR="00685FE1" w:rsidRPr="008068A1" w:rsidRDefault="00685FE1" w:rsidP="009F4B10">
            <w:pPr>
              <w:spacing w:line="480" w:lineRule="auto"/>
              <w:rPr>
                <w:szCs w:val="22"/>
              </w:rPr>
            </w:pPr>
            <w:r w:rsidRPr="008068A1">
              <w:rPr>
                <w:szCs w:val="22"/>
              </w:rPr>
              <w:t>Administrative Message</w:t>
            </w:r>
          </w:p>
        </w:tc>
        <w:tc>
          <w:tcPr>
            <w:tcW w:w="0" w:type="auto"/>
            <w:tcBorders>
              <w:top w:val="single" w:sz="6" w:space="0" w:color="000000"/>
              <w:left w:val="single" w:sz="6" w:space="0" w:color="000000"/>
              <w:bottom w:val="single" w:sz="6" w:space="0" w:color="000000"/>
              <w:right w:val="single" w:sz="6" w:space="0" w:color="000000"/>
            </w:tcBorders>
            <w:hideMark/>
          </w:tcPr>
          <w:p w14:paraId="625A72C0" w14:textId="77777777" w:rsidR="00685FE1" w:rsidRPr="008068A1" w:rsidRDefault="00685FE1" w:rsidP="009F4B10">
            <w:pPr>
              <w:spacing w:line="480" w:lineRule="auto"/>
              <w:rPr>
                <w:szCs w:val="22"/>
              </w:rPr>
            </w:pPr>
            <w:r w:rsidRPr="008068A1">
              <w:rPr>
                <w:szCs w:val="22"/>
              </w:rPr>
              <w:t>ADR.</w:t>
            </w:r>
          </w:p>
        </w:tc>
      </w:tr>
      <w:tr w:rsidR="00685FE1" w:rsidRPr="008068A1" w14:paraId="659A019D"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85C65BD" w14:textId="77777777" w:rsidR="00685FE1" w:rsidRPr="008068A1" w:rsidRDefault="00685FE1" w:rsidP="009F4B10">
            <w:pPr>
              <w:spacing w:line="480" w:lineRule="auto"/>
              <w:rPr>
                <w:szCs w:val="22"/>
              </w:rPr>
            </w:pPr>
            <w:r w:rsidRPr="008068A1">
              <w:rPr>
                <w:szCs w:val="22"/>
              </w:rPr>
              <w:t>Avalanche Warning</w:t>
            </w:r>
          </w:p>
        </w:tc>
        <w:tc>
          <w:tcPr>
            <w:tcW w:w="0" w:type="auto"/>
            <w:tcBorders>
              <w:top w:val="single" w:sz="6" w:space="0" w:color="000000"/>
              <w:left w:val="single" w:sz="6" w:space="0" w:color="000000"/>
              <w:bottom w:val="single" w:sz="6" w:space="0" w:color="000000"/>
              <w:right w:val="single" w:sz="6" w:space="0" w:color="000000"/>
            </w:tcBorders>
            <w:hideMark/>
          </w:tcPr>
          <w:p w14:paraId="4BB7CF56" w14:textId="77777777" w:rsidR="00685FE1" w:rsidRPr="008068A1" w:rsidRDefault="00685FE1" w:rsidP="00216EA0">
            <w:pPr>
              <w:spacing w:line="480" w:lineRule="auto"/>
              <w:rPr>
                <w:szCs w:val="22"/>
              </w:rPr>
            </w:pPr>
            <w:r w:rsidRPr="008068A1">
              <w:rPr>
                <w:szCs w:val="22"/>
              </w:rPr>
              <w:t>AVW.</w:t>
            </w:r>
          </w:p>
        </w:tc>
      </w:tr>
      <w:tr w:rsidR="00685FE1" w:rsidRPr="008068A1" w14:paraId="76CFA374"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03CC909" w14:textId="77777777" w:rsidR="00685FE1" w:rsidRPr="008068A1" w:rsidRDefault="00685FE1" w:rsidP="009F4B10">
            <w:pPr>
              <w:spacing w:line="480" w:lineRule="auto"/>
              <w:rPr>
                <w:szCs w:val="22"/>
              </w:rPr>
            </w:pPr>
            <w:r w:rsidRPr="008068A1">
              <w:rPr>
                <w:szCs w:val="22"/>
              </w:rPr>
              <w:t>Avalanche Watch</w:t>
            </w:r>
          </w:p>
        </w:tc>
        <w:tc>
          <w:tcPr>
            <w:tcW w:w="0" w:type="auto"/>
            <w:tcBorders>
              <w:top w:val="single" w:sz="6" w:space="0" w:color="000000"/>
              <w:left w:val="single" w:sz="6" w:space="0" w:color="000000"/>
              <w:bottom w:val="single" w:sz="6" w:space="0" w:color="000000"/>
              <w:right w:val="single" w:sz="6" w:space="0" w:color="000000"/>
            </w:tcBorders>
            <w:hideMark/>
          </w:tcPr>
          <w:p w14:paraId="16F958C8" w14:textId="77777777" w:rsidR="00685FE1" w:rsidRPr="008068A1" w:rsidRDefault="00685FE1" w:rsidP="00216EA0">
            <w:pPr>
              <w:spacing w:line="480" w:lineRule="auto"/>
              <w:rPr>
                <w:szCs w:val="22"/>
              </w:rPr>
            </w:pPr>
            <w:r w:rsidRPr="008068A1">
              <w:rPr>
                <w:szCs w:val="22"/>
              </w:rPr>
              <w:t>AVA.</w:t>
            </w:r>
          </w:p>
        </w:tc>
      </w:tr>
      <w:tr w:rsidR="00685FE1" w:rsidRPr="008068A1" w14:paraId="22D00E50"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6BE9F31" w14:textId="77777777" w:rsidR="00685FE1" w:rsidRPr="008068A1" w:rsidRDefault="00685FE1" w:rsidP="009F4B10">
            <w:pPr>
              <w:spacing w:line="480" w:lineRule="auto"/>
              <w:rPr>
                <w:szCs w:val="22"/>
              </w:rPr>
            </w:pPr>
            <w:r w:rsidRPr="008068A1">
              <w:rPr>
                <w:szCs w:val="22"/>
              </w:rPr>
              <w:t>Blizzard Warning</w:t>
            </w:r>
          </w:p>
        </w:tc>
        <w:tc>
          <w:tcPr>
            <w:tcW w:w="0" w:type="auto"/>
            <w:tcBorders>
              <w:top w:val="single" w:sz="6" w:space="0" w:color="000000"/>
              <w:left w:val="single" w:sz="6" w:space="0" w:color="000000"/>
              <w:bottom w:val="single" w:sz="6" w:space="0" w:color="000000"/>
              <w:right w:val="single" w:sz="6" w:space="0" w:color="000000"/>
            </w:tcBorders>
            <w:hideMark/>
          </w:tcPr>
          <w:p w14:paraId="29EDCCA1" w14:textId="77777777" w:rsidR="00685FE1" w:rsidRPr="008068A1" w:rsidRDefault="00685FE1" w:rsidP="009F4B10">
            <w:pPr>
              <w:spacing w:line="480" w:lineRule="auto"/>
              <w:rPr>
                <w:szCs w:val="22"/>
              </w:rPr>
            </w:pPr>
            <w:r w:rsidRPr="008068A1">
              <w:rPr>
                <w:szCs w:val="22"/>
              </w:rPr>
              <w:t>BZW.</w:t>
            </w:r>
          </w:p>
        </w:tc>
      </w:tr>
      <w:tr w:rsidR="00685FE1" w:rsidRPr="008068A1" w14:paraId="0C05C58C"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2C1D407" w14:textId="77777777" w:rsidR="00685FE1" w:rsidRPr="008068A1" w:rsidRDefault="00685FE1" w:rsidP="009F4B10">
            <w:pPr>
              <w:spacing w:line="480" w:lineRule="auto"/>
              <w:rPr>
                <w:szCs w:val="22"/>
              </w:rPr>
            </w:pPr>
            <w:r w:rsidRPr="008068A1">
              <w:rPr>
                <w:szCs w:val="22"/>
              </w:rPr>
              <w:t>Child Abduction Emergency</w:t>
            </w:r>
          </w:p>
        </w:tc>
        <w:tc>
          <w:tcPr>
            <w:tcW w:w="0" w:type="auto"/>
            <w:tcBorders>
              <w:top w:val="single" w:sz="6" w:space="0" w:color="000000"/>
              <w:left w:val="single" w:sz="6" w:space="0" w:color="000000"/>
              <w:bottom w:val="single" w:sz="6" w:space="0" w:color="000000"/>
              <w:right w:val="single" w:sz="6" w:space="0" w:color="000000"/>
            </w:tcBorders>
            <w:hideMark/>
          </w:tcPr>
          <w:p w14:paraId="00EFD688" w14:textId="77777777" w:rsidR="00685FE1" w:rsidRPr="008068A1" w:rsidRDefault="00685FE1" w:rsidP="00216EA0">
            <w:pPr>
              <w:spacing w:line="480" w:lineRule="auto"/>
              <w:rPr>
                <w:szCs w:val="22"/>
              </w:rPr>
            </w:pPr>
            <w:r w:rsidRPr="008068A1">
              <w:rPr>
                <w:szCs w:val="22"/>
              </w:rPr>
              <w:t>CAE.</w:t>
            </w:r>
          </w:p>
        </w:tc>
      </w:tr>
      <w:tr w:rsidR="00685FE1" w:rsidRPr="008068A1" w14:paraId="3DFA621C"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47850CB" w14:textId="77777777" w:rsidR="00685FE1" w:rsidRPr="008068A1" w:rsidRDefault="00685FE1" w:rsidP="009F4B10">
            <w:pPr>
              <w:spacing w:line="480" w:lineRule="auto"/>
              <w:rPr>
                <w:szCs w:val="22"/>
              </w:rPr>
            </w:pPr>
            <w:r w:rsidRPr="008068A1">
              <w:rPr>
                <w:szCs w:val="22"/>
              </w:rPr>
              <w:t>Civil Danger Warning</w:t>
            </w:r>
          </w:p>
        </w:tc>
        <w:tc>
          <w:tcPr>
            <w:tcW w:w="0" w:type="auto"/>
            <w:tcBorders>
              <w:top w:val="single" w:sz="6" w:space="0" w:color="000000"/>
              <w:left w:val="single" w:sz="6" w:space="0" w:color="000000"/>
              <w:bottom w:val="single" w:sz="6" w:space="0" w:color="000000"/>
              <w:right w:val="single" w:sz="6" w:space="0" w:color="000000"/>
            </w:tcBorders>
            <w:hideMark/>
          </w:tcPr>
          <w:p w14:paraId="26C06549" w14:textId="77777777" w:rsidR="00685FE1" w:rsidRPr="008068A1" w:rsidRDefault="00685FE1" w:rsidP="00216EA0">
            <w:pPr>
              <w:spacing w:line="480" w:lineRule="auto"/>
              <w:rPr>
                <w:szCs w:val="22"/>
              </w:rPr>
            </w:pPr>
            <w:r w:rsidRPr="008068A1">
              <w:rPr>
                <w:szCs w:val="22"/>
              </w:rPr>
              <w:t>CDW.</w:t>
            </w:r>
          </w:p>
        </w:tc>
      </w:tr>
      <w:tr w:rsidR="00685FE1" w:rsidRPr="008068A1" w14:paraId="61CFF010"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99295AD" w14:textId="77777777" w:rsidR="00685FE1" w:rsidRPr="008068A1" w:rsidRDefault="00685FE1" w:rsidP="009F4B10">
            <w:pPr>
              <w:spacing w:line="480" w:lineRule="auto"/>
              <w:rPr>
                <w:szCs w:val="22"/>
              </w:rPr>
            </w:pPr>
            <w:r w:rsidRPr="008068A1">
              <w:rPr>
                <w:szCs w:val="22"/>
              </w:rPr>
              <w:t>Civil Emergency Message</w:t>
            </w:r>
          </w:p>
        </w:tc>
        <w:tc>
          <w:tcPr>
            <w:tcW w:w="0" w:type="auto"/>
            <w:tcBorders>
              <w:top w:val="single" w:sz="6" w:space="0" w:color="000000"/>
              <w:left w:val="single" w:sz="6" w:space="0" w:color="000000"/>
              <w:bottom w:val="single" w:sz="6" w:space="0" w:color="000000"/>
              <w:right w:val="single" w:sz="6" w:space="0" w:color="000000"/>
            </w:tcBorders>
            <w:hideMark/>
          </w:tcPr>
          <w:p w14:paraId="1784EEF5" w14:textId="77777777" w:rsidR="00685FE1" w:rsidRPr="008068A1" w:rsidRDefault="00685FE1" w:rsidP="009F4B10">
            <w:pPr>
              <w:spacing w:line="480" w:lineRule="auto"/>
              <w:rPr>
                <w:szCs w:val="22"/>
              </w:rPr>
            </w:pPr>
            <w:r w:rsidRPr="008068A1">
              <w:rPr>
                <w:szCs w:val="22"/>
              </w:rPr>
              <w:t>CEM.</w:t>
            </w:r>
          </w:p>
        </w:tc>
      </w:tr>
      <w:tr w:rsidR="00685FE1" w:rsidRPr="008068A1" w14:paraId="1DFEE02E"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1398576" w14:textId="77777777" w:rsidR="00685FE1" w:rsidRPr="008068A1" w:rsidRDefault="00685FE1" w:rsidP="009F4B10">
            <w:pPr>
              <w:spacing w:line="480" w:lineRule="auto"/>
              <w:rPr>
                <w:szCs w:val="22"/>
              </w:rPr>
            </w:pPr>
            <w:r w:rsidRPr="008068A1">
              <w:rPr>
                <w:szCs w:val="22"/>
              </w:rPr>
              <w:t>Coastal Flood Warning</w:t>
            </w:r>
          </w:p>
        </w:tc>
        <w:tc>
          <w:tcPr>
            <w:tcW w:w="0" w:type="auto"/>
            <w:tcBorders>
              <w:top w:val="single" w:sz="6" w:space="0" w:color="000000"/>
              <w:left w:val="single" w:sz="6" w:space="0" w:color="000000"/>
              <w:bottom w:val="single" w:sz="6" w:space="0" w:color="000000"/>
              <w:right w:val="single" w:sz="6" w:space="0" w:color="000000"/>
            </w:tcBorders>
            <w:hideMark/>
          </w:tcPr>
          <w:p w14:paraId="16C1A5B5" w14:textId="77777777" w:rsidR="00685FE1" w:rsidRPr="008068A1" w:rsidRDefault="00685FE1" w:rsidP="00216EA0">
            <w:pPr>
              <w:spacing w:line="480" w:lineRule="auto"/>
              <w:rPr>
                <w:szCs w:val="22"/>
              </w:rPr>
            </w:pPr>
            <w:r w:rsidRPr="008068A1">
              <w:rPr>
                <w:szCs w:val="22"/>
              </w:rPr>
              <w:t>CFW.</w:t>
            </w:r>
          </w:p>
        </w:tc>
      </w:tr>
      <w:tr w:rsidR="00685FE1" w:rsidRPr="008068A1" w14:paraId="637F82A3"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5EB185E" w14:textId="77777777" w:rsidR="00685FE1" w:rsidRPr="008068A1" w:rsidRDefault="00685FE1" w:rsidP="009F4B10">
            <w:pPr>
              <w:spacing w:line="480" w:lineRule="auto"/>
              <w:rPr>
                <w:szCs w:val="22"/>
              </w:rPr>
            </w:pPr>
            <w:r w:rsidRPr="008068A1">
              <w:rPr>
                <w:szCs w:val="22"/>
              </w:rPr>
              <w:t>Coastal Flood Watch</w:t>
            </w:r>
          </w:p>
        </w:tc>
        <w:tc>
          <w:tcPr>
            <w:tcW w:w="0" w:type="auto"/>
            <w:tcBorders>
              <w:top w:val="single" w:sz="6" w:space="0" w:color="000000"/>
              <w:left w:val="single" w:sz="6" w:space="0" w:color="000000"/>
              <w:bottom w:val="single" w:sz="6" w:space="0" w:color="000000"/>
              <w:right w:val="single" w:sz="6" w:space="0" w:color="000000"/>
            </w:tcBorders>
            <w:hideMark/>
          </w:tcPr>
          <w:p w14:paraId="3712B391" w14:textId="77777777" w:rsidR="00685FE1" w:rsidRPr="008068A1" w:rsidRDefault="00685FE1" w:rsidP="00216EA0">
            <w:pPr>
              <w:spacing w:line="480" w:lineRule="auto"/>
              <w:rPr>
                <w:szCs w:val="22"/>
              </w:rPr>
            </w:pPr>
            <w:r w:rsidRPr="008068A1">
              <w:rPr>
                <w:szCs w:val="22"/>
              </w:rPr>
              <w:t>CFA.</w:t>
            </w:r>
          </w:p>
        </w:tc>
      </w:tr>
      <w:tr w:rsidR="00685FE1" w:rsidRPr="008068A1" w14:paraId="0FFE61DD"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DC39390" w14:textId="77777777" w:rsidR="00685FE1" w:rsidRPr="008068A1" w:rsidRDefault="00685FE1" w:rsidP="009F4B10">
            <w:pPr>
              <w:spacing w:line="480" w:lineRule="auto"/>
              <w:rPr>
                <w:szCs w:val="22"/>
              </w:rPr>
            </w:pPr>
            <w:r w:rsidRPr="008068A1">
              <w:rPr>
                <w:szCs w:val="22"/>
              </w:rPr>
              <w:t>Dust Storm Warning</w:t>
            </w:r>
          </w:p>
        </w:tc>
        <w:tc>
          <w:tcPr>
            <w:tcW w:w="0" w:type="auto"/>
            <w:tcBorders>
              <w:top w:val="single" w:sz="6" w:space="0" w:color="000000"/>
              <w:left w:val="single" w:sz="6" w:space="0" w:color="000000"/>
              <w:bottom w:val="single" w:sz="6" w:space="0" w:color="000000"/>
              <w:right w:val="single" w:sz="6" w:space="0" w:color="000000"/>
            </w:tcBorders>
            <w:hideMark/>
          </w:tcPr>
          <w:p w14:paraId="4300C7D0" w14:textId="77777777" w:rsidR="00685FE1" w:rsidRPr="008068A1" w:rsidRDefault="00685FE1" w:rsidP="00216EA0">
            <w:pPr>
              <w:spacing w:line="480" w:lineRule="auto"/>
              <w:rPr>
                <w:szCs w:val="22"/>
              </w:rPr>
            </w:pPr>
            <w:r w:rsidRPr="008068A1">
              <w:rPr>
                <w:szCs w:val="22"/>
              </w:rPr>
              <w:t>DSW.</w:t>
            </w:r>
          </w:p>
        </w:tc>
      </w:tr>
      <w:tr w:rsidR="00685FE1" w:rsidRPr="008068A1" w14:paraId="6E4F44DB"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CFD12F5" w14:textId="77777777" w:rsidR="00685FE1" w:rsidRPr="008068A1" w:rsidRDefault="00685FE1" w:rsidP="009F4B10">
            <w:pPr>
              <w:spacing w:line="480" w:lineRule="auto"/>
              <w:rPr>
                <w:szCs w:val="22"/>
              </w:rPr>
            </w:pPr>
            <w:r w:rsidRPr="008068A1">
              <w:rPr>
                <w:szCs w:val="22"/>
              </w:rPr>
              <w:t>Earthquake Warning</w:t>
            </w:r>
          </w:p>
        </w:tc>
        <w:tc>
          <w:tcPr>
            <w:tcW w:w="0" w:type="auto"/>
            <w:tcBorders>
              <w:top w:val="single" w:sz="6" w:space="0" w:color="000000"/>
              <w:left w:val="single" w:sz="6" w:space="0" w:color="000000"/>
              <w:bottom w:val="single" w:sz="6" w:space="0" w:color="000000"/>
              <w:right w:val="single" w:sz="6" w:space="0" w:color="000000"/>
            </w:tcBorders>
            <w:hideMark/>
          </w:tcPr>
          <w:p w14:paraId="03CD1946" w14:textId="77777777" w:rsidR="00685FE1" w:rsidRPr="008068A1" w:rsidRDefault="00685FE1" w:rsidP="00216EA0">
            <w:pPr>
              <w:spacing w:line="480" w:lineRule="auto"/>
              <w:rPr>
                <w:szCs w:val="22"/>
              </w:rPr>
            </w:pPr>
            <w:r w:rsidRPr="008068A1">
              <w:rPr>
                <w:szCs w:val="22"/>
              </w:rPr>
              <w:t>EQW.</w:t>
            </w:r>
          </w:p>
        </w:tc>
      </w:tr>
      <w:tr w:rsidR="00685FE1" w:rsidRPr="008068A1" w14:paraId="3C62765E"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21168C3" w14:textId="77777777" w:rsidR="00685FE1" w:rsidRPr="008068A1" w:rsidRDefault="00685FE1" w:rsidP="009F4B10">
            <w:pPr>
              <w:spacing w:line="480" w:lineRule="auto"/>
              <w:rPr>
                <w:szCs w:val="22"/>
              </w:rPr>
            </w:pPr>
            <w:r w:rsidRPr="008068A1">
              <w:rPr>
                <w:szCs w:val="22"/>
              </w:rPr>
              <w:t>Evacuation Immediate</w:t>
            </w:r>
          </w:p>
        </w:tc>
        <w:tc>
          <w:tcPr>
            <w:tcW w:w="0" w:type="auto"/>
            <w:tcBorders>
              <w:top w:val="single" w:sz="6" w:space="0" w:color="000000"/>
              <w:left w:val="single" w:sz="6" w:space="0" w:color="000000"/>
              <w:bottom w:val="single" w:sz="6" w:space="0" w:color="000000"/>
              <w:right w:val="single" w:sz="6" w:space="0" w:color="000000"/>
            </w:tcBorders>
            <w:hideMark/>
          </w:tcPr>
          <w:p w14:paraId="20ECED90" w14:textId="77777777" w:rsidR="00685FE1" w:rsidRPr="008068A1" w:rsidRDefault="00685FE1" w:rsidP="009F4B10">
            <w:pPr>
              <w:spacing w:line="480" w:lineRule="auto"/>
              <w:rPr>
                <w:szCs w:val="22"/>
              </w:rPr>
            </w:pPr>
            <w:r w:rsidRPr="008068A1">
              <w:rPr>
                <w:szCs w:val="22"/>
              </w:rPr>
              <w:t>EVI.</w:t>
            </w:r>
          </w:p>
        </w:tc>
      </w:tr>
      <w:tr w:rsidR="00685FE1" w:rsidRPr="008068A1" w14:paraId="540F29F1" w14:textId="77777777" w:rsidTr="00AE2114">
        <w:trPr>
          <w:trHeight w:val="315"/>
          <w:jc w:val="center"/>
        </w:trPr>
        <w:tc>
          <w:tcPr>
            <w:tcW w:w="0" w:type="auto"/>
            <w:tcBorders>
              <w:top w:val="single" w:sz="6" w:space="0" w:color="000000"/>
              <w:left w:val="single" w:sz="6" w:space="0" w:color="000000"/>
              <w:bottom w:val="single" w:sz="6" w:space="0" w:color="000000"/>
              <w:right w:val="single" w:sz="6" w:space="0" w:color="000000"/>
            </w:tcBorders>
          </w:tcPr>
          <w:p w14:paraId="2863D1D0" w14:textId="77777777" w:rsidR="00685FE1" w:rsidRPr="00EC7ACD" w:rsidRDefault="00685FE1" w:rsidP="009F4B10">
            <w:pPr>
              <w:rPr>
                <w:b/>
                <w:szCs w:val="22"/>
              </w:rPr>
            </w:pPr>
            <w:r w:rsidRPr="00EC7ACD">
              <w:rPr>
                <w:b/>
                <w:szCs w:val="22"/>
              </w:rPr>
              <w:t>Extreme Wind Warning</w:t>
            </w:r>
          </w:p>
        </w:tc>
        <w:tc>
          <w:tcPr>
            <w:tcW w:w="0" w:type="auto"/>
            <w:tcBorders>
              <w:top w:val="single" w:sz="6" w:space="0" w:color="000000"/>
              <w:left w:val="single" w:sz="6" w:space="0" w:color="000000"/>
              <w:bottom w:val="single" w:sz="6" w:space="0" w:color="000000"/>
              <w:right w:val="single" w:sz="6" w:space="0" w:color="000000"/>
            </w:tcBorders>
          </w:tcPr>
          <w:p w14:paraId="1874CDFD" w14:textId="77777777" w:rsidR="00685FE1" w:rsidRPr="00EC7ACD" w:rsidRDefault="00685FE1" w:rsidP="009F4B10">
            <w:pPr>
              <w:rPr>
                <w:b/>
                <w:szCs w:val="22"/>
              </w:rPr>
            </w:pPr>
            <w:r w:rsidRPr="00EC7ACD">
              <w:rPr>
                <w:b/>
                <w:szCs w:val="22"/>
              </w:rPr>
              <w:t>EWW</w:t>
            </w:r>
            <w:r w:rsidR="004805AF" w:rsidRPr="00EC7ACD">
              <w:rPr>
                <w:b/>
                <w:szCs w:val="22"/>
              </w:rPr>
              <w:t>.</w:t>
            </w:r>
          </w:p>
        </w:tc>
      </w:tr>
      <w:tr w:rsidR="00685FE1" w:rsidRPr="008068A1" w14:paraId="385CC875"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4C8E3E1" w14:textId="77777777" w:rsidR="00685FE1" w:rsidRPr="008068A1" w:rsidRDefault="00685FE1" w:rsidP="009F4B10">
            <w:pPr>
              <w:spacing w:line="480" w:lineRule="auto"/>
              <w:rPr>
                <w:szCs w:val="22"/>
              </w:rPr>
            </w:pPr>
            <w:r w:rsidRPr="008068A1">
              <w:rPr>
                <w:szCs w:val="22"/>
              </w:rPr>
              <w:t>Fire Warning</w:t>
            </w:r>
          </w:p>
        </w:tc>
        <w:tc>
          <w:tcPr>
            <w:tcW w:w="0" w:type="auto"/>
            <w:tcBorders>
              <w:top w:val="single" w:sz="6" w:space="0" w:color="000000"/>
              <w:left w:val="single" w:sz="6" w:space="0" w:color="000000"/>
              <w:bottom w:val="single" w:sz="6" w:space="0" w:color="000000"/>
              <w:right w:val="single" w:sz="6" w:space="0" w:color="000000"/>
            </w:tcBorders>
            <w:hideMark/>
          </w:tcPr>
          <w:p w14:paraId="09DB2D12" w14:textId="77777777" w:rsidR="00685FE1" w:rsidRPr="008068A1" w:rsidRDefault="00685FE1" w:rsidP="00216EA0">
            <w:pPr>
              <w:spacing w:line="480" w:lineRule="auto"/>
              <w:rPr>
                <w:szCs w:val="22"/>
              </w:rPr>
            </w:pPr>
            <w:r w:rsidRPr="008068A1">
              <w:rPr>
                <w:szCs w:val="22"/>
              </w:rPr>
              <w:t>FRW.</w:t>
            </w:r>
          </w:p>
        </w:tc>
      </w:tr>
      <w:tr w:rsidR="00685FE1" w:rsidRPr="008068A1" w14:paraId="2513903B"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A82FDD4" w14:textId="77777777" w:rsidR="00685FE1" w:rsidRPr="008068A1" w:rsidRDefault="00685FE1" w:rsidP="009F4B10">
            <w:pPr>
              <w:spacing w:line="480" w:lineRule="auto"/>
              <w:rPr>
                <w:szCs w:val="22"/>
              </w:rPr>
            </w:pPr>
            <w:r w:rsidRPr="008068A1">
              <w:rPr>
                <w:szCs w:val="22"/>
              </w:rPr>
              <w:t>Flash Flood Warning</w:t>
            </w:r>
          </w:p>
        </w:tc>
        <w:tc>
          <w:tcPr>
            <w:tcW w:w="0" w:type="auto"/>
            <w:tcBorders>
              <w:top w:val="single" w:sz="6" w:space="0" w:color="000000"/>
              <w:left w:val="single" w:sz="6" w:space="0" w:color="000000"/>
              <w:bottom w:val="single" w:sz="6" w:space="0" w:color="000000"/>
              <w:right w:val="single" w:sz="6" w:space="0" w:color="000000"/>
            </w:tcBorders>
            <w:hideMark/>
          </w:tcPr>
          <w:p w14:paraId="6E50993C" w14:textId="77777777" w:rsidR="00685FE1" w:rsidRPr="008068A1" w:rsidRDefault="00685FE1" w:rsidP="009F4B10">
            <w:pPr>
              <w:spacing w:line="480" w:lineRule="auto"/>
              <w:rPr>
                <w:szCs w:val="22"/>
              </w:rPr>
            </w:pPr>
            <w:r w:rsidRPr="008068A1">
              <w:rPr>
                <w:szCs w:val="22"/>
              </w:rPr>
              <w:t>FFW.</w:t>
            </w:r>
          </w:p>
        </w:tc>
      </w:tr>
      <w:tr w:rsidR="00685FE1" w:rsidRPr="008068A1" w14:paraId="095F831A"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A90DD74" w14:textId="77777777" w:rsidR="00685FE1" w:rsidRPr="008068A1" w:rsidRDefault="00685FE1" w:rsidP="009F4B10">
            <w:pPr>
              <w:spacing w:line="480" w:lineRule="auto"/>
              <w:rPr>
                <w:szCs w:val="22"/>
              </w:rPr>
            </w:pPr>
            <w:r w:rsidRPr="008068A1">
              <w:rPr>
                <w:szCs w:val="22"/>
              </w:rPr>
              <w:t>Flash Flood Watch</w:t>
            </w:r>
          </w:p>
        </w:tc>
        <w:tc>
          <w:tcPr>
            <w:tcW w:w="0" w:type="auto"/>
            <w:tcBorders>
              <w:top w:val="single" w:sz="6" w:space="0" w:color="000000"/>
              <w:left w:val="single" w:sz="6" w:space="0" w:color="000000"/>
              <w:bottom w:val="single" w:sz="6" w:space="0" w:color="000000"/>
              <w:right w:val="single" w:sz="6" w:space="0" w:color="000000"/>
            </w:tcBorders>
            <w:hideMark/>
          </w:tcPr>
          <w:p w14:paraId="228CA9EC" w14:textId="77777777" w:rsidR="00685FE1" w:rsidRPr="008068A1" w:rsidRDefault="00685FE1" w:rsidP="009F4B10">
            <w:pPr>
              <w:spacing w:line="480" w:lineRule="auto"/>
              <w:rPr>
                <w:szCs w:val="22"/>
              </w:rPr>
            </w:pPr>
            <w:r w:rsidRPr="008068A1">
              <w:rPr>
                <w:szCs w:val="22"/>
              </w:rPr>
              <w:t>FFA.</w:t>
            </w:r>
          </w:p>
        </w:tc>
      </w:tr>
      <w:tr w:rsidR="00685FE1" w:rsidRPr="008068A1" w14:paraId="472C9D88"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035310C" w14:textId="77777777" w:rsidR="00685FE1" w:rsidRPr="008068A1" w:rsidRDefault="00685FE1" w:rsidP="009F4B10">
            <w:pPr>
              <w:spacing w:line="480" w:lineRule="auto"/>
              <w:rPr>
                <w:szCs w:val="22"/>
              </w:rPr>
            </w:pPr>
            <w:r w:rsidRPr="008068A1">
              <w:rPr>
                <w:szCs w:val="22"/>
              </w:rPr>
              <w:t>Flash Flood Statement</w:t>
            </w:r>
          </w:p>
        </w:tc>
        <w:tc>
          <w:tcPr>
            <w:tcW w:w="0" w:type="auto"/>
            <w:tcBorders>
              <w:top w:val="single" w:sz="6" w:space="0" w:color="000000"/>
              <w:left w:val="single" w:sz="6" w:space="0" w:color="000000"/>
              <w:bottom w:val="single" w:sz="6" w:space="0" w:color="000000"/>
              <w:right w:val="single" w:sz="6" w:space="0" w:color="000000"/>
            </w:tcBorders>
            <w:hideMark/>
          </w:tcPr>
          <w:p w14:paraId="03A76078" w14:textId="77777777" w:rsidR="00685FE1" w:rsidRPr="008068A1" w:rsidRDefault="00685FE1" w:rsidP="009F4B10">
            <w:pPr>
              <w:spacing w:line="480" w:lineRule="auto"/>
              <w:rPr>
                <w:szCs w:val="22"/>
              </w:rPr>
            </w:pPr>
            <w:r w:rsidRPr="008068A1">
              <w:rPr>
                <w:szCs w:val="22"/>
              </w:rPr>
              <w:t>FFS.</w:t>
            </w:r>
          </w:p>
        </w:tc>
      </w:tr>
      <w:tr w:rsidR="00685FE1" w:rsidRPr="008068A1" w14:paraId="4A308E16"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5A43E41" w14:textId="77777777" w:rsidR="00685FE1" w:rsidRPr="008068A1" w:rsidRDefault="00685FE1" w:rsidP="009F4B10">
            <w:pPr>
              <w:spacing w:line="480" w:lineRule="auto"/>
              <w:rPr>
                <w:szCs w:val="22"/>
              </w:rPr>
            </w:pPr>
            <w:r w:rsidRPr="008068A1">
              <w:rPr>
                <w:szCs w:val="22"/>
              </w:rPr>
              <w:t>Flood Warning</w:t>
            </w:r>
          </w:p>
        </w:tc>
        <w:tc>
          <w:tcPr>
            <w:tcW w:w="0" w:type="auto"/>
            <w:tcBorders>
              <w:top w:val="single" w:sz="6" w:space="0" w:color="000000"/>
              <w:left w:val="single" w:sz="6" w:space="0" w:color="000000"/>
              <w:bottom w:val="single" w:sz="6" w:space="0" w:color="000000"/>
              <w:right w:val="single" w:sz="6" w:space="0" w:color="000000"/>
            </w:tcBorders>
            <w:hideMark/>
          </w:tcPr>
          <w:p w14:paraId="58F500E7" w14:textId="77777777" w:rsidR="00685FE1" w:rsidRPr="008068A1" w:rsidRDefault="00685FE1" w:rsidP="009F4B10">
            <w:pPr>
              <w:spacing w:line="480" w:lineRule="auto"/>
              <w:rPr>
                <w:szCs w:val="22"/>
              </w:rPr>
            </w:pPr>
            <w:r w:rsidRPr="008068A1">
              <w:rPr>
                <w:szCs w:val="22"/>
              </w:rPr>
              <w:t>FLW.</w:t>
            </w:r>
          </w:p>
        </w:tc>
      </w:tr>
      <w:tr w:rsidR="00685FE1" w:rsidRPr="008068A1" w14:paraId="4A6A7ED0"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3C7B89C" w14:textId="77777777" w:rsidR="00685FE1" w:rsidRPr="008068A1" w:rsidRDefault="00685FE1" w:rsidP="009F4B10">
            <w:pPr>
              <w:spacing w:line="480" w:lineRule="auto"/>
              <w:rPr>
                <w:szCs w:val="22"/>
              </w:rPr>
            </w:pPr>
            <w:r w:rsidRPr="008068A1">
              <w:rPr>
                <w:szCs w:val="22"/>
              </w:rPr>
              <w:t>Flood Watch</w:t>
            </w:r>
          </w:p>
        </w:tc>
        <w:tc>
          <w:tcPr>
            <w:tcW w:w="0" w:type="auto"/>
            <w:tcBorders>
              <w:top w:val="single" w:sz="6" w:space="0" w:color="000000"/>
              <w:left w:val="single" w:sz="6" w:space="0" w:color="000000"/>
              <w:bottom w:val="single" w:sz="6" w:space="0" w:color="000000"/>
              <w:right w:val="single" w:sz="6" w:space="0" w:color="000000"/>
            </w:tcBorders>
            <w:hideMark/>
          </w:tcPr>
          <w:p w14:paraId="6002119C" w14:textId="77777777" w:rsidR="00685FE1" w:rsidRPr="008068A1" w:rsidRDefault="00685FE1" w:rsidP="009F4B10">
            <w:pPr>
              <w:spacing w:line="480" w:lineRule="auto"/>
              <w:rPr>
                <w:szCs w:val="22"/>
              </w:rPr>
            </w:pPr>
            <w:r w:rsidRPr="008068A1">
              <w:rPr>
                <w:szCs w:val="22"/>
              </w:rPr>
              <w:t>FLA.</w:t>
            </w:r>
          </w:p>
        </w:tc>
      </w:tr>
      <w:tr w:rsidR="00685FE1" w:rsidRPr="008068A1" w14:paraId="61CE0838"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28FD60A" w14:textId="77777777" w:rsidR="00685FE1" w:rsidRPr="008068A1" w:rsidRDefault="00685FE1" w:rsidP="009F4B10">
            <w:pPr>
              <w:spacing w:line="480" w:lineRule="auto"/>
              <w:rPr>
                <w:szCs w:val="22"/>
              </w:rPr>
            </w:pPr>
            <w:r w:rsidRPr="008068A1">
              <w:rPr>
                <w:szCs w:val="22"/>
              </w:rPr>
              <w:t>Flood Statement</w:t>
            </w:r>
          </w:p>
        </w:tc>
        <w:tc>
          <w:tcPr>
            <w:tcW w:w="0" w:type="auto"/>
            <w:tcBorders>
              <w:top w:val="single" w:sz="6" w:space="0" w:color="000000"/>
              <w:left w:val="single" w:sz="6" w:space="0" w:color="000000"/>
              <w:bottom w:val="single" w:sz="6" w:space="0" w:color="000000"/>
              <w:right w:val="single" w:sz="6" w:space="0" w:color="000000"/>
            </w:tcBorders>
            <w:hideMark/>
          </w:tcPr>
          <w:p w14:paraId="13132DBB" w14:textId="77777777" w:rsidR="00685FE1" w:rsidRPr="008068A1" w:rsidRDefault="00685FE1" w:rsidP="009F4B10">
            <w:pPr>
              <w:spacing w:line="480" w:lineRule="auto"/>
              <w:rPr>
                <w:szCs w:val="22"/>
              </w:rPr>
            </w:pPr>
            <w:r w:rsidRPr="008068A1">
              <w:rPr>
                <w:szCs w:val="22"/>
              </w:rPr>
              <w:t>FLS.</w:t>
            </w:r>
          </w:p>
        </w:tc>
      </w:tr>
      <w:tr w:rsidR="00685FE1" w:rsidRPr="008068A1" w14:paraId="15960414"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81E2968" w14:textId="77777777" w:rsidR="00685FE1" w:rsidRPr="008068A1" w:rsidRDefault="00685FE1" w:rsidP="009F4B10">
            <w:pPr>
              <w:spacing w:line="480" w:lineRule="auto"/>
              <w:rPr>
                <w:szCs w:val="22"/>
              </w:rPr>
            </w:pPr>
            <w:r w:rsidRPr="008068A1">
              <w:rPr>
                <w:szCs w:val="22"/>
              </w:rPr>
              <w:t>Hazardous Materials Warning</w:t>
            </w:r>
          </w:p>
        </w:tc>
        <w:tc>
          <w:tcPr>
            <w:tcW w:w="0" w:type="auto"/>
            <w:tcBorders>
              <w:top w:val="single" w:sz="6" w:space="0" w:color="000000"/>
              <w:left w:val="single" w:sz="6" w:space="0" w:color="000000"/>
              <w:bottom w:val="single" w:sz="6" w:space="0" w:color="000000"/>
              <w:right w:val="single" w:sz="6" w:space="0" w:color="000000"/>
            </w:tcBorders>
            <w:hideMark/>
          </w:tcPr>
          <w:p w14:paraId="7827452F" w14:textId="77777777" w:rsidR="00685FE1" w:rsidRPr="008068A1" w:rsidRDefault="00685FE1" w:rsidP="00216EA0">
            <w:pPr>
              <w:spacing w:line="480" w:lineRule="auto"/>
              <w:rPr>
                <w:szCs w:val="22"/>
              </w:rPr>
            </w:pPr>
            <w:r w:rsidRPr="008068A1">
              <w:rPr>
                <w:szCs w:val="22"/>
              </w:rPr>
              <w:t>HMW.</w:t>
            </w:r>
          </w:p>
        </w:tc>
      </w:tr>
      <w:tr w:rsidR="00685FE1" w:rsidRPr="008068A1" w14:paraId="016F0F7F"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7272B3D" w14:textId="77777777" w:rsidR="00685FE1" w:rsidRPr="008068A1" w:rsidRDefault="00685FE1" w:rsidP="009F4B10">
            <w:pPr>
              <w:spacing w:line="480" w:lineRule="auto"/>
              <w:rPr>
                <w:szCs w:val="22"/>
              </w:rPr>
            </w:pPr>
            <w:r w:rsidRPr="008068A1">
              <w:rPr>
                <w:szCs w:val="22"/>
              </w:rPr>
              <w:t>High Wind Warning</w:t>
            </w:r>
          </w:p>
        </w:tc>
        <w:tc>
          <w:tcPr>
            <w:tcW w:w="0" w:type="auto"/>
            <w:tcBorders>
              <w:top w:val="single" w:sz="6" w:space="0" w:color="000000"/>
              <w:left w:val="single" w:sz="6" w:space="0" w:color="000000"/>
              <w:bottom w:val="single" w:sz="6" w:space="0" w:color="000000"/>
              <w:right w:val="single" w:sz="6" w:space="0" w:color="000000"/>
            </w:tcBorders>
            <w:hideMark/>
          </w:tcPr>
          <w:p w14:paraId="74B290EF" w14:textId="77777777" w:rsidR="00685FE1" w:rsidRPr="008068A1" w:rsidRDefault="00685FE1" w:rsidP="009F4B10">
            <w:pPr>
              <w:spacing w:line="480" w:lineRule="auto"/>
              <w:rPr>
                <w:szCs w:val="22"/>
              </w:rPr>
            </w:pPr>
            <w:r w:rsidRPr="008068A1">
              <w:rPr>
                <w:szCs w:val="22"/>
              </w:rPr>
              <w:t>HWW.</w:t>
            </w:r>
          </w:p>
        </w:tc>
      </w:tr>
      <w:tr w:rsidR="00685FE1" w:rsidRPr="008068A1" w14:paraId="26707EAF"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CB2398E" w14:textId="77777777" w:rsidR="00685FE1" w:rsidRPr="008068A1" w:rsidRDefault="00685FE1" w:rsidP="009F4B10">
            <w:pPr>
              <w:spacing w:line="480" w:lineRule="auto"/>
              <w:rPr>
                <w:szCs w:val="22"/>
              </w:rPr>
            </w:pPr>
            <w:r w:rsidRPr="008068A1">
              <w:rPr>
                <w:szCs w:val="22"/>
              </w:rPr>
              <w:t>High Wind Watch</w:t>
            </w:r>
          </w:p>
        </w:tc>
        <w:tc>
          <w:tcPr>
            <w:tcW w:w="0" w:type="auto"/>
            <w:tcBorders>
              <w:top w:val="single" w:sz="6" w:space="0" w:color="000000"/>
              <w:left w:val="single" w:sz="6" w:space="0" w:color="000000"/>
              <w:bottom w:val="single" w:sz="6" w:space="0" w:color="000000"/>
              <w:right w:val="single" w:sz="6" w:space="0" w:color="000000"/>
            </w:tcBorders>
            <w:hideMark/>
          </w:tcPr>
          <w:p w14:paraId="7C56BBD3" w14:textId="77777777" w:rsidR="00685FE1" w:rsidRPr="008068A1" w:rsidRDefault="00685FE1" w:rsidP="009F4B10">
            <w:pPr>
              <w:spacing w:line="480" w:lineRule="auto"/>
              <w:rPr>
                <w:szCs w:val="22"/>
              </w:rPr>
            </w:pPr>
            <w:r w:rsidRPr="008068A1">
              <w:rPr>
                <w:szCs w:val="22"/>
              </w:rPr>
              <w:t>HWA.</w:t>
            </w:r>
          </w:p>
        </w:tc>
      </w:tr>
      <w:tr w:rsidR="00685FE1" w:rsidRPr="008068A1" w14:paraId="21B372E0"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4B8C662" w14:textId="77777777" w:rsidR="00685FE1" w:rsidRPr="008068A1" w:rsidRDefault="00685FE1" w:rsidP="009F4B10">
            <w:pPr>
              <w:spacing w:line="480" w:lineRule="auto"/>
              <w:rPr>
                <w:szCs w:val="22"/>
              </w:rPr>
            </w:pPr>
            <w:r w:rsidRPr="008068A1">
              <w:rPr>
                <w:szCs w:val="22"/>
              </w:rPr>
              <w:t>Hurricane Warning</w:t>
            </w:r>
          </w:p>
        </w:tc>
        <w:tc>
          <w:tcPr>
            <w:tcW w:w="0" w:type="auto"/>
            <w:tcBorders>
              <w:top w:val="single" w:sz="6" w:space="0" w:color="000000"/>
              <w:left w:val="single" w:sz="6" w:space="0" w:color="000000"/>
              <w:bottom w:val="single" w:sz="6" w:space="0" w:color="000000"/>
              <w:right w:val="single" w:sz="6" w:space="0" w:color="000000"/>
            </w:tcBorders>
            <w:hideMark/>
          </w:tcPr>
          <w:p w14:paraId="7F9F6A06" w14:textId="77777777" w:rsidR="00685FE1" w:rsidRPr="008068A1" w:rsidRDefault="00685FE1" w:rsidP="009F4B10">
            <w:pPr>
              <w:spacing w:line="480" w:lineRule="auto"/>
              <w:rPr>
                <w:szCs w:val="22"/>
              </w:rPr>
            </w:pPr>
            <w:r w:rsidRPr="008068A1">
              <w:rPr>
                <w:szCs w:val="22"/>
              </w:rPr>
              <w:t>HUW.</w:t>
            </w:r>
          </w:p>
        </w:tc>
      </w:tr>
      <w:tr w:rsidR="00685FE1" w:rsidRPr="008068A1" w14:paraId="05031BCC"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C4AB73D" w14:textId="77777777" w:rsidR="00685FE1" w:rsidRPr="008068A1" w:rsidRDefault="00685FE1" w:rsidP="009F4B10">
            <w:pPr>
              <w:spacing w:line="480" w:lineRule="auto"/>
              <w:rPr>
                <w:szCs w:val="22"/>
              </w:rPr>
            </w:pPr>
            <w:r w:rsidRPr="008068A1">
              <w:rPr>
                <w:szCs w:val="22"/>
              </w:rPr>
              <w:t>Hurricane Watch</w:t>
            </w:r>
          </w:p>
        </w:tc>
        <w:tc>
          <w:tcPr>
            <w:tcW w:w="0" w:type="auto"/>
            <w:tcBorders>
              <w:top w:val="single" w:sz="6" w:space="0" w:color="000000"/>
              <w:left w:val="single" w:sz="6" w:space="0" w:color="000000"/>
              <w:bottom w:val="single" w:sz="6" w:space="0" w:color="000000"/>
              <w:right w:val="single" w:sz="6" w:space="0" w:color="000000"/>
            </w:tcBorders>
            <w:hideMark/>
          </w:tcPr>
          <w:p w14:paraId="5964A462" w14:textId="77777777" w:rsidR="00685FE1" w:rsidRPr="008068A1" w:rsidRDefault="00685FE1" w:rsidP="009F4B10">
            <w:pPr>
              <w:spacing w:line="480" w:lineRule="auto"/>
              <w:rPr>
                <w:szCs w:val="22"/>
              </w:rPr>
            </w:pPr>
            <w:r w:rsidRPr="008068A1">
              <w:rPr>
                <w:szCs w:val="22"/>
              </w:rPr>
              <w:t>HUA.</w:t>
            </w:r>
          </w:p>
        </w:tc>
      </w:tr>
      <w:tr w:rsidR="00685FE1" w:rsidRPr="008068A1" w14:paraId="25D13259"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34E0C91" w14:textId="77777777" w:rsidR="00685FE1" w:rsidRPr="008068A1" w:rsidRDefault="00685FE1" w:rsidP="009F4B10">
            <w:pPr>
              <w:spacing w:line="480" w:lineRule="auto"/>
              <w:rPr>
                <w:szCs w:val="22"/>
              </w:rPr>
            </w:pPr>
            <w:r w:rsidRPr="008068A1">
              <w:rPr>
                <w:szCs w:val="22"/>
              </w:rPr>
              <w:t>Hurricane Statement</w:t>
            </w:r>
          </w:p>
        </w:tc>
        <w:tc>
          <w:tcPr>
            <w:tcW w:w="0" w:type="auto"/>
            <w:tcBorders>
              <w:top w:val="single" w:sz="6" w:space="0" w:color="000000"/>
              <w:left w:val="single" w:sz="6" w:space="0" w:color="000000"/>
              <w:bottom w:val="single" w:sz="6" w:space="0" w:color="000000"/>
              <w:right w:val="single" w:sz="6" w:space="0" w:color="000000"/>
            </w:tcBorders>
            <w:hideMark/>
          </w:tcPr>
          <w:p w14:paraId="4444FE01" w14:textId="77777777" w:rsidR="00685FE1" w:rsidRPr="008068A1" w:rsidRDefault="00685FE1" w:rsidP="009F4B10">
            <w:pPr>
              <w:spacing w:line="480" w:lineRule="auto"/>
              <w:rPr>
                <w:szCs w:val="22"/>
              </w:rPr>
            </w:pPr>
            <w:r w:rsidRPr="008068A1">
              <w:rPr>
                <w:szCs w:val="22"/>
              </w:rPr>
              <w:t>HLS.</w:t>
            </w:r>
          </w:p>
        </w:tc>
      </w:tr>
      <w:tr w:rsidR="00685FE1" w:rsidRPr="008068A1" w14:paraId="74F934E1"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5854CD5" w14:textId="77777777" w:rsidR="00685FE1" w:rsidRPr="008068A1" w:rsidRDefault="00685FE1" w:rsidP="009F4B10">
            <w:pPr>
              <w:spacing w:line="480" w:lineRule="auto"/>
              <w:rPr>
                <w:szCs w:val="22"/>
              </w:rPr>
            </w:pPr>
            <w:r w:rsidRPr="008068A1">
              <w:rPr>
                <w:szCs w:val="22"/>
              </w:rPr>
              <w:t>Law Enforcement Warning</w:t>
            </w:r>
          </w:p>
        </w:tc>
        <w:tc>
          <w:tcPr>
            <w:tcW w:w="0" w:type="auto"/>
            <w:tcBorders>
              <w:top w:val="single" w:sz="6" w:space="0" w:color="000000"/>
              <w:left w:val="single" w:sz="6" w:space="0" w:color="000000"/>
              <w:bottom w:val="single" w:sz="6" w:space="0" w:color="000000"/>
              <w:right w:val="single" w:sz="6" w:space="0" w:color="000000"/>
            </w:tcBorders>
            <w:hideMark/>
          </w:tcPr>
          <w:p w14:paraId="45E172AD" w14:textId="77777777" w:rsidR="00685FE1" w:rsidRPr="008068A1" w:rsidRDefault="00685FE1" w:rsidP="00216EA0">
            <w:pPr>
              <w:spacing w:line="480" w:lineRule="auto"/>
              <w:rPr>
                <w:szCs w:val="22"/>
              </w:rPr>
            </w:pPr>
            <w:r w:rsidRPr="008068A1">
              <w:rPr>
                <w:szCs w:val="22"/>
              </w:rPr>
              <w:t>LEW.</w:t>
            </w:r>
          </w:p>
        </w:tc>
      </w:tr>
      <w:tr w:rsidR="00685FE1" w:rsidRPr="008068A1" w14:paraId="66D63A64"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76E9A5F" w14:textId="77777777" w:rsidR="00685FE1" w:rsidRPr="008068A1" w:rsidRDefault="00685FE1" w:rsidP="009F4B10">
            <w:pPr>
              <w:spacing w:line="480" w:lineRule="auto"/>
              <w:rPr>
                <w:szCs w:val="22"/>
              </w:rPr>
            </w:pPr>
            <w:r w:rsidRPr="008068A1">
              <w:rPr>
                <w:szCs w:val="22"/>
              </w:rPr>
              <w:t>Local Area Emergency</w:t>
            </w:r>
          </w:p>
        </w:tc>
        <w:tc>
          <w:tcPr>
            <w:tcW w:w="0" w:type="auto"/>
            <w:tcBorders>
              <w:top w:val="single" w:sz="6" w:space="0" w:color="000000"/>
              <w:left w:val="single" w:sz="6" w:space="0" w:color="000000"/>
              <w:bottom w:val="single" w:sz="6" w:space="0" w:color="000000"/>
              <w:right w:val="single" w:sz="6" w:space="0" w:color="000000"/>
            </w:tcBorders>
            <w:hideMark/>
          </w:tcPr>
          <w:p w14:paraId="0924E0F1" w14:textId="77777777" w:rsidR="00685FE1" w:rsidRPr="008068A1" w:rsidRDefault="00685FE1" w:rsidP="00216EA0">
            <w:pPr>
              <w:spacing w:line="480" w:lineRule="auto"/>
              <w:rPr>
                <w:szCs w:val="22"/>
              </w:rPr>
            </w:pPr>
            <w:r w:rsidRPr="008068A1">
              <w:rPr>
                <w:szCs w:val="22"/>
              </w:rPr>
              <w:t>LAE.</w:t>
            </w:r>
          </w:p>
        </w:tc>
      </w:tr>
      <w:tr w:rsidR="00685FE1" w:rsidRPr="008068A1" w14:paraId="07B1D216"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38AFB0D" w14:textId="77777777" w:rsidR="00685FE1" w:rsidRPr="008068A1" w:rsidRDefault="00685FE1" w:rsidP="009F4B10">
            <w:pPr>
              <w:spacing w:line="480" w:lineRule="auto"/>
              <w:rPr>
                <w:szCs w:val="22"/>
              </w:rPr>
            </w:pPr>
            <w:r w:rsidRPr="008068A1">
              <w:rPr>
                <w:szCs w:val="22"/>
              </w:rPr>
              <w:t>Network Message Notification</w:t>
            </w:r>
          </w:p>
        </w:tc>
        <w:tc>
          <w:tcPr>
            <w:tcW w:w="0" w:type="auto"/>
            <w:tcBorders>
              <w:top w:val="single" w:sz="6" w:space="0" w:color="000000"/>
              <w:left w:val="single" w:sz="6" w:space="0" w:color="000000"/>
              <w:bottom w:val="single" w:sz="6" w:space="0" w:color="000000"/>
              <w:right w:val="single" w:sz="6" w:space="0" w:color="000000"/>
            </w:tcBorders>
            <w:hideMark/>
          </w:tcPr>
          <w:p w14:paraId="45CDEAB4" w14:textId="77777777" w:rsidR="00685FE1" w:rsidRPr="008068A1" w:rsidRDefault="00685FE1" w:rsidP="00216EA0">
            <w:pPr>
              <w:spacing w:line="480" w:lineRule="auto"/>
              <w:rPr>
                <w:szCs w:val="22"/>
              </w:rPr>
            </w:pPr>
            <w:r w:rsidRPr="008068A1">
              <w:rPr>
                <w:szCs w:val="22"/>
              </w:rPr>
              <w:t>NMN.</w:t>
            </w:r>
          </w:p>
        </w:tc>
      </w:tr>
      <w:tr w:rsidR="00685FE1" w:rsidRPr="008068A1" w14:paraId="6458553C"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BD54F89" w14:textId="77777777" w:rsidR="00685FE1" w:rsidRPr="008068A1" w:rsidRDefault="00685FE1" w:rsidP="009F4B10">
            <w:pPr>
              <w:spacing w:line="480" w:lineRule="auto"/>
              <w:rPr>
                <w:szCs w:val="22"/>
              </w:rPr>
            </w:pPr>
            <w:r w:rsidRPr="008068A1">
              <w:rPr>
                <w:szCs w:val="22"/>
              </w:rPr>
              <w:t>911 Telephone Outage Emergency</w:t>
            </w:r>
          </w:p>
        </w:tc>
        <w:tc>
          <w:tcPr>
            <w:tcW w:w="0" w:type="auto"/>
            <w:tcBorders>
              <w:top w:val="single" w:sz="6" w:space="0" w:color="000000"/>
              <w:left w:val="single" w:sz="6" w:space="0" w:color="000000"/>
              <w:bottom w:val="single" w:sz="6" w:space="0" w:color="000000"/>
              <w:right w:val="single" w:sz="6" w:space="0" w:color="000000"/>
            </w:tcBorders>
            <w:hideMark/>
          </w:tcPr>
          <w:p w14:paraId="515927CA" w14:textId="77777777" w:rsidR="00685FE1" w:rsidRPr="008068A1" w:rsidRDefault="00685FE1" w:rsidP="00216EA0">
            <w:pPr>
              <w:spacing w:line="480" w:lineRule="auto"/>
              <w:rPr>
                <w:szCs w:val="22"/>
              </w:rPr>
            </w:pPr>
            <w:r w:rsidRPr="008068A1">
              <w:rPr>
                <w:szCs w:val="22"/>
              </w:rPr>
              <w:t>TOE.</w:t>
            </w:r>
          </w:p>
        </w:tc>
      </w:tr>
      <w:tr w:rsidR="00685FE1" w:rsidRPr="008068A1" w14:paraId="03B04486"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BCACB5F" w14:textId="77777777" w:rsidR="00685FE1" w:rsidRPr="008068A1" w:rsidRDefault="00685FE1" w:rsidP="009F4B10">
            <w:pPr>
              <w:spacing w:line="480" w:lineRule="auto"/>
              <w:rPr>
                <w:szCs w:val="22"/>
              </w:rPr>
            </w:pPr>
            <w:r w:rsidRPr="008068A1">
              <w:rPr>
                <w:szCs w:val="22"/>
              </w:rPr>
              <w:t>Nuclear Power Plant Warning</w:t>
            </w:r>
          </w:p>
        </w:tc>
        <w:tc>
          <w:tcPr>
            <w:tcW w:w="0" w:type="auto"/>
            <w:tcBorders>
              <w:top w:val="single" w:sz="6" w:space="0" w:color="000000"/>
              <w:left w:val="single" w:sz="6" w:space="0" w:color="000000"/>
              <w:bottom w:val="single" w:sz="6" w:space="0" w:color="000000"/>
              <w:right w:val="single" w:sz="6" w:space="0" w:color="000000"/>
            </w:tcBorders>
            <w:hideMark/>
          </w:tcPr>
          <w:p w14:paraId="1DE8B68F" w14:textId="77777777" w:rsidR="00685FE1" w:rsidRPr="008068A1" w:rsidRDefault="00685FE1" w:rsidP="00216EA0">
            <w:pPr>
              <w:spacing w:line="480" w:lineRule="auto"/>
              <w:rPr>
                <w:szCs w:val="22"/>
              </w:rPr>
            </w:pPr>
            <w:r w:rsidRPr="008068A1">
              <w:rPr>
                <w:szCs w:val="22"/>
              </w:rPr>
              <w:t>NUW.</w:t>
            </w:r>
          </w:p>
        </w:tc>
      </w:tr>
      <w:tr w:rsidR="00685FE1" w:rsidRPr="008068A1" w14:paraId="5D47EE84"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C41817A" w14:textId="77777777" w:rsidR="00685FE1" w:rsidRPr="008068A1" w:rsidRDefault="00685FE1" w:rsidP="009F4B10">
            <w:pPr>
              <w:spacing w:line="480" w:lineRule="auto"/>
              <w:rPr>
                <w:szCs w:val="22"/>
              </w:rPr>
            </w:pPr>
            <w:r w:rsidRPr="008068A1">
              <w:rPr>
                <w:szCs w:val="22"/>
              </w:rPr>
              <w:t>Practice/Demo Warning</w:t>
            </w:r>
          </w:p>
        </w:tc>
        <w:tc>
          <w:tcPr>
            <w:tcW w:w="0" w:type="auto"/>
            <w:tcBorders>
              <w:top w:val="single" w:sz="6" w:space="0" w:color="000000"/>
              <w:left w:val="single" w:sz="6" w:space="0" w:color="000000"/>
              <w:bottom w:val="single" w:sz="6" w:space="0" w:color="000000"/>
              <w:right w:val="single" w:sz="6" w:space="0" w:color="000000"/>
            </w:tcBorders>
            <w:hideMark/>
          </w:tcPr>
          <w:p w14:paraId="1810F306" w14:textId="77777777" w:rsidR="00685FE1" w:rsidRPr="008068A1" w:rsidRDefault="00685FE1" w:rsidP="009F4B10">
            <w:pPr>
              <w:spacing w:line="480" w:lineRule="auto"/>
              <w:rPr>
                <w:szCs w:val="22"/>
              </w:rPr>
            </w:pPr>
            <w:r w:rsidRPr="008068A1">
              <w:rPr>
                <w:szCs w:val="22"/>
              </w:rPr>
              <w:t>DMO.</w:t>
            </w:r>
          </w:p>
        </w:tc>
      </w:tr>
      <w:tr w:rsidR="00685FE1" w:rsidRPr="008068A1" w14:paraId="3CB5D465"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B9626C8" w14:textId="77777777" w:rsidR="00685FE1" w:rsidRPr="008068A1" w:rsidRDefault="00685FE1" w:rsidP="009F4B10">
            <w:pPr>
              <w:spacing w:line="480" w:lineRule="auto"/>
              <w:rPr>
                <w:szCs w:val="22"/>
              </w:rPr>
            </w:pPr>
            <w:r w:rsidRPr="008068A1">
              <w:rPr>
                <w:szCs w:val="22"/>
              </w:rPr>
              <w:t>Radiological Hazard Warning</w:t>
            </w:r>
          </w:p>
        </w:tc>
        <w:tc>
          <w:tcPr>
            <w:tcW w:w="0" w:type="auto"/>
            <w:tcBorders>
              <w:top w:val="single" w:sz="6" w:space="0" w:color="000000"/>
              <w:left w:val="single" w:sz="6" w:space="0" w:color="000000"/>
              <w:bottom w:val="single" w:sz="6" w:space="0" w:color="000000"/>
              <w:right w:val="single" w:sz="6" w:space="0" w:color="000000"/>
            </w:tcBorders>
            <w:hideMark/>
          </w:tcPr>
          <w:p w14:paraId="3A5A7E8E" w14:textId="77777777" w:rsidR="00685FE1" w:rsidRPr="008068A1" w:rsidRDefault="00685FE1" w:rsidP="00216EA0">
            <w:pPr>
              <w:spacing w:line="480" w:lineRule="auto"/>
              <w:rPr>
                <w:szCs w:val="22"/>
              </w:rPr>
            </w:pPr>
            <w:r w:rsidRPr="008068A1">
              <w:rPr>
                <w:szCs w:val="22"/>
              </w:rPr>
              <w:t>RHW.</w:t>
            </w:r>
          </w:p>
        </w:tc>
      </w:tr>
      <w:tr w:rsidR="00685FE1" w:rsidRPr="008068A1" w14:paraId="37A7553A"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6A1F31F" w14:textId="77777777" w:rsidR="00685FE1" w:rsidRPr="008068A1" w:rsidRDefault="00685FE1" w:rsidP="009F4B10">
            <w:pPr>
              <w:spacing w:line="480" w:lineRule="auto"/>
              <w:rPr>
                <w:szCs w:val="22"/>
              </w:rPr>
            </w:pPr>
            <w:r w:rsidRPr="008068A1">
              <w:rPr>
                <w:szCs w:val="22"/>
              </w:rPr>
              <w:t>Severe Thunderstorm Warning</w:t>
            </w:r>
          </w:p>
        </w:tc>
        <w:tc>
          <w:tcPr>
            <w:tcW w:w="0" w:type="auto"/>
            <w:tcBorders>
              <w:top w:val="single" w:sz="6" w:space="0" w:color="000000"/>
              <w:left w:val="single" w:sz="6" w:space="0" w:color="000000"/>
              <w:bottom w:val="single" w:sz="6" w:space="0" w:color="000000"/>
              <w:right w:val="single" w:sz="6" w:space="0" w:color="000000"/>
            </w:tcBorders>
            <w:hideMark/>
          </w:tcPr>
          <w:p w14:paraId="2DF8AA3B" w14:textId="77777777" w:rsidR="00685FE1" w:rsidRPr="008068A1" w:rsidRDefault="00685FE1" w:rsidP="009F4B10">
            <w:pPr>
              <w:spacing w:line="480" w:lineRule="auto"/>
              <w:rPr>
                <w:szCs w:val="22"/>
              </w:rPr>
            </w:pPr>
            <w:r w:rsidRPr="008068A1">
              <w:rPr>
                <w:szCs w:val="22"/>
              </w:rPr>
              <w:t>SVR.</w:t>
            </w:r>
          </w:p>
        </w:tc>
      </w:tr>
      <w:tr w:rsidR="00685FE1" w:rsidRPr="008068A1" w14:paraId="5EA98AA8"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97D69F7" w14:textId="77777777" w:rsidR="00685FE1" w:rsidRPr="008068A1" w:rsidRDefault="00685FE1" w:rsidP="009F4B10">
            <w:pPr>
              <w:spacing w:line="480" w:lineRule="auto"/>
              <w:rPr>
                <w:szCs w:val="22"/>
              </w:rPr>
            </w:pPr>
            <w:r w:rsidRPr="008068A1">
              <w:rPr>
                <w:szCs w:val="22"/>
              </w:rPr>
              <w:t>Severe Thunderstorm Watch</w:t>
            </w:r>
          </w:p>
        </w:tc>
        <w:tc>
          <w:tcPr>
            <w:tcW w:w="0" w:type="auto"/>
            <w:tcBorders>
              <w:top w:val="single" w:sz="6" w:space="0" w:color="000000"/>
              <w:left w:val="single" w:sz="6" w:space="0" w:color="000000"/>
              <w:bottom w:val="single" w:sz="6" w:space="0" w:color="000000"/>
              <w:right w:val="single" w:sz="6" w:space="0" w:color="000000"/>
            </w:tcBorders>
            <w:hideMark/>
          </w:tcPr>
          <w:p w14:paraId="4B56DEAE" w14:textId="77777777" w:rsidR="00685FE1" w:rsidRPr="008068A1" w:rsidRDefault="00685FE1" w:rsidP="009F4B10">
            <w:pPr>
              <w:spacing w:line="480" w:lineRule="auto"/>
              <w:rPr>
                <w:szCs w:val="22"/>
              </w:rPr>
            </w:pPr>
            <w:r w:rsidRPr="008068A1">
              <w:rPr>
                <w:szCs w:val="22"/>
              </w:rPr>
              <w:t>SVA.</w:t>
            </w:r>
          </w:p>
        </w:tc>
      </w:tr>
      <w:tr w:rsidR="00685FE1" w:rsidRPr="008068A1" w14:paraId="08B32C26"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93939E1" w14:textId="77777777" w:rsidR="00685FE1" w:rsidRPr="008068A1" w:rsidRDefault="00685FE1" w:rsidP="009F4B10">
            <w:pPr>
              <w:spacing w:line="480" w:lineRule="auto"/>
              <w:rPr>
                <w:szCs w:val="22"/>
              </w:rPr>
            </w:pPr>
            <w:r w:rsidRPr="008068A1">
              <w:rPr>
                <w:szCs w:val="22"/>
              </w:rPr>
              <w:t>Severe Weather Statement</w:t>
            </w:r>
          </w:p>
        </w:tc>
        <w:tc>
          <w:tcPr>
            <w:tcW w:w="0" w:type="auto"/>
            <w:tcBorders>
              <w:top w:val="single" w:sz="6" w:space="0" w:color="000000"/>
              <w:left w:val="single" w:sz="6" w:space="0" w:color="000000"/>
              <w:bottom w:val="single" w:sz="6" w:space="0" w:color="000000"/>
              <w:right w:val="single" w:sz="6" w:space="0" w:color="000000"/>
            </w:tcBorders>
            <w:hideMark/>
          </w:tcPr>
          <w:p w14:paraId="136E4754" w14:textId="77777777" w:rsidR="00685FE1" w:rsidRPr="008068A1" w:rsidRDefault="00685FE1" w:rsidP="009F4B10">
            <w:pPr>
              <w:spacing w:line="480" w:lineRule="auto"/>
              <w:rPr>
                <w:szCs w:val="22"/>
              </w:rPr>
            </w:pPr>
            <w:r w:rsidRPr="008068A1">
              <w:rPr>
                <w:szCs w:val="22"/>
              </w:rPr>
              <w:t>SVS.</w:t>
            </w:r>
          </w:p>
        </w:tc>
      </w:tr>
      <w:tr w:rsidR="00685FE1" w:rsidRPr="008068A1" w14:paraId="1A89E338"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CB15DFB" w14:textId="77777777" w:rsidR="00685FE1" w:rsidRPr="008068A1" w:rsidRDefault="00685FE1" w:rsidP="009F4B10">
            <w:pPr>
              <w:spacing w:line="480" w:lineRule="auto"/>
              <w:rPr>
                <w:szCs w:val="22"/>
              </w:rPr>
            </w:pPr>
            <w:r w:rsidRPr="008068A1">
              <w:rPr>
                <w:szCs w:val="22"/>
              </w:rPr>
              <w:t>Shelter in Place Warning</w:t>
            </w:r>
          </w:p>
        </w:tc>
        <w:tc>
          <w:tcPr>
            <w:tcW w:w="0" w:type="auto"/>
            <w:tcBorders>
              <w:top w:val="single" w:sz="6" w:space="0" w:color="000000"/>
              <w:left w:val="single" w:sz="6" w:space="0" w:color="000000"/>
              <w:bottom w:val="single" w:sz="6" w:space="0" w:color="000000"/>
              <w:right w:val="single" w:sz="6" w:space="0" w:color="000000"/>
            </w:tcBorders>
            <w:hideMark/>
          </w:tcPr>
          <w:p w14:paraId="1B6F5E85" w14:textId="77777777" w:rsidR="00685FE1" w:rsidRPr="008068A1" w:rsidRDefault="00685FE1" w:rsidP="00216EA0">
            <w:pPr>
              <w:spacing w:line="480" w:lineRule="auto"/>
              <w:rPr>
                <w:szCs w:val="22"/>
              </w:rPr>
            </w:pPr>
            <w:r w:rsidRPr="008068A1">
              <w:rPr>
                <w:szCs w:val="22"/>
              </w:rPr>
              <w:t>SPW</w:t>
            </w:r>
          </w:p>
        </w:tc>
      </w:tr>
      <w:tr w:rsidR="00685FE1" w:rsidRPr="008068A1" w14:paraId="666064C7"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6DE9916" w14:textId="77777777" w:rsidR="00685FE1" w:rsidRPr="008068A1" w:rsidRDefault="00685FE1" w:rsidP="009F4B10">
            <w:pPr>
              <w:spacing w:line="480" w:lineRule="auto"/>
              <w:rPr>
                <w:szCs w:val="22"/>
              </w:rPr>
            </w:pPr>
            <w:r w:rsidRPr="008068A1">
              <w:rPr>
                <w:szCs w:val="22"/>
              </w:rPr>
              <w:t>Special Marine Warning</w:t>
            </w:r>
          </w:p>
        </w:tc>
        <w:tc>
          <w:tcPr>
            <w:tcW w:w="0" w:type="auto"/>
            <w:tcBorders>
              <w:top w:val="single" w:sz="6" w:space="0" w:color="000000"/>
              <w:left w:val="single" w:sz="6" w:space="0" w:color="000000"/>
              <w:bottom w:val="single" w:sz="6" w:space="0" w:color="000000"/>
              <w:right w:val="single" w:sz="6" w:space="0" w:color="000000"/>
            </w:tcBorders>
            <w:hideMark/>
          </w:tcPr>
          <w:p w14:paraId="14A3AE3F" w14:textId="77777777" w:rsidR="00685FE1" w:rsidRPr="008068A1" w:rsidRDefault="00685FE1" w:rsidP="00216EA0">
            <w:pPr>
              <w:spacing w:line="480" w:lineRule="auto"/>
              <w:rPr>
                <w:szCs w:val="22"/>
              </w:rPr>
            </w:pPr>
            <w:r w:rsidRPr="008068A1">
              <w:rPr>
                <w:szCs w:val="22"/>
              </w:rPr>
              <w:t>SMW.</w:t>
            </w:r>
          </w:p>
        </w:tc>
      </w:tr>
      <w:tr w:rsidR="00685FE1" w:rsidRPr="008068A1" w14:paraId="3DBE339A"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B07017C" w14:textId="77777777" w:rsidR="00685FE1" w:rsidRPr="008068A1" w:rsidRDefault="00685FE1" w:rsidP="009F4B10">
            <w:pPr>
              <w:spacing w:line="480" w:lineRule="auto"/>
              <w:rPr>
                <w:szCs w:val="22"/>
              </w:rPr>
            </w:pPr>
            <w:r w:rsidRPr="008068A1">
              <w:rPr>
                <w:szCs w:val="22"/>
              </w:rPr>
              <w:t>Special Weather Statement</w:t>
            </w:r>
          </w:p>
        </w:tc>
        <w:tc>
          <w:tcPr>
            <w:tcW w:w="0" w:type="auto"/>
            <w:tcBorders>
              <w:top w:val="single" w:sz="6" w:space="0" w:color="000000"/>
              <w:left w:val="single" w:sz="6" w:space="0" w:color="000000"/>
              <w:bottom w:val="single" w:sz="6" w:space="0" w:color="000000"/>
              <w:right w:val="single" w:sz="6" w:space="0" w:color="000000"/>
            </w:tcBorders>
            <w:hideMark/>
          </w:tcPr>
          <w:p w14:paraId="76D0A7B1" w14:textId="77777777" w:rsidR="00685FE1" w:rsidRPr="008068A1" w:rsidRDefault="00685FE1" w:rsidP="009F4B10">
            <w:pPr>
              <w:spacing w:line="480" w:lineRule="auto"/>
              <w:rPr>
                <w:szCs w:val="22"/>
              </w:rPr>
            </w:pPr>
            <w:r w:rsidRPr="008068A1">
              <w:rPr>
                <w:szCs w:val="22"/>
              </w:rPr>
              <w:t>SPS.</w:t>
            </w:r>
          </w:p>
        </w:tc>
      </w:tr>
      <w:tr w:rsidR="00685FE1" w:rsidRPr="008068A1" w14:paraId="45832AB0"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tcPr>
          <w:p w14:paraId="44CE6FFD" w14:textId="77777777" w:rsidR="00685FE1" w:rsidRPr="00EC7ACD" w:rsidRDefault="00685FE1" w:rsidP="009F4B10">
            <w:pPr>
              <w:spacing w:line="480" w:lineRule="auto"/>
              <w:rPr>
                <w:b/>
                <w:szCs w:val="22"/>
              </w:rPr>
            </w:pPr>
            <w:r w:rsidRPr="00EC7ACD">
              <w:rPr>
                <w:b/>
                <w:szCs w:val="22"/>
              </w:rPr>
              <w:t>Storm Surge Watch</w:t>
            </w:r>
          </w:p>
        </w:tc>
        <w:tc>
          <w:tcPr>
            <w:tcW w:w="0" w:type="auto"/>
            <w:tcBorders>
              <w:top w:val="single" w:sz="6" w:space="0" w:color="000000"/>
              <w:left w:val="single" w:sz="6" w:space="0" w:color="000000"/>
              <w:bottom w:val="single" w:sz="6" w:space="0" w:color="000000"/>
              <w:right w:val="single" w:sz="6" w:space="0" w:color="000000"/>
            </w:tcBorders>
          </w:tcPr>
          <w:p w14:paraId="3EAB1CF8" w14:textId="77777777" w:rsidR="00685FE1" w:rsidRPr="00EC7ACD" w:rsidRDefault="00685FE1" w:rsidP="009F4B10">
            <w:pPr>
              <w:spacing w:line="480" w:lineRule="auto"/>
              <w:rPr>
                <w:b/>
                <w:szCs w:val="22"/>
              </w:rPr>
            </w:pPr>
            <w:r w:rsidRPr="00EC7ACD">
              <w:rPr>
                <w:b/>
                <w:szCs w:val="22"/>
              </w:rPr>
              <w:t>SSA</w:t>
            </w:r>
            <w:r w:rsidR="004805AF" w:rsidRPr="00EC7ACD">
              <w:rPr>
                <w:b/>
                <w:szCs w:val="22"/>
              </w:rPr>
              <w:t>.</w:t>
            </w:r>
          </w:p>
        </w:tc>
      </w:tr>
      <w:tr w:rsidR="00685FE1" w:rsidRPr="008068A1" w14:paraId="7E4EF512"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tcPr>
          <w:p w14:paraId="54097E8C" w14:textId="77777777" w:rsidR="00685FE1" w:rsidRPr="00EC7ACD" w:rsidRDefault="00685FE1" w:rsidP="009F4B10">
            <w:pPr>
              <w:spacing w:line="480" w:lineRule="auto"/>
              <w:rPr>
                <w:b/>
                <w:szCs w:val="22"/>
              </w:rPr>
            </w:pPr>
            <w:r w:rsidRPr="00EC7ACD">
              <w:rPr>
                <w:b/>
                <w:szCs w:val="22"/>
              </w:rPr>
              <w:t>Storm Surge Warning</w:t>
            </w:r>
          </w:p>
        </w:tc>
        <w:tc>
          <w:tcPr>
            <w:tcW w:w="0" w:type="auto"/>
            <w:tcBorders>
              <w:top w:val="single" w:sz="6" w:space="0" w:color="000000"/>
              <w:left w:val="single" w:sz="6" w:space="0" w:color="000000"/>
              <w:bottom w:val="single" w:sz="6" w:space="0" w:color="000000"/>
              <w:right w:val="single" w:sz="6" w:space="0" w:color="000000"/>
            </w:tcBorders>
          </w:tcPr>
          <w:p w14:paraId="0B48AE2F" w14:textId="77777777" w:rsidR="00685FE1" w:rsidRPr="00EC7ACD" w:rsidRDefault="00685FE1" w:rsidP="009F4B10">
            <w:pPr>
              <w:spacing w:line="480" w:lineRule="auto"/>
              <w:rPr>
                <w:b/>
                <w:szCs w:val="22"/>
              </w:rPr>
            </w:pPr>
            <w:r w:rsidRPr="00EC7ACD">
              <w:rPr>
                <w:b/>
                <w:szCs w:val="22"/>
              </w:rPr>
              <w:t>SSW</w:t>
            </w:r>
            <w:r w:rsidR="004805AF" w:rsidRPr="00EC7ACD">
              <w:rPr>
                <w:b/>
                <w:szCs w:val="22"/>
              </w:rPr>
              <w:t>.</w:t>
            </w:r>
          </w:p>
        </w:tc>
      </w:tr>
      <w:tr w:rsidR="00685FE1" w:rsidRPr="008068A1" w14:paraId="40163BA5"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61CB5FD" w14:textId="77777777" w:rsidR="00685FE1" w:rsidRPr="008068A1" w:rsidRDefault="00685FE1" w:rsidP="009F4B10">
            <w:pPr>
              <w:spacing w:line="480" w:lineRule="auto"/>
              <w:rPr>
                <w:szCs w:val="22"/>
              </w:rPr>
            </w:pPr>
            <w:r w:rsidRPr="008068A1">
              <w:rPr>
                <w:szCs w:val="22"/>
              </w:rPr>
              <w:t>Tornado Warning</w:t>
            </w:r>
          </w:p>
        </w:tc>
        <w:tc>
          <w:tcPr>
            <w:tcW w:w="0" w:type="auto"/>
            <w:tcBorders>
              <w:top w:val="single" w:sz="6" w:space="0" w:color="000000"/>
              <w:left w:val="single" w:sz="6" w:space="0" w:color="000000"/>
              <w:bottom w:val="single" w:sz="6" w:space="0" w:color="000000"/>
              <w:right w:val="single" w:sz="6" w:space="0" w:color="000000"/>
            </w:tcBorders>
            <w:hideMark/>
          </w:tcPr>
          <w:p w14:paraId="067E8DE5" w14:textId="77777777" w:rsidR="00685FE1" w:rsidRPr="008068A1" w:rsidRDefault="00685FE1" w:rsidP="009F4B10">
            <w:pPr>
              <w:spacing w:line="480" w:lineRule="auto"/>
              <w:rPr>
                <w:szCs w:val="22"/>
              </w:rPr>
            </w:pPr>
            <w:r w:rsidRPr="008068A1">
              <w:rPr>
                <w:szCs w:val="22"/>
              </w:rPr>
              <w:t>TOR.</w:t>
            </w:r>
          </w:p>
        </w:tc>
      </w:tr>
      <w:tr w:rsidR="00685FE1" w:rsidRPr="008068A1" w14:paraId="75AE9276"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FFAFE49" w14:textId="77777777" w:rsidR="00685FE1" w:rsidRPr="008068A1" w:rsidRDefault="00685FE1" w:rsidP="009F4B10">
            <w:pPr>
              <w:spacing w:line="480" w:lineRule="auto"/>
              <w:rPr>
                <w:szCs w:val="22"/>
              </w:rPr>
            </w:pPr>
            <w:r w:rsidRPr="008068A1">
              <w:rPr>
                <w:szCs w:val="22"/>
              </w:rPr>
              <w:t>Tornado Watch</w:t>
            </w:r>
          </w:p>
        </w:tc>
        <w:tc>
          <w:tcPr>
            <w:tcW w:w="0" w:type="auto"/>
            <w:tcBorders>
              <w:top w:val="single" w:sz="6" w:space="0" w:color="000000"/>
              <w:left w:val="single" w:sz="6" w:space="0" w:color="000000"/>
              <w:bottom w:val="single" w:sz="6" w:space="0" w:color="000000"/>
              <w:right w:val="single" w:sz="6" w:space="0" w:color="000000"/>
            </w:tcBorders>
            <w:hideMark/>
          </w:tcPr>
          <w:p w14:paraId="4AFA0C16" w14:textId="77777777" w:rsidR="00685FE1" w:rsidRPr="008068A1" w:rsidRDefault="00685FE1" w:rsidP="009F4B10">
            <w:pPr>
              <w:spacing w:line="480" w:lineRule="auto"/>
              <w:rPr>
                <w:szCs w:val="22"/>
              </w:rPr>
            </w:pPr>
            <w:r w:rsidRPr="008068A1">
              <w:rPr>
                <w:szCs w:val="22"/>
              </w:rPr>
              <w:t>TOA.</w:t>
            </w:r>
          </w:p>
        </w:tc>
      </w:tr>
      <w:tr w:rsidR="00685FE1" w:rsidRPr="008068A1" w14:paraId="52C0B9C6"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535BD57" w14:textId="77777777" w:rsidR="00685FE1" w:rsidRPr="008068A1" w:rsidRDefault="00685FE1" w:rsidP="009F4B10">
            <w:pPr>
              <w:spacing w:line="480" w:lineRule="auto"/>
              <w:rPr>
                <w:szCs w:val="22"/>
              </w:rPr>
            </w:pPr>
            <w:r w:rsidRPr="008068A1">
              <w:rPr>
                <w:szCs w:val="22"/>
              </w:rPr>
              <w:t>Tropical Storm Warning</w:t>
            </w:r>
          </w:p>
        </w:tc>
        <w:tc>
          <w:tcPr>
            <w:tcW w:w="0" w:type="auto"/>
            <w:tcBorders>
              <w:top w:val="single" w:sz="6" w:space="0" w:color="000000"/>
              <w:left w:val="single" w:sz="6" w:space="0" w:color="000000"/>
              <w:bottom w:val="single" w:sz="6" w:space="0" w:color="000000"/>
              <w:right w:val="single" w:sz="6" w:space="0" w:color="000000"/>
            </w:tcBorders>
            <w:hideMark/>
          </w:tcPr>
          <w:p w14:paraId="39AD91D7" w14:textId="77777777" w:rsidR="00685FE1" w:rsidRPr="008068A1" w:rsidRDefault="00685FE1" w:rsidP="00216EA0">
            <w:pPr>
              <w:spacing w:line="480" w:lineRule="auto"/>
              <w:rPr>
                <w:szCs w:val="22"/>
              </w:rPr>
            </w:pPr>
            <w:r w:rsidRPr="008068A1">
              <w:rPr>
                <w:szCs w:val="22"/>
              </w:rPr>
              <w:t>TRW.</w:t>
            </w:r>
          </w:p>
        </w:tc>
      </w:tr>
      <w:tr w:rsidR="00685FE1" w:rsidRPr="008068A1" w14:paraId="5F026856"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6A3C482" w14:textId="77777777" w:rsidR="00685FE1" w:rsidRPr="008068A1" w:rsidRDefault="00685FE1" w:rsidP="009F4B10">
            <w:pPr>
              <w:spacing w:line="480" w:lineRule="auto"/>
              <w:rPr>
                <w:szCs w:val="22"/>
              </w:rPr>
            </w:pPr>
            <w:r w:rsidRPr="008068A1">
              <w:rPr>
                <w:szCs w:val="22"/>
              </w:rPr>
              <w:t>Tropical Storm Watch</w:t>
            </w:r>
          </w:p>
        </w:tc>
        <w:tc>
          <w:tcPr>
            <w:tcW w:w="0" w:type="auto"/>
            <w:tcBorders>
              <w:top w:val="single" w:sz="6" w:space="0" w:color="000000"/>
              <w:left w:val="single" w:sz="6" w:space="0" w:color="000000"/>
              <w:bottom w:val="single" w:sz="6" w:space="0" w:color="000000"/>
              <w:right w:val="single" w:sz="6" w:space="0" w:color="000000"/>
            </w:tcBorders>
            <w:hideMark/>
          </w:tcPr>
          <w:p w14:paraId="13B6986E" w14:textId="77777777" w:rsidR="00685FE1" w:rsidRPr="008068A1" w:rsidRDefault="00685FE1" w:rsidP="00216EA0">
            <w:pPr>
              <w:spacing w:line="480" w:lineRule="auto"/>
              <w:rPr>
                <w:szCs w:val="22"/>
              </w:rPr>
            </w:pPr>
            <w:r w:rsidRPr="008068A1">
              <w:rPr>
                <w:szCs w:val="22"/>
              </w:rPr>
              <w:t>TRA.</w:t>
            </w:r>
          </w:p>
        </w:tc>
      </w:tr>
      <w:tr w:rsidR="00685FE1" w:rsidRPr="008068A1" w14:paraId="3AEC834C"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A6983CE" w14:textId="77777777" w:rsidR="00685FE1" w:rsidRPr="008068A1" w:rsidRDefault="00685FE1" w:rsidP="009F4B10">
            <w:pPr>
              <w:spacing w:line="480" w:lineRule="auto"/>
              <w:rPr>
                <w:szCs w:val="22"/>
              </w:rPr>
            </w:pPr>
            <w:r w:rsidRPr="008068A1">
              <w:rPr>
                <w:szCs w:val="22"/>
              </w:rPr>
              <w:t>Tsunami Warning</w:t>
            </w:r>
          </w:p>
        </w:tc>
        <w:tc>
          <w:tcPr>
            <w:tcW w:w="0" w:type="auto"/>
            <w:tcBorders>
              <w:top w:val="single" w:sz="6" w:space="0" w:color="000000"/>
              <w:left w:val="single" w:sz="6" w:space="0" w:color="000000"/>
              <w:bottom w:val="single" w:sz="6" w:space="0" w:color="000000"/>
              <w:right w:val="single" w:sz="6" w:space="0" w:color="000000"/>
            </w:tcBorders>
            <w:hideMark/>
          </w:tcPr>
          <w:p w14:paraId="3CF26A80" w14:textId="77777777" w:rsidR="00685FE1" w:rsidRPr="008068A1" w:rsidRDefault="00685FE1" w:rsidP="009F4B10">
            <w:pPr>
              <w:spacing w:line="480" w:lineRule="auto"/>
              <w:rPr>
                <w:szCs w:val="22"/>
              </w:rPr>
            </w:pPr>
            <w:r w:rsidRPr="008068A1">
              <w:rPr>
                <w:szCs w:val="22"/>
              </w:rPr>
              <w:t>TSW.</w:t>
            </w:r>
          </w:p>
        </w:tc>
      </w:tr>
      <w:tr w:rsidR="00685FE1" w:rsidRPr="008068A1" w14:paraId="2C8F743E"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E75C970" w14:textId="77777777" w:rsidR="00685FE1" w:rsidRPr="008068A1" w:rsidRDefault="00685FE1" w:rsidP="009F4B10">
            <w:pPr>
              <w:spacing w:line="480" w:lineRule="auto"/>
              <w:rPr>
                <w:szCs w:val="22"/>
              </w:rPr>
            </w:pPr>
            <w:r w:rsidRPr="008068A1">
              <w:rPr>
                <w:szCs w:val="22"/>
              </w:rPr>
              <w:t>Tsunami Watch</w:t>
            </w:r>
          </w:p>
        </w:tc>
        <w:tc>
          <w:tcPr>
            <w:tcW w:w="0" w:type="auto"/>
            <w:tcBorders>
              <w:top w:val="single" w:sz="6" w:space="0" w:color="000000"/>
              <w:left w:val="single" w:sz="6" w:space="0" w:color="000000"/>
              <w:bottom w:val="single" w:sz="6" w:space="0" w:color="000000"/>
              <w:right w:val="single" w:sz="6" w:space="0" w:color="000000"/>
            </w:tcBorders>
            <w:hideMark/>
          </w:tcPr>
          <w:p w14:paraId="27BD8476" w14:textId="77777777" w:rsidR="00685FE1" w:rsidRPr="008068A1" w:rsidRDefault="00685FE1" w:rsidP="009F4B10">
            <w:pPr>
              <w:spacing w:line="480" w:lineRule="auto"/>
              <w:rPr>
                <w:szCs w:val="22"/>
              </w:rPr>
            </w:pPr>
            <w:r w:rsidRPr="008068A1">
              <w:rPr>
                <w:szCs w:val="22"/>
              </w:rPr>
              <w:t>TSA.</w:t>
            </w:r>
          </w:p>
        </w:tc>
      </w:tr>
      <w:tr w:rsidR="00685FE1" w:rsidRPr="008068A1" w14:paraId="1EE7AC3A"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66B2C0B" w14:textId="77777777" w:rsidR="00685FE1" w:rsidRPr="008068A1" w:rsidRDefault="00685FE1" w:rsidP="009F4B10">
            <w:pPr>
              <w:spacing w:line="480" w:lineRule="auto"/>
              <w:rPr>
                <w:szCs w:val="22"/>
              </w:rPr>
            </w:pPr>
            <w:r w:rsidRPr="008068A1">
              <w:rPr>
                <w:szCs w:val="22"/>
              </w:rPr>
              <w:t>Volcano Warning</w:t>
            </w:r>
          </w:p>
        </w:tc>
        <w:tc>
          <w:tcPr>
            <w:tcW w:w="0" w:type="auto"/>
            <w:tcBorders>
              <w:top w:val="single" w:sz="6" w:space="0" w:color="000000"/>
              <w:left w:val="single" w:sz="6" w:space="0" w:color="000000"/>
              <w:bottom w:val="single" w:sz="6" w:space="0" w:color="000000"/>
              <w:right w:val="single" w:sz="6" w:space="0" w:color="000000"/>
            </w:tcBorders>
            <w:hideMark/>
          </w:tcPr>
          <w:p w14:paraId="28855A58" w14:textId="77777777" w:rsidR="00685FE1" w:rsidRPr="008068A1" w:rsidRDefault="00685FE1" w:rsidP="00216EA0">
            <w:pPr>
              <w:spacing w:line="480" w:lineRule="auto"/>
              <w:rPr>
                <w:szCs w:val="22"/>
              </w:rPr>
            </w:pPr>
            <w:r w:rsidRPr="008068A1">
              <w:rPr>
                <w:szCs w:val="22"/>
              </w:rPr>
              <w:t>VOW.</w:t>
            </w:r>
          </w:p>
        </w:tc>
      </w:tr>
      <w:tr w:rsidR="00685FE1" w:rsidRPr="008068A1" w14:paraId="4D097478"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8C6E0C6" w14:textId="77777777" w:rsidR="00685FE1" w:rsidRPr="008068A1" w:rsidRDefault="00685FE1" w:rsidP="009F4B10">
            <w:pPr>
              <w:spacing w:line="480" w:lineRule="auto"/>
              <w:rPr>
                <w:szCs w:val="22"/>
              </w:rPr>
            </w:pPr>
            <w:r w:rsidRPr="008068A1">
              <w:rPr>
                <w:szCs w:val="22"/>
              </w:rPr>
              <w:t>Winter Storm Warning</w:t>
            </w:r>
          </w:p>
        </w:tc>
        <w:tc>
          <w:tcPr>
            <w:tcW w:w="0" w:type="auto"/>
            <w:tcBorders>
              <w:top w:val="single" w:sz="6" w:space="0" w:color="000000"/>
              <w:left w:val="single" w:sz="6" w:space="0" w:color="000000"/>
              <w:bottom w:val="single" w:sz="6" w:space="0" w:color="000000"/>
              <w:right w:val="single" w:sz="6" w:space="0" w:color="000000"/>
            </w:tcBorders>
            <w:hideMark/>
          </w:tcPr>
          <w:p w14:paraId="40A9CC25" w14:textId="77777777" w:rsidR="00685FE1" w:rsidRPr="008068A1" w:rsidRDefault="00685FE1" w:rsidP="009F4B10">
            <w:pPr>
              <w:spacing w:line="480" w:lineRule="auto"/>
              <w:rPr>
                <w:szCs w:val="22"/>
              </w:rPr>
            </w:pPr>
            <w:r w:rsidRPr="008068A1">
              <w:rPr>
                <w:szCs w:val="22"/>
              </w:rPr>
              <w:t>WSW.</w:t>
            </w:r>
          </w:p>
        </w:tc>
      </w:tr>
      <w:tr w:rsidR="00685FE1" w:rsidRPr="008068A1" w14:paraId="7EBB6F54" w14:textId="77777777" w:rsidTr="00AE2114">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EC5EEF0" w14:textId="77777777" w:rsidR="00685FE1" w:rsidRPr="008068A1" w:rsidRDefault="00685FE1" w:rsidP="009F4B10">
            <w:pPr>
              <w:spacing w:line="480" w:lineRule="auto"/>
              <w:rPr>
                <w:szCs w:val="22"/>
              </w:rPr>
            </w:pPr>
            <w:r w:rsidRPr="008068A1">
              <w:rPr>
                <w:szCs w:val="22"/>
              </w:rPr>
              <w:t>Winter Storm Watch</w:t>
            </w:r>
          </w:p>
        </w:tc>
        <w:tc>
          <w:tcPr>
            <w:tcW w:w="0" w:type="auto"/>
            <w:tcBorders>
              <w:top w:val="single" w:sz="6" w:space="0" w:color="000000"/>
              <w:left w:val="single" w:sz="6" w:space="0" w:color="000000"/>
              <w:bottom w:val="single" w:sz="6" w:space="0" w:color="000000"/>
              <w:right w:val="single" w:sz="6" w:space="0" w:color="000000"/>
            </w:tcBorders>
            <w:hideMark/>
          </w:tcPr>
          <w:p w14:paraId="0A6C7B1B" w14:textId="77777777" w:rsidR="00685FE1" w:rsidRPr="008068A1" w:rsidRDefault="00685FE1" w:rsidP="009F4B10">
            <w:pPr>
              <w:spacing w:line="480" w:lineRule="auto"/>
              <w:rPr>
                <w:szCs w:val="22"/>
              </w:rPr>
            </w:pPr>
            <w:r w:rsidRPr="008068A1">
              <w:rPr>
                <w:szCs w:val="22"/>
              </w:rPr>
              <w:t>WSA.</w:t>
            </w:r>
          </w:p>
        </w:tc>
      </w:tr>
    </w:tbl>
    <w:p w14:paraId="77AAF661" w14:textId="77777777" w:rsidR="00685FE1" w:rsidRPr="008068A1" w:rsidRDefault="00685FE1" w:rsidP="00685FE1">
      <w:pPr>
        <w:shd w:val="clear" w:color="auto" w:fill="FFFFFF"/>
        <w:spacing w:before="100" w:beforeAutospacing="1" w:after="100" w:afterAutospacing="1"/>
        <w:ind w:firstLine="480"/>
        <w:rPr>
          <w:color w:val="000000"/>
          <w:szCs w:val="22"/>
        </w:rPr>
      </w:pPr>
      <w:r w:rsidRPr="008068A1">
        <w:rPr>
          <w:color w:val="000000"/>
          <w:szCs w:val="22"/>
        </w:rPr>
        <w:t>(f) The All U.S., State, Territory and Offshore (Marine Area) ANSI number codes (SS) are as follows.  County ANSI numbers (CCC) are contained in the State EAS Mapbook.</w:t>
      </w:r>
    </w:p>
    <w:tbl>
      <w:tblPr>
        <w:tblW w:w="0" w:type="auto"/>
        <w:tblBorders>
          <w:top w:val="single" w:sz="6" w:space="0" w:color="000000"/>
        </w:tblBorders>
        <w:tblCellMar>
          <w:top w:w="15" w:type="dxa"/>
          <w:left w:w="15" w:type="dxa"/>
          <w:bottom w:w="15" w:type="dxa"/>
          <w:right w:w="15" w:type="dxa"/>
        </w:tblCellMar>
        <w:tblLook w:val="0000" w:firstRow="0" w:lastRow="0" w:firstColumn="0" w:lastColumn="0" w:noHBand="0" w:noVBand="0"/>
      </w:tblPr>
      <w:tblGrid>
        <w:gridCol w:w="375"/>
        <w:gridCol w:w="187"/>
        <w:gridCol w:w="3053"/>
        <w:gridCol w:w="3960"/>
        <w:gridCol w:w="1080"/>
      </w:tblGrid>
      <w:tr w:rsidR="00685FE1" w:rsidRPr="008068A1" w14:paraId="7A5E59A1" w14:textId="77777777" w:rsidTr="00AE2114">
        <w:tc>
          <w:tcPr>
            <w:tcW w:w="562" w:type="dxa"/>
            <w:gridSpan w:val="2"/>
            <w:tcBorders>
              <w:top w:val="single" w:sz="6" w:space="0" w:color="000000"/>
              <w:bottom w:val="single" w:sz="6" w:space="0" w:color="000000"/>
            </w:tcBorders>
            <w:vAlign w:val="center"/>
          </w:tcPr>
          <w:p w14:paraId="74BAD3A8" w14:textId="77777777" w:rsidR="00685FE1" w:rsidRPr="008068A1" w:rsidRDefault="00685FE1" w:rsidP="009F4B10">
            <w:pPr>
              <w:rPr>
                <w:color w:val="000000"/>
                <w:szCs w:val="22"/>
              </w:rPr>
            </w:pPr>
            <w:r w:rsidRPr="008068A1">
              <w:rPr>
                <w:color w:val="000000"/>
                <w:szCs w:val="22"/>
              </w:rPr>
              <w:t> </w:t>
            </w:r>
          </w:p>
        </w:tc>
        <w:tc>
          <w:tcPr>
            <w:tcW w:w="3053" w:type="dxa"/>
            <w:tcBorders>
              <w:top w:val="single" w:sz="6" w:space="0" w:color="000000"/>
              <w:bottom w:val="single" w:sz="6" w:space="0" w:color="000000"/>
            </w:tcBorders>
            <w:vAlign w:val="center"/>
          </w:tcPr>
          <w:p w14:paraId="3E56CDF1" w14:textId="77777777" w:rsidR="00685FE1" w:rsidRPr="008068A1" w:rsidRDefault="00685FE1" w:rsidP="009F4B10">
            <w:pPr>
              <w:rPr>
                <w:color w:val="000000"/>
                <w:szCs w:val="22"/>
              </w:rPr>
            </w:pPr>
            <w:r w:rsidRPr="008068A1">
              <w:rPr>
                <w:color w:val="000000"/>
                <w:szCs w:val="22"/>
              </w:rPr>
              <w:t> </w:t>
            </w:r>
          </w:p>
        </w:tc>
        <w:tc>
          <w:tcPr>
            <w:tcW w:w="3960" w:type="dxa"/>
            <w:tcBorders>
              <w:top w:val="single" w:sz="6" w:space="0" w:color="000000"/>
              <w:bottom w:val="single" w:sz="6" w:space="0" w:color="000000"/>
            </w:tcBorders>
            <w:vAlign w:val="center"/>
          </w:tcPr>
          <w:p w14:paraId="23275E69" w14:textId="77777777" w:rsidR="00685FE1" w:rsidRPr="008068A1" w:rsidRDefault="00685FE1" w:rsidP="009F4B10">
            <w:pPr>
              <w:rPr>
                <w:color w:val="000000"/>
                <w:szCs w:val="22"/>
              </w:rPr>
            </w:pPr>
            <w:r w:rsidRPr="008068A1">
              <w:rPr>
                <w:color w:val="000000"/>
                <w:szCs w:val="22"/>
              </w:rPr>
              <w:t> </w:t>
            </w:r>
          </w:p>
        </w:tc>
        <w:tc>
          <w:tcPr>
            <w:tcW w:w="1080" w:type="dxa"/>
            <w:tcBorders>
              <w:top w:val="single" w:sz="6" w:space="0" w:color="000000"/>
              <w:bottom w:val="single" w:sz="6" w:space="0" w:color="000000"/>
            </w:tcBorders>
            <w:tcMar>
              <w:top w:w="0" w:type="dxa"/>
              <w:left w:w="0" w:type="dxa"/>
              <w:bottom w:w="0" w:type="dxa"/>
              <w:right w:w="0" w:type="dxa"/>
            </w:tcMar>
            <w:vAlign w:val="bottom"/>
          </w:tcPr>
          <w:p w14:paraId="385D9D0A" w14:textId="77777777" w:rsidR="00685FE1" w:rsidRPr="008068A1" w:rsidRDefault="00685FE1" w:rsidP="009F4B10">
            <w:pPr>
              <w:jc w:val="center"/>
              <w:rPr>
                <w:color w:val="000000"/>
                <w:szCs w:val="22"/>
              </w:rPr>
            </w:pPr>
            <w:r w:rsidRPr="008068A1">
              <w:rPr>
                <w:color w:val="000000"/>
                <w:szCs w:val="22"/>
              </w:rPr>
              <w:t>ANSI#</w:t>
            </w:r>
          </w:p>
        </w:tc>
      </w:tr>
      <w:tr w:rsidR="00BE49BA" w:rsidRPr="008068A1" w14:paraId="23620D61" w14:textId="77777777" w:rsidTr="00AE2114">
        <w:tc>
          <w:tcPr>
            <w:tcW w:w="3615" w:type="dxa"/>
            <w:gridSpan w:val="3"/>
            <w:tcMar>
              <w:top w:w="0" w:type="dxa"/>
              <w:left w:w="0" w:type="dxa"/>
              <w:bottom w:w="0" w:type="dxa"/>
              <w:right w:w="259" w:type="dxa"/>
            </w:tcMar>
          </w:tcPr>
          <w:p w14:paraId="21DFE576" w14:textId="00F0970E" w:rsidR="00BE49BA" w:rsidRPr="008068A1" w:rsidRDefault="00BE49BA" w:rsidP="009F4B10">
            <w:pPr>
              <w:rPr>
                <w:color w:val="000000"/>
                <w:szCs w:val="22"/>
              </w:rPr>
            </w:pPr>
            <w:r>
              <w:rPr>
                <w:color w:val="000000"/>
                <w:szCs w:val="22"/>
              </w:rPr>
              <w:t>All U.S.</w:t>
            </w:r>
          </w:p>
        </w:tc>
        <w:tc>
          <w:tcPr>
            <w:tcW w:w="3960" w:type="dxa"/>
            <w:vAlign w:val="center"/>
          </w:tcPr>
          <w:p w14:paraId="25729B4A" w14:textId="77777777" w:rsidR="00BE49BA" w:rsidRPr="008068A1" w:rsidRDefault="00BE49BA" w:rsidP="009F4B10">
            <w:pPr>
              <w:rPr>
                <w:color w:val="000000"/>
                <w:szCs w:val="22"/>
              </w:rPr>
            </w:pPr>
          </w:p>
        </w:tc>
        <w:tc>
          <w:tcPr>
            <w:tcW w:w="1080" w:type="dxa"/>
            <w:vAlign w:val="center"/>
          </w:tcPr>
          <w:p w14:paraId="38BC1AEF" w14:textId="77777777" w:rsidR="00BE49BA" w:rsidRPr="008068A1" w:rsidRDefault="00BE49BA" w:rsidP="00D0755C">
            <w:pPr>
              <w:rPr>
                <w:color w:val="000000"/>
                <w:szCs w:val="22"/>
              </w:rPr>
            </w:pPr>
          </w:p>
        </w:tc>
      </w:tr>
      <w:tr w:rsidR="00685FE1" w:rsidRPr="008068A1" w14:paraId="3F292411" w14:textId="77777777" w:rsidTr="00AE2114">
        <w:tc>
          <w:tcPr>
            <w:tcW w:w="3615" w:type="dxa"/>
            <w:gridSpan w:val="3"/>
            <w:tcMar>
              <w:top w:w="0" w:type="dxa"/>
              <w:left w:w="0" w:type="dxa"/>
              <w:bottom w:w="0" w:type="dxa"/>
              <w:right w:w="259" w:type="dxa"/>
            </w:tcMar>
          </w:tcPr>
          <w:p w14:paraId="10A15CE4" w14:textId="77777777" w:rsidR="00685FE1" w:rsidRPr="008068A1" w:rsidRDefault="00685FE1" w:rsidP="009F4B10">
            <w:pPr>
              <w:rPr>
                <w:color w:val="000000"/>
                <w:szCs w:val="22"/>
              </w:rPr>
            </w:pPr>
          </w:p>
          <w:p w14:paraId="197563C8" w14:textId="77777777" w:rsidR="00685FE1" w:rsidRPr="008068A1" w:rsidRDefault="00685FE1" w:rsidP="009F4B10">
            <w:pPr>
              <w:rPr>
                <w:color w:val="000000"/>
                <w:szCs w:val="22"/>
              </w:rPr>
            </w:pPr>
            <w:r w:rsidRPr="008068A1">
              <w:rPr>
                <w:color w:val="000000"/>
                <w:szCs w:val="22"/>
              </w:rPr>
              <w:t>State:</w:t>
            </w:r>
          </w:p>
        </w:tc>
        <w:tc>
          <w:tcPr>
            <w:tcW w:w="3960" w:type="dxa"/>
            <w:vAlign w:val="center"/>
          </w:tcPr>
          <w:p w14:paraId="4781B809" w14:textId="77777777" w:rsidR="00685FE1" w:rsidRPr="008068A1" w:rsidRDefault="00685FE1" w:rsidP="009F4B10">
            <w:pPr>
              <w:rPr>
                <w:color w:val="000000"/>
                <w:szCs w:val="22"/>
              </w:rPr>
            </w:pPr>
          </w:p>
        </w:tc>
        <w:tc>
          <w:tcPr>
            <w:tcW w:w="1080" w:type="dxa"/>
            <w:vAlign w:val="center"/>
          </w:tcPr>
          <w:p w14:paraId="567E1CF1" w14:textId="33545210" w:rsidR="00685FE1" w:rsidRPr="008068A1" w:rsidRDefault="00685FE1" w:rsidP="00D0755C">
            <w:pPr>
              <w:rPr>
                <w:color w:val="000000"/>
                <w:szCs w:val="22"/>
              </w:rPr>
            </w:pPr>
            <w:r w:rsidRPr="008068A1">
              <w:rPr>
                <w:color w:val="000000"/>
                <w:szCs w:val="22"/>
              </w:rPr>
              <w:t xml:space="preserve">       </w:t>
            </w:r>
            <w:r w:rsidR="00BE49BA">
              <w:rPr>
                <w:color w:val="000000"/>
                <w:szCs w:val="22"/>
              </w:rPr>
              <w:t>000000</w:t>
            </w:r>
          </w:p>
        </w:tc>
      </w:tr>
      <w:tr w:rsidR="00685FE1" w:rsidRPr="008068A1" w14:paraId="09FF82BF" w14:textId="77777777" w:rsidTr="00AE2114">
        <w:tc>
          <w:tcPr>
            <w:tcW w:w="375" w:type="dxa"/>
            <w:tcMar>
              <w:top w:w="0" w:type="dxa"/>
              <w:left w:w="0" w:type="dxa"/>
              <w:bottom w:w="0" w:type="dxa"/>
              <w:right w:w="259" w:type="dxa"/>
            </w:tcMar>
          </w:tcPr>
          <w:p w14:paraId="285963D6"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0857E369" w14:textId="77777777" w:rsidR="00685FE1" w:rsidRPr="008068A1" w:rsidRDefault="00685FE1" w:rsidP="009F4B10">
            <w:pPr>
              <w:rPr>
                <w:color w:val="000000"/>
                <w:szCs w:val="22"/>
              </w:rPr>
            </w:pPr>
            <w:r w:rsidRPr="008068A1">
              <w:rPr>
                <w:color w:val="000000"/>
                <w:szCs w:val="22"/>
              </w:rPr>
              <w:t>AL</w:t>
            </w:r>
          </w:p>
        </w:tc>
        <w:tc>
          <w:tcPr>
            <w:tcW w:w="3960" w:type="dxa"/>
            <w:tcMar>
              <w:top w:w="0" w:type="dxa"/>
              <w:left w:w="0" w:type="dxa"/>
              <w:bottom w:w="0" w:type="dxa"/>
              <w:right w:w="259" w:type="dxa"/>
            </w:tcMar>
            <w:vAlign w:val="bottom"/>
          </w:tcPr>
          <w:p w14:paraId="2EBBDE61"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784F01A8" w14:textId="77777777" w:rsidR="00685FE1" w:rsidRPr="008068A1" w:rsidRDefault="00685FE1" w:rsidP="009F4B10">
            <w:pPr>
              <w:jc w:val="right"/>
              <w:rPr>
                <w:color w:val="000000"/>
                <w:szCs w:val="22"/>
              </w:rPr>
            </w:pPr>
            <w:r w:rsidRPr="008068A1">
              <w:rPr>
                <w:color w:val="000000"/>
                <w:szCs w:val="22"/>
              </w:rPr>
              <w:t>01</w:t>
            </w:r>
          </w:p>
        </w:tc>
      </w:tr>
      <w:tr w:rsidR="00685FE1" w:rsidRPr="008068A1" w14:paraId="37E9B347" w14:textId="77777777" w:rsidTr="00AE2114">
        <w:tc>
          <w:tcPr>
            <w:tcW w:w="375" w:type="dxa"/>
            <w:tcMar>
              <w:top w:w="0" w:type="dxa"/>
              <w:left w:w="0" w:type="dxa"/>
              <w:bottom w:w="0" w:type="dxa"/>
              <w:right w:w="259" w:type="dxa"/>
            </w:tcMar>
          </w:tcPr>
          <w:p w14:paraId="2A477E7A"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13CBE4CA" w14:textId="77777777" w:rsidR="00685FE1" w:rsidRPr="008068A1" w:rsidRDefault="00685FE1" w:rsidP="009F4B10">
            <w:pPr>
              <w:rPr>
                <w:color w:val="000000"/>
                <w:szCs w:val="22"/>
              </w:rPr>
            </w:pPr>
            <w:r w:rsidRPr="008068A1">
              <w:rPr>
                <w:color w:val="000000"/>
                <w:szCs w:val="22"/>
              </w:rPr>
              <w:t>AK</w:t>
            </w:r>
          </w:p>
        </w:tc>
        <w:tc>
          <w:tcPr>
            <w:tcW w:w="3960" w:type="dxa"/>
            <w:tcMar>
              <w:top w:w="0" w:type="dxa"/>
              <w:left w:w="0" w:type="dxa"/>
              <w:bottom w:w="0" w:type="dxa"/>
              <w:right w:w="259" w:type="dxa"/>
            </w:tcMar>
            <w:vAlign w:val="bottom"/>
          </w:tcPr>
          <w:p w14:paraId="1014E464"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0C8A7CFD" w14:textId="77777777" w:rsidR="00685FE1" w:rsidRPr="008068A1" w:rsidRDefault="00685FE1" w:rsidP="009F4B10">
            <w:pPr>
              <w:jc w:val="right"/>
              <w:rPr>
                <w:color w:val="000000"/>
                <w:szCs w:val="22"/>
              </w:rPr>
            </w:pPr>
            <w:r w:rsidRPr="008068A1">
              <w:rPr>
                <w:color w:val="000000"/>
                <w:szCs w:val="22"/>
              </w:rPr>
              <w:t>02</w:t>
            </w:r>
          </w:p>
        </w:tc>
      </w:tr>
      <w:tr w:rsidR="00685FE1" w:rsidRPr="008068A1" w14:paraId="5216F962" w14:textId="77777777" w:rsidTr="00AE2114">
        <w:tc>
          <w:tcPr>
            <w:tcW w:w="375" w:type="dxa"/>
            <w:tcMar>
              <w:top w:w="0" w:type="dxa"/>
              <w:left w:w="0" w:type="dxa"/>
              <w:bottom w:w="0" w:type="dxa"/>
              <w:right w:w="259" w:type="dxa"/>
            </w:tcMar>
          </w:tcPr>
          <w:p w14:paraId="1B8F7B91"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6A843C2B" w14:textId="77777777" w:rsidR="00685FE1" w:rsidRPr="008068A1" w:rsidRDefault="00685FE1" w:rsidP="009F4B10">
            <w:pPr>
              <w:rPr>
                <w:color w:val="000000"/>
                <w:szCs w:val="22"/>
              </w:rPr>
            </w:pPr>
            <w:r w:rsidRPr="008068A1">
              <w:rPr>
                <w:color w:val="000000"/>
                <w:szCs w:val="22"/>
              </w:rPr>
              <w:t>AZ</w:t>
            </w:r>
          </w:p>
        </w:tc>
        <w:tc>
          <w:tcPr>
            <w:tcW w:w="3960" w:type="dxa"/>
            <w:tcMar>
              <w:top w:w="0" w:type="dxa"/>
              <w:left w:w="0" w:type="dxa"/>
              <w:bottom w:w="0" w:type="dxa"/>
              <w:right w:w="259" w:type="dxa"/>
            </w:tcMar>
            <w:vAlign w:val="bottom"/>
          </w:tcPr>
          <w:p w14:paraId="6E053D4C"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A0D7A3A" w14:textId="77777777" w:rsidR="00685FE1" w:rsidRPr="008068A1" w:rsidRDefault="00685FE1" w:rsidP="009F4B10">
            <w:pPr>
              <w:jc w:val="right"/>
              <w:rPr>
                <w:color w:val="000000"/>
                <w:szCs w:val="22"/>
              </w:rPr>
            </w:pPr>
            <w:r w:rsidRPr="008068A1">
              <w:rPr>
                <w:color w:val="000000"/>
                <w:szCs w:val="22"/>
              </w:rPr>
              <w:t>04</w:t>
            </w:r>
          </w:p>
        </w:tc>
      </w:tr>
      <w:tr w:rsidR="00685FE1" w:rsidRPr="008068A1" w14:paraId="6DEAE528" w14:textId="77777777" w:rsidTr="00AE2114">
        <w:tc>
          <w:tcPr>
            <w:tcW w:w="375" w:type="dxa"/>
            <w:tcMar>
              <w:top w:w="0" w:type="dxa"/>
              <w:left w:w="0" w:type="dxa"/>
              <w:bottom w:w="0" w:type="dxa"/>
              <w:right w:w="259" w:type="dxa"/>
            </w:tcMar>
          </w:tcPr>
          <w:p w14:paraId="5669F72C"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A3C3345" w14:textId="77777777" w:rsidR="00685FE1" w:rsidRPr="008068A1" w:rsidRDefault="00685FE1" w:rsidP="009F4B10">
            <w:pPr>
              <w:rPr>
                <w:color w:val="000000"/>
                <w:szCs w:val="22"/>
              </w:rPr>
            </w:pPr>
            <w:r w:rsidRPr="008068A1">
              <w:rPr>
                <w:color w:val="000000"/>
                <w:szCs w:val="22"/>
              </w:rPr>
              <w:t>AR</w:t>
            </w:r>
          </w:p>
        </w:tc>
        <w:tc>
          <w:tcPr>
            <w:tcW w:w="3960" w:type="dxa"/>
            <w:tcMar>
              <w:top w:w="0" w:type="dxa"/>
              <w:left w:w="0" w:type="dxa"/>
              <w:bottom w:w="0" w:type="dxa"/>
              <w:right w:w="259" w:type="dxa"/>
            </w:tcMar>
            <w:vAlign w:val="bottom"/>
          </w:tcPr>
          <w:p w14:paraId="3287A134"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18401824" w14:textId="77777777" w:rsidR="00685FE1" w:rsidRPr="008068A1" w:rsidRDefault="00685FE1" w:rsidP="009F4B10">
            <w:pPr>
              <w:jc w:val="right"/>
              <w:rPr>
                <w:color w:val="000000"/>
                <w:szCs w:val="22"/>
              </w:rPr>
            </w:pPr>
            <w:r w:rsidRPr="008068A1">
              <w:rPr>
                <w:color w:val="000000"/>
                <w:szCs w:val="22"/>
              </w:rPr>
              <w:t>05</w:t>
            </w:r>
          </w:p>
        </w:tc>
      </w:tr>
      <w:tr w:rsidR="00685FE1" w:rsidRPr="008068A1" w14:paraId="28917FF1" w14:textId="77777777" w:rsidTr="00AE2114">
        <w:tc>
          <w:tcPr>
            <w:tcW w:w="375" w:type="dxa"/>
            <w:tcMar>
              <w:top w:w="0" w:type="dxa"/>
              <w:left w:w="0" w:type="dxa"/>
              <w:bottom w:w="0" w:type="dxa"/>
              <w:right w:w="259" w:type="dxa"/>
            </w:tcMar>
          </w:tcPr>
          <w:p w14:paraId="676625B1"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54C0E25F" w14:textId="77777777" w:rsidR="00685FE1" w:rsidRPr="008068A1" w:rsidRDefault="00685FE1" w:rsidP="009F4B10">
            <w:pPr>
              <w:rPr>
                <w:color w:val="000000"/>
                <w:szCs w:val="22"/>
              </w:rPr>
            </w:pPr>
            <w:r w:rsidRPr="008068A1">
              <w:rPr>
                <w:color w:val="000000"/>
                <w:szCs w:val="22"/>
              </w:rPr>
              <w:t>CA</w:t>
            </w:r>
          </w:p>
        </w:tc>
        <w:tc>
          <w:tcPr>
            <w:tcW w:w="3960" w:type="dxa"/>
            <w:tcMar>
              <w:top w:w="0" w:type="dxa"/>
              <w:left w:w="0" w:type="dxa"/>
              <w:bottom w:w="0" w:type="dxa"/>
              <w:right w:w="259" w:type="dxa"/>
            </w:tcMar>
            <w:vAlign w:val="bottom"/>
          </w:tcPr>
          <w:p w14:paraId="06B94602"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0CBF78FF" w14:textId="77777777" w:rsidR="00685FE1" w:rsidRPr="008068A1" w:rsidRDefault="00685FE1" w:rsidP="009F4B10">
            <w:pPr>
              <w:jc w:val="right"/>
              <w:rPr>
                <w:color w:val="000000"/>
                <w:szCs w:val="22"/>
              </w:rPr>
            </w:pPr>
            <w:r w:rsidRPr="008068A1">
              <w:rPr>
                <w:color w:val="000000"/>
                <w:szCs w:val="22"/>
              </w:rPr>
              <w:t>06</w:t>
            </w:r>
          </w:p>
        </w:tc>
      </w:tr>
      <w:tr w:rsidR="00685FE1" w:rsidRPr="008068A1" w14:paraId="60BF2190" w14:textId="77777777" w:rsidTr="00AE2114">
        <w:tc>
          <w:tcPr>
            <w:tcW w:w="375" w:type="dxa"/>
            <w:tcMar>
              <w:top w:w="0" w:type="dxa"/>
              <w:left w:w="0" w:type="dxa"/>
              <w:bottom w:w="0" w:type="dxa"/>
              <w:right w:w="259" w:type="dxa"/>
            </w:tcMar>
          </w:tcPr>
          <w:p w14:paraId="70E607F4"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43CC1FD0" w14:textId="77777777" w:rsidR="00685FE1" w:rsidRPr="008068A1" w:rsidRDefault="00685FE1" w:rsidP="009F4B10">
            <w:pPr>
              <w:rPr>
                <w:color w:val="000000"/>
                <w:szCs w:val="22"/>
              </w:rPr>
            </w:pPr>
            <w:r w:rsidRPr="008068A1">
              <w:rPr>
                <w:color w:val="000000"/>
                <w:szCs w:val="22"/>
              </w:rPr>
              <w:t>CO</w:t>
            </w:r>
          </w:p>
        </w:tc>
        <w:tc>
          <w:tcPr>
            <w:tcW w:w="3960" w:type="dxa"/>
            <w:tcMar>
              <w:top w:w="0" w:type="dxa"/>
              <w:left w:w="0" w:type="dxa"/>
              <w:bottom w:w="0" w:type="dxa"/>
              <w:right w:w="259" w:type="dxa"/>
            </w:tcMar>
            <w:vAlign w:val="bottom"/>
          </w:tcPr>
          <w:p w14:paraId="08ED584A"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1460CDAD" w14:textId="77777777" w:rsidR="00685FE1" w:rsidRPr="008068A1" w:rsidRDefault="00685FE1" w:rsidP="009F4B10">
            <w:pPr>
              <w:jc w:val="right"/>
              <w:rPr>
                <w:color w:val="000000"/>
                <w:szCs w:val="22"/>
              </w:rPr>
            </w:pPr>
            <w:r w:rsidRPr="008068A1">
              <w:rPr>
                <w:color w:val="000000"/>
                <w:szCs w:val="22"/>
              </w:rPr>
              <w:t>08</w:t>
            </w:r>
          </w:p>
        </w:tc>
      </w:tr>
      <w:tr w:rsidR="00685FE1" w:rsidRPr="008068A1" w14:paraId="2A3A1A8E" w14:textId="77777777" w:rsidTr="00AE2114">
        <w:tc>
          <w:tcPr>
            <w:tcW w:w="375" w:type="dxa"/>
            <w:tcMar>
              <w:top w:w="0" w:type="dxa"/>
              <w:left w:w="0" w:type="dxa"/>
              <w:bottom w:w="0" w:type="dxa"/>
              <w:right w:w="259" w:type="dxa"/>
            </w:tcMar>
          </w:tcPr>
          <w:p w14:paraId="1F77889A"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47C03604" w14:textId="77777777" w:rsidR="00685FE1" w:rsidRPr="008068A1" w:rsidRDefault="00685FE1" w:rsidP="009F4B10">
            <w:pPr>
              <w:rPr>
                <w:color w:val="000000"/>
                <w:szCs w:val="22"/>
              </w:rPr>
            </w:pPr>
            <w:r w:rsidRPr="008068A1">
              <w:rPr>
                <w:color w:val="000000"/>
                <w:szCs w:val="22"/>
              </w:rPr>
              <w:t>CT</w:t>
            </w:r>
          </w:p>
        </w:tc>
        <w:tc>
          <w:tcPr>
            <w:tcW w:w="3960" w:type="dxa"/>
            <w:tcMar>
              <w:top w:w="0" w:type="dxa"/>
              <w:left w:w="0" w:type="dxa"/>
              <w:bottom w:w="0" w:type="dxa"/>
              <w:right w:w="259" w:type="dxa"/>
            </w:tcMar>
            <w:vAlign w:val="bottom"/>
          </w:tcPr>
          <w:p w14:paraId="33E50887"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7484EB0C" w14:textId="77777777" w:rsidR="00685FE1" w:rsidRPr="008068A1" w:rsidRDefault="00685FE1" w:rsidP="009F4B10">
            <w:pPr>
              <w:jc w:val="right"/>
              <w:rPr>
                <w:color w:val="000000"/>
                <w:szCs w:val="22"/>
              </w:rPr>
            </w:pPr>
            <w:r w:rsidRPr="008068A1">
              <w:rPr>
                <w:color w:val="000000"/>
                <w:szCs w:val="22"/>
              </w:rPr>
              <w:t>09</w:t>
            </w:r>
          </w:p>
        </w:tc>
      </w:tr>
      <w:tr w:rsidR="00685FE1" w:rsidRPr="008068A1" w14:paraId="2669956D" w14:textId="77777777" w:rsidTr="00AE2114">
        <w:tc>
          <w:tcPr>
            <w:tcW w:w="375" w:type="dxa"/>
            <w:tcMar>
              <w:top w:w="0" w:type="dxa"/>
              <w:left w:w="0" w:type="dxa"/>
              <w:bottom w:w="0" w:type="dxa"/>
              <w:right w:w="259" w:type="dxa"/>
            </w:tcMar>
          </w:tcPr>
          <w:p w14:paraId="12198258"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77AA2BC1" w14:textId="77777777" w:rsidR="00685FE1" w:rsidRPr="008068A1" w:rsidRDefault="00685FE1" w:rsidP="009F4B10">
            <w:pPr>
              <w:rPr>
                <w:color w:val="000000"/>
                <w:szCs w:val="22"/>
              </w:rPr>
            </w:pPr>
            <w:r w:rsidRPr="008068A1">
              <w:rPr>
                <w:color w:val="000000"/>
                <w:szCs w:val="22"/>
              </w:rPr>
              <w:t>DE</w:t>
            </w:r>
          </w:p>
        </w:tc>
        <w:tc>
          <w:tcPr>
            <w:tcW w:w="3960" w:type="dxa"/>
            <w:tcMar>
              <w:top w:w="0" w:type="dxa"/>
              <w:left w:w="0" w:type="dxa"/>
              <w:bottom w:w="0" w:type="dxa"/>
              <w:right w:w="259" w:type="dxa"/>
            </w:tcMar>
            <w:vAlign w:val="bottom"/>
          </w:tcPr>
          <w:p w14:paraId="565D7762"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AB9D692" w14:textId="77777777" w:rsidR="00685FE1" w:rsidRPr="008068A1" w:rsidRDefault="00685FE1" w:rsidP="009F4B10">
            <w:pPr>
              <w:jc w:val="right"/>
              <w:rPr>
                <w:color w:val="000000"/>
                <w:szCs w:val="22"/>
              </w:rPr>
            </w:pPr>
            <w:r w:rsidRPr="008068A1">
              <w:rPr>
                <w:color w:val="000000"/>
                <w:szCs w:val="22"/>
              </w:rPr>
              <w:t>10</w:t>
            </w:r>
          </w:p>
        </w:tc>
      </w:tr>
      <w:tr w:rsidR="00685FE1" w:rsidRPr="008068A1" w14:paraId="6BE5ACA8" w14:textId="77777777" w:rsidTr="00AE2114">
        <w:tc>
          <w:tcPr>
            <w:tcW w:w="375" w:type="dxa"/>
            <w:tcMar>
              <w:top w:w="0" w:type="dxa"/>
              <w:left w:w="0" w:type="dxa"/>
              <w:bottom w:w="0" w:type="dxa"/>
              <w:right w:w="259" w:type="dxa"/>
            </w:tcMar>
          </w:tcPr>
          <w:p w14:paraId="3B965023"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108D2AE1" w14:textId="77777777" w:rsidR="00685FE1" w:rsidRPr="008068A1" w:rsidRDefault="00685FE1" w:rsidP="009F4B10">
            <w:pPr>
              <w:rPr>
                <w:color w:val="000000"/>
                <w:szCs w:val="22"/>
              </w:rPr>
            </w:pPr>
            <w:r w:rsidRPr="008068A1">
              <w:rPr>
                <w:color w:val="000000"/>
                <w:szCs w:val="22"/>
              </w:rPr>
              <w:t>DC</w:t>
            </w:r>
          </w:p>
        </w:tc>
        <w:tc>
          <w:tcPr>
            <w:tcW w:w="3960" w:type="dxa"/>
            <w:tcMar>
              <w:top w:w="0" w:type="dxa"/>
              <w:left w:w="0" w:type="dxa"/>
              <w:bottom w:w="0" w:type="dxa"/>
              <w:right w:w="259" w:type="dxa"/>
            </w:tcMar>
            <w:vAlign w:val="bottom"/>
          </w:tcPr>
          <w:p w14:paraId="12B2BD40"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6E130CF9" w14:textId="77777777" w:rsidR="00685FE1" w:rsidRPr="008068A1" w:rsidRDefault="00685FE1" w:rsidP="009F4B10">
            <w:pPr>
              <w:jc w:val="right"/>
              <w:rPr>
                <w:color w:val="000000"/>
                <w:szCs w:val="22"/>
              </w:rPr>
            </w:pPr>
            <w:r w:rsidRPr="008068A1">
              <w:rPr>
                <w:color w:val="000000"/>
                <w:szCs w:val="22"/>
              </w:rPr>
              <w:t>11</w:t>
            </w:r>
          </w:p>
        </w:tc>
      </w:tr>
      <w:tr w:rsidR="00685FE1" w:rsidRPr="008068A1" w14:paraId="39941109" w14:textId="77777777" w:rsidTr="00AE2114">
        <w:tc>
          <w:tcPr>
            <w:tcW w:w="375" w:type="dxa"/>
            <w:tcMar>
              <w:top w:w="0" w:type="dxa"/>
              <w:left w:w="0" w:type="dxa"/>
              <w:bottom w:w="0" w:type="dxa"/>
              <w:right w:w="259" w:type="dxa"/>
            </w:tcMar>
          </w:tcPr>
          <w:p w14:paraId="651DA124"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CBBC283" w14:textId="77777777" w:rsidR="00685FE1" w:rsidRPr="008068A1" w:rsidRDefault="00685FE1" w:rsidP="009F4B10">
            <w:pPr>
              <w:rPr>
                <w:color w:val="000000"/>
                <w:szCs w:val="22"/>
              </w:rPr>
            </w:pPr>
            <w:r w:rsidRPr="008068A1">
              <w:rPr>
                <w:color w:val="000000"/>
                <w:szCs w:val="22"/>
              </w:rPr>
              <w:t>FL</w:t>
            </w:r>
          </w:p>
        </w:tc>
        <w:tc>
          <w:tcPr>
            <w:tcW w:w="3960" w:type="dxa"/>
            <w:tcMar>
              <w:top w:w="0" w:type="dxa"/>
              <w:left w:w="0" w:type="dxa"/>
              <w:bottom w:w="0" w:type="dxa"/>
              <w:right w:w="259" w:type="dxa"/>
            </w:tcMar>
            <w:vAlign w:val="bottom"/>
          </w:tcPr>
          <w:p w14:paraId="0A21ECAA"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280FDC3" w14:textId="77777777" w:rsidR="00685FE1" w:rsidRPr="008068A1" w:rsidRDefault="00685FE1" w:rsidP="009F4B10">
            <w:pPr>
              <w:jc w:val="right"/>
              <w:rPr>
                <w:color w:val="000000"/>
                <w:szCs w:val="22"/>
              </w:rPr>
            </w:pPr>
            <w:r w:rsidRPr="008068A1">
              <w:rPr>
                <w:color w:val="000000"/>
                <w:szCs w:val="22"/>
              </w:rPr>
              <w:t>12</w:t>
            </w:r>
          </w:p>
        </w:tc>
      </w:tr>
      <w:tr w:rsidR="00685FE1" w:rsidRPr="008068A1" w14:paraId="32742099" w14:textId="77777777" w:rsidTr="00AE2114">
        <w:tc>
          <w:tcPr>
            <w:tcW w:w="375" w:type="dxa"/>
            <w:tcMar>
              <w:top w:w="0" w:type="dxa"/>
              <w:left w:w="0" w:type="dxa"/>
              <w:bottom w:w="0" w:type="dxa"/>
              <w:right w:w="259" w:type="dxa"/>
            </w:tcMar>
          </w:tcPr>
          <w:p w14:paraId="005E4F07"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D0A8155" w14:textId="77777777" w:rsidR="00685FE1" w:rsidRPr="008068A1" w:rsidRDefault="00685FE1" w:rsidP="009F4B10">
            <w:pPr>
              <w:rPr>
                <w:color w:val="000000"/>
                <w:szCs w:val="22"/>
              </w:rPr>
            </w:pPr>
            <w:r w:rsidRPr="008068A1">
              <w:rPr>
                <w:color w:val="000000"/>
                <w:szCs w:val="22"/>
              </w:rPr>
              <w:t>GA</w:t>
            </w:r>
          </w:p>
        </w:tc>
        <w:tc>
          <w:tcPr>
            <w:tcW w:w="3960" w:type="dxa"/>
            <w:tcMar>
              <w:top w:w="0" w:type="dxa"/>
              <w:left w:w="0" w:type="dxa"/>
              <w:bottom w:w="0" w:type="dxa"/>
              <w:right w:w="259" w:type="dxa"/>
            </w:tcMar>
            <w:vAlign w:val="bottom"/>
          </w:tcPr>
          <w:p w14:paraId="57105FCA"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2A379C4E" w14:textId="77777777" w:rsidR="00685FE1" w:rsidRPr="008068A1" w:rsidRDefault="00685FE1" w:rsidP="009F4B10">
            <w:pPr>
              <w:jc w:val="right"/>
              <w:rPr>
                <w:color w:val="000000"/>
                <w:szCs w:val="22"/>
              </w:rPr>
            </w:pPr>
            <w:r w:rsidRPr="008068A1">
              <w:rPr>
                <w:color w:val="000000"/>
                <w:szCs w:val="22"/>
              </w:rPr>
              <w:t>13</w:t>
            </w:r>
          </w:p>
        </w:tc>
      </w:tr>
      <w:tr w:rsidR="00685FE1" w:rsidRPr="008068A1" w14:paraId="3745E39C" w14:textId="77777777" w:rsidTr="00AE2114">
        <w:tc>
          <w:tcPr>
            <w:tcW w:w="375" w:type="dxa"/>
            <w:tcMar>
              <w:top w:w="0" w:type="dxa"/>
              <w:left w:w="0" w:type="dxa"/>
              <w:bottom w:w="0" w:type="dxa"/>
              <w:right w:w="259" w:type="dxa"/>
            </w:tcMar>
          </w:tcPr>
          <w:p w14:paraId="2C135344"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7C6E2EB1" w14:textId="77777777" w:rsidR="00685FE1" w:rsidRPr="008068A1" w:rsidRDefault="00685FE1" w:rsidP="009F4B10">
            <w:pPr>
              <w:rPr>
                <w:color w:val="000000"/>
                <w:szCs w:val="22"/>
              </w:rPr>
            </w:pPr>
            <w:r w:rsidRPr="008068A1">
              <w:rPr>
                <w:color w:val="000000"/>
                <w:szCs w:val="22"/>
              </w:rPr>
              <w:t>HI</w:t>
            </w:r>
          </w:p>
        </w:tc>
        <w:tc>
          <w:tcPr>
            <w:tcW w:w="3960" w:type="dxa"/>
            <w:tcMar>
              <w:top w:w="0" w:type="dxa"/>
              <w:left w:w="0" w:type="dxa"/>
              <w:bottom w:w="0" w:type="dxa"/>
              <w:right w:w="259" w:type="dxa"/>
            </w:tcMar>
            <w:vAlign w:val="bottom"/>
          </w:tcPr>
          <w:p w14:paraId="2A023815"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322E5A2B" w14:textId="77777777" w:rsidR="00685FE1" w:rsidRPr="008068A1" w:rsidRDefault="00685FE1" w:rsidP="009F4B10">
            <w:pPr>
              <w:jc w:val="right"/>
              <w:rPr>
                <w:color w:val="000000"/>
                <w:szCs w:val="22"/>
              </w:rPr>
            </w:pPr>
            <w:r w:rsidRPr="008068A1">
              <w:rPr>
                <w:color w:val="000000"/>
                <w:szCs w:val="22"/>
              </w:rPr>
              <w:t>15</w:t>
            </w:r>
          </w:p>
        </w:tc>
      </w:tr>
      <w:tr w:rsidR="00685FE1" w:rsidRPr="008068A1" w14:paraId="19AE1887" w14:textId="77777777" w:rsidTr="00AE2114">
        <w:tc>
          <w:tcPr>
            <w:tcW w:w="375" w:type="dxa"/>
            <w:tcMar>
              <w:top w:w="0" w:type="dxa"/>
              <w:left w:w="0" w:type="dxa"/>
              <w:bottom w:w="0" w:type="dxa"/>
              <w:right w:w="259" w:type="dxa"/>
            </w:tcMar>
          </w:tcPr>
          <w:p w14:paraId="0F39B629"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40DF83F" w14:textId="77777777" w:rsidR="00685FE1" w:rsidRPr="008068A1" w:rsidRDefault="00685FE1" w:rsidP="009F4B10">
            <w:pPr>
              <w:rPr>
                <w:color w:val="000000"/>
                <w:szCs w:val="22"/>
              </w:rPr>
            </w:pPr>
            <w:r w:rsidRPr="008068A1">
              <w:rPr>
                <w:color w:val="000000"/>
                <w:szCs w:val="22"/>
              </w:rPr>
              <w:t>ID</w:t>
            </w:r>
          </w:p>
        </w:tc>
        <w:tc>
          <w:tcPr>
            <w:tcW w:w="3960" w:type="dxa"/>
            <w:tcMar>
              <w:top w:w="0" w:type="dxa"/>
              <w:left w:w="0" w:type="dxa"/>
              <w:bottom w:w="0" w:type="dxa"/>
              <w:right w:w="259" w:type="dxa"/>
            </w:tcMar>
            <w:vAlign w:val="bottom"/>
          </w:tcPr>
          <w:p w14:paraId="16F948F4"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747077BA" w14:textId="77777777" w:rsidR="00685FE1" w:rsidRPr="008068A1" w:rsidRDefault="00685FE1" w:rsidP="009F4B10">
            <w:pPr>
              <w:jc w:val="right"/>
              <w:rPr>
                <w:color w:val="000000"/>
                <w:szCs w:val="22"/>
              </w:rPr>
            </w:pPr>
            <w:r w:rsidRPr="008068A1">
              <w:rPr>
                <w:color w:val="000000"/>
                <w:szCs w:val="22"/>
              </w:rPr>
              <w:t>16</w:t>
            </w:r>
          </w:p>
        </w:tc>
      </w:tr>
      <w:tr w:rsidR="00685FE1" w:rsidRPr="008068A1" w14:paraId="0270065C" w14:textId="77777777" w:rsidTr="00AE2114">
        <w:tc>
          <w:tcPr>
            <w:tcW w:w="375" w:type="dxa"/>
            <w:tcMar>
              <w:top w:w="0" w:type="dxa"/>
              <w:left w:w="0" w:type="dxa"/>
              <w:bottom w:w="0" w:type="dxa"/>
              <w:right w:w="259" w:type="dxa"/>
            </w:tcMar>
          </w:tcPr>
          <w:p w14:paraId="46EFB38E"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74C8377C" w14:textId="77777777" w:rsidR="00685FE1" w:rsidRPr="008068A1" w:rsidRDefault="00685FE1" w:rsidP="009F4B10">
            <w:pPr>
              <w:rPr>
                <w:color w:val="000000"/>
                <w:szCs w:val="22"/>
              </w:rPr>
            </w:pPr>
            <w:r w:rsidRPr="008068A1">
              <w:rPr>
                <w:color w:val="000000"/>
                <w:szCs w:val="22"/>
              </w:rPr>
              <w:t>IL</w:t>
            </w:r>
          </w:p>
        </w:tc>
        <w:tc>
          <w:tcPr>
            <w:tcW w:w="3960" w:type="dxa"/>
            <w:tcMar>
              <w:top w:w="0" w:type="dxa"/>
              <w:left w:w="0" w:type="dxa"/>
              <w:bottom w:w="0" w:type="dxa"/>
              <w:right w:w="259" w:type="dxa"/>
            </w:tcMar>
            <w:vAlign w:val="bottom"/>
          </w:tcPr>
          <w:p w14:paraId="40057546"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2C70E78E" w14:textId="77777777" w:rsidR="00685FE1" w:rsidRPr="008068A1" w:rsidRDefault="00685FE1" w:rsidP="009F4B10">
            <w:pPr>
              <w:jc w:val="right"/>
              <w:rPr>
                <w:color w:val="000000"/>
                <w:szCs w:val="22"/>
              </w:rPr>
            </w:pPr>
            <w:r w:rsidRPr="008068A1">
              <w:rPr>
                <w:color w:val="000000"/>
                <w:szCs w:val="22"/>
              </w:rPr>
              <w:t>17</w:t>
            </w:r>
          </w:p>
        </w:tc>
      </w:tr>
      <w:tr w:rsidR="00685FE1" w:rsidRPr="008068A1" w14:paraId="5D6352ED" w14:textId="77777777" w:rsidTr="00AE2114">
        <w:tc>
          <w:tcPr>
            <w:tcW w:w="375" w:type="dxa"/>
            <w:tcMar>
              <w:top w:w="0" w:type="dxa"/>
              <w:left w:w="0" w:type="dxa"/>
              <w:bottom w:w="0" w:type="dxa"/>
              <w:right w:w="259" w:type="dxa"/>
            </w:tcMar>
          </w:tcPr>
          <w:p w14:paraId="1EB0ADBF"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7B064650" w14:textId="77777777" w:rsidR="00685FE1" w:rsidRPr="008068A1" w:rsidRDefault="00685FE1" w:rsidP="009F4B10">
            <w:pPr>
              <w:rPr>
                <w:color w:val="000000"/>
                <w:szCs w:val="22"/>
              </w:rPr>
            </w:pPr>
            <w:r w:rsidRPr="008068A1">
              <w:rPr>
                <w:color w:val="000000"/>
                <w:szCs w:val="22"/>
              </w:rPr>
              <w:t>IN</w:t>
            </w:r>
          </w:p>
        </w:tc>
        <w:tc>
          <w:tcPr>
            <w:tcW w:w="3960" w:type="dxa"/>
            <w:tcMar>
              <w:top w:w="0" w:type="dxa"/>
              <w:left w:w="0" w:type="dxa"/>
              <w:bottom w:w="0" w:type="dxa"/>
              <w:right w:w="259" w:type="dxa"/>
            </w:tcMar>
            <w:vAlign w:val="bottom"/>
          </w:tcPr>
          <w:p w14:paraId="3AC4584F"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197CA219" w14:textId="77777777" w:rsidR="00685FE1" w:rsidRPr="008068A1" w:rsidRDefault="00685FE1" w:rsidP="009F4B10">
            <w:pPr>
              <w:jc w:val="right"/>
              <w:rPr>
                <w:color w:val="000000"/>
                <w:szCs w:val="22"/>
              </w:rPr>
            </w:pPr>
            <w:r w:rsidRPr="008068A1">
              <w:rPr>
                <w:color w:val="000000"/>
                <w:szCs w:val="22"/>
              </w:rPr>
              <w:t>18</w:t>
            </w:r>
          </w:p>
        </w:tc>
      </w:tr>
      <w:tr w:rsidR="00685FE1" w:rsidRPr="008068A1" w14:paraId="20ABF050" w14:textId="77777777" w:rsidTr="00AE2114">
        <w:tc>
          <w:tcPr>
            <w:tcW w:w="375" w:type="dxa"/>
            <w:tcMar>
              <w:top w:w="0" w:type="dxa"/>
              <w:left w:w="0" w:type="dxa"/>
              <w:bottom w:w="0" w:type="dxa"/>
              <w:right w:w="259" w:type="dxa"/>
            </w:tcMar>
          </w:tcPr>
          <w:p w14:paraId="467130A1"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7F6364DB" w14:textId="77777777" w:rsidR="00685FE1" w:rsidRPr="008068A1" w:rsidRDefault="00685FE1" w:rsidP="009F4B10">
            <w:pPr>
              <w:rPr>
                <w:color w:val="000000"/>
                <w:szCs w:val="22"/>
              </w:rPr>
            </w:pPr>
            <w:r w:rsidRPr="008068A1">
              <w:rPr>
                <w:color w:val="000000"/>
                <w:szCs w:val="22"/>
              </w:rPr>
              <w:t>IA</w:t>
            </w:r>
          </w:p>
        </w:tc>
        <w:tc>
          <w:tcPr>
            <w:tcW w:w="3960" w:type="dxa"/>
            <w:tcMar>
              <w:top w:w="0" w:type="dxa"/>
              <w:left w:w="0" w:type="dxa"/>
              <w:bottom w:w="0" w:type="dxa"/>
              <w:right w:w="259" w:type="dxa"/>
            </w:tcMar>
            <w:vAlign w:val="bottom"/>
          </w:tcPr>
          <w:p w14:paraId="232113A1"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46FADAE2" w14:textId="77777777" w:rsidR="00685FE1" w:rsidRPr="008068A1" w:rsidRDefault="00685FE1" w:rsidP="009F4B10">
            <w:pPr>
              <w:jc w:val="right"/>
              <w:rPr>
                <w:color w:val="000000"/>
                <w:szCs w:val="22"/>
              </w:rPr>
            </w:pPr>
            <w:r w:rsidRPr="008068A1">
              <w:rPr>
                <w:color w:val="000000"/>
                <w:szCs w:val="22"/>
              </w:rPr>
              <w:t>19</w:t>
            </w:r>
          </w:p>
        </w:tc>
      </w:tr>
      <w:tr w:rsidR="00685FE1" w:rsidRPr="008068A1" w14:paraId="1912BC2B" w14:textId="77777777" w:rsidTr="00AE2114">
        <w:tc>
          <w:tcPr>
            <w:tcW w:w="375" w:type="dxa"/>
            <w:tcMar>
              <w:top w:w="0" w:type="dxa"/>
              <w:left w:w="0" w:type="dxa"/>
              <w:bottom w:w="0" w:type="dxa"/>
              <w:right w:w="259" w:type="dxa"/>
            </w:tcMar>
          </w:tcPr>
          <w:p w14:paraId="7F2EE93A"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45B650CE" w14:textId="77777777" w:rsidR="00685FE1" w:rsidRPr="008068A1" w:rsidRDefault="00685FE1" w:rsidP="009F4B10">
            <w:pPr>
              <w:rPr>
                <w:color w:val="000000"/>
                <w:szCs w:val="22"/>
              </w:rPr>
            </w:pPr>
            <w:r w:rsidRPr="008068A1">
              <w:rPr>
                <w:color w:val="000000"/>
                <w:szCs w:val="22"/>
              </w:rPr>
              <w:t>KS</w:t>
            </w:r>
          </w:p>
        </w:tc>
        <w:tc>
          <w:tcPr>
            <w:tcW w:w="3960" w:type="dxa"/>
            <w:tcMar>
              <w:top w:w="0" w:type="dxa"/>
              <w:left w:w="0" w:type="dxa"/>
              <w:bottom w:w="0" w:type="dxa"/>
              <w:right w:w="259" w:type="dxa"/>
            </w:tcMar>
            <w:vAlign w:val="bottom"/>
          </w:tcPr>
          <w:p w14:paraId="7E46B68A"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79D5C5D0" w14:textId="77777777" w:rsidR="00685FE1" w:rsidRPr="008068A1" w:rsidRDefault="00685FE1" w:rsidP="009F4B10">
            <w:pPr>
              <w:jc w:val="right"/>
              <w:rPr>
                <w:color w:val="000000"/>
                <w:szCs w:val="22"/>
              </w:rPr>
            </w:pPr>
            <w:r w:rsidRPr="008068A1">
              <w:rPr>
                <w:color w:val="000000"/>
                <w:szCs w:val="22"/>
              </w:rPr>
              <w:t>20</w:t>
            </w:r>
          </w:p>
        </w:tc>
      </w:tr>
      <w:tr w:rsidR="00685FE1" w:rsidRPr="008068A1" w14:paraId="2AFB6694" w14:textId="77777777" w:rsidTr="00AE2114">
        <w:tc>
          <w:tcPr>
            <w:tcW w:w="375" w:type="dxa"/>
            <w:tcMar>
              <w:top w:w="0" w:type="dxa"/>
              <w:left w:w="0" w:type="dxa"/>
              <w:bottom w:w="0" w:type="dxa"/>
              <w:right w:w="259" w:type="dxa"/>
            </w:tcMar>
          </w:tcPr>
          <w:p w14:paraId="7EC97DFB"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12F30783" w14:textId="77777777" w:rsidR="00685FE1" w:rsidRPr="008068A1" w:rsidRDefault="00685FE1" w:rsidP="009F4B10">
            <w:pPr>
              <w:rPr>
                <w:color w:val="000000"/>
                <w:szCs w:val="22"/>
              </w:rPr>
            </w:pPr>
            <w:r w:rsidRPr="008068A1">
              <w:rPr>
                <w:color w:val="000000"/>
                <w:szCs w:val="22"/>
              </w:rPr>
              <w:t>KY</w:t>
            </w:r>
          </w:p>
        </w:tc>
        <w:tc>
          <w:tcPr>
            <w:tcW w:w="3960" w:type="dxa"/>
            <w:tcMar>
              <w:top w:w="0" w:type="dxa"/>
              <w:left w:w="0" w:type="dxa"/>
              <w:bottom w:w="0" w:type="dxa"/>
              <w:right w:w="259" w:type="dxa"/>
            </w:tcMar>
            <w:vAlign w:val="bottom"/>
          </w:tcPr>
          <w:p w14:paraId="1073F3B3"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4B58DBF7" w14:textId="77777777" w:rsidR="00685FE1" w:rsidRPr="008068A1" w:rsidRDefault="00685FE1" w:rsidP="009F4B10">
            <w:pPr>
              <w:jc w:val="right"/>
              <w:rPr>
                <w:color w:val="000000"/>
                <w:szCs w:val="22"/>
              </w:rPr>
            </w:pPr>
            <w:r w:rsidRPr="008068A1">
              <w:rPr>
                <w:color w:val="000000"/>
                <w:szCs w:val="22"/>
              </w:rPr>
              <w:t>21</w:t>
            </w:r>
          </w:p>
        </w:tc>
      </w:tr>
      <w:tr w:rsidR="00685FE1" w:rsidRPr="008068A1" w14:paraId="0921C7A8" w14:textId="77777777" w:rsidTr="00AE2114">
        <w:tc>
          <w:tcPr>
            <w:tcW w:w="375" w:type="dxa"/>
            <w:tcMar>
              <w:top w:w="0" w:type="dxa"/>
              <w:left w:w="0" w:type="dxa"/>
              <w:bottom w:w="0" w:type="dxa"/>
              <w:right w:w="259" w:type="dxa"/>
            </w:tcMar>
          </w:tcPr>
          <w:p w14:paraId="099AF910"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19517E42" w14:textId="77777777" w:rsidR="00685FE1" w:rsidRPr="008068A1" w:rsidRDefault="00685FE1" w:rsidP="009F4B10">
            <w:pPr>
              <w:rPr>
                <w:color w:val="000000"/>
                <w:szCs w:val="22"/>
              </w:rPr>
            </w:pPr>
            <w:r w:rsidRPr="008068A1">
              <w:rPr>
                <w:color w:val="000000"/>
                <w:szCs w:val="22"/>
              </w:rPr>
              <w:t>LA</w:t>
            </w:r>
          </w:p>
        </w:tc>
        <w:tc>
          <w:tcPr>
            <w:tcW w:w="3960" w:type="dxa"/>
            <w:tcMar>
              <w:top w:w="0" w:type="dxa"/>
              <w:left w:w="0" w:type="dxa"/>
              <w:bottom w:w="0" w:type="dxa"/>
              <w:right w:w="259" w:type="dxa"/>
            </w:tcMar>
            <w:vAlign w:val="bottom"/>
          </w:tcPr>
          <w:p w14:paraId="66655A3A"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943625F" w14:textId="77777777" w:rsidR="00685FE1" w:rsidRPr="008068A1" w:rsidRDefault="00685FE1" w:rsidP="009F4B10">
            <w:pPr>
              <w:jc w:val="right"/>
              <w:rPr>
                <w:color w:val="000000"/>
                <w:szCs w:val="22"/>
              </w:rPr>
            </w:pPr>
            <w:r w:rsidRPr="008068A1">
              <w:rPr>
                <w:color w:val="000000"/>
                <w:szCs w:val="22"/>
              </w:rPr>
              <w:t>22</w:t>
            </w:r>
          </w:p>
        </w:tc>
      </w:tr>
      <w:tr w:rsidR="00685FE1" w:rsidRPr="008068A1" w14:paraId="3A75983B" w14:textId="77777777" w:rsidTr="00AE2114">
        <w:tc>
          <w:tcPr>
            <w:tcW w:w="375" w:type="dxa"/>
            <w:tcMar>
              <w:top w:w="0" w:type="dxa"/>
              <w:left w:w="0" w:type="dxa"/>
              <w:bottom w:w="0" w:type="dxa"/>
              <w:right w:w="259" w:type="dxa"/>
            </w:tcMar>
          </w:tcPr>
          <w:p w14:paraId="6FF53625"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2D2B1989" w14:textId="77777777" w:rsidR="00685FE1" w:rsidRPr="008068A1" w:rsidRDefault="00685FE1" w:rsidP="009F4B10">
            <w:pPr>
              <w:rPr>
                <w:color w:val="000000"/>
                <w:szCs w:val="22"/>
              </w:rPr>
            </w:pPr>
            <w:r w:rsidRPr="008068A1">
              <w:rPr>
                <w:color w:val="000000"/>
                <w:szCs w:val="22"/>
              </w:rPr>
              <w:t>ME</w:t>
            </w:r>
          </w:p>
        </w:tc>
        <w:tc>
          <w:tcPr>
            <w:tcW w:w="3960" w:type="dxa"/>
            <w:tcMar>
              <w:top w:w="0" w:type="dxa"/>
              <w:left w:w="0" w:type="dxa"/>
              <w:bottom w:w="0" w:type="dxa"/>
              <w:right w:w="259" w:type="dxa"/>
            </w:tcMar>
            <w:vAlign w:val="bottom"/>
          </w:tcPr>
          <w:p w14:paraId="697F6C6B"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86F21EE" w14:textId="77777777" w:rsidR="00685FE1" w:rsidRPr="008068A1" w:rsidRDefault="00685FE1" w:rsidP="009F4B10">
            <w:pPr>
              <w:jc w:val="right"/>
              <w:rPr>
                <w:color w:val="000000"/>
                <w:szCs w:val="22"/>
              </w:rPr>
            </w:pPr>
            <w:r w:rsidRPr="008068A1">
              <w:rPr>
                <w:color w:val="000000"/>
                <w:szCs w:val="22"/>
              </w:rPr>
              <w:t>23</w:t>
            </w:r>
          </w:p>
        </w:tc>
      </w:tr>
      <w:tr w:rsidR="00685FE1" w:rsidRPr="008068A1" w14:paraId="40AB2EA9" w14:textId="77777777" w:rsidTr="00AE2114">
        <w:tc>
          <w:tcPr>
            <w:tcW w:w="375" w:type="dxa"/>
            <w:tcMar>
              <w:top w:w="0" w:type="dxa"/>
              <w:left w:w="0" w:type="dxa"/>
              <w:bottom w:w="0" w:type="dxa"/>
              <w:right w:w="259" w:type="dxa"/>
            </w:tcMar>
          </w:tcPr>
          <w:p w14:paraId="4C5DD112"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462A7DE0" w14:textId="77777777" w:rsidR="00685FE1" w:rsidRPr="008068A1" w:rsidRDefault="00685FE1" w:rsidP="009F4B10">
            <w:pPr>
              <w:rPr>
                <w:color w:val="000000"/>
                <w:szCs w:val="22"/>
              </w:rPr>
            </w:pPr>
            <w:r w:rsidRPr="008068A1">
              <w:rPr>
                <w:color w:val="000000"/>
                <w:szCs w:val="22"/>
              </w:rPr>
              <w:t>MD</w:t>
            </w:r>
          </w:p>
        </w:tc>
        <w:tc>
          <w:tcPr>
            <w:tcW w:w="3960" w:type="dxa"/>
            <w:tcMar>
              <w:top w:w="0" w:type="dxa"/>
              <w:left w:w="0" w:type="dxa"/>
              <w:bottom w:w="0" w:type="dxa"/>
              <w:right w:w="259" w:type="dxa"/>
            </w:tcMar>
            <w:vAlign w:val="bottom"/>
          </w:tcPr>
          <w:p w14:paraId="672BC826"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15AA487A" w14:textId="77777777" w:rsidR="00685FE1" w:rsidRPr="008068A1" w:rsidRDefault="00685FE1" w:rsidP="009F4B10">
            <w:pPr>
              <w:jc w:val="right"/>
              <w:rPr>
                <w:color w:val="000000"/>
                <w:szCs w:val="22"/>
              </w:rPr>
            </w:pPr>
            <w:r w:rsidRPr="008068A1">
              <w:rPr>
                <w:color w:val="000000"/>
                <w:szCs w:val="22"/>
              </w:rPr>
              <w:t>24</w:t>
            </w:r>
          </w:p>
        </w:tc>
      </w:tr>
      <w:tr w:rsidR="00685FE1" w:rsidRPr="008068A1" w14:paraId="101C4699" w14:textId="77777777" w:rsidTr="00AE2114">
        <w:tc>
          <w:tcPr>
            <w:tcW w:w="375" w:type="dxa"/>
            <w:tcMar>
              <w:top w:w="0" w:type="dxa"/>
              <w:left w:w="0" w:type="dxa"/>
              <w:bottom w:w="0" w:type="dxa"/>
              <w:right w:w="259" w:type="dxa"/>
            </w:tcMar>
          </w:tcPr>
          <w:p w14:paraId="0229E808"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1CB73E32" w14:textId="77777777" w:rsidR="00685FE1" w:rsidRPr="008068A1" w:rsidRDefault="00685FE1" w:rsidP="009F4B10">
            <w:pPr>
              <w:rPr>
                <w:color w:val="000000"/>
                <w:szCs w:val="22"/>
              </w:rPr>
            </w:pPr>
            <w:r w:rsidRPr="008068A1">
              <w:rPr>
                <w:color w:val="000000"/>
                <w:szCs w:val="22"/>
              </w:rPr>
              <w:t>MA</w:t>
            </w:r>
          </w:p>
        </w:tc>
        <w:tc>
          <w:tcPr>
            <w:tcW w:w="3960" w:type="dxa"/>
            <w:tcMar>
              <w:top w:w="0" w:type="dxa"/>
              <w:left w:w="0" w:type="dxa"/>
              <w:bottom w:w="0" w:type="dxa"/>
              <w:right w:w="259" w:type="dxa"/>
            </w:tcMar>
            <w:vAlign w:val="bottom"/>
          </w:tcPr>
          <w:p w14:paraId="3CD9BBFD"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080DAFC1" w14:textId="77777777" w:rsidR="00685FE1" w:rsidRPr="008068A1" w:rsidRDefault="00685FE1" w:rsidP="009F4B10">
            <w:pPr>
              <w:jc w:val="right"/>
              <w:rPr>
                <w:color w:val="000000"/>
                <w:szCs w:val="22"/>
              </w:rPr>
            </w:pPr>
            <w:r w:rsidRPr="008068A1">
              <w:rPr>
                <w:color w:val="000000"/>
                <w:szCs w:val="22"/>
              </w:rPr>
              <w:t>25</w:t>
            </w:r>
          </w:p>
        </w:tc>
      </w:tr>
      <w:tr w:rsidR="00685FE1" w:rsidRPr="008068A1" w14:paraId="38E78DD2" w14:textId="77777777" w:rsidTr="00AE2114">
        <w:tc>
          <w:tcPr>
            <w:tcW w:w="375" w:type="dxa"/>
            <w:tcMar>
              <w:top w:w="0" w:type="dxa"/>
              <w:left w:w="0" w:type="dxa"/>
              <w:bottom w:w="0" w:type="dxa"/>
              <w:right w:w="259" w:type="dxa"/>
            </w:tcMar>
          </w:tcPr>
          <w:p w14:paraId="27CD1A00"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026B313E" w14:textId="77777777" w:rsidR="00685FE1" w:rsidRPr="008068A1" w:rsidRDefault="00685FE1" w:rsidP="009F4B10">
            <w:pPr>
              <w:rPr>
                <w:color w:val="000000"/>
                <w:szCs w:val="22"/>
              </w:rPr>
            </w:pPr>
            <w:r w:rsidRPr="008068A1">
              <w:rPr>
                <w:color w:val="000000"/>
                <w:szCs w:val="22"/>
              </w:rPr>
              <w:t>MI</w:t>
            </w:r>
          </w:p>
        </w:tc>
        <w:tc>
          <w:tcPr>
            <w:tcW w:w="3960" w:type="dxa"/>
            <w:tcMar>
              <w:top w:w="0" w:type="dxa"/>
              <w:left w:w="0" w:type="dxa"/>
              <w:bottom w:w="0" w:type="dxa"/>
              <w:right w:w="259" w:type="dxa"/>
            </w:tcMar>
            <w:vAlign w:val="bottom"/>
          </w:tcPr>
          <w:p w14:paraId="654CD6B0"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4FD4FC80" w14:textId="77777777" w:rsidR="00685FE1" w:rsidRPr="008068A1" w:rsidRDefault="00685FE1" w:rsidP="009F4B10">
            <w:pPr>
              <w:jc w:val="right"/>
              <w:rPr>
                <w:color w:val="000000"/>
                <w:szCs w:val="22"/>
              </w:rPr>
            </w:pPr>
            <w:r w:rsidRPr="008068A1">
              <w:rPr>
                <w:color w:val="000000"/>
                <w:szCs w:val="22"/>
              </w:rPr>
              <w:t>26</w:t>
            </w:r>
          </w:p>
        </w:tc>
      </w:tr>
      <w:tr w:rsidR="00685FE1" w:rsidRPr="008068A1" w14:paraId="6C1170AF" w14:textId="77777777" w:rsidTr="00AE2114">
        <w:tc>
          <w:tcPr>
            <w:tcW w:w="375" w:type="dxa"/>
            <w:tcMar>
              <w:top w:w="0" w:type="dxa"/>
              <w:left w:w="0" w:type="dxa"/>
              <w:bottom w:w="0" w:type="dxa"/>
              <w:right w:w="259" w:type="dxa"/>
            </w:tcMar>
          </w:tcPr>
          <w:p w14:paraId="26388A88"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622743B1" w14:textId="77777777" w:rsidR="00685FE1" w:rsidRPr="008068A1" w:rsidRDefault="00685FE1" w:rsidP="009F4B10">
            <w:pPr>
              <w:rPr>
                <w:color w:val="000000"/>
                <w:szCs w:val="22"/>
              </w:rPr>
            </w:pPr>
            <w:r w:rsidRPr="008068A1">
              <w:rPr>
                <w:color w:val="000000"/>
                <w:szCs w:val="22"/>
              </w:rPr>
              <w:t>MN</w:t>
            </w:r>
          </w:p>
        </w:tc>
        <w:tc>
          <w:tcPr>
            <w:tcW w:w="3960" w:type="dxa"/>
            <w:tcMar>
              <w:top w:w="0" w:type="dxa"/>
              <w:left w:w="0" w:type="dxa"/>
              <w:bottom w:w="0" w:type="dxa"/>
              <w:right w:w="259" w:type="dxa"/>
            </w:tcMar>
            <w:vAlign w:val="bottom"/>
          </w:tcPr>
          <w:p w14:paraId="175CD7A9"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FCA399F" w14:textId="77777777" w:rsidR="00685FE1" w:rsidRPr="008068A1" w:rsidRDefault="00685FE1" w:rsidP="009F4B10">
            <w:pPr>
              <w:jc w:val="right"/>
              <w:rPr>
                <w:color w:val="000000"/>
                <w:szCs w:val="22"/>
              </w:rPr>
            </w:pPr>
            <w:r w:rsidRPr="008068A1">
              <w:rPr>
                <w:color w:val="000000"/>
                <w:szCs w:val="22"/>
              </w:rPr>
              <w:t>27</w:t>
            </w:r>
          </w:p>
        </w:tc>
      </w:tr>
      <w:tr w:rsidR="00685FE1" w:rsidRPr="008068A1" w14:paraId="65E8E1E0" w14:textId="77777777" w:rsidTr="00AE2114">
        <w:tc>
          <w:tcPr>
            <w:tcW w:w="375" w:type="dxa"/>
            <w:tcMar>
              <w:top w:w="0" w:type="dxa"/>
              <w:left w:w="0" w:type="dxa"/>
              <w:bottom w:w="0" w:type="dxa"/>
              <w:right w:w="259" w:type="dxa"/>
            </w:tcMar>
          </w:tcPr>
          <w:p w14:paraId="741CE74D"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13E26D3C" w14:textId="77777777" w:rsidR="00685FE1" w:rsidRPr="008068A1" w:rsidRDefault="00685FE1" w:rsidP="009F4B10">
            <w:pPr>
              <w:rPr>
                <w:color w:val="000000"/>
                <w:szCs w:val="22"/>
              </w:rPr>
            </w:pPr>
            <w:r w:rsidRPr="008068A1">
              <w:rPr>
                <w:color w:val="000000"/>
                <w:szCs w:val="22"/>
              </w:rPr>
              <w:t>MS</w:t>
            </w:r>
          </w:p>
        </w:tc>
        <w:tc>
          <w:tcPr>
            <w:tcW w:w="3960" w:type="dxa"/>
            <w:tcMar>
              <w:top w:w="0" w:type="dxa"/>
              <w:left w:w="0" w:type="dxa"/>
              <w:bottom w:w="0" w:type="dxa"/>
              <w:right w:w="259" w:type="dxa"/>
            </w:tcMar>
            <w:vAlign w:val="bottom"/>
          </w:tcPr>
          <w:p w14:paraId="70855ECD"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4792CDAB" w14:textId="77777777" w:rsidR="00685FE1" w:rsidRPr="008068A1" w:rsidRDefault="00685FE1" w:rsidP="009F4B10">
            <w:pPr>
              <w:jc w:val="right"/>
              <w:rPr>
                <w:color w:val="000000"/>
                <w:szCs w:val="22"/>
              </w:rPr>
            </w:pPr>
            <w:r w:rsidRPr="008068A1">
              <w:rPr>
                <w:color w:val="000000"/>
                <w:szCs w:val="22"/>
              </w:rPr>
              <w:t>28</w:t>
            </w:r>
          </w:p>
        </w:tc>
      </w:tr>
      <w:tr w:rsidR="00685FE1" w:rsidRPr="008068A1" w14:paraId="6691F414" w14:textId="77777777" w:rsidTr="00AE2114">
        <w:tc>
          <w:tcPr>
            <w:tcW w:w="375" w:type="dxa"/>
            <w:tcMar>
              <w:top w:w="0" w:type="dxa"/>
              <w:left w:w="0" w:type="dxa"/>
              <w:bottom w:w="0" w:type="dxa"/>
              <w:right w:w="259" w:type="dxa"/>
            </w:tcMar>
          </w:tcPr>
          <w:p w14:paraId="322E3687"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1EE9EF4" w14:textId="77777777" w:rsidR="00685FE1" w:rsidRPr="008068A1" w:rsidRDefault="00685FE1" w:rsidP="009F4B10">
            <w:pPr>
              <w:rPr>
                <w:color w:val="000000"/>
                <w:szCs w:val="22"/>
              </w:rPr>
            </w:pPr>
            <w:r w:rsidRPr="008068A1">
              <w:rPr>
                <w:color w:val="000000"/>
                <w:szCs w:val="22"/>
              </w:rPr>
              <w:t>MO</w:t>
            </w:r>
          </w:p>
        </w:tc>
        <w:tc>
          <w:tcPr>
            <w:tcW w:w="3960" w:type="dxa"/>
            <w:tcMar>
              <w:top w:w="0" w:type="dxa"/>
              <w:left w:w="0" w:type="dxa"/>
              <w:bottom w:w="0" w:type="dxa"/>
              <w:right w:w="259" w:type="dxa"/>
            </w:tcMar>
            <w:vAlign w:val="bottom"/>
          </w:tcPr>
          <w:p w14:paraId="2A54BC2D"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0FC3D368" w14:textId="77777777" w:rsidR="00685FE1" w:rsidRPr="008068A1" w:rsidRDefault="00685FE1" w:rsidP="009F4B10">
            <w:pPr>
              <w:jc w:val="right"/>
              <w:rPr>
                <w:color w:val="000000"/>
                <w:szCs w:val="22"/>
              </w:rPr>
            </w:pPr>
            <w:r w:rsidRPr="008068A1">
              <w:rPr>
                <w:color w:val="000000"/>
                <w:szCs w:val="22"/>
              </w:rPr>
              <w:t>29</w:t>
            </w:r>
          </w:p>
        </w:tc>
      </w:tr>
      <w:tr w:rsidR="00685FE1" w:rsidRPr="008068A1" w14:paraId="7A232E55" w14:textId="77777777" w:rsidTr="00AE2114">
        <w:tc>
          <w:tcPr>
            <w:tcW w:w="375" w:type="dxa"/>
            <w:tcMar>
              <w:top w:w="0" w:type="dxa"/>
              <w:left w:w="0" w:type="dxa"/>
              <w:bottom w:w="0" w:type="dxa"/>
              <w:right w:w="259" w:type="dxa"/>
            </w:tcMar>
          </w:tcPr>
          <w:p w14:paraId="084D7F0E"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2010031F" w14:textId="77777777" w:rsidR="00685FE1" w:rsidRPr="008068A1" w:rsidRDefault="00685FE1" w:rsidP="009F4B10">
            <w:pPr>
              <w:rPr>
                <w:color w:val="000000"/>
                <w:szCs w:val="22"/>
              </w:rPr>
            </w:pPr>
            <w:r w:rsidRPr="008068A1">
              <w:rPr>
                <w:color w:val="000000"/>
                <w:szCs w:val="22"/>
              </w:rPr>
              <w:t>MT</w:t>
            </w:r>
          </w:p>
        </w:tc>
        <w:tc>
          <w:tcPr>
            <w:tcW w:w="3960" w:type="dxa"/>
            <w:tcMar>
              <w:top w:w="0" w:type="dxa"/>
              <w:left w:w="0" w:type="dxa"/>
              <w:bottom w:w="0" w:type="dxa"/>
              <w:right w:w="259" w:type="dxa"/>
            </w:tcMar>
            <w:vAlign w:val="bottom"/>
          </w:tcPr>
          <w:p w14:paraId="2154773C"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406EEA66" w14:textId="77777777" w:rsidR="00685FE1" w:rsidRPr="008068A1" w:rsidRDefault="00685FE1" w:rsidP="009F4B10">
            <w:pPr>
              <w:jc w:val="right"/>
              <w:rPr>
                <w:color w:val="000000"/>
                <w:szCs w:val="22"/>
              </w:rPr>
            </w:pPr>
            <w:r w:rsidRPr="008068A1">
              <w:rPr>
                <w:color w:val="000000"/>
                <w:szCs w:val="22"/>
              </w:rPr>
              <w:t>30</w:t>
            </w:r>
          </w:p>
        </w:tc>
      </w:tr>
      <w:tr w:rsidR="00685FE1" w:rsidRPr="008068A1" w14:paraId="19F8374C" w14:textId="77777777" w:rsidTr="00AE2114">
        <w:tc>
          <w:tcPr>
            <w:tcW w:w="375" w:type="dxa"/>
            <w:tcMar>
              <w:top w:w="0" w:type="dxa"/>
              <w:left w:w="0" w:type="dxa"/>
              <w:bottom w:w="0" w:type="dxa"/>
              <w:right w:w="259" w:type="dxa"/>
            </w:tcMar>
          </w:tcPr>
          <w:p w14:paraId="32B56692"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742CB3E5" w14:textId="77777777" w:rsidR="00685FE1" w:rsidRPr="008068A1" w:rsidRDefault="00685FE1" w:rsidP="009F4B10">
            <w:pPr>
              <w:rPr>
                <w:color w:val="000000"/>
                <w:szCs w:val="22"/>
              </w:rPr>
            </w:pPr>
            <w:r w:rsidRPr="008068A1">
              <w:rPr>
                <w:color w:val="000000"/>
                <w:szCs w:val="22"/>
              </w:rPr>
              <w:t>NE</w:t>
            </w:r>
          </w:p>
        </w:tc>
        <w:tc>
          <w:tcPr>
            <w:tcW w:w="3960" w:type="dxa"/>
            <w:tcMar>
              <w:top w:w="0" w:type="dxa"/>
              <w:left w:w="0" w:type="dxa"/>
              <w:bottom w:w="0" w:type="dxa"/>
              <w:right w:w="259" w:type="dxa"/>
            </w:tcMar>
            <w:vAlign w:val="bottom"/>
          </w:tcPr>
          <w:p w14:paraId="71FE559E"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45279126" w14:textId="77777777" w:rsidR="00685FE1" w:rsidRPr="008068A1" w:rsidRDefault="00685FE1" w:rsidP="009F4B10">
            <w:pPr>
              <w:jc w:val="right"/>
              <w:rPr>
                <w:color w:val="000000"/>
                <w:szCs w:val="22"/>
              </w:rPr>
            </w:pPr>
            <w:r w:rsidRPr="008068A1">
              <w:rPr>
                <w:color w:val="000000"/>
                <w:szCs w:val="22"/>
              </w:rPr>
              <w:t>31</w:t>
            </w:r>
          </w:p>
        </w:tc>
      </w:tr>
      <w:tr w:rsidR="00685FE1" w:rsidRPr="008068A1" w14:paraId="7FB6DD84" w14:textId="77777777" w:rsidTr="00AE2114">
        <w:tc>
          <w:tcPr>
            <w:tcW w:w="375" w:type="dxa"/>
            <w:tcMar>
              <w:top w:w="0" w:type="dxa"/>
              <w:left w:w="0" w:type="dxa"/>
              <w:bottom w:w="0" w:type="dxa"/>
              <w:right w:w="259" w:type="dxa"/>
            </w:tcMar>
          </w:tcPr>
          <w:p w14:paraId="626E25F0"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6B26565" w14:textId="77777777" w:rsidR="00685FE1" w:rsidRPr="008068A1" w:rsidRDefault="00685FE1" w:rsidP="009F4B10">
            <w:pPr>
              <w:rPr>
                <w:color w:val="000000"/>
                <w:szCs w:val="22"/>
              </w:rPr>
            </w:pPr>
            <w:r w:rsidRPr="008068A1">
              <w:rPr>
                <w:color w:val="000000"/>
                <w:szCs w:val="22"/>
              </w:rPr>
              <w:t>NV</w:t>
            </w:r>
          </w:p>
        </w:tc>
        <w:tc>
          <w:tcPr>
            <w:tcW w:w="3960" w:type="dxa"/>
            <w:tcMar>
              <w:top w:w="0" w:type="dxa"/>
              <w:left w:w="0" w:type="dxa"/>
              <w:bottom w:w="0" w:type="dxa"/>
              <w:right w:w="259" w:type="dxa"/>
            </w:tcMar>
            <w:vAlign w:val="bottom"/>
          </w:tcPr>
          <w:p w14:paraId="74E89B2C"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1A95CBC4" w14:textId="77777777" w:rsidR="00685FE1" w:rsidRPr="008068A1" w:rsidRDefault="00685FE1" w:rsidP="009F4B10">
            <w:pPr>
              <w:jc w:val="right"/>
              <w:rPr>
                <w:color w:val="000000"/>
                <w:szCs w:val="22"/>
              </w:rPr>
            </w:pPr>
            <w:r w:rsidRPr="008068A1">
              <w:rPr>
                <w:color w:val="000000"/>
                <w:szCs w:val="22"/>
              </w:rPr>
              <w:t>32</w:t>
            </w:r>
          </w:p>
        </w:tc>
      </w:tr>
      <w:tr w:rsidR="00685FE1" w:rsidRPr="008068A1" w14:paraId="3CF9264F" w14:textId="77777777" w:rsidTr="00AE2114">
        <w:tc>
          <w:tcPr>
            <w:tcW w:w="375" w:type="dxa"/>
            <w:tcMar>
              <w:top w:w="0" w:type="dxa"/>
              <w:left w:w="0" w:type="dxa"/>
              <w:bottom w:w="0" w:type="dxa"/>
              <w:right w:w="259" w:type="dxa"/>
            </w:tcMar>
          </w:tcPr>
          <w:p w14:paraId="255CFD74"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7B73FF36" w14:textId="77777777" w:rsidR="00685FE1" w:rsidRPr="008068A1" w:rsidRDefault="00685FE1" w:rsidP="009F4B10">
            <w:pPr>
              <w:rPr>
                <w:color w:val="000000"/>
                <w:szCs w:val="22"/>
              </w:rPr>
            </w:pPr>
            <w:r w:rsidRPr="008068A1">
              <w:rPr>
                <w:color w:val="000000"/>
                <w:szCs w:val="22"/>
              </w:rPr>
              <w:t>NH</w:t>
            </w:r>
          </w:p>
        </w:tc>
        <w:tc>
          <w:tcPr>
            <w:tcW w:w="3960" w:type="dxa"/>
            <w:tcMar>
              <w:top w:w="0" w:type="dxa"/>
              <w:left w:w="0" w:type="dxa"/>
              <w:bottom w:w="0" w:type="dxa"/>
              <w:right w:w="259" w:type="dxa"/>
            </w:tcMar>
            <w:vAlign w:val="bottom"/>
          </w:tcPr>
          <w:p w14:paraId="2C12C40A"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66F76C0D" w14:textId="77777777" w:rsidR="00685FE1" w:rsidRPr="008068A1" w:rsidRDefault="00685FE1" w:rsidP="009F4B10">
            <w:pPr>
              <w:jc w:val="right"/>
              <w:rPr>
                <w:color w:val="000000"/>
                <w:szCs w:val="22"/>
              </w:rPr>
            </w:pPr>
            <w:r w:rsidRPr="008068A1">
              <w:rPr>
                <w:color w:val="000000"/>
                <w:szCs w:val="22"/>
              </w:rPr>
              <w:t>33</w:t>
            </w:r>
          </w:p>
        </w:tc>
      </w:tr>
      <w:tr w:rsidR="00685FE1" w:rsidRPr="008068A1" w14:paraId="5AA8642D" w14:textId="77777777" w:rsidTr="00AE2114">
        <w:tc>
          <w:tcPr>
            <w:tcW w:w="375" w:type="dxa"/>
            <w:tcMar>
              <w:top w:w="0" w:type="dxa"/>
              <w:left w:w="0" w:type="dxa"/>
              <w:bottom w:w="0" w:type="dxa"/>
              <w:right w:w="259" w:type="dxa"/>
            </w:tcMar>
          </w:tcPr>
          <w:p w14:paraId="3D3F7AA4"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4750CC88" w14:textId="77777777" w:rsidR="00685FE1" w:rsidRPr="008068A1" w:rsidRDefault="00685FE1" w:rsidP="009F4B10">
            <w:pPr>
              <w:rPr>
                <w:color w:val="000000"/>
                <w:szCs w:val="22"/>
              </w:rPr>
            </w:pPr>
            <w:r w:rsidRPr="008068A1">
              <w:rPr>
                <w:color w:val="000000"/>
                <w:szCs w:val="22"/>
              </w:rPr>
              <w:t>NJ</w:t>
            </w:r>
          </w:p>
        </w:tc>
        <w:tc>
          <w:tcPr>
            <w:tcW w:w="3960" w:type="dxa"/>
            <w:tcMar>
              <w:top w:w="0" w:type="dxa"/>
              <w:left w:w="0" w:type="dxa"/>
              <w:bottom w:w="0" w:type="dxa"/>
              <w:right w:w="259" w:type="dxa"/>
            </w:tcMar>
            <w:vAlign w:val="bottom"/>
          </w:tcPr>
          <w:p w14:paraId="01C346EA"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3B8439C1" w14:textId="77777777" w:rsidR="00685FE1" w:rsidRPr="008068A1" w:rsidRDefault="00685FE1" w:rsidP="009F4B10">
            <w:pPr>
              <w:jc w:val="right"/>
              <w:rPr>
                <w:color w:val="000000"/>
                <w:szCs w:val="22"/>
              </w:rPr>
            </w:pPr>
            <w:r w:rsidRPr="008068A1">
              <w:rPr>
                <w:color w:val="000000"/>
                <w:szCs w:val="22"/>
              </w:rPr>
              <w:t>34</w:t>
            </w:r>
          </w:p>
        </w:tc>
      </w:tr>
      <w:tr w:rsidR="00685FE1" w:rsidRPr="008068A1" w14:paraId="04EEAB7E" w14:textId="77777777" w:rsidTr="00AE2114">
        <w:tc>
          <w:tcPr>
            <w:tcW w:w="375" w:type="dxa"/>
            <w:tcMar>
              <w:top w:w="0" w:type="dxa"/>
              <w:left w:w="0" w:type="dxa"/>
              <w:bottom w:w="0" w:type="dxa"/>
              <w:right w:w="259" w:type="dxa"/>
            </w:tcMar>
          </w:tcPr>
          <w:p w14:paraId="0917F2A2"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76C3F3FC" w14:textId="77777777" w:rsidR="00685FE1" w:rsidRPr="008068A1" w:rsidRDefault="00685FE1" w:rsidP="009F4B10">
            <w:pPr>
              <w:rPr>
                <w:color w:val="000000"/>
                <w:szCs w:val="22"/>
              </w:rPr>
            </w:pPr>
            <w:r w:rsidRPr="008068A1">
              <w:rPr>
                <w:color w:val="000000"/>
                <w:szCs w:val="22"/>
              </w:rPr>
              <w:t>NM</w:t>
            </w:r>
          </w:p>
        </w:tc>
        <w:tc>
          <w:tcPr>
            <w:tcW w:w="3960" w:type="dxa"/>
            <w:tcMar>
              <w:top w:w="0" w:type="dxa"/>
              <w:left w:w="0" w:type="dxa"/>
              <w:bottom w:w="0" w:type="dxa"/>
              <w:right w:w="259" w:type="dxa"/>
            </w:tcMar>
            <w:vAlign w:val="bottom"/>
          </w:tcPr>
          <w:p w14:paraId="56740128"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3B5D4A0D" w14:textId="77777777" w:rsidR="00685FE1" w:rsidRPr="008068A1" w:rsidRDefault="00685FE1" w:rsidP="009F4B10">
            <w:pPr>
              <w:jc w:val="right"/>
              <w:rPr>
                <w:color w:val="000000"/>
                <w:szCs w:val="22"/>
              </w:rPr>
            </w:pPr>
            <w:r w:rsidRPr="008068A1">
              <w:rPr>
                <w:color w:val="000000"/>
                <w:szCs w:val="22"/>
              </w:rPr>
              <w:t>35</w:t>
            </w:r>
          </w:p>
        </w:tc>
      </w:tr>
      <w:tr w:rsidR="00685FE1" w:rsidRPr="008068A1" w14:paraId="54049927" w14:textId="77777777" w:rsidTr="00AE2114">
        <w:tc>
          <w:tcPr>
            <w:tcW w:w="375" w:type="dxa"/>
            <w:tcMar>
              <w:top w:w="0" w:type="dxa"/>
              <w:left w:w="0" w:type="dxa"/>
              <w:bottom w:w="0" w:type="dxa"/>
              <w:right w:w="259" w:type="dxa"/>
            </w:tcMar>
          </w:tcPr>
          <w:p w14:paraId="5335C149"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5044F66B" w14:textId="77777777" w:rsidR="00685FE1" w:rsidRPr="008068A1" w:rsidRDefault="00685FE1" w:rsidP="009F4B10">
            <w:pPr>
              <w:rPr>
                <w:color w:val="000000"/>
                <w:szCs w:val="22"/>
              </w:rPr>
            </w:pPr>
            <w:r w:rsidRPr="008068A1">
              <w:rPr>
                <w:color w:val="000000"/>
                <w:szCs w:val="22"/>
              </w:rPr>
              <w:t>NY</w:t>
            </w:r>
          </w:p>
        </w:tc>
        <w:tc>
          <w:tcPr>
            <w:tcW w:w="3960" w:type="dxa"/>
            <w:tcMar>
              <w:top w:w="0" w:type="dxa"/>
              <w:left w:w="0" w:type="dxa"/>
              <w:bottom w:w="0" w:type="dxa"/>
              <w:right w:w="259" w:type="dxa"/>
            </w:tcMar>
            <w:vAlign w:val="bottom"/>
          </w:tcPr>
          <w:p w14:paraId="00AE4C1A"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39AA4422" w14:textId="77777777" w:rsidR="00685FE1" w:rsidRPr="008068A1" w:rsidRDefault="00685FE1" w:rsidP="009F4B10">
            <w:pPr>
              <w:jc w:val="right"/>
              <w:rPr>
                <w:color w:val="000000"/>
                <w:szCs w:val="22"/>
              </w:rPr>
            </w:pPr>
            <w:r w:rsidRPr="008068A1">
              <w:rPr>
                <w:color w:val="000000"/>
                <w:szCs w:val="22"/>
              </w:rPr>
              <w:t>36</w:t>
            </w:r>
          </w:p>
        </w:tc>
      </w:tr>
      <w:tr w:rsidR="00685FE1" w:rsidRPr="008068A1" w14:paraId="36A30A1B" w14:textId="77777777" w:rsidTr="00AE2114">
        <w:tc>
          <w:tcPr>
            <w:tcW w:w="375" w:type="dxa"/>
            <w:tcMar>
              <w:top w:w="0" w:type="dxa"/>
              <w:left w:w="0" w:type="dxa"/>
              <w:bottom w:w="0" w:type="dxa"/>
              <w:right w:w="259" w:type="dxa"/>
            </w:tcMar>
          </w:tcPr>
          <w:p w14:paraId="4F745970"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D980996" w14:textId="77777777" w:rsidR="00685FE1" w:rsidRPr="008068A1" w:rsidRDefault="00685FE1" w:rsidP="009F4B10">
            <w:pPr>
              <w:rPr>
                <w:color w:val="000000"/>
                <w:szCs w:val="22"/>
              </w:rPr>
            </w:pPr>
            <w:r w:rsidRPr="008068A1">
              <w:rPr>
                <w:color w:val="000000"/>
                <w:szCs w:val="22"/>
              </w:rPr>
              <w:t>NC</w:t>
            </w:r>
          </w:p>
        </w:tc>
        <w:tc>
          <w:tcPr>
            <w:tcW w:w="3960" w:type="dxa"/>
            <w:tcMar>
              <w:top w:w="0" w:type="dxa"/>
              <w:left w:w="0" w:type="dxa"/>
              <w:bottom w:w="0" w:type="dxa"/>
              <w:right w:w="259" w:type="dxa"/>
            </w:tcMar>
            <w:vAlign w:val="bottom"/>
          </w:tcPr>
          <w:p w14:paraId="0CB4888D"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04E74086" w14:textId="77777777" w:rsidR="00685FE1" w:rsidRPr="008068A1" w:rsidRDefault="00685FE1" w:rsidP="009F4B10">
            <w:pPr>
              <w:jc w:val="right"/>
              <w:rPr>
                <w:color w:val="000000"/>
                <w:szCs w:val="22"/>
              </w:rPr>
            </w:pPr>
            <w:r w:rsidRPr="008068A1">
              <w:rPr>
                <w:color w:val="000000"/>
                <w:szCs w:val="22"/>
              </w:rPr>
              <w:t>37</w:t>
            </w:r>
          </w:p>
        </w:tc>
      </w:tr>
      <w:tr w:rsidR="00685FE1" w:rsidRPr="008068A1" w14:paraId="39DAAD9B" w14:textId="77777777" w:rsidTr="00AE2114">
        <w:tc>
          <w:tcPr>
            <w:tcW w:w="375" w:type="dxa"/>
            <w:tcMar>
              <w:top w:w="0" w:type="dxa"/>
              <w:left w:w="0" w:type="dxa"/>
              <w:bottom w:w="0" w:type="dxa"/>
              <w:right w:w="259" w:type="dxa"/>
            </w:tcMar>
          </w:tcPr>
          <w:p w14:paraId="27C774D8"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29DA3D70" w14:textId="77777777" w:rsidR="00685FE1" w:rsidRPr="008068A1" w:rsidRDefault="00685FE1" w:rsidP="009F4B10">
            <w:pPr>
              <w:rPr>
                <w:color w:val="000000"/>
                <w:szCs w:val="22"/>
              </w:rPr>
            </w:pPr>
            <w:r w:rsidRPr="008068A1">
              <w:rPr>
                <w:color w:val="000000"/>
                <w:szCs w:val="22"/>
              </w:rPr>
              <w:t>ND</w:t>
            </w:r>
          </w:p>
        </w:tc>
        <w:tc>
          <w:tcPr>
            <w:tcW w:w="3960" w:type="dxa"/>
            <w:tcMar>
              <w:top w:w="0" w:type="dxa"/>
              <w:left w:w="0" w:type="dxa"/>
              <w:bottom w:w="0" w:type="dxa"/>
              <w:right w:w="259" w:type="dxa"/>
            </w:tcMar>
            <w:vAlign w:val="bottom"/>
          </w:tcPr>
          <w:p w14:paraId="3473C9A8"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90BEEF2" w14:textId="77777777" w:rsidR="00685FE1" w:rsidRPr="008068A1" w:rsidRDefault="00685FE1" w:rsidP="009F4B10">
            <w:pPr>
              <w:jc w:val="right"/>
              <w:rPr>
                <w:color w:val="000000"/>
                <w:szCs w:val="22"/>
              </w:rPr>
            </w:pPr>
            <w:r w:rsidRPr="008068A1">
              <w:rPr>
                <w:color w:val="000000"/>
                <w:szCs w:val="22"/>
              </w:rPr>
              <w:t>38</w:t>
            </w:r>
          </w:p>
        </w:tc>
      </w:tr>
      <w:tr w:rsidR="00685FE1" w:rsidRPr="008068A1" w14:paraId="7136A567" w14:textId="77777777" w:rsidTr="00AE2114">
        <w:tc>
          <w:tcPr>
            <w:tcW w:w="375" w:type="dxa"/>
            <w:tcMar>
              <w:top w:w="0" w:type="dxa"/>
              <w:left w:w="0" w:type="dxa"/>
              <w:bottom w:w="0" w:type="dxa"/>
              <w:right w:w="259" w:type="dxa"/>
            </w:tcMar>
          </w:tcPr>
          <w:p w14:paraId="1542D82C"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406BC0B0" w14:textId="77777777" w:rsidR="00685FE1" w:rsidRPr="008068A1" w:rsidRDefault="00685FE1" w:rsidP="009F4B10">
            <w:pPr>
              <w:rPr>
                <w:color w:val="000000"/>
                <w:szCs w:val="22"/>
              </w:rPr>
            </w:pPr>
            <w:r w:rsidRPr="008068A1">
              <w:rPr>
                <w:color w:val="000000"/>
                <w:szCs w:val="22"/>
              </w:rPr>
              <w:t>OH</w:t>
            </w:r>
          </w:p>
        </w:tc>
        <w:tc>
          <w:tcPr>
            <w:tcW w:w="3960" w:type="dxa"/>
            <w:tcMar>
              <w:top w:w="0" w:type="dxa"/>
              <w:left w:w="0" w:type="dxa"/>
              <w:bottom w:w="0" w:type="dxa"/>
              <w:right w:w="259" w:type="dxa"/>
            </w:tcMar>
            <w:vAlign w:val="bottom"/>
          </w:tcPr>
          <w:p w14:paraId="00CBFC54"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2C9BD492" w14:textId="77777777" w:rsidR="00685FE1" w:rsidRPr="008068A1" w:rsidRDefault="00685FE1" w:rsidP="009F4B10">
            <w:pPr>
              <w:jc w:val="right"/>
              <w:rPr>
                <w:color w:val="000000"/>
                <w:szCs w:val="22"/>
              </w:rPr>
            </w:pPr>
            <w:r w:rsidRPr="008068A1">
              <w:rPr>
                <w:color w:val="000000"/>
                <w:szCs w:val="22"/>
              </w:rPr>
              <w:t>39</w:t>
            </w:r>
          </w:p>
        </w:tc>
      </w:tr>
      <w:tr w:rsidR="00685FE1" w:rsidRPr="008068A1" w14:paraId="526C566F" w14:textId="77777777" w:rsidTr="00AE2114">
        <w:tc>
          <w:tcPr>
            <w:tcW w:w="375" w:type="dxa"/>
            <w:tcMar>
              <w:top w:w="0" w:type="dxa"/>
              <w:left w:w="0" w:type="dxa"/>
              <w:bottom w:w="0" w:type="dxa"/>
              <w:right w:w="259" w:type="dxa"/>
            </w:tcMar>
          </w:tcPr>
          <w:p w14:paraId="587446E2"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7FD021E4" w14:textId="77777777" w:rsidR="00685FE1" w:rsidRPr="008068A1" w:rsidRDefault="00685FE1" w:rsidP="009F4B10">
            <w:pPr>
              <w:rPr>
                <w:color w:val="000000"/>
                <w:szCs w:val="22"/>
              </w:rPr>
            </w:pPr>
            <w:r w:rsidRPr="008068A1">
              <w:rPr>
                <w:color w:val="000000"/>
                <w:szCs w:val="22"/>
              </w:rPr>
              <w:t>OK</w:t>
            </w:r>
          </w:p>
        </w:tc>
        <w:tc>
          <w:tcPr>
            <w:tcW w:w="3960" w:type="dxa"/>
            <w:tcMar>
              <w:top w:w="0" w:type="dxa"/>
              <w:left w:w="0" w:type="dxa"/>
              <w:bottom w:w="0" w:type="dxa"/>
              <w:right w:w="259" w:type="dxa"/>
            </w:tcMar>
            <w:vAlign w:val="bottom"/>
          </w:tcPr>
          <w:p w14:paraId="6EB12734"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1D39EE01" w14:textId="77777777" w:rsidR="00685FE1" w:rsidRPr="008068A1" w:rsidRDefault="00685FE1" w:rsidP="009F4B10">
            <w:pPr>
              <w:jc w:val="right"/>
              <w:rPr>
                <w:color w:val="000000"/>
                <w:szCs w:val="22"/>
              </w:rPr>
            </w:pPr>
            <w:r w:rsidRPr="008068A1">
              <w:rPr>
                <w:color w:val="000000"/>
                <w:szCs w:val="22"/>
              </w:rPr>
              <w:t>40</w:t>
            </w:r>
          </w:p>
        </w:tc>
      </w:tr>
      <w:tr w:rsidR="00685FE1" w:rsidRPr="008068A1" w14:paraId="748CC2D0" w14:textId="77777777" w:rsidTr="00AE2114">
        <w:tc>
          <w:tcPr>
            <w:tcW w:w="375" w:type="dxa"/>
            <w:tcMar>
              <w:top w:w="0" w:type="dxa"/>
              <w:left w:w="0" w:type="dxa"/>
              <w:bottom w:w="0" w:type="dxa"/>
              <w:right w:w="259" w:type="dxa"/>
            </w:tcMar>
          </w:tcPr>
          <w:p w14:paraId="213CB166"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06E5E10" w14:textId="77777777" w:rsidR="00685FE1" w:rsidRPr="008068A1" w:rsidRDefault="00685FE1" w:rsidP="009F4B10">
            <w:pPr>
              <w:rPr>
                <w:color w:val="000000"/>
                <w:szCs w:val="22"/>
              </w:rPr>
            </w:pPr>
            <w:r w:rsidRPr="008068A1">
              <w:rPr>
                <w:color w:val="000000"/>
                <w:szCs w:val="22"/>
              </w:rPr>
              <w:t>OR</w:t>
            </w:r>
          </w:p>
        </w:tc>
        <w:tc>
          <w:tcPr>
            <w:tcW w:w="3960" w:type="dxa"/>
            <w:tcMar>
              <w:top w:w="0" w:type="dxa"/>
              <w:left w:w="0" w:type="dxa"/>
              <w:bottom w:w="0" w:type="dxa"/>
              <w:right w:w="259" w:type="dxa"/>
            </w:tcMar>
            <w:vAlign w:val="bottom"/>
          </w:tcPr>
          <w:p w14:paraId="151B54A5"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48B06B2" w14:textId="77777777" w:rsidR="00685FE1" w:rsidRPr="008068A1" w:rsidRDefault="00685FE1" w:rsidP="009F4B10">
            <w:pPr>
              <w:jc w:val="right"/>
              <w:rPr>
                <w:color w:val="000000"/>
                <w:szCs w:val="22"/>
              </w:rPr>
            </w:pPr>
            <w:r w:rsidRPr="008068A1">
              <w:rPr>
                <w:color w:val="000000"/>
                <w:szCs w:val="22"/>
              </w:rPr>
              <w:t>41</w:t>
            </w:r>
          </w:p>
        </w:tc>
      </w:tr>
      <w:tr w:rsidR="00685FE1" w:rsidRPr="008068A1" w14:paraId="107407C4" w14:textId="77777777" w:rsidTr="00AE2114">
        <w:tc>
          <w:tcPr>
            <w:tcW w:w="375" w:type="dxa"/>
            <w:tcMar>
              <w:top w:w="0" w:type="dxa"/>
              <w:left w:w="0" w:type="dxa"/>
              <w:bottom w:w="0" w:type="dxa"/>
              <w:right w:w="259" w:type="dxa"/>
            </w:tcMar>
          </w:tcPr>
          <w:p w14:paraId="571A91D5"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159845A" w14:textId="77777777" w:rsidR="00685FE1" w:rsidRPr="008068A1" w:rsidRDefault="00685FE1" w:rsidP="009F4B10">
            <w:pPr>
              <w:rPr>
                <w:color w:val="000000"/>
                <w:szCs w:val="22"/>
              </w:rPr>
            </w:pPr>
            <w:r w:rsidRPr="008068A1">
              <w:rPr>
                <w:color w:val="000000"/>
                <w:szCs w:val="22"/>
              </w:rPr>
              <w:t>PA</w:t>
            </w:r>
          </w:p>
        </w:tc>
        <w:tc>
          <w:tcPr>
            <w:tcW w:w="3960" w:type="dxa"/>
            <w:tcMar>
              <w:top w:w="0" w:type="dxa"/>
              <w:left w:w="0" w:type="dxa"/>
              <w:bottom w:w="0" w:type="dxa"/>
              <w:right w:w="259" w:type="dxa"/>
            </w:tcMar>
            <w:vAlign w:val="bottom"/>
          </w:tcPr>
          <w:p w14:paraId="523740B8"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2CBAAC62" w14:textId="77777777" w:rsidR="00685FE1" w:rsidRPr="008068A1" w:rsidRDefault="00685FE1" w:rsidP="009F4B10">
            <w:pPr>
              <w:jc w:val="right"/>
              <w:rPr>
                <w:color w:val="000000"/>
                <w:szCs w:val="22"/>
              </w:rPr>
            </w:pPr>
            <w:r w:rsidRPr="008068A1">
              <w:rPr>
                <w:color w:val="000000"/>
                <w:szCs w:val="22"/>
              </w:rPr>
              <w:t>42</w:t>
            </w:r>
          </w:p>
        </w:tc>
      </w:tr>
      <w:tr w:rsidR="00685FE1" w:rsidRPr="008068A1" w14:paraId="74F414B7" w14:textId="77777777" w:rsidTr="00AE2114">
        <w:tc>
          <w:tcPr>
            <w:tcW w:w="375" w:type="dxa"/>
            <w:tcMar>
              <w:top w:w="0" w:type="dxa"/>
              <w:left w:w="0" w:type="dxa"/>
              <w:bottom w:w="0" w:type="dxa"/>
              <w:right w:w="259" w:type="dxa"/>
            </w:tcMar>
          </w:tcPr>
          <w:p w14:paraId="4E5AADB7"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07C71236" w14:textId="77777777" w:rsidR="00685FE1" w:rsidRPr="008068A1" w:rsidRDefault="00685FE1" w:rsidP="009F4B10">
            <w:pPr>
              <w:rPr>
                <w:color w:val="000000"/>
                <w:szCs w:val="22"/>
              </w:rPr>
            </w:pPr>
            <w:r w:rsidRPr="008068A1">
              <w:rPr>
                <w:color w:val="000000"/>
                <w:szCs w:val="22"/>
              </w:rPr>
              <w:t>RI</w:t>
            </w:r>
          </w:p>
        </w:tc>
        <w:tc>
          <w:tcPr>
            <w:tcW w:w="3960" w:type="dxa"/>
            <w:tcMar>
              <w:top w:w="0" w:type="dxa"/>
              <w:left w:w="0" w:type="dxa"/>
              <w:bottom w:w="0" w:type="dxa"/>
              <w:right w:w="259" w:type="dxa"/>
            </w:tcMar>
            <w:vAlign w:val="bottom"/>
          </w:tcPr>
          <w:p w14:paraId="7B125517"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09574B65" w14:textId="77777777" w:rsidR="00685FE1" w:rsidRPr="008068A1" w:rsidRDefault="00685FE1" w:rsidP="009F4B10">
            <w:pPr>
              <w:jc w:val="right"/>
              <w:rPr>
                <w:color w:val="000000"/>
                <w:szCs w:val="22"/>
              </w:rPr>
            </w:pPr>
            <w:r w:rsidRPr="008068A1">
              <w:rPr>
                <w:color w:val="000000"/>
                <w:szCs w:val="22"/>
              </w:rPr>
              <w:t>44</w:t>
            </w:r>
          </w:p>
        </w:tc>
      </w:tr>
      <w:tr w:rsidR="00685FE1" w:rsidRPr="008068A1" w14:paraId="7EB3905F" w14:textId="77777777" w:rsidTr="00AE2114">
        <w:tc>
          <w:tcPr>
            <w:tcW w:w="375" w:type="dxa"/>
            <w:tcMar>
              <w:top w:w="0" w:type="dxa"/>
              <w:left w:w="0" w:type="dxa"/>
              <w:bottom w:w="0" w:type="dxa"/>
              <w:right w:w="259" w:type="dxa"/>
            </w:tcMar>
          </w:tcPr>
          <w:p w14:paraId="52CBA511"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69886F4A" w14:textId="77777777" w:rsidR="00685FE1" w:rsidRPr="008068A1" w:rsidRDefault="00685FE1" w:rsidP="009F4B10">
            <w:pPr>
              <w:rPr>
                <w:color w:val="000000"/>
                <w:szCs w:val="22"/>
              </w:rPr>
            </w:pPr>
            <w:r w:rsidRPr="008068A1">
              <w:rPr>
                <w:color w:val="000000"/>
                <w:szCs w:val="22"/>
              </w:rPr>
              <w:t>SC</w:t>
            </w:r>
          </w:p>
        </w:tc>
        <w:tc>
          <w:tcPr>
            <w:tcW w:w="3960" w:type="dxa"/>
            <w:tcMar>
              <w:top w:w="0" w:type="dxa"/>
              <w:left w:w="0" w:type="dxa"/>
              <w:bottom w:w="0" w:type="dxa"/>
              <w:right w:w="259" w:type="dxa"/>
            </w:tcMar>
            <w:vAlign w:val="bottom"/>
          </w:tcPr>
          <w:p w14:paraId="32225C39"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6B38D796" w14:textId="77777777" w:rsidR="00685FE1" w:rsidRPr="008068A1" w:rsidRDefault="00685FE1" w:rsidP="009F4B10">
            <w:pPr>
              <w:jc w:val="right"/>
              <w:rPr>
                <w:color w:val="000000"/>
                <w:szCs w:val="22"/>
              </w:rPr>
            </w:pPr>
            <w:r w:rsidRPr="008068A1">
              <w:rPr>
                <w:color w:val="000000"/>
                <w:szCs w:val="22"/>
              </w:rPr>
              <w:t>45</w:t>
            </w:r>
          </w:p>
        </w:tc>
      </w:tr>
      <w:tr w:rsidR="00685FE1" w:rsidRPr="008068A1" w14:paraId="6B7804B6" w14:textId="77777777" w:rsidTr="00AE2114">
        <w:tc>
          <w:tcPr>
            <w:tcW w:w="375" w:type="dxa"/>
            <w:tcMar>
              <w:top w:w="0" w:type="dxa"/>
              <w:left w:w="0" w:type="dxa"/>
              <w:bottom w:w="0" w:type="dxa"/>
              <w:right w:w="259" w:type="dxa"/>
            </w:tcMar>
          </w:tcPr>
          <w:p w14:paraId="49B68885"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7AA02177" w14:textId="77777777" w:rsidR="00685FE1" w:rsidRPr="008068A1" w:rsidRDefault="00685FE1" w:rsidP="009F4B10">
            <w:pPr>
              <w:rPr>
                <w:color w:val="000000"/>
                <w:szCs w:val="22"/>
              </w:rPr>
            </w:pPr>
            <w:r w:rsidRPr="008068A1">
              <w:rPr>
                <w:color w:val="000000"/>
                <w:szCs w:val="22"/>
              </w:rPr>
              <w:t>SD</w:t>
            </w:r>
          </w:p>
        </w:tc>
        <w:tc>
          <w:tcPr>
            <w:tcW w:w="3960" w:type="dxa"/>
            <w:tcMar>
              <w:top w:w="0" w:type="dxa"/>
              <w:left w:w="0" w:type="dxa"/>
              <w:bottom w:w="0" w:type="dxa"/>
              <w:right w:w="259" w:type="dxa"/>
            </w:tcMar>
            <w:vAlign w:val="bottom"/>
          </w:tcPr>
          <w:p w14:paraId="6C30D98C"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2916D1B6" w14:textId="77777777" w:rsidR="00685FE1" w:rsidRPr="008068A1" w:rsidRDefault="00685FE1" w:rsidP="009F4B10">
            <w:pPr>
              <w:jc w:val="right"/>
              <w:rPr>
                <w:color w:val="000000"/>
                <w:szCs w:val="22"/>
              </w:rPr>
            </w:pPr>
            <w:r w:rsidRPr="008068A1">
              <w:rPr>
                <w:color w:val="000000"/>
                <w:szCs w:val="22"/>
              </w:rPr>
              <w:t>46</w:t>
            </w:r>
          </w:p>
        </w:tc>
      </w:tr>
      <w:tr w:rsidR="00685FE1" w:rsidRPr="008068A1" w14:paraId="5ADF8A00" w14:textId="77777777" w:rsidTr="00AE2114">
        <w:tc>
          <w:tcPr>
            <w:tcW w:w="375" w:type="dxa"/>
            <w:tcMar>
              <w:top w:w="0" w:type="dxa"/>
              <w:left w:w="0" w:type="dxa"/>
              <w:bottom w:w="0" w:type="dxa"/>
              <w:right w:w="259" w:type="dxa"/>
            </w:tcMar>
          </w:tcPr>
          <w:p w14:paraId="7659B2E6"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6A311A43" w14:textId="77777777" w:rsidR="00685FE1" w:rsidRPr="008068A1" w:rsidRDefault="00685FE1" w:rsidP="009F4B10">
            <w:pPr>
              <w:rPr>
                <w:color w:val="000000"/>
                <w:szCs w:val="22"/>
              </w:rPr>
            </w:pPr>
            <w:r w:rsidRPr="008068A1">
              <w:rPr>
                <w:color w:val="000000"/>
                <w:szCs w:val="22"/>
              </w:rPr>
              <w:t>TN</w:t>
            </w:r>
          </w:p>
        </w:tc>
        <w:tc>
          <w:tcPr>
            <w:tcW w:w="3960" w:type="dxa"/>
            <w:tcMar>
              <w:top w:w="0" w:type="dxa"/>
              <w:left w:w="0" w:type="dxa"/>
              <w:bottom w:w="0" w:type="dxa"/>
              <w:right w:w="259" w:type="dxa"/>
            </w:tcMar>
            <w:vAlign w:val="bottom"/>
          </w:tcPr>
          <w:p w14:paraId="78C96E27"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6293CAFF" w14:textId="77777777" w:rsidR="00685FE1" w:rsidRPr="008068A1" w:rsidRDefault="00685FE1" w:rsidP="009F4B10">
            <w:pPr>
              <w:jc w:val="right"/>
              <w:rPr>
                <w:color w:val="000000"/>
                <w:szCs w:val="22"/>
              </w:rPr>
            </w:pPr>
            <w:r w:rsidRPr="008068A1">
              <w:rPr>
                <w:color w:val="000000"/>
                <w:szCs w:val="22"/>
              </w:rPr>
              <w:t>47</w:t>
            </w:r>
          </w:p>
        </w:tc>
      </w:tr>
      <w:tr w:rsidR="00685FE1" w:rsidRPr="008068A1" w14:paraId="2CA49893" w14:textId="77777777" w:rsidTr="00AE2114">
        <w:tc>
          <w:tcPr>
            <w:tcW w:w="375" w:type="dxa"/>
            <w:tcMar>
              <w:top w:w="0" w:type="dxa"/>
              <w:left w:w="0" w:type="dxa"/>
              <w:bottom w:w="0" w:type="dxa"/>
              <w:right w:w="259" w:type="dxa"/>
            </w:tcMar>
          </w:tcPr>
          <w:p w14:paraId="4CBE1B62"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42D6255" w14:textId="77777777" w:rsidR="00685FE1" w:rsidRPr="008068A1" w:rsidRDefault="00685FE1" w:rsidP="009F4B10">
            <w:pPr>
              <w:rPr>
                <w:color w:val="000000"/>
                <w:szCs w:val="22"/>
              </w:rPr>
            </w:pPr>
            <w:r w:rsidRPr="008068A1">
              <w:rPr>
                <w:color w:val="000000"/>
                <w:szCs w:val="22"/>
              </w:rPr>
              <w:t>TX</w:t>
            </w:r>
          </w:p>
        </w:tc>
        <w:tc>
          <w:tcPr>
            <w:tcW w:w="3960" w:type="dxa"/>
            <w:tcMar>
              <w:top w:w="0" w:type="dxa"/>
              <w:left w:w="0" w:type="dxa"/>
              <w:bottom w:w="0" w:type="dxa"/>
              <w:right w:w="259" w:type="dxa"/>
            </w:tcMar>
            <w:vAlign w:val="bottom"/>
          </w:tcPr>
          <w:p w14:paraId="4C2227A7"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558042A" w14:textId="77777777" w:rsidR="00685FE1" w:rsidRPr="008068A1" w:rsidRDefault="00685FE1" w:rsidP="009F4B10">
            <w:pPr>
              <w:jc w:val="right"/>
              <w:rPr>
                <w:color w:val="000000"/>
                <w:szCs w:val="22"/>
              </w:rPr>
            </w:pPr>
            <w:r w:rsidRPr="008068A1">
              <w:rPr>
                <w:color w:val="000000"/>
                <w:szCs w:val="22"/>
              </w:rPr>
              <w:t>48</w:t>
            </w:r>
          </w:p>
        </w:tc>
      </w:tr>
      <w:tr w:rsidR="00685FE1" w:rsidRPr="008068A1" w14:paraId="7F5E38CD" w14:textId="77777777" w:rsidTr="00AE2114">
        <w:tc>
          <w:tcPr>
            <w:tcW w:w="375" w:type="dxa"/>
            <w:tcMar>
              <w:top w:w="0" w:type="dxa"/>
              <w:left w:w="0" w:type="dxa"/>
              <w:bottom w:w="0" w:type="dxa"/>
              <w:right w:w="259" w:type="dxa"/>
            </w:tcMar>
          </w:tcPr>
          <w:p w14:paraId="417E06A9"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1AD25145" w14:textId="77777777" w:rsidR="00685FE1" w:rsidRPr="008068A1" w:rsidRDefault="00685FE1" w:rsidP="009F4B10">
            <w:pPr>
              <w:rPr>
                <w:color w:val="000000"/>
                <w:szCs w:val="22"/>
              </w:rPr>
            </w:pPr>
            <w:r w:rsidRPr="008068A1">
              <w:rPr>
                <w:color w:val="000000"/>
                <w:szCs w:val="22"/>
              </w:rPr>
              <w:t>UT</w:t>
            </w:r>
          </w:p>
        </w:tc>
        <w:tc>
          <w:tcPr>
            <w:tcW w:w="3960" w:type="dxa"/>
            <w:tcMar>
              <w:top w:w="0" w:type="dxa"/>
              <w:left w:w="0" w:type="dxa"/>
              <w:bottom w:w="0" w:type="dxa"/>
              <w:right w:w="259" w:type="dxa"/>
            </w:tcMar>
            <w:vAlign w:val="bottom"/>
          </w:tcPr>
          <w:p w14:paraId="11848FAC"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25887787" w14:textId="77777777" w:rsidR="00685FE1" w:rsidRPr="008068A1" w:rsidRDefault="00685FE1" w:rsidP="009F4B10">
            <w:pPr>
              <w:jc w:val="right"/>
              <w:rPr>
                <w:color w:val="000000"/>
                <w:szCs w:val="22"/>
              </w:rPr>
            </w:pPr>
            <w:r w:rsidRPr="008068A1">
              <w:rPr>
                <w:color w:val="000000"/>
                <w:szCs w:val="22"/>
              </w:rPr>
              <w:t>49</w:t>
            </w:r>
          </w:p>
        </w:tc>
      </w:tr>
      <w:tr w:rsidR="00685FE1" w:rsidRPr="008068A1" w14:paraId="1CE96220" w14:textId="77777777" w:rsidTr="00AE2114">
        <w:tc>
          <w:tcPr>
            <w:tcW w:w="375" w:type="dxa"/>
            <w:tcMar>
              <w:top w:w="0" w:type="dxa"/>
              <w:left w:w="0" w:type="dxa"/>
              <w:bottom w:w="0" w:type="dxa"/>
              <w:right w:w="259" w:type="dxa"/>
            </w:tcMar>
          </w:tcPr>
          <w:p w14:paraId="5CB60A9B"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4EC1B8FF" w14:textId="77777777" w:rsidR="00685FE1" w:rsidRPr="008068A1" w:rsidRDefault="00685FE1" w:rsidP="009F4B10">
            <w:pPr>
              <w:rPr>
                <w:color w:val="000000"/>
                <w:szCs w:val="22"/>
              </w:rPr>
            </w:pPr>
            <w:r w:rsidRPr="008068A1">
              <w:rPr>
                <w:color w:val="000000"/>
                <w:szCs w:val="22"/>
              </w:rPr>
              <w:t>VT</w:t>
            </w:r>
          </w:p>
        </w:tc>
        <w:tc>
          <w:tcPr>
            <w:tcW w:w="3960" w:type="dxa"/>
            <w:tcMar>
              <w:top w:w="0" w:type="dxa"/>
              <w:left w:w="0" w:type="dxa"/>
              <w:bottom w:w="0" w:type="dxa"/>
              <w:right w:w="259" w:type="dxa"/>
            </w:tcMar>
            <w:vAlign w:val="bottom"/>
          </w:tcPr>
          <w:p w14:paraId="78E2DC8F"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3234568E" w14:textId="77777777" w:rsidR="00685FE1" w:rsidRPr="008068A1" w:rsidRDefault="00685FE1" w:rsidP="009F4B10">
            <w:pPr>
              <w:jc w:val="right"/>
              <w:rPr>
                <w:color w:val="000000"/>
                <w:szCs w:val="22"/>
              </w:rPr>
            </w:pPr>
            <w:r w:rsidRPr="008068A1">
              <w:rPr>
                <w:color w:val="000000"/>
                <w:szCs w:val="22"/>
              </w:rPr>
              <w:t>50</w:t>
            </w:r>
          </w:p>
        </w:tc>
      </w:tr>
      <w:tr w:rsidR="00685FE1" w:rsidRPr="008068A1" w14:paraId="3AF4C19F" w14:textId="77777777" w:rsidTr="00AE2114">
        <w:tc>
          <w:tcPr>
            <w:tcW w:w="375" w:type="dxa"/>
            <w:tcMar>
              <w:top w:w="0" w:type="dxa"/>
              <w:left w:w="0" w:type="dxa"/>
              <w:bottom w:w="0" w:type="dxa"/>
              <w:right w:w="259" w:type="dxa"/>
            </w:tcMar>
          </w:tcPr>
          <w:p w14:paraId="4066259D"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29BDD685" w14:textId="77777777" w:rsidR="00685FE1" w:rsidRPr="008068A1" w:rsidRDefault="00685FE1" w:rsidP="009F4B10">
            <w:pPr>
              <w:rPr>
                <w:color w:val="000000"/>
                <w:szCs w:val="22"/>
              </w:rPr>
            </w:pPr>
            <w:r w:rsidRPr="008068A1">
              <w:rPr>
                <w:color w:val="000000"/>
                <w:szCs w:val="22"/>
              </w:rPr>
              <w:t>VA</w:t>
            </w:r>
          </w:p>
        </w:tc>
        <w:tc>
          <w:tcPr>
            <w:tcW w:w="3960" w:type="dxa"/>
            <w:tcMar>
              <w:top w:w="0" w:type="dxa"/>
              <w:left w:w="0" w:type="dxa"/>
              <w:bottom w:w="0" w:type="dxa"/>
              <w:right w:w="259" w:type="dxa"/>
            </w:tcMar>
            <w:vAlign w:val="bottom"/>
          </w:tcPr>
          <w:p w14:paraId="72DB8807"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6AFE5AF8" w14:textId="77777777" w:rsidR="00685FE1" w:rsidRPr="008068A1" w:rsidRDefault="00685FE1" w:rsidP="009F4B10">
            <w:pPr>
              <w:jc w:val="right"/>
              <w:rPr>
                <w:color w:val="000000"/>
                <w:szCs w:val="22"/>
              </w:rPr>
            </w:pPr>
            <w:r w:rsidRPr="008068A1">
              <w:rPr>
                <w:color w:val="000000"/>
                <w:szCs w:val="22"/>
              </w:rPr>
              <w:t>51</w:t>
            </w:r>
          </w:p>
        </w:tc>
      </w:tr>
      <w:tr w:rsidR="00685FE1" w:rsidRPr="008068A1" w14:paraId="23E7840B" w14:textId="77777777" w:rsidTr="00AE2114">
        <w:tc>
          <w:tcPr>
            <w:tcW w:w="375" w:type="dxa"/>
            <w:tcMar>
              <w:top w:w="0" w:type="dxa"/>
              <w:left w:w="0" w:type="dxa"/>
              <w:bottom w:w="0" w:type="dxa"/>
              <w:right w:w="259" w:type="dxa"/>
            </w:tcMar>
          </w:tcPr>
          <w:p w14:paraId="5AB4CF65"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65853F57" w14:textId="77777777" w:rsidR="00685FE1" w:rsidRPr="008068A1" w:rsidRDefault="00685FE1" w:rsidP="009F4B10">
            <w:pPr>
              <w:rPr>
                <w:color w:val="000000"/>
                <w:szCs w:val="22"/>
              </w:rPr>
            </w:pPr>
            <w:r w:rsidRPr="008068A1">
              <w:rPr>
                <w:color w:val="000000"/>
                <w:szCs w:val="22"/>
              </w:rPr>
              <w:t>WA</w:t>
            </w:r>
          </w:p>
        </w:tc>
        <w:tc>
          <w:tcPr>
            <w:tcW w:w="3960" w:type="dxa"/>
            <w:tcMar>
              <w:top w:w="0" w:type="dxa"/>
              <w:left w:w="0" w:type="dxa"/>
              <w:bottom w:w="0" w:type="dxa"/>
              <w:right w:w="259" w:type="dxa"/>
            </w:tcMar>
            <w:vAlign w:val="bottom"/>
          </w:tcPr>
          <w:p w14:paraId="43DBCACA"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61FF8D95" w14:textId="77777777" w:rsidR="00685FE1" w:rsidRPr="008068A1" w:rsidRDefault="00685FE1" w:rsidP="009F4B10">
            <w:pPr>
              <w:jc w:val="right"/>
              <w:rPr>
                <w:color w:val="000000"/>
                <w:szCs w:val="22"/>
              </w:rPr>
            </w:pPr>
            <w:r w:rsidRPr="008068A1">
              <w:rPr>
                <w:color w:val="000000"/>
                <w:szCs w:val="22"/>
              </w:rPr>
              <w:t>53</w:t>
            </w:r>
          </w:p>
        </w:tc>
      </w:tr>
      <w:tr w:rsidR="00685FE1" w:rsidRPr="008068A1" w14:paraId="39C1D04C" w14:textId="77777777" w:rsidTr="00AE2114">
        <w:tc>
          <w:tcPr>
            <w:tcW w:w="375" w:type="dxa"/>
            <w:tcMar>
              <w:top w:w="0" w:type="dxa"/>
              <w:left w:w="0" w:type="dxa"/>
              <w:bottom w:w="0" w:type="dxa"/>
              <w:right w:w="259" w:type="dxa"/>
            </w:tcMar>
          </w:tcPr>
          <w:p w14:paraId="03C15797"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2B49FB2C" w14:textId="77777777" w:rsidR="00685FE1" w:rsidRPr="008068A1" w:rsidRDefault="00685FE1" w:rsidP="009F4B10">
            <w:pPr>
              <w:rPr>
                <w:color w:val="000000"/>
                <w:szCs w:val="22"/>
              </w:rPr>
            </w:pPr>
            <w:r w:rsidRPr="008068A1">
              <w:rPr>
                <w:color w:val="000000"/>
                <w:szCs w:val="22"/>
              </w:rPr>
              <w:t>WV</w:t>
            </w:r>
          </w:p>
        </w:tc>
        <w:tc>
          <w:tcPr>
            <w:tcW w:w="3960" w:type="dxa"/>
            <w:tcMar>
              <w:top w:w="0" w:type="dxa"/>
              <w:left w:w="0" w:type="dxa"/>
              <w:bottom w:w="0" w:type="dxa"/>
              <w:right w:w="259" w:type="dxa"/>
            </w:tcMar>
            <w:vAlign w:val="bottom"/>
          </w:tcPr>
          <w:p w14:paraId="50358D1E"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31739257" w14:textId="77777777" w:rsidR="00685FE1" w:rsidRPr="008068A1" w:rsidRDefault="00685FE1" w:rsidP="009F4B10">
            <w:pPr>
              <w:jc w:val="right"/>
              <w:rPr>
                <w:color w:val="000000"/>
                <w:szCs w:val="22"/>
              </w:rPr>
            </w:pPr>
            <w:r w:rsidRPr="008068A1">
              <w:rPr>
                <w:color w:val="000000"/>
                <w:szCs w:val="22"/>
              </w:rPr>
              <w:t>54</w:t>
            </w:r>
          </w:p>
        </w:tc>
      </w:tr>
      <w:tr w:rsidR="00685FE1" w:rsidRPr="008068A1" w14:paraId="125CD4F2" w14:textId="77777777" w:rsidTr="00AE2114">
        <w:tc>
          <w:tcPr>
            <w:tcW w:w="375" w:type="dxa"/>
            <w:tcMar>
              <w:top w:w="0" w:type="dxa"/>
              <w:left w:w="0" w:type="dxa"/>
              <w:bottom w:w="0" w:type="dxa"/>
              <w:right w:w="259" w:type="dxa"/>
            </w:tcMar>
          </w:tcPr>
          <w:p w14:paraId="5B60D264"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2C743DEA" w14:textId="77777777" w:rsidR="00685FE1" w:rsidRPr="008068A1" w:rsidRDefault="00685FE1" w:rsidP="009F4B10">
            <w:pPr>
              <w:rPr>
                <w:color w:val="000000"/>
                <w:szCs w:val="22"/>
              </w:rPr>
            </w:pPr>
            <w:r w:rsidRPr="008068A1">
              <w:rPr>
                <w:color w:val="000000"/>
                <w:szCs w:val="22"/>
              </w:rPr>
              <w:t>WI</w:t>
            </w:r>
          </w:p>
        </w:tc>
        <w:tc>
          <w:tcPr>
            <w:tcW w:w="3960" w:type="dxa"/>
            <w:tcMar>
              <w:top w:w="0" w:type="dxa"/>
              <w:left w:w="0" w:type="dxa"/>
              <w:bottom w:w="0" w:type="dxa"/>
              <w:right w:w="259" w:type="dxa"/>
            </w:tcMar>
            <w:vAlign w:val="bottom"/>
          </w:tcPr>
          <w:p w14:paraId="02780FF4"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308C43A" w14:textId="77777777" w:rsidR="00685FE1" w:rsidRPr="008068A1" w:rsidRDefault="00685FE1" w:rsidP="009F4B10">
            <w:pPr>
              <w:jc w:val="right"/>
              <w:rPr>
                <w:color w:val="000000"/>
                <w:szCs w:val="22"/>
              </w:rPr>
            </w:pPr>
            <w:r w:rsidRPr="008068A1">
              <w:rPr>
                <w:color w:val="000000"/>
                <w:szCs w:val="22"/>
              </w:rPr>
              <w:t>55</w:t>
            </w:r>
          </w:p>
        </w:tc>
      </w:tr>
      <w:tr w:rsidR="00685FE1" w:rsidRPr="008068A1" w14:paraId="7D1CEB7C" w14:textId="77777777" w:rsidTr="00AE2114">
        <w:tc>
          <w:tcPr>
            <w:tcW w:w="375" w:type="dxa"/>
            <w:tcMar>
              <w:top w:w="0" w:type="dxa"/>
              <w:left w:w="0" w:type="dxa"/>
              <w:bottom w:w="0" w:type="dxa"/>
              <w:right w:w="259" w:type="dxa"/>
            </w:tcMar>
          </w:tcPr>
          <w:p w14:paraId="0E61F34D"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5EBF8AF7" w14:textId="77777777" w:rsidR="00685FE1" w:rsidRPr="008068A1" w:rsidRDefault="00685FE1" w:rsidP="009F4B10">
            <w:pPr>
              <w:rPr>
                <w:color w:val="000000"/>
                <w:szCs w:val="22"/>
              </w:rPr>
            </w:pPr>
            <w:r w:rsidRPr="008068A1">
              <w:rPr>
                <w:color w:val="000000"/>
                <w:szCs w:val="22"/>
              </w:rPr>
              <w:t>WY</w:t>
            </w:r>
          </w:p>
        </w:tc>
        <w:tc>
          <w:tcPr>
            <w:tcW w:w="3960" w:type="dxa"/>
            <w:tcMar>
              <w:top w:w="0" w:type="dxa"/>
              <w:left w:w="0" w:type="dxa"/>
              <w:bottom w:w="0" w:type="dxa"/>
              <w:right w:w="259" w:type="dxa"/>
            </w:tcMar>
            <w:vAlign w:val="bottom"/>
          </w:tcPr>
          <w:p w14:paraId="75431632"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29B76EA8" w14:textId="77777777" w:rsidR="00685FE1" w:rsidRPr="008068A1" w:rsidRDefault="00685FE1" w:rsidP="009F4B10">
            <w:pPr>
              <w:jc w:val="right"/>
              <w:rPr>
                <w:color w:val="000000"/>
                <w:szCs w:val="22"/>
              </w:rPr>
            </w:pPr>
            <w:r w:rsidRPr="008068A1">
              <w:rPr>
                <w:color w:val="000000"/>
                <w:szCs w:val="22"/>
              </w:rPr>
              <w:t>56</w:t>
            </w:r>
          </w:p>
        </w:tc>
      </w:tr>
      <w:tr w:rsidR="00685FE1" w:rsidRPr="008068A1" w14:paraId="60594C26" w14:textId="77777777" w:rsidTr="00AE2114">
        <w:tc>
          <w:tcPr>
            <w:tcW w:w="3615" w:type="dxa"/>
            <w:gridSpan w:val="3"/>
            <w:tcMar>
              <w:top w:w="0" w:type="dxa"/>
              <w:left w:w="0" w:type="dxa"/>
              <w:bottom w:w="0" w:type="dxa"/>
              <w:right w:w="259" w:type="dxa"/>
            </w:tcMar>
          </w:tcPr>
          <w:p w14:paraId="5982E6B0" w14:textId="77777777" w:rsidR="00685FE1" w:rsidRPr="008068A1" w:rsidRDefault="00685FE1" w:rsidP="009F4B10">
            <w:pPr>
              <w:rPr>
                <w:color w:val="000000"/>
                <w:szCs w:val="22"/>
              </w:rPr>
            </w:pPr>
            <w:r w:rsidRPr="008068A1">
              <w:rPr>
                <w:color w:val="000000"/>
                <w:szCs w:val="22"/>
              </w:rPr>
              <w:t>Terr.:</w:t>
            </w:r>
          </w:p>
        </w:tc>
        <w:tc>
          <w:tcPr>
            <w:tcW w:w="3960" w:type="dxa"/>
            <w:vAlign w:val="center"/>
          </w:tcPr>
          <w:p w14:paraId="0DD8C455" w14:textId="77777777" w:rsidR="00685FE1" w:rsidRPr="008068A1" w:rsidRDefault="00685FE1" w:rsidP="009F4B10">
            <w:pPr>
              <w:rPr>
                <w:color w:val="000000"/>
                <w:szCs w:val="22"/>
              </w:rPr>
            </w:pPr>
          </w:p>
        </w:tc>
        <w:tc>
          <w:tcPr>
            <w:tcW w:w="1080" w:type="dxa"/>
            <w:vAlign w:val="center"/>
          </w:tcPr>
          <w:p w14:paraId="4FF0B4EA" w14:textId="77777777" w:rsidR="00685FE1" w:rsidRPr="008068A1" w:rsidRDefault="00685FE1" w:rsidP="009F4B10">
            <w:pPr>
              <w:rPr>
                <w:color w:val="000000"/>
                <w:szCs w:val="22"/>
              </w:rPr>
            </w:pPr>
          </w:p>
        </w:tc>
      </w:tr>
      <w:tr w:rsidR="00685FE1" w:rsidRPr="008068A1" w14:paraId="280DE745" w14:textId="77777777" w:rsidTr="00AE2114">
        <w:tc>
          <w:tcPr>
            <w:tcW w:w="375" w:type="dxa"/>
            <w:tcMar>
              <w:top w:w="0" w:type="dxa"/>
              <w:left w:w="0" w:type="dxa"/>
              <w:bottom w:w="0" w:type="dxa"/>
              <w:right w:w="259" w:type="dxa"/>
            </w:tcMar>
          </w:tcPr>
          <w:p w14:paraId="5CCB3128"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7A29C630" w14:textId="77777777" w:rsidR="00685FE1" w:rsidRPr="008068A1" w:rsidRDefault="00685FE1" w:rsidP="009F4B10">
            <w:pPr>
              <w:rPr>
                <w:color w:val="000000"/>
                <w:szCs w:val="22"/>
              </w:rPr>
            </w:pPr>
            <w:r w:rsidRPr="008068A1">
              <w:rPr>
                <w:color w:val="000000"/>
                <w:szCs w:val="22"/>
              </w:rPr>
              <w:t>AS</w:t>
            </w:r>
          </w:p>
        </w:tc>
        <w:tc>
          <w:tcPr>
            <w:tcW w:w="3960" w:type="dxa"/>
            <w:tcMar>
              <w:top w:w="0" w:type="dxa"/>
              <w:left w:w="0" w:type="dxa"/>
              <w:bottom w:w="0" w:type="dxa"/>
              <w:right w:w="259" w:type="dxa"/>
            </w:tcMar>
            <w:vAlign w:val="bottom"/>
          </w:tcPr>
          <w:p w14:paraId="2FA5068A"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68F8B392" w14:textId="77777777" w:rsidR="00685FE1" w:rsidRPr="008068A1" w:rsidRDefault="00685FE1" w:rsidP="009F4B10">
            <w:pPr>
              <w:jc w:val="right"/>
              <w:rPr>
                <w:color w:val="000000"/>
                <w:szCs w:val="22"/>
              </w:rPr>
            </w:pPr>
            <w:r w:rsidRPr="008068A1">
              <w:rPr>
                <w:color w:val="000000"/>
                <w:szCs w:val="22"/>
              </w:rPr>
              <w:t>60</w:t>
            </w:r>
          </w:p>
        </w:tc>
      </w:tr>
      <w:tr w:rsidR="00685FE1" w:rsidRPr="008068A1" w14:paraId="13BEF87E" w14:textId="77777777" w:rsidTr="00AE2114">
        <w:tc>
          <w:tcPr>
            <w:tcW w:w="375" w:type="dxa"/>
            <w:tcMar>
              <w:top w:w="0" w:type="dxa"/>
              <w:left w:w="0" w:type="dxa"/>
              <w:bottom w:w="0" w:type="dxa"/>
              <w:right w:w="259" w:type="dxa"/>
            </w:tcMar>
          </w:tcPr>
          <w:p w14:paraId="386E05E1" w14:textId="77777777" w:rsidR="00685FE1" w:rsidRPr="008068A1" w:rsidRDefault="00685FE1" w:rsidP="009F4B10">
            <w:pPr>
              <w:tabs>
                <w:tab w:val="left" w:pos="1080"/>
                <w:tab w:val="right" w:leader="dot" w:pos="9360"/>
              </w:tabs>
              <w:suppressAutoHyphens/>
              <w:ind w:left="1080" w:right="720" w:hanging="360"/>
              <w:rPr>
                <w:color w:val="000000"/>
                <w:szCs w:val="22"/>
              </w:rPr>
            </w:pPr>
          </w:p>
        </w:tc>
        <w:tc>
          <w:tcPr>
            <w:tcW w:w="3240" w:type="dxa"/>
            <w:gridSpan w:val="2"/>
            <w:tcMar>
              <w:top w:w="0" w:type="dxa"/>
              <w:left w:w="0" w:type="dxa"/>
              <w:bottom w:w="0" w:type="dxa"/>
              <w:right w:w="259" w:type="dxa"/>
            </w:tcMar>
          </w:tcPr>
          <w:p w14:paraId="6FE44AF9" w14:textId="77777777" w:rsidR="00685FE1" w:rsidRPr="008068A1" w:rsidRDefault="00685FE1" w:rsidP="009F4B10">
            <w:pPr>
              <w:rPr>
                <w:color w:val="000000"/>
                <w:szCs w:val="22"/>
              </w:rPr>
            </w:pPr>
            <w:r w:rsidRPr="008068A1">
              <w:rPr>
                <w:color w:val="000000"/>
                <w:szCs w:val="22"/>
              </w:rPr>
              <w:t>FM</w:t>
            </w:r>
          </w:p>
        </w:tc>
        <w:tc>
          <w:tcPr>
            <w:tcW w:w="3960" w:type="dxa"/>
            <w:tcMar>
              <w:top w:w="0" w:type="dxa"/>
              <w:left w:w="0" w:type="dxa"/>
              <w:bottom w:w="0" w:type="dxa"/>
              <w:right w:w="259" w:type="dxa"/>
            </w:tcMar>
            <w:vAlign w:val="bottom"/>
          </w:tcPr>
          <w:p w14:paraId="241D222D"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0CB4EB99" w14:textId="77777777" w:rsidR="00685FE1" w:rsidRPr="008068A1" w:rsidRDefault="00685FE1" w:rsidP="009F4B10">
            <w:pPr>
              <w:jc w:val="right"/>
              <w:rPr>
                <w:color w:val="000000"/>
                <w:szCs w:val="22"/>
              </w:rPr>
            </w:pPr>
            <w:r w:rsidRPr="008068A1">
              <w:rPr>
                <w:color w:val="000000"/>
                <w:szCs w:val="22"/>
              </w:rPr>
              <w:t>64</w:t>
            </w:r>
          </w:p>
        </w:tc>
      </w:tr>
      <w:tr w:rsidR="00685FE1" w:rsidRPr="008068A1" w14:paraId="3213A158" w14:textId="77777777" w:rsidTr="00AE2114">
        <w:tc>
          <w:tcPr>
            <w:tcW w:w="375" w:type="dxa"/>
            <w:tcMar>
              <w:top w:w="0" w:type="dxa"/>
              <w:left w:w="0" w:type="dxa"/>
              <w:bottom w:w="0" w:type="dxa"/>
              <w:right w:w="259" w:type="dxa"/>
            </w:tcMar>
          </w:tcPr>
          <w:p w14:paraId="204FBE2F"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2E3FE4B2" w14:textId="77777777" w:rsidR="00685FE1" w:rsidRPr="008068A1" w:rsidRDefault="00685FE1" w:rsidP="009F4B10">
            <w:pPr>
              <w:rPr>
                <w:color w:val="000000"/>
                <w:szCs w:val="22"/>
              </w:rPr>
            </w:pPr>
            <w:r w:rsidRPr="008068A1">
              <w:rPr>
                <w:color w:val="000000"/>
                <w:szCs w:val="22"/>
              </w:rPr>
              <w:t>GU</w:t>
            </w:r>
          </w:p>
        </w:tc>
        <w:tc>
          <w:tcPr>
            <w:tcW w:w="3960" w:type="dxa"/>
            <w:tcMar>
              <w:top w:w="0" w:type="dxa"/>
              <w:left w:w="0" w:type="dxa"/>
              <w:bottom w:w="0" w:type="dxa"/>
              <w:right w:w="259" w:type="dxa"/>
            </w:tcMar>
            <w:vAlign w:val="bottom"/>
          </w:tcPr>
          <w:p w14:paraId="64354F69"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6C346BAC" w14:textId="77777777" w:rsidR="00685FE1" w:rsidRPr="008068A1" w:rsidRDefault="00685FE1" w:rsidP="009F4B10">
            <w:pPr>
              <w:jc w:val="right"/>
              <w:rPr>
                <w:color w:val="000000"/>
                <w:szCs w:val="22"/>
              </w:rPr>
            </w:pPr>
            <w:r w:rsidRPr="008068A1">
              <w:rPr>
                <w:color w:val="000000"/>
                <w:szCs w:val="22"/>
              </w:rPr>
              <w:t>66</w:t>
            </w:r>
          </w:p>
        </w:tc>
      </w:tr>
      <w:tr w:rsidR="00685FE1" w:rsidRPr="008068A1" w14:paraId="144F47BE" w14:textId="77777777" w:rsidTr="00AE2114">
        <w:tc>
          <w:tcPr>
            <w:tcW w:w="375" w:type="dxa"/>
            <w:tcMar>
              <w:top w:w="0" w:type="dxa"/>
              <w:left w:w="0" w:type="dxa"/>
              <w:bottom w:w="0" w:type="dxa"/>
              <w:right w:w="259" w:type="dxa"/>
            </w:tcMar>
          </w:tcPr>
          <w:p w14:paraId="36216A30"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AF37646" w14:textId="77777777" w:rsidR="00685FE1" w:rsidRPr="008068A1" w:rsidRDefault="00685FE1" w:rsidP="009F4B10">
            <w:pPr>
              <w:rPr>
                <w:color w:val="000000"/>
                <w:szCs w:val="22"/>
              </w:rPr>
            </w:pPr>
            <w:r w:rsidRPr="008068A1">
              <w:rPr>
                <w:color w:val="000000"/>
                <w:szCs w:val="22"/>
              </w:rPr>
              <w:t>MH</w:t>
            </w:r>
          </w:p>
        </w:tc>
        <w:tc>
          <w:tcPr>
            <w:tcW w:w="3960" w:type="dxa"/>
            <w:tcMar>
              <w:top w:w="0" w:type="dxa"/>
              <w:left w:w="0" w:type="dxa"/>
              <w:bottom w:w="0" w:type="dxa"/>
              <w:right w:w="259" w:type="dxa"/>
            </w:tcMar>
            <w:vAlign w:val="bottom"/>
          </w:tcPr>
          <w:p w14:paraId="290D362B"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7AE3E82F" w14:textId="77777777" w:rsidR="00685FE1" w:rsidRPr="008068A1" w:rsidRDefault="00685FE1" w:rsidP="009F4B10">
            <w:pPr>
              <w:jc w:val="right"/>
              <w:rPr>
                <w:color w:val="000000"/>
                <w:szCs w:val="22"/>
              </w:rPr>
            </w:pPr>
            <w:r w:rsidRPr="008068A1">
              <w:rPr>
                <w:color w:val="000000"/>
                <w:szCs w:val="22"/>
              </w:rPr>
              <w:t>68</w:t>
            </w:r>
          </w:p>
        </w:tc>
      </w:tr>
      <w:tr w:rsidR="00685FE1" w:rsidRPr="008068A1" w14:paraId="0652C984" w14:textId="77777777" w:rsidTr="00AE2114">
        <w:tc>
          <w:tcPr>
            <w:tcW w:w="375" w:type="dxa"/>
            <w:tcMar>
              <w:top w:w="0" w:type="dxa"/>
              <w:left w:w="0" w:type="dxa"/>
              <w:bottom w:w="0" w:type="dxa"/>
              <w:right w:w="259" w:type="dxa"/>
            </w:tcMar>
          </w:tcPr>
          <w:p w14:paraId="407FF075"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07388755" w14:textId="77777777" w:rsidR="00685FE1" w:rsidRPr="008068A1" w:rsidRDefault="00685FE1" w:rsidP="009F4B10">
            <w:pPr>
              <w:rPr>
                <w:color w:val="000000"/>
                <w:szCs w:val="22"/>
              </w:rPr>
            </w:pPr>
            <w:r w:rsidRPr="008068A1">
              <w:rPr>
                <w:color w:val="000000"/>
                <w:szCs w:val="22"/>
              </w:rPr>
              <w:t>MH</w:t>
            </w:r>
          </w:p>
        </w:tc>
        <w:tc>
          <w:tcPr>
            <w:tcW w:w="3960" w:type="dxa"/>
            <w:tcMar>
              <w:top w:w="0" w:type="dxa"/>
              <w:left w:w="0" w:type="dxa"/>
              <w:bottom w:w="0" w:type="dxa"/>
              <w:right w:w="259" w:type="dxa"/>
            </w:tcMar>
            <w:vAlign w:val="bottom"/>
          </w:tcPr>
          <w:p w14:paraId="1EAC7EA7"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A839E0A" w14:textId="77777777" w:rsidR="00685FE1" w:rsidRPr="008068A1" w:rsidRDefault="00685FE1" w:rsidP="009F4B10">
            <w:pPr>
              <w:jc w:val="right"/>
              <w:rPr>
                <w:color w:val="000000"/>
                <w:szCs w:val="22"/>
              </w:rPr>
            </w:pPr>
            <w:r w:rsidRPr="008068A1">
              <w:rPr>
                <w:color w:val="000000"/>
                <w:szCs w:val="22"/>
              </w:rPr>
              <w:t>68</w:t>
            </w:r>
          </w:p>
        </w:tc>
      </w:tr>
      <w:tr w:rsidR="00685FE1" w:rsidRPr="008068A1" w14:paraId="3F59197D" w14:textId="77777777" w:rsidTr="00AE2114">
        <w:tc>
          <w:tcPr>
            <w:tcW w:w="375" w:type="dxa"/>
            <w:tcMar>
              <w:top w:w="0" w:type="dxa"/>
              <w:left w:w="0" w:type="dxa"/>
              <w:bottom w:w="0" w:type="dxa"/>
              <w:right w:w="259" w:type="dxa"/>
            </w:tcMar>
          </w:tcPr>
          <w:p w14:paraId="3109854D"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554BA53A" w14:textId="77777777" w:rsidR="00685FE1" w:rsidRPr="008068A1" w:rsidRDefault="00685FE1" w:rsidP="009F4B10">
            <w:pPr>
              <w:rPr>
                <w:color w:val="000000"/>
                <w:szCs w:val="22"/>
              </w:rPr>
            </w:pPr>
            <w:r w:rsidRPr="008068A1">
              <w:rPr>
                <w:color w:val="000000"/>
                <w:szCs w:val="22"/>
              </w:rPr>
              <w:t>PR</w:t>
            </w:r>
          </w:p>
        </w:tc>
        <w:tc>
          <w:tcPr>
            <w:tcW w:w="3960" w:type="dxa"/>
            <w:tcMar>
              <w:top w:w="0" w:type="dxa"/>
              <w:left w:w="0" w:type="dxa"/>
              <w:bottom w:w="0" w:type="dxa"/>
              <w:right w:w="259" w:type="dxa"/>
            </w:tcMar>
            <w:vAlign w:val="bottom"/>
          </w:tcPr>
          <w:p w14:paraId="520E7C22"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10BD0AEE" w14:textId="77777777" w:rsidR="00685FE1" w:rsidRPr="008068A1" w:rsidRDefault="00685FE1" w:rsidP="009F4B10">
            <w:pPr>
              <w:jc w:val="right"/>
              <w:rPr>
                <w:color w:val="000000"/>
                <w:szCs w:val="22"/>
              </w:rPr>
            </w:pPr>
            <w:r w:rsidRPr="008068A1">
              <w:rPr>
                <w:color w:val="000000"/>
                <w:szCs w:val="22"/>
              </w:rPr>
              <w:t>72</w:t>
            </w:r>
          </w:p>
        </w:tc>
      </w:tr>
      <w:tr w:rsidR="00685FE1" w:rsidRPr="008068A1" w14:paraId="340C454A" w14:textId="77777777" w:rsidTr="00AE2114">
        <w:tc>
          <w:tcPr>
            <w:tcW w:w="375" w:type="dxa"/>
            <w:tcMar>
              <w:top w:w="0" w:type="dxa"/>
              <w:left w:w="0" w:type="dxa"/>
              <w:bottom w:w="0" w:type="dxa"/>
              <w:right w:w="259" w:type="dxa"/>
            </w:tcMar>
          </w:tcPr>
          <w:p w14:paraId="58339FC2"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4F84BD07" w14:textId="77777777" w:rsidR="00685FE1" w:rsidRPr="008068A1" w:rsidRDefault="00685FE1" w:rsidP="009F4B10">
            <w:pPr>
              <w:rPr>
                <w:color w:val="000000"/>
                <w:szCs w:val="22"/>
              </w:rPr>
            </w:pPr>
            <w:r w:rsidRPr="008068A1">
              <w:rPr>
                <w:color w:val="000000"/>
                <w:szCs w:val="22"/>
              </w:rPr>
              <w:t>PW</w:t>
            </w:r>
          </w:p>
        </w:tc>
        <w:tc>
          <w:tcPr>
            <w:tcW w:w="3960" w:type="dxa"/>
            <w:tcMar>
              <w:top w:w="0" w:type="dxa"/>
              <w:left w:w="0" w:type="dxa"/>
              <w:bottom w:w="0" w:type="dxa"/>
              <w:right w:w="259" w:type="dxa"/>
            </w:tcMar>
            <w:vAlign w:val="bottom"/>
          </w:tcPr>
          <w:p w14:paraId="3254906F"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7135B276" w14:textId="77777777" w:rsidR="00685FE1" w:rsidRPr="008068A1" w:rsidRDefault="00685FE1" w:rsidP="009F4B10">
            <w:pPr>
              <w:jc w:val="right"/>
              <w:rPr>
                <w:color w:val="000000"/>
                <w:szCs w:val="22"/>
              </w:rPr>
            </w:pPr>
            <w:r w:rsidRPr="008068A1">
              <w:rPr>
                <w:color w:val="000000"/>
                <w:szCs w:val="22"/>
              </w:rPr>
              <w:t>70</w:t>
            </w:r>
          </w:p>
        </w:tc>
      </w:tr>
      <w:tr w:rsidR="00685FE1" w:rsidRPr="008068A1" w14:paraId="179B7ABD" w14:textId="77777777" w:rsidTr="00AE2114">
        <w:tc>
          <w:tcPr>
            <w:tcW w:w="375" w:type="dxa"/>
            <w:tcMar>
              <w:top w:w="0" w:type="dxa"/>
              <w:left w:w="0" w:type="dxa"/>
              <w:bottom w:w="0" w:type="dxa"/>
              <w:right w:w="259" w:type="dxa"/>
            </w:tcMar>
          </w:tcPr>
          <w:p w14:paraId="55CAFB6D"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671C72BD" w14:textId="77777777" w:rsidR="00685FE1" w:rsidRPr="008068A1" w:rsidRDefault="00685FE1" w:rsidP="009F4B10">
            <w:pPr>
              <w:rPr>
                <w:color w:val="000000"/>
                <w:szCs w:val="22"/>
              </w:rPr>
            </w:pPr>
            <w:r w:rsidRPr="008068A1">
              <w:rPr>
                <w:color w:val="000000"/>
                <w:szCs w:val="22"/>
              </w:rPr>
              <w:t>UM</w:t>
            </w:r>
          </w:p>
        </w:tc>
        <w:tc>
          <w:tcPr>
            <w:tcW w:w="3960" w:type="dxa"/>
            <w:tcMar>
              <w:top w:w="0" w:type="dxa"/>
              <w:left w:w="0" w:type="dxa"/>
              <w:bottom w:w="0" w:type="dxa"/>
              <w:right w:w="259" w:type="dxa"/>
            </w:tcMar>
            <w:vAlign w:val="bottom"/>
          </w:tcPr>
          <w:p w14:paraId="496ABD50"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1EED7B2F" w14:textId="77777777" w:rsidR="00685FE1" w:rsidRPr="008068A1" w:rsidRDefault="00685FE1" w:rsidP="009F4B10">
            <w:pPr>
              <w:jc w:val="right"/>
              <w:rPr>
                <w:color w:val="000000"/>
                <w:szCs w:val="22"/>
              </w:rPr>
            </w:pPr>
            <w:r w:rsidRPr="008068A1">
              <w:rPr>
                <w:color w:val="000000"/>
                <w:szCs w:val="22"/>
              </w:rPr>
              <w:t>74</w:t>
            </w:r>
          </w:p>
        </w:tc>
      </w:tr>
      <w:tr w:rsidR="00685FE1" w:rsidRPr="008068A1" w14:paraId="65D7EC12" w14:textId="77777777" w:rsidTr="00AE2114">
        <w:tc>
          <w:tcPr>
            <w:tcW w:w="375" w:type="dxa"/>
            <w:tcMar>
              <w:top w:w="0" w:type="dxa"/>
              <w:left w:w="0" w:type="dxa"/>
              <w:bottom w:w="0" w:type="dxa"/>
              <w:right w:w="259" w:type="dxa"/>
            </w:tcMar>
          </w:tcPr>
          <w:p w14:paraId="42C07522"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6C5A7656" w14:textId="77777777" w:rsidR="00685FE1" w:rsidRPr="008068A1" w:rsidRDefault="00685FE1" w:rsidP="009F4B10">
            <w:pPr>
              <w:ind w:hanging="225"/>
              <w:rPr>
                <w:color w:val="000000"/>
                <w:szCs w:val="22"/>
              </w:rPr>
            </w:pPr>
            <w:r w:rsidRPr="008068A1">
              <w:rPr>
                <w:color w:val="000000"/>
                <w:szCs w:val="22"/>
              </w:rPr>
              <w:t>VI</w:t>
            </w:r>
          </w:p>
        </w:tc>
        <w:tc>
          <w:tcPr>
            <w:tcW w:w="3960" w:type="dxa"/>
            <w:tcMar>
              <w:top w:w="0" w:type="dxa"/>
              <w:left w:w="0" w:type="dxa"/>
              <w:bottom w:w="0" w:type="dxa"/>
              <w:right w:w="259" w:type="dxa"/>
            </w:tcMar>
            <w:vAlign w:val="bottom"/>
          </w:tcPr>
          <w:p w14:paraId="657AAB0A"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2E008AC1" w14:textId="77777777" w:rsidR="00685FE1" w:rsidRPr="008068A1" w:rsidRDefault="00685FE1" w:rsidP="009F4B10">
            <w:pPr>
              <w:jc w:val="right"/>
              <w:rPr>
                <w:color w:val="000000"/>
                <w:szCs w:val="22"/>
              </w:rPr>
            </w:pPr>
            <w:r w:rsidRPr="008068A1">
              <w:rPr>
                <w:color w:val="000000"/>
                <w:szCs w:val="22"/>
              </w:rPr>
              <w:t>78</w:t>
            </w:r>
          </w:p>
        </w:tc>
      </w:tr>
      <w:tr w:rsidR="00685FE1" w:rsidRPr="008068A1" w14:paraId="68FA1E32" w14:textId="77777777" w:rsidTr="00AE2114">
        <w:tc>
          <w:tcPr>
            <w:tcW w:w="3615" w:type="dxa"/>
            <w:gridSpan w:val="3"/>
            <w:tcMar>
              <w:top w:w="0" w:type="dxa"/>
              <w:left w:w="0" w:type="dxa"/>
              <w:bottom w:w="0" w:type="dxa"/>
              <w:right w:w="259" w:type="dxa"/>
            </w:tcMar>
          </w:tcPr>
          <w:p w14:paraId="27886634" w14:textId="77777777" w:rsidR="00685FE1" w:rsidRPr="008068A1" w:rsidRDefault="00685FE1" w:rsidP="009F4B10">
            <w:pPr>
              <w:rPr>
                <w:color w:val="000000"/>
                <w:szCs w:val="22"/>
              </w:rPr>
            </w:pPr>
            <w:r w:rsidRPr="008068A1">
              <w:rPr>
                <w:color w:val="000000"/>
                <w:szCs w:val="22"/>
              </w:rPr>
              <w:t>Offshore (Marine Areas)</w:t>
            </w:r>
            <w:r w:rsidRPr="008068A1">
              <w:rPr>
                <w:color w:val="000000"/>
                <w:szCs w:val="22"/>
                <w:vertAlign w:val="superscript"/>
              </w:rPr>
              <w:t>1</w:t>
            </w:r>
            <w:r w:rsidRPr="008068A1">
              <w:rPr>
                <w:color w:val="000000"/>
                <w:szCs w:val="22"/>
              </w:rPr>
              <w:t>:</w:t>
            </w:r>
          </w:p>
        </w:tc>
        <w:tc>
          <w:tcPr>
            <w:tcW w:w="3960" w:type="dxa"/>
            <w:vAlign w:val="center"/>
          </w:tcPr>
          <w:p w14:paraId="36C58F70" w14:textId="77777777" w:rsidR="00685FE1" w:rsidRPr="008068A1" w:rsidRDefault="00685FE1" w:rsidP="009F4B10">
            <w:pPr>
              <w:rPr>
                <w:color w:val="000000"/>
                <w:szCs w:val="22"/>
              </w:rPr>
            </w:pPr>
          </w:p>
        </w:tc>
        <w:tc>
          <w:tcPr>
            <w:tcW w:w="1080" w:type="dxa"/>
            <w:vAlign w:val="center"/>
          </w:tcPr>
          <w:p w14:paraId="541C9E84" w14:textId="77777777" w:rsidR="00685FE1" w:rsidRPr="008068A1" w:rsidRDefault="00685FE1" w:rsidP="009F4B10">
            <w:pPr>
              <w:rPr>
                <w:color w:val="000000"/>
                <w:szCs w:val="22"/>
              </w:rPr>
            </w:pPr>
          </w:p>
        </w:tc>
      </w:tr>
      <w:tr w:rsidR="00685FE1" w:rsidRPr="008068A1" w14:paraId="10FB44D6" w14:textId="77777777" w:rsidTr="00AE2114">
        <w:tc>
          <w:tcPr>
            <w:tcW w:w="375" w:type="dxa"/>
            <w:tcMar>
              <w:top w:w="0" w:type="dxa"/>
              <w:left w:w="0" w:type="dxa"/>
              <w:bottom w:w="0" w:type="dxa"/>
              <w:right w:w="259" w:type="dxa"/>
            </w:tcMar>
          </w:tcPr>
          <w:p w14:paraId="5E6541BF"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6D983791" w14:textId="77777777" w:rsidR="00685FE1" w:rsidRPr="008068A1" w:rsidRDefault="00685FE1" w:rsidP="009F4B10">
            <w:pPr>
              <w:rPr>
                <w:color w:val="000000"/>
                <w:szCs w:val="22"/>
              </w:rPr>
            </w:pPr>
            <w:r w:rsidRPr="008068A1">
              <w:rPr>
                <w:color w:val="000000"/>
                <w:szCs w:val="22"/>
              </w:rPr>
              <w:t>Eastern North Pacific Ocean, and along U.S. West Coast from Canadian border to Mexican border</w:t>
            </w:r>
          </w:p>
        </w:tc>
        <w:tc>
          <w:tcPr>
            <w:tcW w:w="3960" w:type="dxa"/>
            <w:tcMar>
              <w:top w:w="0" w:type="dxa"/>
              <w:left w:w="0" w:type="dxa"/>
              <w:bottom w:w="0" w:type="dxa"/>
              <w:right w:w="259" w:type="dxa"/>
            </w:tcMar>
            <w:vAlign w:val="bottom"/>
          </w:tcPr>
          <w:p w14:paraId="0398A732"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1252E3D6" w14:textId="77777777" w:rsidR="00685FE1" w:rsidRPr="008068A1" w:rsidRDefault="002B1E4C" w:rsidP="009F4B10">
            <w:pPr>
              <w:jc w:val="right"/>
              <w:rPr>
                <w:color w:val="000000"/>
                <w:szCs w:val="22"/>
              </w:rPr>
            </w:pPr>
            <w:r w:rsidRPr="008068A1">
              <w:rPr>
                <w:color w:val="000000"/>
                <w:szCs w:val="22"/>
              </w:rPr>
              <w:t>57</w:t>
            </w:r>
          </w:p>
        </w:tc>
      </w:tr>
      <w:tr w:rsidR="00685FE1" w:rsidRPr="008068A1" w14:paraId="422BE317" w14:textId="77777777" w:rsidTr="00AE2114">
        <w:tc>
          <w:tcPr>
            <w:tcW w:w="375" w:type="dxa"/>
            <w:tcMar>
              <w:top w:w="0" w:type="dxa"/>
              <w:left w:w="0" w:type="dxa"/>
              <w:bottom w:w="0" w:type="dxa"/>
              <w:right w:w="259" w:type="dxa"/>
            </w:tcMar>
          </w:tcPr>
          <w:p w14:paraId="128C9325"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5F5BE45" w14:textId="77777777" w:rsidR="00685FE1" w:rsidRPr="008068A1" w:rsidRDefault="00685FE1" w:rsidP="009F4B10">
            <w:pPr>
              <w:rPr>
                <w:color w:val="000000"/>
                <w:szCs w:val="22"/>
              </w:rPr>
            </w:pPr>
            <w:r w:rsidRPr="008068A1">
              <w:rPr>
                <w:color w:val="000000"/>
                <w:szCs w:val="22"/>
              </w:rPr>
              <w:t>North Pacific Ocean near Alaska, and along Alaska coastline, including the Bering Sea and the Gulf of Alaska</w:t>
            </w:r>
          </w:p>
        </w:tc>
        <w:tc>
          <w:tcPr>
            <w:tcW w:w="3960" w:type="dxa"/>
            <w:tcMar>
              <w:top w:w="0" w:type="dxa"/>
              <w:left w:w="0" w:type="dxa"/>
              <w:bottom w:w="0" w:type="dxa"/>
              <w:right w:w="259" w:type="dxa"/>
            </w:tcMar>
            <w:vAlign w:val="bottom"/>
          </w:tcPr>
          <w:p w14:paraId="2F913003"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6FEBBFD9" w14:textId="77777777" w:rsidR="00685FE1" w:rsidRPr="008068A1" w:rsidRDefault="00685FE1" w:rsidP="009F4B10">
            <w:pPr>
              <w:jc w:val="right"/>
              <w:rPr>
                <w:color w:val="000000"/>
                <w:szCs w:val="22"/>
              </w:rPr>
            </w:pPr>
            <w:r w:rsidRPr="008068A1">
              <w:rPr>
                <w:color w:val="000000"/>
                <w:szCs w:val="22"/>
              </w:rPr>
              <w:t>58</w:t>
            </w:r>
          </w:p>
        </w:tc>
      </w:tr>
      <w:tr w:rsidR="00685FE1" w:rsidRPr="008068A1" w14:paraId="39C9F8E2" w14:textId="77777777" w:rsidTr="00AE2114">
        <w:tc>
          <w:tcPr>
            <w:tcW w:w="375" w:type="dxa"/>
            <w:tcMar>
              <w:top w:w="0" w:type="dxa"/>
              <w:left w:w="0" w:type="dxa"/>
              <w:bottom w:w="0" w:type="dxa"/>
              <w:right w:w="259" w:type="dxa"/>
            </w:tcMar>
          </w:tcPr>
          <w:p w14:paraId="28B3BB8E"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122EF408" w14:textId="77777777" w:rsidR="00685FE1" w:rsidRPr="008068A1" w:rsidRDefault="00685FE1" w:rsidP="009F4B10">
            <w:pPr>
              <w:rPr>
                <w:color w:val="000000"/>
                <w:szCs w:val="22"/>
              </w:rPr>
            </w:pPr>
            <w:r w:rsidRPr="008068A1">
              <w:rPr>
                <w:color w:val="000000"/>
                <w:szCs w:val="22"/>
              </w:rPr>
              <w:t>Central Pacific Ocean, including Hawaiian waters</w:t>
            </w:r>
          </w:p>
        </w:tc>
        <w:tc>
          <w:tcPr>
            <w:tcW w:w="3960" w:type="dxa"/>
            <w:tcMar>
              <w:top w:w="0" w:type="dxa"/>
              <w:left w:w="0" w:type="dxa"/>
              <w:bottom w:w="0" w:type="dxa"/>
              <w:right w:w="259" w:type="dxa"/>
            </w:tcMar>
            <w:vAlign w:val="bottom"/>
          </w:tcPr>
          <w:p w14:paraId="2E548849"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7BFD26E4" w14:textId="77777777" w:rsidR="00685FE1" w:rsidRPr="008068A1" w:rsidRDefault="00685FE1" w:rsidP="009F4B10">
            <w:pPr>
              <w:jc w:val="right"/>
              <w:rPr>
                <w:color w:val="000000"/>
                <w:szCs w:val="22"/>
              </w:rPr>
            </w:pPr>
            <w:r w:rsidRPr="008068A1">
              <w:rPr>
                <w:color w:val="000000"/>
                <w:szCs w:val="22"/>
              </w:rPr>
              <w:t>59</w:t>
            </w:r>
          </w:p>
        </w:tc>
      </w:tr>
      <w:tr w:rsidR="00685FE1" w:rsidRPr="008068A1" w14:paraId="717DB2F7" w14:textId="77777777" w:rsidTr="00AE2114">
        <w:tc>
          <w:tcPr>
            <w:tcW w:w="375" w:type="dxa"/>
            <w:tcMar>
              <w:top w:w="0" w:type="dxa"/>
              <w:left w:w="0" w:type="dxa"/>
              <w:bottom w:w="0" w:type="dxa"/>
              <w:right w:w="259" w:type="dxa"/>
            </w:tcMar>
          </w:tcPr>
          <w:p w14:paraId="145DB9EA"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6AB2083E" w14:textId="77777777" w:rsidR="00685FE1" w:rsidRPr="008068A1" w:rsidRDefault="00685FE1" w:rsidP="009F4B10">
            <w:pPr>
              <w:rPr>
                <w:color w:val="000000"/>
                <w:szCs w:val="22"/>
              </w:rPr>
            </w:pPr>
            <w:r w:rsidRPr="008068A1">
              <w:rPr>
                <w:color w:val="000000"/>
                <w:szCs w:val="22"/>
              </w:rPr>
              <w:t>South Central Pacific Ocean, including American Samoa waters</w:t>
            </w:r>
          </w:p>
        </w:tc>
        <w:tc>
          <w:tcPr>
            <w:tcW w:w="3960" w:type="dxa"/>
            <w:tcMar>
              <w:top w:w="0" w:type="dxa"/>
              <w:left w:w="0" w:type="dxa"/>
              <w:bottom w:w="0" w:type="dxa"/>
              <w:right w:w="259" w:type="dxa"/>
            </w:tcMar>
            <w:vAlign w:val="bottom"/>
          </w:tcPr>
          <w:p w14:paraId="4AF3223E"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6C7577B1" w14:textId="77777777" w:rsidR="00685FE1" w:rsidRPr="008068A1" w:rsidRDefault="00685FE1" w:rsidP="009F4B10">
            <w:pPr>
              <w:jc w:val="right"/>
              <w:rPr>
                <w:color w:val="000000"/>
                <w:szCs w:val="22"/>
              </w:rPr>
            </w:pPr>
            <w:r w:rsidRPr="008068A1">
              <w:rPr>
                <w:color w:val="000000"/>
                <w:szCs w:val="22"/>
              </w:rPr>
              <w:t>61</w:t>
            </w:r>
          </w:p>
        </w:tc>
      </w:tr>
      <w:tr w:rsidR="00685FE1" w:rsidRPr="008068A1" w14:paraId="2A45B30C" w14:textId="77777777" w:rsidTr="00AE2114">
        <w:tc>
          <w:tcPr>
            <w:tcW w:w="375" w:type="dxa"/>
            <w:tcMar>
              <w:top w:w="0" w:type="dxa"/>
              <w:left w:w="0" w:type="dxa"/>
              <w:bottom w:w="0" w:type="dxa"/>
              <w:right w:w="259" w:type="dxa"/>
            </w:tcMar>
          </w:tcPr>
          <w:p w14:paraId="7E479CB2"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1C535952" w14:textId="77777777" w:rsidR="00685FE1" w:rsidRPr="008068A1" w:rsidRDefault="00685FE1" w:rsidP="009F4B10">
            <w:pPr>
              <w:rPr>
                <w:color w:val="000000"/>
                <w:szCs w:val="22"/>
              </w:rPr>
            </w:pPr>
            <w:r w:rsidRPr="008068A1">
              <w:rPr>
                <w:color w:val="000000"/>
                <w:szCs w:val="22"/>
              </w:rPr>
              <w:t>Western Pacific Ocean, including Mariana Island waters</w:t>
            </w:r>
          </w:p>
        </w:tc>
        <w:tc>
          <w:tcPr>
            <w:tcW w:w="3960" w:type="dxa"/>
            <w:tcMar>
              <w:top w:w="0" w:type="dxa"/>
              <w:left w:w="0" w:type="dxa"/>
              <w:bottom w:w="0" w:type="dxa"/>
              <w:right w:w="259" w:type="dxa"/>
            </w:tcMar>
            <w:vAlign w:val="bottom"/>
          </w:tcPr>
          <w:p w14:paraId="44964D9F"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52C9464" w14:textId="77777777" w:rsidR="00685FE1" w:rsidRPr="008068A1" w:rsidRDefault="00685FE1" w:rsidP="009F4B10">
            <w:pPr>
              <w:jc w:val="right"/>
              <w:rPr>
                <w:color w:val="000000"/>
                <w:szCs w:val="22"/>
              </w:rPr>
            </w:pPr>
            <w:r w:rsidRPr="008068A1">
              <w:rPr>
                <w:color w:val="000000"/>
                <w:szCs w:val="22"/>
              </w:rPr>
              <w:t>65</w:t>
            </w:r>
          </w:p>
        </w:tc>
      </w:tr>
      <w:tr w:rsidR="00685FE1" w:rsidRPr="008068A1" w14:paraId="35DC07C1" w14:textId="77777777" w:rsidTr="00AE2114">
        <w:tc>
          <w:tcPr>
            <w:tcW w:w="375" w:type="dxa"/>
            <w:tcMar>
              <w:top w:w="0" w:type="dxa"/>
              <w:left w:w="0" w:type="dxa"/>
              <w:bottom w:w="0" w:type="dxa"/>
              <w:right w:w="259" w:type="dxa"/>
            </w:tcMar>
          </w:tcPr>
          <w:p w14:paraId="4EF28A5B"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49B2AB56" w14:textId="77777777" w:rsidR="00685FE1" w:rsidRPr="008068A1" w:rsidRDefault="00685FE1" w:rsidP="009F4B10">
            <w:pPr>
              <w:rPr>
                <w:color w:val="000000"/>
                <w:szCs w:val="22"/>
              </w:rPr>
            </w:pPr>
            <w:r w:rsidRPr="008068A1">
              <w:rPr>
                <w:color w:val="000000"/>
                <w:szCs w:val="22"/>
              </w:rPr>
              <w:t>Western North Atlantic Ocean, and along U.S. East Coast, from Canadian border south to Currituck Beach Light, N.C</w:t>
            </w:r>
          </w:p>
        </w:tc>
        <w:tc>
          <w:tcPr>
            <w:tcW w:w="3960" w:type="dxa"/>
            <w:tcMar>
              <w:top w:w="0" w:type="dxa"/>
              <w:left w:w="0" w:type="dxa"/>
              <w:bottom w:w="0" w:type="dxa"/>
              <w:right w:w="259" w:type="dxa"/>
            </w:tcMar>
            <w:vAlign w:val="bottom"/>
          </w:tcPr>
          <w:p w14:paraId="6663D9C2"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1FA5C750" w14:textId="77777777" w:rsidR="00685FE1" w:rsidRPr="008068A1" w:rsidRDefault="00685FE1" w:rsidP="009F4B10">
            <w:pPr>
              <w:jc w:val="right"/>
              <w:rPr>
                <w:color w:val="000000"/>
                <w:szCs w:val="22"/>
              </w:rPr>
            </w:pPr>
            <w:r w:rsidRPr="008068A1">
              <w:rPr>
                <w:color w:val="000000"/>
                <w:szCs w:val="22"/>
              </w:rPr>
              <w:t>73</w:t>
            </w:r>
          </w:p>
        </w:tc>
      </w:tr>
      <w:tr w:rsidR="00685FE1" w:rsidRPr="008068A1" w14:paraId="61A5C583" w14:textId="77777777" w:rsidTr="00AE2114">
        <w:tc>
          <w:tcPr>
            <w:tcW w:w="375" w:type="dxa"/>
            <w:tcMar>
              <w:top w:w="0" w:type="dxa"/>
              <w:left w:w="0" w:type="dxa"/>
              <w:bottom w:w="0" w:type="dxa"/>
              <w:right w:w="259" w:type="dxa"/>
            </w:tcMar>
          </w:tcPr>
          <w:p w14:paraId="552239B9"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1D0D5A68" w14:textId="77777777" w:rsidR="00685FE1" w:rsidRPr="00EC7ACD" w:rsidRDefault="00685FE1" w:rsidP="009F4B10">
            <w:pPr>
              <w:rPr>
                <w:b/>
                <w:color w:val="000000"/>
                <w:szCs w:val="22"/>
              </w:rPr>
            </w:pPr>
            <w:r w:rsidRPr="00EC7ACD">
              <w:rPr>
                <w:b/>
                <w:color w:val="000000"/>
                <w:szCs w:val="22"/>
              </w:rPr>
              <w:t>Western North Atlantic Ocean, and along U.S. East Coast, south of Currituck Beach Light, NC, following the coastline to Ocean Reef, FL, including the Caribbean</w:t>
            </w:r>
          </w:p>
        </w:tc>
        <w:tc>
          <w:tcPr>
            <w:tcW w:w="3960" w:type="dxa"/>
            <w:tcMar>
              <w:top w:w="0" w:type="dxa"/>
              <w:left w:w="0" w:type="dxa"/>
              <w:bottom w:w="0" w:type="dxa"/>
              <w:right w:w="259" w:type="dxa"/>
            </w:tcMar>
            <w:vAlign w:val="bottom"/>
          </w:tcPr>
          <w:p w14:paraId="24520659" w14:textId="77777777" w:rsidR="00685FE1" w:rsidRPr="000367A7" w:rsidRDefault="00685FE1" w:rsidP="009F4B10">
            <w:pPr>
              <w:rPr>
                <w:color w:val="000000"/>
                <w:szCs w:val="22"/>
              </w:rPr>
            </w:pPr>
          </w:p>
        </w:tc>
        <w:tc>
          <w:tcPr>
            <w:tcW w:w="1080" w:type="dxa"/>
            <w:tcMar>
              <w:top w:w="0" w:type="dxa"/>
              <w:left w:w="0" w:type="dxa"/>
              <w:bottom w:w="0" w:type="dxa"/>
              <w:right w:w="0" w:type="dxa"/>
            </w:tcMar>
            <w:vAlign w:val="bottom"/>
          </w:tcPr>
          <w:p w14:paraId="79CA5181" w14:textId="77777777" w:rsidR="00685FE1" w:rsidRPr="000367A7" w:rsidRDefault="00685FE1" w:rsidP="009F4B10">
            <w:pPr>
              <w:jc w:val="right"/>
              <w:rPr>
                <w:color w:val="000000"/>
                <w:szCs w:val="22"/>
              </w:rPr>
            </w:pPr>
            <w:r w:rsidRPr="000367A7">
              <w:rPr>
                <w:color w:val="000000"/>
                <w:szCs w:val="22"/>
              </w:rPr>
              <w:t>75</w:t>
            </w:r>
          </w:p>
        </w:tc>
      </w:tr>
      <w:tr w:rsidR="00685FE1" w:rsidRPr="008068A1" w14:paraId="3FE3F7CF" w14:textId="77777777" w:rsidTr="00AE2114">
        <w:tc>
          <w:tcPr>
            <w:tcW w:w="375" w:type="dxa"/>
            <w:tcMar>
              <w:top w:w="0" w:type="dxa"/>
              <w:left w:w="0" w:type="dxa"/>
              <w:bottom w:w="0" w:type="dxa"/>
              <w:right w:w="259" w:type="dxa"/>
            </w:tcMar>
          </w:tcPr>
          <w:p w14:paraId="2F9711FA"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51996010" w14:textId="77777777" w:rsidR="00685FE1" w:rsidRPr="00EC7ACD" w:rsidRDefault="00685FE1" w:rsidP="00685FE1">
            <w:pPr>
              <w:rPr>
                <w:b/>
                <w:color w:val="000000"/>
                <w:szCs w:val="22"/>
              </w:rPr>
            </w:pPr>
            <w:r w:rsidRPr="00EC7ACD">
              <w:rPr>
                <w:b/>
                <w:color w:val="000000"/>
                <w:szCs w:val="22"/>
              </w:rPr>
              <w:t>Gulf of Mexico, and along the U.S. Gulf Coast from the Mexican border to Ocean Reef, FL</w:t>
            </w:r>
          </w:p>
        </w:tc>
        <w:tc>
          <w:tcPr>
            <w:tcW w:w="3960" w:type="dxa"/>
            <w:tcMar>
              <w:top w:w="0" w:type="dxa"/>
              <w:left w:w="0" w:type="dxa"/>
              <w:bottom w:w="0" w:type="dxa"/>
              <w:right w:w="259" w:type="dxa"/>
            </w:tcMar>
            <w:vAlign w:val="bottom"/>
          </w:tcPr>
          <w:p w14:paraId="04072127" w14:textId="77777777" w:rsidR="00685FE1" w:rsidRPr="000367A7" w:rsidRDefault="00685FE1" w:rsidP="009F4B10">
            <w:pPr>
              <w:rPr>
                <w:color w:val="000000"/>
                <w:szCs w:val="22"/>
              </w:rPr>
            </w:pPr>
          </w:p>
        </w:tc>
        <w:tc>
          <w:tcPr>
            <w:tcW w:w="1080" w:type="dxa"/>
            <w:tcMar>
              <w:top w:w="0" w:type="dxa"/>
              <w:left w:w="0" w:type="dxa"/>
              <w:bottom w:w="0" w:type="dxa"/>
              <w:right w:w="0" w:type="dxa"/>
            </w:tcMar>
            <w:vAlign w:val="bottom"/>
          </w:tcPr>
          <w:p w14:paraId="208F98C1" w14:textId="77777777" w:rsidR="00685FE1" w:rsidRPr="000367A7" w:rsidRDefault="00685FE1" w:rsidP="009F4B10">
            <w:pPr>
              <w:jc w:val="right"/>
              <w:rPr>
                <w:color w:val="000000"/>
                <w:szCs w:val="22"/>
              </w:rPr>
            </w:pPr>
            <w:r w:rsidRPr="000367A7">
              <w:rPr>
                <w:color w:val="000000"/>
                <w:szCs w:val="22"/>
              </w:rPr>
              <w:t>77</w:t>
            </w:r>
          </w:p>
        </w:tc>
      </w:tr>
      <w:tr w:rsidR="00685FE1" w:rsidRPr="008068A1" w14:paraId="5103D191" w14:textId="77777777" w:rsidTr="00AE2114">
        <w:tc>
          <w:tcPr>
            <w:tcW w:w="375" w:type="dxa"/>
            <w:tcMar>
              <w:top w:w="0" w:type="dxa"/>
              <w:left w:w="0" w:type="dxa"/>
              <w:bottom w:w="0" w:type="dxa"/>
              <w:right w:w="259" w:type="dxa"/>
            </w:tcMar>
          </w:tcPr>
          <w:p w14:paraId="27A695EB"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CD22A6B" w14:textId="77777777" w:rsidR="00685FE1" w:rsidRPr="008068A1" w:rsidRDefault="00685FE1" w:rsidP="009F4B10">
            <w:pPr>
              <w:rPr>
                <w:color w:val="000000"/>
                <w:szCs w:val="22"/>
              </w:rPr>
            </w:pPr>
            <w:r w:rsidRPr="008068A1">
              <w:rPr>
                <w:color w:val="000000"/>
                <w:szCs w:val="22"/>
              </w:rPr>
              <w:t>Lake Superior</w:t>
            </w:r>
          </w:p>
        </w:tc>
        <w:tc>
          <w:tcPr>
            <w:tcW w:w="3960" w:type="dxa"/>
            <w:tcMar>
              <w:top w:w="0" w:type="dxa"/>
              <w:left w:w="0" w:type="dxa"/>
              <w:bottom w:w="0" w:type="dxa"/>
              <w:right w:w="259" w:type="dxa"/>
            </w:tcMar>
            <w:vAlign w:val="bottom"/>
          </w:tcPr>
          <w:p w14:paraId="65B220BD"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7D9ED2A4" w14:textId="77777777" w:rsidR="00685FE1" w:rsidRPr="008068A1" w:rsidRDefault="00685FE1" w:rsidP="009F4B10">
            <w:pPr>
              <w:jc w:val="right"/>
              <w:rPr>
                <w:color w:val="000000"/>
                <w:szCs w:val="22"/>
              </w:rPr>
            </w:pPr>
            <w:r w:rsidRPr="008068A1">
              <w:rPr>
                <w:color w:val="000000"/>
                <w:szCs w:val="22"/>
              </w:rPr>
              <w:t>91</w:t>
            </w:r>
          </w:p>
        </w:tc>
      </w:tr>
      <w:tr w:rsidR="00685FE1" w:rsidRPr="008068A1" w14:paraId="21A56D49" w14:textId="77777777" w:rsidTr="00AE2114">
        <w:tc>
          <w:tcPr>
            <w:tcW w:w="375" w:type="dxa"/>
            <w:tcMar>
              <w:top w:w="0" w:type="dxa"/>
              <w:left w:w="0" w:type="dxa"/>
              <w:bottom w:w="0" w:type="dxa"/>
              <w:right w:w="259" w:type="dxa"/>
            </w:tcMar>
          </w:tcPr>
          <w:p w14:paraId="1A8B8869"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75FCEAB9" w14:textId="77777777" w:rsidR="00685FE1" w:rsidRPr="008068A1" w:rsidRDefault="00685FE1" w:rsidP="009F4B10">
            <w:pPr>
              <w:rPr>
                <w:color w:val="000000"/>
                <w:szCs w:val="22"/>
              </w:rPr>
            </w:pPr>
            <w:r w:rsidRPr="008068A1">
              <w:rPr>
                <w:color w:val="000000"/>
                <w:szCs w:val="22"/>
              </w:rPr>
              <w:t>Lake Michigan</w:t>
            </w:r>
          </w:p>
        </w:tc>
        <w:tc>
          <w:tcPr>
            <w:tcW w:w="3960" w:type="dxa"/>
            <w:tcMar>
              <w:top w:w="0" w:type="dxa"/>
              <w:left w:w="0" w:type="dxa"/>
              <w:bottom w:w="0" w:type="dxa"/>
              <w:right w:w="259" w:type="dxa"/>
            </w:tcMar>
            <w:vAlign w:val="bottom"/>
          </w:tcPr>
          <w:p w14:paraId="02C5BF76"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774EB5E8" w14:textId="77777777" w:rsidR="00685FE1" w:rsidRPr="008068A1" w:rsidRDefault="00685FE1" w:rsidP="009F4B10">
            <w:pPr>
              <w:jc w:val="right"/>
              <w:rPr>
                <w:color w:val="000000"/>
                <w:szCs w:val="22"/>
              </w:rPr>
            </w:pPr>
            <w:r w:rsidRPr="008068A1">
              <w:rPr>
                <w:color w:val="000000"/>
                <w:szCs w:val="22"/>
              </w:rPr>
              <w:t>92</w:t>
            </w:r>
          </w:p>
        </w:tc>
      </w:tr>
      <w:tr w:rsidR="00685FE1" w:rsidRPr="008068A1" w14:paraId="5B229CEF" w14:textId="77777777" w:rsidTr="00AE2114">
        <w:tc>
          <w:tcPr>
            <w:tcW w:w="375" w:type="dxa"/>
            <w:tcMar>
              <w:top w:w="0" w:type="dxa"/>
              <w:left w:w="0" w:type="dxa"/>
              <w:bottom w:w="0" w:type="dxa"/>
              <w:right w:w="259" w:type="dxa"/>
            </w:tcMar>
          </w:tcPr>
          <w:p w14:paraId="625E586B"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5872E4F9" w14:textId="77777777" w:rsidR="00685FE1" w:rsidRPr="008068A1" w:rsidRDefault="00685FE1" w:rsidP="009F4B10">
            <w:pPr>
              <w:rPr>
                <w:color w:val="000000"/>
                <w:szCs w:val="22"/>
              </w:rPr>
            </w:pPr>
            <w:r w:rsidRPr="008068A1">
              <w:rPr>
                <w:color w:val="000000"/>
                <w:szCs w:val="22"/>
              </w:rPr>
              <w:t>Lake Huron</w:t>
            </w:r>
          </w:p>
        </w:tc>
        <w:tc>
          <w:tcPr>
            <w:tcW w:w="3960" w:type="dxa"/>
            <w:tcMar>
              <w:top w:w="0" w:type="dxa"/>
              <w:left w:w="0" w:type="dxa"/>
              <w:bottom w:w="0" w:type="dxa"/>
              <w:right w:w="259" w:type="dxa"/>
            </w:tcMar>
            <w:vAlign w:val="bottom"/>
          </w:tcPr>
          <w:p w14:paraId="4AC71812"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52F34ECB" w14:textId="77777777" w:rsidR="00685FE1" w:rsidRPr="008068A1" w:rsidRDefault="00685FE1" w:rsidP="009F4B10">
            <w:pPr>
              <w:jc w:val="right"/>
              <w:rPr>
                <w:color w:val="000000"/>
                <w:szCs w:val="22"/>
              </w:rPr>
            </w:pPr>
            <w:r w:rsidRPr="008068A1">
              <w:rPr>
                <w:color w:val="000000"/>
                <w:szCs w:val="22"/>
              </w:rPr>
              <w:t>93</w:t>
            </w:r>
          </w:p>
        </w:tc>
      </w:tr>
      <w:tr w:rsidR="00685FE1" w:rsidRPr="008068A1" w14:paraId="13CCDB31" w14:textId="77777777" w:rsidTr="00AE2114">
        <w:tc>
          <w:tcPr>
            <w:tcW w:w="375" w:type="dxa"/>
            <w:tcMar>
              <w:top w:w="0" w:type="dxa"/>
              <w:left w:w="0" w:type="dxa"/>
              <w:bottom w:w="0" w:type="dxa"/>
              <w:right w:w="259" w:type="dxa"/>
            </w:tcMar>
          </w:tcPr>
          <w:p w14:paraId="59EB58D6"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34BBE5AE" w14:textId="77777777" w:rsidR="00685FE1" w:rsidRPr="008068A1" w:rsidRDefault="00685FE1" w:rsidP="009F4B10">
            <w:pPr>
              <w:rPr>
                <w:color w:val="000000"/>
                <w:szCs w:val="22"/>
              </w:rPr>
            </w:pPr>
            <w:r w:rsidRPr="008068A1">
              <w:rPr>
                <w:color w:val="000000"/>
                <w:szCs w:val="22"/>
              </w:rPr>
              <w:t>Lake St. Clair</w:t>
            </w:r>
          </w:p>
        </w:tc>
        <w:tc>
          <w:tcPr>
            <w:tcW w:w="3960" w:type="dxa"/>
            <w:tcMar>
              <w:top w:w="0" w:type="dxa"/>
              <w:left w:w="0" w:type="dxa"/>
              <w:bottom w:w="0" w:type="dxa"/>
              <w:right w:w="259" w:type="dxa"/>
            </w:tcMar>
            <w:vAlign w:val="bottom"/>
          </w:tcPr>
          <w:p w14:paraId="2767192E"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393DD2CD" w14:textId="77777777" w:rsidR="00685FE1" w:rsidRPr="008068A1" w:rsidRDefault="00685FE1" w:rsidP="009F4B10">
            <w:pPr>
              <w:jc w:val="right"/>
              <w:rPr>
                <w:color w:val="000000"/>
                <w:szCs w:val="22"/>
              </w:rPr>
            </w:pPr>
            <w:r w:rsidRPr="008068A1">
              <w:rPr>
                <w:color w:val="000000"/>
                <w:szCs w:val="22"/>
              </w:rPr>
              <w:t>94</w:t>
            </w:r>
          </w:p>
        </w:tc>
      </w:tr>
      <w:tr w:rsidR="00685FE1" w:rsidRPr="008068A1" w14:paraId="7430BF78" w14:textId="77777777" w:rsidTr="00AE2114">
        <w:tc>
          <w:tcPr>
            <w:tcW w:w="375" w:type="dxa"/>
            <w:tcMar>
              <w:top w:w="0" w:type="dxa"/>
              <w:left w:w="0" w:type="dxa"/>
              <w:bottom w:w="0" w:type="dxa"/>
              <w:right w:w="259" w:type="dxa"/>
            </w:tcMar>
          </w:tcPr>
          <w:p w14:paraId="35019CAD"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19E46354" w14:textId="77777777" w:rsidR="00685FE1" w:rsidRPr="008068A1" w:rsidRDefault="00685FE1" w:rsidP="009F4B10">
            <w:pPr>
              <w:rPr>
                <w:color w:val="000000"/>
                <w:szCs w:val="22"/>
              </w:rPr>
            </w:pPr>
            <w:r w:rsidRPr="008068A1">
              <w:rPr>
                <w:color w:val="000000"/>
                <w:szCs w:val="22"/>
              </w:rPr>
              <w:t>Lake Erie</w:t>
            </w:r>
          </w:p>
        </w:tc>
        <w:tc>
          <w:tcPr>
            <w:tcW w:w="3960" w:type="dxa"/>
            <w:tcMar>
              <w:top w:w="0" w:type="dxa"/>
              <w:left w:w="0" w:type="dxa"/>
              <w:bottom w:w="0" w:type="dxa"/>
              <w:right w:w="259" w:type="dxa"/>
            </w:tcMar>
            <w:vAlign w:val="bottom"/>
          </w:tcPr>
          <w:p w14:paraId="69C3561E"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05CBBD7B" w14:textId="77777777" w:rsidR="00685FE1" w:rsidRPr="008068A1" w:rsidRDefault="00685FE1" w:rsidP="009F4B10">
            <w:pPr>
              <w:jc w:val="right"/>
              <w:rPr>
                <w:color w:val="000000"/>
                <w:szCs w:val="22"/>
              </w:rPr>
            </w:pPr>
            <w:r w:rsidRPr="008068A1">
              <w:rPr>
                <w:color w:val="000000"/>
                <w:szCs w:val="22"/>
              </w:rPr>
              <w:t>96</w:t>
            </w:r>
          </w:p>
        </w:tc>
      </w:tr>
      <w:tr w:rsidR="00685FE1" w:rsidRPr="008068A1" w14:paraId="2447608F" w14:textId="77777777" w:rsidTr="00AE2114">
        <w:tc>
          <w:tcPr>
            <w:tcW w:w="375" w:type="dxa"/>
            <w:tcMar>
              <w:top w:w="0" w:type="dxa"/>
              <w:left w:w="0" w:type="dxa"/>
              <w:bottom w:w="0" w:type="dxa"/>
              <w:right w:w="259" w:type="dxa"/>
            </w:tcMar>
          </w:tcPr>
          <w:p w14:paraId="0D2E49BF" w14:textId="77777777" w:rsidR="00685FE1" w:rsidRPr="008068A1" w:rsidRDefault="00685FE1" w:rsidP="009F4B10">
            <w:pPr>
              <w:rPr>
                <w:color w:val="000000"/>
                <w:szCs w:val="22"/>
              </w:rPr>
            </w:pPr>
          </w:p>
        </w:tc>
        <w:tc>
          <w:tcPr>
            <w:tcW w:w="3240" w:type="dxa"/>
            <w:gridSpan w:val="2"/>
            <w:tcMar>
              <w:top w:w="0" w:type="dxa"/>
              <w:left w:w="0" w:type="dxa"/>
              <w:bottom w:w="0" w:type="dxa"/>
              <w:right w:w="259" w:type="dxa"/>
            </w:tcMar>
          </w:tcPr>
          <w:p w14:paraId="43CFCE1F" w14:textId="77777777" w:rsidR="00685FE1" w:rsidRPr="008068A1" w:rsidRDefault="00685FE1" w:rsidP="009F4B10">
            <w:pPr>
              <w:rPr>
                <w:color w:val="000000"/>
                <w:szCs w:val="22"/>
              </w:rPr>
            </w:pPr>
            <w:r w:rsidRPr="008068A1">
              <w:rPr>
                <w:color w:val="000000"/>
                <w:szCs w:val="22"/>
              </w:rPr>
              <w:t>Lake Ontario</w:t>
            </w:r>
          </w:p>
        </w:tc>
        <w:tc>
          <w:tcPr>
            <w:tcW w:w="3960" w:type="dxa"/>
            <w:tcMar>
              <w:top w:w="0" w:type="dxa"/>
              <w:left w:w="0" w:type="dxa"/>
              <w:bottom w:w="0" w:type="dxa"/>
              <w:right w:w="259" w:type="dxa"/>
            </w:tcMar>
            <w:vAlign w:val="bottom"/>
          </w:tcPr>
          <w:p w14:paraId="16235BC6" w14:textId="77777777"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14:paraId="65846C9B" w14:textId="77777777" w:rsidR="00685FE1" w:rsidRPr="008068A1" w:rsidRDefault="00685FE1" w:rsidP="009F4B10">
            <w:pPr>
              <w:jc w:val="right"/>
              <w:rPr>
                <w:color w:val="000000"/>
                <w:szCs w:val="22"/>
              </w:rPr>
            </w:pPr>
            <w:r w:rsidRPr="008068A1">
              <w:rPr>
                <w:color w:val="000000"/>
                <w:szCs w:val="22"/>
              </w:rPr>
              <w:t>97</w:t>
            </w:r>
          </w:p>
        </w:tc>
      </w:tr>
      <w:tr w:rsidR="00685FE1" w:rsidRPr="008068A1" w14:paraId="618C4CB1" w14:textId="77777777" w:rsidTr="00AE2114">
        <w:tc>
          <w:tcPr>
            <w:tcW w:w="375" w:type="dxa"/>
            <w:tcBorders>
              <w:bottom w:val="single" w:sz="6" w:space="0" w:color="000000"/>
            </w:tcBorders>
            <w:tcMar>
              <w:top w:w="0" w:type="dxa"/>
              <w:left w:w="0" w:type="dxa"/>
              <w:bottom w:w="0" w:type="dxa"/>
              <w:right w:w="259" w:type="dxa"/>
            </w:tcMar>
          </w:tcPr>
          <w:p w14:paraId="61501727" w14:textId="77777777" w:rsidR="00685FE1" w:rsidRPr="008068A1" w:rsidRDefault="00685FE1" w:rsidP="009F4B10">
            <w:pPr>
              <w:rPr>
                <w:color w:val="000000"/>
                <w:szCs w:val="22"/>
              </w:rPr>
            </w:pPr>
          </w:p>
        </w:tc>
        <w:tc>
          <w:tcPr>
            <w:tcW w:w="3240" w:type="dxa"/>
            <w:gridSpan w:val="2"/>
            <w:tcBorders>
              <w:bottom w:val="single" w:sz="6" w:space="0" w:color="000000"/>
            </w:tcBorders>
            <w:tcMar>
              <w:top w:w="0" w:type="dxa"/>
              <w:left w:w="0" w:type="dxa"/>
              <w:bottom w:w="0" w:type="dxa"/>
              <w:right w:w="259" w:type="dxa"/>
            </w:tcMar>
          </w:tcPr>
          <w:p w14:paraId="58951EC4" w14:textId="77777777" w:rsidR="00685FE1" w:rsidRPr="008068A1" w:rsidRDefault="00685FE1" w:rsidP="009F4B10">
            <w:pPr>
              <w:rPr>
                <w:color w:val="000000"/>
                <w:szCs w:val="22"/>
              </w:rPr>
            </w:pPr>
            <w:r w:rsidRPr="008068A1">
              <w:rPr>
                <w:color w:val="000000"/>
                <w:szCs w:val="22"/>
              </w:rPr>
              <w:t>St. Lawrence River above St. Regis</w:t>
            </w:r>
          </w:p>
        </w:tc>
        <w:tc>
          <w:tcPr>
            <w:tcW w:w="3960" w:type="dxa"/>
            <w:tcBorders>
              <w:bottom w:val="single" w:sz="6" w:space="0" w:color="000000"/>
            </w:tcBorders>
            <w:tcMar>
              <w:top w:w="0" w:type="dxa"/>
              <w:left w:w="0" w:type="dxa"/>
              <w:bottom w:w="0" w:type="dxa"/>
              <w:right w:w="259" w:type="dxa"/>
            </w:tcMar>
            <w:vAlign w:val="bottom"/>
          </w:tcPr>
          <w:p w14:paraId="6BCA18BF" w14:textId="77777777" w:rsidR="00685FE1" w:rsidRPr="008068A1" w:rsidRDefault="00685FE1" w:rsidP="009F4B10">
            <w:pPr>
              <w:rPr>
                <w:color w:val="000000"/>
                <w:szCs w:val="22"/>
              </w:rPr>
            </w:pPr>
          </w:p>
        </w:tc>
        <w:tc>
          <w:tcPr>
            <w:tcW w:w="1080" w:type="dxa"/>
            <w:tcBorders>
              <w:bottom w:val="single" w:sz="6" w:space="0" w:color="000000"/>
            </w:tcBorders>
            <w:tcMar>
              <w:top w:w="0" w:type="dxa"/>
              <w:left w:w="0" w:type="dxa"/>
              <w:bottom w:w="0" w:type="dxa"/>
              <w:right w:w="0" w:type="dxa"/>
            </w:tcMar>
            <w:vAlign w:val="bottom"/>
          </w:tcPr>
          <w:p w14:paraId="43244588" w14:textId="77777777" w:rsidR="00685FE1" w:rsidRPr="008068A1" w:rsidRDefault="00685FE1" w:rsidP="009F4B10">
            <w:pPr>
              <w:jc w:val="right"/>
              <w:rPr>
                <w:color w:val="000000"/>
                <w:szCs w:val="22"/>
              </w:rPr>
            </w:pPr>
            <w:r w:rsidRPr="008068A1">
              <w:rPr>
                <w:color w:val="000000"/>
                <w:szCs w:val="22"/>
              </w:rPr>
              <w:t>98</w:t>
            </w:r>
          </w:p>
        </w:tc>
      </w:tr>
    </w:tbl>
    <w:p w14:paraId="5E671DC8" w14:textId="77777777" w:rsidR="00685FE1" w:rsidRPr="008068A1" w:rsidRDefault="00685FE1" w:rsidP="00685FE1">
      <w:pPr>
        <w:spacing w:before="120"/>
        <w:rPr>
          <w:color w:val="000000"/>
          <w:szCs w:val="22"/>
        </w:rPr>
      </w:pPr>
      <w:r w:rsidRPr="008068A1">
        <w:rPr>
          <w:color w:val="000000"/>
          <w:szCs w:val="22"/>
          <w:vertAlign w:val="superscript"/>
        </w:rPr>
        <w:t xml:space="preserve">  1 </w:t>
      </w:r>
      <w:r w:rsidR="00F847ED" w:rsidRPr="00EC7ACD">
        <w:rPr>
          <w:b/>
          <w:color w:val="000000"/>
          <w:szCs w:val="22"/>
        </w:rPr>
        <w:t xml:space="preserve">The numbers assigned to the offshore marine areas listed in this table </w:t>
      </w:r>
      <w:r w:rsidR="00C44065" w:rsidRPr="00EC7ACD">
        <w:rPr>
          <w:b/>
          <w:color w:val="000000"/>
          <w:szCs w:val="22"/>
        </w:rPr>
        <w:t xml:space="preserve">are not described under the </w:t>
      </w:r>
      <w:r w:rsidR="00F847ED" w:rsidRPr="00EC7ACD">
        <w:rPr>
          <w:b/>
          <w:color w:val="000000"/>
          <w:szCs w:val="22"/>
        </w:rPr>
        <w:t xml:space="preserve">ANSI standard, but rather are numeric codes that </w:t>
      </w:r>
      <w:r w:rsidR="005A6198" w:rsidRPr="00EC7ACD">
        <w:rPr>
          <w:b/>
          <w:color w:val="000000"/>
          <w:szCs w:val="22"/>
        </w:rPr>
        <w:t>were assigned by</w:t>
      </w:r>
      <w:r w:rsidR="00F847ED" w:rsidRPr="00EC7ACD">
        <w:rPr>
          <w:b/>
          <w:color w:val="000000"/>
          <w:szCs w:val="22"/>
        </w:rPr>
        <w:t xml:space="preserve"> NWS.</w:t>
      </w:r>
      <w:r w:rsidR="00F847ED" w:rsidRPr="008068A1">
        <w:rPr>
          <w:color w:val="000000"/>
          <w:szCs w:val="22"/>
        </w:rPr>
        <w:t xml:space="preserve">  </w:t>
      </w:r>
    </w:p>
    <w:p w14:paraId="34EE68AF" w14:textId="77777777" w:rsidR="00685FE1" w:rsidRPr="008068A1" w:rsidRDefault="00685FE1" w:rsidP="00685FE1">
      <w:pPr>
        <w:spacing w:before="120"/>
        <w:rPr>
          <w:color w:val="000000"/>
          <w:szCs w:val="22"/>
        </w:rPr>
      </w:pPr>
    </w:p>
    <w:p w14:paraId="3932D20C" w14:textId="77777777" w:rsidR="000E0F3C" w:rsidRPr="008068A1" w:rsidRDefault="00685FE1" w:rsidP="00685FE1">
      <w:pPr>
        <w:spacing w:line="480" w:lineRule="auto"/>
        <w:rPr>
          <w:szCs w:val="22"/>
        </w:rPr>
        <w:sectPr w:rsidR="000E0F3C" w:rsidRPr="008068A1" w:rsidSect="00E41617">
          <w:endnotePr>
            <w:numFmt w:val="decimal"/>
          </w:endnotePr>
          <w:pgSz w:w="12240" w:h="15840"/>
          <w:pgMar w:top="1440" w:right="1440" w:bottom="720" w:left="1440" w:header="720" w:footer="720" w:gutter="0"/>
          <w:cols w:space="720"/>
          <w:noEndnote/>
          <w:docGrid w:linePitch="299"/>
        </w:sectPr>
      </w:pPr>
      <w:r w:rsidRPr="008068A1">
        <w:rPr>
          <w:szCs w:val="22"/>
        </w:rPr>
        <w:t xml:space="preserve">* * * * * </w:t>
      </w:r>
    </w:p>
    <w:p w14:paraId="6DB0F358" w14:textId="77777777" w:rsidR="00274CCC" w:rsidRPr="008068A1" w:rsidRDefault="00274CCC" w:rsidP="00274CCC">
      <w:pPr>
        <w:jc w:val="center"/>
        <w:rPr>
          <w:b/>
          <w:szCs w:val="22"/>
        </w:rPr>
      </w:pPr>
      <w:r w:rsidRPr="008068A1">
        <w:rPr>
          <w:b/>
          <w:szCs w:val="22"/>
        </w:rPr>
        <w:t>APPENDIX B</w:t>
      </w:r>
    </w:p>
    <w:p w14:paraId="387460C5" w14:textId="77777777" w:rsidR="00274CCC" w:rsidRPr="008068A1" w:rsidRDefault="00274CCC" w:rsidP="00274CCC">
      <w:pPr>
        <w:jc w:val="center"/>
        <w:rPr>
          <w:b/>
          <w:szCs w:val="22"/>
        </w:rPr>
      </w:pPr>
    </w:p>
    <w:p w14:paraId="63B12B53" w14:textId="77777777" w:rsidR="00274CCC" w:rsidRPr="008068A1" w:rsidRDefault="00FB6694" w:rsidP="00274CCC">
      <w:pPr>
        <w:jc w:val="center"/>
        <w:rPr>
          <w:b/>
          <w:szCs w:val="22"/>
        </w:rPr>
      </w:pPr>
      <w:r>
        <w:rPr>
          <w:b/>
          <w:szCs w:val="22"/>
        </w:rPr>
        <w:t>Final</w:t>
      </w:r>
      <w:r w:rsidR="00274CCC" w:rsidRPr="008068A1">
        <w:rPr>
          <w:b/>
          <w:szCs w:val="22"/>
        </w:rPr>
        <w:t xml:space="preserve"> Regulatory Flexibility Analysis</w:t>
      </w:r>
    </w:p>
    <w:p w14:paraId="1ED7ED1D" w14:textId="77777777" w:rsidR="00274CCC" w:rsidRPr="008068A1" w:rsidRDefault="00274CCC" w:rsidP="00274CCC">
      <w:pPr>
        <w:jc w:val="center"/>
        <w:rPr>
          <w:szCs w:val="22"/>
        </w:rPr>
      </w:pPr>
    </w:p>
    <w:p w14:paraId="5CB042D5" w14:textId="77777777" w:rsidR="00274CCC" w:rsidRPr="008068A1" w:rsidRDefault="00274CCC" w:rsidP="005C205B">
      <w:pPr>
        <w:pStyle w:val="ParaNum"/>
        <w:numPr>
          <w:ilvl w:val="0"/>
          <w:numId w:val="4"/>
        </w:numPr>
        <w:tabs>
          <w:tab w:val="clear" w:pos="1080"/>
          <w:tab w:val="num" w:pos="1440"/>
        </w:tabs>
        <w:rPr>
          <w:szCs w:val="22"/>
        </w:rPr>
      </w:pPr>
      <w:r w:rsidRPr="008068A1">
        <w:rPr>
          <w:szCs w:val="22"/>
        </w:rPr>
        <w:t>As required by the Regulatory Flexibility Act of 1980, as amended (RFA),</w:t>
      </w:r>
      <w:r w:rsidRPr="008068A1">
        <w:rPr>
          <w:rStyle w:val="FootnoteReference"/>
          <w:sz w:val="22"/>
          <w:szCs w:val="22"/>
        </w:rPr>
        <w:footnoteReference w:id="106"/>
      </w:r>
      <w:r w:rsidRPr="008068A1">
        <w:rPr>
          <w:szCs w:val="22"/>
        </w:rPr>
        <w:t xml:space="preserve"> </w:t>
      </w:r>
      <w:r w:rsidR="00FB6694">
        <w:rPr>
          <w:szCs w:val="22"/>
        </w:rPr>
        <w:t xml:space="preserve">an </w:t>
      </w:r>
      <w:r w:rsidRPr="008068A1">
        <w:rPr>
          <w:szCs w:val="22"/>
        </w:rPr>
        <w:t xml:space="preserve">Initial Regulatory Flexibility Analysis (IRFA) </w:t>
      </w:r>
      <w:r w:rsidR="00FB6694">
        <w:rPr>
          <w:szCs w:val="22"/>
        </w:rPr>
        <w:t>was included in the Notice of Proposed Rulemaking of this proceeding.</w:t>
      </w:r>
      <w:r w:rsidR="00FB6694">
        <w:rPr>
          <w:rStyle w:val="FootnoteReference"/>
          <w:szCs w:val="22"/>
        </w:rPr>
        <w:footnoteReference w:id="107"/>
      </w:r>
      <w:r w:rsidR="00FB6694">
        <w:rPr>
          <w:szCs w:val="22"/>
        </w:rPr>
        <w:t xml:space="preserve">  The Commission sought comments on the IRFA.  </w:t>
      </w:r>
      <w:r w:rsidR="00FB6694" w:rsidRPr="00156FCC">
        <w:t>Because the Order</w:t>
      </w:r>
      <w:r w:rsidR="00FB6694" w:rsidRPr="002E16DA">
        <w:rPr>
          <w:i/>
        </w:rPr>
        <w:t xml:space="preserve"> </w:t>
      </w:r>
      <w:r w:rsidR="00FB6694" w:rsidRPr="00156FCC">
        <w:t>amends the Commission’s rules, this Final Regulatory Flexibility Analysis (FRFA) con</w:t>
      </w:r>
      <w:r w:rsidR="00FB6694">
        <w:t>forms to the RFA</w:t>
      </w:r>
      <w:r w:rsidR="003E73F4">
        <w:t xml:space="preserve">.  </w:t>
      </w:r>
    </w:p>
    <w:p w14:paraId="08A5FD70" w14:textId="77777777" w:rsidR="00274CCC" w:rsidRPr="008068A1" w:rsidRDefault="00274CCC" w:rsidP="005C205B">
      <w:pPr>
        <w:pStyle w:val="Heading2"/>
        <w:numPr>
          <w:ilvl w:val="1"/>
          <w:numId w:val="5"/>
        </w:numPr>
      </w:pPr>
      <w:bookmarkStart w:id="38" w:name="_Toc367458365"/>
      <w:bookmarkStart w:id="39" w:name="_Toc383514547"/>
      <w:bookmarkStart w:id="40" w:name="_Toc383514785"/>
      <w:bookmarkStart w:id="41" w:name="_Toc384814358"/>
      <w:bookmarkStart w:id="42" w:name="_Toc384814437"/>
      <w:bookmarkStart w:id="43" w:name="_Toc384814871"/>
      <w:bookmarkStart w:id="44" w:name="_Toc384817913"/>
      <w:bookmarkStart w:id="45" w:name="_Toc387054617"/>
      <w:bookmarkStart w:id="46" w:name="_Toc387154763"/>
      <w:bookmarkStart w:id="47" w:name="_Toc387155788"/>
      <w:bookmarkStart w:id="48" w:name="_Toc387222352"/>
      <w:bookmarkStart w:id="49" w:name="_Toc411452476"/>
      <w:bookmarkStart w:id="50" w:name="_Toc411452598"/>
      <w:bookmarkStart w:id="51" w:name="_Toc415747823"/>
      <w:r w:rsidRPr="008068A1">
        <w:t>Need for, and Objectives of, the Proposed Rules</w:t>
      </w:r>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2F86FE0" w14:textId="77777777" w:rsidR="00274CCC" w:rsidRPr="008068A1" w:rsidRDefault="003E73F4" w:rsidP="00235FFF">
      <w:pPr>
        <w:pStyle w:val="ParaNum"/>
        <w:rPr>
          <w:szCs w:val="22"/>
        </w:rPr>
      </w:pPr>
      <w:r>
        <w:rPr>
          <w:szCs w:val="22"/>
        </w:rPr>
        <w:t xml:space="preserve">The Order </w:t>
      </w:r>
      <w:r w:rsidRPr="00012C4B">
        <w:t>adopts changes to the Commission’s Part 11 rules governing the Emergency Alert System (EAS)</w:t>
      </w:r>
      <w:r>
        <w:t>.</w:t>
      </w:r>
      <w:r>
        <w:rPr>
          <w:rStyle w:val="FootnoteReference"/>
        </w:rPr>
        <w:footnoteReference w:id="108"/>
      </w:r>
      <w:r>
        <w:t xml:space="preserve">  Specifically, the order </w:t>
      </w:r>
      <w:r w:rsidR="00274CCC" w:rsidRPr="008068A1">
        <w:rPr>
          <w:szCs w:val="22"/>
        </w:rPr>
        <w:t>add</w:t>
      </w:r>
      <w:r>
        <w:rPr>
          <w:szCs w:val="22"/>
        </w:rPr>
        <w:t>s</w:t>
      </w:r>
      <w:r w:rsidR="00274CCC" w:rsidRPr="008068A1">
        <w:rPr>
          <w:szCs w:val="22"/>
        </w:rPr>
        <w:t xml:space="preserve"> three new </w:t>
      </w:r>
      <w:r>
        <w:rPr>
          <w:szCs w:val="22"/>
        </w:rPr>
        <w:t>EA</w:t>
      </w:r>
      <w:r w:rsidR="00274CCC" w:rsidRPr="008068A1">
        <w:rPr>
          <w:szCs w:val="22"/>
        </w:rPr>
        <w:t xml:space="preserve">S Event Codes, covering extreme wind (“Extreme Wind Warning”) and storm surges (“Storm Surge Watch” and “Storm Surge Warning”), and </w:t>
      </w:r>
      <w:r>
        <w:rPr>
          <w:szCs w:val="22"/>
        </w:rPr>
        <w:t xml:space="preserve">revises </w:t>
      </w:r>
      <w:r w:rsidR="00274CCC" w:rsidRPr="008068A1">
        <w:rPr>
          <w:szCs w:val="22"/>
        </w:rPr>
        <w:t xml:space="preserve">the territorial boundaries of geographic location codes 75 and 77 used by the EAS.  These </w:t>
      </w:r>
      <w:r>
        <w:rPr>
          <w:szCs w:val="22"/>
        </w:rPr>
        <w:t>r</w:t>
      </w:r>
      <w:r w:rsidR="00274CCC" w:rsidRPr="008068A1">
        <w:rPr>
          <w:szCs w:val="22"/>
        </w:rPr>
        <w:t>ule revisions improve the capacity of the EAS to warn the public of impending threats to life and property, and ensure that the geographic definitions of location codes 75 and 77 utilized by the EAS are harmonized with those employed by the N</w:t>
      </w:r>
      <w:r>
        <w:rPr>
          <w:szCs w:val="22"/>
        </w:rPr>
        <w:t>ational Weather Service (N</w:t>
      </w:r>
      <w:r w:rsidR="00274CCC" w:rsidRPr="008068A1">
        <w:rPr>
          <w:szCs w:val="22"/>
        </w:rPr>
        <w:t>WS</w:t>
      </w:r>
      <w:r>
        <w:rPr>
          <w:szCs w:val="22"/>
        </w:rPr>
        <w:t>)</w:t>
      </w:r>
      <w:r w:rsidR="00274CCC" w:rsidRPr="008068A1">
        <w:rPr>
          <w:szCs w:val="22"/>
        </w:rPr>
        <w:t xml:space="preserve">.  </w:t>
      </w:r>
    </w:p>
    <w:p w14:paraId="53372337" w14:textId="77777777" w:rsidR="003E73F4" w:rsidRPr="00C320A7" w:rsidRDefault="003E73F4" w:rsidP="005C205B">
      <w:pPr>
        <w:pStyle w:val="Heading2"/>
        <w:numPr>
          <w:ilvl w:val="1"/>
          <w:numId w:val="5"/>
        </w:numPr>
      </w:pPr>
      <w:bookmarkStart w:id="52" w:name="_Toc405557614"/>
      <w:bookmarkStart w:id="53" w:name="_Toc405557724"/>
      <w:bookmarkStart w:id="54" w:name="_Toc405557991"/>
      <w:bookmarkStart w:id="55" w:name="_Toc405558271"/>
      <w:bookmarkStart w:id="56" w:name="_Toc405558647"/>
      <w:bookmarkStart w:id="57" w:name="_Toc367458367"/>
      <w:bookmarkStart w:id="58" w:name="_Toc383514549"/>
      <w:bookmarkStart w:id="59" w:name="_Toc383514787"/>
      <w:bookmarkStart w:id="60" w:name="_Toc384814360"/>
      <w:bookmarkStart w:id="61" w:name="_Toc384814439"/>
      <w:bookmarkStart w:id="62" w:name="_Toc384814873"/>
      <w:bookmarkStart w:id="63" w:name="_Toc384817915"/>
      <w:bookmarkStart w:id="64" w:name="_Toc387054619"/>
      <w:bookmarkStart w:id="65" w:name="_Toc387154765"/>
      <w:bookmarkStart w:id="66" w:name="_Toc387155790"/>
      <w:bookmarkStart w:id="67" w:name="_Toc387222354"/>
      <w:bookmarkStart w:id="68" w:name="_Toc411452478"/>
      <w:bookmarkStart w:id="69" w:name="_Toc411452600"/>
      <w:bookmarkStart w:id="70" w:name="_Toc415747825"/>
      <w:r w:rsidRPr="007F6264">
        <w:t>Summary of Significant Issues Raised by Public Comments in Response to the IRFA</w:t>
      </w:r>
      <w:bookmarkEnd w:id="52"/>
      <w:bookmarkEnd w:id="53"/>
      <w:bookmarkEnd w:id="54"/>
      <w:bookmarkEnd w:id="55"/>
      <w:bookmarkEnd w:id="56"/>
    </w:p>
    <w:p w14:paraId="054ED26C" w14:textId="77777777" w:rsidR="003E73F4" w:rsidRDefault="003E73F4" w:rsidP="005C205B">
      <w:pPr>
        <w:pStyle w:val="ParaNum"/>
        <w:numPr>
          <w:ilvl w:val="0"/>
          <w:numId w:val="4"/>
        </w:numPr>
        <w:tabs>
          <w:tab w:val="clear" w:pos="1080"/>
          <w:tab w:val="num" w:pos="1440"/>
        </w:tabs>
      </w:pPr>
      <w:r>
        <w:t>The Small Business Administration (</w:t>
      </w:r>
      <w:r w:rsidRPr="00156FCC">
        <w:t>SBA</w:t>
      </w:r>
      <w:r>
        <w:t>)</w:t>
      </w:r>
      <w:r w:rsidRPr="00156FCC">
        <w:t xml:space="preserve"> filed no comments in this proceeding, and there were no other comments specifically addressed to the IRFA.</w:t>
      </w:r>
    </w:p>
    <w:p w14:paraId="3BEB19C1" w14:textId="27BDA69E" w:rsidR="00274CCC" w:rsidRPr="008068A1" w:rsidRDefault="00274CCC" w:rsidP="00C61AF7">
      <w:pPr>
        <w:pStyle w:val="Heading2"/>
      </w:pPr>
      <w:r w:rsidRPr="008068A1">
        <w:t>Description and Estimate of the Number of Small Entities to Which Rules Will Apply</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547D482" w14:textId="77777777" w:rsidR="003E73F4" w:rsidRPr="00156FCC" w:rsidRDefault="00274CCC" w:rsidP="005C205B">
      <w:pPr>
        <w:pStyle w:val="ParaNum"/>
        <w:numPr>
          <w:ilvl w:val="0"/>
          <w:numId w:val="4"/>
        </w:numPr>
        <w:tabs>
          <w:tab w:val="clear" w:pos="1080"/>
          <w:tab w:val="num" w:pos="1440"/>
        </w:tabs>
      </w:pPr>
      <w:r w:rsidRPr="003E73F4">
        <w:rPr>
          <w:szCs w:val="22"/>
        </w:rPr>
        <w:t xml:space="preserve">The </w:t>
      </w:r>
      <w:r w:rsidR="003E73F4">
        <w:rPr>
          <w:szCs w:val="22"/>
        </w:rPr>
        <w:t>RFA d</w:t>
      </w:r>
      <w:r w:rsidR="003E73F4" w:rsidRPr="00156FCC">
        <w:t xml:space="preserve">irects agencies to provide a description of and, where feasible, an estimate of, the number of small entities that may be affected by the rules adopted herein.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SBA. </w:t>
      </w:r>
    </w:p>
    <w:p w14:paraId="6FB05F6F" w14:textId="77777777" w:rsidR="003E73F4" w:rsidRPr="00156FCC" w:rsidRDefault="003E73F4" w:rsidP="005C205B">
      <w:pPr>
        <w:pStyle w:val="ParaNum"/>
        <w:numPr>
          <w:ilvl w:val="0"/>
          <w:numId w:val="4"/>
        </w:numPr>
        <w:tabs>
          <w:tab w:val="clear" w:pos="1080"/>
          <w:tab w:val="num" w:pos="1440"/>
        </w:tabs>
      </w:pPr>
      <w:r w:rsidRPr="00156FCC">
        <w:rPr>
          <w:i/>
        </w:rPr>
        <w:t>Small Businesses, Small Organizations, and Small Governmental Jurisdictions</w:t>
      </w:r>
      <w:r w:rsidRPr="00156FCC">
        <w:t>.  Our action may, over time, affect small entities that are not easily categorized at present.  We therefore describe here, at the outset, three comprehensive, statutory small entity size standards.</w:t>
      </w:r>
      <w:r w:rsidRPr="00156FCC">
        <w:rPr>
          <w:vertAlign w:val="superscript"/>
        </w:rPr>
        <w:footnoteReference w:id="109"/>
      </w:r>
      <w:r w:rsidRPr="00156FCC">
        <w:t xml:space="preserve">  First, nationwide, there are a total of approximately 2</w:t>
      </w:r>
      <w:r>
        <w:t>8</w:t>
      </w:r>
      <w:r w:rsidRPr="00156FCC">
        <w:t>.</w:t>
      </w:r>
      <w:r>
        <w:t>2</w:t>
      </w:r>
      <w:r w:rsidRPr="00156FCC">
        <w:t xml:space="preserve"> million small businesses, according to the SBA.</w:t>
      </w:r>
      <w:r w:rsidRPr="00156FCC">
        <w:rPr>
          <w:vertAlign w:val="superscript"/>
        </w:rPr>
        <w:footnoteReference w:id="110"/>
      </w:r>
      <w:r w:rsidRPr="00156FCC">
        <w:t xml:space="preserve">  In addition, a “small organization” is generally “any not-for-profit enterprise which is independently owne</w:t>
      </w:r>
      <w:r w:rsidRPr="00156FCC">
        <w:rPr>
          <w:iCs/>
        </w:rPr>
        <w:t>d and operated and is not dominant in its field.”</w:t>
      </w:r>
      <w:r w:rsidRPr="00156FCC">
        <w:rPr>
          <w:iCs/>
          <w:vertAlign w:val="superscript"/>
        </w:rPr>
        <w:footnoteReference w:id="111"/>
      </w:r>
      <w:r w:rsidRPr="00156FCC">
        <w:rPr>
          <w:iCs/>
        </w:rPr>
        <w:t xml:space="preserve">  Nationwide, as of 2007, there were approximately 1,621,315 small organizations.</w:t>
      </w:r>
      <w:r w:rsidRPr="00156FCC">
        <w:rPr>
          <w:iCs/>
          <w:vertAlign w:val="superscript"/>
        </w:rPr>
        <w:footnoteReference w:id="112"/>
      </w:r>
      <w:r w:rsidRPr="00156FCC">
        <w:rPr>
          <w:iCs/>
        </w:rPr>
        <w:t xml:space="preserve">  Finally, the term “small governmenta</w:t>
      </w:r>
      <w:r w:rsidRPr="00156FCC">
        <w:t>l</w:t>
      </w:r>
      <w:r w:rsidRPr="00156FCC">
        <w:rPr>
          <w:iCs/>
        </w:rPr>
        <w:t xml:space="preserve"> jurisdiction” is defined generally as “governments of cities, towns, townships, villages, school districts, or special districts, with a population of less than fifty thousand.”</w:t>
      </w:r>
      <w:r w:rsidRPr="00156FCC">
        <w:rPr>
          <w:iCs/>
          <w:vertAlign w:val="superscript"/>
        </w:rPr>
        <w:footnoteReference w:id="113"/>
      </w:r>
      <w:r w:rsidRPr="00156FCC">
        <w:rPr>
          <w:iCs/>
        </w:rPr>
        <w:t xml:space="preserve">  Census Bureau data for 2011 indicate that there</w:t>
      </w:r>
      <w:r w:rsidRPr="00156FCC">
        <w:t xml:space="preserve"> were 89,476 local governmental jurisdictions in the United States.</w:t>
      </w:r>
      <w:r w:rsidRPr="00156FCC">
        <w:rPr>
          <w:vertAlign w:val="superscript"/>
        </w:rPr>
        <w:footnoteReference w:id="114"/>
      </w:r>
      <w:r w:rsidRPr="00156FCC">
        <w:t xml:space="preserve">  We estimate that, of this total, as many as 88,506 entities may qualify as “small governmental jurisdictions.”</w:t>
      </w:r>
      <w:r w:rsidRPr="00156FCC">
        <w:rPr>
          <w:vertAlign w:val="superscript"/>
        </w:rPr>
        <w:footnoteReference w:id="115"/>
      </w:r>
      <w:r w:rsidRPr="00156FCC">
        <w:t xml:space="preserve">  Thus, we estimate that most governmental jurisdictions are small.</w:t>
      </w:r>
    </w:p>
    <w:p w14:paraId="0EEF2D17" w14:textId="77777777" w:rsidR="003E73F4" w:rsidRPr="00156FCC" w:rsidRDefault="003E73F4" w:rsidP="005C205B">
      <w:pPr>
        <w:pStyle w:val="ParaNum"/>
        <w:numPr>
          <w:ilvl w:val="0"/>
          <w:numId w:val="4"/>
        </w:numPr>
        <w:tabs>
          <w:tab w:val="clear" w:pos="1080"/>
          <w:tab w:val="num" w:pos="1440"/>
        </w:tabs>
      </w:pPr>
      <w:r w:rsidRPr="00156FCC">
        <w:rPr>
          <w:i/>
        </w:rPr>
        <w:t>Television Broadcasting</w:t>
      </w:r>
      <w:r w:rsidRPr="00156FCC">
        <w:t xml:space="preserve">.  The SBA defines a television broadcasting station that has no more than </w:t>
      </w:r>
      <w:r w:rsidRPr="00CC7ABB">
        <w:t>$38.5 million</w:t>
      </w:r>
      <w:r w:rsidRPr="00156FCC">
        <w:t xml:space="preserve"> in annual receipts as a small business.</w:t>
      </w:r>
      <w:r w:rsidRPr="00156FCC">
        <w:rPr>
          <w:vertAlign w:val="superscript"/>
        </w:rPr>
        <w:footnoteReference w:id="116"/>
      </w:r>
      <w:r w:rsidRPr="00156FCC">
        <w:t xml:space="preserve">  Business concerns included in this industry are those primarily engaged in broadcasting images together with sound.</w:t>
      </w:r>
      <w:r w:rsidRPr="00156FCC">
        <w:rPr>
          <w:vertAlign w:val="superscript"/>
        </w:rPr>
        <w:footnoteReference w:id="117"/>
      </w:r>
      <w:r w:rsidRPr="00156FCC">
        <w:t xml:space="preserve">  These establishments operate television broadcasting studios and facilities for the programming and transmission of programs to the public.</w:t>
      </w:r>
      <w:r w:rsidRPr="00156FCC">
        <w:rPr>
          <w:vertAlign w:val="superscript"/>
        </w:rPr>
        <w:footnoteReference w:id="118"/>
      </w:r>
      <w:r w:rsidRPr="00156FCC">
        <w:t xml:space="preserve">  These establishments also produce or transmit visual programming to affiliated broadcast television stations, which in turn broadcast the programs to the public on a predetermined schedule.</w:t>
      </w:r>
      <w:r w:rsidRPr="00156FCC">
        <w:rPr>
          <w:vertAlign w:val="superscript"/>
        </w:rPr>
        <w:footnoteReference w:id="119"/>
      </w:r>
      <w:r w:rsidRPr="00156FCC">
        <w:t xml:space="preserve">  Programming may originate in the station’s own studio, from an affiliated network, or from an external source.</w:t>
      </w:r>
      <w:r w:rsidRPr="00156FCC">
        <w:rPr>
          <w:vertAlign w:val="superscript"/>
        </w:rPr>
        <w:footnoteReference w:id="120"/>
      </w:r>
      <w:r w:rsidRPr="00156FCC">
        <w:t xml:space="preserve"> </w:t>
      </w:r>
    </w:p>
    <w:p w14:paraId="73028397" w14:textId="77777777" w:rsidR="003E73F4" w:rsidRPr="00156FCC" w:rsidRDefault="003E73F4" w:rsidP="005C205B">
      <w:pPr>
        <w:pStyle w:val="ParaNum"/>
        <w:numPr>
          <w:ilvl w:val="0"/>
          <w:numId w:val="4"/>
        </w:numPr>
        <w:tabs>
          <w:tab w:val="clear" w:pos="1080"/>
          <w:tab w:val="num" w:pos="1440"/>
        </w:tabs>
      </w:pPr>
      <w:r w:rsidRPr="00156FCC">
        <w:t xml:space="preserve">According to Commission staff review of the BIA Financial Network, Inc. Media Access Pro Television Database as of March 31, 2013, about 90 percent of an estimated 1,385 commercial television stations in the United States have </w:t>
      </w:r>
      <w:r w:rsidRPr="00CC7ABB">
        <w:t>revenues of $38.5 million or less</w:t>
      </w:r>
      <w:r w:rsidRPr="00156FCC">
        <w:t>.  Based on this data and the associated size standard, we conclude that the majority of such establishments are small.  The Commission has estimated the number of licensed noncommercial educational (“NCE”) stations to be 396.</w:t>
      </w:r>
      <w:r w:rsidRPr="00156FCC">
        <w:rPr>
          <w:vertAlign w:val="superscript"/>
        </w:rPr>
        <w:footnoteReference w:id="121"/>
      </w:r>
      <w:r w:rsidRPr="00156FCC">
        <w:t xml:space="preserve">  We do not have revenue estimates for NCE stations.  These stations rely primarily on grants and contributions for their operations, so we will assume that all of these entities qualify as small businesses.  In addition, there are approximately 567 licensed Class A stations, 2,227 licensed low power television (“LPTV”) stations, and 4,518 licensed TV translators.</w:t>
      </w:r>
      <w:r w:rsidRPr="00156FCC">
        <w:rPr>
          <w:vertAlign w:val="superscript"/>
        </w:rPr>
        <w:footnoteReference w:id="122"/>
      </w:r>
      <w:r w:rsidRPr="00156FCC">
        <w:t xml:space="preserve">  Given the nature of these services, we will presume that all LPTV licensees qualify as small entities under the above SBA small business size standard.</w:t>
      </w:r>
    </w:p>
    <w:p w14:paraId="089E0FE3" w14:textId="77777777" w:rsidR="003E73F4" w:rsidRPr="00156FCC" w:rsidRDefault="003E73F4" w:rsidP="005C205B">
      <w:pPr>
        <w:pStyle w:val="ParaNum"/>
        <w:numPr>
          <w:ilvl w:val="0"/>
          <w:numId w:val="4"/>
        </w:numPr>
        <w:tabs>
          <w:tab w:val="clear" w:pos="1080"/>
          <w:tab w:val="num" w:pos="1440"/>
        </w:tabs>
      </w:pPr>
      <w:r w:rsidRPr="00156FCC">
        <w:t>We note that in assessing whether a business entity qualifies as small under the above definition, business control affiliations must be included.</w:t>
      </w:r>
      <w:r w:rsidRPr="00156FCC">
        <w:rPr>
          <w:vertAlign w:val="superscript"/>
        </w:rPr>
        <w:footnoteReference w:id="123"/>
      </w:r>
      <w:r w:rsidRPr="00156FCC">
        <w:t xml:space="preserve">  Our estimate, therefore, likely overstates the number of small entities affected by the proposed rules because the revenue figures on which this estimate is based do not include or aggregate revenues from affiliated companies.</w:t>
      </w:r>
    </w:p>
    <w:p w14:paraId="114F27EA" w14:textId="77777777" w:rsidR="003E73F4" w:rsidRDefault="003E73F4" w:rsidP="005C205B">
      <w:pPr>
        <w:pStyle w:val="ParaNum"/>
        <w:numPr>
          <w:ilvl w:val="0"/>
          <w:numId w:val="4"/>
        </w:numPr>
        <w:tabs>
          <w:tab w:val="clear" w:pos="1080"/>
          <w:tab w:val="num" w:pos="1440"/>
        </w:tabs>
      </w:pPr>
      <w:r w:rsidRPr="00156FCC">
        <w:t>In addition, an element of the definition of “small business” is that the entity not be dominant in its field of operation.  The Commission is unable at this time and in this context to define or quantify the criteria that would establish whether a specific television station is dominant in its market of operation.  Accordingly, the foregoing estimate of small businesses to which the rules may apply does not exclude any television stations from the definition of a small business on this basis and is therefore over-inclusive to that extent.  An additional element of the definition of “small business” is that the entity must be independently owned and operated.  It is difficult at times to assess these criteria in the context of media entities, and our estimates of small businesses to which they apply may be over-inclusive to this extent.</w:t>
      </w:r>
    </w:p>
    <w:p w14:paraId="24BAF93A" w14:textId="77777777" w:rsidR="003E73F4" w:rsidRPr="00156FCC" w:rsidRDefault="003E73F4" w:rsidP="005C205B">
      <w:pPr>
        <w:pStyle w:val="ParaNum"/>
        <w:numPr>
          <w:ilvl w:val="0"/>
          <w:numId w:val="4"/>
        </w:numPr>
        <w:tabs>
          <w:tab w:val="clear" w:pos="1080"/>
          <w:tab w:val="num" w:pos="1440"/>
        </w:tabs>
      </w:pPr>
      <w:r w:rsidRPr="00156FCC">
        <w:rPr>
          <w:i/>
        </w:rPr>
        <w:t>Radio Stations</w:t>
      </w:r>
      <w:r w:rsidRPr="00156FCC">
        <w:t>.  This Economic Census category comprises establishments primarily engaged in broadcasting aural programs by radio to the public.  Programming may originate in the station’s own studio, from an affiliated network, or from an external source.</w:t>
      </w:r>
      <w:r w:rsidRPr="00156FCC">
        <w:rPr>
          <w:vertAlign w:val="superscript"/>
        </w:rPr>
        <w:footnoteReference w:id="124"/>
      </w:r>
      <w:r w:rsidRPr="00156FCC">
        <w:t xml:space="preserve">  The SBA defines a radio broadcasting entity that </w:t>
      </w:r>
      <w:r w:rsidRPr="00CC7ABB">
        <w:t>has $38.5 million or less in annual receipts as a small business.</w:t>
      </w:r>
      <w:r w:rsidRPr="00CC7ABB">
        <w:rPr>
          <w:vertAlign w:val="superscript"/>
        </w:rPr>
        <w:footnoteReference w:id="125"/>
      </w:r>
      <w:r w:rsidRPr="00CC7ABB">
        <w:t xml:space="preserve">  According to Commission staff review of the BIA Kelsey Inc. Media Access Radio Analyzer Database as of June 5, 2013, about 90 percent of the 11,340 of commercial radio stations in the United States have revenues of $38.5 million or less.  Therefore, the majority of such entities are small.  The Commission has estimated the</w:t>
      </w:r>
      <w:r w:rsidRPr="00156FCC">
        <w:t xml:space="preserve"> number of licensed noncommercial radio stations to be 3,917.</w:t>
      </w:r>
      <w:r w:rsidRPr="00156FCC">
        <w:rPr>
          <w:vertAlign w:val="superscript"/>
        </w:rPr>
        <w:footnoteReference w:id="126"/>
      </w:r>
      <w:r w:rsidRPr="00156FCC">
        <w:t xml:space="preserve">  We do not have revenue data or revenue estimates for these stations.  These stations rely primarily on grants and contributions for their operations, so we will assume that all of these entities qualify as small businesses.  We note that in assessing whether a business entity qualifies as small under the above definition, business control affiliations must be included.</w:t>
      </w:r>
      <w:r w:rsidRPr="00156FCC">
        <w:rPr>
          <w:vertAlign w:val="superscript"/>
        </w:rPr>
        <w:footnoteReference w:id="127"/>
      </w:r>
      <w:r w:rsidRPr="00156FCC">
        <w:t xml:space="preserve">  In addition, to be determined to be a “small business,” the entity may not be dominant in its field of operation.</w:t>
      </w:r>
      <w:r w:rsidRPr="00156FCC">
        <w:rPr>
          <w:vertAlign w:val="superscript"/>
        </w:rPr>
        <w:footnoteReference w:id="128"/>
      </w:r>
      <w:r w:rsidRPr="00156FCC">
        <w:t xml:space="preserve">  We note that it is difficult at times to assess these criteria in the context of media entities, and our estimate of small businesses may therefore be over-inclusive.</w:t>
      </w:r>
    </w:p>
    <w:p w14:paraId="60A19F61" w14:textId="77777777" w:rsidR="003E73F4" w:rsidRDefault="003E73F4" w:rsidP="005C205B">
      <w:pPr>
        <w:pStyle w:val="ParaNum"/>
        <w:numPr>
          <w:ilvl w:val="0"/>
          <w:numId w:val="4"/>
        </w:numPr>
        <w:tabs>
          <w:tab w:val="clear" w:pos="1080"/>
          <w:tab w:val="num" w:pos="1440"/>
        </w:tabs>
      </w:pPr>
      <w:r w:rsidRPr="00156FCC">
        <w:t>The same SBA definition that applies to radio broadcast licensees would apply to low power FM (“LPFM”) stations.  The SBA defines a radio broadcast station as a small business if such station has no more than $3</w:t>
      </w:r>
      <w:r>
        <w:t>8</w:t>
      </w:r>
      <w:r w:rsidRPr="00156FCC">
        <w:t>.5 million in annual receipts.   Currently, there are approximately 864 licensed LPFM stations.   Given the nature of these services, we will presume that all of these licensees qualify as small under the SBA definition.</w:t>
      </w:r>
    </w:p>
    <w:p w14:paraId="336C3058" w14:textId="77777777" w:rsidR="003E73F4" w:rsidRPr="00CD56DB" w:rsidRDefault="003E73F4" w:rsidP="005C205B">
      <w:pPr>
        <w:pStyle w:val="ParaNum"/>
        <w:numPr>
          <w:ilvl w:val="0"/>
          <w:numId w:val="4"/>
        </w:numPr>
        <w:tabs>
          <w:tab w:val="clear" w:pos="1080"/>
          <w:tab w:val="num" w:pos="1440"/>
        </w:tabs>
      </w:pPr>
      <w:r w:rsidRPr="002942A3">
        <w:rPr>
          <w:i/>
        </w:rPr>
        <w:t>Wired Telecommunications Carriers</w:t>
      </w:r>
      <w:r w:rsidRPr="002942A3">
        <w:t>.</w:t>
      </w:r>
      <w:r w:rsidRPr="00CD56DB">
        <w:t xml:space="preserve">  This </w:t>
      </w:r>
      <w:r w:rsidRPr="00CD56DB">
        <w:rPr>
          <w:lang w:val="en"/>
        </w:rPr>
        <w:t xml:space="preserve">industry comprises establishments </w:t>
      </w:r>
      <w:r>
        <w:rPr>
          <w:lang w:val="en"/>
        </w:rPr>
        <w:t>“</w:t>
      </w:r>
      <w:r w:rsidRPr="00CD56DB">
        <w:rPr>
          <w:lang w:val="en"/>
        </w:rPr>
        <w:t>primarily engaged in operating and/or providing access to transmission facilities and infrastructure that they own and/or lease for the transmission of voice, data, text, sound, and video using wired telecommunications networks.</w:t>
      </w:r>
      <w:r>
        <w:rPr>
          <w:lang w:val="en"/>
        </w:rPr>
        <w:t>”</w:t>
      </w:r>
      <w:r>
        <w:rPr>
          <w:rStyle w:val="FootnoteReference"/>
          <w:lang w:val="en"/>
        </w:rPr>
        <w:footnoteReference w:id="129"/>
      </w:r>
      <w:r w:rsidRPr="00CD56DB">
        <w:rPr>
          <w:lang w:val="en"/>
        </w:rPr>
        <w:t xml:space="preserve">  Transmission facilities </w:t>
      </w:r>
      <w:r>
        <w:rPr>
          <w:lang w:val="en"/>
        </w:rPr>
        <w:t>“</w:t>
      </w:r>
      <w:r w:rsidRPr="00CD56DB">
        <w:rPr>
          <w:lang w:val="en"/>
        </w:rPr>
        <w:t>may be based on a single technology or a combination of technologies.</w:t>
      </w:r>
      <w:r>
        <w:rPr>
          <w:lang w:val="en"/>
        </w:rPr>
        <w:t>”</w:t>
      </w:r>
      <w:r>
        <w:rPr>
          <w:rStyle w:val="FootnoteReference"/>
          <w:lang w:val="en"/>
        </w:rPr>
        <w:footnoteReference w:id="130"/>
      </w:r>
      <w:r w:rsidRPr="00CD56DB">
        <w:rPr>
          <w:lang w:val="en"/>
        </w:rPr>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lang w:val="en"/>
        </w:rPr>
        <w:footnoteReference w:id="131"/>
      </w:r>
      <w:r w:rsidRPr="00CD56DB">
        <w:rPr>
          <w:lang w:val="en"/>
        </w:rPr>
        <w:t xml:space="preserve">  By exception, </w:t>
      </w:r>
      <w:r>
        <w:rPr>
          <w:lang w:val="en"/>
        </w:rPr>
        <w:t>“</w:t>
      </w:r>
      <w:r w:rsidRPr="00CD56DB">
        <w:rPr>
          <w:lang w:val="en"/>
        </w:rPr>
        <w:t>establishments providing satellite television distribution services using facilities and infrastructure that they operate are included in this industry.”</w:t>
      </w:r>
      <w:r w:rsidRPr="00CD56DB">
        <w:rPr>
          <w:rStyle w:val="FootnoteReference"/>
          <w:lang w:val="en"/>
        </w:rPr>
        <w:footnoteReference w:id="132"/>
      </w:r>
      <w:r w:rsidRPr="00CD56DB">
        <w:rPr>
          <w:lang w:val="en"/>
        </w:rPr>
        <w:t xml:space="preserve">  </w:t>
      </w:r>
      <w:r w:rsidRPr="00CD56DB">
        <w:t>In this category, the SBA deems a wired telecommunications carrier to be small if it has 1,500 or fewer employees.</w:t>
      </w:r>
      <w:r w:rsidRPr="00CD56DB">
        <w:rPr>
          <w:rStyle w:val="FootnoteReference"/>
        </w:rPr>
        <w:footnoteReference w:id="133"/>
      </w:r>
      <w:r w:rsidRPr="00CD56DB">
        <w:t xml:space="preserve">  Census data for 2007 shows 3,188 firms in this category.</w:t>
      </w:r>
      <w:r>
        <w:rPr>
          <w:rStyle w:val="FootnoteReference"/>
        </w:rPr>
        <w:footnoteReference w:id="134"/>
      </w:r>
      <w:r w:rsidRPr="00CD56DB">
        <w:t xml:space="preserve"> </w:t>
      </w:r>
      <w:r>
        <w:t xml:space="preserve"> </w:t>
      </w:r>
      <w:r w:rsidRPr="00CD56DB">
        <w:t>Of these, 3,144 had fewer than 1,000 employees.</w:t>
      </w:r>
      <w:r>
        <w:rPr>
          <w:rStyle w:val="FootnoteReference"/>
        </w:rPr>
        <w:footnoteReference w:id="135"/>
      </w:r>
      <w:r w:rsidRPr="00CD56DB">
        <w:t xml:space="preserve">  On this basis, the Commission estimates that a substantial majority of the providers of wired telecommunications carriers are small.</w:t>
      </w:r>
      <w:r w:rsidRPr="00CD56DB">
        <w:rPr>
          <w:vertAlign w:val="superscript"/>
        </w:rPr>
        <w:footnoteReference w:id="136"/>
      </w:r>
    </w:p>
    <w:p w14:paraId="57053992" w14:textId="77777777" w:rsidR="003E73F4" w:rsidRPr="00156FCC" w:rsidRDefault="003E73F4" w:rsidP="005C205B">
      <w:pPr>
        <w:pStyle w:val="ParaNum"/>
        <w:numPr>
          <w:ilvl w:val="0"/>
          <w:numId w:val="4"/>
        </w:numPr>
        <w:tabs>
          <w:tab w:val="clear" w:pos="1080"/>
          <w:tab w:val="num" w:pos="1440"/>
        </w:tabs>
      </w:pPr>
      <w:r w:rsidRPr="00156FCC">
        <w:rPr>
          <w:i/>
        </w:rPr>
        <w:t>Cable Television Distribution Services.</w:t>
      </w:r>
      <w:r w:rsidRPr="00156FCC">
        <w:t xml:space="preserve">  Since 2007, these services have been defined within the broad economic census category of Wired Telecommunications Carriers, which was developed for small wireline businesses.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137"/>
      </w:r>
      <w:r w:rsidRPr="00156FCC">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156FCC">
        <w:rPr>
          <w:rStyle w:val="FootnoteReference"/>
        </w:rPr>
        <w:footnoteReference w:id="138"/>
      </w:r>
      <w:r w:rsidRPr="00156FCC">
        <w:t xml:space="preserve">  The SBA has developed a small business size standard for this category, which is:  all such businesses having 1,500 or fewer employees.</w:t>
      </w:r>
      <w:r w:rsidRPr="00156FCC">
        <w:rPr>
          <w:rStyle w:val="FootnoteReference"/>
        </w:rPr>
        <w:footnoteReference w:id="139"/>
      </w:r>
      <w:r w:rsidRPr="00156FCC">
        <w:t xml:space="preserve">  </w:t>
      </w:r>
      <w:r w:rsidRPr="00CD56DB">
        <w:t>Census data for 2007 shows 3,188 firms in this category.</w:t>
      </w:r>
      <w:r>
        <w:rPr>
          <w:rStyle w:val="FootnoteReference"/>
        </w:rPr>
        <w:footnoteReference w:id="140"/>
      </w:r>
      <w:r w:rsidRPr="00CD56DB">
        <w:t xml:space="preserve"> </w:t>
      </w:r>
      <w:r>
        <w:t xml:space="preserve"> </w:t>
      </w:r>
      <w:r w:rsidRPr="00CD56DB">
        <w:t>Of these, 3,144 had fewer than 1,000 employees.</w:t>
      </w:r>
      <w:r>
        <w:rPr>
          <w:rStyle w:val="FootnoteReference"/>
        </w:rPr>
        <w:footnoteReference w:id="141"/>
      </w:r>
      <w:r w:rsidRPr="00CD56DB">
        <w:t xml:space="preserve">  </w:t>
      </w:r>
      <w:r w:rsidRPr="00156FCC">
        <w:t xml:space="preserve">Therefore, under this size standard, we estimate that the majority of </w:t>
      </w:r>
      <w:r>
        <w:t xml:space="preserve">these </w:t>
      </w:r>
      <w:r w:rsidRPr="00156FCC">
        <w:t>businesses can be considered small.</w:t>
      </w:r>
      <w:r>
        <w:t xml:space="preserve"> </w:t>
      </w:r>
    </w:p>
    <w:p w14:paraId="546F50C9" w14:textId="77777777" w:rsidR="003E73F4" w:rsidRDefault="003E73F4" w:rsidP="005C205B">
      <w:pPr>
        <w:pStyle w:val="ParaNum"/>
        <w:numPr>
          <w:ilvl w:val="0"/>
          <w:numId w:val="4"/>
        </w:numPr>
        <w:tabs>
          <w:tab w:val="clear" w:pos="1080"/>
          <w:tab w:val="num" w:pos="1440"/>
        </w:tabs>
      </w:pPr>
      <w:r w:rsidRPr="00CC7ABB">
        <w:rPr>
          <w:i/>
        </w:rPr>
        <w:t>Cable Companies and Systems</w:t>
      </w:r>
      <w:r>
        <w:rPr>
          <w:i/>
        </w:rPr>
        <w:t xml:space="preserve"> (Rate Regulation)</w:t>
      </w:r>
      <w:r w:rsidRPr="00156FCC">
        <w:t xml:space="preserve">.  The </w:t>
      </w:r>
      <w:r w:rsidRPr="00551D12">
        <w:t xml:space="preserve">Commission has developed its own small business size standards for the purpose of cable rate regulation. </w:t>
      </w:r>
      <w:r>
        <w:t xml:space="preserve"> </w:t>
      </w:r>
      <w:r w:rsidRPr="00551D12">
        <w:t>Under the Commission</w:t>
      </w:r>
      <w:r>
        <w:t>’</w:t>
      </w:r>
      <w:r w:rsidRPr="00551D12">
        <w:t>s rules, a “small cable company” is one serving 400,000 or fewer subscribers nationwide.</w:t>
      </w:r>
      <w:r w:rsidRPr="00551D12">
        <w:rPr>
          <w:rStyle w:val="FootnoteReference"/>
        </w:rPr>
        <w:footnoteReference w:id="142"/>
      </w:r>
      <w:r w:rsidRPr="00551D12">
        <w:t xml:space="preserve"> </w:t>
      </w:r>
      <w:r>
        <w:t xml:space="preserve"> </w:t>
      </w:r>
      <w:r w:rsidRPr="00551D12">
        <w:t>Industry data indicate that there are currently 4,600 active cable systems in the United States.</w:t>
      </w:r>
      <w:r w:rsidRPr="00551D12">
        <w:rPr>
          <w:rStyle w:val="FootnoteReference"/>
        </w:rPr>
        <w:footnoteReference w:id="143"/>
      </w:r>
      <w:r w:rsidRPr="00551D12">
        <w:t xml:space="preserve">  Of this total, all but nine cable operators nationwide are small under the 400,000-subscriber size standard.</w:t>
      </w:r>
      <w:r w:rsidRPr="00551D12">
        <w:rPr>
          <w:rStyle w:val="FootnoteReference"/>
        </w:rPr>
        <w:footnoteReference w:id="144"/>
      </w:r>
      <w:r w:rsidRPr="00551D12">
        <w:t xml:space="preserve">  In addition, under the Commission</w:t>
      </w:r>
      <w:r>
        <w:t>’</w:t>
      </w:r>
      <w:r w:rsidRPr="00551D12">
        <w:t>s rate regulation rules, a “small system” is a cable system serving 15,000 or fewer subscribers.</w:t>
      </w:r>
      <w:r w:rsidRPr="00551D12">
        <w:rPr>
          <w:rStyle w:val="FootnoteReference"/>
        </w:rPr>
        <w:footnoteReference w:id="145"/>
      </w:r>
      <w:r w:rsidRPr="00551D12">
        <w:t xml:space="preserve">  Current Commission records show 4,600 cable systems nationwide.</w:t>
      </w:r>
      <w:r w:rsidRPr="00551D12">
        <w:rPr>
          <w:rStyle w:val="FootnoteReference"/>
        </w:rPr>
        <w:footnoteReference w:id="146"/>
      </w:r>
      <w:r w:rsidRPr="00551D12">
        <w:t xml:space="preserve"> </w:t>
      </w:r>
      <w:r>
        <w:t xml:space="preserve"> </w:t>
      </w:r>
      <w:r w:rsidRPr="00551D12">
        <w:t>Of this total, 3,900 cable systems have fewer than 15,000 subscribers, and 700 systems have 15,000 or more subscribers, based on the same records.</w:t>
      </w:r>
      <w:r w:rsidRPr="00551D12">
        <w:rPr>
          <w:rStyle w:val="FootnoteReference"/>
        </w:rPr>
        <w:footnoteReference w:id="147"/>
      </w:r>
      <w:r w:rsidRPr="00551D12">
        <w:t xml:space="preserve"> </w:t>
      </w:r>
      <w:r>
        <w:t xml:space="preserve"> </w:t>
      </w:r>
      <w:r w:rsidRPr="00551D12">
        <w:t>Thus, under this standard as well, we estimate that most cable systems are small entities.</w:t>
      </w:r>
    </w:p>
    <w:p w14:paraId="5176685D" w14:textId="77777777" w:rsidR="003E73F4" w:rsidRDefault="003E73F4" w:rsidP="005C205B">
      <w:pPr>
        <w:pStyle w:val="ParaNum"/>
        <w:numPr>
          <w:ilvl w:val="0"/>
          <w:numId w:val="4"/>
        </w:numPr>
        <w:tabs>
          <w:tab w:val="clear" w:pos="1080"/>
          <w:tab w:val="num" w:pos="1440"/>
        </w:tabs>
      </w:pPr>
      <w:r w:rsidRPr="000F1D15">
        <w:rPr>
          <w:i/>
        </w:rPr>
        <w:t>Cable System Operators (Telecom Act Standard)</w:t>
      </w:r>
      <w:r w:rsidRPr="00156FCC">
        <w:t>.</w:t>
      </w:r>
      <w:r w:rsidRPr="000F1D15">
        <w:rPr>
          <w:b/>
        </w:rPr>
        <w:t xml:space="preserve">  </w:t>
      </w:r>
      <w:r w:rsidRPr="00156FCC">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156FCC">
        <w:rPr>
          <w:rStyle w:val="FootnoteReference"/>
        </w:rPr>
        <w:footnoteReference w:id="148"/>
      </w:r>
      <w:r w:rsidRPr="007F6264">
        <w:t xml:space="preserve">  </w:t>
      </w:r>
      <w:r w:rsidRPr="001D183F">
        <w:t>There are approximately 52,403,705 cable video s</w:t>
      </w:r>
      <w:r>
        <w:t xml:space="preserve">ubscribers in the United States </w:t>
      </w:r>
      <w:r w:rsidRPr="001D183F">
        <w:t>today.</w:t>
      </w:r>
      <w:r w:rsidRPr="000F1D15">
        <w:rPr>
          <w:rStyle w:val="FootnoteReference"/>
        </w:rPr>
        <w:footnoteReference w:id="149"/>
      </w:r>
      <w:r w:rsidRPr="001D183F">
        <w:t xml:space="preserve"> </w:t>
      </w:r>
      <w:r>
        <w:t xml:space="preserve"> </w:t>
      </w:r>
      <w:r w:rsidRPr="001D183F">
        <w:t>Accordingly, an operator serving fewer than 524,037 subscribers shall be deemed a small operator if its annual revenues, when combined with the total annual revenues of all its affiliates, do not exceed $250 million in the aggregate.</w:t>
      </w:r>
      <w:r w:rsidRPr="000F1D15">
        <w:rPr>
          <w:rStyle w:val="FootnoteReference"/>
        </w:rPr>
        <w:footnoteReference w:id="150"/>
      </w:r>
      <w:r w:rsidRPr="000F1D15">
        <w:rPr>
          <w:rStyle w:val="FootnoteReference"/>
        </w:rPr>
        <w:t xml:space="preserve"> </w:t>
      </w:r>
      <w:r w:rsidRPr="001D183F">
        <w:t xml:space="preserve"> Based on available data, we find that all but nine incumbent cable operators are small entities under this size standard.</w:t>
      </w:r>
      <w:r w:rsidRPr="000F1D15">
        <w:rPr>
          <w:rStyle w:val="FootnoteReference"/>
        </w:rPr>
        <w:footnoteReference w:id="151"/>
      </w:r>
      <w:r w:rsidRPr="000F1D15">
        <w:rPr>
          <w:rStyle w:val="FootnoteReference"/>
        </w:rPr>
        <w:t xml:space="preserve"> </w:t>
      </w:r>
      <w:r w:rsidRPr="001D183F">
        <w:t xml:space="preserve"> We note that the Commission neither requests nor collects information on whether cable system operators are affiliated with entities whose gross annual revenues exceed $250 million.</w:t>
      </w:r>
      <w:r w:rsidRPr="000F1D15">
        <w:rPr>
          <w:rStyle w:val="FootnoteReference"/>
        </w:rPr>
        <w:footnoteReference w:id="152"/>
      </w:r>
      <w:r w:rsidRPr="000F1D15">
        <w:rPr>
          <w:rStyle w:val="FootnoteReference"/>
        </w:rPr>
        <w:t xml:space="preserve"> </w:t>
      </w:r>
      <w:r w:rsidRPr="001D183F">
        <w:t xml:space="preserve"> Although it seems certain that some of these cable system operators are affiliated with entities whose gross annual revenues exceed $250</w:t>
      </w:r>
      <w:r>
        <w:t xml:space="preserve"> million</w:t>
      </w:r>
      <w:r w:rsidRPr="001D183F">
        <w:t xml:space="preserve"> we are unable at this time to estimate with greater precision the number of cable system operators that would qualify as small cable operators under the definition in the Communications Act.</w:t>
      </w:r>
    </w:p>
    <w:p w14:paraId="1E0026B3" w14:textId="77777777" w:rsidR="003E73F4" w:rsidRPr="00156FCC" w:rsidRDefault="003E73F4" w:rsidP="005C205B">
      <w:pPr>
        <w:pStyle w:val="ParaNum"/>
        <w:numPr>
          <w:ilvl w:val="0"/>
          <w:numId w:val="4"/>
        </w:numPr>
        <w:tabs>
          <w:tab w:val="clear" w:pos="1080"/>
          <w:tab w:val="num" w:pos="1440"/>
        </w:tabs>
      </w:pPr>
      <w:r w:rsidRPr="00156FCC">
        <w:rPr>
          <w:i/>
        </w:rPr>
        <w:t>Broadband Radio Service and Educational Broadband Service.</w:t>
      </w:r>
      <w:r w:rsidRPr="00156FCC">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156FCC">
        <w:rPr>
          <w:rStyle w:val="FootnoteReference"/>
        </w:rPr>
        <w:footnoteReference w:id="153"/>
      </w:r>
      <w:r w:rsidRPr="00156FCC">
        <w:t xml:space="preserve">  In connection with the 1996 BRS auction, the Commission established a “small business” as an entity that had annual average gross revenues of no more than $40 million in the previous three years.</w:t>
      </w:r>
      <w:r w:rsidRPr="00156FCC">
        <w:rPr>
          <w:rStyle w:val="FootnoteReference"/>
        </w:rPr>
        <w:footnoteReference w:id="154"/>
      </w:r>
      <w:r w:rsidRPr="00156FCC">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156FCC">
        <w:rPr>
          <w:rStyle w:val="FootnoteReference"/>
        </w:rPr>
        <w:footnoteReference w:id="155"/>
      </w:r>
      <w:r w:rsidRPr="00156FCC">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which resulted in the licensing of 78 authorizations in the BRS areas.</w:t>
      </w:r>
      <w:r w:rsidRPr="00156FCC">
        <w:rPr>
          <w:rStyle w:val="FootnoteReference"/>
        </w:rPr>
        <w:footnoteReference w:id="156"/>
      </w:r>
      <w:r w:rsidRPr="00156FCC">
        <w:t xml:space="preserve">  The Commission offered three levels of bidding credits:  (i)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sidRPr="00156FCC">
        <w:rPr>
          <w:rStyle w:val="FootnoteReference"/>
        </w:rPr>
        <w:footnoteReference w:id="157"/>
      </w:r>
      <w:r w:rsidRPr="00156FCC">
        <w:t xml:space="preserve">  Auction 86 concluded in 2009 with the sale of 61 licenses.</w:t>
      </w:r>
      <w:r w:rsidRPr="00156FCC">
        <w:rPr>
          <w:rStyle w:val="FootnoteReference"/>
        </w:rPr>
        <w:footnoteReference w:id="158"/>
      </w:r>
      <w:r w:rsidRPr="00156FCC">
        <w:t xml:space="preserve">  Of the ten winning bidders, two bidders that claimed small business status won four licenses; one bidder that claimed very small business status won three licenses; and two bidders that claimed entrepreneur status won six licenses.</w:t>
      </w:r>
    </w:p>
    <w:p w14:paraId="7DE81629" w14:textId="77777777" w:rsidR="003E73F4" w:rsidRPr="007F6264" w:rsidRDefault="003E73F4" w:rsidP="005C205B">
      <w:pPr>
        <w:pStyle w:val="ParaNum"/>
        <w:numPr>
          <w:ilvl w:val="0"/>
          <w:numId w:val="4"/>
        </w:numPr>
        <w:tabs>
          <w:tab w:val="clear" w:pos="1080"/>
          <w:tab w:val="num" w:pos="1440"/>
        </w:tabs>
      </w:pPr>
      <w:r w:rsidRPr="007F6264">
        <w:t>In addition, the SBA’s placement of Cable Television Distribution Services in the category of Wired Telecommunications Carriers is applicable to cable-based Educati</w:t>
      </w:r>
      <w:r w:rsidRPr="00156FCC">
        <w:t>onal Broadcasting Services.  Since 2007, these services have been defined within the broad economic census category of Wired Telecommunications Carriers, which was developed for small wireline businesses.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159"/>
      </w:r>
      <w:r w:rsidRPr="00156FCC">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156FCC">
        <w:rPr>
          <w:rStyle w:val="FootnoteReference"/>
        </w:rPr>
        <w:footnoteReference w:id="160"/>
      </w:r>
      <w:r w:rsidRPr="00156FCC">
        <w:t xml:space="preserve">  The SBA has developed a small business size standard for this category, which is:  all such businesses having 1,500 or fewer employees.</w:t>
      </w:r>
      <w:r w:rsidRPr="00156FCC">
        <w:rPr>
          <w:rStyle w:val="FootnoteReference"/>
        </w:rPr>
        <w:footnoteReference w:id="161"/>
      </w:r>
      <w:r w:rsidRPr="00156FCC">
        <w:t xml:space="preserve">  </w:t>
      </w:r>
      <w:r w:rsidRPr="00CD56DB">
        <w:t>Census data for 2007 shows 3,188 firms in this category.</w:t>
      </w:r>
      <w:r>
        <w:rPr>
          <w:rStyle w:val="FootnoteReference"/>
        </w:rPr>
        <w:footnoteReference w:id="162"/>
      </w:r>
      <w:r w:rsidRPr="00CD56DB">
        <w:t xml:space="preserve"> </w:t>
      </w:r>
      <w:r>
        <w:t xml:space="preserve"> </w:t>
      </w:r>
      <w:r w:rsidRPr="00CD56DB">
        <w:t>Of these, 3,144 had fewer than 1,000 employees.</w:t>
      </w:r>
      <w:r>
        <w:rPr>
          <w:rStyle w:val="FootnoteReference"/>
        </w:rPr>
        <w:footnoteReference w:id="163"/>
      </w:r>
      <w:r w:rsidRPr="00CD56DB">
        <w:t xml:space="preserve">  </w:t>
      </w:r>
      <w:r w:rsidRPr="00156FCC">
        <w:t xml:space="preserve">Therefore, under this size standard, we estimate that the majority of </w:t>
      </w:r>
      <w:r>
        <w:t xml:space="preserve">these </w:t>
      </w:r>
      <w:r w:rsidRPr="00156FCC">
        <w:t>businesses can be considered small.</w:t>
      </w:r>
      <w:r>
        <w:t xml:space="preserve">  </w:t>
      </w:r>
      <w:r w:rsidRPr="007F6264">
        <w:t>In addition to Census data, the Commission’s internal records indicate that as of September 2014, there are 2,207 active EBS licenses.</w:t>
      </w:r>
      <w:r w:rsidRPr="00156FCC">
        <w:rPr>
          <w:rStyle w:val="FootnoteReference"/>
        </w:rPr>
        <w:footnoteReference w:id="164"/>
      </w:r>
      <w:r w:rsidRPr="007F6264">
        <w:t xml:space="preserve">  T</w:t>
      </w:r>
      <w:r w:rsidRPr="00156FCC">
        <w:t>he Commission estimates that of these 2,207 licenses, the majority are held by non-profit educational institutions and school districts, which are by statute defined as small businesses.</w:t>
      </w:r>
      <w:r w:rsidRPr="00156FCC">
        <w:rPr>
          <w:rStyle w:val="FootnoteReference"/>
        </w:rPr>
        <w:footnoteReference w:id="165"/>
      </w:r>
      <w:r>
        <w:t xml:space="preserve"> </w:t>
      </w:r>
    </w:p>
    <w:p w14:paraId="4DEA959B" w14:textId="77777777" w:rsidR="003E73F4" w:rsidRDefault="003E73F4" w:rsidP="005C205B">
      <w:pPr>
        <w:pStyle w:val="ParaNum"/>
        <w:numPr>
          <w:ilvl w:val="0"/>
          <w:numId w:val="4"/>
        </w:numPr>
        <w:tabs>
          <w:tab w:val="clear" w:pos="1080"/>
          <w:tab w:val="num" w:pos="1440"/>
        </w:tabs>
      </w:pPr>
      <w:r w:rsidRPr="00156FCC">
        <w:rPr>
          <w:i/>
        </w:rPr>
        <w:t>Wireless Telecommunications Carriers (except satellite).</w:t>
      </w:r>
      <w:r w:rsidRPr="00156FCC">
        <w:t xml:space="preserve">  This </w:t>
      </w:r>
      <w:r w:rsidRPr="0037463D">
        <w:t>industry comprises establishments engaged in operating and maintaining switching and transmission facilities to provide communications via the airwaves.</w:t>
      </w:r>
      <w:r>
        <w:rPr>
          <w:rStyle w:val="FootnoteReference"/>
        </w:rPr>
        <w:footnoteReference w:id="166"/>
      </w:r>
      <w:r w:rsidRPr="0037463D">
        <w:t xml:space="preserve">  Establishments in this industry have spectrum licenses and provide services using that spectrum, such as cellular phone services, paging services, wireless Internet access, and wireless video services.</w:t>
      </w:r>
      <w:r>
        <w:rPr>
          <w:rStyle w:val="FootnoteReference"/>
        </w:rPr>
        <w:footnoteReference w:id="167"/>
      </w:r>
      <w:r>
        <w:t xml:space="preserve">  </w:t>
      </w:r>
      <w:r w:rsidRPr="0037463D">
        <w:t xml:space="preserve">The appropriate size standard under SBA rules for the category </w:t>
      </w:r>
      <w:r>
        <w:t>“</w:t>
      </w:r>
      <w:r w:rsidRPr="0037463D">
        <w:t>Wireless Telecommunications Carriers (except satellite)</w:t>
      </w:r>
      <w:r>
        <w:t>”</w:t>
      </w:r>
      <w:r w:rsidRPr="0037463D">
        <w:t xml:space="preserve"> is that a business is small if it has 1,500 or fewer employees.</w:t>
      </w:r>
      <w:r>
        <w:rPr>
          <w:rStyle w:val="FootnoteReference"/>
        </w:rPr>
        <w:footnoteReference w:id="168"/>
      </w:r>
      <w:r w:rsidRPr="0037463D">
        <w:t xml:space="preserve">  Census data for 2007 show that there were 1,383 firms that operated for the entire year.</w:t>
      </w:r>
      <w:r>
        <w:rPr>
          <w:rStyle w:val="FootnoteReference"/>
        </w:rPr>
        <w:footnoteReference w:id="169"/>
      </w:r>
      <w:r>
        <w:t xml:space="preserve">  </w:t>
      </w:r>
      <w:r w:rsidRPr="0037463D">
        <w:t>Of this total, 1,368 firms had employment of fewer than 1000 employees.</w:t>
      </w:r>
      <w:r>
        <w:rPr>
          <w:rStyle w:val="FootnoteReference"/>
        </w:rPr>
        <w:footnoteReference w:id="170"/>
      </w:r>
      <w:r w:rsidRPr="0037463D">
        <w:t xml:space="preserve">  Thus under this category and the associated small business size standard, the Commission estimates that the majority of wireless telecommunications carriers (except satellite) are small.</w:t>
      </w:r>
      <w:r>
        <w:rPr>
          <w:rStyle w:val="FootnoteReference"/>
        </w:rPr>
        <w:footnoteReference w:id="171"/>
      </w:r>
    </w:p>
    <w:p w14:paraId="300868DE" w14:textId="77777777" w:rsidR="003E73F4" w:rsidRPr="00156FCC" w:rsidRDefault="003E73F4" w:rsidP="005C205B">
      <w:pPr>
        <w:pStyle w:val="ParaNum"/>
        <w:numPr>
          <w:ilvl w:val="0"/>
          <w:numId w:val="4"/>
        </w:numPr>
        <w:tabs>
          <w:tab w:val="clear" w:pos="1080"/>
          <w:tab w:val="num" w:pos="1440"/>
        </w:tabs>
      </w:pPr>
      <w:r w:rsidRPr="002E48EA">
        <w:rPr>
          <w:i/>
        </w:rPr>
        <w:t xml:space="preserve">Incumbent Local Exchange Carriers </w:t>
      </w:r>
      <w:r w:rsidRPr="00156FCC">
        <w:t>(</w:t>
      </w:r>
      <w:r w:rsidRPr="002E48EA">
        <w:rPr>
          <w:i/>
        </w:rPr>
        <w:t>Incumbent LECs</w:t>
      </w:r>
      <w:r w:rsidRPr="00156FCC">
        <w:t>).  Neither the Commission nor the SBA has developed a size standard for small businesses specifically applicable to incumbent local exchange services.  The closest applicable size standard under SBA rules is for Wired Telecommunications Carriers.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172"/>
      </w:r>
      <w:r w:rsidRPr="00156FCC">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156FCC">
        <w:rPr>
          <w:rStyle w:val="FootnoteReference"/>
        </w:rPr>
        <w:footnoteReference w:id="173"/>
      </w:r>
      <w:r w:rsidRPr="00156FCC">
        <w:t xml:space="preserve">  The SBA has developed a small business size standard for this category, which is:  all such businesses having 1,500 or fewer employees.</w:t>
      </w:r>
      <w:r w:rsidRPr="00156FCC">
        <w:rPr>
          <w:rStyle w:val="FootnoteReference"/>
        </w:rPr>
        <w:footnoteReference w:id="174"/>
      </w:r>
      <w:r w:rsidRPr="00156FCC">
        <w:t xml:space="preserve">  </w:t>
      </w:r>
      <w:r w:rsidRPr="00CD56DB">
        <w:t>Census data for 2007 shows 3,188 firms in this category.</w:t>
      </w:r>
      <w:r>
        <w:rPr>
          <w:rStyle w:val="FootnoteReference"/>
        </w:rPr>
        <w:footnoteReference w:id="175"/>
      </w:r>
      <w:r w:rsidRPr="00CD56DB">
        <w:t xml:space="preserve"> </w:t>
      </w:r>
      <w:r>
        <w:t xml:space="preserve"> </w:t>
      </w:r>
      <w:r w:rsidRPr="00CD56DB">
        <w:t>Of these, 3,144 had fewer than 1,000 employees.</w:t>
      </w:r>
      <w:r>
        <w:rPr>
          <w:rStyle w:val="FootnoteReference"/>
        </w:rPr>
        <w:footnoteReference w:id="176"/>
      </w:r>
      <w:r w:rsidRPr="00CD56DB">
        <w:t xml:space="preserve">  </w:t>
      </w:r>
      <w:r w:rsidRPr="00156FCC">
        <w:t>Consequently, the Commission estimates that most providers of incumbent local exchange service are small businesses.</w:t>
      </w:r>
      <w:r>
        <w:t xml:space="preserve"> </w:t>
      </w:r>
    </w:p>
    <w:p w14:paraId="740ABA8F" w14:textId="77777777" w:rsidR="003E73F4" w:rsidRPr="00156FCC" w:rsidRDefault="003E73F4" w:rsidP="005C205B">
      <w:pPr>
        <w:pStyle w:val="ParaNum"/>
        <w:numPr>
          <w:ilvl w:val="0"/>
          <w:numId w:val="4"/>
        </w:numPr>
        <w:tabs>
          <w:tab w:val="clear" w:pos="1080"/>
          <w:tab w:val="num" w:pos="1440"/>
        </w:tabs>
      </w:pPr>
      <w:r>
        <w:t>W</w:t>
      </w:r>
      <w:r w:rsidRPr="00156FCC">
        <w:t xml:space="preserve">e have included small incumbent LECs in this present RFA analysis.  As noted above, a “small business” under the RFA is one that, </w:t>
      </w:r>
      <w:r w:rsidRPr="00156FCC">
        <w:rPr>
          <w:i/>
          <w:iCs/>
        </w:rPr>
        <w:t>inter alia</w:t>
      </w:r>
      <w:r w:rsidRPr="00156FCC">
        <w:t>, meets the pertinent small business size standard (</w:t>
      </w:r>
      <w:r w:rsidRPr="00EC7ACD">
        <w:rPr>
          <w:i/>
          <w:iCs/>
        </w:rPr>
        <w:t>e.g.</w:t>
      </w:r>
      <w:r w:rsidRPr="00156FCC">
        <w:t>, a telephone communications business having 1,500 or fewer employees), and “is not dominant in its field of operation.”</w:t>
      </w:r>
      <w:r w:rsidRPr="00156FCC">
        <w:rPr>
          <w:vertAlign w:val="superscript"/>
        </w:rPr>
        <w:footnoteReference w:id="177"/>
      </w:r>
      <w:r w:rsidRPr="00156FCC">
        <w:t xml:space="preserve">  The SBA’s Office of Advocacy contends that, for RFA purposes, small incumbent LECs are not dominant in their field of operation because any such dominance is not “national” in scope.</w:t>
      </w:r>
      <w:r w:rsidRPr="00156FCC">
        <w:rPr>
          <w:vertAlign w:val="superscript"/>
        </w:rPr>
        <w:footnoteReference w:id="178"/>
      </w:r>
      <w:r w:rsidRPr="00156FCC">
        <w:t xml:space="preserve">  We have therefore included small incumbent LECs in this RFA analysis, although we emphasize that this RFA action has no effect on Commission analyses and determinations in other, non-RFA contexts.</w:t>
      </w:r>
    </w:p>
    <w:p w14:paraId="6929C3C4" w14:textId="77777777" w:rsidR="003E73F4" w:rsidRDefault="003E73F4" w:rsidP="005C205B">
      <w:pPr>
        <w:pStyle w:val="ParaNum"/>
        <w:numPr>
          <w:ilvl w:val="0"/>
          <w:numId w:val="4"/>
        </w:numPr>
        <w:tabs>
          <w:tab w:val="clear" w:pos="1080"/>
          <w:tab w:val="num" w:pos="1440"/>
        </w:tabs>
      </w:pPr>
      <w:r w:rsidRPr="00156FCC">
        <w:rPr>
          <w:i/>
        </w:rPr>
        <w:t>Competitive Local Exchange Carriers (Competitive LECs), Competitive Access Providers (CAPs), Shared-Tenant Service Providers, and Other Local Service Providers.</w:t>
      </w:r>
      <w:r w:rsidRPr="00156FCC">
        <w:t xml:space="preserve">  Neither the Commission nor the SBA has developed a small business size standard specifically for these service providers.  The appropriate size standard under SBA rules is for the category Wired Telecommunications Carriers.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179"/>
      </w:r>
      <w:r w:rsidRPr="00156FCC">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156FCC">
        <w:rPr>
          <w:rStyle w:val="FootnoteReference"/>
        </w:rPr>
        <w:footnoteReference w:id="180"/>
      </w:r>
      <w:r w:rsidRPr="00156FCC">
        <w:t xml:space="preserve">  The SBA has developed a small business size standard for this category, which is:  all such businesses having 1,500 or fewer employees.</w:t>
      </w:r>
      <w:r w:rsidRPr="00156FCC">
        <w:rPr>
          <w:rStyle w:val="FootnoteReference"/>
        </w:rPr>
        <w:footnoteReference w:id="181"/>
      </w:r>
      <w:r w:rsidRPr="00156FCC">
        <w:t xml:space="preserve">  </w:t>
      </w:r>
      <w:r w:rsidRPr="00CD56DB">
        <w:t>Census data for 2007 shows 3,188 firms in this category.</w:t>
      </w:r>
      <w:r>
        <w:rPr>
          <w:rStyle w:val="FootnoteReference"/>
        </w:rPr>
        <w:footnoteReference w:id="182"/>
      </w:r>
      <w:r w:rsidRPr="00CD56DB">
        <w:t xml:space="preserve"> </w:t>
      </w:r>
      <w:r>
        <w:t xml:space="preserve"> </w:t>
      </w:r>
      <w:r w:rsidRPr="00CD56DB">
        <w:t>Of these, 3,144 had fewer than 1,000 employees.</w:t>
      </w:r>
      <w:r>
        <w:rPr>
          <w:rStyle w:val="FootnoteReference"/>
        </w:rPr>
        <w:footnoteReference w:id="183"/>
      </w:r>
      <w:r w:rsidRPr="00CD56DB">
        <w:t xml:space="preserve">  </w:t>
      </w:r>
      <w:r w:rsidRPr="00156FCC">
        <w:t>In addition, 17 carriers have reported that they are Shared-Tenant Service Providers, and all 17 are estimated to have 1,500 or fewer employees.</w:t>
      </w:r>
      <w:r w:rsidRPr="00156FCC">
        <w:rPr>
          <w:rStyle w:val="FootnoteReference"/>
        </w:rPr>
        <w:footnoteReference w:id="184"/>
      </w:r>
      <w:r w:rsidRPr="00156FCC">
        <w:t xml:space="preserve">  In addition, 72 carriers have reported that they are Other Local Service Providers.</w:t>
      </w:r>
      <w:r w:rsidRPr="00156FCC">
        <w:rPr>
          <w:rStyle w:val="FootnoteReference"/>
        </w:rPr>
        <w:footnoteReference w:id="185"/>
      </w:r>
      <w:r w:rsidRPr="00156FCC">
        <w:t xml:space="preserve">  Of the 72, seventy have 1,500 or fewer employees and two have more than 1,500 employees.</w:t>
      </w:r>
      <w:r w:rsidRPr="00156FCC">
        <w:rPr>
          <w:rStyle w:val="FootnoteReference"/>
        </w:rPr>
        <w:footnoteReference w:id="186"/>
      </w:r>
      <w:r w:rsidRPr="00156FCC">
        <w:t xml:space="preserve">  Consequently, the Commission estimates that most providers of competitive local exchange service, competitive access providers, Shared-Tenant Service Providers, and Other Local Service Providers are small.</w:t>
      </w:r>
    </w:p>
    <w:p w14:paraId="7857C939" w14:textId="77777777" w:rsidR="003E73F4" w:rsidRDefault="003E73F4" w:rsidP="005C205B">
      <w:pPr>
        <w:pStyle w:val="ParaNum"/>
        <w:numPr>
          <w:ilvl w:val="0"/>
          <w:numId w:val="4"/>
        </w:numPr>
        <w:tabs>
          <w:tab w:val="clear" w:pos="1080"/>
          <w:tab w:val="num" w:pos="1440"/>
        </w:tabs>
      </w:pPr>
      <w:r w:rsidRPr="009C5C2A">
        <w:rPr>
          <w:i/>
        </w:rPr>
        <w:t>Satellite Telecommunications.</w:t>
      </w:r>
      <w:r>
        <w:t xml:space="preserve">  T</w:t>
      </w:r>
      <w:r w:rsidRPr="009C5C2A">
        <w:rPr>
          <w:szCs w:val="22"/>
        </w:rPr>
        <w: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Pr="00C904B9">
        <w:rPr>
          <w:rStyle w:val="FootnoteReference"/>
          <w:szCs w:val="22"/>
        </w:rPr>
        <w:footnoteReference w:id="187"/>
      </w:r>
      <w:r w:rsidRPr="009C5C2A">
        <w:rPr>
          <w:szCs w:val="22"/>
        </w:rPr>
        <w:t xml:space="preserve">  Th</w:t>
      </w:r>
      <w:r>
        <w:rPr>
          <w:szCs w:val="22"/>
        </w:rPr>
        <w:t>is</w:t>
      </w:r>
      <w:r w:rsidRPr="009C5C2A">
        <w:rPr>
          <w:szCs w:val="22"/>
        </w:rPr>
        <w:t xml:space="preserve"> category has a small business size standard of $32.5 million or less in average annual receipts, under SBA rules.</w:t>
      </w:r>
      <w:r w:rsidRPr="00C904B9">
        <w:rPr>
          <w:rStyle w:val="FootnoteReference"/>
          <w:szCs w:val="22"/>
        </w:rPr>
        <w:footnoteReference w:id="188"/>
      </w:r>
      <w:r w:rsidRPr="009C5C2A">
        <w:rPr>
          <w:szCs w:val="22"/>
        </w:rPr>
        <w:t xml:space="preserve">  For this category, Census Bureau data for 2007 show that there were a total of 512 firms that operated for the entire year.</w:t>
      </w:r>
      <w:r w:rsidRPr="00C904B9">
        <w:rPr>
          <w:rStyle w:val="FootnoteReference"/>
          <w:szCs w:val="22"/>
        </w:rPr>
        <w:footnoteReference w:id="189"/>
      </w:r>
      <w:r w:rsidRPr="009C5C2A">
        <w:rPr>
          <w:szCs w:val="22"/>
        </w:rPr>
        <w:t xml:space="preserve">  Of this total, 482 firms had annual receipts of less than $25 million.</w:t>
      </w:r>
      <w:r w:rsidRPr="00C904B9">
        <w:rPr>
          <w:rStyle w:val="FootnoteReference"/>
          <w:szCs w:val="22"/>
        </w:rPr>
        <w:footnoteReference w:id="190"/>
      </w:r>
      <w:r w:rsidRPr="009C5C2A">
        <w:rPr>
          <w:szCs w:val="22"/>
        </w:rPr>
        <w:t xml:space="preserve">  Consequently, we estimate that the majority of satellite telecommunications providers are small entities.</w:t>
      </w:r>
    </w:p>
    <w:p w14:paraId="3E9F5883" w14:textId="77777777" w:rsidR="003E73F4" w:rsidRDefault="003E73F4" w:rsidP="005C205B">
      <w:pPr>
        <w:pStyle w:val="ParaNum"/>
        <w:numPr>
          <w:ilvl w:val="0"/>
          <w:numId w:val="4"/>
        </w:numPr>
        <w:tabs>
          <w:tab w:val="clear" w:pos="1080"/>
          <w:tab w:val="num" w:pos="1440"/>
        </w:tabs>
      </w:pPr>
      <w:r w:rsidRPr="0037463D">
        <w:rPr>
          <w:i/>
        </w:rPr>
        <w:t>Direct Broadcast Satellite (“DBS”) Service</w:t>
      </w:r>
      <w:r w:rsidRPr="00156FCC">
        <w:t xml:space="preserve">.  DBS </w:t>
      </w:r>
      <w:r w:rsidRPr="000B2DD6">
        <w:t xml:space="preserve">is a nationally distributed subscription service that delivers video and audio programming via satellite to a small parabolic </w:t>
      </w:r>
      <w:r>
        <w:t>“</w:t>
      </w:r>
      <w:r w:rsidRPr="000B2DD6">
        <w:t>dish</w:t>
      </w:r>
      <w:r>
        <w:t>”</w:t>
      </w:r>
      <w:r w:rsidRPr="000B2DD6">
        <w:t xml:space="preserve"> antenna at the subscriber’s location.  DBS is now included in SBA’s economic census category </w:t>
      </w:r>
      <w:r>
        <w:t>“</w:t>
      </w:r>
      <w:r w:rsidRPr="000B2DD6">
        <w:t>Wired Telecommunications Carriers.</w:t>
      </w:r>
      <w:r>
        <w:t>”</w:t>
      </w:r>
      <w:r w:rsidRPr="000B2DD6">
        <w:t xml:space="preserve"> </w:t>
      </w:r>
      <w:r>
        <w:t xml:space="preserve"> </w:t>
      </w:r>
      <w:r w:rsidRPr="00156FCC">
        <w:t>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191"/>
      </w:r>
      <w:r w:rsidRPr="00156FCC">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156FCC">
        <w:rPr>
          <w:rStyle w:val="FootnoteReference"/>
        </w:rPr>
        <w:footnoteReference w:id="192"/>
      </w:r>
      <w:r w:rsidRPr="00156FCC">
        <w:t xml:space="preserve">  The SBA has developed a small business size standard for this category, which is:  all such businesses having 1,500 or fewer employees.</w:t>
      </w:r>
      <w:r w:rsidRPr="00156FCC">
        <w:rPr>
          <w:rStyle w:val="FootnoteReference"/>
        </w:rPr>
        <w:footnoteReference w:id="193"/>
      </w:r>
      <w:r w:rsidRPr="00156FCC">
        <w:t xml:space="preserve">  </w:t>
      </w:r>
      <w:r w:rsidRPr="00CD56DB">
        <w:t>Census data for 2007 shows 3,188 firms in this category.</w:t>
      </w:r>
      <w:r>
        <w:rPr>
          <w:rStyle w:val="FootnoteReference"/>
        </w:rPr>
        <w:footnoteReference w:id="194"/>
      </w:r>
      <w:r w:rsidRPr="00CD56DB">
        <w:t xml:space="preserve"> </w:t>
      </w:r>
      <w:r>
        <w:t xml:space="preserve"> </w:t>
      </w:r>
      <w:r w:rsidRPr="00CD56DB">
        <w:t>Of these, 3,144 had fewer than 1,000 employees.</w:t>
      </w:r>
      <w:r>
        <w:rPr>
          <w:rStyle w:val="FootnoteReference"/>
        </w:rPr>
        <w:footnoteReference w:id="195"/>
      </w:r>
      <w:r w:rsidRPr="00CD56DB">
        <w:t xml:space="preserve">  </w:t>
      </w:r>
      <w:r w:rsidRPr="000B2DD6">
        <w:t xml:space="preserve">Based on that data, we conclude that the majority of wireline firms are small under the applicable standard. </w:t>
      </w:r>
      <w:r>
        <w:t xml:space="preserve"> </w:t>
      </w:r>
      <w:r w:rsidRPr="000B2DD6">
        <w:t>However, based on more recent data developed internally by the C</w:t>
      </w:r>
      <w:r>
        <w:t>ommission</w:t>
      </w:r>
      <w:r w:rsidRPr="000B2DD6">
        <w:t>, currently only two entities provide DBS service, which requires a great deal of capital for operation: DIRECTV and DISH Network.</w:t>
      </w:r>
      <w:r w:rsidRPr="000B2DD6">
        <w:rPr>
          <w:rStyle w:val="FootnoteReference"/>
        </w:rPr>
        <w:footnoteReference w:id="196"/>
      </w:r>
      <w:r w:rsidRPr="000B2DD6">
        <w:t xml:space="preserve"> </w:t>
      </w:r>
      <w:r>
        <w:t xml:space="preserve"> </w:t>
      </w:r>
      <w:r w:rsidRPr="000B2DD6">
        <w:t>Accordingly, we must conclude that internally developed C</w:t>
      </w:r>
      <w:r>
        <w:t>ommission</w:t>
      </w:r>
      <w:r w:rsidRPr="000B2DD6">
        <w:t xml:space="preserve"> data are persuasive that in general DBS service is provided only by large firms.</w:t>
      </w:r>
    </w:p>
    <w:p w14:paraId="5FCBDF53" w14:textId="77777777" w:rsidR="003E73F4" w:rsidRDefault="003E73F4" w:rsidP="005C205B">
      <w:pPr>
        <w:pStyle w:val="ParaNum"/>
        <w:numPr>
          <w:ilvl w:val="0"/>
          <w:numId w:val="4"/>
        </w:numPr>
        <w:tabs>
          <w:tab w:val="clear" w:pos="1080"/>
          <w:tab w:val="num" w:pos="1440"/>
        </w:tabs>
      </w:pPr>
      <w:r w:rsidRPr="0037463D">
        <w:rPr>
          <w:i/>
        </w:rPr>
        <w:t>All Other Telecommunications</w:t>
      </w:r>
      <w:r>
        <w:t xml:space="preserve">. </w:t>
      </w:r>
      <w:r w:rsidRPr="0037463D">
        <w:t xml:space="preserve"> This U.S. industry comprises establishments primarily engaged in providing specialized telecommunications services, such as satellite tracking, communications telemetry, and radar station operation. </w:t>
      </w:r>
      <w:r>
        <w:t xml:space="preserve"> </w:t>
      </w:r>
      <w:r w:rsidRPr="0037463D">
        <w:t xml:space="preserve">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t xml:space="preserve"> </w:t>
      </w:r>
      <w:r w:rsidRPr="0037463D">
        <w:t>Establishments providing Internet services or voice over Internet protocol (VoIP) services via client-supplied telecommunications connections are also included in this industry.</w:t>
      </w:r>
      <w:r>
        <w:t xml:space="preserve">  </w:t>
      </w:r>
      <w:r w:rsidRPr="0037463D">
        <w:t xml:space="preserve">The SBA has developed a small business size standard for </w:t>
      </w:r>
      <w:r>
        <w:t>“</w:t>
      </w:r>
      <w:r w:rsidRPr="0037463D">
        <w:t>All Other Telecommunications,</w:t>
      </w:r>
      <w:r>
        <w:t>”</w:t>
      </w:r>
      <w:r w:rsidRPr="0037463D">
        <w:t xml:space="preserve"> which consists of all such firms with gross annual receipts of $32.5 million or less.</w:t>
      </w:r>
      <w:r>
        <w:rPr>
          <w:rStyle w:val="FootnoteReference"/>
        </w:rPr>
        <w:footnoteReference w:id="197"/>
      </w:r>
      <w:r>
        <w:t xml:space="preserve">  </w:t>
      </w:r>
      <w:r w:rsidRPr="0037463D">
        <w:t>For this category, census data for 2007 show that there were 2,383 firms that operated for the entire year.</w:t>
      </w:r>
      <w:r>
        <w:rPr>
          <w:rStyle w:val="FootnoteReference"/>
        </w:rPr>
        <w:footnoteReference w:id="198"/>
      </w:r>
      <w:r>
        <w:t xml:space="preserve">  </w:t>
      </w:r>
      <w:r w:rsidRPr="0037463D">
        <w:t>Of those firms, a total of 2,346 had gross annual receipts of less than $25 million.</w:t>
      </w:r>
      <w:r>
        <w:t xml:space="preserve">  </w:t>
      </w:r>
      <w:r w:rsidRPr="0037463D">
        <w:t xml:space="preserve">Thus, </w:t>
      </w:r>
      <w:r>
        <w:t>we estimate that the</w:t>
      </w:r>
      <w:r w:rsidRPr="0037463D">
        <w:t xml:space="preserve"> majority of All Other Telecommunications firms can be considered small.   </w:t>
      </w:r>
    </w:p>
    <w:p w14:paraId="2B6F6A51" w14:textId="77777777" w:rsidR="00274CCC" w:rsidRPr="008068A1" w:rsidRDefault="00274CCC" w:rsidP="00C61AF7">
      <w:pPr>
        <w:pStyle w:val="Heading2"/>
      </w:pPr>
      <w:bookmarkStart w:id="71" w:name="_Toc367458368"/>
      <w:bookmarkStart w:id="72" w:name="_Toc383514550"/>
      <w:bookmarkStart w:id="73" w:name="_Toc383514788"/>
      <w:bookmarkStart w:id="74" w:name="_Toc384814361"/>
      <w:bookmarkStart w:id="75" w:name="_Toc384814440"/>
      <w:bookmarkStart w:id="76" w:name="_Toc384814874"/>
      <w:bookmarkStart w:id="77" w:name="_Toc384817916"/>
      <w:bookmarkStart w:id="78" w:name="_Toc387054620"/>
      <w:bookmarkStart w:id="79" w:name="_Toc387154766"/>
      <w:bookmarkStart w:id="80" w:name="_Toc387155791"/>
      <w:bookmarkStart w:id="81" w:name="_Toc387222355"/>
      <w:bookmarkStart w:id="82" w:name="_Toc411452479"/>
      <w:bookmarkStart w:id="83" w:name="_Toc411452601"/>
      <w:bookmarkStart w:id="84" w:name="_Toc415747826"/>
      <w:r w:rsidRPr="008068A1">
        <w:t>Description of Projected Reporting, Recordkeeping, and Other Compliance Requirements</w:t>
      </w:r>
      <w:bookmarkEnd w:id="71"/>
      <w:bookmarkEnd w:id="72"/>
      <w:bookmarkEnd w:id="73"/>
      <w:r w:rsidRPr="008068A1">
        <w:t xml:space="preserve"> for Small Entities</w:t>
      </w:r>
      <w:bookmarkEnd w:id="74"/>
      <w:bookmarkEnd w:id="75"/>
      <w:bookmarkEnd w:id="76"/>
      <w:bookmarkEnd w:id="77"/>
      <w:bookmarkEnd w:id="78"/>
      <w:bookmarkEnd w:id="79"/>
      <w:bookmarkEnd w:id="80"/>
      <w:bookmarkEnd w:id="81"/>
      <w:bookmarkEnd w:id="82"/>
      <w:bookmarkEnd w:id="83"/>
      <w:bookmarkEnd w:id="84"/>
    </w:p>
    <w:p w14:paraId="6C4E6078" w14:textId="77777777" w:rsidR="00274CCC" w:rsidRPr="008068A1" w:rsidRDefault="00274CCC" w:rsidP="00274CCC">
      <w:pPr>
        <w:pStyle w:val="ParaNum"/>
        <w:rPr>
          <w:szCs w:val="22"/>
        </w:rPr>
      </w:pPr>
      <w:r w:rsidRPr="008068A1">
        <w:rPr>
          <w:szCs w:val="22"/>
        </w:rPr>
        <w:t>None.</w:t>
      </w:r>
    </w:p>
    <w:p w14:paraId="15D7BA88" w14:textId="77777777" w:rsidR="00274CCC" w:rsidRPr="008068A1" w:rsidRDefault="00274CCC" w:rsidP="00C61AF7">
      <w:pPr>
        <w:pStyle w:val="Heading2"/>
      </w:pPr>
      <w:bookmarkStart w:id="85" w:name="_Toc367458369"/>
      <w:bookmarkStart w:id="86" w:name="_Toc383514551"/>
      <w:bookmarkStart w:id="87" w:name="_Toc383514789"/>
      <w:bookmarkStart w:id="88" w:name="_Toc384817917"/>
      <w:bookmarkStart w:id="89" w:name="_Toc387054621"/>
      <w:bookmarkStart w:id="90" w:name="_Toc387154767"/>
      <w:bookmarkStart w:id="91" w:name="_Toc387155792"/>
      <w:bookmarkStart w:id="92" w:name="_Toc387222356"/>
      <w:bookmarkStart w:id="93" w:name="_Toc411452480"/>
      <w:bookmarkStart w:id="94" w:name="_Toc411452602"/>
      <w:bookmarkStart w:id="95" w:name="_Toc415747827"/>
      <w:bookmarkStart w:id="96" w:name="_Toc384814362"/>
      <w:bookmarkStart w:id="97" w:name="_Toc384814441"/>
      <w:bookmarkStart w:id="98" w:name="_Toc384814875"/>
      <w:r w:rsidRPr="008068A1">
        <w:t>Steps Taken to Minimize the Significant Economic Impact on Small Entities, and Significant Alternatives Considered</w:t>
      </w:r>
      <w:bookmarkEnd w:id="85"/>
      <w:bookmarkEnd w:id="86"/>
      <w:bookmarkEnd w:id="87"/>
      <w:bookmarkEnd w:id="88"/>
      <w:bookmarkEnd w:id="89"/>
      <w:bookmarkEnd w:id="90"/>
      <w:bookmarkEnd w:id="91"/>
      <w:bookmarkEnd w:id="92"/>
      <w:bookmarkEnd w:id="93"/>
      <w:bookmarkEnd w:id="94"/>
      <w:bookmarkEnd w:id="95"/>
      <w:r w:rsidRPr="008068A1">
        <w:rPr>
          <w:i/>
        </w:rPr>
        <w:t xml:space="preserve"> </w:t>
      </w:r>
      <w:bookmarkEnd w:id="96"/>
      <w:bookmarkEnd w:id="97"/>
      <w:bookmarkEnd w:id="98"/>
    </w:p>
    <w:p w14:paraId="101BAC48" w14:textId="77777777" w:rsidR="00274CCC" w:rsidRPr="008068A1" w:rsidRDefault="00274CCC" w:rsidP="00274CCC">
      <w:pPr>
        <w:pStyle w:val="ParaNum"/>
        <w:rPr>
          <w:szCs w:val="22"/>
        </w:rPr>
      </w:pPr>
      <w:r w:rsidRPr="008068A1">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sidRPr="008068A1">
        <w:rPr>
          <w:szCs w:val="22"/>
          <w:vertAlign w:val="superscript"/>
        </w:rPr>
        <w:footnoteReference w:id="199"/>
      </w:r>
    </w:p>
    <w:p w14:paraId="41B7C19E" w14:textId="77777777" w:rsidR="008C0B6A" w:rsidRDefault="008C0B6A" w:rsidP="008C0B6A">
      <w:pPr>
        <w:pStyle w:val="ParaNum"/>
        <w:widowControl/>
        <w:spacing w:line="259" w:lineRule="auto"/>
      </w:pPr>
      <w:r w:rsidRPr="008068A1">
        <w:t xml:space="preserve">The rule changes </w:t>
      </w:r>
      <w:r>
        <w:t xml:space="preserve">adopted in this Order </w:t>
      </w:r>
      <w:r w:rsidRPr="008068A1">
        <w:t>implement certain EAS warning codes and location code definitional changes that are unique, and implemented by small entity and larger-sized regulated entities on a voluntary basis.  Thus, the</w:t>
      </w:r>
      <w:r>
        <w:t xml:space="preserve"> Order </w:t>
      </w:r>
      <w:r w:rsidRPr="008068A1">
        <w:t xml:space="preserve">does not mandate burdens on regulated entities of any size.  Moreover, the </w:t>
      </w:r>
      <w:r>
        <w:t xml:space="preserve">record in this proceeding indicates that the </w:t>
      </w:r>
      <w:r w:rsidRPr="008068A1">
        <w:t xml:space="preserve">costs associated with voluntarily implementing the codes contained in the </w:t>
      </w:r>
      <w:r>
        <w:t xml:space="preserve">Order should be </w:t>
      </w:r>
      <w:r w:rsidRPr="008068A1">
        <w:rPr>
          <w:i/>
        </w:rPr>
        <w:t>de minimis</w:t>
      </w:r>
      <w:r w:rsidRPr="008068A1">
        <w:t xml:space="preserve"> or non-existent.     </w:t>
      </w:r>
    </w:p>
    <w:p w14:paraId="418B9913" w14:textId="77777777" w:rsidR="008C0B6A" w:rsidRPr="00B86A43" w:rsidRDefault="008C0B6A" w:rsidP="008C0B6A">
      <w:pPr>
        <w:pStyle w:val="ParaNum"/>
        <w:widowControl/>
        <w:spacing w:line="259" w:lineRule="auto"/>
      </w:pPr>
      <w:r w:rsidRPr="00B86A43">
        <w:rPr>
          <w:i/>
        </w:rPr>
        <w:t>Report to Congress</w:t>
      </w:r>
      <w:r w:rsidRPr="00D5323D">
        <w:t>:  The Commission will send a copy of the Order, including this FRFA, in a report to be sent to Congress and the Government Accountability Office pursuant to the Congressional Review Act.   In addition, the Commission will send a copy of the Order, including this FRFA, to the Chief Counsel for Advocacy of the SBA.  A copy of the Order and FRFA (or summaries thereof) will also be published in</w:t>
      </w:r>
      <w:r>
        <w:t xml:space="preserve"> the Federal Register. </w:t>
      </w:r>
    </w:p>
    <w:p w14:paraId="41890DC6" w14:textId="08073CD2" w:rsidR="00A868D6" w:rsidRDefault="00A868D6">
      <w:pPr>
        <w:widowControl/>
      </w:pPr>
      <w:r>
        <w:br w:type="page"/>
      </w:r>
    </w:p>
    <w:p w14:paraId="7180ACA6" w14:textId="77777777" w:rsidR="00A868D6" w:rsidRPr="001B2BAD" w:rsidRDefault="00A868D6" w:rsidP="00A868D6">
      <w:pPr>
        <w:jc w:val="center"/>
        <w:rPr>
          <w:b/>
          <w:caps/>
        </w:rPr>
      </w:pPr>
      <w:r w:rsidRPr="001B2BAD">
        <w:rPr>
          <w:b/>
          <w:caps/>
        </w:rPr>
        <w:t>Statement of</w:t>
      </w:r>
    </w:p>
    <w:p w14:paraId="706C4E6B" w14:textId="77777777" w:rsidR="00A868D6" w:rsidRDefault="00A868D6" w:rsidP="00A868D6">
      <w:pPr>
        <w:jc w:val="center"/>
        <w:rPr>
          <w:b/>
          <w:caps/>
        </w:rPr>
      </w:pPr>
      <w:r w:rsidRPr="001B2BAD">
        <w:rPr>
          <w:b/>
          <w:caps/>
        </w:rPr>
        <w:t>Commissioner Michael O’Rielly</w:t>
      </w:r>
    </w:p>
    <w:p w14:paraId="0609514A" w14:textId="77777777" w:rsidR="00A868D6" w:rsidRPr="001B2BAD" w:rsidRDefault="00A868D6" w:rsidP="00A868D6">
      <w:pPr>
        <w:jc w:val="center"/>
        <w:rPr>
          <w:b/>
        </w:rPr>
      </w:pPr>
      <w:r>
        <w:rPr>
          <w:b/>
          <w:caps/>
        </w:rPr>
        <w:t>APPROVING IN PART, DISSENTING IN PART</w:t>
      </w:r>
    </w:p>
    <w:p w14:paraId="2E804572" w14:textId="77777777" w:rsidR="00A868D6" w:rsidRPr="001B2BAD" w:rsidRDefault="00A868D6" w:rsidP="00A868D6"/>
    <w:p w14:paraId="09F4FDC9" w14:textId="77777777" w:rsidR="00A868D6" w:rsidRDefault="00A868D6" w:rsidP="00A868D6">
      <w:pPr>
        <w:ind w:left="720" w:hanging="720"/>
      </w:pPr>
      <w:r w:rsidRPr="001B2BAD">
        <w:rPr>
          <w:i/>
        </w:rPr>
        <w:t xml:space="preserve">Re:  </w:t>
      </w:r>
      <w:r w:rsidRPr="001B2BAD">
        <w:rPr>
          <w:i/>
        </w:rPr>
        <w:tab/>
      </w:r>
      <w:r>
        <w:rPr>
          <w:i/>
        </w:rPr>
        <w:t>Amendment of Part 11 of the Commission’s Rules Regarding the Emergency Alert System, PS Docket No. 15-94, Report and Order</w:t>
      </w:r>
    </w:p>
    <w:p w14:paraId="450D197F" w14:textId="77777777" w:rsidR="00A868D6" w:rsidRDefault="00A868D6" w:rsidP="00A868D6">
      <w:pPr>
        <w:ind w:firstLine="720"/>
      </w:pPr>
    </w:p>
    <w:p w14:paraId="16B8B38E" w14:textId="77777777" w:rsidR="00A868D6" w:rsidRPr="001B2BAD" w:rsidRDefault="00A868D6" w:rsidP="00A868D6">
      <w:pPr>
        <w:ind w:firstLine="720"/>
      </w:pPr>
      <w:r w:rsidRPr="001B2BAD">
        <w:t xml:space="preserve">Although I </w:t>
      </w:r>
      <w:r>
        <w:t>am not opposed to</w:t>
      </w:r>
      <w:r w:rsidRPr="001B2BAD">
        <w:t xml:space="preserve"> updating the weather event and geographic location Emergency Alert System (EAS) codes, I </w:t>
      </w:r>
      <w:r>
        <w:t xml:space="preserve">strongly </w:t>
      </w:r>
      <w:r w:rsidRPr="001B2BAD">
        <w:t xml:space="preserve">dissent on </w:t>
      </w:r>
      <w:r>
        <w:t xml:space="preserve">what is presented as a </w:t>
      </w:r>
      <w:r w:rsidRPr="001B2BAD">
        <w:t xml:space="preserve">cost-benefit analysis in this item.  </w:t>
      </w:r>
      <w:r>
        <w:t>T</w:t>
      </w:r>
      <w:r w:rsidRPr="001B2BAD">
        <w:t xml:space="preserve">he Commission </w:t>
      </w:r>
      <w:r>
        <w:t xml:space="preserve">should be able to </w:t>
      </w:r>
      <w:r w:rsidRPr="001B2BAD">
        <w:t>demonstrate that the benefits</w:t>
      </w:r>
      <w:r>
        <w:t xml:space="preserve"> of the new burdens</w:t>
      </w:r>
      <w:r w:rsidRPr="001B2BAD">
        <w:t xml:space="preserve"> outweigh the</w:t>
      </w:r>
      <w:r>
        <w:t>ir relative</w:t>
      </w:r>
      <w:r w:rsidRPr="001B2BAD">
        <w:t xml:space="preserve"> costs.  </w:t>
      </w:r>
      <w:r>
        <w:t xml:space="preserve">Sufficient </w:t>
      </w:r>
      <w:r w:rsidRPr="001B2BAD">
        <w:t>analysis has not been done here.  Instead, the Commission uses cost-benefit figures that it has used in other contexts, and these amounts are not reflective of the issues before us.</w:t>
      </w:r>
    </w:p>
    <w:p w14:paraId="2297F747" w14:textId="77777777" w:rsidR="00A868D6" w:rsidRDefault="00A868D6" w:rsidP="00A868D6">
      <w:pPr>
        <w:ind w:firstLine="720"/>
      </w:pPr>
    </w:p>
    <w:p w14:paraId="46CD1684" w14:textId="77777777" w:rsidR="00A868D6" w:rsidRPr="001B2BAD" w:rsidRDefault="00A868D6" w:rsidP="00A868D6">
      <w:pPr>
        <w:ind w:firstLine="720"/>
      </w:pPr>
      <w:r w:rsidRPr="001B2BAD">
        <w:t xml:space="preserve">As for the calculation of costs, there appears to be no attempt to </w:t>
      </w:r>
      <w:r>
        <w:t xml:space="preserve">quantitatively </w:t>
      </w:r>
      <w:r w:rsidRPr="001B2BAD">
        <w:t>estimate the additional cost</w:t>
      </w:r>
      <w:r>
        <w:t>s</w:t>
      </w:r>
      <w:r w:rsidRPr="001B2BAD">
        <w:t xml:space="preserve"> to EAS equipment manufacturers that must integrate these codes into their devices.  Even if the burdens are </w:t>
      </w:r>
      <w:r>
        <w:t>small</w:t>
      </w:r>
      <w:r w:rsidRPr="001B2BAD">
        <w:t xml:space="preserve">, our action today will place costs on this industry, which are not </w:t>
      </w:r>
      <w:r>
        <w:t>taken into account</w:t>
      </w:r>
      <w:r w:rsidRPr="001B2BAD">
        <w:t>.  Inste</w:t>
      </w:r>
      <w:r>
        <w:t xml:space="preserve">ad the focus is on the cost to </w:t>
      </w:r>
      <w:r w:rsidRPr="001B2BAD">
        <w:t>EAS participant</w:t>
      </w:r>
      <w:r>
        <w:t>s</w:t>
      </w:r>
      <w:r w:rsidRPr="001B2BAD">
        <w:t xml:space="preserve"> that would </w:t>
      </w:r>
      <w:r>
        <w:t xml:space="preserve">need to </w:t>
      </w:r>
      <w:r w:rsidRPr="001B2BAD">
        <w:t xml:space="preserve">update their equipment through software patches.  The item states that installation should not take more than an hour, but the Commission uses a “worst case cost figure of $125.00 per device,” representing </w:t>
      </w:r>
      <w:r>
        <w:t>five</w:t>
      </w:r>
      <w:r w:rsidRPr="001B2BAD">
        <w:t xml:space="preserve"> hours of labor at $25 an hour</w:t>
      </w:r>
      <w:r>
        <w:t>, for a total of approximately $3.5 million</w:t>
      </w:r>
      <w:r w:rsidRPr="001B2BAD">
        <w:t xml:space="preserve">.  </w:t>
      </w:r>
      <w:r>
        <w:t xml:space="preserve">So where did this figure come from?  </w:t>
      </w:r>
      <w:r w:rsidRPr="001B2BAD">
        <w:t xml:space="preserve">This is the amount that the Office of Management and Budget has approved as the cost to an EAS participant filling out the Commission’s online reporting form for EAS National tests.  I am at a loss as to how this measurement equates to the circumstance at hand.  The EAS participant will have to download the software and ensure </w:t>
      </w:r>
      <w:r>
        <w:t>there are no glitches</w:t>
      </w:r>
      <w:r w:rsidRPr="001B2BAD">
        <w:t xml:space="preserve">, which </w:t>
      </w:r>
      <w:r>
        <w:t>is not equivalent to</w:t>
      </w:r>
      <w:r w:rsidRPr="001B2BAD">
        <w:t xml:space="preserve"> filing a report.    </w:t>
      </w:r>
    </w:p>
    <w:p w14:paraId="3AF625FA" w14:textId="77777777" w:rsidR="00A868D6" w:rsidRDefault="00A868D6" w:rsidP="00A868D6">
      <w:pPr>
        <w:ind w:firstLine="720"/>
      </w:pPr>
    </w:p>
    <w:p w14:paraId="44E5AE2E" w14:textId="77777777" w:rsidR="00A868D6" w:rsidRDefault="00A868D6" w:rsidP="00A868D6">
      <w:pPr>
        <w:ind w:firstLine="720"/>
      </w:pPr>
      <w:r w:rsidRPr="001B2BAD">
        <w:t xml:space="preserve">The </w:t>
      </w:r>
      <w:r>
        <w:t xml:space="preserve">bigger problem, however, is with the </w:t>
      </w:r>
      <w:r w:rsidRPr="001B2BAD">
        <w:t>analysis on the benefits side.  The item suggests that the expected benefit</w:t>
      </w:r>
      <w:r>
        <w:t xml:space="preserve"> is</w:t>
      </w:r>
      <w:r w:rsidRPr="001B2BAD">
        <w:t xml:space="preserve"> the value of a statistical life, which </w:t>
      </w:r>
      <w:r>
        <w:t xml:space="preserve">borrows and abuses a broken Department of Transportation </w:t>
      </w:r>
      <w:r w:rsidRPr="001B2BAD">
        <w:t xml:space="preserve">estimate </w:t>
      </w:r>
      <w:r>
        <w:t xml:space="preserve">of </w:t>
      </w:r>
      <w:r w:rsidRPr="001B2BAD">
        <w:t xml:space="preserve">$9.1 million.  Once again, the item says that this estimation is likely to be conservative because these changes are expected to save more than just one life, will reduce injuries and mitigate property damage.  </w:t>
      </w:r>
      <w:r>
        <w:t>But there is no showing that this item will actually produce any of these positive results or even there is a “high probability.”  Specifically, t</w:t>
      </w:r>
      <w:r w:rsidRPr="001B2BAD">
        <w:t xml:space="preserve">here is no evidence that the current hurricane and other severe weather codes have been insufficient in protecting life and property or that the updated marine location codes are </w:t>
      </w:r>
      <w:r>
        <w:t>regularly</w:t>
      </w:r>
      <w:r w:rsidRPr="001B2BAD">
        <w:t xml:space="preserve"> used.  </w:t>
      </w:r>
      <w:r>
        <w:t xml:space="preserve">Without that, the benefits side of the ledger is essentially zero.  Even </w:t>
      </w:r>
      <w:r w:rsidRPr="001B2BAD">
        <w:t xml:space="preserve">assuming that lives </w:t>
      </w:r>
      <w:r>
        <w:t xml:space="preserve">could </w:t>
      </w:r>
      <w:r w:rsidRPr="001B2BAD">
        <w:t xml:space="preserve">be saved </w:t>
      </w:r>
      <w:r>
        <w:t xml:space="preserve">with the new codes, the item oversells any value because participation with these new codes is completely voluntary.  </w:t>
      </w:r>
    </w:p>
    <w:p w14:paraId="101BB0BB" w14:textId="77777777" w:rsidR="00A868D6" w:rsidRDefault="00A868D6" w:rsidP="00A868D6">
      <w:pPr>
        <w:ind w:firstLine="720"/>
      </w:pPr>
    </w:p>
    <w:p w14:paraId="3A57E797" w14:textId="77777777" w:rsidR="00A868D6" w:rsidRPr="001B2BAD" w:rsidRDefault="00A868D6" w:rsidP="00A868D6">
      <w:pPr>
        <w:ind w:firstLine="720"/>
      </w:pPr>
      <w:r>
        <w:t xml:space="preserve">So in the end, we have real costs being added to businesses and imaginary or hypothetical benefits.  That’s a losing equation, leaving us all wondering why is it so hard to get real work to be done on cost-benefit analysis.  Therefore, I dissent on this portion of the item. </w:t>
      </w:r>
    </w:p>
    <w:p w14:paraId="595C4D44" w14:textId="77777777" w:rsidR="00A868D6" w:rsidRDefault="00A868D6" w:rsidP="00A868D6">
      <w:r>
        <w:t xml:space="preserve"> </w:t>
      </w:r>
    </w:p>
    <w:p w14:paraId="18B4F751" w14:textId="77777777" w:rsidR="00274CCC" w:rsidRPr="002F46A3" w:rsidRDefault="00274CCC" w:rsidP="008C0B6A">
      <w:pPr>
        <w:pStyle w:val="ParaNum"/>
        <w:numPr>
          <w:ilvl w:val="0"/>
          <w:numId w:val="0"/>
        </w:numPr>
        <w:tabs>
          <w:tab w:val="num" w:pos="1440"/>
        </w:tabs>
        <w:ind w:firstLine="720"/>
      </w:pPr>
    </w:p>
    <w:p w14:paraId="41E23D7F" w14:textId="77777777" w:rsidR="002F46A3" w:rsidRPr="002F46A3" w:rsidRDefault="002F46A3" w:rsidP="00274CCC">
      <w:pPr>
        <w:jc w:val="center"/>
      </w:pPr>
    </w:p>
    <w:sectPr w:rsidR="002F46A3" w:rsidRPr="002F46A3" w:rsidSect="00E4161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43C9A" w14:textId="77777777" w:rsidR="009A7722" w:rsidRDefault="009A7722">
      <w:pPr>
        <w:spacing w:line="20" w:lineRule="exact"/>
      </w:pPr>
    </w:p>
  </w:endnote>
  <w:endnote w:type="continuationSeparator" w:id="0">
    <w:p w14:paraId="19CF5579" w14:textId="77777777" w:rsidR="009A7722" w:rsidRDefault="009A7722">
      <w:r>
        <w:t xml:space="preserve"> </w:t>
      </w:r>
    </w:p>
  </w:endnote>
  <w:endnote w:type="continuationNotice" w:id="1">
    <w:p w14:paraId="4D1FC7F7" w14:textId="77777777" w:rsidR="009A7722" w:rsidRDefault="009A77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9E889" w14:textId="77777777" w:rsidR="00A868D6" w:rsidRDefault="00A868D6" w:rsidP="0055614C">
    <w:pPr>
      <w:pStyle w:val="Footer"/>
      <w:framePr w:wrap="around" w:vAnchor="text" w:hAnchor="margin" w:xAlign="center" w:y="1"/>
    </w:pPr>
    <w:r>
      <w:fldChar w:fldCharType="begin"/>
    </w:r>
    <w:r>
      <w:instrText xml:space="preserve">PAGE  </w:instrText>
    </w:r>
    <w:r>
      <w:fldChar w:fldCharType="end"/>
    </w:r>
  </w:p>
  <w:p w14:paraId="088ABE38" w14:textId="77777777" w:rsidR="00A868D6" w:rsidRDefault="00A86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27312"/>
      <w:docPartObj>
        <w:docPartGallery w:val="Page Numbers (Bottom of Page)"/>
        <w:docPartUnique/>
      </w:docPartObj>
    </w:sdtPr>
    <w:sdtEndPr>
      <w:rPr>
        <w:noProof/>
      </w:rPr>
    </w:sdtEndPr>
    <w:sdtContent>
      <w:p w14:paraId="76F3A44A" w14:textId="21ECC035" w:rsidR="00A868D6" w:rsidRDefault="00A868D6" w:rsidP="00411809">
        <w:pPr>
          <w:suppressAutoHyphens/>
          <w:spacing w:line="227" w:lineRule="auto"/>
          <w:jc w:val="center"/>
        </w:pPr>
        <w:r>
          <w:fldChar w:fldCharType="begin"/>
        </w:r>
        <w:r>
          <w:instrText xml:space="preserve"> PAGE   \* MERGEFORMAT </w:instrText>
        </w:r>
        <w:r>
          <w:fldChar w:fldCharType="separate"/>
        </w:r>
        <w:r w:rsidR="000B34D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C0CB8" w14:textId="77777777" w:rsidR="00A868D6" w:rsidRDefault="00A868D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35681" w14:textId="77777777" w:rsidR="009A7722" w:rsidRDefault="009A7722">
      <w:r>
        <w:separator/>
      </w:r>
    </w:p>
  </w:footnote>
  <w:footnote w:type="continuationSeparator" w:id="0">
    <w:p w14:paraId="0F252409" w14:textId="77777777" w:rsidR="009A7722" w:rsidRDefault="009A7722" w:rsidP="00C721AC">
      <w:pPr>
        <w:spacing w:before="120"/>
        <w:rPr>
          <w:sz w:val="20"/>
        </w:rPr>
      </w:pPr>
      <w:r>
        <w:rPr>
          <w:sz w:val="20"/>
        </w:rPr>
        <w:t xml:space="preserve">(Continued from previous page)  </w:t>
      </w:r>
      <w:r>
        <w:rPr>
          <w:sz w:val="20"/>
        </w:rPr>
        <w:separator/>
      </w:r>
    </w:p>
  </w:footnote>
  <w:footnote w:type="continuationNotice" w:id="1">
    <w:p w14:paraId="3113CDB3" w14:textId="77777777" w:rsidR="009A7722" w:rsidRDefault="009A7722" w:rsidP="00C721AC">
      <w:pPr>
        <w:jc w:val="right"/>
        <w:rPr>
          <w:sz w:val="20"/>
        </w:rPr>
      </w:pPr>
      <w:r>
        <w:rPr>
          <w:sz w:val="20"/>
        </w:rPr>
        <w:t>(continued….)</w:t>
      </w:r>
    </w:p>
  </w:footnote>
  <w:footnote w:id="2">
    <w:p w14:paraId="4829E0C0" w14:textId="7C0BA638" w:rsidR="00A868D6" w:rsidRPr="000267E2" w:rsidRDefault="00A868D6" w:rsidP="002F46A3">
      <w:pPr>
        <w:pStyle w:val="FootnoteText"/>
        <w:rPr>
          <w:i/>
        </w:rPr>
      </w:pPr>
      <w:r>
        <w:rPr>
          <w:rStyle w:val="FootnoteReference"/>
        </w:rPr>
        <w:footnoteRef/>
      </w:r>
      <w:r>
        <w:t xml:space="preserve"> 47 CFR pt. 11</w:t>
      </w:r>
      <w:r w:rsidRPr="00075437">
        <w:rPr>
          <w:i/>
        </w:rPr>
        <w:t>.</w:t>
      </w:r>
    </w:p>
  </w:footnote>
  <w:footnote w:id="3">
    <w:p w14:paraId="099FF314" w14:textId="65F4B17F" w:rsidR="00A868D6" w:rsidRDefault="00A868D6" w:rsidP="00C21653">
      <w:pPr>
        <w:pStyle w:val="FootnoteText"/>
      </w:pPr>
      <w:r>
        <w:rPr>
          <w:rStyle w:val="FootnoteReference"/>
        </w:rPr>
        <w:footnoteRef/>
      </w:r>
      <w:r>
        <w:t xml:space="preserve"> </w:t>
      </w:r>
      <w:r w:rsidRPr="001B42B8">
        <w:rPr>
          <w:i/>
        </w:rPr>
        <w:t>See</w:t>
      </w:r>
      <w:r>
        <w:t xml:space="preserve"> Letter from David B. Caldwell, Director, Office of Climate, Water, and Weather Services, National Weather Service, NOAA, </w:t>
      </w:r>
      <w:r w:rsidRPr="0034080F">
        <w:t>to Marlene H. Dortch, Secretary, FCC</w:t>
      </w:r>
      <w:r>
        <w:t>,</w:t>
      </w:r>
      <w:r w:rsidRPr="00045683">
        <w:t xml:space="preserve"> EB Docket </w:t>
      </w:r>
      <w:r>
        <w:t xml:space="preserve">No. </w:t>
      </w:r>
      <w:r w:rsidRPr="00045683">
        <w:t xml:space="preserve">04-296 (filed </w:t>
      </w:r>
      <w:r>
        <w:t>Aug. 4</w:t>
      </w:r>
      <w:r w:rsidRPr="00045683">
        <w:t xml:space="preserve">, </w:t>
      </w:r>
      <w:r w:rsidRPr="0034080F">
        <w:t>2011</w:t>
      </w:r>
      <w:r>
        <w:t>; refiled July 16, 2014</w:t>
      </w:r>
      <w:r w:rsidRPr="0034080F">
        <w:t>) (</w:t>
      </w:r>
      <w:r w:rsidRPr="00760E67">
        <w:t>NWS 2011</w:t>
      </w:r>
      <w:r w:rsidRPr="0060325A">
        <w:t xml:space="preserve"> </w:t>
      </w:r>
      <w:r w:rsidRPr="00760E67">
        <w:t>Request</w:t>
      </w:r>
      <w:r w:rsidRPr="0034080F">
        <w:t xml:space="preserve">).  NWS renewed its 2011 request and added a request to adopt the storm surge event codes in November 2013.  </w:t>
      </w:r>
      <w:r w:rsidRPr="0034080F">
        <w:rPr>
          <w:i/>
        </w:rPr>
        <w:t>See</w:t>
      </w:r>
      <w:r w:rsidRPr="0034080F">
        <w:t xml:space="preserve"> Letter from Christopher S. Strager, Acting Director, Office of Climate, Water, and Weather Services, National Weather Service, NOAA, to Marlene H. Dortch, Secretary, FCC, EB Docket No. 04-296 (filed Nov. 15, 2013</w:t>
      </w:r>
      <w:r>
        <w:t>; refiled July 16, 2014</w:t>
      </w:r>
      <w:r w:rsidRPr="0034080F">
        <w:t>) (</w:t>
      </w:r>
      <w:r w:rsidRPr="00760E67">
        <w:t>NWS Consolidated</w:t>
      </w:r>
      <w:r w:rsidRPr="0060325A">
        <w:t xml:space="preserve"> </w:t>
      </w:r>
      <w:r w:rsidRPr="00760E67">
        <w:t>Request</w:t>
      </w:r>
      <w:r w:rsidRPr="0034080F">
        <w:t>).  NWS subsequently renewed and supplemented its requests on August 15, 201</w:t>
      </w:r>
      <w:r>
        <w:t>4</w:t>
      </w:r>
      <w:r w:rsidRPr="0034080F">
        <w:t xml:space="preserve">, in three separate comment filings.  </w:t>
      </w:r>
      <w:r w:rsidRPr="0034080F">
        <w:rPr>
          <w:i/>
        </w:rPr>
        <w:t>See</w:t>
      </w:r>
      <w:r w:rsidRPr="0034080F">
        <w:t xml:space="preserve"> National Weather Service, Comments, EB Docket No. 04-296 (all three filed separately on </w:t>
      </w:r>
      <w:r>
        <w:t>Aug</w:t>
      </w:r>
      <w:r w:rsidRPr="0034080F">
        <w:t>. 15, 201</w:t>
      </w:r>
      <w:r>
        <w:t>4</w:t>
      </w:r>
      <w:r w:rsidRPr="0034080F">
        <w:t>) (</w:t>
      </w:r>
      <w:r w:rsidRPr="00760E67">
        <w:t>NWS 201</w:t>
      </w:r>
      <w:r>
        <w:t>4</w:t>
      </w:r>
      <w:r w:rsidRPr="00760E67">
        <w:t xml:space="preserve"> Comments</w:t>
      </w:r>
      <w:r w:rsidRPr="0034080F">
        <w:t>).  NWS</w:t>
      </w:r>
      <w:r>
        <w:t xml:space="preserve"> filed a more extensive description of its request to revise geographic location codes 75 and 77 in a 2015 letter filing.  </w:t>
      </w:r>
      <w:r w:rsidRPr="00153AC0">
        <w:rPr>
          <w:i/>
          <w:szCs w:val="22"/>
        </w:rPr>
        <w:t>See</w:t>
      </w:r>
      <w:r w:rsidRPr="00153AC0">
        <w:rPr>
          <w:szCs w:val="22"/>
        </w:rPr>
        <w:t xml:space="preserve"> Letter from Timothy J. Schott, Meteorologist, Office of Climate, Water, and Weather Services, National Weather Service, NOAA, EB Docket No. 04-296 (filed February 19, 2015) (</w:t>
      </w:r>
      <w:r w:rsidRPr="00760E67">
        <w:t xml:space="preserve">NWS </w:t>
      </w:r>
      <w:r w:rsidRPr="0060325A">
        <w:rPr>
          <w:szCs w:val="22"/>
        </w:rPr>
        <w:t>Feb</w:t>
      </w:r>
      <w:r>
        <w:rPr>
          <w:szCs w:val="22"/>
        </w:rPr>
        <w:t>ruary 2015</w:t>
      </w:r>
      <w:r w:rsidRPr="00153AC0">
        <w:rPr>
          <w:i/>
          <w:szCs w:val="22"/>
        </w:rPr>
        <w:t xml:space="preserve"> Ex Parte</w:t>
      </w:r>
      <w:r>
        <w:rPr>
          <w:i/>
          <w:szCs w:val="22"/>
        </w:rPr>
        <w:t xml:space="preserve"> </w:t>
      </w:r>
      <w:r>
        <w:rPr>
          <w:szCs w:val="22"/>
        </w:rPr>
        <w:t>Letter</w:t>
      </w:r>
      <w:r w:rsidRPr="00153AC0">
        <w:rPr>
          <w:szCs w:val="22"/>
        </w:rPr>
        <w:t>)</w:t>
      </w:r>
      <w:r>
        <w:rPr>
          <w:szCs w:val="22"/>
        </w:rPr>
        <w:t xml:space="preserve">.  </w:t>
      </w:r>
      <w:r>
        <w:t xml:space="preserve">In response, we initiated the </w:t>
      </w:r>
      <w:r w:rsidRPr="00D67F84">
        <w:rPr>
          <w:i/>
        </w:rPr>
        <w:t>NWS NPRM</w:t>
      </w:r>
      <w:r>
        <w:t xml:space="preserve">, which sought comment on these proposed revisions.  </w:t>
      </w:r>
      <w:r w:rsidRPr="00B94E98">
        <w:rPr>
          <w:i/>
        </w:rPr>
        <w:t>See Amendment of Part 11 of the Commission’s Rules Regarding the Emergency Alert System</w:t>
      </w:r>
      <w:r w:rsidRPr="007323FF">
        <w:t>, Notice of Proposed Rulemaking, 30 FCC Rcd 7467 (2015) (</w:t>
      </w:r>
      <w:r w:rsidRPr="00EC7ACD">
        <w:rPr>
          <w:i/>
        </w:rPr>
        <w:t>NWS NPRM</w:t>
      </w:r>
      <w:r w:rsidRPr="007323FF">
        <w:t>).</w:t>
      </w:r>
    </w:p>
  </w:footnote>
  <w:footnote w:id="4">
    <w:p w14:paraId="38E0A1B1" w14:textId="2102C717" w:rsidR="00A868D6" w:rsidRDefault="00A868D6">
      <w:pPr>
        <w:pStyle w:val="FootnoteText"/>
      </w:pPr>
      <w:r>
        <w:rPr>
          <w:rStyle w:val="FootnoteReference"/>
        </w:rPr>
        <w:footnoteRef/>
      </w:r>
      <w:r>
        <w:t xml:space="preserve"> Thirteen comments addressing the issues raised in the </w:t>
      </w:r>
      <w:r w:rsidRPr="00E95112">
        <w:rPr>
          <w:i/>
        </w:rPr>
        <w:t>NWS NPRM</w:t>
      </w:r>
      <w:r>
        <w:t xml:space="preserve"> were received in dockets </w:t>
      </w:r>
      <w:r w:rsidRPr="00C61AF7">
        <w:rPr>
          <w:szCs w:val="22"/>
        </w:rPr>
        <w:t>PSHSB Docket No. 15-</w:t>
      </w:r>
      <w:r>
        <w:rPr>
          <w:szCs w:val="22"/>
        </w:rPr>
        <w:t xml:space="preserve">94 and </w:t>
      </w:r>
      <w:r w:rsidRPr="0034080F">
        <w:t>EB Docket No. 04-296</w:t>
      </w:r>
      <w:r>
        <w:t xml:space="preserve">.  One commenter, EAS equipment manufacturer, TFT, Inc. (TFT), reportedly went out of business subsequent to the commencement of the comment cycle.  </w:t>
      </w:r>
      <w:r w:rsidRPr="00FD6ACE">
        <w:rPr>
          <w:i/>
        </w:rPr>
        <w:t>See</w:t>
      </w:r>
      <w:r>
        <w:t xml:space="preserve">, </w:t>
      </w:r>
      <w:r w:rsidRPr="00FD6ACE">
        <w:rPr>
          <w:i/>
        </w:rPr>
        <w:t>e</w:t>
      </w:r>
      <w:r>
        <w:t>.</w:t>
      </w:r>
      <w:r w:rsidRPr="00FD6ACE">
        <w:rPr>
          <w:i/>
        </w:rPr>
        <w:t>g</w:t>
      </w:r>
      <w:r>
        <w:t xml:space="preserve">., </w:t>
      </w:r>
      <w:r w:rsidRPr="00FD6ACE">
        <w:t xml:space="preserve">Paul McLane, TFT’s Doors Are Shut; Future Unclear (Sept. 8, 2015), </w:t>
      </w:r>
      <w:hyperlink r:id="rId1" w:history="1">
        <w:r w:rsidRPr="00E83D34">
          <w:rPr>
            <w:rStyle w:val="Hyperlink"/>
          </w:rPr>
          <w:t>http://www.radioworld.com/article/tfts-doors-are-shut-future-unclear/277026</w:t>
        </w:r>
      </w:hyperlink>
      <w:r>
        <w:t>.  The Commission has not received any requests from EAS Participants, formerly TFT customers, to waive any rules as a result of TFT’s operating status, and will consider TFT’s comments on their merits.</w:t>
      </w:r>
    </w:p>
  </w:footnote>
  <w:footnote w:id="5">
    <w:p w14:paraId="1CA7DFB1" w14:textId="78F01F62" w:rsidR="00A868D6" w:rsidRDefault="00A868D6" w:rsidP="009F0781">
      <w:pPr>
        <w:pStyle w:val="FootnoteText"/>
      </w:pPr>
      <w:r>
        <w:rPr>
          <w:rStyle w:val="FootnoteReference"/>
        </w:rPr>
        <w:footnoteRef/>
      </w:r>
      <w:r>
        <w:t xml:space="preserve"> The Commission’s rules define EAS Participants as radio broadcast stations, including AM, FM, and low-power FM stations; Class A television and low-power TV stations; digital television stations, cable systems; wireline video systems; wireless cable systems; direct broadcast satellite service providers; and digital audio radio service providers.  </w:t>
      </w:r>
      <w:r>
        <w:rPr>
          <w:i/>
        </w:rPr>
        <w:t>See</w:t>
      </w:r>
      <w:r>
        <w:t xml:space="preserve"> 47 CFR § 11.11(a).</w:t>
      </w:r>
    </w:p>
  </w:footnote>
  <w:footnote w:id="6">
    <w:p w14:paraId="6F3D3B5A" w14:textId="2EC90800" w:rsidR="00A868D6" w:rsidRDefault="00A868D6" w:rsidP="009F0781">
      <w:pPr>
        <w:pStyle w:val="FootnoteText"/>
      </w:pPr>
      <w:r>
        <w:rPr>
          <w:rStyle w:val="FootnoteReference"/>
        </w:rPr>
        <w:footnoteRef/>
      </w:r>
      <w:r>
        <w:t xml:space="preserve"> </w:t>
      </w:r>
      <w:r>
        <w:rPr>
          <w:i/>
        </w:rPr>
        <w:t>See</w:t>
      </w:r>
      <w:r>
        <w:t xml:space="preserve"> </w:t>
      </w:r>
      <w:r w:rsidRPr="00C130F9">
        <w:rPr>
          <w:i/>
        </w:rPr>
        <w:t>Review of the Emergency Alert System; Independent Spanish Broadcasters Association, The Office of Communication of the United Church of Christ, Inc., and the Minority Media and Telecommunications Council, Petition for Immediate Relief</w:t>
      </w:r>
      <w:r>
        <w:t xml:space="preserve">, </w:t>
      </w:r>
      <w:r w:rsidRPr="00C130F9">
        <w:t>Fifth Report and Order</w:t>
      </w:r>
      <w:r>
        <w:t xml:space="preserve">, </w:t>
      </w:r>
      <w:r>
        <w:rPr>
          <w:iCs/>
        </w:rPr>
        <w:t>27 FCC Rcd 642, 646, para. 6 (2012) (</w:t>
      </w:r>
      <w:r>
        <w:rPr>
          <w:i/>
          <w:iCs/>
        </w:rPr>
        <w:t>Fifth Report and Order</w:t>
      </w:r>
      <w:r>
        <w:rPr>
          <w:iCs/>
        </w:rPr>
        <w:t xml:space="preserve">).  A more detailed </w:t>
      </w:r>
      <w:r>
        <w:t xml:space="preserve">history of the EAS is summarized in the </w:t>
      </w:r>
      <w:r w:rsidRPr="001F3CF4">
        <w:rPr>
          <w:i/>
        </w:rPr>
        <w:t>First</w:t>
      </w:r>
      <w:r w:rsidRPr="00AA1F89">
        <w:rPr>
          <w:i/>
        </w:rPr>
        <w:t xml:space="preserve"> Notice of Proposed Rulemaking</w:t>
      </w:r>
      <w:r>
        <w:t xml:space="preserve"> in this docket</w:t>
      </w:r>
      <w:r>
        <w:rPr>
          <w:i/>
        </w:rPr>
        <w:t xml:space="preserve">.  See </w:t>
      </w:r>
      <w:r w:rsidRPr="00C130F9">
        <w:rPr>
          <w:i/>
        </w:rPr>
        <w:t>Review of the Emergency Alert System</w:t>
      </w:r>
      <w:r>
        <w:t xml:space="preserve">, </w:t>
      </w:r>
      <w:r w:rsidRPr="00C130F9">
        <w:t>Notice of Proposed Rulemaking</w:t>
      </w:r>
      <w:r>
        <w:t xml:space="preserve">, 19 FCC Rcd 15775, 15776-77, paras 6-8 (2004).  In addition, an overview of the present organization and functioning of the EAS system is included in the </w:t>
      </w:r>
      <w:r>
        <w:rPr>
          <w:i/>
        </w:rPr>
        <w:t>Second Report and Order</w:t>
      </w:r>
      <w:r>
        <w:t xml:space="preserve">.  </w:t>
      </w:r>
      <w:r>
        <w:rPr>
          <w:i/>
        </w:rPr>
        <w:t>See</w:t>
      </w:r>
      <w:r>
        <w:t xml:space="preserve"> </w:t>
      </w:r>
      <w:r w:rsidRPr="00C130F9">
        <w:rPr>
          <w:i/>
        </w:rPr>
        <w:t>Review of the Emergency Alert System; Independent Spanish Broadcasters Association, The Office of Communication of the United Church of Christ, Inc., and the Minority Media and Telecommunications Council, Petition for Immediate Relief</w:t>
      </w:r>
      <w:r>
        <w:t xml:space="preserve">, </w:t>
      </w:r>
      <w:r w:rsidRPr="00C130F9">
        <w:t>Second Report and Order and Further Notice of Proposed Rulemaking</w:t>
      </w:r>
      <w:r>
        <w:t xml:space="preserve">, </w:t>
      </w:r>
      <w:r>
        <w:rPr>
          <w:iCs/>
        </w:rPr>
        <w:t>22 FCC Rcd 13275, 13280-83, paras.</w:t>
      </w:r>
      <w:r>
        <w:t xml:space="preserve"> 11-14</w:t>
      </w:r>
      <w:r>
        <w:rPr>
          <w:iCs/>
        </w:rPr>
        <w:t xml:space="preserve"> (2007) (</w:t>
      </w:r>
      <w:r>
        <w:rPr>
          <w:i/>
          <w:iCs/>
        </w:rPr>
        <w:t>Second Report and Order</w:t>
      </w:r>
      <w:r>
        <w:rPr>
          <w:iCs/>
        </w:rPr>
        <w:t>).</w:t>
      </w:r>
    </w:p>
  </w:footnote>
  <w:footnote w:id="7">
    <w:p w14:paraId="1B1AD26D" w14:textId="0A2F318B" w:rsidR="00A868D6" w:rsidRDefault="00A868D6" w:rsidP="009F0781">
      <w:pPr>
        <w:pStyle w:val="FootnoteText"/>
      </w:pPr>
      <w:r>
        <w:rPr>
          <w:rStyle w:val="FootnoteReference"/>
        </w:rPr>
        <w:footnoteRef/>
      </w:r>
      <w:r>
        <w:t xml:space="preserve"> 47 CFR § 11.1.  National activation of the EAS for a Presidential alert message is initiated by the transmission of an Emergency Action Notification (EAN) event code and is designed to provide the President the capability to transmit an alert message (in particular, an audio alert message) to the public within ten minutes from any location at any time.  The EAN must take priority over any other alert message and preempt other alert messages in progress.  </w:t>
      </w:r>
      <w:r>
        <w:rPr>
          <w:i/>
        </w:rPr>
        <w:t>See</w:t>
      </w:r>
      <w:r>
        <w:t xml:space="preserve">, </w:t>
      </w:r>
      <w:r>
        <w:rPr>
          <w:i/>
        </w:rPr>
        <w:t>e.g.</w:t>
      </w:r>
      <w:r>
        <w:t xml:space="preserve">, </w:t>
      </w:r>
      <w:r w:rsidRPr="00EC7ACD">
        <w:rPr>
          <w:i/>
        </w:rPr>
        <w:t>Review of the Emergency Alert System</w:t>
      </w:r>
      <w:r>
        <w:t xml:space="preserve">, </w:t>
      </w:r>
      <w:r w:rsidRPr="00EC7ACD">
        <w:t>First Report and Order and Further Notice of Proposed Rulemaking</w:t>
      </w:r>
      <w:r>
        <w:t>, 20 FCC Rcd 18625, 18628, para. 8 (2005) (</w:t>
      </w:r>
      <w:r>
        <w:rPr>
          <w:i/>
        </w:rPr>
        <w:t>First Report and Order and Further Notice of Proposed Rulemaking</w:t>
      </w:r>
      <w:r>
        <w:t xml:space="preserve">).  </w:t>
      </w:r>
      <w:r>
        <w:rPr>
          <w:i/>
        </w:rPr>
        <w:t>See also</w:t>
      </w:r>
      <w:r>
        <w:t xml:space="preserve">, </w:t>
      </w:r>
      <w:r>
        <w:rPr>
          <w:i/>
        </w:rPr>
        <w:t>e.g</w:t>
      </w:r>
      <w:r>
        <w:t>., 47 CFR §§ 11.33(a)(11), 11.51(m), (n).</w:t>
      </w:r>
    </w:p>
  </w:footnote>
  <w:footnote w:id="8">
    <w:p w14:paraId="6F075445" w14:textId="4F8C483C" w:rsidR="00A868D6" w:rsidRDefault="00A868D6" w:rsidP="00E77AA8">
      <w:pPr>
        <w:pStyle w:val="FootnoteText"/>
      </w:pPr>
      <w:r>
        <w:rPr>
          <w:rStyle w:val="FootnoteReference"/>
        </w:rPr>
        <w:footnoteRef/>
      </w:r>
      <w:r>
        <w:t xml:space="preserve"> </w:t>
      </w:r>
      <w:r w:rsidRPr="00E77AA8">
        <w:t>EAS Participants are required to broadcast Presidential alerts</w:t>
      </w:r>
      <w:r>
        <w:t>;</w:t>
      </w:r>
      <w:r w:rsidRPr="00E77AA8">
        <w:t xml:space="preserve"> they participate in broadcasting state and local EAS alerts on a voluntary basis.</w:t>
      </w:r>
      <w:r w:rsidRPr="00AA1F89">
        <w:t xml:space="preserve"> </w:t>
      </w:r>
      <w:r>
        <w:rPr>
          <w:sz w:val="22"/>
          <w:szCs w:val="22"/>
        </w:rPr>
        <w:t xml:space="preserve"> </w:t>
      </w:r>
      <w:r>
        <w:rPr>
          <w:i/>
        </w:rPr>
        <w:t>See</w:t>
      </w:r>
      <w:r>
        <w:t xml:space="preserve"> 47 CFR § 11.55(a).  </w:t>
      </w:r>
      <w:r>
        <w:rPr>
          <w:i/>
        </w:rPr>
        <w:t>See also</w:t>
      </w:r>
      <w:r>
        <w:t xml:space="preserve"> </w:t>
      </w:r>
      <w:r>
        <w:rPr>
          <w:i/>
        </w:rPr>
        <w:t>First Report and Order and Further Notice of Proposed Rule Making</w:t>
      </w:r>
      <w:r>
        <w:t>, 20 FCC Rcd at 18628, para. 8.</w:t>
      </w:r>
    </w:p>
  </w:footnote>
  <w:footnote w:id="9">
    <w:p w14:paraId="0738CF82" w14:textId="0D5B2711" w:rsidR="00A868D6" w:rsidRDefault="00A868D6" w:rsidP="00E77AA8">
      <w:pPr>
        <w:pStyle w:val="FootnoteText"/>
      </w:pPr>
      <w:r>
        <w:rPr>
          <w:rStyle w:val="FootnoteReference"/>
        </w:rPr>
        <w:footnoteRef/>
      </w:r>
      <w:r>
        <w:t xml:space="preserve"> </w:t>
      </w:r>
      <w:r w:rsidRPr="00E77AA8">
        <w:rPr>
          <w:i/>
        </w:rPr>
        <w:t>See</w:t>
      </w:r>
      <w:r w:rsidRPr="00E77AA8">
        <w:t xml:space="preserve"> NWS Fact Sheet, “NOAA’s National Weather Service (NWS) and the Emergency Alert System” (Jan</w:t>
      </w:r>
      <w:r>
        <w:t xml:space="preserve">. </w:t>
      </w:r>
      <w:r w:rsidRPr="00E77AA8">
        <w:t>2014), http://www.nws.noaa.gov/os/dissemination/EAS_factsheet.pdf</w:t>
      </w:r>
      <w:r>
        <w:t>.</w:t>
      </w:r>
    </w:p>
  </w:footnote>
  <w:footnote w:id="10">
    <w:p w14:paraId="297D6C0B" w14:textId="6C4BB9CF" w:rsidR="00A868D6" w:rsidRDefault="00A868D6" w:rsidP="009F0781">
      <w:pPr>
        <w:pStyle w:val="FootnoteText"/>
      </w:pPr>
      <w:r>
        <w:rPr>
          <w:rStyle w:val="FootnoteReference"/>
        </w:rPr>
        <w:footnoteRef/>
      </w:r>
      <w:r>
        <w:t xml:space="preserve"> The respective roles of the Commission, FEMA, and NWS are defined in a series of Executive documents.  </w:t>
      </w:r>
      <w:r>
        <w:rPr>
          <w:i/>
        </w:rPr>
        <w:t>See</w:t>
      </w:r>
      <w:r>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reprinted as Appendix K to Partnership for Public Warning Report 2004-1, The Emergency Alert System (EAS): An Assessment; Assignment of National Security and Emergency Preparedness Telecommunications Functions, Exec. Order No. 12472, 49 Fed. Reg. 13471 (April 3, 1984); Memorandum, Presidential Communications with the General Public During Periods of National Emergency, The White House (Sept. 15, 1995).</w:t>
      </w:r>
    </w:p>
  </w:footnote>
  <w:footnote w:id="11">
    <w:p w14:paraId="4BA6B637" w14:textId="53BBFC1D" w:rsidR="00A868D6" w:rsidRDefault="00A868D6" w:rsidP="00E77AA8">
      <w:pPr>
        <w:pStyle w:val="FootnoteText"/>
      </w:pPr>
      <w:r>
        <w:rPr>
          <w:rStyle w:val="FootnoteReference"/>
        </w:rPr>
        <w:footnoteRef/>
      </w:r>
      <w:r>
        <w:t xml:space="preserve"> </w:t>
      </w:r>
      <w:r>
        <w:rPr>
          <w:i/>
        </w:rPr>
        <w:t>See</w:t>
      </w:r>
      <w:r>
        <w:t xml:space="preserve"> 47 CFR § 11.31.  Under this protocol, an EAS alert uses a four-part message:  (1) preamble and EAS header codes (which contain information regarding the identity of the sender, the type of emergency, its location, and the valid time period of the alert); (2) audio attention signal; (3) audio message, if included by the alert originator; and (4) preamble and “end of message” (EOM) codes.  </w:t>
      </w:r>
      <w:r>
        <w:rPr>
          <w:i/>
        </w:rPr>
        <w:t>See</w:t>
      </w:r>
      <w:r>
        <w:t xml:space="preserve"> </w:t>
      </w:r>
      <w:r>
        <w:rPr>
          <w:i/>
        </w:rPr>
        <w:t>id</w:t>
      </w:r>
      <w:r>
        <w:t>. § 11.31(a).  Although the EAS Protocol specifies that the message can be audio, video, or text, in practice, only audio is sent.</w:t>
      </w:r>
    </w:p>
  </w:footnote>
  <w:footnote w:id="12">
    <w:p w14:paraId="55A93C1D" w14:textId="6DC3C7F6" w:rsidR="00A868D6" w:rsidRDefault="00A868D6" w:rsidP="00A45439">
      <w:pPr>
        <w:pStyle w:val="FootnoteText"/>
      </w:pPr>
      <w:r>
        <w:rPr>
          <w:rStyle w:val="FootnoteReference"/>
        </w:rPr>
        <w:footnoteRef/>
      </w:r>
      <w:r>
        <w:t xml:space="preserve"> The EAS Protocol is identical to the Specific Area Message Encoding (SAME) digital protocol used by NWS for weather alerts.</w:t>
      </w:r>
      <w:r>
        <w:rPr>
          <w:i/>
        </w:rPr>
        <w:t xml:space="preserve">  See</w:t>
      </w:r>
      <w:r>
        <w:t xml:space="preserve"> </w:t>
      </w:r>
      <w:r w:rsidRPr="00EC7ACD">
        <w:rPr>
          <w:i/>
        </w:rPr>
        <w:t>Independent Spanish Broadcasters Association, the Office of Communication of the United Church of Christ, Inc., and the Minority Media and Telecommunications Council, Petition for Immediate Relief; Randy Gehman Petition for Rulemaking</w:t>
      </w:r>
      <w:r>
        <w:t xml:space="preserve">, </w:t>
      </w:r>
      <w:r w:rsidRPr="00EC7ACD">
        <w:t>Third Further Notice of Proposed Rulemaking</w:t>
      </w:r>
      <w:r>
        <w:t xml:space="preserve">, </w:t>
      </w:r>
      <w:r>
        <w:rPr>
          <w:iCs/>
        </w:rPr>
        <w:t>26 FCC Rcd </w:t>
      </w:r>
      <w:r>
        <w:t>8149, 8154, para. 5 (2011).  Accordingly, in this Order, we use “EAS Protocol” and “SAME” interchangeably when referring to the protocols used for over-the-air EAS transmission.</w:t>
      </w:r>
    </w:p>
  </w:footnote>
  <w:footnote w:id="13">
    <w:p w14:paraId="58740019" w14:textId="14E6D868" w:rsidR="00A868D6" w:rsidRDefault="00A868D6" w:rsidP="00E77AA8">
      <w:pPr>
        <w:pStyle w:val="FootnoteText"/>
      </w:pPr>
      <w:r>
        <w:rPr>
          <w:rStyle w:val="FootnoteReference"/>
        </w:rPr>
        <w:footnoteRef/>
      </w:r>
      <w:r>
        <w:t xml:space="preserve"> At the national level, EAS message distribution starts at Primary Entry Point (PEP) stations, which are a group of geographically diverse, high-power radio stations designated and tasked by FEMA to transmit “Presidential Level” messages initiated by FEMA.</w:t>
      </w:r>
      <w:bookmarkStart w:id="7" w:name="FN[FN28]"/>
      <w:bookmarkEnd w:id="7"/>
      <w:r>
        <w:t xml:space="preserve">  </w:t>
      </w:r>
      <w:r>
        <w:rPr>
          <w:i/>
        </w:rPr>
        <w:t>See Fifth Report and Order</w:t>
      </w:r>
      <w:r>
        <w:t xml:space="preserve">, </w:t>
      </w:r>
      <w:r>
        <w:rPr>
          <w:iCs/>
        </w:rPr>
        <w:t xml:space="preserve">27 FCC Rcd at 646-47, para. 7.  </w:t>
      </w:r>
      <w:r>
        <w:rPr>
          <w:szCs w:val="22"/>
        </w:rPr>
        <w:t xml:space="preserve">At the state level, state governors and state and local emergency operations managers activate the EAS by utilizing state-designated EAS entry points – specifically, State Primary stations and “State Relay” stations.  </w:t>
      </w:r>
      <w:r>
        <w:rPr>
          <w:i/>
          <w:szCs w:val="22"/>
        </w:rPr>
        <w:t>See</w:t>
      </w:r>
      <w:r>
        <w:rPr>
          <w:szCs w:val="22"/>
        </w:rPr>
        <w:t xml:space="preserve"> 47 CFR § 11.20.  State Relay stations relay both national and state emergency messages to local areas.  </w:t>
      </w:r>
      <w:r>
        <w:rPr>
          <w:i/>
          <w:szCs w:val="22"/>
        </w:rPr>
        <w:t>See</w:t>
      </w:r>
      <w:r>
        <w:rPr>
          <w:szCs w:val="22"/>
        </w:rPr>
        <w:t xml:space="preserve"> 47 CFR § 11.18(d).</w:t>
      </w:r>
    </w:p>
  </w:footnote>
  <w:footnote w:id="14">
    <w:p w14:paraId="75349792" w14:textId="7708CD2B" w:rsidR="00A868D6" w:rsidRDefault="00A868D6">
      <w:pPr>
        <w:pStyle w:val="FootnoteText"/>
      </w:pPr>
      <w:r>
        <w:rPr>
          <w:rStyle w:val="FootnoteReference"/>
        </w:rPr>
        <w:footnoteRef/>
      </w:r>
      <w:r>
        <w:t xml:space="preserve"> </w:t>
      </w:r>
      <w:r w:rsidRPr="001D3BCA">
        <w:rPr>
          <w:i/>
        </w:rPr>
        <w:t>See</w:t>
      </w:r>
      <w:r>
        <w:t xml:space="preserve"> 47 CFR § 11.31(c), (e).</w:t>
      </w:r>
    </w:p>
  </w:footnote>
  <w:footnote w:id="15">
    <w:p w14:paraId="7DA7A9BB" w14:textId="27B3DE16" w:rsidR="00A868D6" w:rsidRDefault="00A868D6">
      <w:pPr>
        <w:pStyle w:val="FootnoteText"/>
      </w:pPr>
      <w:r>
        <w:rPr>
          <w:rStyle w:val="FootnoteReference"/>
        </w:rPr>
        <w:footnoteRef/>
      </w:r>
      <w:r>
        <w:t xml:space="preserve"> </w:t>
      </w:r>
      <w:r w:rsidRPr="00B83852">
        <w:rPr>
          <w:i/>
        </w:rPr>
        <w:t>See</w:t>
      </w:r>
      <w:r>
        <w:t xml:space="preserve"> 47 CFR § 11.31(e).</w:t>
      </w:r>
    </w:p>
  </w:footnote>
  <w:footnote w:id="16">
    <w:p w14:paraId="24276824" w14:textId="3A5BC863" w:rsidR="00A868D6" w:rsidRDefault="00A868D6" w:rsidP="00A0306B">
      <w:pPr>
        <w:pStyle w:val="FootnoteText"/>
      </w:pPr>
      <w:r w:rsidRPr="006521AD">
        <w:rPr>
          <w:rStyle w:val="FootnoteReference"/>
        </w:rPr>
        <w:footnoteRef/>
      </w:r>
      <w:r>
        <w:t xml:space="preserve"> </w:t>
      </w:r>
      <w:r w:rsidRPr="00FF15D7">
        <w:rPr>
          <w:i/>
        </w:rPr>
        <w:t>See</w:t>
      </w:r>
      <w:r w:rsidRPr="00FF15D7">
        <w:t xml:space="preserve"> 47 </w:t>
      </w:r>
      <w:r>
        <w:t>CFR</w:t>
      </w:r>
      <w:r w:rsidRPr="00FF15D7">
        <w:t xml:space="preserve"> § 11.31(c), (f). </w:t>
      </w:r>
    </w:p>
  </w:footnote>
  <w:footnote w:id="17">
    <w:p w14:paraId="16D2F4A3" w14:textId="6E2341FF" w:rsidR="00A868D6" w:rsidRDefault="00A868D6">
      <w:pPr>
        <w:pStyle w:val="FootnoteText"/>
      </w:pPr>
      <w:r>
        <w:rPr>
          <w:rStyle w:val="FootnoteReference"/>
        </w:rPr>
        <w:footnoteRef/>
      </w:r>
      <w:r>
        <w:t xml:space="preserve"> </w:t>
      </w:r>
      <w:r w:rsidRPr="00FF15D7">
        <w:rPr>
          <w:szCs w:val="22"/>
        </w:rPr>
        <w:t>ANSI INCITS 31.2009 (“Information Technology – Identification of Counties and Equivalent Entities of the United States, its Possessions, and Insular Areas”)</w:t>
      </w:r>
      <w:r>
        <w:rPr>
          <w:szCs w:val="22"/>
        </w:rPr>
        <w:t>.</w:t>
      </w:r>
      <w:r w:rsidRPr="00FF15D7">
        <w:rPr>
          <w:szCs w:val="22"/>
        </w:rPr>
        <w:t xml:space="preserve"> </w:t>
      </w:r>
      <w:r>
        <w:rPr>
          <w:szCs w:val="22"/>
        </w:rPr>
        <w:t xml:space="preserve"> </w:t>
      </w:r>
      <w:r>
        <w:rPr>
          <w:i/>
          <w:szCs w:val="22"/>
        </w:rPr>
        <w:t>S</w:t>
      </w:r>
      <w:r w:rsidRPr="00FF15D7">
        <w:rPr>
          <w:i/>
          <w:szCs w:val="22"/>
        </w:rPr>
        <w:t>ee</w:t>
      </w:r>
      <w:r w:rsidRPr="00FF15D7">
        <w:rPr>
          <w:szCs w:val="22"/>
        </w:rPr>
        <w:t xml:space="preserve"> </w:t>
      </w:r>
      <w:r>
        <w:t>47 CFR §</w:t>
      </w:r>
      <w:r w:rsidRPr="00FF15D7">
        <w:t xml:space="preserve"> 11.31</w:t>
      </w:r>
      <w:r w:rsidRPr="00FF15D7">
        <w:rPr>
          <w:szCs w:val="22"/>
        </w:rPr>
        <w:t>(</w:t>
      </w:r>
      <w:r>
        <w:rPr>
          <w:szCs w:val="22"/>
        </w:rPr>
        <w:t>c).</w:t>
      </w:r>
    </w:p>
  </w:footnote>
  <w:footnote w:id="18">
    <w:p w14:paraId="35FFD699" w14:textId="160F3583" w:rsidR="00A868D6" w:rsidRDefault="00A868D6">
      <w:pPr>
        <w:pStyle w:val="FootnoteText"/>
      </w:pPr>
      <w:r>
        <w:rPr>
          <w:rStyle w:val="FootnoteReference"/>
        </w:rPr>
        <w:footnoteRef/>
      </w:r>
      <w:r>
        <w:t xml:space="preserve"> </w:t>
      </w:r>
      <w:r w:rsidRPr="000C54C6">
        <w:rPr>
          <w:i/>
          <w:szCs w:val="22"/>
        </w:rPr>
        <w:t>See</w:t>
      </w:r>
      <w:r>
        <w:rPr>
          <w:szCs w:val="22"/>
        </w:rPr>
        <w:t xml:space="preserve"> </w:t>
      </w:r>
      <w:r w:rsidRPr="00760E67">
        <w:rPr>
          <w:i/>
        </w:rPr>
        <w:t>Amendment of Part 11 of the Commission’s Rules Regarding the Emergency Alert System</w:t>
      </w:r>
      <w:r w:rsidRPr="006D167D">
        <w:rPr>
          <w:szCs w:val="22"/>
        </w:rPr>
        <w:t xml:space="preserve">, </w:t>
      </w:r>
      <w:r w:rsidRPr="00760E67">
        <w:t>Report and Order</w:t>
      </w:r>
      <w:r w:rsidRPr="006D167D">
        <w:rPr>
          <w:szCs w:val="22"/>
        </w:rPr>
        <w:t>, 17 FCC Rcd 4055, 4070</w:t>
      </w:r>
      <w:r>
        <w:rPr>
          <w:szCs w:val="22"/>
        </w:rPr>
        <w:t>, para. 36</w:t>
      </w:r>
      <w:r w:rsidRPr="006D167D">
        <w:rPr>
          <w:szCs w:val="22"/>
        </w:rPr>
        <w:t xml:space="preserve"> (2002)</w:t>
      </w:r>
      <w:r>
        <w:rPr>
          <w:szCs w:val="22"/>
        </w:rPr>
        <w:t xml:space="preserve"> (</w:t>
      </w:r>
      <w:r w:rsidRPr="0049116F">
        <w:rPr>
          <w:i/>
          <w:szCs w:val="22"/>
        </w:rPr>
        <w:t xml:space="preserve">2002 Report and </w:t>
      </w:r>
      <w:r>
        <w:rPr>
          <w:i/>
          <w:szCs w:val="22"/>
        </w:rPr>
        <w:t>O</w:t>
      </w:r>
      <w:r w:rsidRPr="0049116F">
        <w:rPr>
          <w:i/>
          <w:szCs w:val="22"/>
        </w:rPr>
        <w:t>rder</w:t>
      </w:r>
      <w:r>
        <w:rPr>
          <w:szCs w:val="22"/>
        </w:rPr>
        <w:t>)</w:t>
      </w:r>
      <w:r w:rsidRPr="006D167D">
        <w:rPr>
          <w:szCs w:val="22"/>
        </w:rPr>
        <w:t>.</w:t>
      </w:r>
      <w:r>
        <w:rPr>
          <w:szCs w:val="22"/>
        </w:rPr>
        <w:t xml:space="preserve">  </w:t>
      </w:r>
      <w:r w:rsidRPr="00153AC0">
        <w:rPr>
          <w:i/>
          <w:szCs w:val="22"/>
        </w:rPr>
        <w:t>See</w:t>
      </w:r>
      <w:r w:rsidRPr="00153AC0">
        <w:rPr>
          <w:szCs w:val="22"/>
        </w:rPr>
        <w:t xml:space="preserve"> </w:t>
      </w:r>
      <w:r w:rsidRPr="00153AC0">
        <w:rPr>
          <w:i/>
          <w:szCs w:val="22"/>
        </w:rPr>
        <w:t>also</w:t>
      </w:r>
      <w:r>
        <w:rPr>
          <w:szCs w:val="22"/>
        </w:rPr>
        <w:t xml:space="preserve"> </w:t>
      </w:r>
      <w:r w:rsidRPr="00760E67">
        <w:t xml:space="preserve">NWS </w:t>
      </w:r>
      <w:r w:rsidRPr="0060325A">
        <w:rPr>
          <w:szCs w:val="22"/>
        </w:rPr>
        <w:t>Feb</w:t>
      </w:r>
      <w:r>
        <w:rPr>
          <w:szCs w:val="22"/>
        </w:rPr>
        <w:t>ruary 2015</w:t>
      </w:r>
      <w:r w:rsidRPr="00153AC0">
        <w:rPr>
          <w:i/>
          <w:szCs w:val="22"/>
        </w:rPr>
        <w:t xml:space="preserve"> Ex Parte</w:t>
      </w:r>
      <w:r>
        <w:rPr>
          <w:i/>
          <w:szCs w:val="22"/>
        </w:rPr>
        <w:t xml:space="preserve"> </w:t>
      </w:r>
      <w:r>
        <w:rPr>
          <w:szCs w:val="22"/>
        </w:rPr>
        <w:t xml:space="preserve">Letter. </w:t>
      </w:r>
    </w:p>
  </w:footnote>
  <w:footnote w:id="19">
    <w:p w14:paraId="32D88D11" w14:textId="6084977D" w:rsidR="00A868D6" w:rsidRDefault="00A868D6" w:rsidP="00E62003">
      <w:pPr>
        <w:pStyle w:val="FootnoteText"/>
      </w:pPr>
      <w:r>
        <w:rPr>
          <w:rStyle w:val="FootnoteReference"/>
        </w:rPr>
        <w:footnoteRef/>
      </w:r>
      <w:r>
        <w:t xml:space="preserve"> </w:t>
      </w:r>
      <w:r w:rsidRPr="00420199">
        <w:rPr>
          <w:i/>
        </w:rPr>
        <w:t>See NWS NPRM</w:t>
      </w:r>
      <w:r>
        <w:t xml:space="preserve">, </w:t>
      </w:r>
      <w:r w:rsidRPr="008A092A">
        <w:rPr>
          <w:szCs w:val="22"/>
        </w:rPr>
        <w:t xml:space="preserve">30 FCC Rcd </w:t>
      </w:r>
      <w:r>
        <w:rPr>
          <w:szCs w:val="22"/>
        </w:rPr>
        <w:t xml:space="preserve">at </w:t>
      </w:r>
      <w:r w:rsidRPr="008A092A">
        <w:rPr>
          <w:szCs w:val="22"/>
        </w:rPr>
        <w:t>74</w:t>
      </w:r>
      <w:r>
        <w:rPr>
          <w:szCs w:val="22"/>
        </w:rPr>
        <w:t xml:space="preserve">70, para. 4 </w:t>
      </w:r>
      <w:r>
        <w:t>(</w:t>
      </w:r>
      <w:r w:rsidRPr="00420199">
        <w:rPr>
          <w:i/>
        </w:rPr>
        <w:t>citing</w:t>
      </w:r>
      <w:r>
        <w:t xml:space="preserve"> </w:t>
      </w:r>
      <w:r w:rsidRPr="00760E67">
        <w:t>NWS 2011 Request</w:t>
      </w:r>
      <w:r>
        <w:t xml:space="preserve"> at 1-2).</w:t>
      </w:r>
    </w:p>
  </w:footnote>
  <w:footnote w:id="20">
    <w:p w14:paraId="38A884B7" w14:textId="79AAC4F8" w:rsidR="00A868D6" w:rsidRDefault="00A868D6" w:rsidP="00EE7A83">
      <w:pPr>
        <w:pStyle w:val="FootnoteText"/>
      </w:pPr>
      <w:r>
        <w:rPr>
          <w:rStyle w:val="FootnoteReference"/>
        </w:rPr>
        <w:footnoteRef/>
      </w:r>
      <w:r>
        <w:t xml:space="preserve"> </w:t>
      </w:r>
      <w:r w:rsidRPr="00420199">
        <w:rPr>
          <w:i/>
        </w:rPr>
        <w:t xml:space="preserve">See </w:t>
      </w:r>
      <w:r>
        <w:rPr>
          <w:i/>
        </w:rPr>
        <w:t>id</w:t>
      </w:r>
      <w:r>
        <w:t>. (</w:t>
      </w:r>
      <w:r w:rsidRPr="00420199">
        <w:rPr>
          <w:i/>
        </w:rPr>
        <w:t>citing</w:t>
      </w:r>
      <w:r>
        <w:t xml:space="preserve"> </w:t>
      </w:r>
      <w:r w:rsidRPr="00760E67">
        <w:t>NWS 2011 Request</w:t>
      </w:r>
      <w:r>
        <w:t xml:space="preserve"> at 3).  NWS observed, for example, that use of the “Tornado Warning” (TOR) event code to warn of high winds associated with Hurricane Charley in 2004 had caused confusion among the public.  </w:t>
      </w:r>
      <w:r w:rsidRPr="00421D55">
        <w:rPr>
          <w:i/>
        </w:rPr>
        <w:t>See id</w:t>
      </w:r>
      <w:r>
        <w:t xml:space="preserve">.  As the </w:t>
      </w:r>
      <w:r w:rsidRPr="008A092A">
        <w:rPr>
          <w:i/>
        </w:rPr>
        <w:t>NWS NPRM</w:t>
      </w:r>
      <w:r>
        <w:t xml:space="preserve"> noted, the existing event codes </w:t>
      </w:r>
      <w:r w:rsidRPr="00C61AF7">
        <w:t>re</w:t>
      </w:r>
      <w:r>
        <w:t>lated to h</w:t>
      </w:r>
      <w:r w:rsidRPr="00C61AF7">
        <w:t>urricanes (</w:t>
      </w:r>
      <w:r w:rsidRPr="00C61AF7">
        <w:rPr>
          <w:i/>
        </w:rPr>
        <w:t>i.e.</w:t>
      </w:r>
      <w:r w:rsidRPr="00C61AF7">
        <w:t>, HUW for Hurricane Warning, HUA for Hurricane Watch, and HLS for Hurricane Statement</w:t>
      </w:r>
      <w:r>
        <w:t xml:space="preserve">) </w:t>
      </w:r>
      <w:r w:rsidRPr="00C61AF7">
        <w:t>apply generally to the hurricane event itself, and are not specifically tailored to warn of extreme sustained surface winds associated with a Category 3</w:t>
      </w:r>
      <w:r>
        <w:t xml:space="preserve"> (or greater) </w:t>
      </w:r>
      <w:r w:rsidRPr="00C61AF7">
        <w:t>hurricane</w:t>
      </w:r>
      <w:r>
        <w:t xml:space="preserve">.  </w:t>
      </w:r>
      <w:r w:rsidRPr="00421D55">
        <w:rPr>
          <w:i/>
        </w:rPr>
        <w:t>See id</w:t>
      </w:r>
      <w:r>
        <w:t>. (</w:t>
      </w:r>
      <w:r w:rsidRPr="00421D55">
        <w:rPr>
          <w:i/>
        </w:rPr>
        <w:t>citing</w:t>
      </w:r>
      <w:r>
        <w:t xml:space="preserve"> </w:t>
      </w:r>
      <w:r w:rsidRPr="00B01CF2">
        <w:rPr>
          <w:smallCaps/>
        </w:rPr>
        <w:t>Hurricane Preparedness - Watches &amp; Warnings</w:t>
      </w:r>
      <w:r>
        <w:rPr>
          <w:smallCaps/>
        </w:rPr>
        <w:t xml:space="preserve">, </w:t>
      </w:r>
      <w:r w:rsidRPr="000936CD">
        <w:rPr>
          <w:smallCaps/>
        </w:rPr>
        <w:t>National Weather Service</w:t>
      </w:r>
      <w:r w:rsidRPr="00B01CF2">
        <w:rPr>
          <w:smallCaps/>
        </w:rPr>
        <w:t>, N</w:t>
      </w:r>
      <w:r w:rsidRPr="000936CD">
        <w:rPr>
          <w:smallCaps/>
        </w:rPr>
        <w:t>ational Hurricane Center,</w:t>
      </w:r>
      <w:r>
        <w:rPr>
          <w:smallCaps/>
        </w:rPr>
        <w:t xml:space="preserve"> </w:t>
      </w:r>
      <w:hyperlink r:id="rId2" w:history="1">
        <w:r w:rsidRPr="000936CD">
          <w:rPr>
            <w:rStyle w:val="Hyperlink"/>
          </w:rPr>
          <w:t>http://www.nhc.noaa.gov/prepare/wwa.php</w:t>
        </w:r>
      </w:hyperlink>
      <w:r>
        <w:t xml:space="preserve"> </w:t>
      </w:r>
      <w:r>
        <w:rPr>
          <w:smallCaps/>
        </w:rPr>
        <w:t>(</w:t>
      </w:r>
      <w:r>
        <w:t>last visited Feb. 24, 2016))</w:t>
      </w:r>
      <w:r>
        <w:rPr>
          <w:smallCaps/>
        </w:rPr>
        <w:t xml:space="preserve">.  </w:t>
      </w:r>
    </w:p>
  </w:footnote>
  <w:footnote w:id="21">
    <w:p w14:paraId="33F83B85" w14:textId="77777777" w:rsidR="00A868D6" w:rsidRDefault="00A868D6" w:rsidP="00E62003">
      <w:pPr>
        <w:pStyle w:val="FootnoteText"/>
      </w:pPr>
      <w:r>
        <w:rPr>
          <w:rStyle w:val="FootnoteReference"/>
        </w:rPr>
        <w:footnoteRef/>
      </w:r>
      <w:r>
        <w:t xml:space="preserve"> </w:t>
      </w:r>
      <w:r>
        <w:rPr>
          <w:i/>
        </w:rPr>
        <w:t>Id</w:t>
      </w:r>
      <w:r>
        <w:t>. (</w:t>
      </w:r>
      <w:r w:rsidRPr="00420199">
        <w:rPr>
          <w:i/>
        </w:rPr>
        <w:t>citing</w:t>
      </w:r>
      <w:r>
        <w:t xml:space="preserve"> </w:t>
      </w:r>
      <w:r w:rsidRPr="00760E67">
        <w:t>NWS 2011 Request</w:t>
      </w:r>
      <w:r>
        <w:t xml:space="preserve"> at 2-3).   </w:t>
      </w:r>
    </w:p>
  </w:footnote>
  <w:footnote w:id="22">
    <w:p w14:paraId="55102B64" w14:textId="77777777" w:rsidR="00A868D6" w:rsidRDefault="00A868D6">
      <w:pPr>
        <w:pStyle w:val="FootnoteText"/>
      </w:pPr>
      <w:r>
        <w:rPr>
          <w:rStyle w:val="FootnoteReference"/>
        </w:rPr>
        <w:footnoteRef/>
      </w:r>
      <w:r>
        <w:t xml:space="preserve"> </w:t>
      </w:r>
      <w:r w:rsidRPr="00420199">
        <w:rPr>
          <w:i/>
        </w:rPr>
        <w:t xml:space="preserve">See </w:t>
      </w:r>
      <w:r>
        <w:rPr>
          <w:i/>
        </w:rPr>
        <w:t>id</w:t>
      </w:r>
      <w:r>
        <w:t xml:space="preserve">. at para. 5.  </w:t>
      </w:r>
    </w:p>
  </w:footnote>
  <w:footnote w:id="23">
    <w:p w14:paraId="685D7F81" w14:textId="77777777" w:rsidR="00A868D6" w:rsidRDefault="00A868D6" w:rsidP="009F4B10">
      <w:pPr>
        <w:pStyle w:val="FootnoteText"/>
      </w:pPr>
      <w:r>
        <w:rPr>
          <w:rStyle w:val="FootnoteReference"/>
        </w:rPr>
        <w:footnoteRef/>
      </w:r>
      <w:r>
        <w:rPr>
          <w:i/>
        </w:rPr>
        <w:t xml:space="preserve"> Id</w:t>
      </w:r>
      <w:r>
        <w:t>. (</w:t>
      </w:r>
      <w:r w:rsidRPr="00420199">
        <w:rPr>
          <w:i/>
        </w:rPr>
        <w:t>citing</w:t>
      </w:r>
      <w:r>
        <w:t xml:space="preserve"> </w:t>
      </w:r>
      <w:r w:rsidRPr="00760E67">
        <w:t>NWS 2011 Request</w:t>
      </w:r>
      <w:r>
        <w:t xml:space="preserve"> at Attachment B).</w:t>
      </w:r>
    </w:p>
  </w:footnote>
  <w:footnote w:id="24">
    <w:p w14:paraId="65F17272" w14:textId="77777777" w:rsidR="00A868D6" w:rsidRDefault="00A868D6" w:rsidP="00877C63">
      <w:pPr>
        <w:pStyle w:val="FootnoteText"/>
      </w:pPr>
      <w:r>
        <w:rPr>
          <w:rStyle w:val="FootnoteReference"/>
        </w:rPr>
        <w:footnoteRef/>
      </w:r>
      <w:r>
        <w:t xml:space="preserve"> </w:t>
      </w:r>
      <w:r w:rsidRPr="00420199">
        <w:rPr>
          <w:i/>
        </w:rPr>
        <w:t xml:space="preserve">See </w:t>
      </w:r>
      <w:r>
        <w:rPr>
          <w:i/>
        </w:rPr>
        <w:t>id</w:t>
      </w:r>
      <w:r>
        <w:t>. (</w:t>
      </w:r>
      <w:r w:rsidRPr="00420199">
        <w:rPr>
          <w:i/>
        </w:rPr>
        <w:t>citing</w:t>
      </w:r>
      <w:r>
        <w:t xml:space="preserve"> </w:t>
      </w:r>
      <w:r w:rsidRPr="00760E67">
        <w:t>NWS Consolidated</w:t>
      </w:r>
      <w:r w:rsidRPr="0060325A">
        <w:t xml:space="preserve"> </w:t>
      </w:r>
      <w:r w:rsidRPr="00760E67">
        <w:t>Request</w:t>
      </w:r>
      <w:r>
        <w:t xml:space="preserve"> at Attachment B).</w:t>
      </w:r>
    </w:p>
  </w:footnote>
  <w:footnote w:id="25">
    <w:p w14:paraId="7AC05F8B" w14:textId="77777777" w:rsidR="00A868D6" w:rsidRDefault="00A868D6">
      <w:pPr>
        <w:pStyle w:val="FootnoteText"/>
      </w:pPr>
      <w:r>
        <w:rPr>
          <w:rStyle w:val="FootnoteReference"/>
        </w:rPr>
        <w:footnoteRef/>
      </w:r>
      <w:r>
        <w:t xml:space="preserve"> </w:t>
      </w:r>
      <w:r>
        <w:rPr>
          <w:i/>
        </w:rPr>
        <w:t>Id</w:t>
      </w:r>
      <w:r>
        <w:t>. at para. 6 (</w:t>
      </w:r>
      <w:r>
        <w:rPr>
          <w:i/>
        </w:rPr>
        <w:t>citing</w:t>
      </w:r>
      <w:r>
        <w:t xml:space="preserve"> </w:t>
      </w:r>
      <w:r w:rsidRPr="00760E67">
        <w:t>NWS Consolidated</w:t>
      </w:r>
      <w:r w:rsidRPr="0060325A">
        <w:t xml:space="preserve"> </w:t>
      </w:r>
      <w:r w:rsidRPr="00760E67">
        <w:t>Request</w:t>
      </w:r>
      <w:r>
        <w:t xml:space="preserve"> at 2).</w:t>
      </w:r>
    </w:p>
  </w:footnote>
  <w:footnote w:id="26">
    <w:p w14:paraId="411E596C" w14:textId="77777777" w:rsidR="00A868D6" w:rsidRDefault="00A868D6" w:rsidP="009E5B4A">
      <w:pPr>
        <w:pStyle w:val="FootnoteText"/>
      </w:pPr>
      <w:r>
        <w:rPr>
          <w:rStyle w:val="FootnoteReference"/>
        </w:rPr>
        <w:footnoteRef/>
      </w:r>
      <w:r>
        <w:t xml:space="preserve"> </w:t>
      </w:r>
      <w:r>
        <w:rPr>
          <w:i/>
        </w:rPr>
        <w:t>Id</w:t>
      </w:r>
      <w:r>
        <w:t>. (</w:t>
      </w:r>
      <w:r w:rsidRPr="00420199">
        <w:rPr>
          <w:i/>
        </w:rPr>
        <w:t>citing</w:t>
      </w:r>
      <w:r>
        <w:t xml:space="preserve"> </w:t>
      </w:r>
      <w:r w:rsidRPr="00760E67">
        <w:t>NWS Consolidated</w:t>
      </w:r>
      <w:r w:rsidRPr="0060325A">
        <w:t xml:space="preserve"> </w:t>
      </w:r>
      <w:r w:rsidRPr="00760E67">
        <w:t>Request</w:t>
      </w:r>
      <w:r>
        <w:t xml:space="preserve"> at Attachment B). </w:t>
      </w:r>
    </w:p>
  </w:footnote>
  <w:footnote w:id="27">
    <w:p w14:paraId="44595CBA" w14:textId="59B47964" w:rsidR="00A868D6" w:rsidRDefault="00A868D6" w:rsidP="00696EFD">
      <w:pPr>
        <w:pStyle w:val="FootnoteText"/>
      </w:pPr>
      <w:r>
        <w:rPr>
          <w:rStyle w:val="FootnoteReference"/>
        </w:rPr>
        <w:footnoteRef/>
      </w:r>
      <w:r>
        <w:t xml:space="preserve"> </w:t>
      </w:r>
      <w:r w:rsidRPr="00420199">
        <w:rPr>
          <w:i/>
        </w:rPr>
        <w:t>See NWS NPRM</w:t>
      </w:r>
      <w:r>
        <w:t xml:space="preserve">, </w:t>
      </w:r>
      <w:r w:rsidRPr="008A092A">
        <w:rPr>
          <w:szCs w:val="22"/>
        </w:rPr>
        <w:t xml:space="preserve">30 FCC Rcd </w:t>
      </w:r>
      <w:r>
        <w:rPr>
          <w:szCs w:val="22"/>
        </w:rPr>
        <w:t xml:space="preserve">at </w:t>
      </w:r>
      <w:r w:rsidRPr="008A092A">
        <w:rPr>
          <w:szCs w:val="22"/>
        </w:rPr>
        <w:t>74</w:t>
      </w:r>
      <w:r>
        <w:rPr>
          <w:szCs w:val="22"/>
        </w:rPr>
        <w:t>70-71, para. 6</w:t>
      </w:r>
      <w:r>
        <w:t xml:space="preserve"> (</w:t>
      </w:r>
      <w:r w:rsidRPr="00420199">
        <w:rPr>
          <w:i/>
        </w:rPr>
        <w:t>citing</w:t>
      </w:r>
      <w:r>
        <w:t xml:space="preserve"> </w:t>
      </w:r>
      <w:r w:rsidRPr="00760E67">
        <w:t>NWS Consolidated</w:t>
      </w:r>
      <w:r w:rsidRPr="0060325A">
        <w:t xml:space="preserve"> </w:t>
      </w:r>
      <w:r w:rsidRPr="00760E67">
        <w:t>Request</w:t>
      </w:r>
      <w:r>
        <w:t xml:space="preserve"> at Attachment B).</w:t>
      </w:r>
    </w:p>
  </w:footnote>
  <w:footnote w:id="28">
    <w:p w14:paraId="334712E7" w14:textId="7BA1C924" w:rsidR="00A868D6" w:rsidRDefault="00A868D6">
      <w:pPr>
        <w:pStyle w:val="FootnoteText"/>
      </w:pPr>
      <w:r>
        <w:rPr>
          <w:rStyle w:val="FootnoteReference"/>
        </w:rPr>
        <w:footnoteRef/>
      </w:r>
      <w:r>
        <w:t xml:space="preserve"> </w:t>
      </w:r>
      <w:r w:rsidRPr="00420199">
        <w:rPr>
          <w:i/>
        </w:rPr>
        <w:t>See</w:t>
      </w:r>
      <w:r w:rsidRPr="008A092A">
        <w:rPr>
          <w:i/>
        </w:rPr>
        <w:t xml:space="preserve"> </w:t>
      </w:r>
      <w:r w:rsidRPr="00420199">
        <w:rPr>
          <w:i/>
        </w:rPr>
        <w:t>NWS NPRM</w:t>
      </w:r>
      <w:r>
        <w:t xml:space="preserve">, </w:t>
      </w:r>
      <w:r w:rsidRPr="008A092A">
        <w:rPr>
          <w:szCs w:val="22"/>
        </w:rPr>
        <w:t xml:space="preserve">30 FCC Rcd </w:t>
      </w:r>
      <w:r>
        <w:rPr>
          <w:szCs w:val="22"/>
        </w:rPr>
        <w:t xml:space="preserve">at </w:t>
      </w:r>
      <w:r w:rsidRPr="008A092A">
        <w:rPr>
          <w:szCs w:val="22"/>
        </w:rPr>
        <w:t>74</w:t>
      </w:r>
      <w:r>
        <w:rPr>
          <w:szCs w:val="22"/>
        </w:rPr>
        <w:t>71, para. 7</w:t>
      </w:r>
      <w:r>
        <w:t xml:space="preserve">.  </w:t>
      </w:r>
    </w:p>
  </w:footnote>
  <w:footnote w:id="29">
    <w:p w14:paraId="48ACFEC2" w14:textId="316FA967" w:rsidR="00A868D6" w:rsidRDefault="00A868D6">
      <w:pPr>
        <w:pStyle w:val="FootnoteText"/>
      </w:pPr>
      <w:r>
        <w:rPr>
          <w:rStyle w:val="FootnoteReference"/>
        </w:rPr>
        <w:footnoteRef/>
      </w:r>
      <w:r>
        <w:t xml:space="preserve"> </w:t>
      </w:r>
      <w:r>
        <w:rPr>
          <w:i/>
        </w:rPr>
        <w:t>Id</w:t>
      </w:r>
      <w:r>
        <w:t>. (</w:t>
      </w:r>
      <w:r w:rsidRPr="00420199">
        <w:rPr>
          <w:i/>
        </w:rPr>
        <w:t>citing</w:t>
      </w:r>
      <w:r>
        <w:t xml:space="preserve"> 47 U.S.C. § 1).</w:t>
      </w:r>
    </w:p>
  </w:footnote>
  <w:footnote w:id="30">
    <w:p w14:paraId="2FB64653" w14:textId="77777777" w:rsidR="00A868D6" w:rsidRDefault="00A868D6">
      <w:pPr>
        <w:pStyle w:val="FootnoteText"/>
      </w:pPr>
      <w:r>
        <w:rPr>
          <w:rStyle w:val="FootnoteReference"/>
        </w:rPr>
        <w:footnoteRef/>
      </w:r>
      <w:r>
        <w:t xml:space="preserve"> </w:t>
      </w:r>
      <w:r w:rsidRPr="00420199">
        <w:rPr>
          <w:i/>
        </w:rPr>
        <w:t xml:space="preserve">See </w:t>
      </w:r>
      <w:r>
        <w:rPr>
          <w:i/>
        </w:rPr>
        <w:t>id</w:t>
      </w:r>
      <w:r>
        <w:t xml:space="preserve">.  </w:t>
      </w:r>
    </w:p>
  </w:footnote>
  <w:footnote w:id="31">
    <w:p w14:paraId="7EB49C90" w14:textId="77777777" w:rsidR="00A868D6" w:rsidRDefault="00A868D6">
      <w:pPr>
        <w:pStyle w:val="FootnoteText"/>
      </w:pPr>
      <w:r>
        <w:rPr>
          <w:rStyle w:val="FootnoteReference"/>
        </w:rPr>
        <w:footnoteRef/>
      </w:r>
      <w:r>
        <w:t xml:space="preserve"> </w:t>
      </w:r>
      <w:r w:rsidRPr="00420199">
        <w:rPr>
          <w:i/>
        </w:rPr>
        <w:t xml:space="preserve">See </w:t>
      </w:r>
      <w:r>
        <w:rPr>
          <w:i/>
        </w:rPr>
        <w:t>id</w:t>
      </w:r>
      <w:r>
        <w:t>. at para. 8.</w:t>
      </w:r>
    </w:p>
  </w:footnote>
  <w:footnote w:id="32">
    <w:p w14:paraId="71E74C47" w14:textId="77777777" w:rsidR="00A868D6" w:rsidRDefault="00A868D6">
      <w:pPr>
        <w:pStyle w:val="FootnoteText"/>
      </w:pPr>
      <w:r>
        <w:rPr>
          <w:rStyle w:val="FootnoteReference"/>
        </w:rPr>
        <w:footnoteRef/>
      </w:r>
      <w:r>
        <w:t xml:space="preserve"> </w:t>
      </w:r>
      <w:r w:rsidRPr="00420199">
        <w:rPr>
          <w:i/>
        </w:rPr>
        <w:t xml:space="preserve">See </w:t>
      </w:r>
      <w:r>
        <w:rPr>
          <w:i/>
        </w:rPr>
        <w:t>id</w:t>
      </w:r>
      <w:r>
        <w:t>.</w:t>
      </w:r>
    </w:p>
  </w:footnote>
  <w:footnote w:id="33">
    <w:p w14:paraId="51662552" w14:textId="08AE65CA" w:rsidR="00A868D6" w:rsidRDefault="00A868D6">
      <w:pPr>
        <w:pStyle w:val="FootnoteText"/>
      </w:pPr>
      <w:r>
        <w:rPr>
          <w:rStyle w:val="FootnoteReference"/>
        </w:rPr>
        <w:footnoteRef/>
      </w:r>
      <w:r>
        <w:t xml:space="preserve"> </w:t>
      </w:r>
      <w:r w:rsidRPr="007A6245">
        <w:rPr>
          <w:i/>
        </w:rPr>
        <w:t>See</w:t>
      </w:r>
      <w:r w:rsidRPr="007A6245">
        <w:t xml:space="preserve"> </w:t>
      </w:r>
      <w:r w:rsidRPr="00420199">
        <w:rPr>
          <w:i/>
        </w:rPr>
        <w:t>NWS NPRM</w:t>
      </w:r>
      <w:r>
        <w:t xml:space="preserve">, </w:t>
      </w:r>
      <w:r w:rsidRPr="008A092A">
        <w:rPr>
          <w:szCs w:val="22"/>
        </w:rPr>
        <w:t xml:space="preserve">30 FCC Rcd </w:t>
      </w:r>
      <w:r>
        <w:rPr>
          <w:szCs w:val="22"/>
        </w:rPr>
        <w:t xml:space="preserve">at </w:t>
      </w:r>
      <w:r w:rsidRPr="008A092A">
        <w:rPr>
          <w:szCs w:val="22"/>
        </w:rPr>
        <w:t>74</w:t>
      </w:r>
      <w:r>
        <w:rPr>
          <w:szCs w:val="22"/>
        </w:rPr>
        <w:t xml:space="preserve">71-72, para. 9. </w:t>
      </w:r>
    </w:p>
  </w:footnote>
  <w:footnote w:id="34">
    <w:p w14:paraId="56B2996C" w14:textId="77777777" w:rsidR="00A868D6" w:rsidRDefault="00A868D6">
      <w:pPr>
        <w:pStyle w:val="FootnoteText"/>
      </w:pPr>
      <w:r>
        <w:rPr>
          <w:rStyle w:val="FootnoteReference"/>
        </w:rPr>
        <w:footnoteRef/>
      </w:r>
      <w:r>
        <w:t xml:space="preserve"> </w:t>
      </w:r>
      <w:r w:rsidRPr="00B908B5">
        <w:rPr>
          <w:i/>
        </w:rPr>
        <w:t>See id</w:t>
      </w:r>
      <w:r w:rsidRPr="00137515">
        <w:t>.</w:t>
      </w:r>
    </w:p>
  </w:footnote>
  <w:footnote w:id="35">
    <w:p w14:paraId="1CB4ADE3" w14:textId="77777777" w:rsidR="00A868D6" w:rsidRDefault="00A868D6" w:rsidP="00031E9F">
      <w:pPr>
        <w:pStyle w:val="FootnoteText"/>
      </w:pPr>
      <w:r>
        <w:rPr>
          <w:rStyle w:val="FootnoteReference"/>
        </w:rPr>
        <w:footnoteRef/>
      </w:r>
      <w:r>
        <w:t xml:space="preserve"> </w:t>
      </w:r>
      <w:r w:rsidRPr="00420199">
        <w:rPr>
          <w:i/>
        </w:rPr>
        <w:t xml:space="preserve">See </w:t>
      </w:r>
      <w:r>
        <w:rPr>
          <w:i/>
        </w:rPr>
        <w:t>id</w:t>
      </w:r>
      <w:r>
        <w:t>. (</w:t>
      </w:r>
      <w:r w:rsidRPr="00420199">
        <w:rPr>
          <w:i/>
        </w:rPr>
        <w:t>citing</w:t>
      </w:r>
      <w:r>
        <w:t xml:space="preserve"> </w:t>
      </w:r>
      <w:r w:rsidRPr="00760E67">
        <w:t>NWS Consolidated</w:t>
      </w:r>
      <w:r w:rsidRPr="0060325A">
        <w:t xml:space="preserve"> </w:t>
      </w:r>
      <w:r w:rsidRPr="00760E67">
        <w:t>Request</w:t>
      </w:r>
      <w:r w:rsidRPr="00032F3E">
        <w:t xml:space="preserve"> at Attachment B</w:t>
      </w:r>
      <w:r>
        <w:t xml:space="preserve">).   </w:t>
      </w:r>
    </w:p>
  </w:footnote>
  <w:footnote w:id="36">
    <w:p w14:paraId="5A7F9549" w14:textId="2583A5AA" w:rsidR="00A868D6" w:rsidRDefault="00A868D6">
      <w:pPr>
        <w:pStyle w:val="FootnoteText"/>
      </w:pPr>
      <w:r>
        <w:rPr>
          <w:rStyle w:val="FootnoteReference"/>
        </w:rPr>
        <w:footnoteRef/>
      </w:r>
      <w:r>
        <w:t xml:space="preserve"> </w:t>
      </w:r>
      <w:r w:rsidRPr="007A6245">
        <w:rPr>
          <w:i/>
        </w:rPr>
        <w:t>See</w:t>
      </w:r>
      <w:r w:rsidRPr="007A6245">
        <w:t xml:space="preserve"> </w:t>
      </w:r>
      <w:r w:rsidRPr="00420199">
        <w:rPr>
          <w:i/>
        </w:rPr>
        <w:t>NWS NPRM</w:t>
      </w:r>
      <w:r>
        <w:t xml:space="preserve">, </w:t>
      </w:r>
      <w:r w:rsidRPr="008A092A">
        <w:rPr>
          <w:szCs w:val="22"/>
        </w:rPr>
        <w:t xml:space="preserve">30 FCC Rcd </w:t>
      </w:r>
      <w:r>
        <w:rPr>
          <w:szCs w:val="22"/>
        </w:rPr>
        <w:t xml:space="preserve">at </w:t>
      </w:r>
      <w:r w:rsidRPr="008A092A">
        <w:rPr>
          <w:szCs w:val="22"/>
        </w:rPr>
        <w:t>74</w:t>
      </w:r>
      <w:r>
        <w:rPr>
          <w:szCs w:val="22"/>
        </w:rPr>
        <w:t>72-73, para. 10</w:t>
      </w:r>
      <w:r>
        <w:t>.</w:t>
      </w:r>
    </w:p>
  </w:footnote>
  <w:footnote w:id="37">
    <w:p w14:paraId="6B8EF7B8" w14:textId="77777777" w:rsidR="00A868D6" w:rsidRDefault="00A868D6" w:rsidP="00137515">
      <w:pPr>
        <w:pStyle w:val="FootnoteText"/>
      </w:pPr>
      <w:r>
        <w:rPr>
          <w:rStyle w:val="FootnoteReference"/>
        </w:rPr>
        <w:footnoteRef/>
      </w:r>
      <w:r>
        <w:t xml:space="preserve"> </w:t>
      </w:r>
      <w:r w:rsidRPr="00420199">
        <w:rPr>
          <w:i/>
        </w:rPr>
        <w:t xml:space="preserve">See </w:t>
      </w:r>
      <w:r>
        <w:rPr>
          <w:i/>
        </w:rPr>
        <w:t>id</w:t>
      </w:r>
      <w:r>
        <w:t>. (</w:t>
      </w:r>
      <w:r w:rsidRPr="00420199">
        <w:rPr>
          <w:i/>
        </w:rPr>
        <w:t>citing</w:t>
      </w:r>
      <w:r>
        <w:t xml:space="preserve"> </w:t>
      </w:r>
      <w:r w:rsidRPr="00760E67">
        <w:t>NWS Consolidated</w:t>
      </w:r>
      <w:r w:rsidRPr="0060325A">
        <w:t xml:space="preserve"> </w:t>
      </w:r>
      <w:r w:rsidRPr="00760E67">
        <w:t>Request</w:t>
      </w:r>
      <w:r>
        <w:t xml:space="preserve"> at Attachment A).  </w:t>
      </w:r>
      <w:r w:rsidRPr="009C0F5A">
        <w:t xml:space="preserve"> </w:t>
      </w:r>
    </w:p>
  </w:footnote>
  <w:footnote w:id="38">
    <w:p w14:paraId="66C244C1" w14:textId="06B7B551" w:rsidR="00A868D6" w:rsidRDefault="00A868D6">
      <w:pPr>
        <w:pStyle w:val="FootnoteText"/>
      </w:pPr>
      <w:r>
        <w:rPr>
          <w:rStyle w:val="FootnoteReference"/>
        </w:rPr>
        <w:footnoteRef/>
      </w:r>
      <w:r>
        <w:t xml:space="preserve"> </w:t>
      </w:r>
      <w:r w:rsidRPr="00137515">
        <w:rPr>
          <w:i/>
        </w:rPr>
        <w:t xml:space="preserve">See </w:t>
      </w:r>
      <w:r>
        <w:rPr>
          <w:i/>
        </w:rPr>
        <w:t>id</w:t>
      </w:r>
      <w:r>
        <w:t>.</w:t>
      </w:r>
      <w:r w:rsidRPr="00137515">
        <w:t xml:space="preserve"> (</w:t>
      </w:r>
      <w:r w:rsidRPr="00125DB6">
        <w:rPr>
          <w:i/>
        </w:rPr>
        <w:t>citing</w:t>
      </w:r>
      <w:r w:rsidRPr="00137515">
        <w:t xml:space="preserve"> </w:t>
      </w:r>
      <w:r w:rsidRPr="008818A0">
        <w:t xml:space="preserve">Letter from Michael Maginity, </w:t>
      </w:r>
      <w:r>
        <w:rPr>
          <w:snapToGrid w:val="0"/>
        </w:rPr>
        <w:t xml:space="preserve">EAS Engineering Manager, </w:t>
      </w:r>
      <w:r w:rsidRPr="008818A0">
        <w:t>Trilithic Inc. to Marlene H. Dortch, Secretary, FCC, EB Docket 04-296 (filed Feb. 6, 2015)</w:t>
      </w:r>
      <w:r>
        <w:t xml:space="preserve"> (Trilithic </w:t>
      </w:r>
      <w:r w:rsidRPr="004859E5">
        <w:rPr>
          <w:i/>
        </w:rPr>
        <w:t>Ex Parte</w:t>
      </w:r>
      <w:r>
        <w:t xml:space="preserve"> Letter); Letter from Ed Czarnecki, </w:t>
      </w:r>
      <w:r w:rsidRPr="00AC7988">
        <w:t xml:space="preserve">Senior Director of Strategic Development &amp; Global Government Affairs for Monroe Electronics, Inc., to Marlene H. Dortch, Secretary, FCC, EB Docket No. 04-296, at </w:t>
      </w:r>
      <w:r>
        <w:t>1</w:t>
      </w:r>
      <w:r w:rsidRPr="00AC7988">
        <w:t xml:space="preserve"> (filed Feb. </w:t>
      </w:r>
      <w:r>
        <w:t>13</w:t>
      </w:r>
      <w:r w:rsidRPr="00AC7988">
        <w:t>, 2015)</w:t>
      </w:r>
      <w:r>
        <w:t xml:space="preserve"> (Monroe </w:t>
      </w:r>
      <w:r w:rsidRPr="004859E5">
        <w:rPr>
          <w:i/>
        </w:rPr>
        <w:t>Ex Parte</w:t>
      </w:r>
      <w:r>
        <w:t xml:space="preserve"> Letter); and </w:t>
      </w:r>
      <w:r w:rsidRPr="003F2FFD">
        <w:t>Letter from Harold Price, President, Sage Alerting Systems, Inc., to Marlene H. Dortch, Secretary, FCC, EB Docket No. 04-296, at 2 (filed Feb. 11, 2015</w:t>
      </w:r>
      <w:r>
        <w:t xml:space="preserve">) (“Sage </w:t>
      </w:r>
      <w:r w:rsidRPr="00824BA3">
        <w:rPr>
          <w:i/>
        </w:rPr>
        <w:t>Ex Parte</w:t>
      </w:r>
      <w:r>
        <w:t xml:space="preserve"> Letter”)</w:t>
      </w:r>
      <w:r w:rsidRPr="00137515">
        <w:t xml:space="preserve">.   </w:t>
      </w:r>
    </w:p>
  </w:footnote>
  <w:footnote w:id="39">
    <w:p w14:paraId="45D48424" w14:textId="467735D6" w:rsidR="00A868D6" w:rsidRDefault="00A868D6" w:rsidP="004F2C11">
      <w:pPr>
        <w:pStyle w:val="FootnoteText"/>
      </w:pPr>
      <w:r>
        <w:rPr>
          <w:rStyle w:val="FootnoteReference"/>
        </w:rPr>
        <w:footnoteRef/>
      </w:r>
      <w:r>
        <w:t xml:space="preserve"> </w:t>
      </w:r>
      <w:r w:rsidRPr="00420199">
        <w:rPr>
          <w:i/>
        </w:rPr>
        <w:t>See</w:t>
      </w:r>
      <w:r w:rsidRPr="00B908B5">
        <w:rPr>
          <w:i/>
        </w:rPr>
        <w:t xml:space="preserve"> </w:t>
      </w:r>
      <w:r w:rsidRPr="00420199">
        <w:rPr>
          <w:i/>
        </w:rPr>
        <w:t>NWS NPRM</w:t>
      </w:r>
      <w:r>
        <w:t xml:space="preserve">, </w:t>
      </w:r>
      <w:r w:rsidRPr="008A092A">
        <w:rPr>
          <w:szCs w:val="22"/>
        </w:rPr>
        <w:t xml:space="preserve">30 FCC Rcd </w:t>
      </w:r>
      <w:r>
        <w:rPr>
          <w:szCs w:val="22"/>
        </w:rPr>
        <w:t xml:space="preserve">at </w:t>
      </w:r>
      <w:r w:rsidRPr="008A092A">
        <w:rPr>
          <w:szCs w:val="22"/>
        </w:rPr>
        <w:t>74</w:t>
      </w:r>
      <w:r>
        <w:rPr>
          <w:szCs w:val="22"/>
        </w:rPr>
        <w:t xml:space="preserve">73, para. 11 </w:t>
      </w:r>
      <w:r>
        <w:t>(</w:t>
      </w:r>
      <w:r w:rsidRPr="00420199">
        <w:rPr>
          <w:i/>
        </w:rPr>
        <w:t>citing</w:t>
      </w:r>
      <w:r>
        <w:t xml:space="preserve"> Sage </w:t>
      </w:r>
      <w:r w:rsidRPr="00824BA3">
        <w:rPr>
          <w:i/>
        </w:rPr>
        <w:t>Ex Parte</w:t>
      </w:r>
      <w:r>
        <w:t xml:space="preserve"> Letter).</w:t>
      </w:r>
    </w:p>
  </w:footnote>
  <w:footnote w:id="40">
    <w:p w14:paraId="04DE45BA" w14:textId="77777777" w:rsidR="00A868D6" w:rsidRDefault="00A868D6" w:rsidP="004F2C11">
      <w:pPr>
        <w:pStyle w:val="FootnoteText"/>
      </w:pPr>
      <w:r>
        <w:rPr>
          <w:rStyle w:val="FootnoteReference"/>
        </w:rPr>
        <w:footnoteRef/>
      </w:r>
      <w:r>
        <w:t xml:space="preserve"> </w:t>
      </w:r>
      <w:r w:rsidRPr="00741391">
        <w:rPr>
          <w:i/>
        </w:rPr>
        <w:t>See</w:t>
      </w:r>
      <w:r w:rsidRPr="00137515">
        <w:t xml:space="preserve"> </w:t>
      </w:r>
      <w:r>
        <w:rPr>
          <w:i/>
        </w:rPr>
        <w:t>id</w:t>
      </w:r>
      <w:r w:rsidRPr="00137515">
        <w:t>.</w:t>
      </w:r>
      <w:r>
        <w:t xml:space="preserve"> </w:t>
      </w:r>
    </w:p>
  </w:footnote>
  <w:footnote w:id="41">
    <w:p w14:paraId="5E25B295" w14:textId="5E985976" w:rsidR="00A868D6" w:rsidRDefault="00A868D6" w:rsidP="00310C69">
      <w:pPr>
        <w:pStyle w:val="FootnoteText"/>
      </w:pPr>
      <w:r>
        <w:rPr>
          <w:rStyle w:val="FootnoteReference"/>
        </w:rPr>
        <w:footnoteRef/>
      </w:r>
      <w:r>
        <w:t xml:space="preserve"> </w:t>
      </w:r>
      <w:r w:rsidRPr="009F21AA">
        <w:rPr>
          <w:i/>
        </w:rPr>
        <w:t>See</w:t>
      </w:r>
      <w:r>
        <w:t xml:space="preserve">, </w:t>
      </w:r>
      <w:r w:rsidRPr="009F21AA">
        <w:rPr>
          <w:i/>
        </w:rPr>
        <w:t>e</w:t>
      </w:r>
      <w:r>
        <w:t>.</w:t>
      </w:r>
      <w:r w:rsidRPr="009F21AA">
        <w:rPr>
          <w:i/>
        </w:rPr>
        <w:t>g</w:t>
      </w:r>
      <w:r>
        <w:t xml:space="preserve">., </w:t>
      </w:r>
      <w:r w:rsidRPr="009F21AA">
        <w:t>Mary Helen Goodloe-Murphy</w:t>
      </w:r>
      <w:r>
        <w:t xml:space="preserve">, </w:t>
      </w:r>
      <w:r w:rsidRPr="009F21AA">
        <w:t>Radio Hatteras</w:t>
      </w:r>
      <w:r>
        <w:t xml:space="preserve"> (</w:t>
      </w:r>
      <w:r w:rsidRPr="009F21AA">
        <w:t>WHDX-FM</w:t>
      </w:r>
      <w:r>
        <w:t xml:space="preserve">, </w:t>
      </w:r>
      <w:r w:rsidRPr="009F21AA">
        <w:t>WHDZ-FM</w:t>
      </w:r>
      <w:r>
        <w:t>), Comments at 1 (Radio Hatteras Comments) (</w:t>
      </w:r>
      <w:r w:rsidRPr="009F21AA">
        <w:t>“The board of directors of Radio Hatteras, WHDX-FM and WHDZ-FM, recommends that the commission approve the National Weather Service's request to add EAS event codes covering extreme wind and storm surges.”)</w:t>
      </w:r>
      <w:r w:rsidRPr="00BE1F26">
        <w:t xml:space="preserve">; Vince Kalson, Monroe County Florida Emergency Management, Comments, EB Docket 04-296 (filed Aug. 10, 2015) at 1 </w:t>
      </w:r>
      <w:r>
        <w:t>(</w:t>
      </w:r>
      <w:r w:rsidRPr="00BE1F26">
        <w:t xml:space="preserve">Monroe County Florida Emergency Management Comments </w:t>
      </w:r>
      <w:r>
        <w:t xml:space="preserve">) </w:t>
      </w:r>
      <w:r w:rsidRPr="00BE1F26">
        <w:t xml:space="preserve">(“[W]e believe coastal counties as well as many inland counties along the gulf and east coast will benefit greatly from the adoption of the additional EAS.”).  </w:t>
      </w:r>
      <w:r w:rsidRPr="00BE1F26">
        <w:rPr>
          <w:i/>
        </w:rPr>
        <w:t>See also</w:t>
      </w:r>
      <w:r>
        <w:rPr>
          <w:i/>
        </w:rPr>
        <w:t xml:space="preserve"> </w:t>
      </w:r>
      <w:r w:rsidRPr="00BE1F26">
        <w:t>Dena Mahan, Comments, EB Docket 04-296 (filed Aug. 10, 2015) at 1; Anthony Puccio, Florida Department of Transportation, Comments, EB Docket 04-296 (filed Aug. 10, 2015) at 1); Jeff Rubin, PhD, CEM, Comments at 1; Michael Dion, Comments at 1; Scott Spratt, Comments at 1; AT&amp;T Services, Inc., Comments at 2 (AT&amp;T Comments); The National Association of Broadcasters, Comments at 1-2 (NAB Comments).</w:t>
      </w:r>
      <w:r>
        <w:t xml:space="preserve"> </w:t>
      </w:r>
      <w:r w:rsidRPr="00D277FE">
        <w:t xml:space="preserve"> </w:t>
      </w:r>
      <w:r>
        <w:t xml:space="preserve">Only TFT opposed adoption of the new event codes and location code revisions.  </w:t>
      </w:r>
      <w:r w:rsidRPr="00407A16">
        <w:rPr>
          <w:i/>
        </w:rPr>
        <w:t>See infra</w:t>
      </w:r>
      <w:r>
        <w:t xml:space="preserve"> para. 11.  One other party, individual, H. Michael Mogil, also opposed adoption of the new event codes, but was silent on the proposed location code revisions.  </w:t>
      </w:r>
      <w:r w:rsidRPr="002B6464">
        <w:rPr>
          <w:i/>
        </w:rPr>
        <w:t xml:space="preserve">See </w:t>
      </w:r>
      <w:r>
        <w:t>H. Michael Mogil, Comments, EB Docket 04-296 (filed Aug. 10, 2015) at 1-2.</w:t>
      </w:r>
    </w:p>
  </w:footnote>
  <w:footnote w:id="42">
    <w:p w14:paraId="6740D8F1" w14:textId="420500EA" w:rsidR="00A868D6" w:rsidRDefault="00A868D6">
      <w:pPr>
        <w:pStyle w:val="FootnoteText"/>
      </w:pPr>
      <w:r>
        <w:rPr>
          <w:rStyle w:val="FootnoteReference"/>
        </w:rPr>
        <w:footnoteRef/>
      </w:r>
      <w:r>
        <w:t xml:space="preserve"> NAB Comments at</w:t>
      </w:r>
      <w:r w:rsidRPr="00FE1F01">
        <w:rPr>
          <w:snapToGrid w:val="0"/>
        </w:rPr>
        <w:t xml:space="preserve"> 1-2 (</w:t>
      </w:r>
      <w:r w:rsidRPr="00496235">
        <w:rPr>
          <w:i/>
          <w:snapToGrid w:val="0"/>
        </w:rPr>
        <w:t>citing</w:t>
      </w:r>
      <w:r w:rsidRPr="00FE1F01">
        <w:rPr>
          <w:snapToGrid w:val="0"/>
        </w:rPr>
        <w:t xml:space="preserve"> </w:t>
      </w:r>
      <w:r w:rsidRPr="00760E67">
        <w:t>NWS 2011 Request</w:t>
      </w:r>
      <w:r w:rsidRPr="00FE1F01">
        <w:rPr>
          <w:snapToGrid w:val="0"/>
        </w:rPr>
        <w:t xml:space="preserve"> and </w:t>
      </w:r>
      <w:r w:rsidRPr="00760E67">
        <w:t>NWS 2014 Comments 1</w:t>
      </w:r>
      <w:r>
        <w:rPr>
          <w:snapToGrid w:val="0"/>
        </w:rPr>
        <w:t>-</w:t>
      </w:r>
      <w:r w:rsidRPr="00760E67">
        <w:t>3</w:t>
      </w:r>
      <w:r w:rsidRPr="00FE1F01">
        <w:rPr>
          <w:snapToGrid w:val="0"/>
        </w:rPr>
        <w:t>).</w:t>
      </w:r>
    </w:p>
  </w:footnote>
  <w:footnote w:id="43">
    <w:p w14:paraId="3DCF7516" w14:textId="77777777" w:rsidR="00A868D6" w:rsidRDefault="00A868D6">
      <w:pPr>
        <w:pStyle w:val="FootnoteText"/>
      </w:pPr>
      <w:r>
        <w:rPr>
          <w:rStyle w:val="FootnoteReference"/>
        </w:rPr>
        <w:footnoteRef/>
      </w:r>
      <w:r>
        <w:t xml:space="preserve"> AT&amp;T Comments at 2. </w:t>
      </w:r>
    </w:p>
  </w:footnote>
  <w:footnote w:id="44">
    <w:p w14:paraId="5ACB972B" w14:textId="77777777" w:rsidR="00A868D6" w:rsidRDefault="00A868D6">
      <w:pPr>
        <w:pStyle w:val="FootnoteText"/>
      </w:pPr>
      <w:r>
        <w:rPr>
          <w:rStyle w:val="FootnoteReference"/>
        </w:rPr>
        <w:footnoteRef/>
      </w:r>
      <w:r>
        <w:t xml:space="preserve"> </w:t>
      </w:r>
      <w:r w:rsidRPr="002746E7">
        <w:rPr>
          <w:i/>
        </w:rPr>
        <w:t>See</w:t>
      </w:r>
      <w:r>
        <w:t xml:space="preserve"> TFT Comments at 2-4.  </w:t>
      </w:r>
      <w:r w:rsidRPr="002B6464">
        <w:rPr>
          <w:i/>
        </w:rPr>
        <w:t>See also</w:t>
      </w:r>
      <w:r>
        <w:t xml:space="preserve"> H. Michael Mogil, Comments, EB Docket 04-296 (filed Aug. 10, 2015) at 1-2.</w:t>
      </w:r>
    </w:p>
  </w:footnote>
  <w:footnote w:id="45">
    <w:p w14:paraId="4F734614" w14:textId="77777777" w:rsidR="00A868D6" w:rsidRDefault="00A868D6">
      <w:pPr>
        <w:pStyle w:val="FootnoteText"/>
      </w:pPr>
      <w:r>
        <w:rPr>
          <w:rStyle w:val="FootnoteReference"/>
        </w:rPr>
        <w:footnoteRef/>
      </w:r>
      <w:r>
        <w:t xml:space="preserve"> TFT Comments at 3.</w:t>
      </w:r>
    </w:p>
  </w:footnote>
  <w:footnote w:id="46">
    <w:p w14:paraId="145457F7" w14:textId="66592CBB" w:rsidR="00A868D6" w:rsidRDefault="00A868D6">
      <w:pPr>
        <w:pStyle w:val="FootnoteText"/>
      </w:pPr>
      <w:r>
        <w:rPr>
          <w:rStyle w:val="FootnoteReference"/>
        </w:rPr>
        <w:footnoteRef/>
      </w:r>
      <w:r>
        <w:t xml:space="preserve"> </w:t>
      </w:r>
      <w:r w:rsidRPr="001D3BCA">
        <w:rPr>
          <w:i/>
        </w:rPr>
        <w:t>See</w:t>
      </w:r>
      <w:r>
        <w:t xml:space="preserve"> 47 CFR § 11.31(e).</w:t>
      </w:r>
    </w:p>
  </w:footnote>
  <w:footnote w:id="47">
    <w:p w14:paraId="02BF6B63" w14:textId="0615E18C" w:rsidR="00A868D6" w:rsidRDefault="00A868D6">
      <w:pPr>
        <w:pStyle w:val="FootnoteText"/>
      </w:pPr>
      <w:r>
        <w:rPr>
          <w:rStyle w:val="FootnoteReference"/>
        </w:rPr>
        <w:footnoteRef/>
      </w:r>
      <w:r>
        <w:t xml:space="preserve"> </w:t>
      </w:r>
      <w:r w:rsidRPr="00741391">
        <w:rPr>
          <w:i/>
        </w:rPr>
        <w:t>See</w:t>
      </w:r>
      <w:r>
        <w:t xml:space="preserve">, </w:t>
      </w:r>
      <w:r w:rsidRPr="006A2A03">
        <w:rPr>
          <w:i/>
        </w:rPr>
        <w:t>e</w:t>
      </w:r>
      <w:r>
        <w:t>.</w:t>
      </w:r>
      <w:r w:rsidRPr="006A2A03">
        <w:rPr>
          <w:i/>
        </w:rPr>
        <w:t>g</w:t>
      </w:r>
      <w:r>
        <w:t xml:space="preserve">., </w:t>
      </w:r>
      <w:r w:rsidRPr="00420199">
        <w:rPr>
          <w:i/>
        </w:rPr>
        <w:t>NWS NPRM</w:t>
      </w:r>
      <w:r>
        <w:t xml:space="preserve">, </w:t>
      </w:r>
      <w:r w:rsidRPr="008A092A">
        <w:rPr>
          <w:szCs w:val="22"/>
        </w:rPr>
        <w:t xml:space="preserve">30 FCC Rcd </w:t>
      </w:r>
      <w:r>
        <w:rPr>
          <w:szCs w:val="22"/>
        </w:rPr>
        <w:t xml:space="preserve">at </w:t>
      </w:r>
      <w:r w:rsidRPr="008A092A">
        <w:rPr>
          <w:szCs w:val="22"/>
        </w:rPr>
        <w:t>74</w:t>
      </w:r>
      <w:r>
        <w:rPr>
          <w:szCs w:val="22"/>
        </w:rPr>
        <w:t xml:space="preserve">71-72, paras. 8-9. </w:t>
      </w:r>
    </w:p>
  </w:footnote>
  <w:footnote w:id="48">
    <w:p w14:paraId="0487617A" w14:textId="422722EB" w:rsidR="00A868D6" w:rsidRDefault="00A868D6">
      <w:pPr>
        <w:pStyle w:val="FootnoteText"/>
      </w:pPr>
      <w:r>
        <w:rPr>
          <w:rStyle w:val="FootnoteReference"/>
        </w:rPr>
        <w:footnoteRef/>
      </w:r>
      <w:r>
        <w:t xml:space="preserve"> </w:t>
      </w:r>
      <w:r w:rsidRPr="00741391">
        <w:rPr>
          <w:i/>
        </w:rPr>
        <w:t>See</w:t>
      </w:r>
      <w:r w:rsidRPr="00137515">
        <w:t xml:space="preserve"> </w:t>
      </w:r>
      <w:r w:rsidRPr="00137515">
        <w:rPr>
          <w:i/>
        </w:rPr>
        <w:t>NWS NPRM</w:t>
      </w:r>
      <w:r>
        <w:t xml:space="preserve">, </w:t>
      </w:r>
      <w:r w:rsidRPr="006A2A03">
        <w:t xml:space="preserve">30 FCC Rcd </w:t>
      </w:r>
      <w:r>
        <w:t xml:space="preserve">at </w:t>
      </w:r>
      <w:r w:rsidRPr="006A2A03">
        <w:t>747</w:t>
      </w:r>
      <w:r>
        <w:t>0</w:t>
      </w:r>
      <w:r w:rsidRPr="006A2A03">
        <w:t xml:space="preserve">, para. </w:t>
      </w:r>
      <w:r>
        <w:t>4 (</w:t>
      </w:r>
      <w:r w:rsidRPr="006A2A03">
        <w:rPr>
          <w:i/>
        </w:rPr>
        <w:t>citing</w:t>
      </w:r>
      <w:r>
        <w:t xml:space="preserve"> 47 CFR § 11.31; </w:t>
      </w:r>
      <w:r w:rsidRPr="00996878">
        <w:rPr>
          <w:smallCaps/>
        </w:rPr>
        <w:t>Hurricane Preparedness - Watches &amp; Warnings</w:t>
      </w:r>
      <w:r>
        <w:rPr>
          <w:smallCaps/>
        </w:rPr>
        <w:t xml:space="preserve">, </w:t>
      </w:r>
      <w:r w:rsidRPr="00447D88">
        <w:t xml:space="preserve">http://www.nhc.noaa.gov/prepare/wwa.php (last visited </w:t>
      </w:r>
      <w:r>
        <w:t>Feb. 24</w:t>
      </w:r>
      <w:r w:rsidRPr="00447D88">
        <w:t>, 201</w:t>
      </w:r>
      <w:r>
        <w:t>6</w:t>
      </w:r>
      <w:r w:rsidRPr="00447D88">
        <w:t>)</w:t>
      </w:r>
      <w:r>
        <w:t>)</w:t>
      </w:r>
      <w:r>
        <w:rPr>
          <w:smallCaps/>
        </w:rPr>
        <w:t>.</w:t>
      </w:r>
      <w:r>
        <w:t xml:space="preserve">  </w:t>
      </w:r>
    </w:p>
  </w:footnote>
  <w:footnote w:id="49">
    <w:p w14:paraId="58B334C0" w14:textId="72735614" w:rsidR="00A868D6" w:rsidRDefault="00A868D6">
      <w:pPr>
        <w:pStyle w:val="FootnoteText"/>
      </w:pPr>
      <w:r>
        <w:rPr>
          <w:rStyle w:val="FootnoteReference"/>
        </w:rPr>
        <w:footnoteRef/>
      </w:r>
      <w:r>
        <w:t xml:space="preserve"> </w:t>
      </w:r>
      <w:r w:rsidRPr="00741391">
        <w:rPr>
          <w:i/>
        </w:rPr>
        <w:t>See</w:t>
      </w:r>
      <w:r>
        <w:t xml:space="preserve">, </w:t>
      </w:r>
      <w:r w:rsidRPr="006A2A03">
        <w:rPr>
          <w:i/>
        </w:rPr>
        <w:t>e</w:t>
      </w:r>
      <w:r>
        <w:t>.</w:t>
      </w:r>
      <w:r w:rsidRPr="006A2A03">
        <w:rPr>
          <w:i/>
        </w:rPr>
        <w:t>g</w:t>
      </w:r>
      <w:r>
        <w:t xml:space="preserve">., </w:t>
      </w:r>
      <w:r w:rsidRPr="00420199">
        <w:rPr>
          <w:i/>
        </w:rPr>
        <w:t>NWS NPRM</w:t>
      </w:r>
      <w:r>
        <w:t xml:space="preserve">, </w:t>
      </w:r>
      <w:r w:rsidRPr="008A092A">
        <w:rPr>
          <w:szCs w:val="22"/>
        </w:rPr>
        <w:t xml:space="preserve">30 FCC Rcd </w:t>
      </w:r>
      <w:r>
        <w:rPr>
          <w:szCs w:val="22"/>
        </w:rPr>
        <w:t xml:space="preserve">at </w:t>
      </w:r>
      <w:r w:rsidRPr="008A092A">
        <w:rPr>
          <w:szCs w:val="22"/>
        </w:rPr>
        <w:t>74</w:t>
      </w:r>
      <w:r>
        <w:rPr>
          <w:szCs w:val="22"/>
        </w:rPr>
        <w:t>70-72, paras. 6-9.</w:t>
      </w:r>
    </w:p>
  </w:footnote>
  <w:footnote w:id="50">
    <w:p w14:paraId="6DFB99C3" w14:textId="4DBA2CC2" w:rsidR="00A868D6" w:rsidRDefault="00A868D6">
      <w:pPr>
        <w:pStyle w:val="FootnoteText"/>
      </w:pPr>
      <w:r>
        <w:rPr>
          <w:rStyle w:val="FootnoteReference"/>
        </w:rPr>
        <w:footnoteRef/>
      </w:r>
      <w:r>
        <w:t xml:space="preserve"> </w:t>
      </w:r>
      <w:r w:rsidRPr="00741391">
        <w:rPr>
          <w:i/>
        </w:rPr>
        <w:t>See</w:t>
      </w:r>
      <w:r>
        <w:t xml:space="preserve">, </w:t>
      </w:r>
      <w:r w:rsidRPr="006A2A03">
        <w:rPr>
          <w:i/>
        </w:rPr>
        <w:t>e</w:t>
      </w:r>
      <w:r>
        <w:t>.</w:t>
      </w:r>
      <w:r w:rsidRPr="006A2A03">
        <w:rPr>
          <w:i/>
        </w:rPr>
        <w:t>g</w:t>
      </w:r>
      <w:r>
        <w:t xml:space="preserve">., </w:t>
      </w:r>
      <w:r w:rsidRPr="00420199">
        <w:rPr>
          <w:i/>
        </w:rPr>
        <w:t>NWS NPRM</w:t>
      </w:r>
      <w:r>
        <w:t xml:space="preserve">, </w:t>
      </w:r>
      <w:r w:rsidRPr="008A092A">
        <w:rPr>
          <w:szCs w:val="22"/>
        </w:rPr>
        <w:t xml:space="preserve">30 FCC Rcd </w:t>
      </w:r>
      <w:r>
        <w:rPr>
          <w:szCs w:val="22"/>
        </w:rPr>
        <w:t xml:space="preserve">at </w:t>
      </w:r>
      <w:r w:rsidRPr="008A092A">
        <w:rPr>
          <w:szCs w:val="22"/>
        </w:rPr>
        <w:t>74</w:t>
      </w:r>
      <w:r>
        <w:rPr>
          <w:szCs w:val="22"/>
        </w:rPr>
        <w:t xml:space="preserve">71, para. 8 </w:t>
      </w:r>
      <w:r>
        <w:t>(</w:t>
      </w:r>
      <w:r w:rsidRPr="00420199">
        <w:rPr>
          <w:i/>
        </w:rPr>
        <w:t>citing</w:t>
      </w:r>
      <w:r>
        <w:t xml:space="preserve"> </w:t>
      </w:r>
      <w:r w:rsidRPr="00760E67">
        <w:t>NWS 2011 Request</w:t>
      </w:r>
      <w:r>
        <w:t xml:space="preserve"> at 3).  </w:t>
      </w:r>
    </w:p>
  </w:footnote>
  <w:footnote w:id="51">
    <w:p w14:paraId="12BF1D6F" w14:textId="06E95C49" w:rsidR="00A868D6" w:rsidRDefault="00A868D6">
      <w:pPr>
        <w:pStyle w:val="FootnoteText"/>
      </w:pPr>
      <w:r>
        <w:rPr>
          <w:rStyle w:val="FootnoteReference"/>
        </w:rPr>
        <w:footnoteRef/>
      </w:r>
      <w:r>
        <w:t xml:space="preserve"> </w:t>
      </w:r>
      <w:r w:rsidRPr="00BE1F26">
        <w:t xml:space="preserve">Monroe County Florida Emergency Management Comments </w:t>
      </w:r>
      <w:r>
        <w:t xml:space="preserve">at 1.  </w:t>
      </w:r>
      <w:r w:rsidRPr="00E5027E">
        <w:rPr>
          <w:i/>
        </w:rPr>
        <w:t>See also</w:t>
      </w:r>
      <w:r>
        <w:t xml:space="preserve"> NAB Comments at 2-3.</w:t>
      </w:r>
    </w:p>
  </w:footnote>
  <w:footnote w:id="52">
    <w:p w14:paraId="0A093CE5" w14:textId="03223739" w:rsidR="00A868D6" w:rsidRDefault="00A868D6">
      <w:pPr>
        <w:pStyle w:val="FootnoteText"/>
      </w:pPr>
      <w:r>
        <w:rPr>
          <w:rStyle w:val="FootnoteReference"/>
        </w:rPr>
        <w:footnoteRef/>
      </w:r>
      <w:r>
        <w:t xml:space="preserve"> </w:t>
      </w:r>
      <w:r w:rsidRPr="00420199">
        <w:rPr>
          <w:i/>
        </w:rPr>
        <w:t>See</w:t>
      </w:r>
      <w:r>
        <w:t xml:space="preserve">, </w:t>
      </w:r>
      <w:r w:rsidRPr="00161CEA">
        <w:rPr>
          <w:i/>
        </w:rPr>
        <w:t>e</w:t>
      </w:r>
      <w:r>
        <w:t>.</w:t>
      </w:r>
      <w:r w:rsidRPr="00161CEA">
        <w:rPr>
          <w:i/>
        </w:rPr>
        <w:t>g</w:t>
      </w:r>
      <w:r>
        <w:t>.,</w:t>
      </w:r>
      <w:r w:rsidRPr="008A092A">
        <w:rPr>
          <w:i/>
        </w:rPr>
        <w:t xml:space="preserve"> </w:t>
      </w:r>
      <w:r w:rsidRPr="00420199">
        <w:rPr>
          <w:i/>
        </w:rPr>
        <w:t>NWS NPRM</w:t>
      </w:r>
      <w:r>
        <w:t xml:space="preserve">, </w:t>
      </w:r>
      <w:r w:rsidRPr="008A092A">
        <w:rPr>
          <w:szCs w:val="22"/>
        </w:rPr>
        <w:t xml:space="preserve">30 FCC Rcd </w:t>
      </w:r>
      <w:r>
        <w:rPr>
          <w:szCs w:val="22"/>
        </w:rPr>
        <w:t xml:space="preserve">at </w:t>
      </w:r>
      <w:r w:rsidRPr="008A092A">
        <w:rPr>
          <w:szCs w:val="22"/>
        </w:rPr>
        <w:t>74</w:t>
      </w:r>
      <w:r>
        <w:rPr>
          <w:szCs w:val="22"/>
        </w:rPr>
        <w:t>71-72, paras. 8-9</w:t>
      </w:r>
      <w:r>
        <w:t xml:space="preserve">.  </w:t>
      </w:r>
    </w:p>
  </w:footnote>
  <w:footnote w:id="53">
    <w:p w14:paraId="031D4BC9" w14:textId="1DC16106" w:rsidR="00A868D6" w:rsidRDefault="00A868D6">
      <w:pPr>
        <w:pStyle w:val="FootnoteText"/>
      </w:pPr>
      <w:r>
        <w:rPr>
          <w:rStyle w:val="FootnoteReference"/>
        </w:rPr>
        <w:footnoteRef/>
      </w:r>
      <w:r>
        <w:t xml:space="preserve"> NAB Comments at</w:t>
      </w:r>
      <w:r w:rsidRPr="00FE1F01">
        <w:rPr>
          <w:snapToGrid w:val="0"/>
        </w:rPr>
        <w:t xml:space="preserve"> </w:t>
      </w:r>
      <w:r>
        <w:rPr>
          <w:snapToGrid w:val="0"/>
        </w:rPr>
        <w:t>2.</w:t>
      </w:r>
    </w:p>
  </w:footnote>
  <w:footnote w:id="54">
    <w:p w14:paraId="090339E7" w14:textId="053D5A60" w:rsidR="00A868D6" w:rsidRDefault="00A868D6">
      <w:pPr>
        <w:pStyle w:val="FootnoteText"/>
      </w:pPr>
      <w:r>
        <w:rPr>
          <w:rStyle w:val="FootnoteReference"/>
        </w:rPr>
        <w:footnoteRef/>
      </w:r>
      <w:r>
        <w:t xml:space="preserve"> </w:t>
      </w:r>
      <w:r w:rsidRPr="009F21AA">
        <w:t>Radio Hatteras</w:t>
      </w:r>
      <w:r>
        <w:t xml:space="preserve"> Comments at 1.  </w:t>
      </w:r>
      <w:r w:rsidRPr="00161CEA">
        <w:rPr>
          <w:i/>
        </w:rPr>
        <w:t>See also</w:t>
      </w:r>
      <w:r>
        <w:t xml:space="preserve"> </w:t>
      </w:r>
      <w:r w:rsidRPr="00BE1F26">
        <w:t>Monroe County Florida Emergency Management Comments</w:t>
      </w:r>
      <w:r>
        <w:t xml:space="preserve"> at 1.</w:t>
      </w:r>
    </w:p>
  </w:footnote>
  <w:footnote w:id="55">
    <w:p w14:paraId="36B9B9F8" w14:textId="72868382" w:rsidR="00A868D6" w:rsidRDefault="00A868D6">
      <w:pPr>
        <w:pStyle w:val="FootnoteText"/>
      </w:pPr>
      <w:r>
        <w:rPr>
          <w:rStyle w:val="FootnoteReference"/>
        </w:rPr>
        <w:footnoteRef/>
      </w:r>
      <w:r>
        <w:t xml:space="preserve"> </w:t>
      </w:r>
      <w:r w:rsidRPr="00BE1F26">
        <w:t xml:space="preserve">Monroe County Florida Emergency Management Comments </w:t>
      </w:r>
      <w:r>
        <w:t xml:space="preserve">at 1.  As </w:t>
      </w:r>
      <w:r w:rsidRPr="00BE1F26">
        <w:t xml:space="preserve">Monroe County Florida Emergency Management </w:t>
      </w:r>
      <w:r>
        <w:t>further concluded, “</w:t>
      </w:r>
      <w:r w:rsidRPr="00407A16">
        <w:rPr>
          <w:snapToGrid w:val="0"/>
          <w:kern w:val="28"/>
        </w:rPr>
        <w:t>it is foreseeable that there is a great need to distinguish and much value to residents in providing detailed public information regarding flooding versus surge events</w:t>
      </w:r>
      <w:r>
        <w:rPr>
          <w:snapToGrid w:val="0"/>
          <w:kern w:val="28"/>
        </w:rPr>
        <w:t xml:space="preserve">.”  </w:t>
      </w:r>
      <w:r w:rsidRPr="00E5027E">
        <w:rPr>
          <w:i/>
          <w:snapToGrid w:val="0"/>
          <w:kern w:val="28"/>
        </w:rPr>
        <w:t>Id</w:t>
      </w:r>
      <w:r>
        <w:rPr>
          <w:snapToGrid w:val="0"/>
          <w:kern w:val="28"/>
        </w:rPr>
        <w:t>.</w:t>
      </w:r>
    </w:p>
  </w:footnote>
  <w:footnote w:id="56">
    <w:p w14:paraId="70F56DD9" w14:textId="49E1E0A5" w:rsidR="00A868D6" w:rsidRDefault="00A868D6">
      <w:pPr>
        <w:pStyle w:val="FootnoteText"/>
      </w:pPr>
      <w:r>
        <w:rPr>
          <w:rStyle w:val="FootnoteReference"/>
        </w:rPr>
        <w:footnoteRef/>
      </w:r>
      <w:r>
        <w:t xml:space="preserve"> </w:t>
      </w:r>
      <w:r w:rsidRPr="00492045">
        <w:rPr>
          <w:i/>
        </w:rPr>
        <w:t>See</w:t>
      </w:r>
      <w:r>
        <w:t xml:space="preserve"> </w:t>
      </w:r>
      <w:r w:rsidRPr="00DD4B16">
        <w:t xml:space="preserve">Letter from Timothy J. Schott, Meteorologist, NWS Analyze, Forecast and Support Office, National Weather Service, NOAA, PS Docket No. 15-94 (filed Dec. 14, 2015) </w:t>
      </w:r>
      <w:r>
        <w:t xml:space="preserve">at 1-2 </w:t>
      </w:r>
      <w:r w:rsidRPr="00DD4B16">
        <w:t>(</w:t>
      </w:r>
      <w:r w:rsidRPr="001F0D51">
        <w:t>NWS Dec</w:t>
      </w:r>
      <w:r>
        <w:t>. 14</w:t>
      </w:r>
      <w:r w:rsidRPr="001F0D51">
        <w:t xml:space="preserve"> </w:t>
      </w:r>
      <w:r w:rsidRPr="00161CEA">
        <w:rPr>
          <w:i/>
        </w:rPr>
        <w:t>Ex Parte</w:t>
      </w:r>
      <w:r>
        <w:t xml:space="preserve"> </w:t>
      </w:r>
      <w:r w:rsidRPr="001F0D51">
        <w:t>Letter</w:t>
      </w:r>
      <w:r w:rsidRPr="00DD4B16">
        <w:t>).</w:t>
      </w:r>
    </w:p>
  </w:footnote>
  <w:footnote w:id="57">
    <w:p w14:paraId="094AC961" w14:textId="0E3A25C3" w:rsidR="00A868D6" w:rsidRDefault="00A868D6">
      <w:pPr>
        <w:pStyle w:val="FootnoteText"/>
      </w:pPr>
      <w:r>
        <w:rPr>
          <w:rStyle w:val="FootnoteReference"/>
        </w:rPr>
        <w:footnoteRef/>
      </w:r>
      <w:r>
        <w:t xml:space="preserve"> </w:t>
      </w:r>
      <w:r w:rsidRPr="00EC7ACD">
        <w:rPr>
          <w:i/>
        </w:rPr>
        <w:t>Id.</w:t>
      </w:r>
    </w:p>
  </w:footnote>
  <w:footnote w:id="58">
    <w:p w14:paraId="7BF27B8A" w14:textId="52AD2B2C" w:rsidR="00A868D6" w:rsidRDefault="00A868D6" w:rsidP="00696BCD">
      <w:pPr>
        <w:pStyle w:val="FootnoteText"/>
      </w:pPr>
      <w:r>
        <w:rPr>
          <w:rStyle w:val="FootnoteReference"/>
        </w:rPr>
        <w:footnoteRef/>
      </w:r>
      <w:r>
        <w:t xml:space="preserve"> </w:t>
      </w:r>
      <w:r w:rsidRPr="001D3BCA">
        <w:rPr>
          <w:i/>
        </w:rPr>
        <w:t>See</w:t>
      </w:r>
      <w:r>
        <w:t xml:space="preserve"> 47 CFR § 11.31(f).</w:t>
      </w:r>
    </w:p>
  </w:footnote>
  <w:footnote w:id="59">
    <w:p w14:paraId="207A4729" w14:textId="2AAFE33A" w:rsidR="00A868D6" w:rsidRDefault="00A868D6">
      <w:pPr>
        <w:pStyle w:val="FootnoteText"/>
      </w:pPr>
      <w:r>
        <w:rPr>
          <w:rStyle w:val="FootnoteReference"/>
        </w:rPr>
        <w:footnoteRef/>
      </w:r>
      <w:r>
        <w:t xml:space="preserve"> </w:t>
      </w:r>
      <w:r w:rsidRPr="00420199">
        <w:rPr>
          <w:i/>
        </w:rPr>
        <w:t>See NWS NPRM</w:t>
      </w:r>
      <w:r>
        <w:t>, 30 FCC Rcd at 7473-74, para. 13 (</w:t>
      </w:r>
      <w:r w:rsidRPr="00420199">
        <w:rPr>
          <w:i/>
        </w:rPr>
        <w:t>citing</w:t>
      </w:r>
      <w:r>
        <w:t xml:space="preserve"> </w:t>
      </w:r>
      <w:r w:rsidRPr="001D4C7D">
        <w:t>NWS 2011 Request</w:t>
      </w:r>
      <w:r>
        <w:t xml:space="preserve"> at 1; </w:t>
      </w:r>
      <w:r w:rsidRPr="00760E67">
        <w:t>NWS Consolidated</w:t>
      </w:r>
      <w:r w:rsidRPr="001F0D51">
        <w:t xml:space="preserve"> </w:t>
      </w:r>
      <w:r w:rsidRPr="00760E67">
        <w:t>Request</w:t>
      </w:r>
      <w:r>
        <w:t xml:space="preserve"> at 1).</w:t>
      </w:r>
    </w:p>
  </w:footnote>
  <w:footnote w:id="60">
    <w:p w14:paraId="2567EC27" w14:textId="7C7BB842" w:rsidR="00A868D6" w:rsidRDefault="00A868D6">
      <w:pPr>
        <w:pStyle w:val="FootnoteText"/>
      </w:pPr>
      <w:r>
        <w:rPr>
          <w:rStyle w:val="FootnoteReference"/>
        </w:rPr>
        <w:footnoteRef/>
      </w:r>
      <w:r>
        <w:t xml:space="preserve"> </w:t>
      </w:r>
      <w:r w:rsidRPr="00E255FB">
        <w:rPr>
          <w:i/>
        </w:rPr>
        <w:t>See</w:t>
      </w:r>
      <w:r>
        <w:t xml:space="preserve"> </w:t>
      </w:r>
      <w:r w:rsidRPr="00420199">
        <w:rPr>
          <w:i/>
        </w:rPr>
        <w:t>NWS NPRM</w:t>
      </w:r>
      <w:r>
        <w:t>, 30 FCC Rcd at 7473-74, para. 13 (</w:t>
      </w:r>
      <w:r w:rsidRPr="00420199">
        <w:rPr>
          <w:i/>
        </w:rPr>
        <w:t>citing</w:t>
      </w:r>
      <w:r>
        <w:t xml:space="preserve"> </w:t>
      </w:r>
      <w:r w:rsidRPr="00075437">
        <w:t>NWS 2011 Request</w:t>
      </w:r>
      <w:r>
        <w:t xml:space="preserve"> at 1).  </w:t>
      </w:r>
      <w:r w:rsidRPr="00C61AF7">
        <w:t>Currently, the marine area defined for location code 75 covers “Western North Atlantic Ocean, and along U.S. East Coast, south of Currituck Beach Light, N.C., following the coastline into Gulf of Mexico to Bonita Beach, FL, including the Caribbean,” while location code 77 covers “Gulf of Mexico, and along the U.S. Gulf Coast from the Mexican border to Bonita Beach, FL.”</w:t>
      </w:r>
      <w:r>
        <w:t xml:space="preserve">  </w:t>
      </w:r>
      <w:r w:rsidRPr="001D3BCA">
        <w:rPr>
          <w:i/>
        </w:rPr>
        <w:t>See</w:t>
      </w:r>
      <w:r>
        <w:t xml:space="preserve"> 47 CFR § 11.31(f).</w:t>
      </w:r>
    </w:p>
  </w:footnote>
  <w:footnote w:id="61">
    <w:p w14:paraId="1EDB66F7" w14:textId="77777777" w:rsidR="00A868D6" w:rsidRDefault="00A868D6">
      <w:pPr>
        <w:pStyle w:val="FootnoteText"/>
      </w:pPr>
      <w:r>
        <w:rPr>
          <w:rStyle w:val="FootnoteReference"/>
        </w:rPr>
        <w:footnoteRef/>
      </w:r>
      <w:r>
        <w:t xml:space="preserve"> </w:t>
      </w:r>
      <w:r w:rsidRPr="0050069D">
        <w:rPr>
          <w:i/>
        </w:rPr>
        <w:t xml:space="preserve">See </w:t>
      </w:r>
      <w:r>
        <w:rPr>
          <w:i/>
        </w:rPr>
        <w:t>id</w:t>
      </w:r>
      <w:r>
        <w:t>.</w:t>
      </w:r>
    </w:p>
  </w:footnote>
  <w:footnote w:id="62">
    <w:p w14:paraId="6209E08E" w14:textId="67C77417" w:rsidR="00A868D6" w:rsidRDefault="00A868D6">
      <w:pPr>
        <w:pStyle w:val="FootnoteText"/>
      </w:pPr>
      <w:r>
        <w:rPr>
          <w:rStyle w:val="FootnoteReference"/>
        </w:rPr>
        <w:footnoteRef/>
      </w:r>
      <w:r>
        <w:t xml:space="preserve"> </w:t>
      </w:r>
      <w:r w:rsidRPr="0027485E">
        <w:rPr>
          <w:i/>
        </w:rPr>
        <w:t>See</w:t>
      </w:r>
      <w:r>
        <w:rPr>
          <w:i/>
        </w:rPr>
        <w:t xml:space="preserve"> id</w:t>
      </w:r>
      <w:r>
        <w:t xml:space="preserve">.  As the </w:t>
      </w:r>
      <w:r w:rsidRPr="00600BF5">
        <w:rPr>
          <w:i/>
        </w:rPr>
        <w:t>NWS NPRM</w:t>
      </w:r>
      <w:r>
        <w:t xml:space="preserve"> explained, </w:t>
      </w:r>
      <w:r w:rsidRPr="008068A1">
        <w:t xml:space="preserve">submissions by EAS equipment manufacturers </w:t>
      </w:r>
      <w:r>
        <w:t xml:space="preserve">subsequent to NWS’s filings </w:t>
      </w:r>
      <w:r w:rsidRPr="008068A1">
        <w:t>suggest</w:t>
      </w:r>
      <w:r>
        <w:t>ed</w:t>
      </w:r>
      <w:r w:rsidRPr="008068A1">
        <w:t xml:space="preserve"> that these changes </w:t>
      </w:r>
      <w:r>
        <w:t xml:space="preserve">can be implemented by EAS Participants via software downloads with minimal effort.  </w:t>
      </w:r>
      <w:r w:rsidRPr="00D277FE">
        <w:rPr>
          <w:i/>
        </w:rPr>
        <w:t>See supra</w:t>
      </w:r>
      <w:r>
        <w:t xml:space="preserve"> note 37.      </w:t>
      </w:r>
    </w:p>
  </w:footnote>
  <w:footnote w:id="63">
    <w:p w14:paraId="2FF884B9" w14:textId="337A4AFF" w:rsidR="00A868D6" w:rsidRDefault="00A868D6">
      <w:pPr>
        <w:pStyle w:val="FootnoteText"/>
      </w:pPr>
      <w:r>
        <w:rPr>
          <w:rStyle w:val="FootnoteReference"/>
        </w:rPr>
        <w:footnoteRef/>
      </w:r>
      <w:r>
        <w:t xml:space="preserve"> </w:t>
      </w:r>
      <w:r w:rsidRPr="00E255FB">
        <w:rPr>
          <w:i/>
        </w:rPr>
        <w:t>See</w:t>
      </w:r>
      <w:r>
        <w:t xml:space="preserve"> </w:t>
      </w:r>
      <w:r w:rsidRPr="00420199">
        <w:rPr>
          <w:i/>
        </w:rPr>
        <w:t>NWS NPRM</w:t>
      </w:r>
      <w:r>
        <w:t>, 30 FCC Rcd at 7474, para. 14</w:t>
      </w:r>
      <w:r>
        <w:rPr>
          <w:szCs w:val="22"/>
        </w:rPr>
        <w:t>.</w:t>
      </w:r>
    </w:p>
  </w:footnote>
  <w:footnote w:id="64">
    <w:p w14:paraId="1CECD7A6" w14:textId="294E5D3C" w:rsidR="00A868D6" w:rsidRDefault="00A868D6" w:rsidP="00AA25E7">
      <w:pPr>
        <w:pStyle w:val="FootnoteText"/>
      </w:pPr>
      <w:r>
        <w:rPr>
          <w:rStyle w:val="FootnoteReference"/>
        </w:rPr>
        <w:footnoteRef/>
      </w:r>
      <w:r>
        <w:t xml:space="preserve"> </w:t>
      </w:r>
      <w:r w:rsidRPr="00420199">
        <w:rPr>
          <w:i/>
        </w:rPr>
        <w:t xml:space="preserve">See </w:t>
      </w:r>
      <w:r>
        <w:rPr>
          <w:i/>
        </w:rPr>
        <w:t>id</w:t>
      </w:r>
      <w:r>
        <w:rPr>
          <w:szCs w:val="22"/>
        </w:rPr>
        <w:t>. (</w:t>
      </w:r>
      <w:r w:rsidRPr="00EF19CF">
        <w:rPr>
          <w:i/>
          <w:szCs w:val="22"/>
        </w:rPr>
        <w:t>citing</w:t>
      </w:r>
      <w:r>
        <w:rPr>
          <w:szCs w:val="22"/>
        </w:rPr>
        <w:t xml:space="preserve"> </w:t>
      </w:r>
      <w:r w:rsidRPr="009F2FA1">
        <w:rPr>
          <w:i/>
        </w:rPr>
        <w:t>2002</w:t>
      </w:r>
      <w:r>
        <w:t xml:space="preserve"> </w:t>
      </w:r>
      <w:r w:rsidRPr="00143002">
        <w:rPr>
          <w:i/>
          <w:szCs w:val="22"/>
        </w:rPr>
        <w:t>Report and Order</w:t>
      </w:r>
      <w:r w:rsidRPr="006D167D">
        <w:rPr>
          <w:szCs w:val="22"/>
        </w:rPr>
        <w:t xml:space="preserve">, 17 FCC Rcd </w:t>
      </w:r>
      <w:r>
        <w:rPr>
          <w:szCs w:val="22"/>
        </w:rPr>
        <w:t xml:space="preserve">at </w:t>
      </w:r>
      <w:r w:rsidRPr="006D167D">
        <w:rPr>
          <w:szCs w:val="22"/>
        </w:rPr>
        <w:t>4070</w:t>
      </w:r>
      <w:r>
        <w:rPr>
          <w:szCs w:val="22"/>
        </w:rPr>
        <w:t xml:space="preserve">, para. 36; </w:t>
      </w:r>
      <w:r>
        <w:t xml:space="preserve">National Oceanic and Atmospheric Administration, National Weather Service, </w:t>
      </w:r>
      <w:r w:rsidRPr="00AA1F89">
        <w:rPr>
          <w:i/>
        </w:rPr>
        <w:t>A Mariner’s Guide to Marine Weather Services Coastal, Offshore and High Seas</w:t>
      </w:r>
      <w:r>
        <w:rPr>
          <w:szCs w:val="22"/>
        </w:rPr>
        <w:t>,</w:t>
      </w:r>
      <w:r>
        <w:t xml:space="preserve"> NOAA PA 98054, </w:t>
      </w:r>
      <w:r w:rsidRPr="0027485E">
        <w:t>http://www.nws.noaa.gov/os/brochures/marinersguide_coastal.htm</w:t>
      </w:r>
      <w:r>
        <w:t xml:space="preserve"> (last visited Feb. 24, 2016)). </w:t>
      </w:r>
    </w:p>
  </w:footnote>
  <w:footnote w:id="65">
    <w:p w14:paraId="4519B3BA" w14:textId="77777777" w:rsidR="00A868D6" w:rsidRDefault="00A868D6">
      <w:pPr>
        <w:pStyle w:val="FootnoteText"/>
      </w:pPr>
      <w:r>
        <w:rPr>
          <w:rStyle w:val="FootnoteReference"/>
        </w:rPr>
        <w:footnoteRef/>
      </w:r>
      <w:r>
        <w:t xml:space="preserve"> </w:t>
      </w:r>
      <w:r w:rsidRPr="00420199">
        <w:rPr>
          <w:i/>
        </w:rPr>
        <w:t xml:space="preserve">See </w:t>
      </w:r>
      <w:r>
        <w:rPr>
          <w:i/>
        </w:rPr>
        <w:t>id</w:t>
      </w:r>
      <w:r>
        <w:rPr>
          <w:szCs w:val="22"/>
        </w:rPr>
        <w:t>. (</w:t>
      </w:r>
      <w:r w:rsidRPr="00EF19CF">
        <w:rPr>
          <w:i/>
          <w:szCs w:val="22"/>
        </w:rPr>
        <w:t>citing</w:t>
      </w:r>
      <w:r w:rsidRPr="00143002">
        <w:rPr>
          <w:i/>
          <w:szCs w:val="22"/>
        </w:rPr>
        <w:t xml:space="preserve"> </w:t>
      </w:r>
      <w:r w:rsidRPr="00161CEA">
        <w:t>NWS 2011 Request</w:t>
      </w:r>
      <w:r>
        <w:t xml:space="preserve"> at 1).</w:t>
      </w:r>
    </w:p>
  </w:footnote>
  <w:footnote w:id="66">
    <w:p w14:paraId="1215FE56" w14:textId="76709501" w:rsidR="00A868D6" w:rsidRDefault="00A868D6">
      <w:pPr>
        <w:pStyle w:val="FootnoteText"/>
      </w:pPr>
      <w:r>
        <w:rPr>
          <w:rStyle w:val="FootnoteReference"/>
        </w:rPr>
        <w:footnoteRef/>
      </w:r>
      <w:r>
        <w:t xml:space="preserve"> </w:t>
      </w:r>
      <w:r w:rsidRPr="00420199">
        <w:rPr>
          <w:i/>
        </w:rPr>
        <w:t>See NWS NPRM</w:t>
      </w:r>
      <w:r>
        <w:t xml:space="preserve">, 30 FCC Rcd at 7475, para. 16. </w:t>
      </w:r>
    </w:p>
  </w:footnote>
  <w:footnote w:id="67">
    <w:p w14:paraId="329923F9" w14:textId="77777777" w:rsidR="00A868D6" w:rsidRDefault="00A868D6">
      <w:pPr>
        <w:pStyle w:val="FootnoteText"/>
      </w:pPr>
      <w:r>
        <w:rPr>
          <w:rStyle w:val="FootnoteReference"/>
        </w:rPr>
        <w:footnoteRef/>
      </w:r>
      <w:r>
        <w:t xml:space="preserve"> </w:t>
      </w:r>
      <w:r w:rsidRPr="00420199">
        <w:rPr>
          <w:i/>
        </w:rPr>
        <w:t xml:space="preserve">See </w:t>
      </w:r>
      <w:r>
        <w:rPr>
          <w:i/>
        </w:rPr>
        <w:t>id</w:t>
      </w:r>
      <w:r>
        <w:rPr>
          <w:szCs w:val="22"/>
        </w:rPr>
        <w:t>.</w:t>
      </w:r>
    </w:p>
  </w:footnote>
  <w:footnote w:id="68">
    <w:p w14:paraId="52288EBB" w14:textId="77777777" w:rsidR="00A868D6" w:rsidRDefault="00A868D6">
      <w:pPr>
        <w:pStyle w:val="FootnoteText"/>
      </w:pPr>
      <w:r>
        <w:rPr>
          <w:rStyle w:val="FootnoteReference"/>
        </w:rPr>
        <w:footnoteRef/>
      </w:r>
      <w:r>
        <w:t xml:space="preserve"> </w:t>
      </w:r>
      <w:r w:rsidRPr="00420199">
        <w:rPr>
          <w:i/>
        </w:rPr>
        <w:t xml:space="preserve">See </w:t>
      </w:r>
      <w:r>
        <w:rPr>
          <w:i/>
        </w:rPr>
        <w:t>id</w:t>
      </w:r>
      <w:r>
        <w:rPr>
          <w:szCs w:val="22"/>
        </w:rPr>
        <w:t>.</w:t>
      </w:r>
    </w:p>
  </w:footnote>
  <w:footnote w:id="69">
    <w:p w14:paraId="2793EF22" w14:textId="77777777" w:rsidR="00A868D6" w:rsidRDefault="00A868D6" w:rsidP="007D240D">
      <w:pPr>
        <w:pStyle w:val="FootnoteText"/>
      </w:pPr>
      <w:r>
        <w:rPr>
          <w:rStyle w:val="FootnoteReference"/>
        </w:rPr>
        <w:footnoteRef/>
      </w:r>
      <w:r>
        <w:t xml:space="preserve"> </w:t>
      </w:r>
      <w:r w:rsidRPr="00420199">
        <w:rPr>
          <w:i/>
        </w:rPr>
        <w:t xml:space="preserve">See </w:t>
      </w:r>
      <w:r>
        <w:rPr>
          <w:i/>
        </w:rPr>
        <w:t>id</w:t>
      </w:r>
      <w:r>
        <w:rPr>
          <w:szCs w:val="22"/>
        </w:rPr>
        <w:t xml:space="preserve">. </w:t>
      </w:r>
    </w:p>
  </w:footnote>
  <w:footnote w:id="70">
    <w:p w14:paraId="78F88D99" w14:textId="77777777" w:rsidR="00A868D6" w:rsidRDefault="00A868D6" w:rsidP="00745622">
      <w:pPr>
        <w:pStyle w:val="FootnoteText"/>
      </w:pPr>
      <w:r>
        <w:rPr>
          <w:rStyle w:val="FootnoteReference"/>
        </w:rPr>
        <w:footnoteRef/>
      </w:r>
      <w:r>
        <w:t xml:space="preserve"> AT&amp;T Comments at 2. </w:t>
      </w:r>
    </w:p>
  </w:footnote>
  <w:footnote w:id="71">
    <w:p w14:paraId="725D1579" w14:textId="77777777" w:rsidR="00A868D6" w:rsidRDefault="00A868D6" w:rsidP="006D2210">
      <w:pPr>
        <w:pStyle w:val="FootnoteText"/>
      </w:pPr>
      <w:r>
        <w:rPr>
          <w:rStyle w:val="FootnoteReference"/>
        </w:rPr>
        <w:footnoteRef/>
      </w:r>
      <w:r>
        <w:t xml:space="preserve"> TFT Comments at 4.</w:t>
      </w:r>
    </w:p>
  </w:footnote>
  <w:footnote w:id="72">
    <w:p w14:paraId="780DBC90" w14:textId="283E6B15" w:rsidR="00A868D6" w:rsidRDefault="00A868D6">
      <w:pPr>
        <w:pStyle w:val="FootnoteText"/>
      </w:pPr>
      <w:r>
        <w:rPr>
          <w:rStyle w:val="FootnoteReference"/>
        </w:rPr>
        <w:footnoteRef/>
      </w:r>
      <w:r>
        <w:t xml:space="preserve"> </w:t>
      </w:r>
      <w:r w:rsidRPr="00E255FB">
        <w:rPr>
          <w:i/>
        </w:rPr>
        <w:t>See</w:t>
      </w:r>
      <w:r>
        <w:t xml:space="preserve"> </w:t>
      </w:r>
      <w:r w:rsidRPr="00420199">
        <w:rPr>
          <w:i/>
        </w:rPr>
        <w:t>NWS NPRM</w:t>
      </w:r>
      <w:r>
        <w:t>,</w:t>
      </w:r>
      <w:r w:rsidRPr="00CA6D2E">
        <w:t xml:space="preserve"> </w:t>
      </w:r>
      <w:r>
        <w:t>30 FCC Rcd at 7474, para. 14</w:t>
      </w:r>
      <w:r>
        <w:rPr>
          <w:szCs w:val="22"/>
        </w:rPr>
        <w:t>.</w:t>
      </w:r>
    </w:p>
  </w:footnote>
  <w:footnote w:id="73">
    <w:p w14:paraId="01C2CB53" w14:textId="4A3D7668" w:rsidR="00A868D6" w:rsidRDefault="00A868D6" w:rsidP="00E63CD1">
      <w:pPr>
        <w:pStyle w:val="FootnoteText"/>
      </w:pPr>
      <w:r>
        <w:rPr>
          <w:rStyle w:val="FootnoteReference"/>
        </w:rPr>
        <w:footnoteRef/>
      </w:r>
      <w:r>
        <w:t xml:space="preserve"> </w:t>
      </w:r>
      <w:r w:rsidRPr="00D277FE">
        <w:rPr>
          <w:i/>
        </w:rPr>
        <w:t>See supra</w:t>
      </w:r>
      <w:r>
        <w:t xml:space="preserve"> note 37.  </w:t>
      </w:r>
    </w:p>
  </w:footnote>
  <w:footnote w:id="74">
    <w:p w14:paraId="7211FFF3" w14:textId="77777777" w:rsidR="00A868D6" w:rsidRDefault="00A868D6" w:rsidP="00CE3ABA">
      <w:pPr>
        <w:pStyle w:val="FootnoteText"/>
      </w:pPr>
      <w:r>
        <w:rPr>
          <w:rStyle w:val="FootnoteReference"/>
        </w:rPr>
        <w:footnoteRef/>
      </w:r>
      <w:r>
        <w:t xml:space="preserve"> </w:t>
      </w:r>
      <w:r w:rsidRPr="00D277FE">
        <w:rPr>
          <w:i/>
        </w:rPr>
        <w:t>See supra</w:t>
      </w:r>
      <w:r>
        <w:t xml:space="preserve"> note 37; </w:t>
      </w:r>
      <w:r w:rsidRPr="00E5027E">
        <w:rPr>
          <w:i/>
        </w:rPr>
        <w:t>infra</w:t>
      </w:r>
      <w:r>
        <w:t xml:space="preserve"> note 55.     </w:t>
      </w:r>
    </w:p>
  </w:footnote>
  <w:footnote w:id="75">
    <w:p w14:paraId="379506E4" w14:textId="77777777" w:rsidR="00A868D6" w:rsidRDefault="00A868D6" w:rsidP="00CE3ABA">
      <w:pPr>
        <w:pStyle w:val="FootnoteText"/>
      </w:pPr>
      <w:r>
        <w:rPr>
          <w:rStyle w:val="FootnoteReference"/>
        </w:rPr>
        <w:footnoteRef/>
      </w:r>
      <w:r>
        <w:t xml:space="preserve"> </w:t>
      </w:r>
      <w:r w:rsidRPr="000A0FFC">
        <w:t xml:space="preserve">Trilithic </w:t>
      </w:r>
      <w:r w:rsidRPr="004859E5">
        <w:rPr>
          <w:i/>
        </w:rPr>
        <w:t>Ex Parte</w:t>
      </w:r>
      <w:r w:rsidRPr="000A0FFC">
        <w:t xml:space="preserve"> Letter</w:t>
      </w:r>
      <w:r>
        <w:t>.</w:t>
      </w:r>
    </w:p>
  </w:footnote>
  <w:footnote w:id="76">
    <w:p w14:paraId="6B361BBD" w14:textId="77777777" w:rsidR="00A868D6" w:rsidRDefault="00A868D6" w:rsidP="00CE3ABA">
      <w:pPr>
        <w:pStyle w:val="FootnoteText"/>
      </w:pPr>
      <w:r>
        <w:rPr>
          <w:rStyle w:val="FootnoteReference"/>
        </w:rPr>
        <w:footnoteRef/>
      </w:r>
      <w:r>
        <w:t xml:space="preserve"> </w:t>
      </w:r>
      <w:r w:rsidRPr="000A0FFC">
        <w:t xml:space="preserve">Monroe </w:t>
      </w:r>
      <w:r w:rsidRPr="004859E5">
        <w:rPr>
          <w:i/>
        </w:rPr>
        <w:t>Ex Parte</w:t>
      </w:r>
      <w:r w:rsidRPr="000A0FFC">
        <w:t xml:space="preserve"> Letter</w:t>
      </w:r>
      <w:r>
        <w:t xml:space="preserve"> at 1.</w:t>
      </w:r>
    </w:p>
  </w:footnote>
  <w:footnote w:id="77">
    <w:p w14:paraId="15D3035F" w14:textId="77777777" w:rsidR="00A868D6" w:rsidRDefault="00A868D6" w:rsidP="00CE3ABA">
      <w:pPr>
        <w:pStyle w:val="FootnoteText"/>
      </w:pPr>
      <w:r>
        <w:rPr>
          <w:rStyle w:val="FootnoteReference"/>
        </w:rPr>
        <w:footnoteRef/>
      </w:r>
      <w:r>
        <w:t xml:space="preserve"> </w:t>
      </w:r>
      <w:r w:rsidRPr="000A0FFC">
        <w:t xml:space="preserve">Sage </w:t>
      </w:r>
      <w:r w:rsidRPr="004859E5">
        <w:rPr>
          <w:i/>
        </w:rPr>
        <w:t>Ex Parte</w:t>
      </w:r>
      <w:r w:rsidRPr="000A0FFC">
        <w:t xml:space="preserve"> Letter </w:t>
      </w:r>
      <w:r>
        <w:t xml:space="preserve">at 1.  </w:t>
      </w:r>
    </w:p>
  </w:footnote>
  <w:footnote w:id="78">
    <w:p w14:paraId="5B350197" w14:textId="46D4697A" w:rsidR="00A868D6" w:rsidRDefault="00A868D6" w:rsidP="00CE3ABA">
      <w:pPr>
        <w:pStyle w:val="FootnoteText"/>
      </w:pPr>
      <w:r>
        <w:rPr>
          <w:rStyle w:val="FootnoteReference"/>
        </w:rPr>
        <w:footnoteRef/>
      </w:r>
      <w:r>
        <w:t xml:space="preserve"> </w:t>
      </w:r>
      <w:r w:rsidRPr="00306A38">
        <w:t xml:space="preserve">Sage Ex Parte Letter at 2.  In the </w:t>
      </w:r>
      <w:r w:rsidRPr="004859E5">
        <w:rPr>
          <w:i/>
        </w:rPr>
        <w:t>NWS NPRM</w:t>
      </w:r>
      <w:r w:rsidRPr="00306A38">
        <w:t xml:space="preserve">, we noted that Sage indicated that one of its EAS device models is no longer supported by software updates and therefore cannot be updated to incorporate some of the codes.  </w:t>
      </w:r>
      <w:r w:rsidRPr="004859E5">
        <w:rPr>
          <w:i/>
        </w:rPr>
        <w:t>See NWS NPRM</w:t>
      </w:r>
      <w:r>
        <w:t>,</w:t>
      </w:r>
      <w:r w:rsidRPr="00306A38">
        <w:t xml:space="preserve"> 30 FCC Rcd </w:t>
      </w:r>
      <w:r>
        <w:t xml:space="preserve">at </w:t>
      </w:r>
      <w:r w:rsidRPr="00306A38">
        <w:t>7473, para. 11 (</w:t>
      </w:r>
      <w:r w:rsidRPr="004859E5">
        <w:rPr>
          <w:i/>
        </w:rPr>
        <w:t>citing</w:t>
      </w:r>
      <w:r w:rsidRPr="00306A38">
        <w:t xml:space="preserve"> Sage </w:t>
      </w:r>
      <w:r w:rsidRPr="004859E5">
        <w:rPr>
          <w:i/>
        </w:rPr>
        <w:t>Ex Parte</w:t>
      </w:r>
      <w:r w:rsidRPr="00306A38">
        <w:t xml:space="preserve"> Letter).  Sage also indicated that lack of software support also means this device model cannot be updated to process the National Periodic Test (NPT) event code for nationwide EAS tests and the “000000” national location code.  </w:t>
      </w:r>
      <w:r w:rsidRPr="004859E5">
        <w:rPr>
          <w:i/>
        </w:rPr>
        <w:t>See</w:t>
      </w:r>
      <w:r w:rsidRPr="00306A38">
        <w:t xml:space="preserve"> Sage </w:t>
      </w:r>
      <w:r w:rsidRPr="004859E5">
        <w:rPr>
          <w:i/>
        </w:rPr>
        <w:t>Ex Parte</w:t>
      </w:r>
      <w:r w:rsidRPr="00306A38">
        <w:t xml:space="preserve"> Letter at 2.  Because all EAS Participants’ EAS equipment must be capable of processing the NPT and “000000” national location code by July 30, 2016, the Sage device model in issue will have to be replaced by that date, and the replacement equipment should be capable of processing the codes adopted in this item.  </w:t>
      </w:r>
      <w:r w:rsidRPr="004859E5">
        <w:rPr>
          <w:i/>
        </w:rPr>
        <w:t>See Review of the Emergency Alert System</w:t>
      </w:r>
      <w:r w:rsidRPr="00306A38">
        <w:t>, Sixth Report and Order, 30 FCC Rcd 6520 (2015) (</w:t>
      </w:r>
      <w:r w:rsidRPr="004859E5">
        <w:rPr>
          <w:i/>
        </w:rPr>
        <w:t>EAS Sixth Report and Order</w:t>
      </w:r>
      <w:r w:rsidRPr="00306A38">
        <w:t>); Review of the Emergency Alert System, 80 Fed. Reg. 37167 (June 30, 2015).</w:t>
      </w:r>
      <w:r>
        <w:t xml:space="preserve"> </w:t>
      </w:r>
      <w:r w:rsidRPr="00306A38">
        <w:t xml:space="preserve">Sage </w:t>
      </w:r>
      <w:r w:rsidRPr="007D35AF">
        <w:rPr>
          <w:i/>
        </w:rPr>
        <w:t>Ex Parte</w:t>
      </w:r>
      <w:r w:rsidRPr="00306A38">
        <w:t xml:space="preserve"> Letter at 2.  .</w:t>
      </w:r>
    </w:p>
  </w:footnote>
  <w:footnote w:id="79">
    <w:p w14:paraId="51961D4B" w14:textId="61F5A511" w:rsidR="00A868D6" w:rsidRDefault="00A868D6">
      <w:pPr>
        <w:pStyle w:val="FootnoteText"/>
      </w:pPr>
      <w:r>
        <w:rPr>
          <w:rStyle w:val="FootnoteReference"/>
        </w:rPr>
        <w:footnoteRef/>
      </w:r>
      <w:r>
        <w:t xml:space="preserve"> </w:t>
      </w:r>
      <w:r w:rsidRPr="000B38D4">
        <w:t xml:space="preserve">In the </w:t>
      </w:r>
      <w:r w:rsidRPr="007D35AF">
        <w:rPr>
          <w:i/>
        </w:rPr>
        <w:t>NWS NPRM</w:t>
      </w:r>
      <w:r w:rsidRPr="000B38D4">
        <w:t>, we noted that Sage indicated that one of its EAS device models is no longer supported by software updates and therefore cannot be updated to incorporate some of the codes.  See NWS NPRM, 30 FCC Rcd at 7473, para. 11 (</w:t>
      </w:r>
      <w:r w:rsidRPr="007D35AF">
        <w:rPr>
          <w:i/>
        </w:rPr>
        <w:t>citing</w:t>
      </w:r>
      <w:r w:rsidRPr="000B38D4">
        <w:t xml:space="preserve"> Sage Ex Parte Letter).  Sage also indicated that lack of software support also means this device model cannot be updated to process the National Periodic Test (NPT) event code for nationwide EAS tests and the “000000” national location code.  See Sage Ex Parte Letter at 2.  Because all EAS Participants’ EAS equipment must be capable of processing the NPT and “000000” national location code by July 30, 2016, the Sage device model in issue will have to be replaced by that date, and the replacement equipment should be capable of processing the codes adopted in this item.  See Review of the Emergency Alert System, Sixth Report and Order, 30 FCC Rcd 6520 (2015) (EAS Sixth Report and Order); Review of the Emergency Alert System, 80 Fed. Reg. 37167 (June 30, 2015).</w:t>
      </w:r>
    </w:p>
  </w:footnote>
  <w:footnote w:id="80">
    <w:p w14:paraId="48DED020" w14:textId="26A3DD20" w:rsidR="00A868D6" w:rsidRDefault="00A868D6">
      <w:pPr>
        <w:pStyle w:val="FootnoteText"/>
      </w:pPr>
      <w:r>
        <w:rPr>
          <w:rStyle w:val="FootnoteReference"/>
        </w:rPr>
        <w:footnoteRef/>
      </w:r>
      <w:r>
        <w:t xml:space="preserve"> </w:t>
      </w:r>
      <w:r w:rsidRPr="007D35AF">
        <w:rPr>
          <w:i/>
        </w:rPr>
        <w:t>See infra</w:t>
      </w:r>
      <w:r>
        <w:t xml:space="preserve"> para. 22.</w:t>
      </w:r>
    </w:p>
  </w:footnote>
  <w:footnote w:id="81">
    <w:p w14:paraId="52B353CB" w14:textId="51C4C6EF" w:rsidR="00A868D6" w:rsidRDefault="00A868D6">
      <w:pPr>
        <w:pStyle w:val="FootnoteText"/>
      </w:pPr>
      <w:r>
        <w:rPr>
          <w:rStyle w:val="FootnoteReference"/>
        </w:rPr>
        <w:footnoteRef/>
      </w:r>
      <w:r>
        <w:t xml:space="preserve"> </w:t>
      </w:r>
      <w:r w:rsidRPr="007D35AF">
        <w:rPr>
          <w:i/>
        </w:rPr>
        <w:t>See</w:t>
      </w:r>
      <w:r>
        <w:t xml:space="preserve">, </w:t>
      </w:r>
      <w:r w:rsidRPr="007D35AF">
        <w:rPr>
          <w:i/>
        </w:rPr>
        <w:t>e</w:t>
      </w:r>
      <w:r>
        <w:t>.</w:t>
      </w:r>
      <w:r w:rsidRPr="007D35AF">
        <w:rPr>
          <w:i/>
        </w:rPr>
        <w:t>g</w:t>
      </w:r>
      <w:r>
        <w:t xml:space="preserve">., </w:t>
      </w:r>
      <w:r w:rsidRPr="00306A38">
        <w:t xml:space="preserve">Sage </w:t>
      </w:r>
      <w:r w:rsidRPr="00F03778">
        <w:rPr>
          <w:i/>
        </w:rPr>
        <w:t>Ex Parte</w:t>
      </w:r>
      <w:r w:rsidRPr="00306A38">
        <w:t xml:space="preserve"> Letter at 2</w:t>
      </w:r>
      <w:r>
        <w:t xml:space="preserve">; </w:t>
      </w:r>
      <w:r w:rsidRPr="000A0FFC">
        <w:t xml:space="preserve">Trilithic </w:t>
      </w:r>
      <w:r w:rsidRPr="004859E5">
        <w:rPr>
          <w:i/>
        </w:rPr>
        <w:t>Ex Parte</w:t>
      </w:r>
      <w:r w:rsidRPr="000A0FFC">
        <w:t xml:space="preserve"> Letter</w:t>
      </w:r>
      <w:r w:rsidRPr="00306A38">
        <w:t xml:space="preserve">.  </w:t>
      </w:r>
    </w:p>
  </w:footnote>
  <w:footnote w:id="82">
    <w:p w14:paraId="6761B313" w14:textId="7053E04E" w:rsidR="00A868D6" w:rsidRDefault="00A868D6">
      <w:pPr>
        <w:pStyle w:val="FootnoteText"/>
      </w:pPr>
      <w:r>
        <w:rPr>
          <w:rStyle w:val="FootnoteReference"/>
        </w:rPr>
        <w:footnoteRef/>
      </w:r>
      <w:r>
        <w:t xml:space="preserve"> </w:t>
      </w:r>
      <w:r w:rsidRPr="007D35AF">
        <w:rPr>
          <w:i/>
        </w:rPr>
        <w:t>See</w:t>
      </w:r>
      <w:r w:rsidRPr="0050678A">
        <w:t xml:space="preserve"> Public Information Collections Approved by the Office of Management and Budget (OMB), 76 Fed. Reg. 68756-01 (Nov. 7, 2011).  </w:t>
      </w:r>
    </w:p>
  </w:footnote>
  <w:footnote w:id="83">
    <w:p w14:paraId="11A2CE7E" w14:textId="722A3679" w:rsidR="00A868D6" w:rsidRDefault="00A868D6" w:rsidP="00597C3A">
      <w:pPr>
        <w:pStyle w:val="FootnoteText"/>
      </w:pPr>
      <w:r>
        <w:rPr>
          <w:rStyle w:val="FootnoteReference"/>
        </w:rPr>
        <w:footnoteRef/>
      </w:r>
      <w:r>
        <w:t xml:space="preserve"> </w:t>
      </w:r>
      <w:r w:rsidRPr="00597C3A">
        <w:t xml:space="preserve">The approximately 28,058 broadcasters and cable headends in the U.S. comprise the bulk of EAS Participants.  </w:t>
      </w:r>
      <w:r w:rsidRPr="00597C3A">
        <w:rPr>
          <w:i/>
        </w:rPr>
        <w:t>See</w:t>
      </w:r>
      <w:r w:rsidRPr="00597C3A">
        <w:t xml:space="preserve"> FCC, Broadcast Station Totals as of December 31, 2015,  </w:t>
      </w:r>
      <w:hyperlink r:id="rId3" w:history="1">
        <w:r w:rsidRPr="00597C3A">
          <w:rPr>
            <w:rStyle w:val="Hyperlink"/>
          </w:rPr>
          <w:t>https://apps.fcc.gov/edocs_public/attachmatch/DOC-337189A1.pdf</w:t>
        </w:r>
      </w:hyperlink>
      <w:r w:rsidRPr="00597C3A">
        <w:t xml:space="preserve"> </w:t>
      </w:r>
      <w:r w:rsidRPr="00FB37F0">
        <w:t>(stating that there were 20,</w:t>
      </w:r>
      <w:r>
        <w:t>922</w:t>
      </w:r>
      <w:r w:rsidRPr="00FB37F0">
        <w:t xml:space="preserve"> broadcaster </w:t>
      </w:r>
      <w:r>
        <w:t xml:space="preserve">stations </w:t>
      </w:r>
      <w:r w:rsidRPr="00FB37F0">
        <w:t>in the United States as of the end of 201</w:t>
      </w:r>
      <w:r>
        <w:t>5</w:t>
      </w:r>
      <w:r w:rsidRPr="00FB37F0">
        <w:t xml:space="preserve">, not including FM, VHF and UHF translators); </w:t>
      </w:r>
      <w:r w:rsidRPr="004E5F9F">
        <w:rPr>
          <w:i/>
        </w:rPr>
        <w:t>see also</w:t>
      </w:r>
      <w:r w:rsidRPr="00FB37F0">
        <w:t xml:space="preserve"> The Number of Cable Headends in the United States, STATISTA.COM (2014), http://www.statista.com/statistics/186996/number-of-cable-headends-in-the-united-states-since-1998/ (stating that in 2011 there were 7,136 cable headends in the United States)</w:t>
      </w:r>
      <w:r>
        <w:t>.</w:t>
      </w:r>
      <w:r w:rsidRPr="00FB37F0">
        <w:t xml:space="preserve">  </w:t>
      </w:r>
      <w:r w:rsidRPr="00241EFA">
        <w:t>Thus, at the OMB approved rate of $125 an hour, one hours work would total an aggregate cost of no more than $3</w:t>
      </w:r>
      <w:r>
        <w:t>,507,250</w:t>
      </w:r>
      <w:r w:rsidRPr="00241EFA">
        <w:t xml:space="preserve"> (</w:t>
      </w:r>
      <w:r w:rsidRPr="00EC7ACD">
        <w:rPr>
          <w:i/>
        </w:rPr>
        <w:t>i.e.</w:t>
      </w:r>
      <w:r w:rsidRPr="00241EFA">
        <w:t>, 2</w:t>
      </w:r>
      <w:r>
        <w:t>8,058</w:t>
      </w:r>
      <w:r w:rsidRPr="00241EFA">
        <w:t xml:space="preserve"> x $125 = $3,</w:t>
      </w:r>
      <w:r>
        <w:t>507,250</w:t>
      </w:r>
      <w:r w:rsidRPr="00241EFA">
        <w:t xml:space="preserve">) for implementation by all EAS Participants – which is highly conservative considering that only a fraction of EAS Participants are located in areas affected by these weather alerts, and thus likely to implement these codes.  </w:t>
      </w:r>
      <w:r>
        <w:t>A</w:t>
      </w:r>
      <w:r w:rsidRPr="00241EFA">
        <w:t xml:space="preserve">lthough TFT indicated that the cost to install these codes in two of their legacy – </w:t>
      </w:r>
      <w:r w:rsidRPr="00EC7ACD">
        <w:rPr>
          <w:i/>
        </w:rPr>
        <w:t>i.e</w:t>
      </w:r>
      <w:r w:rsidRPr="00241EFA">
        <w:t xml:space="preserve">., non-CAP enabled – device models would entail not just labor but also a $215 per-unit charge for a replacement EPROM, it was the only EAS equipment manufacturer to assert hardware costs, and those costs are indeterminate given TFT’s apparent defunct status.  </w:t>
      </w:r>
      <w:r w:rsidRPr="004E5F9F">
        <w:rPr>
          <w:i/>
        </w:rPr>
        <w:t>See</w:t>
      </w:r>
      <w:r w:rsidRPr="00241EFA">
        <w:t xml:space="preserve"> TFT Comments at 3-4.</w:t>
      </w:r>
    </w:p>
  </w:footnote>
  <w:footnote w:id="84">
    <w:p w14:paraId="49493BD5" w14:textId="77777777" w:rsidR="00A868D6" w:rsidRDefault="00A868D6" w:rsidP="00CE3ABA">
      <w:pPr>
        <w:pStyle w:val="FootnoteText"/>
      </w:pPr>
      <w:r>
        <w:rPr>
          <w:rStyle w:val="FootnoteReference"/>
        </w:rPr>
        <w:footnoteRef/>
      </w:r>
      <w:r>
        <w:t xml:space="preserve"> </w:t>
      </w:r>
      <w:r w:rsidRPr="004E5F9F">
        <w:rPr>
          <w:i/>
        </w:rPr>
        <w:t>See</w:t>
      </w:r>
      <w:r w:rsidRPr="00270249">
        <w:t xml:space="preserve">, </w:t>
      </w:r>
      <w:r w:rsidRPr="004E5F9F">
        <w:rPr>
          <w:i/>
        </w:rPr>
        <w:t>e.g</w:t>
      </w:r>
      <w:r w:rsidRPr="00270249">
        <w:t xml:space="preserve">., </w:t>
      </w:r>
      <w:r w:rsidRPr="004E5F9F">
        <w:rPr>
          <w:i/>
        </w:rPr>
        <w:t>Review of the Emergency Alert System</w:t>
      </w:r>
      <w:r w:rsidRPr="00270249">
        <w:t xml:space="preserve">, Notice of Proposed Rulemaking, 29 FCC Rcd 8123, 8148, para. 50 (2014); Memorandum from Polly Trottenberg, Under Secretary for Policy, Office of the Secretary for Transportation, and Robert S. Rivkin, General Counsel, Department of Transportation, Guidance on Treatment of the Economic Value of a Statistical Life in U.S. Department of Transportation Analyses (Feb. 28, 2013), at 1, http://www.dot.gov/sites/dot.gov/files/docs/VSL Guidance_2013.pdf (last visited </w:t>
      </w:r>
      <w:r>
        <w:t>Feb. 24, 2016</w:t>
      </w:r>
      <w:r w:rsidRPr="00270249">
        <w:t xml:space="preserve">).  </w:t>
      </w:r>
    </w:p>
  </w:footnote>
  <w:footnote w:id="85">
    <w:p w14:paraId="28FED3CB" w14:textId="60A78344" w:rsidR="00A868D6" w:rsidRDefault="00A868D6" w:rsidP="003E396A">
      <w:pPr>
        <w:pStyle w:val="FootnoteText"/>
      </w:pPr>
      <w:r>
        <w:rPr>
          <w:rStyle w:val="FootnoteReference"/>
        </w:rPr>
        <w:footnoteRef/>
      </w:r>
      <w:r>
        <w:t xml:space="preserve"> </w:t>
      </w:r>
      <w:r w:rsidRPr="00420199">
        <w:rPr>
          <w:i/>
        </w:rPr>
        <w:t xml:space="preserve">See </w:t>
      </w:r>
      <w:r w:rsidRPr="00022D02">
        <w:rPr>
          <w:i/>
        </w:rPr>
        <w:t>NWS NPRM</w:t>
      </w:r>
      <w:r>
        <w:t>,</w:t>
      </w:r>
      <w:r w:rsidRPr="00760E67">
        <w:t xml:space="preserve"> 30 FCC Rcd </w:t>
      </w:r>
      <w:r>
        <w:t xml:space="preserve">at </w:t>
      </w:r>
      <w:r w:rsidRPr="00760E67">
        <w:t>7475, para. 17 (</w:t>
      </w:r>
      <w:r w:rsidRPr="001D39C0">
        <w:rPr>
          <w:i/>
        </w:rPr>
        <w:t>citing</w:t>
      </w:r>
      <w:r w:rsidRPr="00022D02">
        <w:rPr>
          <w:i/>
        </w:rPr>
        <w:t xml:space="preserve"> </w:t>
      </w:r>
      <w:r>
        <w:t>47 CFR §§ 11.32(a), 11.33(a)).</w:t>
      </w:r>
    </w:p>
  </w:footnote>
  <w:footnote w:id="86">
    <w:p w14:paraId="530FE5C5" w14:textId="1563AFB5" w:rsidR="00A868D6" w:rsidRDefault="00A868D6" w:rsidP="003E396A">
      <w:pPr>
        <w:pStyle w:val="FootnoteText"/>
      </w:pPr>
      <w:r>
        <w:rPr>
          <w:rStyle w:val="FootnoteReference"/>
        </w:rPr>
        <w:footnoteRef/>
      </w:r>
      <w:r>
        <w:t xml:space="preserve"> State Emergency Communications Committees, or SECCs are volunteer groups, generally comprised of state and local public safety officials, state broadcast associations and other stakeholders, who are responsible for drafting State EAS Plans.  </w:t>
      </w:r>
      <w:r>
        <w:rPr>
          <w:i/>
          <w:iCs/>
        </w:rPr>
        <w:t>See </w:t>
      </w:r>
      <w:r w:rsidRPr="00760E67">
        <w:rPr>
          <w:i/>
        </w:rPr>
        <w:t xml:space="preserve">Amendment of </w:t>
      </w:r>
      <w:r>
        <w:rPr>
          <w:i/>
        </w:rPr>
        <w:t>Part 73, Subpart G, of the Commission’s Rules Regarding the Emergency Broadcast System,</w:t>
      </w:r>
      <w:r w:rsidRPr="00760E67">
        <w:t xml:space="preserve"> Report and Order and Further Notice of Proposed Rulemaking</w:t>
      </w:r>
      <w:r>
        <w:t xml:space="preserve">, 10 FCC Rcd 1786, 1834, paras. 131-32 (1994).  State EAS Plans contain guidelines which must be followed by EAS Participants' personnel, emergency officials, and NWS personnel to activate the EAS.  </w:t>
      </w:r>
      <w:r w:rsidRPr="00302518">
        <w:rPr>
          <w:i/>
        </w:rPr>
        <w:t>See</w:t>
      </w:r>
      <w:r>
        <w:t xml:space="preserve"> 47 CFR §11.21. </w:t>
      </w:r>
    </w:p>
  </w:footnote>
  <w:footnote w:id="87">
    <w:p w14:paraId="23EE8AF0" w14:textId="57032F58" w:rsidR="00A868D6" w:rsidRDefault="00A868D6">
      <w:pPr>
        <w:pStyle w:val="FootnoteText"/>
      </w:pPr>
      <w:r>
        <w:rPr>
          <w:rStyle w:val="FootnoteReference"/>
        </w:rPr>
        <w:footnoteRef/>
      </w:r>
      <w:r>
        <w:t xml:space="preserve"> </w:t>
      </w:r>
      <w:r w:rsidRPr="00420199">
        <w:rPr>
          <w:i/>
        </w:rPr>
        <w:t xml:space="preserve">See </w:t>
      </w:r>
      <w:r w:rsidRPr="00022D02">
        <w:rPr>
          <w:i/>
        </w:rPr>
        <w:t>NWS NPRM</w:t>
      </w:r>
      <w:r>
        <w:t>,</w:t>
      </w:r>
      <w:r w:rsidRPr="00760E67">
        <w:t xml:space="preserve"> 30 FCC Rcd </w:t>
      </w:r>
      <w:r>
        <w:t xml:space="preserve">at </w:t>
      </w:r>
      <w:r w:rsidRPr="00760E67">
        <w:t>7475, para. 17</w:t>
      </w:r>
      <w:r w:rsidRPr="00A61B17">
        <w:t>.</w:t>
      </w:r>
      <w:r>
        <w:rPr>
          <w:i/>
        </w:rPr>
        <w:t xml:space="preserve"> </w:t>
      </w:r>
    </w:p>
  </w:footnote>
  <w:footnote w:id="88">
    <w:p w14:paraId="1154E0E6" w14:textId="77777777" w:rsidR="00A868D6" w:rsidRDefault="00A868D6" w:rsidP="003E396A">
      <w:pPr>
        <w:pStyle w:val="FootnoteText"/>
        <w:rPr>
          <w:rFonts w:asciiTheme="minorHAnsi" w:hAnsiTheme="minorHAnsi" w:cstheme="minorBidi"/>
        </w:rPr>
      </w:pPr>
      <w:r>
        <w:rPr>
          <w:rStyle w:val="FootnoteReference"/>
        </w:rPr>
        <w:footnoteRef/>
      </w:r>
      <w:r>
        <w:t xml:space="preserve"> </w:t>
      </w:r>
      <w:r w:rsidRPr="00022D02">
        <w:rPr>
          <w:i/>
        </w:rPr>
        <w:t>See id</w:t>
      </w:r>
      <w:r w:rsidRPr="00121ADB">
        <w:t>.</w:t>
      </w:r>
      <w:r>
        <w:t xml:space="preserve"> </w:t>
      </w:r>
    </w:p>
  </w:footnote>
  <w:footnote w:id="89">
    <w:p w14:paraId="00448484" w14:textId="77777777" w:rsidR="00A868D6" w:rsidRDefault="00A868D6">
      <w:pPr>
        <w:pStyle w:val="FootnoteText"/>
      </w:pPr>
      <w:r>
        <w:rPr>
          <w:rStyle w:val="FootnoteReference"/>
        </w:rPr>
        <w:footnoteRef/>
      </w:r>
      <w:r>
        <w:t xml:space="preserve"> </w:t>
      </w:r>
      <w:r w:rsidRPr="00022D02">
        <w:rPr>
          <w:i/>
        </w:rPr>
        <w:t>See id</w:t>
      </w:r>
      <w:r w:rsidRPr="00121ADB">
        <w:t>.</w:t>
      </w:r>
    </w:p>
  </w:footnote>
  <w:footnote w:id="90">
    <w:p w14:paraId="5F9C6ED4" w14:textId="77777777" w:rsidR="00A868D6" w:rsidRDefault="00A868D6">
      <w:pPr>
        <w:pStyle w:val="FootnoteText"/>
      </w:pPr>
      <w:r>
        <w:rPr>
          <w:rStyle w:val="FootnoteReference"/>
        </w:rPr>
        <w:footnoteRef/>
      </w:r>
      <w:r>
        <w:t xml:space="preserve"> </w:t>
      </w:r>
      <w:r w:rsidRPr="00022D02">
        <w:rPr>
          <w:i/>
        </w:rPr>
        <w:t>See id</w:t>
      </w:r>
      <w:r w:rsidRPr="00A24EEF">
        <w:t>.</w:t>
      </w:r>
    </w:p>
  </w:footnote>
  <w:footnote w:id="91">
    <w:p w14:paraId="0F54A1AC" w14:textId="77777777" w:rsidR="00A868D6" w:rsidRDefault="00A868D6">
      <w:pPr>
        <w:pStyle w:val="FootnoteText"/>
      </w:pPr>
      <w:r>
        <w:rPr>
          <w:rStyle w:val="FootnoteReference"/>
        </w:rPr>
        <w:footnoteRef/>
      </w:r>
      <w:r>
        <w:t xml:space="preserve"> AT&amp;T Comments at 3. </w:t>
      </w:r>
    </w:p>
  </w:footnote>
  <w:footnote w:id="92">
    <w:p w14:paraId="3CCAFF81" w14:textId="77777777" w:rsidR="00A868D6" w:rsidRDefault="00A868D6">
      <w:pPr>
        <w:pStyle w:val="FootnoteText"/>
      </w:pPr>
      <w:r>
        <w:rPr>
          <w:rStyle w:val="FootnoteReference"/>
        </w:rPr>
        <w:footnoteRef/>
      </w:r>
      <w:r>
        <w:t xml:space="preserve"> NAB Comments at 3-4. </w:t>
      </w:r>
    </w:p>
  </w:footnote>
  <w:footnote w:id="93">
    <w:p w14:paraId="52B8BE4C" w14:textId="50FBEB96" w:rsidR="00A868D6" w:rsidRDefault="00A868D6">
      <w:pPr>
        <w:pStyle w:val="FootnoteText"/>
      </w:pPr>
      <w:r>
        <w:rPr>
          <w:rStyle w:val="FootnoteReference"/>
        </w:rPr>
        <w:footnoteRef/>
      </w:r>
      <w:r>
        <w:t xml:space="preserve"> Donald G. Everist, </w:t>
      </w:r>
      <w:r w:rsidRPr="00FD6ACE">
        <w:t>Cohen, Dippell and Everist, P.C.</w:t>
      </w:r>
      <w:r>
        <w:t xml:space="preserve">, </w:t>
      </w:r>
      <w:r w:rsidRPr="00FD6ACE">
        <w:t>Reply Comments</w:t>
      </w:r>
      <w:r w:rsidRPr="00BE1F26">
        <w:t xml:space="preserve"> </w:t>
      </w:r>
      <w:r w:rsidRPr="00FD6ACE">
        <w:t xml:space="preserve">at 2.  </w:t>
      </w:r>
      <w:r w:rsidRPr="00F86069">
        <w:rPr>
          <w:snapToGrid w:val="0"/>
          <w:kern w:val="28"/>
          <w:sz w:val="22"/>
        </w:rPr>
        <w:t xml:space="preserve">  </w:t>
      </w:r>
      <w:r>
        <w:t xml:space="preserve"> </w:t>
      </w:r>
    </w:p>
  </w:footnote>
  <w:footnote w:id="94">
    <w:p w14:paraId="14693990" w14:textId="0A65B1B6" w:rsidR="00A868D6" w:rsidRDefault="00A868D6">
      <w:pPr>
        <w:pStyle w:val="FootnoteText"/>
      </w:pPr>
      <w:r>
        <w:rPr>
          <w:rStyle w:val="FootnoteReference"/>
        </w:rPr>
        <w:footnoteRef/>
      </w:r>
      <w:r>
        <w:t xml:space="preserve"> Broadcast Warning Working Group, Comments</w:t>
      </w:r>
      <w:r w:rsidRPr="00BE1F26">
        <w:t xml:space="preserve"> at</w:t>
      </w:r>
      <w:r>
        <w:t xml:space="preserve"> 1 (BWWG Comments).  BWWG also observed that while these codes could not be installed in intermediary device configurations, such configurations already have to be replaced as a result of the adoption of the NPT event code for nationwide EAS tests and national location code (“000000”) in the </w:t>
      </w:r>
      <w:r w:rsidRPr="00944655">
        <w:rPr>
          <w:i/>
        </w:rPr>
        <w:t>EAS Sixth Report and Order</w:t>
      </w:r>
      <w:r>
        <w:t xml:space="preserve">.   </w:t>
      </w:r>
      <w:r w:rsidRPr="00944655">
        <w:rPr>
          <w:i/>
        </w:rPr>
        <w:t>See id</w:t>
      </w:r>
      <w:r>
        <w:t>. at 2.</w:t>
      </w:r>
    </w:p>
  </w:footnote>
  <w:footnote w:id="95">
    <w:p w14:paraId="23D1F586" w14:textId="77777777" w:rsidR="00A868D6" w:rsidRDefault="00A868D6">
      <w:pPr>
        <w:pStyle w:val="FootnoteText"/>
      </w:pPr>
      <w:r>
        <w:rPr>
          <w:rStyle w:val="FootnoteReference"/>
        </w:rPr>
        <w:footnoteRef/>
      </w:r>
      <w:r>
        <w:t xml:space="preserve"> </w:t>
      </w:r>
      <w:r w:rsidRPr="00682595">
        <w:rPr>
          <w:i/>
        </w:rPr>
        <w:t>See</w:t>
      </w:r>
      <w:r w:rsidRPr="00682595">
        <w:t xml:space="preserve"> NAB Comments at 4 (supporting the proposal “that NWS use the new event codes concurrent with an existing code for a reasonable interim period”); AT&amp;T Comments at 2-3 </w:t>
      </w:r>
      <w:r>
        <w:t>(</w:t>
      </w:r>
      <w:r w:rsidRPr="00682595">
        <w:t>supporting the proposal that NWS should “issue any alert that uses one of the new event codes concurrent with an alert that uses the current event code”).</w:t>
      </w:r>
    </w:p>
  </w:footnote>
  <w:footnote w:id="96">
    <w:p w14:paraId="48C4CF99" w14:textId="32F44F7F" w:rsidR="00A868D6" w:rsidRDefault="00A868D6">
      <w:pPr>
        <w:pStyle w:val="FootnoteText"/>
      </w:pPr>
      <w:r>
        <w:rPr>
          <w:rStyle w:val="FootnoteReference"/>
        </w:rPr>
        <w:footnoteRef/>
      </w:r>
      <w:r>
        <w:t xml:space="preserve"> </w:t>
      </w:r>
      <w:r w:rsidRPr="00022D02">
        <w:rPr>
          <w:i/>
        </w:rPr>
        <w:t>See supra</w:t>
      </w:r>
      <w:r>
        <w:t xml:space="preserve"> note 37.</w:t>
      </w:r>
    </w:p>
  </w:footnote>
  <w:footnote w:id="97">
    <w:p w14:paraId="415D0A15" w14:textId="10491EEC" w:rsidR="00A868D6" w:rsidRDefault="00A868D6">
      <w:pPr>
        <w:pStyle w:val="FootnoteText"/>
      </w:pPr>
      <w:r>
        <w:rPr>
          <w:rStyle w:val="FootnoteReference"/>
        </w:rPr>
        <w:footnoteRef/>
      </w:r>
      <w:r>
        <w:t xml:space="preserve"> </w:t>
      </w:r>
      <w:r w:rsidRPr="000C54C6">
        <w:rPr>
          <w:i/>
          <w:szCs w:val="22"/>
        </w:rPr>
        <w:t>See</w:t>
      </w:r>
      <w:r>
        <w:rPr>
          <w:szCs w:val="22"/>
        </w:rPr>
        <w:t xml:space="preserve"> </w:t>
      </w:r>
      <w:r w:rsidRPr="0049116F">
        <w:rPr>
          <w:i/>
          <w:szCs w:val="22"/>
        </w:rPr>
        <w:t xml:space="preserve">2002 Report and </w:t>
      </w:r>
      <w:r>
        <w:rPr>
          <w:i/>
          <w:szCs w:val="22"/>
        </w:rPr>
        <w:t>O</w:t>
      </w:r>
      <w:r w:rsidRPr="0049116F">
        <w:rPr>
          <w:i/>
          <w:szCs w:val="22"/>
        </w:rPr>
        <w:t>rder</w:t>
      </w:r>
      <w:r>
        <w:rPr>
          <w:szCs w:val="22"/>
        </w:rPr>
        <w:t xml:space="preserve">, </w:t>
      </w:r>
      <w:r w:rsidRPr="006D167D">
        <w:rPr>
          <w:szCs w:val="22"/>
        </w:rPr>
        <w:t xml:space="preserve">17 FCC Rcd </w:t>
      </w:r>
      <w:r>
        <w:rPr>
          <w:szCs w:val="22"/>
        </w:rPr>
        <w:t xml:space="preserve">at </w:t>
      </w:r>
      <w:r w:rsidRPr="00C51888">
        <w:rPr>
          <w:szCs w:val="22"/>
        </w:rPr>
        <w:t>4061-62, para. 13 (“permit[ting] broadcast stations and cable systems to upgrade their existing EAS equipment to add the new event codes on a voluntary basis until it is replaced”)</w:t>
      </w:r>
      <w:r>
        <w:rPr>
          <w:szCs w:val="22"/>
        </w:rPr>
        <w:t xml:space="preserve">; </w:t>
      </w:r>
      <w:r w:rsidRPr="00430D65">
        <w:rPr>
          <w:i/>
          <w:szCs w:val="22"/>
        </w:rPr>
        <w:t>see also id</w:t>
      </w:r>
      <w:r>
        <w:rPr>
          <w:szCs w:val="22"/>
        </w:rPr>
        <w:t xml:space="preserve">. at 4070, para. 36 (adopting same approach for newly adopted location codes).  </w:t>
      </w:r>
      <w:r w:rsidRPr="00C51888">
        <w:rPr>
          <w:szCs w:val="22"/>
        </w:rPr>
        <w:t xml:space="preserve">Although the </w:t>
      </w:r>
      <w:r w:rsidRPr="00125DB6">
        <w:rPr>
          <w:i/>
          <w:szCs w:val="22"/>
        </w:rPr>
        <w:t>2002 Report and Order</w:t>
      </w:r>
      <w:r w:rsidRPr="00C51888">
        <w:rPr>
          <w:szCs w:val="22"/>
        </w:rPr>
        <w:t xml:space="preserve"> gave manufacturers approximately 18 months to implement the new event codes adopted therein, the record in this</w:t>
      </w:r>
      <w:r>
        <w:rPr>
          <w:szCs w:val="22"/>
        </w:rPr>
        <w:t xml:space="preserve"> proceeding indicates that manufacturers can implement these new event codes and location code revisions expeditiously, and that it would be less costly to do so.  </w:t>
      </w:r>
      <w:r w:rsidRPr="005D3BB3">
        <w:rPr>
          <w:i/>
          <w:szCs w:val="22"/>
        </w:rPr>
        <w:t>See</w:t>
      </w:r>
      <w:r>
        <w:rPr>
          <w:szCs w:val="22"/>
        </w:rPr>
        <w:t xml:space="preserve">, </w:t>
      </w:r>
      <w:r w:rsidRPr="005D3BB3">
        <w:rPr>
          <w:i/>
          <w:szCs w:val="22"/>
        </w:rPr>
        <w:t>e.g.</w:t>
      </w:r>
      <w:r>
        <w:rPr>
          <w:szCs w:val="22"/>
        </w:rPr>
        <w:t xml:space="preserve">, </w:t>
      </w:r>
      <w:r w:rsidRPr="005D3BB3">
        <w:rPr>
          <w:i/>
          <w:szCs w:val="22"/>
        </w:rPr>
        <w:t>id.</w:t>
      </w:r>
      <w:r>
        <w:rPr>
          <w:szCs w:val="22"/>
        </w:rPr>
        <w:t xml:space="preserve"> at 4062-63, para. 15.  We therefore conclude that six months is sufficient for these codes.  </w:t>
      </w:r>
    </w:p>
  </w:footnote>
  <w:footnote w:id="98">
    <w:p w14:paraId="295897E1" w14:textId="77777777" w:rsidR="00A868D6" w:rsidRDefault="00A868D6">
      <w:pPr>
        <w:pStyle w:val="FootnoteText"/>
      </w:pPr>
      <w:r>
        <w:rPr>
          <w:rStyle w:val="FootnoteReference"/>
        </w:rPr>
        <w:footnoteRef/>
      </w:r>
      <w:r>
        <w:t xml:space="preserve"> </w:t>
      </w:r>
      <w:r w:rsidRPr="00453ECC">
        <w:rPr>
          <w:i/>
        </w:rPr>
        <w:t>See</w:t>
      </w:r>
      <w:r>
        <w:t xml:space="preserve"> BWWG Comments at 1. </w:t>
      </w:r>
    </w:p>
  </w:footnote>
  <w:footnote w:id="99">
    <w:p w14:paraId="46C75AD2" w14:textId="77777777" w:rsidR="00A868D6" w:rsidRDefault="00A868D6">
      <w:pPr>
        <w:pStyle w:val="FootnoteText"/>
      </w:pPr>
      <w:r>
        <w:rPr>
          <w:rStyle w:val="FootnoteReference"/>
        </w:rPr>
        <w:footnoteRef/>
      </w:r>
      <w:r>
        <w:t xml:space="preserve"> We observe that user feedback and survey data compiled by NWS indicate a strong desire on the part of EAS Participants and other entities that relay NWS alert warnings to make these new codes operational.  </w:t>
      </w:r>
      <w:r w:rsidRPr="00AB6FE7">
        <w:rPr>
          <w:i/>
        </w:rPr>
        <w:t>See</w:t>
      </w:r>
      <w:r>
        <w:t xml:space="preserve">, </w:t>
      </w:r>
      <w:r w:rsidRPr="00AB6FE7">
        <w:rPr>
          <w:i/>
        </w:rPr>
        <w:t>e.g</w:t>
      </w:r>
      <w:r>
        <w:t xml:space="preserve">., </w:t>
      </w:r>
      <w:r w:rsidRPr="00760E67">
        <w:t>NWS Consolidated</w:t>
      </w:r>
      <w:r w:rsidRPr="00BE68C7">
        <w:t xml:space="preserve"> </w:t>
      </w:r>
      <w:r w:rsidRPr="00760E67">
        <w:t>Request</w:t>
      </w:r>
      <w:r>
        <w:t xml:space="preserve">, Attachments A, B. </w:t>
      </w:r>
    </w:p>
  </w:footnote>
  <w:footnote w:id="100">
    <w:p w14:paraId="68F3FA16" w14:textId="6033FC01" w:rsidR="00A868D6" w:rsidRDefault="00A868D6">
      <w:pPr>
        <w:pStyle w:val="FootnoteText"/>
      </w:pPr>
      <w:r>
        <w:rPr>
          <w:rStyle w:val="FootnoteReference"/>
        </w:rPr>
        <w:footnoteRef/>
      </w:r>
      <w:r>
        <w:t xml:space="preserve"> </w:t>
      </w:r>
      <w:r w:rsidRPr="00125DB6">
        <w:rPr>
          <w:i/>
        </w:rPr>
        <w:t>See supra</w:t>
      </w:r>
      <w:r>
        <w:t xml:space="preserve"> note 95.</w:t>
      </w:r>
    </w:p>
  </w:footnote>
  <w:footnote w:id="101">
    <w:p w14:paraId="72CE08FD" w14:textId="4D08FD46" w:rsidR="00A868D6" w:rsidRDefault="00A868D6" w:rsidP="00392BF4">
      <w:pPr>
        <w:pStyle w:val="ParaNum"/>
        <w:numPr>
          <w:ilvl w:val="0"/>
          <w:numId w:val="0"/>
        </w:numPr>
        <w:tabs>
          <w:tab w:val="left" w:pos="1440"/>
        </w:tabs>
        <w:spacing w:before="120"/>
      </w:pPr>
      <w:r>
        <w:rPr>
          <w:rStyle w:val="FootnoteReference"/>
        </w:rPr>
        <w:footnoteRef/>
      </w:r>
      <w:r>
        <w:t xml:space="preserve"> </w:t>
      </w:r>
      <w:r w:rsidRPr="00392BF4">
        <w:rPr>
          <w:i/>
          <w:snapToGrid/>
          <w:kern w:val="0"/>
          <w:sz w:val="20"/>
        </w:rPr>
        <w:t>See</w:t>
      </w:r>
      <w:r w:rsidRPr="00392BF4">
        <w:rPr>
          <w:snapToGrid/>
          <w:kern w:val="0"/>
          <w:sz w:val="20"/>
        </w:rPr>
        <w:t xml:space="preserve">, </w:t>
      </w:r>
      <w:r w:rsidRPr="00392BF4">
        <w:rPr>
          <w:i/>
          <w:snapToGrid/>
          <w:kern w:val="0"/>
          <w:sz w:val="20"/>
        </w:rPr>
        <w:t>e.g</w:t>
      </w:r>
      <w:r w:rsidRPr="00392BF4">
        <w:rPr>
          <w:snapToGrid/>
          <w:kern w:val="0"/>
          <w:sz w:val="20"/>
        </w:rPr>
        <w:t xml:space="preserve">., 47 </w:t>
      </w:r>
      <w:r>
        <w:rPr>
          <w:snapToGrid/>
          <w:kern w:val="0"/>
          <w:sz w:val="20"/>
        </w:rPr>
        <w:t>CFR</w:t>
      </w:r>
      <w:r w:rsidRPr="00392BF4">
        <w:rPr>
          <w:snapToGrid/>
          <w:kern w:val="0"/>
          <w:sz w:val="20"/>
        </w:rPr>
        <w:t xml:space="preserve"> § 11.55(a) (“The EAS may be activated at the State and Local Area levels by EAS Participants at their discretion for day-to-day emergency situations posing a threat to life and property.”; 47 </w:t>
      </w:r>
      <w:r>
        <w:rPr>
          <w:snapToGrid/>
          <w:kern w:val="0"/>
          <w:sz w:val="20"/>
        </w:rPr>
        <w:t>CFR</w:t>
      </w:r>
      <w:r w:rsidRPr="00392BF4">
        <w:rPr>
          <w:snapToGrid/>
          <w:kern w:val="0"/>
          <w:sz w:val="20"/>
        </w:rPr>
        <w:t xml:space="preserve"> § 11.52(d)(5) (“The management of EAS Participants shall determine which header codes will automatically interrupt their programming for State and Local Area emergency situations affecting their audiences.”).</w:t>
      </w:r>
      <w:r>
        <w:rPr>
          <w:rFonts w:ascii="Arial" w:hAnsi="Arial" w:cs="Arial"/>
          <w:sz w:val="20"/>
        </w:rPr>
        <w:t xml:space="preserve">  </w:t>
      </w:r>
      <w:r w:rsidRPr="00392BF4">
        <w:rPr>
          <w:i/>
          <w:sz w:val="20"/>
        </w:rPr>
        <w:t>See also</w:t>
      </w:r>
      <w:r w:rsidRPr="00392BF4">
        <w:rPr>
          <w:sz w:val="20"/>
        </w:rPr>
        <w:t xml:space="preserve"> </w:t>
      </w:r>
      <w:r w:rsidRPr="00392BF4">
        <w:rPr>
          <w:i/>
          <w:sz w:val="20"/>
        </w:rPr>
        <w:t>First Report and Order and Further Notice of Proposed Rule Making</w:t>
      </w:r>
      <w:r w:rsidRPr="00392BF4">
        <w:rPr>
          <w:sz w:val="20"/>
        </w:rPr>
        <w:t>, 20 FCC Rcd at 18628, para. 8.</w:t>
      </w:r>
    </w:p>
  </w:footnote>
  <w:footnote w:id="102">
    <w:p w14:paraId="653BBA6F" w14:textId="6D483415" w:rsidR="00A868D6" w:rsidRDefault="00A868D6">
      <w:pPr>
        <w:pStyle w:val="FootnoteText"/>
      </w:pPr>
      <w:r>
        <w:rPr>
          <w:rStyle w:val="FootnoteReference"/>
        </w:rPr>
        <w:footnoteRef/>
      </w:r>
      <w:r>
        <w:t xml:space="preserve"> </w:t>
      </w:r>
      <w:r w:rsidRPr="0049116F">
        <w:rPr>
          <w:i/>
          <w:szCs w:val="22"/>
        </w:rPr>
        <w:t xml:space="preserve">2002 Report and </w:t>
      </w:r>
      <w:r>
        <w:rPr>
          <w:i/>
          <w:szCs w:val="22"/>
        </w:rPr>
        <w:t>O</w:t>
      </w:r>
      <w:r w:rsidRPr="0049116F">
        <w:rPr>
          <w:i/>
          <w:szCs w:val="22"/>
        </w:rPr>
        <w:t>rder</w:t>
      </w:r>
      <w:r>
        <w:rPr>
          <w:szCs w:val="22"/>
        </w:rPr>
        <w:t xml:space="preserve">, </w:t>
      </w:r>
      <w:r w:rsidRPr="006D167D">
        <w:rPr>
          <w:szCs w:val="22"/>
        </w:rPr>
        <w:t xml:space="preserve">17 FCC </w:t>
      </w:r>
      <w:r w:rsidRPr="00BE68C7">
        <w:rPr>
          <w:szCs w:val="22"/>
        </w:rPr>
        <w:t xml:space="preserve">Rcd </w:t>
      </w:r>
      <w:r>
        <w:rPr>
          <w:szCs w:val="22"/>
        </w:rPr>
        <w:t xml:space="preserve">at </w:t>
      </w:r>
      <w:r w:rsidRPr="00C51888">
        <w:rPr>
          <w:szCs w:val="22"/>
        </w:rPr>
        <w:t>4062, para. 1</w:t>
      </w:r>
      <w:r>
        <w:rPr>
          <w:szCs w:val="22"/>
        </w:rPr>
        <w:t>4.</w:t>
      </w:r>
    </w:p>
  </w:footnote>
  <w:footnote w:id="103">
    <w:p w14:paraId="3F6C1D26" w14:textId="27EF60D7" w:rsidR="00A868D6" w:rsidRDefault="00A868D6">
      <w:pPr>
        <w:pStyle w:val="FootnoteText"/>
      </w:pPr>
      <w:r>
        <w:rPr>
          <w:rStyle w:val="FootnoteReference"/>
        </w:rPr>
        <w:footnoteRef/>
      </w:r>
      <w:r>
        <w:t xml:space="preserve"> </w:t>
      </w:r>
      <w:r w:rsidRPr="00E315AB">
        <w:rPr>
          <w:i/>
        </w:rPr>
        <w:t>See 2002 Report and Order</w:t>
      </w:r>
      <w:r w:rsidRPr="00430D65">
        <w:t xml:space="preserve">, 17 FCC Rcd </w:t>
      </w:r>
      <w:r>
        <w:t xml:space="preserve">at </w:t>
      </w:r>
      <w:r w:rsidRPr="00430D65">
        <w:t>406</w:t>
      </w:r>
      <w:r>
        <w:t>1-6</w:t>
      </w:r>
      <w:r w:rsidRPr="00430D65">
        <w:t>2, para. 1</w:t>
      </w:r>
      <w:r>
        <w:t xml:space="preserve">3, </w:t>
      </w:r>
      <w:r>
        <w:rPr>
          <w:szCs w:val="22"/>
        </w:rPr>
        <w:t xml:space="preserve">4070, para. 36. </w:t>
      </w:r>
    </w:p>
  </w:footnote>
  <w:footnote w:id="104">
    <w:p w14:paraId="31A71911" w14:textId="08C1003B" w:rsidR="00A868D6" w:rsidRPr="00763965" w:rsidRDefault="00A868D6" w:rsidP="00C525DF">
      <w:pPr>
        <w:pStyle w:val="FootnoteText"/>
      </w:pPr>
      <w:r>
        <w:rPr>
          <w:rStyle w:val="FootnoteReference"/>
        </w:rPr>
        <w:footnoteRef/>
      </w:r>
      <w:r>
        <w:t xml:space="preserve"> </w:t>
      </w:r>
      <w:r w:rsidRPr="001B42B8">
        <w:rPr>
          <w:i/>
        </w:rPr>
        <w:t>See</w:t>
      </w:r>
      <w:r>
        <w:t xml:space="preserve"> </w:t>
      </w:r>
      <w:r w:rsidRPr="00161CEA">
        <w:t>NWS Dec. 14</w:t>
      </w:r>
      <w:r w:rsidRPr="001F0D51">
        <w:t xml:space="preserve"> </w:t>
      </w:r>
      <w:r w:rsidRPr="00161CEA">
        <w:rPr>
          <w:i/>
        </w:rPr>
        <w:t>Ex Parte</w:t>
      </w:r>
      <w:r w:rsidRPr="001F0D51">
        <w:t xml:space="preserve"> </w:t>
      </w:r>
      <w:r w:rsidRPr="001D39C0">
        <w:t>Letter</w:t>
      </w:r>
      <w:r>
        <w:t>.</w:t>
      </w:r>
    </w:p>
  </w:footnote>
  <w:footnote w:id="105">
    <w:p w14:paraId="727967FB" w14:textId="77777777" w:rsidR="00A868D6" w:rsidRDefault="00A868D6">
      <w:pPr>
        <w:pStyle w:val="FootnoteText"/>
      </w:pPr>
      <w:r>
        <w:rPr>
          <w:rStyle w:val="FootnoteReference"/>
        </w:rPr>
        <w:footnoteRef/>
      </w:r>
      <w:r>
        <w:t xml:space="preserve"> </w:t>
      </w:r>
      <w:r w:rsidRPr="007B08E3">
        <w:rPr>
          <w:i/>
        </w:rPr>
        <w:t>Id.</w:t>
      </w:r>
    </w:p>
  </w:footnote>
  <w:footnote w:id="106">
    <w:p w14:paraId="24EAA93E" w14:textId="77777777" w:rsidR="00A868D6" w:rsidRPr="004B65E4" w:rsidRDefault="00A868D6" w:rsidP="00274CCC">
      <w:pPr>
        <w:pStyle w:val="FootnoteText"/>
      </w:pPr>
      <w:r w:rsidRPr="004B65E4">
        <w:rPr>
          <w:rStyle w:val="FootnoteReference"/>
        </w:rPr>
        <w:footnoteRef/>
      </w:r>
      <w:r w:rsidRPr="004B65E4">
        <w:t xml:space="preserve"> </w:t>
      </w:r>
      <w:r w:rsidRPr="004B65E4">
        <w:rPr>
          <w:i/>
        </w:rPr>
        <w:t xml:space="preserve">See </w:t>
      </w:r>
      <w:r w:rsidRPr="004B65E4">
        <w:t xml:space="preserve">5 U.S.C. § 603.  The RFA, </w:t>
      </w:r>
      <w:r w:rsidRPr="004B65E4">
        <w:rPr>
          <w:i/>
        </w:rPr>
        <w:t xml:space="preserve">see </w:t>
      </w:r>
      <w:r w:rsidRPr="004B65E4">
        <w:t>5 U.S.C. §§ 601-612, has been amended by the Small Business Regulatory Enforcement Fairness Act of 1996 (SBREFA), Pub. L. No. 104-121, Title II, 110 Stat. 857 (1996).</w:t>
      </w:r>
    </w:p>
  </w:footnote>
  <w:footnote w:id="107">
    <w:p w14:paraId="596B6578" w14:textId="3AAEC3F5" w:rsidR="00A868D6" w:rsidRDefault="00A868D6">
      <w:pPr>
        <w:pStyle w:val="FootnoteText"/>
      </w:pPr>
      <w:r>
        <w:rPr>
          <w:rStyle w:val="FootnoteReference"/>
        </w:rPr>
        <w:footnoteRef/>
      </w:r>
      <w:r>
        <w:t xml:space="preserve"> </w:t>
      </w:r>
      <w:r w:rsidRPr="00C130F9">
        <w:rPr>
          <w:i/>
        </w:rPr>
        <w:t xml:space="preserve">See </w:t>
      </w:r>
      <w:r w:rsidRPr="00C130F9">
        <w:rPr>
          <w:i/>
          <w:spacing w:val="-2"/>
          <w:szCs w:val="22"/>
        </w:rPr>
        <w:t>Amendment of Part 11 of the Commission’s Rules</w:t>
      </w:r>
      <w:r w:rsidRPr="00C130F9">
        <w:rPr>
          <w:i/>
          <w:szCs w:val="22"/>
        </w:rPr>
        <w:t xml:space="preserve"> </w:t>
      </w:r>
      <w:r w:rsidRPr="00C130F9">
        <w:rPr>
          <w:i/>
          <w:spacing w:val="-2"/>
          <w:szCs w:val="22"/>
        </w:rPr>
        <w:t>Regarding the Emergency Alert System</w:t>
      </w:r>
      <w:r>
        <w:rPr>
          <w:spacing w:val="-2"/>
          <w:szCs w:val="22"/>
        </w:rPr>
        <w:t xml:space="preserve">, Notice of Proposed Rulemaking, </w:t>
      </w:r>
      <w:r w:rsidRPr="008A092A">
        <w:rPr>
          <w:szCs w:val="22"/>
        </w:rPr>
        <w:t>30 FCC Rcd. 7467</w:t>
      </w:r>
      <w:r>
        <w:rPr>
          <w:szCs w:val="22"/>
        </w:rPr>
        <w:t>, Appendix B (2015).</w:t>
      </w:r>
    </w:p>
  </w:footnote>
  <w:footnote w:id="108">
    <w:p w14:paraId="0820A468" w14:textId="238115B1" w:rsidR="00A868D6" w:rsidRDefault="00A868D6">
      <w:pPr>
        <w:pStyle w:val="FootnoteText"/>
      </w:pPr>
      <w:r>
        <w:rPr>
          <w:rStyle w:val="FootnoteReference"/>
        </w:rPr>
        <w:footnoteRef/>
      </w:r>
      <w:r>
        <w:t xml:space="preserve"> </w:t>
      </w:r>
      <w:r w:rsidRPr="003E73F4">
        <w:rPr>
          <w:i/>
        </w:rPr>
        <w:t>See</w:t>
      </w:r>
      <w:r>
        <w:t xml:space="preserve"> 47 CFR pt. 11. </w:t>
      </w:r>
    </w:p>
  </w:footnote>
  <w:footnote w:id="109">
    <w:p w14:paraId="674FEE43" w14:textId="2A29F35B" w:rsidR="00A868D6" w:rsidRPr="003E39D3" w:rsidRDefault="00A868D6" w:rsidP="003E73F4">
      <w:pPr>
        <w:pStyle w:val="FootnoteText"/>
      </w:pPr>
      <w:r>
        <w:rPr>
          <w:rStyle w:val="FootnoteReference"/>
        </w:rPr>
        <w:footnoteRef/>
      </w:r>
      <w:r>
        <w:t xml:space="preserve"> </w:t>
      </w:r>
      <w:r w:rsidRPr="003E39D3">
        <w:rPr>
          <w:i/>
        </w:rPr>
        <w:t>See</w:t>
      </w:r>
      <w:r w:rsidRPr="003E39D3">
        <w:t xml:space="preserve"> 5 U.S.C. § 601(3)–(6).</w:t>
      </w:r>
    </w:p>
  </w:footnote>
  <w:footnote w:id="110">
    <w:p w14:paraId="0074814C" w14:textId="77777777" w:rsidR="00A868D6" w:rsidRPr="003E39D3" w:rsidRDefault="00A868D6" w:rsidP="003E73F4">
      <w:pPr>
        <w:pStyle w:val="FootnoteText"/>
      </w:pPr>
      <w:r>
        <w:rPr>
          <w:rStyle w:val="FootnoteReference"/>
        </w:rPr>
        <w:footnoteRef/>
      </w:r>
      <w:r>
        <w:t xml:space="preserve"> </w:t>
      </w:r>
      <w:r w:rsidRPr="003E39D3">
        <w:rPr>
          <w:i/>
        </w:rPr>
        <w:t>See</w:t>
      </w:r>
      <w:r w:rsidRPr="003E39D3">
        <w:t xml:space="preserve"> SBA, Office of Advocacy, “Frequently Asked Questions,” http://web.sba.gov/faqs (showing figures are from </w:t>
      </w:r>
      <w:r w:rsidRPr="00CB2894">
        <w:t>March 2014</w:t>
      </w:r>
      <w:r w:rsidRPr="003E39D3">
        <w:t>).</w:t>
      </w:r>
    </w:p>
  </w:footnote>
  <w:footnote w:id="111">
    <w:p w14:paraId="1090E4E1" w14:textId="77777777" w:rsidR="00A868D6" w:rsidRPr="003E39D3" w:rsidRDefault="00A868D6" w:rsidP="003E73F4">
      <w:pPr>
        <w:pStyle w:val="FootnoteText"/>
      </w:pPr>
      <w:r w:rsidRPr="003E39D3">
        <w:rPr>
          <w:rStyle w:val="FootnoteReference"/>
        </w:rPr>
        <w:footnoteRef/>
      </w:r>
      <w:r w:rsidRPr="003E39D3">
        <w:t xml:space="preserve"> </w:t>
      </w:r>
      <w:r w:rsidRPr="003E39D3">
        <w:rPr>
          <w:spacing w:val="-2"/>
        </w:rPr>
        <w:t>5 U.S.C.</w:t>
      </w:r>
      <w:r w:rsidRPr="003E39D3">
        <w:t xml:space="preserve"> § 601(4).</w:t>
      </w:r>
    </w:p>
  </w:footnote>
  <w:footnote w:id="112">
    <w:p w14:paraId="21A93BEC" w14:textId="77777777" w:rsidR="00A868D6" w:rsidRPr="003E39D3" w:rsidRDefault="00A868D6" w:rsidP="003E73F4">
      <w:pPr>
        <w:pStyle w:val="FootnoteText"/>
      </w:pPr>
      <w:r w:rsidRPr="003E39D3">
        <w:rPr>
          <w:rStyle w:val="FootnoteReference"/>
        </w:rPr>
        <w:footnoteRef/>
      </w:r>
      <w:r w:rsidRPr="003E39D3">
        <w:t xml:space="preserve"> </w:t>
      </w:r>
      <w:r w:rsidRPr="003E39D3">
        <w:rPr>
          <w:smallCaps/>
        </w:rPr>
        <w:t>Independent Sector</w:t>
      </w:r>
      <w:r w:rsidRPr="003E39D3">
        <w:t xml:space="preserve">, </w:t>
      </w:r>
      <w:r w:rsidRPr="003E39D3">
        <w:rPr>
          <w:smallCaps/>
        </w:rPr>
        <w:t>The New Nonprofit Almanac &amp; Desk Reference</w:t>
      </w:r>
      <w:r w:rsidRPr="003E39D3">
        <w:t xml:space="preserve"> (2010).</w:t>
      </w:r>
    </w:p>
  </w:footnote>
  <w:footnote w:id="113">
    <w:p w14:paraId="746C83D7" w14:textId="77777777" w:rsidR="00A868D6" w:rsidRPr="003E39D3" w:rsidRDefault="00A868D6" w:rsidP="003E73F4">
      <w:pPr>
        <w:pStyle w:val="FootnoteText"/>
      </w:pPr>
      <w:r w:rsidRPr="003E39D3">
        <w:rPr>
          <w:rStyle w:val="FootnoteReference"/>
          <w:spacing w:val="-2"/>
        </w:rPr>
        <w:footnoteRef/>
      </w:r>
      <w:r w:rsidRPr="003E39D3">
        <w:t xml:space="preserve"> 5 U.S.C. § 601(5).</w:t>
      </w:r>
    </w:p>
  </w:footnote>
  <w:footnote w:id="114">
    <w:p w14:paraId="020AD305" w14:textId="77777777" w:rsidR="00A868D6" w:rsidRPr="003E39D3" w:rsidRDefault="00A868D6" w:rsidP="003E73F4">
      <w:pPr>
        <w:pStyle w:val="FootnoteText"/>
      </w:pPr>
      <w:r w:rsidRPr="003E39D3">
        <w:rPr>
          <w:rStyle w:val="FootnoteReference"/>
          <w:spacing w:val="-2"/>
        </w:rPr>
        <w:footnoteRef/>
      </w:r>
      <w:r w:rsidRPr="003E39D3">
        <w:t xml:space="preserve"> </w:t>
      </w:r>
      <w:r w:rsidRPr="003E39D3">
        <w:rPr>
          <w:smallCaps/>
        </w:rPr>
        <w:t>U.S. Census Bureau, Statistical Abstract of the United States: 2011</w:t>
      </w:r>
      <w:r w:rsidRPr="003E39D3">
        <w:t xml:space="preserve">, Table 427 (2007) </w:t>
      </w:r>
    </w:p>
  </w:footnote>
  <w:footnote w:id="115">
    <w:p w14:paraId="744E24EE" w14:textId="77777777" w:rsidR="00A868D6" w:rsidRPr="003E39D3" w:rsidRDefault="00A868D6" w:rsidP="003E73F4">
      <w:pPr>
        <w:pStyle w:val="FootnoteText"/>
      </w:pPr>
      <w:r w:rsidRPr="003E39D3">
        <w:rPr>
          <w:rStyle w:val="FootnoteReference"/>
        </w:rPr>
        <w:footnoteRef/>
      </w:r>
      <w:r w:rsidRPr="003E39D3">
        <w:t xml:space="preserve"> The 2007 U.S Census data for small governmental organizations are not presented based on the size of the population in each such organization. There were 89</w:t>
      </w:r>
      <w:r>
        <w:t>,</w:t>
      </w:r>
      <w:r w:rsidRPr="003E39D3">
        <w:t>476 small governmental organizations in 2007. If we assume that county, municipal, township and school district organizations are more likely than larger governmental organizations to have populations of 50,000 or less</w:t>
      </w:r>
      <w:r>
        <w:t xml:space="preserve">, </w:t>
      </w:r>
      <w:r w:rsidRPr="003E39D3">
        <w:t>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88,506 may be considered small under the applicable standard.  This data may overestimate the number of such organizations that ha</w:t>
      </w:r>
      <w:r>
        <w:t>ve</w:t>
      </w:r>
      <w:r w:rsidRPr="003E39D3">
        <w:t xml:space="preserve"> a population of 50,000 or less. </w:t>
      </w:r>
      <w:r w:rsidRPr="003E39D3">
        <w:rPr>
          <w:smallCaps/>
        </w:rPr>
        <w:t>U.S. Census Bureau, Statistical Abstract Of The United States 2011</w:t>
      </w:r>
      <w:r w:rsidRPr="003E39D3">
        <w:t>, Tables 427, 426 (Data cited therein are from 2007)</w:t>
      </w:r>
      <w:r w:rsidRPr="003E39D3">
        <w:rPr>
          <w:i/>
        </w:rPr>
        <w:t>.</w:t>
      </w:r>
    </w:p>
  </w:footnote>
  <w:footnote w:id="116">
    <w:p w14:paraId="74EBAE8E" w14:textId="5B7647B0" w:rsidR="00A868D6" w:rsidRPr="003E39D3" w:rsidRDefault="00A868D6" w:rsidP="003E73F4">
      <w:pPr>
        <w:pStyle w:val="FootnoteText"/>
      </w:pPr>
      <w:r w:rsidRPr="003E39D3">
        <w:rPr>
          <w:rStyle w:val="FootnoteReference"/>
        </w:rPr>
        <w:footnoteRef/>
      </w:r>
      <w:r w:rsidRPr="003E39D3">
        <w:t xml:space="preserve"> Television broadcasting stations with no more </w:t>
      </w:r>
      <w:r w:rsidRPr="00CC7ABB">
        <w:t>than $38.5 million</w:t>
      </w:r>
      <w:r w:rsidRPr="003E39D3">
        <w:t xml:space="preserve"> in annual receipts are considered a small business pursuant to the SBA’s standards.  </w:t>
      </w:r>
      <w:r w:rsidRPr="00CC7ABB">
        <w:rPr>
          <w:i/>
        </w:rPr>
        <w:t xml:space="preserve">See </w:t>
      </w:r>
      <w:r w:rsidRPr="00CC7ABB">
        <w:rPr>
          <w:smallCaps/>
        </w:rPr>
        <w:t>U. S. Small Business Administration</w:t>
      </w:r>
      <w:r w:rsidRPr="00CC7ABB">
        <w:t xml:space="preserve">, </w:t>
      </w:r>
      <w:r w:rsidRPr="00CC7ABB">
        <w:rPr>
          <w:smallCaps/>
        </w:rPr>
        <w:t>Table of Small Business Size Standards</w:t>
      </w:r>
      <w:r w:rsidRPr="00CC7ABB">
        <w:t xml:space="preserve">, </w:t>
      </w:r>
      <w:r w:rsidRPr="00CC7ABB">
        <w:rPr>
          <w:smallCaps/>
        </w:rPr>
        <w:t>Matched to North American Industry Classification System Codes</w:t>
      </w:r>
      <w:r w:rsidRPr="00CC7ABB">
        <w:t xml:space="preserve"> (July 14, 2014), </w:t>
      </w:r>
      <w:hyperlink r:id="rId4" w:history="1">
        <w:r w:rsidRPr="00CC7ABB">
          <w:rPr>
            <w:rStyle w:val="Hyperlink"/>
          </w:rPr>
          <w:t>https://www.sba.gov/sites/default/files/files/Size_Standards_Table.pdf</w:t>
        </w:r>
      </w:hyperlink>
      <w:r w:rsidRPr="00CC7ABB">
        <w:t xml:space="preserve"> (</w:t>
      </w:r>
      <w:r w:rsidRPr="00CC7ABB">
        <w:rPr>
          <w:i/>
        </w:rPr>
        <w:t>codified at</w:t>
      </w:r>
      <w:r w:rsidRPr="00CC7ABB">
        <w:t xml:space="preserve"> 13 </w:t>
      </w:r>
      <w:r>
        <w:t>CFR</w:t>
      </w:r>
      <w:r w:rsidRPr="00CC7ABB">
        <w:t xml:space="preserve"> </w:t>
      </w:r>
      <w:r w:rsidRPr="003E39D3">
        <w:t>§</w:t>
      </w:r>
      <w:r>
        <w:t xml:space="preserve"> </w:t>
      </w:r>
      <w:r w:rsidRPr="00CC7ABB">
        <w:t>121.201 (2015</w:t>
      </w:r>
      <w:r>
        <w:t>)</w:t>
      </w:r>
      <w:r w:rsidRPr="00CC7ABB">
        <w:t>)</w:t>
      </w:r>
      <w:r>
        <w:t>.</w:t>
      </w:r>
    </w:p>
  </w:footnote>
  <w:footnote w:id="117">
    <w:p w14:paraId="1094642A" w14:textId="45F9ED31" w:rsidR="00A868D6" w:rsidRPr="003E39D3" w:rsidRDefault="00A868D6" w:rsidP="003E73F4">
      <w:pPr>
        <w:pStyle w:val="FootnoteText"/>
      </w:pPr>
      <w:r w:rsidRPr="003E39D3">
        <w:rPr>
          <w:rStyle w:val="FootnoteReference"/>
        </w:rPr>
        <w:footnoteRef/>
      </w:r>
      <w:r w:rsidRPr="003E39D3">
        <w:t xml:space="preserve"> </w:t>
      </w:r>
      <w:r w:rsidRPr="003E39D3">
        <w:rPr>
          <w:i/>
        </w:rPr>
        <w:t>See</w:t>
      </w:r>
      <w:r w:rsidRPr="003E39D3">
        <w:t xml:space="preserve"> 13 </w:t>
      </w:r>
      <w:r>
        <w:t>CFR</w:t>
      </w:r>
      <w:r w:rsidRPr="003E39D3">
        <w:t xml:space="preserve"> § 121.201, NAICS Code 515120 (20</w:t>
      </w:r>
      <w:r>
        <w:t>15</w:t>
      </w:r>
      <w:r w:rsidRPr="003E39D3">
        <w:t>).</w:t>
      </w:r>
    </w:p>
  </w:footnote>
  <w:footnote w:id="118">
    <w:p w14:paraId="27D36C5C" w14:textId="77777777" w:rsidR="00A868D6" w:rsidRPr="003E39D3" w:rsidRDefault="00A868D6" w:rsidP="003E73F4">
      <w:pPr>
        <w:pStyle w:val="FootnoteText"/>
        <w:rPr>
          <w:i/>
        </w:rPr>
      </w:pPr>
      <w:r w:rsidRPr="003E39D3">
        <w:rPr>
          <w:rStyle w:val="FootnoteReference"/>
        </w:rPr>
        <w:footnoteRef/>
      </w:r>
      <w:r w:rsidRPr="003E39D3">
        <w:t xml:space="preserve"> </w:t>
      </w:r>
      <w:r w:rsidRPr="003E39D3">
        <w:rPr>
          <w:i/>
        </w:rPr>
        <w:t>Id.</w:t>
      </w:r>
    </w:p>
  </w:footnote>
  <w:footnote w:id="119">
    <w:p w14:paraId="74F0DBBD" w14:textId="77777777" w:rsidR="00A868D6" w:rsidRPr="003E39D3" w:rsidRDefault="00A868D6" w:rsidP="003E73F4">
      <w:pPr>
        <w:pStyle w:val="FootnoteText"/>
        <w:rPr>
          <w:i/>
        </w:rPr>
      </w:pPr>
      <w:r w:rsidRPr="003E39D3">
        <w:rPr>
          <w:rStyle w:val="FootnoteReference"/>
        </w:rPr>
        <w:footnoteRef/>
      </w:r>
      <w:r w:rsidRPr="003E39D3">
        <w:t xml:space="preserve"> </w:t>
      </w:r>
      <w:r w:rsidRPr="003E39D3">
        <w:rPr>
          <w:i/>
        </w:rPr>
        <w:t>Id.</w:t>
      </w:r>
    </w:p>
  </w:footnote>
  <w:footnote w:id="120">
    <w:p w14:paraId="572AC517" w14:textId="14CAB7BA" w:rsidR="00A868D6" w:rsidRDefault="00A868D6" w:rsidP="003E73F4">
      <w:pPr>
        <w:pStyle w:val="FootnoteText"/>
        <w:rPr>
          <w:color w:val="000000"/>
        </w:rPr>
      </w:pPr>
      <w:r w:rsidRPr="003E39D3">
        <w:rPr>
          <w:rStyle w:val="FootnoteReference"/>
        </w:rPr>
        <w:footnoteRef/>
      </w:r>
      <w:r w:rsidRPr="003E39D3">
        <w:t xml:space="preserve"> </w:t>
      </w:r>
      <w:r w:rsidRPr="003E39D3">
        <w:rPr>
          <w:color w:val="000000"/>
        </w:rPr>
        <w:t xml:space="preserve">U.S. </w:t>
      </w:r>
      <w:r w:rsidRPr="003E39D3">
        <w:t>Census</w:t>
      </w:r>
      <w:r w:rsidRPr="003E39D3">
        <w:rPr>
          <w:color w:val="000000"/>
        </w:rPr>
        <w:t xml:space="preserve"> Bureau, 2007 NAICS Definitions, “515112 Radio Stations”; </w:t>
      </w:r>
      <w:hyperlink r:id="rId5" w:history="1">
        <w:r w:rsidRPr="003E39D3">
          <w:rPr>
            <w:rStyle w:val="Hyperlink"/>
          </w:rPr>
          <w:t>http://www.census.gov/cgi-bin/sssd/naics/naicsrch?code=515112&amp;search=2007 NAICS Search</w:t>
        </w:r>
      </w:hyperlink>
      <w:r w:rsidRPr="003E39D3">
        <w:rPr>
          <w:color w:val="000000"/>
        </w:rPr>
        <w:t>.</w:t>
      </w:r>
      <w:r>
        <w:rPr>
          <w:color w:val="000000"/>
        </w:rPr>
        <w:t xml:space="preserve"> </w:t>
      </w:r>
    </w:p>
  </w:footnote>
  <w:footnote w:id="121">
    <w:p w14:paraId="1ED7DEB2" w14:textId="51CD102A" w:rsidR="00A868D6" w:rsidRPr="003E39D3" w:rsidRDefault="00A868D6" w:rsidP="003E73F4">
      <w:pPr>
        <w:pStyle w:val="FootnoteText"/>
      </w:pPr>
      <w:r w:rsidRPr="003E39D3">
        <w:rPr>
          <w:rStyle w:val="FootnoteReference"/>
        </w:rPr>
        <w:footnoteRef/>
      </w:r>
      <w:r w:rsidRPr="003E39D3">
        <w:t xml:space="preserve"> </w:t>
      </w:r>
      <w:r w:rsidRPr="00091989">
        <w:t xml:space="preserve">FCC, </w:t>
      </w:r>
      <w:r w:rsidRPr="00075437">
        <w:t>Broadcast Station Totals as of March 31, 2013</w:t>
      </w:r>
      <w:r w:rsidRPr="003E39D3">
        <w:t xml:space="preserve"> (</w:t>
      </w:r>
      <w:r w:rsidRPr="003E39D3">
        <w:rPr>
          <w:i/>
        </w:rPr>
        <w:t>March 31, 2013 Broadcast Station Totals Press Release</w:t>
      </w:r>
      <w:r w:rsidRPr="003E39D3">
        <w:t>),</w:t>
      </w:r>
      <w:r w:rsidRPr="00075437">
        <w:t xml:space="preserve"> </w:t>
      </w:r>
      <w:hyperlink r:id="rId6" w:history="1">
        <w:r w:rsidRPr="003E39D3">
          <w:rPr>
            <w:rStyle w:val="Hyperlink"/>
          </w:rPr>
          <w:t>http://transition.fcc.gov/Daily_Releases/Daily_Business/2013/db0412/DOC-320138A1.pdf</w:t>
        </w:r>
      </w:hyperlink>
      <w:r w:rsidRPr="003E39D3">
        <w:t xml:space="preserve">. </w:t>
      </w:r>
    </w:p>
  </w:footnote>
  <w:footnote w:id="122">
    <w:p w14:paraId="5A871640" w14:textId="77777777" w:rsidR="00A868D6" w:rsidRPr="003E39D3" w:rsidRDefault="00A868D6" w:rsidP="003E73F4">
      <w:pPr>
        <w:pStyle w:val="FootnoteText"/>
      </w:pPr>
      <w:r w:rsidRPr="003E39D3">
        <w:rPr>
          <w:rStyle w:val="FootnoteReference"/>
        </w:rPr>
        <w:footnoteRef/>
      </w:r>
      <w:r w:rsidRPr="003E39D3">
        <w:t xml:space="preserve"> </w:t>
      </w:r>
      <w:r w:rsidRPr="003E39D3">
        <w:rPr>
          <w:i/>
        </w:rPr>
        <w:t>See</w:t>
      </w:r>
      <w:r w:rsidRPr="003E39D3">
        <w:t xml:space="preserve"> </w:t>
      </w:r>
      <w:r w:rsidRPr="003E39D3">
        <w:rPr>
          <w:i/>
        </w:rPr>
        <w:t>March 31, 2013 Broadcast Station Totals Press Release</w:t>
      </w:r>
      <w:r w:rsidRPr="003E39D3">
        <w:t>.</w:t>
      </w:r>
    </w:p>
  </w:footnote>
  <w:footnote w:id="123">
    <w:p w14:paraId="0B6D68F3" w14:textId="5ADF4BC7" w:rsidR="00A868D6" w:rsidRPr="003E39D3" w:rsidRDefault="00A868D6" w:rsidP="003E73F4">
      <w:pPr>
        <w:pStyle w:val="FootnoteText"/>
      </w:pPr>
      <w:r w:rsidRPr="003E39D3">
        <w:rPr>
          <w:rStyle w:val="FootnoteReference"/>
        </w:rPr>
        <w:footnoteRef/>
      </w:r>
      <w:r w:rsidRPr="003E39D3">
        <w:t xml:space="preserve"> “[Businesses] are affiliates of each other when one [business] controls or has the power to control the other, or a third party or parties controls or has the power to control both.”  13 </w:t>
      </w:r>
      <w:r>
        <w:t>CFR</w:t>
      </w:r>
      <w:r w:rsidRPr="003E39D3">
        <w:t xml:space="preserve"> § 121.103(a)(1).</w:t>
      </w:r>
    </w:p>
  </w:footnote>
  <w:footnote w:id="124">
    <w:p w14:paraId="7F5FE1A1" w14:textId="64FCA656" w:rsidR="00A868D6" w:rsidRPr="003E39D3" w:rsidRDefault="00A868D6" w:rsidP="003E73F4">
      <w:pPr>
        <w:pStyle w:val="FootnoteText"/>
      </w:pPr>
      <w:r w:rsidRPr="003E39D3">
        <w:rPr>
          <w:rStyle w:val="FootnoteReference"/>
        </w:rPr>
        <w:footnoteRef/>
      </w:r>
      <w:r w:rsidRPr="003E39D3">
        <w:t xml:space="preserve"> </w:t>
      </w:r>
      <w:r w:rsidRPr="003E39D3">
        <w:rPr>
          <w:color w:val="000000"/>
        </w:rPr>
        <w:t xml:space="preserve">U.S. Census Bureau, 2007 NAICS Definitions, “515112 Radio Stations”; </w:t>
      </w:r>
      <w:hyperlink r:id="rId7" w:history="1">
        <w:r w:rsidRPr="003E39D3">
          <w:rPr>
            <w:rStyle w:val="Hyperlink"/>
          </w:rPr>
          <w:t>http://www.census.gov/cgi-bin/sssd/naics/naicsrch?code=515112&amp;search=2007 NAICS Search</w:t>
        </w:r>
      </w:hyperlink>
      <w:r w:rsidRPr="003E39D3">
        <w:rPr>
          <w:color w:val="000000"/>
        </w:rPr>
        <w:t xml:space="preserve">. </w:t>
      </w:r>
      <w:r w:rsidRPr="003E39D3">
        <w:t xml:space="preserve"> </w:t>
      </w:r>
    </w:p>
  </w:footnote>
  <w:footnote w:id="125">
    <w:p w14:paraId="1C5FD5E7" w14:textId="436AF579" w:rsidR="00A868D6" w:rsidRPr="003E39D3" w:rsidRDefault="00A868D6" w:rsidP="003E73F4">
      <w:pPr>
        <w:pStyle w:val="FootnoteText"/>
      </w:pPr>
      <w:r w:rsidRPr="003E39D3">
        <w:rPr>
          <w:rStyle w:val="FootnoteReference"/>
        </w:rPr>
        <w:footnoteRef/>
      </w:r>
      <w:r w:rsidRPr="003E39D3">
        <w:t xml:space="preserve"> </w:t>
      </w:r>
      <w:r w:rsidRPr="003E39D3">
        <w:rPr>
          <w:i/>
        </w:rPr>
        <w:t xml:space="preserve">See </w:t>
      </w:r>
      <w:r w:rsidRPr="003E39D3">
        <w:t xml:space="preserve">13 </w:t>
      </w:r>
      <w:r>
        <w:t>CFR</w:t>
      </w:r>
      <w:r w:rsidRPr="003E39D3">
        <w:t xml:space="preserve"> § 121.201, NAICS Code 515112.  </w:t>
      </w:r>
    </w:p>
  </w:footnote>
  <w:footnote w:id="126">
    <w:p w14:paraId="239DAE80" w14:textId="77777777" w:rsidR="00A868D6" w:rsidRPr="003E39D3" w:rsidRDefault="00A868D6" w:rsidP="003E73F4">
      <w:pPr>
        <w:pStyle w:val="FootnoteText"/>
      </w:pPr>
      <w:r w:rsidRPr="003E39D3">
        <w:rPr>
          <w:rStyle w:val="FootnoteReference"/>
        </w:rPr>
        <w:footnoteRef/>
      </w:r>
      <w:r w:rsidRPr="003E39D3">
        <w:t xml:space="preserve"> </w:t>
      </w:r>
      <w:r w:rsidRPr="003E39D3">
        <w:rPr>
          <w:i/>
        </w:rPr>
        <w:t>March 31, 2013 Broadcast Station Totals Press Release</w:t>
      </w:r>
      <w:r w:rsidRPr="003E39D3">
        <w:t>.</w:t>
      </w:r>
    </w:p>
  </w:footnote>
  <w:footnote w:id="127">
    <w:p w14:paraId="733C2516" w14:textId="7957F72C" w:rsidR="00A868D6" w:rsidRDefault="00A868D6" w:rsidP="003E73F4">
      <w:pPr>
        <w:pStyle w:val="FootnoteText"/>
      </w:pPr>
      <w:r w:rsidRPr="003E39D3">
        <w:rPr>
          <w:rStyle w:val="FootnoteReference"/>
        </w:rPr>
        <w:footnoteRef/>
      </w:r>
      <w:r w:rsidRPr="003E39D3">
        <w:t xml:space="preserve"> “[Businesses] are affiliates of each other when one [business] controls or has the power to control the other or a third party or parties controls or has the power to control both.”  13 </w:t>
      </w:r>
      <w:r>
        <w:t>CFR</w:t>
      </w:r>
      <w:r w:rsidRPr="003E39D3">
        <w:t xml:space="preserve"> § 121.103(a)(1).</w:t>
      </w:r>
    </w:p>
  </w:footnote>
  <w:footnote w:id="128">
    <w:p w14:paraId="6567ACDC" w14:textId="3EB2597B" w:rsidR="00A868D6" w:rsidRPr="003E39D3" w:rsidRDefault="00A868D6" w:rsidP="003E73F4">
      <w:pPr>
        <w:pStyle w:val="FootnoteText"/>
      </w:pPr>
      <w:r w:rsidRPr="007F6264">
        <w:rPr>
          <w:rStyle w:val="FootnoteReference"/>
        </w:rPr>
        <w:footnoteRef/>
      </w:r>
      <w:r w:rsidRPr="003E39D3">
        <w:t xml:space="preserve"> </w:t>
      </w:r>
      <w:r w:rsidRPr="003E39D3">
        <w:rPr>
          <w:i/>
        </w:rPr>
        <w:t>See</w:t>
      </w:r>
      <w:r w:rsidRPr="003E39D3">
        <w:t xml:space="preserve"> 13 </w:t>
      </w:r>
      <w:r>
        <w:t>CFR</w:t>
      </w:r>
      <w:r w:rsidRPr="003E39D3">
        <w:t xml:space="preserve"> § 121.102(b).</w:t>
      </w:r>
    </w:p>
  </w:footnote>
  <w:footnote w:id="129">
    <w:p w14:paraId="555F551A" w14:textId="03BAD987" w:rsidR="00A868D6" w:rsidRDefault="00A868D6" w:rsidP="003E73F4">
      <w:pPr>
        <w:autoSpaceDE w:val="0"/>
        <w:adjustRightInd w:val="0"/>
        <w:spacing w:after="120"/>
      </w:pPr>
      <w:r>
        <w:rPr>
          <w:rStyle w:val="FootnoteReference"/>
        </w:rPr>
        <w:footnoteRef/>
      </w:r>
      <w:r>
        <w:t xml:space="preserve"> </w:t>
      </w:r>
      <w:r w:rsidRPr="00033125">
        <w:rPr>
          <w:i/>
          <w:sz w:val="20"/>
        </w:rPr>
        <w:t>See</w:t>
      </w:r>
      <w:r w:rsidRPr="00033125">
        <w:rPr>
          <w:sz w:val="20"/>
        </w:rPr>
        <w:t xml:space="preserve"> U.S. Census Bureau, 2007 NAICS Definitions, 517110 Wired Telecommunications Carriers,</w:t>
      </w:r>
      <w:r>
        <w:rPr>
          <w:sz w:val="20"/>
        </w:rPr>
        <w:t xml:space="preserve"> </w:t>
      </w:r>
      <w:r w:rsidRPr="00033125">
        <w:rPr>
          <w:sz w:val="20"/>
        </w:rPr>
        <w:t>http://www.census.gov/cgi-bin/sssd/naics/naicsrch?code=517110&amp;search=2007 NAICS Search.</w:t>
      </w:r>
    </w:p>
  </w:footnote>
  <w:footnote w:id="130">
    <w:p w14:paraId="4550B6D6" w14:textId="77777777" w:rsidR="00A868D6" w:rsidRDefault="00A868D6" w:rsidP="003E73F4">
      <w:pPr>
        <w:pStyle w:val="FootnoteText"/>
      </w:pPr>
      <w:r>
        <w:rPr>
          <w:rStyle w:val="FootnoteReference"/>
        </w:rPr>
        <w:footnoteRef/>
      </w:r>
      <w:r>
        <w:t xml:space="preserve"> </w:t>
      </w:r>
      <w:r w:rsidRPr="00033125">
        <w:rPr>
          <w:i/>
        </w:rPr>
        <w:t>Id</w:t>
      </w:r>
      <w:r>
        <w:t>.</w:t>
      </w:r>
    </w:p>
  </w:footnote>
  <w:footnote w:id="131">
    <w:p w14:paraId="44831B44" w14:textId="77777777" w:rsidR="00A868D6" w:rsidRDefault="00A868D6" w:rsidP="003E73F4">
      <w:pPr>
        <w:pStyle w:val="FootnoteText"/>
      </w:pPr>
      <w:r>
        <w:rPr>
          <w:rStyle w:val="FootnoteReference"/>
        </w:rPr>
        <w:footnoteRef/>
      </w:r>
      <w:r>
        <w:t xml:space="preserve"> </w:t>
      </w:r>
      <w:r w:rsidRPr="00033125">
        <w:rPr>
          <w:i/>
        </w:rPr>
        <w:t>See id</w:t>
      </w:r>
      <w:r>
        <w:t>.</w:t>
      </w:r>
    </w:p>
  </w:footnote>
  <w:footnote w:id="132">
    <w:p w14:paraId="74B9CC47" w14:textId="77777777" w:rsidR="00A868D6" w:rsidRDefault="00A868D6" w:rsidP="003E73F4">
      <w:pPr>
        <w:pStyle w:val="FootnoteText"/>
      </w:pPr>
      <w:r>
        <w:rPr>
          <w:rStyle w:val="FootnoteReference"/>
        </w:rPr>
        <w:footnoteRef/>
      </w:r>
      <w:r>
        <w:t xml:space="preserve"> </w:t>
      </w:r>
      <w:r w:rsidRPr="00033125">
        <w:rPr>
          <w:i/>
        </w:rPr>
        <w:t>Id</w:t>
      </w:r>
      <w:r>
        <w:t>.</w:t>
      </w:r>
    </w:p>
  </w:footnote>
  <w:footnote w:id="133">
    <w:p w14:paraId="16DEB210" w14:textId="5B1F9F52" w:rsidR="00A868D6" w:rsidRDefault="00A868D6" w:rsidP="003E73F4">
      <w:pPr>
        <w:pStyle w:val="FootnoteText"/>
      </w:pPr>
      <w:r>
        <w:rPr>
          <w:rStyle w:val="FootnoteReference"/>
        </w:rPr>
        <w:footnoteRef/>
      </w:r>
      <w:r>
        <w:t xml:space="preserve"> </w:t>
      </w:r>
      <w:r w:rsidRPr="00363433">
        <w:rPr>
          <w:i/>
        </w:rPr>
        <w:t>See</w:t>
      </w:r>
      <w:r>
        <w:t xml:space="preserve"> 13 CFR § 121.201, NAICS Code 517110.</w:t>
      </w:r>
      <w:r w:rsidRPr="00033125">
        <w:rPr>
          <w:i/>
        </w:rPr>
        <w:t xml:space="preserve"> </w:t>
      </w:r>
    </w:p>
  </w:footnote>
  <w:footnote w:id="134">
    <w:p w14:paraId="7861C36F" w14:textId="3D758416" w:rsidR="00A868D6" w:rsidRDefault="00A868D6" w:rsidP="003E73F4">
      <w:pPr>
        <w:pStyle w:val="FootnoteText"/>
      </w:pPr>
      <w:r>
        <w:rPr>
          <w:rStyle w:val="FootnoteReference"/>
        </w:rPr>
        <w:footnoteRef/>
      </w:r>
      <w:r>
        <w:t xml:space="preserve"> </w:t>
      </w:r>
      <w:r w:rsidRPr="00033125">
        <w:rPr>
          <w:i/>
        </w:rPr>
        <w:t>See</w:t>
      </w:r>
      <w:r>
        <w:t xml:space="preserve"> </w:t>
      </w:r>
      <w:r w:rsidRPr="003E39D3">
        <w:t xml:space="preserve">U.S. Census Bureau, American FactFinder, “Information: Subject Series – Estab and Firm Size: Employment Size of Establishments for the United States: 2007 – 2007 Economic Census,” NAICS code 517110; </w:t>
      </w:r>
      <w:r w:rsidRPr="009F11FB">
        <w:t>http://factfinder.census.gov/faces/tableservices/jsf/pages/productview.xhtml?pid=ECN_2007_US_51SSSZ5&amp;prodType=table</w:t>
      </w:r>
      <w:r>
        <w:t>.</w:t>
      </w:r>
    </w:p>
  </w:footnote>
  <w:footnote w:id="135">
    <w:p w14:paraId="59937F4B" w14:textId="77777777" w:rsidR="00A868D6" w:rsidRDefault="00A868D6" w:rsidP="003E73F4">
      <w:pPr>
        <w:pStyle w:val="FootnoteText"/>
      </w:pPr>
      <w:r>
        <w:rPr>
          <w:rStyle w:val="FootnoteReference"/>
        </w:rPr>
        <w:footnoteRef/>
      </w:r>
      <w:r>
        <w:t xml:space="preserve"> </w:t>
      </w:r>
      <w:r w:rsidRPr="009F11FB">
        <w:rPr>
          <w:i/>
        </w:rPr>
        <w:t>See id</w:t>
      </w:r>
      <w:r>
        <w:t>.</w:t>
      </w:r>
    </w:p>
  </w:footnote>
  <w:footnote w:id="136">
    <w:p w14:paraId="0A8757C3" w14:textId="77777777" w:rsidR="00A868D6" w:rsidRDefault="00A868D6" w:rsidP="003E73F4">
      <w:pPr>
        <w:pStyle w:val="FootnoteText"/>
      </w:pPr>
      <w:r>
        <w:rPr>
          <w:rStyle w:val="FootnoteReference"/>
        </w:rPr>
        <w:footnoteRef/>
      </w:r>
      <w:r>
        <w:t xml:space="preserve"> </w:t>
      </w:r>
      <w:r>
        <w:rPr>
          <w:i/>
        </w:rPr>
        <w:t xml:space="preserve">Id. </w:t>
      </w:r>
    </w:p>
  </w:footnote>
  <w:footnote w:id="137">
    <w:p w14:paraId="053E7C74" w14:textId="77777777" w:rsidR="00A868D6" w:rsidRDefault="00A868D6" w:rsidP="003E73F4">
      <w:pPr>
        <w:pStyle w:val="FootnoteText"/>
      </w:pPr>
      <w:r>
        <w:rPr>
          <w:rStyle w:val="FootnoteReference"/>
        </w:rPr>
        <w:footnoteRef/>
      </w:r>
      <w:r>
        <w:t xml:space="preserve"> </w:t>
      </w:r>
      <w:r w:rsidRPr="009F11FB">
        <w:rPr>
          <w:i/>
        </w:rPr>
        <w:t>See supra</w:t>
      </w:r>
      <w:r>
        <w:t xml:space="preserve"> note 24.</w:t>
      </w:r>
    </w:p>
  </w:footnote>
  <w:footnote w:id="138">
    <w:p w14:paraId="493932DA" w14:textId="77777777" w:rsidR="00A868D6" w:rsidRPr="003E39D3" w:rsidRDefault="00A868D6" w:rsidP="003E73F4">
      <w:pPr>
        <w:pStyle w:val="FootnoteText"/>
        <w:spacing w:line="120" w:lineRule="atLeast"/>
      </w:pPr>
      <w:r w:rsidRPr="007F6264">
        <w:rPr>
          <w:rStyle w:val="FootnoteReference"/>
        </w:rPr>
        <w:footnoteRef/>
      </w:r>
      <w:r w:rsidRPr="003E39D3">
        <w:t xml:space="preserve"> </w:t>
      </w:r>
      <w:r w:rsidRPr="00CF54F4">
        <w:rPr>
          <w:i/>
        </w:rPr>
        <w:t>See id</w:t>
      </w:r>
      <w:r w:rsidRPr="003E39D3">
        <w:rPr>
          <w:bCs/>
        </w:rPr>
        <w:t>.  Examples of this category are: broadband Internet service providers (</w:t>
      </w:r>
      <w:r w:rsidRPr="003E39D3">
        <w:rPr>
          <w:bCs/>
          <w:i/>
        </w:rPr>
        <w:t>e.g.</w:t>
      </w:r>
      <w:r w:rsidRPr="003E39D3">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139">
    <w:p w14:paraId="32609E54" w14:textId="77777777" w:rsidR="00A868D6" w:rsidRPr="003E39D3" w:rsidRDefault="00A868D6" w:rsidP="003E73F4">
      <w:pPr>
        <w:pStyle w:val="FootnoteText"/>
        <w:rPr>
          <w:lang w:val="fr-FR"/>
        </w:rPr>
      </w:pPr>
      <w:r w:rsidRPr="007F6264">
        <w:rPr>
          <w:rStyle w:val="FootnoteReference"/>
        </w:rPr>
        <w:footnoteRef/>
      </w:r>
      <w:r w:rsidRPr="003E39D3">
        <w:rPr>
          <w:lang w:val="fr-FR"/>
        </w:rPr>
        <w:t xml:space="preserve"> </w:t>
      </w:r>
      <w:r w:rsidRPr="009F11FB">
        <w:rPr>
          <w:i/>
        </w:rPr>
        <w:t>See supra</w:t>
      </w:r>
      <w:r>
        <w:t xml:space="preserve"> note 28.</w:t>
      </w:r>
    </w:p>
  </w:footnote>
  <w:footnote w:id="140">
    <w:p w14:paraId="3FA6BAC8" w14:textId="77777777" w:rsidR="00A868D6" w:rsidRDefault="00A868D6" w:rsidP="003E73F4">
      <w:pPr>
        <w:pStyle w:val="FootnoteText"/>
      </w:pPr>
      <w:r>
        <w:rPr>
          <w:rStyle w:val="FootnoteReference"/>
        </w:rPr>
        <w:footnoteRef/>
      </w:r>
      <w:r>
        <w:t xml:space="preserve"> </w:t>
      </w:r>
      <w:r w:rsidRPr="00033125">
        <w:rPr>
          <w:i/>
        </w:rPr>
        <w:t>See</w:t>
      </w:r>
      <w:r>
        <w:t xml:space="preserve"> </w:t>
      </w:r>
      <w:r w:rsidRPr="009F11FB">
        <w:rPr>
          <w:i/>
        </w:rPr>
        <w:t>supra</w:t>
      </w:r>
      <w:r>
        <w:t xml:space="preserve"> note 29. </w:t>
      </w:r>
    </w:p>
  </w:footnote>
  <w:footnote w:id="141">
    <w:p w14:paraId="7A586252" w14:textId="77777777" w:rsidR="00A868D6" w:rsidRDefault="00A868D6" w:rsidP="003E73F4">
      <w:pPr>
        <w:pStyle w:val="FootnoteText"/>
      </w:pPr>
      <w:r>
        <w:rPr>
          <w:rStyle w:val="FootnoteReference"/>
        </w:rPr>
        <w:footnoteRef/>
      </w:r>
      <w:r>
        <w:t xml:space="preserve"> </w:t>
      </w:r>
      <w:r w:rsidRPr="009F11FB">
        <w:rPr>
          <w:i/>
        </w:rPr>
        <w:t>See id</w:t>
      </w:r>
      <w:r>
        <w:t>.</w:t>
      </w:r>
    </w:p>
  </w:footnote>
  <w:footnote w:id="142">
    <w:p w14:paraId="2BC0D190" w14:textId="605903F3" w:rsidR="00A868D6" w:rsidRDefault="00A868D6" w:rsidP="003E73F4">
      <w:pPr>
        <w:pStyle w:val="FootnoteText"/>
      </w:pPr>
      <w:r>
        <w:rPr>
          <w:rStyle w:val="FootnoteReference"/>
        </w:rPr>
        <w:footnoteRef/>
      </w:r>
      <w:r>
        <w:t xml:space="preserve"> </w:t>
      </w:r>
      <w:r w:rsidRPr="000F1D15">
        <w:rPr>
          <w:i/>
        </w:rPr>
        <w:t>See</w:t>
      </w:r>
      <w:r>
        <w:t xml:space="preserve"> 47 CFR </w:t>
      </w:r>
      <w:r w:rsidRPr="003E39D3">
        <w:rPr>
          <w:lang w:val="fr-FR"/>
        </w:rPr>
        <w:t>§</w:t>
      </w:r>
      <w:r>
        <w:t xml:space="preserve"> 76.901(e).</w:t>
      </w:r>
    </w:p>
  </w:footnote>
  <w:footnote w:id="143">
    <w:p w14:paraId="1F3438D6" w14:textId="77777777" w:rsidR="00A868D6" w:rsidRDefault="00A868D6" w:rsidP="003E73F4">
      <w:pPr>
        <w:pStyle w:val="FootnoteText"/>
      </w:pPr>
      <w:r w:rsidRPr="006568B4">
        <w:rPr>
          <w:rStyle w:val="FootnoteReference"/>
        </w:rPr>
        <w:footnoteRef/>
      </w:r>
      <w:r w:rsidRPr="006568B4">
        <w:t xml:space="preserve"> The number of active, registered cable systems comes from the Commission’s Cable Operations and Licensing System (COALS) database on August 15, 2015.  </w:t>
      </w:r>
      <w:r w:rsidRPr="006568B4">
        <w:rPr>
          <w:i/>
        </w:rPr>
        <w:t>See</w:t>
      </w:r>
      <w:r w:rsidRPr="006568B4">
        <w:t xml:space="preserve"> www.fcc.gov/coals.</w:t>
      </w:r>
    </w:p>
  </w:footnote>
  <w:footnote w:id="144">
    <w:p w14:paraId="31753413" w14:textId="77777777" w:rsidR="00A868D6" w:rsidRDefault="00A868D6" w:rsidP="003E73F4">
      <w:pPr>
        <w:pStyle w:val="FootnoteText"/>
      </w:pPr>
      <w:r>
        <w:rPr>
          <w:rStyle w:val="FootnoteReference"/>
        </w:rPr>
        <w:footnoteRef/>
      </w:r>
      <w:r>
        <w:t xml:space="preserve"> </w:t>
      </w:r>
      <w:r w:rsidRPr="006568B4">
        <w:rPr>
          <w:i/>
        </w:rPr>
        <w:t>See</w:t>
      </w:r>
      <w:r w:rsidRPr="001D183F">
        <w:t xml:space="preserve"> SNL KAGAN</w:t>
      </w:r>
      <w:r>
        <w:t>,</w:t>
      </w:r>
      <w:r w:rsidRPr="001D183F">
        <w:t xml:space="preserve"> </w:t>
      </w:r>
      <w:r w:rsidRPr="006568B4">
        <w:t>htpps://www</w:t>
      </w:r>
      <w:r w:rsidRPr="001D183F">
        <w:t>.snl.com</w:t>
      </w:r>
      <w:r>
        <w:t>/Interactivex/TopCable MSOs.aspx.</w:t>
      </w:r>
    </w:p>
  </w:footnote>
  <w:footnote w:id="145">
    <w:p w14:paraId="785B7791" w14:textId="51F977D0" w:rsidR="00A868D6" w:rsidRDefault="00A868D6" w:rsidP="003E73F4">
      <w:pPr>
        <w:pStyle w:val="FootnoteText"/>
      </w:pPr>
      <w:r>
        <w:rPr>
          <w:rStyle w:val="FootnoteReference"/>
        </w:rPr>
        <w:footnoteRef/>
      </w:r>
      <w:r>
        <w:t xml:space="preserve"> </w:t>
      </w:r>
      <w:r w:rsidRPr="003F3F68">
        <w:rPr>
          <w:i/>
        </w:rPr>
        <w:t>See</w:t>
      </w:r>
      <w:r>
        <w:t xml:space="preserve"> 47 CFR </w:t>
      </w:r>
      <w:r w:rsidRPr="003E39D3">
        <w:rPr>
          <w:lang w:val="fr-FR"/>
        </w:rPr>
        <w:t>§</w:t>
      </w:r>
      <w:r>
        <w:t xml:space="preserve"> 76.901(c).</w:t>
      </w:r>
    </w:p>
  </w:footnote>
  <w:footnote w:id="146">
    <w:p w14:paraId="6806FE7E" w14:textId="77777777" w:rsidR="00A868D6" w:rsidRDefault="00A868D6" w:rsidP="003E73F4">
      <w:pPr>
        <w:pStyle w:val="FootnoteText"/>
      </w:pPr>
      <w:r>
        <w:rPr>
          <w:rStyle w:val="FootnoteReference"/>
        </w:rPr>
        <w:footnoteRef/>
      </w:r>
      <w:r>
        <w:t xml:space="preserve"> </w:t>
      </w:r>
      <w:r w:rsidRPr="000F1D15">
        <w:rPr>
          <w:i/>
        </w:rPr>
        <w:t>See</w:t>
      </w:r>
      <w:r>
        <w:t xml:space="preserve"> </w:t>
      </w:r>
      <w:r w:rsidRPr="000F1D15">
        <w:rPr>
          <w:i/>
        </w:rPr>
        <w:t>supra</w:t>
      </w:r>
      <w:r>
        <w:t xml:space="preserve"> note 38.</w:t>
      </w:r>
    </w:p>
  </w:footnote>
  <w:footnote w:id="147">
    <w:p w14:paraId="6F5E1B89" w14:textId="77777777" w:rsidR="00A868D6" w:rsidRDefault="00A868D6" w:rsidP="003E73F4">
      <w:pPr>
        <w:pStyle w:val="FootnoteText"/>
      </w:pPr>
      <w:r>
        <w:rPr>
          <w:rStyle w:val="FootnoteReference"/>
        </w:rPr>
        <w:footnoteRef/>
      </w:r>
      <w:r>
        <w:t xml:space="preserve"> </w:t>
      </w:r>
      <w:r w:rsidRPr="000F1D15">
        <w:rPr>
          <w:i/>
        </w:rPr>
        <w:t>See</w:t>
      </w:r>
      <w:r>
        <w:t xml:space="preserve"> </w:t>
      </w:r>
      <w:r w:rsidRPr="000F1D15">
        <w:rPr>
          <w:i/>
        </w:rPr>
        <w:t>supra</w:t>
      </w:r>
      <w:r>
        <w:t xml:space="preserve"> note 38.</w:t>
      </w:r>
    </w:p>
  </w:footnote>
  <w:footnote w:id="148">
    <w:p w14:paraId="085348F7" w14:textId="302170D9" w:rsidR="00A868D6" w:rsidRPr="003E39D3" w:rsidRDefault="00A868D6" w:rsidP="003E73F4">
      <w:pPr>
        <w:pStyle w:val="FootnoteText"/>
        <w:spacing w:line="240" w:lineRule="atLeast"/>
      </w:pPr>
      <w:r w:rsidRPr="007F6264">
        <w:rPr>
          <w:rStyle w:val="FootnoteReference"/>
        </w:rPr>
        <w:footnoteRef/>
      </w:r>
      <w:r w:rsidRPr="003E39D3">
        <w:t xml:space="preserve"> 47 U.S.C. § 543(m)(2); 47 </w:t>
      </w:r>
      <w:r>
        <w:t>CFR</w:t>
      </w:r>
      <w:r w:rsidRPr="003E39D3">
        <w:t xml:space="preserve"> § 76.901(f)</w:t>
      </w:r>
      <w:r>
        <w:t xml:space="preserve">, </w:t>
      </w:r>
      <w:r w:rsidRPr="003E39D3">
        <w:t>nn. 1-3.</w:t>
      </w:r>
    </w:p>
  </w:footnote>
  <w:footnote w:id="149">
    <w:p w14:paraId="7E22D84F" w14:textId="77777777" w:rsidR="00A868D6" w:rsidRDefault="00A868D6" w:rsidP="003E73F4">
      <w:pPr>
        <w:pStyle w:val="FootnoteText"/>
      </w:pPr>
      <w:r w:rsidRPr="006568B4">
        <w:rPr>
          <w:rStyle w:val="FootnoteReference"/>
        </w:rPr>
        <w:footnoteRef/>
      </w:r>
      <w:r w:rsidRPr="006568B4">
        <w:t xml:space="preserve"> </w:t>
      </w:r>
      <w:r w:rsidRPr="006568B4">
        <w:rPr>
          <w:i/>
        </w:rPr>
        <w:t>See</w:t>
      </w:r>
      <w:r w:rsidRPr="006568B4">
        <w:t xml:space="preserve"> SNL KAGAN</w:t>
      </w:r>
      <w:r>
        <w:t>,</w:t>
      </w:r>
      <w:r w:rsidRPr="006568B4">
        <w:t xml:space="preserve"> htpps://www.snl.com/interactivex/MultichannelIndustryBenchmarks.aspx.</w:t>
      </w:r>
    </w:p>
  </w:footnote>
  <w:footnote w:id="150">
    <w:p w14:paraId="19D151D4" w14:textId="77777777" w:rsidR="00A868D6" w:rsidRDefault="00A868D6" w:rsidP="003E73F4">
      <w:pPr>
        <w:pStyle w:val="FootnoteText"/>
      </w:pPr>
      <w:r>
        <w:rPr>
          <w:rStyle w:val="FootnoteReference"/>
        </w:rPr>
        <w:footnoteRef/>
      </w:r>
      <w:r>
        <w:t xml:space="preserve"> </w:t>
      </w:r>
      <w:r w:rsidRPr="008B6A4C">
        <w:rPr>
          <w:i/>
        </w:rPr>
        <w:t>See</w:t>
      </w:r>
      <w:r>
        <w:t xml:space="preserve"> </w:t>
      </w:r>
      <w:r w:rsidRPr="001D183F">
        <w:t xml:space="preserve">47 </w:t>
      </w:r>
      <w:r w:rsidRPr="003E39D3">
        <w:t>§</w:t>
      </w:r>
      <w:r>
        <w:t xml:space="preserve"> C.F.R 901</w:t>
      </w:r>
      <w:r w:rsidRPr="001D183F">
        <w:t>(f)</w:t>
      </w:r>
      <w:r>
        <w:t>, nn</w:t>
      </w:r>
      <w:r w:rsidRPr="001D183F">
        <w:t xml:space="preserve"> ff. 1, 2, and 3.</w:t>
      </w:r>
    </w:p>
  </w:footnote>
  <w:footnote w:id="151">
    <w:p w14:paraId="0E3CE08D" w14:textId="77777777" w:rsidR="00A868D6" w:rsidRDefault="00A868D6" w:rsidP="003E73F4">
      <w:pPr>
        <w:pStyle w:val="FootnoteText"/>
      </w:pPr>
      <w:r>
        <w:rPr>
          <w:rStyle w:val="FootnoteReference"/>
        </w:rPr>
        <w:footnoteRef/>
      </w:r>
      <w:r w:rsidRPr="001D183F">
        <w:t xml:space="preserve"> </w:t>
      </w:r>
      <w:r w:rsidRPr="006568B4">
        <w:rPr>
          <w:i/>
        </w:rPr>
        <w:t>See</w:t>
      </w:r>
      <w:r w:rsidRPr="001D183F">
        <w:t xml:space="preserve"> SNL KAGAN</w:t>
      </w:r>
      <w:r>
        <w:t>,</w:t>
      </w:r>
      <w:r w:rsidRPr="001D183F">
        <w:t xml:space="preserve"> </w:t>
      </w:r>
      <w:r w:rsidRPr="006568B4">
        <w:t>htpps://www</w:t>
      </w:r>
      <w:r w:rsidRPr="001D183F">
        <w:t>.snl.com</w:t>
      </w:r>
      <w:r>
        <w:t>/Interactivex/TopCable MSOs.aspx.</w:t>
      </w:r>
    </w:p>
  </w:footnote>
  <w:footnote w:id="152">
    <w:p w14:paraId="507F2CFB" w14:textId="0DF2FA85" w:rsidR="00A868D6" w:rsidRDefault="00A868D6" w:rsidP="003E73F4">
      <w:pPr>
        <w:pStyle w:val="FootnoteText"/>
      </w:pPr>
      <w:r>
        <w:rPr>
          <w:rStyle w:val="FootnoteReference"/>
        </w:rPr>
        <w:footnoteRef/>
      </w:r>
      <w:r>
        <w:t xml:space="preserve"> </w:t>
      </w:r>
      <w:r w:rsidRPr="001D183F">
        <w:t xml:space="preserve">The Commission does receive such information on a case-by-case basis if a cable operator appeals a local franchise authority's finding that the operator does not qualify as a small cable operator pursuant to § 76.901(f) of the Commission's rules. </w:t>
      </w:r>
      <w:r>
        <w:t xml:space="preserve"> </w:t>
      </w:r>
      <w:r w:rsidRPr="000D4A04">
        <w:rPr>
          <w:i/>
        </w:rPr>
        <w:t>See</w:t>
      </w:r>
      <w:r w:rsidRPr="001D183F">
        <w:t xml:space="preserve"> 47 </w:t>
      </w:r>
      <w:r>
        <w:t>CFR</w:t>
      </w:r>
      <w:r w:rsidRPr="001D183F">
        <w:t xml:space="preserve"> § 76.901(f).</w:t>
      </w:r>
    </w:p>
  </w:footnote>
  <w:footnote w:id="153">
    <w:p w14:paraId="39ED7605" w14:textId="3D8170F2" w:rsidR="00A868D6" w:rsidRPr="003E39D3" w:rsidRDefault="00A868D6" w:rsidP="003E73F4">
      <w:pPr>
        <w:pStyle w:val="FootnoteText"/>
      </w:pPr>
      <w:r w:rsidRPr="007F6264">
        <w:rPr>
          <w:rStyle w:val="FootnoteReference"/>
        </w:rPr>
        <w:footnoteRef/>
      </w:r>
      <w:r w:rsidRPr="003E39D3">
        <w:rPr>
          <w:i/>
        </w:rPr>
        <w:t xml:space="preserve"> </w:t>
      </w:r>
      <w:r w:rsidRPr="00075437">
        <w:rPr>
          <w:i/>
        </w:rPr>
        <w:t>Amendment of Parts 21 and 74 of the Commission’s Rules with Regard to Filing Procedures in the Multipoint Distribution Service and in the Instructional Television Fixed Service</w:t>
      </w:r>
      <w:r w:rsidRPr="003E39D3">
        <w:t xml:space="preserve">, </w:t>
      </w:r>
      <w:r w:rsidRPr="00075437">
        <w:t>Report and Order</w:t>
      </w:r>
      <w:r w:rsidRPr="003E39D3">
        <w:t>, 10 FCC Rcd 9589, 9593</w:t>
      </w:r>
      <w:r>
        <w:t>,</w:t>
      </w:r>
      <w:r w:rsidRPr="003E39D3">
        <w:t xml:space="preserve"> </w:t>
      </w:r>
      <w:r>
        <w:t>para.</w:t>
      </w:r>
      <w:r w:rsidRPr="003E39D3">
        <w:t xml:space="preserve"> 7 (1995).</w:t>
      </w:r>
    </w:p>
  </w:footnote>
  <w:footnote w:id="154">
    <w:p w14:paraId="65D579AD" w14:textId="77777777" w:rsidR="00A868D6" w:rsidRPr="003E39D3" w:rsidRDefault="00A868D6" w:rsidP="003E73F4">
      <w:pPr>
        <w:pStyle w:val="FootnoteText"/>
      </w:pPr>
      <w:r w:rsidRPr="007F6264">
        <w:rPr>
          <w:rStyle w:val="FootnoteReference"/>
        </w:rPr>
        <w:footnoteRef/>
      </w:r>
      <w:r w:rsidRPr="003E39D3">
        <w:t xml:space="preserve"> </w:t>
      </w:r>
      <w:r w:rsidRPr="003E39D3">
        <w:rPr>
          <w:i/>
        </w:rPr>
        <w:t xml:space="preserve">Id. </w:t>
      </w:r>
      <w:r w:rsidRPr="003E39D3">
        <w:t xml:space="preserve">at 9670-73, </w:t>
      </w:r>
      <w:r>
        <w:rPr>
          <w:rStyle w:val="Footnote"/>
        </w:rPr>
        <w:t>paras.</w:t>
      </w:r>
      <w:r w:rsidRPr="003E39D3">
        <w:rPr>
          <w:rStyle w:val="Footnote"/>
        </w:rPr>
        <w:t xml:space="preserve"> 190-92</w:t>
      </w:r>
      <w:r w:rsidRPr="003E39D3">
        <w:t>.</w:t>
      </w:r>
    </w:p>
  </w:footnote>
  <w:footnote w:id="155">
    <w:p w14:paraId="49A9D636" w14:textId="77777777" w:rsidR="00A868D6" w:rsidRPr="003E39D3" w:rsidRDefault="00A868D6" w:rsidP="003E73F4">
      <w:pPr>
        <w:pStyle w:val="FootnoteText"/>
      </w:pPr>
      <w:r w:rsidRPr="007F6264">
        <w:rPr>
          <w:rStyle w:val="FootnoteReference"/>
        </w:rPr>
        <w:footnoteRef/>
      </w:r>
      <w:r w:rsidRPr="003E39D3">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56">
    <w:p w14:paraId="138BB2D5" w14:textId="29D6C956" w:rsidR="00A868D6" w:rsidRPr="003E39D3" w:rsidRDefault="00A868D6" w:rsidP="003E73F4">
      <w:pPr>
        <w:pStyle w:val="FootnoteText"/>
      </w:pPr>
      <w:r w:rsidRPr="007F6264">
        <w:rPr>
          <w:rStyle w:val="FootnoteReference"/>
        </w:rPr>
        <w:footnoteRef/>
      </w:r>
      <w:r w:rsidRPr="003E39D3">
        <w:rPr>
          <w:i/>
        </w:rPr>
        <w:t xml:space="preserve"> </w:t>
      </w:r>
      <w:r w:rsidRPr="00075437">
        <w:rPr>
          <w:i/>
        </w:rPr>
        <w:t>Auction of Broadband Radio Service (BRS) Licenses, Scheduled for October 27, 2009</w:t>
      </w:r>
      <w:r w:rsidRPr="003E39D3">
        <w:t xml:space="preserve">, </w:t>
      </w:r>
      <w:r w:rsidRPr="00075437">
        <w:t>Public Notice</w:t>
      </w:r>
      <w:r w:rsidRPr="0028260A">
        <w:t>,</w:t>
      </w:r>
      <w:r w:rsidRPr="003E39D3">
        <w:t xml:space="preserve"> 24 FCC Rcd 8277 (</w:t>
      </w:r>
      <w:r>
        <w:t xml:space="preserve">WTB </w:t>
      </w:r>
      <w:r w:rsidRPr="003E39D3">
        <w:t>2009).</w:t>
      </w:r>
    </w:p>
  </w:footnote>
  <w:footnote w:id="157">
    <w:p w14:paraId="7158475A" w14:textId="77777777" w:rsidR="00A868D6" w:rsidRPr="003E39D3" w:rsidRDefault="00A868D6" w:rsidP="003E73F4">
      <w:pPr>
        <w:pStyle w:val="FootnoteText"/>
      </w:pPr>
      <w:r w:rsidRPr="007F6264">
        <w:rPr>
          <w:rStyle w:val="FootnoteReference"/>
        </w:rPr>
        <w:footnoteRef/>
      </w:r>
      <w:r w:rsidRPr="003E39D3">
        <w:rPr>
          <w:i/>
        </w:rPr>
        <w:t xml:space="preserve"> Id.</w:t>
      </w:r>
      <w:r w:rsidRPr="003E39D3">
        <w:t xml:space="preserve"> at 8296</w:t>
      </w:r>
      <w:r>
        <w:t>,</w:t>
      </w:r>
      <w:r w:rsidRPr="003E39D3">
        <w:t xml:space="preserve"> </w:t>
      </w:r>
      <w:r>
        <w:t>para.</w:t>
      </w:r>
      <w:r w:rsidRPr="003E39D3">
        <w:t xml:space="preserve"> 73.</w:t>
      </w:r>
    </w:p>
  </w:footnote>
  <w:footnote w:id="158">
    <w:p w14:paraId="62B64DD1" w14:textId="77777777" w:rsidR="00A868D6" w:rsidRPr="003E39D3" w:rsidRDefault="00A868D6" w:rsidP="003E73F4">
      <w:pPr>
        <w:pStyle w:val="FootnoteText"/>
      </w:pPr>
      <w:r w:rsidRPr="007F6264">
        <w:rPr>
          <w:rStyle w:val="FootnoteReference"/>
        </w:rPr>
        <w:footnoteRef/>
      </w:r>
      <w:r w:rsidRPr="003E39D3">
        <w:rPr>
          <w:i/>
        </w:rPr>
        <w:t xml:space="preserve"> </w:t>
      </w:r>
      <w:r w:rsidRPr="00075437">
        <w:rPr>
          <w:i/>
        </w:rPr>
        <w:t>Auction of Broadband Radio Service Licenses Closes, Winning Bidders Announced for Auction 86</w:t>
      </w:r>
      <w:r w:rsidRPr="003E39D3">
        <w:t xml:space="preserve">, </w:t>
      </w:r>
      <w:r w:rsidRPr="00075437">
        <w:t>Public Notice</w:t>
      </w:r>
      <w:r w:rsidRPr="0028260A">
        <w:t xml:space="preserve">, </w:t>
      </w:r>
      <w:r w:rsidRPr="003E39D3">
        <w:t>24 FCC Rcd 13572 (2009).</w:t>
      </w:r>
    </w:p>
  </w:footnote>
  <w:footnote w:id="159">
    <w:p w14:paraId="06D42A03" w14:textId="77777777" w:rsidR="00A868D6" w:rsidRDefault="00A868D6" w:rsidP="003E73F4">
      <w:pPr>
        <w:pStyle w:val="FootnoteText"/>
      </w:pPr>
      <w:r>
        <w:rPr>
          <w:rStyle w:val="FootnoteReference"/>
        </w:rPr>
        <w:footnoteRef/>
      </w:r>
      <w:r>
        <w:t xml:space="preserve"> </w:t>
      </w:r>
      <w:r w:rsidRPr="009F11FB">
        <w:rPr>
          <w:i/>
        </w:rPr>
        <w:t>See supra</w:t>
      </w:r>
      <w:r>
        <w:t xml:space="preserve"> note 24.</w:t>
      </w:r>
    </w:p>
  </w:footnote>
  <w:footnote w:id="160">
    <w:p w14:paraId="145C7BD3" w14:textId="77777777" w:rsidR="00A868D6" w:rsidRPr="003E39D3" w:rsidRDefault="00A868D6" w:rsidP="003E73F4">
      <w:pPr>
        <w:pStyle w:val="FootnoteText"/>
        <w:spacing w:line="120" w:lineRule="atLeast"/>
      </w:pPr>
      <w:r w:rsidRPr="007F6264">
        <w:rPr>
          <w:rStyle w:val="FootnoteReference"/>
        </w:rPr>
        <w:footnoteRef/>
      </w:r>
      <w:r w:rsidRPr="003E39D3">
        <w:t xml:space="preserve"> </w:t>
      </w:r>
      <w:r w:rsidRPr="00CF54F4">
        <w:rPr>
          <w:i/>
        </w:rPr>
        <w:t>See id</w:t>
      </w:r>
      <w:r w:rsidRPr="003E39D3">
        <w:rPr>
          <w:bCs/>
        </w:rPr>
        <w:t>.  Examples of this category are: broadband Internet service providers (</w:t>
      </w:r>
      <w:r w:rsidRPr="003E39D3">
        <w:rPr>
          <w:bCs/>
          <w:i/>
        </w:rPr>
        <w:t>e.g.</w:t>
      </w:r>
      <w:r w:rsidRPr="003E39D3">
        <w:rPr>
          <w:bCs/>
        </w:rPr>
        <w:t xml:space="preserve">, cable, DSL); local telephone carriers (wired); cable television distribution services; long-distance telephone carriers (wired); CCTV services; VoIP service providers, using own operated wired telecommunications infrastructure; </w:t>
      </w:r>
      <w:r>
        <w:rPr>
          <w:bCs/>
        </w:rPr>
        <w:t>DTH</w:t>
      </w:r>
      <w:r w:rsidRPr="003E39D3">
        <w:rPr>
          <w:bCs/>
        </w:rPr>
        <w:t xml:space="preserve"> services; telecommunications carriers (wired); satellite television distribution systems; and MMDS.</w:t>
      </w:r>
    </w:p>
  </w:footnote>
  <w:footnote w:id="161">
    <w:p w14:paraId="3B07131D" w14:textId="1F285C19" w:rsidR="00A868D6" w:rsidRPr="003E39D3" w:rsidRDefault="00A868D6" w:rsidP="003E73F4">
      <w:pPr>
        <w:pStyle w:val="FootnoteText"/>
        <w:rPr>
          <w:lang w:val="fr-FR"/>
        </w:rPr>
      </w:pPr>
      <w:r w:rsidRPr="007F6264">
        <w:rPr>
          <w:rStyle w:val="FootnoteReference"/>
        </w:rPr>
        <w:footnoteRef/>
      </w:r>
      <w:r w:rsidRPr="003E39D3">
        <w:rPr>
          <w:lang w:val="fr-FR"/>
        </w:rPr>
        <w:t xml:space="preserve"> </w:t>
      </w:r>
      <w:r w:rsidRPr="009F11FB">
        <w:rPr>
          <w:i/>
        </w:rPr>
        <w:t>See supra</w:t>
      </w:r>
      <w:r>
        <w:t xml:space="preserve"> note 28. </w:t>
      </w:r>
    </w:p>
  </w:footnote>
  <w:footnote w:id="162">
    <w:p w14:paraId="197501A0" w14:textId="77777777" w:rsidR="00A868D6" w:rsidRDefault="00A868D6" w:rsidP="003E73F4">
      <w:pPr>
        <w:pStyle w:val="FootnoteText"/>
      </w:pPr>
      <w:r>
        <w:rPr>
          <w:rStyle w:val="FootnoteReference"/>
        </w:rPr>
        <w:footnoteRef/>
      </w:r>
      <w:r>
        <w:t xml:space="preserve"> </w:t>
      </w:r>
      <w:r w:rsidRPr="00033125">
        <w:rPr>
          <w:i/>
        </w:rPr>
        <w:t>See</w:t>
      </w:r>
      <w:r>
        <w:t xml:space="preserve"> </w:t>
      </w:r>
      <w:r w:rsidRPr="009F11FB">
        <w:rPr>
          <w:i/>
        </w:rPr>
        <w:t>supra</w:t>
      </w:r>
      <w:r>
        <w:t xml:space="preserve"> note 29. </w:t>
      </w:r>
    </w:p>
  </w:footnote>
  <w:footnote w:id="163">
    <w:p w14:paraId="38CC128B" w14:textId="77777777" w:rsidR="00A868D6" w:rsidRDefault="00A868D6" w:rsidP="003E73F4">
      <w:pPr>
        <w:pStyle w:val="FootnoteText"/>
      </w:pPr>
      <w:r>
        <w:rPr>
          <w:rStyle w:val="FootnoteReference"/>
        </w:rPr>
        <w:footnoteRef/>
      </w:r>
      <w:r>
        <w:t xml:space="preserve"> </w:t>
      </w:r>
      <w:r w:rsidRPr="009F11FB">
        <w:rPr>
          <w:i/>
        </w:rPr>
        <w:t>See id</w:t>
      </w:r>
      <w:r>
        <w:t>.</w:t>
      </w:r>
    </w:p>
  </w:footnote>
  <w:footnote w:id="164">
    <w:p w14:paraId="07F039EA" w14:textId="77777777" w:rsidR="00A868D6" w:rsidRPr="003E39D3" w:rsidRDefault="00A868D6" w:rsidP="003E73F4">
      <w:pPr>
        <w:pStyle w:val="FootnoteText"/>
      </w:pPr>
      <w:r w:rsidRPr="007F6264">
        <w:rPr>
          <w:rStyle w:val="FootnoteReference"/>
        </w:rPr>
        <w:footnoteRef/>
      </w:r>
      <w:r w:rsidRPr="003E39D3">
        <w:t xml:space="preserve"> </w:t>
      </w:r>
      <w:r w:rsidRPr="00252FCA">
        <w:rPr>
          <w:i/>
        </w:rPr>
        <w:t>See</w:t>
      </w:r>
      <w:r w:rsidRPr="003E39D3">
        <w:t xml:space="preserve"> http://wireless2.fcc.gov/UlsApp/UlsSearch/results.jsp;JSESSIONID_ULSSEARCH=wJ50JkbCQKvNWBJjv1s0ZZWQQs1FnmNDjQwvSHsDG2FHSyGV6hdf!203694623!-701794836</w:t>
      </w:r>
      <w:r>
        <w:t>.</w:t>
      </w:r>
    </w:p>
  </w:footnote>
  <w:footnote w:id="165">
    <w:p w14:paraId="25EA6A33" w14:textId="2BFE7849" w:rsidR="00A868D6" w:rsidRPr="003E39D3" w:rsidRDefault="00A868D6" w:rsidP="003E73F4">
      <w:pPr>
        <w:pStyle w:val="FootnoteText"/>
        <w:spacing w:line="120" w:lineRule="atLeast"/>
      </w:pPr>
      <w:r w:rsidRPr="007F6264">
        <w:rPr>
          <w:rStyle w:val="FootnoteReference"/>
        </w:rPr>
        <w:footnoteRef/>
      </w:r>
      <w:r w:rsidRPr="003E39D3">
        <w:t xml:space="preserve"> The term “small entity” within SBREFA applies to small organizations (non-profits) and to small governmental jurisdictions (</w:t>
      </w:r>
      <w:r w:rsidRPr="003E39D3">
        <w:rPr>
          <w:bCs/>
        </w:rPr>
        <w:t>cities</w:t>
      </w:r>
      <w:r w:rsidRPr="003E39D3">
        <w:t xml:space="preserve">, counties, </w:t>
      </w:r>
      <w:r w:rsidRPr="003E39D3">
        <w:rPr>
          <w:bCs/>
        </w:rPr>
        <w:t>towns</w:t>
      </w:r>
      <w:r w:rsidRPr="003E39D3">
        <w:t xml:space="preserve">, townships, villages, school districts, and special districts with populations of less than 50,000).  </w:t>
      </w:r>
      <w:hyperlink r:id="rId8" w:history="1">
        <w:r w:rsidRPr="003E39D3">
          <w:t>5 U.S.C. § 601(4)</w:t>
        </w:r>
      </w:hyperlink>
      <w:r w:rsidRPr="003E39D3">
        <w:t>-</w:t>
      </w:r>
      <w:hyperlink r:id="rId9" w:history="1">
        <w:r w:rsidRPr="003E39D3">
          <w:t>(6)</w:t>
        </w:r>
      </w:hyperlink>
      <w:r w:rsidRPr="003E39D3">
        <w:t>.</w:t>
      </w:r>
    </w:p>
  </w:footnote>
  <w:footnote w:id="166">
    <w:p w14:paraId="2CF8F61A" w14:textId="77777777" w:rsidR="00A868D6" w:rsidRDefault="00A868D6" w:rsidP="003E73F4">
      <w:pPr>
        <w:pStyle w:val="FootnoteText"/>
      </w:pPr>
      <w:r>
        <w:rPr>
          <w:rStyle w:val="FootnoteReference"/>
        </w:rPr>
        <w:footnoteRef/>
      </w:r>
      <w:r>
        <w:t xml:space="preserve"> </w:t>
      </w:r>
      <w:r w:rsidRPr="00033125">
        <w:rPr>
          <w:i/>
        </w:rPr>
        <w:t>See</w:t>
      </w:r>
      <w:r w:rsidRPr="00033125">
        <w:t xml:space="preserve"> U.S. Census Bureau, 2007 NAICS Definitions, 517</w:t>
      </w:r>
      <w:r>
        <w:t>2</w:t>
      </w:r>
      <w:r w:rsidRPr="00033125">
        <w:t>10 Wired Telecommunications Carriers,</w:t>
      </w:r>
      <w:r>
        <w:t xml:space="preserve"> </w:t>
      </w:r>
      <w:r w:rsidRPr="00033125">
        <w:t>http://www.census.gov/cgi-bin/sssd/naics/naicsrch?code=517</w:t>
      </w:r>
      <w:r>
        <w:t>2</w:t>
      </w:r>
      <w:r w:rsidRPr="00033125">
        <w:t>10&amp;search=2007 NAICS Search.</w:t>
      </w:r>
    </w:p>
  </w:footnote>
  <w:footnote w:id="167">
    <w:p w14:paraId="66061989" w14:textId="77777777" w:rsidR="00A868D6" w:rsidRDefault="00A868D6" w:rsidP="003E73F4">
      <w:pPr>
        <w:pStyle w:val="FootnoteText"/>
      </w:pPr>
      <w:r>
        <w:rPr>
          <w:rStyle w:val="FootnoteReference"/>
        </w:rPr>
        <w:footnoteRef/>
      </w:r>
      <w:r>
        <w:t xml:space="preserve"> </w:t>
      </w:r>
      <w:r w:rsidRPr="007B0930">
        <w:rPr>
          <w:i/>
        </w:rPr>
        <w:t>See</w:t>
      </w:r>
      <w:r>
        <w:rPr>
          <w:i/>
        </w:rPr>
        <w:t xml:space="preserve"> id</w:t>
      </w:r>
      <w:r w:rsidRPr="007B0930">
        <w:t>.</w:t>
      </w:r>
    </w:p>
  </w:footnote>
  <w:footnote w:id="168">
    <w:p w14:paraId="130E91A9" w14:textId="23282EDD" w:rsidR="00A868D6" w:rsidRDefault="00A868D6" w:rsidP="003E73F4">
      <w:pPr>
        <w:pStyle w:val="FootnoteText"/>
      </w:pPr>
      <w:r w:rsidRPr="00387B1A">
        <w:rPr>
          <w:rStyle w:val="FootnoteReference"/>
        </w:rPr>
        <w:footnoteRef/>
      </w:r>
      <w:r w:rsidRPr="00387B1A">
        <w:t xml:space="preserve"> </w:t>
      </w:r>
      <w:r w:rsidRPr="009C5C2A">
        <w:rPr>
          <w:i/>
        </w:rPr>
        <w:t>See</w:t>
      </w:r>
      <w:r w:rsidRPr="009C5C2A">
        <w:t xml:space="preserve"> 13 </w:t>
      </w:r>
      <w:r>
        <w:t>CFR</w:t>
      </w:r>
      <w:r w:rsidRPr="009C5C2A">
        <w:t xml:space="preserve"> § 121.201, NAICS code 517</w:t>
      </w:r>
      <w:r>
        <w:t>2</w:t>
      </w:r>
      <w:r w:rsidRPr="009C5C2A">
        <w:t>10</w:t>
      </w:r>
      <w:r w:rsidRPr="00387B1A">
        <w:t>.</w:t>
      </w:r>
    </w:p>
  </w:footnote>
  <w:footnote w:id="169">
    <w:p w14:paraId="30F6C1A9" w14:textId="77777777" w:rsidR="00A868D6" w:rsidRDefault="00A868D6" w:rsidP="003E73F4">
      <w:pPr>
        <w:pStyle w:val="FootnoteText"/>
      </w:pPr>
      <w:r>
        <w:rPr>
          <w:rStyle w:val="FootnoteReference"/>
        </w:rPr>
        <w:footnoteRef/>
      </w:r>
      <w:r>
        <w:t xml:space="preserve"> </w:t>
      </w:r>
      <w:r w:rsidRPr="006646D5">
        <w:rPr>
          <w:i/>
        </w:rPr>
        <w:t>See</w:t>
      </w:r>
      <w:r>
        <w:t xml:space="preserve"> </w:t>
      </w:r>
      <w:r w:rsidRPr="003E39D3">
        <w:t>U.S. Census Bureau, American FactFinder, “Information: Subject Series – Estab and Firm Size: Employment Size of Establishments for the United States: 2007 – 2007 Economic Census,” NAICS code 517</w:t>
      </w:r>
      <w:r>
        <w:t>2</w:t>
      </w:r>
      <w:r w:rsidRPr="003E39D3">
        <w:t>10; available at</w:t>
      </w:r>
      <w:r>
        <w:t xml:space="preserve">, </w:t>
      </w:r>
      <w:r w:rsidRPr="009F11FB">
        <w:t>http://factfinder.census.gov/faces/tableservices/jsf/pages/productview.xhtml?pid=ECN_2007_US_51SSSZ5&amp;prodType=table</w:t>
      </w:r>
      <w:r>
        <w:t>.</w:t>
      </w:r>
    </w:p>
  </w:footnote>
  <w:footnote w:id="170">
    <w:p w14:paraId="05702BE4" w14:textId="77777777" w:rsidR="00A868D6" w:rsidRDefault="00A868D6" w:rsidP="003E73F4">
      <w:pPr>
        <w:pStyle w:val="FootnoteText"/>
      </w:pPr>
      <w:r>
        <w:rPr>
          <w:rStyle w:val="FootnoteReference"/>
        </w:rPr>
        <w:footnoteRef/>
      </w:r>
      <w:r>
        <w:t xml:space="preserve"> </w:t>
      </w:r>
      <w:r w:rsidRPr="00387B1A">
        <w:rPr>
          <w:i/>
        </w:rPr>
        <w:t>See id</w:t>
      </w:r>
      <w:r w:rsidRPr="00897387">
        <w:t xml:space="preserve">. </w:t>
      </w:r>
      <w:r>
        <w:t xml:space="preserve"> </w:t>
      </w:r>
      <w:r w:rsidRPr="00897387">
        <w:t xml:space="preserve">Available census data do not provide a more precise estimate of the number of firms that have employment of 1,500 or fewer employees. </w:t>
      </w:r>
      <w:r>
        <w:t xml:space="preserve"> </w:t>
      </w:r>
      <w:r w:rsidRPr="00897387">
        <w:t>The largest category provided is for firms with “1,000 employees or more</w:t>
      </w:r>
      <w:r>
        <w:t>.</w:t>
      </w:r>
      <w:r w:rsidRPr="00897387">
        <w:t>”</w:t>
      </w:r>
    </w:p>
  </w:footnote>
  <w:footnote w:id="171">
    <w:p w14:paraId="3B5085D9" w14:textId="77777777" w:rsidR="00A868D6" w:rsidRDefault="00A868D6" w:rsidP="003E73F4">
      <w:pPr>
        <w:pStyle w:val="FootnoteText"/>
      </w:pPr>
      <w:r>
        <w:rPr>
          <w:rStyle w:val="FootnoteReference"/>
        </w:rPr>
        <w:footnoteRef/>
      </w:r>
      <w:r>
        <w:t xml:space="preserve"> </w:t>
      </w:r>
      <w:r w:rsidRPr="009C5C2A">
        <w:rPr>
          <w:i/>
        </w:rPr>
        <w:t>See id</w:t>
      </w:r>
      <w:r>
        <w:t>.</w:t>
      </w:r>
    </w:p>
  </w:footnote>
  <w:footnote w:id="172">
    <w:p w14:paraId="1B2B9C44" w14:textId="77777777" w:rsidR="00A868D6" w:rsidRDefault="00A868D6" w:rsidP="003E73F4">
      <w:pPr>
        <w:pStyle w:val="FootnoteText"/>
      </w:pPr>
      <w:r>
        <w:rPr>
          <w:rStyle w:val="FootnoteReference"/>
        </w:rPr>
        <w:footnoteRef/>
      </w:r>
      <w:r>
        <w:t xml:space="preserve"> </w:t>
      </w:r>
      <w:r w:rsidRPr="009F11FB">
        <w:rPr>
          <w:i/>
        </w:rPr>
        <w:t>See supra</w:t>
      </w:r>
      <w:r>
        <w:t xml:space="preserve"> note 24.</w:t>
      </w:r>
    </w:p>
  </w:footnote>
  <w:footnote w:id="173">
    <w:p w14:paraId="7316ACA6" w14:textId="77777777" w:rsidR="00A868D6" w:rsidRPr="003E39D3" w:rsidRDefault="00A868D6" w:rsidP="003E73F4">
      <w:pPr>
        <w:pStyle w:val="FootnoteText"/>
        <w:spacing w:line="120" w:lineRule="atLeast"/>
      </w:pPr>
      <w:r w:rsidRPr="007F6264">
        <w:rPr>
          <w:rStyle w:val="FootnoteReference"/>
        </w:rPr>
        <w:footnoteRef/>
      </w:r>
      <w:r w:rsidRPr="003E39D3">
        <w:t xml:space="preserve"> </w:t>
      </w:r>
      <w:r w:rsidRPr="00CF54F4">
        <w:rPr>
          <w:i/>
        </w:rPr>
        <w:t>See id</w:t>
      </w:r>
      <w:r w:rsidRPr="003E39D3">
        <w:rPr>
          <w:bCs/>
        </w:rPr>
        <w:t>.  Examples of this category are: broadband Internet service providers (</w:t>
      </w:r>
      <w:r w:rsidRPr="003E39D3">
        <w:rPr>
          <w:bCs/>
          <w:i/>
        </w:rPr>
        <w:t>e.g.</w:t>
      </w:r>
      <w:r w:rsidRPr="003E39D3">
        <w:rPr>
          <w:bCs/>
        </w:rPr>
        <w:t xml:space="preserve">, cable, DSL); local telephone carriers (wired); cable television distribution services; long-distance telephone carriers (wired); CCTV services; VoIP service providers, using own operated wired telecommunications infrastructure; </w:t>
      </w:r>
      <w:r>
        <w:rPr>
          <w:bCs/>
        </w:rPr>
        <w:t>DTH</w:t>
      </w:r>
      <w:r w:rsidRPr="003E39D3">
        <w:rPr>
          <w:bCs/>
        </w:rPr>
        <w:t xml:space="preserve"> services; telecommunications carriers (wired); satellite television distribution systems; and MMDS.</w:t>
      </w:r>
    </w:p>
  </w:footnote>
  <w:footnote w:id="174">
    <w:p w14:paraId="47EA553D" w14:textId="77777777" w:rsidR="00A868D6" w:rsidRPr="003E39D3" w:rsidRDefault="00A868D6" w:rsidP="003E73F4">
      <w:pPr>
        <w:pStyle w:val="FootnoteText"/>
        <w:rPr>
          <w:lang w:val="fr-FR"/>
        </w:rPr>
      </w:pPr>
      <w:r w:rsidRPr="007F6264">
        <w:rPr>
          <w:rStyle w:val="FootnoteReference"/>
        </w:rPr>
        <w:footnoteRef/>
      </w:r>
      <w:r w:rsidRPr="003E39D3">
        <w:rPr>
          <w:lang w:val="fr-FR"/>
        </w:rPr>
        <w:t xml:space="preserve"> </w:t>
      </w:r>
      <w:r w:rsidRPr="009F11FB">
        <w:rPr>
          <w:i/>
        </w:rPr>
        <w:t>See supra</w:t>
      </w:r>
      <w:r>
        <w:t xml:space="preserve"> note 28.</w:t>
      </w:r>
    </w:p>
  </w:footnote>
  <w:footnote w:id="175">
    <w:p w14:paraId="03D4E572" w14:textId="77777777" w:rsidR="00A868D6" w:rsidRDefault="00A868D6" w:rsidP="003E73F4">
      <w:pPr>
        <w:pStyle w:val="FootnoteText"/>
      </w:pPr>
      <w:r>
        <w:rPr>
          <w:rStyle w:val="FootnoteReference"/>
        </w:rPr>
        <w:footnoteRef/>
      </w:r>
      <w:r>
        <w:t xml:space="preserve"> </w:t>
      </w:r>
      <w:r w:rsidRPr="00033125">
        <w:rPr>
          <w:i/>
        </w:rPr>
        <w:t>See</w:t>
      </w:r>
      <w:r>
        <w:t xml:space="preserve"> </w:t>
      </w:r>
      <w:r w:rsidRPr="009F11FB">
        <w:rPr>
          <w:i/>
        </w:rPr>
        <w:t>supra</w:t>
      </w:r>
      <w:r>
        <w:t xml:space="preserve"> note 29. </w:t>
      </w:r>
    </w:p>
  </w:footnote>
  <w:footnote w:id="176">
    <w:p w14:paraId="1973098D" w14:textId="77777777" w:rsidR="00A868D6" w:rsidRDefault="00A868D6" w:rsidP="003E73F4">
      <w:pPr>
        <w:pStyle w:val="FootnoteText"/>
      </w:pPr>
      <w:r>
        <w:rPr>
          <w:rStyle w:val="FootnoteReference"/>
        </w:rPr>
        <w:footnoteRef/>
      </w:r>
      <w:r>
        <w:t xml:space="preserve"> </w:t>
      </w:r>
      <w:r w:rsidRPr="009F11FB">
        <w:rPr>
          <w:i/>
        </w:rPr>
        <w:t>See id</w:t>
      </w:r>
      <w:r>
        <w:t>.</w:t>
      </w:r>
    </w:p>
  </w:footnote>
  <w:footnote w:id="177">
    <w:p w14:paraId="6D423678" w14:textId="77777777" w:rsidR="00A868D6" w:rsidRPr="003E39D3" w:rsidRDefault="00A868D6" w:rsidP="003E73F4">
      <w:pPr>
        <w:pStyle w:val="FootnoteText"/>
      </w:pPr>
      <w:r w:rsidRPr="007F6264">
        <w:rPr>
          <w:rStyle w:val="FootnoteReference"/>
        </w:rPr>
        <w:footnoteRef/>
      </w:r>
      <w:r w:rsidRPr="003E39D3">
        <w:t xml:space="preserve"> 5 U.S.C. § 601(3). </w:t>
      </w:r>
    </w:p>
  </w:footnote>
  <w:footnote w:id="178">
    <w:p w14:paraId="2030880A" w14:textId="579A8C68" w:rsidR="00A868D6" w:rsidRPr="003E39D3" w:rsidRDefault="00A868D6" w:rsidP="003E73F4">
      <w:pPr>
        <w:pStyle w:val="FootnoteText"/>
      </w:pPr>
      <w:r w:rsidRPr="007F6264">
        <w:rPr>
          <w:rStyle w:val="FootnoteReference"/>
        </w:rPr>
        <w:footnoteRef/>
      </w:r>
      <w:r w:rsidRPr="003E39D3">
        <w:t xml:space="preserve"> </w:t>
      </w:r>
      <w:r w:rsidRPr="003E39D3">
        <w:rPr>
          <w:i/>
        </w:rPr>
        <w:t xml:space="preserve">See </w:t>
      </w:r>
      <w:r w:rsidRPr="003E39D3">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3E39D3">
        <w:rPr>
          <w:i/>
        </w:rPr>
        <w:t>See</w:t>
      </w:r>
      <w:r w:rsidRPr="003E39D3">
        <w:t xml:space="preserve"> 15 U.S.C. § 632(a); </w:t>
      </w:r>
      <w:r w:rsidRPr="003E39D3">
        <w:rPr>
          <w:i/>
        </w:rPr>
        <w:t xml:space="preserve">see also </w:t>
      </w:r>
      <w:r w:rsidRPr="003E39D3">
        <w:t xml:space="preserve">5 U.S.C. § 601(3).  SBA regulations interpret “small business concern” to include the concept of dominance on a national basis.  </w:t>
      </w:r>
      <w:r w:rsidRPr="003E39D3">
        <w:rPr>
          <w:i/>
        </w:rPr>
        <w:t xml:space="preserve">See </w:t>
      </w:r>
      <w:r w:rsidRPr="003E39D3">
        <w:t xml:space="preserve">13 </w:t>
      </w:r>
      <w:r>
        <w:t>CFR</w:t>
      </w:r>
      <w:r w:rsidRPr="003E39D3">
        <w:t xml:space="preserve"> § 121.102(b).</w:t>
      </w:r>
    </w:p>
  </w:footnote>
  <w:footnote w:id="179">
    <w:p w14:paraId="00DFB770" w14:textId="77777777" w:rsidR="00A868D6" w:rsidRDefault="00A868D6" w:rsidP="003E73F4">
      <w:pPr>
        <w:pStyle w:val="FootnoteText"/>
      </w:pPr>
      <w:r>
        <w:rPr>
          <w:rStyle w:val="FootnoteReference"/>
        </w:rPr>
        <w:footnoteRef/>
      </w:r>
      <w:r>
        <w:t xml:space="preserve"> </w:t>
      </w:r>
      <w:r w:rsidRPr="009F11FB">
        <w:rPr>
          <w:i/>
        </w:rPr>
        <w:t>See supra</w:t>
      </w:r>
      <w:r>
        <w:t xml:space="preserve"> note 24.</w:t>
      </w:r>
    </w:p>
  </w:footnote>
  <w:footnote w:id="180">
    <w:p w14:paraId="218CE1F6" w14:textId="77777777" w:rsidR="00A868D6" w:rsidRPr="003E39D3" w:rsidRDefault="00A868D6" w:rsidP="003E73F4">
      <w:pPr>
        <w:pStyle w:val="FootnoteText"/>
        <w:spacing w:line="120" w:lineRule="atLeast"/>
      </w:pPr>
      <w:r w:rsidRPr="007F6264">
        <w:rPr>
          <w:rStyle w:val="FootnoteReference"/>
        </w:rPr>
        <w:footnoteRef/>
      </w:r>
      <w:r w:rsidRPr="003E39D3">
        <w:t xml:space="preserve"> </w:t>
      </w:r>
      <w:r w:rsidRPr="00CF54F4">
        <w:rPr>
          <w:i/>
        </w:rPr>
        <w:t>See id</w:t>
      </w:r>
      <w:r w:rsidRPr="003E39D3">
        <w:rPr>
          <w:bCs/>
        </w:rPr>
        <w:t>.  Examples of this category are: broadband Internet service providers (</w:t>
      </w:r>
      <w:r w:rsidRPr="003E39D3">
        <w:rPr>
          <w:bCs/>
          <w:i/>
        </w:rPr>
        <w:t>e.g.</w:t>
      </w:r>
      <w:r w:rsidRPr="003E39D3">
        <w:rPr>
          <w:bCs/>
        </w:rPr>
        <w:t xml:space="preserve">, cable, DSL); local telephone carriers (wired); cable television distribution services; long-distance telephone carriers (wired); CCTV services; VoIP service providers, using own operated wired telecommunications infrastructure; </w:t>
      </w:r>
      <w:r>
        <w:rPr>
          <w:bCs/>
        </w:rPr>
        <w:t>DTH</w:t>
      </w:r>
      <w:r w:rsidRPr="003E39D3">
        <w:rPr>
          <w:bCs/>
        </w:rPr>
        <w:t xml:space="preserve"> services; telecommunications carriers (wired); satellite television distribution systems; and MMDS.</w:t>
      </w:r>
    </w:p>
  </w:footnote>
  <w:footnote w:id="181">
    <w:p w14:paraId="34C55C88" w14:textId="77777777" w:rsidR="00A868D6" w:rsidRPr="003E39D3" w:rsidRDefault="00A868D6" w:rsidP="003E73F4">
      <w:pPr>
        <w:pStyle w:val="FootnoteText"/>
        <w:rPr>
          <w:lang w:val="fr-FR"/>
        </w:rPr>
      </w:pPr>
      <w:r w:rsidRPr="007F6264">
        <w:rPr>
          <w:rStyle w:val="FootnoteReference"/>
        </w:rPr>
        <w:footnoteRef/>
      </w:r>
      <w:r w:rsidRPr="003E39D3">
        <w:rPr>
          <w:lang w:val="fr-FR"/>
        </w:rPr>
        <w:t xml:space="preserve"> </w:t>
      </w:r>
      <w:r w:rsidRPr="009F11FB">
        <w:rPr>
          <w:i/>
        </w:rPr>
        <w:t>See supra</w:t>
      </w:r>
      <w:r>
        <w:t xml:space="preserve"> note 28.</w:t>
      </w:r>
    </w:p>
  </w:footnote>
  <w:footnote w:id="182">
    <w:p w14:paraId="127B9B4C" w14:textId="77777777" w:rsidR="00A868D6" w:rsidRDefault="00A868D6" w:rsidP="003E73F4">
      <w:pPr>
        <w:pStyle w:val="FootnoteText"/>
      </w:pPr>
      <w:r>
        <w:rPr>
          <w:rStyle w:val="FootnoteReference"/>
        </w:rPr>
        <w:footnoteRef/>
      </w:r>
      <w:r>
        <w:t xml:space="preserve"> </w:t>
      </w:r>
      <w:r w:rsidRPr="00033125">
        <w:rPr>
          <w:i/>
        </w:rPr>
        <w:t>See</w:t>
      </w:r>
      <w:r>
        <w:t xml:space="preserve"> </w:t>
      </w:r>
      <w:r w:rsidRPr="009F11FB">
        <w:rPr>
          <w:i/>
        </w:rPr>
        <w:t>supra</w:t>
      </w:r>
      <w:r>
        <w:t xml:space="preserve"> note 29. </w:t>
      </w:r>
    </w:p>
  </w:footnote>
  <w:footnote w:id="183">
    <w:p w14:paraId="2B017230" w14:textId="77777777" w:rsidR="00A868D6" w:rsidRDefault="00A868D6" w:rsidP="003E73F4">
      <w:pPr>
        <w:pStyle w:val="FootnoteText"/>
      </w:pPr>
      <w:r>
        <w:rPr>
          <w:rStyle w:val="FootnoteReference"/>
        </w:rPr>
        <w:footnoteRef/>
      </w:r>
      <w:r>
        <w:t xml:space="preserve"> </w:t>
      </w:r>
      <w:r w:rsidRPr="009F11FB">
        <w:rPr>
          <w:i/>
        </w:rPr>
        <w:t>See id</w:t>
      </w:r>
      <w:r>
        <w:t>.</w:t>
      </w:r>
    </w:p>
  </w:footnote>
  <w:footnote w:id="184">
    <w:p w14:paraId="718666C6" w14:textId="2EBBDF72" w:rsidR="00A868D6" w:rsidRPr="003E39D3" w:rsidRDefault="00A868D6" w:rsidP="003E73F4">
      <w:pPr>
        <w:pStyle w:val="FootnoteText"/>
      </w:pPr>
      <w:r w:rsidRPr="007F6264">
        <w:rPr>
          <w:rStyle w:val="FootnoteReference"/>
        </w:rPr>
        <w:footnoteRef/>
      </w:r>
      <w:r w:rsidRPr="003E39D3">
        <w:t xml:space="preserve"> </w:t>
      </w:r>
      <w:r w:rsidRPr="003E39D3">
        <w:rPr>
          <w:i/>
        </w:rPr>
        <w:t xml:space="preserve">See </w:t>
      </w:r>
      <w:r w:rsidRPr="003E39D3">
        <w:t xml:space="preserve">Federal Communications Commission, </w:t>
      </w:r>
      <w:r w:rsidRPr="003E39D3">
        <w:rPr>
          <w:i/>
        </w:rPr>
        <w:t xml:space="preserve">Trends in Telephone Service </w:t>
      </w:r>
      <w:r w:rsidRPr="003E39D3">
        <w:t>(Sep. 2010) at Table 5.3,</w:t>
      </w:r>
      <w:r w:rsidRPr="00075437">
        <w:t xml:space="preserve"> </w:t>
      </w:r>
      <w:hyperlink r:id="rId10" w:history="1">
        <w:r w:rsidRPr="003E39D3">
          <w:rPr>
            <w:rStyle w:val="Hyperlink"/>
          </w:rPr>
          <w:t>http://hraunfoss.fcc.gov/edocs_public/attachmatch/DOC-301823A1.pdf</w:t>
        </w:r>
      </w:hyperlink>
      <w:r w:rsidRPr="003E39D3">
        <w:t xml:space="preserve"> </w:t>
      </w:r>
      <w:r>
        <w:t xml:space="preserve"> </w:t>
      </w:r>
      <w:r w:rsidRPr="003E39D3">
        <w:t xml:space="preserve">(last </w:t>
      </w:r>
      <w:r>
        <w:t>visited</w:t>
      </w:r>
      <w:r w:rsidRPr="003E39D3">
        <w:t xml:space="preserve"> </w:t>
      </w:r>
      <w:r>
        <w:t>Feb. 24</w:t>
      </w:r>
      <w:r w:rsidRPr="003E39D3">
        <w:t>, 201</w:t>
      </w:r>
      <w:r>
        <w:t>6</w:t>
      </w:r>
      <w:r w:rsidRPr="003E39D3">
        <w:t>).</w:t>
      </w:r>
    </w:p>
  </w:footnote>
  <w:footnote w:id="185">
    <w:p w14:paraId="4C21BF7D" w14:textId="77777777" w:rsidR="00A868D6" w:rsidRPr="003E39D3" w:rsidRDefault="00A868D6" w:rsidP="003E73F4">
      <w:pPr>
        <w:pStyle w:val="FootnoteText"/>
      </w:pPr>
      <w:r w:rsidRPr="007F6264">
        <w:rPr>
          <w:rStyle w:val="FootnoteReference"/>
        </w:rPr>
        <w:footnoteRef/>
      </w:r>
      <w:r w:rsidRPr="003E39D3">
        <w:t xml:space="preserve"> </w:t>
      </w:r>
      <w:r w:rsidRPr="003E39D3">
        <w:rPr>
          <w:i/>
        </w:rPr>
        <w:t>See id</w:t>
      </w:r>
      <w:r w:rsidRPr="003E39D3">
        <w:t>.</w:t>
      </w:r>
    </w:p>
  </w:footnote>
  <w:footnote w:id="186">
    <w:p w14:paraId="45BC02BD" w14:textId="77777777" w:rsidR="00A868D6" w:rsidRPr="003E39D3" w:rsidRDefault="00A868D6" w:rsidP="003E73F4">
      <w:pPr>
        <w:pStyle w:val="FootnoteText"/>
      </w:pPr>
      <w:r w:rsidRPr="007F6264">
        <w:rPr>
          <w:rStyle w:val="FootnoteReference"/>
        </w:rPr>
        <w:footnoteRef/>
      </w:r>
      <w:r w:rsidRPr="003E39D3">
        <w:t xml:space="preserve"> </w:t>
      </w:r>
      <w:r w:rsidRPr="003E39D3">
        <w:rPr>
          <w:i/>
        </w:rPr>
        <w:t>See id</w:t>
      </w:r>
      <w:r w:rsidRPr="003E39D3">
        <w:t>.</w:t>
      </w:r>
    </w:p>
  </w:footnote>
  <w:footnote w:id="187">
    <w:p w14:paraId="58C1EED1" w14:textId="77777777" w:rsidR="00A868D6" w:rsidRDefault="00A868D6" w:rsidP="003E73F4">
      <w:pPr>
        <w:pStyle w:val="FootnoteText"/>
      </w:pPr>
      <w:r>
        <w:rPr>
          <w:rStyle w:val="FootnoteReference"/>
        </w:rPr>
        <w:footnoteRef/>
      </w:r>
      <w:r>
        <w:t xml:space="preserve"> </w:t>
      </w:r>
      <w:r w:rsidRPr="00033125">
        <w:rPr>
          <w:i/>
        </w:rPr>
        <w:t>See</w:t>
      </w:r>
      <w:r w:rsidRPr="00033125">
        <w:t xml:space="preserve"> U.S. Census Bureau, 2007 NAICS Definitions, 517</w:t>
      </w:r>
      <w:r>
        <w:t>4</w:t>
      </w:r>
      <w:r w:rsidRPr="00033125">
        <w:t>10 Wired Telecommunications Carriers,</w:t>
      </w:r>
      <w:r>
        <w:t xml:space="preserve"> </w:t>
      </w:r>
      <w:r w:rsidRPr="00033125">
        <w:t>http://www.census.gov/cgi-bin/sssd/naics/naicsrch?code=517</w:t>
      </w:r>
      <w:r>
        <w:t>4</w:t>
      </w:r>
      <w:r w:rsidRPr="00033125">
        <w:t>10&amp;search=2007 NAICS Search.</w:t>
      </w:r>
    </w:p>
  </w:footnote>
  <w:footnote w:id="188">
    <w:p w14:paraId="22F39FD2" w14:textId="0EF0C2C8" w:rsidR="00A868D6" w:rsidRDefault="00A868D6" w:rsidP="003E73F4">
      <w:pPr>
        <w:pStyle w:val="FootnoteText"/>
      </w:pPr>
      <w:r>
        <w:rPr>
          <w:rStyle w:val="FootnoteReference"/>
        </w:rPr>
        <w:footnoteRef/>
      </w:r>
      <w:r>
        <w:t xml:space="preserve"> </w:t>
      </w:r>
      <w:r w:rsidRPr="009C5C2A">
        <w:rPr>
          <w:i/>
        </w:rPr>
        <w:t>See</w:t>
      </w:r>
      <w:r w:rsidRPr="009C5C2A">
        <w:t xml:space="preserve"> 13 </w:t>
      </w:r>
      <w:r>
        <w:t>CFR</w:t>
      </w:r>
      <w:r w:rsidRPr="009C5C2A">
        <w:t xml:space="preserve"> § 121.201, NAICS code 517</w:t>
      </w:r>
      <w:r>
        <w:t>4</w:t>
      </w:r>
      <w:r w:rsidRPr="009C5C2A">
        <w:t>10.</w:t>
      </w:r>
    </w:p>
  </w:footnote>
  <w:footnote w:id="189">
    <w:p w14:paraId="7746F13C" w14:textId="77777777" w:rsidR="00A868D6" w:rsidRDefault="00A868D6" w:rsidP="003E73F4">
      <w:pPr>
        <w:pStyle w:val="FootnoteText"/>
      </w:pPr>
      <w:r>
        <w:rPr>
          <w:rStyle w:val="FootnoteReference"/>
        </w:rPr>
        <w:footnoteRef/>
      </w:r>
      <w:r>
        <w:t xml:space="preserve"> </w:t>
      </w:r>
      <w:r w:rsidRPr="006646D5">
        <w:rPr>
          <w:i/>
        </w:rPr>
        <w:t>See</w:t>
      </w:r>
      <w:r>
        <w:t xml:space="preserve"> </w:t>
      </w:r>
      <w:r w:rsidRPr="003E39D3">
        <w:t>U.S. Census Bureau, American FactFinder, “Information: Subject Series – Estab and Firm Size: Employment Size of Establishments for the United States: 2007 – 2007 Economic Census,” NAICS code 517</w:t>
      </w:r>
      <w:r>
        <w:t>4</w:t>
      </w:r>
      <w:r w:rsidRPr="003E39D3">
        <w:t>10; available at</w:t>
      </w:r>
      <w:r>
        <w:t xml:space="preserve">, </w:t>
      </w:r>
      <w:r w:rsidRPr="009F11FB">
        <w:t>http://factfinder.census.gov/faces/tableservices/jsf/pages/productview.xhtml?pid=ECN_2007_US_51SSSZ5&amp;prodType=table</w:t>
      </w:r>
      <w:r>
        <w:t>.</w:t>
      </w:r>
    </w:p>
  </w:footnote>
  <w:footnote w:id="190">
    <w:p w14:paraId="77A1829B" w14:textId="77777777" w:rsidR="00A868D6" w:rsidRDefault="00A868D6" w:rsidP="003E73F4">
      <w:pPr>
        <w:pStyle w:val="FootnoteText"/>
      </w:pPr>
      <w:r>
        <w:rPr>
          <w:rStyle w:val="FootnoteReference"/>
        </w:rPr>
        <w:footnoteRef/>
      </w:r>
      <w:r>
        <w:t xml:space="preserve"> </w:t>
      </w:r>
      <w:r w:rsidRPr="0093542E">
        <w:rPr>
          <w:i/>
        </w:rPr>
        <w:t>See id</w:t>
      </w:r>
      <w:r>
        <w:t>.</w:t>
      </w:r>
    </w:p>
  </w:footnote>
  <w:footnote w:id="191">
    <w:p w14:paraId="0A1C5F3C" w14:textId="77777777" w:rsidR="00A868D6" w:rsidRDefault="00A868D6" w:rsidP="003E73F4">
      <w:pPr>
        <w:pStyle w:val="FootnoteText"/>
      </w:pPr>
      <w:r>
        <w:rPr>
          <w:rStyle w:val="FootnoteReference"/>
        </w:rPr>
        <w:footnoteRef/>
      </w:r>
      <w:r>
        <w:t xml:space="preserve"> </w:t>
      </w:r>
      <w:r w:rsidRPr="009F11FB">
        <w:rPr>
          <w:i/>
        </w:rPr>
        <w:t>See supra</w:t>
      </w:r>
      <w:r>
        <w:t xml:space="preserve"> note 24.</w:t>
      </w:r>
    </w:p>
  </w:footnote>
  <w:footnote w:id="192">
    <w:p w14:paraId="7D7E3C10" w14:textId="77777777" w:rsidR="00A868D6" w:rsidRPr="003E39D3" w:rsidRDefault="00A868D6" w:rsidP="003E73F4">
      <w:pPr>
        <w:pStyle w:val="FootnoteText"/>
        <w:spacing w:line="120" w:lineRule="atLeast"/>
      </w:pPr>
      <w:r w:rsidRPr="007F6264">
        <w:rPr>
          <w:rStyle w:val="FootnoteReference"/>
        </w:rPr>
        <w:footnoteRef/>
      </w:r>
      <w:r w:rsidRPr="003E39D3">
        <w:t xml:space="preserve"> </w:t>
      </w:r>
      <w:r w:rsidRPr="00CF54F4">
        <w:rPr>
          <w:i/>
        </w:rPr>
        <w:t>See id</w:t>
      </w:r>
      <w:r w:rsidRPr="003E39D3">
        <w:rPr>
          <w:bCs/>
        </w:rPr>
        <w:t>.  Examples of this category are: broadband Internet service providers (</w:t>
      </w:r>
      <w:r w:rsidRPr="003E39D3">
        <w:rPr>
          <w:bCs/>
          <w:i/>
        </w:rPr>
        <w:t>e.g.</w:t>
      </w:r>
      <w:r w:rsidRPr="003E39D3">
        <w:rPr>
          <w:bCs/>
        </w:rPr>
        <w:t xml:space="preserve">, cable, DSL); local telephone carriers (wired); cable television distribution services; long-distance telephone carriers (wired); CCTV services; VoIP service providers, using own operated wired telecommunications infrastructure; </w:t>
      </w:r>
      <w:r>
        <w:rPr>
          <w:bCs/>
        </w:rPr>
        <w:t>DTH</w:t>
      </w:r>
      <w:r w:rsidRPr="003E39D3">
        <w:rPr>
          <w:bCs/>
        </w:rPr>
        <w:t xml:space="preserve"> services; telecommunications carriers (wired); satellite television distribution systems; and MMDS.</w:t>
      </w:r>
    </w:p>
  </w:footnote>
  <w:footnote w:id="193">
    <w:p w14:paraId="6ED325A6" w14:textId="77777777" w:rsidR="00A868D6" w:rsidRPr="003E39D3" w:rsidRDefault="00A868D6" w:rsidP="003E73F4">
      <w:pPr>
        <w:pStyle w:val="FootnoteText"/>
        <w:rPr>
          <w:lang w:val="fr-FR"/>
        </w:rPr>
      </w:pPr>
      <w:r w:rsidRPr="007F6264">
        <w:rPr>
          <w:rStyle w:val="FootnoteReference"/>
        </w:rPr>
        <w:footnoteRef/>
      </w:r>
      <w:r w:rsidRPr="003E39D3">
        <w:rPr>
          <w:lang w:val="fr-FR"/>
        </w:rPr>
        <w:t xml:space="preserve"> </w:t>
      </w:r>
      <w:r w:rsidRPr="009F11FB">
        <w:rPr>
          <w:i/>
        </w:rPr>
        <w:t>See supra</w:t>
      </w:r>
      <w:r>
        <w:t xml:space="preserve"> note 28.</w:t>
      </w:r>
    </w:p>
  </w:footnote>
  <w:footnote w:id="194">
    <w:p w14:paraId="35584A77" w14:textId="77777777" w:rsidR="00A868D6" w:rsidRDefault="00A868D6" w:rsidP="003E73F4">
      <w:pPr>
        <w:pStyle w:val="FootnoteText"/>
      </w:pPr>
      <w:r>
        <w:rPr>
          <w:rStyle w:val="FootnoteReference"/>
        </w:rPr>
        <w:footnoteRef/>
      </w:r>
      <w:r>
        <w:t xml:space="preserve"> </w:t>
      </w:r>
      <w:r w:rsidRPr="00033125">
        <w:rPr>
          <w:i/>
        </w:rPr>
        <w:t>See</w:t>
      </w:r>
      <w:r>
        <w:t xml:space="preserve"> </w:t>
      </w:r>
      <w:r w:rsidRPr="009F11FB">
        <w:rPr>
          <w:i/>
        </w:rPr>
        <w:t>supra</w:t>
      </w:r>
      <w:r>
        <w:t xml:space="preserve"> note 29. </w:t>
      </w:r>
    </w:p>
  </w:footnote>
  <w:footnote w:id="195">
    <w:p w14:paraId="172D8622" w14:textId="77777777" w:rsidR="00A868D6" w:rsidRDefault="00A868D6" w:rsidP="003E73F4">
      <w:pPr>
        <w:pStyle w:val="FootnoteText"/>
      </w:pPr>
      <w:r>
        <w:rPr>
          <w:rStyle w:val="FootnoteReference"/>
        </w:rPr>
        <w:footnoteRef/>
      </w:r>
      <w:r>
        <w:t xml:space="preserve"> </w:t>
      </w:r>
      <w:r w:rsidRPr="009F11FB">
        <w:rPr>
          <w:i/>
        </w:rPr>
        <w:t>See id</w:t>
      </w:r>
      <w:r>
        <w:t>.</w:t>
      </w:r>
    </w:p>
  </w:footnote>
  <w:footnote w:id="196">
    <w:p w14:paraId="487F8418" w14:textId="456D23BC" w:rsidR="00A868D6" w:rsidRDefault="00A868D6" w:rsidP="003E73F4">
      <w:pPr>
        <w:pStyle w:val="FootnoteText"/>
      </w:pPr>
      <w:r>
        <w:rPr>
          <w:rStyle w:val="FootnoteReference"/>
        </w:rPr>
        <w:footnoteRef/>
      </w:r>
      <w:r>
        <w:t xml:space="preserve"> </w:t>
      </w:r>
      <w:r w:rsidRPr="000D4A04">
        <w:rPr>
          <w:bCs/>
          <w:i/>
        </w:rPr>
        <w:t>See</w:t>
      </w:r>
      <w:r w:rsidRPr="000D4A04">
        <w:rPr>
          <w:bCs/>
        </w:rPr>
        <w:t xml:space="preserve"> </w:t>
      </w:r>
      <w:r w:rsidRPr="00075437">
        <w:rPr>
          <w:i/>
        </w:rPr>
        <w:t>Annual Assessment of the Status of Competition in the Market for Delivery of Video Programming</w:t>
      </w:r>
      <w:r w:rsidRPr="000D4A04">
        <w:rPr>
          <w:bCs/>
        </w:rPr>
        <w:t>, Fifteenth Report, 28 FCC Rcd 10496, 10507</w:t>
      </w:r>
      <w:r>
        <w:rPr>
          <w:bCs/>
        </w:rPr>
        <w:t>,</w:t>
      </w:r>
      <w:r w:rsidRPr="000D4A04">
        <w:rPr>
          <w:bCs/>
        </w:rPr>
        <w:t xml:space="preserve"> para. 27 (2013).  As of June 2012, DRECTV is the largest DBS operator and the second largest MVPD in the United States, serving 19.9 million subscribers. DISH Network is the second largest DBS operator and the third largest MVPD operator, serving 14 million subscribers.  </w:t>
      </w:r>
      <w:r w:rsidRPr="000D4A04">
        <w:rPr>
          <w:bCs/>
          <w:i/>
        </w:rPr>
        <w:t>See id</w:t>
      </w:r>
      <w:r w:rsidRPr="000D4A04">
        <w:rPr>
          <w:bCs/>
        </w:rPr>
        <w:t>. at 10546, paras. 110-11</w:t>
      </w:r>
      <w:r>
        <w:t>.</w:t>
      </w:r>
    </w:p>
  </w:footnote>
  <w:footnote w:id="197">
    <w:p w14:paraId="5EFB59F8" w14:textId="0700BC2A" w:rsidR="00A868D6" w:rsidRDefault="00A868D6" w:rsidP="003E73F4">
      <w:pPr>
        <w:pStyle w:val="FootnoteText"/>
      </w:pPr>
      <w:r>
        <w:rPr>
          <w:rStyle w:val="FootnoteReference"/>
        </w:rPr>
        <w:footnoteRef/>
      </w:r>
      <w:r>
        <w:t xml:space="preserve"> </w:t>
      </w:r>
      <w:r w:rsidRPr="009C5C2A">
        <w:rPr>
          <w:i/>
        </w:rPr>
        <w:t>See</w:t>
      </w:r>
      <w:r w:rsidRPr="009C5C2A">
        <w:t xml:space="preserve"> 13 </w:t>
      </w:r>
      <w:r>
        <w:t>CFR</w:t>
      </w:r>
      <w:r w:rsidRPr="009C5C2A">
        <w:t xml:space="preserve"> § 121.201, NAICS code 517</w:t>
      </w:r>
      <w:r>
        <w:t>919</w:t>
      </w:r>
      <w:r w:rsidRPr="009C5C2A">
        <w:t>.</w:t>
      </w:r>
    </w:p>
  </w:footnote>
  <w:footnote w:id="198">
    <w:p w14:paraId="6BB76358" w14:textId="77777777" w:rsidR="00A868D6" w:rsidRDefault="00A868D6" w:rsidP="003E73F4">
      <w:pPr>
        <w:pStyle w:val="FootnoteText"/>
      </w:pPr>
      <w:r>
        <w:rPr>
          <w:rStyle w:val="FootnoteReference"/>
        </w:rPr>
        <w:footnoteRef/>
      </w:r>
      <w:r>
        <w:t xml:space="preserve"> </w:t>
      </w:r>
      <w:r w:rsidRPr="00C337E7">
        <w:rPr>
          <w:i/>
        </w:rPr>
        <w:t>See</w:t>
      </w:r>
      <w:r>
        <w:t xml:space="preserve"> </w:t>
      </w:r>
      <w:r w:rsidRPr="003E39D3">
        <w:t>U.S. Census Bureau, American FactFinder, “Information: Subject Series – Estab and Firm Size: Employment Size of Establishments for the United States: 2007 – 2007 Economic Census,” NAICS code 517</w:t>
      </w:r>
      <w:r>
        <w:t>919</w:t>
      </w:r>
      <w:r w:rsidRPr="003E39D3">
        <w:t>; available at</w:t>
      </w:r>
      <w:r>
        <w:t xml:space="preserve">, </w:t>
      </w:r>
      <w:r w:rsidRPr="009F11FB">
        <w:t>http://factfinder.census.gov/faces/tableservices/jsf/pages/productview.xhtml?pid=ECN_2007_US_51SSSZ5&amp;prodType=table</w:t>
      </w:r>
      <w:r>
        <w:t>.</w:t>
      </w:r>
    </w:p>
  </w:footnote>
  <w:footnote w:id="199">
    <w:p w14:paraId="756B2884" w14:textId="423F5B11" w:rsidR="00A868D6" w:rsidRPr="0073330A" w:rsidRDefault="00A868D6" w:rsidP="00274CCC">
      <w:pPr>
        <w:pStyle w:val="FootnoteText"/>
      </w:pPr>
      <w:r w:rsidRPr="0073330A">
        <w:rPr>
          <w:rStyle w:val="FootnoteReference"/>
        </w:rPr>
        <w:footnoteRef/>
      </w:r>
      <w:r w:rsidRPr="0073330A">
        <w:t xml:space="preserve"> 5 U.S.C. § 603(c)(1)-(c)(4).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9CCDD" w14:textId="77777777" w:rsidR="005459B6" w:rsidRDefault="00545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0205" w14:textId="248EC7D8" w:rsidR="00A868D6" w:rsidRDefault="00A868D6" w:rsidP="00C61AF7">
    <w:pPr>
      <w:pStyle w:val="Header"/>
    </w:pPr>
    <w:r>
      <w:tab/>
      <w:t>Federal Communications Commission</w:t>
    </w:r>
    <w:r>
      <w:tab/>
      <w:t>FCC 16-</w:t>
    </w:r>
    <w:r w:rsidR="00411809">
      <w:t>80</w:t>
    </w:r>
  </w:p>
  <w:p w14:paraId="03766365" w14:textId="77777777" w:rsidR="00A868D6" w:rsidRDefault="00A868D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DB8A93B" wp14:editId="7DB8A93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5C5CC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FCFCA8B" w14:textId="77777777" w:rsidR="00A868D6" w:rsidRDefault="00A868D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DE59C" w14:textId="04CB02C8" w:rsidR="00A868D6" w:rsidRPr="00C61AF7" w:rsidRDefault="00A868D6" w:rsidP="00C61AF7">
    <w:pPr>
      <w:pStyle w:val="Header"/>
    </w:pPr>
    <w:r>
      <w:rPr>
        <w:noProof/>
        <w:snapToGrid/>
      </w:rPr>
      <mc:AlternateContent>
        <mc:Choice Requires="wps">
          <w:drawing>
            <wp:anchor distT="0" distB="0" distL="114300" distR="114300" simplePos="0" relativeHeight="251658240" behindDoc="1" locked="0" layoutInCell="0" allowOverlap="1" wp14:anchorId="7DB8A93D" wp14:editId="7DB8A93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898A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r>
    <w:r w:rsidRPr="00C61AF7">
      <w:t>Federal Communications Commission</w:t>
    </w:r>
    <w:r w:rsidRPr="00C61AF7">
      <w:tab/>
    </w:r>
    <w:r>
      <w:t>FCC 16-</w:t>
    </w:r>
    <w:r w:rsidR="00411809">
      <w:t>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webHidden w:val="0"/>
        <w:position w:val="0"/>
        <w:sz w:val="22"/>
        <w:u w:val="none"/>
        <w:effect w:val="none"/>
        <w:vertAlign w:val="baseline"/>
        <w:specVanish w:val="0"/>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C300D76"/>
    <w:multiLevelType w:val="multilevel"/>
    <w:tmpl w:val="25DA8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4"/>
  </w:num>
  <w:num w:numId="3">
    <w:abstractNumId w:val="0"/>
  </w:num>
  <w:num w:numId="4">
    <w:abstractNumId w:val="6"/>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 w:numId="11">
    <w:abstractNumId w:val="1"/>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A3"/>
    <w:rsid w:val="0000032A"/>
    <w:rsid w:val="00000464"/>
    <w:rsid w:val="00004103"/>
    <w:rsid w:val="00013478"/>
    <w:rsid w:val="000154F0"/>
    <w:rsid w:val="00016F7B"/>
    <w:rsid w:val="000179F2"/>
    <w:rsid w:val="000221A7"/>
    <w:rsid w:val="00022D02"/>
    <w:rsid w:val="00023B54"/>
    <w:rsid w:val="00024F6C"/>
    <w:rsid w:val="00031E9F"/>
    <w:rsid w:val="00032F3E"/>
    <w:rsid w:val="00036039"/>
    <w:rsid w:val="000367A7"/>
    <w:rsid w:val="00037F90"/>
    <w:rsid w:val="00042F70"/>
    <w:rsid w:val="0004319A"/>
    <w:rsid w:val="00044CF6"/>
    <w:rsid w:val="00044FB3"/>
    <w:rsid w:val="00060C0A"/>
    <w:rsid w:val="00062CCB"/>
    <w:rsid w:val="00065421"/>
    <w:rsid w:val="00066373"/>
    <w:rsid w:val="00067007"/>
    <w:rsid w:val="000677C3"/>
    <w:rsid w:val="00072E26"/>
    <w:rsid w:val="00073495"/>
    <w:rsid w:val="00074F59"/>
    <w:rsid w:val="00075437"/>
    <w:rsid w:val="00075B46"/>
    <w:rsid w:val="00080E0D"/>
    <w:rsid w:val="00081555"/>
    <w:rsid w:val="00083880"/>
    <w:rsid w:val="000875BF"/>
    <w:rsid w:val="00091317"/>
    <w:rsid w:val="00091989"/>
    <w:rsid w:val="00092792"/>
    <w:rsid w:val="000933FC"/>
    <w:rsid w:val="000936CD"/>
    <w:rsid w:val="0009598A"/>
    <w:rsid w:val="00096D8C"/>
    <w:rsid w:val="000A0FFC"/>
    <w:rsid w:val="000A13F2"/>
    <w:rsid w:val="000A4BCB"/>
    <w:rsid w:val="000B0786"/>
    <w:rsid w:val="000B243C"/>
    <w:rsid w:val="000B34D4"/>
    <w:rsid w:val="000B38D4"/>
    <w:rsid w:val="000B5E70"/>
    <w:rsid w:val="000B63E7"/>
    <w:rsid w:val="000B7366"/>
    <w:rsid w:val="000C09B5"/>
    <w:rsid w:val="000C0B65"/>
    <w:rsid w:val="000C3493"/>
    <w:rsid w:val="000C3A71"/>
    <w:rsid w:val="000C4DAC"/>
    <w:rsid w:val="000D4CD8"/>
    <w:rsid w:val="000D550D"/>
    <w:rsid w:val="000D6D73"/>
    <w:rsid w:val="000D703F"/>
    <w:rsid w:val="000E05FE"/>
    <w:rsid w:val="000E0F3C"/>
    <w:rsid w:val="000E11DA"/>
    <w:rsid w:val="000E16CB"/>
    <w:rsid w:val="000E2442"/>
    <w:rsid w:val="000E3D42"/>
    <w:rsid w:val="000E6421"/>
    <w:rsid w:val="000E67AB"/>
    <w:rsid w:val="000F18F7"/>
    <w:rsid w:val="000F3E0B"/>
    <w:rsid w:val="000F4191"/>
    <w:rsid w:val="000F4BE5"/>
    <w:rsid w:val="000F60AB"/>
    <w:rsid w:val="000F7748"/>
    <w:rsid w:val="001008A6"/>
    <w:rsid w:val="00101FF1"/>
    <w:rsid w:val="001032AC"/>
    <w:rsid w:val="00104116"/>
    <w:rsid w:val="0011080B"/>
    <w:rsid w:val="0011113A"/>
    <w:rsid w:val="00113B00"/>
    <w:rsid w:val="00121ADB"/>
    <w:rsid w:val="00121DAF"/>
    <w:rsid w:val="00122BD5"/>
    <w:rsid w:val="00122F63"/>
    <w:rsid w:val="00125DB6"/>
    <w:rsid w:val="00126486"/>
    <w:rsid w:val="00130F0B"/>
    <w:rsid w:val="00131D62"/>
    <w:rsid w:val="00133F79"/>
    <w:rsid w:val="00137086"/>
    <w:rsid w:val="00137515"/>
    <w:rsid w:val="00141337"/>
    <w:rsid w:val="00142BFE"/>
    <w:rsid w:val="001432B0"/>
    <w:rsid w:val="00146F40"/>
    <w:rsid w:val="00147C7F"/>
    <w:rsid w:val="0015111A"/>
    <w:rsid w:val="001517F1"/>
    <w:rsid w:val="00153AC0"/>
    <w:rsid w:val="00154C1D"/>
    <w:rsid w:val="001556F3"/>
    <w:rsid w:val="00161CEA"/>
    <w:rsid w:val="00164BC0"/>
    <w:rsid w:val="00173A96"/>
    <w:rsid w:val="00174393"/>
    <w:rsid w:val="001746EA"/>
    <w:rsid w:val="00175A00"/>
    <w:rsid w:val="00177B59"/>
    <w:rsid w:val="00183D77"/>
    <w:rsid w:val="00185015"/>
    <w:rsid w:val="00185840"/>
    <w:rsid w:val="00185A0D"/>
    <w:rsid w:val="00191CDE"/>
    <w:rsid w:val="00192485"/>
    <w:rsid w:val="001930EC"/>
    <w:rsid w:val="00194A66"/>
    <w:rsid w:val="001969E1"/>
    <w:rsid w:val="001971C9"/>
    <w:rsid w:val="001A0441"/>
    <w:rsid w:val="001A0C73"/>
    <w:rsid w:val="001A5014"/>
    <w:rsid w:val="001A7242"/>
    <w:rsid w:val="001B33A1"/>
    <w:rsid w:val="001B3D6A"/>
    <w:rsid w:val="001B42B8"/>
    <w:rsid w:val="001B5C63"/>
    <w:rsid w:val="001C3FEC"/>
    <w:rsid w:val="001C4EAA"/>
    <w:rsid w:val="001C50BD"/>
    <w:rsid w:val="001C7E30"/>
    <w:rsid w:val="001D0BED"/>
    <w:rsid w:val="001D280C"/>
    <w:rsid w:val="001D38D3"/>
    <w:rsid w:val="001D39C0"/>
    <w:rsid w:val="001D3BCA"/>
    <w:rsid w:val="001D4C7D"/>
    <w:rsid w:val="001D6A52"/>
    <w:rsid w:val="001D6BCF"/>
    <w:rsid w:val="001E01CA"/>
    <w:rsid w:val="001E074E"/>
    <w:rsid w:val="001E760B"/>
    <w:rsid w:val="001F0D51"/>
    <w:rsid w:val="001F3131"/>
    <w:rsid w:val="001F3CF4"/>
    <w:rsid w:val="001F5E0F"/>
    <w:rsid w:val="00200226"/>
    <w:rsid w:val="00200E6E"/>
    <w:rsid w:val="00202552"/>
    <w:rsid w:val="00202ABE"/>
    <w:rsid w:val="0020307C"/>
    <w:rsid w:val="00203D2E"/>
    <w:rsid w:val="00204E83"/>
    <w:rsid w:val="0020580A"/>
    <w:rsid w:val="00206AF7"/>
    <w:rsid w:val="00210494"/>
    <w:rsid w:val="00215F60"/>
    <w:rsid w:val="00216EA0"/>
    <w:rsid w:val="002170CE"/>
    <w:rsid w:val="00217961"/>
    <w:rsid w:val="002203B3"/>
    <w:rsid w:val="002203D6"/>
    <w:rsid w:val="002229EB"/>
    <w:rsid w:val="00222BE4"/>
    <w:rsid w:val="00222FC3"/>
    <w:rsid w:val="00227366"/>
    <w:rsid w:val="002333CB"/>
    <w:rsid w:val="002337AD"/>
    <w:rsid w:val="00235339"/>
    <w:rsid w:val="00235FFF"/>
    <w:rsid w:val="00236FAC"/>
    <w:rsid w:val="002406BA"/>
    <w:rsid w:val="00241EFA"/>
    <w:rsid w:val="002427A8"/>
    <w:rsid w:val="00242D1F"/>
    <w:rsid w:val="00243671"/>
    <w:rsid w:val="00243887"/>
    <w:rsid w:val="002467A1"/>
    <w:rsid w:val="00254FB7"/>
    <w:rsid w:val="00256497"/>
    <w:rsid w:val="00257E94"/>
    <w:rsid w:val="002611CB"/>
    <w:rsid w:val="00262435"/>
    <w:rsid w:val="0026410F"/>
    <w:rsid w:val="00266CD3"/>
    <w:rsid w:val="00270249"/>
    <w:rsid w:val="002713B3"/>
    <w:rsid w:val="0027360B"/>
    <w:rsid w:val="002746E7"/>
    <w:rsid w:val="0027485E"/>
    <w:rsid w:val="00274CCC"/>
    <w:rsid w:val="00275CF5"/>
    <w:rsid w:val="00277B08"/>
    <w:rsid w:val="00280C72"/>
    <w:rsid w:val="00280EC3"/>
    <w:rsid w:val="00282493"/>
    <w:rsid w:val="0028260A"/>
    <w:rsid w:val="0028301F"/>
    <w:rsid w:val="00285017"/>
    <w:rsid w:val="002867E6"/>
    <w:rsid w:val="00286CEC"/>
    <w:rsid w:val="0029224F"/>
    <w:rsid w:val="002935E1"/>
    <w:rsid w:val="00293C79"/>
    <w:rsid w:val="00294850"/>
    <w:rsid w:val="00296F7E"/>
    <w:rsid w:val="002A2D2E"/>
    <w:rsid w:val="002B1E4C"/>
    <w:rsid w:val="002B6464"/>
    <w:rsid w:val="002C00E8"/>
    <w:rsid w:val="002C0581"/>
    <w:rsid w:val="002C3DFA"/>
    <w:rsid w:val="002C7608"/>
    <w:rsid w:val="002D1611"/>
    <w:rsid w:val="002D1689"/>
    <w:rsid w:val="002D441E"/>
    <w:rsid w:val="002D62AA"/>
    <w:rsid w:val="002D6875"/>
    <w:rsid w:val="002D7231"/>
    <w:rsid w:val="002D77D4"/>
    <w:rsid w:val="002E3BBE"/>
    <w:rsid w:val="002E4118"/>
    <w:rsid w:val="002F0F6D"/>
    <w:rsid w:val="002F15E9"/>
    <w:rsid w:val="002F2F49"/>
    <w:rsid w:val="002F46A3"/>
    <w:rsid w:val="002F7F02"/>
    <w:rsid w:val="00300ECF"/>
    <w:rsid w:val="00302518"/>
    <w:rsid w:val="00303D80"/>
    <w:rsid w:val="00306A38"/>
    <w:rsid w:val="003104A1"/>
    <w:rsid w:val="00310C69"/>
    <w:rsid w:val="00315C99"/>
    <w:rsid w:val="00316E16"/>
    <w:rsid w:val="00317D30"/>
    <w:rsid w:val="00321455"/>
    <w:rsid w:val="00321A03"/>
    <w:rsid w:val="00323450"/>
    <w:rsid w:val="00323B05"/>
    <w:rsid w:val="00331F96"/>
    <w:rsid w:val="0034080F"/>
    <w:rsid w:val="003416C5"/>
    <w:rsid w:val="00343749"/>
    <w:rsid w:val="00350DE1"/>
    <w:rsid w:val="00354766"/>
    <w:rsid w:val="0035707B"/>
    <w:rsid w:val="00357206"/>
    <w:rsid w:val="00360BBE"/>
    <w:rsid w:val="00361217"/>
    <w:rsid w:val="003656C3"/>
    <w:rsid w:val="003660ED"/>
    <w:rsid w:val="0036620E"/>
    <w:rsid w:val="0037139A"/>
    <w:rsid w:val="0037236F"/>
    <w:rsid w:val="00372A50"/>
    <w:rsid w:val="00373BD3"/>
    <w:rsid w:val="00377781"/>
    <w:rsid w:val="003877B1"/>
    <w:rsid w:val="003916B7"/>
    <w:rsid w:val="00392BF4"/>
    <w:rsid w:val="00396249"/>
    <w:rsid w:val="0039648E"/>
    <w:rsid w:val="00396C0F"/>
    <w:rsid w:val="0039738A"/>
    <w:rsid w:val="003973C1"/>
    <w:rsid w:val="003A0472"/>
    <w:rsid w:val="003A6462"/>
    <w:rsid w:val="003B0550"/>
    <w:rsid w:val="003B1D32"/>
    <w:rsid w:val="003B34DE"/>
    <w:rsid w:val="003B3B7C"/>
    <w:rsid w:val="003B4DA4"/>
    <w:rsid w:val="003B5C79"/>
    <w:rsid w:val="003B60A4"/>
    <w:rsid w:val="003B694F"/>
    <w:rsid w:val="003B6992"/>
    <w:rsid w:val="003B6E1C"/>
    <w:rsid w:val="003C08EF"/>
    <w:rsid w:val="003C0E9F"/>
    <w:rsid w:val="003C210D"/>
    <w:rsid w:val="003C2C8E"/>
    <w:rsid w:val="003C39C2"/>
    <w:rsid w:val="003C6FDD"/>
    <w:rsid w:val="003D15F8"/>
    <w:rsid w:val="003D29B1"/>
    <w:rsid w:val="003D69B9"/>
    <w:rsid w:val="003D7E87"/>
    <w:rsid w:val="003E374B"/>
    <w:rsid w:val="003E396A"/>
    <w:rsid w:val="003E73F4"/>
    <w:rsid w:val="003F171C"/>
    <w:rsid w:val="003F1ACB"/>
    <w:rsid w:val="003F22A2"/>
    <w:rsid w:val="003F2FFD"/>
    <w:rsid w:val="003F31A6"/>
    <w:rsid w:val="003F3408"/>
    <w:rsid w:val="003F51D5"/>
    <w:rsid w:val="00400925"/>
    <w:rsid w:val="004023B0"/>
    <w:rsid w:val="00407181"/>
    <w:rsid w:val="00411809"/>
    <w:rsid w:val="00412FC5"/>
    <w:rsid w:val="004157BD"/>
    <w:rsid w:val="00417968"/>
    <w:rsid w:val="00420199"/>
    <w:rsid w:val="00421D55"/>
    <w:rsid w:val="00421EBD"/>
    <w:rsid w:val="00422276"/>
    <w:rsid w:val="004227B2"/>
    <w:rsid w:val="004242F1"/>
    <w:rsid w:val="00424435"/>
    <w:rsid w:val="00425CC4"/>
    <w:rsid w:val="00425E4F"/>
    <w:rsid w:val="004300C1"/>
    <w:rsid w:val="00430D65"/>
    <w:rsid w:val="004345F8"/>
    <w:rsid w:val="004354DB"/>
    <w:rsid w:val="00436729"/>
    <w:rsid w:val="004400F6"/>
    <w:rsid w:val="00441851"/>
    <w:rsid w:val="00441FF8"/>
    <w:rsid w:val="00444F2E"/>
    <w:rsid w:val="00444F64"/>
    <w:rsid w:val="0044556E"/>
    <w:rsid w:val="00445A00"/>
    <w:rsid w:val="00451B0F"/>
    <w:rsid w:val="004532E9"/>
    <w:rsid w:val="00453ECC"/>
    <w:rsid w:val="00455CE5"/>
    <w:rsid w:val="00460808"/>
    <w:rsid w:val="004616A5"/>
    <w:rsid w:val="00462ABF"/>
    <w:rsid w:val="004644C6"/>
    <w:rsid w:val="00464C80"/>
    <w:rsid w:val="0046720D"/>
    <w:rsid w:val="00467CF9"/>
    <w:rsid w:val="00470480"/>
    <w:rsid w:val="00470662"/>
    <w:rsid w:val="004709BA"/>
    <w:rsid w:val="00471900"/>
    <w:rsid w:val="00473EA0"/>
    <w:rsid w:val="004751B3"/>
    <w:rsid w:val="00477403"/>
    <w:rsid w:val="004805AF"/>
    <w:rsid w:val="004859E5"/>
    <w:rsid w:val="004877D3"/>
    <w:rsid w:val="00492045"/>
    <w:rsid w:val="00492841"/>
    <w:rsid w:val="00492F7D"/>
    <w:rsid w:val="004931F4"/>
    <w:rsid w:val="004947B3"/>
    <w:rsid w:val="00496235"/>
    <w:rsid w:val="004B0BA0"/>
    <w:rsid w:val="004C27A4"/>
    <w:rsid w:val="004C2EE3"/>
    <w:rsid w:val="004C346F"/>
    <w:rsid w:val="004C431A"/>
    <w:rsid w:val="004C4C76"/>
    <w:rsid w:val="004C73C0"/>
    <w:rsid w:val="004D4EBF"/>
    <w:rsid w:val="004E17CA"/>
    <w:rsid w:val="004E2A96"/>
    <w:rsid w:val="004E4A22"/>
    <w:rsid w:val="004E51F2"/>
    <w:rsid w:val="004E57D6"/>
    <w:rsid w:val="004E5F9F"/>
    <w:rsid w:val="004F0ADC"/>
    <w:rsid w:val="004F2C11"/>
    <w:rsid w:val="004F4181"/>
    <w:rsid w:val="004F4B50"/>
    <w:rsid w:val="004F53B2"/>
    <w:rsid w:val="0050069D"/>
    <w:rsid w:val="0050261A"/>
    <w:rsid w:val="00502D86"/>
    <w:rsid w:val="0050678A"/>
    <w:rsid w:val="00507694"/>
    <w:rsid w:val="00511968"/>
    <w:rsid w:val="005139C4"/>
    <w:rsid w:val="00516023"/>
    <w:rsid w:val="005213AC"/>
    <w:rsid w:val="00521C88"/>
    <w:rsid w:val="005235D4"/>
    <w:rsid w:val="00527143"/>
    <w:rsid w:val="00527888"/>
    <w:rsid w:val="00540B54"/>
    <w:rsid w:val="0054282F"/>
    <w:rsid w:val="005445E2"/>
    <w:rsid w:val="005459B6"/>
    <w:rsid w:val="005459E9"/>
    <w:rsid w:val="00546F9C"/>
    <w:rsid w:val="005478C5"/>
    <w:rsid w:val="005506CD"/>
    <w:rsid w:val="00552385"/>
    <w:rsid w:val="00553414"/>
    <w:rsid w:val="0055370C"/>
    <w:rsid w:val="0055614C"/>
    <w:rsid w:val="00560694"/>
    <w:rsid w:val="005628B2"/>
    <w:rsid w:val="005706C7"/>
    <w:rsid w:val="005719E2"/>
    <w:rsid w:val="0057556E"/>
    <w:rsid w:val="00583E98"/>
    <w:rsid w:val="00584089"/>
    <w:rsid w:val="00586496"/>
    <w:rsid w:val="005902DA"/>
    <w:rsid w:val="00591621"/>
    <w:rsid w:val="0059220D"/>
    <w:rsid w:val="00594FE2"/>
    <w:rsid w:val="005950BA"/>
    <w:rsid w:val="00597989"/>
    <w:rsid w:val="00597C3A"/>
    <w:rsid w:val="005A0DB4"/>
    <w:rsid w:val="005A2840"/>
    <w:rsid w:val="005A2B30"/>
    <w:rsid w:val="005A3200"/>
    <w:rsid w:val="005A3B21"/>
    <w:rsid w:val="005A4894"/>
    <w:rsid w:val="005A4960"/>
    <w:rsid w:val="005A4B12"/>
    <w:rsid w:val="005A57A6"/>
    <w:rsid w:val="005A6198"/>
    <w:rsid w:val="005B09F5"/>
    <w:rsid w:val="005B2685"/>
    <w:rsid w:val="005B36CE"/>
    <w:rsid w:val="005C0780"/>
    <w:rsid w:val="005C205B"/>
    <w:rsid w:val="005C39BC"/>
    <w:rsid w:val="005C502A"/>
    <w:rsid w:val="005C5125"/>
    <w:rsid w:val="005C5916"/>
    <w:rsid w:val="005D0BAE"/>
    <w:rsid w:val="005D171F"/>
    <w:rsid w:val="005D3BB3"/>
    <w:rsid w:val="005E01FD"/>
    <w:rsid w:val="005E097C"/>
    <w:rsid w:val="005E14C2"/>
    <w:rsid w:val="005E5EFA"/>
    <w:rsid w:val="005E7D24"/>
    <w:rsid w:val="005F1754"/>
    <w:rsid w:val="005F296B"/>
    <w:rsid w:val="005F638E"/>
    <w:rsid w:val="00600BF5"/>
    <w:rsid w:val="0060325A"/>
    <w:rsid w:val="00604D76"/>
    <w:rsid w:val="00606A02"/>
    <w:rsid w:val="00607BA5"/>
    <w:rsid w:val="0061180A"/>
    <w:rsid w:val="006127CB"/>
    <w:rsid w:val="00614D4A"/>
    <w:rsid w:val="006153C3"/>
    <w:rsid w:val="00616AAD"/>
    <w:rsid w:val="00617875"/>
    <w:rsid w:val="00617F2D"/>
    <w:rsid w:val="00624391"/>
    <w:rsid w:val="00626EB6"/>
    <w:rsid w:val="00626F32"/>
    <w:rsid w:val="006277A3"/>
    <w:rsid w:val="006355FA"/>
    <w:rsid w:val="006359B5"/>
    <w:rsid w:val="00636CB0"/>
    <w:rsid w:val="00642B5E"/>
    <w:rsid w:val="00643177"/>
    <w:rsid w:val="00643913"/>
    <w:rsid w:val="00643A0D"/>
    <w:rsid w:val="0064609A"/>
    <w:rsid w:val="00650879"/>
    <w:rsid w:val="00652E13"/>
    <w:rsid w:val="00653BE0"/>
    <w:rsid w:val="006548F6"/>
    <w:rsid w:val="00655D03"/>
    <w:rsid w:val="00661066"/>
    <w:rsid w:val="00672945"/>
    <w:rsid w:val="00673C1F"/>
    <w:rsid w:val="006817AC"/>
    <w:rsid w:val="00682595"/>
    <w:rsid w:val="00683081"/>
    <w:rsid w:val="00683388"/>
    <w:rsid w:val="00683F84"/>
    <w:rsid w:val="0068486C"/>
    <w:rsid w:val="0068516F"/>
    <w:rsid w:val="00685FE1"/>
    <w:rsid w:val="0069279E"/>
    <w:rsid w:val="00694DB6"/>
    <w:rsid w:val="00696BCD"/>
    <w:rsid w:val="00696EFD"/>
    <w:rsid w:val="006A1CC2"/>
    <w:rsid w:val="006A1FC6"/>
    <w:rsid w:val="006A2A03"/>
    <w:rsid w:val="006A6293"/>
    <w:rsid w:val="006A6A81"/>
    <w:rsid w:val="006B0BBE"/>
    <w:rsid w:val="006B105A"/>
    <w:rsid w:val="006B4329"/>
    <w:rsid w:val="006B43B5"/>
    <w:rsid w:val="006C2F31"/>
    <w:rsid w:val="006C6967"/>
    <w:rsid w:val="006D0A16"/>
    <w:rsid w:val="006D167D"/>
    <w:rsid w:val="006D2210"/>
    <w:rsid w:val="006D22AE"/>
    <w:rsid w:val="006D2CB7"/>
    <w:rsid w:val="006D3743"/>
    <w:rsid w:val="006E351F"/>
    <w:rsid w:val="006E5948"/>
    <w:rsid w:val="006E5F11"/>
    <w:rsid w:val="006F043A"/>
    <w:rsid w:val="006F7393"/>
    <w:rsid w:val="006F7E22"/>
    <w:rsid w:val="0070224F"/>
    <w:rsid w:val="00702981"/>
    <w:rsid w:val="00705522"/>
    <w:rsid w:val="007060A9"/>
    <w:rsid w:val="007115F7"/>
    <w:rsid w:val="0071275A"/>
    <w:rsid w:val="00714062"/>
    <w:rsid w:val="00714CF9"/>
    <w:rsid w:val="007151AD"/>
    <w:rsid w:val="00716AE7"/>
    <w:rsid w:val="00722386"/>
    <w:rsid w:val="00725962"/>
    <w:rsid w:val="00725985"/>
    <w:rsid w:val="007267E3"/>
    <w:rsid w:val="007304C7"/>
    <w:rsid w:val="007323FF"/>
    <w:rsid w:val="00733205"/>
    <w:rsid w:val="00734F58"/>
    <w:rsid w:val="00741391"/>
    <w:rsid w:val="00742B70"/>
    <w:rsid w:val="0074314D"/>
    <w:rsid w:val="007444A0"/>
    <w:rsid w:val="00745622"/>
    <w:rsid w:val="00751D9F"/>
    <w:rsid w:val="0075253D"/>
    <w:rsid w:val="00753866"/>
    <w:rsid w:val="00760E67"/>
    <w:rsid w:val="00762C3F"/>
    <w:rsid w:val="007634A9"/>
    <w:rsid w:val="00763965"/>
    <w:rsid w:val="007647B5"/>
    <w:rsid w:val="0076586E"/>
    <w:rsid w:val="007707A0"/>
    <w:rsid w:val="00771C22"/>
    <w:rsid w:val="007732F1"/>
    <w:rsid w:val="0077392D"/>
    <w:rsid w:val="00776E44"/>
    <w:rsid w:val="00777D0B"/>
    <w:rsid w:val="00782967"/>
    <w:rsid w:val="00783196"/>
    <w:rsid w:val="00785689"/>
    <w:rsid w:val="00785AC5"/>
    <w:rsid w:val="00785EFE"/>
    <w:rsid w:val="0078764B"/>
    <w:rsid w:val="00792889"/>
    <w:rsid w:val="0079646B"/>
    <w:rsid w:val="0079754B"/>
    <w:rsid w:val="00797A0D"/>
    <w:rsid w:val="007A0FD5"/>
    <w:rsid w:val="007A168F"/>
    <w:rsid w:val="007A1E6D"/>
    <w:rsid w:val="007A56F6"/>
    <w:rsid w:val="007A6245"/>
    <w:rsid w:val="007A69D1"/>
    <w:rsid w:val="007A7499"/>
    <w:rsid w:val="007B08E3"/>
    <w:rsid w:val="007B0EB2"/>
    <w:rsid w:val="007B1BEF"/>
    <w:rsid w:val="007B2586"/>
    <w:rsid w:val="007B7155"/>
    <w:rsid w:val="007B7CC9"/>
    <w:rsid w:val="007C0367"/>
    <w:rsid w:val="007C07A3"/>
    <w:rsid w:val="007C5071"/>
    <w:rsid w:val="007C509C"/>
    <w:rsid w:val="007C5814"/>
    <w:rsid w:val="007D240D"/>
    <w:rsid w:val="007D2946"/>
    <w:rsid w:val="007D2A7A"/>
    <w:rsid w:val="007D35AF"/>
    <w:rsid w:val="007D3863"/>
    <w:rsid w:val="007D58E0"/>
    <w:rsid w:val="007D5CBF"/>
    <w:rsid w:val="007E00DE"/>
    <w:rsid w:val="007E0216"/>
    <w:rsid w:val="007E18A6"/>
    <w:rsid w:val="007E3B92"/>
    <w:rsid w:val="007E44D3"/>
    <w:rsid w:val="007F4625"/>
    <w:rsid w:val="007F5DFE"/>
    <w:rsid w:val="00801D98"/>
    <w:rsid w:val="00801FAB"/>
    <w:rsid w:val="008068A1"/>
    <w:rsid w:val="00810B6F"/>
    <w:rsid w:val="008121C0"/>
    <w:rsid w:val="008155B4"/>
    <w:rsid w:val="00820363"/>
    <w:rsid w:val="0082066A"/>
    <w:rsid w:val="00821A19"/>
    <w:rsid w:val="00822CE0"/>
    <w:rsid w:val="00822F3D"/>
    <w:rsid w:val="00824B88"/>
    <w:rsid w:val="00824BA3"/>
    <w:rsid w:val="00827605"/>
    <w:rsid w:val="008302BD"/>
    <w:rsid w:val="00831D95"/>
    <w:rsid w:val="00834BE9"/>
    <w:rsid w:val="00836D9E"/>
    <w:rsid w:val="00841AB1"/>
    <w:rsid w:val="00841E2C"/>
    <w:rsid w:val="00853E8A"/>
    <w:rsid w:val="00855DAE"/>
    <w:rsid w:val="0086014F"/>
    <w:rsid w:val="00865E29"/>
    <w:rsid w:val="00866068"/>
    <w:rsid w:val="00877C63"/>
    <w:rsid w:val="008818A0"/>
    <w:rsid w:val="00882E49"/>
    <w:rsid w:val="008935DA"/>
    <w:rsid w:val="00893D2A"/>
    <w:rsid w:val="00893EA7"/>
    <w:rsid w:val="00897914"/>
    <w:rsid w:val="008A0106"/>
    <w:rsid w:val="008A0257"/>
    <w:rsid w:val="008A092A"/>
    <w:rsid w:val="008A5CA4"/>
    <w:rsid w:val="008B0693"/>
    <w:rsid w:val="008B1794"/>
    <w:rsid w:val="008B225A"/>
    <w:rsid w:val="008B2D5E"/>
    <w:rsid w:val="008B2E2F"/>
    <w:rsid w:val="008B52F2"/>
    <w:rsid w:val="008C0777"/>
    <w:rsid w:val="008C09DF"/>
    <w:rsid w:val="008C0B6A"/>
    <w:rsid w:val="008C2773"/>
    <w:rsid w:val="008C33B1"/>
    <w:rsid w:val="008C3936"/>
    <w:rsid w:val="008C3ECB"/>
    <w:rsid w:val="008C68F1"/>
    <w:rsid w:val="008C6C68"/>
    <w:rsid w:val="008D3DFA"/>
    <w:rsid w:val="008F16AA"/>
    <w:rsid w:val="008F3115"/>
    <w:rsid w:val="008F34FF"/>
    <w:rsid w:val="00900B4D"/>
    <w:rsid w:val="00902554"/>
    <w:rsid w:val="00902B76"/>
    <w:rsid w:val="00903656"/>
    <w:rsid w:val="009066B0"/>
    <w:rsid w:val="00910FBA"/>
    <w:rsid w:val="00912ED7"/>
    <w:rsid w:val="0092053E"/>
    <w:rsid w:val="00921803"/>
    <w:rsid w:val="00926503"/>
    <w:rsid w:val="0092791C"/>
    <w:rsid w:val="00927998"/>
    <w:rsid w:val="00927A9F"/>
    <w:rsid w:val="00930536"/>
    <w:rsid w:val="00934B7F"/>
    <w:rsid w:val="0094074B"/>
    <w:rsid w:val="00940C72"/>
    <w:rsid w:val="00942732"/>
    <w:rsid w:val="009442FE"/>
    <w:rsid w:val="00944655"/>
    <w:rsid w:val="009508EE"/>
    <w:rsid w:val="00950A4C"/>
    <w:rsid w:val="00952270"/>
    <w:rsid w:val="009523E5"/>
    <w:rsid w:val="00953FDE"/>
    <w:rsid w:val="009569A3"/>
    <w:rsid w:val="00957C84"/>
    <w:rsid w:val="00960BA8"/>
    <w:rsid w:val="00960EDF"/>
    <w:rsid w:val="0096189B"/>
    <w:rsid w:val="00966825"/>
    <w:rsid w:val="00970035"/>
    <w:rsid w:val="009726D8"/>
    <w:rsid w:val="00975BD6"/>
    <w:rsid w:val="009802E3"/>
    <w:rsid w:val="00982502"/>
    <w:rsid w:val="00990549"/>
    <w:rsid w:val="00990F50"/>
    <w:rsid w:val="00992E68"/>
    <w:rsid w:val="00992FC6"/>
    <w:rsid w:val="00994CC0"/>
    <w:rsid w:val="009969E6"/>
    <w:rsid w:val="009A0EB4"/>
    <w:rsid w:val="009A3102"/>
    <w:rsid w:val="009A5593"/>
    <w:rsid w:val="009A5F9C"/>
    <w:rsid w:val="009A7722"/>
    <w:rsid w:val="009B12CB"/>
    <w:rsid w:val="009B147F"/>
    <w:rsid w:val="009B440E"/>
    <w:rsid w:val="009B49C4"/>
    <w:rsid w:val="009B7925"/>
    <w:rsid w:val="009C0C94"/>
    <w:rsid w:val="009C0F5A"/>
    <w:rsid w:val="009C27EF"/>
    <w:rsid w:val="009C7732"/>
    <w:rsid w:val="009D1516"/>
    <w:rsid w:val="009D6FEA"/>
    <w:rsid w:val="009D7784"/>
    <w:rsid w:val="009E4F89"/>
    <w:rsid w:val="009E5B4A"/>
    <w:rsid w:val="009E6682"/>
    <w:rsid w:val="009F0781"/>
    <w:rsid w:val="009F0945"/>
    <w:rsid w:val="009F1AF5"/>
    <w:rsid w:val="009F2194"/>
    <w:rsid w:val="009F21AA"/>
    <w:rsid w:val="009F2FA1"/>
    <w:rsid w:val="009F3BD2"/>
    <w:rsid w:val="009F4B10"/>
    <w:rsid w:val="009F6045"/>
    <w:rsid w:val="009F7393"/>
    <w:rsid w:val="009F76DB"/>
    <w:rsid w:val="00A01114"/>
    <w:rsid w:val="00A0144A"/>
    <w:rsid w:val="00A0306B"/>
    <w:rsid w:val="00A0591D"/>
    <w:rsid w:val="00A14560"/>
    <w:rsid w:val="00A14C40"/>
    <w:rsid w:val="00A15276"/>
    <w:rsid w:val="00A20AEC"/>
    <w:rsid w:val="00A20E97"/>
    <w:rsid w:val="00A21A06"/>
    <w:rsid w:val="00A24EEF"/>
    <w:rsid w:val="00A2591C"/>
    <w:rsid w:val="00A25F35"/>
    <w:rsid w:val="00A27E77"/>
    <w:rsid w:val="00A32C3B"/>
    <w:rsid w:val="00A34212"/>
    <w:rsid w:val="00A345D4"/>
    <w:rsid w:val="00A3469F"/>
    <w:rsid w:val="00A379C8"/>
    <w:rsid w:val="00A439BA"/>
    <w:rsid w:val="00A44241"/>
    <w:rsid w:val="00A45439"/>
    <w:rsid w:val="00A45F4F"/>
    <w:rsid w:val="00A47629"/>
    <w:rsid w:val="00A515FB"/>
    <w:rsid w:val="00A53CA3"/>
    <w:rsid w:val="00A55739"/>
    <w:rsid w:val="00A565A7"/>
    <w:rsid w:val="00A5665E"/>
    <w:rsid w:val="00A600A9"/>
    <w:rsid w:val="00A608CE"/>
    <w:rsid w:val="00A60991"/>
    <w:rsid w:val="00A61B17"/>
    <w:rsid w:val="00A62C27"/>
    <w:rsid w:val="00A644E0"/>
    <w:rsid w:val="00A64B20"/>
    <w:rsid w:val="00A667FD"/>
    <w:rsid w:val="00A70AA0"/>
    <w:rsid w:val="00A71329"/>
    <w:rsid w:val="00A741A8"/>
    <w:rsid w:val="00A7582A"/>
    <w:rsid w:val="00A7606B"/>
    <w:rsid w:val="00A8098F"/>
    <w:rsid w:val="00A80C25"/>
    <w:rsid w:val="00A82ED8"/>
    <w:rsid w:val="00A84A39"/>
    <w:rsid w:val="00A84BA0"/>
    <w:rsid w:val="00A868D6"/>
    <w:rsid w:val="00A86A5F"/>
    <w:rsid w:val="00A90396"/>
    <w:rsid w:val="00A91EBF"/>
    <w:rsid w:val="00A94CCE"/>
    <w:rsid w:val="00A978A9"/>
    <w:rsid w:val="00AA1F89"/>
    <w:rsid w:val="00AA25E7"/>
    <w:rsid w:val="00AA3ADE"/>
    <w:rsid w:val="00AA52A0"/>
    <w:rsid w:val="00AA55B7"/>
    <w:rsid w:val="00AA5B9E"/>
    <w:rsid w:val="00AB2407"/>
    <w:rsid w:val="00AB31F8"/>
    <w:rsid w:val="00AB53DF"/>
    <w:rsid w:val="00AB6FE7"/>
    <w:rsid w:val="00AC2388"/>
    <w:rsid w:val="00AC488E"/>
    <w:rsid w:val="00AD306F"/>
    <w:rsid w:val="00AE191C"/>
    <w:rsid w:val="00AE2114"/>
    <w:rsid w:val="00AE30FB"/>
    <w:rsid w:val="00AF2CCD"/>
    <w:rsid w:val="00AF4029"/>
    <w:rsid w:val="00AF46F2"/>
    <w:rsid w:val="00AF500C"/>
    <w:rsid w:val="00AF588C"/>
    <w:rsid w:val="00AF7AFA"/>
    <w:rsid w:val="00AF7EF4"/>
    <w:rsid w:val="00B0115D"/>
    <w:rsid w:val="00B01AF3"/>
    <w:rsid w:val="00B01CF2"/>
    <w:rsid w:val="00B0223A"/>
    <w:rsid w:val="00B02E4C"/>
    <w:rsid w:val="00B070B9"/>
    <w:rsid w:val="00B07E5C"/>
    <w:rsid w:val="00B1218D"/>
    <w:rsid w:val="00B12809"/>
    <w:rsid w:val="00B12D23"/>
    <w:rsid w:val="00B1372F"/>
    <w:rsid w:val="00B1378C"/>
    <w:rsid w:val="00B155D6"/>
    <w:rsid w:val="00B16D34"/>
    <w:rsid w:val="00B17B87"/>
    <w:rsid w:val="00B17C1E"/>
    <w:rsid w:val="00B20B27"/>
    <w:rsid w:val="00B25214"/>
    <w:rsid w:val="00B25BC5"/>
    <w:rsid w:val="00B313B7"/>
    <w:rsid w:val="00B329E0"/>
    <w:rsid w:val="00B36154"/>
    <w:rsid w:val="00B37909"/>
    <w:rsid w:val="00B41BDF"/>
    <w:rsid w:val="00B43C05"/>
    <w:rsid w:val="00B45B01"/>
    <w:rsid w:val="00B47B37"/>
    <w:rsid w:val="00B50477"/>
    <w:rsid w:val="00B530DC"/>
    <w:rsid w:val="00B54C16"/>
    <w:rsid w:val="00B556EA"/>
    <w:rsid w:val="00B62ED3"/>
    <w:rsid w:val="00B644EF"/>
    <w:rsid w:val="00B649B5"/>
    <w:rsid w:val="00B66F81"/>
    <w:rsid w:val="00B70C84"/>
    <w:rsid w:val="00B71210"/>
    <w:rsid w:val="00B72E59"/>
    <w:rsid w:val="00B73020"/>
    <w:rsid w:val="00B74AAF"/>
    <w:rsid w:val="00B811F7"/>
    <w:rsid w:val="00B83852"/>
    <w:rsid w:val="00B86A43"/>
    <w:rsid w:val="00B908B5"/>
    <w:rsid w:val="00B954F4"/>
    <w:rsid w:val="00BA0737"/>
    <w:rsid w:val="00BA176B"/>
    <w:rsid w:val="00BA18D6"/>
    <w:rsid w:val="00BA5DC6"/>
    <w:rsid w:val="00BA6196"/>
    <w:rsid w:val="00BA6309"/>
    <w:rsid w:val="00BA740A"/>
    <w:rsid w:val="00BB146B"/>
    <w:rsid w:val="00BB377A"/>
    <w:rsid w:val="00BB5566"/>
    <w:rsid w:val="00BB59C9"/>
    <w:rsid w:val="00BC0CE1"/>
    <w:rsid w:val="00BC0D2E"/>
    <w:rsid w:val="00BC16FA"/>
    <w:rsid w:val="00BC6B40"/>
    <w:rsid w:val="00BC6D8C"/>
    <w:rsid w:val="00BD4EBA"/>
    <w:rsid w:val="00BD5799"/>
    <w:rsid w:val="00BD5AD2"/>
    <w:rsid w:val="00BD7C37"/>
    <w:rsid w:val="00BE1F26"/>
    <w:rsid w:val="00BE42EB"/>
    <w:rsid w:val="00BE49BA"/>
    <w:rsid w:val="00BE5843"/>
    <w:rsid w:val="00BE68C7"/>
    <w:rsid w:val="00BE6E2B"/>
    <w:rsid w:val="00BF2D9E"/>
    <w:rsid w:val="00C02545"/>
    <w:rsid w:val="00C040D7"/>
    <w:rsid w:val="00C055C3"/>
    <w:rsid w:val="00C062FD"/>
    <w:rsid w:val="00C07F14"/>
    <w:rsid w:val="00C105B0"/>
    <w:rsid w:val="00C11599"/>
    <w:rsid w:val="00C12CA7"/>
    <w:rsid w:val="00C130F9"/>
    <w:rsid w:val="00C143A1"/>
    <w:rsid w:val="00C14C29"/>
    <w:rsid w:val="00C14D34"/>
    <w:rsid w:val="00C174C9"/>
    <w:rsid w:val="00C17A48"/>
    <w:rsid w:val="00C21653"/>
    <w:rsid w:val="00C2282B"/>
    <w:rsid w:val="00C26CAF"/>
    <w:rsid w:val="00C338D3"/>
    <w:rsid w:val="00C34006"/>
    <w:rsid w:val="00C426B1"/>
    <w:rsid w:val="00C44065"/>
    <w:rsid w:val="00C45AE5"/>
    <w:rsid w:val="00C46F99"/>
    <w:rsid w:val="00C47287"/>
    <w:rsid w:val="00C50DAB"/>
    <w:rsid w:val="00C51888"/>
    <w:rsid w:val="00C525DF"/>
    <w:rsid w:val="00C56878"/>
    <w:rsid w:val="00C61AF7"/>
    <w:rsid w:val="00C64304"/>
    <w:rsid w:val="00C66160"/>
    <w:rsid w:val="00C721AC"/>
    <w:rsid w:val="00C72963"/>
    <w:rsid w:val="00C762D2"/>
    <w:rsid w:val="00C84491"/>
    <w:rsid w:val="00C84694"/>
    <w:rsid w:val="00C871DA"/>
    <w:rsid w:val="00C87BB1"/>
    <w:rsid w:val="00C9053F"/>
    <w:rsid w:val="00C90902"/>
    <w:rsid w:val="00C90D6A"/>
    <w:rsid w:val="00C91BAF"/>
    <w:rsid w:val="00C93621"/>
    <w:rsid w:val="00C974CC"/>
    <w:rsid w:val="00C976FA"/>
    <w:rsid w:val="00CA07CC"/>
    <w:rsid w:val="00CA247E"/>
    <w:rsid w:val="00CA4D77"/>
    <w:rsid w:val="00CA6D2E"/>
    <w:rsid w:val="00CB397B"/>
    <w:rsid w:val="00CB5729"/>
    <w:rsid w:val="00CB5C9A"/>
    <w:rsid w:val="00CB6037"/>
    <w:rsid w:val="00CB7400"/>
    <w:rsid w:val="00CB7966"/>
    <w:rsid w:val="00CB7E4C"/>
    <w:rsid w:val="00CC11D1"/>
    <w:rsid w:val="00CC23E1"/>
    <w:rsid w:val="00CC29EC"/>
    <w:rsid w:val="00CC4124"/>
    <w:rsid w:val="00CC58B7"/>
    <w:rsid w:val="00CC5B54"/>
    <w:rsid w:val="00CC67BB"/>
    <w:rsid w:val="00CC72B6"/>
    <w:rsid w:val="00CD30CF"/>
    <w:rsid w:val="00CD3170"/>
    <w:rsid w:val="00CD317E"/>
    <w:rsid w:val="00CD4FE2"/>
    <w:rsid w:val="00CD6DCC"/>
    <w:rsid w:val="00CE105C"/>
    <w:rsid w:val="00CE3ABA"/>
    <w:rsid w:val="00CE4DBF"/>
    <w:rsid w:val="00CE62AC"/>
    <w:rsid w:val="00CE6D27"/>
    <w:rsid w:val="00CF09CA"/>
    <w:rsid w:val="00CF1A1A"/>
    <w:rsid w:val="00CF3BB4"/>
    <w:rsid w:val="00CF54A7"/>
    <w:rsid w:val="00CF7373"/>
    <w:rsid w:val="00D01DCA"/>
    <w:rsid w:val="00D0218D"/>
    <w:rsid w:val="00D02718"/>
    <w:rsid w:val="00D036BF"/>
    <w:rsid w:val="00D044BA"/>
    <w:rsid w:val="00D044C4"/>
    <w:rsid w:val="00D0697A"/>
    <w:rsid w:val="00D0755C"/>
    <w:rsid w:val="00D07702"/>
    <w:rsid w:val="00D10226"/>
    <w:rsid w:val="00D13629"/>
    <w:rsid w:val="00D146EA"/>
    <w:rsid w:val="00D17CE8"/>
    <w:rsid w:val="00D25FB5"/>
    <w:rsid w:val="00D277FE"/>
    <w:rsid w:val="00D44223"/>
    <w:rsid w:val="00D442DD"/>
    <w:rsid w:val="00D447CB"/>
    <w:rsid w:val="00D5043D"/>
    <w:rsid w:val="00D6030D"/>
    <w:rsid w:val="00D61B4D"/>
    <w:rsid w:val="00D631C7"/>
    <w:rsid w:val="00D659F3"/>
    <w:rsid w:val="00D66397"/>
    <w:rsid w:val="00D67F84"/>
    <w:rsid w:val="00D70424"/>
    <w:rsid w:val="00D70767"/>
    <w:rsid w:val="00D73000"/>
    <w:rsid w:val="00D73610"/>
    <w:rsid w:val="00D762C3"/>
    <w:rsid w:val="00D80FD6"/>
    <w:rsid w:val="00D8467B"/>
    <w:rsid w:val="00D93382"/>
    <w:rsid w:val="00D96B8B"/>
    <w:rsid w:val="00DA0BAF"/>
    <w:rsid w:val="00DA2529"/>
    <w:rsid w:val="00DA3469"/>
    <w:rsid w:val="00DA3B9B"/>
    <w:rsid w:val="00DA72B7"/>
    <w:rsid w:val="00DB0925"/>
    <w:rsid w:val="00DB130A"/>
    <w:rsid w:val="00DB1940"/>
    <w:rsid w:val="00DB2EBB"/>
    <w:rsid w:val="00DB5558"/>
    <w:rsid w:val="00DC0A95"/>
    <w:rsid w:val="00DC10A1"/>
    <w:rsid w:val="00DC273F"/>
    <w:rsid w:val="00DC4639"/>
    <w:rsid w:val="00DC655F"/>
    <w:rsid w:val="00DD030B"/>
    <w:rsid w:val="00DD0B59"/>
    <w:rsid w:val="00DD1358"/>
    <w:rsid w:val="00DD15B2"/>
    <w:rsid w:val="00DD2D9F"/>
    <w:rsid w:val="00DD4B16"/>
    <w:rsid w:val="00DD6201"/>
    <w:rsid w:val="00DD6C00"/>
    <w:rsid w:val="00DD7EBD"/>
    <w:rsid w:val="00DE0B9C"/>
    <w:rsid w:val="00DE3CDC"/>
    <w:rsid w:val="00DE3EAB"/>
    <w:rsid w:val="00DF1385"/>
    <w:rsid w:val="00DF455A"/>
    <w:rsid w:val="00DF62B6"/>
    <w:rsid w:val="00E0092D"/>
    <w:rsid w:val="00E00E56"/>
    <w:rsid w:val="00E04BAF"/>
    <w:rsid w:val="00E05B95"/>
    <w:rsid w:val="00E07225"/>
    <w:rsid w:val="00E11DC6"/>
    <w:rsid w:val="00E13F3F"/>
    <w:rsid w:val="00E16DE3"/>
    <w:rsid w:val="00E22394"/>
    <w:rsid w:val="00E255FB"/>
    <w:rsid w:val="00E27850"/>
    <w:rsid w:val="00E315AB"/>
    <w:rsid w:val="00E317AA"/>
    <w:rsid w:val="00E31DAE"/>
    <w:rsid w:val="00E331B6"/>
    <w:rsid w:val="00E35020"/>
    <w:rsid w:val="00E36F00"/>
    <w:rsid w:val="00E37AEB"/>
    <w:rsid w:val="00E41617"/>
    <w:rsid w:val="00E430C5"/>
    <w:rsid w:val="00E43A30"/>
    <w:rsid w:val="00E5027E"/>
    <w:rsid w:val="00E5326E"/>
    <w:rsid w:val="00E5409F"/>
    <w:rsid w:val="00E556DC"/>
    <w:rsid w:val="00E558E0"/>
    <w:rsid w:val="00E56236"/>
    <w:rsid w:val="00E56A06"/>
    <w:rsid w:val="00E57C52"/>
    <w:rsid w:val="00E618D2"/>
    <w:rsid w:val="00E62003"/>
    <w:rsid w:val="00E63CD1"/>
    <w:rsid w:val="00E6700F"/>
    <w:rsid w:val="00E67AB4"/>
    <w:rsid w:val="00E70E26"/>
    <w:rsid w:val="00E72A31"/>
    <w:rsid w:val="00E75CB0"/>
    <w:rsid w:val="00E779D2"/>
    <w:rsid w:val="00E77AA8"/>
    <w:rsid w:val="00E81616"/>
    <w:rsid w:val="00E82560"/>
    <w:rsid w:val="00E83A59"/>
    <w:rsid w:val="00E8629E"/>
    <w:rsid w:val="00E91368"/>
    <w:rsid w:val="00E91B7A"/>
    <w:rsid w:val="00E92E2A"/>
    <w:rsid w:val="00E93FED"/>
    <w:rsid w:val="00E95112"/>
    <w:rsid w:val="00E95804"/>
    <w:rsid w:val="00EA0EA7"/>
    <w:rsid w:val="00EA2A04"/>
    <w:rsid w:val="00EA3FAD"/>
    <w:rsid w:val="00EA52B9"/>
    <w:rsid w:val="00EA63D4"/>
    <w:rsid w:val="00EA684D"/>
    <w:rsid w:val="00EA6CD4"/>
    <w:rsid w:val="00EA7DC7"/>
    <w:rsid w:val="00EB0384"/>
    <w:rsid w:val="00EB1E04"/>
    <w:rsid w:val="00EB55D9"/>
    <w:rsid w:val="00EB6796"/>
    <w:rsid w:val="00EB69DF"/>
    <w:rsid w:val="00EB7EB6"/>
    <w:rsid w:val="00EC24C8"/>
    <w:rsid w:val="00EC360E"/>
    <w:rsid w:val="00EC58EF"/>
    <w:rsid w:val="00EC7354"/>
    <w:rsid w:val="00EC7ACD"/>
    <w:rsid w:val="00ED126C"/>
    <w:rsid w:val="00ED14B8"/>
    <w:rsid w:val="00ED53C6"/>
    <w:rsid w:val="00EE0E82"/>
    <w:rsid w:val="00EE25D6"/>
    <w:rsid w:val="00EE4B5A"/>
    <w:rsid w:val="00EE6488"/>
    <w:rsid w:val="00EE7331"/>
    <w:rsid w:val="00EE7A83"/>
    <w:rsid w:val="00EF0A08"/>
    <w:rsid w:val="00EF19CF"/>
    <w:rsid w:val="00EF340E"/>
    <w:rsid w:val="00EF7431"/>
    <w:rsid w:val="00F00510"/>
    <w:rsid w:val="00F021FA"/>
    <w:rsid w:val="00F02E7F"/>
    <w:rsid w:val="00F04464"/>
    <w:rsid w:val="00F06BF2"/>
    <w:rsid w:val="00F10458"/>
    <w:rsid w:val="00F10BF1"/>
    <w:rsid w:val="00F110B5"/>
    <w:rsid w:val="00F137D1"/>
    <w:rsid w:val="00F14CDF"/>
    <w:rsid w:val="00F20903"/>
    <w:rsid w:val="00F20CE5"/>
    <w:rsid w:val="00F21B1D"/>
    <w:rsid w:val="00F21CE9"/>
    <w:rsid w:val="00F24504"/>
    <w:rsid w:val="00F272FF"/>
    <w:rsid w:val="00F279DD"/>
    <w:rsid w:val="00F331B9"/>
    <w:rsid w:val="00F35EF4"/>
    <w:rsid w:val="00F43E63"/>
    <w:rsid w:val="00F450C3"/>
    <w:rsid w:val="00F50DF8"/>
    <w:rsid w:val="00F56F1B"/>
    <w:rsid w:val="00F61539"/>
    <w:rsid w:val="00F62E97"/>
    <w:rsid w:val="00F64209"/>
    <w:rsid w:val="00F70BAE"/>
    <w:rsid w:val="00F7523C"/>
    <w:rsid w:val="00F82BDF"/>
    <w:rsid w:val="00F84539"/>
    <w:rsid w:val="00F847ED"/>
    <w:rsid w:val="00F855F6"/>
    <w:rsid w:val="00F857BC"/>
    <w:rsid w:val="00F85E01"/>
    <w:rsid w:val="00F85E3C"/>
    <w:rsid w:val="00F86530"/>
    <w:rsid w:val="00F86ACE"/>
    <w:rsid w:val="00F86DBA"/>
    <w:rsid w:val="00F90BA0"/>
    <w:rsid w:val="00F93058"/>
    <w:rsid w:val="00F93BF5"/>
    <w:rsid w:val="00FA2B9C"/>
    <w:rsid w:val="00FA4917"/>
    <w:rsid w:val="00FA52DC"/>
    <w:rsid w:val="00FA5C5A"/>
    <w:rsid w:val="00FA5D09"/>
    <w:rsid w:val="00FA791E"/>
    <w:rsid w:val="00FB37F0"/>
    <w:rsid w:val="00FB3E2F"/>
    <w:rsid w:val="00FB6694"/>
    <w:rsid w:val="00FC1759"/>
    <w:rsid w:val="00FC5784"/>
    <w:rsid w:val="00FC5C6F"/>
    <w:rsid w:val="00FC7049"/>
    <w:rsid w:val="00FD03A0"/>
    <w:rsid w:val="00FD2687"/>
    <w:rsid w:val="00FD300C"/>
    <w:rsid w:val="00FD62D1"/>
    <w:rsid w:val="00FD6ACE"/>
    <w:rsid w:val="00FD796B"/>
    <w:rsid w:val="00FE0A2C"/>
    <w:rsid w:val="00FE0F83"/>
    <w:rsid w:val="00FE1C20"/>
    <w:rsid w:val="00FE324D"/>
    <w:rsid w:val="00FE4552"/>
    <w:rsid w:val="00FE588B"/>
    <w:rsid w:val="00FE625A"/>
    <w:rsid w:val="00FF15D7"/>
    <w:rsid w:val="00FF38B0"/>
    <w:rsid w:val="00FF44EB"/>
    <w:rsid w:val="00FF5E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8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D4"/>
    <w:pPr>
      <w:widowControl w:val="0"/>
    </w:pPr>
    <w:rPr>
      <w:snapToGrid w:val="0"/>
      <w:kern w:val="28"/>
      <w:sz w:val="22"/>
    </w:rPr>
  </w:style>
  <w:style w:type="paragraph" w:styleId="Heading1">
    <w:name w:val="heading 1"/>
    <w:basedOn w:val="Normal"/>
    <w:next w:val="ParaNum"/>
    <w:link w:val="Heading1Char"/>
    <w:qFormat/>
    <w:rsid w:val="000B34D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B34D4"/>
    <w:pPr>
      <w:keepNext/>
      <w:numPr>
        <w:ilvl w:val="1"/>
        <w:numId w:val="2"/>
      </w:numPr>
      <w:spacing w:after="120"/>
      <w:outlineLvl w:val="1"/>
    </w:pPr>
    <w:rPr>
      <w:b/>
    </w:rPr>
  </w:style>
  <w:style w:type="paragraph" w:styleId="Heading3">
    <w:name w:val="heading 3"/>
    <w:basedOn w:val="Normal"/>
    <w:next w:val="ParaNum"/>
    <w:qFormat/>
    <w:rsid w:val="000B34D4"/>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0B34D4"/>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0B34D4"/>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B34D4"/>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B34D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B34D4"/>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B34D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34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34D4"/>
  </w:style>
  <w:style w:type="paragraph" w:styleId="BalloonText">
    <w:name w:val="Balloon Text"/>
    <w:basedOn w:val="Normal"/>
    <w:link w:val="BalloonTextChar1"/>
    <w:rsid w:val="005D171F"/>
    <w:rPr>
      <w:rFonts w:ascii="Tahoma" w:hAnsi="Tahoma" w:cs="Tahoma"/>
      <w:snapToGrid/>
      <w:sz w:val="16"/>
      <w:szCs w:val="16"/>
    </w:rPr>
  </w:style>
  <w:style w:type="character" w:customStyle="1" w:styleId="BalloonTextChar">
    <w:name w:val="Balloon Text Char"/>
    <w:basedOn w:val="DefaultParagraphFont"/>
    <w:uiPriority w:val="99"/>
    <w:semiHidden/>
    <w:rsid w:val="00AB0CC4"/>
    <w:rPr>
      <w:rFonts w:ascii="Lucida Grande" w:hAnsi="Lucida Grande"/>
      <w:sz w:val="18"/>
      <w:szCs w:val="18"/>
    </w:rPr>
  </w:style>
  <w:style w:type="paragraph" w:customStyle="1" w:styleId="ParaNum">
    <w:name w:val="ParaNum"/>
    <w:basedOn w:val="Normal"/>
    <w:link w:val="ParaNumChar"/>
    <w:rsid w:val="000B34D4"/>
    <w:pPr>
      <w:numPr>
        <w:numId w:val="1"/>
      </w:numPr>
      <w:tabs>
        <w:tab w:val="clear" w:pos="1080"/>
        <w:tab w:val="num" w:pos="1440"/>
      </w:tabs>
      <w:spacing w:after="120"/>
    </w:pPr>
  </w:style>
  <w:style w:type="paragraph" w:styleId="EndnoteText">
    <w:name w:val="endnote text"/>
    <w:basedOn w:val="Normal"/>
    <w:semiHidden/>
    <w:rsid w:val="000B34D4"/>
    <w:rPr>
      <w:sz w:val="20"/>
    </w:rPr>
  </w:style>
  <w:style w:type="character" w:styleId="EndnoteReference">
    <w:name w:val="endnote reference"/>
    <w:semiHidden/>
    <w:rsid w:val="000B34D4"/>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0B34D4"/>
    <w:pPr>
      <w:spacing w:after="120"/>
    </w:pPr>
  </w:style>
  <w:style w:type="character" w:styleId="FootnoteReference">
    <w:name w:val="footnote reference"/>
    <w:aliases w:val="Style 12,(NECG) Footnote Reference,o,fr,Style 3,Appel note de bas de p,Style 124,Style 17,FR,Style 13,Footnote Reference/,Style 6,Style 7,Style 4,Footnote Reference1"/>
    <w:rsid w:val="000B34D4"/>
    <w:rPr>
      <w:rFonts w:ascii="Times New Roman" w:hAnsi="Times New Roman"/>
      <w:dstrike w:val="0"/>
      <w:color w:val="auto"/>
      <w:sz w:val="20"/>
      <w:vertAlign w:val="superscript"/>
    </w:rPr>
  </w:style>
  <w:style w:type="paragraph" w:styleId="TOC1">
    <w:name w:val="toc 1"/>
    <w:basedOn w:val="Normal"/>
    <w:next w:val="Normal"/>
    <w:rsid w:val="000B34D4"/>
    <w:pPr>
      <w:tabs>
        <w:tab w:val="left" w:pos="360"/>
        <w:tab w:val="right" w:leader="dot" w:pos="9360"/>
      </w:tabs>
      <w:suppressAutoHyphens/>
      <w:ind w:left="360" w:right="720" w:hanging="360"/>
    </w:pPr>
    <w:rPr>
      <w:caps/>
      <w:noProof/>
    </w:rPr>
  </w:style>
  <w:style w:type="paragraph" w:styleId="TOC2">
    <w:name w:val="toc 2"/>
    <w:basedOn w:val="Normal"/>
    <w:next w:val="Normal"/>
    <w:rsid w:val="000B34D4"/>
    <w:pPr>
      <w:tabs>
        <w:tab w:val="left" w:pos="720"/>
        <w:tab w:val="right" w:leader="dot" w:pos="9360"/>
      </w:tabs>
      <w:suppressAutoHyphens/>
      <w:ind w:left="720" w:right="720" w:hanging="360"/>
    </w:pPr>
    <w:rPr>
      <w:noProof/>
    </w:rPr>
  </w:style>
  <w:style w:type="paragraph" w:styleId="TOC3">
    <w:name w:val="toc 3"/>
    <w:basedOn w:val="Normal"/>
    <w:next w:val="Normal"/>
    <w:semiHidden/>
    <w:rsid w:val="000B34D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34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34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34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34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34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34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34D4"/>
    <w:pPr>
      <w:tabs>
        <w:tab w:val="right" w:pos="9360"/>
      </w:tabs>
      <w:suppressAutoHyphens/>
    </w:pPr>
  </w:style>
  <w:style w:type="character" w:customStyle="1" w:styleId="EquationCaption">
    <w:name w:val="_Equation Caption"/>
    <w:rsid w:val="000B34D4"/>
  </w:style>
  <w:style w:type="paragraph" w:styleId="Header">
    <w:name w:val="header"/>
    <w:basedOn w:val="Normal"/>
    <w:autoRedefine/>
    <w:rsid w:val="000B34D4"/>
    <w:pPr>
      <w:tabs>
        <w:tab w:val="center" w:pos="4680"/>
        <w:tab w:val="right" w:pos="9360"/>
      </w:tabs>
    </w:pPr>
    <w:rPr>
      <w:b/>
    </w:rPr>
  </w:style>
  <w:style w:type="paragraph" w:styleId="Footer">
    <w:name w:val="footer"/>
    <w:basedOn w:val="Normal"/>
    <w:link w:val="FooterChar"/>
    <w:rsid w:val="000B34D4"/>
    <w:pPr>
      <w:tabs>
        <w:tab w:val="center" w:pos="4320"/>
        <w:tab w:val="right" w:pos="8640"/>
      </w:tabs>
    </w:pPr>
  </w:style>
  <w:style w:type="character" w:styleId="PageNumber">
    <w:name w:val="page number"/>
    <w:basedOn w:val="DefaultParagraphFont"/>
    <w:rsid w:val="000B34D4"/>
  </w:style>
  <w:style w:type="paragraph" w:styleId="BlockText">
    <w:name w:val="Block Text"/>
    <w:basedOn w:val="Normal"/>
    <w:rsid w:val="000B34D4"/>
    <w:pPr>
      <w:spacing w:after="240"/>
      <w:ind w:left="1440" w:right="1440"/>
    </w:pPr>
  </w:style>
  <w:style w:type="paragraph" w:customStyle="1" w:styleId="Paratitle">
    <w:name w:val="Para title"/>
    <w:basedOn w:val="Normal"/>
    <w:rsid w:val="000B34D4"/>
    <w:pPr>
      <w:tabs>
        <w:tab w:val="center" w:pos="9270"/>
      </w:tabs>
      <w:spacing w:after="240"/>
    </w:pPr>
    <w:rPr>
      <w:spacing w:val="-2"/>
    </w:rPr>
  </w:style>
  <w:style w:type="paragraph" w:customStyle="1" w:styleId="Bullet">
    <w:name w:val="Bullet"/>
    <w:basedOn w:val="Normal"/>
    <w:rsid w:val="000B34D4"/>
    <w:pPr>
      <w:tabs>
        <w:tab w:val="left" w:pos="2160"/>
      </w:tabs>
      <w:spacing w:after="220"/>
      <w:ind w:left="2160" w:hanging="720"/>
    </w:pPr>
  </w:style>
  <w:style w:type="paragraph" w:customStyle="1" w:styleId="TableFormat">
    <w:name w:val="TableFormat"/>
    <w:basedOn w:val="Bullet"/>
    <w:rsid w:val="000B34D4"/>
    <w:pPr>
      <w:tabs>
        <w:tab w:val="clear" w:pos="2160"/>
        <w:tab w:val="left" w:pos="5040"/>
      </w:tabs>
      <w:ind w:left="5040" w:hanging="3600"/>
    </w:pPr>
  </w:style>
  <w:style w:type="paragraph" w:customStyle="1" w:styleId="TOCTitle">
    <w:name w:val="TOC Title"/>
    <w:basedOn w:val="Normal"/>
    <w:rsid w:val="000B34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34D4"/>
    <w:pPr>
      <w:jc w:val="center"/>
    </w:pPr>
    <w:rPr>
      <w:rFonts w:ascii="Times New Roman Bold" w:hAnsi="Times New Roman Bold"/>
      <w:b/>
      <w:bCs/>
      <w:caps/>
      <w:szCs w:val="22"/>
    </w:rPr>
  </w:style>
  <w:style w:type="character" w:styleId="Hyperlink">
    <w:name w:val="Hyperlink"/>
    <w:rsid w:val="000B34D4"/>
    <w:rPr>
      <w:color w:val="0000FF"/>
      <w:u w:val="single"/>
    </w:rPr>
  </w:style>
  <w:style w:type="paragraph" w:styleId="Caption">
    <w:name w:val="caption"/>
    <w:basedOn w:val="Normal"/>
    <w:next w:val="Normal"/>
    <w:qFormat/>
    <w:rsid w:val="002F46A3"/>
    <w:pPr>
      <w:spacing w:before="120" w:after="120"/>
    </w:pPr>
    <w:rPr>
      <w:b/>
    </w:rPr>
  </w:style>
  <w:style w:type="paragraph" w:styleId="ListParagraph">
    <w:name w:val="List Paragraph"/>
    <w:basedOn w:val="Normal"/>
    <w:uiPriority w:val="34"/>
    <w:qFormat/>
    <w:rsid w:val="002F46A3"/>
    <w:pPr>
      <w:ind w:left="7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2F46A3"/>
  </w:style>
  <w:style w:type="character" w:customStyle="1" w:styleId="ParaNumChar">
    <w:name w:val="ParaNum Char"/>
    <w:link w:val="ParaNum"/>
    <w:locked/>
    <w:rsid w:val="002F46A3"/>
    <w:rPr>
      <w:snapToGrid w:val="0"/>
      <w:kern w:val="28"/>
      <w:sz w:val="22"/>
    </w:rPr>
  </w:style>
  <w:style w:type="paragraph" w:customStyle="1" w:styleId="StyleParaNumLeft">
    <w:name w:val="Style ParaNum + Left"/>
    <w:basedOn w:val="ParaNum"/>
    <w:rsid w:val="009F0781"/>
    <w:pPr>
      <w:widowControl/>
      <w:numPr>
        <w:numId w:val="3"/>
      </w:numPr>
      <w:tabs>
        <w:tab w:val="left" w:pos="1260"/>
        <w:tab w:val="left" w:pos="1656"/>
      </w:tabs>
      <w:suppressAutoHyphens/>
      <w:autoSpaceDN w:val="0"/>
      <w:spacing w:after="220"/>
    </w:pPr>
    <w:rPr>
      <w:snapToGrid/>
      <w:kern w:val="0"/>
      <w:sz w:val="20"/>
    </w:rPr>
  </w:style>
  <w:style w:type="numbering" w:customStyle="1" w:styleId="LFO1">
    <w:name w:val="LFO1"/>
    <w:rsid w:val="009F0781"/>
    <w:pPr>
      <w:numPr>
        <w:numId w:val="3"/>
      </w:numPr>
    </w:pPr>
  </w:style>
  <w:style w:type="paragraph" w:customStyle="1" w:styleId="Default">
    <w:name w:val="Default"/>
    <w:rsid w:val="00E77AA8"/>
    <w:pPr>
      <w:autoSpaceDE w:val="0"/>
      <w:autoSpaceDN w:val="0"/>
      <w:adjustRightInd w:val="0"/>
    </w:pPr>
    <w:rPr>
      <w:rFonts w:ascii="Calibri" w:hAnsi="Calibri" w:cs="Calibri"/>
      <w:color w:val="000000"/>
      <w:sz w:val="24"/>
      <w:szCs w:val="24"/>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locked/>
    <w:rsid w:val="00A0306B"/>
  </w:style>
  <w:style w:type="character" w:customStyle="1" w:styleId="Heading1Char">
    <w:name w:val="Heading 1 Char"/>
    <w:link w:val="Heading1"/>
    <w:locked/>
    <w:rsid w:val="00EA3FAD"/>
    <w:rPr>
      <w:rFonts w:ascii="Times New Roman Bold" w:hAnsi="Times New Roman Bold"/>
      <w:b/>
      <w:caps/>
      <w:snapToGrid w:val="0"/>
      <w:kern w:val="28"/>
      <w:sz w:val="22"/>
    </w:rPr>
  </w:style>
  <w:style w:type="character" w:styleId="CommentReference">
    <w:name w:val="annotation reference"/>
    <w:basedOn w:val="DefaultParagraphFont"/>
    <w:rsid w:val="005D171F"/>
    <w:rPr>
      <w:sz w:val="16"/>
      <w:szCs w:val="16"/>
    </w:rPr>
  </w:style>
  <w:style w:type="paragraph" w:styleId="CommentText">
    <w:name w:val="annotation text"/>
    <w:basedOn w:val="Normal"/>
    <w:link w:val="CommentTextChar"/>
    <w:rsid w:val="005D171F"/>
    <w:rPr>
      <w:snapToGrid/>
      <w:sz w:val="20"/>
    </w:rPr>
  </w:style>
  <w:style w:type="character" w:customStyle="1" w:styleId="CommentTextChar">
    <w:name w:val="Comment Text Char"/>
    <w:basedOn w:val="DefaultParagraphFont"/>
    <w:link w:val="CommentText"/>
    <w:rsid w:val="005D171F"/>
    <w:rPr>
      <w:snapToGrid w:val="0"/>
      <w:kern w:val="28"/>
    </w:rPr>
  </w:style>
  <w:style w:type="paragraph" w:styleId="CommentSubject">
    <w:name w:val="annotation subject"/>
    <w:basedOn w:val="CommentText"/>
    <w:next w:val="CommentText"/>
    <w:link w:val="CommentSubjectChar"/>
    <w:rsid w:val="005D171F"/>
    <w:rPr>
      <w:b/>
      <w:bCs/>
    </w:rPr>
  </w:style>
  <w:style w:type="character" w:customStyle="1" w:styleId="CommentSubjectChar">
    <w:name w:val="Comment Subject Char"/>
    <w:basedOn w:val="CommentTextChar"/>
    <w:link w:val="CommentSubject"/>
    <w:rsid w:val="005D171F"/>
    <w:rPr>
      <w:b/>
      <w:bCs/>
      <w:snapToGrid w:val="0"/>
      <w:kern w:val="28"/>
    </w:rPr>
  </w:style>
  <w:style w:type="character" w:customStyle="1" w:styleId="BalloonTextChar1">
    <w:name w:val="Balloon Text Char1"/>
    <w:basedOn w:val="DefaultParagraphFont"/>
    <w:link w:val="BalloonText"/>
    <w:rsid w:val="005D171F"/>
    <w:rPr>
      <w:rFonts w:ascii="Tahoma" w:hAnsi="Tahoma" w:cs="Tahoma"/>
      <w:snapToGrid w:val="0"/>
      <w:kern w:val="28"/>
      <w:sz w:val="16"/>
      <w:szCs w:val="16"/>
    </w:rPr>
  </w:style>
  <w:style w:type="paragraph" w:styleId="Revision">
    <w:name w:val="Revision"/>
    <w:hidden/>
    <w:uiPriority w:val="99"/>
    <w:semiHidden/>
    <w:rsid w:val="009F4B10"/>
    <w:rPr>
      <w:snapToGrid w:val="0"/>
      <w:kern w:val="28"/>
      <w:sz w:val="22"/>
    </w:rPr>
  </w:style>
  <w:style w:type="character" w:styleId="FollowedHyperlink">
    <w:name w:val="FollowedHyperlink"/>
    <w:basedOn w:val="DefaultParagraphFont"/>
    <w:rsid w:val="00CB5C9A"/>
    <w:rPr>
      <w:color w:val="800080" w:themeColor="followedHyperlink"/>
      <w:u w:val="single"/>
    </w:rPr>
  </w:style>
  <w:style w:type="character" w:customStyle="1" w:styleId="Footnote">
    <w:name w:val="Footnote"/>
    <w:uiPriority w:val="99"/>
    <w:rsid w:val="00A94CCE"/>
  </w:style>
  <w:style w:type="character" w:customStyle="1" w:styleId="StyleFootnoteReferenceStyle13Style12NECGFootnoteReferenc">
    <w:name w:val="Style Footnote ReferenceStyle 13Style 12(NECG) Footnote Referenc..."/>
    <w:uiPriority w:val="99"/>
    <w:rsid w:val="00A94CCE"/>
    <w:rPr>
      <w:rFonts w:ascii="Times New Roman" w:hAnsi="Times New Roman"/>
      <w:color w:val="auto"/>
      <w:position w:val="0"/>
      <w:sz w:val="20"/>
      <w:vertAlign w:val="superscript"/>
    </w:rPr>
  </w:style>
  <w:style w:type="character" w:customStyle="1" w:styleId="apple-converted-space">
    <w:name w:val="apple-converted-space"/>
    <w:basedOn w:val="DefaultParagraphFont"/>
    <w:rsid w:val="00280C72"/>
  </w:style>
  <w:style w:type="character" w:customStyle="1" w:styleId="FooterChar">
    <w:name w:val="Footer Char"/>
    <w:basedOn w:val="DefaultParagraphFont"/>
    <w:link w:val="Footer"/>
    <w:rsid w:val="00B12809"/>
    <w:rPr>
      <w:snapToGrid w:val="0"/>
      <w:kern w:val="28"/>
      <w:sz w:val="22"/>
    </w:rPr>
  </w:style>
  <w:style w:type="character" w:styleId="Strong">
    <w:name w:val="Strong"/>
    <w:basedOn w:val="DefaultParagraphFont"/>
    <w:uiPriority w:val="22"/>
    <w:qFormat/>
    <w:rsid w:val="007732F1"/>
    <w:rPr>
      <w:b/>
      <w:bCs/>
    </w:rPr>
  </w:style>
  <w:style w:type="character" w:customStyle="1" w:styleId="text">
    <w:name w:val="text"/>
    <w:basedOn w:val="DefaultParagraphFont"/>
    <w:rsid w:val="009F21AA"/>
  </w:style>
  <w:style w:type="paragraph" w:styleId="NormalWeb">
    <w:name w:val="Normal (Web)"/>
    <w:basedOn w:val="Normal"/>
    <w:uiPriority w:val="99"/>
    <w:semiHidden/>
    <w:unhideWhenUsed/>
    <w:rsid w:val="007C509C"/>
    <w:pPr>
      <w:widowControl/>
    </w:pPr>
    <w:rPr>
      <w:rFonts w:eastAsiaTheme="minorHAnsi"/>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D4"/>
    <w:pPr>
      <w:widowControl w:val="0"/>
    </w:pPr>
    <w:rPr>
      <w:snapToGrid w:val="0"/>
      <w:kern w:val="28"/>
      <w:sz w:val="22"/>
    </w:rPr>
  </w:style>
  <w:style w:type="paragraph" w:styleId="Heading1">
    <w:name w:val="heading 1"/>
    <w:basedOn w:val="Normal"/>
    <w:next w:val="ParaNum"/>
    <w:link w:val="Heading1Char"/>
    <w:qFormat/>
    <w:rsid w:val="000B34D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B34D4"/>
    <w:pPr>
      <w:keepNext/>
      <w:numPr>
        <w:ilvl w:val="1"/>
        <w:numId w:val="2"/>
      </w:numPr>
      <w:spacing w:after="120"/>
      <w:outlineLvl w:val="1"/>
    </w:pPr>
    <w:rPr>
      <w:b/>
    </w:rPr>
  </w:style>
  <w:style w:type="paragraph" w:styleId="Heading3">
    <w:name w:val="heading 3"/>
    <w:basedOn w:val="Normal"/>
    <w:next w:val="ParaNum"/>
    <w:qFormat/>
    <w:rsid w:val="000B34D4"/>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0B34D4"/>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0B34D4"/>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B34D4"/>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B34D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B34D4"/>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B34D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34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34D4"/>
  </w:style>
  <w:style w:type="paragraph" w:styleId="BalloonText">
    <w:name w:val="Balloon Text"/>
    <w:basedOn w:val="Normal"/>
    <w:link w:val="BalloonTextChar1"/>
    <w:rsid w:val="005D171F"/>
    <w:rPr>
      <w:rFonts w:ascii="Tahoma" w:hAnsi="Tahoma" w:cs="Tahoma"/>
      <w:snapToGrid/>
      <w:sz w:val="16"/>
      <w:szCs w:val="16"/>
    </w:rPr>
  </w:style>
  <w:style w:type="character" w:customStyle="1" w:styleId="BalloonTextChar">
    <w:name w:val="Balloon Text Char"/>
    <w:basedOn w:val="DefaultParagraphFont"/>
    <w:uiPriority w:val="99"/>
    <w:semiHidden/>
    <w:rsid w:val="00AB0CC4"/>
    <w:rPr>
      <w:rFonts w:ascii="Lucida Grande" w:hAnsi="Lucida Grande"/>
      <w:sz w:val="18"/>
      <w:szCs w:val="18"/>
    </w:rPr>
  </w:style>
  <w:style w:type="paragraph" w:customStyle="1" w:styleId="ParaNum">
    <w:name w:val="ParaNum"/>
    <w:basedOn w:val="Normal"/>
    <w:link w:val="ParaNumChar"/>
    <w:rsid w:val="000B34D4"/>
    <w:pPr>
      <w:numPr>
        <w:numId w:val="1"/>
      </w:numPr>
      <w:tabs>
        <w:tab w:val="clear" w:pos="1080"/>
        <w:tab w:val="num" w:pos="1440"/>
      </w:tabs>
      <w:spacing w:after="120"/>
    </w:pPr>
  </w:style>
  <w:style w:type="paragraph" w:styleId="EndnoteText">
    <w:name w:val="endnote text"/>
    <w:basedOn w:val="Normal"/>
    <w:semiHidden/>
    <w:rsid w:val="000B34D4"/>
    <w:rPr>
      <w:sz w:val="20"/>
    </w:rPr>
  </w:style>
  <w:style w:type="character" w:styleId="EndnoteReference">
    <w:name w:val="endnote reference"/>
    <w:semiHidden/>
    <w:rsid w:val="000B34D4"/>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0B34D4"/>
    <w:pPr>
      <w:spacing w:after="120"/>
    </w:pPr>
  </w:style>
  <w:style w:type="character" w:styleId="FootnoteReference">
    <w:name w:val="footnote reference"/>
    <w:aliases w:val="Style 12,(NECG) Footnote Reference,o,fr,Style 3,Appel note de bas de p,Style 124,Style 17,FR,Style 13,Footnote Reference/,Style 6,Style 7,Style 4,Footnote Reference1"/>
    <w:rsid w:val="000B34D4"/>
    <w:rPr>
      <w:rFonts w:ascii="Times New Roman" w:hAnsi="Times New Roman"/>
      <w:dstrike w:val="0"/>
      <w:color w:val="auto"/>
      <w:sz w:val="20"/>
      <w:vertAlign w:val="superscript"/>
    </w:rPr>
  </w:style>
  <w:style w:type="paragraph" w:styleId="TOC1">
    <w:name w:val="toc 1"/>
    <w:basedOn w:val="Normal"/>
    <w:next w:val="Normal"/>
    <w:rsid w:val="000B34D4"/>
    <w:pPr>
      <w:tabs>
        <w:tab w:val="left" w:pos="360"/>
        <w:tab w:val="right" w:leader="dot" w:pos="9360"/>
      </w:tabs>
      <w:suppressAutoHyphens/>
      <w:ind w:left="360" w:right="720" w:hanging="360"/>
    </w:pPr>
    <w:rPr>
      <w:caps/>
      <w:noProof/>
    </w:rPr>
  </w:style>
  <w:style w:type="paragraph" w:styleId="TOC2">
    <w:name w:val="toc 2"/>
    <w:basedOn w:val="Normal"/>
    <w:next w:val="Normal"/>
    <w:rsid w:val="000B34D4"/>
    <w:pPr>
      <w:tabs>
        <w:tab w:val="left" w:pos="720"/>
        <w:tab w:val="right" w:leader="dot" w:pos="9360"/>
      </w:tabs>
      <w:suppressAutoHyphens/>
      <w:ind w:left="720" w:right="720" w:hanging="360"/>
    </w:pPr>
    <w:rPr>
      <w:noProof/>
    </w:rPr>
  </w:style>
  <w:style w:type="paragraph" w:styleId="TOC3">
    <w:name w:val="toc 3"/>
    <w:basedOn w:val="Normal"/>
    <w:next w:val="Normal"/>
    <w:semiHidden/>
    <w:rsid w:val="000B34D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34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34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34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34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34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34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34D4"/>
    <w:pPr>
      <w:tabs>
        <w:tab w:val="right" w:pos="9360"/>
      </w:tabs>
      <w:suppressAutoHyphens/>
    </w:pPr>
  </w:style>
  <w:style w:type="character" w:customStyle="1" w:styleId="EquationCaption">
    <w:name w:val="_Equation Caption"/>
    <w:rsid w:val="000B34D4"/>
  </w:style>
  <w:style w:type="paragraph" w:styleId="Header">
    <w:name w:val="header"/>
    <w:basedOn w:val="Normal"/>
    <w:autoRedefine/>
    <w:rsid w:val="000B34D4"/>
    <w:pPr>
      <w:tabs>
        <w:tab w:val="center" w:pos="4680"/>
        <w:tab w:val="right" w:pos="9360"/>
      </w:tabs>
    </w:pPr>
    <w:rPr>
      <w:b/>
    </w:rPr>
  </w:style>
  <w:style w:type="paragraph" w:styleId="Footer">
    <w:name w:val="footer"/>
    <w:basedOn w:val="Normal"/>
    <w:link w:val="FooterChar"/>
    <w:rsid w:val="000B34D4"/>
    <w:pPr>
      <w:tabs>
        <w:tab w:val="center" w:pos="4320"/>
        <w:tab w:val="right" w:pos="8640"/>
      </w:tabs>
    </w:pPr>
  </w:style>
  <w:style w:type="character" w:styleId="PageNumber">
    <w:name w:val="page number"/>
    <w:basedOn w:val="DefaultParagraphFont"/>
    <w:rsid w:val="000B34D4"/>
  </w:style>
  <w:style w:type="paragraph" w:styleId="BlockText">
    <w:name w:val="Block Text"/>
    <w:basedOn w:val="Normal"/>
    <w:rsid w:val="000B34D4"/>
    <w:pPr>
      <w:spacing w:after="240"/>
      <w:ind w:left="1440" w:right="1440"/>
    </w:pPr>
  </w:style>
  <w:style w:type="paragraph" w:customStyle="1" w:styleId="Paratitle">
    <w:name w:val="Para title"/>
    <w:basedOn w:val="Normal"/>
    <w:rsid w:val="000B34D4"/>
    <w:pPr>
      <w:tabs>
        <w:tab w:val="center" w:pos="9270"/>
      </w:tabs>
      <w:spacing w:after="240"/>
    </w:pPr>
    <w:rPr>
      <w:spacing w:val="-2"/>
    </w:rPr>
  </w:style>
  <w:style w:type="paragraph" w:customStyle="1" w:styleId="Bullet">
    <w:name w:val="Bullet"/>
    <w:basedOn w:val="Normal"/>
    <w:rsid w:val="000B34D4"/>
    <w:pPr>
      <w:tabs>
        <w:tab w:val="left" w:pos="2160"/>
      </w:tabs>
      <w:spacing w:after="220"/>
      <w:ind w:left="2160" w:hanging="720"/>
    </w:pPr>
  </w:style>
  <w:style w:type="paragraph" w:customStyle="1" w:styleId="TableFormat">
    <w:name w:val="TableFormat"/>
    <w:basedOn w:val="Bullet"/>
    <w:rsid w:val="000B34D4"/>
    <w:pPr>
      <w:tabs>
        <w:tab w:val="clear" w:pos="2160"/>
        <w:tab w:val="left" w:pos="5040"/>
      </w:tabs>
      <w:ind w:left="5040" w:hanging="3600"/>
    </w:pPr>
  </w:style>
  <w:style w:type="paragraph" w:customStyle="1" w:styleId="TOCTitle">
    <w:name w:val="TOC Title"/>
    <w:basedOn w:val="Normal"/>
    <w:rsid w:val="000B34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34D4"/>
    <w:pPr>
      <w:jc w:val="center"/>
    </w:pPr>
    <w:rPr>
      <w:rFonts w:ascii="Times New Roman Bold" w:hAnsi="Times New Roman Bold"/>
      <w:b/>
      <w:bCs/>
      <w:caps/>
      <w:szCs w:val="22"/>
    </w:rPr>
  </w:style>
  <w:style w:type="character" w:styleId="Hyperlink">
    <w:name w:val="Hyperlink"/>
    <w:rsid w:val="000B34D4"/>
    <w:rPr>
      <w:color w:val="0000FF"/>
      <w:u w:val="single"/>
    </w:rPr>
  </w:style>
  <w:style w:type="paragraph" w:styleId="Caption">
    <w:name w:val="caption"/>
    <w:basedOn w:val="Normal"/>
    <w:next w:val="Normal"/>
    <w:qFormat/>
    <w:rsid w:val="002F46A3"/>
    <w:pPr>
      <w:spacing w:before="120" w:after="120"/>
    </w:pPr>
    <w:rPr>
      <w:b/>
    </w:rPr>
  </w:style>
  <w:style w:type="paragraph" w:styleId="ListParagraph">
    <w:name w:val="List Paragraph"/>
    <w:basedOn w:val="Normal"/>
    <w:uiPriority w:val="34"/>
    <w:qFormat/>
    <w:rsid w:val="002F46A3"/>
    <w:pPr>
      <w:ind w:left="7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2F46A3"/>
  </w:style>
  <w:style w:type="character" w:customStyle="1" w:styleId="ParaNumChar">
    <w:name w:val="ParaNum Char"/>
    <w:link w:val="ParaNum"/>
    <w:locked/>
    <w:rsid w:val="002F46A3"/>
    <w:rPr>
      <w:snapToGrid w:val="0"/>
      <w:kern w:val="28"/>
      <w:sz w:val="22"/>
    </w:rPr>
  </w:style>
  <w:style w:type="paragraph" w:customStyle="1" w:styleId="StyleParaNumLeft">
    <w:name w:val="Style ParaNum + Left"/>
    <w:basedOn w:val="ParaNum"/>
    <w:rsid w:val="009F0781"/>
    <w:pPr>
      <w:widowControl/>
      <w:numPr>
        <w:numId w:val="3"/>
      </w:numPr>
      <w:tabs>
        <w:tab w:val="left" w:pos="1260"/>
        <w:tab w:val="left" w:pos="1656"/>
      </w:tabs>
      <w:suppressAutoHyphens/>
      <w:autoSpaceDN w:val="0"/>
      <w:spacing w:after="220"/>
    </w:pPr>
    <w:rPr>
      <w:snapToGrid/>
      <w:kern w:val="0"/>
      <w:sz w:val="20"/>
    </w:rPr>
  </w:style>
  <w:style w:type="numbering" w:customStyle="1" w:styleId="LFO1">
    <w:name w:val="LFO1"/>
    <w:rsid w:val="009F0781"/>
    <w:pPr>
      <w:numPr>
        <w:numId w:val="3"/>
      </w:numPr>
    </w:pPr>
  </w:style>
  <w:style w:type="paragraph" w:customStyle="1" w:styleId="Default">
    <w:name w:val="Default"/>
    <w:rsid w:val="00E77AA8"/>
    <w:pPr>
      <w:autoSpaceDE w:val="0"/>
      <w:autoSpaceDN w:val="0"/>
      <w:adjustRightInd w:val="0"/>
    </w:pPr>
    <w:rPr>
      <w:rFonts w:ascii="Calibri" w:hAnsi="Calibri" w:cs="Calibri"/>
      <w:color w:val="000000"/>
      <w:sz w:val="24"/>
      <w:szCs w:val="24"/>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locked/>
    <w:rsid w:val="00A0306B"/>
  </w:style>
  <w:style w:type="character" w:customStyle="1" w:styleId="Heading1Char">
    <w:name w:val="Heading 1 Char"/>
    <w:link w:val="Heading1"/>
    <w:locked/>
    <w:rsid w:val="00EA3FAD"/>
    <w:rPr>
      <w:rFonts w:ascii="Times New Roman Bold" w:hAnsi="Times New Roman Bold"/>
      <w:b/>
      <w:caps/>
      <w:snapToGrid w:val="0"/>
      <w:kern w:val="28"/>
      <w:sz w:val="22"/>
    </w:rPr>
  </w:style>
  <w:style w:type="character" w:styleId="CommentReference">
    <w:name w:val="annotation reference"/>
    <w:basedOn w:val="DefaultParagraphFont"/>
    <w:rsid w:val="005D171F"/>
    <w:rPr>
      <w:sz w:val="16"/>
      <w:szCs w:val="16"/>
    </w:rPr>
  </w:style>
  <w:style w:type="paragraph" w:styleId="CommentText">
    <w:name w:val="annotation text"/>
    <w:basedOn w:val="Normal"/>
    <w:link w:val="CommentTextChar"/>
    <w:rsid w:val="005D171F"/>
    <w:rPr>
      <w:snapToGrid/>
      <w:sz w:val="20"/>
    </w:rPr>
  </w:style>
  <w:style w:type="character" w:customStyle="1" w:styleId="CommentTextChar">
    <w:name w:val="Comment Text Char"/>
    <w:basedOn w:val="DefaultParagraphFont"/>
    <w:link w:val="CommentText"/>
    <w:rsid w:val="005D171F"/>
    <w:rPr>
      <w:snapToGrid w:val="0"/>
      <w:kern w:val="28"/>
    </w:rPr>
  </w:style>
  <w:style w:type="paragraph" w:styleId="CommentSubject">
    <w:name w:val="annotation subject"/>
    <w:basedOn w:val="CommentText"/>
    <w:next w:val="CommentText"/>
    <w:link w:val="CommentSubjectChar"/>
    <w:rsid w:val="005D171F"/>
    <w:rPr>
      <w:b/>
      <w:bCs/>
    </w:rPr>
  </w:style>
  <w:style w:type="character" w:customStyle="1" w:styleId="CommentSubjectChar">
    <w:name w:val="Comment Subject Char"/>
    <w:basedOn w:val="CommentTextChar"/>
    <w:link w:val="CommentSubject"/>
    <w:rsid w:val="005D171F"/>
    <w:rPr>
      <w:b/>
      <w:bCs/>
      <w:snapToGrid w:val="0"/>
      <w:kern w:val="28"/>
    </w:rPr>
  </w:style>
  <w:style w:type="character" w:customStyle="1" w:styleId="BalloonTextChar1">
    <w:name w:val="Balloon Text Char1"/>
    <w:basedOn w:val="DefaultParagraphFont"/>
    <w:link w:val="BalloonText"/>
    <w:rsid w:val="005D171F"/>
    <w:rPr>
      <w:rFonts w:ascii="Tahoma" w:hAnsi="Tahoma" w:cs="Tahoma"/>
      <w:snapToGrid w:val="0"/>
      <w:kern w:val="28"/>
      <w:sz w:val="16"/>
      <w:szCs w:val="16"/>
    </w:rPr>
  </w:style>
  <w:style w:type="paragraph" w:styleId="Revision">
    <w:name w:val="Revision"/>
    <w:hidden/>
    <w:uiPriority w:val="99"/>
    <w:semiHidden/>
    <w:rsid w:val="009F4B10"/>
    <w:rPr>
      <w:snapToGrid w:val="0"/>
      <w:kern w:val="28"/>
      <w:sz w:val="22"/>
    </w:rPr>
  </w:style>
  <w:style w:type="character" w:styleId="FollowedHyperlink">
    <w:name w:val="FollowedHyperlink"/>
    <w:basedOn w:val="DefaultParagraphFont"/>
    <w:rsid w:val="00CB5C9A"/>
    <w:rPr>
      <w:color w:val="800080" w:themeColor="followedHyperlink"/>
      <w:u w:val="single"/>
    </w:rPr>
  </w:style>
  <w:style w:type="character" w:customStyle="1" w:styleId="Footnote">
    <w:name w:val="Footnote"/>
    <w:uiPriority w:val="99"/>
    <w:rsid w:val="00A94CCE"/>
  </w:style>
  <w:style w:type="character" w:customStyle="1" w:styleId="StyleFootnoteReferenceStyle13Style12NECGFootnoteReferenc">
    <w:name w:val="Style Footnote ReferenceStyle 13Style 12(NECG) Footnote Referenc..."/>
    <w:uiPriority w:val="99"/>
    <w:rsid w:val="00A94CCE"/>
    <w:rPr>
      <w:rFonts w:ascii="Times New Roman" w:hAnsi="Times New Roman"/>
      <w:color w:val="auto"/>
      <w:position w:val="0"/>
      <w:sz w:val="20"/>
      <w:vertAlign w:val="superscript"/>
    </w:rPr>
  </w:style>
  <w:style w:type="character" w:customStyle="1" w:styleId="apple-converted-space">
    <w:name w:val="apple-converted-space"/>
    <w:basedOn w:val="DefaultParagraphFont"/>
    <w:rsid w:val="00280C72"/>
  </w:style>
  <w:style w:type="character" w:customStyle="1" w:styleId="FooterChar">
    <w:name w:val="Footer Char"/>
    <w:basedOn w:val="DefaultParagraphFont"/>
    <w:link w:val="Footer"/>
    <w:rsid w:val="00B12809"/>
    <w:rPr>
      <w:snapToGrid w:val="0"/>
      <w:kern w:val="28"/>
      <w:sz w:val="22"/>
    </w:rPr>
  </w:style>
  <w:style w:type="character" w:styleId="Strong">
    <w:name w:val="Strong"/>
    <w:basedOn w:val="DefaultParagraphFont"/>
    <w:uiPriority w:val="22"/>
    <w:qFormat/>
    <w:rsid w:val="007732F1"/>
    <w:rPr>
      <w:b/>
      <w:bCs/>
    </w:rPr>
  </w:style>
  <w:style w:type="character" w:customStyle="1" w:styleId="text">
    <w:name w:val="text"/>
    <w:basedOn w:val="DefaultParagraphFont"/>
    <w:rsid w:val="009F21AA"/>
  </w:style>
  <w:style w:type="paragraph" w:styleId="NormalWeb">
    <w:name w:val="Normal (Web)"/>
    <w:basedOn w:val="Normal"/>
    <w:uiPriority w:val="99"/>
    <w:semiHidden/>
    <w:unhideWhenUsed/>
    <w:rsid w:val="007C509C"/>
    <w:pPr>
      <w:widowControl/>
    </w:pPr>
    <w:rPr>
      <w:rFonts w:eastAsiaTheme="minorHAnsi"/>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2507">
      <w:bodyDiv w:val="1"/>
      <w:marLeft w:val="0"/>
      <w:marRight w:val="0"/>
      <w:marTop w:val="0"/>
      <w:marBottom w:val="0"/>
      <w:divBdr>
        <w:top w:val="none" w:sz="0" w:space="0" w:color="auto"/>
        <w:left w:val="none" w:sz="0" w:space="0" w:color="auto"/>
        <w:bottom w:val="none" w:sz="0" w:space="0" w:color="auto"/>
        <w:right w:val="none" w:sz="0" w:space="0" w:color="auto"/>
      </w:divBdr>
      <w:divsChild>
        <w:div w:id="161437846">
          <w:marLeft w:val="0"/>
          <w:marRight w:val="0"/>
          <w:marTop w:val="0"/>
          <w:marBottom w:val="0"/>
          <w:divBdr>
            <w:top w:val="none" w:sz="0" w:space="0" w:color="auto"/>
            <w:left w:val="none" w:sz="0" w:space="0" w:color="auto"/>
            <w:bottom w:val="none" w:sz="0" w:space="0" w:color="auto"/>
            <w:right w:val="none" w:sz="0" w:space="0" w:color="auto"/>
          </w:divBdr>
          <w:divsChild>
            <w:div w:id="86584703">
              <w:marLeft w:val="0"/>
              <w:marRight w:val="0"/>
              <w:marTop w:val="0"/>
              <w:marBottom w:val="0"/>
              <w:divBdr>
                <w:top w:val="none" w:sz="0" w:space="0" w:color="auto"/>
                <w:left w:val="none" w:sz="0" w:space="0" w:color="auto"/>
                <w:bottom w:val="none" w:sz="0" w:space="0" w:color="auto"/>
                <w:right w:val="none" w:sz="0" w:space="0" w:color="auto"/>
              </w:divBdr>
              <w:divsChild>
                <w:div w:id="1187282623">
                  <w:marLeft w:val="0"/>
                  <w:marRight w:val="0"/>
                  <w:marTop w:val="0"/>
                  <w:marBottom w:val="0"/>
                  <w:divBdr>
                    <w:top w:val="none" w:sz="0" w:space="0" w:color="auto"/>
                    <w:left w:val="none" w:sz="0" w:space="0" w:color="auto"/>
                    <w:bottom w:val="none" w:sz="0" w:space="0" w:color="auto"/>
                    <w:right w:val="none" w:sz="0" w:space="0" w:color="auto"/>
                  </w:divBdr>
                  <w:divsChild>
                    <w:div w:id="566039825">
                      <w:marLeft w:val="0"/>
                      <w:marRight w:val="0"/>
                      <w:marTop w:val="0"/>
                      <w:marBottom w:val="0"/>
                      <w:divBdr>
                        <w:top w:val="none" w:sz="0" w:space="0" w:color="auto"/>
                        <w:left w:val="none" w:sz="0" w:space="0" w:color="auto"/>
                        <w:bottom w:val="none" w:sz="0" w:space="0" w:color="auto"/>
                        <w:right w:val="none" w:sz="0" w:space="0" w:color="auto"/>
                      </w:divBdr>
                      <w:divsChild>
                        <w:div w:id="1155413397">
                          <w:marLeft w:val="0"/>
                          <w:marRight w:val="0"/>
                          <w:marTop w:val="0"/>
                          <w:marBottom w:val="0"/>
                          <w:divBdr>
                            <w:top w:val="none" w:sz="0" w:space="0" w:color="auto"/>
                            <w:left w:val="none" w:sz="0" w:space="0" w:color="auto"/>
                            <w:bottom w:val="none" w:sz="0" w:space="0" w:color="auto"/>
                            <w:right w:val="none" w:sz="0" w:space="0" w:color="auto"/>
                          </w:divBdr>
                          <w:divsChild>
                            <w:div w:id="1100032742">
                              <w:marLeft w:val="0"/>
                              <w:marRight w:val="0"/>
                              <w:marTop w:val="0"/>
                              <w:marBottom w:val="0"/>
                              <w:divBdr>
                                <w:top w:val="none" w:sz="0" w:space="0" w:color="auto"/>
                                <w:left w:val="none" w:sz="0" w:space="0" w:color="auto"/>
                                <w:bottom w:val="none" w:sz="0" w:space="0" w:color="auto"/>
                                <w:right w:val="none" w:sz="0" w:space="0" w:color="auto"/>
                              </w:divBdr>
                              <w:divsChild>
                                <w:div w:id="19329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92556">
      <w:bodyDiv w:val="1"/>
      <w:marLeft w:val="0"/>
      <w:marRight w:val="0"/>
      <w:marTop w:val="0"/>
      <w:marBottom w:val="0"/>
      <w:divBdr>
        <w:top w:val="none" w:sz="0" w:space="0" w:color="auto"/>
        <w:left w:val="none" w:sz="0" w:space="0" w:color="auto"/>
        <w:bottom w:val="none" w:sz="0" w:space="0" w:color="auto"/>
        <w:right w:val="none" w:sz="0" w:space="0" w:color="auto"/>
      </w:divBdr>
    </w:div>
    <w:div w:id="548763127">
      <w:bodyDiv w:val="1"/>
      <w:marLeft w:val="0"/>
      <w:marRight w:val="0"/>
      <w:marTop w:val="0"/>
      <w:marBottom w:val="0"/>
      <w:divBdr>
        <w:top w:val="none" w:sz="0" w:space="0" w:color="auto"/>
        <w:left w:val="none" w:sz="0" w:space="0" w:color="auto"/>
        <w:bottom w:val="none" w:sz="0" w:space="0" w:color="auto"/>
        <w:right w:val="none" w:sz="0" w:space="0" w:color="auto"/>
      </w:divBdr>
    </w:div>
    <w:div w:id="756682050">
      <w:bodyDiv w:val="1"/>
      <w:marLeft w:val="0"/>
      <w:marRight w:val="0"/>
      <w:marTop w:val="0"/>
      <w:marBottom w:val="0"/>
      <w:divBdr>
        <w:top w:val="none" w:sz="0" w:space="0" w:color="auto"/>
        <w:left w:val="none" w:sz="0" w:space="0" w:color="auto"/>
        <w:bottom w:val="none" w:sz="0" w:space="0" w:color="auto"/>
        <w:right w:val="none" w:sz="0" w:space="0" w:color="auto"/>
      </w:divBdr>
    </w:div>
    <w:div w:id="767501843">
      <w:bodyDiv w:val="1"/>
      <w:marLeft w:val="0"/>
      <w:marRight w:val="0"/>
      <w:marTop w:val="0"/>
      <w:marBottom w:val="0"/>
      <w:divBdr>
        <w:top w:val="none" w:sz="0" w:space="0" w:color="auto"/>
        <w:left w:val="none" w:sz="0" w:space="0" w:color="auto"/>
        <w:bottom w:val="none" w:sz="0" w:space="0" w:color="auto"/>
        <w:right w:val="none" w:sz="0" w:space="0" w:color="auto"/>
      </w:divBdr>
      <w:divsChild>
        <w:div w:id="260916694">
          <w:marLeft w:val="0"/>
          <w:marRight w:val="0"/>
          <w:marTop w:val="0"/>
          <w:marBottom w:val="0"/>
          <w:divBdr>
            <w:top w:val="none" w:sz="0" w:space="0" w:color="auto"/>
            <w:left w:val="single" w:sz="6" w:space="0" w:color="BBBBBB"/>
            <w:bottom w:val="single" w:sz="6" w:space="0" w:color="BBBBBB"/>
            <w:right w:val="single" w:sz="6" w:space="0" w:color="BBBBBB"/>
          </w:divBdr>
          <w:divsChild>
            <w:div w:id="149098978">
              <w:marLeft w:val="0"/>
              <w:marRight w:val="0"/>
              <w:marTop w:val="0"/>
              <w:marBottom w:val="0"/>
              <w:divBdr>
                <w:top w:val="none" w:sz="0" w:space="0" w:color="auto"/>
                <w:left w:val="none" w:sz="0" w:space="0" w:color="auto"/>
                <w:bottom w:val="none" w:sz="0" w:space="0" w:color="auto"/>
                <w:right w:val="none" w:sz="0" w:space="0" w:color="auto"/>
              </w:divBdr>
              <w:divsChild>
                <w:div w:id="786046054">
                  <w:marLeft w:val="0"/>
                  <w:marRight w:val="0"/>
                  <w:marTop w:val="0"/>
                  <w:marBottom w:val="0"/>
                  <w:divBdr>
                    <w:top w:val="none" w:sz="0" w:space="0" w:color="auto"/>
                    <w:left w:val="none" w:sz="0" w:space="0" w:color="auto"/>
                    <w:bottom w:val="none" w:sz="0" w:space="0" w:color="auto"/>
                    <w:right w:val="none" w:sz="0" w:space="0" w:color="auto"/>
                  </w:divBdr>
                  <w:divsChild>
                    <w:div w:id="284434412">
                      <w:marLeft w:val="0"/>
                      <w:marRight w:val="0"/>
                      <w:marTop w:val="0"/>
                      <w:marBottom w:val="0"/>
                      <w:divBdr>
                        <w:top w:val="none" w:sz="0" w:space="0" w:color="auto"/>
                        <w:left w:val="none" w:sz="0" w:space="0" w:color="auto"/>
                        <w:bottom w:val="none" w:sz="0" w:space="0" w:color="auto"/>
                        <w:right w:val="none" w:sz="0" w:space="0" w:color="auto"/>
                      </w:divBdr>
                      <w:divsChild>
                        <w:div w:id="197205762">
                          <w:marLeft w:val="0"/>
                          <w:marRight w:val="0"/>
                          <w:marTop w:val="0"/>
                          <w:marBottom w:val="0"/>
                          <w:divBdr>
                            <w:top w:val="none" w:sz="0" w:space="0" w:color="auto"/>
                            <w:left w:val="none" w:sz="0" w:space="0" w:color="auto"/>
                            <w:bottom w:val="none" w:sz="0" w:space="0" w:color="auto"/>
                            <w:right w:val="none" w:sz="0" w:space="0" w:color="auto"/>
                          </w:divBdr>
                          <w:divsChild>
                            <w:div w:id="262691666">
                              <w:marLeft w:val="0"/>
                              <w:marRight w:val="0"/>
                              <w:marTop w:val="0"/>
                              <w:marBottom w:val="0"/>
                              <w:divBdr>
                                <w:top w:val="none" w:sz="0" w:space="0" w:color="auto"/>
                                <w:left w:val="none" w:sz="0" w:space="0" w:color="auto"/>
                                <w:bottom w:val="none" w:sz="0" w:space="0" w:color="auto"/>
                                <w:right w:val="none" w:sz="0" w:space="0" w:color="auto"/>
                              </w:divBdr>
                              <w:divsChild>
                                <w:div w:id="1319309787">
                                  <w:marLeft w:val="0"/>
                                  <w:marRight w:val="0"/>
                                  <w:marTop w:val="0"/>
                                  <w:marBottom w:val="0"/>
                                  <w:divBdr>
                                    <w:top w:val="none" w:sz="0" w:space="0" w:color="auto"/>
                                    <w:left w:val="none" w:sz="0" w:space="0" w:color="auto"/>
                                    <w:bottom w:val="none" w:sz="0" w:space="0" w:color="auto"/>
                                    <w:right w:val="none" w:sz="0" w:space="0" w:color="auto"/>
                                  </w:divBdr>
                                  <w:divsChild>
                                    <w:div w:id="744568591">
                                      <w:marLeft w:val="0"/>
                                      <w:marRight w:val="0"/>
                                      <w:marTop w:val="0"/>
                                      <w:marBottom w:val="0"/>
                                      <w:divBdr>
                                        <w:top w:val="none" w:sz="0" w:space="0" w:color="auto"/>
                                        <w:left w:val="none" w:sz="0" w:space="0" w:color="auto"/>
                                        <w:bottom w:val="none" w:sz="0" w:space="0" w:color="auto"/>
                                        <w:right w:val="none" w:sz="0" w:space="0" w:color="auto"/>
                                      </w:divBdr>
                                      <w:divsChild>
                                        <w:div w:id="1494643608">
                                          <w:marLeft w:val="1200"/>
                                          <w:marRight w:val="1200"/>
                                          <w:marTop w:val="0"/>
                                          <w:marBottom w:val="0"/>
                                          <w:divBdr>
                                            <w:top w:val="none" w:sz="0" w:space="0" w:color="auto"/>
                                            <w:left w:val="none" w:sz="0" w:space="0" w:color="auto"/>
                                            <w:bottom w:val="none" w:sz="0" w:space="0" w:color="auto"/>
                                            <w:right w:val="none" w:sz="0" w:space="0" w:color="auto"/>
                                          </w:divBdr>
                                          <w:divsChild>
                                            <w:div w:id="743265211">
                                              <w:marLeft w:val="0"/>
                                              <w:marRight w:val="0"/>
                                              <w:marTop w:val="0"/>
                                              <w:marBottom w:val="0"/>
                                              <w:divBdr>
                                                <w:top w:val="none" w:sz="0" w:space="0" w:color="auto"/>
                                                <w:left w:val="none" w:sz="0" w:space="0" w:color="auto"/>
                                                <w:bottom w:val="none" w:sz="0" w:space="0" w:color="auto"/>
                                                <w:right w:val="none" w:sz="0" w:space="0" w:color="auto"/>
                                              </w:divBdr>
                                              <w:divsChild>
                                                <w:div w:id="311252459">
                                                  <w:marLeft w:val="0"/>
                                                  <w:marRight w:val="0"/>
                                                  <w:marTop w:val="0"/>
                                                  <w:marBottom w:val="0"/>
                                                  <w:divBdr>
                                                    <w:top w:val="none" w:sz="0" w:space="0" w:color="auto"/>
                                                    <w:left w:val="none" w:sz="0" w:space="0" w:color="auto"/>
                                                    <w:bottom w:val="none" w:sz="0" w:space="0" w:color="auto"/>
                                                    <w:right w:val="none" w:sz="0" w:space="0" w:color="auto"/>
                                                  </w:divBdr>
                                                  <w:divsChild>
                                                    <w:div w:id="1321083129">
                                                      <w:marLeft w:val="0"/>
                                                      <w:marRight w:val="0"/>
                                                      <w:marTop w:val="0"/>
                                                      <w:marBottom w:val="0"/>
                                                      <w:divBdr>
                                                        <w:top w:val="none" w:sz="0" w:space="0" w:color="auto"/>
                                                        <w:left w:val="none" w:sz="0" w:space="0" w:color="auto"/>
                                                        <w:bottom w:val="none" w:sz="0" w:space="0" w:color="auto"/>
                                                        <w:right w:val="none" w:sz="0" w:space="0" w:color="auto"/>
                                                      </w:divBdr>
                                                      <w:divsChild>
                                                        <w:div w:id="6430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379902">
      <w:bodyDiv w:val="1"/>
      <w:marLeft w:val="0"/>
      <w:marRight w:val="0"/>
      <w:marTop w:val="0"/>
      <w:marBottom w:val="0"/>
      <w:divBdr>
        <w:top w:val="none" w:sz="0" w:space="0" w:color="auto"/>
        <w:left w:val="none" w:sz="0" w:space="0" w:color="auto"/>
        <w:bottom w:val="none" w:sz="0" w:space="0" w:color="auto"/>
        <w:right w:val="none" w:sz="0" w:space="0" w:color="auto"/>
      </w:divBdr>
    </w:div>
    <w:div w:id="833374783">
      <w:bodyDiv w:val="1"/>
      <w:marLeft w:val="0"/>
      <w:marRight w:val="0"/>
      <w:marTop w:val="0"/>
      <w:marBottom w:val="0"/>
      <w:divBdr>
        <w:top w:val="none" w:sz="0" w:space="0" w:color="auto"/>
        <w:left w:val="none" w:sz="0" w:space="0" w:color="auto"/>
        <w:bottom w:val="none" w:sz="0" w:space="0" w:color="auto"/>
        <w:right w:val="none" w:sz="0" w:space="0" w:color="auto"/>
      </w:divBdr>
    </w:div>
    <w:div w:id="933515777">
      <w:bodyDiv w:val="1"/>
      <w:marLeft w:val="0"/>
      <w:marRight w:val="0"/>
      <w:marTop w:val="0"/>
      <w:marBottom w:val="0"/>
      <w:divBdr>
        <w:top w:val="none" w:sz="0" w:space="0" w:color="auto"/>
        <w:left w:val="none" w:sz="0" w:space="0" w:color="auto"/>
        <w:bottom w:val="none" w:sz="0" w:space="0" w:color="auto"/>
        <w:right w:val="none" w:sz="0" w:space="0" w:color="auto"/>
      </w:divBdr>
    </w:div>
    <w:div w:id="997928352">
      <w:bodyDiv w:val="1"/>
      <w:marLeft w:val="0"/>
      <w:marRight w:val="0"/>
      <w:marTop w:val="0"/>
      <w:marBottom w:val="0"/>
      <w:divBdr>
        <w:top w:val="none" w:sz="0" w:space="0" w:color="auto"/>
        <w:left w:val="none" w:sz="0" w:space="0" w:color="auto"/>
        <w:bottom w:val="none" w:sz="0" w:space="0" w:color="auto"/>
        <w:right w:val="none" w:sz="0" w:space="0" w:color="auto"/>
      </w:divBdr>
      <w:divsChild>
        <w:div w:id="527373428">
          <w:marLeft w:val="0"/>
          <w:marRight w:val="0"/>
          <w:marTop w:val="750"/>
          <w:marBottom w:val="75"/>
          <w:divBdr>
            <w:top w:val="single" w:sz="6" w:space="0" w:color="FFFFFF"/>
            <w:left w:val="single" w:sz="6" w:space="0" w:color="FFFFFF"/>
            <w:bottom w:val="single" w:sz="6" w:space="2" w:color="FFFFFF"/>
            <w:right w:val="single" w:sz="6" w:space="0" w:color="FFFFFF"/>
          </w:divBdr>
          <w:divsChild>
            <w:div w:id="2061051314">
              <w:marLeft w:val="2550"/>
              <w:marRight w:val="225"/>
              <w:marTop w:val="225"/>
              <w:marBottom w:val="450"/>
              <w:divBdr>
                <w:top w:val="none" w:sz="0" w:space="0" w:color="auto"/>
                <w:left w:val="none" w:sz="0" w:space="0" w:color="auto"/>
                <w:bottom w:val="none" w:sz="0" w:space="0" w:color="auto"/>
                <w:right w:val="none" w:sz="0" w:space="0" w:color="auto"/>
              </w:divBdr>
            </w:div>
          </w:divsChild>
        </w:div>
      </w:divsChild>
    </w:div>
    <w:div w:id="1025987199">
      <w:bodyDiv w:val="1"/>
      <w:marLeft w:val="0"/>
      <w:marRight w:val="0"/>
      <w:marTop w:val="0"/>
      <w:marBottom w:val="0"/>
      <w:divBdr>
        <w:top w:val="none" w:sz="0" w:space="0" w:color="auto"/>
        <w:left w:val="none" w:sz="0" w:space="0" w:color="auto"/>
        <w:bottom w:val="none" w:sz="0" w:space="0" w:color="auto"/>
        <w:right w:val="none" w:sz="0" w:space="0" w:color="auto"/>
      </w:divBdr>
      <w:divsChild>
        <w:div w:id="1582593454">
          <w:marLeft w:val="0"/>
          <w:marRight w:val="0"/>
          <w:marTop w:val="0"/>
          <w:marBottom w:val="0"/>
          <w:divBdr>
            <w:top w:val="none" w:sz="0" w:space="0" w:color="auto"/>
            <w:left w:val="none" w:sz="0" w:space="0" w:color="auto"/>
            <w:bottom w:val="none" w:sz="0" w:space="0" w:color="auto"/>
            <w:right w:val="none" w:sz="0" w:space="0" w:color="auto"/>
          </w:divBdr>
        </w:div>
      </w:divsChild>
    </w:div>
    <w:div w:id="1175538787">
      <w:bodyDiv w:val="1"/>
      <w:marLeft w:val="0"/>
      <w:marRight w:val="0"/>
      <w:marTop w:val="0"/>
      <w:marBottom w:val="0"/>
      <w:divBdr>
        <w:top w:val="none" w:sz="0" w:space="0" w:color="auto"/>
        <w:left w:val="none" w:sz="0" w:space="0" w:color="auto"/>
        <w:bottom w:val="none" w:sz="0" w:space="0" w:color="auto"/>
        <w:right w:val="none" w:sz="0" w:space="0" w:color="auto"/>
      </w:divBdr>
    </w:div>
    <w:div w:id="1219778559">
      <w:bodyDiv w:val="1"/>
      <w:marLeft w:val="0"/>
      <w:marRight w:val="0"/>
      <w:marTop w:val="0"/>
      <w:marBottom w:val="0"/>
      <w:divBdr>
        <w:top w:val="none" w:sz="0" w:space="0" w:color="auto"/>
        <w:left w:val="none" w:sz="0" w:space="0" w:color="auto"/>
        <w:bottom w:val="none" w:sz="0" w:space="0" w:color="auto"/>
        <w:right w:val="none" w:sz="0" w:space="0" w:color="auto"/>
      </w:divBdr>
    </w:div>
    <w:div w:id="1223638066">
      <w:bodyDiv w:val="1"/>
      <w:marLeft w:val="0"/>
      <w:marRight w:val="0"/>
      <w:marTop w:val="0"/>
      <w:marBottom w:val="0"/>
      <w:divBdr>
        <w:top w:val="none" w:sz="0" w:space="0" w:color="auto"/>
        <w:left w:val="none" w:sz="0" w:space="0" w:color="auto"/>
        <w:bottom w:val="none" w:sz="0" w:space="0" w:color="auto"/>
        <w:right w:val="none" w:sz="0" w:space="0" w:color="auto"/>
      </w:divBdr>
    </w:div>
    <w:div w:id="1767311165">
      <w:bodyDiv w:val="1"/>
      <w:marLeft w:val="0"/>
      <w:marRight w:val="0"/>
      <w:marTop w:val="0"/>
      <w:marBottom w:val="0"/>
      <w:divBdr>
        <w:top w:val="none" w:sz="0" w:space="0" w:color="auto"/>
        <w:left w:val="none" w:sz="0" w:space="0" w:color="auto"/>
        <w:bottom w:val="none" w:sz="0" w:space="0" w:color="auto"/>
        <w:right w:val="none" w:sz="0" w:space="0" w:color="auto"/>
      </w:divBdr>
    </w:div>
    <w:div w:id="1911652280">
      <w:bodyDiv w:val="1"/>
      <w:marLeft w:val="0"/>
      <w:marRight w:val="0"/>
      <w:marTop w:val="0"/>
      <w:marBottom w:val="0"/>
      <w:divBdr>
        <w:top w:val="none" w:sz="0" w:space="0" w:color="auto"/>
        <w:left w:val="none" w:sz="0" w:space="0" w:color="auto"/>
        <w:bottom w:val="none" w:sz="0" w:space="0" w:color="auto"/>
        <w:right w:val="none" w:sz="0" w:space="0" w:color="auto"/>
      </w:divBdr>
    </w:div>
    <w:div w:id="1924294197">
      <w:bodyDiv w:val="1"/>
      <w:marLeft w:val="0"/>
      <w:marRight w:val="0"/>
      <w:marTop w:val="0"/>
      <w:marBottom w:val="0"/>
      <w:divBdr>
        <w:top w:val="none" w:sz="0" w:space="0" w:color="auto"/>
        <w:left w:val="none" w:sz="0" w:space="0" w:color="auto"/>
        <w:bottom w:val="none" w:sz="0" w:space="0" w:color="auto"/>
        <w:right w:val="none" w:sz="0" w:space="0" w:color="auto"/>
      </w:divBdr>
    </w:div>
    <w:div w:id="1935162595">
      <w:bodyDiv w:val="1"/>
      <w:marLeft w:val="0"/>
      <w:marRight w:val="0"/>
      <w:marTop w:val="0"/>
      <w:marBottom w:val="0"/>
      <w:divBdr>
        <w:top w:val="none" w:sz="0" w:space="0" w:color="auto"/>
        <w:left w:val="none" w:sz="0" w:space="0" w:color="auto"/>
        <w:bottom w:val="none" w:sz="0" w:space="0" w:color="auto"/>
        <w:right w:val="none" w:sz="0" w:space="0" w:color="auto"/>
      </w:divBdr>
    </w:div>
    <w:div w:id="2020229105">
      <w:bodyDiv w:val="1"/>
      <w:marLeft w:val="0"/>
      <w:marRight w:val="0"/>
      <w:marTop w:val="0"/>
      <w:marBottom w:val="0"/>
      <w:divBdr>
        <w:top w:val="none" w:sz="0" w:space="0" w:color="auto"/>
        <w:left w:val="none" w:sz="0" w:space="0" w:color="auto"/>
        <w:bottom w:val="none" w:sz="0" w:space="0" w:color="auto"/>
        <w:right w:val="none" w:sz="0" w:space="0" w:color="auto"/>
      </w:divBdr>
    </w:div>
    <w:div w:id="2146778311">
      <w:bodyDiv w:val="1"/>
      <w:marLeft w:val="0"/>
      <w:marRight w:val="0"/>
      <w:marTop w:val="0"/>
      <w:marBottom w:val="0"/>
      <w:divBdr>
        <w:top w:val="none" w:sz="0" w:space="0" w:color="auto"/>
        <w:left w:val="none" w:sz="0" w:space="0" w:color="auto"/>
        <w:bottom w:val="none" w:sz="0" w:space="0" w:color="auto"/>
        <w:right w:val="none" w:sz="0" w:space="0" w:color="auto"/>
      </w:divBdr>
      <w:divsChild>
        <w:div w:id="862935446">
          <w:marLeft w:val="0"/>
          <w:marRight w:val="0"/>
          <w:marTop w:val="0"/>
          <w:marBottom w:val="0"/>
          <w:divBdr>
            <w:top w:val="none" w:sz="0" w:space="0" w:color="auto"/>
            <w:left w:val="none" w:sz="0" w:space="0" w:color="auto"/>
            <w:bottom w:val="none" w:sz="0" w:space="0" w:color="auto"/>
            <w:right w:val="none" w:sz="0" w:space="0" w:color="auto"/>
          </w:divBdr>
          <w:divsChild>
            <w:div w:id="57677607">
              <w:marLeft w:val="0"/>
              <w:marRight w:val="0"/>
              <w:marTop w:val="0"/>
              <w:marBottom w:val="0"/>
              <w:divBdr>
                <w:top w:val="none" w:sz="0" w:space="0" w:color="auto"/>
                <w:left w:val="none" w:sz="0" w:space="0" w:color="auto"/>
                <w:bottom w:val="none" w:sz="0" w:space="0" w:color="auto"/>
                <w:right w:val="none" w:sz="0" w:space="0" w:color="auto"/>
              </w:divBdr>
              <w:divsChild>
                <w:div w:id="1667974079">
                  <w:marLeft w:val="120"/>
                  <w:marRight w:val="0"/>
                  <w:marTop w:val="720"/>
                  <w:marBottom w:val="0"/>
                  <w:divBdr>
                    <w:top w:val="none" w:sz="0" w:space="0" w:color="auto"/>
                    <w:left w:val="none" w:sz="0" w:space="0" w:color="auto"/>
                    <w:bottom w:val="none" w:sz="0" w:space="0" w:color="auto"/>
                    <w:right w:val="none" w:sz="0" w:space="0" w:color="auto"/>
                  </w:divBdr>
                  <w:divsChild>
                    <w:div w:id="1269389811">
                      <w:marLeft w:val="240"/>
                      <w:marRight w:val="240"/>
                      <w:marTop w:val="0"/>
                      <w:marBottom w:val="0"/>
                      <w:divBdr>
                        <w:top w:val="none" w:sz="0" w:space="0" w:color="auto"/>
                        <w:left w:val="none" w:sz="0" w:space="0" w:color="auto"/>
                        <w:bottom w:val="none" w:sz="0" w:space="0" w:color="auto"/>
                        <w:right w:val="none" w:sz="0" w:space="0" w:color="auto"/>
                      </w:divBdr>
                      <w:divsChild>
                        <w:div w:id="569316148">
                          <w:marLeft w:val="0"/>
                          <w:marRight w:val="0"/>
                          <w:marTop w:val="0"/>
                          <w:marBottom w:val="0"/>
                          <w:divBdr>
                            <w:top w:val="none" w:sz="0" w:space="0" w:color="auto"/>
                            <w:left w:val="none" w:sz="0" w:space="0" w:color="auto"/>
                            <w:bottom w:val="none" w:sz="0" w:space="0" w:color="auto"/>
                            <w:right w:val="none" w:sz="0" w:space="0" w:color="auto"/>
                          </w:divBdr>
                          <w:divsChild>
                            <w:div w:id="106311637">
                              <w:marLeft w:val="0"/>
                              <w:marRight w:val="0"/>
                              <w:marTop w:val="0"/>
                              <w:marBottom w:val="0"/>
                              <w:divBdr>
                                <w:top w:val="none" w:sz="0" w:space="0" w:color="auto"/>
                                <w:left w:val="none" w:sz="0" w:space="0" w:color="auto"/>
                                <w:bottom w:val="single" w:sz="6" w:space="6" w:color="000000"/>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3" Type="http://schemas.openxmlformats.org/officeDocument/2006/relationships/hyperlink" Target="https://apps.fcc.gov/edocs_public/attachmatch/DOC-337189A1.pdf" TargetMode="External"/><Relationship Id="rId7" Type="http://schemas.openxmlformats.org/officeDocument/2006/relationships/hyperlink" Target="http://www.census.gov/cgi-bin/sssd/naics/naicsrch?code=515112&amp;search=2007%20NAICS%20Search" TargetMode="External"/><Relationship Id="rId2" Type="http://schemas.openxmlformats.org/officeDocument/2006/relationships/hyperlink" Target="http://www.nhc.noaa.gov/prepare/wwa.php" TargetMode="External"/><Relationship Id="rId1" Type="http://schemas.openxmlformats.org/officeDocument/2006/relationships/hyperlink" Target="http://www.radioworld.com/article/tfts-doors-are-shut-future-unclear/277026" TargetMode="External"/><Relationship Id="rId6" Type="http://schemas.openxmlformats.org/officeDocument/2006/relationships/hyperlink" Target="http://transition.fcc.gov/Daily_Releases/Daily_Business/2013/db0412/DOC-320138A1.pdf" TargetMode="External"/><Relationship Id="rId5" Type="http://schemas.openxmlformats.org/officeDocument/2006/relationships/hyperlink" Target="http://www.census.gov/cgi-bin/sssd/naics/naicsrch?code=515112&amp;search=2007%20NAICS%20Search" TargetMode="External"/><Relationship Id="rId10" Type="http://schemas.openxmlformats.org/officeDocument/2006/relationships/hyperlink" Target="http://hraunfoss.fcc.gov/edocs_public/attachmatch/DOC-301823A1.pdf" TargetMode="External"/><Relationship Id="rId4" Type="http://schemas.openxmlformats.org/officeDocument/2006/relationships/hyperlink" Target="https://www.sba.gov/sites/default/files/files/Size_Standards_Table.pdf" TargetMode="External"/><Relationship Id="rId9"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10624</Words>
  <Characters>57405</Characters>
  <Application>Microsoft Office Word</Application>
  <DocSecurity>0</DocSecurity>
  <Lines>1218</Lines>
  <Paragraphs>409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2016-07-12T20:08:00Z</dcterms:created>
  <dcterms:modified xsi:type="dcterms:W3CDTF">2016-07-12T20:08:00Z</dcterms:modified>
  <cp:category> </cp:category>
  <cp:contentStatus> </cp:contentStatus>
</cp:coreProperties>
</file>