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AA38"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83F0FFE" w14:textId="77777777" w:rsidR="00921803" w:rsidRDefault="00921803" w:rsidP="00921803">
      <w:pPr>
        <w:pStyle w:val="StyleBoldCentered"/>
      </w:pPr>
      <w:r>
        <w:t>F</w:t>
      </w:r>
      <w:r>
        <w:rPr>
          <w:caps w:val="0"/>
        </w:rPr>
        <w:t>ederal Communications Commission</w:t>
      </w:r>
    </w:p>
    <w:p w14:paraId="6655619B" w14:textId="77777777" w:rsidR="004C2EE3" w:rsidRDefault="00810B6F" w:rsidP="00096D8C">
      <w:pPr>
        <w:pStyle w:val="StyleBoldCentered"/>
      </w:pPr>
      <w:r>
        <w:rPr>
          <w:caps w:val="0"/>
        </w:rPr>
        <w:t>Washington, D.C. 20554</w:t>
      </w:r>
    </w:p>
    <w:p w14:paraId="748E6B72"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A3B432C" w14:textId="77777777">
        <w:tc>
          <w:tcPr>
            <w:tcW w:w="4698" w:type="dxa"/>
          </w:tcPr>
          <w:p w14:paraId="16BCE316" w14:textId="77777777" w:rsidR="007B75C5" w:rsidRDefault="007B75C5" w:rsidP="007B75C5">
            <w:pPr>
              <w:tabs>
                <w:tab w:val="center" w:pos="4680"/>
              </w:tabs>
              <w:suppressAutoHyphens/>
              <w:rPr>
                <w:spacing w:val="-2"/>
              </w:rPr>
            </w:pPr>
            <w:r>
              <w:rPr>
                <w:spacing w:val="-2"/>
              </w:rPr>
              <w:t xml:space="preserve">In the Matter of </w:t>
            </w:r>
          </w:p>
          <w:p w14:paraId="67608168" w14:textId="77777777" w:rsidR="006904C0" w:rsidRDefault="006904C0" w:rsidP="007B75C5">
            <w:pPr>
              <w:tabs>
                <w:tab w:val="center" w:pos="4680"/>
              </w:tabs>
              <w:suppressAutoHyphens/>
              <w:rPr>
                <w:spacing w:val="-2"/>
              </w:rPr>
            </w:pPr>
          </w:p>
          <w:p w14:paraId="7C515861" w14:textId="77777777" w:rsidR="006904C0" w:rsidRDefault="0056031A" w:rsidP="006904C0">
            <w:pPr>
              <w:tabs>
                <w:tab w:val="center" w:pos="4680"/>
              </w:tabs>
              <w:suppressAutoHyphens/>
              <w:rPr>
                <w:spacing w:val="-2"/>
              </w:rPr>
            </w:pPr>
            <w:r>
              <w:rPr>
                <w:spacing w:val="-2"/>
              </w:rPr>
              <w:t xml:space="preserve">The </w:t>
            </w:r>
            <w:r w:rsidR="006904C0">
              <w:rPr>
                <w:spacing w:val="-2"/>
              </w:rPr>
              <w:t xml:space="preserve">Los Angeles Social Justice Radio Project </w:t>
            </w:r>
          </w:p>
          <w:p w14:paraId="57B88D21" w14:textId="7A85FDAA" w:rsidR="007B75C5" w:rsidRPr="00B06127" w:rsidRDefault="006904C0" w:rsidP="007B75C5">
            <w:pPr>
              <w:ind w:right="-18"/>
              <w:rPr>
                <w:szCs w:val="22"/>
              </w:rPr>
            </w:pPr>
            <w:r>
              <w:rPr>
                <w:szCs w:val="22"/>
              </w:rPr>
              <w:t xml:space="preserve">Application </w:t>
            </w:r>
            <w:r w:rsidR="007B75C5" w:rsidRPr="00B06127">
              <w:rPr>
                <w:szCs w:val="22"/>
              </w:rPr>
              <w:t xml:space="preserve">for a </w:t>
            </w:r>
            <w:r>
              <w:rPr>
                <w:szCs w:val="22"/>
              </w:rPr>
              <w:t xml:space="preserve">Permit to Construct </w:t>
            </w:r>
            <w:r w:rsidR="007B75C5">
              <w:rPr>
                <w:szCs w:val="22"/>
              </w:rPr>
              <w:t xml:space="preserve">a New </w:t>
            </w:r>
            <w:r w:rsidR="00087990">
              <w:rPr>
                <w:szCs w:val="22"/>
              </w:rPr>
              <w:t xml:space="preserve">Low Power </w:t>
            </w:r>
            <w:r>
              <w:rPr>
                <w:szCs w:val="22"/>
              </w:rPr>
              <w:t>FM Station at Los Ang</w:t>
            </w:r>
            <w:r w:rsidR="003112BB">
              <w:rPr>
                <w:szCs w:val="22"/>
              </w:rPr>
              <w:t>e</w:t>
            </w:r>
            <w:r>
              <w:rPr>
                <w:szCs w:val="22"/>
              </w:rPr>
              <w:t>les, California</w:t>
            </w:r>
            <w:r w:rsidR="007B75C5" w:rsidRPr="00B06127">
              <w:rPr>
                <w:szCs w:val="22"/>
              </w:rPr>
              <w:t xml:space="preserve"> </w:t>
            </w:r>
          </w:p>
          <w:p w14:paraId="5E0B099F" w14:textId="77777777" w:rsidR="004C2EE3" w:rsidRPr="007115F7" w:rsidRDefault="004C2EE3" w:rsidP="001D2D3A">
            <w:pPr>
              <w:ind w:right="-18"/>
              <w:rPr>
                <w:spacing w:val="-2"/>
              </w:rPr>
            </w:pPr>
          </w:p>
        </w:tc>
        <w:tc>
          <w:tcPr>
            <w:tcW w:w="630" w:type="dxa"/>
          </w:tcPr>
          <w:p w14:paraId="687D0269" w14:textId="77777777" w:rsidR="004C2EE3" w:rsidRDefault="004C2EE3">
            <w:pPr>
              <w:tabs>
                <w:tab w:val="center" w:pos="4680"/>
              </w:tabs>
              <w:suppressAutoHyphens/>
              <w:rPr>
                <w:b/>
                <w:spacing w:val="-2"/>
              </w:rPr>
            </w:pPr>
            <w:r>
              <w:rPr>
                <w:b/>
                <w:spacing w:val="-2"/>
              </w:rPr>
              <w:t>)</w:t>
            </w:r>
          </w:p>
          <w:p w14:paraId="1ED25455" w14:textId="77777777" w:rsidR="004C2EE3" w:rsidRDefault="004C2EE3">
            <w:pPr>
              <w:tabs>
                <w:tab w:val="center" w:pos="4680"/>
              </w:tabs>
              <w:suppressAutoHyphens/>
              <w:rPr>
                <w:b/>
                <w:spacing w:val="-2"/>
              </w:rPr>
            </w:pPr>
            <w:r>
              <w:rPr>
                <w:b/>
                <w:spacing w:val="-2"/>
              </w:rPr>
              <w:t>)</w:t>
            </w:r>
          </w:p>
          <w:p w14:paraId="05FA00B9" w14:textId="77777777" w:rsidR="004C2EE3" w:rsidRDefault="004C2EE3">
            <w:pPr>
              <w:tabs>
                <w:tab w:val="center" w:pos="4680"/>
              </w:tabs>
              <w:suppressAutoHyphens/>
              <w:rPr>
                <w:b/>
                <w:spacing w:val="-2"/>
              </w:rPr>
            </w:pPr>
            <w:r>
              <w:rPr>
                <w:b/>
                <w:spacing w:val="-2"/>
              </w:rPr>
              <w:t>)</w:t>
            </w:r>
          </w:p>
          <w:p w14:paraId="62FA6364" w14:textId="77777777" w:rsidR="004C2EE3" w:rsidRDefault="004C2EE3">
            <w:pPr>
              <w:tabs>
                <w:tab w:val="center" w:pos="4680"/>
              </w:tabs>
              <w:suppressAutoHyphens/>
              <w:rPr>
                <w:b/>
                <w:spacing w:val="-2"/>
              </w:rPr>
            </w:pPr>
            <w:r>
              <w:rPr>
                <w:b/>
                <w:spacing w:val="-2"/>
              </w:rPr>
              <w:t>)</w:t>
            </w:r>
          </w:p>
          <w:p w14:paraId="3AC3D748" w14:textId="77777777" w:rsidR="004C2EE3" w:rsidRDefault="004C2EE3">
            <w:pPr>
              <w:tabs>
                <w:tab w:val="center" w:pos="4680"/>
              </w:tabs>
              <w:suppressAutoHyphens/>
              <w:rPr>
                <w:b/>
                <w:spacing w:val="-2"/>
              </w:rPr>
            </w:pPr>
            <w:r>
              <w:rPr>
                <w:b/>
                <w:spacing w:val="-2"/>
              </w:rPr>
              <w:t>)</w:t>
            </w:r>
          </w:p>
          <w:p w14:paraId="0626CAD6" w14:textId="77777777" w:rsidR="007B75C5" w:rsidRPr="001D2D3A" w:rsidRDefault="007B75C5">
            <w:pPr>
              <w:tabs>
                <w:tab w:val="center" w:pos="4680"/>
              </w:tabs>
              <w:suppressAutoHyphens/>
              <w:rPr>
                <w:b/>
                <w:spacing w:val="-2"/>
              </w:rPr>
            </w:pPr>
          </w:p>
        </w:tc>
        <w:tc>
          <w:tcPr>
            <w:tcW w:w="4248" w:type="dxa"/>
          </w:tcPr>
          <w:p w14:paraId="194039E1" w14:textId="77777777" w:rsidR="004C2EE3" w:rsidRDefault="004C2EE3">
            <w:pPr>
              <w:tabs>
                <w:tab w:val="center" w:pos="4680"/>
              </w:tabs>
              <w:suppressAutoHyphens/>
              <w:rPr>
                <w:spacing w:val="-2"/>
              </w:rPr>
            </w:pPr>
          </w:p>
          <w:p w14:paraId="4FF920D0" w14:textId="77777777" w:rsidR="007B75C5" w:rsidRDefault="007B75C5" w:rsidP="007B75C5">
            <w:pPr>
              <w:rPr>
                <w:szCs w:val="22"/>
              </w:rPr>
            </w:pPr>
          </w:p>
          <w:p w14:paraId="236CAE9F" w14:textId="77777777" w:rsidR="007B75C5" w:rsidRPr="002443D1" w:rsidRDefault="007B75C5" w:rsidP="007B75C5">
            <w:pPr>
              <w:rPr>
                <w:szCs w:val="22"/>
              </w:rPr>
            </w:pPr>
            <w:r w:rsidRPr="002443D1">
              <w:rPr>
                <w:szCs w:val="22"/>
              </w:rPr>
              <w:t>File No. BNP</w:t>
            </w:r>
            <w:r w:rsidR="001D2D3A">
              <w:rPr>
                <w:szCs w:val="22"/>
              </w:rPr>
              <w:t>L-20131114BHE</w:t>
            </w:r>
          </w:p>
          <w:p w14:paraId="1B73C22F" w14:textId="77777777" w:rsidR="007B75C5" w:rsidRDefault="007B75C5" w:rsidP="007B75C5">
            <w:pPr>
              <w:rPr>
                <w:szCs w:val="22"/>
              </w:rPr>
            </w:pPr>
            <w:r w:rsidRPr="002443D1">
              <w:rPr>
                <w:szCs w:val="22"/>
              </w:rPr>
              <w:t xml:space="preserve">Facility ID No. </w:t>
            </w:r>
            <w:r w:rsidR="001D2D3A">
              <w:rPr>
                <w:szCs w:val="22"/>
              </w:rPr>
              <w:t>196949</w:t>
            </w:r>
          </w:p>
          <w:p w14:paraId="42ED564C" w14:textId="77777777" w:rsidR="007B75C5" w:rsidRDefault="007B75C5" w:rsidP="007B75C5">
            <w:pPr>
              <w:tabs>
                <w:tab w:val="center" w:pos="4680"/>
              </w:tabs>
              <w:suppressAutoHyphens/>
              <w:rPr>
                <w:spacing w:val="-2"/>
              </w:rPr>
            </w:pPr>
          </w:p>
          <w:p w14:paraId="2614778E" w14:textId="77777777" w:rsidR="004C2EE3" w:rsidRDefault="004C2EE3" w:rsidP="001D2D3A">
            <w:pPr>
              <w:rPr>
                <w:spacing w:val="-2"/>
              </w:rPr>
            </w:pPr>
          </w:p>
        </w:tc>
      </w:tr>
    </w:tbl>
    <w:p w14:paraId="4E8CDEDA" w14:textId="77777777" w:rsidR="00841AB1" w:rsidRDefault="007B75C5" w:rsidP="008A1446">
      <w:pPr>
        <w:pStyle w:val="StyleBoldCentered"/>
      </w:pPr>
      <w:r>
        <w:t>MEMORANDUM OPINION AND ORDER</w:t>
      </w:r>
    </w:p>
    <w:p w14:paraId="0D4E3261" w14:textId="77777777" w:rsidR="004C2EE3" w:rsidRDefault="004C2EE3">
      <w:pPr>
        <w:tabs>
          <w:tab w:val="left" w:pos="-720"/>
        </w:tabs>
        <w:suppressAutoHyphens/>
        <w:spacing w:line="227" w:lineRule="auto"/>
        <w:rPr>
          <w:spacing w:val="-2"/>
        </w:rPr>
      </w:pPr>
    </w:p>
    <w:p w14:paraId="0BEF7D45" w14:textId="0D1AF54B" w:rsidR="004C2EE3" w:rsidRDefault="004C2EE3" w:rsidP="00133F79">
      <w:pPr>
        <w:tabs>
          <w:tab w:val="left" w:pos="720"/>
          <w:tab w:val="right" w:pos="9360"/>
        </w:tabs>
        <w:suppressAutoHyphens/>
        <w:spacing w:line="227" w:lineRule="auto"/>
        <w:rPr>
          <w:spacing w:val="-2"/>
        </w:rPr>
      </w:pPr>
      <w:r>
        <w:rPr>
          <w:b/>
          <w:spacing w:val="-2"/>
        </w:rPr>
        <w:t xml:space="preserve">Adopted:  </w:t>
      </w:r>
      <w:r w:rsidR="00354220">
        <w:rPr>
          <w:b/>
          <w:spacing w:val="-2"/>
        </w:rPr>
        <w:t>June 23</w:t>
      </w:r>
      <w:r w:rsidR="00DD21BD">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54220">
        <w:rPr>
          <w:b/>
          <w:spacing w:val="-2"/>
        </w:rPr>
        <w:t>June 23</w:t>
      </w:r>
      <w:r w:rsidR="00DD21BD">
        <w:rPr>
          <w:b/>
          <w:spacing w:val="-2"/>
        </w:rPr>
        <w:t>, 2016</w:t>
      </w:r>
    </w:p>
    <w:p w14:paraId="7DA58539" w14:textId="77777777" w:rsidR="00822CE0" w:rsidRDefault="00822CE0"/>
    <w:p w14:paraId="51F4CEA5" w14:textId="77777777" w:rsidR="004C2EE3" w:rsidRDefault="004C2EE3">
      <w:pPr>
        <w:rPr>
          <w:spacing w:val="-2"/>
        </w:rPr>
      </w:pPr>
      <w:r>
        <w:t xml:space="preserve">By </w:t>
      </w:r>
      <w:r w:rsidR="004E4A22">
        <w:t>the</w:t>
      </w:r>
      <w:r w:rsidR="002A2D2E">
        <w:t xml:space="preserve"> </w:t>
      </w:r>
      <w:r w:rsidR="007B75C5">
        <w:rPr>
          <w:spacing w:val="-2"/>
        </w:rPr>
        <w:t>Commission</w:t>
      </w:r>
      <w:r>
        <w:rPr>
          <w:spacing w:val="-2"/>
        </w:rPr>
        <w:t>:</w:t>
      </w:r>
    </w:p>
    <w:p w14:paraId="37A8825C" w14:textId="77777777" w:rsidR="00875B82" w:rsidRDefault="00875B82">
      <w:pPr>
        <w:rPr>
          <w:spacing w:val="-2"/>
        </w:rPr>
      </w:pPr>
    </w:p>
    <w:p w14:paraId="569DC4E8" w14:textId="4F329E22" w:rsidR="003A5DAF" w:rsidRDefault="007B75C5" w:rsidP="00740DF4">
      <w:pPr>
        <w:pStyle w:val="ParaNum"/>
      </w:pPr>
      <w:r>
        <w:t xml:space="preserve">We have before us an Application for Review (AFR) filed by </w:t>
      </w:r>
      <w:r w:rsidR="0056031A">
        <w:t>The Los Angeles Social Justice Radio Project (SJRP</w:t>
      </w:r>
      <w:r>
        <w:t>)</w:t>
      </w:r>
      <w:r w:rsidR="00A47C4A">
        <w:rPr>
          <w:rStyle w:val="FootnoteReference"/>
        </w:rPr>
        <w:footnoteReference w:id="2"/>
      </w:r>
      <w:r>
        <w:t xml:space="preserve"> </w:t>
      </w:r>
      <w:r w:rsidR="00DE6AA5">
        <w:t>and responsive pleadings</w:t>
      </w:r>
      <w:r w:rsidR="008700EE">
        <w:t xml:space="preserve"> from Calvary Chapel of Costa Mesa, Inc</w:t>
      </w:r>
      <w:r w:rsidR="00DE6AA5">
        <w:t>.</w:t>
      </w:r>
      <w:r w:rsidR="00D6102D">
        <w:t xml:space="preserve"> (Calvary</w:t>
      </w:r>
      <w:r w:rsidR="008700EE">
        <w:t>) and KLVE-FM License Corp. (KLVE)</w:t>
      </w:r>
      <w:r w:rsidR="004E2A05">
        <w:t xml:space="preserve"> and SJRP’s reply thereto</w:t>
      </w:r>
      <w:r w:rsidR="0002592A">
        <w:t>.</w:t>
      </w:r>
      <w:r w:rsidR="008700EE">
        <w:rPr>
          <w:rStyle w:val="FootnoteReference"/>
        </w:rPr>
        <w:footnoteReference w:id="3"/>
      </w:r>
      <w:r w:rsidR="00DE6AA5">
        <w:t xml:space="preserve">  SJRP seeks</w:t>
      </w:r>
      <w:r w:rsidR="00494029">
        <w:t xml:space="preserve"> </w:t>
      </w:r>
      <w:r>
        <w:t xml:space="preserve">review of a </w:t>
      </w:r>
      <w:r>
        <w:rPr>
          <w:i/>
        </w:rPr>
        <w:t>Decision</w:t>
      </w:r>
      <w:r>
        <w:rPr>
          <w:rStyle w:val="FootnoteReference"/>
        </w:rPr>
        <w:footnoteReference w:id="4"/>
      </w:r>
      <w:r w:rsidR="00FC1868">
        <w:t xml:space="preserve"> </w:t>
      </w:r>
      <w:r w:rsidR="00AC3DF4">
        <w:t xml:space="preserve">in </w:t>
      </w:r>
      <w:r w:rsidR="00CD0BD6">
        <w:t xml:space="preserve">which </w:t>
      </w:r>
      <w:r w:rsidR="00AC3DF4">
        <w:t xml:space="preserve">the Media Bureau (Bureau) </w:t>
      </w:r>
      <w:r w:rsidR="00CD0BD6">
        <w:t xml:space="preserve">affirmed </w:t>
      </w:r>
      <w:r w:rsidR="00AC3DF4">
        <w:t xml:space="preserve">its </w:t>
      </w:r>
      <w:r w:rsidR="003B42A0">
        <w:rPr>
          <w:i/>
        </w:rPr>
        <w:t>Initial Dismissal</w:t>
      </w:r>
      <w:r w:rsidR="003B42A0">
        <w:rPr>
          <w:rStyle w:val="FootnoteReference"/>
        </w:rPr>
        <w:t xml:space="preserve"> </w:t>
      </w:r>
      <w:r w:rsidR="00955722">
        <w:rPr>
          <w:rStyle w:val="FootnoteReference"/>
        </w:rPr>
        <w:footnoteReference w:id="5"/>
      </w:r>
      <w:r w:rsidR="0056031A">
        <w:t xml:space="preserve"> </w:t>
      </w:r>
      <w:r w:rsidR="00FC1868">
        <w:t xml:space="preserve">of SJRP’s </w:t>
      </w:r>
      <w:r w:rsidR="008540B0">
        <w:t>above-captioned a</w:t>
      </w:r>
      <w:r>
        <w:t xml:space="preserve">pplication </w:t>
      </w:r>
      <w:r w:rsidR="0056031A">
        <w:t>to construct a new low power FM (LPFM) station at Los Angeles, California</w:t>
      </w:r>
      <w:r>
        <w:t>.</w:t>
      </w:r>
      <w:r w:rsidR="0052517B">
        <w:rPr>
          <w:rStyle w:val="FootnoteReference"/>
        </w:rPr>
        <w:footnoteReference w:id="6"/>
      </w:r>
      <w:r>
        <w:t xml:space="preserve">  For the </w:t>
      </w:r>
      <w:r w:rsidR="0056031A">
        <w:t>reasons discussed below, we grant</w:t>
      </w:r>
      <w:r>
        <w:t xml:space="preserve"> the AFR</w:t>
      </w:r>
      <w:r w:rsidR="00400039">
        <w:t xml:space="preserve"> </w:t>
      </w:r>
      <w:r w:rsidR="005C535D">
        <w:t>and</w:t>
      </w:r>
      <w:r w:rsidR="00A428F1">
        <w:t xml:space="preserve"> r</w:t>
      </w:r>
      <w:r w:rsidR="0056031A">
        <w:t xml:space="preserve">einstate </w:t>
      </w:r>
      <w:r w:rsidR="00F25B8F">
        <w:t xml:space="preserve">and grant </w:t>
      </w:r>
      <w:r w:rsidR="0056031A">
        <w:t>t</w:t>
      </w:r>
      <w:r w:rsidR="0088121C">
        <w:t xml:space="preserve">he </w:t>
      </w:r>
      <w:r w:rsidR="00282052">
        <w:t>A</w:t>
      </w:r>
      <w:r w:rsidR="0088121C">
        <w:t>pplication</w:t>
      </w:r>
      <w:r>
        <w:t>.</w:t>
      </w:r>
    </w:p>
    <w:p w14:paraId="6371FF23" w14:textId="337C7879" w:rsidR="00EF0CFF" w:rsidRDefault="00740DF4" w:rsidP="00D13C40">
      <w:pPr>
        <w:pStyle w:val="ParaNum"/>
      </w:pPr>
      <w:r w:rsidRPr="00740DF4">
        <w:rPr>
          <w:i/>
        </w:rPr>
        <w:t>Background</w:t>
      </w:r>
      <w:r>
        <w:t xml:space="preserve">.  </w:t>
      </w:r>
      <w:r w:rsidR="00EF2D02">
        <w:t>SJRP filed the A</w:t>
      </w:r>
      <w:r w:rsidR="002175F2">
        <w:t xml:space="preserve">pplication </w:t>
      </w:r>
      <w:r w:rsidR="00F07F4D">
        <w:t xml:space="preserve">during the </w:t>
      </w:r>
      <w:r w:rsidR="007A67AB">
        <w:t>2013 LPFM filing window</w:t>
      </w:r>
      <w:r w:rsidR="00040387">
        <w:t xml:space="preserve">, specifying a </w:t>
      </w:r>
      <w:r w:rsidR="00142ED5">
        <w:t xml:space="preserve">transmitter </w:t>
      </w:r>
      <w:r w:rsidR="00040387">
        <w:t>site on th</w:t>
      </w:r>
      <w:r w:rsidR="000D0AD7">
        <w:t>e campus of Pierce College (</w:t>
      </w:r>
      <w:r w:rsidR="00040387">
        <w:t>College Site)</w:t>
      </w:r>
      <w:r w:rsidR="007A67AB">
        <w:t>.</w:t>
      </w:r>
      <w:r w:rsidR="00206722">
        <w:rPr>
          <w:rStyle w:val="FootnoteReference"/>
        </w:rPr>
        <w:footnoteReference w:id="7"/>
      </w:r>
      <w:r w:rsidR="007A67AB">
        <w:t xml:space="preserve">  The </w:t>
      </w:r>
      <w:r w:rsidR="00C72377">
        <w:t>A</w:t>
      </w:r>
      <w:r w:rsidR="002175F2">
        <w:t>pplication was mutually exclusive with six others</w:t>
      </w:r>
      <w:r w:rsidR="009A29A7">
        <w:t xml:space="preserve"> and </w:t>
      </w:r>
      <w:r w:rsidR="004E2A05">
        <w:t xml:space="preserve">the seven applications </w:t>
      </w:r>
      <w:r w:rsidR="009A29A7">
        <w:t>were</w:t>
      </w:r>
      <w:r w:rsidR="002175F2">
        <w:t xml:space="preserve"> collective</w:t>
      </w:r>
      <w:r w:rsidR="00AE5A4F">
        <w:t xml:space="preserve">ly designated as MX Group 40.  </w:t>
      </w:r>
      <w:r w:rsidR="00066719">
        <w:t>SJRP, in response to a pu</w:t>
      </w:r>
      <w:r w:rsidR="001D6C93">
        <w:t>blic notic</w:t>
      </w:r>
      <w:r w:rsidR="00674D81">
        <w:t xml:space="preserve">e inviting </w:t>
      </w:r>
      <w:r w:rsidR="00F9210B">
        <w:t xml:space="preserve">settlements and </w:t>
      </w:r>
      <w:r w:rsidR="00923F26">
        <w:t xml:space="preserve">major change </w:t>
      </w:r>
      <w:r w:rsidR="00066719">
        <w:t>engineering amendments,</w:t>
      </w:r>
      <w:r w:rsidR="00595541">
        <w:rPr>
          <w:rStyle w:val="FootnoteReference"/>
        </w:rPr>
        <w:footnoteReference w:id="8"/>
      </w:r>
      <w:r w:rsidR="00A078E6">
        <w:t xml:space="preserve"> </w:t>
      </w:r>
      <w:r w:rsidR="00C72377">
        <w:t>amended the A</w:t>
      </w:r>
      <w:r w:rsidR="00066719">
        <w:t>pplication</w:t>
      </w:r>
      <w:r w:rsidR="00AE5A4F">
        <w:t xml:space="preserve"> on October 8, 2014 </w:t>
      </w:r>
      <w:r w:rsidR="002175F2">
        <w:t>(October</w:t>
      </w:r>
      <w:r w:rsidR="00BE317A">
        <w:t xml:space="preserve"> Amendment) to </w:t>
      </w:r>
      <w:r w:rsidR="009A29A7">
        <w:t xml:space="preserve">resolve all technical conflicts to MX </w:t>
      </w:r>
      <w:r w:rsidR="002C3727">
        <w:t xml:space="preserve">Group 40 </w:t>
      </w:r>
      <w:r w:rsidR="002175F2">
        <w:t xml:space="preserve">by changing </w:t>
      </w:r>
      <w:r>
        <w:t xml:space="preserve">its proposed </w:t>
      </w:r>
      <w:r w:rsidR="00333AB7">
        <w:t>channel and transmitter site</w:t>
      </w:r>
      <w:r w:rsidR="002175F2">
        <w:t xml:space="preserve">.  </w:t>
      </w:r>
      <w:r w:rsidR="00AA4E3E">
        <w:t>The</w:t>
      </w:r>
      <w:r w:rsidR="00863640">
        <w:t xml:space="preserve"> Bur</w:t>
      </w:r>
      <w:r w:rsidR="00D511D9">
        <w:t>eau accepted the amended A</w:t>
      </w:r>
      <w:r w:rsidR="00855821">
        <w:t>pplication</w:t>
      </w:r>
      <w:r w:rsidR="00863640">
        <w:t xml:space="preserve"> </w:t>
      </w:r>
      <w:r w:rsidR="00855821">
        <w:t>and invited petitions.</w:t>
      </w:r>
      <w:r w:rsidR="00E7259E">
        <w:rPr>
          <w:rStyle w:val="FootnoteReference"/>
        </w:rPr>
        <w:footnoteReference w:id="9"/>
      </w:r>
      <w:r w:rsidR="00EF0CFF">
        <w:t xml:space="preserve"> </w:t>
      </w:r>
    </w:p>
    <w:p w14:paraId="48BA4F03" w14:textId="3AF1A5CA" w:rsidR="003A5DAF" w:rsidRDefault="00AE5A4F" w:rsidP="00D13C40">
      <w:pPr>
        <w:pStyle w:val="ParaNum"/>
        <w:widowControl/>
      </w:pPr>
      <w:r>
        <w:lastRenderedPageBreak/>
        <w:t xml:space="preserve">Calvary </w:t>
      </w:r>
      <w:r w:rsidR="00A76DE7">
        <w:t>and KLVE challenged the A</w:t>
      </w:r>
      <w:r w:rsidR="00863640">
        <w:t>pplication</w:t>
      </w:r>
      <w:r w:rsidR="00855821">
        <w:t xml:space="preserve">, as amended, </w:t>
      </w:r>
      <w:r w:rsidR="0012443A">
        <w:t xml:space="preserve">pointing out that the new site coordinates </w:t>
      </w:r>
      <w:r w:rsidR="004E2A05">
        <w:t xml:space="preserve">specified in the October Amendment </w:t>
      </w:r>
      <w:r w:rsidR="0012443A">
        <w:t xml:space="preserve">corresponded to public land </w:t>
      </w:r>
      <w:r w:rsidR="00BC35B3">
        <w:t xml:space="preserve">(Nature Site) </w:t>
      </w:r>
      <w:r w:rsidR="0012443A">
        <w:t>within the Chatsworth Nature Preserve</w:t>
      </w:r>
      <w:r w:rsidR="00990D78">
        <w:t>/Reservoir</w:t>
      </w:r>
      <w:r w:rsidR="0012443A">
        <w:t xml:space="preserve"> (</w:t>
      </w:r>
      <w:r w:rsidR="007C09F5">
        <w:t xml:space="preserve">Nature </w:t>
      </w:r>
      <w:r w:rsidR="00BC35B3">
        <w:t>Preserve</w:t>
      </w:r>
      <w:r w:rsidR="0012443A">
        <w:t>).</w:t>
      </w:r>
      <w:r w:rsidR="0012443A">
        <w:rPr>
          <w:rStyle w:val="FootnoteReference"/>
        </w:rPr>
        <w:footnoteReference w:id="10"/>
      </w:r>
      <w:r w:rsidR="0012443A">
        <w:t xml:space="preserve">  They argued</w:t>
      </w:r>
      <w:r w:rsidR="006265CF">
        <w:t xml:space="preserve"> that </w:t>
      </w:r>
      <w:r w:rsidR="007B3055">
        <w:t>SJRP</w:t>
      </w:r>
      <w:r w:rsidR="0012443A">
        <w:t xml:space="preserve"> lacked</w:t>
      </w:r>
      <w:r w:rsidR="002175F2">
        <w:t xml:space="preserve"> reasonable ass</w:t>
      </w:r>
      <w:r w:rsidR="00FD39CB">
        <w:t xml:space="preserve">urance of </w:t>
      </w:r>
      <w:r w:rsidR="005455A2">
        <w:t>site availabilit</w:t>
      </w:r>
      <w:r w:rsidR="00F45386">
        <w:t>y</w:t>
      </w:r>
      <w:r w:rsidR="00F45386">
        <w:rPr>
          <w:rStyle w:val="FootnoteReference"/>
        </w:rPr>
        <w:footnoteReference w:id="11"/>
      </w:r>
      <w:r w:rsidR="005455A2">
        <w:t xml:space="preserve"> </w:t>
      </w:r>
      <w:r w:rsidR="00F21A8E">
        <w:t xml:space="preserve">for the Nature Site </w:t>
      </w:r>
      <w:r w:rsidR="005455A2">
        <w:t>and incorrectly claim</w:t>
      </w:r>
      <w:r w:rsidR="002175F2">
        <w:t xml:space="preserve">ed </w:t>
      </w:r>
      <w:r w:rsidR="009A29A7">
        <w:t xml:space="preserve">an </w:t>
      </w:r>
      <w:r w:rsidR="007B3055">
        <w:t>exempt</w:t>
      </w:r>
      <w:r w:rsidR="00F00A57">
        <w:t>ion</w:t>
      </w:r>
      <w:r w:rsidR="007B3055">
        <w:t xml:space="preserve"> from </w:t>
      </w:r>
      <w:r w:rsidR="002175F2">
        <w:t xml:space="preserve">environmental </w:t>
      </w:r>
      <w:r w:rsidR="009532C3">
        <w:t>processing</w:t>
      </w:r>
      <w:r w:rsidR="004E2A05">
        <w:t xml:space="preserve"> for that site in the amendment</w:t>
      </w:r>
      <w:r w:rsidR="0012457E">
        <w:t>.</w:t>
      </w:r>
      <w:r w:rsidR="00F45386">
        <w:rPr>
          <w:rStyle w:val="FootnoteReference"/>
        </w:rPr>
        <w:footnoteReference w:id="12"/>
      </w:r>
      <w:r w:rsidR="00FA3860">
        <w:t xml:space="preserve">  </w:t>
      </w:r>
      <w:r w:rsidR="00DA4040">
        <w:t xml:space="preserve">SJRP </w:t>
      </w:r>
      <w:r w:rsidR="00501A3A">
        <w:t>responded by amending</w:t>
      </w:r>
      <w:r w:rsidR="00AA5DD1">
        <w:t xml:space="preserve"> </w:t>
      </w:r>
      <w:r w:rsidR="00C3527F">
        <w:t>its</w:t>
      </w:r>
      <w:r w:rsidR="00450464">
        <w:t xml:space="preserve"> site coordinates </w:t>
      </w:r>
      <w:r w:rsidR="004E2A05">
        <w:t xml:space="preserve">specified in the October Amendment </w:t>
      </w:r>
      <w:r w:rsidR="007A1188">
        <w:t>o</w:t>
      </w:r>
      <w:r w:rsidR="001D55C0">
        <w:t>n November 24, 2014</w:t>
      </w:r>
      <w:r w:rsidR="007A1188">
        <w:t xml:space="preserve"> </w:t>
      </w:r>
      <w:r w:rsidR="00D16B88">
        <w:t>(November Amendment)</w:t>
      </w:r>
      <w:r w:rsidR="0097616C">
        <w:t xml:space="preserve">.  </w:t>
      </w:r>
      <w:r w:rsidR="00142ED5">
        <w:t xml:space="preserve">In so amending, </w:t>
      </w:r>
      <w:r w:rsidR="0097616C">
        <w:t>SJRP</w:t>
      </w:r>
      <w:r w:rsidR="00F96273">
        <w:t xml:space="preserve"> claimed</w:t>
      </w:r>
      <w:r w:rsidR="00004D4B">
        <w:t xml:space="preserve"> </w:t>
      </w:r>
      <w:r w:rsidR="002C4F0D">
        <w:t xml:space="preserve">to have </w:t>
      </w:r>
      <w:r w:rsidR="00F37A4B">
        <w:t xml:space="preserve">accidentally </w:t>
      </w:r>
      <w:r w:rsidR="001A4781">
        <w:t xml:space="preserve">provided inaccurate coordinates </w:t>
      </w:r>
      <w:r w:rsidR="002015F5">
        <w:t xml:space="preserve">for its intended site </w:t>
      </w:r>
      <w:r w:rsidR="002C4F0D">
        <w:t xml:space="preserve">in the October Amendment, </w:t>
      </w:r>
      <w:r w:rsidR="002015F5">
        <w:t xml:space="preserve">and revised the coordinates to </w:t>
      </w:r>
      <w:r w:rsidR="00AA5DD1">
        <w:t xml:space="preserve">correspond to </w:t>
      </w:r>
      <w:r w:rsidR="00D57BDF">
        <w:t xml:space="preserve">private </w:t>
      </w:r>
      <w:r w:rsidR="000D0AD7">
        <w:t>land owned by Richard Hill (</w:t>
      </w:r>
      <w:r w:rsidR="00F83523">
        <w:t>Hill Site)</w:t>
      </w:r>
      <w:r w:rsidR="002015F5">
        <w:t xml:space="preserve">, a location about 750 feet from </w:t>
      </w:r>
      <w:r w:rsidR="00740DF4">
        <w:t xml:space="preserve">the Nature Site </w:t>
      </w:r>
      <w:r w:rsidR="00D47AB4">
        <w:t xml:space="preserve">coordinates </w:t>
      </w:r>
      <w:r w:rsidR="00740DF4">
        <w:t>specified</w:t>
      </w:r>
      <w:r w:rsidR="002015F5">
        <w:t xml:space="preserve"> in the October Amendment</w:t>
      </w:r>
      <w:r w:rsidR="00004D4B">
        <w:t>.</w:t>
      </w:r>
      <w:r w:rsidR="00004D4B">
        <w:rPr>
          <w:rStyle w:val="FootnoteReference"/>
        </w:rPr>
        <w:footnoteReference w:id="13"/>
      </w:r>
      <w:r w:rsidR="00004D4B">
        <w:t xml:space="preserve">  </w:t>
      </w:r>
      <w:r w:rsidR="00740212">
        <w:t xml:space="preserve">SJRP claimed that it had assurance for the Hill Site </w:t>
      </w:r>
      <w:r w:rsidR="009A29A7">
        <w:t>prior to the filing of the October Amendment</w:t>
      </w:r>
      <w:r w:rsidR="00740212">
        <w:t>.</w:t>
      </w:r>
      <w:r w:rsidR="00740212">
        <w:rPr>
          <w:rStyle w:val="FootnoteReference"/>
        </w:rPr>
        <w:footnoteReference w:id="14"/>
      </w:r>
    </w:p>
    <w:p w14:paraId="2E761403" w14:textId="5F81D27F" w:rsidR="007A67AB" w:rsidRDefault="00602EFF" w:rsidP="00F45386">
      <w:pPr>
        <w:pStyle w:val="ParaNum"/>
      </w:pPr>
      <w:r>
        <w:t xml:space="preserve">  </w:t>
      </w:r>
      <w:r w:rsidR="00316E35">
        <w:t>The Bureau determined that SJRP</w:t>
      </w:r>
      <w:r w:rsidR="001D4851">
        <w:t>’s claim was insufficient</w:t>
      </w:r>
      <w:r w:rsidR="009B7273">
        <w:t xml:space="preserve"> because </w:t>
      </w:r>
      <w:r w:rsidR="00012319">
        <w:t>an applicant must have reasonable assurance</w:t>
      </w:r>
      <w:r w:rsidR="00142ED5">
        <w:t xml:space="preserve"> of the availability of its transmitter site</w:t>
      </w:r>
      <w:r w:rsidR="00012319">
        <w:t xml:space="preserve"> at the time of application</w:t>
      </w:r>
      <w:r w:rsidR="00442D25">
        <w:t xml:space="preserve">.  </w:t>
      </w:r>
      <w:r w:rsidR="00127644">
        <w:t xml:space="preserve">The Bureau stated that, with respect to “the time SJRP filed the application,” SJRP </w:t>
      </w:r>
      <w:r w:rsidR="009B7273">
        <w:t>documented</w:t>
      </w:r>
      <w:r w:rsidR="002953C8">
        <w:t xml:space="preserve"> neither </w:t>
      </w:r>
      <w:r w:rsidR="009B7273">
        <w:t xml:space="preserve">that the Hill Site </w:t>
      </w:r>
      <w:r w:rsidR="002953C8">
        <w:t>was its intended site</w:t>
      </w:r>
      <w:r w:rsidR="00FC648D">
        <w:t>,</w:t>
      </w:r>
      <w:r w:rsidR="002953C8">
        <w:t xml:space="preserve"> </w:t>
      </w:r>
      <w:r w:rsidR="002760D7">
        <w:t>n</w:t>
      </w:r>
      <w:r w:rsidR="002953C8">
        <w:t xml:space="preserve">or </w:t>
      </w:r>
      <w:r w:rsidR="00127644">
        <w:t xml:space="preserve">that it had obtained </w:t>
      </w:r>
      <w:r w:rsidR="009B7273">
        <w:t>reasonable assurance for the Hill Site</w:t>
      </w:r>
      <w:r w:rsidR="00127644">
        <w:t>.</w:t>
      </w:r>
      <w:r w:rsidR="00C07D7C">
        <w:rPr>
          <w:rStyle w:val="FootnoteReference"/>
        </w:rPr>
        <w:footnoteReference w:id="15"/>
      </w:r>
      <w:r w:rsidR="009B7273">
        <w:t xml:space="preserve">  The Bureau did not </w:t>
      </w:r>
      <w:r w:rsidR="00C07D7C">
        <w:t xml:space="preserve">specify </w:t>
      </w:r>
      <w:r w:rsidR="00127644">
        <w:t xml:space="preserve">a particular date associated with </w:t>
      </w:r>
      <w:r w:rsidR="00C07D7C">
        <w:t>its reference to “the time SJRP filed the application</w:t>
      </w:r>
      <w:r w:rsidR="00127644">
        <w:t>.</w:t>
      </w:r>
      <w:r w:rsidR="00C07D7C">
        <w:t>”</w:t>
      </w:r>
      <w:r w:rsidR="00E7259E">
        <w:rPr>
          <w:rStyle w:val="FootnoteReference"/>
        </w:rPr>
        <w:footnoteReference w:id="16"/>
      </w:r>
      <w:r w:rsidR="00494360">
        <w:t xml:space="preserve">  </w:t>
      </w:r>
      <w:r w:rsidR="006C056D">
        <w:t>On reconsideration, SJRP</w:t>
      </w:r>
      <w:r w:rsidR="00C07D7C">
        <w:t xml:space="preserve"> (</w:t>
      </w:r>
      <w:r w:rsidR="00981ADE">
        <w:t xml:space="preserve">apparently </w:t>
      </w:r>
      <w:r w:rsidR="00C07D7C">
        <w:t xml:space="preserve">assuming that the Bureau was concerned with </w:t>
      </w:r>
      <w:r w:rsidR="004E2A05">
        <w:t xml:space="preserve">its </w:t>
      </w:r>
      <w:r w:rsidR="00C07D7C">
        <w:t xml:space="preserve">assurance </w:t>
      </w:r>
      <w:r w:rsidR="00127644">
        <w:t xml:space="preserve">for the Hill Site </w:t>
      </w:r>
      <w:r w:rsidR="00C07D7C">
        <w:t>at the time of amendment</w:t>
      </w:r>
      <w:r w:rsidR="00127644">
        <w:t xml:space="preserve"> in October 2014</w:t>
      </w:r>
      <w:r w:rsidR="00C07D7C">
        <w:t>)</w:t>
      </w:r>
      <w:r w:rsidR="006C056D">
        <w:t xml:space="preserve"> produced a</w:t>
      </w:r>
      <w:r w:rsidR="00F43178">
        <w:t xml:space="preserve"> February 10, 2015 </w:t>
      </w:r>
      <w:r w:rsidR="0007787F">
        <w:t xml:space="preserve">statement </w:t>
      </w:r>
      <w:r w:rsidR="006C056D">
        <w:t xml:space="preserve">from </w:t>
      </w:r>
      <w:r w:rsidR="00D62413">
        <w:t>the Hill Site</w:t>
      </w:r>
      <w:r w:rsidR="00795B51">
        <w:t>’s owner</w:t>
      </w:r>
      <w:r w:rsidR="00B744C7">
        <w:t xml:space="preserve">, clarifying that he had </w:t>
      </w:r>
      <w:r w:rsidR="00667B97">
        <w:t xml:space="preserve">provided </w:t>
      </w:r>
      <w:r w:rsidR="00007188">
        <w:t xml:space="preserve">assurance </w:t>
      </w:r>
      <w:r w:rsidR="004E2A05">
        <w:t xml:space="preserve">to SJRP </w:t>
      </w:r>
      <w:r w:rsidR="00B744C7">
        <w:t>in September 2014</w:t>
      </w:r>
      <w:r w:rsidR="004E7AE6">
        <w:t xml:space="preserve">, </w:t>
      </w:r>
      <w:r w:rsidR="004E7AE6">
        <w:rPr>
          <w:i/>
        </w:rPr>
        <w:t xml:space="preserve">i.e., </w:t>
      </w:r>
      <w:r w:rsidR="004E7AE6">
        <w:t>prior to</w:t>
      </w:r>
      <w:r w:rsidR="00007188">
        <w:t xml:space="preserve"> the October 8, 2014 </w:t>
      </w:r>
      <w:r w:rsidR="00F21A8E">
        <w:t xml:space="preserve">amendment filing </w:t>
      </w:r>
      <w:r w:rsidR="00007188">
        <w:t>date</w:t>
      </w:r>
      <w:r w:rsidR="00B744C7">
        <w:t>.</w:t>
      </w:r>
      <w:r w:rsidR="00F43178">
        <w:rPr>
          <w:rStyle w:val="FootnoteReference"/>
        </w:rPr>
        <w:footnoteReference w:id="17"/>
      </w:r>
      <w:r w:rsidR="00B744C7">
        <w:t xml:space="preserve">  </w:t>
      </w:r>
      <w:r w:rsidR="006C056D">
        <w:t xml:space="preserve">The Bureau denied </w:t>
      </w:r>
      <w:r w:rsidR="00740212">
        <w:t>r</w:t>
      </w:r>
      <w:r w:rsidR="006C056D">
        <w:t>econsideration</w:t>
      </w:r>
      <w:r w:rsidR="00007188">
        <w:t xml:space="preserve">, </w:t>
      </w:r>
      <w:r w:rsidR="00E42779">
        <w:t xml:space="preserve">stating that SJRP had </w:t>
      </w:r>
      <w:r w:rsidR="004E7AE6">
        <w:t>not demonstrate</w:t>
      </w:r>
      <w:r w:rsidR="00E42779">
        <w:t>d</w:t>
      </w:r>
      <w:r w:rsidR="00CE155C">
        <w:t xml:space="preserve"> assu</w:t>
      </w:r>
      <w:r w:rsidR="004E7AE6">
        <w:t>r</w:t>
      </w:r>
      <w:r w:rsidR="00CE155C">
        <w:t>ance</w:t>
      </w:r>
      <w:r w:rsidR="00D15677">
        <w:t xml:space="preserve"> </w:t>
      </w:r>
      <w:r w:rsidR="00127644">
        <w:t>for the Hill Site</w:t>
      </w:r>
      <w:r w:rsidR="00C07AA5">
        <w:t xml:space="preserve"> or for the Nature Site</w:t>
      </w:r>
      <w:r w:rsidR="00127644">
        <w:t xml:space="preserve"> </w:t>
      </w:r>
      <w:r w:rsidR="004E7AE6">
        <w:t xml:space="preserve">as of </w:t>
      </w:r>
      <w:r w:rsidR="003825C1">
        <w:t>November 2013</w:t>
      </w:r>
      <w:r w:rsidR="005A7402">
        <w:t xml:space="preserve">, when SJRP filed the </w:t>
      </w:r>
      <w:r w:rsidR="00BE469B">
        <w:t>A</w:t>
      </w:r>
      <w:r w:rsidR="00F526D0">
        <w:t>pplication</w:t>
      </w:r>
      <w:r w:rsidR="005A7402">
        <w:t xml:space="preserve"> initially</w:t>
      </w:r>
      <w:r w:rsidR="00BE3923">
        <w:t>.</w:t>
      </w:r>
      <w:r w:rsidR="00CE4CC4">
        <w:rPr>
          <w:rStyle w:val="FootnoteReference"/>
        </w:rPr>
        <w:footnoteReference w:id="18"/>
      </w:r>
    </w:p>
    <w:p w14:paraId="02EA7C7A" w14:textId="28695CF0" w:rsidR="007B75C5" w:rsidRDefault="002B0ECE" w:rsidP="00740212">
      <w:pPr>
        <w:pStyle w:val="ParaNum"/>
      </w:pPr>
      <w:r>
        <w:lastRenderedPageBreak/>
        <w:t xml:space="preserve">SJRP </w:t>
      </w:r>
      <w:r w:rsidR="00DB476B">
        <w:t xml:space="preserve">contends that </w:t>
      </w:r>
      <w:r w:rsidR="00F74138">
        <w:t xml:space="preserve">Commission review is warranted due to the </w:t>
      </w:r>
      <w:r w:rsidR="00F74138" w:rsidRPr="00F74138">
        <w:rPr>
          <w:i/>
        </w:rPr>
        <w:t>Decision</w:t>
      </w:r>
      <w:r w:rsidR="00F74138">
        <w:t>’s</w:t>
      </w:r>
      <w:r w:rsidR="00957904">
        <w:t>:</w:t>
      </w:r>
      <w:r w:rsidR="00D85E47">
        <w:t xml:space="preserve">  </w:t>
      </w:r>
      <w:r w:rsidR="00F74138">
        <w:t xml:space="preserve">(1) </w:t>
      </w:r>
      <w:r w:rsidR="00CE2AEA">
        <w:t>erroneous finding as to a material question of fact</w:t>
      </w:r>
      <w:r w:rsidR="00F74138">
        <w:t xml:space="preserve">; and (2) </w:t>
      </w:r>
      <w:r w:rsidR="00FE0775">
        <w:t>conflict with rules, cases, and</w:t>
      </w:r>
      <w:r w:rsidR="009A63B9">
        <w:t xml:space="preserve"> policies</w:t>
      </w:r>
      <w:r w:rsidR="00CE2AEA">
        <w:t>.</w:t>
      </w:r>
      <w:r w:rsidR="00A1244E">
        <w:rPr>
          <w:rStyle w:val="FootnoteReference"/>
        </w:rPr>
        <w:footnoteReference w:id="19"/>
      </w:r>
      <w:r w:rsidR="00CE2AEA">
        <w:t xml:space="preserve">  </w:t>
      </w:r>
      <w:r w:rsidR="00F218C6">
        <w:t xml:space="preserve">Specifically, </w:t>
      </w:r>
      <w:r w:rsidR="005C0424">
        <w:t>SJRP argue</w:t>
      </w:r>
      <w:r w:rsidR="004F512D">
        <w:t xml:space="preserve">s that the </w:t>
      </w:r>
      <w:r w:rsidR="004F512D">
        <w:rPr>
          <w:i/>
        </w:rPr>
        <w:t xml:space="preserve">Decision </w:t>
      </w:r>
      <w:r w:rsidR="004E2A05">
        <w:t>confla</w:t>
      </w:r>
      <w:r w:rsidR="0004052E">
        <w:t>ted the site originally proposed</w:t>
      </w:r>
      <w:r w:rsidR="004E2A05">
        <w:t xml:space="preserve"> by </w:t>
      </w:r>
      <w:r w:rsidR="004F512D">
        <w:t>SJRP</w:t>
      </w:r>
      <w:r w:rsidR="00856A96">
        <w:t xml:space="preserve"> </w:t>
      </w:r>
      <w:r w:rsidR="004E2A05">
        <w:t>in its</w:t>
      </w:r>
      <w:r w:rsidR="00F218C6">
        <w:t xml:space="preserve"> </w:t>
      </w:r>
      <w:r w:rsidR="00C72C35">
        <w:t xml:space="preserve">2013 </w:t>
      </w:r>
      <w:r w:rsidR="00981ADE">
        <w:t>A</w:t>
      </w:r>
      <w:r w:rsidR="004E2A05">
        <w:t xml:space="preserve">pplication (the College Site) with </w:t>
      </w:r>
      <w:r w:rsidR="006C1EAA">
        <w:t>that to which it amended in 2014</w:t>
      </w:r>
      <w:r w:rsidR="004E2A05">
        <w:t xml:space="preserve"> (the Hill Site)</w:t>
      </w:r>
      <w:r w:rsidR="00F218C6">
        <w:t xml:space="preserve"> and </w:t>
      </w:r>
      <w:r w:rsidR="00BC47B3">
        <w:t>reached</w:t>
      </w:r>
      <w:r w:rsidR="001D086A">
        <w:t xml:space="preserve"> a result </w:t>
      </w:r>
      <w:r w:rsidR="00BC47B3">
        <w:t xml:space="preserve">in </w:t>
      </w:r>
      <w:r w:rsidR="00486656">
        <w:t>conflict</w:t>
      </w:r>
      <w:r w:rsidR="00EA6961">
        <w:t xml:space="preserve"> with</w:t>
      </w:r>
      <w:r w:rsidR="00486656">
        <w:t xml:space="preserve"> </w:t>
      </w:r>
      <w:r w:rsidR="00575300">
        <w:t xml:space="preserve">corrective </w:t>
      </w:r>
      <w:r w:rsidR="00EA6961">
        <w:t>amendment</w:t>
      </w:r>
      <w:r w:rsidR="00C72C35">
        <w:t xml:space="preserve"> policie</w:t>
      </w:r>
      <w:r w:rsidR="00EA6961">
        <w:t>s</w:t>
      </w:r>
      <w:r w:rsidR="00F74138">
        <w:t xml:space="preserve"> and related cases</w:t>
      </w:r>
      <w:r w:rsidR="00BD2A8E">
        <w:t>.</w:t>
      </w:r>
      <w:r w:rsidR="00E20E0A">
        <w:t xml:space="preserve">  Calvary and KLVE re</w:t>
      </w:r>
      <w:r w:rsidR="00727FBB">
        <w:t>s</w:t>
      </w:r>
      <w:r w:rsidR="00E20E0A">
        <w:t>pond</w:t>
      </w:r>
      <w:r w:rsidR="00E57237">
        <w:t xml:space="preserve"> that the Bureau </w:t>
      </w:r>
      <w:r w:rsidR="00575300">
        <w:t>properly dismissed</w:t>
      </w:r>
      <w:r w:rsidR="008C3373">
        <w:t xml:space="preserve"> the A</w:t>
      </w:r>
      <w:r w:rsidR="002B470A">
        <w:t>pplication</w:t>
      </w:r>
      <w:r w:rsidR="00E57237">
        <w:t xml:space="preserve"> because SJRP’s specification of the Nature Site</w:t>
      </w:r>
      <w:r w:rsidR="002B470A">
        <w:t>,</w:t>
      </w:r>
      <w:r w:rsidR="00E20E0A">
        <w:t xml:space="preserve"> without </w:t>
      </w:r>
      <w:r w:rsidR="00B81609">
        <w:t xml:space="preserve">reasonable assurance of </w:t>
      </w:r>
      <w:r w:rsidR="00E20E0A">
        <w:t xml:space="preserve">that site’s </w:t>
      </w:r>
      <w:r w:rsidR="00B81609">
        <w:t xml:space="preserve">availability, </w:t>
      </w:r>
      <w:r w:rsidR="005466CC">
        <w:t>was a fatal flaw</w:t>
      </w:r>
      <w:r w:rsidR="005304A3">
        <w:t xml:space="preserve">, not </w:t>
      </w:r>
      <w:r w:rsidR="002744DC">
        <w:t>curable by</w:t>
      </w:r>
      <w:r w:rsidR="005304A3">
        <w:t xml:space="preserve"> corrective amendment</w:t>
      </w:r>
      <w:r w:rsidR="005466CC">
        <w:t>.</w:t>
      </w:r>
      <w:r w:rsidR="000476E7">
        <w:rPr>
          <w:rStyle w:val="FootnoteReference"/>
        </w:rPr>
        <w:footnoteReference w:id="20"/>
      </w:r>
      <w:r w:rsidR="00F41B64">
        <w:t xml:space="preserve">  SJRP responds that it has shown it had reasonable assurance </w:t>
      </w:r>
      <w:r w:rsidR="000934E9">
        <w:t>for</w:t>
      </w:r>
      <w:r w:rsidR="00F41B64">
        <w:t xml:space="preserve"> the College Site when it filed the Application, as well as for the Hill Site when it filed the October Amendment and the November Amendment, and the latter amendment cured the former amendment’s error in coordinates.</w:t>
      </w:r>
      <w:r w:rsidR="002F0E3E">
        <w:rPr>
          <w:rStyle w:val="FootnoteReference"/>
        </w:rPr>
        <w:footnoteReference w:id="21"/>
      </w:r>
    </w:p>
    <w:p w14:paraId="78B60F70" w14:textId="39B1CDB6" w:rsidR="00C3496C" w:rsidRDefault="00F21A8E" w:rsidP="00740212">
      <w:pPr>
        <w:pStyle w:val="ParaNum"/>
      </w:pPr>
      <w:r>
        <w:rPr>
          <w:i/>
        </w:rPr>
        <w:t>Discussion</w:t>
      </w:r>
      <w:r w:rsidR="00740212">
        <w:t>.  W</w:t>
      </w:r>
      <w:r w:rsidR="007830C2">
        <w:t xml:space="preserve">e agree </w:t>
      </w:r>
      <w:r w:rsidR="00686F78">
        <w:t xml:space="preserve">with SJRP </w:t>
      </w:r>
      <w:r w:rsidR="007830C2">
        <w:t>that t</w:t>
      </w:r>
      <w:r w:rsidR="008E7069">
        <w:t xml:space="preserve">he </w:t>
      </w:r>
      <w:r w:rsidR="00194E88">
        <w:t>Bureau</w:t>
      </w:r>
      <w:r w:rsidR="00A44E6F">
        <w:t xml:space="preserve"> based its</w:t>
      </w:r>
      <w:r w:rsidR="00C9635D">
        <w:t xml:space="preserve"> </w:t>
      </w:r>
      <w:r w:rsidR="00D24584">
        <w:t>ruling</w:t>
      </w:r>
      <w:r w:rsidR="00236918">
        <w:t xml:space="preserve"> </w:t>
      </w:r>
      <w:r w:rsidR="00194E88">
        <w:t xml:space="preserve">on an </w:t>
      </w:r>
      <w:r w:rsidR="00992DDA">
        <w:t xml:space="preserve">incorrect </w:t>
      </w:r>
      <w:r w:rsidR="007830C2">
        <w:t xml:space="preserve">material fact.  The Bureau </w:t>
      </w:r>
      <w:r w:rsidR="001366A7">
        <w:t xml:space="preserve">apparently </w:t>
      </w:r>
      <w:r w:rsidR="002416EC">
        <w:t>believed</w:t>
      </w:r>
      <w:r w:rsidR="00992DDA">
        <w:t xml:space="preserve"> </w:t>
      </w:r>
      <w:r w:rsidR="009122F7">
        <w:t xml:space="preserve">that </w:t>
      </w:r>
      <w:r w:rsidR="001A1C75">
        <w:t>SJRP</w:t>
      </w:r>
      <w:r w:rsidR="00236918">
        <w:t xml:space="preserve"> </w:t>
      </w:r>
      <w:r w:rsidR="000422BB">
        <w:t xml:space="preserve">specified </w:t>
      </w:r>
      <w:r w:rsidR="00C707FD">
        <w:t xml:space="preserve">only </w:t>
      </w:r>
      <w:r w:rsidR="009122F7">
        <w:t xml:space="preserve">two </w:t>
      </w:r>
      <w:r w:rsidR="008E7069">
        <w:t>sites</w:t>
      </w:r>
      <w:r w:rsidR="00E5735B">
        <w:t xml:space="preserve"> </w:t>
      </w:r>
      <w:r w:rsidR="008E7069">
        <w:t>–</w:t>
      </w:r>
      <w:r w:rsidR="00E5735B">
        <w:t xml:space="preserve"> </w:t>
      </w:r>
      <w:r w:rsidR="008E7069">
        <w:t xml:space="preserve">the </w:t>
      </w:r>
      <w:r w:rsidR="009122F7">
        <w:t xml:space="preserve">Nature Site </w:t>
      </w:r>
      <w:r w:rsidR="00EF30F0">
        <w:t>(</w:t>
      </w:r>
      <w:r w:rsidR="00F8067B">
        <w:t>for which SJRP</w:t>
      </w:r>
      <w:r w:rsidR="00A03C1E">
        <w:t xml:space="preserve"> concede</w:t>
      </w:r>
      <w:r w:rsidR="004A76ED">
        <w:t>s that it</w:t>
      </w:r>
      <w:r w:rsidR="001366A7">
        <w:t xml:space="preserve"> </w:t>
      </w:r>
      <w:r w:rsidR="00A03C1E">
        <w:t xml:space="preserve">never had </w:t>
      </w:r>
      <w:r w:rsidR="00AE5B72">
        <w:t>assurance</w:t>
      </w:r>
      <w:r w:rsidR="00EF30F0">
        <w:t>)</w:t>
      </w:r>
      <w:r w:rsidR="009122F7">
        <w:t xml:space="preserve">, and the Hill Site </w:t>
      </w:r>
      <w:r w:rsidR="00EF30F0">
        <w:t>(</w:t>
      </w:r>
      <w:r w:rsidR="004A76ED">
        <w:t xml:space="preserve">for which SJRP claims to have </w:t>
      </w:r>
      <w:r w:rsidR="007C624E">
        <w:t>obtained</w:t>
      </w:r>
      <w:r w:rsidR="00AE5B72">
        <w:t xml:space="preserve"> assurance in September 2014).  </w:t>
      </w:r>
      <w:r w:rsidR="00CF3988">
        <w:t>T</w:t>
      </w:r>
      <w:r w:rsidR="007B275C">
        <w:t xml:space="preserve">he Bureau </w:t>
      </w:r>
      <w:r w:rsidR="00CF3988">
        <w:t xml:space="preserve">was, therefore, concerned </w:t>
      </w:r>
      <w:r w:rsidR="00AD511E">
        <w:t xml:space="preserve">about </w:t>
      </w:r>
      <w:r w:rsidR="00296BD1">
        <w:t>whether SJRP</w:t>
      </w:r>
      <w:r w:rsidR="007B275C">
        <w:t xml:space="preserve">, at </w:t>
      </w:r>
      <w:r w:rsidR="00CF3988">
        <w:t>the</w:t>
      </w:r>
      <w:r w:rsidR="007B275C">
        <w:t xml:space="preserve"> time</w:t>
      </w:r>
      <w:r w:rsidR="00CF3988">
        <w:t xml:space="preserve"> of </w:t>
      </w:r>
      <w:r w:rsidR="004E2A05">
        <w:t xml:space="preserve">filing of its </w:t>
      </w:r>
      <w:r w:rsidR="00CF3988">
        <w:t xml:space="preserve">original </w:t>
      </w:r>
      <w:r w:rsidR="004E2A05">
        <w:t>A</w:t>
      </w:r>
      <w:r w:rsidR="00CF3988">
        <w:t>pplication</w:t>
      </w:r>
      <w:r w:rsidR="007B275C">
        <w:t>,</w:t>
      </w:r>
      <w:r w:rsidR="00633ED0">
        <w:t xml:space="preserve"> </w:t>
      </w:r>
      <w:r w:rsidR="00BC1A41">
        <w:t xml:space="preserve">either </w:t>
      </w:r>
      <w:r w:rsidR="00296BD1">
        <w:t>had assurance for the Nature Site</w:t>
      </w:r>
      <w:r w:rsidR="00633ED0">
        <w:t xml:space="preserve"> or actually </w:t>
      </w:r>
      <w:r w:rsidR="00D56F33">
        <w:t xml:space="preserve">intended </w:t>
      </w:r>
      <w:r w:rsidR="00633ED0">
        <w:t xml:space="preserve">to use </w:t>
      </w:r>
      <w:r w:rsidR="0066326E">
        <w:t xml:space="preserve">and had assurance for </w:t>
      </w:r>
      <w:r w:rsidR="00633ED0">
        <w:t>the Hill Site</w:t>
      </w:r>
      <w:r w:rsidR="00D56F33">
        <w:t xml:space="preserve">.  </w:t>
      </w:r>
      <w:r w:rsidR="009122F7">
        <w:t xml:space="preserve">The </w:t>
      </w:r>
      <w:r w:rsidR="00AE5B72">
        <w:t xml:space="preserve">Bureau </w:t>
      </w:r>
      <w:r w:rsidR="00650647">
        <w:t xml:space="preserve">held </w:t>
      </w:r>
      <w:r w:rsidR="009122F7">
        <w:t>that SJRP</w:t>
      </w:r>
      <w:r w:rsidR="00EF30F0">
        <w:t xml:space="preserve">’s lack of assurance </w:t>
      </w:r>
      <w:r w:rsidR="008272C0">
        <w:t xml:space="preserve">for </w:t>
      </w:r>
      <w:r w:rsidR="00D56F33">
        <w:t xml:space="preserve">either </w:t>
      </w:r>
      <w:r w:rsidR="008272C0">
        <w:t>the Nature Site</w:t>
      </w:r>
      <w:r w:rsidR="000A4FAC">
        <w:t xml:space="preserve"> </w:t>
      </w:r>
      <w:r w:rsidR="00D56F33">
        <w:t xml:space="preserve">or the Hill Site </w:t>
      </w:r>
      <w:r>
        <w:t xml:space="preserve">at the time of initial </w:t>
      </w:r>
      <w:r w:rsidR="004E2A05">
        <w:t>A</w:t>
      </w:r>
      <w:r>
        <w:t xml:space="preserve">pplication filing </w:t>
      </w:r>
      <w:r w:rsidR="00EF30F0">
        <w:t xml:space="preserve">was a fatal defect </w:t>
      </w:r>
      <w:r w:rsidR="00A344D9">
        <w:t xml:space="preserve">in the original </w:t>
      </w:r>
      <w:r w:rsidR="004E2A05">
        <w:t>A</w:t>
      </w:r>
      <w:r w:rsidR="00A344D9">
        <w:t xml:space="preserve">pplication </w:t>
      </w:r>
      <w:r w:rsidR="00EF30F0">
        <w:t xml:space="preserve">that could not be cured by </w:t>
      </w:r>
      <w:r w:rsidR="004E2A05">
        <w:t xml:space="preserve">its </w:t>
      </w:r>
      <w:r w:rsidR="005C3CE9">
        <w:t xml:space="preserve">later </w:t>
      </w:r>
      <w:r w:rsidR="00FE37CD">
        <w:t xml:space="preserve">obtaining </w:t>
      </w:r>
      <w:r w:rsidR="009122F7">
        <w:t>assurance for t</w:t>
      </w:r>
      <w:r w:rsidR="00EF30F0">
        <w:t>he Hill Site.</w:t>
      </w:r>
      <w:r w:rsidR="003C157A">
        <w:rPr>
          <w:rStyle w:val="FootnoteReference"/>
        </w:rPr>
        <w:footnoteReference w:id="22"/>
      </w:r>
      <w:r w:rsidR="00EF30F0">
        <w:t xml:space="preserve">  </w:t>
      </w:r>
      <w:r w:rsidR="00445790">
        <w:t xml:space="preserve">The Bureau’s holding would have been correct in the two-site scenario the Bureau believed that it was addressing.  </w:t>
      </w:r>
      <w:r w:rsidR="009E3767">
        <w:t xml:space="preserve">The </w:t>
      </w:r>
      <w:r w:rsidR="009E3767">
        <w:rPr>
          <w:i/>
        </w:rPr>
        <w:t>Decision</w:t>
      </w:r>
      <w:r w:rsidR="009E3767">
        <w:t xml:space="preserve"> overlooked</w:t>
      </w:r>
      <w:r w:rsidR="00992DDA">
        <w:t>, however,</w:t>
      </w:r>
      <w:r w:rsidR="009E3767">
        <w:t xml:space="preserve"> that SJRP</w:t>
      </w:r>
      <w:r w:rsidR="00145BBA">
        <w:t xml:space="preserve"> had</w:t>
      </w:r>
      <w:r w:rsidR="00F516FF">
        <w:t xml:space="preserve"> </w:t>
      </w:r>
      <w:r w:rsidR="00C707FD">
        <w:t xml:space="preserve">listed coordinates </w:t>
      </w:r>
      <w:r w:rsidR="00B23E7C">
        <w:t xml:space="preserve">not </w:t>
      </w:r>
      <w:r w:rsidR="00C707FD">
        <w:t xml:space="preserve">for </w:t>
      </w:r>
      <w:r w:rsidR="00B23E7C">
        <w:t xml:space="preserve">two </w:t>
      </w:r>
      <w:r w:rsidR="00784906">
        <w:t xml:space="preserve">sites, but </w:t>
      </w:r>
      <w:r w:rsidR="00C707FD">
        <w:t xml:space="preserve">for </w:t>
      </w:r>
      <w:r w:rsidR="00784906">
        <w:t>three.</w:t>
      </w:r>
      <w:r w:rsidR="00B23E7C">
        <w:rPr>
          <w:rStyle w:val="FootnoteReference"/>
        </w:rPr>
        <w:footnoteReference w:id="23"/>
      </w:r>
      <w:r w:rsidR="00363FB0">
        <w:t xml:space="preserve">  The </w:t>
      </w:r>
      <w:r w:rsidR="009E3767">
        <w:t xml:space="preserve">original </w:t>
      </w:r>
      <w:r w:rsidR="003E7E40">
        <w:t xml:space="preserve">2013 </w:t>
      </w:r>
      <w:r w:rsidR="00727A54">
        <w:t>A</w:t>
      </w:r>
      <w:r w:rsidR="009E3767">
        <w:t xml:space="preserve">pplication </w:t>
      </w:r>
      <w:r w:rsidR="00212BD5">
        <w:t>proposed the College Site, and</w:t>
      </w:r>
      <w:r w:rsidR="00C24FD9">
        <w:t xml:space="preserve"> </w:t>
      </w:r>
      <w:r w:rsidR="00740212">
        <w:t>there has never been any question about SJRP’s specification of that site</w:t>
      </w:r>
      <w:r w:rsidR="002805C6">
        <w:t xml:space="preserve"> or </w:t>
      </w:r>
      <w:r w:rsidR="004E2A05">
        <w:t xml:space="preserve">its reasonable </w:t>
      </w:r>
      <w:r w:rsidR="002805C6">
        <w:t>assurance therefor</w:t>
      </w:r>
      <w:r w:rsidR="00555FA2">
        <w:t>.</w:t>
      </w:r>
      <w:r w:rsidR="00555FA2">
        <w:rPr>
          <w:rStyle w:val="FootnoteReference"/>
        </w:rPr>
        <w:footnoteReference w:id="24"/>
      </w:r>
      <w:r w:rsidR="00A702B9">
        <w:t xml:space="preserve">  </w:t>
      </w:r>
      <w:r w:rsidR="00740212">
        <w:t>SJRP’s error in specifying</w:t>
      </w:r>
      <w:r w:rsidR="00763642">
        <w:t xml:space="preserve"> the </w:t>
      </w:r>
      <w:r w:rsidR="004E2A05">
        <w:t xml:space="preserve">coordinates for the </w:t>
      </w:r>
      <w:r w:rsidR="00763642">
        <w:t>Nature Site</w:t>
      </w:r>
      <w:r w:rsidR="00E4529A">
        <w:t xml:space="preserve"> the following year</w:t>
      </w:r>
      <w:r w:rsidR="00763642">
        <w:t xml:space="preserve"> </w:t>
      </w:r>
      <w:r w:rsidR="00E90948">
        <w:t xml:space="preserve">in </w:t>
      </w:r>
      <w:r w:rsidR="00E4529A">
        <w:t>the October Amendment</w:t>
      </w:r>
      <w:r w:rsidR="00F63103">
        <w:t xml:space="preserve"> </w:t>
      </w:r>
      <w:r w:rsidR="00763642">
        <w:t>is, thus, of no consequence</w:t>
      </w:r>
      <w:r>
        <w:t xml:space="preserve"> in determining whether it had obtained reasonable assurance </w:t>
      </w:r>
      <w:r w:rsidR="002805C6">
        <w:t xml:space="preserve">for </w:t>
      </w:r>
      <w:r>
        <w:t>the College Site</w:t>
      </w:r>
      <w:r w:rsidR="008A1783">
        <w:t xml:space="preserve"> at the time it filed the original application</w:t>
      </w:r>
      <w:r w:rsidR="0054080C">
        <w:t>.</w:t>
      </w:r>
      <w:r w:rsidR="00555FA2">
        <w:rPr>
          <w:rStyle w:val="FootnoteReference"/>
        </w:rPr>
        <w:footnoteReference w:id="25"/>
      </w:r>
      <w:r w:rsidR="00502217">
        <w:t xml:space="preserve"> </w:t>
      </w:r>
      <w:r w:rsidR="00871C1C">
        <w:t xml:space="preserve"> </w:t>
      </w:r>
    </w:p>
    <w:p w14:paraId="7B7B2197" w14:textId="636D9D24" w:rsidR="006D1A22" w:rsidRDefault="004A4A55" w:rsidP="00EF0CFF">
      <w:pPr>
        <w:pStyle w:val="ParaNum"/>
      </w:pPr>
      <w:r>
        <w:t xml:space="preserve">We reject Calvary’s claim that SJRP’s November Amendment cannot be accepted due to the site </w:t>
      </w:r>
      <w:r w:rsidR="004E2A05">
        <w:t xml:space="preserve">coordinate </w:t>
      </w:r>
      <w:r>
        <w:t>error in the October Amendment.</w:t>
      </w:r>
      <w:r w:rsidR="00990D78">
        <w:rPr>
          <w:rStyle w:val="FootnoteReference"/>
        </w:rPr>
        <w:footnoteReference w:id="26"/>
      </w:r>
      <w:r>
        <w:t xml:space="preserve">  </w:t>
      </w:r>
      <w:r w:rsidR="002A1859">
        <w:t xml:space="preserve">The </w:t>
      </w:r>
      <w:r w:rsidR="005415A0">
        <w:t>non-auction</w:t>
      </w:r>
      <w:r w:rsidR="00981ADE">
        <w:t>ed application</w:t>
      </w:r>
      <w:r w:rsidR="005415A0">
        <w:t xml:space="preserve"> processing policies</w:t>
      </w:r>
      <w:r w:rsidR="004A2CDF">
        <w:t xml:space="preserve"> </w:t>
      </w:r>
      <w:r w:rsidR="005415A0">
        <w:t xml:space="preserve">that the parties </w:t>
      </w:r>
      <w:r w:rsidR="00885F88">
        <w:t xml:space="preserve">debate herein </w:t>
      </w:r>
      <w:r w:rsidR="005415A0">
        <w:t xml:space="preserve">pertain to </w:t>
      </w:r>
      <w:r w:rsidR="004A2CDF">
        <w:t>coordinate</w:t>
      </w:r>
      <w:r w:rsidR="00977706">
        <w:t xml:space="preserve"> errors and </w:t>
      </w:r>
      <w:r w:rsidR="00CF2939">
        <w:t xml:space="preserve">lack of </w:t>
      </w:r>
      <w:r w:rsidR="004A2CDF">
        <w:t xml:space="preserve">assurance </w:t>
      </w:r>
      <w:r w:rsidR="00CF2939">
        <w:t xml:space="preserve">for </w:t>
      </w:r>
      <w:r w:rsidR="00AC2CC7" w:rsidRPr="00EF0CFF">
        <w:rPr>
          <w:iCs/>
        </w:rPr>
        <w:t xml:space="preserve">originally-proposed </w:t>
      </w:r>
      <w:r w:rsidR="00AC2CC7" w:rsidRPr="00EF0CFF">
        <w:rPr>
          <w:bCs/>
          <w:iCs/>
        </w:rPr>
        <w:t>sites</w:t>
      </w:r>
      <w:r w:rsidR="005415A0" w:rsidRPr="00EF0CFF">
        <w:rPr>
          <w:bCs/>
          <w:i/>
          <w:iCs/>
        </w:rPr>
        <w:t>.</w:t>
      </w:r>
      <w:r w:rsidR="007C68A4">
        <w:rPr>
          <w:rStyle w:val="FootnoteReference"/>
        </w:rPr>
        <w:footnoteReference w:id="27"/>
      </w:r>
      <w:r w:rsidR="00AC2CC7" w:rsidRPr="00EF0CFF">
        <w:rPr>
          <w:bCs/>
          <w:i/>
          <w:iCs/>
        </w:rPr>
        <w:t xml:space="preserve"> </w:t>
      </w:r>
      <w:r w:rsidR="005415A0" w:rsidRPr="00EF0CFF">
        <w:rPr>
          <w:bCs/>
          <w:i/>
          <w:iCs/>
        </w:rPr>
        <w:t xml:space="preserve"> </w:t>
      </w:r>
      <w:r w:rsidR="00DD7B5C">
        <w:t xml:space="preserve">In contrast, </w:t>
      </w:r>
      <w:r w:rsidR="005415A0">
        <w:t xml:space="preserve">the error in the instant proceeding </w:t>
      </w:r>
      <w:r w:rsidR="00CD35D0">
        <w:t>involv</w:t>
      </w:r>
      <w:r w:rsidR="007C6A5A">
        <w:t>es</w:t>
      </w:r>
      <w:r w:rsidR="00CD35D0">
        <w:t xml:space="preserve"> </w:t>
      </w:r>
      <w:r w:rsidR="000E6C66">
        <w:t xml:space="preserve">a new site proposed </w:t>
      </w:r>
      <w:r w:rsidR="00F93603">
        <w:t>in a post-window</w:t>
      </w:r>
      <w:r w:rsidR="00250C9D">
        <w:t xml:space="preserve"> </w:t>
      </w:r>
      <w:r w:rsidR="00CD35D0">
        <w:t>amendment period</w:t>
      </w:r>
      <w:r w:rsidR="00840EE1">
        <w:t xml:space="preserve">.  </w:t>
      </w:r>
      <w:r w:rsidR="00EB4D39">
        <w:t xml:space="preserve">The </w:t>
      </w:r>
      <w:r w:rsidR="00DF1105">
        <w:t xml:space="preserve">policies applicable to </w:t>
      </w:r>
      <w:r w:rsidR="00EB4D39">
        <w:t xml:space="preserve">the former </w:t>
      </w:r>
      <w:r w:rsidR="00DF1105">
        <w:t xml:space="preserve">are </w:t>
      </w:r>
      <w:r w:rsidR="006D6001">
        <w:t>differ</w:t>
      </w:r>
      <w:r w:rsidR="00DF1105">
        <w:t>ent</w:t>
      </w:r>
      <w:r w:rsidR="00EB4D39">
        <w:t xml:space="preserve"> from the </w:t>
      </w:r>
      <w:r w:rsidR="00EB4D39" w:rsidRPr="00A21559">
        <w:t>latter</w:t>
      </w:r>
      <w:r w:rsidR="006D6001" w:rsidRPr="00A21559">
        <w:t>.</w:t>
      </w:r>
      <w:r w:rsidR="007C68A4" w:rsidRPr="00A21559">
        <w:rPr>
          <w:rStyle w:val="FootnoteReference"/>
        </w:rPr>
        <w:footnoteReference w:id="28"/>
      </w:r>
      <w:r w:rsidR="002F2F0E" w:rsidRPr="00A21559">
        <w:t xml:space="preserve">  </w:t>
      </w:r>
      <w:r w:rsidR="007521EE" w:rsidRPr="00A21559">
        <w:t xml:space="preserve">The parties </w:t>
      </w:r>
      <w:r w:rsidR="00D1606E" w:rsidRPr="00A21559">
        <w:t xml:space="preserve">cite no </w:t>
      </w:r>
      <w:r w:rsidR="00245F43" w:rsidRPr="00A21559">
        <w:t>published decision</w:t>
      </w:r>
      <w:r w:rsidR="00D1606E" w:rsidRPr="00A21559">
        <w:t xml:space="preserve"> in which the Commission </w:t>
      </w:r>
      <w:r w:rsidR="0020475A" w:rsidRPr="00A21559">
        <w:t>has</w:t>
      </w:r>
      <w:r w:rsidR="0020475A">
        <w:t xml:space="preserve"> </w:t>
      </w:r>
      <w:r w:rsidR="002C4A07" w:rsidRPr="002A1859">
        <w:t>dism</w:t>
      </w:r>
      <w:r w:rsidR="00BF49F5">
        <w:t xml:space="preserve">issed an application </w:t>
      </w:r>
      <w:r w:rsidR="002D0477">
        <w:t xml:space="preserve">notwithstanding a timely amendment correcting a </w:t>
      </w:r>
      <w:r w:rsidR="00CA6459">
        <w:t xml:space="preserve">site error </w:t>
      </w:r>
      <w:r w:rsidR="002D0477">
        <w:t xml:space="preserve">made </w:t>
      </w:r>
      <w:r w:rsidR="00CA6459">
        <w:t>in</w:t>
      </w:r>
      <w:r w:rsidR="00D1606E">
        <w:t xml:space="preserve"> a </w:t>
      </w:r>
      <w:r w:rsidR="00D1606E" w:rsidRPr="0020475A">
        <w:t xml:space="preserve">post-window </w:t>
      </w:r>
      <w:r w:rsidR="00F30793" w:rsidRPr="0020475A">
        <w:t xml:space="preserve">site </w:t>
      </w:r>
      <w:r w:rsidR="006A5A19">
        <w:t xml:space="preserve">change </w:t>
      </w:r>
      <w:r w:rsidR="00D1606E" w:rsidRPr="00EF0CFF">
        <w:rPr>
          <w:iCs/>
        </w:rPr>
        <w:t>amendment</w:t>
      </w:r>
      <w:r w:rsidR="002C4A07" w:rsidRPr="0020475A">
        <w:t>.</w:t>
      </w:r>
      <w:r w:rsidR="00465B3F">
        <w:rPr>
          <w:rStyle w:val="FootnoteReference"/>
        </w:rPr>
        <w:footnoteReference w:id="29"/>
      </w:r>
      <w:r w:rsidR="00CC68B5">
        <w:t xml:space="preserve">  </w:t>
      </w:r>
      <w:r w:rsidR="00245F43">
        <w:t xml:space="preserve">Accordingly, we find that </w:t>
      </w:r>
      <w:r w:rsidR="00142ED5">
        <w:t xml:space="preserve">SJRP’s </w:t>
      </w:r>
      <w:r w:rsidR="00245F43">
        <w:t xml:space="preserve">specification </w:t>
      </w:r>
      <w:r w:rsidR="00142ED5">
        <w:t xml:space="preserve">in error </w:t>
      </w:r>
      <w:r w:rsidR="00245F43">
        <w:t xml:space="preserve">of </w:t>
      </w:r>
      <w:r w:rsidR="00C70879">
        <w:t xml:space="preserve">the Nature Site </w:t>
      </w:r>
      <w:r w:rsidR="008540B0">
        <w:t xml:space="preserve">coordinates </w:t>
      </w:r>
      <w:r w:rsidR="00EE5C85">
        <w:t xml:space="preserve">in its October Amendment </w:t>
      </w:r>
      <w:r w:rsidR="00C70879">
        <w:t xml:space="preserve">is not </w:t>
      </w:r>
      <w:r w:rsidR="00EF0CFF">
        <w:t xml:space="preserve">a </w:t>
      </w:r>
      <w:r w:rsidR="00C70879">
        <w:t>fatal</w:t>
      </w:r>
      <w:r w:rsidR="00EF0CFF">
        <w:t xml:space="preserve"> application defect</w:t>
      </w:r>
      <w:r w:rsidR="00025C53">
        <w:t>.</w:t>
      </w:r>
      <w:r w:rsidR="00072997">
        <w:rPr>
          <w:rStyle w:val="FootnoteReference"/>
        </w:rPr>
        <w:footnoteReference w:id="30"/>
      </w:r>
    </w:p>
    <w:p w14:paraId="75227E91" w14:textId="2344D28E" w:rsidR="0037255B" w:rsidRDefault="0037255B" w:rsidP="00B17254">
      <w:pPr>
        <w:pStyle w:val="ParaNum"/>
      </w:pPr>
      <w:r>
        <w:t>W</w:t>
      </w:r>
      <w:r w:rsidR="00533BE8">
        <w:t>e</w:t>
      </w:r>
      <w:r>
        <w:t xml:space="preserve"> also</w:t>
      </w:r>
      <w:r w:rsidR="00533BE8">
        <w:t xml:space="preserve"> reject </w:t>
      </w:r>
      <w:r w:rsidR="00FB4EA3">
        <w:t>Calvary</w:t>
      </w:r>
      <w:r w:rsidR="00533BE8">
        <w:t xml:space="preserve">’s </w:t>
      </w:r>
      <w:r w:rsidR="00DE1DDD">
        <w:t xml:space="preserve">attempt to </w:t>
      </w:r>
      <w:r w:rsidR="001C21A7">
        <w:t xml:space="preserve">transfer </w:t>
      </w:r>
      <w:r w:rsidR="00142ED5">
        <w:t xml:space="preserve">wholesale </w:t>
      </w:r>
      <w:r w:rsidR="00DE1DDD">
        <w:t xml:space="preserve">its </w:t>
      </w:r>
      <w:r w:rsidR="005F2B24">
        <w:t xml:space="preserve">environmental </w:t>
      </w:r>
      <w:r w:rsidR="007B1D1C">
        <w:t>argument</w:t>
      </w:r>
      <w:r w:rsidR="00C65C17">
        <w:t>s</w:t>
      </w:r>
      <w:r w:rsidR="007B1D1C">
        <w:t xml:space="preserve"> </w:t>
      </w:r>
      <w:r w:rsidR="00DE1DDD">
        <w:t>from the Nature Site (October Amendment) to the Hill Site (November Amendment).</w:t>
      </w:r>
      <w:r w:rsidR="007B1D1C">
        <w:t xml:space="preserve">  The </w:t>
      </w:r>
      <w:r w:rsidR="00611F88">
        <w:t>record is clear that SJRP did not intend to propose op</w:t>
      </w:r>
      <w:r w:rsidR="00C65C17">
        <w:t xml:space="preserve">eration from the Nature Site, and therefore its certification </w:t>
      </w:r>
      <w:r w:rsidR="00E23D6D">
        <w:t xml:space="preserve">(Application, Section VI, Question 10) </w:t>
      </w:r>
      <w:r w:rsidR="00C65C17">
        <w:t>that the</w:t>
      </w:r>
      <w:r w:rsidR="000D08AD">
        <w:t xml:space="preserve"> Nature S</w:t>
      </w:r>
      <w:r w:rsidR="00C65C17">
        <w:t xml:space="preserve">ite </w:t>
      </w:r>
      <w:r w:rsidR="00E23D6D">
        <w:t>was excluded from environmental processing under Section 1.1306</w:t>
      </w:r>
      <w:r>
        <w:t>(b)(1)</w:t>
      </w:r>
      <w:r w:rsidR="00182DA6">
        <w:t xml:space="preserve"> of the FCC’s </w:t>
      </w:r>
      <w:r w:rsidR="00986A88">
        <w:t>r</w:t>
      </w:r>
      <w:r w:rsidR="00182DA6">
        <w:t>ules</w:t>
      </w:r>
      <w:r w:rsidR="00005EAF">
        <w:t xml:space="preserve"> (the Rules)</w:t>
      </w:r>
      <w:r w:rsidR="00E23D6D">
        <w:rPr>
          <w:rStyle w:val="FootnoteReference"/>
        </w:rPr>
        <w:footnoteReference w:id="31"/>
      </w:r>
      <w:r w:rsidR="00E23D6D">
        <w:t xml:space="preserve"> </w:t>
      </w:r>
      <w:r w:rsidR="00C65C17">
        <w:t>was simply a mistake arising from the underlying error</w:t>
      </w:r>
      <w:r w:rsidR="00630A92">
        <w:t xml:space="preserve"> </w:t>
      </w:r>
      <w:r w:rsidR="002D0477">
        <w:t>in specifying coordinates for the Nature Site instead of the Hill Site</w:t>
      </w:r>
      <w:r w:rsidR="00C65C17">
        <w:t xml:space="preserve">.  </w:t>
      </w:r>
      <w:r w:rsidR="00D03F3E">
        <w:t xml:space="preserve"> </w:t>
      </w:r>
    </w:p>
    <w:p w14:paraId="3DC48FF9" w14:textId="2502DADF" w:rsidR="00AE5E62" w:rsidRDefault="0037255B" w:rsidP="00B17254">
      <w:pPr>
        <w:pStyle w:val="ParaNum"/>
      </w:pPr>
      <w:r>
        <w:t>Substantively</w:t>
      </w:r>
      <w:r w:rsidR="00D03F3E">
        <w:t xml:space="preserve">, Calvary has failed to make any showing that </w:t>
      </w:r>
      <w:r>
        <w:t>SJRP’s current</w:t>
      </w:r>
      <w:r w:rsidR="00D03F3E">
        <w:t xml:space="preserve"> claimed categorical ex</w:t>
      </w:r>
      <w:r w:rsidR="00A9319B">
        <w:t>clusion</w:t>
      </w:r>
      <w:r w:rsidR="00D03F3E">
        <w:t xml:space="preserve"> from environmental processing for the proposed 12-meter tower on private land at the Hill </w:t>
      </w:r>
      <w:r w:rsidR="001B2318">
        <w:t>S</w:t>
      </w:r>
      <w:r w:rsidR="00D03F3E">
        <w:t xml:space="preserve">ite </w:t>
      </w:r>
      <w:r>
        <w:t>is</w:t>
      </w:r>
      <w:r w:rsidR="00D03F3E">
        <w:t xml:space="preserve"> erroneous.</w:t>
      </w:r>
      <w:r w:rsidR="00A31F1D">
        <w:rPr>
          <w:rStyle w:val="FootnoteReference"/>
        </w:rPr>
        <w:footnoteReference w:id="32"/>
      </w:r>
      <w:r w:rsidR="004F2BB9">
        <w:t xml:space="preserve">  </w:t>
      </w:r>
      <w:r w:rsidR="004159F9">
        <w:t xml:space="preserve">Its </w:t>
      </w:r>
      <w:r w:rsidR="004F2BB9">
        <w:t>arg</w:t>
      </w:r>
      <w:r w:rsidR="004159F9">
        <w:t>ument that SJRP could not have made an accurate certification without</w:t>
      </w:r>
      <w:r w:rsidR="004F2BB9">
        <w:t xml:space="preserve"> an Environmental Assessment</w:t>
      </w:r>
      <w:r w:rsidR="003169CC">
        <w:t xml:space="preserve"> (EA)</w:t>
      </w:r>
      <w:r w:rsidR="004F2BB9">
        <w:t xml:space="preserve"> and </w:t>
      </w:r>
      <w:r w:rsidR="004F2BB9" w:rsidRPr="00EF78C9">
        <w:t>Sectio</w:t>
      </w:r>
      <w:r w:rsidR="004159F9" w:rsidRPr="00EF78C9">
        <w:t>n 106</w:t>
      </w:r>
      <w:r w:rsidR="004159F9">
        <w:t xml:space="preserve"> review </w:t>
      </w:r>
      <w:r w:rsidR="004F2BB9">
        <w:t>is based on</w:t>
      </w:r>
      <w:r w:rsidR="001752D3">
        <w:t xml:space="preserve"> </w:t>
      </w:r>
      <w:r w:rsidR="004159F9">
        <w:t>general claim</w:t>
      </w:r>
      <w:r w:rsidR="001752D3">
        <w:t>s</w:t>
      </w:r>
      <w:r w:rsidR="00FC0769">
        <w:t xml:space="preserve"> that</w:t>
      </w:r>
      <w:r w:rsidR="001752D3">
        <w:t>:</w:t>
      </w:r>
      <w:r>
        <w:t xml:space="preserve"> </w:t>
      </w:r>
      <w:r w:rsidR="001752D3">
        <w:t xml:space="preserve"> (1) </w:t>
      </w:r>
      <w:r w:rsidR="00FC0769">
        <w:t xml:space="preserve">the Hill Site </w:t>
      </w:r>
      <w:r w:rsidR="001752D3">
        <w:t xml:space="preserve">lies just outside of </w:t>
      </w:r>
      <w:r w:rsidR="004F2BB9">
        <w:t xml:space="preserve">the </w:t>
      </w:r>
      <w:r w:rsidR="008540B0">
        <w:t xml:space="preserve">Nature </w:t>
      </w:r>
      <w:r w:rsidR="004F2BB9">
        <w:t>Preserve</w:t>
      </w:r>
      <w:r w:rsidR="001752D3">
        <w:t xml:space="preserve">; (2) the </w:t>
      </w:r>
      <w:r w:rsidR="00B63176">
        <w:t xml:space="preserve">Nature </w:t>
      </w:r>
      <w:r w:rsidR="001752D3">
        <w:t>Preserve</w:t>
      </w:r>
      <w:r w:rsidR="004F2BB9">
        <w:t xml:space="preserve"> contains a historic site and is home to a variety of animals</w:t>
      </w:r>
      <w:r w:rsidR="001752D3">
        <w:t xml:space="preserve"> </w:t>
      </w:r>
      <w:r>
        <w:t>(none of which are claimed to belong to an endangered species</w:t>
      </w:r>
      <w:r w:rsidR="008A7D34">
        <w:t xml:space="preserve">) </w:t>
      </w:r>
      <w:r w:rsidR="001752D3">
        <w:t>and plant</w:t>
      </w:r>
      <w:r w:rsidR="00FC0769">
        <w:t xml:space="preserve">s; and (3) </w:t>
      </w:r>
      <w:r w:rsidR="001752D3">
        <w:t>the “historic and environmental features of the Nature Preserve don’t simply stop at the property line.”</w:t>
      </w:r>
      <w:r w:rsidR="001752D3">
        <w:rPr>
          <w:rStyle w:val="FootnoteReference"/>
        </w:rPr>
        <w:footnoteReference w:id="33"/>
      </w:r>
      <w:r w:rsidR="00A95BE9">
        <w:t xml:space="preserve">  </w:t>
      </w:r>
      <w:r w:rsidR="004159F9">
        <w:t xml:space="preserve">These </w:t>
      </w:r>
      <w:r w:rsidR="00103B0C">
        <w:t xml:space="preserve">broad </w:t>
      </w:r>
      <w:r w:rsidR="00464137">
        <w:t>argument</w:t>
      </w:r>
      <w:r w:rsidR="004159F9">
        <w:t>s fail</w:t>
      </w:r>
      <w:r w:rsidR="00A95BE9">
        <w:t xml:space="preserve"> to identify </w:t>
      </w:r>
      <w:r w:rsidR="00464137">
        <w:t xml:space="preserve">any </w:t>
      </w:r>
      <w:r w:rsidR="00182DA6">
        <w:t xml:space="preserve">“trigger” under Section 1.1307 of the </w:t>
      </w:r>
      <w:r w:rsidR="008540B0">
        <w:t>R</w:t>
      </w:r>
      <w:r w:rsidR="00182DA6">
        <w:t>ules</w:t>
      </w:r>
      <w:r w:rsidR="00182DA6">
        <w:rPr>
          <w:rStyle w:val="FootnoteReference"/>
        </w:rPr>
        <w:footnoteReference w:id="34"/>
      </w:r>
      <w:r w:rsidR="00182DA6">
        <w:t xml:space="preserve"> that would require SJRP to file an</w:t>
      </w:r>
      <w:r w:rsidR="005D0803">
        <w:t xml:space="preserve"> EA</w:t>
      </w:r>
      <w:r w:rsidR="00182DA6">
        <w:t>.  For example, Calvary does not (and cannot) argue that the proposed site is “in an officially designated wildlife preserve,”</w:t>
      </w:r>
      <w:r w:rsidR="00182DA6">
        <w:rPr>
          <w:rStyle w:val="FootnoteReference"/>
        </w:rPr>
        <w:footnoteReference w:id="35"/>
      </w:r>
      <w:r w:rsidR="00182DA6">
        <w:t xml:space="preserve"> as the parties agree that it is not, and Calvary has cited no precedent indicating that locating a tower site adjacent to a such a wildlife preserve is enough to warrant the filing of an EA.  </w:t>
      </w:r>
      <w:r w:rsidR="008A7D34">
        <w:t xml:space="preserve">With respect to the historic site located within the </w:t>
      </w:r>
      <w:r w:rsidR="00B63176">
        <w:t xml:space="preserve">Nature </w:t>
      </w:r>
      <w:r w:rsidR="008A7D34">
        <w:t xml:space="preserve">Preserve, Calvary </w:t>
      </w:r>
      <w:r w:rsidR="00CD0A29">
        <w:t>h</w:t>
      </w:r>
      <w:r w:rsidR="008A7D34">
        <w:t>as failed to show how SJRP’s proposed tower at the Hill Site “may affect” that historic site.</w:t>
      </w:r>
      <w:r w:rsidR="008A7D34">
        <w:rPr>
          <w:rStyle w:val="FootnoteReference"/>
        </w:rPr>
        <w:footnoteReference w:id="36"/>
      </w:r>
      <w:r w:rsidR="00810A20">
        <w:t xml:space="preserve">  Similarly, Calvary’s </w:t>
      </w:r>
      <w:r w:rsidR="00E839F9">
        <w:t>quotes from a Wikipedia article</w:t>
      </w:r>
      <w:r w:rsidR="00CD0A29">
        <w:t xml:space="preserve"> claiming</w:t>
      </w:r>
      <w:r w:rsidR="0031778A">
        <w:t xml:space="preserve"> </w:t>
      </w:r>
      <w:r w:rsidR="00810A20">
        <w:t>that “</w:t>
      </w:r>
      <w:r w:rsidR="00810A20">
        <w:rPr>
          <w:sz w:val="23"/>
          <w:szCs w:val="23"/>
        </w:rPr>
        <w:t xml:space="preserve">there are over 200 species of birds at the Nature Preserve, in addition to </w:t>
      </w:r>
      <w:r w:rsidR="0031778A">
        <w:rPr>
          <w:sz w:val="23"/>
          <w:szCs w:val="23"/>
        </w:rPr>
        <w:t>‘</w:t>
      </w:r>
      <w:r w:rsidR="00810A20">
        <w:rPr>
          <w:sz w:val="23"/>
          <w:szCs w:val="23"/>
        </w:rPr>
        <w:t>notable</w:t>
      </w:r>
      <w:r w:rsidR="0031778A">
        <w:rPr>
          <w:sz w:val="23"/>
          <w:szCs w:val="23"/>
        </w:rPr>
        <w:t>’</w:t>
      </w:r>
      <w:r w:rsidR="00810A20">
        <w:rPr>
          <w:sz w:val="23"/>
          <w:szCs w:val="23"/>
        </w:rPr>
        <w:t xml:space="preserve"> amphibians and reptiles, large and small mammals, habitats including oak woodlands and savanna, riparian areas, chaparral, grassland</w:t>
      </w:r>
      <w:r w:rsidR="0031778A">
        <w:rPr>
          <w:sz w:val="23"/>
          <w:szCs w:val="23"/>
        </w:rPr>
        <w:t>”</w:t>
      </w:r>
      <w:r w:rsidR="0031778A">
        <w:rPr>
          <w:rStyle w:val="FootnoteReference"/>
          <w:szCs w:val="23"/>
        </w:rPr>
        <w:footnoteReference w:id="37"/>
      </w:r>
      <w:r w:rsidR="0031778A">
        <w:rPr>
          <w:sz w:val="23"/>
          <w:szCs w:val="23"/>
        </w:rPr>
        <w:t xml:space="preserve"> </w:t>
      </w:r>
      <w:r w:rsidR="00142ED5">
        <w:rPr>
          <w:sz w:val="23"/>
          <w:szCs w:val="23"/>
        </w:rPr>
        <w:t xml:space="preserve">are </w:t>
      </w:r>
      <w:r w:rsidR="0031778A">
        <w:rPr>
          <w:sz w:val="23"/>
          <w:szCs w:val="23"/>
        </w:rPr>
        <w:t>not in any way probative of whether the proposed tower “may affect (federally) listed threatened or endangered species or designated critical habitats” or is likely “to jeopardize the continued existence of any proposed endangered or threatened species or likely to result in the destruction or adverse modification of proposed critical habitats.”</w:t>
      </w:r>
      <w:r w:rsidR="0031778A">
        <w:rPr>
          <w:rStyle w:val="FootnoteReference"/>
          <w:szCs w:val="23"/>
        </w:rPr>
        <w:footnoteReference w:id="38"/>
      </w:r>
      <w:r w:rsidR="00134E22">
        <w:rPr>
          <w:sz w:val="23"/>
          <w:szCs w:val="23"/>
        </w:rPr>
        <w:t xml:space="preserve"> </w:t>
      </w:r>
      <w:r w:rsidR="0031778A">
        <w:rPr>
          <w:sz w:val="23"/>
          <w:szCs w:val="23"/>
        </w:rPr>
        <w:t xml:space="preserve"> </w:t>
      </w:r>
      <w:r w:rsidR="008540B0">
        <w:rPr>
          <w:sz w:val="23"/>
          <w:szCs w:val="23"/>
        </w:rPr>
        <w:t xml:space="preserve">For these reasons, we reject Calvary’s efforts to </w:t>
      </w:r>
      <w:r w:rsidR="00102005">
        <w:rPr>
          <w:sz w:val="23"/>
          <w:szCs w:val="23"/>
        </w:rPr>
        <w:t>rely on</w:t>
      </w:r>
      <w:r w:rsidR="008540B0">
        <w:rPr>
          <w:sz w:val="23"/>
          <w:szCs w:val="23"/>
        </w:rPr>
        <w:t xml:space="preserve"> an argument that has no relevance to the Hill Site proposed by SJRP in its Application, as </w:t>
      </w:r>
      <w:r w:rsidR="00142ED5">
        <w:rPr>
          <w:sz w:val="23"/>
          <w:szCs w:val="23"/>
        </w:rPr>
        <w:t xml:space="preserve">appropriately </w:t>
      </w:r>
      <w:r w:rsidR="008540B0">
        <w:rPr>
          <w:sz w:val="23"/>
          <w:szCs w:val="23"/>
        </w:rPr>
        <w:t>amended.</w:t>
      </w:r>
    </w:p>
    <w:p w14:paraId="38D40F83" w14:textId="77777777" w:rsidR="00541EBE" w:rsidRPr="00541EBE" w:rsidRDefault="007B75C5" w:rsidP="007901FB">
      <w:pPr>
        <w:pStyle w:val="ParaNum"/>
        <w:rPr>
          <w:szCs w:val="22"/>
        </w:rPr>
      </w:pPr>
      <w:r>
        <w:rPr>
          <w:szCs w:val="22"/>
        </w:rPr>
        <w:t>ACCORDINGLY, IT IS ORDERED that</w:t>
      </w:r>
      <w:r w:rsidRPr="008121A6">
        <w:rPr>
          <w:szCs w:val="22"/>
        </w:rPr>
        <w:t xml:space="preserve"> the Application for Review filed by </w:t>
      </w:r>
      <w:r w:rsidR="00541EBE">
        <w:rPr>
          <w:szCs w:val="22"/>
        </w:rPr>
        <w:t>The Los Angeles Social Justice Radio Project, on March 26,</w:t>
      </w:r>
      <w:r>
        <w:rPr>
          <w:szCs w:val="22"/>
        </w:rPr>
        <w:t xml:space="preserve"> 2015</w:t>
      </w:r>
      <w:r w:rsidRPr="008121A6">
        <w:rPr>
          <w:szCs w:val="22"/>
        </w:rPr>
        <w:t xml:space="preserve">, </w:t>
      </w:r>
      <w:r>
        <w:rPr>
          <w:szCs w:val="22"/>
        </w:rPr>
        <w:t xml:space="preserve">IS </w:t>
      </w:r>
      <w:r w:rsidR="00541EBE">
        <w:t>GRANT</w:t>
      </w:r>
      <w:r w:rsidRPr="007B7840">
        <w:t xml:space="preserve">ED, pursuant to </w:t>
      </w:r>
      <w:r>
        <w:t>S</w:t>
      </w:r>
      <w:r w:rsidRPr="007B7840">
        <w:t xml:space="preserve">ection 5(c)(5) of the Communications Act of 1934, as amended, and </w:t>
      </w:r>
      <w:r>
        <w:t>Section 1.115(g) of the Commission’s Rules.</w:t>
      </w:r>
      <w:r>
        <w:rPr>
          <w:rStyle w:val="FootnoteReference"/>
        </w:rPr>
        <w:footnoteReference w:id="39"/>
      </w:r>
      <w:r w:rsidR="00541EBE">
        <w:t xml:space="preserve">  </w:t>
      </w:r>
    </w:p>
    <w:p w14:paraId="3A63D614" w14:textId="77777777" w:rsidR="005B4AA0" w:rsidRPr="00C4327F" w:rsidRDefault="00541EBE" w:rsidP="00584104">
      <w:pPr>
        <w:pStyle w:val="ParaNum"/>
        <w:rPr>
          <w:szCs w:val="22"/>
        </w:rPr>
      </w:pPr>
      <w:r w:rsidRPr="00C4327F">
        <w:rPr>
          <w:szCs w:val="22"/>
        </w:rPr>
        <w:t xml:space="preserve">IT IS FURTHER ORDERED that </w:t>
      </w:r>
      <w:r>
        <w:t xml:space="preserve">SJRP’s application to construct a new LPFM station at Los Angeles, California (File No. </w:t>
      </w:r>
      <w:r w:rsidRPr="00C4327F">
        <w:rPr>
          <w:szCs w:val="22"/>
        </w:rPr>
        <w:t xml:space="preserve">BNPL-20131114BHE) </w:t>
      </w:r>
      <w:r w:rsidR="00C4327F">
        <w:rPr>
          <w:szCs w:val="22"/>
        </w:rPr>
        <w:t>IS GRANTED.</w:t>
      </w:r>
    </w:p>
    <w:p w14:paraId="23188DAA" w14:textId="77777777" w:rsidR="007B75C5" w:rsidRDefault="007B75C5" w:rsidP="007B75C5">
      <w:r>
        <w:tab/>
      </w:r>
      <w:r>
        <w:tab/>
      </w:r>
      <w:r>
        <w:tab/>
      </w:r>
      <w:r>
        <w:tab/>
      </w:r>
      <w:r>
        <w:tab/>
      </w:r>
      <w:r>
        <w:tab/>
        <w:t>FEDERAL COMMUNICATIONS COMMISSION</w:t>
      </w:r>
    </w:p>
    <w:p w14:paraId="7FFF88C6" w14:textId="77777777" w:rsidR="007B75C5" w:rsidRDefault="007B75C5" w:rsidP="007B75C5"/>
    <w:p w14:paraId="092F01DA" w14:textId="77777777" w:rsidR="007B75C5" w:rsidRDefault="007B75C5" w:rsidP="007B75C5"/>
    <w:p w14:paraId="6B66CDA7" w14:textId="77777777" w:rsidR="007B75C5" w:rsidRDefault="007B75C5" w:rsidP="007B75C5"/>
    <w:p w14:paraId="61EC681E" w14:textId="77777777" w:rsidR="007B75C5" w:rsidRDefault="007B75C5" w:rsidP="007B75C5"/>
    <w:p w14:paraId="456328D4" w14:textId="77777777" w:rsidR="007B75C5" w:rsidRDefault="007B75C5" w:rsidP="007B75C5">
      <w:r>
        <w:tab/>
      </w:r>
      <w:r>
        <w:tab/>
      </w:r>
      <w:r>
        <w:tab/>
      </w:r>
      <w:r>
        <w:tab/>
      </w:r>
      <w:r>
        <w:tab/>
      </w:r>
      <w:r>
        <w:tab/>
        <w:t>Marlene H. Dortch</w:t>
      </w:r>
    </w:p>
    <w:p w14:paraId="238C7676" w14:textId="4EE00FED" w:rsidR="007B75C5" w:rsidRDefault="007B75C5">
      <w:pPr>
        <w:rPr>
          <w:spacing w:val="-2"/>
        </w:rPr>
      </w:pPr>
      <w:r>
        <w:tab/>
      </w:r>
      <w:r>
        <w:tab/>
      </w:r>
      <w:r>
        <w:tab/>
      </w:r>
      <w:r>
        <w:tab/>
      </w:r>
      <w:r>
        <w:tab/>
      </w:r>
      <w:r>
        <w:tab/>
        <w:t>Secretary</w:t>
      </w:r>
    </w:p>
    <w:sectPr w:rsidR="007B75C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6F7E" w14:textId="77777777" w:rsidR="007C4826" w:rsidRDefault="007C4826">
      <w:pPr>
        <w:spacing w:line="20" w:lineRule="exact"/>
      </w:pPr>
    </w:p>
  </w:endnote>
  <w:endnote w:type="continuationSeparator" w:id="0">
    <w:p w14:paraId="5B6C8FDF" w14:textId="77777777" w:rsidR="007C4826" w:rsidRDefault="007C4826">
      <w:r>
        <w:t xml:space="preserve"> </w:t>
      </w:r>
    </w:p>
  </w:endnote>
  <w:endnote w:type="continuationNotice" w:id="1">
    <w:p w14:paraId="77A15AD7" w14:textId="77777777" w:rsidR="007C4826" w:rsidRDefault="007C48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FBA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6B3F7CC"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89A1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A14CF">
      <w:rPr>
        <w:noProof/>
      </w:rPr>
      <w:t>2</w:t>
    </w:r>
    <w:r>
      <w:fldChar w:fldCharType="end"/>
    </w:r>
  </w:p>
  <w:p w14:paraId="142C9437"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EFF20"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42A10" w14:textId="77777777" w:rsidR="007C4826" w:rsidRDefault="007C4826">
      <w:r>
        <w:separator/>
      </w:r>
    </w:p>
  </w:footnote>
  <w:footnote w:type="continuationSeparator" w:id="0">
    <w:p w14:paraId="4D33A5C4" w14:textId="77777777" w:rsidR="007C4826" w:rsidRDefault="007C4826" w:rsidP="00C721AC">
      <w:pPr>
        <w:spacing w:before="120"/>
        <w:rPr>
          <w:sz w:val="20"/>
        </w:rPr>
      </w:pPr>
      <w:r>
        <w:rPr>
          <w:sz w:val="20"/>
        </w:rPr>
        <w:t xml:space="preserve">(Continued from previous page)  </w:t>
      </w:r>
      <w:r>
        <w:rPr>
          <w:sz w:val="20"/>
        </w:rPr>
        <w:separator/>
      </w:r>
    </w:p>
  </w:footnote>
  <w:footnote w:type="continuationNotice" w:id="1">
    <w:p w14:paraId="1519721D" w14:textId="77777777" w:rsidR="007C4826" w:rsidRDefault="007C4826" w:rsidP="00C721AC">
      <w:pPr>
        <w:jc w:val="right"/>
        <w:rPr>
          <w:sz w:val="20"/>
        </w:rPr>
      </w:pPr>
      <w:r>
        <w:rPr>
          <w:sz w:val="20"/>
        </w:rPr>
        <w:t>(continued….)</w:t>
      </w:r>
    </w:p>
  </w:footnote>
  <w:footnote w:id="2">
    <w:p w14:paraId="0AF60ECE" w14:textId="77777777" w:rsidR="00A47C4A" w:rsidRDefault="00A47C4A" w:rsidP="00630A92">
      <w:pPr>
        <w:pStyle w:val="FootnoteText"/>
      </w:pPr>
      <w:r>
        <w:rPr>
          <w:rStyle w:val="FootnoteReference"/>
        </w:rPr>
        <w:footnoteRef/>
      </w:r>
      <w:r>
        <w:t xml:space="preserve"> </w:t>
      </w:r>
      <w:r w:rsidR="009E19BE" w:rsidRPr="009E19BE">
        <w:rPr>
          <w:i/>
        </w:rPr>
        <w:t>SJRP</w:t>
      </w:r>
      <w:r w:rsidR="009E19BE">
        <w:t xml:space="preserve"> </w:t>
      </w:r>
      <w:r w:rsidRPr="00A47C4A">
        <w:rPr>
          <w:i/>
        </w:rPr>
        <w:t>Application for Review</w:t>
      </w:r>
      <w:r>
        <w:t xml:space="preserve"> (filed Mar. 26, 2015)</w:t>
      </w:r>
      <w:r w:rsidR="009E19BE">
        <w:t xml:space="preserve"> (AFR)</w:t>
      </w:r>
      <w:r>
        <w:t>.</w:t>
      </w:r>
    </w:p>
  </w:footnote>
  <w:footnote w:id="3">
    <w:p w14:paraId="1CA2ADB6" w14:textId="78001824" w:rsidR="008700EE" w:rsidRPr="001179DB" w:rsidRDefault="008700EE" w:rsidP="00630A92">
      <w:pPr>
        <w:pStyle w:val="FootnoteText"/>
      </w:pPr>
      <w:r>
        <w:rPr>
          <w:rStyle w:val="FootnoteReference"/>
        </w:rPr>
        <w:footnoteRef/>
      </w:r>
      <w:r>
        <w:t xml:space="preserve"> </w:t>
      </w:r>
      <w:r w:rsidR="000C6F5D">
        <w:t>KLVE, licensee of K</w:t>
      </w:r>
      <w:r w:rsidR="008137C7">
        <w:t xml:space="preserve">LVE-FM, Los Angeles, California </w:t>
      </w:r>
      <w:r w:rsidR="00923F26">
        <w:t>(</w:t>
      </w:r>
      <w:r w:rsidR="009A29A7">
        <w:t>with regard to</w:t>
      </w:r>
      <w:r w:rsidR="00923F26">
        <w:t xml:space="preserve"> which SJRP</w:t>
      </w:r>
      <w:r w:rsidR="007B00DA">
        <w:t xml:space="preserve"> </w:t>
      </w:r>
      <w:r w:rsidR="00923F26">
        <w:t xml:space="preserve">requested a second-adjacent channel waiver) </w:t>
      </w:r>
      <w:r w:rsidR="00FB3EF8">
        <w:t xml:space="preserve">and Calvary, licensee of KWVE-FM, San Clemente, California </w:t>
      </w:r>
      <w:r w:rsidR="007B00DA">
        <w:t xml:space="preserve">(which </w:t>
      </w:r>
      <w:r w:rsidR="00142ED5">
        <w:t xml:space="preserve">maintains </w:t>
      </w:r>
      <w:r w:rsidR="007B00DA">
        <w:t xml:space="preserve">that </w:t>
      </w:r>
      <w:r w:rsidR="00763E98">
        <w:t xml:space="preserve">the proposed operations would diminish its </w:t>
      </w:r>
      <w:r w:rsidR="00142ED5">
        <w:t xml:space="preserve">station’s </w:t>
      </w:r>
      <w:r w:rsidR="007B00DA">
        <w:t>listenable</w:t>
      </w:r>
      <w:r w:rsidR="003D13C7">
        <w:t xml:space="preserve"> signal</w:t>
      </w:r>
      <w:r w:rsidR="007B00DA">
        <w:t xml:space="preserve">) </w:t>
      </w:r>
      <w:r w:rsidR="008E594E">
        <w:t xml:space="preserve">filed </w:t>
      </w:r>
      <w:r w:rsidR="000C6F5D">
        <w:t>separate o</w:t>
      </w:r>
      <w:r w:rsidR="00D6102D">
        <w:t>pposition</w:t>
      </w:r>
      <w:r w:rsidR="008E594E">
        <w:t>s</w:t>
      </w:r>
      <w:r w:rsidR="00D6102D">
        <w:t xml:space="preserve">.  </w:t>
      </w:r>
      <w:r w:rsidR="00D6102D">
        <w:rPr>
          <w:i/>
        </w:rPr>
        <w:t xml:space="preserve">See Calvary Opposition to Application for Review </w:t>
      </w:r>
      <w:r w:rsidR="00D6102D">
        <w:t>(filed Apr. 10, 2015)</w:t>
      </w:r>
      <w:r w:rsidR="001179DB">
        <w:t xml:space="preserve"> (</w:t>
      </w:r>
      <w:r w:rsidR="001179DB" w:rsidRPr="009B20ED">
        <w:rPr>
          <w:i/>
        </w:rPr>
        <w:t>Calvary Opposition</w:t>
      </w:r>
      <w:r w:rsidR="001179DB">
        <w:t>)</w:t>
      </w:r>
      <w:r w:rsidR="000C6F5D">
        <w:t xml:space="preserve">; </w:t>
      </w:r>
      <w:r w:rsidR="00A822BE">
        <w:rPr>
          <w:i/>
        </w:rPr>
        <w:t xml:space="preserve">KLVE </w:t>
      </w:r>
      <w:r>
        <w:rPr>
          <w:i/>
        </w:rPr>
        <w:t>Opposition to Application for Review</w:t>
      </w:r>
      <w:r w:rsidR="00A822BE">
        <w:rPr>
          <w:i/>
        </w:rPr>
        <w:t xml:space="preserve"> </w:t>
      </w:r>
      <w:r w:rsidR="00A822BE">
        <w:t>(filed Apr. 10, 2015)</w:t>
      </w:r>
      <w:r w:rsidR="001179DB">
        <w:t xml:space="preserve"> (</w:t>
      </w:r>
      <w:r w:rsidR="001179DB" w:rsidRPr="009B20ED">
        <w:rPr>
          <w:i/>
        </w:rPr>
        <w:t>KLVE Opposition</w:t>
      </w:r>
      <w:r w:rsidR="001179DB">
        <w:t>)</w:t>
      </w:r>
      <w:r w:rsidR="00A822BE">
        <w:t>.</w:t>
      </w:r>
      <w:r w:rsidR="00387CCE">
        <w:t xml:space="preserve">  SJRP re</w:t>
      </w:r>
      <w:r w:rsidR="00CD05F9">
        <w:t>quested</w:t>
      </w:r>
      <w:r w:rsidR="001179DB">
        <w:t xml:space="preserve"> </w:t>
      </w:r>
      <w:r w:rsidR="00453870">
        <w:t xml:space="preserve">additional </w:t>
      </w:r>
      <w:r w:rsidR="001179DB">
        <w:t>time to respond</w:t>
      </w:r>
      <w:r w:rsidR="004409E4">
        <w:t xml:space="preserve">, followed by </w:t>
      </w:r>
      <w:r w:rsidR="00387CCE">
        <w:t>a cons</w:t>
      </w:r>
      <w:r w:rsidR="00CD05F9">
        <w:t>olidated reply</w:t>
      </w:r>
      <w:r w:rsidR="00387CCE">
        <w:t xml:space="preserve">.  </w:t>
      </w:r>
      <w:r w:rsidR="00387CCE">
        <w:rPr>
          <w:i/>
        </w:rPr>
        <w:t xml:space="preserve">See SJRP Consolidated Reply to Oppositions </w:t>
      </w:r>
      <w:r w:rsidR="00387CCE">
        <w:t>(filed Apr. 23, 2015)</w:t>
      </w:r>
      <w:r w:rsidR="00C820D6">
        <w:t xml:space="preserve"> (</w:t>
      </w:r>
      <w:r w:rsidR="00C820D6" w:rsidRPr="00E63412">
        <w:rPr>
          <w:i/>
        </w:rPr>
        <w:t>SJRP Reply</w:t>
      </w:r>
      <w:r w:rsidR="00C820D6">
        <w:t>)</w:t>
      </w:r>
      <w:r w:rsidR="00387CCE">
        <w:t>.</w:t>
      </w:r>
      <w:r w:rsidR="004409E4">
        <w:rPr>
          <w:i/>
        </w:rPr>
        <w:t xml:space="preserve">  </w:t>
      </w:r>
      <w:r w:rsidR="001179DB">
        <w:t>We grant SJRP’</w:t>
      </w:r>
      <w:r w:rsidR="00C820D6">
        <w:t>s reques</w:t>
      </w:r>
      <w:r w:rsidR="0056691B">
        <w:t xml:space="preserve">t for additional time, and </w:t>
      </w:r>
      <w:r w:rsidR="00C820D6">
        <w:t>consider the SJRP Reply as timely</w:t>
      </w:r>
      <w:r w:rsidR="00620C46">
        <w:t>-filed</w:t>
      </w:r>
      <w:r w:rsidR="00C820D6">
        <w:t>.</w:t>
      </w:r>
      <w:r w:rsidR="007A183E">
        <w:t xml:space="preserve">  We will not, however, con</w:t>
      </w:r>
      <w:r w:rsidR="00E502B9">
        <w:t>sider a supplement that SJRP submitt</w:t>
      </w:r>
      <w:r w:rsidR="007A183E">
        <w:t>ed on April 30, 2015.  That filing, which transmits a “Statement of Christian Clergy on the Actions of Calvary Chapel (KWVE),” is late-filed</w:t>
      </w:r>
      <w:r w:rsidR="00142ED5">
        <w:t>, for which SJRP failed to seek leave to so file,</w:t>
      </w:r>
      <w:r w:rsidR="007A183E">
        <w:t xml:space="preserve"> and concerns matters beyond the scope of this proceeding. </w:t>
      </w:r>
    </w:p>
  </w:footnote>
  <w:footnote w:id="4">
    <w:p w14:paraId="27EECD6D" w14:textId="77777777" w:rsidR="007B75C5" w:rsidRPr="00C42465" w:rsidRDefault="007B75C5" w:rsidP="00630A92">
      <w:pPr>
        <w:pStyle w:val="FootnoteText"/>
        <w:rPr>
          <w:i/>
        </w:rPr>
      </w:pPr>
      <w:r w:rsidRPr="003319EC">
        <w:rPr>
          <w:rStyle w:val="FootnoteReference"/>
        </w:rPr>
        <w:footnoteRef/>
      </w:r>
      <w:r w:rsidRPr="003319EC">
        <w:t xml:space="preserve"> </w:t>
      </w:r>
      <w:r w:rsidR="00AF65F3">
        <w:rPr>
          <w:i/>
        </w:rPr>
        <w:t>See W</w:t>
      </w:r>
      <w:r w:rsidR="008111AB">
        <w:rPr>
          <w:i/>
        </w:rPr>
        <w:t>illiam Berle</w:t>
      </w:r>
      <w:r w:rsidR="008111AB">
        <w:t>, Letter Order (MB Feb. 19</w:t>
      </w:r>
      <w:r>
        <w:t>, 2015) (</w:t>
      </w:r>
      <w:r w:rsidRPr="003319EC">
        <w:rPr>
          <w:i/>
        </w:rPr>
        <w:t>Decision</w:t>
      </w:r>
      <w:r w:rsidRPr="003319EC">
        <w:t>).</w:t>
      </w:r>
      <w:r w:rsidR="00C42465">
        <w:t xml:space="preserve"> </w:t>
      </w:r>
    </w:p>
  </w:footnote>
  <w:footnote w:id="5">
    <w:p w14:paraId="0F4B8BD1" w14:textId="77777777" w:rsidR="00955722" w:rsidRPr="003319EC" w:rsidRDefault="00955722" w:rsidP="00630A92">
      <w:pPr>
        <w:pStyle w:val="FootnoteText"/>
      </w:pPr>
      <w:r w:rsidRPr="003319EC">
        <w:rPr>
          <w:rStyle w:val="FootnoteReference"/>
        </w:rPr>
        <w:footnoteRef/>
      </w:r>
      <w:r>
        <w:t xml:space="preserve"> </w:t>
      </w:r>
      <w:r>
        <w:rPr>
          <w:i/>
        </w:rPr>
        <w:t>See William Berle</w:t>
      </w:r>
      <w:r>
        <w:t>, Letter Order (MB Jan. 13, 2015) (</w:t>
      </w:r>
      <w:r>
        <w:rPr>
          <w:i/>
        </w:rPr>
        <w:t>Initial Dismissal</w:t>
      </w:r>
      <w:r>
        <w:t>).</w:t>
      </w:r>
    </w:p>
  </w:footnote>
  <w:footnote w:id="6">
    <w:p w14:paraId="603F93C3" w14:textId="36AB0382" w:rsidR="0052517B" w:rsidRDefault="0052517B" w:rsidP="00630A92">
      <w:pPr>
        <w:pStyle w:val="FootnoteText"/>
      </w:pPr>
      <w:r>
        <w:rPr>
          <w:rStyle w:val="FootnoteReference"/>
        </w:rPr>
        <w:footnoteRef/>
      </w:r>
      <w:r>
        <w:t xml:space="preserve"> </w:t>
      </w:r>
      <w:r>
        <w:rPr>
          <w:i/>
        </w:rPr>
        <w:t xml:space="preserve">See </w:t>
      </w:r>
      <w:r>
        <w:t xml:space="preserve">File No. BNPL-20131114BHE (filed Nov. 14, 2013) (Application).  </w:t>
      </w:r>
    </w:p>
  </w:footnote>
  <w:footnote w:id="7">
    <w:p w14:paraId="02147A95" w14:textId="77777777" w:rsidR="00206722" w:rsidRDefault="00206722" w:rsidP="00630A92">
      <w:pPr>
        <w:pStyle w:val="FootnoteText"/>
      </w:pPr>
      <w:r>
        <w:rPr>
          <w:rStyle w:val="FootnoteReference"/>
        </w:rPr>
        <w:footnoteRef/>
      </w:r>
      <w:r w:rsidR="00740DF4">
        <w:t xml:space="preserve"> </w:t>
      </w:r>
      <w:r w:rsidR="00876983">
        <w:t xml:space="preserve">Application, </w:t>
      </w:r>
      <w:r w:rsidR="009A0B18">
        <w:t>Attachment 11</w:t>
      </w:r>
      <w:r w:rsidR="00555AEA">
        <w:t>, LPFM Second Adjacent Channel Wa</w:t>
      </w:r>
      <w:r w:rsidR="00876983">
        <w:t>iver Study</w:t>
      </w:r>
      <w:r w:rsidR="00555AEA">
        <w:t>.</w:t>
      </w:r>
      <w:r w:rsidR="00086FB5">
        <w:t xml:space="preserve"> </w:t>
      </w:r>
    </w:p>
  </w:footnote>
  <w:footnote w:id="8">
    <w:p w14:paraId="66AF5854" w14:textId="77777777" w:rsidR="00595541" w:rsidRPr="00FA6E87" w:rsidRDefault="00595541" w:rsidP="00630A92">
      <w:pPr>
        <w:pStyle w:val="FootnoteText"/>
      </w:pPr>
      <w:r>
        <w:rPr>
          <w:rStyle w:val="FootnoteReference"/>
        </w:rPr>
        <w:footnoteRef/>
      </w:r>
      <w:r>
        <w:t xml:space="preserve"> </w:t>
      </w:r>
      <w:r w:rsidR="002278BA">
        <w:rPr>
          <w:i/>
        </w:rPr>
        <w:t xml:space="preserve">See </w:t>
      </w:r>
      <w:r w:rsidR="00963664">
        <w:rPr>
          <w:i/>
        </w:rPr>
        <w:t xml:space="preserve">Commission </w:t>
      </w:r>
      <w:r>
        <w:rPr>
          <w:i/>
        </w:rPr>
        <w:t xml:space="preserve">Identifies </w:t>
      </w:r>
      <w:r w:rsidR="00963664">
        <w:rPr>
          <w:i/>
        </w:rPr>
        <w:t xml:space="preserve">Tentative Selectees in 79 Groups, </w:t>
      </w:r>
      <w:r w:rsidR="00894D6E">
        <w:t>Public Notice, 29 FCC Rcd 8665 (2014</w:t>
      </w:r>
      <w:r w:rsidR="00FA6E87">
        <w:t>)</w:t>
      </w:r>
      <w:r w:rsidR="00C047F0">
        <w:t xml:space="preserve"> (</w:t>
      </w:r>
      <w:r w:rsidR="00C047F0">
        <w:rPr>
          <w:i/>
        </w:rPr>
        <w:t>Settlement Notice</w:t>
      </w:r>
      <w:r w:rsidR="00C047F0">
        <w:t>)</w:t>
      </w:r>
      <w:r w:rsidR="00FA6E87">
        <w:t>.</w:t>
      </w:r>
    </w:p>
  </w:footnote>
  <w:footnote w:id="9">
    <w:p w14:paraId="6FDC832E" w14:textId="77777777" w:rsidR="00E7259E" w:rsidRPr="00E7259E" w:rsidRDefault="00E7259E" w:rsidP="00630A92">
      <w:pPr>
        <w:pStyle w:val="FootnoteText"/>
      </w:pPr>
      <w:r>
        <w:rPr>
          <w:rStyle w:val="FootnoteReference"/>
        </w:rPr>
        <w:footnoteRef/>
      </w:r>
      <w:r>
        <w:t xml:space="preserve"> </w:t>
      </w:r>
      <w:r w:rsidR="00126A95">
        <w:rPr>
          <w:i/>
        </w:rPr>
        <w:t>See Broadcast Applications</w:t>
      </w:r>
      <w:r>
        <w:rPr>
          <w:i/>
        </w:rPr>
        <w:t xml:space="preserve">, </w:t>
      </w:r>
      <w:r>
        <w:t>Public</w:t>
      </w:r>
      <w:r w:rsidR="00126A95">
        <w:t xml:space="preserve"> Notice, Report No. 28345 </w:t>
      </w:r>
      <w:r>
        <w:t>(</w:t>
      </w:r>
      <w:r w:rsidR="00337EC9">
        <w:t xml:space="preserve">MB </w:t>
      </w:r>
      <w:r>
        <w:t>Oct. 15, 2014).</w:t>
      </w:r>
    </w:p>
  </w:footnote>
  <w:footnote w:id="10">
    <w:p w14:paraId="79A1656E" w14:textId="36CD2762" w:rsidR="0012443A" w:rsidRDefault="0012443A" w:rsidP="00630A92">
      <w:pPr>
        <w:pStyle w:val="FootnoteText"/>
      </w:pPr>
      <w:r>
        <w:rPr>
          <w:rStyle w:val="FootnoteReference"/>
        </w:rPr>
        <w:footnoteRef/>
      </w:r>
      <w:r>
        <w:t xml:space="preserve"> The October Amendment site coordinates were:  North Latitude, 34 Degrees, 14 Minutes, 09.7 Seconds; West Longitude, 118 Degrees, 36 Minutes, 39.1 Seconds. </w:t>
      </w:r>
      <w:r w:rsidR="00142ED5" w:rsidRPr="008432F7">
        <w:rPr>
          <w:i/>
        </w:rPr>
        <w:t xml:space="preserve">See </w:t>
      </w:r>
      <w:r w:rsidR="00005EAF">
        <w:t xml:space="preserve">October Amendment, Application, Section VI, </w:t>
      </w:r>
      <w:r w:rsidR="000124D7">
        <w:t>Question</w:t>
      </w:r>
      <w:r w:rsidR="00005EAF">
        <w:t xml:space="preserve"> 2.</w:t>
      </w:r>
      <w:r>
        <w:t xml:space="preserve"> </w:t>
      </w:r>
    </w:p>
  </w:footnote>
  <w:footnote w:id="11">
    <w:p w14:paraId="3FBD388D" w14:textId="69823516" w:rsidR="00F45386" w:rsidRDefault="00F45386" w:rsidP="00630A92">
      <w:pPr>
        <w:pStyle w:val="FootnoteText"/>
      </w:pPr>
      <w:r>
        <w:rPr>
          <w:rStyle w:val="FootnoteReference"/>
        </w:rPr>
        <w:footnoteRef/>
      </w:r>
      <w:r>
        <w:t xml:space="preserve"> </w:t>
      </w:r>
      <w:r w:rsidR="00E502B9">
        <w:rPr>
          <w:i/>
        </w:rPr>
        <w:t xml:space="preserve">See </w:t>
      </w:r>
      <w:r w:rsidR="00E502B9" w:rsidRPr="009B20ED">
        <w:rPr>
          <w:i/>
        </w:rPr>
        <w:t>Calvary Opposition</w:t>
      </w:r>
      <w:r w:rsidR="00E502B9">
        <w:rPr>
          <w:i/>
        </w:rPr>
        <w:t xml:space="preserve"> </w:t>
      </w:r>
      <w:r w:rsidR="00E502B9">
        <w:t xml:space="preserve">at 7; </w:t>
      </w:r>
      <w:r w:rsidR="00E502B9">
        <w:rPr>
          <w:i/>
        </w:rPr>
        <w:t xml:space="preserve">KLVE Opposition </w:t>
      </w:r>
      <w:r w:rsidR="00E502B9">
        <w:t>at 3-5.</w:t>
      </w:r>
      <w:r w:rsidR="00E502B9">
        <w:rPr>
          <w:i/>
        </w:rPr>
        <w:t xml:space="preserve">  </w:t>
      </w:r>
      <w:r w:rsidRPr="00F45386">
        <w:t>A broadcast applicant must, in good faith, have “reasonable assurance” of transmitter site availability at the time it files or amends its application</w:t>
      </w:r>
      <w:r w:rsidR="00E502B9">
        <w:t>.</w:t>
      </w:r>
      <w:r w:rsidRPr="00F45386">
        <w:rPr>
          <w:i/>
        </w:rPr>
        <w:t xml:space="preserve"> </w:t>
      </w:r>
      <w:r w:rsidR="00E502B9">
        <w:rPr>
          <w:i/>
        </w:rPr>
        <w:t xml:space="preserve"> </w:t>
      </w:r>
      <w:r w:rsidRPr="00CB314C">
        <w:rPr>
          <w:i/>
        </w:rPr>
        <w:t>See</w:t>
      </w:r>
      <w:r w:rsidRPr="00C245C9">
        <w:t> </w:t>
      </w:r>
      <w:hyperlink r:id="rId1" w:anchor="co_pp_sp_1017_1364" w:history="1">
        <w:r w:rsidRPr="003478DF">
          <w:rPr>
            <w:rStyle w:val="Hyperlink"/>
            <w:i/>
            <w:color w:val="auto"/>
            <w:u w:val="none"/>
          </w:rPr>
          <w:t>George Edward Gunter</w:t>
        </w:r>
        <w:r w:rsidRPr="00DF6DA4">
          <w:rPr>
            <w:rStyle w:val="Hyperlink"/>
            <w:color w:val="auto"/>
            <w:u w:val="none"/>
          </w:rPr>
          <w:t>, Memorandum Opinion and Order, 104 FCC 2d 1363, 1364</w:t>
        </w:r>
        <w:r>
          <w:rPr>
            <w:rStyle w:val="Hyperlink"/>
            <w:color w:val="auto"/>
            <w:u w:val="none"/>
          </w:rPr>
          <w:t>, para.</w:t>
        </w:r>
        <w:r w:rsidR="00630A92">
          <w:rPr>
            <w:rStyle w:val="Hyperlink"/>
            <w:color w:val="auto"/>
            <w:u w:val="none"/>
          </w:rPr>
          <w:t xml:space="preserve"> </w:t>
        </w:r>
        <w:r>
          <w:rPr>
            <w:rStyle w:val="Hyperlink"/>
            <w:color w:val="auto"/>
            <w:u w:val="none"/>
          </w:rPr>
          <w:t>4</w:t>
        </w:r>
        <w:r w:rsidRPr="00DF6DA4">
          <w:rPr>
            <w:rStyle w:val="Hyperlink"/>
            <w:color w:val="auto"/>
            <w:u w:val="none"/>
          </w:rPr>
          <w:t xml:space="preserve"> (Rev. Bd. 1986)</w:t>
        </w:r>
      </w:hyperlink>
      <w:r w:rsidRPr="00DF6DA4">
        <w:t>.</w:t>
      </w:r>
      <w:r>
        <w:t xml:space="preserve">  S</w:t>
      </w:r>
      <w:r w:rsidRPr="00F04C77">
        <w:t xml:space="preserve">pecification of a transmitter site in an application is an implied representation </w:t>
      </w:r>
      <w:r>
        <w:t xml:space="preserve">that the applicant has obtained such assurance.  </w:t>
      </w:r>
      <w:r>
        <w:rPr>
          <w:i/>
        </w:rPr>
        <w:t xml:space="preserve">See William F. Wallace, </w:t>
      </w:r>
      <w:r>
        <w:t>Memorandum Opinion and Order, 49 FCC 2d 1424, 1427, para.</w:t>
      </w:r>
      <w:r w:rsidR="00630A92">
        <w:t xml:space="preserve"> </w:t>
      </w:r>
      <w:r>
        <w:t>7 (1974).  There must, at a minimum, be a “meeting of the minds resulting in some firm understanding as to the site’s availability</w:t>
      </w:r>
      <w:r w:rsidR="00630A92">
        <w:t>.</w:t>
      </w:r>
      <w:r>
        <w:rPr>
          <w:i/>
        </w:rPr>
        <w:t xml:space="preserve">”  Genesee Communications, Inc., </w:t>
      </w:r>
      <w:r>
        <w:t>Memorandum Opinion and Order, 3 FCC Rcd 359</w:t>
      </w:r>
      <w:r w:rsidR="00630A92">
        <w:t>5</w:t>
      </w:r>
      <w:r>
        <w:t>, para. 4 (</w:t>
      </w:r>
      <w:r w:rsidR="00630A92">
        <w:t xml:space="preserve">Rev. Bd. </w:t>
      </w:r>
      <w:r>
        <w:t>1988).</w:t>
      </w:r>
    </w:p>
  </w:footnote>
  <w:footnote w:id="12">
    <w:p w14:paraId="592F6259" w14:textId="77777777" w:rsidR="00F45386" w:rsidRDefault="00F45386">
      <w:pPr>
        <w:pStyle w:val="FootnoteText"/>
      </w:pPr>
      <w:r>
        <w:rPr>
          <w:rStyle w:val="FootnoteReference"/>
        </w:rPr>
        <w:footnoteRef/>
      </w:r>
      <w:r>
        <w:t xml:space="preserve"> </w:t>
      </w:r>
      <w:r w:rsidR="00652640" w:rsidRPr="00652640">
        <w:rPr>
          <w:i/>
        </w:rPr>
        <w:t xml:space="preserve"> </w:t>
      </w:r>
      <w:r w:rsidR="00652640">
        <w:rPr>
          <w:i/>
        </w:rPr>
        <w:t xml:space="preserve">See </w:t>
      </w:r>
      <w:r w:rsidR="00652640" w:rsidRPr="009B20ED">
        <w:rPr>
          <w:i/>
        </w:rPr>
        <w:t>Calvary Opposition</w:t>
      </w:r>
      <w:r w:rsidR="00652640">
        <w:rPr>
          <w:i/>
        </w:rPr>
        <w:t xml:space="preserve"> </w:t>
      </w:r>
      <w:r w:rsidR="00652640">
        <w:t xml:space="preserve">at </w:t>
      </w:r>
      <w:r w:rsidR="00E502B9">
        <w:t>7-9</w:t>
      </w:r>
      <w:r w:rsidR="00652640">
        <w:t>.</w:t>
      </w:r>
      <w:r w:rsidR="00652640">
        <w:rPr>
          <w:i/>
        </w:rPr>
        <w:t xml:space="preserve"> </w:t>
      </w:r>
    </w:p>
  </w:footnote>
  <w:footnote w:id="13">
    <w:p w14:paraId="09DCC41B" w14:textId="6407C591" w:rsidR="00004D4B" w:rsidRDefault="00004D4B">
      <w:pPr>
        <w:pStyle w:val="FootnoteText"/>
      </w:pPr>
      <w:r>
        <w:rPr>
          <w:rStyle w:val="FootnoteReference"/>
        </w:rPr>
        <w:footnoteRef/>
      </w:r>
      <w:r>
        <w:t xml:space="preserve"> </w:t>
      </w:r>
      <w:r w:rsidR="0004052E">
        <w:t>In its November 24, 2014 “Consolidated Opposition to Petition(s) to Deny,” SJRP explained that the error in the October Amendment was “made by the accidental supply of slightly inaccurate coordinates to our engineer…</w:t>
      </w:r>
      <w:r w:rsidR="007C09F5">
        <w:t>.</w:t>
      </w:r>
      <w:r w:rsidR="0004052E">
        <w:t>”</w:t>
      </w:r>
      <w:r w:rsidR="00D03AC2">
        <w:t xml:space="preserve"> </w:t>
      </w:r>
      <w:r w:rsidR="0004052E">
        <w:t xml:space="preserve"> At Exhibit 1 of its concurrently-filed November Amendment, SJRP stated that its reason for the filing was “to correct coordinates of proposed LPFM station.” </w:t>
      </w:r>
      <w:r>
        <w:t xml:space="preserve">The November Amendment </w:t>
      </w:r>
      <w:r w:rsidR="00EC47F6">
        <w:t xml:space="preserve">site </w:t>
      </w:r>
      <w:r>
        <w:t>coordinates</w:t>
      </w:r>
      <w:r w:rsidR="00001C21">
        <w:t xml:space="preserve"> were</w:t>
      </w:r>
      <w:r>
        <w:t xml:space="preserve">:  North Latitude, 34 Degrees, 14 Minutes, 16 Seconds; West Longitude, 118 Degrees, 36 Minutes, 34.1 Seconds. </w:t>
      </w:r>
      <w:r w:rsidR="00634A6C">
        <w:t xml:space="preserve"> </w:t>
      </w:r>
      <w:r w:rsidR="00142ED5" w:rsidRPr="00EF4F36">
        <w:rPr>
          <w:i/>
        </w:rPr>
        <w:t>See</w:t>
      </w:r>
      <w:r>
        <w:t xml:space="preserve"> </w:t>
      </w:r>
      <w:r w:rsidR="00005EAF">
        <w:t xml:space="preserve">November Amendment, Application, Section VI, </w:t>
      </w:r>
      <w:r w:rsidR="000124D7">
        <w:t>Question</w:t>
      </w:r>
      <w:r w:rsidR="00005EAF">
        <w:t xml:space="preserve"> 2.</w:t>
      </w:r>
    </w:p>
  </w:footnote>
  <w:footnote w:id="14">
    <w:p w14:paraId="755BF621" w14:textId="59B25164" w:rsidR="00740212" w:rsidRPr="003D5F85" w:rsidRDefault="00740212">
      <w:pPr>
        <w:pStyle w:val="FootnoteText"/>
      </w:pPr>
      <w:r>
        <w:rPr>
          <w:rStyle w:val="FootnoteReference"/>
        </w:rPr>
        <w:footnoteRef/>
      </w:r>
      <w:r>
        <w:t xml:space="preserve"> SJRP </w:t>
      </w:r>
      <w:r w:rsidR="008540B0">
        <w:t xml:space="preserve">represented </w:t>
      </w:r>
      <w:r>
        <w:t>that it “</w:t>
      </w:r>
      <w:r w:rsidRPr="00964D26">
        <w:t xml:space="preserve">had received assurances by the </w:t>
      </w:r>
      <w:r>
        <w:t>[Hill S</w:t>
      </w:r>
      <w:r w:rsidRPr="00964D26">
        <w:t>ite</w:t>
      </w:r>
      <w:r>
        <w:t>]</w:t>
      </w:r>
      <w:r w:rsidRPr="00964D26">
        <w:t xml:space="preserve"> owner that this parcel would be available for</w:t>
      </w:r>
      <w:r>
        <w:t xml:space="preserve"> </w:t>
      </w:r>
      <w:r w:rsidRPr="00964D26">
        <w:t>the applicant in the event of a grant of a construction permit and that this site assurance was</w:t>
      </w:r>
      <w:r>
        <w:t xml:space="preserve"> r</w:t>
      </w:r>
      <w:r w:rsidRPr="00964D26">
        <w:t>eceived prior to the amendment filing on October 8, 2014.</w:t>
      </w:r>
      <w:r>
        <w:t xml:space="preserve">”  </w:t>
      </w:r>
      <w:r>
        <w:rPr>
          <w:i/>
        </w:rPr>
        <w:t xml:space="preserve">See </w:t>
      </w:r>
      <w:r>
        <w:t>November Amendment, Attachment 11.</w:t>
      </w:r>
    </w:p>
  </w:footnote>
  <w:footnote w:id="15">
    <w:p w14:paraId="51921C12" w14:textId="2FFC6BF2" w:rsidR="00C07D7C" w:rsidRDefault="00C07D7C">
      <w:pPr>
        <w:pStyle w:val="FootnoteText"/>
      </w:pPr>
      <w:r>
        <w:rPr>
          <w:rStyle w:val="FootnoteReference"/>
        </w:rPr>
        <w:footnoteRef/>
      </w:r>
      <w:r>
        <w:t xml:space="preserve"> </w:t>
      </w:r>
      <w:r>
        <w:rPr>
          <w:i/>
        </w:rPr>
        <w:t xml:space="preserve">See Initial Dismissal </w:t>
      </w:r>
      <w:r>
        <w:t>at 3-4.</w:t>
      </w:r>
    </w:p>
  </w:footnote>
  <w:footnote w:id="16">
    <w:p w14:paraId="63FE4446" w14:textId="56F76883" w:rsidR="00E7259E" w:rsidRPr="00E7259E" w:rsidRDefault="00E7259E">
      <w:pPr>
        <w:pStyle w:val="FootnoteText"/>
      </w:pPr>
      <w:r>
        <w:rPr>
          <w:rStyle w:val="FootnoteReference"/>
        </w:rPr>
        <w:footnoteRef/>
      </w:r>
      <w:r>
        <w:t xml:space="preserve"> </w:t>
      </w:r>
      <w:r w:rsidR="00E55FD4">
        <w:rPr>
          <w:i/>
        </w:rPr>
        <w:t>Id.</w:t>
      </w:r>
      <w:r w:rsidR="001F2961">
        <w:rPr>
          <w:i/>
        </w:rPr>
        <w:t xml:space="preserve"> </w:t>
      </w:r>
      <w:r w:rsidR="001F2961">
        <w:t>at 4</w:t>
      </w:r>
      <w:r>
        <w:t>.</w:t>
      </w:r>
    </w:p>
  </w:footnote>
  <w:footnote w:id="17">
    <w:p w14:paraId="2C8E2E09" w14:textId="77777777" w:rsidR="00F43178" w:rsidRDefault="00F43178">
      <w:pPr>
        <w:pStyle w:val="FootnoteText"/>
      </w:pPr>
      <w:r>
        <w:rPr>
          <w:rStyle w:val="FootnoteReference"/>
        </w:rPr>
        <w:footnoteRef/>
      </w:r>
      <w:r>
        <w:t xml:space="preserve"> SJRP Petition for Reconsideration, Exhi</w:t>
      </w:r>
      <w:r w:rsidR="005057FE">
        <w:t>bit B (filed Feb. 12</w:t>
      </w:r>
      <w:r>
        <w:t>, 2015).</w:t>
      </w:r>
    </w:p>
  </w:footnote>
  <w:footnote w:id="18">
    <w:p w14:paraId="6588EBBB" w14:textId="7BE8C15A" w:rsidR="00CE4CC4" w:rsidRPr="00D7325C" w:rsidRDefault="00CE4CC4">
      <w:pPr>
        <w:pStyle w:val="FootnoteText"/>
      </w:pPr>
      <w:r>
        <w:rPr>
          <w:rStyle w:val="FootnoteReference"/>
        </w:rPr>
        <w:footnoteRef/>
      </w:r>
      <w:r>
        <w:t xml:space="preserve"> </w:t>
      </w:r>
      <w:r w:rsidR="00580528">
        <w:rPr>
          <w:i/>
        </w:rPr>
        <w:t>See D</w:t>
      </w:r>
      <w:r>
        <w:rPr>
          <w:i/>
        </w:rPr>
        <w:t xml:space="preserve">ecision </w:t>
      </w:r>
      <w:r>
        <w:t>at 2</w:t>
      </w:r>
      <w:r w:rsidR="007A3CEF">
        <w:t xml:space="preserve"> (“SJRP has not demonstrated that it had reasonable assurance of site availability </w:t>
      </w:r>
      <w:r w:rsidR="007A3CEF">
        <w:rPr>
          <w:i/>
        </w:rPr>
        <w:t xml:space="preserve">at the time it filed the Application, </w:t>
      </w:r>
      <w:r w:rsidR="007A3CEF">
        <w:t>which was November of 2013.  SJRP has not demonstrated that it had reasonable assurance of site availability at that point in time at either the Chatsworth Nature Preserve, which it identified in the Application, or at the [Hill] Site</w:t>
      </w:r>
      <w:r w:rsidR="00087FDF">
        <w:t>”</w:t>
      </w:r>
      <w:r w:rsidR="007A3CEF">
        <w:t>) (emphasis in original, footnote omitted)</w:t>
      </w:r>
      <w:r>
        <w:t>.</w:t>
      </w:r>
      <w:r w:rsidR="00D7325C">
        <w:t xml:space="preserve"> </w:t>
      </w:r>
    </w:p>
  </w:footnote>
  <w:footnote w:id="19">
    <w:p w14:paraId="50C84451" w14:textId="77777777" w:rsidR="00A1244E" w:rsidRDefault="00A1244E">
      <w:pPr>
        <w:pStyle w:val="FootnoteText"/>
      </w:pPr>
      <w:r>
        <w:rPr>
          <w:rStyle w:val="FootnoteReference"/>
        </w:rPr>
        <w:footnoteRef/>
      </w:r>
      <w:r>
        <w:t xml:space="preserve"> </w:t>
      </w:r>
      <w:r w:rsidR="007E5ED0">
        <w:rPr>
          <w:i/>
        </w:rPr>
        <w:t>See</w:t>
      </w:r>
      <w:r w:rsidR="007E5ED0">
        <w:t xml:space="preserve"> </w:t>
      </w:r>
      <w:r>
        <w:t xml:space="preserve">47 CFR </w:t>
      </w:r>
      <w:r w:rsidR="00E94AD8" w:rsidRPr="007F198C">
        <w:t>§</w:t>
      </w:r>
      <w:r w:rsidR="00E94AD8">
        <w:t xml:space="preserve"> </w:t>
      </w:r>
      <w:r>
        <w:t>1.115(a)(2)</w:t>
      </w:r>
      <w:r w:rsidR="00AD26F8">
        <w:t xml:space="preserve"> (standards for review)</w:t>
      </w:r>
      <w:r>
        <w:t>.</w:t>
      </w:r>
    </w:p>
  </w:footnote>
  <w:footnote w:id="20">
    <w:p w14:paraId="2DF1BA08" w14:textId="62E36168" w:rsidR="000476E7" w:rsidRDefault="000476E7">
      <w:pPr>
        <w:pStyle w:val="FootnoteText"/>
      </w:pPr>
      <w:r>
        <w:rPr>
          <w:rStyle w:val="FootnoteReference"/>
        </w:rPr>
        <w:footnoteRef/>
      </w:r>
      <w:r>
        <w:t xml:space="preserve"> </w:t>
      </w:r>
      <w:r w:rsidR="005466CC" w:rsidRPr="00A21559">
        <w:t>KLVE also raise</w:t>
      </w:r>
      <w:r w:rsidR="00B836FA" w:rsidRPr="00A21559">
        <w:t>s</w:t>
      </w:r>
      <w:r w:rsidR="005466CC" w:rsidRPr="00A21559">
        <w:t xml:space="preserve"> various procedural</w:t>
      </w:r>
      <w:r w:rsidR="00FC7B3D" w:rsidRPr="00A21559">
        <w:t xml:space="preserve"> arguments, which we find </w:t>
      </w:r>
      <w:r w:rsidR="005466CC" w:rsidRPr="00A21559">
        <w:t>without merit</w:t>
      </w:r>
      <w:r w:rsidR="00EF44B1" w:rsidRPr="00A21559">
        <w:t xml:space="preserve"> and unnecessary to discuss in </w:t>
      </w:r>
      <w:r w:rsidR="008540B0" w:rsidRPr="00A21559">
        <w:t>detail</w:t>
      </w:r>
      <w:r w:rsidR="005466CC" w:rsidRPr="00A21559">
        <w:t xml:space="preserve">.  </w:t>
      </w:r>
      <w:r w:rsidR="00302FFE" w:rsidRPr="00A21559">
        <w:t>W</w:t>
      </w:r>
      <w:r w:rsidR="00BC04C4" w:rsidRPr="00A21559">
        <w:t xml:space="preserve">e reject its argument </w:t>
      </w:r>
      <w:r w:rsidR="00DE6B1B" w:rsidRPr="00A21559">
        <w:t>(</w:t>
      </w:r>
      <w:r w:rsidR="00DE6B1B" w:rsidRPr="00A21559">
        <w:rPr>
          <w:i/>
        </w:rPr>
        <w:t xml:space="preserve">KLVE Opposition </w:t>
      </w:r>
      <w:r w:rsidR="00DE6B1B" w:rsidRPr="00A21559">
        <w:t xml:space="preserve">at 1-2) </w:t>
      </w:r>
      <w:r w:rsidRPr="00A21559">
        <w:t>that reconsideration is barred by 47 CFR §</w:t>
      </w:r>
      <w:r w:rsidR="00BC04C4" w:rsidRPr="00A21559">
        <w:t xml:space="preserve"> 1.106(b)(2); </w:t>
      </w:r>
      <w:r w:rsidR="005466CC" w:rsidRPr="00A21559">
        <w:t xml:space="preserve">that provision </w:t>
      </w:r>
      <w:r w:rsidR="00CE674D" w:rsidRPr="00A21559">
        <w:t>applie</w:t>
      </w:r>
      <w:r w:rsidR="003A33CC" w:rsidRPr="00A21559">
        <w:t xml:space="preserve">s </w:t>
      </w:r>
      <w:r w:rsidR="005466CC" w:rsidRPr="00A21559">
        <w:t xml:space="preserve">only when </w:t>
      </w:r>
      <w:r w:rsidR="008B0870" w:rsidRPr="00A21559">
        <w:t xml:space="preserve">the </w:t>
      </w:r>
      <w:r w:rsidR="002E1213" w:rsidRPr="00A21559">
        <w:t xml:space="preserve">full </w:t>
      </w:r>
      <w:r w:rsidR="008B0870" w:rsidRPr="00A21559">
        <w:t xml:space="preserve">Commission has denied an </w:t>
      </w:r>
      <w:r w:rsidR="0004052E" w:rsidRPr="00A21559">
        <w:t>a</w:t>
      </w:r>
      <w:r w:rsidR="008B0870" w:rsidRPr="00A21559">
        <w:t xml:space="preserve">pplication for </w:t>
      </w:r>
      <w:r w:rsidR="0004052E" w:rsidRPr="00A21559">
        <w:t>r</w:t>
      </w:r>
      <w:r w:rsidR="008B0870" w:rsidRPr="00A21559">
        <w:t>eview</w:t>
      </w:r>
      <w:r w:rsidR="00C02541" w:rsidRPr="00A21559">
        <w:t>, which it has not done here</w:t>
      </w:r>
      <w:r w:rsidR="00AC62FC" w:rsidRPr="00A21559">
        <w:t xml:space="preserve">.  </w:t>
      </w:r>
      <w:r w:rsidR="0029689A" w:rsidRPr="00A21559">
        <w:t xml:space="preserve">We similarly reject </w:t>
      </w:r>
      <w:r w:rsidR="00A702B9" w:rsidRPr="00A21559">
        <w:t>KLVE</w:t>
      </w:r>
      <w:r w:rsidR="0029689A" w:rsidRPr="00A21559">
        <w:t>’s</w:t>
      </w:r>
      <w:r w:rsidR="00A702B9" w:rsidRPr="00A21559">
        <w:t xml:space="preserve"> argu</w:t>
      </w:r>
      <w:r w:rsidR="0029689A" w:rsidRPr="00A21559">
        <w:t xml:space="preserve">ment </w:t>
      </w:r>
      <w:r w:rsidR="00A702B9" w:rsidRPr="00A21559">
        <w:t xml:space="preserve">that </w:t>
      </w:r>
      <w:r w:rsidR="00C02541" w:rsidRPr="00A21559">
        <w:t>SJRP</w:t>
      </w:r>
      <w:r w:rsidR="005D3873" w:rsidRPr="00A21559">
        <w:t xml:space="preserve"> now</w:t>
      </w:r>
      <w:r w:rsidR="00C02541" w:rsidRPr="00A21559">
        <w:t xml:space="preserve"> makes</w:t>
      </w:r>
      <w:r w:rsidR="00237CE3" w:rsidRPr="00A21559">
        <w:t xml:space="preserve"> </w:t>
      </w:r>
      <w:r w:rsidR="00A702B9" w:rsidRPr="00A21559">
        <w:t xml:space="preserve">new </w:t>
      </w:r>
      <w:r w:rsidR="00B836FA" w:rsidRPr="00A21559">
        <w:t xml:space="preserve">site assurance </w:t>
      </w:r>
      <w:r w:rsidR="00A702B9" w:rsidRPr="00A21559">
        <w:t>argument</w:t>
      </w:r>
      <w:r w:rsidR="00237CE3" w:rsidRPr="00A21559">
        <w:t>s</w:t>
      </w:r>
      <w:r w:rsidR="008540B0" w:rsidRPr="00A21559">
        <w:t xml:space="preserve"> in its AFR </w:t>
      </w:r>
      <w:r w:rsidR="00AE7B14" w:rsidRPr="00A21559">
        <w:t xml:space="preserve">regarding the Hill Site </w:t>
      </w:r>
      <w:r w:rsidR="008540B0" w:rsidRPr="00A21559">
        <w:t>that</w:t>
      </w:r>
      <w:r w:rsidR="005D3873" w:rsidRPr="00A21559">
        <w:t xml:space="preserve"> it could have</w:t>
      </w:r>
      <w:r w:rsidR="00A702B9" w:rsidRPr="00A21559">
        <w:t xml:space="preserve"> </w:t>
      </w:r>
      <w:r w:rsidR="00374376" w:rsidRPr="00A21559">
        <w:t xml:space="preserve">made </w:t>
      </w:r>
      <w:r w:rsidR="005D3873" w:rsidRPr="00A21559">
        <w:t xml:space="preserve">earlier </w:t>
      </w:r>
      <w:r w:rsidR="00374376" w:rsidRPr="00A21559">
        <w:t xml:space="preserve">to </w:t>
      </w:r>
      <w:r w:rsidR="0029689A" w:rsidRPr="00A21559">
        <w:t>the Bureau</w:t>
      </w:r>
      <w:r w:rsidR="007778B2" w:rsidRPr="00A21559">
        <w:t xml:space="preserve">, </w:t>
      </w:r>
      <w:r w:rsidR="005D3873" w:rsidRPr="00A21559">
        <w:t>contrary to</w:t>
      </w:r>
      <w:r w:rsidR="00DE6B1B" w:rsidRPr="00A21559">
        <w:t xml:space="preserve"> 47 CFR § 1.115(c)</w:t>
      </w:r>
      <w:r w:rsidR="0029689A" w:rsidRPr="00A21559">
        <w:t xml:space="preserve">.  </w:t>
      </w:r>
      <w:r w:rsidR="00DE6B1B" w:rsidRPr="00A21559">
        <w:rPr>
          <w:i/>
        </w:rPr>
        <w:t>See K</w:t>
      </w:r>
      <w:r w:rsidR="00A702B9" w:rsidRPr="00A21559">
        <w:rPr>
          <w:i/>
        </w:rPr>
        <w:t xml:space="preserve">LVE Opposition </w:t>
      </w:r>
      <w:r w:rsidR="00A702B9" w:rsidRPr="00A21559">
        <w:t>at 3</w:t>
      </w:r>
      <w:r w:rsidR="00237CE3" w:rsidRPr="00A21559">
        <w:t>-5</w:t>
      </w:r>
      <w:r w:rsidR="0029689A" w:rsidRPr="00A21559">
        <w:t>.</w:t>
      </w:r>
      <w:r w:rsidR="00AE7B14" w:rsidRPr="00A21559">
        <w:t xml:space="preserve"> In point of fact, SJRP provided such information</w:t>
      </w:r>
      <w:r w:rsidR="008722DF" w:rsidRPr="00A21559">
        <w:t xml:space="preserve"> regarding the Hill Site,</w:t>
      </w:r>
      <w:r w:rsidR="00AE7B14" w:rsidRPr="00A21559">
        <w:t xml:space="preserve"> in its Petition</w:t>
      </w:r>
      <w:r w:rsidR="004D2266" w:rsidRPr="00A21559">
        <w:t xml:space="preserve"> for Reconsideration</w:t>
      </w:r>
      <w:r w:rsidR="00AE7B14" w:rsidRPr="00A21559">
        <w:t xml:space="preserve">, information that the Bureau considered in its </w:t>
      </w:r>
      <w:r w:rsidR="00AE7B14" w:rsidRPr="008432F7">
        <w:rPr>
          <w:i/>
        </w:rPr>
        <w:t>Decision</w:t>
      </w:r>
      <w:r w:rsidR="00AE7B14" w:rsidRPr="00A21559">
        <w:t>, in which it denied the Petition based on the fact that SJ</w:t>
      </w:r>
      <w:r w:rsidR="002642CA" w:rsidRPr="00A21559">
        <w:t xml:space="preserve">RP had not received reasonable </w:t>
      </w:r>
      <w:r w:rsidR="00AE7B14" w:rsidRPr="00A21559">
        <w:t xml:space="preserve">assurance from the </w:t>
      </w:r>
      <w:r w:rsidR="002642CA" w:rsidRPr="00A21559">
        <w:t>Hill S</w:t>
      </w:r>
      <w:r w:rsidR="00AE7B14" w:rsidRPr="00A21559">
        <w:t xml:space="preserve">ite owner until September 2014, </w:t>
      </w:r>
      <w:r w:rsidR="004D2266" w:rsidRPr="00A21559">
        <w:t>after it had</w:t>
      </w:r>
      <w:r w:rsidR="00AE7B14" w:rsidRPr="00A21559">
        <w:t xml:space="preserve"> filed its Application the preceding November.</w:t>
      </w:r>
      <w:r w:rsidR="0029689A" w:rsidRPr="00A21559">
        <w:t xml:space="preserve">  </w:t>
      </w:r>
      <w:r w:rsidR="00AD46C9" w:rsidRPr="00A21559">
        <w:t xml:space="preserve">As </w:t>
      </w:r>
      <w:r w:rsidR="00A702B9" w:rsidRPr="00A21559">
        <w:t>SJRP</w:t>
      </w:r>
      <w:r w:rsidR="005D3873" w:rsidRPr="00A21559">
        <w:t xml:space="preserve"> observes, </w:t>
      </w:r>
      <w:r w:rsidR="00260F30" w:rsidRPr="00A21559">
        <w:t>the timing of its</w:t>
      </w:r>
      <w:r w:rsidR="00655770" w:rsidRPr="00A21559">
        <w:t xml:space="preserve"> </w:t>
      </w:r>
      <w:r w:rsidR="00937A1C" w:rsidRPr="00A21559">
        <w:t xml:space="preserve">site </w:t>
      </w:r>
      <w:r w:rsidR="00A702B9" w:rsidRPr="00A21559">
        <w:t xml:space="preserve">assurance </w:t>
      </w:r>
      <w:r w:rsidR="005D3873" w:rsidRPr="00A21559">
        <w:t xml:space="preserve">for the </w:t>
      </w:r>
      <w:r w:rsidR="00260F30" w:rsidRPr="00A21559">
        <w:t xml:space="preserve">Hill </w:t>
      </w:r>
      <w:r w:rsidR="005D3873" w:rsidRPr="00A21559">
        <w:t xml:space="preserve">Site </w:t>
      </w:r>
      <w:r w:rsidR="00A702B9" w:rsidRPr="00A21559">
        <w:t>was</w:t>
      </w:r>
      <w:r w:rsidR="00AD46C9" w:rsidRPr="00A21559">
        <w:t xml:space="preserve"> not</w:t>
      </w:r>
      <w:r w:rsidR="00A702B9" w:rsidRPr="00A21559">
        <w:t xml:space="preserve"> </w:t>
      </w:r>
      <w:r w:rsidR="00260F30" w:rsidRPr="00A21559">
        <w:t>an issue</w:t>
      </w:r>
      <w:r w:rsidR="00A702B9" w:rsidRPr="00A21559">
        <w:t xml:space="preserve"> </w:t>
      </w:r>
      <w:r w:rsidR="00937A1C" w:rsidRPr="00A21559">
        <w:t xml:space="preserve">prior to the Bureau’s </w:t>
      </w:r>
      <w:r w:rsidR="00A702B9" w:rsidRPr="00A21559">
        <w:rPr>
          <w:i/>
        </w:rPr>
        <w:t>Decision</w:t>
      </w:r>
      <w:r w:rsidR="00655770" w:rsidRPr="00A21559">
        <w:rPr>
          <w:i/>
        </w:rPr>
        <w:t xml:space="preserve">.  </w:t>
      </w:r>
      <w:r w:rsidR="00A702B9" w:rsidRPr="00A21559">
        <w:rPr>
          <w:i/>
        </w:rPr>
        <w:t xml:space="preserve">See </w:t>
      </w:r>
      <w:r w:rsidR="00A702B9" w:rsidRPr="00A21559">
        <w:t>AFR at 8, Reply at 4.</w:t>
      </w:r>
      <w:r w:rsidR="00237CE3" w:rsidRPr="00A21559">
        <w:t xml:space="preserve">  </w:t>
      </w:r>
      <w:r w:rsidR="00B208E4" w:rsidRPr="00A21559">
        <w:t xml:space="preserve">We </w:t>
      </w:r>
      <w:r w:rsidR="00F21A8E" w:rsidRPr="00A21559">
        <w:t xml:space="preserve">also reject </w:t>
      </w:r>
      <w:r w:rsidR="00AD46C9" w:rsidRPr="00A21559">
        <w:t>KLVE</w:t>
      </w:r>
      <w:r w:rsidR="00B208E4" w:rsidRPr="00A21559">
        <w:t>’s argument</w:t>
      </w:r>
      <w:r w:rsidR="00AD46C9" w:rsidRPr="00A21559">
        <w:t xml:space="preserve"> that </w:t>
      </w:r>
      <w:r w:rsidR="00237CE3" w:rsidRPr="00A21559">
        <w:t xml:space="preserve">SJRP </w:t>
      </w:r>
      <w:r w:rsidR="00AD46C9" w:rsidRPr="00A21559">
        <w:t>cannot now rely on</w:t>
      </w:r>
      <w:r w:rsidR="00071610" w:rsidRPr="00A21559">
        <w:t xml:space="preserve"> </w:t>
      </w:r>
      <w:r w:rsidR="008722DF" w:rsidRPr="00A21559">
        <w:t>the Hill S</w:t>
      </w:r>
      <w:r w:rsidR="005071D4" w:rsidRPr="00A21559">
        <w:t>ite assurance statements</w:t>
      </w:r>
      <w:r w:rsidR="00AD46C9" w:rsidRPr="00A21559">
        <w:t xml:space="preserve"> within the Application</w:t>
      </w:r>
      <w:r w:rsidR="004D2266" w:rsidRPr="00A21559">
        <w:t>, as amended,</w:t>
      </w:r>
      <w:r w:rsidR="00AD46C9" w:rsidRPr="00A21559">
        <w:t xml:space="preserve"> because SJRP did not</w:t>
      </w:r>
      <w:r w:rsidR="00237CE3" w:rsidRPr="00A21559">
        <w:t xml:space="preserve"> explicitly</w:t>
      </w:r>
      <w:r w:rsidR="005071D4" w:rsidRPr="00A21559">
        <w:t xml:space="preserve"> refer to those statements</w:t>
      </w:r>
      <w:r w:rsidR="00237CE3" w:rsidRPr="00A21559">
        <w:t xml:space="preserve"> in </w:t>
      </w:r>
      <w:r w:rsidR="00DA5D05" w:rsidRPr="00A21559">
        <w:t xml:space="preserve">prior </w:t>
      </w:r>
      <w:r w:rsidR="00237CE3" w:rsidRPr="00A21559">
        <w:t>pleadings before the Bureau</w:t>
      </w:r>
      <w:r w:rsidR="00AD46C9" w:rsidRPr="00A21559">
        <w:t xml:space="preserve">.  </w:t>
      </w:r>
      <w:r w:rsidR="006E4D25" w:rsidRPr="00A21559">
        <w:rPr>
          <w:i/>
        </w:rPr>
        <w:t xml:space="preserve">See KLVE Opposition </w:t>
      </w:r>
      <w:r w:rsidR="006E4D25" w:rsidRPr="00A21559">
        <w:t xml:space="preserve">at 4-5.  </w:t>
      </w:r>
      <w:r w:rsidR="00AE7B14" w:rsidRPr="00A21559">
        <w:t xml:space="preserve">Again, </w:t>
      </w:r>
      <w:r w:rsidR="00260F30" w:rsidRPr="00A21559">
        <w:t xml:space="preserve">it had no </w:t>
      </w:r>
      <w:r w:rsidR="001E5B69" w:rsidRPr="008432F7">
        <w:t xml:space="preserve">earlier </w:t>
      </w:r>
      <w:r w:rsidR="00260F30" w:rsidRPr="00A21559">
        <w:t xml:space="preserve">reason to make such a showing, since </w:t>
      </w:r>
      <w:r w:rsidR="00AE7B14" w:rsidRPr="00A21559">
        <w:t xml:space="preserve">there </w:t>
      </w:r>
      <w:r w:rsidR="002642CA" w:rsidRPr="00A21559">
        <w:t xml:space="preserve">was no </w:t>
      </w:r>
      <w:r w:rsidR="004D2266" w:rsidRPr="00A21559">
        <w:t xml:space="preserve">question raised of whether </w:t>
      </w:r>
      <w:r w:rsidR="00AE7B14" w:rsidRPr="00A21559">
        <w:t>SJRP lacked</w:t>
      </w:r>
      <w:r w:rsidR="002642CA" w:rsidRPr="00A21559">
        <w:t xml:space="preserve"> reasonable assur</w:t>
      </w:r>
      <w:r w:rsidR="004D2266" w:rsidRPr="00A21559">
        <w:t>ance of the Hill S</w:t>
      </w:r>
      <w:r w:rsidR="002642CA" w:rsidRPr="00A21559">
        <w:t>ite</w:t>
      </w:r>
      <w:r w:rsidR="004D2266" w:rsidRPr="00A21559">
        <w:t xml:space="preserve"> until the </w:t>
      </w:r>
      <w:r w:rsidR="004D2266" w:rsidRPr="008432F7">
        <w:rPr>
          <w:i/>
        </w:rPr>
        <w:t>Decision</w:t>
      </w:r>
      <w:r w:rsidR="001E5B69" w:rsidRPr="008432F7">
        <w:rPr>
          <w:i/>
        </w:rPr>
        <w:t xml:space="preserve"> </w:t>
      </w:r>
      <w:r w:rsidR="001E5B69" w:rsidRPr="008432F7">
        <w:t>questioning that timing</w:t>
      </w:r>
      <w:r w:rsidR="004D2266" w:rsidRPr="00A21559">
        <w:t>.</w:t>
      </w:r>
      <w:r w:rsidR="002642CA" w:rsidRPr="00A21559">
        <w:t xml:space="preserve"> </w:t>
      </w:r>
      <w:r w:rsidR="00FA5E83">
        <w:t xml:space="preserve"> </w:t>
      </w:r>
      <w:r w:rsidR="00915D4A">
        <w:t xml:space="preserve">At any rate, it is </w:t>
      </w:r>
      <w:r w:rsidR="00376C1C">
        <w:t>beyond dispute that the Bureau</w:t>
      </w:r>
      <w:r w:rsidR="00915D4A">
        <w:t xml:space="preserve">’s previous action was the result of its mistaken impression </w:t>
      </w:r>
      <w:r w:rsidR="00787AAF">
        <w:t>that the original A</w:t>
      </w:r>
      <w:r w:rsidR="00915D4A">
        <w:t>pplication specified the Hill Site</w:t>
      </w:r>
      <w:r w:rsidR="00787AAF">
        <w:t xml:space="preserve">, </w:t>
      </w:r>
      <w:r w:rsidR="00C63CCE">
        <w:t xml:space="preserve">and </w:t>
      </w:r>
      <w:r w:rsidR="00787AAF">
        <w:t xml:space="preserve">its focusing on the timing of SJRP’s receipt of reasonable assurance </w:t>
      </w:r>
      <w:r w:rsidR="00C63CCE">
        <w:t>to</w:t>
      </w:r>
      <w:r w:rsidR="00787AAF">
        <w:t xml:space="preserve"> the date that the Application was filed erroneous</w:t>
      </w:r>
      <w:r w:rsidR="00915D4A">
        <w:t>.</w:t>
      </w:r>
      <w:r w:rsidR="00763B6C">
        <w:t xml:space="preserve"> </w:t>
      </w:r>
      <w:r w:rsidR="00915D4A">
        <w:t xml:space="preserve"> It is well settled that the Commission may correct a </w:t>
      </w:r>
      <w:r w:rsidR="00787AAF">
        <w:t xml:space="preserve">subsequently discovered </w:t>
      </w:r>
      <w:r w:rsidR="00915D4A">
        <w:t>staff error</w:t>
      </w:r>
      <w:r w:rsidR="00787AAF">
        <w:t>.</w:t>
      </w:r>
      <w:r w:rsidR="00915D4A">
        <w:t xml:space="preserve"> </w:t>
      </w:r>
      <w:r w:rsidR="00787AAF" w:rsidRPr="008432F7">
        <w:rPr>
          <w:i/>
        </w:rPr>
        <w:t xml:space="preserve">See </w:t>
      </w:r>
      <w:r w:rsidR="00787AAF" w:rsidRPr="009602E6">
        <w:rPr>
          <w:i/>
        </w:rPr>
        <w:t>International Broadcasting N</w:t>
      </w:r>
      <w:r w:rsidR="00787AAF" w:rsidRPr="008432F7">
        <w:rPr>
          <w:i/>
        </w:rPr>
        <w:t>etwork</w:t>
      </w:r>
      <w:r w:rsidR="00787AAF">
        <w:t xml:space="preserve">, </w:t>
      </w:r>
      <w:r w:rsidR="009602E6">
        <w:t xml:space="preserve">Memorandum Opinion and Order, </w:t>
      </w:r>
      <w:r w:rsidR="00787AAF">
        <w:t>2 FCC Rcd 2544 (1987).</w:t>
      </w:r>
    </w:p>
  </w:footnote>
  <w:footnote w:id="21">
    <w:p w14:paraId="406D0740" w14:textId="71BE4F0A" w:rsidR="002F0E3E" w:rsidRDefault="002F0E3E">
      <w:pPr>
        <w:pStyle w:val="FootnoteText"/>
      </w:pPr>
      <w:r>
        <w:rPr>
          <w:rStyle w:val="FootnoteReference"/>
        </w:rPr>
        <w:footnoteRef/>
      </w:r>
      <w:r>
        <w:t xml:space="preserve"> </w:t>
      </w:r>
      <w:r w:rsidRPr="008432F7">
        <w:rPr>
          <w:i/>
        </w:rPr>
        <w:t>SJRP Reply</w:t>
      </w:r>
      <w:r>
        <w:t xml:space="preserve"> at 3-9.</w:t>
      </w:r>
    </w:p>
  </w:footnote>
  <w:footnote w:id="22">
    <w:p w14:paraId="2D7AA03F" w14:textId="77777777" w:rsidR="003C157A" w:rsidRDefault="003C157A">
      <w:pPr>
        <w:pStyle w:val="FootnoteText"/>
      </w:pPr>
      <w:r>
        <w:rPr>
          <w:rStyle w:val="FootnoteReference"/>
        </w:rPr>
        <w:footnoteRef/>
      </w:r>
      <w:r>
        <w:t xml:space="preserve"> </w:t>
      </w:r>
      <w:r w:rsidR="00592898">
        <w:rPr>
          <w:i/>
        </w:rPr>
        <w:t>See D</w:t>
      </w:r>
      <w:r>
        <w:rPr>
          <w:i/>
        </w:rPr>
        <w:t xml:space="preserve">ecision </w:t>
      </w:r>
      <w:r w:rsidR="008272C0">
        <w:t>at 2.</w:t>
      </w:r>
    </w:p>
  </w:footnote>
  <w:footnote w:id="23">
    <w:p w14:paraId="54625479" w14:textId="6366AB23" w:rsidR="00B23E7C" w:rsidRPr="00B23E7C" w:rsidRDefault="00B23E7C">
      <w:pPr>
        <w:pStyle w:val="FootnoteText"/>
      </w:pPr>
      <w:r>
        <w:rPr>
          <w:rStyle w:val="FootnoteReference"/>
        </w:rPr>
        <w:footnoteRef/>
      </w:r>
      <w:r>
        <w:t xml:space="preserve"> </w:t>
      </w:r>
      <w:r w:rsidR="00712C63">
        <w:t xml:space="preserve">Specifically, </w:t>
      </w:r>
      <w:r w:rsidR="00AB31C9">
        <w:t xml:space="preserve">SJRP </w:t>
      </w:r>
      <w:r w:rsidR="00712C63">
        <w:t>listed coordinates for the College Site</w:t>
      </w:r>
      <w:r w:rsidR="00F6700F">
        <w:t xml:space="preserve"> (</w:t>
      </w:r>
      <w:r w:rsidR="0004052E">
        <w:t xml:space="preserve">in the </w:t>
      </w:r>
      <w:r w:rsidR="00F6700F">
        <w:t>original Application)</w:t>
      </w:r>
      <w:r w:rsidR="00712C63">
        <w:t>, Nature Site</w:t>
      </w:r>
      <w:r w:rsidR="00F6700F">
        <w:t xml:space="preserve"> (October Amendment)</w:t>
      </w:r>
      <w:r w:rsidR="00712C63">
        <w:t>, and Hill Site</w:t>
      </w:r>
      <w:r w:rsidR="00F6700F">
        <w:t xml:space="preserve"> (November Amendment)</w:t>
      </w:r>
      <w:r w:rsidR="00712C63">
        <w:t xml:space="preserve">.  </w:t>
      </w:r>
      <w:r w:rsidR="001A1145">
        <w:t xml:space="preserve">Although </w:t>
      </w:r>
      <w:r>
        <w:t>SJRP</w:t>
      </w:r>
      <w:r w:rsidR="005B0A63">
        <w:t xml:space="preserve"> characterizes </w:t>
      </w:r>
      <w:r w:rsidR="00AB31C9">
        <w:t xml:space="preserve">its filings as proposing </w:t>
      </w:r>
      <w:r w:rsidR="00366779">
        <w:t>only two sites (</w:t>
      </w:r>
      <w:r w:rsidR="00BE5D10">
        <w:t xml:space="preserve">the </w:t>
      </w:r>
      <w:r w:rsidR="00AB31C9">
        <w:t xml:space="preserve">College </w:t>
      </w:r>
      <w:r w:rsidR="00366779">
        <w:t>and Hill Site</w:t>
      </w:r>
      <w:r w:rsidR="00AB31C9">
        <w:t>s</w:t>
      </w:r>
      <w:r w:rsidR="00366779">
        <w:t>)</w:t>
      </w:r>
      <w:r w:rsidR="00AB31C9">
        <w:t xml:space="preserve"> </w:t>
      </w:r>
      <w:r w:rsidR="001A1145">
        <w:t>it</w:t>
      </w:r>
      <w:r w:rsidR="00D94264">
        <w:t xml:space="preserve">s exclusion of the third </w:t>
      </w:r>
      <w:r w:rsidR="00A3194A">
        <w:t xml:space="preserve">(Nature Site) </w:t>
      </w:r>
      <w:r w:rsidR="00D94264">
        <w:t>is</w:t>
      </w:r>
      <w:r w:rsidR="001A1145">
        <w:t xml:space="preserve"> </w:t>
      </w:r>
      <w:r w:rsidR="005B0A63">
        <w:t>base</w:t>
      </w:r>
      <w:r w:rsidR="00CE7FDE">
        <w:t>d on SJRP’s</w:t>
      </w:r>
      <w:r w:rsidR="00DB6CEE">
        <w:t xml:space="preserve"> position that </w:t>
      </w:r>
      <w:r w:rsidR="00A3194A">
        <w:t xml:space="preserve">it did not </w:t>
      </w:r>
      <w:r w:rsidR="00017DD3">
        <w:t xml:space="preserve">intend to </w:t>
      </w:r>
      <w:r w:rsidR="00A3194A">
        <w:t xml:space="preserve">propose </w:t>
      </w:r>
      <w:r w:rsidR="00B836FA">
        <w:t>t</w:t>
      </w:r>
      <w:r w:rsidR="00A3194A">
        <w:t>he Nature Site</w:t>
      </w:r>
      <w:r w:rsidR="00B836FA">
        <w:t xml:space="preserve"> but</w:t>
      </w:r>
      <w:r w:rsidR="00CE7FDE">
        <w:t xml:space="preserve"> </w:t>
      </w:r>
      <w:r w:rsidR="001D430D">
        <w:t xml:space="preserve">had </w:t>
      </w:r>
      <w:r w:rsidR="00D94264">
        <w:t xml:space="preserve">merely </w:t>
      </w:r>
      <w:r w:rsidR="00CE7FDE">
        <w:t xml:space="preserve">misidentified </w:t>
      </w:r>
      <w:r w:rsidR="001D430D">
        <w:t xml:space="preserve">the </w:t>
      </w:r>
      <w:r w:rsidR="00CE7FDE">
        <w:t>coordinates</w:t>
      </w:r>
      <w:r w:rsidR="00B836FA">
        <w:t xml:space="preserve"> for the Hill Site</w:t>
      </w:r>
      <w:r w:rsidR="0004052E">
        <w:t xml:space="preserve"> in the October Amendment</w:t>
      </w:r>
      <w:r w:rsidR="00712C63">
        <w:t xml:space="preserve">.  </w:t>
      </w:r>
      <w:r w:rsidR="00366779">
        <w:rPr>
          <w:i/>
        </w:rPr>
        <w:t xml:space="preserve">See </w:t>
      </w:r>
      <w:r w:rsidR="00366779">
        <w:t xml:space="preserve">AFR at 6.  </w:t>
      </w:r>
    </w:p>
  </w:footnote>
  <w:footnote w:id="24">
    <w:p w14:paraId="5B4F79A7" w14:textId="33F5FABD" w:rsidR="00555FA2" w:rsidRPr="00DC77B5" w:rsidRDefault="00555FA2">
      <w:pPr>
        <w:pStyle w:val="FootnoteText"/>
      </w:pPr>
      <w:r>
        <w:rPr>
          <w:rStyle w:val="FootnoteReference"/>
        </w:rPr>
        <w:footnoteRef/>
      </w:r>
      <w:r>
        <w:t xml:space="preserve"> The Bureau appears to have misunderstood </w:t>
      </w:r>
      <w:r w:rsidR="0004052E">
        <w:t xml:space="preserve">Calvary’s </w:t>
      </w:r>
      <w:r>
        <w:t>allegation that “</w:t>
      </w:r>
      <w:r w:rsidRPr="00FD609B">
        <w:t>SJRP did not</w:t>
      </w:r>
      <w:r>
        <w:t xml:space="preserve"> </w:t>
      </w:r>
      <w:r w:rsidRPr="00FD609B">
        <w:t>have reasonable assurance of its tower site at the time it filed the above referenced application</w:t>
      </w:r>
      <w:r>
        <w:t xml:space="preserve">.”  </w:t>
      </w:r>
      <w:r>
        <w:rPr>
          <w:i/>
        </w:rPr>
        <w:t xml:space="preserve">See Calvary Petition to Deny </w:t>
      </w:r>
      <w:r w:rsidR="00D13C40">
        <w:t>at 1-2 (filed Nov. </w:t>
      </w:r>
      <w:r>
        <w:t xml:space="preserve">11, 2014).  Although such language might be read as pertaining to the Application as originally filed in 2013, it </w:t>
      </w:r>
      <w:r w:rsidR="001D430D">
        <w:t xml:space="preserve">has </w:t>
      </w:r>
      <w:r w:rsidR="0004052E">
        <w:t xml:space="preserve">since </w:t>
      </w:r>
      <w:r>
        <w:t xml:space="preserve">become evident that Calvary was referring only to the Application as amended in October 2014 because Calvary never mentioned the </w:t>
      </w:r>
      <w:r w:rsidR="0004052E">
        <w:t xml:space="preserve">originally-proposed </w:t>
      </w:r>
      <w:r>
        <w:t xml:space="preserve">College Site and referred solely to the Nature Site by name, coordinates, public notice, site manager, and preservation requirements.  </w:t>
      </w:r>
      <w:r>
        <w:rPr>
          <w:i/>
        </w:rPr>
        <w:t xml:space="preserve">Id., </w:t>
      </w:r>
      <w:r>
        <w:t xml:space="preserve">Exhibits B-D; </w:t>
      </w:r>
      <w:r>
        <w:rPr>
          <w:i/>
        </w:rPr>
        <w:t xml:space="preserve">see also, KLVE Petition to Deny </w:t>
      </w:r>
      <w:r>
        <w:t xml:space="preserve">at 2 (filed Nov. 14, 2014).  </w:t>
      </w:r>
    </w:p>
  </w:footnote>
  <w:footnote w:id="25">
    <w:p w14:paraId="12FAD164" w14:textId="4353D76F" w:rsidR="00555FA2" w:rsidRDefault="00555FA2">
      <w:pPr>
        <w:pStyle w:val="FootnoteText"/>
      </w:pPr>
      <w:r>
        <w:rPr>
          <w:rStyle w:val="FootnoteReference"/>
        </w:rPr>
        <w:footnoteRef/>
      </w:r>
      <w:r>
        <w:t xml:space="preserve"> </w:t>
      </w:r>
      <w:r w:rsidRPr="00555FA2">
        <w:t xml:space="preserve">Although Calvary now contends that SJRP “fails to provide any evidence that it had reasonable assurance of site availability for any of the three (3) different sites it had </w:t>
      </w:r>
      <w:r>
        <w:t>proposed” (</w:t>
      </w:r>
      <w:r>
        <w:rPr>
          <w:i/>
        </w:rPr>
        <w:t xml:space="preserve">Calvary Opposition </w:t>
      </w:r>
      <w:r>
        <w:t xml:space="preserve">at 3), this is a bare allegation lacking any substance.  The record contains no showing that SJRP lacked reasonable assurance for the </w:t>
      </w:r>
      <w:r w:rsidR="001D430D">
        <w:t xml:space="preserve">originally-proposed </w:t>
      </w:r>
      <w:r>
        <w:t xml:space="preserve">College Site.  With respect to availability of the Hill Site, we reject Calvary’s argument that </w:t>
      </w:r>
      <w:r w:rsidR="0004052E">
        <w:t xml:space="preserve">the </w:t>
      </w:r>
      <w:r>
        <w:t xml:space="preserve">unsworn statement </w:t>
      </w:r>
      <w:r w:rsidR="0004052E">
        <w:t xml:space="preserve">dated February 10, 2015 </w:t>
      </w:r>
      <w:r>
        <w:t xml:space="preserve">from Richard Hill </w:t>
      </w:r>
      <w:r w:rsidR="0004052E">
        <w:t xml:space="preserve">provided by SJRP </w:t>
      </w:r>
      <w:r w:rsidR="00981ADE">
        <w:t xml:space="preserve">with its Petition for reconsideration </w:t>
      </w:r>
      <w:r>
        <w:t xml:space="preserve">is insufficient.  Calvary did not make a </w:t>
      </w:r>
      <w:r>
        <w:rPr>
          <w:i/>
        </w:rPr>
        <w:t xml:space="preserve">prima facie </w:t>
      </w:r>
      <w:r>
        <w:t>showing (or any showing at all) that assurance for the Hill Site was lacking, so there was nothing for SJRP to rebut with evidence, sworn or otherwise.</w:t>
      </w:r>
    </w:p>
  </w:footnote>
  <w:footnote w:id="26">
    <w:p w14:paraId="3B3F9503" w14:textId="77777777" w:rsidR="00990D78" w:rsidRPr="00990D78" w:rsidRDefault="00990D78">
      <w:pPr>
        <w:pStyle w:val="FootnoteText"/>
      </w:pPr>
      <w:r>
        <w:rPr>
          <w:rStyle w:val="FootnoteReference"/>
        </w:rPr>
        <w:footnoteRef/>
      </w:r>
      <w:r>
        <w:t xml:space="preserve"> </w:t>
      </w:r>
      <w:r>
        <w:rPr>
          <w:i/>
        </w:rPr>
        <w:t xml:space="preserve">See </w:t>
      </w:r>
      <w:r w:rsidRPr="00793E4F">
        <w:rPr>
          <w:i/>
        </w:rPr>
        <w:t>Calvary Opposition</w:t>
      </w:r>
      <w:r>
        <w:t xml:space="preserve"> at 3-7.</w:t>
      </w:r>
    </w:p>
  </w:footnote>
  <w:footnote w:id="27">
    <w:p w14:paraId="114469F6" w14:textId="0D5B1B4A" w:rsidR="007C68A4" w:rsidRPr="003F65BA" w:rsidRDefault="007C68A4" w:rsidP="00792D64">
      <w:pPr>
        <w:pStyle w:val="FootnoteText"/>
      </w:pPr>
      <w:r>
        <w:rPr>
          <w:rStyle w:val="FootnoteReference"/>
        </w:rPr>
        <w:footnoteRef/>
      </w:r>
      <w:r>
        <w:t xml:space="preserve"> </w:t>
      </w:r>
      <w:r>
        <w:rPr>
          <w:i/>
        </w:rPr>
        <w:t xml:space="preserve">See </w:t>
      </w:r>
      <w:r w:rsidR="004A4A55">
        <w:t>AFR at 8-9 (citing cases where corrections of site coordinates were allowed</w:t>
      </w:r>
      <w:r w:rsidR="00B2163D">
        <w:t xml:space="preserve"> for</w:t>
      </w:r>
      <w:r w:rsidR="004548A6">
        <w:t xml:space="preserve"> typographical errors</w:t>
      </w:r>
      <w:r w:rsidR="004A4A55">
        <w:t xml:space="preserve">); </w:t>
      </w:r>
      <w:r w:rsidR="004A4A55" w:rsidRPr="004A4A55">
        <w:rPr>
          <w:i/>
        </w:rPr>
        <w:t>Calvary Opposition</w:t>
      </w:r>
      <w:r w:rsidR="004A4A55">
        <w:t xml:space="preserve"> at 5-6</w:t>
      </w:r>
      <w:r w:rsidR="004E239F">
        <w:t xml:space="preserve"> (</w:t>
      </w:r>
      <w:r w:rsidR="00B2163D">
        <w:t xml:space="preserve">not allowing </w:t>
      </w:r>
      <w:r w:rsidR="004E239F">
        <w:t>amendments to correct Tech Box error</w:t>
      </w:r>
      <w:r w:rsidR="00B2163D">
        <w:t>s</w:t>
      </w:r>
      <w:r w:rsidR="004E239F">
        <w:t xml:space="preserve"> and missing </w:t>
      </w:r>
      <w:r w:rsidR="00B2163D">
        <w:t>waiver request</w:t>
      </w:r>
      <w:r w:rsidR="004E239F">
        <w:t>)</w:t>
      </w:r>
      <w:r w:rsidR="004A4A55">
        <w:t xml:space="preserve">; </w:t>
      </w:r>
      <w:r w:rsidR="004A4A55" w:rsidRPr="004A4A55">
        <w:rPr>
          <w:i/>
        </w:rPr>
        <w:t>SJRP Reply</w:t>
      </w:r>
      <w:r w:rsidR="004A4A55">
        <w:t xml:space="preserve"> at 8.</w:t>
      </w:r>
      <w:r>
        <w:t xml:space="preserve">  </w:t>
      </w:r>
      <w:r>
        <w:rPr>
          <w:color w:val="212121"/>
        </w:rPr>
        <w:t xml:space="preserve">  </w:t>
      </w:r>
    </w:p>
  </w:footnote>
  <w:footnote w:id="28">
    <w:p w14:paraId="08A1BBFE" w14:textId="3F3D3C0E" w:rsidR="007C68A4" w:rsidRPr="006653B6" w:rsidRDefault="007C68A4" w:rsidP="00630A92">
      <w:pPr>
        <w:pStyle w:val="FootnoteText"/>
      </w:pPr>
      <w:r>
        <w:rPr>
          <w:rStyle w:val="FootnoteReference"/>
        </w:rPr>
        <w:footnoteRef/>
      </w:r>
      <w:r>
        <w:t xml:space="preserve"> </w:t>
      </w:r>
      <w:r w:rsidR="00E00C31">
        <w:t xml:space="preserve">The Commission allows timely curative amendments except where such a cure is precluded by a specific rule or by clearly established policy.  </w:t>
      </w:r>
      <w:r w:rsidR="00010567" w:rsidRPr="008432F7">
        <w:rPr>
          <w:i/>
        </w:rPr>
        <w:t>See Commission States Future Policy on Incomplete and Patently Defective AM and FM Construction Permit Applications</w:t>
      </w:r>
      <w:r w:rsidR="00010567">
        <w:t xml:space="preserve">, Public Notice, 56 RR 2d 776 (1984) </w:t>
      </w:r>
      <w:r w:rsidR="00010567" w:rsidRPr="008432F7">
        <w:rPr>
          <w:i/>
        </w:rPr>
        <w:t>(Nunc Pro Tunc Public Notice</w:t>
      </w:r>
      <w:r w:rsidR="00010567">
        <w:t>);</w:t>
      </w:r>
      <w:r w:rsidR="00D74BC0">
        <w:t xml:space="preserve"> </w:t>
      </w:r>
      <w:r w:rsidR="00D74BC0" w:rsidRPr="008432F7">
        <w:rPr>
          <w:i/>
        </w:rPr>
        <w:t>see, e.g.,</w:t>
      </w:r>
      <w:r w:rsidR="00010567" w:rsidRPr="008432F7">
        <w:rPr>
          <w:i/>
        </w:rPr>
        <w:t xml:space="preserve"> Christian Charities Deliverance Church</w:t>
      </w:r>
      <w:r w:rsidR="00010567">
        <w:t xml:space="preserve">, Memorandum Opinion and Order, 30 FCC Rcd 10548, </w:t>
      </w:r>
      <w:r w:rsidR="007C09F5">
        <w:t xml:space="preserve">10550-51, para. 8 </w:t>
      </w:r>
      <w:r w:rsidR="00010567">
        <w:t xml:space="preserve">(2015) (although Section 73.870(c) prohibits curative amendments to LPFM applications lacking second-adjacent channel spacing waivers, the </w:t>
      </w:r>
      <w:r w:rsidR="00010567" w:rsidRPr="008432F7">
        <w:rPr>
          <w:i/>
        </w:rPr>
        <w:t>Nunc Pro Tunc Public Notice</w:t>
      </w:r>
      <w:r w:rsidR="00010567">
        <w:t xml:space="preserve"> allows a curative amendment for an LPFM application filed with a deficient waiver request); </w:t>
      </w:r>
      <w:r w:rsidR="00D74BC0" w:rsidRPr="008432F7">
        <w:rPr>
          <w:i/>
        </w:rPr>
        <w:t>Big Wyoming Broad. Corp.</w:t>
      </w:r>
      <w:r w:rsidR="00010567">
        <w:t xml:space="preserve">, Memorandum Opinion and Order, </w:t>
      </w:r>
      <w:r w:rsidR="00D74BC0">
        <w:t>2</w:t>
      </w:r>
      <w:r w:rsidR="00010567">
        <w:t xml:space="preserve"> FCC Rcd </w:t>
      </w:r>
      <w:r w:rsidR="00D74BC0">
        <w:t>3493</w:t>
      </w:r>
      <w:r w:rsidR="00C96C47">
        <w:t>, para. 6</w:t>
      </w:r>
      <w:r w:rsidR="00010567">
        <w:t xml:space="preserve"> (</w:t>
      </w:r>
      <w:r w:rsidR="00D74BC0">
        <w:t>1987</w:t>
      </w:r>
      <w:r w:rsidR="00010567">
        <w:t>) (</w:t>
      </w:r>
      <w:r w:rsidR="00D74BC0">
        <w:t xml:space="preserve">a violation of Section 73.3518 </w:t>
      </w:r>
      <w:r w:rsidR="001D6012">
        <w:t xml:space="preserve">is a fatal defect that </w:t>
      </w:r>
      <w:r w:rsidR="00D74BC0">
        <w:t xml:space="preserve">cannot be cured through an amendment); </w:t>
      </w:r>
      <w:r w:rsidR="00D74BC0" w:rsidRPr="008432F7">
        <w:rPr>
          <w:i/>
        </w:rPr>
        <w:t>US Pro Descubierta</w:t>
      </w:r>
      <w:r w:rsidR="00D74BC0">
        <w:t>, Memorandum Opinion and Order, FCC 16-52</w:t>
      </w:r>
      <w:r w:rsidR="00C96C47">
        <w:t>, para. 2</w:t>
      </w:r>
      <w:r w:rsidR="00D74BC0">
        <w:t xml:space="preserve"> </w:t>
      </w:r>
      <w:r w:rsidR="00915D4A">
        <w:t xml:space="preserve">(rel. Apr. 27, </w:t>
      </w:r>
      <w:r w:rsidR="00D74BC0">
        <w:t>2016) (absent a waiver of 47 CFR § 73.871(c)(3), a major change in an LPFM applicant’s board of directors is a fatal defect).</w:t>
      </w:r>
      <w:r w:rsidR="00E00C31">
        <w:t xml:space="preserve"> </w:t>
      </w:r>
      <w:r w:rsidR="00D74BC0">
        <w:t xml:space="preserve"> There is a clearly-established policy precluding curative site amendments in non-auction cases where the applicant lacked reasonable assurance for its initial proposed transmitter site.  </w:t>
      </w:r>
      <w:r w:rsidR="00D74BC0" w:rsidRPr="008432F7">
        <w:rPr>
          <w:i/>
        </w:rPr>
        <w:t xml:space="preserve">See </w:t>
      </w:r>
      <w:r w:rsidR="00C96C47" w:rsidRPr="008432F7">
        <w:rPr>
          <w:i/>
        </w:rPr>
        <w:t>Christopher Falletti</w:t>
      </w:r>
      <w:r w:rsidR="00C96C47">
        <w:t>, Memorandum Opinion and Order, 30 FCC Rcd 827, 828-29, paras. 5-7 (2015) (explaining the Commission’s historical fatal defect approach to site availability for an applicant’s initial transmitter site).  However, there is no such clearly</w:t>
      </w:r>
      <w:r w:rsidR="00B63176">
        <w:t>-</w:t>
      </w:r>
      <w:r w:rsidR="00C96C47">
        <w:t xml:space="preserve">established policy with respect to site availability for an amended site.  </w:t>
      </w:r>
      <w:r>
        <w:rPr>
          <w:i/>
        </w:rPr>
        <w:t xml:space="preserve">See Able Radio Corp., </w:t>
      </w:r>
      <w:r>
        <w:t>Letter, 26 FCC Rcd 16161, 16163 (MB 2011)</w:t>
      </w:r>
      <w:r w:rsidR="00C96C47">
        <w:t xml:space="preserve"> (subsequent history omitted).</w:t>
      </w:r>
      <w:r w:rsidR="001D6012">
        <w:t xml:space="preserve">  As a matter of due process, we cannot treat </w:t>
      </w:r>
      <w:r w:rsidR="00915D4A">
        <w:t xml:space="preserve">the erroneous site coordinates in </w:t>
      </w:r>
      <w:r w:rsidR="001D6012">
        <w:t xml:space="preserve">SJRP’s </w:t>
      </w:r>
      <w:r w:rsidR="00915D4A">
        <w:t>October</w:t>
      </w:r>
      <w:r w:rsidR="001D6012">
        <w:t xml:space="preserve"> </w:t>
      </w:r>
      <w:r w:rsidR="00915D4A">
        <w:t>A</w:t>
      </w:r>
      <w:r w:rsidR="001D6012">
        <w:t xml:space="preserve">mendment as a fatal defect without having given applicants prior notice of such a policy.  </w:t>
      </w:r>
      <w:r w:rsidR="00C66079">
        <w:rPr>
          <w:i/>
        </w:rPr>
        <w:t xml:space="preserve">See Trinity Broad. of </w:t>
      </w:r>
      <w:r w:rsidR="001D6012" w:rsidRPr="008432F7">
        <w:rPr>
          <w:i/>
        </w:rPr>
        <w:t>Fla., Inc. v. FCC</w:t>
      </w:r>
      <w:r w:rsidR="007C09F5">
        <w:rPr>
          <w:i/>
        </w:rPr>
        <w:t>,</w:t>
      </w:r>
      <w:r w:rsidR="001D6012">
        <w:t xml:space="preserve"> 211 F.3d 618, </w:t>
      </w:r>
      <w:r w:rsidR="00B63176">
        <w:t>632</w:t>
      </w:r>
      <w:r w:rsidR="001D6012">
        <w:t xml:space="preserve"> (D.C, Cir. </w:t>
      </w:r>
      <w:r w:rsidR="007C09F5">
        <w:t>2000).</w:t>
      </w:r>
      <w:r>
        <w:t xml:space="preserve">  </w:t>
      </w:r>
    </w:p>
  </w:footnote>
  <w:footnote w:id="29">
    <w:p w14:paraId="3FB5A689" w14:textId="2DC2C938" w:rsidR="00465B3F" w:rsidRDefault="00465B3F">
      <w:pPr>
        <w:pStyle w:val="FootnoteText"/>
      </w:pPr>
      <w:r>
        <w:rPr>
          <w:rStyle w:val="FootnoteReference"/>
        </w:rPr>
        <w:footnoteRef/>
      </w:r>
      <w:r>
        <w:t xml:space="preserve"> Calvary </w:t>
      </w:r>
      <w:r w:rsidR="00FE46F3">
        <w:t xml:space="preserve">incorrectly </w:t>
      </w:r>
      <w:r>
        <w:t xml:space="preserve">suggests that </w:t>
      </w:r>
      <w:r w:rsidR="005B11B3">
        <w:t xml:space="preserve">language in a </w:t>
      </w:r>
      <w:r>
        <w:t>public notice</w:t>
      </w:r>
      <w:r w:rsidR="005B11B3">
        <w:t>,</w:t>
      </w:r>
      <w:r>
        <w:t xml:space="preserve"> </w:t>
      </w:r>
      <w:r w:rsidR="00C41DA1">
        <w:t>which announced procedures prior to opening of</w:t>
      </w:r>
      <w:r w:rsidR="005B11B3">
        <w:t xml:space="preserve"> the 2013 LPFM window, </w:t>
      </w:r>
      <w:r>
        <w:t xml:space="preserve">would prevent SJRP’s </w:t>
      </w:r>
      <w:r w:rsidR="00DC2806">
        <w:t xml:space="preserve">post-window </w:t>
      </w:r>
      <w:r w:rsidR="00681367">
        <w:t xml:space="preserve">curative </w:t>
      </w:r>
      <w:r>
        <w:t>a</w:t>
      </w:r>
      <w:r w:rsidR="00FE46F3">
        <w:t>mendment</w:t>
      </w:r>
      <w:r>
        <w:t xml:space="preserve">.  </w:t>
      </w:r>
      <w:r>
        <w:rPr>
          <w:i/>
        </w:rPr>
        <w:t xml:space="preserve">See Calvary Opposition </w:t>
      </w:r>
      <w:r>
        <w:t xml:space="preserve">at 4, </w:t>
      </w:r>
      <w:r>
        <w:rPr>
          <w:i/>
        </w:rPr>
        <w:t xml:space="preserve">citing </w:t>
      </w:r>
      <w:r w:rsidR="008F2740">
        <w:rPr>
          <w:i/>
        </w:rPr>
        <w:t xml:space="preserve">Procedures for October 15 – October 29, 2013 Low Power FM Filing Window, </w:t>
      </w:r>
      <w:r w:rsidR="008F2740">
        <w:t>Public Notice, 28</w:t>
      </w:r>
      <w:r>
        <w:t xml:space="preserve"> FCC Rcd 8854 (</w:t>
      </w:r>
      <w:r w:rsidR="009C699B">
        <w:t xml:space="preserve">MB </w:t>
      </w:r>
      <w:r>
        <w:t xml:space="preserve">2013) (“No curative amendments for such applications and amendments will be accepted after the window”).  </w:t>
      </w:r>
      <w:r w:rsidR="00E178F5">
        <w:t xml:space="preserve">The </w:t>
      </w:r>
      <w:r w:rsidR="00613FCC">
        <w:t>language</w:t>
      </w:r>
      <w:r w:rsidR="00E178F5">
        <w:t xml:space="preserve"> at issue </w:t>
      </w:r>
      <w:r w:rsidR="00DC2806">
        <w:t xml:space="preserve">tracks language </w:t>
      </w:r>
      <w:r w:rsidR="00613FCC">
        <w:t xml:space="preserve">in 47 CFR </w:t>
      </w:r>
      <w:r w:rsidR="00613FCC" w:rsidRPr="007F198C">
        <w:t>§</w:t>
      </w:r>
      <w:r w:rsidR="00613FCC">
        <w:t xml:space="preserve"> 73.870(c) concerning short-spac</w:t>
      </w:r>
      <w:r w:rsidR="00DC2806">
        <w:t>ed proposals</w:t>
      </w:r>
      <w:r w:rsidR="00482206">
        <w:t>,</w:t>
      </w:r>
      <w:r w:rsidR="00E178F5">
        <w:t xml:space="preserve"> and </w:t>
      </w:r>
      <w:r w:rsidR="00613FCC">
        <w:t>address</w:t>
      </w:r>
      <w:r w:rsidR="00FE46F3">
        <w:t>es</w:t>
      </w:r>
      <w:r w:rsidR="00482206">
        <w:t xml:space="preserve"> </w:t>
      </w:r>
      <w:r w:rsidR="00613FCC">
        <w:t xml:space="preserve">original </w:t>
      </w:r>
      <w:r w:rsidR="00FF23BE">
        <w:t>window-filed applications</w:t>
      </w:r>
      <w:r w:rsidR="00241F45">
        <w:t>.  The</w:t>
      </w:r>
      <w:r w:rsidR="00444D8A">
        <w:t xml:space="preserve"> later</w:t>
      </w:r>
      <w:r w:rsidR="00241F45">
        <w:t xml:space="preserve"> </w:t>
      </w:r>
      <w:r w:rsidR="00241F45" w:rsidRPr="00241F45">
        <w:rPr>
          <w:i/>
        </w:rPr>
        <w:t>Settlement Notice</w:t>
      </w:r>
      <w:r w:rsidR="00FE46F3">
        <w:t xml:space="preserve">, </w:t>
      </w:r>
      <w:r w:rsidR="00241F45">
        <w:t>pursuant to which SJRP filed its October Amendment</w:t>
      </w:r>
      <w:r w:rsidR="00FE46F3">
        <w:t>,</w:t>
      </w:r>
      <w:r w:rsidR="00241F45">
        <w:t xml:space="preserve"> contained no such language.</w:t>
      </w:r>
      <w:r w:rsidR="00267E34">
        <w:t xml:space="preserve">  Instead the </w:t>
      </w:r>
      <w:r w:rsidR="00267E34" w:rsidRPr="009F2F84">
        <w:rPr>
          <w:i/>
        </w:rPr>
        <w:t>Settlement Notice</w:t>
      </w:r>
      <w:r w:rsidR="00267E34">
        <w:t xml:space="preserve"> cites 47 </w:t>
      </w:r>
      <w:r w:rsidR="00837F29">
        <w:t>CFR</w:t>
      </w:r>
      <w:r w:rsidR="00267E34">
        <w:t xml:space="preserve"> § 73.871(c), which permits minor amendments </w:t>
      </w:r>
      <w:r w:rsidR="00C776BD">
        <w:t xml:space="preserve">to LPFM applications </w:t>
      </w:r>
      <w:r w:rsidR="00267E34">
        <w:t>at any time.</w:t>
      </w:r>
      <w:r w:rsidR="00763800">
        <w:t xml:space="preserve"> </w:t>
      </w:r>
      <w:r w:rsidR="00241F45">
        <w:t xml:space="preserve"> </w:t>
      </w:r>
      <w:r w:rsidR="00267E34">
        <w:rPr>
          <w:i/>
        </w:rPr>
        <w:t xml:space="preserve">Settlement Notice, </w:t>
      </w:r>
      <w:r w:rsidR="00267E34" w:rsidRPr="009F2F84">
        <w:t>29 FCC Rcd at 8671</w:t>
      </w:r>
      <w:r w:rsidR="00267E34">
        <w:rPr>
          <w:i/>
        </w:rPr>
        <w:t>.</w:t>
      </w:r>
    </w:p>
  </w:footnote>
  <w:footnote w:id="30">
    <w:p w14:paraId="36C2B681" w14:textId="089DE5F2" w:rsidR="00072997" w:rsidRPr="00EB7514" w:rsidRDefault="00072997">
      <w:pPr>
        <w:pStyle w:val="FootnoteText"/>
      </w:pPr>
      <w:r>
        <w:rPr>
          <w:rStyle w:val="FootnoteReference"/>
        </w:rPr>
        <w:footnoteRef/>
      </w:r>
      <w:r>
        <w:t xml:space="preserve"> We </w:t>
      </w:r>
      <w:r w:rsidR="004A4A55">
        <w:t>also reject</w:t>
      </w:r>
      <w:r>
        <w:t xml:space="preserve"> Calvary’</w:t>
      </w:r>
      <w:r w:rsidR="00565860">
        <w:t xml:space="preserve">s contention that a </w:t>
      </w:r>
      <w:r>
        <w:t xml:space="preserve">signature date </w:t>
      </w:r>
      <w:r w:rsidR="00565860">
        <w:t xml:space="preserve">defect </w:t>
      </w:r>
      <w:r w:rsidR="0004052E">
        <w:t xml:space="preserve">in the November Amendment </w:t>
      </w:r>
      <w:r>
        <w:t>prevents acc</w:t>
      </w:r>
      <w:r w:rsidR="009677B0">
        <w:t>eptance of the A</w:t>
      </w:r>
      <w:r>
        <w:t xml:space="preserve">pplication, as amended.  </w:t>
      </w:r>
      <w:r w:rsidR="00686743">
        <w:t>Calvary observes that</w:t>
      </w:r>
      <w:r>
        <w:t xml:space="preserve"> the </w:t>
      </w:r>
      <w:r w:rsidR="00D21B20">
        <w:t>A</w:t>
      </w:r>
      <w:r>
        <w:t>pplication’s engineering certification is dated November 22, 2014, but the applicant’s general certification remains October 8, 2014, the date of the previous amendment</w:t>
      </w:r>
      <w:r>
        <w:rPr>
          <w:i/>
        </w:rPr>
        <w:t xml:space="preserve">.  See Calvary Opposition </w:t>
      </w:r>
      <w:r>
        <w:t xml:space="preserve">at 4, n.8, </w:t>
      </w:r>
      <w:r w:rsidR="00BE6F1C">
        <w:rPr>
          <w:i/>
        </w:rPr>
        <w:t xml:space="preserve">citing WMOZ, Inc., </w:t>
      </w:r>
      <w:r w:rsidR="00BE6F1C">
        <w:t>Decision</w:t>
      </w:r>
      <w:r>
        <w:rPr>
          <w:i/>
        </w:rPr>
        <w:t xml:space="preserve">, </w:t>
      </w:r>
      <w:r>
        <w:t>36 FCC 201, 218</w:t>
      </w:r>
      <w:r w:rsidR="00565860">
        <w:t>,</w:t>
      </w:r>
      <w:r>
        <w:t xml:space="preserve"> </w:t>
      </w:r>
      <w:r w:rsidR="00BE6F1C">
        <w:t xml:space="preserve">para. 35 </w:t>
      </w:r>
      <w:r>
        <w:t>(1964) (“no material [may] be added to an application once it has been signed by the licensee, unless such material has been shown to the licensees, and unless the application is thereafter redated, re-signed, and reverified”).</w:t>
      </w:r>
      <w:r w:rsidR="00565860">
        <w:t xml:space="preserve">  SJRP’s error is unlike that in </w:t>
      </w:r>
      <w:r w:rsidR="00565860">
        <w:rPr>
          <w:i/>
        </w:rPr>
        <w:t>WMOZ, Inc</w:t>
      </w:r>
      <w:r w:rsidR="00565860">
        <w:t xml:space="preserve">. (involving fraud and signing blank pages) and more like that in </w:t>
      </w:r>
      <w:r w:rsidR="00565860">
        <w:rPr>
          <w:i/>
        </w:rPr>
        <w:t xml:space="preserve">New Bohemia Group, Inc., </w:t>
      </w:r>
      <w:r w:rsidR="00565860">
        <w:t xml:space="preserve">Letter, </w:t>
      </w:r>
      <w:r w:rsidR="00D21B20">
        <w:t xml:space="preserve">24 FCC Rcd 1357 (MB </w:t>
      </w:r>
      <w:r w:rsidR="00101488">
        <w:t xml:space="preserve">2009).  As in </w:t>
      </w:r>
      <w:r w:rsidR="00101488">
        <w:rPr>
          <w:i/>
        </w:rPr>
        <w:t>New Bohemia</w:t>
      </w:r>
      <w:r w:rsidR="00565860">
        <w:t xml:space="preserve">, SJRP shows that </w:t>
      </w:r>
      <w:r w:rsidR="002264C2">
        <w:t>its principal</w:t>
      </w:r>
      <w:r w:rsidR="00565860">
        <w:t xml:space="preserve"> </w:t>
      </w:r>
      <w:r w:rsidR="00005EAF">
        <w:t xml:space="preserve">who certified the Application and both amendments </w:t>
      </w:r>
      <w:r w:rsidR="00565860" w:rsidRPr="005D3953">
        <w:t>re</w:t>
      </w:r>
      <w:r w:rsidR="00E75011">
        <w:t>viewed and approved the entire A</w:t>
      </w:r>
      <w:r w:rsidR="00565860" w:rsidRPr="005D3953">
        <w:t>pplication</w:t>
      </w:r>
      <w:r w:rsidR="00005EAF">
        <w:t xml:space="preserve"> submitted in the November Amendment</w:t>
      </w:r>
      <w:r w:rsidR="00565860" w:rsidRPr="005D3953">
        <w:t xml:space="preserve"> but, through inadvertence, did not “re-date” the non-techn</w:t>
      </w:r>
      <w:r w:rsidR="0019565B">
        <w:t xml:space="preserve">ical portion which </w:t>
      </w:r>
      <w:r w:rsidR="001D430D">
        <w:t xml:space="preserve">he </w:t>
      </w:r>
      <w:r w:rsidR="00E75011">
        <w:t>had prepared and dated</w:t>
      </w:r>
      <w:r w:rsidR="00565860" w:rsidRPr="005D3953">
        <w:t xml:space="preserve"> earlier</w:t>
      </w:r>
      <w:r w:rsidR="00565860">
        <w:t xml:space="preserve">. </w:t>
      </w:r>
      <w:r w:rsidR="00565860">
        <w:rPr>
          <w:i/>
        </w:rPr>
        <w:t xml:space="preserve">See </w:t>
      </w:r>
      <w:r w:rsidR="00E75011">
        <w:t>Declaration of Arash Farhoomand,</w:t>
      </w:r>
      <w:r w:rsidR="00565860">
        <w:t xml:space="preserve"> Director of Operations and Management, SJRP (Apr. 23, 2015) (attached to </w:t>
      </w:r>
      <w:r w:rsidR="00565860" w:rsidRPr="009A6F9A">
        <w:rPr>
          <w:i/>
        </w:rPr>
        <w:t>SJRP Reply</w:t>
      </w:r>
      <w:r w:rsidR="00565860">
        <w:t>).</w:t>
      </w:r>
    </w:p>
  </w:footnote>
  <w:footnote w:id="31">
    <w:p w14:paraId="780D7D46" w14:textId="660D8A5C" w:rsidR="00E23D6D" w:rsidRPr="00E23D6D" w:rsidRDefault="00E23D6D">
      <w:pPr>
        <w:pStyle w:val="FootnoteText"/>
      </w:pPr>
      <w:r>
        <w:rPr>
          <w:rStyle w:val="FootnoteReference"/>
        </w:rPr>
        <w:footnoteRef/>
      </w:r>
      <w:r>
        <w:t xml:space="preserve"> </w:t>
      </w:r>
      <w:r>
        <w:rPr>
          <w:i/>
        </w:rPr>
        <w:t xml:space="preserve">See </w:t>
      </w:r>
      <w:r>
        <w:t xml:space="preserve">47 CFR </w:t>
      </w:r>
      <w:r w:rsidR="0033764A">
        <w:t xml:space="preserve">§ </w:t>
      </w:r>
      <w:r>
        <w:t>1.1306</w:t>
      </w:r>
      <w:r w:rsidR="0037255B">
        <w:t xml:space="preserve">(b)(1); </w:t>
      </w:r>
      <w:r w:rsidR="0037255B" w:rsidRPr="00C36D8E">
        <w:rPr>
          <w:i/>
        </w:rPr>
        <w:t>see also</w:t>
      </w:r>
      <w:r w:rsidR="0037255B">
        <w:t xml:space="preserve"> FCC Form 318, Worksheet 2</w:t>
      </w:r>
      <w:r>
        <w:t>.</w:t>
      </w:r>
    </w:p>
  </w:footnote>
  <w:footnote w:id="32">
    <w:p w14:paraId="4308A84D" w14:textId="402AFECA" w:rsidR="00A31F1D" w:rsidRDefault="00A31F1D" w:rsidP="00571F75">
      <w:pPr>
        <w:pStyle w:val="FootnoteText"/>
      </w:pPr>
      <w:r>
        <w:rPr>
          <w:rStyle w:val="FootnoteReference"/>
        </w:rPr>
        <w:footnoteRef/>
      </w:r>
      <w:r>
        <w:t xml:space="preserve"> </w:t>
      </w:r>
      <w:r w:rsidR="00571F75" w:rsidRPr="00792D64">
        <w:rPr>
          <w:i/>
        </w:rPr>
        <w:t>See Calvary Opposition</w:t>
      </w:r>
      <w:r w:rsidR="00571F75">
        <w:t xml:space="preserve"> at 9.  </w:t>
      </w:r>
    </w:p>
  </w:footnote>
  <w:footnote w:id="33">
    <w:p w14:paraId="79151E5C" w14:textId="54A891EF" w:rsidR="001752D3" w:rsidRPr="001752D3" w:rsidRDefault="001752D3">
      <w:pPr>
        <w:pStyle w:val="FootnoteText"/>
      </w:pPr>
      <w:r>
        <w:rPr>
          <w:rStyle w:val="FootnoteReference"/>
        </w:rPr>
        <w:footnoteRef/>
      </w:r>
      <w:r>
        <w:t xml:space="preserve"> </w:t>
      </w:r>
      <w:r>
        <w:rPr>
          <w:i/>
        </w:rPr>
        <w:t xml:space="preserve">Id. </w:t>
      </w:r>
    </w:p>
  </w:footnote>
  <w:footnote w:id="34">
    <w:p w14:paraId="15FD4F28" w14:textId="0F3DF657" w:rsidR="00182DA6" w:rsidRDefault="00182DA6">
      <w:pPr>
        <w:pStyle w:val="FootnoteText"/>
      </w:pPr>
      <w:r>
        <w:rPr>
          <w:rStyle w:val="FootnoteReference"/>
        </w:rPr>
        <w:footnoteRef/>
      </w:r>
      <w:r>
        <w:t xml:space="preserve"> 47 CFR § 1.1307.</w:t>
      </w:r>
    </w:p>
  </w:footnote>
  <w:footnote w:id="35">
    <w:p w14:paraId="05A875E0" w14:textId="2702ADCF" w:rsidR="00182DA6" w:rsidRPr="00182DA6" w:rsidRDefault="00182DA6">
      <w:pPr>
        <w:pStyle w:val="FootnoteText"/>
      </w:pPr>
      <w:r>
        <w:rPr>
          <w:rStyle w:val="FootnoteReference"/>
        </w:rPr>
        <w:footnoteRef/>
      </w:r>
      <w:r>
        <w:t xml:space="preserve"> </w:t>
      </w:r>
      <w:r>
        <w:rPr>
          <w:i/>
        </w:rPr>
        <w:t xml:space="preserve">See </w:t>
      </w:r>
      <w:r>
        <w:t>47 CFR § 1.1307(a)(2).</w:t>
      </w:r>
    </w:p>
  </w:footnote>
  <w:footnote w:id="36">
    <w:p w14:paraId="1463EB13" w14:textId="280FBA48" w:rsidR="008A7D34" w:rsidRDefault="008A7D34">
      <w:pPr>
        <w:pStyle w:val="FootnoteText"/>
      </w:pPr>
      <w:r>
        <w:rPr>
          <w:rStyle w:val="FootnoteReference"/>
        </w:rPr>
        <w:footnoteRef/>
      </w:r>
      <w:r>
        <w:t xml:space="preserve"> 47 CFR § 1.1307(a)(4)(i).  </w:t>
      </w:r>
      <w:r w:rsidR="00C36D8E">
        <w:t xml:space="preserve">We note that Calvary fails to allege that the historic </w:t>
      </w:r>
      <w:r w:rsidR="00441B58">
        <w:t xml:space="preserve">kiln </w:t>
      </w:r>
      <w:r w:rsidR="00C36D8E">
        <w:t xml:space="preserve">site within the </w:t>
      </w:r>
      <w:r w:rsidR="00B63176">
        <w:t xml:space="preserve">Nature </w:t>
      </w:r>
      <w:r w:rsidR="00C36D8E">
        <w:t>Preserve meets the specific standard set forth in that rule section (</w:t>
      </w:r>
      <w:r w:rsidR="00C36D8E" w:rsidRPr="00376309">
        <w:rPr>
          <w:i/>
        </w:rPr>
        <w:t>i.e.</w:t>
      </w:r>
      <w:r w:rsidR="00C36D8E">
        <w:t>, “listed, or eligible for listing, in the National Register of Historic Places”).</w:t>
      </w:r>
      <w:r w:rsidR="00441B58">
        <w:t xml:space="preserve">  </w:t>
      </w:r>
      <w:r w:rsidR="00441B58" w:rsidRPr="00AB1948">
        <w:rPr>
          <w:i/>
        </w:rPr>
        <w:t xml:space="preserve">See </w:t>
      </w:r>
      <w:r w:rsidR="00441B58" w:rsidRPr="00792D64">
        <w:rPr>
          <w:i/>
        </w:rPr>
        <w:t>Calvary Opposition</w:t>
      </w:r>
      <w:r w:rsidR="00441B58">
        <w:t xml:space="preserve"> at 9.  </w:t>
      </w:r>
      <w:r w:rsidR="00C36D8E">
        <w:t>In the absence of specific information from Calvary, w</w:t>
      </w:r>
      <w:r>
        <w:t xml:space="preserve">e take administrative notice of local government data </w:t>
      </w:r>
      <w:r w:rsidR="00441B58">
        <w:t>regarding</w:t>
      </w:r>
      <w:r>
        <w:t xml:space="preserve"> the kiln site.  </w:t>
      </w:r>
      <w:r w:rsidRPr="00DB130B">
        <w:rPr>
          <w:i/>
        </w:rPr>
        <w:t>See</w:t>
      </w:r>
      <w:r>
        <w:rPr>
          <w:i/>
        </w:rPr>
        <w:t xml:space="preserve"> </w:t>
      </w:r>
      <w:r>
        <w:t xml:space="preserve">LA. Dept. of City Plan., Off. of Hist. Resources, Designated Historic Cultural Monuments, </w:t>
      </w:r>
      <w:hyperlink r:id="rId2" w:history="1">
        <w:r w:rsidRPr="00310333">
          <w:rPr>
            <w:rStyle w:val="Hyperlink"/>
            <w:u w:val="none"/>
          </w:rPr>
          <w:t>http://preservation.lacity.org/commission/designated-historic-cultural-monuments</w:t>
        </w:r>
      </w:hyperlink>
      <w:r>
        <w:t xml:space="preserve"> (last visited Apr. 25, 2016) (Los Angeles city database lists the kiln site as historical site #141, and the address is shown as the intersection of Valley Circle Boulevard and Woolsey Canyon Road, on the western end of the </w:t>
      </w:r>
      <w:r w:rsidR="00B63176">
        <w:t xml:space="preserve">Nature </w:t>
      </w:r>
      <w:r>
        <w:t xml:space="preserve">Preserve).  The </w:t>
      </w:r>
      <w:r w:rsidR="00B63176">
        <w:t xml:space="preserve">Nature </w:t>
      </w:r>
      <w:r>
        <w:t xml:space="preserve">Preserve is approximately two miles across (east to west, roughly between Valley Circle Boulevard and Topanga Canyon Boulevard) and the Hill Site is near the </w:t>
      </w:r>
      <w:r w:rsidR="00567EDC">
        <w:t>opposite</w:t>
      </w:r>
      <w:r>
        <w:t xml:space="preserve"> end of the </w:t>
      </w:r>
      <w:r w:rsidR="00B63176">
        <w:t xml:space="preserve">Nature </w:t>
      </w:r>
      <w:r>
        <w:t>Preserve</w:t>
      </w:r>
      <w:r w:rsidR="00567EDC">
        <w:t xml:space="preserve"> from the address listed for the kiln site in the Los Angeles database</w:t>
      </w:r>
      <w:r>
        <w:t xml:space="preserve">.  </w:t>
      </w:r>
      <w:r w:rsidRPr="000D5D65">
        <w:rPr>
          <w:i/>
        </w:rPr>
        <w:t>See</w:t>
      </w:r>
      <w:r>
        <w:t xml:space="preserve"> Application, Section VI and Attach. 11.   </w:t>
      </w:r>
    </w:p>
  </w:footnote>
  <w:footnote w:id="37">
    <w:p w14:paraId="44E3B562" w14:textId="78C56B34" w:rsidR="0031778A" w:rsidRDefault="0031778A">
      <w:pPr>
        <w:pStyle w:val="FootnoteText"/>
      </w:pPr>
      <w:r>
        <w:rPr>
          <w:rStyle w:val="FootnoteReference"/>
        </w:rPr>
        <w:footnoteRef/>
      </w:r>
      <w:r>
        <w:t xml:space="preserve"> </w:t>
      </w:r>
      <w:r w:rsidRPr="00C36D8E">
        <w:rPr>
          <w:i/>
        </w:rPr>
        <w:t>Calvary Opposition</w:t>
      </w:r>
      <w:r>
        <w:t xml:space="preserve"> at 9. </w:t>
      </w:r>
      <w:r w:rsidR="00CD0A29">
        <w:t xml:space="preserve"> </w:t>
      </w:r>
      <w:r w:rsidR="00101408">
        <w:t>Calvary cited other websites for its quotes.  However, o</w:t>
      </w:r>
      <w:r w:rsidR="00CD0A29">
        <w:t xml:space="preserve">ne of the links </w:t>
      </w:r>
      <w:r w:rsidR="00101408">
        <w:t>provided</w:t>
      </w:r>
      <w:r w:rsidR="00CD0A29">
        <w:t xml:space="preserve"> by Calvary is not available, and the quotes that Calvary provides </w:t>
      </w:r>
      <w:r w:rsidR="00101408">
        <w:t xml:space="preserve">actually </w:t>
      </w:r>
      <w:r w:rsidR="00CD0A29">
        <w:t xml:space="preserve">come from Wikipedia.  </w:t>
      </w:r>
      <w:r w:rsidR="00CD0A29">
        <w:rPr>
          <w:i/>
        </w:rPr>
        <w:t xml:space="preserve">See </w:t>
      </w:r>
      <w:r w:rsidR="00CD0A29">
        <w:t xml:space="preserve">Chatsworth Nature Preserve, </w:t>
      </w:r>
      <w:hyperlink r:id="rId3" w:history="1">
        <w:r w:rsidR="00CD0A29" w:rsidRPr="00310333">
          <w:rPr>
            <w:rStyle w:val="Hyperlink"/>
            <w:u w:val="none"/>
          </w:rPr>
          <w:t>http://en.wikipedia.org/wiki/Chatsworth_Nature_Preserve</w:t>
        </w:r>
      </w:hyperlink>
      <w:r w:rsidR="00CD0A29">
        <w:t xml:space="preserve"> (last visited Apr. 25, 2016).  </w:t>
      </w:r>
      <w:r w:rsidR="00411AB4">
        <w:t xml:space="preserve">It is well settled that news reports, whether from newspapers or the Internet, and Wikipedia citations do not satisfy the requirement in Section 309(d) of the Act that a petitioner must support its allegations of fact, other than those of which official notice can be taken, with affidavits of persons with first-hand knowledge of those facts.  </w:t>
      </w:r>
      <w:r w:rsidR="00411AB4" w:rsidRPr="008432F7">
        <w:rPr>
          <w:i/>
        </w:rPr>
        <w:t>See</w:t>
      </w:r>
      <w:r w:rsidR="00B63176">
        <w:rPr>
          <w:i/>
        </w:rPr>
        <w:t>, e.g., DFW Radio License, LLC</w:t>
      </w:r>
      <w:r w:rsidR="00B63176" w:rsidRPr="008432F7">
        <w:t>, Memorandum Opinion and Order</w:t>
      </w:r>
      <w:r w:rsidR="00B63176">
        <w:t>, 29 FCC Rcd 804, 810, para. 16 (2014);</w:t>
      </w:r>
      <w:r w:rsidR="00411AB4" w:rsidRPr="008432F7">
        <w:rPr>
          <w:i/>
        </w:rPr>
        <w:t xml:space="preserve"> ACC Licensee, Inc.,</w:t>
      </w:r>
      <w:r w:rsidR="00411AB4">
        <w:t xml:space="preserve"> Memorandum Opinion and Order, 22 FCC </w:t>
      </w:r>
      <w:r w:rsidR="00B63176">
        <w:t xml:space="preserve">Rcd </w:t>
      </w:r>
      <w:r w:rsidR="00411AB4">
        <w:t>18535</w:t>
      </w:r>
      <w:r w:rsidR="00B63176">
        <w:t>, 18538</w:t>
      </w:r>
      <w:r w:rsidR="008C3CF3">
        <w:t>, para. 13</w:t>
      </w:r>
      <w:r w:rsidR="00411AB4">
        <w:t xml:space="preserve"> (</w:t>
      </w:r>
      <w:r w:rsidR="00D47AB4">
        <w:t>MB</w:t>
      </w:r>
      <w:r w:rsidR="00411AB4">
        <w:t xml:space="preserve"> 2007), </w:t>
      </w:r>
      <w:r w:rsidR="00411AB4" w:rsidRPr="008432F7">
        <w:rPr>
          <w:i/>
        </w:rPr>
        <w:t>citing Univision Holdings, Inc.,</w:t>
      </w:r>
      <w:r w:rsidR="00411AB4">
        <w:rPr>
          <w:i/>
        </w:rPr>
        <w:t xml:space="preserve"> </w:t>
      </w:r>
      <w:r w:rsidR="00411AB4" w:rsidRPr="00411AB4">
        <w:t>M</w:t>
      </w:r>
      <w:r w:rsidR="00411AB4" w:rsidRPr="008432F7">
        <w:t>emorandum Opinion and Order,</w:t>
      </w:r>
      <w:r w:rsidR="00411AB4">
        <w:t xml:space="preserve"> 7 FCC Rcd 6672, 6673</w:t>
      </w:r>
      <w:r w:rsidR="008C3CF3">
        <w:t>, para. 4</w:t>
      </w:r>
      <w:r w:rsidR="00411AB4">
        <w:t xml:space="preserve"> (1992).</w:t>
      </w:r>
    </w:p>
  </w:footnote>
  <w:footnote w:id="38">
    <w:p w14:paraId="10022D61" w14:textId="4BBF3A1D" w:rsidR="0031778A" w:rsidRPr="0031778A" w:rsidRDefault="0031778A">
      <w:pPr>
        <w:pStyle w:val="FootnoteText"/>
      </w:pPr>
      <w:r>
        <w:rPr>
          <w:rStyle w:val="FootnoteReference"/>
        </w:rPr>
        <w:footnoteRef/>
      </w:r>
      <w:r>
        <w:t xml:space="preserve">  </w:t>
      </w:r>
      <w:r>
        <w:rPr>
          <w:i/>
        </w:rPr>
        <w:t xml:space="preserve">See </w:t>
      </w:r>
      <w:r>
        <w:t>47 CFR § 1.1307(a)(3).</w:t>
      </w:r>
    </w:p>
  </w:footnote>
  <w:footnote w:id="39">
    <w:p w14:paraId="3E2D5C4D" w14:textId="77777777" w:rsidR="007B75C5" w:rsidRPr="003319EC" w:rsidRDefault="007B75C5" w:rsidP="00571F75">
      <w:pPr>
        <w:pStyle w:val="FootnoteText"/>
      </w:pPr>
      <w:r w:rsidRPr="003319EC">
        <w:rPr>
          <w:rStyle w:val="FootnoteReference"/>
        </w:rPr>
        <w:footnoteRef/>
      </w:r>
      <w:r w:rsidRPr="003319EC">
        <w:t xml:space="preserve"> </w:t>
      </w:r>
      <w:r>
        <w:t>47 U.S.C. § 155(c)(5);</w:t>
      </w:r>
      <w:r w:rsidRPr="005C159F">
        <w:t xml:space="preserve"> </w:t>
      </w:r>
      <w:r>
        <w:t>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31230" w14:textId="77777777" w:rsidR="00EF0919" w:rsidRDefault="00EF0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3130" w14:textId="38BE2571" w:rsidR="00D25FB5" w:rsidRDefault="00D25FB5" w:rsidP="00810B6F">
    <w:pPr>
      <w:pStyle w:val="Header"/>
      <w:rPr>
        <w:b w:val="0"/>
      </w:rPr>
    </w:pPr>
    <w:r>
      <w:tab/>
      <w:t>Federal Communications Commission</w:t>
    </w:r>
    <w:r>
      <w:tab/>
    </w:r>
    <w:r w:rsidR="00936FEC">
      <w:t>FCC 16-82</w:t>
    </w:r>
  </w:p>
  <w:p w14:paraId="7350D1D4" w14:textId="77777777" w:rsidR="00D25FB5" w:rsidRDefault="0013321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E0E293A" wp14:editId="605091C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4E50F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269D" w14:textId="2B9D9749" w:rsidR="00D25FB5" w:rsidRDefault="0013321D" w:rsidP="00810B6F">
    <w:pPr>
      <w:pStyle w:val="Header"/>
      <w:rPr>
        <w:b w:val="0"/>
      </w:rPr>
    </w:pPr>
    <w:r>
      <w:rPr>
        <w:noProof/>
      </w:rPr>
      <mc:AlternateContent>
        <mc:Choice Requires="wps">
          <w:drawing>
            <wp:anchor distT="0" distB="0" distL="114300" distR="114300" simplePos="0" relativeHeight="251658240" behindDoc="1" locked="0" layoutInCell="0" allowOverlap="1" wp14:anchorId="0DF554DD" wp14:editId="17C5666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82D06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36FEC">
      <w:rPr>
        <w:spacing w:val="-2"/>
      </w:rPr>
      <w:t>FCC 16-82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1C21"/>
    <w:rsid w:val="00001F23"/>
    <w:rsid w:val="00004D4B"/>
    <w:rsid w:val="00005652"/>
    <w:rsid w:val="00005EAF"/>
    <w:rsid w:val="00007188"/>
    <w:rsid w:val="00010567"/>
    <w:rsid w:val="000107DA"/>
    <w:rsid w:val="0001080A"/>
    <w:rsid w:val="00012319"/>
    <w:rsid w:val="000124D7"/>
    <w:rsid w:val="0001451D"/>
    <w:rsid w:val="000152B9"/>
    <w:rsid w:val="00015F86"/>
    <w:rsid w:val="00016381"/>
    <w:rsid w:val="00017259"/>
    <w:rsid w:val="00017DD3"/>
    <w:rsid w:val="00021EC8"/>
    <w:rsid w:val="00022513"/>
    <w:rsid w:val="00023965"/>
    <w:rsid w:val="0002592A"/>
    <w:rsid w:val="00025C53"/>
    <w:rsid w:val="00025F50"/>
    <w:rsid w:val="0002734A"/>
    <w:rsid w:val="000331BE"/>
    <w:rsid w:val="000334BE"/>
    <w:rsid w:val="00035178"/>
    <w:rsid w:val="00036039"/>
    <w:rsid w:val="00037F90"/>
    <w:rsid w:val="000401A8"/>
    <w:rsid w:val="00040387"/>
    <w:rsid w:val="0004052E"/>
    <w:rsid w:val="00040AC5"/>
    <w:rsid w:val="00041446"/>
    <w:rsid w:val="000417B0"/>
    <w:rsid w:val="000422BB"/>
    <w:rsid w:val="00042735"/>
    <w:rsid w:val="00043F2A"/>
    <w:rsid w:val="000476E7"/>
    <w:rsid w:val="00050422"/>
    <w:rsid w:val="00055E43"/>
    <w:rsid w:val="0005608C"/>
    <w:rsid w:val="000564E3"/>
    <w:rsid w:val="00062884"/>
    <w:rsid w:val="00065120"/>
    <w:rsid w:val="00066719"/>
    <w:rsid w:val="00066D65"/>
    <w:rsid w:val="00070C03"/>
    <w:rsid w:val="00071610"/>
    <w:rsid w:val="00072997"/>
    <w:rsid w:val="0007787F"/>
    <w:rsid w:val="0008126D"/>
    <w:rsid w:val="00082C0F"/>
    <w:rsid w:val="00084B6A"/>
    <w:rsid w:val="00085629"/>
    <w:rsid w:val="00086FB5"/>
    <w:rsid w:val="000875BF"/>
    <w:rsid w:val="00087679"/>
    <w:rsid w:val="00087990"/>
    <w:rsid w:val="00087FDF"/>
    <w:rsid w:val="00092BB2"/>
    <w:rsid w:val="000934E9"/>
    <w:rsid w:val="0009389C"/>
    <w:rsid w:val="000940B0"/>
    <w:rsid w:val="0009433E"/>
    <w:rsid w:val="000948D7"/>
    <w:rsid w:val="00094E60"/>
    <w:rsid w:val="00096A4E"/>
    <w:rsid w:val="00096B54"/>
    <w:rsid w:val="00096D8C"/>
    <w:rsid w:val="000978E8"/>
    <w:rsid w:val="00097F4A"/>
    <w:rsid w:val="000A0B67"/>
    <w:rsid w:val="000A0EEB"/>
    <w:rsid w:val="000A1A47"/>
    <w:rsid w:val="000A4FAC"/>
    <w:rsid w:val="000A5151"/>
    <w:rsid w:val="000A69A1"/>
    <w:rsid w:val="000A7406"/>
    <w:rsid w:val="000B0DEF"/>
    <w:rsid w:val="000B2CA7"/>
    <w:rsid w:val="000B4687"/>
    <w:rsid w:val="000B57B6"/>
    <w:rsid w:val="000C0B65"/>
    <w:rsid w:val="000C20A1"/>
    <w:rsid w:val="000C2E0E"/>
    <w:rsid w:val="000C5714"/>
    <w:rsid w:val="000C6C04"/>
    <w:rsid w:val="000C6F5D"/>
    <w:rsid w:val="000D08AD"/>
    <w:rsid w:val="000D0AD7"/>
    <w:rsid w:val="000D5D65"/>
    <w:rsid w:val="000D6E57"/>
    <w:rsid w:val="000E05FE"/>
    <w:rsid w:val="000E1001"/>
    <w:rsid w:val="000E1169"/>
    <w:rsid w:val="000E1B7C"/>
    <w:rsid w:val="000E2816"/>
    <w:rsid w:val="000E3D42"/>
    <w:rsid w:val="000E454B"/>
    <w:rsid w:val="000E5AAD"/>
    <w:rsid w:val="000E6AF6"/>
    <w:rsid w:val="000E6C66"/>
    <w:rsid w:val="000E75DB"/>
    <w:rsid w:val="000F19E8"/>
    <w:rsid w:val="000F1B54"/>
    <w:rsid w:val="000F5936"/>
    <w:rsid w:val="000F708C"/>
    <w:rsid w:val="00100B73"/>
    <w:rsid w:val="0010132A"/>
    <w:rsid w:val="00101408"/>
    <w:rsid w:val="00101488"/>
    <w:rsid w:val="00101755"/>
    <w:rsid w:val="00102005"/>
    <w:rsid w:val="00103B0C"/>
    <w:rsid w:val="001058C4"/>
    <w:rsid w:val="00106F4A"/>
    <w:rsid w:val="001078F5"/>
    <w:rsid w:val="00110CB8"/>
    <w:rsid w:val="0011220C"/>
    <w:rsid w:val="00114AD2"/>
    <w:rsid w:val="001179DB"/>
    <w:rsid w:val="00121C51"/>
    <w:rsid w:val="00122BD5"/>
    <w:rsid w:val="00122D1C"/>
    <w:rsid w:val="0012443A"/>
    <w:rsid w:val="00124440"/>
    <w:rsid w:val="0012449D"/>
    <w:rsid w:val="0012457E"/>
    <w:rsid w:val="00124E84"/>
    <w:rsid w:val="00126A95"/>
    <w:rsid w:val="00126C90"/>
    <w:rsid w:val="00127644"/>
    <w:rsid w:val="0012780F"/>
    <w:rsid w:val="00130960"/>
    <w:rsid w:val="00130ED0"/>
    <w:rsid w:val="0013321D"/>
    <w:rsid w:val="00133742"/>
    <w:rsid w:val="00133F79"/>
    <w:rsid w:val="00134B8D"/>
    <w:rsid w:val="00134E22"/>
    <w:rsid w:val="001366A7"/>
    <w:rsid w:val="00140644"/>
    <w:rsid w:val="001412B6"/>
    <w:rsid w:val="00141A17"/>
    <w:rsid w:val="00142ED5"/>
    <w:rsid w:val="00143CBF"/>
    <w:rsid w:val="0014499B"/>
    <w:rsid w:val="00145BBA"/>
    <w:rsid w:val="0014723A"/>
    <w:rsid w:val="00147626"/>
    <w:rsid w:val="00150308"/>
    <w:rsid w:val="001508DD"/>
    <w:rsid w:val="0015298C"/>
    <w:rsid w:val="00154393"/>
    <w:rsid w:val="00155594"/>
    <w:rsid w:val="0015757C"/>
    <w:rsid w:val="00163381"/>
    <w:rsid w:val="00163721"/>
    <w:rsid w:val="001639E7"/>
    <w:rsid w:val="00164F55"/>
    <w:rsid w:val="00165157"/>
    <w:rsid w:val="00170731"/>
    <w:rsid w:val="001716B2"/>
    <w:rsid w:val="00173201"/>
    <w:rsid w:val="00174640"/>
    <w:rsid w:val="001752D3"/>
    <w:rsid w:val="0017612B"/>
    <w:rsid w:val="00177A55"/>
    <w:rsid w:val="00180411"/>
    <w:rsid w:val="00181303"/>
    <w:rsid w:val="0018176B"/>
    <w:rsid w:val="001820D8"/>
    <w:rsid w:val="00182DA6"/>
    <w:rsid w:val="0018309F"/>
    <w:rsid w:val="0018356C"/>
    <w:rsid w:val="00193F28"/>
    <w:rsid w:val="00194A66"/>
    <w:rsid w:val="00194E88"/>
    <w:rsid w:val="0019565B"/>
    <w:rsid w:val="00196DFD"/>
    <w:rsid w:val="001A0A46"/>
    <w:rsid w:val="001A1145"/>
    <w:rsid w:val="001A1C75"/>
    <w:rsid w:val="001A3D5F"/>
    <w:rsid w:val="001A4781"/>
    <w:rsid w:val="001A70F3"/>
    <w:rsid w:val="001B2318"/>
    <w:rsid w:val="001C21A7"/>
    <w:rsid w:val="001C4860"/>
    <w:rsid w:val="001C486D"/>
    <w:rsid w:val="001C66D7"/>
    <w:rsid w:val="001C7898"/>
    <w:rsid w:val="001D086A"/>
    <w:rsid w:val="001D20E3"/>
    <w:rsid w:val="001D26D4"/>
    <w:rsid w:val="001D2D3A"/>
    <w:rsid w:val="001D430D"/>
    <w:rsid w:val="001D4851"/>
    <w:rsid w:val="001D55C0"/>
    <w:rsid w:val="001D56E2"/>
    <w:rsid w:val="001D6012"/>
    <w:rsid w:val="001D6BCF"/>
    <w:rsid w:val="001D6C93"/>
    <w:rsid w:val="001E01CA"/>
    <w:rsid w:val="001E14D2"/>
    <w:rsid w:val="001E50D8"/>
    <w:rsid w:val="001E5B69"/>
    <w:rsid w:val="001E754B"/>
    <w:rsid w:val="001F1216"/>
    <w:rsid w:val="001F2961"/>
    <w:rsid w:val="001F296E"/>
    <w:rsid w:val="001F2E28"/>
    <w:rsid w:val="001F7676"/>
    <w:rsid w:val="001F7D04"/>
    <w:rsid w:val="002015F5"/>
    <w:rsid w:val="0020475A"/>
    <w:rsid w:val="00206722"/>
    <w:rsid w:val="00212BD5"/>
    <w:rsid w:val="00212FBE"/>
    <w:rsid w:val="00214D0E"/>
    <w:rsid w:val="002151CD"/>
    <w:rsid w:val="00215B4F"/>
    <w:rsid w:val="002175F2"/>
    <w:rsid w:val="00217A15"/>
    <w:rsid w:val="002255BB"/>
    <w:rsid w:val="00225B9B"/>
    <w:rsid w:val="002264C2"/>
    <w:rsid w:val="002269D5"/>
    <w:rsid w:val="0022740F"/>
    <w:rsid w:val="002278BA"/>
    <w:rsid w:val="00231637"/>
    <w:rsid w:val="00233AB5"/>
    <w:rsid w:val="00236918"/>
    <w:rsid w:val="00237CE3"/>
    <w:rsid w:val="00240D62"/>
    <w:rsid w:val="00240DC3"/>
    <w:rsid w:val="00241084"/>
    <w:rsid w:val="002416EC"/>
    <w:rsid w:val="00241B78"/>
    <w:rsid w:val="00241F45"/>
    <w:rsid w:val="00242B70"/>
    <w:rsid w:val="00243036"/>
    <w:rsid w:val="00245F43"/>
    <w:rsid w:val="00246417"/>
    <w:rsid w:val="00250642"/>
    <w:rsid w:val="00250C9D"/>
    <w:rsid w:val="002515C0"/>
    <w:rsid w:val="00252CE8"/>
    <w:rsid w:val="00252DB7"/>
    <w:rsid w:val="00252F25"/>
    <w:rsid w:val="00254EC4"/>
    <w:rsid w:val="00260F30"/>
    <w:rsid w:val="002611AA"/>
    <w:rsid w:val="00261B4B"/>
    <w:rsid w:val="00262217"/>
    <w:rsid w:val="002642CA"/>
    <w:rsid w:val="00264B07"/>
    <w:rsid w:val="00267E34"/>
    <w:rsid w:val="00271591"/>
    <w:rsid w:val="002724BB"/>
    <w:rsid w:val="00272611"/>
    <w:rsid w:val="00273D04"/>
    <w:rsid w:val="002744DC"/>
    <w:rsid w:val="00275CF5"/>
    <w:rsid w:val="002760D7"/>
    <w:rsid w:val="002805C6"/>
    <w:rsid w:val="00280655"/>
    <w:rsid w:val="00280990"/>
    <w:rsid w:val="00281EBC"/>
    <w:rsid w:val="00282052"/>
    <w:rsid w:val="002824A1"/>
    <w:rsid w:val="0028301F"/>
    <w:rsid w:val="0028382F"/>
    <w:rsid w:val="00285017"/>
    <w:rsid w:val="00287ECE"/>
    <w:rsid w:val="002937E8"/>
    <w:rsid w:val="002953C8"/>
    <w:rsid w:val="0029689A"/>
    <w:rsid w:val="00296BD1"/>
    <w:rsid w:val="002971DF"/>
    <w:rsid w:val="002A1859"/>
    <w:rsid w:val="002A2D2E"/>
    <w:rsid w:val="002A5A79"/>
    <w:rsid w:val="002B0ECE"/>
    <w:rsid w:val="002B470A"/>
    <w:rsid w:val="002C00E8"/>
    <w:rsid w:val="002C3434"/>
    <w:rsid w:val="002C3727"/>
    <w:rsid w:val="002C3891"/>
    <w:rsid w:val="002C4A07"/>
    <w:rsid w:val="002C4F0D"/>
    <w:rsid w:val="002C59B7"/>
    <w:rsid w:val="002C5E06"/>
    <w:rsid w:val="002C704D"/>
    <w:rsid w:val="002D03B4"/>
    <w:rsid w:val="002D0477"/>
    <w:rsid w:val="002D378D"/>
    <w:rsid w:val="002D5EE8"/>
    <w:rsid w:val="002D7139"/>
    <w:rsid w:val="002E0DD3"/>
    <w:rsid w:val="002E1213"/>
    <w:rsid w:val="002E2814"/>
    <w:rsid w:val="002E516A"/>
    <w:rsid w:val="002F0E3E"/>
    <w:rsid w:val="002F2F0E"/>
    <w:rsid w:val="002F6087"/>
    <w:rsid w:val="002F686C"/>
    <w:rsid w:val="002F6E36"/>
    <w:rsid w:val="00302475"/>
    <w:rsid w:val="00302A60"/>
    <w:rsid w:val="00302FFE"/>
    <w:rsid w:val="0030330C"/>
    <w:rsid w:val="00303E74"/>
    <w:rsid w:val="00304DC7"/>
    <w:rsid w:val="00304E68"/>
    <w:rsid w:val="003052FB"/>
    <w:rsid w:val="00310333"/>
    <w:rsid w:val="003107BF"/>
    <w:rsid w:val="00311258"/>
    <w:rsid w:val="003112BB"/>
    <w:rsid w:val="00311939"/>
    <w:rsid w:val="00315555"/>
    <w:rsid w:val="003169CC"/>
    <w:rsid w:val="00316E35"/>
    <w:rsid w:val="0031778A"/>
    <w:rsid w:val="0032239B"/>
    <w:rsid w:val="003238EB"/>
    <w:rsid w:val="00327FEB"/>
    <w:rsid w:val="00331869"/>
    <w:rsid w:val="00333AB7"/>
    <w:rsid w:val="00333C8F"/>
    <w:rsid w:val="00335DF3"/>
    <w:rsid w:val="00336237"/>
    <w:rsid w:val="0033764A"/>
    <w:rsid w:val="00337EC9"/>
    <w:rsid w:val="003408C5"/>
    <w:rsid w:val="00341766"/>
    <w:rsid w:val="003418C6"/>
    <w:rsid w:val="00342AF0"/>
    <w:rsid w:val="00343749"/>
    <w:rsid w:val="00344E26"/>
    <w:rsid w:val="0034513E"/>
    <w:rsid w:val="00345CA9"/>
    <w:rsid w:val="003462A0"/>
    <w:rsid w:val="003471BF"/>
    <w:rsid w:val="003476DB"/>
    <w:rsid w:val="003478DF"/>
    <w:rsid w:val="00354220"/>
    <w:rsid w:val="00354D89"/>
    <w:rsid w:val="00363FB0"/>
    <w:rsid w:val="003641C2"/>
    <w:rsid w:val="00365176"/>
    <w:rsid w:val="003660ED"/>
    <w:rsid w:val="00366313"/>
    <w:rsid w:val="00366421"/>
    <w:rsid w:val="00366779"/>
    <w:rsid w:val="003675FA"/>
    <w:rsid w:val="0037255B"/>
    <w:rsid w:val="00372561"/>
    <w:rsid w:val="00373AD5"/>
    <w:rsid w:val="00373D82"/>
    <w:rsid w:val="00374376"/>
    <w:rsid w:val="00376C1C"/>
    <w:rsid w:val="003800FA"/>
    <w:rsid w:val="003825C1"/>
    <w:rsid w:val="00387CCE"/>
    <w:rsid w:val="00390B3B"/>
    <w:rsid w:val="0039279B"/>
    <w:rsid w:val="00395A53"/>
    <w:rsid w:val="003A0177"/>
    <w:rsid w:val="003A2B69"/>
    <w:rsid w:val="003A33CC"/>
    <w:rsid w:val="003A5DAF"/>
    <w:rsid w:val="003A7BAE"/>
    <w:rsid w:val="003B0550"/>
    <w:rsid w:val="003B06E9"/>
    <w:rsid w:val="003B42A0"/>
    <w:rsid w:val="003B46B3"/>
    <w:rsid w:val="003B694F"/>
    <w:rsid w:val="003C157A"/>
    <w:rsid w:val="003C6034"/>
    <w:rsid w:val="003C6DDC"/>
    <w:rsid w:val="003C7C68"/>
    <w:rsid w:val="003C7F95"/>
    <w:rsid w:val="003D0337"/>
    <w:rsid w:val="003D13C7"/>
    <w:rsid w:val="003D4180"/>
    <w:rsid w:val="003D580F"/>
    <w:rsid w:val="003D5F85"/>
    <w:rsid w:val="003D6F0B"/>
    <w:rsid w:val="003D7EDC"/>
    <w:rsid w:val="003E053D"/>
    <w:rsid w:val="003E0C9A"/>
    <w:rsid w:val="003E22C8"/>
    <w:rsid w:val="003E3A0D"/>
    <w:rsid w:val="003E3A1E"/>
    <w:rsid w:val="003E6CD7"/>
    <w:rsid w:val="003E6D47"/>
    <w:rsid w:val="003E71D6"/>
    <w:rsid w:val="003E7E40"/>
    <w:rsid w:val="003F171C"/>
    <w:rsid w:val="003F2037"/>
    <w:rsid w:val="003F630F"/>
    <w:rsid w:val="003F65BA"/>
    <w:rsid w:val="003F6B90"/>
    <w:rsid w:val="00400039"/>
    <w:rsid w:val="0040079F"/>
    <w:rsid w:val="00400C59"/>
    <w:rsid w:val="00405896"/>
    <w:rsid w:val="00405B01"/>
    <w:rsid w:val="004060E1"/>
    <w:rsid w:val="004078FE"/>
    <w:rsid w:val="00411AB4"/>
    <w:rsid w:val="00412FC5"/>
    <w:rsid w:val="004159F9"/>
    <w:rsid w:val="00415E4B"/>
    <w:rsid w:val="004200DC"/>
    <w:rsid w:val="00420A70"/>
    <w:rsid w:val="00420DE1"/>
    <w:rsid w:val="00422276"/>
    <w:rsid w:val="0042247B"/>
    <w:rsid w:val="0042404B"/>
    <w:rsid w:val="004242F1"/>
    <w:rsid w:val="00424E73"/>
    <w:rsid w:val="004262C8"/>
    <w:rsid w:val="00426562"/>
    <w:rsid w:val="00433EF0"/>
    <w:rsid w:val="0043574F"/>
    <w:rsid w:val="004359F9"/>
    <w:rsid w:val="00436BE7"/>
    <w:rsid w:val="004409E4"/>
    <w:rsid w:val="004411AD"/>
    <w:rsid w:val="00441B58"/>
    <w:rsid w:val="00441FB5"/>
    <w:rsid w:val="004429FD"/>
    <w:rsid w:val="00442D25"/>
    <w:rsid w:val="00444B3C"/>
    <w:rsid w:val="00444D8A"/>
    <w:rsid w:val="00444ED3"/>
    <w:rsid w:val="00445324"/>
    <w:rsid w:val="00445565"/>
    <w:rsid w:val="00445790"/>
    <w:rsid w:val="00445855"/>
    <w:rsid w:val="00445A00"/>
    <w:rsid w:val="004475D8"/>
    <w:rsid w:val="00447B12"/>
    <w:rsid w:val="00450464"/>
    <w:rsid w:val="00451B0F"/>
    <w:rsid w:val="00452AD0"/>
    <w:rsid w:val="00453870"/>
    <w:rsid w:val="004548A6"/>
    <w:rsid w:val="0046398C"/>
    <w:rsid w:val="00464137"/>
    <w:rsid w:val="00465B3F"/>
    <w:rsid w:val="00467241"/>
    <w:rsid w:val="00472D3D"/>
    <w:rsid w:val="00474363"/>
    <w:rsid w:val="004801AB"/>
    <w:rsid w:val="004803C5"/>
    <w:rsid w:val="004804BD"/>
    <w:rsid w:val="0048152E"/>
    <w:rsid w:val="00482206"/>
    <w:rsid w:val="00483242"/>
    <w:rsid w:val="00485E6C"/>
    <w:rsid w:val="0048653F"/>
    <w:rsid w:val="00486656"/>
    <w:rsid w:val="00491942"/>
    <w:rsid w:val="004919AB"/>
    <w:rsid w:val="00492A33"/>
    <w:rsid w:val="00492A75"/>
    <w:rsid w:val="00492BED"/>
    <w:rsid w:val="00494029"/>
    <w:rsid w:val="00494360"/>
    <w:rsid w:val="00494363"/>
    <w:rsid w:val="004947F4"/>
    <w:rsid w:val="00495122"/>
    <w:rsid w:val="00497BCC"/>
    <w:rsid w:val="004A0B3F"/>
    <w:rsid w:val="004A14CF"/>
    <w:rsid w:val="004A20DF"/>
    <w:rsid w:val="004A2CDF"/>
    <w:rsid w:val="004A3D44"/>
    <w:rsid w:val="004A4A55"/>
    <w:rsid w:val="004A70F7"/>
    <w:rsid w:val="004A7396"/>
    <w:rsid w:val="004A76ED"/>
    <w:rsid w:val="004C0087"/>
    <w:rsid w:val="004C0984"/>
    <w:rsid w:val="004C0B22"/>
    <w:rsid w:val="004C2EE3"/>
    <w:rsid w:val="004C79D4"/>
    <w:rsid w:val="004D12A7"/>
    <w:rsid w:val="004D2266"/>
    <w:rsid w:val="004D3F67"/>
    <w:rsid w:val="004D593E"/>
    <w:rsid w:val="004D5DEC"/>
    <w:rsid w:val="004D7332"/>
    <w:rsid w:val="004E2385"/>
    <w:rsid w:val="004E239F"/>
    <w:rsid w:val="004E2A05"/>
    <w:rsid w:val="004E3243"/>
    <w:rsid w:val="004E3F7F"/>
    <w:rsid w:val="004E4A22"/>
    <w:rsid w:val="004E7871"/>
    <w:rsid w:val="004E7AE6"/>
    <w:rsid w:val="004F2BB9"/>
    <w:rsid w:val="004F512D"/>
    <w:rsid w:val="004F5AFB"/>
    <w:rsid w:val="00501A3A"/>
    <w:rsid w:val="00502217"/>
    <w:rsid w:val="00503FD3"/>
    <w:rsid w:val="00504D4D"/>
    <w:rsid w:val="005057FE"/>
    <w:rsid w:val="005071D4"/>
    <w:rsid w:val="00511968"/>
    <w:rsid w:val="00513F59"/>
    <w:rsid w:val="0051432E"/>
    <w:rsid w:val="005144FD"/>
    <w:rsid w:val="0051458A"/>
    <w:rsid w:val="00515E41"/>
    <w:rsid w:val="00517495"/>
    <w:rsid w:val="00517921"/>
    <w:rsid w:val="00517F61"/>
    <w:rsid w:val="005208AC"/>
    <w:rsid w:val="00520D28"/>
    <w:rsid w:val="00521BE0"/>
    <w:rsid w:val="005234AA"/>
    <w:rsid w:val="00524178"/>
    <w:rsid w:val="005250AE"/>
    <w:rsid w:val="0052517B"/>
    <w:rsid w:val="005304A3"/>
    <w:rsid w:val="00530AFF"/>
    <w:rsid w:val="00533BE8"/>
    <w:rsid w:val="0053523B"/>
    <w:rsid w:val="0054080C"/>
    <w:rsid w:val="005411E9"/>
    <w:rsid w:val="005415A0"/>
    <w:rsid w:val="00541EBE"/>
    <w:rsid w:val="00542AD2"/>
    <w:rsid w:val="005455A2"/>
    <w:rsid w:val="005466CC"/>
    <w:rsid w:val="00550451"/>
    <w:rsid w:val="00555AEA"/>
    <w:rsid w:val="00555FA2"/>
    <w:rsid w:val="0055614C"/>
    <w:rsid w:val="00556580"/>
    <w:rsid w:val="00556A7E"/>
    <w:rsid w:val="00556CB2"/>
    <w:rsid w:val="00557CC1"/>
    <w:rsid w:val="0056031A"/>
    <w:rsid w:val="00560553"/>
    <w:rsid w:val="005641D5"/>
    <w:rsid w:val="00565860"/>
    <w:rsid w:val="005663F4"/>
    <w:rsid w:val="0056691B"/>
    <w:rsid w:val="00567EDC"/>
    <w:rsid w:val="00571F75"/>
    <w:rsid w:val="00575300"/>
    <w:rsid w:val="00576536"/>
    <w:rsid w:val="00576C9F"/>
    <w:rsid w:val="00580528"/>
    <w:rsid w:val="00581006"/>
    <w:rsid w:val="0058526F"/>
    <w:rsid w:val="00585F5F"/>
    <w:rsid w:val="00592898"/>
    <w:rsid w:val="00592DE2"/>
    <w:rsid w:val="00594D2F"/>
    <w:rsid w:val="00595541"/>
    <w:rsid w:val="00596A36"/>
    <w:rsid w:val="00596BD3"/>
    <w:rsid w:val="00597F6B"/>
    <w:rsid w:val="005A135E"/>
    <w:rsid w:val="005A1387"/>
    <w:rsid w:val="005A286F"/>
    <w:rsid w:val="005A3CB6"/>
    <w:rsid w:val="005A48D7"/>
    <w:rsid w:val="005A6302"/>
    <w:rsid w:val="005A7402"/>
    <w:rsid w:val="005B0A63"/>
    <w:rsid w:val="005B11B3"/>
    <w:rsid w:val="005B4AA0"/>
    <w:rsid w:val="005B4ADD"/>
    <w:rsid w:val="005C0424"/>
    <w:rsid w:val="005C2350"/>
    <w:rsid w:val="005C3CE9"/>
    <w:rsid w:val="005C4410"/>
    <w:rsid w:val="005C535D"/>
    <w:rsid w:val="005C717D"/>
    <w:rsid w:val="005D01D4"/>
    <w:rsid w:val="005D0803"/>
    <w:rsid w:val="005D1201"/>
    <w:rsid w:val="005D1CEF"/>
    <w:rsid w:val="005D1E4B"/>
    <w:rsid w:val="005D246E"/>
    <w:rsid w:val="005D3873"/>
    <w:rsid w:val="005D3953"/>
    <w:rsid w:val="005D4C44"/>
    <w:rsid w:val="005D740F"/>
    <w:rsid w:val="005E14C2"/>
    <w:rsid w:val="005E17EE"/>
    <w:rsid w:val="005E2783"/>
    <w:rsid w:val="005E50AD"/>
    <w:rsid w:val="005E53FD"/>
    <w:rsid w:val="005E5ED3"/>
    <w:rsid w:val="005F2501"/>
    <w:rsid w:val="005F2B24"/>
    <w:rsid w:val="005F4BEA"/>
    <w:rsid w:val="005F4DBC"/>
    <w:rsid w:val="00600372"/>
    <w:rsid w:val="00602EFF"/>
    <w:rsid w:val="0060499B"/>
    <w:rsid w:val="00605373"/>
    <w:rsid w:val="00605AB0"/>
    <w:rsid w:val="00606283"/>
    <w:rsid w:val="00607BA5"/>
    <w:rsid w:val="0061180A"/>
    <w:rsid w:val="00611F88"/>
    <w:rsid w:val="00612DF9"/>
    <w:rsid w:val="00613FCC"/>
    <w:rsid w:val="00614FBF"/>
    <w:rsid w:val="006160E3"/>
    <w:rsid w:val="00620C46"/>
    <w:rsid w:val="00620E3A"/>
    <w:rsid w:val="00620FEF"/>
    <w:rsid w:val="006240EA"/>
    <w:rsid w:val="00624EAD"/>
    <w:rsid w:val="00625FB7"/>
    <w:rsid w:val="006265CF"/>
    <w:rsid w:val="00626EB6"/>
    <w:rsid w:val="006279EC"/>
    <w:rsid w:val="00630423"/>
    <w:rsid w:val="00630A92"/>
    <w:rsid w:val="00631ABC"/>
    <w:rsid w:val="00633ED0"/>
    <w:rsid w:val="00634A6C"/>
    <w:rsid w:val="0063674E"/>
    <w:rsid w:val="00642AB8"/>
    <w:rsid w:val="00642D3C"/>
    <w:rsid w:val="00645715"/>
    <w:rsid w:val="00645F85"/>
    <w:rsid w:val="00646F37"/>
    <w:rsid w:val="00650647"/>
    <w:rsid w:val="00650DAB"/>
    <w:rsid w:val="00651165"/>
    <w:rsid w:val="006519F8"/>
    <w:rsid w:val="00652640"/>
    <w:rsid w:val="00653615"/>
    <w:rsid w:val="00653F84"/>
    <w:rsid w:val="00654EDC"/>
    <w:rsid w:val="00655770"/>
    <w:rsid w:val="00655D03"/>
    <w:rsid w:val="00656EBE"/>
    <w:rsid w:val="00657BCC"/>
    <w:rsid w:val="0066158E"/>
    <w:rsid w:val="0066326E"/>
    <w:rsid w:val="006648BE"/>
    <w:rsid w:val="00664E48"/>
    <w:rsid w:val="006653B6"/>
    <w:rsid w:val="00667B97"/>
    <w:rsid w:val="00670C75"/>
    <w:rsid w:val="006732EB"/>
    <w:rsid w:val="00674D81"/>
    <w:rsid w:val="006751AC"/>
    <w:rsid w:val="00676DFA"/>
    <w:rsid w:val="00677E52"/>
    <w:rsid w:val="00680F2F"/>
    <w:rsid w:val="00681367"/>
    <w:rsid w:val="00681A01"/>
    <w:rsid w:val="00681B4C"/>
    <w:rsid w:val="00682BC1"/>
    <w:rsid w:val="00683388"/>
    <w:rsid w:val="00683F84"/>
    <w:rsid w:val="0068439B"/>
    <w:rsid w:val="00686743"/>
    <w:rsid w:val="00686F78"/>
    <w:rsid w:val="006904C0"/>
    <w:rsid w:val="00690B4F"/>
    <w:rsid w:val="006929DC"/>
    <w:rsid w:val="00692E57"/>
    <w:rsid w:val="00693948"/>
    <w:rsid w:val="006A025E"/>
    <w:rsid w:val="006A0F44"/>
    <w:rsid w:val="006A5A19"/>
    <w:rsid w:val="006A6A81"/>
    <w:rsid w:val="006A7577"/>
    <w:rsid w:val="006A7924"/>
    <w:rsid w:val="006B36DD"/>
    <w:rsid w:val="006C056D"/>
    <w:rsid w:val="006C19D6"/>
    <w:rsid w:val="006C1DA4"/>
    <w:rsid w:val="006C1EAA"/>
    <w:rsid w:val="006C4534"/>
    <w:rsid w:val="006C5E53"/>
    <w:rsid w:val="006D1A22"/>
    <w:rsid w:val="006D2C1A"/>
    <w:rsid w:val="006D3E0F"/>
    <w:rsid w:val="006D44FC"/>
    <w:rsid w:val="006D4767"/>
    <w:rsid w:val="006D5BF1"/>
    <w:rsid w:val="006D6001"/>
    <w:rsid w:val="006D618B"/>
    <w:rsid w:val="006D6DCC"/>
    <w:rsid w:val="006E2669"/>
    <w:rsid w:val="006E273A"/>
    <w:rsid w:val="006E3FCE"/>
    <w:rsid w:val="006E4D03"/>
    <w:rsid w:val="006E4D25"/>
    <w:rsid w:val="006E5092"/>
    <w:rsid w:val="006E6AA7"/>
    <w:rsid w:val="006E784B"/>
    <w:rsid w:val="006E7E4C"/>
    <w:rsid w:val="006F2862"/>
    <w:rsid w:val="006F48F1"/>
    <w:rsid w:val="006F6CA0"/>
    <w:rsid w:val="006F7393"/>
    <w:rsid w:val="00700CD0"/>
    <w:rsid w:val="0070224F"/>
    <w:rsid w:val="00702C4F"/>
    <w:rsid w:val="00702FF3"/>
    <w:rsid w:val="00704471"/>
    <w:rsid w:val="00705734"/>
    <w:rsid w:val="007106DC"/>
    <w:rsid w:val="007115F7"/>
    <w:rsid w:val="00712C63"/>
    <w:rsid w:val="00712CEF"/>
    <w:rsid w:val="00714967"/>
    <w:rsid w:val="00716747"/>
    <w:rsid w:val="0071696A"/>
    <w:rsid w:val="00720056"/>
    <w:rsid w:val="00721905"/>
    <w:rsid w:val="00721BF3"/>
    <w:rsid w:val="007235C3"/>
    <w:rsid w:val="0072484B"/>
    <w:rsid w:val="00727A54"/>
    <w:rsid w:val="00727FBB"/>
    <w:rsid w:val="00740212"/>
    <w:rsid w:val="00740D60"/>
    <w:rsid w:val="00740DF4"/>
    <w:rsid w:val="007415F2"/>
    <w:rsid w:val="00744506"/>
    <w:rsid w:val="00744AF6"/>
    <w:rsid w:val="007477D9"/>
    <w:rsid w:val="00747E6D"/>
    <w:rsid w:val="007521EE"/>
    <w:rsid w:val="00755BA0"/>
    <w:rsid w:val="00756613"/>
    <w:rsid w:val="00757564"/>
    <w:rsid w:val="007603B1"/>
    <w:rsid w:val="00763642"/>
    <w:rsid w:val="00763800"/>
    <w:rsid w:val="00763B6C"/>
    <w:rsid w:val="00763E98"/>
    <w:rsid w:val="0076471E"/>
    <w:rsid w:val="00765E07"/>
    <w:rsid w:val="00772579"/>
    <w:rsid w:val="00774110"/>
    <w:rsid w:val="00774F9A"/>
    <w:rsid w:val="007758D2"/>
    <w:rsid w:val="0077658F"/>
    <w:rsid w:val="007778B2"/>
    <w:rsid w:val="00777FC4"/>
    <w:rsid w:val="007811D9"/>
    <w:rsid w:val="007830C2"/>
    <w:rsid w:val="00784906"/>
    <w:rsid w:val="00784EB4"/>
    <w:rsid w:val="00785592"/>
    <w:rsid w:val="00785689"/>
    <w:rsid w:val="00785C1F"/>
    <w:rsid w:val="007864F1"/>
    <w:rsid w:val="00787501"/>
    <w:rsid w:val="00787AAF"/>
    <w:rsid w:val="007901FB"/>
    <w:rsid w:val="00792D64"/>
    <w:rsid w:val="007932CF"/>
    <w:rsid w:val="00793E4F"/>
    <w:rsid w:val="007943EB"/>
    <w:rsid w:val="00794525"/>
    <w:rsid w:val="00795B51"/>
    <w:rsid w:val="00795D13"/>
    <w:rsid w:val="0079754B"/>
    <w:rsid w:val="007A0FF2"/>
    <w:rsid w:val="007A1188"/>
    <w:rsid w:val="007A183E"/>
    <w:rsid w:val="007A1E6D"/>
    <w:rsid w:val="007A3CEF"/>
    <w:rsid w:val="007A5441"/>
    <w:rsid w:val="007A5FE3"/>
    <w:rsid w:val="007A67AB"/>
    <w:rsid w:val="007B00DA"/>
    <w:rsid w:val="007B09BA"/>
    <w:rsid w:val="007B0EB2"/>
    <w:rsid w:val="007B178A"/>
    <w:rsid w:val="007B1D1C"/>
    <w:rsid w:val="007B275C"/>
    <w:rsid w:val="007B3055"/>
    <w:rsid w:val="007B5766"/>
    <w:rsid w:val="007B75C5"/>
    <w:rsid w:val="007C09F5"/>
    <w:rsid w:val="007C2D11"/>
    <w:rsid w:val="007C458A"/>
    <w:rsid w:val="007C4826"/>
    <w:rsid w:val="007C57ED"/>
    <w:rsid w:val="007C624E"/>
    <w:rsid w:val="007C68A4"/>
    <w:rsid w:val="007C6A5A"/>
    <w:rsid w:val="007D351A"/>
    <w:rsid w:val="007D51EC"/>
    <w:rsid w:val="007E0756"/>
    <w:rsid w:val="007E1598"/>
    <w:rsid w:val="007E24E1"/>
    <w:rsid w:val="007E35B0"/>
    <w:rsid w:val="007E5ED0"/>
    <w:rsid w:val="007F1A2E"/>
    <w:rsid w:val="007F2C32"/>
    <w:rsid w:val="007F2FBE"/>
    <w:rsid w:val="007F36D3"/>
    <w:rsid w:val="007F3ED4"/>
    <w:rsid w:val="007F4A6C"/>
    <w:rsid w:val="007F5CAF"/>
    <w:rsid w:val="007F7A6C"/>
    <w:rsid w:val="007F7AB0"/>
    <w:rsid w:val="0080007C"/>
    <w:rsid w:val="00801448"/>
    <w:rsid w:val="0080271C"/>
    <w:rsid w:val="00807EAC"/>
    <w:rsid w:val="0081034A"/>
    <w:rsid w:val="00810A20"/>
    <w:rsid w:val="00810B6F"/>
    <w:rsid w:val="008111AB"/>
    <w:rsid w:val="00812469"/>
    <w:rsid w:val="008137C7"/>
    <w:rsid w:val="00822CE0"/>
    <w:rsid w:val="00822E7B"/>
    <w:rsid w:val="0082419F"/>
    <w:rsid w:val="00824E9C"/>
    <w:rsid w:val="00824F4C"/>
    <w:rsid w:val="00825B35"/>
    <w:rsid w:val="008272C0"/>
    <w:rsid w:val="0083167D"/>
    <w:rsid w:val="00831B8F"/>
    <w:rsid w:val="00833F7E"/>
    <w:rsid w:val="00834DAF"/>
    <w:rsid w:val="00835B02"/>
    <w:rsid w:val="00837F29"/>
    <w:rsid w:val="00840EE1"/>
    <w:rsid w:val="00841AB1"/>
    <w:rsid w:val="0084290A"/>
    <w:rsid w:val="008432F7"/>
    <w:rsid w:val="00843B68"/>
    <w:rsid w:val="00847972"/>
    <w:rsid w:val="008540B0"/>
    <w:rsid w:val="00855821"/>
    <w:rsid w:val="00855FC2"/>
    <w:rsid w:val="00856A96"/>
    <w:rsid w:val="00863640"/>
    <w:rsid w:val="0086554C"/>
    <w:rsid w:val="008700EE"/>
    <w:rsid w:val="008715BD"/>
    <w:rsid w:val="00871AB9"/>
    <w:rsid w:val="00871C1C"/>
    <w:rsid w:val="008722DF"/>
    <w:rsid w:val="00874255"/>
    <w:rsid w:val="0087511E"/>
    <w:rsid w:val="00875174"/>
    <w:rsid w:val="0087547F"/>
    <w:rsid w:val="00875B82"/>
    <w:rsid w:val="008768F0"/>
    <w:rsid w:val="00876983"/>
    <w:rsid w:val="00876E1F"/>
    <w:rsid w:val="0088121C"/>
    <w:rsid w:val="00881FC2"/>
    <w:rsid w:val="00884754"/>
    <w:rsid w:val="00885F88"/>
    <w:rsid w:val="0088766C"/>
    <w:rsid w:val="00894D6E"/>
    <w:rsid w:val="00894F98"/>
    <w:rsid w:val="00894FFE"/>
    <w:rsid w:val="008A1446"/>
    <w:rsid w:val="008A1783"/>
    <w:rsid w:val="008A4F3C"/>
    <w:rsid w:val="008A7D34"/>
    <w:rsid w:val="008B0870"/>
    <w:rsid w:val="008B263C"/>
    <w:rsid w:val="008B4706"/>
    <w:rsid w:val="008C0E51"/>
    <w:rsid w:val="008C3373"/>
    <w:rsid w:val="008C33EE"/>
    <w:rsid w:val="008C3CF3"/>
    <w:rsid w:val="008C5114"/>
    <w:rsid w:val="008C5B7D"/>
    <w:rsid w:val="008C5BC9"/>
    <w:rsid w:val="008C68F1"/>
    <w:rsid w:val="008D1879"/>
    <w:rsid w:val="008D4543"/>
    <w:rsid w:val="008E123C"/>
    <w:rsid w:val="008E4B75"/>
    <w:rsid w:val="008E5260"/>
    <w:rsid w:val="008E594E"/>
    <w:rsid w:val="008E7069"/>
    <w:rsid w:val="008E7380"/>
    <w:rsid w:val="008F0CEB"/>
    <w:rsid w:val="008F2740"/>
    <w:rsid w:val="008F426F"/>
    <w:rsid w:val="008F4A84"/>
    <w:rsid w:val="00900BF1"/>
    <w:rsid w:val="00900CCC"/>
    <w:rsid w:val="0090155B"/>
    <w:rsid w:val="0090330B"/>
    <w:rsid w:val="009046EF"/>
    <w:rsid w:val="00906B63"/>
    <w:rsid w:val="0091001E"/>
    <w:rsid w:val="009122F7"/>
    <w:rsid w:val="00913FE1"/>
    <w:rsid w:val="00915D4A"/>
    <w:rsid w:val="00915EF3"/>
    <w:rsid w:val="009201CE"/>
    <w:rsid w:val="00920B50"/>
    <w:rsid w:val="00921803"/>
    <w:rsid w:val="00923F26"/>
    <w:rsid w:val="00924E27"/>
    <w:rsid w:val="00926503"/>
    <w:rsid w:val="009268A5"/>
    <w:rsid w:val="0093169B"/>
    <w:rsid w:val="00933B4A"/>
    <w:rsid w:val="00935F4E"/>
    <w:rsid w:val="00936FEC"/>
    <w:rsid w:val="00937089"/>
    <w:rsid w:val="00937A1C"/>
    <w:rsid w:val="0094069F"/>
    <w:rsid w:val="00941840"/>
    <w:rsid w:val="009455AB"/>
    <w:rsid w:val="00950592"/>
    <w:rsid w:val="009510F5"/>
    <w:rsid w:val="009518D7"/>
    <w:rsid w:val="00953110"/>
    <w:rsid w:val="009532C3"/>
    <w:rsid w:val="009537C1"/>
    <w:rsid w:val="00954D2F"/>
    <w:rsid w:val="00955722"/>
    <w:rsid w:val="009575D6"/>
    <w:rsid w:val="00957904"/>
    <w:rsid w:val="009602E6"/>
    <w:rsid w:val="00960BFC"/>
    <w:rsid w:val="0096178A"/>
    <w:rsid w:val="00963664"/>
    <w:rsid w:val="00964D26"/>
    <w:rsid w:val="00965AD9"/>
    <w:rsid w:val="009672C4"/>
    <w:rsid w:val="009677B0"/>
    <w:rsid w:val="00967E63"/>
    <w:rsid w:val="00970CAB"/>
    <w:rsid w:val="00970E25"/>
    <w:rsid w:val="009726D8"/>
    <w:rsid w:val="00973362"/>
    <w:rsid w:val="009738EF"/>
    <w:rsid w:val="0097616C"/>
    <w:rsid w:val="00977706"/>
    <w:rsid w:val="009812EB"/>
    <w:rsid w:val="00981ADE"/>
    <w:rsid w:val="00986A88"/>
    <w:rsid w:val="00990D78"/>
    <w:rsid w:val="00992DDA"/>
    <w:rsid w:val="009942C2"/>
    <w:rsid w:val="00994FC2"/>
    <w:rsid w:val="009959B9"/>
    <w:rsid w:val="00996CCB"/>
    <w:rsid w:val="0099779D"/>
    <w:rsid w:val="009A0B18"/>
    <w:rsid w:val="009A0F62"/>
    <w:rsid w:val="009A29A7"/>
    <w:rsid w:val="009A3B86"/>
    <w:rsid w:val="009A4C0A"/>
    <w:rsid w:val="009A63B9"/>
    <w:rsid w:val="009A6F9A"/>
    <w:rsid w:val="009A779B"/>
    <w:rsid w:val="009B15A0"/>
    <w:rsid w:val="009B20ED"/>
    <w:rsid w:val="009B2593"/>
    <w:rsid w:val="009B5520"/>
    <w:rsid w:val="009B7273"/>
    <w:rsid w:val="009B7F03"/>
    <w:rsid w:val="009C24C5"/>
    <w:rsid w:val="009C5EA6"/>
    <w:rsid w:val="009C6637"/>
    <w:rsid w:val="009C699B"/>
    <w:rsid w:val="009C6A72"/>
    <w:rsid w:val="009D0052"/>
    <w:rsid w:val="009D38B1"/>
    <w:rsid w:val="009D53F1"/>
    <w:rsid w:val="009D5FF8"/>
    <w:rsid w:val="009E0A7D"/>
    <w:rsid w:val="009E0B51"/>
    <w:rsid w:val="009E19BE"/>
    <w:rsid w:val="009E3767"/>
    <w:rsid w:val="009E5B75"/>
    <w:rsid w:val="009E7B86"/>
    <w:rsid w:val="009F0E10"/>
    <w:rsid w:val="009F16E7"/>
    <w:rsid w:val="009F2F84"/>
    <w:rsid w:val="009F4940"/>
    <w:rsid w:val="009F76DB"/>
    <w:rsid w:val="009F7F04"/>
    <w:rsid w:val="00A00355"/>
    <w:rsid w:val="00A03C1E"/>
    <w:rsid w:val="00A03FC6"/>
    <w:rsid w:val="00A0694D"/>
    <w:rsid w:val="00A078E6"/>
    <w:rsid w:val="00A1023E"/>
    <w:rsid w:val="00A11844"/>
    <w:rsid w:val="00A1244E"/>
    <w:rsid w:val="00A1299F"/>
    <w:rsid w:val="00A21559"/>
    <w:rsid w:val="00A24340"/>
    <w:rsid w:val="00A24C72"/>
    <w:rsid w:val="00A25B75"/>
    <w:rsid w:val="00A25D04"/>
    <w:rsid w:val="00A3194A"/>
    <w:rsid w:val="00A31F1D"/>
    <w:rsid w:val="00A32BFE"/>
    <w:rsid w:val="00A32C3B"/>
    <w:rsid w:val="00A32CB5"/>
    <w:rsid w:val="00A335A5"/>
    <w:rsid w:val="00A344D9"/>
    <w:rsid w:val="00A425C1"/>
    <w:rsid w:val="00A428F1"/>
    <w:rsid w:val="00A42F82"/>
    <w:rsid w:val="00A44E6F"/>
    <w:rsid w:val="00A45746"/>
    <w:rsid w:val="00A45F4F"/>
    <w:rsid w:val="00A47C4A"/>
    <w:rsid w:val="00A510F9"/>
    <w:rsid w:val="00A53D6C"/>
    <w:rsid w:val="00A56CA4"/>
    <w:rsid w:val="00A572FE"/>
    <w:rsid w:val="00A600A9"/>
    <w:rsid w:val="00A6409E"/>
    <w:rsid w:val="00A702B9"/>
    <w:rsid w:val="00A72065"/>
    <w:rsid w:val="00A7234B"/>
    <w:rsid w:val="00A753FC"/>
    <w:rsid w:val="00A75E23"/>
    <w:rsid w:val="00A76DE7"/>
    <w:rsid w:val="00A80CB4"/>
    <w:rsid w:val="00A822BE"/>
    <w:rsid w:val="00A83824"/>
    <w:rsid w:val="00A87186"/>
    <w:rsid w:val="00A87FF7"/>
    <w:rsid w:val="00A91B7E"/>
    <w:rsid w:val="00A9319B"/>
    <w:rsid w:val="00A95BE9"/>
    <w:rsid w:val="00A97284"/>
    <w:rsid w:val="00AA196F"/>
    <w:rsid w:val="00AA26F6"/>
    <w:rsid w:val="00AA3703"/>
    <w:rsid w:val="00AA488C"/>
    <w:rsid w:val="00AA4C0E"/>
    <w:rsid w:val="00AA4E3E"/>
    <w:rsid w:val="00AA55B7"/>
    <w:rsid w:val="00AA568A"/>
    <w:rsid w:val="00AA5B9E"/>
    <w:rsid w:val="00AA5DD1"/>
    <w:rsid w:val="00AA6239"/>
    <w:rsid w:val="00AA7E90"/>
    <w:rsid w:val="00AB02EA"/>
    <w:rsid w:val="00AB1948"/>
    <w:rsid w:val="00AB1B5D"/>
    <w:rsid w:val="00AB2407"/>
    <w:rsid w:val="00AB31C9"/>
    <w:rsid w:val="00AB413B"/>
    <w:rsid w:val="00AB53DF"/>
    <w:rsid w:val="00AC091B"/>
    <w:rsid w:val="00AC1036"/>
    <w:rsid w:val="00AC1EE2"/>
    <w:rsid w:val="00AC2CC7"/>
    <w:rsid w:val="00AC3A0A"/>
    <w:rsid w:val="00AC3DF4"/>
    <w:rsid w:val="00AC62FC"/>
    <w:rsid w:val="00AC78BD"/>
    <w:rsid w:val="00AD260F"/>
    <w:rsid w:val="00AD26F8"/>
    <w:rsid w:val="00AD2713"/>
    <w:rsid w:val="00AD3F3A"/>
    <w:rsid w:val="00AD46C9"/>
    <w:rsid w:val="00AD511E"/>
    <w:rsid w:val="00AE0D1E"/>
    <w:rsid w:val="00AE203D"/>
    <w:rsid w:val="00AE214D"/>
    <w:rsid w:val="00AE3B31"/>
    <w:rsid w:val="00AE5A4F"/>
    <w:rsid w:val="00AE5B72"/>
    <w:rsid w:val="00AE5E62"/>
    <w:rsid w:val="00AE7B14"/>
    <w:rsid w:val="00AF0A65"/>
    <w:rsid w:val="00AF138F"/>
    <w:rsid w:val="00AF6269"/>
    <w:rsid w:val="00AF65F3"/>
    <w:rsid w:val="00AF7E30"/>
    <w:rsid w:val="00B01002"/>
    <w:rsid w:val="00B02B1D"/>
    <w:rsid w:val="00B03024"/>
    <w:rsid w:val="00B0462D"/>
    <w:rsid w:val="00B065DB"/>
    <w:rsid w:val="00B0730B"/>
    <w:rsid w:val="00B07E5C"/>
    <w:rsid w:val="00B13094"/>
    <w:rsid w:val="00B163A6"/>
    <w:rsid w:val="00B17254"/>
    <w:rsid w:val="00B208E4"/>
    <w:rsid w:val="00B2163D"/>
    <w:rsid w:val="00B2380C"/>
    <w:rsid w:val="00B23E7C"/>
    <w:rsid w:val="00B266C2"/>
    <w:rsid w:val="00B26794"/>
    <w:rsid w:val="00B302AE"/>
    <w:rsid w:val="00B32BE6"/>
    <w:rsid w:val="00B32CF9"/>
    <w:rsid w:val="00B3395B"/>
    <w:rsid w:val="00B33FA3"/>
    <w:rsid w:val="00B351A3"/>
    <w:rsid w:val="00B35C4F"/>
    <w:rsid w:val="00B40642"/>
    <w:rsid w:val="00B43366"/>
    <w:rsid w:val="00B465EF"/>
    <w:rsid w:val="00B522A4"/>
    <w:rsid w:val="00B52DE6"/>
    <w:rsid w:val="00B60AD9"/>
    <w:rsid w:val="00B61A45"/>
    <w:rsid w:val="00B628B8"/>
    <w:rsid w:val="00B63176"/>
    <w:rsid w:val="00B6475D"/>
    <w:rsid w:val="00B64F6A"/>
    <w:rsid w:val="00B66F2F"/>
    <w:rsid w:val="00B7088C"/>
    <w:rsid w:val="00B7264F"/>
    <w:rsid w:val="00B72B6A"/>
    <w:rsid w:val="00B7380C"/>
    <w:rsid w:val="00B7439F"/>
    <w:rsid w:val="00B744C7"/>
    <w:rsid w:val="00B75491"/>
    <w:rsid w:val="00B77288"/>
    <w:rsid w:val="00B811F7"/>
    <w:rsid w:val="00B81609"/>
    <w:rsid w:val="00B836FA"/>
    <w:rsid w:val="00B86EC8"/>
    <w:rsid w:val="00B9463D"/>
    <w:rsid w:val="00B94E0D"/>
    <w:rsid w:val="00B95DEE"/>
    <w:rsid w:val="00B9799E"/>
    <w:rsid w:val="00B97B64"/>
    <w:rsid w:val="00BA54B0"/>
    <w:rsid w:val="00BA585A"/>
    <w:rsid w:val="00BA5A5B"/>
    <w:rsid w:val="00BA5DC6"/>
    <w:rsid w:val="00BA6196"/>
    <w:rsid w:val="00BA6E8D"/>
    <w:rsid w:val="00BB4420"/>
    <w:rsid w:val="00BB4A6B"/>
    <w:rsid w:val="00BC04C4"/>
    <w:rsid w:val="00BC1A41"/>
    <w:rsid w:val="00BC267E"/>
    <w:rsid w:val="00BC35B3"/>
    <w:rsid w:val="00BC47B3"/>
    <w:rsid w:val="00BC6134"/>
    <w:rsid w:val="00BC6D8C"/>
    <w:rsid w:val="00BD2A8E"/>
    <w:rsid w:val="00BD370F"/>
    <w:rsid w:val="00BD6C95"/>
    <w:rsid w:val="00BE317A"/>
    <w:rsid w:val="00BE3923"/>
    <w:rsid w:val="00BE469B"/>
    <w:rsid w:val="00BE5D10"/>
    <w:rsid w:val="00BE63D1"/>
    <w:rsid w:val="00BE6F1C"/>
    <w:rsid w:val="00BE722C"/>
    <w:rsid w:val="00BF0012"/>
    <w:rsid w:val="00BF088A"/>
    <w:rsid w:val="00BF1AD3"/>
    <w:rsid w:val="00BF3E32"/>
    <w:rsid w:val="00BF49F5"/>
    <w:rsid w:val="00BF4F66"/>
    <w:rsid w:val="00BF67F3"/>
    <w:rsid w:val="00BF7D59"/>
    <w:rsid w:val="00C01531"/>
    <w:rsid w:val="00C01CF8"/>
    <w:rsid w:val="00C02541"/>
    <w:rsid w:val="00C03546"/>
    <w:rsid w:val="00C03FA9"/>
    <w:rsid w:val="00C047F0"/>
    <w:rsid w:val="00C048E1"/>
    <w:rsid w:val="00C05AC8"/>
    <w:rsid w:val="00C07AA5"/>
    <w:rsid w:val="00C07D7C"/>
    <w:rsid w:val="00C10AF1"/>
    <w:rsid w:val="00C12595"/>
    <w:rsid w:val="00C1539D"/>
    <w:rsid w:val="00C15F0F"/>
    <w:rsid w:val="00C2167A"/>
    <w:rsid w:val="00C221AE"/>
    <w:rsid w:val="00C23D28"/>
    <w:rsid w:val="00C245C9"/>
    <w:rsid w:val="00C24FD9"/>
    <w:rsid w:val="00C25497"/>
    <w:rsid w:val="00C26260"/>
    <w:rsid w:val="00C30AA0"/>
    <w:rsid w:val="00C33C70"/>
    <w:rsid w:val="00C34006"/>
    <w:rsid w:val="00C3496C"/>
    <w:rsid w:val="00C3527F"/>
    <w:rsid w:val="00C35770"/>
    <w:rsid w:val="00C3699B"/>
    <w:rsid w:val="00C36D8E"/>
    <w:rsid w:val="00C41DA1"/>
    <w:rsid w:val="00C41E0D"/>
    <w:rsid w:val="00C42465"/>
    <w:rsid w:val="00C426B1"/>
    <w:rsid w:val="00C4327F"/>
    <w:rsid w:val="00C4375E"/>
    <w:rsid w:val="00C45EDC"/>
    <w:rsid w:val="00C4654C"/>
    <w:rsid w:val="00C514CA"/>
    <w:rsid w:val="00C54438"/>
    <w:rsid w:val="00C54FC2"/>
    <w:rsid w:val="00C564F8"/>
    <w:rsid w:val="00C60E0F"/>
    <w:rsid w:val="00C63CCE"/>
    <w:rsid w:val="00C64F32"/>
    <w:rsid w:val="00C65687"/>
    <w:rsid w:val="00C65C17"/>
    <w:rsid w:val="00C66079"/>
    <w:rsid w:val="00C66160"/>
    <w:rsid w:val="00C707FD"/>
    <w:rsid w:val="00C70879"/>
    <w:rsid w:val="00C721AC"/>
    <w:rsid w:val="00C72377"/>
    <w:rsid w:val="00C72C35"/>
    <w:rsid w:val="00C737F5"/>
    <w:rsid w:val="00C76602"/>
    <w:rsid w:val="00C76D40"/>
    <w:rsid w:val="00C76DB8"/>
    <w:rsid w:val="00C776BD"/>
    <w:rsid w:val="00C77ABE"/>
    <w:rsid w:val="00C77C80"/>
    <w:rsid w:val="00C81FAA"/>
    <w:rsid w:val="00C820D6"/>
    <w:rsid w:val="00C87DF4"/>
    <w:rsid w:val="00C90D6A"/>
    <w:rsid w:val="00C91782"/>
    <w:rsid w:val="00C9246B"/>
    <w:rsid w:val="00C94E4E"/>
    <w:rsid w:val="00C9635D"/>
    <w:rsid w:val="00C96C47"/>
    <w:rsid w:val="00C96CAE"/>
    <w:rsid w:val="00C978F1"/>
    <w:rsid w:val="00CA0ED9"/>
    <w:rsid w:val="00CA109D"/>
    <w:rsid w:val="00CA154C"/>
    <w:rsid w:val="00CA247E"/>
    <w:rsid w:val="00CA30C0"/>
    <w:rsid w:val="00CA31F4"/>
    <w:rsid w:val="00CA3FB9"/>
    <w:rsid w:val="00CA44B4"/>
    <w:rsid w:val="00CA6459"/>
    <w:rsid w:val="00CA7820"/>
    <w:rsid w:val="00CA7A3B"/>
    <w:rsid w:val="00CB0B8F"/>
    <w:rsid w:val="00CB24B4"/>
    <w:rsid w:val="00CB314C"/>
    <w:rsid w:val="00CB3E01"/>
    <w:rsid w:val="00CB765B"/>
    <w:rsid w:val="00CC095A"/>
    <w:rsid w:val="00CC2CA2"/>
    <w:rsid w:val="00CC4176"/>
    <w:rsid w:val="00CC48A5"/>
    <w:rsid w:val="00CC62DA"/>
    <w:rsid w:val="00CC68B5"/>
    <w:rsid w:val="00CC72B6"/>
    <w:rsid w:val="00CD05F9"/>
    <w:rsid w:val="00CD0A29"/>
    <w:rsid w:val="00CD0BD6"/>
    <w:rsid w:val="00CD2ADC"/>
    <w:rsid w:val="00CD35D0"/>
    <w:rsid w:val="00CD44E3"/>
    <w:rsid w:val="00CD5DB8"/>
    <w:rsid w:val="00CD71E8"/>
    <w:rsid w:val="00CE155C"/>
    <w:rsid w:val="00CE2AEA"/>
    <w:rsid w:val="00CE4CC4"/>
    <w:rsid w:val="00CE5405"/>
    <w:rsid w:val="00CE674D"/>
    <w:rsid w:val="00CE7FDE"/>
    <w:rsid w:val="00CF0A8D"/>
    <w:rsid w:val="00CF21C3"/>
    <w:rsid w:val="00CF2939"/>
    <w:rsid w:val="00CF3988"/>
    <w:rsid w:val="00CF4B69"/>
    <w:rsid w:val="00CF6021"/>
    <w:rsid w:val="00D0218D"/>
    <w:rsid w:val="00D03AC2"/>
    <w:rsid w:val="00D03DEB"/>
    <w:rsid w:val="00D03F3E"/>
    <w:rsid w:val="00D042AB"/>
    <w:rsid w:val="00D05E23"/>
    <w:rsid w:val="00D068D2"/>
    <w:rsid w:val="00D06A3C"/>
    <w:rsid w:val="00D10FF9"/>
    <w:rsid w:val="00D127FD"/>
    <w:rsid w:val="00D13C40"/>
    <w:rsid w:val="00D1477C"/>
    <w:rsid w:val="00D14E6B"/>
    <w:rsid w:val="00D15677"/>
    <w:rsid w:val="00D1606E"/>
    <w:rsid w:val="00D16B88"/>
    <w:rsid w:val="00D20820"/>
    <w:rsid w:val="00D21B20"/>
    <w:rsid w:val="00D2234C"/>
    <w:rsid w:val="00D24375"/>
    <w:rsid w:val="00D24584"/>
    <w:rsid w:val="00D25FB5"/>
    <w:rsid w:val="00D267F9"/>
    <w:rsid w:val="00D27CFB"/>
    <w:rsid w:val="00D3116A"/>
    <w:rsid w:val="00D33ECB"/>
    <w:rsid w:val="00D352A6"/>
    <w:rsid w:val="00D377D5"/>
    <w:rsid w:val="00D37DC1"/>
    <w:rsid w:val="00D42E98"/>
    <w:rsid w:val="00D43DFE"/>
    <w:rsid w:val="00D43F8C"/>
    <w:rsid w:val="00D44223"/>
    <w:rsid w:val="00D47AB4"/>
    <w:rsid w:val="00D50017"/>
    <w:rsid w:val="00D511D9"/>
    <w:rsid w:val="00D55899"/>
    <w:rsid w:val="00D56F33"/>
    <w:rsid w:val="00D57BDF"/>
    <w:rsid w:val="00D6069D"/>
    <w:rsid w:val="00D6102D"/>
    <w:rsid w:val="00D61D0F"/>
    <w:rsid w:val="00D62413"/>
    <w:rsid w:val="00D642E0"/>
    <w:rsid w:val="00D70EF1"/>
    <w:rsid w:val="00D718CE"/>
    <w:rsid w:val="00D730A5"/>
    <w:rsid w:val="00D7325C"/>
    <w:rsid w:val="00D743D5"/>
    <w:rsid w:val="00D74BC0"/>
    <w:rsid w:val="00D837C0"/>
    <w:rsid w:val="00D85E47"/>
    <w:rsid w:val="00D867D8"/>
    <w:rsid w:val="00D935B4"/>
    <w:rsid w:val="00D94239"/>
    <w:rsid w:val="00D94264"/>
    <w:rsid w:val="00D94769"/>
    <w:rsid w:val="00D94976"/>
    <w:rsid w:val="00D958EA"/>
    <w:rsid w:val="00D97C7A"/>
    <w:rsid w:val="00DA2529"/>
    <w:rsid w:val="00DA4040"/>
    <w:rsid w:val="00DA5D05"/>
    <w:rsid w:val="00DA6CDE"/>
    <w:rsid w:val="00DB130A"/>
    <w:rsid w:val="00DB130B"/>
    <w:rsid w:val="00DB29C3"/>
    <w:rsid w:val="00DB2B18"/>
    <w:rsid w:val="00DB2EBB"/>
    <w:rsid w:val="00DB476B"/>
    <w:rsid w:val="00DB6569"/>
    <w:rsid w:val="00DB6CEE"/>
    <w:rsid w:val="00DC0FDA"/>
    <w:rsid w:val="00DC10A1"/>
    <w:rsid w:val="00DC2806"/>
    <w:rsid w:val="00DC48BC"/>
    <w:rsid w:val="00DC5A12"/>
    <w:rsid w:val="00DC655F"/>
    <w:rsid w:val="00DC6A0C"/>
    <w:rsid w:val="00DC77B5"/>
    <w:rsid w:val="00DC77C4"/>
    <w:rsid w:val="00DD0B59"/>
    <w:rsid w:val="00DD145C"/>
    <w:rsid w:val="00DD21BD"/>
    <w:rsid w:val="00DD2E62"/>
    <w:rsid w:val="00DD5A78"/>
    <w:rsid w:val="00DD7B5C"/>
    <w:rsid w:val="00DD7EBD"/>
    <w:rsid w:val="00DE0882"/>
    <w:rsid w:val="00DE1DDD"/>
    <w:rsid w:val="00DE5E0C"/>
    <w:rsid w:val="00DE6AA5"/>
    <w:rsid w:val="00DE6B1B"/>
    <w:rsid w:val="00DE6FE9"/>
    <w:rsid w:val="00DF1105"/>
    <w:rsid w:val="00DF62B6"/>
    <w:rsid w:val="00DF6D7E"/>
    <w:rsid w:val="00DF6DA4"/>
    <w:rsid w:val="00DF72BE"/>
    <w:rsid w:val="00E00C31"/>
    <w:rsid w:val="00E00E5D"/>
    <w:rsid w:val="00E013B8"/>
    <w:rsid w:val="00E02A5E"/>
    <w:rsid w:val="00E046B9"/>
    <w:rsid w:val="00E05256"/>
    <w:rsid w:val="00E057C9"/>
    <w:rsid w:val="00E07225"/>
    <w:rsid w:val="00E10024"/>
    <w:rsid w:val="00E10738"/>
    <w:rsid w:val="00E11EB2"/>
    <w:rsid w:val="00E168BB"/>
    <w:rsid w:val="00E17225"/>
    <w:rsid w:val="00E1728B"/>
    <w:rsid w:val="00E178F5"/>
    <w:rsid w:val="00E20E0A"/>
    <w:rsid w:val="00E229A2"/>
    <w:rsid w:val="00E23231"/>
    <w:rsid w:val="00E2323C"/>
    <w:rsid w:val="00E23D6D"/>
    <w:rsid w:val="00E3114F"/>
    <w:rsid w:val="00E33B59"/>
    <w:rsid w:val="00E343EC"/>
    <w:rsid w:val="00E42779"/>
    <w:rsid w:val="00E42CE8"/>
    <w:rsid w:val="00E4361A"/>
    <w:rsid w:val="00E44EA9"/>
    <w:rsid w:val="00E4529A"/>
    <w:rsid w:val="00E502B9"/>
    <w:rsid w:val="00E51AD2"/>
    <w:rsid w:val="00E53307"/>
    <w:rsid w:val="00E5409F"/>
    <w:rsid w:val="00E545F3"/>
    <w:rsid w:val="00E55FD4"/>
    <w:rsid w:val="00E57237"/>
    <w:rsid w:val="00E5735B"/>
    <w:rsid w:val="00E57539"/>
    <w:rsid w:val="00E57BC2"/>
    <w:rsid w:val="00E61411"/>
    <w:rsid w:val="00E6236A"/>
    <w:rsid w:val="00E63412"/>
    <w:rsid w:val="00E64680"/>
    <w:rsid w:val="00E706BF"/>
    <w:rsid w:val="00E706EE"/>
    <w:rsid w:val="00E71D08"/>
    <w:rsid w:val="00E7259E"/>
    <w:rsid w:val="00E72EF8"/>
    <w:rsid w:val="00E73514"/>
    <w:rsid w:val="00E748B7"/>
    <w:rsid w:val="00E75011"/>
    <w:rsid w:val="00E76D1A"/>
    <w:rsid w:val="00E77775"/>
    <w:rsid w:val="00E805FA"/>
    <w:rsid w:val="00E809EC"/>
    <w:rsid w:val="00E839F9"/>
    <w:rsid w:val="00E90157"/>
    <w:rsid w:val="00E90948"/>
    <w:rsid w:val="00E90FF8"/>
    <w:rsid w:val="00E92E83"/>
    <w:rsid w:val="00E94AD8"/>
    <w:rsid w:val="00E95C00"/>
    <w:rsid w:val="00E96752"/>
    <w:rsid w:val="00E9725F"/>
    <w:rsid w:val="00E97419"/>
    <w:rsid w:val="00EA04FB"/>
    <w:rsid w:val="00EA429F"/>
    <w:rsid w:val="00EA6764"/>
    <w:rsid w:val="00EA6961"/>
    <w:rsid w:val="00EA69D9"/>
    <w:rsid w:val="00EB1B46"/>
    <w:rsid w:val="00EB1D73"/>
    <w:rsid w:val="00EB4452"/>
    <w:rsid w:val="00EB4D39"/>
    <w:rsid w:val="00EB6D21"/>
    <w:rsid w:val="00EB7514"/>
    <w:rsid w:val="00EC0FD5"/>
    <w:rsid w:val="00EC2562"/>
    <w:rsid w:val="00EC47F6"/>
    <w:rsid w:val="00EC7E84"/>
    <w:rsid w:val="00EC7EBC"/>
    <w:rsid w:val="00ED17C8"/>
    <w:rsid w:val="00ED42BC"/>
    <w:rsid w:val="00ED59A1"/>
    <w:rsid w:val="00ED6DC0"/>
    <w:rsid w:val="00EE1B9E"/>
    <w:rsid w:val="00EE4044"/>
    <w:rsid w:val="00EE4EB0"/>
    <w:rsid w:val="00EE5C85"/>
    <w:rsid w:val="00EE6488"/>
    <w:rsid w:val="00EE71B7"/>
    <w:rsid w:val="00EE7FAE"/>
    <w:rsid w:val="00EF0919"/>
    <w:rsid w:val="00EF0CFF"/>
    <w:rsid w:val="00EF2852"/>
    <w:rsid w:val="00EF2D02"/>
    <w:rsid w:val="00EF30F0"/>
    <w:rsid w:val="00EF44B1"/>
    <w:rsid w:val="00EF4E65"/>
    <w:rsid w:val="00EF5301"/>
    <w:rsid w:val="00EF78C9"/>
    <w:rsid w:val="00F00689"/>
    <w:rsid w:val="00F00A57"/>
    <w:rsid w:val="00F021FA"/>
    <w:rsid w:val="00F04C77"/>
    <w:rsid w:val="00F07F4D"/>
    <w:rsid w:val="00F137DD"/>
    <w:rsid w:val="00F1592F"/>
    <w:rsid w:val="00F16144"/>
    <w:rsid w:val="00F16BA1"/>
    <w:rsid w:val="00F21448"/>
    <w:rsid w:val="00F218C6"/>
    <w:rsid w:val="00F21A8E"/>
    <w:rsid w:val="00F2279E"/>
    <w:rsid w:val="00F2280C"/>
    <w:rsid w:val="00F22CE9"/>
    <w:rsid w:val="00F23FC7"/>
    <w:rsid w:val="00F251A1"/>
    <w:rsid w:val="00F25B8F"/>
    <w:rsid w:val="00F2704E"/>
    <w:rsid w:val="00F30793"/>
    <w:rsid w:val="00F3193D"/>
    <w:rsid w:val="00F31CEF"/>
    <w:rsid w:val="00F32901"/>
    <w:rsid w:val="00F37A4B"/>
    <w:rsid w:val="00F40B4C"/>
    <w:rsid w:val="00F41B64"/>
    <w:rsid w:val="00F43178"/>
    <w:rsid w:val="00F43499"/>
    <w:rsid w:val="00F45386"/>
    <w:rsid w:val="00F510FB"/>
    <w:rsid w:val="00F516FF"/>
    <w:rsid w:val="00F526D0"/>
    <w:rsid w:val="00F527DC"/>
    <w:rsid w:val="00F5440E"/>
    <w:rsid w:val="00F56AC6"/>
    <w:rsid w:val="00F600E2"/>
    <w:rsid w:val="00F62325"/>
    <w:rsid w:val="00F62E97"/>
    <w:rsid w:val="00F630A8"/>
    <w:rsid w:val="00F63103"/>
    <w:rsid w:val="00F64209"/>
    <w:rsid w:val="00F6546F"/>
    <w:rsid w:val="00F65F35"/>
    <w:rsid w:val="00F6700F"/>
    <w:rsid w:val="00F72525"/>
    <w:rsid w:val="00F72FA7"/>
    <w:rsid w:val="00F74138"/>
    <w:rsid w:val="00F75853"/>
    <w:rsid w:val="00F75906"/>
    <w:rsid w:val="00F76BDD"/>
    <w:rsid w:val="00F76FE5"/>
    <w:rsid w:val="00F7796E"/>
    <w:rsid w:val="00F8067B"/>
    <w:rsid w:val="00F814C4"/>
    <w:rsid w:val="00F83523"/>
    <w:rsid w:val="00F85B34"/>
    <w:rsid w:val="00F85FA9"/>
    <w:rsid w:val="00F872DC"/>
    <w:rsid w:val="00F87C4F"/>
    <w:rsid w:val="00F91BE5"/>
    <w:rsid w:val="00F9210B"/>
    <w:rsid w:val="00F93603"/>
    <w:rsid w:val="00F93BF5"/>
    <w:rsid w:val="00F96273"/>
    <w:rsid w:val="00F96293"/>
    <w:rsid w:val="00F97444"/>
    <w:rsid w:val="00FA18EA"/>
    <w:rsid w:val="00FA3860"/>
    <w:rsid w:val="00FA5E83"/>
    <w:rsid w:val="00FA6BF0"/>
    <w:rsid w:val="00FA6E87"/>
    <w:rsid w:val="00FB18FD"/>
    <w:rsid w:val="00FB1C16"/>
    <w:rsid w:val="00FB33E7"/>
    <w:rsid w:val="00FB3B4B"/>
    <w:rsid w:val="00FB3EF8"/>
    <w:rsid w:val="00FB4EA3"/>
    <w:rsid w:val="00FB70C9"/>
    <w:rsid w:val="00FC0769"/>
    <w:rsid w:val="00FC16AB"/>
    <w:rsid w:val="00FC1868"/>
    <w:rsid w:val="00FC6142"/>
    <w:rsid w:val="00FC648D"/>
    <w:rsid w:val="00FC697A"/>
    <w:rsid w:val="00FC7B3D"/>
    <w:rsid w:val="00FC7BA4"/>
    <w:rsid w:val="00FD025C"/>
    <w:rsid w:val="00FD0836"/>
    <w:rsid w:val="00FD1592"/>
    <w:rsid w:val="00FD2EFD"/>
    <w:rsid w:val="00FD39CB"/>
    <w:rsid w:val="00FD4AF5"/>
    <w:rsid w:val="00FD55EF"/>
    <w:rsid w:val="00FD573B"/>
    <w:rsid w:val="00FD5E40"/>
    <w:rsid w:val="00FD609B"/>
    <w:rsid w:val="00FD625A"/>
    <w:rsid w:val="00FD73DB"/>
    <w:rsid w:val="00FD754C"/>
    <w:rsid w:val="00FE0775"/>
    <w:rsid w:val="00FE37CD"/>
    <w:rsid w:val="00FE4519"/>
    <w:rsid w:val="00FE46F3"/>
    <w:rsid w:val="00FE6866"/>
    <w:rsid w:val="00FE6914"/>
    <w:rsid w:val="00FE779B"/>
    <w:rsid w:val="00FF23BE"/>
    <w:rsid w:val="00FF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9F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CF"/>
    <w:pPr>
      <w:widowControl w:val="0"/>
    </w:pPr>
    <w:rPr>
      <w:snapToGrid w:val="0"/>
      <w:kern w:val="28"/>
      <w:sz w:val="22"/>
    </w:rPr>
  </w:style>
  <w:style w:type="paragraph" w:styleId="Heading1">
    <w:name w:val="heading 1"/>
    <w:basedOn w:val="Normal"/>
    <w:next w:val="ParaNum"/>
    <w:qFormat/>
    <w:rsid w:val="004A14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14CF"/>
    <w:pPr>
      <w:keepNext/>
      <w:numPr>
        <w:ilvl w:val="1"/>
        <w:numId w:val="3"/>
      </w:numPr>
      <w:spacing w:after="120"/>
      <w:outlineLvl w:val="1"/>
    </w:pPr>
    <w:rPr>
      <w:b/>
    </w:rPr>
  </w:style>
  <w:style w:type="paragraph" w:styleId="Heading3">
    <w:name w:val="heading 3"/>
    <w:basedOn w:val="Normal"/>
    <w:next w:val="ParaNum"/>
    <w:qFormat/>
    <w:rsid w:val="004A14CF"/>
    <w:pPr>
      <w:keepNext/>
      <w:numPr>
        <w:ilvl w:val="2"/>
        <w:numId w:val="3"/>
      </w:numPr>
      <w:tabs>
        <w:tab w:val="left" w:pos="2160"/>
      </w:tabs>
      <w:spacing w:after="120"/>
      <w:outlineLvl w:val="2"/>
    </w:pPr>
    <w:rPr>
      <w:b/>
    </w:rPr>
  </w:style>
  <w:style w:type="paragraph" w:styleId="Heading4">
    <w:name w:val="heading 4"/>
    <w:basedOn w:val="Normal"/>
    <w:next w:val="ParaNum"/>
    <w:qFormat/>
    <w:rsid w:val="004A14CF"/>
    <w:pPr>
      <w:keepNext/>
      <w:numPr>
        <w:ilvl w:val="3"/>
        <w:numId w:val="3"/>
      </w:numPr>
      <w:tabs>
        <w:tab w:val="left" w:pos="2880"/>
      </w:tabs>
      <w:spacing w:after="120"/>
      <w:outlineLvl w:val="3"/>
    </w:pPr>
    <w:rPr>
      <w:b/>
    </w:rPr>
  </w:style>
  <w:style w:type="paragraph" w:styleId="Heading5">
    <w:name w:val="heading 5"/>
    <w:basedOn w:val="Normal"/>
    <w:next w:val="ParaNum"/>
    <w:qFormat/>
    <w:rsid w:val="004A14C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A14CF"/>
    <w:pPr>
      <w:numPr>
        <w:ilvl w:val="5"/>
        <w:numId w:val="3"/>
      </w:numPr>
      <w:tabs>
        <w:tab w:val="left" w:pos="4320"/>
      </w:tabs>
      <w:spacing w:after="120"/>
      <w:outlineLvl w:val="5"/>
    </w:pPr>
    <w:rPr>
      <w:b/>
    </w:rPr>
  </w:style>
  <w:style w:type="paragraph" w:styleId="Heading7">
    <w:name w:val="heading 7"/>
    <w:basedOn w:val="Normal"/>
    <w:next w:val="ParaNum"/>
    <w:qFormat/>
    <w:rsid w:val="004A14C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14C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A14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14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4CF"/>
  </w:style>
  <w:style w:type="paragraph" w:customStyle="1" w:styleId="ParaNum">
    <w:name w:val="ParaNum"/>
    <w:basedOn w:val="Normal"/>
    <w:link w:val="ParaNumChar"/>
    <w:rsid w:val="004A14CF"/>
    <w:pPr>
      <w:numPr>
        <w:numId w:val="2"/>
      </w:numPr>
      <w:tabs>
        <w:tab w:val="clear" w:pos="1080"/>
        <w:tab w:val="num" w:pos="1440"/>
      </w:tabs>
      <w:spacing w:after="120"/>
    </w:pPr>
  </w:style>
  <w:style w:type="paragraph" w:styleId="EndnoteText">
    <w:name w:val="endnote text"/>
    <w:basedOn w:val="Normal"/>
    <w:semiHidden/>
    <w:rsid w:val="004A14CF"/>
    <w:rPr>
      <w:sz w:val="20"/>
    </w:rPr>
  </w:style>
  <w:style w:type="character" w:styleId="EndnoteReference">
    <w:name w:val="endnote reference"/>
    <w:semiHidden/>
    <w:rsid w:val="004A14CF"/>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4A14CF"/>
    <w:pPr>
      <w:spacing w:after="120"/>
    </w:pPr>
  </w:style>
  <w:style w:type="character" w:styleId="FootnoteReference">
    <w:name w:val="footnote reference"/>
    <w:aliases w:val="Style 12,(NECG) Footnote Reference,Appel note de bas de p,Style 124,o,fr,Style 3,Style 13,Style 17,FR,Style 4"/>
    <w:rsid w:val="004A14CF"/>
    <w:rPr>
      <w:rFonts w:ascii="Times New Roman" w:hAnsi="Times New Roman"/>
      <w:dstrike w:val="0"/>
      <w:color w:val="auto"/>
      <w:sz w:val="20"/>
      <w:vertAlign w:val="superscript"/>
    </w:rPr>
  </w:style>
  <w:style w:type="paragraph" w:styleId="TOC1">
    <w:name w:val="toc 1"/>
    <w:basedOn w:val="Normal"/>
    <w:next w:val="Normal"/>
    <w:semiHidden/>
    <w:rsid w:val="004A14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14CF"/>
    <w:pPr>
      <w:tabs>
        <w:tab w:val="left" w:pos="720"/>
        <w:tab w:val="right" w:leader="dot" w:pos="9360"/>
      </w:tabs>
      <w:suppressAutoHyphens/>
      <w:ind w:left="720" w:right="720" w:hanging="360"/>
    </w:pPr>
    <w:rPr>
      <w:noProof/>
    </w:rPr>
  </w:style>
  <w:style w:type="paragraph" w:styleId="TOC3">
    <w:name w:val="toc 3"/>
    <w:basedOn w:val="Normal"/>
    <w:next w:val="Normal"/>
    <w:semiHidden/>
    <w:rsid w:val="004A14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14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14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14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14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14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14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14CF"/>
    <w:pPr>
      <w:tabs>
        <w:tab w:val="right" w:pos="9360"/>
      </w:tabs>
      <w:suppressAutoHyphens/>
    </w:pPr>
  </w:style>
  <w:style w:type="character" w:customStyle="1" w:styleId="EquationCaption">
    <w:name w:val="_Equation Caption"/>
    <w:rsid w:val="004A14CF"/>
  </w:style>
  <w:style w:type="paragraph" w:styleId="Header">
    <w:name w:val="header"/>
    <w:basedOn w:val="Normal"/>
    <w:autoRedefine/>
    <w:rsid w:val="004A14CF"/>
    <w:pPr>
      <w:tabs>
        <w:tab w:val="center" w:pos="4680"/>
        <w:tab w:val="right" w:pos="9360"/>
      </w:tabs>
    </w:pPr>
    <w:rPr>
      <w:b/>
    </w:rPr>
  </w:style>
  <w:style w:type="paragraph" w:styleId="Footer">
    <w:name w:val="footer"/>
    <w:basedOn w:val="Normal"/>
    <w:rsid w:val="004A14CF"/>
    <w:pPr>
      <w:tabs>
        <w:tab w:val="center" w:pos="4320"/>
        <w:tab w:val="right" w:pos="8640"/>
      </w:tabs>
    </w:pPr>
  </w:style>
  <w:style w:type="character" w:styleId="PageNumber">
    <w:name w:val="page number"/>
    <w:basedOn w:val="DefaultParagraphFont"/>
    <w:rsid w:val="004A14CF"/>
  </w:style>
  <w:style w:type="paragraph" w:styleId="BlockText">
    <w:name w:val="Block Text"/>
    <w:basedOn w:val="Normal"/>
    <w:rsid w:val="004A14CF"/>
    <w:pPr>
      <w:spacing w:after="240"/>
      <w:ind w:left="1440" w:right="1440"/>
    </w:pPr>
  </w:style>
  <w:style w:type="paragraph" w:customStyle="1" w:styleId="Paratitle">
    <w:name w:val="Para title"/>
    <w:basedOn w:val="Normal"/>
    <w:rsid w:val="004A14CF"/>
    <w:pPr>
      <w:tabs>
        <w:tab w:val="center" w:pos="9270"/>
      </w:tabs>
      <w:spacing w:after="240"/>
    </w:pPr>
    <w:rPr>
      <w:spacing w:val="-2"/>
    </w:rPr>
  </w:style>
  <w:style w:type="paragraph" w:customStyle="1" w:styleId="Bullet">
    <w:name w:val="Bullet"/>
    <w:basedOn w:val="Normal"/>
    <w:rsid w:val="004A14CF"/>
    <w:pPr>
      <w:tabs>
        <w:tab w:val="left" w:pos="2160"/>
      </w:tabs>
      <w:spacing w:after="220"/>
      <w:ind w:left="2160" w:hanging="720"/>
    </w:pPr>
  </w:style>
  <w:style w:type="paragraph" w:customStyle="1" w:styleId="TableFormat">
    <w:name w:val="TableFormat"/>
    <w:basedOn w:val="Bullet"/>
    <w:rsid w:val="004A14CF"/>
    <w:pPr>
      <w:tabs>
        <w:tab w:val="clear" w:pos="2160"/>
        <w:tab w:val="left" w:pos="5040"/>
      </w:tabs>
      <w:ind w:left="5040" w:hanging="3600"/>
    </w:pPr>
  </w:style>
  <w:style w:type="paragraph" w:customStyle="1" w:styleId="TOCTitle">
    <w:name w:val="TOC Title"/>
    <w:basedOn w:val="Normal"/>
    <w:rsid w:val="004A14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14CF"/>
    <w:pPr>
      <w:jc w:val="center"/>
    </w:pPr>
    <w:rPr>
      <w:rFonts w:ascii="Times New Roman Bold" w:hAnsi="Times New Roman Bold"/>
      <w:b/>
      <w:bCs/>
      <w:caps/>
      <w:szCs w:val="22"/>
    </w:rPr>
  </w:style>
  <w:style w:type="character" w:styleId="Hyperlink">
    <w:name w:val="Hyperlink"/>
    <w:rsid w:val="004A14CF"/>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B75C5"/>
  </w:style>
  <w:style w:type="character" w:customStyle="1" w:styleId="ParaNumChar">
    <w:name w:val="ParaNum Char"/>
    <w:link w:val="ParaNum"/>
    <w:rsid w:val="007B75C5"/>
    <w:rPr>
      <w:snapToGrid w:val="0"/>
      <w:kern w:val="28"/>
      <w:sz w:val="22"/>
    </w:rPr>
  </w:style>
  <w:style w:type="character" w:customStyle="1" w:styleId="apple-converted-space">
    <w:name w:val="apple-converted-space"/>
    <w:basedOn w:val="DefaultParagraphFont"/>
    <w:rsid w:val="00F7796E"/>
  </w:style>
  <w:style w:type="character" w:customStyle="1" w:styleId="cosearchterm">
    <w:name w:val="co_searchterm"/>
    <w:basedOn w:val="DefaultParagraphFont"/>
    <w:rsid w:val="00B13094"/>
  </w:style>
  <w:style w:type="paragraph" w:styleId="BalloonText">
    <w:name w:val="Balloon Text"/>
    <w:basedOn w:val="Normal"/>
    <w:link w:val="BalloonTextChar"/>
    <w:rsid w:val="008C5B7D"/>
    <w:rPr>
      <w:rFonts w:ascii="Segoe UI" w:hAnsi="Segoe UI" w:cs="Segoe UI"/>
      <w:sz w:val="18"/>
      <w:szCs w:val="18"/>
    </w:rPr>
  </w:style>
  <w:style w:type="character" w:customStyle="1" w:styleId="BalloonTextChar">
    <w:name w:val="Balloon Text Char"/>
    <w:basedOn w:val="DefaultParagraphFont"/>
    <w:link w:val="BalloonText"/>
    <w:rsid w:val="008C5B7D"/>
    <w:rPr>
      <w:rFonts w:ascii="Segoe UI" w:hAnsi="Segoe UI" w:cs="Segoe UI"/>
      <w:snapToGrid w:val="0"/>
      <w:kern w:val="28"/>
      <w:sz w:val="18"/>
      <w:szCs w:val="18"/>
    </w:rPr>
  </w:style>
  <w:style w:type="character" w:styleId="CommentReference">
    <w:name w:val="annotation reference"/>
    <w:basedOn w:val="DefaultParagraphFont"/>
    <w:rsid w:val="006A5A19"/>
    <w:rPr>
      <w:sz w:val="16"/>
      <w:szCs w:val="16"/>
    </w:rPr>
  </w:style>
  <w:style w:type="paragraph" w:styleId="CommentText">
    <w:name w:val="annotation text"/>
    <w:basedOn w:val="Normal"/>
    <w:link w:val="CommentTextChar"/>
    <w:rsid w:val="006A5A19"/>
    <w:rPr>
      <w:sz w:val="20"/>
    </w:rPr>
  </w:style>
  <w:style w:type="character" w:customStyle="1" w:styleId="CommentTextChar">
    <w:name w:val="Comment Text Char"/>
    <w:basedOn w:val="DefaultParagraphFont"/>
    <w:link w:val="CommentText"/>
    <w:rsid w:val="006A5A19"/>
    <w:rPr>
      <w:snapToGrid w:val="0"/>
      <w:kern w:val="28"/>
    </w:rPr>
  </w:style>
  <w:style w:type="paragraph" w:styleId="CommentSubject">
    <w:name w:val="annotation subject"/>
    <w:basedOn w:val="CommentText"/>
    <w:next w:val="CommentText"/>
    <w:link w:val="CommentSubjectChar"/>
    <w:rsid w:val="006A5A19"/>
    <w:rPr>
      <w:b/>
      <w:bCs/>
    </w:rPr>
  </w:style>
  <w:style w:type="character" w:customStyle="1" w:styleId="CommentSubjectChar">
    <w:name w:val="Comment Subject Char"/>
    <w:basedOn w:val="CommentTextChar"/>
    <w:link w:val="CommentSubject"/>
    <w:rsid w:val="006A5A19"/>
    <w:rPr>
      <w:b/>
      <w:bCs/>
      <w:snapToGrid w:val="0"/>
      <w:kern w:val="28"/>
    </w:rPr>
  </w:style>
  <w:style w:type="paragraph" w:styleId="Revision">
    <w:name w:val="Revision"/>
    <w:hidden/>
    <w:uiPriority w:val="99"/>
    <w:semiHidden/>
    <w:rsid w:val="00856A9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CF"/>
    <w:pPr>
      <w:widowControl w:val="0"/>
    </w:pPr>
    <w:rPr>
      <w:snapToGrid w:val="0"/>
      <w:kern w:val="28"/>
      <w:sz w:val="22"/>
    </w:rPr>
  </w:style>
  <w:style w:type="paragraph" w:styleId="Heading1">
    <w:name w:val="heading 1"/>
    <w:basedOn w:val="Normal"/>
    <w:next w:val="ParaNum"/>
    <w:qFormat/>
    <w:rsid w:val="004A14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14CF"/>
    <w:pPr>
      <w:keepNext/>
      <w:numPr>
        <w:ilvl w:val="1"/>
        <w:numId w:val="3"/>
      </w:numPr>
      <w:spacing w:after="120"/>
      <w:outlineLvl w:val="1"/>
    </w:pPr>
    <w:rPr>
      <w:b/>
    </w:rPr>
  </w:style>
  <w:style w:type="paragraph" w:styleId="Heading3">
    <w:name w:val="heading 3"/>
    <w:basedOn w:val="Normal"/>
    <w:next w:val="ParaNum"/>
    <w:qFormat/>
    <w:rsid w:val="004A14CF"/>
    <w:pPr>
      <w:keepNext/>
      <w:numPr>
        <w:ilvl w:val="2"/>
        <w:numId w:val="3"/>
      </w:numPr>
      <w:tabs>
        <w:tab w:val="left" w:pos="2160"/>
      </w:tabs>
      <w:spacing w:after="120"/>
      <w:outlineLvl w:val="2"/>
    </w:pPr>
    <w:rPr>
      <w:b/>
    </w:rPr>
  </w:style>
  <w:style w:type="paragraph" w:styleId="Heading4">
    <w:name w:val="heading 4"/>
    <w:basedOn w:val="Normal"/>
    <w:next w:val="ParaNum"/>
    <w:qFormat/>
    <w:rsid w:val="004A14CF"/>
    <w:pPr>
      <w:keepNext/>
      <w:numPr>
        <w:ilvl w:val="3"/>
        <w:numId w:val="3"/>
      </w:numPr>
      <w:tabs>
        <w:tab w:val="left" w:pos="2880"/>
      </w:tabs>
      <w:spacing w:after="120"/>
      <w:outlineLvl w:val="3"/>
    </w:pPr>
    <w:rPr>
      <w:b/>
    </w:rPr>
  </w:style>
  <w:style w:type="paragraph" w:styleId="Heading5">
    <w:name w:val="heading 5"/>
    <w:basedOn w:val="Normal"/>
    <w:next w:val="ParaNum"/>
    <w:qFormat/>
    <w:rsid w:val="004A14C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A14CF"/>
    <w:pPr>
      <w:numPr>
        <w:ilvl w:val="5"/>
        <w:numId w:val="3"/>
      </w:numPr>
      <w:tabs>
        <w:tab w:val="left" w:pos="4320"/>
      </w:tabs>
      <w:spacing w:after="120"/>
      <w:outlineLvl w:val="5"/>
    </w:pPr>
    <w:rPr>
      <w:b/>
    </w:rPr>
  </w:style>
  <w:style w:type="paragraph" w:styleId="Heading7">
    <w:name w:val="heading 7"/>
    <w:basedOn w:val="Normal"/>
    <w:next w:val="ParaNum"/>
    <w:qFormat/>
    <w:rsid w:val="004A14C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14C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A14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14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4CF"/>
  </w:style>
  <w:style w:type="paragraph" w:customStyle="1" w:styleId="ParaNum">
    <w:name w:val="ParaNum"/>
    <w:basedOn w:val="Normal"/>
    <w:link w:val="ParaNumChar"/>
    <w:rsid w:val="004A14CF"/>
    <w:pPr>
      <w:numPr>
        <w:numId w:val="2"/>
      </w:numPr>
      <w:tabs>
        <w:tab w:val="clear" w:pos="1080"/>
        <w:tab w:val="num" w:pos="1440"/>
      </w:tabs>
      <w:spacing w:after="120"/>
    </w:pPr>
  </w:style>
  <w:style w:type="paragraph" w:styleId="EndnoteText">
    <w:name w:val="endnote text"/>
    <w:basedOn w:val="Normal"/>
    <w:semiHidden/>
    <w:rsid w:val="004A14CF"/>
    <w:rPr>
      <w:sz w:val="20"/>
    </w:rPr>
  </w:style>
  <w:style w:type="character" w:styleId="EndnoteReference">
    <w:name w:val="endnote reference"/>
    <w:semiHidden/>
    <w:rsid w:val="004A14CF"/>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4A14CF"/>
    <w:pPr>
      <w:spacing w:after="120"/>
    </w:pPr>
  </w:style>
  <w:style w:type="character" w:styleId="FootnoteReference">
    <w:name w:val="footnote reference"/>
    <w:aliases w:val="Style 12,(NECG) Footnote Reference,Appel note de bas de p,Style 124,o,fr,Style 3,Style 13,Style 17,FR,Style 4"/>
    <w:rsid w:val="004A14CF"/>
    <w:rPr>
      <w:rFonts w:ascii="Times New Roman" w:hAnsi="Times New Roman"/>
      <w:dstrike w:val="0"/>
      <w:color w:val="auto"/>
      <w:sz w:val="20"/>
      <w:vertAlign w:val="superscript"/>
    </w:rPr>
  </w:style>
  <w:style w:type="paragraph" w:styleId="TOC1">
    <w:name w:val="toc 1"/>
    <w:basedOn w:val="Normal"/>
    <w:next w:val="Normal"/>
    <w:semiHidden/>
    <w:rsid w:val="004A14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14CF"/>
    <w:pPr>
      <w:tabs>
        <w:tab w:val="left" w:pos="720"/>
        <w:tab w:val="right" w:leader="dot" w:pos="9360"/>
      </w:tabs>
      <w:suppressAutoHyphens/>
      <w:ind w:left="720" w:right="720" w:hanging="360"/>
    </w:pPr>
    <w:rPr>
      <w:noProof/>
    </w:rPr>
  </w:style>
  <w:style w:type="paragraph" w:styleId="TOC3">
    <w:name w:val="toc 3"/>
    <w:basedOn w:val="Normal"/>
    <w:next w:val="Normal"/>
    <w:semiHidden/>
    <w:rsid w:val="004A14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14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14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14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14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14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14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14CF"/>
    <w:pPr>
      <w:tabs>
        <w:tab w:val="right" w:pos="9360"/>
      </w:tabs>
      <w:suppressAutoHyphens/>
    </w:pPr>
  </w:style>
  <w:style w:type="character" w:customStyle="1" w:styleId="EquationCaption">
    <w:name w:val="_Equation Caption"/>
    <w:rsid w:val="004A14CF"/>
  </w:style>
  <w:style w:type="paragraph" w:styleId="Header">
    <w:name w:val="header"/>
    <w:basedOn w:val="Normal"/>
    <w:autoRedefine/>
    <w:rsid w:val="004A14CF"/>
    <w:pPr>
      <w:tabs>
        <w:tab w:val="center" w:pos="4680"/>
        <w:tab w:val="right" w:pos="9360"/>
      </w:tabs>
    </w:pPr>
    <w:rPr>
      <w:b/>
    </w:rPr>
  </w:style>
  <w:style w:type="paragraph" w:styleId="Footer">
    <w:name w:val="footer"/>
    <w:basedOn w:val="Normal"/>
    <w:rsid w:val="004A14CF"/>
    <w:pPr>
      <w:tabs>
        <w:tab w:val="center" w:pos="4320"/>
        <w:tab w:val="right" w:pos="8640"/>
      </w:tabs>
    </w:pPr>
  </w:style>
  <w:style w:type="character" w:styleId="PageNumber">
    <w:name w:val="page number"/>
    <w:basedOn w:val="DefaultParagraphFont"/>
    <w:rsid w:val="004A14CF"/>
  </w:style>
  <w:style w:type="paragraph" w:styleId="BlockText">
    <w:name w:val="Block Text"/>
    <w:basedOn w:val="Normal"/>
    <w:rsid w:val="004A14CF"/>
    <w:pPr>
      <w:spacing w:after="240"/>
      <w:ind w:left="1440" w:right="1440"/>
    </w:pPr>
  </w:style>
  <w:style w:type="paragraph" w:customStyle="1" w:styleId="Paratitle">
    <w:name w:val="Para title"/>
    <w:basedOn w:val="Normal"/>
    <w:rsid w:val="004A14CF"/>
    <w:pPr>
      <w:tabs>
        <w:tab w:val="center" w:pos="9270"/>
      </w:tabs>
      <w:spacing w:after="240"/>
    </w:pPr>
    <w:rPr>
      <w:spacing w:val="-2"/>
    </w:rPr>
  </w:style>
  <w:style w:type="paragraph" w:customStyle="1" w:styleId="Bullet">
    <w:name w:val="Bullet"/>
    <w:basedOn w:val="Normal"/>
    <w:rsid w:val="004A14CF"/>
    <w:pPr>
      <w:tabs>
        <w:tab w:val="left" w:pos="2160"/>
      </w:tabs>
      <w:spacing w:after="220"/>
      <w:ind w:left="2160" w:hanging="720"/>
    </w:pPr>
  </w:style>
  <w:style w:type="paragraph" w:customStyle="1" w:styleId="TableFormat">
    <w:name w:val="TableFormat"/>
    <w:basedOn w:val="Bullet"/>
    <w:rsid w:val="004A14CF"/>
    <w:pPr>
      <w:tabs>
        <w:tab w:val="clear" w:pos="2160"/>
        <w:tab w:val="left" w:pos="5040"/>
      </w:tabs>
      <w:ind w:left="5040" w:hanging="3600"/>
    </w:pPr>
  </w:style>
  <w:style w:type="paragraph" w:customStyle="1" w:styleId="TOCTitle">
    <w:name w:val="TOC Title"/>
    <w:basedOn w:val="Normal"/>
    <w:rsid w:val="004A14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14CF"/>
    <w:pPr>
      <w:jc w:val="center"/>
    </w:pPr>
    <w:rPr>
      <w:rFonts w:ascii="Times New Roman Bold" w:hAnsi="Times New Roman Bold"/>
      <w:b/>
      <w:bCs/>
      <w:caps/>
      <w:szCs w:val="22"/>
    </w:rPr>
  </w:style>
  <w:style w:type="character" w:styleId="Hyperlink">
    <w:name w:val="Hyperlink"/>
    <w:rsid w:val="004A14CF"/>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B75C5"/>
  </w:style>
  <w:style w:type="character" w:customStyle="1" w:styleId="ParaNumChar">
    <w:name w:val="ParaNum Char"/>
    <w:link w:val="ParaNum"/>
    <w:rsid w:val="007B75C5"/>
    <w:rPr>
      <w:snapToGrid w:val="0"/>
      <w:kern w:val="28"/>
      <w:sz w:val="22"/>
    </w:rPr>
  </w:style>
  <w:style w:type="character" w:customStyle="1" w:styleId="apple-converted-space">
    <w:name w:val="apple-converted-space"/>
    <w:basedOn w:val="DefaultParagraphFont"/>
    <w:rsid w:val="00F7796E"/>
  </w:style>
  <w:style w:type="character" w:customStyle="1" w:styleId="cosearchterm">
    <w:name w:val="co_searchterm"/>
    <w:basedOn w:val="DefaultParagraphFont"/>
    <w:rsid w:val="00B13094"/>
  </w:style>
  <w:style w:type="paragraph" w:styleId="BalloonText">
    <w:name w:val="Balloon Text"/>
    <w:basedOn w:val="Normal"/>
    <w:link w:val="BalloonTextChar"/>
    <w:rsid w:val="008C5B7D"/>
    <w:rPr>
      <w:rFonts w:ascii="Segoe UI" w:hAnsi="Segoe UI" w:cs="Segoe UI"/>
      <w:sz w:val="18"/>
      <w:szCs w:val="18"/>
    </w:rPr>
  </w:style>
  <w:style w:type="character" w:customStyle="1" w:styleId="BalloonTextChar">
    <w:name w:val="Balloon Text Char"/>
    <w:basedOn w:val="DefaultParagraphFont"/>
    <w:link w:val="BalloonText"/>
    <w:rsid w:val="008C5B7D"/>
    <w:rPr>
      <w:rFonts w:ascii="Segoe UI" w:hAnsi="Segoe UI" w:cs="Segoe UI"/>
      <w:snapToGrid w:val="0"/>
      <w:kern w:val="28"/>
      <w:sz w:val="18"/>
      <w:szCs w:val="18"/>
    </w:rPr>
  </w:style>
  <w:style w:type="character" w:styleId="CommentReference">
    <w:name w:val="annotation reference"/>
    <w:basedOn w:val="DefaultParagraphFont"/>
    <w:rsid w:val="006A5A19"/>
    <w:rPr>
      <w:sz w:val="16"/>
      <w:szCs w:val="16"/>
    </w:rPr>
  </w:style>
  <w:style w:type="paragraph" w:styleId="CommentText">
    <w:name w:val="annotation text"/>
    <w:basedOn w:val="Normal"/>
    <w:link w:val="CommentTextChar"/>
    <w:rsid w:val="006A5A19"/>
    <w:rPr>
      <w:sz w:val="20"/>
    </w:rPr>
  </w:style>
  <w:style w:type="character" w:customStyle="1" w:styleId="CommentTextChar">
    <w:name w:val="Comment Text Char"/>
    <w:basedOn w:val="DefaultParagraphFont"/>
    <w:link w:val="CommentText"/>
    <w:rsid w:val="006A5A19"/>
    <w:rPr>
      <w:snapToGrid w:val="0"/>
      <w:kern w:val="28"/>
    </w:rPr>
  </w:style>
  <w:style w:type="paragraph" w:styleId="CommentSubject">
    <w:name w:val="annotation subject"/>
    <w:basedOn w:val="CommentText"/>
    <w:next w:val="CommentText"/>
    <w:link w:val="CommentSubjectChar"/>
    <w:rsid w:val="006A5A19"/>
    <w:rPr>
      <w:b/>
      <w:bCs/>
    </w:rPr>
  </w:style>
  <w:style w:type="character" w:customStyle="1" w:styleId="CommentSubjectChar">
    <w:name w:val="Comment Subject Char"/>
    <w:basedOn w:val="CommentTextChar"/>
    <w:link w:val="CommentSubject"/>
    <w:rsid w:val="006A5A19"/>
    <w:rPr>
      <w:b/>
      <w:bCs/>
      <w:snapToGrid w:val="0"/>
      <w:kern w:val="28"/>
    </w:rPr>
  </w:style>
  <w:style w:type="paragraph" w:styleId="Revision">
    <w:name w:val="Revision"/>
    <w:hidden/>
    <w:uiPriority w:val="99"/>
    <w:semiHidden/>
    <w:rsid w:val="00856A9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8242">
      <w:bodyDiv w:val="1"/>
      <w:marLeft w:val="0"/>
      <w:marRight w:val="0"/>
      <w:marTop w:val="0"/>
      <w:marBottom w:val="0"/>
      <w:divBdr>
        <w:top w:val="none" w:sz="0" w:space="0" w:color="auto"/>
        <w:left w:val="none" w:sz="0" w:space="0" w:color="auto"/>
        <w:bottom w:val="none" w:sz="0" w:space="0" w:color="auto"/>
        <w:right w:val="none" w:sz="0" w:space="0" w:color="auto"/>
      </w:divBdr>
      <w:divsChild>
        <w:div w:id="1670020452">
          <w:marLeft w:val="0"/>
          <w:marRight w:val="0"/>
          <w:marTop w:val="240"/>
          <w:marBottom w:val="240"/>
          <w:divBdr>
            <w:top w:val="none" w:sz="0" w:space="0" w:color="auto"/>
            <w:left w:val="none" w:sz="0" w:space="0" w:color="auto"/>
            <w:bottom w:val="none" w:sz="0" w:space="0" w:color="auto"/>
            <w:right w:val="none" w:sz="0" w:space="0" w:color="auto"/>
          </w:divBdr>
        </w:div>
      </w:divsChild>
    </w:div>
    <w:div w:id="629701766">
      <w:bodyDiv w:val="1"/>
      <w:marLeft w:val="0"/>
      <w:marRight w:val="0"/>
      <w:marTop w:val="0"/>
      <w:marBottom w:val="0"/>
      <w:divBdr>
        <w:top w:val="none" w:sz="0" w:space="0" w:color="auto"/>
        <w:left w:val="none" w:sz="0" w:space="0" w:color="auto"/>
        <w:bottom w:val="none" w:sz="0" w:space="0" w:color="auto"/>
        <w:right w:val="none" w:sz="0" w:space="0" w:color="auto"/>
      </w:divBdr>
      <w:divsChild>
        <w:div w:id="202212066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Chatsworth_Nature_Preserve" TargetMode="External"/><Relationship Id="rId2" Type="http://schemas.openxmlformats.org/officeDocument/2006/relationships/hyperlink" Target="http://preservation.lacity.org/commission/designated-historic-cultural-monuments" TargetMode="External"/><Relationship Id="rId1" Type="http://schemas.openxmlformats.org/officeDocument/2006/relationships/hyperlink" Target="https://a.next.westlaw.com/Link/Document/FullText?findType=Y&amp;serNum=1986027631&amp;pubNum=1017&amp;originatingDoc=Ibce1ac5c2c2511dbbb4d83d7c3c3a165&amp;refType=CA&amp;fi=co_pp_sp_1017_1364&amp;originationContext=document&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1581</Words>
  <Characters>8473</Characters>
  <Application>Microsoft Office Word</Application>
  <DocSecurity>0</DocSecurity>
  <Lines>137</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10098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2016-06-23T15:31:00Z</cp:lastPrinted>
  <dcterms:created xsi:type="dcterms:W3CDTF">2016-06-23T16:04:00Z</dcterms:created>
  <dcterms:modified xsi:type="dcterms:W3CDTF">2016-06-23T16:04:00Z</dcterms:modified>
  <cp:category> </cp:category>
  <cp:contentStatus> </cp:contentStatus>
</cp:coreProperties>
</file>