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CAB37" w14:textId="7E1FF2BC" w:rsidR="00A632C3" w:rsidRPr="003C7D89" w:rsidRDefault="006A5A10" w:rsidP="006A5A10">
      <w:pPr>
        <w:widowControl/>
        <w:spacing w:line="259" w:lineRule="auto"/>
        <w:jc w:val="center"/>
        <w:rPr>
          <w:rFonts w:eastAsia="Calibri"/>
          <w:b/>
          <w:snapToGrid/>
          <w:kern w:val="0"/>
          <w:szCs w:val="22"/>
        </w:rPr>
      </w:pPr>
      <w:bookmarkStart w:id="0" w:name="_GoBack"/>
      <w:bookmarkEnd w:id="0"/>
      <w:r>
        <w:rPr>
          <w:rFonts w:eastAsia="Calibri"/>
          <w:b/>
          <w:snapToGrid/>
          <w:kern w:val="0"/>
          <w:szCs w:val="22"/>
        </w:rPr>
        <w:t xml:space="preserve">CONCURRING </w:t>
      </w:r>
      <w:r w:rsidR="00A632C3" w:rsidRPr="003C7D89">
        <w:rPr>
          <w:rFonts w:eastAsia="Calibri"/>
          <w:b/>
          <w:snapToGrid/>
          <w:kern w:val="0"/>
          <w:szCs w:val="22"/>
        </w:rPr>
        <w:t>STATEMENT OF</w:t>
      </w:r>
      <w:r w:rsidR="00A632C3" w:rsidRPr="003C7D89">
        <w:rPr>
          <w:rFonts w:eastAsia="Calibri"/>
          <w:b/>
          <w:snapToGrid/>
          <w:kern w:val="0"/>
          <w:szCs w:val="22"/>
        </w:rPr>
        <w:br/>
        <w:t>C</w:t>
      </w:r>
      <w:r>
        <w:rPr>
          <w:rFonts w:eastAsia="Calibri"/>
          <w:b/>
          <w:snapToGrid/>
          <w:kern w:val="0"/>
          <w:szCs w:val="22"/>
        </w:rPr>
        <w:t>OMMISSIONER JESSICA ROSENWORCEL</w:t>
      </w:r>
    </w:p>
    <w:p w14:paraId="77B12B0D" w14:textId="77777777" w:rsidR="00A632C3" w:rsidRPr="003C7D89" w:rsidRDefault="00A632C3" w:rsidP="00A632C3">
      <w:pPr>
        <w:widowControl/>
        <w:spacing w:line="259" w:lineRule="auto"/>
        <w:jc w:val="center"/>
        <w:rPr>
          <w:rFonts w:eastAsia="Calibri"/>
          <w:b/>
          <w:snapToGrid/>
          <w:kern w:val="0"/>
          <w:szCs w:val="22"/>
        </w:rPr>
      </w:pPr>
    </w:p>
    <w:p w14:paraId="62CD9C43" w14:textId="77777777" w:rsidR="00A632C3" w:rsidRPr="00E01BDF" w:rsidRDefault="00A632C3" w:rsidP="00A632C3">
      <w:pPr>
        <w:rPr>
          <w:b/>
        </w:rPr>
      </w:pPr>
      <w:r w:rsidRPr="00E01BDF">
        <w:rPr>
          <w:b/>
          <w:i/>
        </w:rPr>
        <w:t>Re:  Rules and Regulations Implementing the Telephone Consumer Protection Act of 1991</w:t>
      </w:r>
      <w:r w:rsidRPr="00E01BDF">
        <w:rPr>
          <w:b/>
        </w:rPr>
        <w:t>, CG Docket No. 02-278</w:t>
      </w:r>
    </w:p>
    <w:p w14:paraId="04F0B100" w14:textId="77777777" w:rsidR="00A632C3" w:rsidRPr="008603A4" w:rsidRDefault="00A632C3" w:rsidP="00A632C3">
      <w:pPr>
        <w:widowControl/>
        <w:rPr>
          <w:snapToGrid/>
          <w:color w:val="000000"/>
          <w:kern w:val="0"/>
          <w:szCs w:val="22"/>
        </w:rPr>
      </w:pPr>
    </w:p>
    <w:p w14:paraId="20C30DBE" w14:textId="77777777" w:rsidR="00A632C3" w:rsidRPr="008603A4" w:rsidRDefault="00A632C3" w:rsidP="00A632C3">
      <w:pPr>
        <w:widowControl/>
        <w:ind w:firstLine="720"/>
        <w:rPr>
          <w:snapToGrid/>
          <w:kern w:val="0"/>
          <w:szCs w:val="22"/>
        </w:rPr>
      </w:pPr>
      <w:r w:rsidRPr="008603A4">
        <w:rPr>
          <w:snapToGrid/>
          <w:color w:val="000000"/>
          <w:kern w:val="0"/>
          <w:szCs w:val="22"/>
        </w:rPr>
        <w:t>Consumers are fed up with robocalls.  They are irritated when their phones buzz with services that sound like scams and they are troubled by the difficulty they have distinguishing them from calls about debts honestly owed and services actually rendered.  </w:t>
      </w:r>
    </w:p>
    <w:p w14:paraId="75F2E319" w14:textId="77777777" w:rsidR="00A632C3" w:rsidRPr="008603A4" w:rsidRDefault="00A632C3" w:rsidP="00A632C3">
      <w:pPr>
        <w:widowControl/>
        <w:rPr>
          <w:snapToGrid/>
          <w:kern w:val="0"/>
          <w:szCs w:val="22"/>
        </w:rPr>
      </w:pPr>
      <w:r w:rsidRPr="008603A4">
        <w:rPr>
          <w:snapToGrid/>
          <w:color w:val="000000"/>
          <w:kern w:val="0"/>
          <w:szCs w:val="22"/>
        </w:rPr>
        <w:t> </w:t>
      </w:r>
    </w:p>
    <w:p w14:paraId="01FF3550" w14:textId="77777777" w:rsidR="00A632C3" w:rsidRPr="008603A4" w:rsidRDefault="00A632C3" w:rsidP="00A632C3">
      <w:pPr>
        <w:widowControl/>
        <w:ind w:firstLine="720"/>
        <w:rPr>
          <w:snapToGrid/>
          <w:kern w:val="0"/>
          <w:szCs w:val="22"/>
        </w:rPr>
      </w:pPr>
      <w:r w:rsidRPr="008603A4">
        <w:rPr>
          <w:snapToGrid/>
          <w:color w:val="000000"/>
          <w:kern w:val="0"/>
          <w:szCs w:val="22"/>
        </w:rPr>
        <w:t>Twenty-five years ago Congress passed the Telephone Consumer Protection Act to help consumers get the calls they need and avoid the ones they do not.  But this law is showing its age.  The years since its passage have brought a mix of technological advances and legal developments, creating new complications for both callers and those who receive calls.  It’s no wonder that robocalls represent the single largest category of complaints the Commission receives.  </w:t>
      </w:r>
    </w:p>
    <w:p w14:paraId="36AD0206" w14:textId="77777777" w:rsidR="00A632C3" w:rsidRPr="008603A4" w:rsidRDefault="00A632C3" w:rsidP="00A632C3">
      <w:pPr>
        <w:widowControl/>
        <w:rPr>
          <w:snapToGrid/>
          <w:kern w:val="0"/>
          <w:szCs w:val="22"/>
        </w:rPr>
      </w:pPr>
      <w:r w:rsidRPr="008603A4">
        <w:rPr>
          <w:snapToGrid/>
          <w:color w:val="000000"/>
          <w:kern w:val="0"/>
          <w:szCs w:val="22"/>
        </w:rPr>
        <w:t> </w:t>
      </w:r>
    </w:p>
    <w:p w14:paraId="2633705B" w14:textId="77777777" w:rsidR="00A632C3" w:rsidRPr="008603A4" w:rsidRDefault="00A632C3" w:rsidP="00A632C3">
      <w:pPr>
        <w:widowControl/>
        <w:ind w:firstLine="720"/>
        <w:rPr>
          <w:snapToGrid/>
          <w:kern w:val="0"/>
          <w:szCs w:val="22"/>
        </w:rPr>
      </w:pPr>
      <w:r w:rsidRPr="008603A4">
        <w:rPr>
          <w:snapToGrid/>
          <w:color w:val="000000"/>
          <w:kern w:val="0"/>
          <w:szCs w:val="22"/>
        </w:rPr>
        <w:t>As a result, last year, in the Bipartisan Budget Act, Congress updated the Telephone Consumer Protection Act.  Specifically, Congress authorized the Commission to develop policies for calls made to wireless phones for the collection of government debt. </w:t>
      </w:r>
    </w:p>
    <w:p w14:paraId="1E6A2B2D" w14:textId="77777777" w:rsidR="00A632C3" w:rsidRPr="008603A4" w:rsidRDefault="00A632C3" w:rsidP="00A632C3">
      <w:pPr>
        <w:widowControl/>
        <w:rPr>
          <w:snapToGrid/>
          <w:kern w:val="0"/>
          <w:szCs w:val="22"/>
        </w:rPr>
      </w:pPr>
      <w:r w:rsidRPr="008603A4">
        <w:rPr>
          <w:snapToGrid/>
          <w:color w:val="000000"/>
          <w:kern w:val="0"/>
          <w:szCs w:val="22"/>
        </w:rPr>
        <w:t> </w:t>
      </w:r>
    </w:p>
    <w:p w14:paraId="6A072833" w14:textId="77777777" w:rsidR="00A632C3" w:rsidRPr="008603A4" w:rsidRDefault="00A632C3" w:rsidP="00A632C3">
      <w:pPr>
        <w:widowControl/>
        <w:ind w:firstLine="720"/>
        <w:rPr>
          <w:snapToGrid/>
          <w:kern w:val="0"/>
          <w:szCs w:val="22"/>
        </w:rPr>
      </w:pPr>
      <w:r w:rsidRPr="008603A4">
        <w:rPr>
          <w:snapToGrid/>
          <w:color w:val="000000"/>
          <w:kern w:val="0"/>
          <w:szCs w:val="22"/>
        </w:rPr>
        <w:t>Today’s order responds to this charge by adopting reasonable limits on government debt collection calls, making clear that consumers have a right to stop robocalls, and clarifying who may be called to seek repayment of an outstanding debt obligation.  This is a fair effort to respond to our legislative charge under the law.  </w:t>
      </w:r>
    </w:p>
    <w:p w14:paraId="2F9E17FA" w14:textId="77777777" w:rsidR="00A632C3" w:rsidRPr="008603A4" w:rsidRDefault="00A632C3" w:rsidP="00A632C3">
      <w:pPr>
        <w:widowControl/>
        <w:rPr>
          <w:snapToGrid/>
          <w:kern w:val="0"/>
          <w:szCs w:val="22"/>
        </w:rPr>
      </w:pPr>
      <w:r w:rsidRPr="008603A4">
        <w:rPr>
          <w:snapToGrid/>
          <w:color w:val="000000"/>
          <w:kern w:val="0"/>
          <w:szCs w:val="22"/>
        </w:rPr>
        <w:t> </w:t>
      </w:r>
    </w:p>
    <w:p w14:paraId="5F0A976D" w14:textId="77777777" w:rsidR="00A632C3" w:rsidRPr="008603A4" w:rsidRDefault="00A632C3" w:rsidP="00A632C3">
      <w:pPr>
        <w:widowControl/>
        <w:ind w:firstLine="720"/>
        <w:rPr>
          <w:snapToGrid/>
          <w:kern w:val="0"/>
          <w:szCs w:val="22"/>
        </w:rPr>
      </w:pPr>
      <w:r w:rsidRPr="008603A4">
        <w:rPr>
          <w:snapToGrid/>
          <w:color w:val="000000"/>
          <w:kern w:val="0"/>
          <w:szCs w:val="22"/>
        </w:rPr>
        <w:t>Nonetheless, I concur because this result—however warranted by the Bipartisan Budget Act—creates a legal landscape that is undeniably messy.  It is difficult to reconcile the result here with the Commission’s recent </w:t>
      </w:r>
      <w:r w:rsidRPr="008603A4">
        <w:rPr>
          <w:i/>
          <w:iCs/>
          <w:snapToGrid/>
          <w:color w:val="000000"/>
          <w:kern w:val="0"/>
          <w:szCs w:val="22"/>
        </w:rPr>
        <w:t>Broadnet</w:t>
      </w:r>
      <w:r w:rsidRPr="008603A4">
        <w:rPr>
          <w:snapToGrid/>
          <w:color w:val="000000"/>
          <w:kern w:val="0"/>
          <w:szCs w:val="22"/>
        </w:rPr>
        <w:t> Declaratory Ruling which finds that the federal government and its agents are not “persons” under the Telephone Consumer Protection Act and hence fall outside of the Act’s reach.  It may be harder still to harmonize both decisions with the Supreme Court’s opinion in </w:t>
      </w:r>
      <w:r w:rsidRPr="008603A4">
        <w:rPr>
          <w:i/>
          <w:iCs/>
          <w:snapToGrid/>
          <w:color w:val="000000"/>
          <w:kern w:val="0"/>
          <w:szCs w:val="22"/>
        </w:rPr>
        <w:t>Campbell-Ewald v. Gomez</w:t>
      </w:r>
      <w:r w:rsidRPr="008603A4">
        <w:rPr>
          <w:snapToGrid/>
          <w:color w:val="000000"/>
          <w:kern w:val="0"/>
          <w:szCs w:val="22"/>
        </w:rPr>
        <w:t>, which holds that no derivative immunity exists under the Telephone Consumer Protection Act when a contractor of the federal government acts outside of the scope of its authority.  Simply put, the legal calisthenics required to navigate this series of decisions are exhausting.  Moreover, the result for consumers is uneven.  It may unfortunately yield more, rather than fewer robocalls—and if it does, consumers will be justifiably angry.     </w:t>
      </w:r>
    </w:p>
    <w:p w14:paraId="346026FC" w14:textId="77777777" w:rsidR="00A632C3" w:rsidRDefault="00A632C3" w:rsidP="00A632C3"/>
    <w:p w14:paraId="30F678CD" w14:textId="77777777" w:rsidR="002C00E8" w:rsidRPr="00A632C3" w:rsidRDefault="002C00E8" w:rsidP="00A632C3"/>
    <w:sectPr w:rsidR="002C00E8" w:rsidRPr="00A632C3" w:rsidSect="00E078D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6D0E5" w14:textId="77777777" w:rsidR="006F54A4" w:rsidRDefault="006F54A4">
      <w:pPr>
        <w:spacing w:line="20" w:lineRule="exact"/>
      </w:pPr>
    </w:p>
  </w:endnote>
  <w:endnote w:type="continuationSeparator" w:id="0">
    <w:p w14:paraId="51372231" w14:textId="77777777" w:rsidR="006F54A4" w:rsidRDefault="006F54A4">
      <w:r>
        <w:t xml:space="preserve"> </w:t>
      </w:r>
    </w:p>
  </w:endnote>
  <w:endnote w:type="continuationNotice" w:id="1">
    <w:p w14:paraId="47DFD2D9" w14:textId="77777777" w:rsidR="006F54A4" w:rsidRDefault="006F54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84FB" w14:textId="77777777" w:rsidR="006F54A4" w:rsidRDefault="006F54A4" w:rsidP="0055614C">
    <w:pPr>
      <w:pStyle w:val="Footer"/>
      <w:framePr w:wrap="around" w:vAnchor="text" w:hAnchor="margin" w:xAlign="center" w:y="1"/>
    </w:pPr>
    <w:r>
      <w:fldChar w:fldCharType="begin"/>
    </w:r>
    <w:r>
      <w:instrText xml:space="preserve">PAGE  </w:instrText>
    </w:r>
    <w:r>
      <w:fldChar w:fldCharType="end"/>
    </w:r>
  </w:p>
  <w:p w14:paraId="73394F5F" w14:textId="77777777" w:rsidR="006F54A4" w:rsidRDefault="006F5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6102" w14:textId="77777777" w:rsidR="006F54A4" w:rsidRDefault="006F54A4" w:rsidP="0055614C">
    <w:pPr>
      <w:pStyle w:val="Footer"/>
      <w:framePr w:wrap="around" w:vAnchor="text" w:hAnchor="margin" w:xAlign="center" w:y="1"/>
    </w:pPr>
    <w:r>
      <w:fldChar w:fldCharType="begin"/>
    </w:r>
    <w:r>
      <w:instrText xml:space="preserve">PAGE  </w:instrText>
    </w:r>
    <w:r>
      <w:fldChar w:fldCharType="separate"/>
    </w:r>
    <w:r w:rsidR="0024283F">
      <w:rPr>
        <w:noProof/>
      </w:rPr>
      <w:t>18</w:t>
    </w:r>
    <w:r>
      <w:fldChar w:fldCharType="end"/>
    </w:r>
  </w:p>
  <w:p w14:paraId="2EDE47D8" w14:textId="77777777" w:rsidR="006F54A4" w:rsidRDefault="006F54A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A88D" w14:textId="77777777" w:rsidR="006F54A4" w:rsidRDefault="006F54A4" w:rsidP="00E078D6">
    <w:pPr>
      <w:pStyle w:val="Footer"/>
      <w:jc w:val="center"/>
    </w:pPr>
    <w:r>
      <w:rPr>
        <w:rStyle w:val="PageNumber"/>
      </w:rPr>
      <w:fldChar w:fldCharType="begin"/>
    </w:r>
    <w:r>
      <w:rPr>
        <w:rStyle w:val="PageNumber"/>
      </w:rPr>
      <w:instrText xml:space="preserve"> PAGE </w:instrText>
    </w:r>
    <w:r>
      <w:rPr>
        <w:rStyle w:val="PageNumber"/>
      </w:rPr>
      <w:fldChar w:fldCharType="separate"/>
    </w:r>
    <w:r w:rsidR="0029123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73052" w14:textId="77777777" w:rsidR="006F54A4" w:rsidRDefault="006F54A4">
      <w:r>
        <w:separator/>
      </w:r>
    </w:p>
  </w:footnote>
  <w:footnote w:type="continuationSeparator" w:id="0">
    <w:p w14:paraId="0555D991" w14:textId="77777777" w:rsidR="006F54A4" w:rsidRDefault="006F54A4" w:rsidP="00C721AC">
      <w:pPr>
        <w:spacing w:before="120"/>
        <w:rPr>
          <w:sz w:val="20"/>
        </w:rPr>
      </w:pPr>
      <w:r>
        <w:rPr>
          <w:sz w:val="20"/>
        </w:rPr>
        <w:t xml:space="preserve">(Continued from previous page)  </w:t>
      </w:r>
      <w:r>
        <w:rPr>
          <w:sz w:val="20"/>
        </w:rPr>
        <w:separator/>
      </w:r>
    </w:p>
  </w:footnote>
  <w:footnote w:type="continuationNotice" w:id="1">
    <w:p w14:paraId="0E4DF7C4" w14:textId="77777777" w:rsidR="006F54A4" w:rsidRDefault="006F54A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2C1B" w14:textId="77777777" w:rsidR="00280A0C" w:rsidRDefault="00280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FA9A" w14:textId="77777777" w:rsidR="006F54A4" w:rsidRDefault="006F54A4" w:rsidP="00810B6F">
    <w:pPr>
      <w:pStyle w:val="Header"/>
      <w:rPr>
        <w:b w:val="0"/>
      </w:rPr>
    </w:pPr>
    <w:r>
      <w:tab/>
      <w:t>Federal Communications Commission</w:t>
    </w:r>
    <w:r>
      <w:tab/>
      <w:t>FCC</w:t>
    </w:r>
    <w:r w:rsidRPr="00770E69">
      <w:t xml:space="preserve"> 1</w:t>
    </w:r>
    <w:r>
      <w:t>6</w:t>
    </w:r>
    <w:r w:rsidRPr="00770E69">
      <w:t>-</w:t>
    </w:r>
    <w:r>
      <w:t>99</w:t>
    </w:r>
  </w:p>
  <w:p w14:paraId="35B2C69B" w14:textId="77777777" w:rsidR="006F54A4" w:rsidRDefault="0029123B">
    <w:pPr>
      <w:tabs>
        <w:tab w:val="left" w:pos="-720"/>
      </w:tabs>
      <w:suppressAutoHyphens/>
      <w:spacing w:line="19" w:lineRule="exact"/>
      <w:rPr>
        <w:spacing w:val="-2"/>
      </w:rPr>
    </w:pPr>
    <w:r>
      <w:rPr>
        <w:noProof/>
      </w:rPr>
      <w:pict w14:anchorId="7366EC76">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2679E7ED" w14:textId="77777777" w:rsidR="006F54A4" w:rsidRDefault="006F54A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BB2E" w14:textId="77777777" w:rsidR="006F54A4" w:rsidRDefault="0029123B" w:rsidP="00810B6F">
    <w:pPr>
      <w:pStyle w:val="Header"/>
      <w:rPr>
        <w:b w:val="0"/>
      </w:rPr>
    </w:pPr>
    <w:r>
      <w:rPr>
        <w:noProof/>
      </w:rPr>
      <w:pict w14:anchorId="4E8A703E">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6F54A4">
      <w:tab/>
      <w:t>Federal Communications Commission</w:t>
    </w:r>
    <w:r w:rsidR="006F54A4">
      <w:tab/>
      <w:t>FCC</w:t>
    </w:r>
    <w:r w:rsidR="006F54A4" w:rsidRPr="00770E69">
      <w:t xml:space="preserve"> 1</w:t>
    </w:r>
    <w:r w:rsidR="006F54A4">
      <w:t>6</w:t>
    </w:r>
    <w:r w:rsidR="006F54A4" w:rsidRPr="00770E69">
      <w:t>-</w:t>
    </w:r>
    <w:r w:rsidR="006F54A4">
      <w:t>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B1107F"/>
    <w:multiLevelType w:val="hybridMultilevel"/>
    <w:tmpl w:val="21C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6664E"/>
    <w:multiLevelType w:val="hybridMultilevel"/>
    <w:tmpl w:val="39F2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154FC5"/>
    <w:multiLevelType w:val="multilevel"/>
    <w:tmpl w:val="30ACB930"/>
    <w:styleLink w:val="Style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Calibri" w:hAnsi="Calibri" w:cs="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30C7747"/>
    <w:multiLevelType w:val="hybridMultilevel"/>
    <w:tmpl w:val="4C408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8"/>
  </w:num>
  <w:num w:numId="5">
    <w:abstractNumId w:val="4"/>
  </w:num>
  <w:num w:numId="6">
    <w:abstractNumId w:val="0"/>
  </w:num>
  <w:num w:numId="7">
    <w:abstractNumId w:val="6"/>
  </w:num>
  <w:num w:numId="8">
    <w:abstractNumId w:val="1"/>
  </w:num>
  <w:num w:numId="9">
    <w:abstractNumId w:val="9"/>
    <w:lvlOverride w:ilvl="0">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2C3"/>
    <w:rsid w:val="00036039"/>
    <w:rsid w:val="00037F90"/>
    <w:rsid w:val="000875BF"/>
    <w:rsid w:val="00096D8C"/>
    <w:rsid w:val="000C0B65"/>
    <w:rsid w:val="000E05FE"/>
    <w:rsid w:val="000E3D42"/>
    <w:rsid w:val="00122BD5"/>
    <w:rsid w:val="00133F79"/>
    <w:rsid w:val="00175D63"/>
    <w:rsid w:val="00194A66"/>
    <w:rsid w:val="001D6BCF"/>
    <w:rsid w:val="001E01CA"/>
    <w:rsid w:val="0024283F"/>
    <w:rsid w:val="00256E0E"/>
    <w:rsid w:val="00275CF5"/>
    <w:rsid w:val="00280A0C"/>
    <w:rsid w:val="0028301F"/>
    <w:rsid w:val="00285017"/>
    <w:rsid w:val="0029123B"/>
    <w:rsid w:val="002A2D2E"/>
    <w:rsid w:val="002B3397"/>
    <w:rsid w:val="002C00E8"/>
    <w:rsid w:val="002D3B55"/>
    <w:rsid w:val="00343749"/>
    <w:rsid w:val="003660ED"/>
    <w:rsid w:val="003B0550"/>
    <w:rsid w:val="003B694F"/>
    <w:rsid w:val="003C7D89"/>
    <w:rsid w:val="003D0CA5"/>
    <w:rsid w:val="003F171C"/>
    <w:rsid w:val="00412FC5"/>
    <w:rsid w:val="00422276"/>
    <w:rsid w:val="004242F1"/>
    <w:rsid w:val="00440AA1"/>
    <w:rsid w:val="00445A00"/>
    <w:rsid w:val="00451B0F"/>
    <w:rsid w:val="004C2EE3"/>
    <w:rsid w:val="004E4A22"/>
    <w:rsid w:val="00511968"/>
    <w:rsid w:val="0055614C"/>
    <w:rsid w:val="00570876"/>
    <w:rsid w:val="005E14C2"/>
    <w:rsid w:val="0060419B"/>
    <w:rsid w:val="00607BA5"/>
    <w:rsid w:val="0061180A"/>
    <w:rsid w:val="00626EB6"/>
    <w:rsid w:val="00655D03"/>
    <w:rsid w:val="00683388"/>
    <w:rsid w:val="00683F84"/>
    <w:rsid w:val="006A5A10"/>
    <w:rsid w:val="006A6A81"/>
    <w:rsid w:val="006F54A4"/>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77842"/>
    <w:rsid w:val="009F76DB"/>
    <w:rsid w:val="00A32C3B"/>
    <w:rsid w:val="00A45F4F"/>
    <w:rsid w:val="00A575C9"/>
    <w:rsid w:val="00A600A9"/>
    <w:rsid w:val="00A632C3"/>
    <w:rsid w:val="00A76D8E"/>
    <w:rsid w:val="00AA5297"/>
    <w:rsid w:val="00AA55B7"/>
    <w:rsid w:val="00AA5B9E"/>
    <w:rsid w:val="00AB2407"/>
    <w:rsid w:val="00AB53DF"/>
    <w:rsid w:val="00B07E5C"/>
    <w:rsid w:val="00B32B01"/>
    <w:rsid w:val="00B811F7"/>
    <w:rsid w:val="00BA5DC6"/>
    <w:rsid w:val="00BA6196"/>
    <w:rsid w:val="00BC6D8C"/>
    <w:rsid w:val="00C34006"/>
    <w:rsid w:val="00C426B1"/>
    <w:rsid w:val="00C66160"/>
    <w:rsid w:val="00C66317"/>
    <w:rsid w:val="00C721AC"/>
    <w:rsid w:val="00C77341"/>
    <w:rsid w:val="00C90D6A"/>
    <w:rsid w:val="00CA247E"/>
    <w:rsid w:val="00CA636D"/>
    <w:rsid w:val="00CC72B6"/>
    <w:rsid w:val="00D0218D"/>
    <w:rsid w:val="00D25FB5"/>
    <w:rsid w:val="00D44223"/>
    <w:rsid w:val="00DA2529"/>
    <w:rsid w:val="00DB130A"/>
    <w:rsid w:val="00DB2EBB"/>
    <w:rsid w:val="00DC10A1"/>
    <w:rsid w:val="00DC655F"/>
    <w:rsid w:val="00DD0B59"/>
    <w:rsid w:val="00DD7EBD"/>
    <w:rsid w:val="00DF62B6"/>
    <w:rsid w:val="00E07225"/>
    <w:rsid w:val="00E078D6"/>
    <w:rsid w:val="00E5409F"/>
    <w:rsid w:val="00E83F4D"/>
    <w:rsid w:val="00EE6488"/>
    <w:rsid w:val="00F021FA"/>
    <w:rsid w:val="00F62E97"/>
    <w:rsid w:val="00F64209"/>
    <w:rsid w:val="00F93BF5"/>
    <w:rsid w:val="00FB2B4E"/>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96D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2C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2 Char,Footnote Text Char1 Char Char,Footnote Text Char Char Char Char,Footnote Text Char1 Char Char Char Char1,Footnote Text Char Char Char Char Char Char1,Footnote Text Char Char2 Char Char,fn,fn Ch"/>
    <w:link w:val="FootnoteTextChar"/>
    <w:rsid w:val="000E3D42"/>
    <w:pPr>
      <w:spacing w:after="120"/>
    </w:pPr>
  </w:style>
  <w:style w:type="character" w:styleId="FootnoteReference">
    <w:name w:val="footnote reference"/>
    <w:aliases w:val="Appel note de bas de p,Style 12,(NECG) Footnote Reference,Style 124,o,fr,Style 3,Style 13,FR,Style 6,Style 17,Footnote Reference/,Style 7,Style 4"/>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A632C3"/>
    <w:rPr>
      <w:rFonts w:ascii="Times New Roman Bold" w:hAnsi="Times New Roman Bold"/>
      <w:b/>
      <w:caps/>
      <w:snapToGrid w:val="0"/>
      <w:kern w:val="28"/>
      <w:sz w:val="22"/>
    </w:rPr>
  </w:style>
  <w:style w:type="character" w:customStyle="1" w:styleId="Heading2Char">
    <w:name w:val="Heading 2 Char"/>
    <w:link w:val="Heading2"/>
    <w:rsid w:val="00A632C3"/>
    <w:rPr>
      <w:b/>
      <w:snapToGrid w:val="0"/>
      <w:kern w:val="28"/>
      <w:sz w:val="22"/>
    </w:rPr>
  </w:style>
  <w:style w:type="character" w:customStyle="1" w:styleId="Heading3Char">
    <w:name w:val="Heading 3 Char"/>
    <w:link w:val="Heading3"/>
    <w:rsid w:val="00A632C3"/>
    <w:rPr>
      <w:b/>
      <w:snapToGrid w:val="0"/>
      <w:kern w:val="28"/>
      <w:sz w:val="22"/>
    </w:rPr>
  </w:style>
  <w:style w:type="character" w:customStyle="1" w:styleId="Heading4Char">
    <w:name w:val="Heading 4 Char"/>
    <w:link w:val="Heading4"/>
    <w:rsid w:val="00A632C3"/>
    <w:rPr>
      <w:b/>
      <w:snapToGrid w:val="0"/>
      <w:kern w:val="28"/>
      <w:sz w:val="22"/>
    </w:rPr>
  </w:style>
  <w:style w:type="character" w:customStyle="1" w:styleId="Heading5Char">
    <w:name w:val="Heading 5 Char"/>
    <w:link w:val="Heading5"/>
    <w:rsid w:val="00A632C3"/>
    <w:rPr>
      <w:b/>
      <w:snapToGrid w:val="0"/>
      <w:kern w:val="28"/>
      <w:sz w:val="22"/>
    </w:rPr>
  </w:style>
  <w:style w:type="character" w:customStyle="1" w:styleId="Heading6Char">
    <w:name w:val="Heading 6 Char"/>
    <w:aliases w:val="h6 Char"/>
    <w:link w:val="Heading6"/>
    <w:rsid w:val="00A632C3"/>
    <w:rPr>
      <w:b/>
      <w:snapToGrid w:val="0"/>
      <w:kern w:val="28"/>
      <w:sz w:val="22"/>
    </w:rPr>
  </w:style>
  <w:style w:type="character" w:customStyle="1" w:styleId="Heading7Char">
    <w:name w:val="Heading 7 Char"/>
    <w:link w:val="Heading7"/>
    <w:rsid w:val="00A632C3"/>
    <w:rPr>
      <w:b/>
      <w:snapToGrid w:val="0"/>
      <w:kern w:val="28"/>
      <w:sz w:val="22"/>
    </w:rPr>
  </w:style>
  <w:style w:type="character" w:customStyle="1" w:styleId="Heading8Char">
    <w:name w:val="Heading 8 Char"/>
    <w:link w:val="Heading8"/>
    <w:rsid w:val="00A632C3"/>
    <w:rPr>
      <w:b/>
      <w:snapToGrid w:val="0"/>
      <w:kern w:val="28"/>
      <w:sz w:val="22"/>
    </w:rPr>
  </w:style>
  <w:style w:type="character" w:customStyle="1" w:styleId="Heading9Char">
    <w:name w:val="Heading 9 Char"/>
    <w:aliases w:val="Topic Char,table Char,t Char,9 Char,Heading 9.table Char,Titre 9 Char"/>
    <w:link w:val="Heading9"/>
    <w:rsid w:val="00A632C3"/>
    <w:rPr>
      <w:b/>
      <w:snapToGrid w:val="0"/>
      <w:kern w:val="28"/>
      <w:sz w:val="22"/>
    </w:rPr>
  </w:style>
  <w:style w:type="character" w:customStyle="1" w:styleId="EndnoteTextChar">
    <w:name w:val="Endnote Text Char"/>
    <w:link w:val="EndnoteText"/>
    <w:semiHidden/>
    <w:rsid w:val="00A632C3"/>
    <w:rPr>
      <w:snapToGrid w:val="0"/>
      <w:kern w:val="28"/>
    </w:r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link w:val="FootnoteText"/>
    <w:rsid w:val="00A632C3"/>
  </w:style>
  <w:style w:type="character" w:customStyle="1" w:styleId="HeaderChar">
    <w:name w:val="Header Char"/>
    <w:link w:val="Header"/>
    <w:rsid w:val="00A632C3"/>
    <w:rPr>
      <w:b/>
      <w:snapToGrid w:val="0"/>
      <w:kern w:val="28"/>
      <w:sz w:val="22"/>
    </w:rPr>
  </w:style>
  <w:style w:type="character" w:customStyle="1" w:styleId="FooterChar">
    <w:name w:val="Footer Char"/>
    <w:link w:val="Footer"/>
    <w:rsid w:val="00A632C3"/>
    <w:rPr>
      <w:snapToGrid w:val="0"/>
      <w:kern w:val="28"/>
      <w:sz w:val="22"/>
    </w:rPr>
  </w:style>
  <w:style w:type="character" w:customStyle="1" w:styleId="ParaNumChar1">
    <w:name w:val="ParaNum Char1"/>
    <w:link w:val="ParaNum"/>
    <w:locked/>
    <w:rsid w:val="00A632C3"/>
    <w:rPr>
      <w:snapToGrid w:val="0"/>
      <w:kern w:val="28"/>
      <w:sz w:val="22"/>
    </w:rPr>
  </w:style>
  <w:style w:type="paragraph" w:styleId="BalloonText">
    <w:name w:val="Balloon Text"/>
    <w:basedOn w:val="Normal"/>
    <w:link w:val="BalloonTextChar"/>
    <w:rsid w:val="00A632C3"/>
    <w:rPr>
      <w:rFonts w:ascii="Tahoma" w:hAnsi="Tahoma" w:cs="Tahoma"/>
      <w:snapToGrid/>
      <w:sz w:val="16"/>
      <w:szCs w:val="16"/>
    </w:rPr>
  </w:style>
  <w:style w:type="character" w:customStyle="1" w:styleId="BalloonTextChar">
    <w:name w:val="Balloon Text Char"/>
    <w:basedOn w:val="DefaultParagraphFont"/>
    <w:link w:val="BalloonText"/>
    <w:rsid w:val="00A632C3"/>
    <w:rPr>
      <w:rFonts w:ascii="Tahoma" w:hAnsi="Tahoma" w:cs="Tahoma"/>
      <w:kern w:val="28"/>
      <w:sz w:val="16"/>
      <w:szCs w:val="16"/>
    </w:rPr>
  </w:style>
  <w:style w:type="character" w:styleId="CommentReference">
    <w:name w:val="annotation reference"/>
    <w:uiPriority w:val="99"/>
    <w:rsid w:val="00A632C3"/>
    <w:rPr>
      <w:sz w:val="16"/>
      <w:szCs w:val="16"/>
    </w:rPr>
  </w:style>
  <w:style w:type="paragraph" w:styleId="CommentText">
    <w:name w:val="annotation text"/>
    <w:basedOn w:val="Normal"/>
    <w:link w:val="CommentTextChar"/>
    <w:uiPriority w:val="99"/>
    <w:rsid w:val="00A632C3"/>
    <w:rPr>
      <w:sz w:val="20"/>
    </w:rPr>
  </w:style>
  <w:style w:type="character" w:customStyle="1" w:styleId="CommentTextChar">
    <w:name w:val="Comment Text Char"/>
    <w:basedOn w:val="DefaultParagraphFont"/>
    <w:link w:val="CommentText"/>
    <w:uiPriority w:val="99"/>
    <w:rsid w:val="00A632C3"/>
    <w:rPr>
      <w:snapToGrid w:val="0"/>
      <w:kern w:val="28"/>
    </w:rPr>
  </w:style>
  <w:style w:type="paragraph" w:styleId="CommentSubject">
    <w:name w:val="annotation subject"/>
    <w:basedOn w:val="CommentText"/>
    <w:next w:val="CommentText"/>
    <w:link w:val="CommentSubjectChar"/>
    <w:rsid w:val="00A632C3"/>
    <w:rPr>
      <w:b/>
      <w:bCs/>
    </w:rPr>
  </w:style>
  <w:style w:type="character" w:customStyle="1" w:styleId="CommentSubjectChar">
    <w:name w:val="Comment Subject Char"/>
    <w:basedOn w:val="CommentTextChar"/>
    <w:link w:val="CommentSubject"/>
    <w:rsid w:val="00A632C3"/>
    <w:rPr>
      <w:b/>
      <w:bCs/>
      <w:snapToGrid w:val="0"/>
      <w:kern w:val="28"/>
    </w:rPr>
  </w:style>
  <w:style w:type="character" w:styleId="FollowedHyperlink">
    <w:name w:val="FollowedHyperlink"/>
    <w:rsid w:val="00A632C3"/>
    <w:rPr>
      <w:color w:val="800080"/>
      <w:u w:val="single"/>
    </w:rPr>
  </w:style>
  <w:style w:type="character" w:customStyle="1" w:styleId="emphi1">
    <w:name w:val="emphi1"/>
    <w:rsid w:val="00A632C3"/>
    <w:rPr>
      <w:i/>
      <w:iCs/>
    </w:rPr>
  </w:style>
  <w:style w:type="character" w:customStyle="1" w:styleId="StyleFootnoteReferenceStyle13Style12NECGFootnoteReferenc">
    <w:name w:val="Style Footnote ReferenceStyle 13Style 12(NECG) Footnote Referenc..."/>
    <w:rsid w:val="00A632C3"/>
    <w:rPr>
      <w:rFonts w:ascii="Times New Roman" w:hAnsi="Times New Roman"/>
      <w:dstrike w:val="0"/>
      <w:color w:val="auto"/>
      <w:sz w:val="20"/>
      <w:vertAlign w:val="superscript"/>
    </w:rPr>
  </w:style>
  <w:style w:type="character" w:customStyle="1" w:styleId="Footnote">
    <w:name w:val="Footnote"/>
    <w:rsid w:val="00A632C3"/>
  </w:style>
  <w:style w:type="character" w:customStyle="1" w:styleId="FootnoteTextCharChar2">
    <w:name w:val="Footnote Text Char Char2"/>
    <w:semiHidden/>
    <w:locked/>
    <w:rsid w:val="00A632C3"/>
    <w:rPr>
      <w:snapToGrid w:val="0"/>
      <w:kern w:val="28"/>
      <w:lang w:val="en-US" w:eastAsia="en-US"/>
    </w:rPr>
  </w:style>
  <w:style w:type="character" w:customStyle="1" w:styleId="Heading2CharChar2">
    <w:name w:val="Heading 2 Char Char2"/>
    <w:rsid w:val="00A632C3"/>
    <w:rPr>
      <w:b/>
      <w:snapToGrid w:val="0"/>
      <w:kern w:val="28"/>
      <w:sz w:val="24"/>
      <w:lang w:val="en-US" w:eastAsia="en-US"/>
    </w:rPr>
  </w:style>
  <w:style w:type="paragraph" w:styleId="NormalWeb">
    <w:name w:val="Normal (Web)"/>
    <w:basedOn w:val="Normal"/>
    <w:rsid w:val="00A632C3"/>
    <w:pPr>
      <w:spacing w:before="100" w:beforeAutospacing="1" w:after="100" w:afterAutospacing="1"/>
    </w:pPr>
    <w:rPr>
      <w:snapToGrid/>
      <w:sz w:val="24"/>
      <w:szCs w:val="24"/>
    </w:rPr>
  </w:style>
  <w:style w:type="character" w:customStyle="1" w:styleId="FootnoteTextChar1Char1">
    <w:name w:val="Footnote Text Char1 Char1"/>
    <w:aliases w:val="Footnote Text Char3 Char1 Char,Footnote Text Char1 Char1 Char Char,Footnote Text Char3 Char1 Char Char Char1,Footnote Text Char1 Char1 Char Char1 Char Char,Footnote Text Char2 Char Char1 Char1 Char Char Char1,ALTS FOOTNOTE Char"/>
    <w:rsid w:val="00A632C3"/>
    <w:rPr>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632C3"/>
    <w:rPr>
      <w:lang w:val="en-US" w:eastAsia="en-US" w:bidi="ar-SA"/>
    </w:rPr>
  </w:style>
  <w:style w:type="paragraph" w:styleId="ListParagraph">
    <w:name w:val="List Paragraph"/>
    <w:basedOn w:val="Normal"/>
    <w:uiPriority w:val="34"/>
    <w:qFormat/>
    <w:rsid w:val="00A632C3"/>
    <w:pPr>
      <w:spacing w:after="200" w:line="276" w:lineRule="auto"/>
      <w:ind w:left="720"/>
    </w:pPr>
    <w:rPr>
      <w:rFonts w:ascii="Calibri" w:eastAsia="Calibri" w:hAnsi="Calibri" w:cs="Calibri"/>
      <w:snapToGrid/>
    </w:rPr>
  </w:style>
  <w:style w:type="numbering" w:customStyle="1" w:styleId="Style1">
    <w:name w:val="Style1"/>
    <w:rsid w:val="00A632C3"/>
    <w:pPr>
      <w:numPr>
        <w:numId w:val="7"/>
      </w:numPr>
    </w:pPr>
  </w:style>
  <w:style w:type="character" w:customStyle="1" w:styleId="reference-text">
    <w:name w:val="reference-text"/>
    <w:rsid w:val="00A632C3"/>
  </w:style>
  <w:style w:type="character" w:customStyle="1" w:styleId="emphi">
    <w:name w:val="emphi"/>
    <w:rsid w:val="00A632C3"/>
  </w:style>
  <w:style w:type="paragraph" w:styleId="Revision">
    <w:name w:val="Revision"/>
    <w:hidden/>
    <w:uiPriority w:val="71"/>
    <w:rsid w:val="00A632C3"/>
    <w:rPr>
      <w:snapToGrid w:val="0"/>
      <w:kern w:val="28"/>
      <w:sz w:val="22"/>
    </w:rPr>
  </w:style>
  <w:style w:type="paragraph" w:customStyle="1" w:styleId="Default">
    <w:name w:val="Default"/>
    <w:rsid w:val="00A632C3"/>
    <w:pPr>
      <w:widowControl w:val="0"/>
      <w:autoSpaceDE w:val="0"/>
      <w:autoSpaceDN w:val="0"/>
      <w:adjustRightInd w:val="0"/>
    </w:pPr>
    <w:rPr>
      <w:color w:val="000000"/>
      <w:sz w:val="24"/>
      <w:szCs w:val="24"/>
    </w:rPr>
  </w:style>
  <w:style w:type="character" w:styleId="Emphasis">
    <w:name w:val="Emphasis"/>
    <w:uiPriority w:val="20"/>
    <w:qFormat/>
    <w:rsid w:val="00A632C3"/>
    <w:rPr>
      <w:i/>
      <w:iCs/>
    </w:rPr>
  </w:style>
  <w:style w:type="character" w:customStyle="1" w:styleId="cosearchterm7">
    <w:name w:val="co_searchterm7"/>
    <w:rsid w:val="00A632C3"/>
    <w:rPr>
      <w:b/>
      <w:bCs/>
      <w:color w:val="252525"/>
    </w:rPr>
  </w:style>
  <w:style w:type="character" w:customStyle="1" w:styleId="ParaNumCharChar1">
    <w:name w:val="ParaNum Char Char1"/>
    <w:locked/>
    <w:rsid w:val="00A632C3"/>
    <w:rPr>
      <w:snapToGrid w:val="0"/>
      <w:kern w:val="28"/>
      <w:sz w:val="22"/>
    </w:rPr>
  </w:style>
  <w:style w:type="paragraph" w:styleId="TOCHeading">
    <w:name w:val="TOC Heading"/>
    <w:basedOn w:val="Heading1"/>
    <w:next w:val="Normal"/>
    <w:uiPriority w:val="39"/>
    <w:unhideWhenUsed/>
    <w:qFormat/>
    <w:rsid w:val="00A632C3"/>
    <w:pPr>
      <w:keepLines/>
      <w:widowControl/>
      <w:numPr>
        <w:numId w:val="0"/>
      </w:numPr>
      <w:tabs>
        <w:tab w:val="left" w:pos="720"/>
      </w:tabs>
      <w:suppressAutoHyphens w:val="0"/>
      <w:spacing w:before="240" w:after="0" w:line="259" w:lineRule="auto"/>
      <w:outlineLvl w:val="9"/>
    </w:pPr>
    <w:rPr>
      <w:rFonts w:ascii="Calibri" w:eastAsia="MS Gothic" w:hAnsi="Calibri"/>
      <w:b w:val="0"/>
      <w:caps w:val="0"/>
      <w:snapToGrid/>
      <w:color w:val="365F91"/>
      <w:kern w:val="0"/>
      <w:sz w:val="32"/>
      <w:szCs w:val="32"/>
    </w:rPr>
  </w:style>
  <w:style w:type="character" w:customStyle="1" w:styleId="apple-converted-space">
    <w:name w:val="apple-converted-space"/>
    <w:rsid w:val="00AA5297"/>
  </w:style>
  <w:style w:type="character" w:customStyle="1" w:styleId="cosearchwithinterm">
    <w:name w:val="co_searchwithinterm"/>
    <w:rsid w:val="00AA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aNum">
    <w:name w:val="Styl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372</Words>
  <Characters>2037</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2016-08-11T14:15:00Z</dcterms:created>
  <dcterms:modified xsi:type="dcterms:W3CDTF">2016-08-11T14:15:00Z</dcterms:modified>
  <cp:category> </cp:category>
  <cp:contentStatus> </cp:contentStatus>
</cp:coreProperties>
</file>