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2F401B" w14:textId="77777777" w:rsidR="00BB714A" w:rsidRPr="003D114D" w:rsidRDefault="00BB714A" w:rsidP="00BB714A">
      <w:pPr>
        <w:widowControl/>
        <w:jc w:val="center"/>
        <w:rPr>
          <w:b/>
          <w:szCs w:val="22"/>
        </w:rPr>
      </w:pPr>
      <w:bookmarkStart w:id="0" w:name="_GoBack"/>
      <w:bookmarkEnd w:id="0"/>
      <w:r w:rsidRPr="003D114D">
        <w:rPr>
          <w:b/>
          <w:szCs w:val="22"/>
        </w:rPr>
        <w:t>Before the</w:t>
      </w:r>
    </w:p>
    <w:p w14:paraId="0BBAF0C0" w14:textId="77777777" w:rsidR="00BB714A" w:rsidRPr="003D114D" w:rsidRDefault="00BB714A" w:rsidP="00BB714A">
      <w:pPr>
        <w:widowControl/>
        <w:jc w:val="center"/>
        <w:rPr>
          <w:b/>
          <w:szCs w:val="22"/>
        </w:rPr>
      </w:pPr>
      <w:r w:rsidRPr="003D114D">
        <w:rPr>
          <w:b/>
          <w:szCs w:val="22"/>
        </w:rPr>
        <w:t>Federal Communications Commission</w:t>
      </w:r>
    </w:p>
    <w:p w14:paraId="1DB2BE48" w14:textId="77777777" w:rsidR="00BB714A" w:rsidRPr="003D114D" w:rsidRDefault="00BB714A" w:rsidP="00BB714A">
      <w:pPr>
        <w:widowControl/>
        <w:jc w:val="center"/>
        <w:rPr>
          <w:b/>
          <w:szCs w:val="22"/>
        </w:rPr>
      </w:pPr>
      <w:r w:rsidRPr="003D114D">
        <w:rPr>
          <w:b/>
          <w:szCs w:val="22"/>
        </w:rPr>
        <w:t>Washington, D.C. 20554</w:t>
      </w:r>
    </w:p>
    <w:p w14:paraId="6D3AA366" w14:textId="77777777" w:rsidR="00BB714A" w:rsidRPr="003D114D" w:rsidRDefault="00BB714A" w:rsidP="00BB714A">
      <w:pPr>
        <w:widowControl/>
        <w:rPr>
          <w:szCs w:val="22"/>
        </w:rPr>
      </w:pPr>
    </w:p>
    <w:tbl>
      <w:tblPr>
        <w:tblW w:w="0" w:type="auto"/>
        <w:tblLayout w:type="fixed"/>
        <w:tblLook w:val="0000" w:firstRow="0" w:lastRow="0" w:firstColumn="0" w:lastColumn="0" w:noHBand="0" w:noVBand="0"/>
      </w:tblPr>
      <w:tblGrid>
        <w:gridCol w:w="4698"/>
        <w:gridCol w:w="720"/>
        <w:gridCol w:w="4230"/>
      </w:tblGrid>
      <w:tr w:rsidR="00BB714A" w:rsidRPr="003D114D" w14:paraId="4274DA76" w14:textId="77777777" w:rsidTr="000226F1">
        <w:tc>
          <w:tcPr>
            <w:tcW w:w="4698" w:type="dxa"/>
          </w:tcPr>
          <w:p w14:paraId="7D9B78B0" w14:textId="77777777" w:rsidR="00BB714A" w:rsidRPr="003D114D" w:rsidRDefault="00BB714A" w:rsidP="000226F1">
            <w:pPr>
              <w:widowControl/>
              <w:ind w:right="-18"/>
              <w:rPr>
                <w:szCs w:val="22"/>
              </w:rPr>
            </w:pPr>
            <w:r w:rsidRPr="003D114D">
              <w:rPr>
                <w:szCs w:val="22"/>
              </w:rPr>
              <w:t>In the Matter of</w:t>
            </w:r>
          </w:p>
          <w:p w14:paraId="5071E2DC" w14:textId="77777777" w:rsidR="00BB714A" w:rsidRPr="003D114D" w:rsidRDefault="00BB714A" w:rsidP="000226F1">
            <w:pPr>
              <w:widowControl/>
              <w:ind w:right="-18"/>
              <w:rPr>
                <w:szCs w:val="22"/>
              </w:rPr>
            </w:pPr>
          </w:p>
          <w:p w14:paraId="3C18F38E" w14:textId="101F7549" w:rsidR="00BB714A" w:rsidRPr="003D114D" w:rsidRDefault="00D85B79" w:rsidP="000226F1">
            <w:pPr>
              <w:widowControl/>
              <w:ind w:right="-18"/>
              <w:rPr>
                <w:szCs w:val="22"/>
              </w:rPr>
            </w:pPr>
            <w:r>
              <w:rPr>
                <w:szCs w:val="22"/>
              </w:rPr>
              <w:t>Andrew Becker</w:t>
            </w:r>
          </w:p>
          <w:p w14:paraId="24445C10" w14:textId="77777777" w:rsidR="00BB714A" w:rsidRPr="003D114D" w:rsidRDefault="00BB714A" w:rsidP="000226F1">
            <w:pPr>
              <w:widowControl/>
              <w:ind w:right="-18"/>
              <w:rPr>
                <w:szCs w:val="22"/>
              </w:rPr>
            </w:pPr>
          </w:p>
          <w:p w14:paraId="6D8CA49B" w14:textId="77777777" w:rsidR="00BB714A" w:rsidRPr="003D114D" w:rsidRDefault="00BB714A" w:rsidP="000226F1">
            <w:pPr>
              <w:widowControl/>
              <w:rPr>
                <w:szCs w:val="22"/>
              </w:rPr>
            </w:pPr>
            <w:r w:rsidRPr="003D114D">
              <w:rPr>
                <w:szCs w:val="22"/>
              </w:rPr>
              <w:t>On Request for Inspection of Records</w:t>
            </w:r>
          </w:p>
          <w:p w14:paraId="4793C37F" w14:textId="77777777" w:rsidR="00BB714A" w:rsidRPr="003D114D" w:rsidRDefault="00BB714A" w:rsidP="000226F1">
            <w:pPr>
              <w:widowControl/>
              <w:ind w:right="-18"/>
              <w:rPr>
                <w:szCs w:val="22"/>
              </w:rPr>
            </w:pPr>
          </w:p>
        </w:tc>
        <w:tc>
          <w:tcPr>
            <w:tcW w:w="720" w:type="dxa"/>
          </w:tcPr>
          <w:p w14:paraId="0ABFBC47" w14:textId="77777777" w:rsidR="00BB714A" w:rsidRPr="003D114D" w:rsidRDefault="00BB714A" w:rsidP="000226F1">
            <w:pPr>
              <w:widowControl/>
              <w:rPr>
                <w:b/>
                <w:szCs w:val="22"/>
              </w:rPr>
            </w:pPr>
            <w:r w:rsidRPr="003D114D">
              <w:rPr>
                <w:b/>
                <w:szCs w:val="22"/>
              </w:rPr>
              <w:t>)</w:t>
            </w:r>
          </w:p>
          <w:p w14:paraId="78A69ACC" w14:textId="77777777" w:rsidR="00BB714A" w:rsidRPr="003D114D" w:rsidRDefault="00BB714A" w:rsidP="000226F1">
            <w:pPr>
              <w:widowControl/>
              <w:rPr>
                <w:b/>
                <w:szCs w:val="22"/>
              </w:rPr>
            </w:pPr>
            <w:r w:rsidRPr="003D114D">
              <w:rPr>
                <w:b/>
                <w:szCs w:val="22"/>
              </w:rPr>
              <w:t>)</w:t>
            </w:r>
          </w:p>
          <w:p w14:paraId="2A8D8E5B" w14:textId="77777777" w:rsidR="00BB714A" w:rsidRPr="003D114D" w:rsidRDefault="00BB714A" w:rsidP="000226F1">
            <w:pPr>
              <w:widowControl/>
              <w:rPr>
                <w:b/>
                <w:szCs w:val="22"/>
              </w:rPr>
            </w:pPr>
            <w:r w:rsidRPr="003D114D">
              <w:rPr>
                <w:b/>
                <w:szCs w:val="22"/>
              </w:rPr>
              <w:t>)</w:t>
            </w:r>
          </w:p>
          <w:p w14:paraId="139AF17C" w14:textId="77777777" w:rsidR="00BB714A" w:rsidRPr="003D114D" w:rsidRDefault="00BB714A" w:rsidP="000226F1">
            <w:pPr>
              <w:widowControl/>
              <w:rPr>
                <w:b/>
                <w:szCs w:val="22"/>
              </w:rPr>
            </w:pPr>
            <w:r w:rsidRPr="003D114D">
              <w:rPr>
                <w:b/>
                <w:szCs w:val="22"/>
              </w:rPr>
              <w:t>)</w:t>
            </w:r>
          </w:p>
          <w:p w14:paraId="3A2ECCE8" w14:textId="77777777" w:rsidR="00BB714A" w:rsidRPr="003D114D" w:rsidRDefault="00BB714A" w:rsidP="000226F1">
            <w:pPr>
              <w:widowControl/>
              <w:rPr>
                <w:b/>
                <w:szCs w:val="22"/>
              </w:rPr>
            </w:pPr>
            <w:r w:rsidRPr="003D114D">
              <w:rPr>
                <w:b/>
                <w:szCs w:val="22"/>
              </w:rPr>
              <w:t>)</w:t>
            </w:r>
          </w:p>
          <w:p w14:paraId="3077B63A" w14:textId="77777777" w:rsidR="00BB714A" w:rsidRPr="003D114D" w:rsidRDefault="00BB714A" w:rsidP="000226F1">
            <w:pPr>
              <w:widowControl/>
              <w:rPr>
                <w:b/>
                <w:szCs w:val="22"/>
              </w:rPr>
            </w:pPr>
          </w:p>
        </w:tc>
        <w:tc>
          <w:tcPr>
            <w:tcW w:w="4230" w:type="dxa"/>
          </w:tcPr>
          <w:p w14:paraId="7B968FA8" w14:textId="77777777" w:rsidR="00BB714A" w:rsidRPr="003D114D" w:rsidRDefault="00BB714A" w:rsidP="000226F1">
            <w:pPr>
              <w:widowControl/>
              <w:rPr>
                <w:szCs w:val="22"/>
              </w:rPr>
            </w:pPr>
          </w:p>
          <w:p w14:paraId="5A120FE6" w14:textId="77777777" w:rsidR="00BB714A" w:rsidRPr="003D114D" w:rsidRDefault="00BB714A" w:rsidP="000226F1">
            <w:pPr>
              <w:widowControl/>
              <w:rPr>
                <w:szCs w:val="22"/>
              </w:rPr>
            </w:pPr>
          </w:p>
          <w:p w14:paraId="01F8CBBE" w14:textId="4F45501D" w:rsidR="00BB714A" w:rsidRDefault="00BB714A" w:rsidP="000226F1">
            <w:pPr>
              <w:widowControl/>
              <w:rPr>
                <w:szCs w:val="22"/>
              </w:rPr>
            </w:pPr>
            <w:r w:rsidRPr="003D114D">
              <w:rPr>
                <w:szCs w:val="22"/>
              </w:rPr>
              <w:t xml:space="preserve">FOIA Control No. </w:t>
            </w:r>
            <w:r>
              <w:rPr>
                <w:szCs w:val="22"/>
              </w:rPr>
              <w:t>201</w:t>
            </w:r>
            <w:r w:rsidR="00D85B79">
              <w:rPr>
                <w:szCs w:val="22"/>
              </w:rPr>
              <w:t>6-289</w:t>
            </w:r>
            <w:r w:rsidRPr="003D114D">
              <w:rPr>
                <w:szCs w:val="22"/>
              </w:rPr>
              <w:t xml:space="preserve"> </w:t>
            </w:r>
          </w:p>
          <w:p w14:paraId="21E32DD7" w14:textId="77777777" w:rsidR="00D85B79" w:rsidRDefault="00D85B79" w:rsidP="000226F1">
            <w:pPr>
              <w:widowControl/>
              <w:rPr>
                <w:szCs w:val="22"/>
              </w:rPr>
            </w:pPr>
          </w:p>
          <w:p w14:paraId="23624D0D" w14:textId="0D32AB31" w:rsidR="00D85B79" w:rsidRPr="003D114D" w:rsidRDefault="00D85B79" w:rsidP="000226F1">
            <w:pPr>
              <w:widowControl/>
              <w:rPr>
                <w:szCs w:val="22"/>
              </w:rPr>
            </w:pPr>
            <w:r>
              <w:rPr>
                <w:szCs w:val="22"/>
              </w:rPr>
              <w:t>FOIA Control No. 2016-661</w:t>
            </w:r>
          </w:p>
          <w:p w14:paraId="40ACDBB1" w14:textId="77777777" w:rsidR="00BB714A" w:rsidRPr="003D114D" w:rsidRDefault="00BB714A" w:rsidP="000226F1">
            <w:pPr>
              <w:widowControl/>
              <w:rPr>
                <w:szCs w:val="22"/>
              </w:rPr>
            </w:pPr>
          </w:p>
        </w:tc>
      </w:tr>
    </w:tbl>
    <w:p w14:paraId="17EDC473" w14:textId="77777777" w:rsidR="00BB714A" w:rsidRPr="003D114D" w:rsidRDefault="00BB714A" w:rsidP="00BB714A">
      <w:pPr>
        <w:widowControl/>
        <w:rPr>
          <w:szCs w:val="22"/>
        </w:rPr>
      </w:pPr>
    </w:p>
    <w:p w14:paraId="1796329E" w14:textId="77777777" w:rsidR="00BB714A" w:rsidRPr="003D114D" w:rsidRDefault="00BB714A" w:rsidP="00BB714A">
      <w:pPr>
        <w:widowControl/>
        <w:jc w:val="center"/>
        <w:rPr>
          <w:b/>
          <w:szCs w:val="22"/>
        </w:rPr>
      </w:pPr>
      <w:r w:rsidRPr="003D114D">
        <w:rPr>
          <w:b/>
          <w:spacing w:val="-2"/>
          <w:szCs w:val="22"/>
        </w:rPr>
        <w:t>MEMORANDUM OPINION AND ORDER</w:t>
      </w:r>
    </w:p>
    <w:p w14:paraId="78208BC5" w14:textId="77777777" w:rsidR="00BB714A" w:rsidRPr="003D114D" w:rsidRDefault="00BB714A" w:rsidP="00BB714A">
      <w:pPr>
        <w:widowControl/>
        <w:rPr>
          <w:szCs w:val="22"/>
        </w:rPr>
      </w:pPr>
    </w:p>
    <w:p w14:paraId="139F037F" w14:textId="516042A9" w:rsidR="00BB714A" w:rsidRPr="003D114D" w:rsidRDefault="00BB714A" w:rsidP="00BB714A">
      <w:pPr>
        <w:widowControl/>
        <w:tabs>
          <w:tab w:val="right" w:pos="9360"/>
        </w:tabs>
        <w:rPr>
          <w:b/>
          <w:szCs w:val="22"/>
        </w:rPr>
      </w:pPr>
      <w:r w:rsidRPr="003D114D">
        <w:rPr>
          <w:b/>
          <w:szCs w:val="22"/>
        </w:rPr>
        <w:t xml:space="preserve">Adopted:  </w:t>
      </w:r>
      <w:r w:rsidR="00B274C1">
        <w:rPr>
          <w:b/>
          <w:szCs w:val="22"/>
        </w:rPr>
        <w:t>August 10, 2017</w:t>
      </w:r>
      <w:r w:rsidRPr="003D114D">
        <w:rPr>
          <w:b/>
          <w:szCs w:val="22"/>
        </w:rPr>
        <w:tab/>
        <w:t xml:space="preserve">Released:  </w:t>
      </w:r>
      <w:r w:rsidR="00B274C1">
        <w:rPr>
          <w:b/>
          <w:szCs w:val="22"/>
        </w:rPr>
        <w:t>August 10, 2017</w:t>
      </w:r>
    </w:p>
    <w:p w14:paraId="5655ED96" w14:textId="77777777" w:rsidR="00BB714A" w:rsidRPr="003D114D" w:rsidRDefault="00BB714A" w:rsidP="00BB714A">
      <w:pPr>
        <w:widowControl/>
        <w:tabs>
          <w:tab w:val="left" w:pos="5760"/>
        </w:tabs>
        <w:rPr>
          <w:b/>
          <w:szCs w:val="22"/>
        </w:rPr>
      </w:pPr>
    </w:p>
    <w:p w14:paraId="39887427" w14:textId="77777777" w:rsidR="00BB714A" w:rsidRPr="003D114D" w:rsidRDefault="00BB714A" w:rsidP="00BB714A">
      <w:pPr>
        <w:widowControl/>
        <w:rPr>
          <w:szCs w:val="22"/>
        </w:rPr>
      </w:pPr>
      <w:r w:rsidRPr="003D114D">
        <w:rPr>
          <w:szCs w:val="22"/>
        </w:rPr>
        <w:t>By the Commission:</w:t>
      </w:r>
    </w:p>
    <w:p w14:paraId="42DCBBC8" w14:textId="77777777" w:rsidR="00BB714A" w:rsidRPr="003D114D" w:rsidRDefault="00BB714A" w:rsidP="00BB714A">
      <w:pPr>
        <w:widowControl/>
        <w:tabs>
          <w:tab w:val="left" w:pos="5760"/>
        </w:tabs>
        <w:rPr>
          <w:szCs w:val="22"/>
        </w:rPr>
      </w:pPr>
    </w:p>
    <w:p w14:paraId="291CC9AA" w14:textId="36990DDC" w:rsidR="00BB714A" w:rsidRDefault="00E04324" w:rsidP="00A153D2">
      <w:pPr>
        <w:pStyle w:val="ParaNum"/>
        <w:widowControl/>
        <w:numPr>
          <w:ilvl w:val="0"/>
          <w:numId w:val="2"/>
        </w:numPr>
        <w:tabs>
          <w:tab w:val="clear" w:pos="1080"/>
          <w:tab w:val="num" w:pos="1440"/>
        </w:tabs>
        <w:rPr>
          <w:szCs w:val="22"/>
        </w:rPr>
      </w:pPr>
      <w:r>
        <w:rPr>
          <w:szCs w:val="22"/>
        </w:rPr>
        <w:t xml:space="preserve">By this </w:t>
      </w:r>
      <w:r w:rsidRPr="00A153D2">
        <w:t>Order</w:t>
      </w:r>
      <w:r>
        <w:rPr>
          <w:szCs w:val="22"/>
        </w:rPr>
        <w:t xml:space="preserve"> we deny two </w:t>
      </w:r>
      <w:r w:rsidR="00BB714A" w:rsidRPr="003D114D">
        <w:rPr>
          <w:szCs w:val="22"/>
        </w:rPr>
        <w:t>Application</w:t>
      </w:r>
      <w:r>
        <w:rPr>
          <w:szCs w:val="22"/>
        </w:rPr>
        <w:t>s</w:t>
      </w:r>
      <w:r w:rsidR="00BB714A" w:rsidRPr="003D114D">
        <w:rPr>
          <w:szCs w:val="22"/>
        </w:rPr>
        <w:t xml:space="preserve"> for Review by </w:t>
      </w:r>
      <w:r>
        <w:rPr>
          <w:szCs w:val="22"/>
        </w:rPr>
        <w:t>Andrew Becker</w:t>
      </w:r>
      <w:r w:rsidR="00BB714A" w:rsidRPr="003D114D">
        <w:rPr>
          <w:szCs w:val="22"/>
        </w:rPr>
        <w:t xml:space="preserve"> seeking review of </w:t>
      </w:r>
      <w:r>
        <w:rPr>
          <w:szCs w:val="22"/>
        </w:rPr>
        <w:t>the Public Safety and Homeland Security Bureau’s (PSHSB)</w:t>
      </w:r>
      <w:r w:rsidR="00BB714A">
        <w:rPr>
          <w:szCs w:val="22"/>
        </w:rPr>
        <w:t xml:space="preserve"> response to </w:t>
      </w:r>
      <w:r>
        <w:rPr>
          <w:szCs w:val="22"/>
        </w:rPr>
        <w:t>his</w:t>
      </w:r>
      <w:r w:rsidR="00F4607A" w:rsidRPr="003D114D">
        <w:rPr>
          <w:szCs w:val="22"/>
        </w:rPr>
        <w:t xml:space="preserve"> </w:t>
      </w:r>
      <w:r w:rsidR="00BB714A" w:rsidRPr="003D114D">
        <w:rPr>
          <w:szCs w:val="22"/>
        </w:rPr>
        <w:t>Freedom of Information Act (FOIA) request</w:t>
      </w:r>
      <w:r>
        <w:rPr>
          <w:szCs w:val="22"/>
        </w:rPr>
        <w:t>s</w:t>
      </w:r>
      <w:r w:rsidR="00BB714A" w:rsidRPr="003D114D">
        <w:rPr>
          <w:szCs w:val="22"/>
        </w:rPr>
        <w:t xml:space="preserve">.  </w:t>
      </w:r>
      <w:r w:rsidR="00BB714A">
        <w:rPr>
          <w:szCs w:val="22"/>
        </w:rPr>
        <w:t xml:space="preserve">We conclude </w:t>
      </w:r>
      <w:r>
        <w:rPr>
          <w:szCs w:val="22"/>
        </w:rPr>
        <w:t>PSHSB conducted a reasonable search for records</w:t>
      </w:r>
      <w:r w:rsidR="00BB714A">
        <w:rPr>
          <w:szCs w:val="22"/>
        </w:rPr>
        <w:t>.</w:t>
      </w:r>
    </w:p>
    <w:p w14:paraId="507148B6" w14:textId="77777777" w:rsidR="00BB714A" w:rsidRDefault="00BB714A" w:rsidP="00BB714A">
      <w:pPr>
        <w:pStyle w:val="Heading1"/>
      </w:pPr>
      <w:r>
        <w:t>Background</w:t>
      </w:r>
    </w:p>
    <w:p w14:paraId="24FF52AC" w14:textId="05A66230" w:rsidR="00BB714A" w:rsidRDefault="00BB714A" w:rsidP="00A153D2">
      <w:pPr>
        <w:pStyle w:val="ParaNum"/>
        <w:widowControl/>
        <w:numPr>
          <w:ilvl w:val="0"/>
          <w:numId w:val="2"/>
        </w:numPr>
        <w:tabs>
          <w:tab w:val="clear" w:pos="1080"/>
          <w:tab w:val="num" w:pos="1440"/>
        </w:tabs>
      </w:pPr>
      <w:r>
        <w:t xml:space="preserve">The FOIA </w:t>
      </w:r>
      <w:r w:rsidRPr="00A153D2">
        <w:rPr>
          <w:szCs w:val="22"/>
        </w:rPr>
        <w:t>and</w:t>
      </w:r>
      <w:r>
        <w:t xml:space="preserve"> Commission regulations give the public the right to request that an agency produce records that are not routinely available for public inspection.</w:t>
      </w:r>
      <w:r>
        <w:rPr>
          <w:rStyle w:val="FootnoteReference"/>
        </w:rPr>
        <w:footnoteReference w:id="2"/>
      </w:r>
      <w:r>
        <w:t xml:space="preserve">  Generally, the agency must </w:t>
      </w:r>
      <w:r w:rsidR="00F32D98">
        <w:t xml:space="preserve">conduct a reasonable search and </w:t>
      </w:r>
      <w:r>
        <w:t>produce the requested records unless the agency determines that one or more of the FOIA’s nine statutory exemptions apply.</w:t>
      </w:r>
      <w:r>
        <w:rPr>
          <w:rStyle w:val="FootnoteReference"/>
        </w:rPr>
        <w:footnoteReference w:id="3"/>
      </w:r>
      <w:r>
        <w:t xml:space="preserve">  The FOIA and Commission regulations also provide that the requester may appeal </w:t>
      </w:r>
      <w:r w:rsidR="00EB761E">
        <w:t>any adverse determination related to their FOIA request</w:t>
      </w:r>
      <w:r>
        <w:t>.</w:t>
      </w:r>
      <w:r>
        <w:rPr>
          <w:rStyle w:val="FootnoteReference"/>
        </w:rPr>
        <w:footnoteReference w:id="4"/>
      </w:r>
      <w:r>
        <w:t xml:space="preserve">  </w:t>
      </w:r>
    </w:p>
    <w:p w14:paraId="3B730AB1" w14:textId="62407A21" w:rsidR="00E04324" w:rsidRDefault="00E04324" w:rsidP="00A153D2">
      <w:pPr>
        <w:pStyle w:val="ParaNum"/>
        <w:widowControl/>
        <w:numPr>
          <w:ilvl w:val="0"/>
          <w:numId w:val="2"/>
        </w:numPr>
        <w:tabs>
          <w:tab w:val="clear" w:pos="1080"/>
          <w:tab w:val="num" w:pos="1440"/>
        </w:tabs>
      </w:pPr>
      <w:r>
        <w:t xml:space="preserve">On January </w:t>
      </w:r>
      <w:r w:rsidRPr="00A153D2">
        <w:rPr>
          <w:szCs w:val="22"/>
        </w:rPr>
        <w:t>21</w:t>
      </w:r>
      <w:r>
        <w:t>, 2016, Mr. Becker filed a FOIA request seeking:</w:t>
      </w:r>
    </w:p>
    <w:p w14:paraId="5E9A3D39" w14:textId="35F7C141" w:rsidR="00E04324" w:rsidRDefault="00E04324" w:rsidP="00A153D2">
      <w:pPr>
        <w:pStyle w:val="ParaNum"/>
        <w:widowControl/>
        <w:ind w:left="720"/>
      </w:pPr>
      <w:r w:rsidRPr="00E04324">
        <w:t xml:space="preserve">Any and all records, reports, audits, memos, evaluations, assessments, briefing documents, planning reviews and/or implementation papers and oversight related to the FCC's involvement with the use, </w:t>
      </w:r>
      <w:r w:rsidRPr="00A153D2">
        <w:rPr>
          <w:szCs w:val="22"/>
        </w:rPr>
        <w:t>deployment</w:t>
      </w:r>
      <w:r w:rsidRPr="00E04324">
        <w:t>, and distribution of International Mobile Subscriber Identification (IMSI) catchers and/or cell-site simulators, radio scanners and other surveillance devices including but not limited to mobile, aerial and/or fixed platforms, along US borders involving the Department of Homeland Security, including but not limited to the US Border Patrol, as well as the Department of Justice, including but not limited to the Drug Enforcement Administration, from 2001 to present. Specific records of such involvement should include, but not be limited to, California, Arizona (Tucson area), and Texas (Del Rio/Eagle Pass area) and elsewhere on the Southwest Border, as well as Norther</w:t>
      </w:r>
      <w:r w:rsidR="00DC1876">
        <w:t>[n</w:t>
      </w:r>
      <w:r>
        <w:t xml:space="preserve">] </w:t>
      </w:r>
      <w:r w:rsidRPr="00E04324">
        <w:t>Border states. Any and all records pertaining to Digital Receiver Technology equipment, contracts, licenses, testing, deployment, auditing, oversight</w:t>
      </w:r>
      <w:r>
        <w:t>.</w:t>
      </w:r>
      <w:r>
        <w:rPr>
          <w:rStyle w:val="FootnoteReference"/>
        </w:rPr>
        <w:footnoteReference w:id="5"/>
      </w:r>
    </w:p>
    <w:p w14:paraId="22714A05" w14:textId="5E619C2F" w:rsidR="00A153D2" w:rsidRDefault="00E04324" w:rsidP="00A153D2">
      <w:pPr>
        <w:pStyle w:val="ParaNum"/>
        <w:widowControl/>
        <w:numPr>
          <w:ilvl w:val="0"/>
          <w:numId w:val="2"/>
        </w:numPr>
        <w:tabs>
          <w:tab w:val="clear" w:pos="1080"/>
          <w:tab w:val="num" w:pos="1440"/>
        </w:tabs>
      </w:pPr>
      <w:r>
        <w:t xml:space="preserve">Mr. Becker’s </w:t>
      </w:r>
      <w:r w:rsidRPr="00A153D2">
        <w:rPr>
          <w:szCs w:val="22"/>
        </w:rPr>
        <w:t>request</w:t>
      </w:r>
      <w:r>
        <w:t xml:space="preserve"> was assigned FOIA Control No. 201</w:t>
      </w:r>
      <w:r w:rsidR="00DC1876">
        <w:t>6</w:t>
      </w:r>
      <w:r>
        <w:t>-289.</w:t>
      </w:r>
      <w:r w:rsidR="00A153D2">
        <w:t xml:space="preserve">  In discussions with Commission staff, Mr. Becker subsequently narrowed the scope of his request to “all agency records related to FCC involvement with the use, deployment and distribution of any devices from law </w:t>
      </w:r>
      <w:r w:rsidR="00A153D2">
        <w:lastRenderedPageBreak/>
        <w:t>enforcement surveillance by the Department of Homeland Security and the Department of Justice along the US borders from 2001 to present.”</w:t>
      </w:r>
      <w:r w:rsidR="00A153D2">
        <w:rPr>
          <w:rStyle w:val="FootnoteReference"/>
        </w:rPr>
        <w:footnoteReference w:id="6"/>
      </w:r>
      <w:r w:rsidR="00A153D2">
        <w:t xml:space="preserve">  </w:t>
      </w:r>
    </w:p>
    <w:p w14:paraId="79C48A22" w14:textId="1793B046" w:rsidR="00E04324" w:rsidRDefault="00A153D2" w:rsidP="00A153D2">
      <w:pPr>
        <w:pStyle w:val="ParaNum"/>
        <w:widowControl/>
        <w:numPr>
          <w:ilvl w:val="0"/>
          <w:numId w:val="2"/>
        </w:numPr>
        <w:tabs>
          <w:tab w:val="clear" w:pos="1080"/>
          <w:tab w:val="num" w:pos="1440"/>
        </w:tabs>
      </w:pPr>
      <w:r>
        <w:t xml:space="preserve">On June 1, 2016, PSHSB </w:t>
      </w:r>
      <w:r w:rsidR="00DC1876">
        <w:t>responded</w:t>
      </w:r>
      <w:r>
        <w:t xml:space="preserve"> to Mr. Becker stating that </w:t>
      </w:r>
      <w:r w:rsidR="00326BE6">
        <w:t>it</w:t>
      </w:r>
      <w:r>
        <w:t xml:space="preserve"> had not located any responsive records.  Specifically, PSHSB stated, “[W]e have found no records indicating that the FCC is involved in law enforcement surveillance activities </w:t>
      </w:r>
      <w:r w:rsidR="00DC1876">
        <w:t>conducted</w:t>
      </w:r>
      <w:r>
        <w:t xml:space="preserve"> by DHS and DOJ along the U.S. border.”</w:t>
      </w:r>
      <w:r w:rsidR="00DC1876">
        <w:rPr>
          <w:rStyle w:val="FootnoteReference"/>
        </w:rPr>
        <w:footnoteReference w:id="7"/>
      </w:r>
    </w:p>
    <w:p w14:paraId="5A8F9530" w14:textId="515B3C4F" w:rsidR="00DC1876" w:rsidRDefault="00DC1876" w:rsidP="00A153D2">
      <w:pPr>
        <w:pStyle w:val="ParaNum"/>
        <w:widowControl/>
        <w:numPr>
          <w:ilvl w:val="0"/>
          <w:numId w:val="2"/>
        </w:numPr>
        <w:tabs>
          <w:tab w:val="clear" w:pos="1080"/>
          <w:tab w:val="num" w:pos="1440"/>
        </w:tabs>
      </w:pPr>
      <w:r>
        <w:t>Mr. Becker filed a second FOIA request on May 31, 2016, seeking:</w:t>
      </w:r>
    </w:p>
    <w:p w14:paraId="342595CA" w14:textId="119CD8AD" w:rsidR="00DC1876" w:rsidRDefault="00DC1876" w:rsidP="00DC1876">
      <w:pPr>
        <w:pStyle w:val="ParaNum"/>
        <w:widowControl/>
        <w:ind w:left="720"/>
      </w:pPr>
      <w:r>
        <w:t>[A]</w:t>
      </w:r>
      <w:r w:rsidRPr="00DC1876">
        <w:t xml:space="preserve">ny and all of the aforementioned </w:t>
      </w:r>
      <w:r>
        <w:t xml:space="preserve">[in FOIA 2016-289] </w:t>
      </w:r>
      <w:r w:rsidRPr="00DC1876">
        <w:t xml:space="preserve">records </w:t>
      </w:r>
      <w:r>
        <w:t>. . .</w:t>
      </w:r>
      <w:r w:rsidRPr="00DC1876">
        <w:t xml:space="preserve"> held by, created by, reviewed by, sent and/or received by </w:t>
      </w:r>
      <w:r w:rsidR="00E35717">
        <w:t xml:space="preserve">[PSHSB staff member] </w:t>
      </w:r>
      <w:r w:rsidRPr="00DC1876">
        <w:t>Paul Coburn. I also seek any and all training materials, demonstrations, deployment, guidelines, regulations, rules and the like relating to the aforementioned equipment for use in a public safety and/or law enforcement/national security context/environment. I also seek any and all travel records relating to such efforts by FCC technicians, engineers and other related job positions for public safety and/or enforcement training/demonstrations/deployment along the U.S.-Mexico border and any other materials related to sa</w:t>
      </w:r>
      <w:r>
        <w:t>id training, demonstrations and/[or]</w:t>
      </w:r>
      <w:r w:rsidRPr="00DC1876">
        <w:t xml:space="preserve"> deployment</w:t>
      </w:r>
      <w:r>
        <w:t>.</w:t>
      </w:r>
    </w:p>
    <w:p w14:paraId="5B337238" w14:textId="6AB358D8" w:rsidR="00DC1876" w:rsidRDefault="00DC1876" w:rsidP="00DC1876">
      <w:pPr>
        <w:pStyle w:val="ParaNum"/>
        <w:widowControl/>
        <w:numPr>
          <w:ilvl w:val="0"/>
          <w:numId w:val="2"/>
        </w:numPr>
        <w:tabs>
          <w:tab w:val="clear" w:pos="1080"/>
          <w:tab w:val="num" w:pos="1440"/>
        </w:tabs>
      </w:pPr>
      <w:r>
        <w:t>This request was assigned FOIA Control No. 2016-661.</w:t>
      </w:r>
      <w:r>
        <w:rPr>
          <w:rStyle w:val="FootnoteReference"/>
        </w:rPr>
        <w:footnoteReference w:id="8"/>
      </w:r>
      <w:r w:rsidR="009D351A">
        <w:t xml:space="preserve">  In responding to this second FOIA request, PSHSB stated that it had located approximately 135 responsive records.</w:t>
      </w:r>
      <w:r w:rsidR="009D351A">
        <w:rPr>
          <w:rStyle w:val="FootnoteReference"/>
        </w:rPr>
        <w:footnoteReference w:id="9"/>
      </w:r>
      <w:r w:rsidR="009D351A">
        <w:t xml:space="preserve">  PSHSB produced 108 of those documents to the requester</w:t>
      </w:r>
      <w:r w:rsidR="002649EE">
        <w:t>.  Those produced documents included travel records, notes, symposium schedules, and publicly available technical specifications.  T</w:t>
      </w:r>
      <w:r w:rsidR="009D351A">
        <w:t xml:space="preserve">he remaining documents </w:t>
      </w:r>
      <w:r w:rsidR="002649EE">
        <w:t>were</w:t>
      </w:r>
      <w:r w:rsidR="009D351A">
        <w:t xml:space="preserve"> withheld under FOIA exemptions 6 (protecting personal privacy), 7(C) (protecting privacy of persons mentioned in law enforcement records), and 7(E) (protecting law enforcement techniques and procedures).</w:t>
      </w:r>
      <w:r w:rsidR="009D351A">
        <w:rPr>
          <w:rStyle w:val="FootnoteReference"/>
        </w:rPr>
        <w:footnoteReference w:id="10"/>
      </w:r>
    </w:p>
    <w:p w14:paraId="6A8778C4" w14:textId="38EAB7D1" w:rsidR="00782246" w:rsidRPr="00782246" w:rsidRDefault="009D351A" w:rsidP="00782246">
      <w:pPr>
        <w:pStyle w:val="ParaNum"/>
        <w:widowControl/>
        <w:numPr>
          <w:ilvl w:val="0"/>
          <w:numId w:val="2"/>
        </w:numPr>
        <w:tabs>
          <w:tab w:val="clear" w:pos="1080"/>
          <w:tab w:val="num" w:pos="1440"/>
        </w:tabs>
      </w:pPr>
      <w:r>
        <w:t>Mr. Becker appealed both the response to FOIA 2016-289,</w:t>
      </w:r>
      <w:r>
        <w:rPr>
          <w:rStyle w:val="FootnoteReference"/>
        </w:rPr>
        <w:footnoteReference w:id="11"/>
      </w:r>
      <w:r>
        <w:t xml:space="preserve"> as well as the response to FOIA 2016-661.</w:t>
      </w:r>
      <w:r w:rsidR="007839E9">
        <w:rPr>
          <w:rStyle w:val="FootnoteReference"/>
        </w:rPr>
        <w:footnoteReference w:id="12"/>
      </w:r>
      <w:r w:rsidR="007839E9">
        <w:t xml:space="preserve">  In appealing FOIA 2016-289, the entire relevant portion of Mr. Becker’s</w:t>
      </w:r>
      <w:r w:rsidR="00EB761E">
        <w:t xml:space="preserve"> appeal</w:t>
      </w:r>
      <w:r w:rsidR="007839E9">
        <w:t xml:space="preserve"> states, “I’m writing to appeal FCC response to my request 2016-289.  I am writing on the grounds that I believe an insufficient search and review was conducted.”</w:t>
      </w:r>
      <w:r w:rsidR="007839E9">
        <w:rPr>
          <w:rStyle w:val="FootnoteReference"/>
        </w:rPr>
        <w:footnoteReference w:id="13"/>
      </w:r>
      <w:r w:rsidR="00782246">
        <w:t xml:space="preserve">  For FOIA 2016-661, Mr. Becker </w:t>
      </w:r>
      <w:r w:rsidR="000A5557">
        <w:t>initially appealed, stating only</w:t>
      </w:r>
      <w:r w:rsidR="00782246">
        <w:t>,</w:t>
      </w:r>
      <w:r w:rsidR="000A5557">
        <w:t xml:space="preserve"> “I want to appeal this response based on insufficient search.”</w:t>
      </w:r>
      <w:r w:rsidR="000A5557">
        <w:rPr>
          <w:rStyle w:val="FootnoteReference"/>
        </w:rPr>
        <w:footnoteReference w:id="14"/>
      </w:r>
      <w:r w:rsidR="00782246">
        <w:t xml:space="preserve"> </w:t>
      </w:r>
      <w:r w:rsidR="000A5557">
        <w:t xml:space="preserve"> Mr. Becker later articulated his grounds for appeal as </w:t>
      </w:r>
      <w:r w:rsidR="00782246">
        <w:t>“</w:t>
      </w:r>
      <w:r w:rsidR="00782246" w:rsidRPr="00782246">
        <w:t>I'm appealing my response as insufficient as I specifically asked for records pertaining to Paul Coburn and his involvement with the subject matter and agencies involved in my original request. I have no indication that his records were sufficiently searched, besides travel records.</w:t>
      </w:r>
      <w:r w:rsidR="00782246">
        <w:t>”</w:t>
      </w:r>
      <w:r w:rsidR="00782246">
        <w:rPr>
          <w:rStyle w:val="FootnoteReference"/>
        </w:rPr>
        <w:footnoteReference w:id="15"/>
      </w:r>
      <w:r w:rsidR="00782246" w:rsidRPr="00782246">
        <w:t> </w:t>
      </w:r>
    </w:p>
    <w:p w14:paraId="23207E64" w14:textId="69CB9C01" w:rsidR="00F32D98" w:rsidRDefault="002649EE" w:rsidP="00F32D98">
      <w:pPr>
        <w:pStyle w:val="ParaNum"/>
        <w:widowControl/>
        <w:numPr>
          <w:ilvl w:val="0"/>
          <w:numId w:val="2"/>
        </w:numPr>
        <w:tabs>
          <w:tab w:val="clear" w:pos="1080"/>
          <w:tab w:val="num" w:pos="1440"/>
        </w:tabs>
      </w:pPr>
      <w:r>
        <w:lastRenderedPageBreak/>
        <w:t xml:space="preserve">Commission staff contacted Mr. Becker to attempt to ascertain </w:t>
      </w:r>
      <w:r w:rsidR="000A5557">
        <w:t>why he believed the search was inadequate</w:t>
      </w:r>
      <w:r>
        <w:t xml:space="preserve">.  Staff </w:t>
      </w:r>
      <w:r w:rsidR="00EB761E">
        <w:t>explained</w:t>
      </w:r>
      <w:r>
        <w:t xml:space="preserve"> that the searches conducted for the requests did include a search of Paul Coburn’s records</w:t>
      </w:r>
      <w:r w:rsidR="000A5557">
        <w:t xml:space="preserve"> </w:t>
      </w:r>
      <w:r>
        <w:t>beyond travel records</w:t>
      </w:r>
      <w:r w:rsidR="00EB761E">
        <w:t>,</w:t>
      </w:r>
      <w:r>
        <w:rPr>
          <w:rStyle w:val="FootnoteReference"/>
        </w:rPr>
        <w:footnoteReference w:id="16"/>
      </w:r>
      <w:r>
        <w:t xml:space="preserve"> </w:t>
      </w:r>
      <w:r w:rsidR="00EB761E">
        <w:t>and described</w:t>
      </w:r>
      <w:r w:rsidR="00753E1F">
        <w:t xml:space="preserve"> to Mr. Becker</w:t>
      </w:r>
      <w:r>
        <w:t xml:space="preserve"> how the searches were conducted</w:t>
      </w:r>
      <w:r w:rsidR="00753E1F">
        <w:t>,</w:t>
      </w:r>
      <w:r w:rsidR="00753E1F">
        <w:rPr>
          <w:rStyle w:val="FootnoteReference"/>
        </w:rPr>
        <w:footnoteReference w:id="17"/>
      </w:r>
      <w:r w:rsidR="00753E1F">
        <w:t xml:space="preserve"> subsequently noting that the searches undertaken by PSHSB appeared to comply with the parameters Mr. Becker set in his requests.</w:t>
      </w:r>
      <w:r w:rsidR="00753E1F">
        <w:rPr>
          <w:rStyle w:val="FootnoteReference"/>
        </w:rPr>
        <w:footnoteReference w:id="18"/>
      </w:r>
      <w:r w:rsidR="00753E1F">
        <w:t xml:space="preserve">  When staff inquired as to why Mr. Becker believed the search was inadequate, Mr. Becker stated, “</w:t>
      </w:r>
      <w:r w:rsidR="00753E1F" w:rsidRPr="00753E1F">
        <w:t>I have records from DHS that indicate FCC, including Paul Coburn, has assisted in selecting equipment for the US Border Patrol to use in conducting surveillance along the US-Mexico border as well as training the Border Patro</w:t>
      </w:r>
      <w:r w:rsidR="00246A46">
        <w:t>l on how to use this equipment.</w:t>
      </w:r>
      <w:r w:rsidR="00753E1F">
        <w:t>”</w:t>
      </w:r>
      <w:r w:rsidR="00753E1F">
        <w:rPr>
          <w:rStyle w:val="FootnoteReference"/>
        </w:rPr>
        <w:footnoteReference w:id="19"/>
      </w:r>
      <w:r w:rsidR="00753E1F">
        <w:t xml:space="preserve">  Staff requested that Mr. Becker provide a copy of the records from </w:t>
      </w:r>
      <w:r w:rsidR="00EB761E">
        <w:t>the Department of Homeland Security (DHS)</w:t>
      </w:r>
      <w:r w:rsidR="00753E1F">
        <w:t xml:space="preserve"> in order to aid PSHSB in its search, noting that without the records, it would be difficult for PSHSB to determine exactly what records Mr. Becker believed the Commission possessed.</w:t>
      </w:r>
      <w:r w:rsidR="00753E1F">
        <w:rPr>
          <w:rStyle w:val="FootnoteReference"/>
        </w:rPr>
        <w:footnoteReference w:id="20"/>
      </w:r>
      <w:r w:rsidR="00753E1F">
        <w:t xml:space="preserve">  </w:t>
      </w:r>
      <w:r w:rsidR="00F32D98">
        <w:t>Mr. Becker refused to provide the documents or additional details to Commission staff to aid in the search.</w:t>
      </w:r>
      <w:r w:rsidR="00F32D98">
        <w:rPr>
          <w:rStyle w:val="FootnoteReference"/>
        </w:rPr>
        <w:footnoteReference w:id="21"/>
      </w:r>
    </w:p>
    <w:p w14:paraId="21F0D862" w14:textId="77777777" w:rsidR="00BB714A" w:rsidRDefault="00BB714A" w:rsidP="00BB714A">
      <w:pPr>
        <w:pStyle w:val="Heading1"/>
        <w:rPr>
          <w:shd w:val="clear" w:color="auto" w:fill="FFFFFF"/>
        </w:rPr>
      </w:pPr>
      <w:r>
        <w:rPr>
          <w:shd w:val="clear" w:color="auto" w:fill="FFFFFF"/>
        </w:rPr>
        <w:t>Discussion</w:t>
      </w:r>
    </w:p>
    <w:p w14:paraId="1753BEC9" w14:textId="11B566CE" w:rsidR="000C52F3" w:rsidRDefault="00F32D98" w:rsidP="00F32D98">
      <w:pPr>
        <w:pStyle w:val="ParaNum"/>
        <w:widowControl/>
        <w:numPr>
          <w:ilvl w:val="0"/>
          <w:numId w:val="2"/>
        </w:numPr>
        <w:tabs>
          <w:tab w:val="clear" w:pos="1080"/>
          <w:tab w:val="num" w:pos="1440"/>
        </w:tabs>
      </w:pPr>
      <w:r>
        <w:t>We conclude that PSHSB conducted a reasonable search in response to Mr. Becker’s FOIA requests.  His appeals challenging the adequacy of these searches are, therefore, denied.</w:t>
      </w:r>
    </w:p>
    <w:p w14:paraId="667679D3" w14:textId="444A17D7" w:rsidR="00F32D98" w:rsidRDefault="00805D51" w:rsidP="00F32D98">
      <w:pPr>
        <w:pStyle w:val="ParaNum"/>
        <w:widowControl/>
        <w:numPr>
          <w:ilvl w:val="0"/>
          <w:numId w:val="2"/>
        </w:numPr>
        <w:tabs>
          <w:tab w:val="clear" w:pos="1080"/>
          <w:tab w:val="num" w:pos="1440"/>
        </w:tabs>
      </w:pPr>
      <w:r>
        <w:t>The FOIA requires that an agency make “a good faith effort to conduct a search for the requested records, using methods which can be reasonably expected to produce the information requested.”</w:t>
      </w:r>
      <w:r>
        <w:rPr>
          <w:rStyle w:val="FootnoteReference"/>
        </w:rPr>
        <w:footnoteReference w:id="22"/>
      </w:r>
      <w:r>
        <w:t xml:space="preserve">  Here, PSHSB satisfied that standard.  As explained to Mr. Becker by Commission staff, PSHSB, in cooperation with the Office of the Managing Director, “</w:t>
      </w:r>
      <w:r w:rsidRPr="00753E1F">
        <w:t xml:space="preserve">searched for records related to FCC involvement with the use of IMSI catchers, cell site simulators, or scanners by or in conjunction with the Department of Justice and </w:t>
      </w:r>
      <w:r w:rsidR="00246A46">
        <w:t>t</w:t>
      </w:r>
      <w:r w:rsidRPr="00753E1F">
        <w:t>he Department of Homeland Security for surveillance purposes along the border areas</w:t>
      </w:r>
      <w:r>
        <w:t>.”</w:t>
      </w:r>
      <w:r>
        <w:rPr>
          <w:rStyle w:val="FootnoteReference"/>
        </w:rPr>
        <w:footnoteReference w:id="23"/>
      </w:r>
      <w:r>
        <w:t xml:space="preserve">  </w:t>
      </w:r>
      <w:r w:rsidR="00E35717">
        <w:t>We see no reason, and Mr. Becker provides no argument, as to why this search would not be reasonably expected to produce the information responsive to Mr. Becker’s request</w:t>
      </w:r>
      <w:r w:rsidR="00153FB5">
        <w:t>s</w:t>
      </w:r>
      <w:r w:rsidR="00E35717">
        <w:t>.</w:t>
      </w:r>
    </w:p>
    <w:p w14:paraId="528DAB89" w14:textId="2AC5CD5E" w:rsidR="00246A46" w:rsidRDefault="00E35717" w:rsidP="00F32D98">
      <w:pPr>
        <w:pStyle w:val="ParaNum"/>
        <w:widowControl/>
        <w:numPr>
          <w:ilvl w:val="0"/>
          <w:numId w:val="2"/>
        </w:numPr>
        <w:tabs>
          <w:tab w:val="clear" w:pos="1080"/>
          <w:tab w:val="num" w:pos="1440"/>
        </w:tabs>
      </w:pPr>
      <w:r>
        <w:t xml:space="preserve">The only support Mr. Becker offers for </w:t>
      </w:r>
      <w:r w:rsidR="00153FB5">
        <w:t>t</w:t>
      </w:r>
      <w:r>
        <w:t xml:space="preserve">his contention is his claimed possession of a document from </w:t>
      </w:r>
      <w:r w:rsidR="00EB761E">
        <w:t>DHS</w:t>
      </w:r>
      <w:r w:rsidR="00246A46">
        <w:t xml:space="preserve"> </w:t>
      </w:r>
      <w:r>
        <w:t xml:space="preserve">showing that the Commission </w:t>
      </w:r>
      <w:r w:rsidR="00EA70A3">
        <w:t>assisted</w:t>
      </w:r>
      <w:r>
        <w:t xml:space="preserve"> in selecting certain monitoring equipment.</w:t>
      </w:r>
      <w:r>
        <w:rPr>
          <w:rStyle w:val="FootnoteReference"/>
        </w:rPr>
        <w:footnoteReference w:id="24"/>
      </w:r>
      <w:r w:rsidR="00246A46">
        <w:t xml:space="preserve">  However, just because PSHSB’s search did not uncover records related to this alleged DHS document does not mean the search was inadequate.  “[T]he adequacy of a FOIA search is generally determined not by the fruits of the search, but by the appropriateness of the methods used to carry out the search.”</w:t>
      </w:r>
      <w:r w:rsidR="00246A46">
        <w:rPr>
          <w:rStyle w:val="FootnoteReference"/>
        </w:rPr>
        <w:footnoteReference w:id="25"/>
      </w:r>
      <w:r w:rsidR="00246A46">
        <w:t xml:space="preserve">  </w:t>
      </w:r>
      <w:r w:rsidR="00A273D3">
        <w:t xml:space="preserve">PSHSB’s search was reasonable; the failure to locate a specific document does not negate that conclusion.  </w:t>
      </w:r>
      <w:r w:rsidR="00246A46">
        <w:t>As explained</w:t>
      </w:r>
      <w:r w:rsidR="00EA70A3">
        <w:t xml:space="preserve"> to Mr. Becker</w:t>
      </w:r>
      <w:r w:rsidR="00246A46">
        <w:t xml:space="preserve"> by Commission staff, the Commission may have never possessed any responsive records</w:t>
      </w:r>
      <w:r w:rsidR="00EA70A3">
        <w:t xml:space="preserve"> (</w:t>
      </w:r>
      <w:r w:rsidR="00EA70A3">
        <w:rPr>
          <w:i/>
        </w:rPr>
        <w:t>e.g.</w:t>
      </w:r>
      <w:r w:rsidR="00EA70A3">
        <w:t>, if the putative consultation with DHS was done by phone or in person), or the records may have since been disposed of in accordance with established records schedules.</w:t>
      </w:r>
      <w:r w:rsidR="00EA70A3">
        <w:rPr>
          <w:rStyle w:val="FootnoteReference"/>
        </w:rPr>
        <w:footnoteReference w:id="26"/>
      </w:r>
    </w:p>
    <w:p w14:paraId="6A32DEFD" w14:textId="780DD6A8" w:rsidR="00E35717" w:rsidRDefault="00EA70A3" w:rsidP="00F32D98">
      <w:pPr>
        <w:pStyle w:val="ParaNum"/>
        <w:widowControl/>
        <w:numPr>
          <w:ilvl w:val="0"/>
          <w:numId w:val="2"/>
        </w:numPr>
        <w:tabs>
          <w:tab w:val="clear" w:pos="1080"/>
          <w:tab w:val="num" w:pos="1440"/>
        </w:tabs>
      </w:pPr>
      <w:r>
        <w:t>We also emphasize that</w:t>
      </w:r>
      <w:r w:rsidR="00D96173">
        <w:t xml:space="preserve"> Mr. Becker refuses to share this alleged </w:t>
      </w:r>
      <w:r w:rsidR="00A273D3">
        <w:t xml:space="preserve">DHS </w:t>
      </w:r>
      <w:r w:rsidR="00D96173">
        <w:t xml:space="preserve">document with Commission staff, or provide any details that would allow staff to effectively search for any related records.  </w:t>
      </w:r>
      <w:r w:rsidR="00A273D3">
        <w:t>The FOIA requires the agency to carry out a reasonable search; it does not require that the Commission’s FOIA staff “exercise ‘clairvoyant capabilities’.”</w:t>
      </w:r>
      <w:r w:rsidR="00A273D3">
        <w:rPr>
          <w:rStyle w:val="FootnoteReference"/>
        </w:rPr>
        <w:footnoteReference w:id="27"/>
      </w:r>
      <w:r w:rsidR="00466D72">
        <w:t xml:space="preserve">  PSHSB cannot be faulted for failing to </w:t>
      </w:r>
      <w:r w:rsidR="004F5577">
        <w:t>determine</w:t>
      </w:r>
      <w:r w:rsidR="00466D72">
        <w:t xml:space="preserve"> what documents Mr. Becker believes the Commission should possess.</w:t>
      </w:r>
      <w:r w:rsidR="00A273D3">
        <w:t xml:space="preserve"> </w:t>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r w:rsidR="00153FB5">
        <w:br/>
      </w:r>
    </w:p>
    <w:p w14:paraId="5EDB5FE5" w14:textId="77777777" w:rsidR="00BB714A" w:rsidRPr="003D114D" w:rsidRDefault="00BB714A" w:rsidP="00BB714A">
      <w:pPr>
        <w:pStyle w:val="Heading1"/>
        <w:widowControl/>
        <w:rPr>
          <w:szCs w:val="22"/>
        </w:rPr>
      </w:pPr>
      <w:r w:rsidRPr="003D114D">
        <w:rPr>
          <w:szCs w:val="22"/>
        </w:rPr>
        <w:t>Ordering Clause</w:t>
      </w:r>
    </w:p>
    <w:p w14:paraId="20FAB5AD" w14:textId="76A5625B" w:rsidR="00BB714A" w:rsidRDefault="00BB714A" w:rsidP="00466D72">
      <w:pPr>
        <w:pStyle w:val="ParaNum"/>
        <w:widowControl/>
        <w:numPr>
          <w:ilvl w:val="0"/>
          <w:numId w:val="2"/>
        </w:numPr>
        <w:tabs>
          <w:tab w:val="clear" w:pos="1080"/>
          <w:tab w:val="num" w:pos="1440"/>
        </w:tabs>
        <w:rPr>
          <w:szCs w:val="22"/>
        </w:rPr>
      </w:pPr>
      <w:r w:rsidRPr="00466D72">
        <w:t>ACCORDINGLY</w:t>
      </w:r>
      <w:r w:rsidRPr="003D114D">
        <w:rPr>
          <w:szCs w:val="22"/>
        </w:rPr>
        <w:t xml:space="preserve">, IT IS ORDERED that the </w:t>
      </w:r>
      <w:r w:rsidRPr="00466D72">
        <w:t>Application</w:t>
      </w:r>
      <w:r w:rsidR="00EA70A3" w:rsidRPr="00466D72">
        <w:t>s</w:t>
      </w:r>
      <w:r w:rsidRPr="003D114D">
        <w:rPr>
          <w:szCs w:val="22"/>
        </w:rPr>
        <w:t xml:space="preserve"> for Review filed by </w:t>
      </w:r>
      <w:r w:rsidR="00EA70A3">
        <w:rPr>
          <w:szCs w:val="22"/>
        </w:rPr>
        <w:t>Andrew Becker</w:t>
      </w:r>
      <w:r w:rsidRPr="003D114D">
        <w:rPr>
          <w:szCs w:val="22"/>
        </w:rPr>
        <w:t xml:space="preserve"> </w:t>
      </w:r>
      <w:r w:rsidR="00EA70A3">
        <w:rPr>
          <w:szCs w:val="22"/>
        </w:rPr>
        <w:t>ARE</w:t>
      </w:r>
      <w:r w:rsidRPr="003D114D">
        <w:rPr>
          <w:szCs w:val="22"/>
        </w:rPr>
        <w:t xml:space="preserve"> DENIED.  </w:t>
      </w:r>
      <w:r w:rsidR="00EA70A3">
        <w:rPr>
          <w:szCs w:val="22"/>
        </w:rPr>
        <w:t>Mr. Becker</w:t>
      </w:r>
      <w:r w:rsidRPr="003D114D">
        <w:rPr>
          <w:szCs w:val="22"/>
        </w:rPr>
        <w:t xml:space="preserve"> may seek judicial review of this action pursuant to 5 U.S.C. § 552(a)(4)(B).</w:t>
      </w:r>
      <w:r w:rsidRPr="003D114D">
        <w:rPr>
          <w:rStyle w:val="FootnoteReference"/>
          <w:szCs w:val="22"/>
        </w:rPr>
        <w:footnoteReference w:id="28"/>
      </w:r>
      <w:r w:rsidRPr="003D114D">
        <w:rPr>
          <w:szCs w:val="22"/>
        </w:rPr>
        <w:t xml:space="preserve">  </w:t>
      </w:r>
    </w:p>
    <w:p w14:paraId="4D186D63" w14:textId="0021ABB6" w:rsidR="00BB714A" w:rsidRPr="003D114D" w:rsidRDefault="00BB714A" w:rsidP="00466D72">
      <w:pPr>
        <w:pStyle w:val="ParaNum"/>
        <w:widowControl/>
        <w:numPr>
          <w:ilvl w:val="0"/>
          <w:numId w:val="2"/>
        </w:numPr>
        <w:tabs>
          <w:tab w:val="clear" w:pos="1080"/>
          <w:tab w:val="num" w:pos="1440"/>
        </w:tabs>
        <w:rPr>
          <w:szCs w:val="22"/>
        </w:rPr>
      </w:pPr>
      <w:r w:rsidRPr="003D114D">
        <w:rPr>
          <w:szCs w:val="22"/>
        </w:rPr>
        <w:t xml:space="preserve">The officials responsible for this action </w:t>
      </w:r>
      <w:r w:rsidRPr="00466D72">
        <w:t>are</w:t>
      </w:r>
      <w:r w:rsidRPr="003D114D">
        <w:rPr>
          <w:szCs w:val="22"/>
        </w:rPr>
        <w:t xml:space="preserve"> the following:  Chairman </w:t>
      </w:r>
      <w:r w:rsidR="00416D36">
        <w:rPr>
          <w:szCs w:val="22"/>
        </w:rPr>
        <w:t>Pai</w:t>
      </w:r>
      <w:r w:rsidRPr="003D114D">
        <w:rPr>
          <w:szCs w:val="22"/>
        </w:rPr>
        <w:t xml:space="preserve">, and Commissioners Clyburn and O’Rielly.  </w:t>
      </w:r>
    </w:p>
    <w:p w14:paraId="3D294A01" w14:textId="77777777" w:rsidR="00BB714A" w:rsidRDefault="00BB714A" w:rsidP="00BB714A">
      <w:pPr>
        <w:widowControl/>
        <w:rPr>
          <w:szCs w:val="22"/>
        </w:rPr>
      </w:pPr>
    </w:p>
    <w:p w14:paraId="2F631BD3" w14:textId="77777777" w:rsidR="00033A02" w:rsidRPr="003D114D" w:rsidRDefault="00033A02" w:rsidP="00BB714A">
      <w:pPr>
        <w:widowControl/>
        <w:rPr>
          <w:szCs w:val="22"/>
        </w:rPr>
      </w:pPr>
    </w:p>
    <w:p w14:paraId="12176ADF" w14:textId="77777777" w:rsidR="00BB714A" w:rsidRPr="003D114D" w:rsidRDefault="00BB714A" w:rsidP="00BB714A">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FEDERAL COMMUNICATIONS COMMISSION</w:t>
      </w:r>
    </w:p>
    <w:p w14:paraId="276B9AF2" w14:textId="77777777" w:rsidR="00BB714A" w:rsidRPr="003D114D" w:rsidRDefault="00BB714A" w:rsidP="00BB714A">
      <w:pPr>
        <w:widowControl/>
        <w:rPr>
          <w:szCs w:val="22"/>
        </w:rPr>
      </w:pPr>
    </w:p>
    <w:p w14:paraId="6623F6A6" w14:textId="77777777" w:rsidR="00BB714A" w:rsidRPr="003D114D" w:rsidRDefault="00BB714A" w:rsidP="00BB714A">
      <w:pPr>
        <w:widowControl/>
        <w:rPr>
          <w:szCs w:val="22"/>
        </w:rPr>
      </w:pPr>
    </w:p>
    <w:p w14:paraId="0CBA3C1D" w14:textId="77777777" w:rsidR="00BB714A" w:rsidRPr="003D114D" w:rsidRDefault="00BB714A" w:rsidP="00BB714A">
      <w:pPr>
        <w:widowControl/>
        <w:rPr>
          <w:szCs w:val="22"/>
        </w:rPr>
      </w:pPr>
    </w:p>
    <w:p w14:paraId="5FA0D709" w14:textId="77777777" w:rsidR="00BB714A" w:rsidRPr="003D114D" w:rsidRDefault="00BB714A" w:rsidP="00BB714A">
      <w:pPr>
        <w:widowControl/>
        <w:rPr>
          <w:szCs w:val="22"/>
        </w:rPr>
      </w:pPr>
    </w:p>
    <w:p w14:paraId="38665E72" w14:textId="77777777" w:rsidR="00BB714A" w:rsidRPr="003D114D" w:rsidRDefault="00BB714A" w:rsidP="00BB714A">
      <w:pPr>
        <w:widowControl/>
        <w:rPr>
          <w:szCs w:val="22"/>
        </w:rPr>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Marlene H. Dortch</w:t>
      </w:r>
    </w:p>
    <w:p w14:paraId="4A41FDA6" w14:textId="77777777" w:rsidR="002C00E8" w:rsidRPr="00BB714A" w:rsidRDefault="00BB714A" w:rsidP="00A22A36">
      <w:pPr>
        <w:widowControl/>
      </w:pPr>
      <w:r w:rsidRPr="003D114D">
        <w:rPr>
          <w:szCs w:val="22"/>
        </w:rPr>
        <w:tab/>
      </w:r>
      <w:r w:rsidRPr="003D114D">
        <w:rPr>
          <w:szCs w:val="22"/>
        </w:rPr>
        <w:tab/>
      </w:r>
      <w:r w:rsidRPr="003D114D">
        <w:rPr>
          <w:szCs w:val="22"/>
        </w:rPr>
        <w:tab/>
      </w:r>
      <w:r w:rsidRPr="003D114D">
        <w:rPr>
          <w:szCs w:val="22"/>
        </w:rPr>
        <w:tab/>
      </w:r>
      <w:r w:rsidRPr="003D114D">
        <w:rPr>
          <w:szCs w:val="22"/>
        </w:rPr>
        <w:tab/>
      </w:r>
      <w:r w:rsidRPr="003D114D">
        <w:rPr>
          <w:szCs w:val="22"/>
        </w:rPr>
        <w:tab/>
        <w:t>Secretary</w:t>
      </w:r>
    </w:p>
    <w:sectPr w:rsidR="002C00E8" w:rsidRPr="00BB714A"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55BBC2" w14:textId="77777777" w:rsidR="00B06DF3" w:rsidRDefault="00B06DF3">
      <w:pPr>
        <w:spacing w:line="20" w:lineRule="exact"/>
      </w:pPr>
    </w:p>
  </w:endnote>
  <w:endnote w:type="continuationSeparator" w:id="0">
    <w:p w14:paraId="12755BB2" w14:textId="77777777" w:rsidR="00B06DF3" w:rsidRDefault="00B06DF3">
      <w:r>
        <w:t xml:space="preserve"> </w:t>
      </w:r>
    </w:p>
  </w:endnote>
  <w:endnote w:type="continuationNotice" w:id="1">
    <w:p w14:paraId="57FC295C" w14:textId="77777777" w:rsidR="00B06DF3" w:rsidRDefault="00B06DF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charset w:val="00"/>
    <w:family w:val="swiss"/>
    <w:pitch w:val="variable"/>
    <w:sig w:usb0="E0002AFF" w:usb1="C000247B"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A2635" w14:textId="77777777" w:rsidR="00D25FB5" w:rsidRDefault="00D25FB5" w:rsidP="0055614C">
    <w:pPr>
      <w:pStyle w:val="Footer"/>
      <w:framePr w:wrap="around" w:vAnchor="text" w:hAnchor="margin" w:xAlign="center" w:y="1"/>
    </w:pPr>
    <w:r>
      <w:fldChar w:fldCharType="begin"/>
    </w:r>
    <w:r>
      <w:instrText xml:space="preserve">PAGE  </w:instrText>
    </w:r>
    <w:r>
      <w:fldChar w:fldCharType="end"/>
    </w:r>
  </w:p>
  <w:p w14:paraId="17887D39" w14:textId="77777777"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B19965" w14:textId="355216C5" w:rsidR="00D25FB5" w:rsidRDefault="00D25FB5" w:rsidP="0055614C">
    <w:pPr>
      <w:pStyle w:val="Footer"/>
      <w:framePr w:wrap="around" w:vAnchor="text" w:hAnchor="margin" w:xAlign="center" w:y="1"/>
    </w:pPr>
    <w:r>
      <w:fldChar w:fldCharType="begin"/>
    </w:r>
    <w:r>
      <w:instrText xml:space="preserve">PAGE  </w:instrText>
    </w:r>
    <w:r>
      <w:fldChar w:fldCharType="separate"/>
    </w:r>
    <w:r w:rsidR="009165D4">
      <w:rPr>
        <w:noProof/>
      </w:rPr>
      <w:t>2</w:t>
    </w:r>
    <w:r>
      <w:fldChar w:fldCharType="end"/>
    </w:r>
  </w:p>
  <w:p w14:paraId="07566DA5" w14:textId="77777777"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9BDCFB" w14:textId="77777777"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BD3C9" w14:textId="77777777" w:rsidR="00B06DF3" w:rsidRDefault="00B06DF3">
      <w:r>
        <w:separator/>
      </w:r>
    </w:p>
  </w:footnote>
  <w:footnote w:type="continuationSeparator" w:id="0">
    <w:p w14:paraId="4D851CA1" w14:textId="77777777" w:rsidR="00B06DF3" w:rsidRDefault="00B06DF3" w:rsidP="00C721AC">
      <w:pPr>
        <w:spacing w:before="120"/>
        <w:rPr>
          <w:sz w:val="20"/>
        </w:rPr>
      </w:pPr>
      <w:r>
        <w:rPr>
          <w:sz w:val="20"/>
        </w:rPr>
        <w:t xml:space="preserve">(Continued from previous page)  </w:t>
      </w:r>
      <w:r>
        <w:rPr>
          <w:sz w:val="20"/>
        </w:rPr>
        <w:separator/>
      </w:r>
    </w:p>
  </w:footnote>
  <w:footnote w:type="continuationNotice" w:id="1">
    <w:p w14:paraId="7D9F217E" w14:textId="67B47A57" w:rsidR="00B06DF3" w:rsidRPr="00644314" w:rsidRDefault="00B06DF3" w:rsidP="00644314">
      <w:pPr>
        <w:pStyle w:val="Footer"/>
      </w:pPr>
    </w:p>
  </w:footnote>
  <w:footnote w:id="2">
    <w:p w14:paraId="30AF8D09" w14:textId="61B37104" w:rsidR="00BB714A" w:rsidRDefault="00BB714A" w:rsidP="00BB714A">
      <w:pPr>
        <w:pStyle w:val="FootnoteText"/>
      </w:pPr>
      <w:r>
        <w:rPr>
          <w:rStyle w:val="FootnoteReference"/>
        </w:rPr>
        <w:footnoteRef/>
      </w:r>
      <w:r>
        <w:t xml:space="preserve"> 5 U.S.C. § 552(a)(3); 47 CFR § 0.461.</w:t>
      </w:r>
    </w:p>
  </w:footnote>
  <w:footnote w:id="3">
    <w:p w14:paraId="59C26E48" w14:textId="0DF3B013" w:rsidR="00BB714A" w:rsidRDefault="00BB714A" w:rsidP="00BB714A">
      <w:pPr>
        <w:pStyle w:val="FootnoteText"/>
      </w:pPr>
      <w:r>
        <w:rPr>
          <w:rStyle w:val="FootnoteReference"/>
        </w:rPr>
        <w:footnoteRef/>
      </w:r>
      <w:r>
        <w:t xml:space="preserve"> 5 U.S.C. § 552(a)(3),(b); 47 CFR §§ 0.457, 0.461(f).</w:t>
      </w:r>
    </w:p>
  </w:footnote>
  <w:footnote w:id="4">
    <w:p w14:paraId="46284E07" w14:textId="36FE8988" w:rsidR="00BB714A" w:rsidRDefault="00BB714A" w:rsidP="00BB714A">
      <w:pPr>
        <w:pStyle w:val="FootnoteText"/>
      </w:pPr>
      <w:r>
        <w:rPr>
          <w:rStyle w:val="FootnoteReference"/>
        </w:rPr>
        <w:footnoteRef/>
      </w:r>
      <w:r>
        <w:t xml:space="preserve"> 5 U.S.C. § 552(a)(6)(A); 47 CFR § 0.461(j).</w:t>
      </w:r>
    </w:p>
  </w:footnote>
  <w:footnote w:id="5">
    <w:p w14:paraId="25BEE9E4" w14:textId="6147B215" w:rsidR="00E04324" w:rsidRDefault="00E04324">
      <w:pPr>
        <w:pStyle w:val="FootnoteText"/>
      </w:pPr>
      <w:r>
        <w:rPr>
          <w:rStyle w:val="FootnoteReference"/>
        </w:rPr>
        <w:footnoteRef/>
      </w:r>
      <w:r>
        <w:t xml:space="preserve"> FOIAonline Filing, Andrew Becker, FOIA 201</w:t>
      </w:r>
      <w:r w:rsidR="009D351A">
        <w:t>6</w:t>
      </w:r>
      <w:r>
        <w:t>-289 (filed Jan. 21, 2016)</w:t>
      </w:r>
      <w:r w:rsidR="00A153D2">
        <w:t xml:space="preserve"> (FOIA 201</w:t>
      </w:r>
      <w:r w:rsidR="00DC1876">
        <w:t>6</w:t>
      </w:r>
      <w:r w:rsidR="00A153D2">
        <w:t>-289)</w:t>
      </w:r>
      <w:r>
        <w:t>.</w:t>
      </w:r>
    </w:p>
  </w:footnote>
  <w:footnote w:id="6">
    <w:p w14:paraId="087B1E02" w14:textId="1DA2A2B8" w:rsidR="00A153D2" w:rsidRDefault="00A153D2">
      <w:pPr>
        <w:pStyle w:val="FootnoteText"/>
      </w:pPr>
      <w:r>
        <w:rPr>
          <w:rStyle w:val="FootnoteReference"/>
        </w:rPr>
        <w:footnoteRef/>
      </w:r>
      <w:r>
        <w:t xml:space="preserve"> Letter from Zenji Nakazawa, Chief, Policy and Licensing Division, PSHSB, </w:t>
      </w:r>
      <w:r w:rsidR="002649EE">
        <w:t xml:space="preserve">Federal Communications Commission, </w:t>
      </w:r>
      <w:r>
        <w:t>to Andrew Becker, at 1 (June 1, 2016).</w:t>
      </w:r>
    </w:p>
  </w:footnote>
  <w:footnote w:id="7">
    <w:p w14:paraId="22A005C7" w14:textId="05FD1EB4" w:rsidR="00DC1876" w:rsidRPr="00DC1876" w:rsidRDefault="00DC1876">
      <w:pPr>
        <w:pStyle w:val="FootnoteText"/>
        <w:rPr>
          <w:i/>
        </w:rPr>
      </w:pPr>
      <w:r>
        <w:rPr>
          <w:rStyle w:val="FootnoteReference"/>
        </w:rPr>
        <w:footnoteRef/>
      </w:r>
      <w:r>
        <w:t xml:space="preserve"> </w:t>
      </w:r>
      <w:r>
        <w:rPr>
          <w:i/>
        </w:rPr>
        <w:t>Id.</w:t>
      </w:r>
    </w:p>
  </w:footnote>
  <w:footnote w:id="8">
    <w:p w14:paraId="21DD92CC" w14:textId="43B5F03D" w:rsidR="00DC1876" w:rsidRDefault="00DC1876">
      <w:pPr>
        <w:pStyle w:val="FootnoteText"/>
      </w:pPr>
      <w:r>
        <w:rPr>
          <w:rStyle w:val="FootnoteReference"/>
        </w:rPr>
        <w:footnoteRef/>
      </w:r>
      <w:r>
        <w:t xml:space="preserve"> FOIAonline Filing, Andrew Becker, FOIA 201</w:t>
      </w:r>
      <w:r w:rsidR="009D351A">
        <w:t>6</w:t>
      </w:r>
      <w:r>
        <w:t>-</w:t>
      </w:r>
      <w:r w:rsidR="009D351A">
        <w:t>661</w:t>
      </w:r>
      <w:r>
        <w:t xml:space="preserve"> (filed May 31, 2016) (FOIA 2016-661).  Mr. Becker captioned this second request as a supplement to </w:t>
      </w:r>
      <w:r w:rsidR="009D351A">
        <w:t>FOIA 2016-289.</w:t>
      </w:r>
      <w:r w:rsidR="006C7205">
        <w:t xml:space="preserve">  However, as the request</w:t>
      </w:r>
      <w:r w:rsidR="009D351A">
        <w:t xml:space="preserve"> asked for materials beyond the scope of what was requested in 2016-289, Commission staff entered the item as a new FOIA request and assigned it a separate control number.</w:t>
      </w:r>
    </w:p>
  </w:footnote>
  <w:footnote w:id="9">
    <w:p w14:paraId="19C9331F" w14:textId="2AA87616" w:rsidR="009D351A" w:rsidRDefault="009D351A">
      <w:pPr>
        <w:pStyle w:val="FootnoteText"/>
      </w:pPr>
      <w:r>
        <w:rPr>
          <w:rStyle w:val="FootnoteReference"/>
        </w:rPr>
        <w:footnoteRef/>
      </w:r>
      <w:r>
        <w:t xml:space="preserve"> Letter from Zenji Nakazawa, Chief, Policy and Licensing Division, PSHSB, </w:t>
      </w:r>
      <w:r w:rsidR="002649EE">
        <w:t xml:space="preserve">Federal Communications Commission, </w:t>
      </w:r>
      <w:r>
        <w:t>to Andrew Becker (January 9, 2017).</w:t>
      </w:r>
    </w:p>
  </w:footnote>
  <w:footnote w:id="10">
    <w:p w14:paraId="4499DE3B" w14:textId="77209B17" w:rsidR="009D351A" w:rsidRPr="00EB761E" w:rsidRDefault="009D351A">
      <w:pPr>
        <w:pStyle w:val="FootnoteText"/>
      </w:pPr>
      <w:r>
        <w:rPr>
          <w:rStyle w:val="FootnoteReference"/>
        </w:rPr>
        <w:footnoteRef/>
      </w:r>
      <w:r>
        <w:t xml:space="preserve"> </w:t>
      </w:r>
      <w:r>
        <w:rPr>
          <w:i/>
        </w:rPr>
        <w:t>Id.</w:t>
      </w:r>
      <w:r w:rsidR="00EB761E">
        <w:t xml:space="preserve">  Mr. Becker does not appeal any of these witholdings/redactions.</w:t>
      </w:r>
    </w:p>
  </w:footnote>
  <w:footnote w:id="11">
    <w:p w14:paraId="625C9F16" w14:textId="35CE253C" w:rsidR="009D351A" w:rsidRDefault="009D351A">
      <w:pPr>
        <w:pStyle w:val="FootnoteText"/>
      </w:pPr>
      <w:r>
        <w:rPr>
          <w:rStyle w:val="FootnoteReference"/>
        </w:rPr>
        <w:footnoteRef/>
      </w:r>
      <w:r>
        <w:t xml:space="preserve"> E-mail from Andrew Becker to FOIA-Appeal@fcc.gov</w:t>
      </w:r>
      <w:r w:rsidR="007839E9">
        <w:t xml:space="preserve"> (Aug. 10, 2016) (FOIA 2016-289 Appeal).</w:t>
      </w:r>
    </w:p>
  </w:footnote>
  <w:footnote w:id="12">
    <w:p w14:paraId="698621F2" w14:textId="407736CE" w:rsidR="007839E9" w:rsidRDefault="007839E9">
      <w:pPr>
        <w:pStyle w:val="FootnoteText"/>
      </w:pPr>
      <w:r>
        <w:rPr>
          <w:rStyle w:val="FootnoteReference"/>
        </w:rPr>
        <w:footnoteRef/>
      </w:r>
      <w:r>
        <w:t xml:space="preserve"> E-mail from Andrew Becker to FOIA-Appeal@fcc.gov (Feb.</w:t>
      </w:r>
      <w:r w:rsidR="00782246">
        <w:t xml:space="preserve"> 22, 2017) (FOIA 2016-661 Appeal).</w:t>
      </w:r>
    </w:p>
  </w:footnote>
  <w:footnote w:id="13">
    <w:p w14:paraId="5F9E32DB" w14:textId="32A11096" w:rsidR="007839E9" w:rsidRDefault="007839E9">
      <w:pPr>
        <w:pStyle w:val="FootnoteText"/>
      </w:pPr>
      <w:r>
        <w:rPr>
          <w:rStyle w:val="FootnoteReference"/>
        </w:rPr>
        <w:footnoteRef/>
      </w:r>
      <w:r>
        <w:t xml:space="preserve"> FOIA 2016-289 Appeal.</w:t>
      </w:r>
    </w:p>
  </w:footnote>
  <w:footnote w:id="14">
    <w:p w14:paraId="50C3B0E8" w14:textId="0E71D8D9" w:rsidR="000A5557" w:rsidRDefault="000A5557">
      <w:pPr>
        <w:pStyle w:val="FootnoteText"/>
      </w:pPr>
      <w:r>
        <w:rPr>
          <w:rStyle w:val="FootnoteReference"/>
        </w:rPr>
        <w:footnoteRef/>
      </w:r>
      <w:r>
        <w:t xml:space="preserve"> E-mail from Andrew Becker to Ryan Yates, Attorney Advisor, Federal Communications Commission (Feb. 2, 2017).  </w:t>
      </w:r>
    </w:p>
  </w:footnote>
  <w:footnote w:id="15">
    <w:p w14:paraId="31686D68" w14:textId="7F98A7FE" w:rsidR="00782246" w:rsidRDefault="00782246">
      <w:pPr>
        <w:pStyle w:val="FootnoteText"/>
      </w:pPr>
      <w:r>
        <w:rPr>
          <w:rStyle w:val="FootnoteReference"/>
        </w:rPr>
        <w:footnoteRef/>
      </w:r>
      <w:r>
        <w:t xml:space="preserve"> FOIA 2016-661 Appeal.</w:t>
      </w:r>
    </w:p>
  </w:footnote>
  <w:footnote w:id="16">
    <w:p w14:paraId="045C1EE4" w14:textId="1762D219" w:rsidR="002649EE" w:rsidRDefault="002649EE">
      <w:pPr>
        <w:pStyle w:val="FootnoteText"/>
      </w:pPr>
      <w:r>
        <w:rPr>
          <w:rStyle w:val="FootnoteReference"/>
        </w:rPr>
        <w:footnoteRef/>
      </w:r>
      <w:r>
        <w:t xml:space="preserve"> E-mail from Ryan Yates, Attorney Advisor, Federal Communications Commission, to Andrew Becker (Feb. 24, 2017).</w:t>
      </w:r>
    </w:p>
  </w:footnote>
  <w:footnote w:id="17">
    <w:p w14:paraId="401D6E8D" w14:textId="17D9B42D" w:rsidR="00753E1F" w:rsidRDefault="00753E1F">
      <w:pPr>
        <w:pStyle w:val="FootnoteText"/>
      </w:pPr>
      <w:r>
        <w:rPr>
          <w:rStyle w:val="FootnoteReference"/>
        </w:rPr>
        <w:footnoteRef/>
      </w:r>
      <w:r>
        <w:t xml:space="preserve"> E-mail from Ryan Yates, Attorney Advisor, Federal Communications Commission, to Andrew Becker (Jan. 25, 2017) (“</w:t>
      </w:r>
      <w:r w:rsidRPr="00753E1F">
        <w:t xml:space="preserve">PSHSB asked personnel in the Operations and Emergency Management Division and the Office of the Managing Director to conduct a search.  Personnel searched for records related to FCC involvement with the use of IMSI catchers, cell site simulators, or scanners by or in conjunction with the Department of Justice and </w:t>
      </w:r>
      <w:r w:rsidR="006C7205">
        <w:t>t</w:t>
      </w:r>
      <w:r w:rsidRPr="00753E1F">
        <w:t>he Department of Homeland Security for surveillance purposes along the border areas.  (OMD searched for and reviewed travel records.)  Those records were then checked to ensure they, in fact, did fall within the scope of the request.  The remaining responsive documents were reviewed for redaction/withholding under the exemptions of the FOIA.</w:t>
      </w:r>
      <w:r w:rsidR="006C7205">
        <w:t>”</w:t>
      </w:r>
      <w:r>
        <w:t>).</w:t>
      </w:r>
    </w:p>
  </w:footnote>
  <w:footnote w:id="18">
    <w:p w14:paraId="3D5FC1FA" w14:textId="6AF3E422" w:rsidR="00753E1F" w:rsidRDefault="00753E1F">
      <w:pPr>
        <w:pStyle w:val="FootnoteText"/>
      </w:pPr>
      <w:r>
        <w:rPr>
          <w:rStyle w:val="FootnoteReference"/>
        </w:rPr>
        <w:footnoteRef/>
      </w:r>
      <w:r>
        <w:t xml:space="preserve"> E-mail from Ryan Yates, Attorney Advisor, Federal Communications Commission, to Andrew Becker (Mar. 2, 2017).</w:t>
      </w:r>
    </w:p>
  </w:footnote>
  <w:footnote w:id="19">
    <w:p w14:paraId="1EE7C5FF" w14:textId="000A1535" w:rsidR="00753E1F" w:rsidRDefault="00753E1F">
      <w:pPr>
        <w:pStyle w:val="FootnoteText"/>
      </w:pPr>
      <w:r>
        <w:rPr>
          <w:rStyle w:val="FootnoteReference"/>
        </w:rPr>
        <w:footnoteRef/>
      </w:r>
      <w:r>
        <w:t xml:space="preserve"> E-mail from Andrew Becker to Ryan Yates, Attorney Advisor, Federal Communications Commission (Mar. 20, 2017,</w:t>
      </w:r>
      <w:r w:rsidR="00F32D98">
        <w:t xml:space="preserve"> 3:38 PM</w:t>
      </w:r>
      <w:r>
        <w:t>).</w:t>
      </w:r>
    </w:p>
  </w:footnote>
  <w:footnote w:id="20">
    <w:p w14:paraId="100702BE" w14:textId="47EE2A7E" w:rsidR="00753E1F" w:rsidRDefault="00753E1F">
      <w:pPr>
        <w:pStyle w:val="FootnoteText"/>
      </w:pPr>
      <w:r>
        <w:rPr>
          <w:rStyle w:val="FootnoteReference"/>
        </w:rPr>
        <w:footnoteRef/>
      </w:r>
      <w:r>
        <w:t xml:space="preserve"> E-mail from Ryan Yates, Attorney Advisor, Federal Communications Commission, to Andrew Becker (Mar. 20, 2017</w:t>
      </w:r>
      <w:r w:rsidR="00F32D98">
        <w:t>, 5:02 PM).</w:t>
      </w:r>
    </w:p>
  </w:footnote>
  <w:footnote w:id="21">
    <w:p w14:paraId="583BA798" w14:textId="58BF1E8F" w:rsidR="00F32D98" w:rsidRDefault="00F32D98">
      <w:pPr>
        <w:pStyle w:val="FootnoteText"/>
      </w:pPr>
      <w:r>
        <w:rPr>
          <w:rStyle w:val="FootnoteReference"/>
        </w:rPr>
        <w:footnoteRef/>
      </w:r>
      <w:r>
        <w:t xml:space="preserve"> E-mail from Andrew Becker to Ryan Yates, Attorney Advisor, Federal Communications Commission (Mar. 20, 2017, 5:37 PM).</w:t>
      </w:r>
    </w:p>
  </w:footnote>
  <w:footnote w:id="22">
    <w:p w14:paraId="5D301185" w14:textId="19FABE70" w:rsidR="00805D51" w:rsidRDefault="00805D51">
      <w:pPr>
        <w:pStyle w:val="FootnoteText"/>
      </w:pPr>
      <w:r>
        <w:rPr>
          <w:rStyle w:val="FootnoteReference"/>
        </w:rPr>
        <w:footnoteRef/>
      </w:r>
      <w:r>
        <w:t xml:space="preserve"> </w:t>
      </w:r>
      <w:r w:rsidRPr="00805D51">
        <w:rPr>
          <w:i/>
        </w:rPr>
        <w:t>Oglesby v. Dep’t of the Army</w:t>
      </w:r>
      <w:r>
        <w:t>, 920 F.2d 57, 68 (D.C. Cir. 1990).</w:t>
      </w:r>
    </w:p>
  </w:footnote>
  <w:footnote w:id="23">
    <w:p w14:paraId="4682F539" w14:textId="7660C368" w:rsidR="00805D51" w:rsidRDefault="00805D51">
      <w:pPr>
        <w:pStyle w:val="FootnoteText"/>
      </w:pPr>
      <w:r>
        <w:rPr>
          <w:rStyle w:val="FootnoteReference"/>
        </w:rPr>
        <w:footnoteRef/>
      </w:r>
      <w:r>
        <w:t xml:space="preserve"> E-mail from Ryan Yates, Attorney Advisor, Federal Communications Commission, to Andrew Becker (Jan. 25, 2017).</w:t>
      </w:r>
    </w:p>
  </w:footnote>
  <w:footnote w:id="24">
    <w:p w14:paraId="7BF07C89" w14:textId="27A76BA7" w:rsidR="00E35717" w:rsidRDefault="00E35717">
      <w:pPr>
        <w:pStyle w:val="FootnoteText"/>
      </w:pPr>
      <w:r>
        <w:rPr>
          <w:rStyle w:val="FootnoteReference"/>
        </w:rPr>
        <w:footnoteRef/>
      </w:r>
      <w:r>
        <w:t xml:space="preserve"> E-mail from Andrew Becker to Ryan Yates, Attorney Advisor, Federal Communications Commission (Mar. 20, 2017, 3:38 PM).</w:t>
      </w:r>
    </w:p>
  </w:footnote>
  <w:footnote w:id="25">
    <w:p w14:paraId="68363883" w14:textId="3897B59B" w:rsidR="00246A46" w:rsidRPr="00246A46" w:rsidRDefault="00246A46">
      <w:pPr>
        <w:pStyle w:val="FootnoteText"/>
      </w:pPr>
      <w:r>
        <w:rPr>
          <w:rStyle w:val="FootnoteReference"/>
        </w:rPr>
        <w:footnoteRef/>
      </w:r>
      <w:r>
        <w:t xml:space="preserve"> </w:t>
      </w:r>
      <w:r>
        <w:rPr>
          <w:i/>
        </w:rPr>
        <w:t>Iturralde v. Comptroller of Currency</w:t>
      </w:r>
      <w:r>
        <w:t>, 315 F.3d 311, 315 (D.C. Cir. 2003).</w:t>
      </w:r>
    </w:p>
  </w:footnote>
  <w:footnote w:id="26">
    <w:p w14:paraId="7F1D83E5" w14:textId="25A0AFEF" w:rsidR="00EA70A3" w:rsidRDefault="00EA70A3">
      <w:pPr>
        <w:pStyle w:val="FootnoteText"/>
      </w:pPr>
      <w:r>
        <w:rPr>
          <w:rStyle w:val="FootnoteReference"/>
        </w:rPr>
        <w:footnoteRef/>
      </w:r>
      <w:r>
        <w:t xml:space="preserve"> E-mail from Andrew Becker to Ryan Yates, Attorney Advisor, Federal Communications Commission (Mar. 20, 2017, 5:02 PM).</w:t>
      </w:r>
    </w:p>
  </w:footnote>
  <w:footnote w:id="27">
    <w:p w14:paraId="160A8CA1" w14:textId="48931D0C" w:rsidR="00A273D3" w:rsidRPr="00A273D3" w:rsidRDefault="00A273D3">
      <w:pPr>
        <w:pStyle w:val="FootnoteText"/>
      </w:pPr>
      <w:r>
        <w:rPr>
          <w:rStyle w:val="FootnoteReference"/>
        </w:rPr>
        <w:footnoteRef/>
      </w:r>
      <w:r>
        <w:t xml:space="preserve"> </w:t>
      </w:r>
      <w:r>
        <w:rPr>
          <w:i/>
        </w:rPr>
        <w:t>Nurse v. Secretary of the Air Force</w:t>
      </w:r>
      <w:r>
        <w:t>, 231 F. Supp. 2d 323, 330 (D.D.C. 2002).</w:t>
      </w:r>
    </w:p>
  </w:footnote>
  <w:footnote w:id="28">
    <w:p w14:paraId="1F1441EF" w14:textId="2C1363E0" w:rsidR="00BB714A" w:rsidRDefault="00BB714A" w:rsidP="00BB714A">
      <w:pPr>
        <w:pStyle w:val="NormalWeb"/>
        <w:spacing w:before="0" w:beforeAutospacing="0" w:after="0" w:afterAutospacing="0"/>
      </w:pPr>
      <w:r w:rsidRPr="00F10F9A">
        <w:rPr>
          <w:rStyle w:val="FootnoteReference"/>
          <w:szCs w:val="20"/>
        </w:rPr>
        <w:footnoteRef/>
      </w:r>
      <w:r w:rsidRPr="00F10F9A">
        <w:rPr>
          <w:sz w:val="20"/>
          <w:szCs w:val="20"/>
        </w:rPr>
        <w:t xml:space="preserve"> </w:t>
      </w:r>
      <w:r>
        <w:rPr>
          <w:sz w:val="20"/>
          <w:szCs w:val="20"/>
        </w:rPr>
        <w:t xml:space="preserve">We note that as part of the Open Government Act of 2007, the Office of Government Information Services (OGIS) was created to offer mediation services to resolve disputes between FOIA requesters and Federal agencies as a non-exclusive alternative to litigation.  Using OGIS services does not affect </w:t>
      </w:r>
      <w:r w:rsidR="004836C0">
        <w:rPr>
          <w:sz w:val="20"/>
          <w:szCs w:val="20"/>
        </w:rPr>
        <w:t>a FOIA requester’s</w:t>
      </w:r>
      <w:r>
        <w:rPr>
          <w:sz w:val="20"/>
          <w:szCs w:val="20"/>
        </w:rPr>
        <w:t xml:space="preserve"> right to pursue litigation.  OGIS</w:t>
      </w:r>
      <w:r w:rsidR="004836C0">
        <w:rPr>
          <w:sz w:val="20"/>
          <w:szCs w:val="20"/>
        </w:rPr>
        <w:t xml:space="preserve"> may be contacted</w:t>
      </w:r>
      <w:r>
        <w:rPr>
          <w:sz w:val="20"/>
          <w:szCs w:val="20"/>
        </w:rPr>
        <w:t xml:space="preserve"> in any of the following ways: </w:t>
      </w:r>
    </w:p>
    <w:p w14:paraId="673228F1" w14:textId="77777777" w:rsidR="00BB714A" w:rsidRDefault="00BB714A" w:rsidP="00BB714A">
      <w:pPr>
        <w:pStyle w:val="NormalWeb"/>
        <w:ind w:left="1440"/>
      </w:pPr>
      <w:r w:rsidRPr="00BB714A">
        <w:rPr>
          <w:sz w:val="20"/>
          <w:szCs w:val="20"/>
        </w:rPr>
        <w:t xml:space="preserve">Office of Government Information Services </w:t>
      </w:r>
      <w:r w:rsidRPr="00BB714A">
        <w:rPr>
          <w:sz w:val="20"/>
          <w:szCs w:val="20"/>
        </w:rPr>
        <w:br/>
        <w:t xml:space="preserve">National Archives and Records Administration </w:t>
      </w:r>
      <w:r w:rsidRPr="00BB714A">
        <w:rPr>
          <w:sz w:val="20"/>
          <w:szCs w:val="20"/>
        </w:rPr>
        <w:br/>
        <w:t xml:space="preserve">Room 2510 </w:t>
      </w:r>
      <w:r w:rsidRPr="00BB714A">
        <w:rPr>
          <w:sz w:val="20"/>
          <w:szCs w:val="20"/>
        </w:rPr>
        <w:br/>
        <w:t xml:space="preserve">8601 Adelphi Road </w:t>
      </w:r>
      <w:r w:rsidRPr="00BB714A">
        <w:rPr>
          <w:sz w:val="20"/>
          <w:szCs w:val="20"/>
        </w:rPr>
        <w:br/>
        <w:t xml:space="preserve">College Park, MD 20740-6001 </w:t>
      </w:r>
      <w:r w:rsidRPr="00BB714A">
        <w:rPr>
          <w:sz w:val="20"/>
          <w:szCs w:val="20"/>
        </w:rPr>
        <w:br/>
        <w:t xml:space="preserve">E-mail: ogis@nara.gov </w:t>
      </w:r>
      <w:r w:rsidRPr="00BB714A">
        <w:rPr>
          <w:sz w:val="20"/>
          <w:szCs w:val="20"/>
        </w:rPr>
        <w:br/>
        <w:t xml:space="preserve">Telephone: 301-837-1996 </w:t>
      </w:r>
      <w:r w:rsidRPr="00BB714A">
        <w:rPr>
          <w:sz w:val="20"/>
          <w:szCs w:val="20"/>
        </w:rPr>
        <w:br/>
        <w:t xml:space="preserve">Facsimile: 301-837-0348 </w:t>
      </w:r>
      <w:r w:rsidRPr="00BB714A">
        <w:rPr>
          <w:sz w:val="20"/>
          <w:szCs w:val="20"/>
        </w:rPr>
        <w:br/>
        <w:t>Toll-free: 1-877-684-6448.</w:t>
      </w:r>
      <w:r>
        <w:b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147012" w14:textId="77777777" w:rsidR="0014750A" w:rsidRDefault="0014750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45ABBB" w14:textId="4896D848" w:rsidR="00D25FB5" w:rsidRDefault="00D25FB5" w:rsidP="00810B6F">
    <w:pPr>
      <w:pStyle w:val="Header"/>
      <w:rPr>
        <w:b w:val="0"/>
      </w:rPr>
    </w:pPr>
    <w:r>
      <w:tab/>
      <w:t>Federal Communications Commission</w:t>
    </w:r>
    <w:r>
      <w:tab/>
    </w:r>
    <w:r w:rsidR="00B274C1">
      <w:t>FCC 17-110</w:t>
    </w:r>
  </w:p>
  <w:p w14:paraId="58D9E765" w14:textId="1699D302" w:rsidR="00D25FB5" w:rsidRDefault="00D06528">
    <w:pPr>
      <w:tabs>
        <w:tab w:val="left" w:pos="-720"/>
      </w:tabs>
      <w:suppressAutoHyphens/>
      <w:spacing w:line="19" w:lineRule="exact"/>
      <w:rPr>
        <w:spacing w:val="-2"/>
      </w:rPr>
    </w:pPr>
    <w:r>
      <w:rPr>
        <w:noProof/>
      </w:rPr>
      <mc:AlternateContent>
        <mc:Choice Requires="wps">
          <w:drawing>
            <wp:anchor distT="0" distB="0" distL="114300" distR="114300" simplePos="0" relativeHeight="251657216" behindDoc="1" locked="0" layoutInCell="0" allowOverlap="1" wp14:anchorId="449E8765" wp14:editId="015AE1EC">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257D203B"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3A8EEBF4" w14:textId="77777777"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F61706" w14:textId="2B6536DF" w:rsidR="00D25FB5" w:rsidRDefault="00D06528" w:rsidP="00810B6F">
    <w:pPr>
      <w:pStyle w:val="Header"/>
      <w:rPr>
        <w:b w:val="0"/>
      </w:rPr>
    </w:pPr>
    <w:r>
      <w:rPr>
        <w:noProof/>
      </w:rPr>
      <mc:AlternateContent>
        <mc:Choice Requires="wps">
          <w:drawing>
            <wp:anchor distT="0" distB="0" distL="114300" distR="114300" simplePos="0" relativeHeight="251658240" behindDoc="1" locked="0" layoutInCell="0" allowOverlap="1" wp14:anchorId="10BD11CC" wp14:editId="2C00C7C4">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rect w14:anchorId="0766E254"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r w:rsidR="00D25FB5">
      <w:tab/>
      <w:t>Federal Communications Commission</w:t>
    </w:r>
    <w:r w:rsidR="00D25FB5">
      <w:tab/>
    </w:r>
    <w:r w:rsidR="00B274C1">
      <w:rPr>
        <w:spacing w:val="-2"/>
      </w:rPr>
      <w:t>FCC 17-110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 w:numId="8">
    <w:abstractNumId w:val="5"/>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843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14A"/>
    <w:rsid w:val="000226F1"/>
    <w:rsid w:val="00031ACC"/>
    <w:rsid w:val="00033A02"/>
    <w:rsid w:val="00036039"/>
    <w:rsid w:val="00037F90"/>
    <w:rsid w:val="000875BF"/>
    <w:rsid w:val="00095783"/>
    <w:rsid w:val="00096D8C"/>
    <w:rsid w:val="000A5557"/>
    <w:rsid w:val="000C0B65"/>
    <w:rsid w:val="000C52F3"/>
    <w:rsid w:val="000E05FE"/>
    <w:rsid w:val="000E3D42"/>
    <w:rsid w:val="00122BD5"/>
    <w:rsid w:val="00133F79"/>
    <w:rsid w:val="0014508F"/>
    <w:rsid w:val="0014750A"/>
    <w:rsid w:val="00153FB5"/>
    <w:rsid w:val="0017662B"/>
    <w:rsid w:val="00194A66"/>
    <w:rsid w:val="001D6BCF"/>
    <w:rsid w:val="001E01CA"/>
    <w:rsid w:val="001F289C"/>
    <w:rsid w:val="00242EB1"/>
    <w:rsid w:val="00246A46"/>
    <w:rsid w:val="002649EE"/>
    <w:rsid w:val="00275CF5"/>
    <w:rsid w:val="00277128"/>
    <w:rsid w:val="0028301F"/>
    <w:rsid w:val="00285017"/>
    <w:rsid w:val="002A2D2E"/>
    <w:rsid w:val="002A367A"/>
    <w:rsid w:val="002C00E8"/>
    <w:rsid w:val="00326BE6"/>
    <w:rsid w:val="00343749"/>
    <w:rsid w:val="003660ED"/>
    <w:rsid w:val="003819E1"/>
    <w:rsid w:val="0039358F"/>
    <w:rsid w:val="003A1B89"/>
    <w:rsid w:val="003B0550"/>
    <w:rsid w:val="003B694F"/>
    <w:rsid w:val="003C5247"/>
    <w:rsid w:val="003F171C"/>
    <w:rsid w:val="003F546F"/>
    <w:rsid w:val="003F718D"/>
    <w:rsid w:val="00412BCA"/>
    <w:rsid w:val="00412FC5"/>
    <w:rsid w:val="00416D36"/>
    <w:rsid w:val="00422276"/>
    <w:rsid w:val="004242F1"/>
    <w:rsid w:val="00436625"/>
    <w:rsid w:val="0044507B"/>
    <w:rsid w:val="00445A00"/>
    <w:rsid w:val="004509B1"/>
    <w:rsid w:val="00451B0F"/>
    <w:rsid w:val="00466D72"/>
    <w:rsid w:val="004701D1"/>
    <w:rsid w:val="004836C0"/>
    <w:rsid w:val="00484EE2"/>
    <w:rsid w:val="004C2EE3"/>
    <w:rsid w:val="004C6476"/>
    <w:rsid w:val="004E4A22"/>
    <w:rsid w:val="004F5577"/>
    <w:rsid w:val="00511968"/>
    <w:rsid w:val="00515F88"/>
    <w:rsid w:val="00534DA3"/>
    <w:rsid w:val="0055614C"/>
    <w:rsid w:val="005569B8"/>
    <w:rsid w:val="005C59E8"/>
    <w:rsid w:val="005E14C2"/>
    <w:rsid w:val="005E5C74"/>
    <w:rsid w:val="005F4B2B"/>
    <w:rsid w:val="00602A25"/>
    <w:rsid w:val="00607BA5"/>
    <w:rsid w:val="0061180A"/>
    <w:rsid w:val="00626EB6"/>
    <w:rsid w:val="00644314"/>
    <w:rsid w:val="00655D03"/>
    <w:rsid w:val="006572FB"/>
    <w:rsid w:val="00657C4C"/>
    <w:rsid w:val="00683388"/>
    <w:rsid w:val="00683F84"/>
    <w:rsid w:val="00685CFE"/>
    <w:rsid w:val="006A345A"/>
    <w:rsid w:val="006A6A81"/>
    <w:rsid w:val="006C7205"/>
    <w:rsid w:val="006F7393"/>
    <w:rsid w:val="00700628"/>
    <w:rsid w:val="0070224F"/>
    <w:rsid w:val="007115F7"/>
    <w:rsid w:val="00753E1F"/>
    <w:rsid w:val="00764B42"/>
    <w:rsid w:val="00782246"/>
    <w:rsid w:val="007839E9"/>
    <w:rsid w:val="00785689"/>
    <w:rsid w:val="0079754B"/>
    <w:rsid w:val="007A1E6D"/>
    <w:rsid w:val="007B0EB2"/>
    <w:rsid w:val="007B4774"/>
    <w:rsid w:val="00805D51"/>
    <w:rsid w:val="00810B6F"/>
    <w:rsid w:val="00815CD6"/>
    <w:rsid w:val="008213A7"/>
    <w:rsid w:val="00822CE0"/>
    <w:rsid w:val="00841AB1"/>
    <w:rsid w:val="00843D00"/>
    <w:rsid w:val="00883D79"/>
    <w:rsid w:val="008C21B4"/>
    <w:rsid w:val="008C68F1"/>
    <w:rsid w:val="008D2E34"/>
    <w:rsid w:val="00912B3F"/>
    <w:rsid w:val="009165D4"/>
    <w:rsid w:val="00921803"/>
    <w:rsid w:val="00926503"/>
    <w:rsid w:val="009726D8"/>
    <w:rsid w:val="009A1D74"/>
    <w:rsid w:val="009B2DAE"/>
    <w:rsid w:val="009D351A"/>
    <w:rsid w:val="009F76DB"/>
    <w:rsid w:val="00A153D2"/>
    <w:rsid w:val="00A22A36"/>
    <w:rsid w:val="00A273D3"/>
    <w:rsid w:val="00A32C3B"/>
    <w:rsid w:val="00A45F4F"/>
    <w:rsid w:val="00A600A9"/>
    <w:rsid w:val="00A921D6"/>
    <w:rsid w:val="00AA55B7"/>
    <w:rsid w:val="00AA5B9E"/>
    <w:rsid w:val="00AA7765"/>
    <w:rsid w:val="00AB215A"/>
    <w:rsid w:val="00AB2407"/>
    <w:rsid w:val="00AB53DF"/>
    <w:rsid w:val="00AB6C81"/>
    <w:rsid w:val="00B06DF3"/>
    <w:rsid w:val="00B07E5C"/>
    <w:rsid w:val="00B21477"/>
    <w:rsid w:val="00B274C1"/>
    <w:rsid w:val="00B53A7D"/>
    <w:rsid w:val="00B811F7"/>
    <w:rsid w:val="00B942DE"/>
    <w:rsid w:val="00BA5DC6"/>
    <w:rsid w:val="00BA6196"/>
    <w:rsid w:val="00BB714A"/>
    <w:rsid w:val="00BC6D8C"/>
    <w:rsid w:val="00BC7D27"/>
    <w:rsid w:val="00C34006"/>
    <w:rsid w:val="00C426B1"/>
    <w:rsid w:val="00C53DB2"/>
    <w:rsid w:val="00C66160"/>
    <w:rsid w:val="00C721AC"/>
    <w:rsid w:val="00C73DF2"/>
    <w:rsid w:val="00C90D6A"/>
    <w:rsid w:val="00C93AD3"/>
    <w:rsid w:val="00C94619"/>
    <w:rsid w:val="00CA247E"/>
    <w:rsid w:val="00CC72B6"/>
    <w:rsid w:val="00D0218D"/>
    <w:rsid w:val="00D06528"/>
    <w:rsid w:val="00D25FB5"/>
    <w:rsid w:val="00D44223"/>
    <w:rsid w:val="00D4636A"/>
    <w:rsid w:val="00D85B79"/>
    <w:rsid w:val="00D96173"/>
    <w:rsid w:val="00DA2529"/>
    <w:rsid w:val="00DB130A"/>
    <w:rsid w:val="00DB2EBB"/>
    <w:rsid w:val="00DC10A1"/>
    <w:rsid w:val="00DC1876"/>
    <w:rsid w:val="00DC655F"/>
    <w:rsid w:val="00DC7786"/>
    <w:rsid w:val="00DD0B59"/>
    <w:rsid w:val="00DD7EBD"/>
    <w:rsid w:val="00DF40C0"/>
    <w:rsid w:val="00DF62B6"/>
    <w:rsid w:val="00E04324"/>
    <w:rsid w:val="00E07225"/>
    <w:rsid w:val="00E208E4"/>
    <w:rsid w:val="00E35717"/>
    <w:rsid w:val="00E4160F"/>
    <w:rsid w:val="00E5409F"/>
    <w:rsid w:val="00E87770"/>
    <w:rsid w:val="00EA70A3"/>
    <w:rsid w:val="00EB761E"/>
    <w:rsid w:val="00EE6488"/>
    <w:rsid w:val="00F021FA"/>
    <w:rsid w:val="00F067BD"/>
    <w:rsid w:val="00F242FF"/>
    <w:rsid w:val="00F32D98"/>
    <w:rsid w:val="00F403CE"/>
    <w:rsid w:val="00F45205"/>
    <w:rsid w:val="00F4607A"/>
    <w:rsid w:val="00F62E97"/>
    <w:rsid w:val="00F64209"/>
    <w:rsid w:val="00F67E4B"/>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3F4DF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14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B714A"/>
    <w:rPr>
      <w:rFonts w:ascii="Times New Roman Bold" w:hAnsi="Times New Roman Bold"/>
      <w:b/>
      <w:caps/>
      <w:snapToGrid w:val="0"/>
      <w:kern w:val="28"/>
      <w:sz w:val="22"/>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BB714A"/>
  </w:style>
  <w:style w:type="paragraph" w:styleId="NormalWeb">
    <w:name w:val="Normal (Web)"/>
    <w:basedOn w:val="Normal"/>
    <w:uiPriority w:val="99"/>
    <w:unhideWhenUsed/>
    <w:rsid w:val="00BB714A"/>
    <w:pPr>
      <w:spacing w:before="100" w:beforeAutospacing="1" w:after="100" w:afterAutospacing="1"/>
    </w:pPr>
    <w:rPr>
      <w:sz w:val="24"/>
      <w:szCs w:val="24"/>
    </w:rPr>
  </w:style>
  <w:style w:type="character" w:styleId="CommentReference">
    <w:name w:val="annotation reference"/>
    <w:basedOn w:val="DefaultParagraphFont"/>
    <w:rsid w:val="00A921D6"/>
    <w:rPr>
      <w:sz w:val="16"/>
      <w:szCs w:val="16"/>
    </w:rPr>
  </w:style>
  <w:style w:type="paragraph" w:styleId="CommentText">
    <w:name w:val="annotation text"/>
    <w:basedOn w:val="Normal"/>
    <w:link w:val="CommentTextChar"/>
    <w:rsid w:val="00A921D6"/>
    <w:rPr>
      <w:sz w:val="20"/>
    </w:rPr>
  </w:style>
  <w:style w:type="character" w:customStyle="1" w:styleId="CommentTextChar">
    <w:name w:val="Comment Text Char"/>
    <w:basedOn w:val="DefaultParagraphFont"/>
    <w:link w:val="CommentText"/>
    <w:rsid w:val="00A921D6"/>
    <w:rPr>
      <w:snapToGrid w:val="0"/>
      <w:kern w:val="28"/>
    </w:rPr>
  </w:style>
  <w:style w:type="paragraph" w:styleId="CommentSubject">
    <w:name w:val="annotation subject"/>
    <w:basedOn w:val="CommentText"/>
    <w:next w:val="CommentText"/>
    <w:link w:val="CommentSubjectChar"/>
    <w:rsid w:val="00A921D6"/>
    <w:rPr>
      <w:b/>
      <w:bCs/>
    </w:rPr>
  </w:style>
  <w:style w:type="character" w:customStyle="1" w:styleId="CommentSubjectChar">
    <w:name w:val="Comment Subject Char"/>
    <w:basedOn w:val="CommentTextChar"/>
    <w:link w:val="CommentSubject"/>
    <w:rsid w:val="00A921D6"/>
    <w:rPr>
      <w:b/>
      <w:bCs/>
      <w:snapToGrid w:val="0"/>
      <w:kern w:val="28"/>
    </w:rPr>
  </w:style>
  <w:style w:type="paragraph" w:styleId="BalloonText">
    <w:name w:val="Balloon Text"/>
    <w:basedOn w:val="Normal"/>
    <w:link w:val="BalloonTextChar"/>
    <w:rsid w:val="00A921D6"/>
    <w:rPr>
      <w:rFonts w:ascii="Segoe UI" w:hAnsi="Segoe UI" w:cs="Segoe UI"/>
      <w:sz w:val="18"/>
      <w:szCs w:val="18"/>
    </w:rPr>
  </w:style>
  <w:style w:type="character" w:customStyle="1" w:styleId="BalloonTextChar">
    <w:name w:val="Balloon Text Char"/>
    <w:basedOn w:val="DefaultParagraphFont"/>
    <w:link w:val="BalloonText"/>
    <w:rsid w:val="00A921D6"/>
    <w:rPr>
      <w:rFonts w:ascii="Segoe UI" w:hAnsi="Segoe UI" w:cs="Segoe UI"/>
      <w:snapToGrid w:val="0"/>
      <w:kern w:val="28"/>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B714A"/>
    <w:pPr>
      <w:widowControl w:val="0"/>
    </w:pPr>
    <w:rPr>
      <w:snapToGrid w:val="0"/>
      <w:kern w:val="28"/>
      <w:sz w:val="22"/>
    </w:rPr>
  </w:style>
  <w:style w:type="paragraph" w:styleId="Heading1">
    <w:name w:val="heading 1"/>
    <w:basedOn w:val="Normal"/>
    <w:next w:val="ParaNum"/>
    <w:link w:val="Heading1Char"/>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1,Footnote Text Char7 Char,Footnote Text Char4 Char1 Char,Footnote Text Char Char Char4 Char,Footnote Text Char7 Char Char Char Char,Footnote Text Char4 Char1 Char Char Char Char,Footnote Text Char3"/>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Heading1Char">
    <w:name w:val="Heading 1 Char"/>
    <w:link w:val="Heading1"/>
    <w:rsid w:val="00BB714A"/>
    <w:rPr>
      <w:rFonts w:ascii="Times New Roman Bold" w:hAnsi="Times New Roman Bold"/>
      <w:b/>
      <w:caps/>
      <w:snapToGrid w:val="0"/>
      <w:kern w:val="28"/>
      <w:sz w:val="22"/>
    </w:rPr>
  </w:style>
  <w:style w:type="character" w:customStyle="1" w:styleId="FootnoteTextChar">
    <w:name w:val="Footnote Text Char"/>
    <w:aliases w:val="Footnote Text Char1 Char,Footnote Text Char7 Char Char,Footnote Text Char4 Char1 Char Char,Footnote Text Char Char Char4 Char Char,Footnote Text Char7 Char Char Char Char Char,Footnote Text Char4 Char1 Char Char Char Char Char"/>
    <w:link w:val="FootnoteText"/>
    <w:rsid w:val="00BB714A"/>
  </w:style>
  <w:style w:type="paragraph" w:styleId="NormalWeb">
    <w:name w:val="Normal (Web)"/>
    <w:basedOn w:val="Normal"/>
    <w:uiPriority w:val="99"/>
    <w:unhideWhenUsed/>
    <w:rsid w:val="00BB714A"/>
    <w:pPr>
      <w:spacing w:before="100" w:beforeAutospacing="1" w:after="100" w:afterAutospacing="1"/>
    </w:pPr>
    <w:rPr>
      <w:sz w:val="24"/>
      <w:szCs w:val="24"/>
    </w:rPr>
  </w:style>
  <w:style w:type="character" w:styleId="CommentReference">
    <w:name w:val="annotation reference"/>
    <w:basedOn w:val="DefaultParagraphFont"/>
    <w:rsid w:val="00A921D6"/>
    <w:rPr>
      <w:sz w:val="16"/>
      <w:szCs w:val="16"/>
    </w:rPr>
  </w:style>
  <w:style w:type="paragraph" w:styleId="CommentText">
    <w:name w:val="annotation text"/>
    <w:basedOn w:val="Normal"/>
    <w:link w:val="CommentTextChar"/>
    <w:rsid w:val="00A921D6"/>
    <w:rPr>
      <w:sz w:val="20"/>
    </w:rPr>
  </w:style>
  <w:style w:type="character" w:customStyle="1" w:styleId="CommentTextChar">
    <w:name w:val="Comment Text Char"/>
    <w:basedOn w:val="DefaultParagraphFont"/>
    <w:link w:val="CommentText"/>
    <w:rsid w:val="00A921D6"/>
    <w:rPr>
      <w:snapToGrid w:val="0"/>
      <w:kern w:val="28"/>
    </w:rPr>
  </w:style>
  <w:style w:type="paragraph" w:styleId="CommentSubject">
    <w:name w:val="annotation subject"/>
    <w:basedOn w:val="CommentText"/>
    <w:next w:val="CommentText"/>
    <w:link w:val="CommentSubjectChar"/>
    <w:rsid w:val="00A921D6"/>
    <w:rPr>
      <w:b/>
      <w:bCs/>
    </w:rPr>
  </w:style>
  <w:style w:type="character" w:customStyle="1" w:styleId="CommentSubjectChar">
    <w:name w:val="Comment Subject Char"/>
    <w:basedOn w:val="CommentTextChar"/>
    <w:link w:val="CommentSubject"/>
    <w:rsid w:val="00A921D6"/>
    <w:rPr>
      <w:b/>
      <w:bCs/>
      <w:snapToGrid w:val="0"/>
      <w:kern w:val="28"/>
    </w:rPr>
  </w:style>
  <w:style w:type="paragraph" w:styleId="BalloonText">
    <w:name w:val="Balloon Text"/>
    <w:basedOn w:val="Normal"/>
    <w:link w:val="BalloonTextChar"/>
    <w:rsid w:val="00A921D6"/>
    <w:rPr>
      <w:rFonts w:ascii="Segoe UI" w:hAnsi="Segoe UI" w:cs="Segoe UI"/>
      <w:sz w:val="18"/>
      <w:szCs w:val="18"/>
    </w:rPr>
  </w:style>
  <w:style w:type="character" w:customStyle="1" w:styleId="BalloonTextChar">
    <w:name w:val="Balloon Text Char"/>
    <w:basedOn w:val="DefaultParagraphFont"/>
    <w:link w:val="BalloonText"/>
    <w:rsid w:val="00A921D6"/>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76732">
      <w:bodyDiv w:val="1"/>
      <w:marLeft w:val="0"/>
      <w:marRight w:val="0"/>
      <w:marTop w:val="0"/>
      <w:marBottom w:val="0"/>
      <w:divBdr>
        <w:top w:val="none" w:sz="0" w:space="0" w:color="auto"/>
        <w:left w:val="none" w:sz="0" w:space="0" w:color="auto"/>
        <w:bottom w:val="none" w:sz="0" w:space="0" w:color="auto"/>
        <w:right w:val="none" w:sz="0" w:space="0" w:color="auto"/>
      </w:divBdr>
    </w:div>
    <w:div w:id="627666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1371</Words>
  <Characters>7591</Characters>
  <Application>Microsoft Office Word</Application>
  <DocSecurity>0</DocSecurity>
  <Lines>153</Lines>
  <Paragraphs>39</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9002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2017-04-18T18:08:00Z</cp:lastPrinted>
  <dcterms:created xsi:type="dcterms:W3CDTF">2017-08-10T15:49:00Z</dcterms:created>
  <dcterms:modified xsi:type="dcterms:W3CDTF">2017-08-10T15:49:00Z</dcterms:modified>
  <cp:category> </cp:category>
  <cp:contentStatus> </cp:contentStatus>
</cp:coreProperties>
</file>