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Pr="00BB229F" w:rsidRDefault="004C2EE3">
      <w:pPr>
        <w:jc w:val="center"/>
        <w:rPr>
          <w:b/>
        </w:rPr>
      </w:pPr>
      <w:bookmarkStart w:id="0" w:name="_GoBack"/>
      <w:bookmarkEnd w:id="0"/>
      <w:r w:rsidRPr="00BB229F">
        <w:rPr>
          <w:rFonts w:ascii="Times New Roman Bold" w:hAnsi="Times New Roman Bold"/>
          <w:b/>
          <w:kern w:val="0"/>
          <w:szCs w:val="22"/>
        </w:rPr>
        <w:t>Before</w:t>
      </w:r>
      <w:r w:rsidRPr="00BB229F">
        <w:rPr>
          <w:b/>
        </w:rPr>
        <w:t xml:space="preserve"> the</w:t>
      </w:r>
    </w:p>
    <w:p w:rsidR="00921803" w:rsidRPr="00BB229F" w:rsidRDefault="00921803" w:rsidP="00921803">
      <w:pPr>
        <w:pStyle w:val="StyleBoldCentered"/>
      </w:pPr>
      <w:r w:rsidRPr="00BB229F">
        <w:t>F</w:t>
      </w:r>
      <w:r w:rsidRPr="00BB229F">
        <w:rPr>
          <w:caps w:val="0"/>
        </w:rPr>
        <w:t>ederal Communications Commission</w:t>
      </w:r>
    </w:p>
    <w:p w:rsidR="004C2EE3" w:rsidRPr="00BB229F" w:rsidRDefault="00DA0A0A" w:rsidP="00096D8C">
      <w:pPr>
        <w:pStyle w:val="StyleBoldCentered"/>
      </w:pPr>
      <w:r w:rsidRPr="00BB229F">
        <w:rPr>
          <w:caps w:val="0"/>
        </w:rPr>
        <w:t>Washington, DC</w:t>
      </w:r>
      <w:r w:rsidR="00810B6F" w:rsidRPr="00BB229F">
        <w:rPr>
          <w:caps w:val="0"/>
        </w:rPr>
        <w:t xml:space="preserve"> 20554</w:t>
      </w:r>
    </w:p>
    <w:p w:rsidR="004C2EE3" w:rsidRPr="00BB229F" w:rsidRDefault="004C2EE3" w:rsidP="0070224F"/>
    <w:p w:rsidR="004C2EE3" w:rsidRPr="00BB229F" w:rsidRDefault="004C2EE3" w:rsidP="0070224F"/>
    <w:tbl>
      <w:tblPr>
        <w:tblW w:w="0" w:type="auto"/>
        <w:tblLayout w:type="fixed"/>
        <w:tblLook w:val="0000" w:firstRow="0" w:lastRow="0" w:firstColumn="0" w:lastColumn="0" w:noHBand="0" w:noVBand="0"/>
      </w:tblPr>
      <w:tblGrid>
        <w:gridCol w:w="4698"/>
        <w:gridCol w:w="630"/>
        <w:gridCol w:w="4248"/>
      </w:tblGrid>
      <w:tr w:rsidR="004C2EE3" w:rsidRPr="00BB229F">
        <w:tc>
          <w:tcPr>
            <w:tcW w:w="4698" w:type="dxa"/>
          </w:tcPr>
          <w:p w:rsidR="004C2EE3" w:rsidRPr="00BB229F" w:rsidRDefault="004C2EE3">
            <w:pPr>
              <w:tabs>
                <w:tab w:val="center" w:pos="4680"/>
              </w:tabs>
              <w:suppressAutoHyphens/>
              <w:rPr>
                <w:spacing w:val="-2"/>
              </w:rPr>
            </w:pPr>
            <w:r w:rsidRPr="00BB229F">
              <w:rPr>
                <w:spacing w:val="-2"/>
              </w:rPr>
              <w:t>In the Matter of</w:t>
            </w:r>
          </w:p>
          <w:p w:rsidR="004C2EE3" w:rsidRPr="00BB229F" w:rsidRDefault="004C2EE3">
            <w:pPr>
              <w:tabs>
                <w:tab w:val="center" w:pos="4680"/>
              </w:tabs>
              <w:suppressAutoHyphens/>
              <w:rPr>
                <w:spacing w:val="-2"/>
              </w:rPr>
            </w:pPr>
          </w:p>
          <w:p w:rsidR="004C2EE3" w:rsidRPr="00BB229F" w:rsidRDefault="00DA0A0A" w:rsidP="007115F7">
            <w:pPr>
              <w:tabs>
                <w:tab w:val="center" w:pos="4680"/>
              </w:tabs>
              <w:suppressAutoHyphens/>
              <w:rPr>
                <w:spacing w:val="-2"/>
              </w:rPr>
            </w:pPr>
            <w:r w:rsidRPr="00BB229F">
              <w:rPr>
                <w:spacing w:val="-2"/>
              </w:rPr>
              <w:t>Assessment and Collection of Regulatory Fees</w:t>
            </w:r>
          </w:p>
          <w:p w:rsidR="00DA0A0A" w:rsidRPr="00BB229F" w:rsidRDefault="00DA0A0A" w:rsidP="007115F7">
            <w:pPr>
              <w:tabs>
                <w:tab w:val="center" w:pos="4680"/>
              </w:tabs>
              <w:suppressAutoHyphens/>
              <w:rPr>
                <w:spacing w:val="-2"/>
              </w:rPr>
            </w:pPr>
            <w:r w:rsidRPr="00BB229F">
              <w:rPr>
                <w:spacing w:val="-2"/>
              </w:rPr>
              <w:t>For Fiscal Year 2017</w:t>
            </w:r>
          </w:p>
        </w:tc>
        <w:tc>
          <w:tcPr>
            <w:tcW w:w="630" w:type="dxa"/>
          </w:tcPr>
          <w:p w:rsidR="004C2EE3" w:rsidRPr="00BB229F" w:rsidRDefault="004C2EE3">
            <w:pPr>
              <w:tabs>
                <w:tab w:val="center" w:pos="4680"/>
              </w:tabs>
              <w:suppressAutoHyphens/>
              <w:rPr>
                <w:b/>
                <w:spacing w:val="-2"/>
              </w:rPr>
            </w:pPr>
            <w:r w:rsidRPr="00BB229F">
              <w:rPr>
                <w:b/>
                <w:spacing w:val="-2"/>
              </w:rPr>
              <w:t>)</w:t>
            </w:r>
          </w:p>
          <w:p w:rsidR="004C2EE3" w:rsidRPr="00BB229F" w:rsidRDefault="004C2EE3">
            <w:pPr>
              <w:tabs>
                <w:tab w:val="center" w:pos="4680"/>
              </w:tabs>
              <w:suppressAutoHyphens/>
              <w:rPr>
                <w:b/>
                <w:spacing w:val="-2"/>
              </w:rPr>
            </w:pPr>
            <w:r w:rsidRPr="00BB229F">
              <w:rPr>
                <w:b/>
                <w:spacing w:val="-2"/>
              </w:rPr>
              <w:t>)</w:t>
            </w:r>
          </w:p>
          <w:p w:rsidR="004C2EE3" w:rsidRPr="00BB229F" w:rsidRDefault="004C2EE3">
            <w:pPr>
              <w:tabs>
                <w:tab w:val="center" w:pos="4680"/>
              </w:tabs>
              <w:suppressAutoHyphens/>
              <w:rPr>
                <w:b/>
                <w:spacing w:val="-2"/>
              </w:rPr>
            </w:pPr>
            <w:r w:rsidRPr="00BB229F">
              <w:rPr>
                <w:b/>
                <w:spacing w:val="-2"/>
              </w:rPr>
              <w:t>)</w:t>
            </w:r>
          </w:p>
          <w:p w:rsidR="004C2EE3" w:rsidRPr="00BB229F" w:rsidRDefault="004C2EE3">
            <w:pPr>
              <w:tabs>
                <w:tab w:val="center" w:pos="4680"/>
              </w:tabs>
              <w:suppressAutoHyphens/>
              <w:rPr>
                <w:b/>
                <w:spacing w:val="-2"/>
              </w:rPr>
            </w:pPr>
            <w:r w:rsidRPr="00BB229F">
              <w:rPr>
                <w:b/>
                <w:spacing w:val="-2"/>
              </w:rPr>
              <w:t>)</w:t>
            </w:r>
          </w:p>
          <w:p w:rsidR="004C2EE3" w:rsidRPr="00BB229F" w:rsidRDefault="004C2EE3">
            <w:pPr>
              <w:tabs>
                <w:tab w:val="center" w:pos="4680"/>
              </w:tabs>
              <w:suppressAutoHyphens/>
              <w:rPr>
                <w:b/>
                <w:spacing w:val="-2"/>
              </w:rPr>
            </w:pPr>
            <w:r w:rsidRPr="00BB229F">
              <w:rPr>
                <w:b/>
                <w:spacing w:val="-2"/>
              </w:rPr>
              <w:t>)</w:t>
            </w:r>
          </w:p>
          <w:p w:rsidR="004C2EE3" w:rsidRPr="00BB229F" w:rsidRDefault="004C2EE3">
            <w:pPr>
              <w:tabs>
                <w:tab w:val="center" w:pos="4680"/>
              </w:tabs>
              <w:suppressAutoHyphens/>
              <w:rPr>
                <w:spacing w:val="-2"/>
              </w:rPr>
            </w:pPr>
          </w:p>
        </w:tc>
        <w:tc>
          <w:tcPr>
            <w:tcW w:w="4248" w:type="dxa"/>
          </w:tcPr>
          <w:p w:rsidR="004C2EE3" w:rsidRPr="00BB229F" w:rsidRDefault="004C2EE3">
            <w:pPr>
              <w:tabs>
                <w:tab w:val="center" w:pos="4680"/>
              </w:tabs>
              <w:suppressAutoHyphens/>
              <w:rPr>
                <w:spacing w:val="-2"/>
              </w:rPr>
            </w:pPr>
          </w:p>
          <w:p w:rsidR="004C2EE3" w:rsidRPr="00BB229F" w:rsidRDefault="004C2EE3">
            <w:pPr>
              <w:pStyle w:val="TOAHeading"/>
              <w:tabs>
                <w:tab w:val="clear" w:pos="9360"/>
                <w:tab w:val="center" w:pos="4680"/>
              </w:tabs>
              <w:rPr>
                <w:spacing w:val="-2"/>
              </w:rPr>
            </w:pPr>
          </w:p>
          <w:p w:rsidR="004C2EE3" w:rsidRPr="00BB229F" w:rsidRDefault="00DA0A0A">
            <w:pPr>
              <w:tabs>
                <w:tab w:val="center" w:pos="4680"/>
              </w:tabs>
              <w:suppressAutoHyphens/>
              <w:rPr>
                <w:spacing w:val="-2"/>
              </w:rPr>
            </w:pPr>
            <w:r w:rsidRPr="00BB229F">
              <w:rPr>
                <w:spacing w:val="-2"/>
              </w:rPr>
              <w:t>MD Docket No. 17-134</w:t>
            </w:r>
          </w:p>
        </w:tc>
      </w:tr>
    </w:tbl>
    <w:p w:rsidR="004C2EE3" w:rsidRPr="00BB229F" w:rsidRDefault="004C2EE3" w:rsidP="0070224F"/>
    <w:p w:rsidR="00841AB1" w:rsidRPr="00BB229F" w:rsidRDefault="00DA0A0A" w:rsidP="00F021FA">
      <w:pPr>
        <w:pStyle w:val="StyleBoldCentered"/>
      </w:pPr>
      <w:r w:rsidRPr="00BB229F">
        <w:t>Report and order</w:t>
      </w:r>
      <w:r w:rsidR="0058575D" w:rsidRPr="00BB229F">
        <w:t xml:space="preserve"> and further notice of proposed rulemaking</w:t>
      </w:r>
    </w:p>
    <w:p w:rsidR="004C2EE3" w:rsidRPr="00BB229F" w:rsidRDefault="004C2EE3">
      <w:pPr>
        <w:tabs>
          <w:tab w:val="left" w:pos="-720"/>
        </w:tabs>
        <w:suppressAutoHyphens/>
        <w:spacing w:line="227" w:lineRule="auto"/>
        <w:rPr>
          <w:spacing w:val="-2"/>
        </w:rPr>
      </w:pPr>
    </w:p>
    <w:p w:rsidR="004C2EE3" w:rsidRPr="00BB229F" w:rsidRDefault="004C2EE3" w:rsidP="00133F79">
      <w:pPr>
        <w:tabs>
          <w:tab w:val="left" w:pos="720"/>
          <w:tab w:val="right" w:pos="9360"/>
        </w:tabs>
        <w:suppressAutoHyphens/>
        <w:spacing w:line="227" w:lineRule="auto"/>
        <w:rPr>
          <w:b/>
          <w:spacing w:val="-2"/>
        </w:rPr>
      </w:pPr>
      <w:r w:rsidRPr="00BB229F">
        <w:rPr>
          <w:b/>
          <w:spacing w:val="-2"/>
        </w:rPr>
        <w:t xml:space="preserve">Adopted:  </w:t>
      </w:r>
      <w:r w:rsidR="002B59B3">
        <w:rPr>
          <w:b/>
          <w:spacing w:val="-2"/>
        </w:rPr>
        <w:t>September 1, 2017</w:t>
      </w:r>
      <w:r w:rsidRPr="00BB229F">
        <w:rPr>
          <w:b/>
          <w:spacing w:val="-2"/>
        </w:rPr>
        <w:tab/>
      </w:r>
      <w:r w:rsidR="00822CE0" w:rsidRPr="00BB229F">
        <w:rPr>
          <w:b/>
          <w:spacing w:val="-2"/>
        </w:rPr>
        <w:t>Released</w:t>
      </w:r>
      <w:r w:rsidRPr="00BB229F">
        <w:rPr>
          <w:b/>
          <w:spacing w:val="-2"/>
        </w:rPr>
        <w:t>:</w:t>
      </w:r>
      <w:r w:rsidR="00822CE0" w:rsidRPr="00BB229F">
        <w:rPr>
          <w:b/>
          <w:spacing w:val="-2"/>
        </w:rPr>
        <w:t xml:space="preserve"> </w:t>
      </w:r>
      <w:r w:rsidRPr="00BB229F">
        <w:rPr>
          <w:b/>
          <w:spacing w:val="-2"/>
        </w:rPr>
        <w:t xml:space="preserve"> </w:t>
      </w:r>
      <w:r w:rsidR="002B59B3">
        <w:rPr>
          <w:b/>
          <w:spacing w:val="-2"/>
        </w:rPr>
        <w:t>September 5, 2017</w:t>
      </w:r>
    </w:p>
    <w:p w:rsidR="007831D9" w:rsidRPr="00BB229F" w:rsidRDefault="007831D9" w:rsidP="00133F79">
      <w:pPr>
        <w:tabs>
          <w:tab w:val="left" w:pos="720"/>
          <w:tab w:val="right" w:pos="9360"/>
        </w:tabs>
        <w:suppressAutoHyphens/>
        <w:spacing w:line="227" w:lineRule="auto"/>
        <w:rPr>
          <w:b/>
          <w:spacing w:val="-2"/>
        </w:rPr>
      </w:pPr>
    </w:p>
    <w:p w:rsidR="007831D9" w:rsidRPr="00BB229F" w:rsidRDefault="007831D9" w:rsidP="00133F79">
      <w:pPr>
        <w:tabs>
          <w:tab w:val="left" w:pos="720"/>
          <w:tab w:val="right" w:pos="9360"/>
        </w:tabs>
        <w:suppressAutoHyphens/>
        <w:spacing w:line="227" w:lineRule="auto"/>
        <w:rPr>
          <w:b/>
          <w:spacing w:val="-2"/>
        </w:rPr>
      </w:pPr>
      <w:r w:rsidRPr="00BB229F">
        <w:rPr>
          <w:b/>
          <w:spacing w:val="-2"/>
        </w:rPr>
        <w:t>Comment Date:</w:t>
      </w:r>
      <w:r w:rsidR="00B30932" w:rsidRPr="00BB229F">
        <w:rPr>
          <w:b/>
          <w:spacing w:val="-2"/>
        </w:rPr>
        <w:t xml:space="preserve"> [[30 days after Federal Register Publication]]</w:t>
      </w:r>
    </w:p>
    <w:p w:rsidR="007831D9" w:rsidRPr="00BB229F" w:rsidRDefault="007831D9" w:rsidP="00133F79">
      <w:pPr>
        <w:tabs>
          <w:tab w:val="left" w:pos="720"/>
          <w:tab w:val="right" w:pos="9360"/>
        </w:tabs>
        <w:suppressAutoHyphens/>
        <w:spacing w:line="227" w:lineRule="auto"/>
        <w:rPr>
          <w:b/>
          <w:spacing w:val="-2"/>
        </w:rPr>
      </w:pPr>
      <w:r w:rsidRPr="00BB229F">
        <w:rPr>
          <w:b/>
          <w:spacing w:val="-2"/>
        </w:rPr>
        <w:t>Reply Comment Date:</w:t>
      </w:r>
      <w:r w:rsidR="00B30932" w:rsidRPr="00BB229F">
        <w:rPr>
          <w:b/>
          <w:spacing w:val="-2"/>
        </w:rPr>
        <w:t xml:space="preserve"> [[45 days after Federal Register Publication]]</w:t>
      </w:r>
    </w:p>
    <w:p w:rsidR="00AD0B4D" w:rsidRPr="00BB229F" w:rsidRDefault="00AD0B4D" w:rsidP="00133F79">
      <w:pPr>
        <w:tabs>
          <w:tab w:val="left" w:pos="720"/>
          <w:tab w:val="right" w:pos="9360"/>
        </w:tabs>
        <w:suppressAutoHyphens/>
        <w:spacing w:line="227" w:lineRule="auto"/>
        <w:rPr>
          <w:b/>
          <w:spacing w:val="-2"/>
        </w:rPr>
      </w:pPr>
    </w:p>
    <w:p w:rsidR="002B59B3" w:rsidRPr="00072C2B" w:rsidRDefault="00AD0B4D" w:rsidP="002B59B3">
      <w:pPr>
        <w:tabs>
          <w:tab w:val="left" w:pos="720"/>
          <w:tab w:val="right" w:pos="9360"/>
        </w:tabs>
        <w:suppressAutoHyphens/>
        <w:spacing w:line="227" w:lineRule="auto"/>
        <w:rPr>
          <w:spacing w:val="-2"/>
        </w:rPr>
      </w:pPr>
      <w:r w:rsidRPr="00BB229F">
        <w:rPr>
          <w:b/>
          <w:spacing w:val="-2"/>
        </w:rPr>
        <w:t>By the Commission:</w:t>
      </w:r>
      <w:r w:rsidR="002B59B3">
        <w:rPr>
          <w:b/>
          <w:spacing w:val="-2"/>
        </w:rPr>
        <w:t xml:space="preserve"> </w:t>
      </w:r>
      <w:r w:rsidR="002B59B3">
        <w:t xml:space="preserve">Commissioner O’Rielly </w:t>
      </w:r>
      <w:r w:rsidR="005F327C">
        <w:t>approving i</w:t>
      </w:r>
      <w:r w:rsidR="002B59B3">
        <w:t>n part and dissenting in part, and issuing a statement.</w:t>
      </w:r>
    </w:p>
    <w:p w:rsidR="00AD0B4D" w:rsidRPr="002B59B3" w:rsidRDefault="00AD0B4D" w:rsidP="00133F79">
      <w:pPr>
        <w:tabs>
          <w:tab w:val="left" w:pos="720"/>
          <w:tab w:val="right" w:pos="9360"/>
        </w:tabs>
        <w:suppressAutoHyphens/>
        <w:spacing w:line="227" w:lineRule="auto"/>
        <w:rPr>
          <w:spacing w:val="-2"/>
        </w:rPr>
      </w:pPr>
    </w:p>
    <w:sdt>
      <w:sdtPr>
        <w:rPr>
          <w:rFonts w:ascii="Times New Roman" w:eastAsia="Times New Roman" w:hAnsi="Times New Roman" w:cs="Times New Roman"/>
          <w:snapToGrid w:val="0"/>
          <w:color w:val="auto"/>
          <w:kern w:val="28"/>
          <w:sz w:val="22"/>
          <w:szCs w:val="20"/>
        </w:rPr>
        <w:id w:val="994313152"/>
        <w:docPartObj>
          <w:docPartGallery w:val="Table of Contents"/>
          <w:docPartUnique/>
        </w:docPartObj>
      </w:sdtPr>
      <w:sdtEndPr>
        <w:rPr>
          <w:b/>
          <w:bCs/>
          <w:noProof/>
        </w:rPr>
      </w:sdtEndPr>
      <w:sdtContent>
        <w:p w:rsidR="00887E02" w:rsidRPr="00BB229F" w:rsidRDefault="00887E02">
          <w:pPr>
            <w:pStyle w:val="TOCHeading"/>
            <w:rPr>
              <w:rFonts w:ascii="Times New Roman" w:hAnsi="Times New Roman" w:cs="Times New Roman"/>
              <w:color w:val="auto"/>
            </w:rPr>
          </w:pPr>
        </w:p>
        <w:p w:rsidR="00887E02" w:rsidRPr="00BB229F" w:rsidRDefault="00887E02">
          <w:pPr>
            <w:pStyle w:val="TOC1"/>
            <w:rPr>
              <w:rFonts w:asciiTheme="minorHAnsi" w:eastAsiaTheme="minorEastAsia" w:hAnsiTheme="minorHAnsi" w:cstheme="minorBidi"/>
              <w:caps w:val="0"/>
              <w:snapToGrid/>
              <w:kern w:val="0"/>
              <w:szCs w:val="22"/>
            </w:rPr>
          </w:pPr>
          <w:r w:rsidRPr="00BB229F">
            <w:fldChar w:fldCharType="begin"/>
          </w:r>
          <w:r w:rsidRPr="00BB229F">
            <w:instrText xml:space="preserve"> TOC \o "1-3" \h \z \u </w:instrText>
          </w:r>
          <w:r w:rsidRPr="00BB229F">
            <w:fldChar w:fldCharType="separate"/>
          </w:r>
          <w:hyperlink w:anchor="_Toc491865436" w:history="1">
            <w:r w:rsidRPr="00BB229F">
              <w:rPr>
                <w:rStyle w:val="Hyperlink"/>
                <w:color w:val="auto"/>
              </w:rPr>
              <w:t>I.</w:t>
            </w:r>
            <w:r w:rsidRPr="00BB229F">
              <w:rPr>
                <w:rFonts w:asciiTheme="minorHAnsi" w:eastAsiaTheme="minorEastAsia" w:hAnsiTheme="minorHAnsi" w:cstheme="minorBidi"/>
                <w:caps w:val="0"/>
                <w:snapToGrid/>
                <w:kern w:val="0"/>
                <w:szCs w:val="22"/>
              </w:rPr>
              <w:tab/>
            </w:r>
            <w:r w:rsidRPr="00BB229F">
              <w:rPr>
                <w:rStyle w:val="Hyperlink"/>
                <w:color w:val="auto"/>
              </w:rPr>
              <w:t>introduction</w:t>
            </w:r>
            <w:r w:rsidRPr="00BB229F">
              <w:rPr>
                <w:webHidden/>
              </w:rPr>
              <w:tab/>
            </w:r>
            <w:r w:rsidR="00983FB8">
              <w:rPr>
                <w:webHidden/>
              </w:rPr>
              <w:t>1</w:t>
            </w:r>
          </w:hyperlink>
        </w:p>
        <w:p w:rsidR="00887E02" w:rsidRPr="00BB229F" w:rsidRDefault="002A22B8">
          <w:pPr>
            <w:pStyle w:val="TOC1"/>
            <w:rPr>
              <w:rFonts w:asciiTheme="minorHAnsi" w:eastAsiaTheme="minorEastAsia" w:hAnsiTheme="minorHAnsi" w:cstheme="minorBidi"/>
              <w:caps w:val="0"/>
              <w:snapToGrid/>
              <w:kern w:val="0"/>
              <w:szCs w:val="22"/>
            </w:rPr>
          </w:pPr>
          <w:hyperlink w:anchor="_Toc491865437" w:history="1">
            <w:r w:rsidR="00887E02" w:rsidRPr="00BB229F">
              <w:rPr>
                <w:rStyle w:val="Hyperlink"/>
                <w:color w:val="auto"/>
              </w:rPr>
              <w:t>II.</w:t>
            </w:r>
            <w:r w:rsidR="00887E02" w:rsidRPr="00BB229F">
              <w:rPr>
                <w:rFonts w:asciiTheme="minorHAnsi" w:eastAsiaTheme="minorEastAsia" w:hAnsiTheme="minorHAnsi" w:cstheme="minorBidi"/>
                <w:caps w:val="0"/>
                <w:snapToGrid/>
                <w:kern w:val="0"/>
                <w:szCs w:val="22"/>
              </w:rPr>
              <w:tab/>
            </w:r>
            <w:r w:rsidR="00887E02" w:rsidRPr="00BB229F">
              <w:rPr>
                <w:rStyle w:val="Hyperlink"/>
                <w:color w:val="auto"/>
              </w:rPr>
              <w:t>background</w:t>
            </w:r>
            <w:r w:rsidR="00887E02" w:rsidRPr="00BB229F">
              <w:rPr>
                <w:webHidden/>
              </w:rPr>
              <w:tab/>
            </w:r>
            <w:r w:rsidR="00887E02" w:rsidRPr="00BB229F">
              <w:rPr>
                <w:webHidden/>
              </w:rPr>
              <w:fldChar w:fldCharType="begin"/>
            </w:r>
            <w:r w:rsidR="00887E02" w:rsidRPr="00BB229F">
              <w:rPr>
                <w:webHidden/>
              </w:rPr>
              <w:instrText xml:space="preserve"> PAGEREF _Toc491865437 \h </w:instrText>
            </w:r>
            <w:r w:rsidR="00887E02" w:rsidRPr="00BB229F">
              <w:rPr>
                <w:webHidden/>
              </w:rPr>
            </w:r>
            <w:r w:rsidR="00887E02" w:rsidRPr="00BB229F">
              <w:rPr>
                <w:webHidden/>
              </w:rPr>
              <w:fldChar w:fldCharType="separate"/>
            </w:r>
            <w:r w:rsidR="00831848">
              <w:rPr>
                <w:webHidden/>
              </w:rPr>
              <w:t>2</w:t>
            </w:r>
            <w:r w:rsidR="00887E02" w:rsidRPr="00BB229F">
              <w:rPr>
                <w:webHidden/>
              </w:rPr>
              <w:fldChar w:fldCharType="end"/>
            </w:r>
          </w:hyperlink>
        </w:p>
        <w:p w:rsidR="00887E02" w:rsidRPr="00BB229F" w:rsidRDefault="002A22B8">
          <w:pPr>
            <w:pStyle w:val="TOC1"/>
            <w:rPr>
              <w:rFonts w:asciiTheme="minorHAnsi" w:eastAsiaTheme="minorEastAsia" w:hAnsiTheme="minorHAnsi" w:cstheme="minorBidi"/>
              <w:caps w:val="0"/>
              <w:snapToGrid/>
              <w:kern w:val="0"/>
              <w:szCs w:val="22"/>
            </w:rPr>
          </w:pPr>
          <w:hyperlink w:anchor="_Toc491865438" w:history="1">
            <w:r w:rsidR="00887E02" w:rsidRPr="00BB229F">
              <w:rPr>
                <w:rStyle w:val="Hyperlink"/>
                <w:color w:val="auto"/>
              </w:rPr>
              <w:t>III.</w:t>
            </w:r>
            <w:r w:rsidR="00887E02" w:rsidRPr="00BB229F">
              <w:rPr>
                <w:rFonts w:asciiTheme="minorHAnsi" w:eastAsiaTheme="minorEastAsia" w:hAnsiTheme="minorHAnsi" w:cstheme="minorBidi"/>
                <w:caps w:val="0"/>
                <w:snapToGrid/>
                <w:kern w:val="0"/>
                <w:szCs w:val="22"/>
              </w:rPr>
              <w:tab/>
            </w:r>
            <w:r w:rsidR="00887E02" w:rsidRPr="00BB229F">
              <w:rPr>
                <w:rStyle w:val="Hyperlink"/>
                <w:color w:val="auto"/>
              </w:rPr>
              <w:t>report and order</w:t>
            </w:r>
            <w:r w:rsidR="00887E02" w:rsidRPr="00BB229F">
              <w:rPr>
                <w:webHidden/>
              </w:rPr>
              <w:tab/>
            </w:r>
            <w:r w:rsidR="00983FB8">
              <w:rPr>
                <w:webHidden/>
              </w:rPr>
              <w:t>6</w:t>
            </w:r>
          </w:hyperlink>
        </w:p>
        <w:p w:rsidR="00887E02" w:rsidRPr="00BB229F" w:rsidRDefault="002A22B8">
          <w:pPr>
            <w:pStyle w:val="TOC2"/>
            <w:rPr>
              <w:rFonts w:asciiTheme="minorHAnsi" w:eastAsiaTheme="minorEastAsia" w:hAnsiTheme="minorHAnsi" w:cstheme="minorBidi"/>
              <w:snapToGrid/>
              <w:kern w:val="0"/>
              <w:szCs w:val="22"/>
            </w:rPr>
          </w:pPr>
          <w:hyperlink w:anchor="_Toc491865439" w:history="1">
            <w:r w:rsidR="00887E02" w:rsidRPr="00BB229F">
              <w:rPr>
                <w:rStyle w:val="Hyperlink"/>
                <w:color w:val="auto"/>
              </w:rPr>
              <w:t>A.</w:t>
            </w:r>
            <w:r w:rsidR="00887E02" w:rsidRPr="00BB229F">
              <w:rPr>
                <w:rFonts w:asciiTheme="minorHAnsi" w:eastAsiaTheme="minorEastAsia" w:hAnsiTheme="minorHAnsi" w:cstheme="minorBidi"/>
                <w:snapToGrid/>
                <w:kern w:val="0"/>
                <w:szCs w:val="22"/>
              </w:rPr>
              <w:tab/>
            </w:r>
            <w:r w:rsidR="00887E02" w:rsidRPr="00BB229F">
              <w:rPr>
                <w:rStyle w:val="Hyperlink"/>
                <w:color w:val="auto"/>
              </w:rPr>
              <w:t>Allocating FTEs for Regulatory Fee Purposes</w:t>
            </w:r>
            <w:r w:rsidR="00887E02" w:rsidRPr="00BB229F">
              <w:rPr>
                <w:webHidden/>
              </w:rPr>
              <w:tab/>
            </w:r>
            <w:r w:rsidR="00983FB8">
              <w:rPr>
                <w:webHidden/>
              </w:rPr>
              <w:t>7</w:t>
            </w:r>
          </w:hyperlink>
        </w:p>
        <w:p w:rsidR="00887E02" w:rsidRPr="00BB229F" w:rsidRDefault="002A22B8">
          <w:pPr>
            <w:pStyle w:val="TOC3"/>
            <w:rPr>
              <w:rFonts w:asciiTheme="minorHAnsi" w:eastAsiaTheme="minorEastAsia" w:hAnsiTheme="minorHAnsi" w:cstheme="minorBidi"/>
              <w:snapToGrid/>
              <w:kern w:val="0"/>
              <w:szCs w:val="22"/>
            </w:rPr>
          </w:pPr>
          <w:hyperlink w:anchor="_Toc491865440" w:history="1">
            <w:r w:rsidR="00887E02" w:rsidRPr="00BB229F">
              <w:rPr>
                <w:rStyle w:val="Hyperlink"/>
                <w:color w:val="auto"/>
              </w:rPr>
              <w:t>1.</w:t>
            </w:r>
            <w:r w:rsidR="00887E02" w:rsidRPr="00BB229F">
              <w:rPr>
                <w:rFonts w:asciiTheme="minorHAnsi" w:eastAsiaTheme="minorEastAsia" w:hAnsiTheme="minorHAnsi" w:cstheme="minorBidi"/>
                <w:snapToGrid/>
                <w:kern w:val="0"/>
                <w:szCs w:val="22"/>
              </w:rPr>
              <w:tab/>
            </w:r>
            <w:r w:rsidR="00887E02" w:rsidRPr="00BB229F">
              <w:rPr>
                <w:rStyle w:val="Hyperlink"/>
                <w:color w:val="auto"/>
              </w:rPr>
              <w:t>FTEs Associated with the Universal Service Fund</w:t>
            </w:r>
            <w:r w:rsidR="00887E02" w:rsidRPr="00BB229F">
              <w:rPr>
                <w:webHidden/>
              </w:rPr>
              <w:tab/>
            </w:r>
            <w:r w:rsidR="00983FB8">
              <w:rPr>
                <w:webHidden/>
              </w:rPr>
              <w:t>9</w:t>
            </w:r>
          </w:hyperlink>
        </w:p>
        <w:p w:rsidR="00887E02" w:rsidRPr="00BB229F" w:rsidRDefault="002A22B8">
          <w:pPr>
            <w:pStyle w:val="TOC3"/>
            <w:rPr>
              <w:rFonts w:asciiTheme="minorHAnsi" w:eastAsiaTheme="minorEastAsia" w:hAnsiTheme="minorHAnsi" w:cstheme="minorBidi"/>
              <w:snapToGrid/>
              <w:kern w:val="0"/>
              <w:szCs w:val="22"/>
            </w:rPr>
          </w:pPr>
          <w:hyperlink w:anchor="_Toc491865441" w:history="1">
            <w:r w:rsidR="00887E02" w:rsidRPr="00BB229F">
              <w:rPr>
                <w:rStyle w:val="Hyperlink"/>
                <w:color w:val="auto"/>
              </w:rPr>
              <w:t>2.</w:t>
            </w:r>
            <w:r w:rsidR="00887E02" w:rsidRPr="00BB229F">
              <w:rPr>
                <w:rFonts w:asciiTheme="minorHAnsi" w:eastAsiaTheme="minorEastAsia" w:hAnsiTheme="minorHAnsi" w:cstheme="minorBidi"/>
                <w:snapToGrid/>
                <w:kern w:val="0"/>
                <w:szCs w:val="22"/>
              </w:rPr>
              <w:tab/>
            </w:r>
            <w:r w:rsidR="00887E02" w:rsidRPr="00BB229F">
              <w:rPr>
                <w:rStyle w:val="Hyperlink"/>
                <w:color w:val="auto"/>
              </w:rPr>
              <w:t>FTEs Associated with Numbering Issues</w:t>
            </w:r>
            <w:r w:rsidR="00887E02" w:rsidRPr="00BB229F">
              <w:rPr>
                <w:webHidden/>
              </w:rPr>
              <w:tab/>
            </w:r>
            <w:r w:rsidR="00983FB8">
              <w:rPr>
                <w:webHidden/>
              </w:rPr>
              <w:t>16</w:t>
            </w:r>
          </w:hyperlink>
        </w:p>
        <w:p w:rsidR="00887E02" w:rsidRPr="00BB229F" w:rsidRDefault="002A22B8">
          <w:pPr>
            <w:pStyle w:val="TOC2"/>
            <w:rPr>
              <w:rFonts w:asciiTheme="minorHAnsi" w:eastAsiaTheme="minorEastAsia" w:hAnsiTheme="minorHAnsi" w:cstheme="minorBidi"/>
              <w:snapToGrid/>
              <w:kern w:val="0"/>
              <w:szCs w:val="22"/>
            </w:rPr>
          </w:pPr>
          <w:hyperlink w:anchor="_Toc491865442" w:history="1">
            <w:r w:rsidR="00887E02" w:rsidRPr="00BB229F">
              <w:rPr>
                <w:rStyle w:val="Hyperlink"/>
                <w:color w:val="auto"/>
              </w:rPr>
              <w:t>B.</w:t>
            </w:r>
            <w:r w:rsidR="00887E02" w:rsidRPr="00BB229F">
              <w:rPr>
                <w:rFonts w:asciiTheme="minorHAnsi" w:eastAsiaTheme="minorEastAsia" w:hAnsiTheme="minorHAnsi" w:cstheme="minorBidi"/>
                <w:snapToGrid/>
                <w:kern w:val="0"/>
                <w:szCs w:val="22"/>
              </w:rPr>
              <w:tab/>
            </w:r>
            <w:r w:rsidR="00887E02" w:rsidRPr="00BB229F">
              <w:rPr>
                <w:rStyle w:val="Hyperlink"/>
                <w:color w:val="auto"/>
              </w:rPr>
              <w:t>Direct Broadcast Satellite (DBS) Regulatory Fees</w:t>
            </w:r>
            <w:r w:rsidR="00887E02" w:rsidRPr="00BB229F">
              <w:rPr>
                <w:webHidden/>
              </w:rPr>
              <w:tab/>
            </w:r>
            <w:r w:rsidR="00983FB8">
              <w:rPr>
                <w:webHidden/>
              </w:rPr>
              <w:t>18</w:t>
            </w:r>
          </w:hyperlink>
        </w:p>
        <w:p w:rsidR="00887E02" w:rsidRDefault="002A22B8">
          <w:pPr>
            <w:pStyle w:val="TOC2"/>
          </w:pPr>
          <w:hyperlink w:anchor="_Toc491865443" w:history="1">
            <w:r w:rsidR="00887E02" w:rsidRPr="00BB229F">
              <w:rPr>
                <w:rStyle w:val="Hyperlink"/>
                <w:color w:val="auto"/>
              </w:rPr>
              <w:t>C.</w:t>
            </w:r>
            <w:r w:rsidR="00887E02" w:rsidRPr="00BB229F">
              <w:rPr>
                <w:rFonts w:asciiTheme="minorHAnsi" w:eastAsiaTheme="minorEastAsia" w:hAnsiTheme="minorHAnsi" w:cstheme="minorBidi"/>
                <w:snapToGrid/>
                <w:kern w:val="0"/>
                <w:szCs w:val="22"/>
              </w:rPr>
              <w:tab/>
            </w:r>
            <w:r w:rsidR="00887E02" w:rsidRPr="00BB229F">
              <w:rPr>
                <w:rStyle w:val="Hyperlink"/>
                <w:color w:val="auto"/>
              </w:rPr>
              <w:t>Radio Broadcaster Regulatory Fees</w:t>
            </w:r>
            <w:r w:rsidR="00887E02" w:rsidRPr="00BB229F">
              <w:rPr>
                <w:webHidden/>
              </w:rPr>
              <w:tab/>
            </w:r>
            <w:r w:rsidR="00983FB8">
              <w:rPr>
                <w:webHidden/>
              </w:rPr>
              <w:t>26</w:t>
            </w:r>
          </w:hyperlink>
        </w:p>
        <w:p w:rsidR="00983FB8" w:rsidRPr="00983FB8" w:rsidRDefault="00983FB8" w:rsidP="00983FB8">
          <w:pPr>
            <w:rPr>
              <w:rFonts w:eastAsiaTheme="minorEastAsia"/>
            </w:rPr>
          </w:pPr>
          <w:r>
            <w:rPr>
              <w:rFonts w:eastAsiaTheme="minorEastAsia"/>
            </w:rPr>
            <w:t xml:space="preserve">       D.   Broadcast Television Satellite………………………………………………………………….   29</w:t>
          </w:r>
        </w:p>
        <w:p w:rsidR="00887E02" w:rsidRPr="00BB229F" w:rsidRDefault="002A22B8">
          <w:pPr>
            <w:pStyle w:val="TOC2"/>
            <w:rPr>
              <w:rFonts w:asciiTheme="minorHAnsi" w:eastAsiaTheme="minorEastAsia" w:hAnsiTheme="minorHAnsi" w:cstheme="minorBidi"/>
              <w:snapToGrid/>
              <w:kern w:val="0"/>
              <w:szCs w:val="22"/>
            </w:rPr>
          </w:pPr>
          <w:hyperlink w:anchor="_Toc491865444" w:history="1">
            <w:r w:rsidR="00983FB8">
              <w:t>E</w:t>
            </w:r>
            <w:r w:rsidR="00887E02" w:rsidRPr="00BB229F">
              <w:rPr>
                <w:rStyle w:val="Hyperlink"/>
                <w:color w:val="auto"/>
              </w:rPr>
              <w:t>.</w:t>
            </w:r>
            <w:r w:rsidR="00887E02" w:rsidRPr="00BB229F">
              <w:rPr>
                <w:rFonts w:asciiTheme="minorHAnsi" w:eastAsiaTheme="minorEastAsia" w:hAnsiTheme="minorHAnsi" w:cstheme="minorBidi"/>
                <w:snapToGrid/>
                <w:kern w:val="0"/>
                <w:szCs w:val="22"/>
              </w:rPr>
              <w:tab/>
            </w:r>
            <w:r w:rsidR="00887E02" w:rsidRPr="00BB229F">
              <w:rPr>
                <w:rStyle w:val="Hyperlink"/>
                <w:color w:val="auto"/>
              </w:rPr>
              <w:t>Submarine Cable Regulatory Fees</w:t>
            </w:r>
            <w:r w:rsidR="00887E02" w:rsidRPr="00BB229F">
              <w:rPr>
                <w:webHidden/>
              </w:rPr>
              <w:tab/>
            </w:r>
            <w:r w:rsidR="00983FB8">
              <w:rPr>
                <w:webHidden/>
              </w:rPr>
              <w:t>30</w:t>
            </w:r>
          </w:hyperlink>
        </w:p>
        <w:p w:rsidR="00887E02" w:rsidRPr="00BB229F" w:rsidRDefault="002A22B8">
          <w:pPr>
            <w:pStyle w:val="TOC2"/>
            <w:rPr>
              <w:rFonts w:asciiTheme="minorHAnsi" w:eastAsiaTheme="minorEastAsia" w:hAnsiTheme="minorHAnsi" w:cstheme="minorBidi"/>
              <w:snapToGrid/>
              <w:kern w:val="0"/>
              <w:szCs w:val="22"/>
            </w:rPr>
          </w:pPr>
          <w:hyperlink w:anchor="_Toc491865445" w:history="1">
            <w:r w:rsidR="00983FB8">
              <w:t>F</w:t>
            </w:r>
            <w:r w:rsidR="00887E02" w:rsidRPr="00BB229F">
              <w:rPr>
                <w:rStyle w:val="Hyperlink"/>
                <w:color w:val="auto"/>
              </w:rPr>
              <w:t>.</w:t>
            </w:r>
            <w:r w:rsidR="00887E02" w:rsidRPr="00BB229F">
              <w:rPr>
                <w:rFonts w:asciiTheme="minorHAnsi" w:eastAsiaTheme="minorEastAsia" w:hAnsiTheme="minorHAnsi" w:cstheme="minorBidi"/>
                <w:snapToGrid/>
                <w:kern w:val="0"/>
                <w:szCs w:val="22"/>
              </w:rPr>
              <w:tab/>
            </w:r>
            <w:r w:rsidR="00887E02" w:rsidRPr="00BB229F">
              <w:rPr>
                <w:rStyle w:val="Hyperlink"/>
                <w:color w:val="auto"/>
              </w:rPr>
              <w:t>International Bearer Circuits</w:t>
            </w:r>
            <w:r w:rsidR="00887E02" w:rsidRPr="00BB229F">
              <w:rPr>
                <w:webHidden/>
              </w:rPr>
              <w:tab/>
            </w:r>
            <w:r w:rsidR="00983FB8">
              <w:rPr>
                <w:webHidden/>
              </w:rPr>
              <w:t>32</w:t>
            </w:r>
          </w:hyperlink>
        </w:p>
        <w:p w:rsidR="00887E02" w:rsidRPr="00BB229F" w:rsidRDefault="002A22B8">
          <w:pPr>
            <w:pStyle w:val="TOC3"/>
            <w:rPr>
              <w:rFonts w:asciiTheme="minorHAnsi" w:eastAsiaTheme="minorEastAsia" w:hAnsiTheme="minorHAnsi" w:cstheme="minorBidi"/>
              <w:snapToGrid/>
              <w:kern w:val="0"/>
              <w:szCs w:val="22"/>
            </w:rPr>
          </w:pPr>
          <w:hyperlink w:anchor="_Toc491865446" w:history="1">
            <w:r w:rsidR="00887E02" w:rsidRPr="00BB229F">
              <w:rPr>
                <w:rStyle w:val="Hyperlink"/>
                <w:color w:val="auto"/>
              </w:rPr>
              <w:t>1.</w:t>
            </w:r>
            <w:r w:rsidR="00887E02" w:rsidRPr="00BB229F">
              <w:rPr>
                <w:rFonts w:asciiTheme="minorHAnsi" w:eastAsiaTheme="minorEastAsia" w:hAnsiTheme="minorHAnsi" w:cstheme="minorBidi"/>
                <w:snapToGrid/>
                <w:kern w:val="0"/>
                <w:szCs w:val="22"/>
              </w:rPr>
              <w:tab/>
            </w:r>
            <w:r w:rsidR="00887E02" w:rsidRPr="00BB229F">
              <w:rPr>
                <w:rStyle w:val="Hyperlink"/>
                <w:color w:val="auto"/>
              </w:rPr>
              <w:t>Including non-common carrier IBCs</w:t>
            </w:r>
            <w:r w:rsidR="00887E02" w:rsidRPr="00BB229F">
              <w:rPr>
                <w:webHidden/>
              </w:rPr>
              <w:tab/>
            </w:r>
            <w:r w:rsidR="00983FB8">
              <w:rPr>
                <w:webHidden/>
              </w:rPr>
              <w:t>34</w:t>
            </w:r>
          </w:hyperlink>
        </w:p>
        <w:p w:rsidR="00887E02" w:rsidRPr="00BB229F" w:rsidRDefault="002A22B8">
          <w:pPr>
            <w:pStyle w:val="TOC3"/>
            <w:rPr>
              <w:rFonts w:asciiTheme="minorHAnsi" w:eastAsiaTheme="minorEastAsia" w:hAnsiTheme="minorHAnsi" w:cstheme="minorBidi"/>
              <w:snapToGrid/>
              <w:kern w:val="0"/>
              <w:szCs w:val="22"/>
            </w:rPr>
          </w:pPr>
          <w:hyperlink w:anchor="_Toc491865447" w:history="1">
            <w:r w:rsidR="00887E02" w:rsidRPr="00BB229F">
              <w:rPr>
                <w:rStyle w:val="Hyperlink"/>
                <w:color w:val="auto"/>
              </w:rPr>
              <w:t>2.</w:t>
            </w:r>
            <w:r w:rsidR="00887E02" w:rsidRPr="00BB229F">
              <w:rPr>
                <w:rFonts w:asciiTheme="minorHAnsi" w:eastAsiaTheme="minorEastAsia" w:hAnsiTheme="minorHAnsi" w:cstheme="minorBidi"/>
                <w:snapToGrid/>
                <w:kern w:val="0"/>
                <w:szCs w:val="22"/>
              </w:rPr>
              <w:tab/>
            </w:r>
            <w:r w:rsidR="00887E02" w:rsidRPr="00BB229F">
              <w:rPr>
                <w:rStyle w:val="Hyperlink"/>
                <w:color w:val="auto"/>
              </w:rPr>
              <w:t>Satellite IBCs</w:t>
            </w:r>
            <w:r w:rsidR="00887E02" w:rsidRPr="00BB229F">
              <w:rPr>
                <w:webHidden/>
              </w:rPr>
              <w:tab/>
            </w:r>
            <w:r w:rsidR="00983FB8">
              <w:rPr>
                <w:webHidden/>
              </w:rPr>
              <w:t>36</w:t>
            </w:r>
          </w:hyperlink>
        </w:p>
        <w:p w:rsidR="00887E02" w:rsidRPr="00BB229F" w:rsidRDefault="002A22B8">
          <w:pPr>
            <w:pStyle w:val="TOC3"/>
            <w:rPr>
              <w:rFonts w:asciiTheme="minorHAnsi" w:eastAsiaTheme="minorEastAsia" w:hAnsiTheme="minorHAnsi" w:cstheme="minorBidi"/>
              <w:snapToGrid/>
              <w:kern w:val="0"/>
              <w:szCs w:val="22"/>
            </w:rPr>
          </w:pPr>
          <w:hyperlink w:anchor="_Toc491865448" w:history="1">
            <w:r w:rsidR="00887E02" w:rsidRPr="00BB229F">
              <w:rPr>
                <w:rStyle w:val="Hyperlink"/>
                <w:color w:val="auto"/>
              </w:rPr>
              <w:t>3.</w:t>
            </w:r>
            <w:r w:rsidR="00887E02" w:rsidRPr="00BB229F">
              <w:rPr>
                <w:rFonts w:asciiTheme="minorHAnsi" w:eastAsiaTheme="minorEastAsia" w:hAnsiTheme="minorHAnsi" w:cstheme="minorBidi"/>
                <w:snapToGrid/>
                <w:kern w:val="0"/>
                <w:szCs w:val="22"/>
              </w:rPr>
              <w:tab/>
            </w:r>
            <w:r w:rsidR="00887E02" w:rsidRPr="00BB229F">
              <w:rPr>
                <w:rStyle w:val="Hyperlink"/>
                <w:color w:val="auto"/>
              </w:rPr>
              <w:t>Fee Based on Circuits as of December 31</w:t>
            </w:r>
            <w:r w:rsidR="00887E02" w:rsidRPr="00BB229F">
              <w:rPr>
                <w:webHidden/>
              </w:rPr>
              <w:tab/>
            </w:r>
            <w:r w:rsidR="00983FB8">
              <w:rPr>
                <w:webHidden/>
              </w:rPr>
              <w:t>37</w:t>
            </w:r>
          </w:hyperlink>
        </w:p>
        <w:p w:rsidR="00887E02" w:rsidRPr="00BB229F" w:rsidRDefault="002A22B8">
          <w:pPr>
            <w:pStyle w:val="TOC2"/>
            <w:rPr>
              <w:rFonts w:asciiTheme="minorHAnsi" w:eastAsiaTheme="minorEastAsia" w:hAnsiTheme="minorHAnsi" w:cstheme="minorBidi"/>
              <w:snapToGrid/>
              <w:kern w:val="0"/>
              <w:szCs w:val="22"/>
            </w:rPr>
          </w:pPr>
          <w:hyperlink w:anchor="_Toc491865449" w:history="1">
            <w:r w:rsidR="00983FB8">
              <w:rPr>
                <w:rStyle w:val="Hyperlink"/>
                <w:color w:val="auto"/>
              </w:rPr>
              <w:t>G</w:t>
            </w:r>
            <w:r w:rsidR="00887E02" w:rsidRPr="00BB229F">
              <w:rPr>
                <w:rStyle w:val="Hyperlink"/>
                <w:color w:val="auto"/>
              </w:rPr>
              <w:t>.</w:t>
            </w:r>
            <w:r w:rsidR="00887E02" w:rsidRPr="00BB229F">
              <w:rPr>
                <w:rFonts w:asciiTheme="minorHAnsi" w:eastAsiaTheme="minorEastAsia" w:hAnsiTheme="minorHAnsi" w:cstheme="minorBidi"/>
                <w:snapToGrid/>
                <w:kern w:val="0"/>
                <w:szCs w:val="22"/>
              </w:rPr>
              <w:tab/>
            </w:r>
            <w:r w:rsidR="00887E02" w:rsidRPr="00BB229F">
              <w:rPr>
                <w:rStyle w:val="Hyperlink"/>
                <w:color w:val="auto"/>
              </w:rPr>
              <w:t>Increasing the De Minimis Threshold</w:t>
            </w:r>
            <w:r w:rsidR="00887E02" w:rsidRPr="00BB229F">
              <w:rPr>
                <w:webHidden/>
              </w:rPr>
              <w:tab/>
            </w:r>
            <w:r w:rsidR="00983FB8">
              <w:rPr>
                <w:webHidden/>
              </w:rPr>
              <w:t>38</w:t>
            </w:r>
          </w:hyperlink>
        </w:p>
        <w:p w:rsidR="00887E02" w:rsidRPr="00BB229F" w:rsidRDefault="002A22B8">
          <w:pPr>
            <w:pStyle w:val="TOC1"/>
            <w:rPr>
              <w:rFonts w:asciiTheme="minorHAnsi" w:eastAsiaTheme="minorEastAsia" w:hAnsiTheme="minorHAnsi" w:cstheme="minorBidi"/>
              <w:caps w:val="0"/>
              <w:snapToGrid/>
              <w:kern w:val="0"/>
              <w:szCs w:val="22"/>
            </w:rPr>
          </w:pPr>
          <w:hyperlink w:anchor="_Toc491865450" w:history="1">
            <w:r w:rsidR="00887E02" w:rsidRPr="00BB229F">
              <w:rPr>
                <w:rStyle w:val="Hyperlink"/>
                <w:color w:val="auto"/>
              </w:rPr>
              <w:t>IV.</w:t>
            </w:r>
            <w:r w:rsidR="00887E02" w:rsidRPr="00BB229F">
              <w:rPr>
                <w:rFonts w:asciiTheme="minorHAnsi" w:eastAsiaTheme="minorEastAsia" w:hAnsiTheme="minorHAnsi" w:cstheme="minorBidi"/>
                <w:caps w:val="0"/>
                <w:snapToGrid/>
                <w:kern w:val="0"/>
                <w:szCs w:val="22"/>
              </w:rPr>
              <w:tab/>
            </w:r>
            <w:r w:rsidR="00887E02" w:rsidRPr="00BB229F">
              <w:rPr>
                <w:rStyle w:val="Hyperlink"/>
                <w:color w:val="auto"/>
              </w:rPr>
              <w:t>further notice of proposed rulemaking</w:t>
            </w:r>
            <w:r w:rsidR="00887E02" w:rsidRPr="00BB229F">
              <w:rPr>
                <w:webHidden/>
              </w:rPr>
              <w:tab/>
            </w:r>
            <w:r w:rsidR="00983FB8">
              <w:rPr>
                <w:webHidden/>
              </w:rPr>
              <w:t>43</w:t>
            </w:r>
          </w:hyperlink>
        </w:p>
        <w:p w:rsidR="00887E02" w:rsidRPr="00BB229F" w:rsidRDefault="002A22B8">
          <w:pPr>
            <w:pStyle w:val="TOC2"/>
            <w:rPr>
              <w:rFonts w:asciiTheme="minorHAnsi" w:eastAsiaTheme="minorEastAsia" w:hAnsiTheme="minorHAnsi" w:cstheme="minorBidi"/>
              <w:snapToGrid/>
              <w:kern w:val="0"/>
              <w:szCs w:val="22"/>
            </w:rPr>
          </w:pPr>
          <w:hyperlink w:anchor="_Toc491865451" w:history="1">
            <w:r w:rsidR="00887E02" w:rsidRPr="00BB229F">
              <w:rPr>
                <w:rStyle w:val="Hyperlink"/>
                <w:color w:val="auto"/>
              </w:rPr>
              <w:t>A.</w:t>
            </w:r>
            <w:r w:rsidR="00887E02" w:rsidRPr="00BB229F">
              <w:rPr>
                <w:rFonts w:asciiTheme="minorHAnsi" w:eastAsiaTheme="minorEastAsia" w:hAnsiTheme="minorHAnsi" w:cstheme="minorBidi"/>
                <w:snapToGrid/>
                <w:kern w:val="0"/>
                <w:szCs w:val="22"/>
              </w:rPr>
              <w:tab/>
            </w:r>
            <w:r w:rsidR="00887E02" w:rsidRPr="00BB229F">
              <w:rPr>
                <w:rStyle w:val="Hyperlink"/>
                <w:color w:val="auto"/>
              </w:rPr>
              <w:t>International Bearer Circuits</w:t>
            </w:r>
            <w:r w:rsidR="00887E02" w:rsidRPr="00BB229F">
              <w:rPr>
                <w:webHidden/>
              </w:rPr>
              <w:tab/>
            </w:r>
            <w:r w:rsidR="00983FB8">
              <w:rPr>
                <w:webHidden/>
              </w:rPr>
              <w:t>44</w:t>
            </w:r>
          </w:hyperlink>
        </w:p>
        <w:p w:rsidR="00887E02" w:rsidRPr="00BB229F" w:rsidRDefault="002A22B8">
          <w:pPr>
            <w:pStyle w:val="TOC2"/>
            <w:rPr>
              <w:rFonts w:asciiTheme="minorHAnsi" w:eastAsiaTheme="minorEastAsia" w:hAnsiTheme="minorHAnsi" w:cstheme="minorBidi"/>
              <w:snapToGrid/>
              <w:kern w:val="0"/>
              <w:szCs w:val="22"/>
            </w:rPr>
          </w:pPr>
          <w:hyperlink w:anchor="_Toc491865452" w:history="1">
            <w:r w:rsidR="00887E02" w:rsidRPr="00BB229F">
              <w:rPr>
                <w:rStyle w:val="Hyperlink"/>
                <w:color w:val="auto"/>
              </w:rPr>
              <w:t>B.</w:t>
            </w:r>
            <w:r w:rsidR="00887E02" w:rsidRPr="00BB229F">
              <w:rPr>
                <w:rFonts w:asciiTheme="minorHAnsi" w:eastAsiaTheme="minorEastAsia" w:hAnsiTheme="minorHAnsi" w:cstheme="minorBidi"/>
                <w:snapToGrid/>
                <w:kern w:val="0"/>
                <w:szCs w:val="22"/>
              </w:rPr>
              <w:tab/>
            </w:r>
            <w:r w:rsidR="00887E02" w:rsidRPr="00BB229F">
              <w:rPr>
                <w:rStyle w:val="Hyperlink"/>
                <w:color w:val="auto"/>
              </w:rPr>
              <w:t>Cable Television Services – Calculation of Number of Subscribers</w:t>
            </w:r>
            <w:r w:rsidR="00887E02" w:rsidRPr="00BB229F">
              <w:rPr>
                <w:webHidden/>
              </w:rPr>
              <w:tab/>
            </w:r>
            <w:r w:rsidR="00983FB8">
              <w:rPr>
                <w:webHidden/>
              </w:rPr>
              <w:t>49</w:t>
            </w:r>
          </w:hyperlink>
        </w:p>
        <w:p w:rsidR="00887E02" w:rsidRPr="00BB229F" w:rsidRDefault="002A22B8">
          <w:pPr>
            <w:pStyle w:val="TOC1"/>
            <w:rPr>
              <w:rFonts w:asciiTheme="minorHAnsi" w:eastAsiaTheme="minorEastAsia" w:hAnsiTheme="minorHAnsi" w:cstheme="minorBidi"/>
              <w:caps w:val="0"/>
              <w:snapToGrid/>
              <w:kern w:val="0"/>
              <w:szCs w:val="22"/>
            </w:rPr>
          </w:pPr>
          <w:hyperlink w:anchor="_Toc491865453" w:history="1">
            <w:r w:rsidR="00887E02" w:rsidRPr="00BB229F">
              <w:rPr>
                <w:rStyle w:val="Hyperlink"/>
                <w:color w:val="auto"/>
              </w:rPr>
              <w:t>V.</w:t>
            </w:r>
            <w:r w:rsidR="00887E02" w:rsidRPr="00BB229F">
              <w:rPr>
                <w:rFonts w:asciiTheme="minorHAnsi" w:eastAsiaTheme="minorEastAsia" w:hAnsiTheme="minorHAnsi" w:cstheme="minorBidi"/>
                <w:caps w:val="0"/>
                <w:snapToGrid/>
                <w:kern w:val="0"/>
                <w:szCs w:val="22"/>
              </w:rPr>
              <w:tab/>
            </w:r>
            <w:r w:rsidR="00887E02" w:rsidRPr="00BB229F">
              <w:rPr>
                <w:rStyle w:val="Hyperlink"/>
                <w:color w:val="auto"/>
              </w:rPr>
              <w:t>procedural matters</w:t>
            </w:r>
            <w:r w:rsidR="00887E02" w:rsidRPr="00BB229F">
              <w:rPr>
                <w:webHidden/>
              </w:rPr>
              <w:tab/>
            </w:r>
            <w:r w:rsidR="003159E3">
              <w:rPr>
                <w:webHidden/>
              </w:rPr>
              <w:t>52</w:t>
            </w:r>
          </w:hyperlink>
        </w:p>
        <w:p w:rsidR="00887E02" w:rsidRPr="00BB229F" w:rsidRDefault="002A22B8">
          <w:pPr>
            <w:pStyle w:val="TOC2"/>
            <w:rPr>
              <w:rFonts w:asciiTheme="minorHAnsi" w:eastAsiaTheme="minorEastAsia" w:hAnsiTheme="minorHAnsi" w:cstheme="minorBidi"/>
              <w:snapToGrid/>
              <w:kern w:val="0"/>
              <w:szCs w:val="22"/>
            </w:rPr>
          </w:pPr>
          <w:hyperlink w:anchor="_Toc491865454" w:history="1">
            <w:r w:rsidR="00887E02" w:rsidRPr="00BB229F">
              <w:rPr>
                <w:rStyle w:val="Hyperlink"/>
                <w:color w:val="auto"/>
              </w:rPr>
              <w:t>A.</w:t>
            </w:r>
            <w:r w:rsidR="00887E02" w:rsidRPr="00BB229F">
              <w:rPr>
                <w:rFonts w:asciiTheme="minorHAnsi" w:eastAsiaTheme="minorEastAsia" w:hAnsiTheme="minorHAnsi" w:cstheme="minorBidi"/>
                <w:snapToGrid/>
                <w:kern w:val="0"/>
                <w:szCs w:val="22"/>
              </w:rPr>
              <w:tab/>
            </w:r>
            <w:r w:rsidR="00887E02" w:rsidRPr="00BB229F">
              <w:rPr>
                <w:rStyle w:val="Hyperlink"/>
                <w:color w:val="auto"/>
              </w:rPr>
              <w:t>Payment of Regulatory Fees</w:t>
            </w:r>
            <w:r w:rsidR="00887E02" w:rsidRPr="00BB229F">
              <w:rPr>
                <w:webHidden/>
              </w:rPr>
              <w:tab/>
            </w:r>
            <w:r w:rsidR="003159E3">
              <w:rPr>
                <w:webHidden/>
              </w:rPr>
              <w:t>52</w:t>
            </w:r>
          </w:hyperlink>
        </w:p>
        <w:p w:rsidR="00887E02" w:rsidRPr="00BB229F" w:rsidRDefault="002A22B8">
          <w:pPr>
            <w:pStyle w:val="TOC3"/>
            <w:rPr>
              <w:rFonts w:asciiTheme="minorHAnsi" w:eastAsiaTheme="minorEastAsia" w:hAnsiTheme="minorHAnsi" w:cstheme="minorBidi"/>
              <w:snapToGrid/>
              <w:kern w:val="0"/>
              <w:szCs w:val="22"/>
            </w:rPr>
          </w:pPr>
          <w:hyperlink w:anchor="_Toc491865455" w:history="1">
            <w:r w:rsidR="00887E02" w:rsidRPr="00BB229F">
              <w:rPr>
                <w:rStyle w:val="Hyperlink"/>
                <w:color w:val="auto"/>
              </w:rPr>
              <w:t>1.</w:t>
            </w:r>
            <w:r w:rsidR="00887E02" w:rsidRPr="00BB229F">
              <w:rPr>
                <w:rFonts w:asciiTheme="minorHAnsi" w:eastAsiaTheme="minorEastAsia" w:hAnsiTheme="minorHAnsi" w:cstheme="minorBidi"/>
                <w:snapToGrid/>
                <w:kern w:val="0"/>
                <w:szCs w:val="22"/>
              </w:rPr>
              <w:tab/>
            </w:r>
            <w:r w:rsidR="00887E02" w:rsidRPr="00BB229F">
              <w:rPr>
                <w:rStyle w:val="Hyperlink"/>
                <w:color w:val="auto"/>
              </w:rPr>
              <w:t>Checks Will Not Be Accepted for Payment of Annual Regulatory Fees</w:t>
            </w:r>
            <w:r w:rsidR="00887E02" w:rsidRPr="00BB229F">
              <w:rPr>
                <w:webHidden/>
              </w:rPr>
              <w:tab/>
            </w:r>
            <w:r w:rsidR="003159E3">
              <w:rPr>
                <w:webHidden/>
              </w:rPr>
              <w:t>52</w:t>
            </w:r>
          </w:hyperlink>
        </w:p>
        <w:p w:rsidR="00887E02" w:rsidRPr="00BB229F" w:rsidRDefault="002A22B8">
          <w:pPr>
            <w:pStyle w:val="TOC3"/>
            <w:rPr>
              <w:rFonts w:asciiTheme="minorHAnsi" w:eastAsiaTheme="minorEastAsia" w:hAnsiTheme="minorHAnsi" w:cstheme="minorBidi"/>
              <w:snapToGrid/>
              <w:kern w:val="0"/>
              <w:szCs w:val="22"/>
            </w:rPr>
          </w:pPr>
          <w:hyperlink w:anchor="_Toc491865456" w:history="1">
            <w:r w:rsidR="00887E02" w:rsidRPr="00BB229F">
              <w:rPr>
                <w:rStyle w:val="Hyperlink"/>
                <w:color w:val="auto"/>
              </w:rPr>
              <w:t>2.</w:t>
            </w:r>
            <w:r w:rsidR="00887E02" w:rsidRPr="00BB229F">
              <w:rPr>
                <w:rFonts w:asciiTheme="minorHAnsi" w:eastAsiaTheme="minorEastAsia" w:hAnsiTheme="minorHAnsi" w:cstheme="minorBidi"/>
                <w:snapToGrid/>
                <w:kern w:val="0"/>
                <w:szCs w:val="22"/>
              </w:rPr>
              <w:tab/>
            </w:r>
            <w:r w:rsidR="00887E02" w:rsidRPr="00BB229F">
              <w:rPr>
                <w:rStyle w:val="Hyperlink"/>
                <w:color w:val="auto"/>
              </w:rPr>
              <w:t>Credit Card Transaction Levels</w:t>
            </w:r>
            <w:r w:rsidR="00887E02" w:rsidRPr="00BB229F">
              <w:rPr>
                <w:webHidden/>
              </w:rPr>
              <w:tab/>
            </w:r>
            <w:r w:rsidR="003159E3">
              <w:rPr>
                <w:webHidden/>
              </w:rPr>
              <w:t>53</w:t>
            </w:r>
          </w:hyperlink>
        </w:p>
        <w:p w:rsidR="00887E02" w:rsidRPr="00BB229F" w:rsidRDefault="002A22B8">
          <w:pPr>
            <w:pStyle w:val="TOC3"/>
            <w:rPr>
              <w:rFonts w:asciiTheme="minorHAnsi" w:eastAsiaTheme="minorEastAsia" w:hAnsiTheme="minorHAnsi" w:cstheme="minorBidi"/>
              <w:snapToGrid/>
              <w:kern w:val="0"/>
              <w:szCs w:val="22"/>
            </w:rPr>
          </w:pPr>
          <w:hyperlink w:anchor="_Toc491865457" w:history="1">
            <w:r w:rsidR="00887E02" w:rsidRPr="00BB229F">
              <w:rPr>
                <w:rStyle w:val="Hyperlink"/>
                <w:color w:val="auto"/>
              </w:rPr>
              <w:t>3.</w:t>
            </w:r>
            <w:r w:rsidR="00887E02" w:rsidRPr="00BB229F">
              <w:rPr>
                <w:rFonts w:asciiTheme="minorHAnsi" w:eastAsiaTheme="minorEastAsia" w:hAnsiTheme="minorHAnsi" w:cstheme="minorBidi"/>
                <w:snapToGrid/>
                <w:kern w:val="0"/>
                <w:szCs w:val="22"/>
              </w:rPr>
              <w:tab/>
            </w:r>
            <w:r w:rsidR="00887E02" w:rsidRPr="00BB229F">
              <w:rPr>
                <w:rStyle w:val="Hyperlink"/>
                <w:color w:val="auto"/>
              </w:rPr>
              <w:t>Payment Methods</w:t>
            </w:r>
            <w:r w:rsidR="00887E02" w:rsidRPr="00BB229F">
              <w:rPr>
                <w:webHidden/>
              </w:rPr>
              <w:tab/>
            </w:r>
            <w:r w:rsidR="003159E3">
              <w:rPr>
                <w:webHidden/>
              </w:rPr>
              <w:t>54</w:t>
            </w:r>
          </w:hyperlink>
        </w:p>
        <w:p w:rsidR="00887E02" w:rsidRPr="00BB229F" w:rsidRDefault="002A22B8">
          <w:pPr>
            <w:pStyle w:val="TOC3"/>
            <w:rPr>
              <w:rFonts w:asciiTheme="minorHAnsi" w:eastAsiaTheme="minorEastAsia" w:hAnsiTheme="minorHAnsi" w:cstheme="minorBidi"/>
              <w:snapToGrid/>
              <w:kern w:val="0"/>
              <w:szCs w:val="22"/>
            </w:rPr>
          </w:pPr>
          <w:hyperlink w:anchor="_Toc491865458" w:history="1">
            <w:r w:rsidR="00887E02" w:rsidRPr="00BB229F">
              <w:rPr>
                <w:rStyle w:val="Hyperlink"/>
                <w:color w:val="auto"/>
              </w:rPr>
              <w:t>4.</w:t>
            </w:r>
            <w:r w:rsidR="00887E02" w:rsidRPr="00BB229F">
              <w:rPr>
                <w:rFonts w:asciiTheme="minorHAnsi" w:eastAsiaTheme="minorEastAsia" w:hAnsiTheme="minorHAnsi" w:cstheme="minorBidi"/>
                <w:snapToGrid/>
                <w:kern w:val="0"/>
                <w:szCs w:val="22"/>
              </w:rPr>
              <w:tab/>
            </w:r>
            <w:r w:rsidR="00887E02" w:rsidRPr="00BB229F">
              <w:rPr>
                <w:rStyle w:val="Hyperlink"/>
                <w:color w:val="auto"/>
              </w:rPr>
              <w:t>De Minimis Regulatory Fees</w:t>
            </w:r>
            <w:r w:rsidR="00887E02" w:rsidRPr="00BB229F">
              <w:rPr>
                <w:webHidden/>
              </w:rPr>
              <w:tab/>
            </w:r>
            <w:r w:rsidR="003159E3">
              <w:rPr>
                <w:webHidden/>
              </w:rPr>
              <w:t>55</w:t>
            </w:r>
          </w:hyperlink>
        </w:p>
        <w:p w:rsidR="00887E02" w:rsidRPr="00BB229F" w:rsidRDefault="002A22B8">
          <w:pPr>
            <w:pStyle w:val="TOC3"/>
            <w:rPr>
              <w:rFonts w:asciiTheme="minorHAnsi" w:eastAsiaTheme="minorEastAsia" w:hAnsiTheme="minorHAnsi" w:cstheme="minorBidi"/>
              <w:snapToGrid/>
              <w:kern w:val="0"/>
              <w:szCs w:val="22"/>
            </w:rPr>
          </w:pPr>
          <w:hyperlink w:anchor="_Toc491865459" w:history="1">
            <w:r w:rsidR="00887E02" w:rsidRPr="00BB229F">
              <w:rPr>
                <w:rStyle w:val="Hyperlink"/>
                <w:color w:val="auto"/>
              </w:rPr>
              <w:t>5.</w:t>
            </w:r>
            <w:r w:rsidR="00887E02" w:rsidRPr="00BB229F">
              <w:rPr>
                <w:rFonts w:asciiTheme="minorHAnsi" w:eastAsiaTheme="minorEastAsia" w:hAnsiTheme="minorHAnsi" w:cstheme="minorBidi"/>
                <w:snapToGrid/>
                <w:kern w:val="0"/>
                <w:szCs w:val="22"/>
              </w:rPr>
              <w:tab/>
            </w:r>
            <w:r w:rsidR="00887E02" w:rsidRPr="00BB229F">
              <w:rPr>
                <w:rStyle w:val="Hyperlink"/>
                <w:color w:val="auto"/>
              </w:rPr>
              <w:t>Standard Fee Calculations and Payment Dates</w:t>
            </w:r>
            <w:r w:rsidR="00887E02" w:rsidRPr="00BB229F">
              <w:rPr>
                <w:webHidden/>
              </w:rPr>
              <w:tab/>
            </w:r>
            <w:r w:rsidR="003159E3">
              <w:rPr>
                <w:webHidden/>
              </w:rPr>
              <w:t>56</w:t>
            </w:r>
          </w:hyperlink>
        </w:p>
        <w:p w:rsidR="00887E02" w:rsidRPr="00BB229F" w:rsidRDefault="002A22B8">
          <w:pPr>
            <w:pStyle w:val="TOC2"/>
            <w:rPr>
              <w:rFonts w:asciiTheme="minorHAnsi" w:eastAsiaTheme="minorEastAsia" w:hAnsiTheme="minorHAnsi" w:cstheme="minorBidi"/>
              <w:snapToGrid/>
              <w:kern w:val="0"/>
              <w:szCs w:val="22"/>
            </w:rPr>
          </w:pPr>
          <w:hyperlink w:anchor="_Toc491865460" w:history="1">
            <w:r w:rsidR="00887E02" w:rsidRPr="00BB229F">
              <w:rPr>
                <w:rStyle w:val="Hyperlink"/>
                <w:color w:val="auto"/>
              </w:rPr>
              <w:t>B.</w:t>
            </w:r>
            <w:r w:rsidR="00887E02" w:rsidRPr="00BB229F">
              <w:rPr>
                <w:rFonts w:asciiTheme="minorHAnsi" w:eastAsiaTheme="minorEastAsia" w:hAnsiTheme="minorHAnsi" w:cstheme="minorBidi"/>
                <w:snapToGrid/>
                <w:kern w:val="0"/>
                <w:szCs w:val="22"/>
              </w:rPr>
              <w:tab/>
            </w:r>
            <w:r w:rsidR="00887E02" w:rsidRPr="00BB229F">
              <w:rPr>
                <w:rStyle w:val="Hyperlink"/>
                <w:color w:val="auto"/>
              </w:rPr>
              <w:t>Commercial Mobile Radio Service (CMRS) Cellular and Mobile Services Assessments</w:t>
            </w:r>
            <w:r w:rsidR="00887E02" w:rsidRPr="00BB229F">
              <w:rPr>
                <w:webHidden/>
              </w:rPr>
              <w:tab/>
            </w:r>
            <w:r w:rsidR="003159E3">
              <w:rPr>
                <w:webHidden/>
              </w:rPr>
              <w:t>57</w:t>
            </w:r>
          </w:hyperlink>
        </w:p>
        <w:p w:rsidR="00887E02" w:rsidRPr="00BB229F" w:rsidRDefault="002A22B8">
          <w:pPr>
            <w:pStyle w:val="TOC2"/>
            <w:rPr>
              <w:rFonts w:asciiTheme="minorHAnsi" w:eastAsiaTheme="minorEastAsia" w:hAnsiTheme="minorHAnsi" w:cstheme="minorBidi"/>
              <w:snapToGrid/>
              <w:kern w:val="0"/>
              <w:szCs w:val="22"/>
            </w:rPr>
          </w:pPr>
          <w:hyperlink w:anchor="_Toc491865461" w:history="1">
            <w:r w:rsidR="00887E02" w:rsidRPr="00BB229F">
              <w:rPr>
                <w:rStyle w:val="Hyperlink"/>
                <w:color w:val="auto"/>
              </w:rPr>
              <w:t>C.</w:t>
            </w:r>
            <w:r w:rsidR="00887E02" w:rsidRPr="00BB229F">
              <w:rPr>
                <w:rFonts w:asciiTheme="minorHAnsi" w:eastAsiaTheme="minorEastAsia" w:hAnsiTheme="minorHAnsi" w:cstheme="minorBidi"/>
                <w:snapToGrid/>
                <w:kern w:val="0"/>
                <w:szCs w:val="22"/>
              </w:rPr>
              <w:tab/>
            </w:r>
            <w:r w:rsidR="00887E02" w:rsidRPr="00BB229F">
              <w:rPr>
                <w:rStyle w:val="Hyperlink"/>
                <w:color w:val="auto"/>
              </w:rPr>
              <w:t>Enforcement</w:t>
            </w:r>
            <w:r w:rsidR="00887E02" w:rsidRPr="00BB229F">
              <w:rPr>
                <w:webHidden/>
              </w:rPr>
              <w:tab/>
            </w:r>
            <w:r w:rsidR="003159E3">
              <w:rPr>
                <w:webHidden/>
              </w:rPr>
              <w:t>60</w:t>
            </w:r>
          </w:hyperlink>
        </w:p>
        <w:p w:rsidR="00887E02" w:rsidRPr="00BB229F" w:rsidRDefault="002A22B8">
          <w:pPr>
            <w:pStyle w:val="TOC2"/>
            <w:rPr>
              <w:rFonts w:asciiTheme="minorHAnsi" w:eastAsiaTheme="minorEastAsia" w:hAnsiTheme="minorHAnsi" w:cstheme="minorBidi"/>
              <w:snapToGrid/>
              <w:kern w:val="0"/>
              <w:szCs w:val="22"/>
            </w:rPr>
          </w:pPr>
          <w:hyperlink w:anchor="_Toc491865462" w:history="1">
            <w:r w:rsidR="00887E02" w:rsidRPr="00BB229F">
              <w:rPr>
                <w:rStyle w:val="Hyperlink"/>
                <w:color w:val="auto"/>
              </w:rPr>
              <w:t>D.</w:t>
            </w:r>
            <w:r w:rsidR="00887E02" w:rsidRPr="00BB229F">
              <w:rPr>
                <w:rFonts w:asciiTheme="minorHAnsi" w:eastAsiaTheme="minorEastAsia" w:hAnsiTheme="minorHAnsi" w:cstheme="minorBidi"/>
                <w:snapToGrid/>
                <w:kern w:val="0"/>
                <w:szCs w:val="22"/>
              </w:rPr>
              <w:tab/>
            </w:r>
            <w:r w:rsidR="00887E02" w:rsidRPr="00BB229F">
              <w:rPr>
                <w:rStyle w:val="Hyperlink"/>
                <w:color w:val="auto"/>
              </w:rPr>
              <w:t>Transfers of Unpaid Debt to Centralized Receivables Service (CRS), U.S. Treasury</w:t>
            </w:r>
            <w:r w:rsidR="00887E02" w:rsidRPr="00BB229F">
              <w:rPr>
                <w:webHidden/>
              </w:rPr>
              <w:tab/>
            </w:r>
            <w:r w:rsidR="003159E3">
              <w:rPr>
                <w:webHidden/>
              </w:rPr>
              <w:t>62</w:t>
            </w:r>
          </w:hyperlink>
        </w:p>
        <w:p w:rsidR="00887E02" w:rsidRPr="00BB229F" w:rsidRDefault="002A22B8">
          <w:pPr>
            <w:pStyle w:val="TOC2"/>
            <w:rPr>
              <w:rFonts w:asciiTheme="minorHAnsi" w:eastAsiaTheme="minorEastAsia" w:hAnsiTheme="minorHAnsi" w:cstheme="minorBidi"/>
              <w:snapToGrid/>
              <w:kern w:val="0"/>
              <w:szCs w:val="22"/>
            </w:rPr>
          </w:pPr>
          <w:hyperlink w:anchor="_Toc491865463" w:history="1">
            <w:r w:rsidR="00887E02" w:rsidRPr="00BB229F">
              <w:rPr>
                <w:rStyle w:val="Hyperlink"/>
                <w:color w:val="auto"/>
              </w:rPr>
              <w:t>E.</w:t>
            </w:r>
            <w:r w:rsidR="00887E02" w:rsidRPr="00BB229F">
              <w:rPr>
                <w:rFonts w:asciiTheme="minorHAnsi" w:eastAsiaTheme="minorEastAsia" w:hAnsiTheme="minorHAnsi" w:cstheme="minorBidi"/>
                <w:snapToGrid/>
                <w:kern w:val="0"/>
                <w:szCs w:val="22"/>
              </w:rPr>
              <w:tab/>
            </w:r>
            <w:r w:rsidR="00887E02" w:rsidRPr="00BB229F">
              <w:rPr>
                <w:rStyle w:val="Hyperlink"/>
                <w:color w:val="auto"/>
              </w:rPr>
              <w:t>Effective Date</w:t>
            </w:r>
            <w:r w:rsidR="00887E02" w:rsidRPr="00BB229F">
              <w:rPr>
                <w:webHidden/>
              </w:rPr>
              <w:tab/>
            </w:r>
            <w:r w:rsidR="003159E3">
              <w:rPr>
                <w:webHidden/>
              </w:rPr>
              <w:t>63</w:t>
            </w:r>
          </w:hyperlink>
        </w:p>
        <w:p w:rsidR="00887E02" w:rsidRPr="00BB229F" w:rsidRDefault="002A22B8">
          <w:pPr>
            <w:pStyle w:val="TOC2"/>
            <w:rPr>
              <w:rFonts w:asciiTheme="minorHAnsi" w:eastAsiaTheme="minorEastAsia" w:hAnsiTheme="minorHAnsi" w:cstheme="minorBidi"/>
              <w:snapToGrid/>
              <w:kern w:val="0"/>
              <w:szCs w:val="22"/>
            </w:rPr>
          </w:pPr>
          <w:hyperlink w:anchor="_Toc491865464" w:history="1">
            <w:r w:rsidR="00887E02" w:rsidRPr="00BB229F">
              <w:rPr>
                <w:rStyle w:val="Hyperlink"/>
                <w:color w:val="auto"/>
              </w:rPr>
              <w:t>F.</w:t>
            </w:r>
            <w:r w:rsidR="00887E02" w:rsidRPr="00BB229F">
              <w:rPr>
                <w:rFonts w:asciiTheme="minorHAnsi" w:eastAsiaTheme="minorEastAsia" w:hAnsiTheme="minorHAnsi" w:cstheme="minorBidi"/>
                <w:snapToGrid/>
                <w:kern w:val="0"/>
                <w:szCs w:val="22"/>
              </w:rPr>
              <w:tab/>
            </w:r>
            <w:r w:rsidR="00887E02" w:rsidRPr="00BB229F">
              <w:rPr>
                <w:rStyle w:val="Hyperlink"/>
                <w:color w:val="auto"/>
              </w:rPr>
              <w:t>Final Regulatory Flexibility Analysis</w:t>
            </w:r>
            <w:r w:rsidR="00887E02" w:rsidRPr="00BB229F">
              <w:rPr>
                <w:webHidden/>
              </w:rPr>
              <w:tab/>
            </w:r>
            <w:r w:rsidR="00D06095">
              <w:rPr>
                <w:webHidden/>
              </w:rPr>
              <w:t>64</w:t>
            </w:r>
          </w:hyperlink>
        </w:p>
        <w:p w:rsidR="00887E02" w:rsidRPr="00BB229F" w:rsidRDefault="002A22B8">
          <w:pPr>
            <w:pStyle w:val="TOC2"/>
            <w:rPr>
              <w:rFonts w:asciiTheme="minorHAnsi" w:eastAsiaTheme="minorEastAsia" w:hAnsiTheme="minorHAnsi" w:cstheme="minorBidi"/>
              <w:snapToGrid/>
              <w:kern w:val="0"/>
              <w:szCs w:val="22"/>
            </w:rPr>
          </w:pPr>
          <w:hyperlink w:anchor="_Toc491865465" w:history="1">
            <w:r w:rsidR="00887E02" w:rsidRPr="00BB229F">
              <w:rPr>
                <w:rStyle w:val="Hyperlink"/>
                <w:color w:val="auto"/>
              </w:rPr>
              <w:t>G.</w:t>
            </w:r>
            <w:r w:rsidR="00887E02" w:rsidRPr="00BB229F">
              <w:rPr>
                <w:rFonts w:asciiTheme="minorHAnsi" w:eastAsiaTheme="minorEastAsia" w:hAnsiTheme="minorHAnsi" w:cstheme="minorBidi"/>
                <w:snapToGrid/>
                <w:kern w:val="0"/>
                <w:szCs w:val="22"/>
              </w:rPr>
              <w:tab/>
            </w:r>
            <w:r w:rsidR="00887E02" w:rsidRPr="00BB229F">
              <w:rPr>
                <w:rStyle w:val="Hyperlink"/>
                <w:color w:val="auto"/>
              </w:rPr>
              <w:t>Paperwork Reduction Act of 1995 Analysis</w:t>
            </w:r>
            <w:r w:rsidR="00887E02" w:rsidRPr="00BB229F">
              <w:rPr>
                <w:webHidden/>
              </w:rPr>
              <w:tab/>
            </w:r>
            <w:r w:rsidR="00D06095">
              <w:rPr>
                <w:webHidden/>
              </w:rPr>
              <w:t>65</w:t>
            </w:r>
          </w:hyperlink>
        </w:p>
        <w:p w:rsidR="00887E02" w:rsidRPr="00BB229F" w:rsidRDefault="002A22B8">
          <w:pPr>
            <w:pStyle w:val="TOC2"/>
            <w:rPr>
              <w:rFonts w:asciiTheme="minorHAnsi" w:eastAsiaTheme="minorEastAsia" w:hAnsiTheme="minorHAnsi" w:cstheme="minorBidi"/>
              <w:snapToGrid/>
              <w:kern w:val="0"/>
              <w:szCs w:val="22"/>
            </w:rPr>
          </w:pPr>
          <w:hyperlink w:anchor="_Toc491865466" w:history="1">
            <w:r w:rsidR="00887E02" w:rsidRPr="00BB229F">
              <w:rPr>
                <w:rStyle w:val="Hyperlink"/>
                <w:color w:val="auto"/>
              </w:rPr>
              <w:t>H.</w:t>
            </w:r>
            <w:r w:rsidR="00887E02" w:rsidRPr="00BB229F">
              <w:rPr>
                <w:rFonts w:asciiTheme="minorHAnsi" w:eastAsiaTheme="minorEastAsia" w:hAnsiTheme="minorHAnsi" w:cstheme="minorBidi"/>
                <w:snapToGrid/>
                <w:kern w:val="0"/>
                <w:szCs w:val="22"/>
              </w:rPr>
              <w:tab/>
            </w:r>
            <w:r w:rsidR="00887E02" w:rsidRPr="00BB229F">
              <w:rPr>
                <w:rStyle w:val="Hyperlink"/>
                <w:color w:val="auto"/>
              </w:rPr>
              <w:t>Initial Regulatory Flexibility Analysis</w:t>
            </w:r>
            <w:r w:rsidR="00887E02" w:rsidRPr="00BB229F">
              <w:rPr>
                <w:webHidden/>
              </w:rPr>
              <w:tab/>
            </w:r>
            <w:r w:rsidR="00D06095">
              <w:rPr>
                <w:webHidden/>
              </w:rPr>
              <w:t>66</w:t>
            </w:r>
          </w:hyperlink>
        </w:p>
        <w:p w:rsidR="00887E02" w:rsidRPr="00BB229F" w:rsidRDefault="002A22B8">
          <w:pPr>
            <w:pStyle w:val="TOC2"/>
            <w:rPr>
              <w:rFonts w:asciiTheme="minorHAnsi" w:eastAsiaTheme="minorEastAsia" w:hAnsiTheme="minorHAnsi" w:cstheme="minorBidi"/>
              <w:snapToGrid/>
              <w:kern w:val="0"/>
              <w:szCs w:val="22"/>
            </w:rPr>
          </w:pPr>
          <w:hyperlink w:anchor="_Toc491865467" w:history="1">
            <w:r w:rsidR="00887E02" w:rsidRPr="00BB229F">
              <w:rPr>
                <w:rStyle w:val="Hyperlink"/>
                <w:color w:val="auto"/>
              </w:rPr>
              <w:t>I.</w:t>
            </w:r>
            <w:r w:rsidR="00887E02" w:rsidRPr="00BB229F">
              <w:rPr>
                <w:rFonts w:asciiTheme="minorHAnsi" w:eastAsiaTheme="minorEastAsia" w:hAnsiTheme="minorHAnsi" w:cstheme="minorBidi"/>
                <w:snapToGrid/>
                <w:kern w:val="0"/>
                <w:szCs w:val="22"/>
              </w:rPr>
              <w:tab/>
            </w:r>
            <w:r w:rsidR="00887E02" w:rsidRPr="00BB229F">
              <w:rPr>
                <w:rStyle w:val="Hyperlink"/>
                <w:color w:val="auto"/>
              </w:rPr>
              <w:t>Filing Instructions</w:t>
            </w:r>
            <w:r w:rsidR="00887E02" w:rsidRPr="00BB229F">
              <w:rPr>
                <w:webHidden/>
              </w:rPr>
              <w:tab/>
            </w:r>
            <w:r w:rsidR="00D06095">
              <w:rPr>
                <w:webHidden/>
              </w:rPr>
              <w:t>67</w:t>
            </w:r>
          </w:hyperlink>
        </w:p>
        <w:p w:rsidR="00887E02" w:rsidRPr="00BB229F" w:rsidRDefault="002A22B8">
          <w:pPr>
            <w:pStyle w:val="TOC2"/>
            <w:rPr>
              <w:rFonts w:asciiTheme="minorHAnsi" w:eastAsiaTheme="minorEastAsia" w:hAnsiTheme="minorHAnsi" w:cstheme="minorBidi"/>
              <w:snapToGrid/>
              <w:kern w:val="0"/>
              <w:szCs w:val="22"/>
            </w:rPr>
          </w:pPr>
          <w:hyperlink w:anchor="_Toc491865468" w:history="1">
            <w:r w:rsidR="00887E02" w:rsidRPr="00BB229F">
              <w:rPr>
                <w:rStyle w:val="Hyperlink"/>
                <w:color w:val="auto"/>
              </w:rPr>
              <w:t>J.</w:t>
            </w:r>
            <w:r w:rsidR="00887E02" w:rsidRPr="00BB229F">
              <w:rPr>
                <w:rFonts w:asciiTheme="minorHAnsi" w:eastAsiaTheme="minorEastAsia" w:hAnsiTheme="minorHAnsi" w:cstheme="minorBidi"/>
                <w:snapToGrid/>
                <w:kern w:val="0"/>
                <w:szCs w:val="22"/>
              </w:rPr>
              <w:tab/>
            </w:r>
            <w:r w:rsidR="00887E02" w:rsidRPr="00BB229F">
              <w:rPr>
                <w:rStyle w:val="Hyperlink"/>
                <w:color w:val="auto"/>
              </w:rPr>
              <w:t>Ex Parte Information</w:t>
            </w:r>
            <w:r w:rsidR="00887E02" w:rsidRPr="00BB229F">
              <w:rPr>
                <w:webHidden/>
              </w:rPr>
              <w:tab/>
            </w:r>
            <w:r w:rsidR="00D06095">
              <w:rPr>
                <w:webHidden/>
              </w:rPr>
              <w:t>68</w:t>
            </w:r>
          </w:hyperlink>
        </w:p>
        <w:p w:rsidR="00887E02" w:rsidRPr="00BB229F" w:rsidRDefault="002A22B8">
          <w:pPr>
            <w:pStyle w:val="TOC2"/>
            <w:rPr>
              <w:rFonts w:asciiTheme="minorHAnsi" w:eastAsiaTheme="minorEastAsia" w:hAnsiTheme="minorHAnsi" w:cstheme="minorBidi"/>
              <w:snapToGrid/>
              <w:kern w:val="0"/>
              <w:szCs w:val="22"/>
            </w:rPr>
          </w:pPr>
          <w:hyperlink w:anchor="_Toc491865469" w:history="1">
            <w:r w:rsidR="00887E02" w:rsidRPr="00BB229F">
              <w:rPr>
                <w:rStyle w:val="Hyperlink"/>
                <w:color w:val="auto"/>
              </w:rPr>
              <w:t>K.</w:t>
            </w:r>
            <w:r w:rsidR="00887E02" w:rsidRPr="00BB229F">
              <w:rPr>
                <w:rFonts w:asciiTheme="minorHAnsi" w:eastAsiaTheme="minorEastAsia" w:hAnsiTheme="minorHAnsi" w:cstheme="minorBidi"/>
                <w:snapToGrid/>
                <w:kern w:val="0"/>
                <w:szCs w:val="22"/>
              </w:rPr>
              <w:tab/>
            </w:r>
            <w:r w:rsidR="00887E02" w:rsidRPr="00BB229F">
              <w:rPr>
                <w:rStyle w:val="Hyperlink"/>
                <w:color w:val="auto"/>
              </w:rPr>
              <w:t>Congressional Review Act.</w:t>
            </w:r>
            <w:r w:rsidR="00887E02" w:rsidRPr="00BB229F">
              <w:rPr>
                <w:webHidden/>
              </w:rPr>
              <w:tab/>
            </w:r>
            <w:r w:rsidR="00D06095">
              <w:rPr>
                <w:webHidden/>
              </w:rPr>
              <w:t>69</w:t>
            </w:r>
          </w:hyperlink>
        </w:p>
        <w:p w:rsidR="00887E02" w:rsidRPr="00BB229F" w:rsidRDefault="002A22B8" w:rsidP="00887E02">
          <w:pPr>
            <w:pStyle w:val="TOC1"/>
          </w:pPr>
          <w:hyperlink w:anchor="_Toc491865470" w:history="1">
            <w:r w:rsidR="00887E02" w:rsidRPr="00BB229F">
              <w:rPr>
                <w:rStyle w:val="Hyperlink"/>
                <w:color w:val="auto"/>
              </w:rPr>
              <w:t>VI.</w:t>
            </w:r>
            <w:r w:rsidR="00887E02" w:rsidRPr="00BB229F">
              <w:rPr>
                <w:rFonts w:asciiTheme="minorHAnsi" w:eastAsiaTheme="minorEastAsia" w:hAnsiTheme="minorHAnsi" w:cstheme="minorBidi"/>
                <w:caps w:val="0"/>
                <w:snapToGrid/>
                <w:kern w:val="0"/>
                <w:szCs w:val="22"/>
              </w:rPr>
              <w:tab/>
            </w:r>
            <w:r w:rsidR="00887E02" w:rsidRPr="00BB229F">
              <w:rPr>
                <w:rStyle w:val="Hyperlink"/>
                <w:color w:val="auto"/>
              </w:rPr>
              <w:t>ORDERING CLAUSES</w:t>
            </w:r>
            <w:r w:rsidR="00887E02" w:rsidRPr="00BB229F">
              <w:rPr>
                <w:webHidden/>
              </w:rPr>
              <w:tab/>
            </w:r>
            <w:r w:rsidR="00D06095">
              <w:rPr>
                <w:webHidden/>
              </w:rPr>
              <w:t>70</w:t>
            </w:r>
          </w:hyperlink>
        </w:p>
        <w:p w:rsidR="00976475" w:rsidRPr="00BB229F" w:rsidRDefault="00976475" w:rsidP="000E534D">
          <w:pPr>
            <w:rPr>
              <w:rFonts w:eastAsiaTheme="minorEastAsia"/>
            </w:rPr>
          </w:pPr>
        </w:p>
        <w:p w:rsidR="000E534D" w:rsidRPr="00BB229F" w:rsidRDefault="000E534D" w:rsidP="000E534D">
          <w:pPr>
            <w:rPr>
              <w:rFonts w:eastAsiaTheme="minorEastAsia"/>
            </w:rPr>
          </w:pPr>
          <w:r w:rsidRPr="00BB229F">
            <w:rPr>
              <w:rFonts w:eastAsiaTheme="minorEastAsia"/>
            </w:rPr>
            <w:t xml:space="preserve">APPENDIX </w:t>
          </w:r>
          <w:r w:rsidR="00605FFE" w:rsidRPr="00BB229F">
            <w:rPr>
              <w:rFonts w:eastAsiaTheme="minorEastAsia"/>
            </w:rPr>
            <w:t>A</w:t>
          </w:r>
        </w:p>
        <w:p w:rsidR="00605FFE" w:rsidRPr="00BB229F" w:rsidRDefault="00605FFE" w:rsidP="000E534D">
          <w:pPr>
            <w:rPr>
              <w:rFonts w:eastAsiaTheme="minorEastAsia"/>
            </w:rPr>
          </w:pPr>
          <w:r w:rsidRPr="00BB229F">
            <w:rPr>
              <w:rFonts w:eastAsiaTheme="minorEastAsia"/>
            </w:rPr>
            <w:t>APPENDIX B</w:t>
          </w:r>
        </w:p>
        <w:p w:rsidR="00605FFE" w:rsidRPr="00BB229F" w:rsidRDefault="00605FFE" w:rsidP="000E534D">
          <w:pPr>
            <w:rPr>
              <w:rFonts w:eastAsiaTheme="minorEastAsia"/>
            </w:rPr>
          </w:pPr>
          <w:r w:rsidRPr="00BB229F">
            <w:rPr>
              <w:rFonts w:eastAsiaTheme="minorEastAsia"/>
            </w:rPr>
            <w:t>APPENDIX C</w:t>
          </w:r>
        </w:p>
        <w:p w:rsidR="00605FFE" w:rsidRPr="00BB229F" w:rsidRDefault="00605FFE" w:rsidP="000E534D">
          <w:pPr>
            <w:rPr>
              <w:rFonts w:eastAsiaTheme="minorEastAsia"/>
            </w:rPr>
          </w:pPr>
          <w:r w:rsidRPr="00BB229F">
            <w:rPr>
              <w:rFonts w:eastAsiaTheme="minorEastAsia"/>
            </w:rPr>
            <w:t>APPENDIX D</w:t>
          </w:r>
        </w:p>
        <w:p w:rsidR="00605FFE" w:rsidRPr="00BB229F" w:rsidRDefault="00605FFE" w:rsidP="000E534D">
          <w:pPr>
            <w:rPr>
              <w:rFonts w:eastAsiaTheme="minorEastAsia"/>
            </w:rPr>
          </w:pPr>
          <w:r w:rsidRPr="00BB229F">
            <w:rPr>
              <w:rFonts w:eastAsiaTheme="minorEastAsia"/>
            </w:rPr>
            <w:t>APPENDIX E</w:t>
          </w:r>
        </w:p>
        <w:p w:rsidR="00605FFE" w:rsidRPr="00BB229F" w:rsidRDefault="00605FFE" w:rsidP="000E534D">
          <w:pPr>
            <w:rPr>
              <w:rFonts w:eastAsiaTheme="minorEastAsia"/>
            </w:rPr>
          </w:pPr>
          <w:r w:rsidRPr="00BB229F">
            <w:rPr>
              <w:rFonts w:eastAsiaTheme="minorEastAsia"/>
            </w:rPr>
            <w:t>APPENDIX F</w:t>
          </w:r>
        </w:p>
        <w:p w:rsidR="00605FFE" w:rsidRPr="00BB229F" w:rsidRDefault="00605FFE" w:rsidP="000E534D">
          <w:pPr>
            <w:rPr>
              <w:rFonts w:eastAsiaTheme="minorEastAsia"/>
            </w:rPr>
          </w:pPr>
          <w:r w:rsidRPr="00BB229F">
            <w:rPr>
              <w:rFonts w:eastAsiaTheme="minorEastAsia"/>
            </w:rPr>
            <w:t>APPENDIX G</w:t>
          </w:r>
        </w:p>
        <w:p w:rsidR="00605FFE" w:rsidRPr="00BB229F" w:rsidRDefault="00605FFE" w:rsidP="000E534D">
          <w:pPr>
            <w:rPr>
              <w:rFonts w:eastAsiaTheme="minorEastAsia"/>
            </w:rPr>
          </w:pPr>
          <w:r w:rsidRPr="00BB229F">
            <w:rPr>
              <w:rFonts w:eastAsiaTheme="minorEastAsia"/>
            </w:rPr>
            <w:t>APPENDIX H</w:t>
          </w:r>
        </w:p>
        <w:p w:rsidR="00605FFE" w:rsidRPr="00BB229F" w:rsidRDefault="00605FFE" w:rsidP="000E534D">
          <w:pPr>
            <w:rPr>
              <w:rFonts w:eastAsiaTheme="minorEastAsia"/>
            </w:rPr>
          </w:pPr>
          <w:r w:rsidRPr="00BB229F">
            <w:rPr>
              <w:rFonts w:eastAsiaTheme="minorEastAsia"/>
            </w:rPr>
            <w:t>APPENDIX I</w:t>
          </w:r>
        </w:p>
        <w:p w:rsidR="00887E02" w:rsidRPr="00BB229F" w:rsidRDefault="00887E02">
          <w:r w:rsidRPr="00BB229F">
            <w:rPr>
              <w:b/>
              <w:bCs/>
              <w:noProof/>
            </w:rPr>
            <w:fldChar w:fldCharType="end"/>
          </w:r>
        </w:p>
      </w:sdtContent>
    </w:sdt>
    <w:p w:rsidR="00AD0B4D" w:rsidRPr="00BB229F" w:rsidRDefault="00AD0B4D">
      <w:pPr>
        <w:rPr>
          <w:spacing w:val="-2"/>
        </w:rPr>
      </w:pPr>
    </w:p>
    <w:p w:rsidR="002C00E8" w:rsidRPr="00BB229F" w:rsidRDefault="00DA0A0A" w:rsidP="002C00E8">
      <w:pPr>
        <w:pStyle w:val="Heading1"/>
      </w:pPr>
      <w:bookmarkStart w:id="1" w:name="_Toc491865021"/>
      <w:bookmarkStart w:id="2" w:name="_Toc491865436"/>
      <w:r w:rsidRPr="00BB229F">
        <w:t>introduction</w:t>
      </w:r>
      <w:bookmarkEnd w:id="1"/>
      <w:bookmarkEnd w:id="2"/>
    </w:p>
    <w:p w:rsidR="00F75A4A" w:rsidRPr="00BB229F" w:rsidRDefault="00061880" w:rsidP="00061880">
      <w:pPr>
        <w:pStyle w:val="ParaNum"/>
        <w:widowControl/>
      </w:pPr>
      <w:r w:rsidRPr="00BB229F">
        <w:t>This Report and Order adopts a schedule of regulatory fees to assess and collect $3</w:t>
      </w:r>
      <w:r w:rsidR="00D67F5A" w:rsidRPr="00BB229F">
        <w:t>56,710,992</w:t>
      </w:r>
      <w:r w:rsidRPr="00BB229F">
        <w:t xml:space="preserve"> </w:t>
      </w:r>
      <w:r w:rsidR="000D168E" w:rsidRPr="00BB229F">
        <w:t>in regulatory fees for fiscal y</w:t>
      </w:r>
      <w:r w:rsidRPr="00BB229F">
        <w:t>ear (FY) 201</w:t>
      </w:r>
      <w:r w:rsidR="00D67F5A" w:rsidRPr="00BB229F">
        <w:t>7</w:t>
      </w:r>
      <w:r w:rsidR="00417FA6" w:rsidRPr="00BB229F">
        <w:t>, pursuant to s</w:t>
      </w:r>
      <w:r w:rsidRPr="00BB229F">
        <w:t>ection 9 of the Communications Act of 1934, as amended (Communications Act or Act) and the Commission’s FY 201</w:t>
      </w:r>
      <w:r w:rsidR="00D67F5A" w:rsidRPr="00BB229F">
        <w:t>7</w:t>
      </w:r>
      <w:r w:rsidRPr="00BB229F">
        <w:t xml:space="preserve"> Appropriation.</w:t>
      </w:r>
      <w:r w:rsidRPr="00BB229F">
        <w:rPr>
          <w:rStyle w:val="FootnoteReference"/>
        </w:rPr>
        <w:footnoteReference w:id="2"/>
      </w:r>
      <w:r w:rsidRPr="00BB229F">
        <w:t xml:space="preserve">  The schedule of regulatory fees for FY 201</w:t>
      </w:r>
      <w:r w:rsidR="00F75A4A" w:rsidRPr="00BB229F">
        <w:t>7</w:t>
      </w:r>
      <w:r w:rsidRPr="00BB229F">
        <w:t xml:space="preserve"> adopted here is attached in Appendix C.  These regulatory fees are due in September 201</w:t>
      </w:r>
      <w:r w:rsidR="00F75A4A" w:rsidRPr="00BB229F">
        <w:t>7</w:t>
      </w:r>
      <w:r w:rsidRPr="00BB229F">
        <w:t>.  The FY 201</w:t>
      </w:r>
      <w:r w:rsidR="00F75A4A" w:rsidRPr="00BB229F">
        <w:t>7</w:t>
      </w:r>
      <w:r w:rsidRPr="00BB229F">
        <w:t xml:space="preserve"> regulatory fees are based on the proposals in the </w:t>
      </w:r>
      <w:r w:rsidRPr="00BB229F">
        <w:rPr>
          <w:i/>
        </w:rPr>
        <w:t>FY 201</w:t>
      </w:r>
      <w:r w:rsidR="00F75A4A" w:rsidRPr="00BB229F">
        <w:rPr>
          <w:i/>
        </w:rPr>
        <w:t>7</w:t>
      </w:r>
      <w:r w:rsidRPr="00BB229F">
        <w:rPr>
          <w:i/>
        </w:rPr>
        <w:t xml:space="preserve"> NPRM</w:t>
      </w:r>
      <w:r w:rsidRPr="00BB229F">
        <w:t>,</w:t>
      </w:r>
      <w:r w:rsidRPr="00BB229F">
        <w:rPr>
          <w:rStyle w:val="FootnoteReference"/>
        </w:rPr>
        <w:footnoteReference w:id="3"/>
      </w:r>
      <w:r w:rsidRPr="00BB229F">
        <w:t xml:space="preserve"> considered in light of the comments received and Commission analysis.  </w:t>
      </w:r>
    </w:p>
    <w:p w:rsidR="00061880" w:rsidRPr="00BB229F" w:rsidRDefault="00061880" w:rsidP="00061880">
      <w:pPr>
        <w:pStyle w:val="Heading1"/>
      </w:pPr>
      <w:bookmarkStart w:id="3" w:name="_Toc491865022"/>
      <w:bookmarkStart w:id="4" w:name="_Toc491865437"/>
      <w:r w:rsidRPr="00BB229F">
        <w:t>background</w:t>
      </w:r>
      <w:bookmarkEnd w:id="3"/>
      <w:bookmarkEnd w:id="4"/>
    </w:p>
    <w:p w:rsidR="00061880" w:rsidRPr="00BB229F" w:rsidRDefault="00061880" w:rsidP="00061880">
      <w:pPr>
        <w:pStyle w:val="ParaNum"/>
        <w:widowControl/>
      </w:pPr>
      <w:r w:rsidRPr="00BB229F">
        <w:t>Congress adopted a regulatory fee schedule in 1993</w:t>
      </w:r>
      <w:r w:rsidRPr="00BB229F">
        <w:rPr>
          <w:rStyle w:val="FootnoteReference"/>
        </w:rPr>
        <w:footnoteReference w:id="4"/>
      </w:r>
      <w:r w:rsidRPr="00BB229F">
        <w:t xml:space="preserve"> and authorized the Commission to assess and collect annual regulatory fees pursuant to the schedule, as amended by the Commission.</w:t>
      </w:r>
      <w:r w:rsidRPr="00BB229F">
        <w:rPr>
          <w:rStyle w:val="FootnoteReference"/>
        </w:rPr>
        <w:footnoteReference w:id="5"/>
      </w:r>
      <w:r w:rsidRPr="00BB229F">
        <w:t xml:space="preserve">  </w:t>
      </w:r>
      <w:r w:rsidR="0006695E" w:rsidRPr="00BB229F">
        <w:t>T</w:t>
      </w:r>
      <w:r w:rsidRPr="00BB229F">
        <w:t>he Commission annually reviews the regulatory fee schedule, proposes changes to the schedule to reflect changes in the amount of its appropriation, and proposes increases or decreases to the schedule of regulatory fees.</w:t>
      </w:r>
      <w:r w:rsidRPr="00BB229F">
        <w:rPr>
          <w:rStyle w:val="FootnoteReference"/>
        </w:rPr>
        <w:footnoteReference w:id="6"/>
      </w:r>
      <w:r w:rsidRPr="00BB229F">
        <w:t xml:space="preserve">  The Commission makes changes to the regulatory fee schedule “if the Commission determines that the schedule requires amendment to comply with the requirements”</w:t>
      </w:r>
      <w:r w:rsidRPr="00BB229F">
        <w:rPr>
          <w:rStyle w:val="FootnoteReference"/>
        </w:rPr>
        <w:footnoteReference w:id="7"/>
      </w:r>
      <w:r w:rsidRPr="00BB229F">
        <w:t xml:space="preserve"> of section 9(b)(1)(A) of the Act.</w:t>
      </w:r>
      <w:r w:rsidRPr="00BB229F">
        <w:rPr>
          <w:rStyle w:val="FootnoteReference"/>
        </w:rPr>
        <w:footnoteReference w:id="8"/>
      </w:r>
      <w:r w:rsidRPr="00BB229F">
        <w:t xml:space="preserve">  The Commission may also add, delete, or reclassify services in the fee schedule to reflect additions, deletions, or changes in the nature of its services “as a consequence of Commission rulemaking proceedings or changes in law.”  </w:t>
      </w:r>
      <w:r w:rsidR="00EE7716" w:rsidRPr="00BB229F">
        <w:t>R</w:t>
      </w:r>
      <w:r w:rsidR="00EE7716" w:rsidRPr="00BB229F">
        <w:rPr>
          <w:szCs w:val="22"/>
        </w:rPr>
        <w:t xml:space="preserve">egulatory fees must also cover the costs the Commission incurs in </w:t>
      </w:r>
      <w:r w:rsidR="00EE7716" w:rsidRPr="00BB229F">
        <w:rPr>
          <w:szCs w:val="22"/>
        </w:rPr>
        <w:lastRenderedPageBreak/>
        <w:t>regulating entities that are statutorily exempt from paying regulatory fees,</w:t>
      </w:r>
      <w:r w:rsidR="00EE7716" w:rsidRPr="00BB229F">
        <w:rPr>
          <w:rStyle w:val="FootnoteReference"/>
          <w:szCs w:val="22"/>
        </w:rPr>
        <w:footnoteReference w:id="9"/>
      </w:r>
      <w:r w:rsidR="00EE7716" w:rsidRPr="00BB229F">
        <w:rPr>
          <w:szCs w:val="22"/>
        </w:rPr>
        <w:t xml:space="preserve"> entities whose regulatory fees are waived,</w:t>
      </w:r>
      <w:r w:rsidR="00EE7716" w:rsidRPr="00BB229F">
        <w:rPr>
          <w:rStyle w:val="FootnoteReference"/>
          <w:szCs w:val="22"/>
        </w:rPr>
        <w:footnoteReference w:id="10"/>
      </w:r>
      <w:r w:rsidR="00EE7716" w:rsidRPr="00BB229F">
        <w:rPr>
          <w:szCs w:val="22"/>
        </w:rPr>
        <w:t xml:space="preserve"> and entities that provide nonregulated services.  </w:t>
      </w:r>
      <w:r w:rsidRPr="00BB229F">
        <w:t xml:space="preserve">Thus, for each fiscal year, the Commission proposes a fee schedule in the annual Notice of Proposed Rulemaking that reflects changes in the amount appropriated for the performance of the Commission’s regulatory activities, changes </w:t>
      </w:r>
      <w:r w:rsidRPr="00BB229F">
        <w:rPr>
          <w:rStyle w:val="documentbody"/>
        </w:rPr>
        <w:t>in the industries represented by the regulatory fee payors, changes in FTE</w:t>
      </w:r>
      <w:r w:rsidR="00B30932" w:rsidRPr="00BB229F">
        <w:rPr>
          <w:rStyle w:val="FootnoteReference"/>
        </w:rPr>
        <w:footnoteReference w:id="11"/>
      </w:r>
      <w:r w:rsidRPr="00BB229F">
        <w:rPr>
          <w:rStyle w:val="documentbody"/>
        </w:rPr>
        <w:t xml:space="preserve"> levels, </w:t>
      </w:r>
      <w:r w:rsidRPr="00BB229F">
        <w:t>and any other issues of relevance to the proposed fee schedule.</w:t>
      </w:r>
      <w:r w:rsidRPr="00BB229F">
        <w:rPr>
          <w:rStyle w:val="FootnoteReference"/>
        </w:rPr>
        <w:footnoteReference w:id="12"/>
      </w:r>
      <w:r w:rsidRPr="00BB229F">
        <w:t xml:space="preserve">  After reviewing the comments, the </w:t>
      </w:r>
      <w:r w:rsidRPr="00BB229F">
        <w:rPr>
          <w:rStyle w:val="documentbody"/>
        </w:rPr>
        <w:t>Commission issues a Report and Order adopting the fee schedule for the fiscal year and sets out the procedures for payment of fees.</w:t>
      </w:r>
    </w:p>
    <w:p w:rsidR="00061880" w:rsidRPr="00BB229F" w:rsidRDefault="00061880" w:rsidP="00061880">
      <w:pPr>
        <w:pStyle w:val="ParaNum"/>
        <w:widowControl/>
      </w:pPr>
      <w:r w:rsidRPr="00BB229F">
        <w:t>The Commission calculates the fees by first determining the number of FTEs performing the regulatory activities specified in section 9(a), “adjusted to take into account factors that are reasonably related to the benefits provided to the payor of the fee by the Commission’s activities</w:t>
      </w:r>
      <w:r w:rsidRPr="00BB229F">
        <w:rPr>
          <w:caps/>
        </w:rPr>
        <w:t>….”</w:t>
      </w:r>
      <w:r w:rsidRPr="00BB229F">
        <w:rPr>
          <w:rStyle w:val="FootnoteReference"/>
          <w:szCs w:val="22"/>
        </w:rPr>
        <w:footnoteReference w:id="13"/>
      </w:r>
      <w:r w:rsidRPr="00BB229F">
        <w:t xml:space="preserve">  </w:t>
      </w:r>
      <w:r w:rsidRPr="00BB229F">
        <w:rPr>
          <w:szCs w:val="22"/>
        </w:rPr>
        <w:t>FTEs are categorized as “direct” if they are performing regulatory activities in one of the “core” bureaus, i.e., the Wireless Telecommunications Bureau, Media Bureau, Wireline Competition Bureau, and part of the International Bureau.  All other FTEs are considered “indirect.”</w:t>
      </w:r>
      <w:r w:rsidRPr="00BB229F">
        <w:rPr>
          <w:rStyle w:val="FootnoteReference"/>
          <w:szCs w:val="22"/>
        </w:rPr>
        <w:footnoteReference w:id="14"/>
      </w:r>
      <w:r w:rsidRPr="00BB229F">
        <w:t xml:space="preserve">  </w:t>
      </w:r>
      <w:r w:rsidRPr="00BB229F">
        <w:rPr>
          <w:szCs w:val="22"/>
        </w:rPr>
        <w:t xml:space="preserve">The total FTEs for each fee category is calculated by counting the number of direct FTEs in the core bureau that regulates that category, plus a proportional allocation of indirect FTEs.  </w:t>
      </w:r>
      <w:r w:rsidRPr="00BB229F">
        <w:t xml:space="preserve">Next, the Commission allocates the total amount to be collected among the various regulatory fee categories.  This allocation is based on the number of FTEs assigned to work in each regulatory fee category.  </w:t>
      </w:r>
      <w:r w:rsidRPr="00BB229F">
        <w:rPr>
          <w:szCs w:val="22"/>
        </w:rPr>
        <w:t>E</w:t>
      </w:r>
      <w:r w:rsidRPr="00BB229F">
        <w:t>ach regulatee within a fee category pays its proportionate share based on an objective measure, e.g., revenues, number of subscribers, or licenses.</w:t>
      </w:r>
      <w:r w:rsidRPr="00BB229F">
        <w:rPr>
          <w:rStyle w:val="FootnoteReference"/>
          <w:szCs w:val="22"/>
        </w:rPr>
        <w:footnoteReference w:id="15"/>
      </w:r>
      <w:r w:rsidRPr="00BB229F">
        <w:t xml:space="preserve">   </w:t>
      </w:r>
    </w:p>
    <w:p w:rsidR="00061880" w:rsidRPr="00BB229F" w:rsidRDefault="00061880" w:rsidP="00061880">
      <w:pPr>
        <w:pStyle w:val="ParaNum"/>
        <w:widowControl/>
      </w:pPr>
      <w:bookmarkStart w:id="5" w:name="_Toc353987718"/>
      <w:r w:rsidRPr="00BB229F">
        <w:t>As part of its annual review, the Commission seeks to improve its regulatory fee analysis</w:t>
      </w:r>
      <w:r w:rsidRPr="00BB229F">
        <w:rPr>
          <w:i/>
        </w:rPr>
        <w:t>.</w:t>
      </w:r>
      <w:r w:rsidRPr="00BB229F">
        <w:rPr>
          <w:rStyle w:val="FootnoteReference"/>
          <w:szCs w:val="22"/>
        </w:rPr>
        <w:footnoteReference w:id="16"/>
      </w:r>
      <w:r w:rsidRPr="00BB229F">
        <w:t xml:space="preserve">  For example, in </w:t>
      </w:r>
      <w:r w:rsidR="005A0BC4" w:rsidRPr="00BB229F">
        <w:t xml:space="preserve">the </w:t>
      </w:r>
      <w:r w:rsidRPr="00BB229F">
        <w:rPr>
          <w:i/>
        </w:rPr>
        <w:t>FY 2013</w:t>
      </w:r>
      <w:r w:rsidR="005A0BC4" w:rsidRPr="00BB229F">
        <w:rPr>
          <w:i/>
        </w:rPr>
        <w:t xml:space="preserve"> Report and Order</w:t>
      </w:r>
      <w:r w:rsidRPr="00BB229F">
        <w:t>, the Commission updated FTE allocations to more accurately reflect the number of FTEs working on regulation and oversight of the regulatees in the various fee categories</w:t>
      </w:r>
      <w:r w:rsidR="00B158AA" w:rsidRPr="00BB229F">
        <w:t>;</w:t>
      </w:r>
      <w:r w:rsidR="00B158AA" w:rsidRPr="00BB229F">
        <w:rPr>
          <w:rStyle w:val="FootnoteReference"/>
        </w:rPr>
        <w:footnoteReference w:id="17"/>
      </w:r>
      <w:r w:rsidRPr="00BB229F">
        <w:t xml:space="preserve"> </w:t>
      </w:r>
      <w:r w:rsidR="005A0BC4" w:rsidRPr="00BB229F">
        <w:t>reallocated some FTEs from the International Bureau as indirect;</w:t>
      </w:r>
      <w:r w:rsidR="00B158AA" w:rsidRPr="00BB229F">
        <w:rPr>
          <w:rStyle w:val="FootnoteReference"/>
          <w:sz w:val="22"/>
          <w:szCs w:val="22"/>
        </w:rPr>
        <w:footnoteReference w:id="18"/>
      </w:r>
      <w:r w:rsidR="00B158AA" w:rsidRPr="00BB229F">
        <w:rPr>
          <w:szCs w:val="22"/>
        </w:rPr>
        <w:t xml:space="preserve"> </w:t>
      </w:r>
      <w:r w:rsidR="005A0BC4" w:rsidRPr="00BB229F">
        <w:t xml:space="preserve">combined the UHF and VHF television </w:t>
      </w:r>
      <w:r w:rsidRPr="00BB229F">
        <w:t>stations into one regulatory fee category;</w:t>
      </w:r>
      <w:r w:rsidRPr="00BB229F">
        <w:rPr>
          <w:rStyle w:val="FootnoteReference"/>
        </w:rPr>
        <w:footnoteReference w:id="19"/>
      </w:r>
      <w:r w:rsidRPr="00BB229F">
        <w:t xml:space="preserve"> and </w:t>
      </w:r>
      <w:r w:rsidR="005A0BC4" w:rsidRPr="00BB229F">
        <w:t>added Internet Protocol Television (</w:t>
      </w:r>
      <w:r w:rsidRPr="00BB229F">
        <w:t>IPTV</w:t>
      </w:r>
      <w:r w:rsidR="005A0BC4" w:rsidRPr="00BB229F">
        <w:t>)</w:t>
      </w:r>
      <w:r w:rsidRPr="00BB229F">
        <w:t xml:space="preserve"> </w:t>
      </w:r>
      <w:r w:rsidR="005A0BC4" w:rsidRPr="00BB229F">
        <w:t xml:space="preserve">to </w:t>
      </w:r>
      <w:r w:rsidRPr="00BB229F">
        <w:t>the cable television fee category.</w:t>
      </w:r>
      <w:r w:rsidRPr="00BB229F">
        <w:rPr>
          <w:rStyle w:val="FootnoteReference"/>
        </w:rPr>
        <w:footnoteReference w:id="20"/>
      </w:r>
      <w:r w:rsidRPr="00BB229F">
        <w:t xml:space="preserve"> </w:t>
      </w:r>
      <w:bookmarkEnd w:id="5"/>
      <w:r w:rsidRPr="00BB229F">
        <w:t xml:space="preserve"> In </w:t>
      </w:r>
      <w:r w:rsidR="005A0BC4" w:rsidRPr="00BB229F">
        <w:t xml:space="preserve">the </w:t>
      </w:r>
      <w:r w:rsidRPr="00BB229F">
        <w:rPr>
          <w:i/>
        </w:rPr>
        <w:t>FY 2014</w:t>
      </w:r>
      <w:r w:rsidR="005A0BC4" w:rsidRPr="00BB229F">
        <w:rPr>
          <w:i/>
        </w:rPr>
        <w:t xml:space="preserve"> Report and Order</w:t>
      </w:r>
      <w:r w:rsidRPr="00BB229F">
        <w:t xml:space="preserve">, </w:t>
      </w:r>
      <w:r w:rsidR="005A0BC4" w:rsidRPr="00BB229F">
        <w:t>the Commission</w:t>
      </w:r>
      <w:r w:rsidRPr="00BB229F">
        <w:t xml:space="preserve"> adopted a new fee </w:t>
      </w:r>
      <w:r w:rsidR="005A0BC4" w:rsidRPr="00BB229F">
        <w:t>sub</w:t>
      </w:r>
      <w:r w:rsidRPr="00BB229F">
        <w:t>category for toll free numbers</w:t>
      </w:r>
      <w:r w:rsidR="007E0B55" w:rsidRPr="00BB229F">
        <w:t xml:space="preserve"> </w:t>
      </w:r>
      <w:r w:rsidRPr="00BB229F">
        <w:t xml:space="preserve">in the </w:t>
      </w:r>
      <w:r w:rsidR="005A0BC4" w:rsidRPr="00BB229F">
        <w:t>Interstate Telecommunications Service Provider (</w:t>
      </w:r>
      <w:r w:rsidRPr="00BB229F">
        <w:t>ITSP</w:t>
      </w:r>
      <w:r w:rsidR="005A0BC4" w:rsidRPr="00BB229F">
        <w:t>)</w:t>
      </w:r>
      <w:r w:rsidR="00B158AA" w:rsidRPr="00BB229F">
        <w:rPr>
          <w:rStyle w:val="FootnoteReference"/>
        </w:rPr>
        <w:footnoteReference w:id="21"/>
      </w:r>
      <w:r w:rsidRPr="00BB229F">
        <w:t xml:space="preserve"> fee category;</w:t>
      </w:r>
      <w:r w:rsidRPr="00BB229F">
        <w:rPr>
          <w:rStyle w:val="FootnoteReference"/>
        </w:rPr>
        <w:footnoteReference w:id="22"/>
      </w:r>
      <w:r w:rsidRPr="00BB229F">
        <w:t xml:space="preserve"> increased the de minimis threshold</w:t>
      </w:r>
      <w:r w:rsidR="005A0BC4" w:rsidRPr="00BB229F">
        <w:t xml:space="preserve"> to $500 for annual regulatory fee payors</w:t>
      </w:r>
      <w:r w:rsidRPr="00BB229F">
        <w:t>;</w:t>
      </w:r>
      <w:r w:rsidRPr="00BB229F">
        <w:rPr>
          <w:rStyle w:val="FootnoteReference"/>
        </w:rPr>
        <w:footnoteReference w:id="23"/>
      </w:r>
      <w:r w:rsidRPr="00BB229F">
        <w:t xml:space="preserve"> and eliminated several categories from the regulatory fee schedule.</w:t>
      </w:r>
      <w:r w:rsidRPr="00BB229F">
        <w:rPr>
          <w:rStyle w:val="FootnoteReference"/>
        </w:rPr>
        <w:footnoteReference w:id="24"/>
      </w:r>
      <w:r w:rsidRPr="00BB229F">
        <w:t xml:space="preserve">  </w:t>
      </w:r>
      <w:r w:rsidR="00B010F2" w:rsidRPr="00BB229F">
        <w:t xml:space="preserve">In the </w:t>
      </w:r>
      <w:r w:rsidR="00B010F2" w:rsidRPr="00BB229F">
        <w:rPr>
          <w:i/>
        </w:rPr>
        <w:t>FY 2015 Report and Order</w:t>
      </w:r>
      <w:r w:rsidR="00B010F2" w:rsidRPr="00BB229F">
        <w:t>, the Commission reduced the regulatory fee for submarine cable, terrestrial, and satellite international bearer circuits.</w:t>
      </w:r>
      <w:r w:rsidR="00B010F2" w:rsidRPr="00BB229F">
        <w:rPr>
          <w:rStyle w:val="FootnoteReference"/>
        </w:rPr>
        <w:footnoteReference w:id="25"/>
      </w:r>
      <w:r w:rsidR="003B38FB" w:rsidRPr="00BB229F">
        <w:t xml:space="preserve">  The Commission also adopted a regulatory fee for DBS</w:t>
      </w:r>
      <w:r w:rsidR="007E088A" w:rsidRPr="00BB229F">
        <w:t>, as a subcate</w:t>
      </w:r>
      <w:r w:rsidR="00F901FE" w:rsidRPr="00BB229F">
        <w:t>g</w:t>
      </w:r>
      <w:r w:rsidR="007E088A" w:rsidRPr="00BB229F">
        <w:t>ory of the cable television and IPTV fee category,</w:t>
      </w:r>
      <w:r w:rsidR="003B38FB" w:rsidRPr="00BB229F">
        <w:rPr>
          <w:rStyle w:val="FootnoteReference"/>
        </w:rPr>
        <w:footnoteReference w:id="26"/>
      </w:r>
      <w:r w:rsidR="003B38FB" w:rsidRPr="00BB229F">
        <w:t xml:space="preserve"> and for toll-free numbers</w:t>
      </w:r>
      <w:r w:rsidR="003B38FB" w:rsidRPr="00BB229F">
        <w:rPr>
          <w:rStyle w:val="FootnoteReference"/>
        </w:rPr>
        <w:footnoteReference w:id="27"/>
      </w:r>
      <w:r w:rsidR="003B38FB" w:rsidRPr="00BB229F">
        <w:t xml:space="preserve"> and reallocated four International Bureau FTEs from direct to indirect.</w:t>
      </w:r>
      <w:r w:rsidR="003B38FB" w:rsidRPr="00BB229F">
        <w:rPr>
          <w:rStyle w:val="FootnoteReference"/>
        </w:rPr>
        <w:footnoteReference w:id="28"/>
      </w:r>
      <w:r w:rsidR="008E1F39" w:rsidRPr="00BB229F">
        <w:t xml:space="preserve">  </w:t>
      </w:r>
      <w:r w:rsidRPr="00BB229F">
        <w:t xml:space="preserve">In </w:t>
      </w:r>
      <w:r w:rsidR="005A0BC4" w:rsidRPr="00BB229F">
        <w:t xml:space="preserve">the </w:t>
      </w:r>
      <w:r w:rsidRPr="00BB229F">
        <w:rPr>
          <w:i/>
        </w:rPr>
        <w:t>FY 201</w:t>
      </w:r>
      <w:r w:rsidR="00283ECE" w:rsidRPr="00BB229F">
        <w:rPr>
          <w:i/>
        </w:rPr>
        <w:t>6 Report and Order</w:t>
      </w:r>
      <w:r w:rsidRPr="00BB229F">
        <w:t xml:space="preserve">, </w:t>
      </w:r>
      <w:r w:rsidR="00B158AA" w:rsidRPr="00BB229F">
        <w:t>the Commission adjusted regulatory fees for radio and television broadcasters, based on the type and class of service and on the population served;</w:t>
      </w:r>
      <w:r w:rsidR="00B158AA" w:rsidRPr="00BB229F">
        <w:rPr>
          <w:rStyle w:val="FootnoteReference"/>
        </w:rPr>
        <w:footnoteReference w:id="29"/>
      </w:r>
      <w:r w:rsidR="00B158AA" w:rsidRPr="00BB229F">
        <w:t xml:space="preserve"> adopted an increase in the regulatory fee for DBS providers within the cable television and IPTV regulatory fee category;</w:t>
      </w:r>
      <w:r w:rsidR="00B158AA" w:rsidRPr="00BB229F">
        <w:rPr>
          <w:rStyle w:val="FootnoteReference"/>
        </w:rPr>
        <w:footnoteReference w:id="30"/>
      </w:r>
      <w:r w:rsidR="00B158AA" w:rsidRPr="00BB229F">
        <w:t xml:space="preserve"> and adopted an across the board fee increase for the Commission’s moving expenses.</w:t>
      </w:r>
      <w:r w:rsidR="00B158AA" w:rsidRPr="00BB229F">
        <w:rPr>
          <w:rStyle w:val="FootnoteReference"/>
        </w:rPr>
        <w:footnoteReference w:id="31"/>
      </w:r>
      <w:r w:rsidRPr="00BB229F">
        <w:t xml:space="preserve">  </w:t>
      </w:r>
      <w:r w:rsidR="002F0846" w:rsidRPr="00BB229F">
        <w:t>In this proceeding, the Commission continues t</w:t>
      </w:r>
      <w:r w:rsidR="00304A3D" w:rsidRPr="00BB229F">
        <w:t>o improve and reform the regulatory fee process.</w:t>
      </w:r>
    </w:p>
    <w:p w:rsidR="00061880" w:rsidRPr="00BB229F" w:rsidRDefault="00061880" w:rsidP="00E77657">
      <w:pPr>
        <w:pStyle w:val="ParaNum"/>
        <w:widowControl/>
        <w:rPr>
          <w:szCs w:val="22"/>
        </w:rPr>
      </w:pPr>
      <w:r w:rsidRPr="00BB229F">
        <w:t xml:space="preserve">In our </w:t>
      </w:r>
      <w:r w:rsidRPr="00BB229F">
        <w:rPr>
          <w:i/>
        </w:rPr>
        <w:t>FY 201</w:t>
      </w:r>
      <w:r w:rsidR="00A53B0B" w:rsidRPr="00BB229F">
        <w:rPr>
          <w:i/>
        </w:rPr>
        <w:t>7</w:t>
      </w:r>
      <w:r w:rsidRPr="00BB229F">
        <w:rPr>
          <w:i/>
        </w:rPr>
        <w:t xml:space="preserve"> NPRM, </w:t>
      </w:r>
      <w:r w:rsidRPr="00BB229F">
        <w:t xml:space="preserve">we </w:t>
      </w:r>
      <w:r w:rsidRPr="00BB229F">
        <w:rPr>
          <w:szCs w:val="22"/>
        </w:rPr>
        <w:t xml:space="preserve">proposed to collect </w:t>
      </w:r>
      <w:r w:rsidRPr="00BB229F">
        <w:t>$3</w:t>
      </w:r>
      <w:r w:rsidR="00A53B0B" w:rsidRPr="00BB229F">
        <w:t>56,710,992</w:t>
      </w:r>
      <w:r w:rsidRPr="00BB229F">
        <w:t xml:space="preserve"> </w:t>
      </w:r>
      <w:r w:rsidRPr="00BB229F">
        <w:rPr>
          <w:szCs w:val="22"/>
        </w:rPr>
        <w:t xml:space="preserve">in regulatory fees and included a detailed, proposed fee schedule.  </w:t>
      </w:r>
      <w:r w:rsidRPr="00BB229F">
        <w:t xml:space="preserve">We received </w:t>
      </w:r>
      <w:r w:rsidR="00306868" w:rsidRPr="00BB229F">
        <w:t>1</w:t>
      </w:r>
      <w:r w:rsidR="00AD5F07" w:rsidRPr="00BB229F">
        <w:t>7</w:t>
      </w:r>
      <w:r w:rsidRPr="00BB229F">
        <w:t xml:space="preserve"> comments and </w:t>
      </w:r>
      <w:r w:rsidR="00AD5F07" w:rsidRPr="00BB229F">
        <w:t>six</w:t>
      </w:r>
      <w:r w:rsidRPr="00BB229F">
        <w:t xml:space="preserve"> reply comments.</w:t>
      </w:r>
      <w:r w:rsidRPr="00BB229F">
        <w:rPr>
          <w:rStyle w:val="FootnoteReference"/>
        </w:rPr>
        <w:footnoteReference w:id="32"/>
      </w:r>
      <w:r w:rsidRPr="00BB229F">
        <w:t xml:space="preserve">  </w:t>
      </w:r>
    </w:p>
    <w:p w:rsidR="00061880" w:rsidRPr="00BB229F" w:rsidRDefault="00213F4F" w:rsidP="00061880">
      <w:pPr>
        <w:pStyle w:val="Heading1"/>
      </w:pPr>
      <w:bookmarkStart w:id="6" w:name="_Toc491865023"/>
      <w:bookmarkStart w:id="7" w:name="_Toc491865438"/>
      <w:r w:rsidRPr="00BB229F">
        <w:t>report and order</w:t>
      </w:r>
      <w:bookmarkEnd w:id="6"/>
      <w:bookmarkEnd w:id="7"/>
    </w:p>
    <w:p w:rsidR="00061880" w:rsidRPr="00BB229F" w:rsidRDefault="00061880" w:rsidP="00061880">
      <w:pPr>
        <w:pStyle w:val="ParaNum"/>
        <w:widowControl/>
      </w:pPr>
      <w:r w:rsidRPr="00BB229F">
        <w:t xml:space="preserve">In this </w:t>
      </w:r>
      <w:r w:rsidRPr="00BB229F">
        <w:rPr>
          <w:i/>
        </w:rPr>
        <w:t>FY 201</w:t>
      </w:r>
      <w:r w:rsidR="00670C97" w:rsidRPr="00BB229F">
        <w:rPr>
          <w:i/>
        </w:rPr>
        <w:t>7</w:t>
      </w:r>
      <w:r w:rsidRPr="00BB229F">
        <w:rPr>
          <w:i/>
        </w:rPr>
        <w:t xml:space="preserve"> Report and Order</w:t>
      </w:r>
      <w:r w:rsidRPr="00BB229F">
        <w:t>, we adopt a regulatory fee schedule for FY 201</w:t>
      </w:r>
      <w:r w:rsidR="00670C97" w:rsidRPr="00BB229F">
        <w:t>7</w:t>
      </w:r>
      <w:r w:rsidRPr="00BB229F">
        <w:t xml:space="preserve">, pursuant to section 9 of the Communications Act and </w:t>
      </w:r>
      <w:r w:rsidR="00EE0EE9" w:rsidRPr="00BB229F">
        <w:t>the 2</w:t>
      </w:r>
      <w:r w:rsidRPr="00BB229F">
        <w:t>01</w:t>
      </w:r>
      <w:r w:rsidR="00670C97" w:rsidRPr="00BB229F">
        <w:t>7</w:t>
      </w:r>
      <w:r w:rsidR="00EE0EE9" w:rsidRPr="00BB229F">
        <w:t xml:space="preserve"> Consolidated A</w:t>
      </w:r>
      <w:r w:rsidRPr="00BB229F">
        <w:t>ppropriation</w:t>
      </w:r>
      <w:r w:rsidR="00EE0EE9" w:rsidRPr="00BB229F">
        <w:t>s Act</w:t>
      </w:r>
      <w:r w:rsidR="00EE0EE9" w:rsidRPr="00BB229F">
        <w:rPr>
          <w:rStyle w:val="FootnoteReference"/>
        </w:rPr>
        <w:footnoteReference w:id="33"/>
      </w:r>
      <w:r w:rsidRPr="00BB229F">
        <w:t xml:space="preserve"> in order to collect $3</w:t>
      </w:r>
      <w:r w:rsidR="00670C97" w:rsidRPr="00BB229F">
        <w:t>56,710,992</w:t>
      </w:r>
      <w:r w:rsidRPr="00BB229F">
        <w:t xml:space="preserve"> in</w:t>
      </w:r>
      <w:r w:rsidRPr="00BB229F">
        <w:rPr>
          <w:rStyle w:val="FootnoteReference"/>
        </w:rPr>
        <w:t xml:space="preserve"> </w:t>
      </w:r>
      <w:r w:rsidRPr="00BB229F">
        <w:t xml:space="preserve"> regulatory fees.</w:t>
      </w:r>
      <w:r w:rsidRPr="00BB229F">
        <w:rPr>
          <w:rStyle w:val="FootnoteReference"/>
        </w:rPr>
        <w:footnoteReference w:id="34"/>
      </w:r>
      <w:r w:rsidRPr="00BB229F">
        <w:t xml:space="preserve">  </w:t>
      </w:r>
      <w:r w:rsidRPr="00BB229F">
        <w:rPr>
          <w:szCs w:val="22"/>
        </w:rPr>
        <w:t>Of this amount, we project approximately $</w:t>
      </w:r>
      <w:r w:rsidR="00742289" w:rsidRPr="00BB229F">
        <w:rPr>
          <w:szCs w:val="22"/>
        </w:rPr>
        <w:t>22.17</w:t>
      </w:r>
      <w:r w:rsidRPr="00BB229F">
        <w:rPr>
          <w:szCs w:val="22"/>
        </w:rPr>
        <w:t xml:space="preserve"> million (</w:t>
      </w:r>
      <w:r w:rsidR="00742289" w:rsidRPr="00BB229F">
        <w:rPr>
          <w:szCs w:val="22"/>
        </w:rPr>
        <w:t>6.22</w:t>
      </w:r>
      <w:r w:rsidRPr="00BB229F">
        <w:rPr>
          <w:szCs w:val="22"/>
        </w:rPr>
        <w:t xml:space="preserve"> percent of the total FTE allocation) in fees from the International Bureau regulatees;</w:t>
      </w:r>
      <w:r w:rsidRPr="00BB229F">
        <w:rPr>
          <w:rStyle w:val="FootnoteReference"/>
          <w:szCs w:val="22"/>
        </w:rPr>
        <w:footnoteReference w:id="35"/>
      </w:r>
      <w:r w:rsidRPr="00BB229F">
        <w:rPr>
          <w:szCs w:val="22"/>
        </w:rPr>
        <w:t xml:space="preserve"> $</w:t>
      </w:r>
      <w:r w:rsidR="00742289" w:rsidRPr="00BB229F">
        <w:rPr>
          <w:szCs w:val="22"/>
        </w:rPr>
        <w:t>88.69</w:t>
      </w:r>
      <w:r w:rsidRPr="00BB229F">
        <w:rPr>
          <w:szCs w:val="22"/>
        </w:rPr>
        <w:t xml:space="preserve"> million (</w:t>
      </w:r>
      <w:r w:rsidR="00742289" w:rsidRPr="00BB229F">
        <w:rPr>
          <w:szCs w:val="22"/>
        </w:rPr>
        <w:t>24.86</w:t>
      </w:r>
      <w:r w:rsidRPr="00BB229F">
        <w:rPr>
          <w:szCs w:val="22"/>
        </w:rPr>
        <w:t xml:space="preserve"> percent of the total FTE allocation) in fees from the Wireless Telecommunications Bureau regulatees;</w:t>
      </w:r>
      <w:r w:rsidRPr="00BB229F">
        <w:rPr>
          <w:rStyle w:val="FootnoteReference"/>
          <w:szCs w:val="22"/>
        </w:rPr>
        <w:footnoteReference w:id="36"/>
      </w:r>
      <w:r w:rsidRPr="00BB229F">
        <w:rPr>
          <w:szCs w:val="22"/>
        </w:rPr>
        <w:t xml:space="preserve"> $</w:t>
      </w:r>
      <w:r w:rsidR="00742289" w:rsidRPr="00BB229F">
        <w:rPr>
          <w:szCs w:val="22"/>
        </w:rPr>
        <w:t>115.58</w:t>
      </w:r>
      <w:r w:rsidRPr="00BB229F">
        <w:rPr>
          <w:szCs w:val="22"/>
        </w:rPr>
        <w:t xml:space="preserve"> million (</w:t>
      </w:r>
      <w:r w:rsidR="00742289" w:rsidRPr="00BB229F">
        <w:rPr>
          <w:szCs w:val="22"/>
        </w:rPr>
        <w:t>32.40</w:t>
      </w:r>
      <w:r w:rsidRPr="00BB229F">
        <w:rPr>
          <w:szCs w:val="22"/>
        </w:rPr>
        <w:t xml:space="preserve"> percent of the total FTE allocation) from Wireline Competition Bureau regulatees;</w:t>
      </w:r>
      <w:r w:rsidRPr="00BB229F">
        <w:rPr>
          <w:rStyle w:val="FootnoteReference"/>
          <w:szCs w:val="22"/>
        </w:rPr>
        <w:footnoteReference w:id="37"/>
      </w:r>
      <w:r w:rsidRPr="00BB229F">
        <w:rPr>
          <w:szCs w:val="22"/>
        </w:rPr>
        <w:t xml:space="preserve"> and $</w:t>
      </w:r>
      <w:r w:rsidR="00742289" w:rsidRPr="00BB229F">
        <w:rPr>
          <w:szCs w:val="22"/>
        </w:rPr>
        <w:t>130.27</w:t>
      </w:r>
      <w:r w:rsidRPr="00BB229F">
        <w:rPr>
          <w:szCs w:val="22"/>
        </w:rPr>
        <w:t xml:space="preserve"> million (</w:t>
      </w:r>
      <w:r w:rsidR="00742289" w:rsidRPr="00BB229F">
        <w:rPr>
          <w:szCs w:val="22"/>
        </w:rPr>
        <w:t>36.52</w:t>
      </w:r>
      <w:r w:rsidRPr="00BB229F">
        <w:rPr>
          <w:szCs w:val="22"/>
        </w:rPr>
        <w:t xml:space="preserve"> percent of the total FTE allocation) from the Media Bureau regulatees.</w:t>
      </w:r>
      <w:r w:rsidRPr="00BB229F">
        <w:rPr>
          <w:rStyle w:val="FootnoteReference"/>
          <w:szCs w:val="22"/>
        </w:rPr>
        <w:footnoteReference w:id="38"/>
      </w:r>
      <w:r w:rsidRPr="00BB229F">
        <w:rPr>
          <w:szCs w:val="22"/>
        </w:rPr>
        <w:t xml:space="preserve">  </w:t>
      </w:r>
      <w:r w:rsidRPr="00BB229F">
        <w:t>These regulatory fees are due in September 201</w:t>
      </w:r>
      <w:r w:rsidR="00670C97" w:rsidRPr="00BB229F">
        <w:t>7</w:t>
      </w:r>
      <w:r w:rsidRPr="00BB229F">
        <w:t>.  The schedule of regulatory fees for FY 201</w:t>
      </w:r>
      <w:r w:rsidR="00670C97" w:rsidRPr="00BB229F">
        <w:t>7</w:t>
      </w:r>
      <w:r w:rsidRPr="00BB229F">
        <w:t xml:space="preserve"> adopted here is attached as Appendix C.</w:t>
      </w:r>
    </w:p>
    <w:p w:rsidR="00DA0A0A" w:rsidRPr="00BB229F" w:rsidRDefault="00B051D7" w:rsidP="00B051D7">
      <w:pPr>
        <w:pStyle w:val="Heading2"/>
      </w:pPr>
      <w:bookmarkStart w:id="8" w:name="_Toc491865024"/>
      <w:bookmarkStart w:id="9" w:name="_Toc491865439"/>
      <w:r w:rsidRPr="00BB229F">
        <w:t>Allocating FTEs for Regulatory Fee Purposes</w:t>
      </w:r>
      <w:bookmarkEnd w:id="8"/>
      <w:bookmarkEnd w:id="9"/>
    </w:p>
    <w:p w:rsidR="00B051D7" w:rsidRPr="00BB229F" w:rsidRDefault="00B051D7" w:rsidP="00B051D7">
      <w:pPr>
        <w:pStyle w:val="ParaNum"/>
      </w:pPr>
      <w:r w:rsidRPr="00BB229F">
        <w:t>Under section 9 of the Act, regulatory fees are to “be derived by determining the full-time equivalent number of employees performing” these activities, “adjusted to take into account factors that are reasonably related to the benefits provided to the pay</w:t>
      </w:r>
      <w:r w:rsidR="00FB5C83" w:rsidRPr="00BB229F">
        <w:t>o</w:t>
      </w:r>
      <w:r w:rsidRPr="00BB229F">
        <w:t>r of the fee by the Commission’s activities . . . .”</w:t>
      </w:r>
      <w:r w:rsidRPr="00BB229F">
        <w:rPr>
          <w:rStyle w:val="FootnoteReference"/>
          <w:szCs w:val="22"/>
        </w:rPr>
        <w:footnoteReference w:id="39"/>
      </w:r>
      <w:r w:rsidRPr="00BB229F">
        <w:t xml:space="preserve">  As a general matter, we reasonably expect that the work of the FTEs in the core bureaus should remain focused on the industry segment regulated by each of those bureaus.  The work of the FTEs in the indirect bureaus and offices benefits the Commission and the telecommunications industry and is not specifically focused on the </w:t>
      </w:r>
      <w:r w:rsidR="008D572A" w:rsidRPr="00BB229F">
        <w:t xml:space="preserve">regulatees and </w:t>
      </w:r>
      <w:r w:rsidRPr="00BB229F">
        <w:t xml:space="preserve">licensees of a </w:t>
      </w:r>
      <w:r w:rsidR="00507928" w:rsidRPr="00BB229F">
        <w:t>core</w:t>
      </w:r>
      <w:r w:rsidRPr="00BB229F">
        <w:t xml:space="preserve"> bureau.  Given the significant implications of reassignment of FTEs in our fee calculation, we make changes to FTE classifications only after performing considerable analysis and finding the clearest case for reassignment.</w:t>
      </w:r>
      <w:r w:rsidRPr="00BB229F">
        <w:rPr>
          <w:rStyle w:val="FootnoteReference"/>
        </w:rPr>
        <w:footnoteReference w:id="40"/>
      </w:r>
      <w:r w:rsidRPr="00BB229F">
        <w:t xml:space="preserve">  </w:t>
      </w:r>
    </w:p>
    <w:p w:rsidR="00E74218" w:rsidRPr="00BB229F" w:rsidRDefault="00B051D7" w:rsidP="00E77657">
      <w:pPr>
        <w:pStyle w:val="ParaNum"/>
        <w:widowControl/>
      </w:pPr>
      <w:r w:rsidRPr="00BB229F">
        <w:t xml:space="preserve">In the </w:t>
      </w:r>
      <w:r w:rsidRPr="00BB229F">
        <w:rPr>
          <w:i/>
        </w:rPr>
        <w:t>FY 2017 NPRM</w:t>
      </w:r>
      <w:r w:rsidRPr="00BB229F">
        <w:t xml:space="preserve">, we proposed to reallocate 38 FTEs </w:t>
      </w:r>
      <w:r w:rsidR="00974DB6" w:rsidRPr="00BB229F">
        <w:t xml:space="preserve">in the Wireline Competition Bureau </w:t>
      </w:r>
      <w:r w:rsidRPr="00BB229F">
        <w:t xml:space="preserve">associated with Universal Service Fund work as indirect and to reallocate four FTEs </w:t>
      </w:r>
      <w:r w:rsidR="00974DB6" w:rsidRPr="00BB229F">
        <w:t xml:space="preserve">from the Wireline Competition Bureau </w:t>
      </w:r>
      <w:r w:rsidRPr="00BB229F">
        <w:t>that work on wireless numbering issues to the Wireless Telecommunications Bure</w:t>
      </w:r>
      <w:r w:rsidR="00F0773E" w:rsidRPr="00BB229F">
        <w:t xml:space="preserve">au due to the changes to the Universal Service regulatory landscape </w:t>
      </w:r>
      <w:r w:rsidR="00D81AC1" w:rsidRPr="00BB229F">
        <w:t xml:space="preserve">that no longer affect only ITSPs </w:t>
      </w:r>
      <w:r w:rsidR="00F0773E" w:rsidRPr="00BB229F">
        <w:t>and the fact that approximately half the benefit of the work done by FTEs on numbering issues accrue to the CMRS industry.</w:t>
      </w:r>
    </w:p>
    <w:p w:rsidR="00E74218" w:rsidRPr="00BB229F" w:rsidRDefault="00E74218" w:rsidP="00E74218">
      <w:pPr>
        <w:pStyle w:val="Heading3"/>
      </w:pPr>
      <w:bookmarkStart w:id="10" w:name="_Toc491865025"/>
      <w:bookmarkStart w:id="11" w:name="_Toc491865440"/>
      <w:r w:rsidRPr="00BB229F">
        <w:t>FTEs Associated with the Universal Service Fund</w:t>
      </w:r>
      <w:bookmarkEnd w:id="10"/>
      <w:bookmarkEnd w:id="11"/>
    </w:p>
    <w:p w:rsidR="00E74218" w:rsidRPr="00BB229F" w:rsidRDefault="00E74218" w:rsidP="00E74218">
      <w:pPr>
        <w:pStyle w:val="ParaNum"/>
        <w:rPr>
          <w:rFonts w:eastAsia="TimesNewRoman"/>
          <w:snapToGrid/>
          <w:kern w:val="0"/>
          <w:szCs w:val="22"/>
        </w:rPr>
      </w:pPr>
      <w:r w:rsidRPr="00BB229F">
        <w:t xml:space="preserve">In the </w:t>
      </w:r>
      <w:r w:rsidRPr="00BB229F">
        <w:rPr>
          <w:i/>
        </w:rPr>
        <w:t>FY 2017 NPRM</w:t>
      </w:r>
      <w:r w:rsidRPr="00BB229F">
        <w:t xml:space="preserve">, </w:t>
      </w:r>
      <w:r w:rsidR="009F572D" w:rsidRPr="00BB229F">
        <w:t>the Commission</w:t>
      </w:r>
      <w:r w:rsidRPr="00BB229F">
        <w:t xml:space="preserve"> explained that changes to the U</w:t>
      </w:r>
      <w:r w:rsidR="00A83DB3" w:rsidRPr="00BB229F">
        <w:t xml:space="preserve">niversal </w:t>
      </w:r>
      <w:r w:rsidRPr="00BB229F">
        <w:t>S</w:t>
      </w:r>
      <w:r w:rsidR="00A83DB3" w:rsidRPr="00BB229F">
        <w:t>ervice Fund</w:t>
      </w:r>
      <w:r w:rsidR="0060598E" w:rsidRPr="00BB229F">
        <w:t xml:space="preserve"> regulatory landscape require</w:t>
      </w:r>
      <w:r w:rsidRPr="00BB229F">
        <w:t xml:space="preserve"> us to reexamine the </w:t>
      </w:r>
      <w:r w:rsidR="00A83DB3" w:rsidRPr="00BB229F">
        <w:t xml:space="preserve">treatment of </w:t>
      </w:r>
      <w:r w:rsidRPr="00BB229F">
        <w:t xml:space="preserve">Universal Service Fund FTEs as direct FTEs.  </w:t>
      </w:r>
      <w:r w:rsidRPr="00BB229F">
        <w:rPr>
          <w:szCs w:val="22"/>
        </w:rPr>
        <w:t xml:space="preserve">There are </w:t>
      </w:r>
      <w:r w:rsidR="00B66F62" w:rsidRPr="00BB229F">
        <w:rPr>
          <w:szCs w:val="22"/>
        </w:rPr>
        <w:t xml:space="preserve">currently </w:t>
      </w:r>
      <w:r w:rsidRPr="00BB229F">
        <w:rPr>
          <w:szCs w:val="22"/>
        </w:rPr>
        <w:t xml:space="preserve">approximately 51 FTEs in the Wireline Competition Bureau, including the bureau front office, </w:t>
      </w:r>
      <w:r w:rsidR="0060598E" w:rsidRPr="00BB229F">
        <w:rPr>
          <w:szCs w:val="22"/>
        </w:rPr>
        <w:t xml:space="preserve">working on </w:t>
      </w:r>
      <w:r w:rsidRPr="00BB229F">
        <w:rPr>
          <w:szCs w:val="22"/>
        </w:rPr>
        <w:t>Universal Service Fund</w:t>
      </w:r>
      <w:r w:rsidR="0060598E" w:rsidRPr="00BB229F">
        <w:rPr>
          <w:szCs w:val="22"/>
        </w:rPr>
        <w:t xml:space="preserve"> issues</w:t>
      </w:r>
      <w:r w:rsidRPr="00BB229F">
        <w:rPr>
          <w:szCs w:val="22"/>
        </w:rPr>
        <w:t xml:space="preserve">, with 13 of those FTEs </w:t>
      </w:r>
      <w:r w:rsidR="0060598E" w:rsidRPr="00BB229F">
        <w:rPr>
          <w:szCs w:val="22"/>
        </w:rPr>
        <w:t xml:space="preserve">focused on the </w:t>
      </w:r>
      <w:r w:rsidR="00D50402" w:rsidRPr="00BB229F">
        <w:rPr>
          <w:szCs w:val="22"/>
        </w:rPr>
        <w:t>High-C</w:t>
      </w:r>
      <w:r w:rsidRPr="00BB229F">
        <w:rPr>
          <w:szCs w:val="22"/>
        </w:rPr>
        <w:t>ost program</w:t>
      </w:r>
      <w:r w:rsidR="0060598E" w:rsidRPr="00BB229F">
        <w:rPr>
          <w:szCs w:val="22"/>
        </w:rPr>
        <w:t xml:space="preserve">. </w:t>
      </w:r>
      <w:r w:rsidRPr="00BB229F">
        <w:rPr>
          <w:szCs w:val="22"/>
        </w:rPr>
        <w:t xml:space="preserve"> </w:t>
      </w:r>
      <w:r w:rsidR="006C45CB" w:rsidRPr="00BB229F">
        <w:rPr>
          <w:szCs w:val="22"/>
        </w:rPr>
        <w:t>C</w:t>
      </w:r>
      <w:r w:rsidR="00B66F62" w:rsidRPr="00BB229F">
        <w:rPr>
          <w:szCs w:val="22"/>
        </w:rPr>
        <w:t>urrently</w:t>
      </w:r>
      <w:r w:rsidR="009F572D" w:rsidRPr="00BB229F">
        <w:rPr>
          <w:szCs w:val="22"/>
        </w:rPr>
        <w:t>,</w:t>
      </w:r>
      <w:r w:rsidR="006C45CB" w:rsidRPr="00BB229F">
        <w:rPr>
          <w:szCs w:val="22"/>
        </w:rPr>
        <w:t xml:space="preserve"> there are </w:t>
      </w:r>
      <w:r w:rsidR="00B66F62" w:rsidRPr="00BB229F">
        <w:rPr>
          <w:szCs w:val="22"/>
        </w:rPr>
        <w:t>approximately three</w:t>
      </w:r>
      <w:r w:rsidRPr="00BB229F">
        <w:rPr>
          <w:szCs w:val="22"/>
        </w:rPr>
        <w:t xml:space="preserve"> FTEs in the Wireless Telecommunications Bureau, including the bureau front office, implementing the Mobi</w:t>
      </w:r>
      <w:r w:rsidR="009116AE" w:rsidRPr="00BB229F">
        <w:rPr>
          <w:szCs w:val="22"/>
        </w:rPr>
        <w:t>lity Fund, a universal service High-C</w:t>
      </w:r>
      <w:r w:rsidRPr="00BB229F">
        <w:rPr>
          <w:szCs w:val="22"/>
        </w:rPr>
        <w:t>ost support mechanism devoted exclusively to mobile services.</w:t>
      </w:r>
      <w:r w:rsidRPr="00BB229F">
        <w:rPr>
          <w:rStyle w:val="FootnoteReference"/>
          <w:sz w:val="22"/>
          <w:szCs w:val="22"/>
        </w:rPr>
        <w:footnoteReference w:id="41"/>
      </w:r>
      <w:r w:rsidRPr="00BB229F">
        <w:rPr>
          <w:szCs w:val="22"/>
        </w:rPr>
        <w:t xml:space="preserve">  </w:t>
      </w:r>
      <w:r w:rsidR="001D6C47" w:rsidRPr="00BB229F">
        <w:rPr>
          <w:szCs w:val="22"/>
        </w:rPr>
        <w:t>These Wireline Competition Bureau and Wireless Telecommunications Bureau FTEs are considered direct FTEs for regulator</w:t>
      </w:r>
      <w:r w:rsidR="0024782E" w:rsidRPr="00BB229F">
        <w:rPr>
          <w:szCs w:val="22"/>
        </w:rPr>
        <w:t>y</w:t>
      </w:r>
      <w:r w:rsidR="001D6C47" w:rsidRPr="00BB229F">
        <w:rPr>
          <w:szCs w:val="22"/>
        </w:rPr>
        <w:t xml:space="preserve"> fee purposes.  </w:t>
      </w:r>
      <w:r w:rsidR="00B66F62" w:rsidRPr="00BB229F">
        <w:rPr>
          <w:szCs w:val="22"/>
        </w:rPr>
        <w:t>O</w:t>
      </w:r>
      <w:r w:rsidRPr="00BB229F">
        <w:t>ther FTEs throughout the Commission working on universal service issues are indirect FTEs</w:t>
      </w:r>
      <w:r w:rsidR="00B66F62" w:rsidRPr="00BB229F">
        <w:t xml:space="preserve">, including the FTEs </w:t>
      </w:r>
      <w:r w:rsidRPr="00BB229F">
        <w:t>working on universal service issues in the Enforcement Bureau, the Office of the Managing Director, the Office of the Inspector General, and the Office of the General Counsel.</w:t>
      </w:r>
    </w:p>
    <w:p w:rsidR="00ED406E" w:rsidRPr="00BB229F" w:rsidRDefault="00D1676E" w:rsidP="00ED406E">
      <w:pPr>
        <w:pStyle w:val="ParaNum"/>
        <w:widowControl/>
        <w:autoSpaceDE w:val="0"/>
        <w:autoSpaceDN w:val="0"/>
        <w:adjustRightInd w:val="0"/>
      </w:pPr>
      <w:r w:rsidRPr="00BB229F">
        <w:rPr>
          <w:szCs w:val="22"/>
        </w:rPr>
        <w:t xml:space="preserve">In the </w:t>
      </w:r>
      <w:r w:rsidRPr="00BB229F">
        <w:rPr>
          <w:i/>
          <w:szCs w:val="22"/>
        </w:rPr>
        <w:t>FY 2017 NPRM</w:t>
      </w:r>
      <w:r w:rsidRPr="00BB229F">
        <w:rPr>
          <w:szCs w:val="22"/>
        </w:rPr>
        <w:t>, w</w:t>
      </w:r>
      <w:r w:rsidR="00EF5C49" w:rsidRPr="00BB229F">
        <w:rPr>
          <w:szCs w:val="22"/>
        </w:rPr>
        <w:t xml:space="preserve">e proposed </w:t>
      </w:r>
      <w:r w:rsidR="00E74218" w:rsidRPr="00BB229F">
        <w:t xml:space="preserve">to reallocate the 38 FTEs </w:t>
      </w:r>
      <w:r w:rsidR="00CA6119" w:rsidRPr="00BB229F">
        <w:t xml:space="preserve">in the Wireline Competition Bureau assigned to work on </w:t>
      </w:r>
      <w:r w:rsidR="00E74218" w:rsidRPr="00BB229F">
        <w:t>the non-high-cost programs of the Universal Service Fund as indirect</w:t>
      </w:r>
      <w:r w:rsidR="00474349" w:rsidRPr="00BB229F">
        <w:t xml:space="preserve"> for regulatory fee purposes</w:t>
      </w:r>
      <w:r w:rsidR="00EF5C49" w:rsidRPr="00BB229F">
        <w:t>, for several reasons</w:t>
      </w:r>
      <w:r w:rsidR="00E74218" w:rsidRPr="00BB229F">
        <w:t>.</w:t>
      </w:r>
      <w:r w:rsidR="00831D14" w:rsidRPr="00BB229F">
        <w:rPr>
          <w:rStyle w:val="FootnoteReference"/>
        </w:rPr>
        <w:footnoteReference w:id="42"/>
      </w:r>
      <w:r w:rsidR="00E74218" w:rsidRPr="00BB229F">
        <w:t xml:space="preserve">  </w:t>
      </w:r>
      <w:r w:rsidR="00BB229F" w:rsidRPr="00EF5D9E">
        <w:t>The 38 FTE count is based on coordination between the Office of Managing Director and Wireline Competition Bureau staff which analyzed how many FTEs work on each of the USF programs.</w:t>
      </w:r>
      <w:r w:rsidR="00BB229F" w:rsidRPr="00EF5D9E">
        <w:rPr>
          <w:rStyle w:val="FootnoteReference"/>
        </w:rPr>
        <w:footnoteReference w:id="43"/>
      </w:r>
      <w:r w:rsidR="00BB229F">
        <w:t xml:space="preserve"> </w:t>
      </w:r>
      <w:r w:rsidR="00BB229F" w:rsidRPr="00EF5D9E">
        <w:t xml:space="preserve"> In doing so, we </w:t>
      </w:r>
      <w:r w:rsidR="00CA6119" w:rsidRPr="00BB229F">
        <w:t>n</w:t>
      </w:r>
      <w:r w:rsidR="00E74218" w:rsidRPr="00BB229F">
        <w:rPr>
          <w:szCs w:val="22"/>
        </w:rPr>
        <w:t>ote</w:t>
      </w:r>
      <w:r w:rsidR="00CA6119" w:rsidRPr="00BB229F">
        <w:rPr>
          <w:szCs w:val="22"/>
        </w:rPr>
        <w:t>d</w:t>
      </w:r>
      <w:r w:rsidR="00E74218" w:rsidRPr="00BB229F">
        <w:rPr>
          <w:szCs w:val="22"/>
        </w:rPr>
        <w:t xml:space="preserve"> that contributions to the Universal Service Fund are required from </w:t>
      </w:r>
      <w:r w:rsidR="00275CFB" w:rsidRPr="00BB229F">
        <w:rPr>
          <w:szCs w:val="22"/>
        </w:rPr>
        <w:t xml:space="preserve">service </w:t>
      </w:r>
      <w:r w:rsidR="00E74218" w:rsidRPr="00BB229F">
        <w:rPr>
          <w:szCs w:val="22"/>
        </w:rPr>
        <w:t>provider</w:t>
      </w:r>
      <w:r w:rsidR="00275CFB" w:rsidRPr="00BB229F">
        <w:rPr>
          <w:szCs w:val="22"/>
        </w:rPr>
        <w:t>s</w:t>
      </w:r>
      <w:r w:rsidR="00E74218" w:rsidRPr="00BB229F">
        <w:rPr>
          <w:szCs w:val="22"/>
        </w:rPr>
        <w:t xml:space="preserve"> using any technology that has end-user interstate telecommunications.</w:t>
      </w:r>
      <w:r w:rsidR="00E74218" w:rsidRPr="00BB229F">
        <w:rPr>
          <w:rStyle w:val="FootnoteReference"/>
          <w:szCs w:val="22"/>
        </w:rPr>
        <w:footnoteReference w:id="44"/>
      </w:r>
      <w:r w:rsidR="00E74218" w:rsidRPr="00BB229F">
        <w:rPr>
          <w:szCs w:val="22"/>
        </w:rPr>
        <w:t xml:space="preserve">  </w:t>
      </w:r>
      <w:r w:rsidR="004C00DB" w:rsidRPr="00BB229F">
        <w:rPr>
          <w:szCs w:val="22"/>
        </w:rPr>
        <w:t xml:space="preserve">As we discussed in the </w:t>
      </w:r>
      <w:r w:rsidR="004C00DB" w:rsidRPr="00BB229F">
        <w:rPr>
          <w:i/>
          <w:szCs w:val="22"/>
        </w:rPr>
        <w:t>FY 2017 NPRM</w:t>
      </w:r>
      <w:r w:rsidR="004C00DB" w:rsidRPr="00BB229F">
        <w:rPr>
          <w:szCs w:val="22"/>
        </w:rPr>
        <w:t>, continuing changes in the universal service fund regulatory landscape requires us to reexamine the appropriateness of treating the FTEs working on universal service issues as Wireline Competition Bureau direct FTEs.</w:t>
      </w:r>
      <w:r w:rsidR="004C00DB" w:rsidRPr="00BB229F">
        <w:rPr>
          <w:rStyle w:val="FootnoteReference"/>
          <w:szCs w:val="22"/>
        </w:rPr>
        <w:footnoteReference w:id="45"/>
      </w:r>
      <w:r w:rsidR="00CF71DB" w:rsidRPr="00BB229F">
        <w:rPr>
          <w:szCs w:val="22"/>
        </w:rPr>
        <w:t xml:space="preserve">  Initially, universal service programs were focused on wireline </w:t>
      </w:r>
      <w:r w:rsidR="00C20FEA" w:rsidRPr="00BB229F">
        <w:rPr>
          <w:szCs w:val="22"/>
        </w:rPr>
        <w:t>services</w:t>
      </w:r>
      <w:r w:rsidR="00CF71DB" w:rsidRPr="00BB229F">
        <w:rPr>
          <w:szCs w:val="22"/>
        </w:rPr>
        <w:t xml:space="preserve">, but </w:t>
      </w:r>
      <w:r w:rsidR="00C20FEA" w:rsidRPr="00BB229F">
        <w:rPr>
          <w:szCs w:val="22"/>
        </w:rPr>
        <w:t xml:space="preserve">now </w:t>
      </w:r>
      <w:r w:rsidR="00CF71DB" w:rsidRPr="00BB229F">
        <w:rPr>
          <w:szCs w:val="22"/>
        </w:rPr>
        <w:t xml:space="preserve">wireless carriers, and more recently </w:t>
      </w:r>
      <w:r w:rsidR="00C20FEA" w:rsidRPr="00BB229F">
        <w:rPr>
          <w:szCs w:val="22"/>
        </w:rPr>
        <w:t>broadband providers</w:t>
      </w:r>
      <w:r w:rsidR="00CF71DB" w:rsidRPr="00BB229F">
        <w:rPr>
          <w:szCs w:val="22"/>
        </w:rPr>
        <w:t xml:space="preserve">, </w:t>
      </w:r>
      <w:r w:rsidR="00B506DC" w:rsidRPr="00BB229F">
        <w:rPr>
          <w:szCs w:val="22"/>
        </w:rPr>
        <w:t>are i</w:t>
      </w:r>
      <w:r w:rsidR="00CF71DB" w:rsidRPr="00BB229F">
        <w:rPr>
          <w:szCs w:val="22"/>
        </w:rPr>
        <w:t>nvolved in the E-Rate,</w:t>
      </w:r>
      <w:r w:rsidR="00CF71DB" w:rsidRPr="00BB229F">
        <w:rPr>
          <w:rStyle w:val="FootnoteReference"/>
          <w:szCs w:val="22"/>
        </w:rPr>
        <w:footnoteReference w:id="46"/>
      </w:r>
      <w:r w:rsidR="00CF71DB" w:rsidRPr="00BB229F">
        <w:rPr>
          <w:szCs w:val="22"/>
        </w:rPr>
        <w:t xml:space="preserve"> Lifeline,</w:t>
      </w:r>
      <w:r w:rsidR="00CF71DB" w:rsidRPr="00BB229F">
        <w:rPr>
          <w:rStyle w:val="FootnoteReference"/>
          <w:szCs w:val="22"/>
        </w:rPr>
        <w:footnoteReference w:id="47"/>
      </w:r>
      <w:r w:rsidR="00CF71DB" w:rsidRPr="00BB229F">
        <w:rPr>
          <w:szCs w:val="22"/>
        </w:rPr>
        <w:t xml:space="preserve"> and Rural Healthcare</w:t>
      </w:r>
      <w:r w:rsidR="00CF71DB" w:rsidRPr="00BB229F">
        <w:rPr>
          <w:rStyle w:val="FootnoteReference"/>
          <w:szCs w:val="22"/>
        </w:rPr>
        <w:footnoteReference w:id="48"/>
      </w:r>
      <w:r w:rsidR="00CF71DB" w:rsidRPr="00BB229F">
        <w:rPr>
          <w:szCs w:val="22"/>
        </w:rPr>
        <w:t xml:space="preserve"> programs.  </w:t>
      </w:r>
      <w:r w:rsidR="009722B8" w:rsidRPr="00BB229F">
        <w:rPr>
          <w:szCs w:val="22"/>
        </w:rPr>
        <w:t xml:space="preserve">In addition, </w:t>
      </w:r>
      <w:r w:rsidR="00E74218" w:rsidRPr="00BB229F">
        <w:rPr>
          <w:szCs w:val="22"/>
        </w:rPr>
        <w:t xml:space="preserve">three of the </w:t>
      </w:r>
      <w:r w:rsidR="00B012DF" w:rsidRPr="00BB229F">
        <w:rPr>
          <w:szCs w:val="22"/>
        </w:rPr>
        <w:t>universal service fund</w:t>
      </w:r>
      <w:r w:rsidR="00E74218" w:rsidRPr="00BB229F">
        <w:rPr>
          <w:szCs w:val="22"/>
        </w:rPr>
        <w:t xml:space="preserve"> programs—E-Rate,</w:t>
      </w:r>
      <w:r w:rsidR="009535AA" w:rsidRPr="00BB229F">
        <w:rPr>
          <w:rStyle w:val="FootnoteReference"/>
          <w:szCs w:val="22"/>
        </w:rPr>
        <w:t xml:space="preserve"> </w:t>
      </w:r>
      <w:r w:rsidR="00E74218" w:rsidRPr="00BB229F">
        <w:rPr>
          <w:szCs w:val="22"/>
        </w:rPr>
        <w:t xml:space="preserve">Lifeline, and Rural Healthcare—tie funding eligibility to the beneficiary, </w:t>
      </w:r>
      <w:r w:rsidR="009722B8" w:rsidRPr="00BB229F">
        <w:rPr>
          <w:szCs w:val="22"/>
        </w:rPr>
        <w:t xml:space="preserve">i.e., </w:t>
      </w:r>
      <w:r w:rsidR="00E74218" w:rsidRPr="00BB229F">
        <w:rPr>
          <w:szCs w:val="22"/>
        </w:rPr>
        <w:t>a school, a library, a low-income individual or family, or a rural healthcare provider</w:t>
      </w:r>
      <w:r w:rsidR="00B012DF" w:rsidRPr="00BB229F">
        <w:rPr>
          <w:szCs w:val="22"/>
        </w:rPr>
        <w:t xml:space="preserve">, </w:t>
      </w:r>
      <w:r w:rsidR="00275CFB" w:rsidRPr="00BB229F">
        <w:rPr>
          <w:szCs w:val="22"/>
        </w:rPr>
        <w:t xml:space="preserve">and </w:t>
      </w:r>
      <w:r w:rsidR="00B012DF" w:rsidRPr="00BB229F">
        <w:rPr>
          <w:szCs w:val="22"/>
        </w:rPr>
        <w:t xml:space="preserve">not to </w:t>
      </w:r>
      <w:r w:rsidR="00E74218" w:rsidRPr="00BB229F">
        <w:rPr>
          <w:szCs w:val="22"/>
        </w:rPr>
        <w:t>Commission regulatees.</w:t>
      </w:r>
      <w:r w:rsidR="00831D14" w:rsidRPr="00BB229F">
        <w:rPr>
          <w:rStyle w:val="FootnoteReference"/>
        </w:rPr>
        <w:footnoteReference w:id="49"/>
      </w:r>
      <w:r w:rsidR="00E74218" w:rsidRPr="00BB229F">
        <w:rPr>
          <w:szCs w:val="22"/>
        </w:rPr>
        <w:t xml:space="preserve">  </w:t>
      </w:r>
      <w:r w:rsidR="00176466" w:rsidRPr="00BB229F">
        <w:rPr>
          <w:szCs w:val="22"/>
        </w:rPr>
        <w:t>W</w:t>
      </w:r>
      <w:r w:rsidR="00E74218" w:rsidRPr="00BB229F">
        <w:rPr>
          <w:szCs w:val="22"/>
        </w:rPr>
        <w:t>ireless carriers now serve a substantial, if not majority, of Lifeline subscribers</w:t>
      </w:r>
      <w:r w:rsidR="00176466" w:rsidRPr="00BB229F">
        <w:rPr>
          <w:szCs w:val="22"/>
        </w:rPr>
        <w:t>.</w:t>
      </w:r>
      <w:r w:rsidR="00176466" w:rsidRPr="00BB229F">
        <w:rPr>
          <w:rStyle w:val="FootnoteReference"/>
          <w:szCs w:val="22"/>
        </w:rPr>
        <w:footnoteReference w:id="50"/>
      </w:r>
      <w:r w:rsidR="00275CFB" w:rsidRPr="00BB229F">
        <w:rPr>
          <w:szCs w:val="22"/>
        </w:rPr>
        <w:t xml:space="preserve"> </w:t>
      </w:r>
      <w:r w:rsidR="00176466" w:rsidRPr="00BB229F">
        <w:rPr>
          <w:szCs w:val="22"/>
        </w:rPr>
        <w:t xml:space="preserve"> Also, </w:t>
      </w:r>
      <w:r w:rsidR="00275CFB" w:rsidRPr="00BB229F">
        <w:rPr>
          <w:szCs w:val="22"/>
        </w:rPr>
        <w:t>s</w:t>
      </w:r>
      <w:r w:rsidR="00E74218" w:rsidRPr="00BB229F">
        <w:rPr>
          <w:szCs w:val="22"/>
        </w:rPr>
        <w:t>atellite operators, Wi-Fi network installers, and fiber builders may all receive funding through the E-Rate and Rural Healthcare</w:t>
      </w:r>
      <w:r w:rsidR="00275CFB" w:rsidRPr="00BB229F">
        <w:rPr>
          <w:szCs w:val="22"/>
        </w:rPr>
        <w:t xml:space="preserve"> universal service</w:t>
      </w:r>
      <w:r w:rsidR="00E74218" w:rsidRPr="00BB229F">
        <w:rPr>
          <w:szCs w:val="22"/>
        </w:rPr>
        <w:t xml:space="preserve"> programs.</w:t>
      </w:r>
      <w:r w:rsidR="00831D14" w:rsidRPr="00BB229F">
        <w:rPr>
          <w:rStyle w:val="FootnoteReference"/>
        </w:rPr>
        <w:footnoteReference w:id="51"/>
      </w:r>
      <w:r w:rsidR="00E74218" w:rsidRPr="00BB229F">
        <w:rPr>
          <w:szCs w:val="22"/>
        </w:rPr>
        <w:t xml:space="preserve">  </w:t>
      </w:r>
      <w:r w:rsidR="00324990" w:rsidRPr="00BB229F">
        <w:rPr>
          <w:szCs w:val="22"/>
        </w:rPr>
        <w:t xml:space="preserve">Similarly, </w:t>
      </w:r>
      <w:r w:rsidR="00324990" w:rsidRPr="00BB229F">
        <w:t>multichannel video programming distributors (MVPDs)</w:t>
      </w:r>
      <w:r w:rsidR="00135291" w:rsidRPr="00BB229F">
        <w:t>,</w:t>
      </w:r>
      <w:r w:rsidR="00324990" w:rsidRPr="00BB229F">
        <w:t xml:space="preserve"> </w:t>
      </w:r>
      <w:r w:rsidR="005156AD" w:rsidRPr="00BB229F">
        <w:t xml:space="preserve">who also provide </w:t>
      </w:r>
      <w:r w:rsidR="00FE2C29" w:rsidRPr="00BB229F">
        <w:t>supported</w:t>
      </w:r>
      <w:r w:rsidR="005156AD" w:rsidRPr="00BB229F">
        <w:t xml:space="preserve"> services</w:t>
      </w:r>
      <w:r w:rsidR="00135291" w:rsidRPr="00BB229F">
        <w:t>,</w:t>
      </w:r>
      <w:r w:rsidR="005156AD" w:rsidRPr="00BB229F">
        <w:t xml:space="preserve"> </w:t>
      </w:r>
      <w:r w:rsidR="00324990" w:rsidRPr="00BB229F">
        <w:t>receive universal service funding through participation in both the E-rate and Rural Healthcare programs</w:t>
      </w:r>
      <w:r w:rsidR="00643853" w:rsidRPr="00BB229F">
        <w:t xml:space="preserve"> because they provide telecommunications and Internet access services that are eligible for support in those programs</w:t>
      </w:r>
      <w:r w:rsidR="00324990" w:rsidRPr="00BB229F">
        <w:t>.</w:t>
      </w:r>
      <w:r w:rsidR="001E5706" w:rsidRPr="00BB229F">
        <w:rPr>
          <w:rStyle w:val="FootnoteReference"/>
        </w:rPr>
        <w:footnoteReference w:id="52"/>
      </w:r>
      <w:r w:rsidR="00324990" w:rsidRPr="00BB229F">
        <w:t xml:space="preserve">  </w:t>
      </w:r>
      <w:r w:rsidR="00BB229F">
        <w:t xml:space="preserve">And given that the applicants in these programs are not even regulatees—instead, they are the schools and libraries and healthcare providers—the bulk of the Commission’s oversight of these programs (i.e., the costs incurred that create a need for regulatory fees) are not generated by regulatees.  Indeed, seven of the ten E-Rate forms that make up the bulk of the Commission’s oversight of the program are filed by schools and libraries, not service providers.  Similarly, seven of the nine rural healthcare program forms are filed by healthcare providers, not service providers.  In other words, </w:t>
      </w:r>
      <w:r w:rsidR="00407F69" w:rsidRPr="00BB229F">
        <w:rPr>
          <w:szCs w:val="22"/>
        </w:rPr>
        <w:t xml:space="preserve">ITSPs are </w:t>
      </w:r>
      <w:r w:rsidR="00BB229F">
        <w:rPr>
          <w:szCs w:val="22"/>
        </w:rPr>
        <w:t>not</w:t>
      </w:r>
      <w:r w:rsidR="007058B4" w:rsidRPr="00BB229F">
        <w:rPr>
          <w:szCs w:val="22"/>
        </w:rPr>
        <w:t xml:space="preserve"> the sole </w:t>
      </w:r>
      <w:r w:rsidR="00BB229F">
        <w:rPr>
          <w:szCs w:val="22"/>
        </w:rPr>
        <w:t xml:space="preserve">or even majority </w:t>
      </w:r>
      <w:r w:rsidR="007058B4" w:rsidRPr="00BB229F">
        <w:rPr>
          <w:szCs w:val="22"/>
        </w:rPr>
        <w:t>contributors or beneficiaries of these three programs</w:t>
      </w:r>
      <w:r w:rsidR="004A6F6D" w:rsidRPr="00BB229F">
        <w:rPr>
          <w:szCs w:val="22"/>
        </w:rPr>
        <w:t xml:space="preserve">.  </w:t>
      </w:r>
      <w:r w:rsidR="00D35428" w:rsidRPr="00BB229F">
        <w:rPr>
          <w:szCs w:val="22"/>
        </w:rPr>
        <w:t>Rea</w:t>
      </w:r>
      <w:r w:rsidR="009722B8" w:rsidRPr="00BB229F">
        <w:rPr>
          <w:szCs w:val="22"/>
        </w:rPr>
        <w:t xml:space="preserve">llocating </w:t>
      </w:r>
      <w:r w:rsidR="00E74218" w:rsidRPr="00BB229F">
        <w:rPr>
          <w:szCs w:val="22"/>
        </w:rPr>
        <w:t xml:space="preserve">these </w:t>
      </w:r>
      <w:r w:rsidR="009722B8" w:rsidRPr="00BB229F">
        <w:rPr>
          <w:szCs w:val="22"/>
        </w:rPr>
        <w:t xml:space="preserve">Wireline Competition Bureau </w:t>
      </w:r>
      <w:r w:rsidR="00E74218" w:rsidRPr="00BB229F">
        <w:rPr>
          <w:szCs w:val="22"/>
        </w:rPr>
        <w:t xml:space="preserve">FTEs as indirect </w:t>
      </w:r>
      <w:r w:rsidR="009722B8" w:rsidRPr="00BB229F">
        <w:rPr>
          <w:szCs w:val="22"/>
        </w:rPr>
        <w:t xml:space="preserve">FTEs </w:t>
      </w:r>
      <w:r w:rsidR="00E74218" w:rsidRPr="00BB229F">
        <w:t>would be more consistent with how FTEs working on universal service issues are treated elsewhere in the Commission</w:t>
      </w:r>
      <w:r w:rsidR="00BB229F" w:rsidRPr="0057140B">
        <w:t xml:space="preserve">, e.g., similar to the 10 FTEs working on USF matters in the Enforcement Bureau, the 5 FTEs </w:t>
      </w:r>
      <w:r w:rsidR="00BB229F">
        <w:t>in the Office of the Managing Director, the 10 FTEs in the Office of the Inspector General, and the 5 FTEs in the Office of the General Counsel</w:t>
      </w:r>
      <w:r w:rsidR="00E74218" w:rsidRPr="00BB229F">
        <w:t>.</w:t>
      </w:r>
      <w:r w:rsidR="00831D14" w:rsidRPr="00BB229F">
        <w:rPr>
          <w:rStyle w:val="FootnoteReference"/>
        </w:rPr>
        <w:footnoteReference w:id="53"/>
      </w:r>
      <w:r w:rsidR="00E74218" w:rsidRPr="00BB229F">
        <w:t xml:space="preserve">  </w:t>
      </w:r>
    </w:p>
    <w:p w:rsidR="00157EA2" w:rsidRPr="00BB229F" w:rsidRDefault="00F028D2" w:rsidP="00157EA2">
      <w:pPr>
        <w:pStyle w:val="ParaNum"/>
        <w:widowControl/>
        <w:autoSpaceDE w:val="0"/>
        <w:autoSpaceDN w:val="0"/>
        <w:adjustRightInd w:val="0"/>
      </w:pPr>
      <w:r w:rsidRPr="00BB229F">
        <w:rPr>
          <w:szCs w:val="22"/>
        </w:rPr>
        <w:t>ITTA</w:t>
      </w:r>
      <w:r w:rsidR="00B30932" w:rsidRPr="00BB229F">
        <w:rPr>
          <w:szCs w:val="22"/>
        </w:rPr>
        <w:t xml:space="preserve"> and Frontier</w:t>
      </w:r>
      <w:r w:rsidRPr="00BB229F">
        <w:rPr>
          <w:szCs w:val="22"/>
        </w:rPr>
        <w:t xml:space="preserve"> support the proposal in the </w:t>
      </w:r>
      <w:r w:rsidR="00921CFD" w:rsidRPr="00BB229F">
        <w:rPr>
          <w:i/>
          <w:szCs w:val="22"/>
        </w:rPr>
        <w:t xml:space="preserve">FY 2017 </w:t>
      </w:r>
      <w:r w:rsidRPr="00BB229F">
        <w:rPr>
          <w:i/>
          <w:szCs w:val="22"/>
        </w:rPr>
        <w:t>NPRM</w:t>
      </w:r>
      <w:r w:rsidRPr="00BB229F">
        <w:rPr>
          <w:szCs w:val="22"/>
        </w:rPr>
        <w:t xml:space="preserve"> to reallocate 38 Wireline Competition Bureau FTEs as indirect</w:t>
      </w:r>
      <w:r w:rsidR="00B30932" w:rsidRPr="00BB229F">
        <w:rPr>
          <w:szCs w:val="22"/>
        </w:rPr>
        <w:t xml:space="preserve">, and </w:t>
      </w:r>
      <w:r w:rsidR="00B30932" w:rsidRPr="00BB229F">
        <w:t>CTIA argues that if the Commission reclassifies any of these FTEs, they should be reallocated as indirect</w:t>
      </w:r>
      <w:r w:rsidRPr="00BB229F">
        <w:rPr>
          <w:szCs w:val="22"/>
        </w:rPr>
        <w:t>.</w:t>
      </w:r>
      <w:r w:rsidRPr="00BB229F">
        <w:rPr>
          <w:rStyle w:val="FootnoteReference"/>
          <w:szCs w:val="22"/>
        </w:rPr>
        <w:footnoteReference w:id="54"/>
      </w:r>
      <w:r w:rsidRPr="00BB229F">
        <w:rPr>
          <w:szCs w:val="22"/>
        </w:rPr>
        <w:t xml:space="preserve">  CenturyLink also agrees with thi</w:t>
      </w:r>
      <w:r w:rsidR="00875ED5" w:rsidRPr="00BB229F">
        <w:rPr>
          <w:szCs w:val="22"/>
        </w:rPr>
        <w:t>s proposal and observes that the</w:t>
      </w:r>
      <w:r w:rsidRPr="00BB229F">
        <w:rPr>
          <w:szCs w:val="22"/>
        </w:rPr>
        <w:t xml:space="preserve"> concern that the reallocation would impose a burden on broadcasters </w:t>
      </w:r>
      <w:r w:rsidR="009F572D" w:rsidRPr="00BB229F">
        <w:rPr>
          <w:szCs w:val="22"/>
        </w:rPr>
        <w:t xml:space="preserve">which do not participate in the universal service program </w:t>
      </w:r>
      <w:r w:rsidR="00875ED5" w:rsidRPr="00BB229F">
        <w:rPr>
          <w:szCs w:val="22"/>
        </w:rPr>
        <w:t>is</w:t>
      </w:r>
      <w:r w:rsidRPr="00BB229F">
        <w:rPr>
          <w:szCs w:val="22"/>
        </w:rPr>
        <w:t xml:space="preserve"> misplaced “as there is no completely pure way to precisely allocate every Commission FTE.”</w:t>
      </w:r>
      <w:r w:rsidRPr="00BB229F">
        <w:rPr>
          <w:rStyle w:val="FootnoteReference"/>
          <w:szCs w:val="22"/>
        </w:rPr>
        <w:footnoteReference w:id="55"/>
      </w:r>
      <w:r w:rsidRPr="00BB229F">
        <w:t xml:space="preserve">  </w:t>
      </w:r>
      <w:r w:rsidR="00A0109C" w:rsidRPr="00BB229F">
        <w:t>After consideration of the record on this issue and f</w:t>
      </w:r>
      <w:r w:rsidRPr="00BB229F">
        <w:t xml:space="preserve">or the reasons discussed in </w:t>
      </w:r>
      <w:r w:rsidRPr="00BB229F">
        <w:rPr>
          <w:szCs w:val="22"/>
        </w:rPr>
        <w:t xml:space="preserve">the </w:t>
      </w:r>
      <w:r w:rsidRPr="00BB229F">
        <w:rPr>
          <w:i/>
          <w:szCs w:val="22"/>
        </w:rPr>
        <w:t>FY 2017 NPRM</w:t>
      </w:r>
      <w:r w:rsidR="007032C2" w:rsidRPr="00BB229F">
        <w:rPr>
          <w:szCs w:val="22"/>
        </w:rPr>
        <w:t>,</w:t>
      </w:r>
      <w:r w:rsidR="00921CFD" w:rsidRPr="00BB229F">
        <w:rPr>
          <w:szCs w:val="22"/>
        </w:rPr>
        <w:t xml:space="preserve"> i.e.,</w:t>
      </w:r>
      <w:r w:rsidRPr="00BB229F">
        <w:rPr>
          <w:i/>
          <w:szCs w:val="22"/>
        </w:rPr>
        <w:t xml:space="preserve"> </w:t>
      </w:r>
      <w:r w:rsidR="000714EF" w:rsidRPr="00BB229F">
        <w:rPr>
          <w:szCs w:val="22"/>
        </w:rPr>
        <w:t xml:space="preserve">that ITSPs are no longer the sole contributors or beneficiaries of the E-Rate, Lifeline, and Rural Healthcare programs and allocating these Wireline Competition Bureau FTEs as indirect FTEs </w:t>
      </w:r>
      <w:r w:rsidR="000714EF" w:rsidRPr="00BB229F">
        <w:t>would be more consistent with how FTEs working on universal service issues are treated elsewhere in the Commission,</w:t>
      </w:r>
      <w:r w:rsidR="000714EF" w:rsidRPr="00BB229F">
        <w:rPr>
          <w:szCs w:val="22"/>
        </w:rPr>
        <w:t xml:space="preserve"> </w:t>
      </w:r>
      <w:r w:rsidRPr="00BB229F">
        <w:rPr>
          <w:szCs w:val="22"/>
        </w:rPr>
        <w:t xml:space="preserve">we adopt the proposal </w:t>
      </w:r>
      <w:r w:rsidRPr="00BB229F">
        <w:t xml:space="preserve">to reallocate 38 FTEs in the Wireline Competition Bureau assigned to work on the non-high-cost programs of the Universal Service Fund as indirect.  The regulatory fee rates set forth in Appendix </w:t>
      </w:r>
      <w:r w:rsidR="00AA2862" w:rsidRPr="00BB229F">
        <w:t>C</w:t>
      </w:r>
      <w:r w:rsidRPr="00BB229F">
        <w:t xml:space="preserve"> reflect this reallocation of FTEs</w:t>
      </w:r>
      <w:r w:rsidR="00474349" w:rsidRPr="00BB229F">
        <w:t xml:space="preserve"> for regulatory fee purposes</w:t>
      </w:r>
      <w:r w:rsidRPr="00BB229F">
        <w:t>.</w:t>
      </w:r>
    </w:p>
    <w:p w:rsidR="00B30932" w:rsidRPr="00BB229F" w:rsidRDefault="00F54A90" w:rsidP="00B30932">
      <w:pPr>
        <w:pStyle w:val="ParaNum"/>
        <w:widowControl/>
        <w:autoSpaceDE w:val="0"/>
        <w:autoSpaceDN w:val="0"/>
        <w:adjustRightInd w:val="0"/>
      </w:pPr>
      <w:r w:rsidRPr="00BB229F">
        <w:t xml:space="preserve">We disagree with SIA’s argument that </w:t>
      </w:r>
      <w:r w:rsidR="00B30932" w:rsidRPr="00BB229F">
        <w:t xml:space="preserve">such a reallocation of FTEs from direct to indirect is </w:t>
      </w:r>
      <w:r w:rsidRPr="00BB229F">
        <w:t>“</w:t>
      </w:r>
      <w:r w:rsidR="00B30932" w:rsidRPr="00BB229F">
        <w:t>premature</w:t>
      </w:r>
      <w:r w:rsidRPr="00BB229F">
        <w:t>”</w:t>
      </w:r>
      <w:r w:rsidR="00B30932" w:rsidRPr="00BB229F">
        <w:t xml:space="preserve"> because </w:t>
      </w:r>
      <w:r w:rsidRPr="00BB229F">
        <w:t>satellite operators do not yet benefit from the contributions of the FTEs working on universal service fund issues</w:t>
      </w:r>
      <w:r w:rsidR="00B30932" w:rsidRPr="00BB229F">
        <w:t>.</w:t>
      </w:r>
      <w:r w:rsidR="00B30932" w:rsidRPr="00BB229F">
        <w:rPr>
          <w:rStyle w:val="FootnoteReference"/>
        </w:rPr>
        <w:footnoteReference w:id="56"/>
      </w:r>
      <w:r w:rsidR="00B30932" w:rsidRPr="00BB229F">
        <w:t xml:space="preserve">  </w:t>
      </w:r>
      <w:r w:rsidRPr="00BB229F">
        <w:t xml:space="preserve">The FTEs working on these universal service issues have already devoted substantial time to making sure that satellite operators are eligible to participate in these programs, such as by becoming ETCs or being eligible for funding </w:t>
      </w:r>
      <w:r w:rsidR="00B30932" w:rsidRPr="00BB229F">
        <w:rPr>
          <w:szCs w:val="22"/>
        </w:rPr>
        <w:t xml:space="preserve">under the Rural Healthcare program </w:t>
      </w:r>
      <w:r w:rsidRPr="00BB229F">
        <w:rPr>
          <w:szCs w:val="22"/>
        </w:rPr>
        <w:t>or E-Rate</w:t>
      </w:r>
      <w:r w:rsidR="00B30932" w:rsidRPr="00BB229F">
        <w:rPr>
          <w:szCs w:val="22"/>
        </w:rPr>
        <w:t>.</w:t>
      </w:r>
      <w:r w:rsidRPr="00BB229F">
        <w:rPr>
          <w:szCs w:val="22"/>
        </w:rPr>
        <w:t xml:space="preserve"> </w:t>
      </w:r>
      <w:r w:rsidR="008F275F" w:rsidRPr="00BB229F">
        <w:t xml:space="preserve"> </w:t>
      </w:r>
      <w:r w:rsidR="00FE2C29" w:rsidRPr="00BB229F">
        <w:rPr>
          <w:szCs w:val="22"/>
        </w:rPr>
        <w:t>P</w:t>
      </w:r>
      <w:r w:rsidR="00052683" w:rsidRPr="00BB229F">
        <w:t xml:space="preserve">ermitting </w:t>
      </w:r>
      <w:r w:rsidR="008F275F" w:rsidRPr="00BB229F">
        <w:t xml:space="preserve">satellite operators into the USF programs </w:t>
      </w:r>
      <w:r w:rsidR="00FE2C29" w:rsidRPr="00BB229F">
        <w:t xml:space="preserve">uses </w:t>
      </w:r>
      <w:r w:rsidR="008F275F" w:rsidRPr="00BB229F">
        <w:t>FTE resources</w:t>
      </w:r>
      <w:r w:rsidR="00052683" w:rsidRPr="00BB229F">
        <w:t xml:space="preserve"> at the </w:t>
      </w:r>
      <w:r w:rsidR="008F275F" w:rsidRPr="00BB229F">
        <w:t xml:space="preserve">beginning of </w:t>
      </w:r>
      <w:r w:rsidR="00052683" w:rsidRPr="00BB229F">
        <w:t>a</w:t>
      </w:r>
      <w:r w:rsidR="008F275F" w:rsidRPr="00BB229F">
        <w:t xml:space="preserve"> satellite operators’ participation.  </w:t>
      </w:r>
      <w:r w:rsidRPr="00BB229F">
        <w:rPr>
          <w:szCs w:val="22"/>
        </w:rPr>
        <w:t>And some satellite providers have begun to take advantage of that eligibility in, for example, the Rural Healthcare program.</w:t>
      </w:r>
      <w:r w:rsidR="00B974A0" w:rsidRPr="00BB229F">
        <w:rPr>
          <w:szCs w:val="22"/>
        </w:rPr>
        <w:t xml:space="preserve">  </w:t>
      </w:r>
      <w:r w:rsidR="00650FFA" w:rsidRPr="00BB229F">
        <w:rPr>
          <w:szCs w:val="22"/>
        </w:rPr>
        <w:t>Thus,</w:t>
      </w:r>
      <w:r w:rsidR="00B974A0" w:rsidRPr="00BB229F">
        <w:rPr>
          <w:szCs w:val="22"/>
        </w:rPr>
        <w:t xml:space="preserve"> these FTEs are both overseeing satellite operators and benefiting satellite operators, making reallocation appropriate.</w:t>
      </w:r>
    </w:p>
    <w:p w:rsidR="009F572D" w:rsidRPr="00BB229F" w:rsidRDefault="00E31384" w:rsidP="00287628">
      <w:pPr>
        <w:pStyle w:val="ParaNum"/>
      </w:pPr>
      <w:r w:rsidRPr="00BB229F">
        <w:t xml:space="preserve">ITTA and Frontier </w:t>
      </w:r>
      <w:r w:rsidR="005319B1" w:rsidRPr="00BB229F">
        <w:t xml:space="preserve">suggest </w:t>
      </w:r>
      <w:r w:rsidRPr="00BB229F">
        <w:t xml:space="preserve">that we </w:t>
      </w:r>
      <w:r w:rsidR="00922238" w:rsidRPr="00BB229F">
        <w:t>a</w:t>
      </w:r>
      <w:r w:rsidRPr="00BB229F">
        <w:t>lso reallocate to the Wireless Telecommunications Bureau and/or Media Bureau direct FTEs working on universal service high cost issues.</w:t>
      </w:r>
      <w:r w:rsidRPr="00BB229F">
        <w:rPr>
          <w:rStyle w:val="FootnoteReference"/>
          <w:szCs w:val="22"/>
        </w:rPr>
        <w:footnoteReference w:id="57"/>
      </w:r>
      <w:r w:rsidRPr="00BB229F">
        <w:t xml:space="preserve">  Frontier </w:t>
      </w:r>
      <w:r w:rsidR="005319B1" w:rsidRPr="00BB229F">
        <w:t xml:space="preserve">argues </w:t>
      </w:r>
      <w:r w:rsidRPr="00BB229F">
        <w:t xml:space="preserve">that we </w:t>
      </w:r>
      <w:r w:rsidR="005319B1" w:rsidRPr="00BB229F">
        <w:t xml:space="preserve">should </w:t>
      </w:r>
      <w:r w:rsidRPr="00BB229F">
        <w:t>reallocate FTEs working on High-Cost Fund issues as indirect FTEs because all universal service programs, including the High-Cost Fund, “benefit the public and all members of the Internet ecosystem, not specifically or uniquely wireline companies.”</w:t>
      </w:r>
      <w:r w:rsidRPr="00BB229F">
        <w:rPr>
          <w:rStyle w:val="FootnoteReference"/>
          <w:szCs w:val="22"/>
        </w:rPr>
        <w:footnoteReference w:id="58"/>
      </w:r>
      <w:r w:rsidRPr="00BB229F">
        <w:t xml:space="preserve">  </w:t>
      </w:r>
      <w:r w:rsidR="005319B1" w:rsidRPr="00BB229F">
        <w:t>CTIA opposes th</w:t>
      </w:r>
      <w:r w:rsidR="00921CFD" w:rsidRPr="00BB229F">
        <w:t>e</w:t>
      </w:r>
      <w:r w:rsidR="005319B1" w:rsidRPr="00BB229F">
        <w:t xml:space="preserve"> proposal </w:t>
      </w:r>
      <w:r w:rsidR="00921CFD" w:rsidRPr="00BB229F">
        <w:t xml:space="preserve">to reallocate FTEs working on High-Cost issues, </w:t>
      </w:r>
      <w:r w:rsidR="005319B1" w:rsidRPr="00BB229F">
        <w:t>and observes that ITTA and Frontier have failed to show a clear case for reclassification of the Wireline Competition Bureau FTEs.</w:t>
      </w:r>
      <w:r w:rsidR="005319B1" w:rsidRPr="00BB229F">
        <w:rPr>
          <w:rStyle w:val="FootnoteReference"/>
        </w:rPr>
        <w:footnoteReference w:id="59"/>
      </w:r>
      <w:r w:rsidR="005319B1" w:rsidRPr="00BB229F">
        <w:t xml:space="preserve">  </w:t>
      </w:r>
      <w:r w:rsidR="00921CFD" w:rsidRPr="00BB229F">
        <w:t xml:space="preserve">We agree </w:t>
      </w:r>
      <w:r w:rsidR="00B974A0" w:rsidRPr="00BB229F">
        <w:t xml:space="preserve">with CTIA that the case for reallocation has not been made </w:t>
      </w:r>
      <w:r w:rsidR="006004F7" w:rsidRPr="00BB229F">
        <w:t>at this time</w:t>
      </w:r>
      <w:r w:rsidR="00921CFD" w:rsidRPr="00BB229F">
        <w:t xml:space="preserve">.  </w:t>
      </w:r>
    </w:p>
    <w:p w:rsidR="006B7C1A" w:rsidRPr="00BB229F" w:rsidRDefault="00B974A0" w:rsidP="00683D33">
      <w:pPr>
        <w:pStyle w:val="ParaNum"/>
        <w:widowControl/>
        <w:autoSpaceDE w:val="0"/>
        <w:autoSpaceDN w:val="0"/>
        <w:adjustRightInd w:val="0"/>
      </w:pPr>
      <w:r w:rsidRPr="00BB229F">
        <w:t>Several partie</w:t>
      </w:r>
      <w:r w:rsidR="00650FFA" w:rsidRPr="00BB229F">
        <w:t xml:space="preserve">s also ask that we go farther.  </w:t>
      </w:r>
      <w:r w:rsidRPr="00BB229F">
        <w:t xml:space="preserve">For example, </w:t>
      </w:r>
      <w:r w:rsidR="007D0232" w:rsidRPr="00BB229F">
        <w:t xml:space="preserve">ITTA </w:t>
      </w:r>
      <w:r w:rsidR="00D26F73" w:rsidRPr="00BB229F">
        <w:t>argues</w:t>
      </w:r>
      <w:r w:rsidR="007D0232" w:rsidRPr="00BB229F">
        <w:t xml:space="preserve"> that the Wireline Competition Bureau FTEs</w:t>
      </w:r>
      <w:r w:rsidR="00AE0055" w:rsidRPr="00BB229F">
        <w:t xml:space="preserve"> are</w:t>
      </w:r>
      <w:r w:rsidR="00A20EEE" w:rsidRPr="00BB229F">
        <w:t xml:space="preserve"> “</w:t>
      </w:r>
      <w:r w:rsidR="007D0232" w:rsidRPr="00BB229F">
        <w:t>no longer focused exclusively on ITSPs”</w:t>
      </w:r>
      <w:r w:rsidR="007D0232" w:rsidRPr="00BB229F">
        <w:rPr>
          <w:rStyle w:val="FootnoteReference"/>
        </w:rPr>
        <w:footnoteReference w:id="60"/>
      </w:r>
      <w:r w:rsidR="007D0232" w:rsidRPr="00BB229F">
        <w:t xml:space="preserve"> and the Commission “must make adjustments to ensure that its regulatory fees reflect </w:t>
      </w:r>
      <w:r w:rsidR="007D0232" w:rsidRPr="00BB229F">
        <w:rPr>
          <w:i/>
        </w:rPr>
        <w:t>its actual costs by industry sector</w:t>
      </w:r>
      <w:r w:rsidR="007D0232" w:rsidRPr="00BB229F">
        <w:t>.”</w:t>
      </w:r>
      <w:r w:rsidR="007D0232" w:rsidRPr="00BB229F">
        <w:rPr>
          <w:rStyle w:val="FootnoteReference"/>
        </w:rPr>
        <w:footnoteReference w:id="61"/>
      </w:r>
      <w:r w:rsidR="007D0232" w:rsidRPr="00BB229F">
        <w:t xml:space="preserve"> </w:t>
      </w:r>
      <w:r w:rsidRPr="00BB229F">
        <w:t xml:space="preserve"> Similarly, ITTA, Frontier, and CenturyLink also argue that we should combine CMRS into the ITSP category.</w:t>
      </w:r>
      <w:r w:rsidRPr="00BB229F">
        <w:rPr>
          <w:rStyle w:val="FootnoteReference"/>
        </w:rPr>
        <w:footnoteReference w:id="62"/>
      </w:r>
      <w:r w:rsidRPr="00BB229F">
        <w:t xml:space="preserve">  We do not believe the case has been made for such large changes at this time, because (among other things) advocates of such changes have not fully accounted for the substantial differences in regulatory oversight between different groups of regulatees nor the fact that allocating regulatory fees is not and cannot be an exact science</w:t>
      </w:r>
      <w:r w:rsidR="00744BCB" w:rsidRPr="00BB229F">
        <w:t xml:space="preserve">. </w:t>
      </w:r>
      <w:r w:rsidRPr="00BB229F">
        <w:t xml:space="preserve"> </w:t>
      </w:r>
      <w:r w:rsidR="00744BCB" w:rsidRPr="00BB229F">
        <w:t>On the last point, it would be nigh impossible to determine the precise costs attributable to FTEs and the precise benefits flowing from Commission regulation to any one regulate</w:t>
      </w:r>
      <w:r w:rsidR="00B14015" w:rsidRPr="00BB229F">
        <w:t>e</w:t>
      </w:r>
      <w:r w:rsidR="00744BCB" w:rsidRPr="00BB229F">
        <w:t>, let alone a particular cross-section of regulatees or even an entire industry—not to mention the complications associated with regulatees statutorily exempt from paying regulatory fees (such as governmental licensees) and with beneficiaries (such as schools and libraries) that are not regulatees, all of whom nonetheless create costs that must be recovered.  As such the Commission has long taken an incrementalist approach, requiring substantial and specific evidence about regulatory burdens and benefits before making changes to the allocation of fees.  And those seeking to change our allocations even further have not yet made the case for doing so.</w:t>
      </w:r>
    </w:p>
    <w:p w:rsidR="008B6F1D" w:rsidRPr="00BB229F" w:rsidRDefault="008B6F1D" w:rsidP="00683D33">
      <w:pPr>
        <w:pStyle w:val="ParaNum"/>
        <w:widowControl/>
        <w:autoSpaceDE w:val="0"/>
        <w:autoSpaceDN w:val="0"/>
        <w:adjustRightInd w:val="0"/>
      </w:pPr>
      <w:r w:rsidRPr="00BB229F">
        <w:rPr>
          <w:szCs w:val="22"/>
        </w:rPr>
        <w:t xml:space="preserve">After reviewing the record, we conclude that </w:t>
      </w:r>
      <w:r w:rsidR="003B2500" w:rsidRPr="00BB229F">
        <w:rPr>
          <w:szCs w:val="22"/>
        </w:rPr>
        <w:t xml:space="preserve">our proposal in the </w:t>
      </w:r>
      <w:r w:rsidR="003B2500" w:rsidRPr="00BB229F">
        <w:rPr>
          <w:i/>
          <w:szCs w:val="22"/>
        </w:rPr>
        <w:t>FY 2017 NPRM</w:t>
      </w:r>
      <w:r w:rsidR="003B2500" w:rsidRPr="00BB229F">
        <w:rPr>
          <w:szCs w:val="22"/>
        </w:rPr>
        <w:t xml:space="preserve"> to reallocate</w:t>
      </w:r>
      <w:r w:rsidRPr="00BB229F">
        <w:t xml:space="preserve"> 38 FTEs in the Wireline Competition Bureau assigned to work on </w:t>
      </w:r>
      <w:r w:rsidR="0086578F" w:rsidRPr="00BB229F">
        <w:t xml:space="preserve">the non-high </w:t>
      </w:r>
      <w:r w:rsidRPr="00BB229F">
        <w:t xml:space="preserve">cost programs of the Universal Service Fund as indirect </w:t>
      </w:r>
      <w:r w:rsidR="00DD22CC" w:rsidRPr="00BB229F">
        <w:t xml:space="preserve">for regulatory fee purposes </w:t>
      </w:r>
      <w:r w:rsidRPr="00BB229F">
        <w:t>is warranted and consistent with section 9 of the Act.</w:t>
      </w:r>
      <w:r w:rsidR="006436B0" w:rsidRPr="00BB229F">
        <w:t xml:space="preserve">  </w:t>
      </w:r>
      <w:r w:rsidR="00D171A9" w:rsidRPr="00BB229F">
        <w:t xml:space="preserve">We therefore adopt the proposal in the </w:t>
      </w:r>
      <w:r w:rsidR="00D171A9" w:rsidRPr="00BB229F">
        <w:rPr>
          <w:i/>
        </w:rPr>
        <w:t>FY 2017 NPRM</w:t>
      </w:r>
      <w:r w:rsidR="00D171A9" w:rsidRPr="00BB229F">
        <w:t xml:space="preserve">.  </w:t>
      </w:r>
      <w:r w:rsidR="006436B0" w:rsidRPr="00BB229F">
        <w:t xml:space="preserve">The </w:t>
      </w:r>
      <w:r w:rsidR="00D171A9" w:rsidRPr="00BB229F">
        <w:t xml:space="preserve">regulatory fee </w:t>
      </w:r>
      <w:r w:rsidR="006436B0" w:rsidRPr="00BB229F">
        <w:t xml:space="preserve">rates set forth in Appendix </w:t>
      </w:r>
      <w:r w:rsidR="00AA2862" w:rsidRPr="00BB229F">
        <w:t>C</w:t>
      </w:r>
      <w:r w:rsidR="006436B0" w:rsidRPr="00BB229F">
        <w:t xml:space="preserve"> reflect this reallocation</w:t>
      </w:r>
      <w:r w:rsidR="00D171A9" w:rsidRPr="00BB229F">
        <w:t xml:space="preserve"> of FTEs</w:t>
      </w:r>
      <w:r w:rsidR="006436B0" w:rsidRPr="00BB229F">
        <w:t>.</w:t>
      </w:r>
      <w:r w:rsidRPr="00BB229F">
        <w:t xml:space="preserve">  </w:t>
      </w:r>
      <w:r w:rsidRPr="00BB229F">
        <w:rPr>
          <w:szCs w:val="22"/>
        </w:rPr>
        <w:t xml:space="preserve">  </w:t>
      </w:r>
    </w:p>
    <w:p w:rsidR="000D29E4" w:rsidRPr="00BB229F" w:rsidRDefault="000D29E4" w:rsidP="000D29E4">
      <w:pPr>
        <w:pStyle w:val="Heading3"/>
      </w:pPr>
      <w:bookmarkStart w:id="12" w:name="_Toc491865026"/>
      <w:bookmarkStart w:id="13" w:name="_Toc491865441"/>
      <w:r w:rsidRPr="00BB229F">
        <w:t>FTEs Associated with Numbering</w:t>
      </w:r>
      <w:r w:rsidR="00A56C58" w:rsidRPr="00BB229F">
        <w:t xml:space="preserve"> Issues</w:t>
      </w:r>
      <w:bookmarkEnd w:id="12"/>
      <w:bookmarkEnd w:id="13"/>
    </w:p>
    <w:p w:rsidR="00ED19B3" w:rsidRPr="00BB229F" w:rsidRDefault="000D29E4" w:rsidP="006F0CE6">
      <w:pPr>
        <w:pStyle w:val="ParaNum"/>
      </w:pPr>
      <w:r w:rsidRPr="00BB229F">
        <w:t xml:space="preserve">In the </w:t>
      </w:r>
      <w:r w:rsidRPr="00BB229F">
        <w:rPr>
          <w:i/>
        </w:rPr>
        <w:t>FY 2017 NPRM</w:t>
      </w:r>
      <w:r w:rsidRPr="00BB229F">
        <w:t>, we estimated that</w:t>
      </w:r>
      <w:r w:rsidR="00501255" w:rsidRPr="00BB229F">
        <w:t xml:space="preserve"> </w:t>
      </w:r>
      <w:r w:rsidR="00AD53FE" w:rsidRPr="00BB229F">
        <w:t>seven to eight</w:t>
      </w:r>
      <w:r w:rsidRPr="00BB229F">
        <w:t xml:space="preserve"> FTEs in the Wireline Competition Bureau work on numbering issues.</w:t>
      </w:r>
      <w:r w:rsidR="008A65C5" w:rsidRPr="00BB229F">
        <w:rPr>
          <w:rStyle w:val="FootnoteReference"/>
        </w:rPr>
        <w:footnoteReference w:id="63"/>
      </w:r>
      <w:r w:rsidRPr="00BB229F">
        <w:t xml:space="preserve">  We propose</w:t>
      </w:r>
      <w:r w:rsidR="007E6CF4" w:rsidRPr="00BB229F">
        <w:t>d</w:t>
      </w:r>
      <w:r w:rsidRPr="00BB229F">
        <w:t xml:space="preserve"> to </w:t>
      </w:r>
      <w:r w:rsidR="00D1676E" w:rsidRPr="00BB229F">
        <w:t>reallocate</w:t>
      </w:r>
      <w:r w:rsidR="00501255" w:rsidRPr="00BB229F">
        <w:t xml:space="preserve"> for regulatory fee purposes</w:t>
      </w:r>
      <w:r w:rsidR="00D1676E" w:rsidRPr="00BB229F">
        <w:t xml:space="preserve"> </w:t>
      </w:r>
      <w:r w:rsidR="009E4EB2" w:rsidRPr="00BB229F">
        <w:t>four</w:t>
      </w:r>
      <w:r w:rsidR="00D1676E" w:rsidRPr="00BB229F">
        <w:t xml:space="preserve"> </w:t>
      </w:r>
      <w:r w:rsidRPr="00BB229F">
        <w:t>of these direct FTEs</w:t>
      </w:r>
      <w:r w:rsidR="00D1676E" w:rsidRPr="00BB229F">
        <w:t xml:space="preserve"> from the Wireline Competition Bureau to the Wireless Telecommunications Bureau</w:t>
      </w:r>
      <w:r w:rsidRPr="00BB229F">
        <w:t xml:space="preserve"> “to take into account factors that are reasonably related to the </w:t>
      </w:r>
      <w:r w:rsidR="00864984" w:rsidRPr="00BB229F">
        <w:t>benefits provided to the payo</w:t>
      </w:r>
      <w:r w:rsidRPr="00BB229F">
        <w:t>r of the fee by the Commission’s activities . . . .”</w:t>
      </w:r>
      <w:r w:rsidRPr="00BB229F">
        <w:rPr>
          <w:rStyle w:val="FootnoteReference"/>
          <w:rFonts w:eastAsia="Calibri"/>
        </w:rPr>
        <w:footnoteReference w:id="64"/>
      </w:r>
      <w:r w:rsidRPr="00BB229F">
        <w:t xml:space="preserve">  Specifically, we estimate</w:t>
      </w:r>
      <w:r w:rsidR="007E6CF4" w:rsidRPr="00BB229F">
        <w:t>d</w:t>
      </w:r>
      <w:r w:rsidRPr="00BB229F">
        <w:t xml:space="preserve"> approximately half of the benefit of the work of these FTEs accrue to Wireless Telecommunications Bureau regulatees</w:t>
      </w:r>
      <w:r w:rsidR="00ED19B3" w:rsidRPr="00BB229F">
        <w:t>.</w:t>
      </w:r>
      <w:r w:rsidRPr="00BB229F">
        <w:rPr>
          <w:rStyle w:val="FootnoteReference"/>
        </w:rPr>
        <w:footnoteReference w:id="65"/>
      </w:r>
      <w:r w:rsidRPr="00BB229F">
        <w:t xml:space="preserve">  </w:t>
      </w:r>
      <w:r w:rsidR="00A62551" w:rsidRPr="00BB229F">
        <w:t xml:space="preserve">Commenters </w:t>
      </w:r>
      <w:r w:rsidR="00AB167F" w:rsidRPr="00BB229F">
        <w:t>agree with our proposal</w:t>
      </w:r>
      <w:r w:rsidRPr="00BB229F">
        <w:t xml:space="preserve"> to reallocate four of the Wireline Competition Bureau FTEs that work on numbering issues to the Wireless Telecommunications Bureau as direct FTEs for regulatory fee purposes.</w:t>
      </w:r>
      <w:r w:rsidR="00710CA0" w:rsidRPr="00BB229F">
        <w:rPr>
          <w:rStyle w:val="FootnoteReference"/>
        </w:rPr>
        <w:footnoteReference w:id="66"/>
      </w:r>
      <w:r w:rsidRPr="00BB229F">
        <w:t xml:space="preserve">  </w:t>
      </w:r>
    </w:p>
    <w:p w:rsidR="005C2067" w:rsidRPr="00BB229F" w:rsidRDefault="00ED0684" w:rsidP="006F0CE6">
      <w:pPr>
        <w:pStyle w:val="ParaNum"/>
      </w:pPr>
      <w:r w:rsidRPr="00BB229F">
        <w:t xml:space="preserve">After reviewing the record, we conclude that reallocating four FTEs in the Wireline Competition Bureau assigned to work on numbering issues to the Wireless Telecommunications Bureau </w:t>
      </w:r>
      <w:r w:rsidR="00067ECE" w:rsidRPr="00BB229F">
        <w:t xml:space="preserve">for regulatory fee purposes </w:t>
      </w:r>
      <w:r w:rsidRPr="00BB229F">
        <w:t xml:space="preserve">is warranted and consistent with section 9 of the Act.  </w:t>
      </w:r>
      <w:r w:rsidR="00D31843" w:rsidRPr="00BB229F">
        <w:t xml:space="preserve">Reallocating four direct FTEs from the Wireline Competition Bureau to the Wireless Telecommunications Bureau will “take into account factors that are reasonably related to the </w:t>
      </w:r>
      <w:r w:rsidR="00FB5C83" w:rsidRPr="00BB229F">
        <w:t>benefits provided to the payo</w:t>
      </w:r>
      <w:r w:rsidR="00D31843" w:rsidRPr="00BB229F">
        <w:t>r of the fee by the Commission’s activities”</w:t>
      </w:r>
      <w:r w:rsidR="00D31843" w:rsidRPr="00BB229F">
        <w:rPr>
          <w:rStyle w:val="FootnoteReference"/>
          <w:rFonts w:eastAsia="Calibri"/>
        </w:rPr>
        <w:footnoteReference w:id="67"/>
      </w:r>
      <w:r w:rsidR="00A70E04" w:rsidRPr="00BB229F">
        <w:t xml:space="preserve"> </w:t>
      </w:r>
      <w:r w:rsidR="00D31843" w:rsidRPr="00BB229F">
        <w:t>because approximately half of the benefit of the work of these FTEs accrue to Wireless Telecommunications Bureau regulatees.</w:t>
      </w:r>
      <w:r w:rsidR="00D31843" w:rsidRPr="00BB229F">
        <w:rPr>
          <w:rStyle w:val="FootnoteReference"/>
        </w:rPr>
        <w:footnoteReference w:id="68"/>
      </w:r>
      <w:r w:rsidR="00D31843" w:rsidRPr="00BB229F">
        <w:t xml:space="preserve">  </w:t>
      </w:r>
      <w:r w:rsidRPr="00BB229F">
        <w:t xml:space="preserve">We therefore adopt our proposal to reallocate for regulatory fee purposes four direct FTEs from the Wireline Competition Bureau to the Wireless Telecommunications Bureau.  The regulatory fee rates set forth in Appendix </w:t>
      </w:r>
      <w:r w:rsidR="00AA2862" w:rsidRPr="00BB229F">
        <w:t>C</w:t>
      </w:r>
      <w:r w:rsidRPr="00BB229F">
        <w:t xml:space="preserve"> reflect this reallocation of FTEs.</w:t>
      </w:r>
    </w:p>
    <w:p w:rsidR="007E6CF4" w:rsidRPr="00BB229F" w:rsidRDefault="007E6CF4" w:rsidP="007E6CF4">
      <w:pPr>
        <w:pStyle w:val="Heading2"/>
      </w:pPr>
      <w:bookmarkStart w:id="14" w:name="_Toc491865027"/>
      <w:bookmarkStart w:id="15" w:name="_Toc491865442"/>
      <w:r w:rsidRPr="00BB229F">
        <w:t>Direct Broadcast Satellite (DBS) Regulatory Fees</w:t>
      </w:r>
      <w:bookmarkEnd w:id="14"/>
      <w:bookmarkEnd w:id="15"/>
    </w:p>
    <w:p w:rsidR="0008383B" w:rsidRPr="00BB229F" w:rsidRDefault="0036728A" w:rsidP="007E6CF4">
      <w:pPr>
        <w:pStyle w:val="ParaNum"/>
      </w:pPr>
      <w:r w:rsidRPr="00BB229F">
        <w:t>DBS service is a nationally distributed subscription service that delivers video and audio programming via satellite to a small parabolic dish antenna at the subscriber’s location.  The two DBS providers, AT&amp;T</w:t>
      </w:r>
      <w:r w:rsidR="00DB137F" w:rsidRPr="00BB229F">
        <w:rPr>
          <w:rStyle w:val="FootnoteReference"/>
        </w:rPr>
        <w:footnoteReference w:id="69"/>
      </w:r>
      <w:r w:rsidRPr="00BB229F">
        <w:t xml:space="preserve"> and DISH Network, are MVPDs.</w:t>
      </w:r>
      <w:r w:rsidRPr="00BB229F">
        <w:rPr>
          <w:rStyle w:val="FootnoteReference"/>
        </w:rPr>
        <w:footnoteReference w:id="70"/>
      </w:r>
      <w:r w:rsidRPr="00BB229F">
        <w:t xml:space="preserve"> </w:t>
      </w:r>
      <w:r w:rsidR="00745BD2" w:rsidRPr="00BB229F">
        <w:t xml:space="preserve"> Following the </w:t>
      </w:r>
      <w:r w:rsidR="00FD7748" w:rsidRPr="00BB229F">
        <w:t xml:space="preserve">2012 </w:t>
      </w:r>
      <w:r w:rsidR="004E0AD9" w:rsidRPr="00BB229F">
        <w:t xml:space="preserve">GAO Report, </w:t>
      </w:r>
      <w:r w:rsidR="00900326" w:rsidRPr="00BB229F">
        <w:t xml:space="preserve">in which the GAO observed </w:t>
      </w:r>
      <w:r w:rsidR="004E0AD9" w:rsidRPr="00BB229F">
        <w:t>that an evaluation of Media Bureau FTEs was long overdue</w:t>
      </w:r>
      <w:r w:rsidR="00745BD2" w:rsidRPr="00BB229F">
        <w:t>,</w:t>
      </w:r>
      <w:r w:rsidR="004E0AD9" w:rsidRPr="00BB229F">
        <w:rPr>
          <w:rStyle w:val="FootnoteReference"/>
        </w:rPr>
        <w:footnoteReference w:id="71"/>
      </w:r>
      <w:r w:rsidR="004E0AD9" w:rsidRPr="00BB229F">
        <w:t xml:space="preserve"> the Commission </w:t>
      </w:r>
      <w:r w:rsidR="00745BD2" w:rsidRPr="00BB229F">
        <w:t>concluded</w:t>
      </w:r>
      <w:r w:rsidR="004E0AD9" w:rsidRPr="00BB229F">
        <w:t xml:space="preserve"> that the Media Bureau FTEs regulate the DBS industry together with the other MVPDs.</w:t>
      </w:r>
      <w:r w:rsidR="004E0AD9" w:rsidRPr="00BB229F">
        <w:rPr>
          <w:rStyle w:val="FootnoteReference"/>
        </w:rPr>
        <w:footnoteReference w:id="72"/>
      </w:r>
      <w:r w:rsidR="004E0AD9" w:rsidRPr="00BB229F">
        <w:t xml:space="preserve">  </w:t>
      </w:r>
      <w:r w:rsidR="00FD7748" w:rsidRPr="00BB229F">
        <w:t xml:space="preserve">Subsequently, </w:t>
      </w:r>
      <w:r w:rsidR="007E6CF4" w:rsidRPr="00BB229F">
        <w:t xml:space="preserve">the Commission adopted </w:t>
      </w:r>
      <w:r w:rsidR="00783CB3" w:rsidRPr="00BB229F">
        <w:t>a</w:t>
      </w:r>
      <w:r w:rsidR="007E6CF4" w:rsidRPr="00BB229F">
        <w:t xml:space="preserve"> regulatory fee for DBS as a subcategory in the cable television and IPTV category, of 1</w:t>
      </w:r>
      <w:r w:rsidR="00A24925" w:rsidRPr="00BB229F">
        <w:t>2 cents per year per subscriber</w:t>
      </w:r>
      <w:r w:rsidR="007E6CF4" w:rsidRPr="00BB229F">
        <w:t>.</w:t>
      </w:r>
      <w:r w:rsidR="007E6CF4" w:rsidRPr="00BB229F">
        <w:rPr>
          <w:rStyle w:val="FootnoteReference"/>
        </w:rPr>
        <w:footnoteReference w:id="73"/>
      </w:r>
      <w:r w:rsidR="007E6CF4" w:rsidRPr="00BB229F">
        <w:t xml:space="preserve">  </w:t>
      </w:r>
      <w:r w:rsidR="00005122" w:rsidRPr="00BB229F">
        <w:t>T</w:t>
      </w:r>
      <w:r w:rsidR="00D414EE" w:rsidRPr="00BB229F">
        <w:t>his regulatory fee subcategory</w:t>
      </w:r>
      <w:r w:rsidR="00A24925" w:rsidRPr="00BB229F">
        <w:t xml:space="preserve"> was based on </w:t>
      </w:r>
      <w:r w:rsidR="00D414EE" w:rsidRPr="00BB229F">
        <w:t xml:space="preserve">Media Bureau FTE activity involving regulation and oversight of </w:t>
      </w:r>
      <w:r w:rsidR="00432573" w:rsidRPr="00BB229F">
        <w:t xml:space="preserve">all </w:t>
      </w:r>
      <w:r w:rsidR="00D414EE" w:rsidRPr="00BB229F">
        <w:t xml:space="preserve">MVPDs, </w:t>
      </w:r>
      <w:r w:rsidR="00325C70" w:rsidRPr="00BB229F">
        <w:t>which included</w:t>
      </w:r>
      <w:r w:rsidR="00D414EE" w:rsidRPr="00BB229F">
        <w:t xml:space="preserve"> DBS providers.</w:t>
      </w:r>
      <w:r w:rsidR="00D414EE" w:rsidRPr="00BB229F">
        <w:rPr>
          <w:rStyle w:val="FootnoteReference"/>
        </w:rPr>
        <w:footnoteReference w:id="74"/>
      </w:r>
      <w:r w:rsidR="00D414EE" w:rsidRPr="00BB229F">
        <w:t xml:space="preserve">  </w:t>
      </w:r>
    </w:p>
    <w:p w:rsidR="005147A6" w:rsidRPr="00BB229F" w:rsidRDefault="00AC1AA8" w:rsidP="00AC1AA8">
      <w:pPr>
        <w:pStyle w:val="ParaNum"/>
      </w:pPr>
      <w:r w:rsidRPr="00BB229F">
        <w:t xml:space="preserve">As the Commission </w:t>
      </w:r>
      <w:r w:rsidR="005147A6" w:rsidRPr="00BB229F">
        <w:t>discussed</w:t>
      </w:r>
      <w:r w:rsidR="003D1BD5" w:rsidRPr="00BB229F">
        <w:t xml:space="preserve"> in the </w:t>
      </w:r>
      <w:r w:rsidR="003D1BD5" w:rsidRPr="00BB229F">
        <w:rPr>
          <w:i/>
        </w:rPr>
        <w:t>FY 2015 NPRM</w:t>
      </w:r>
      <w:r w:rsidR="005147A6" w:rsidRPr="00BB229F">
        <w:t xml:space="preserve">, </w:t>
      </w:r>
      <w:r w:rsidR="00432573" w:rsidRPr="00BB229F">
        <w:t xml:space="preserve">the </w:t>
      </w:r>
      <w:r w:rsidRPr="00BB229F">
        <w:t xml:space="preserve">DBS </w:t>
      </w:r>
      <w:r w:rsidR="00032676" w:rsidRPr="00BB229F">
        <w:t xml:space="preserve">providers were </w:t>
      </w:r>
      <w:r w:rsidR="00DA7F23" w:rsidRPr="00BB229F">
        <w:t xml:space="preserve">established as </w:t>
      </w:r>
      <w:r w:rsidRPr="00BB229F">
        <w:t>large MVPD</w:t>
      </w:r>
      <w:r w:rsidR="00032676" w:rsidRPr="00BB229F">
        <w:t>s</w:t>
      </w:r>
      <w:r w:rsidR="008D3452" w:rsidRPr="00BB229F">
        <w:t xml:space="preserve"> by 2015</w:t>
      </w:r>
      <w:r w:rsidRPr="00BB229F">
        <w:t xml:space="preserve"> and significant Media Bureau FTE resources were used in regulation and oversight of </w:t>
      </w:r>
      <w:r w:rsidR="00C837D7" w:rsidRPr="00BB229F">
        <w:t xml:space="preserve">all </w:t>
      </w:r>
      <w:r w:rsidR="00005122" w:rsidRPr="00BB229F">
        <w:t>MVPD</w:t>
      </w:r>
      <w:r w:rsidR="00032676" w:rsidRPr="00BB229F">
        <w:t>s, including DBS</w:t>
      </w:r>
      <w:r w:rsidRPr="00BB229F">
        <w:t>.</w:t>
      </w:r>
      <w:r w:rsidRPr="00BB229F">
        <w:rPr>
          <w:rStyle w:val="FootnoteReference"/>
        </w:rPr>
        <w:footnoteReference w:id="75"/>
      </w:r>
      <w:r w:rsidRPr="00BB229F">
        <w:t xml:space="preserve">  </w:t>
      </w:r>
      <w:r w:rsidR="002234BC" w:rsidRPr="00BB229F">
        <w:t>T</w:t>
      </w:r>
      <w:r w:rsidRPr="00BB229F">
        <w:t xml:space="preserve">he Commission concluded there was no reasonable basis to </w:t>
      </w:r>
      <w:r w:rsidR="004D07F9" w:rsidRPr="00BB229F">
        <w:t xml:space="preserve">continue to </w:t>
      </w:r>
      <w:r w:rsidRPr="00BB229F">
        <w:t>exclude DBS providers from sharing in the cost of MVPD oversight and regulation</w:t>
      </w:r>
      <w:r w:rsidR="00005122" w:rsidRPr="00BB229F">
        <w:t xml:space="preserve"> with cable television and IPTV</w:t>
      </w:r>
      <w:r w:rsidRPr="00BB229F">
        <w:t xml:space="preserve">.  </w:t>
      </w:r>
      <w:r w:rsidR="005147A6" w:rsidRPr="00BB229F">
        <w:t xml:space="preserve">In lieu of directly including DBS providers in the cable television/IPTV category at the same </w:t>
      </w:r>
      <w:r w:rsidR="00F00702" w:rsidRPr="00BB229F">
        <w:t xml:space="preserve">regulatory fee </w:t>
      </w:r>
      <w:r w:rsidR="005147A6" w:rsidRPr="00BB229F">
        <w:t>rate, t</w:t>
      </w:r>
      <w:r w:rsidR="004D07F9" w:rsidRPr="00BB229F">
        <w:t>he</w:t>
      </w:r>
      <w:r w:rsidRPr="00BB229F">
        <w:t xml:space="preserve"> Commission elected to phase in the </w:t>
      </w:r>
      <w:r w:rsidR="001F520C" w:rsidRPr="00BB229F">
        <w:t xml:space="preserve">new </w:t>
      </w:r>
      <w:r w:rsidR="00993B38" w:rsidRPr="00BB229F">
        <w:t>Media Bureau-</w:t>
      </w:r>
      <w:r w:rsidR="000763CF" w:rsidRPr="00BB229F">
        <w:t xml:space="preserve">based </w:t>
      </w:r>
      <w:r w:rsidRPr="00BB229F">
        <w:t xml:space="preserve">regulatory fee for DBS, </w:t>
      </w:r>
      <w:r w:rsidR="00005122" w:rsidRPr="00BB229F">
        <w:t>starting</w:t>
      </w:r>
      <w:r w:rsidR="004D07F9" w:rsidRPr="00BB229F">
        <w:t xml:space="preserve"> at 12 cents per subscriber</w:t>
      </w:r>
      <w:r w:rsidR="00F00702" w:rsidRPr="00BB229F">
        <w:t>, per year</w:t>
      </w:r>
      <w:r w:rsidR="004D07F9" w:rsidRPr="00BB229F">
        <w:t xml:space="preserve">.  Since then, the Commission has increased the </w:t>
      </w:r>
      <w:r w:rsidR="002234BC" w:rsidRPr="00BB229F">
        <w:t xml:space="preserve">DBS </w:t>
      </w:r>
      <w:r w:rsidR="004D07F9" w:rsidRPr="00BB229F">
        <w:t>regulatory fee each year, to bring it closer to</w:t>
      </w:r>
      <w:r w:rsidR="001A5556" w:rsidRPr="00BB229F">
        <w:t xml:space="preserve"> the per-subscriber rate paid by</w:t>
      </w:r>
      <w:r w:rsidR="004D07F9" w:rsidRPr="00BB229F">
        <w:t xml:space="preserve"> cable television and IPTV. </w:t>
      </w:r>
      <w:r w:rsidR="001F520C" w:rsidRPr="00BB229F">
        <w:t xml:space="preserve"> </w:t>
      </w:r>
      <w:r w:rsidR="00BA0899" w:rsidRPr="00BB229F">
        <w:t xml:space="preserve">In </w:t>
      </w:r>
      <w:r w:rsidR="004D07F9" w:rsidRPr="00BB229F">
        <w:t xml:space="preserve">the FY 2016 regulatory fee proceeding, the Commission </w:t>
      </w:r>
      <w:r w:rsidR="00DA7F23" w:rsidRPr="00BB229F">
        <w:t>increase</w:t>
      </w:r>
      <w:r w:rsidR="00DC0271" w:rsidRPr="00BB229F">
        <w:t>d</w:t>
      </w:r>
      <w:r w:rsidR="00DA7F23" w:rsidRPr="00BB229F">
        <w:t xml:space="preserve"> </w:t>
      </w:r>
      <w:r w:rsidR="004D07F9" w:rsidRPr="00BB229F">
        <w:t>the regulatory fee for DBS providers to 24 cents, plus an across-the-board increase of three cents for the Commission’s moving expenses, for a total of 27 cents per subscriber, per year.</w:t>
      </w:r>
      <w:r w:rsidR="004D07F9" w:rsidRPr="00BB229F">
        <w:rPr>
          <w:rStyle w:val="FootnoteReference"/>
        </w:rPr>
        <w:footnoteReference w:id="76"/>
      </w:r>
      <w:r w:rsidR="004D07F9" w:rsidRPr="00BB229F">
        <w:t xml:space="preserve">  In the </w:t>
      </w:r>
      <w:r w:rsidR="004D07F9" w:rsidRPr="00BB229F">
        <w:rPr>
          <w:i/>
        </w:rPr>
        <w:t>FY 2017 NPRM</w:t>
      </w:r>
      <w:r w:rsidR="004D07F9" w:rsidRPr="00BB229F">
        <w:t xml:space="preserve">, the Commission noted that the Media Bureau resources focused on </w:t>
      </w:r>
      <w:r w:rsidR="002234BC" w:rsidRPr="00BB229F">
        <w:t>MVPD proceedings (</w:t>
      </w:r>
      <w:r w:rsidR="004D07F9" w:rsidRPr="00BB229F">
        <w:t>including DBS</w:t>
      </w:r>
      <w:r w:rsidR="002234BC" w:rsidRPr="00BB229F">
        <w:t>)</w:t>
      </w:r>
      <w:r w:rsidR="004D07F9" w:rsidRPr="00BB229F">
        <w:t xml:space="preserve"> supported </w:t>
      </w:r>
      <w:r w:rsidR="002234BC" w:rsidRPr="00BB229F">
        <w:t xml:space="preserve">continuing to </w:t>
      </w:r>
      <w:r w:rsidR="004D07F9" w:rsidRPr="00BB229F">
        <w:t>bring the</w:t>
      </w:r>
      <w:r w:rsidR="002234BC" w:rsidRPr="00BB229F">
        <w:t xml:space="preserve"> DBS </w:t>
      </w:r>
      <w:r w:rsidR="004D07F9" w:rsidRPr="00BB229F">
        <w:t>rate closer to the cable television/IPTV</w:t>
      </w:r>
      <w:r w:rsidR="00AE312D" w:rsidRPr="00BB229F">
        <w:t xml:space="preserve"> per subscriber</w:t>
      </w:r>
      <w:r w:rsidR="004D07F9" w:rsidRPr="00BB229F">
        <w:t xml:space="preserve"> rate.</w:t>
      </w:r>
      <w:r w:rsidR="004D07F9" w:rsidRPr="00BB229F">
        <w:rPr>
          <w:rStyle w:val="FootnoteReference"/>
        </w:rPr>
        <w:footnoteReference w:id="77"/>
      </w:r>
      <w:r w:rsidR="004D07F9" w:rsidRPr="00BB229F">
        <w:t xml:space="preserve">  </w:t>
      </w:r>
      <w:r w:rsidR="00DA7F23" w:rsidRPr="00BB229F">
        <w:t>At that time</w:t>
      </w:r>
      <w:r w:rsidR="00DC0271" w:rsidRPr="00BB229F">
        <w:t>,</w:t>
      </w:r>
      <w:r w:rsidR="00DA7F23" w:rsidRPr="00BB229F">
        <w:t xml:space="preserve"> w</w:t>
      </w:r>
      <w:r w:rsidR="004D07F9" w:rsidRPr="00BB229F">
        <w:t>e proposed a regulatory fee rate of 36 cents per subscriber per year, plus two cents due to the increase in the Commission’s budget for moving expenses, for a total of 38 cents per subscriber per year for FY 2017.</w:t>
      </w:r>
      <w:r w:rsidR="004D07F9" w:rsidRPr="00BB229F">
        <w:rPr>
          <w:rStyle w:val="FootnoteReference"/>
        </w:rPr>
        <w:footnoteReference w:id="78"/>
      </w:r>
      <w:r w:rsidR="00005122" w:rsidRPr="00BB229F">
        <w:t xml:space="preserve"> </w:t>
      </w:r>
      <w:r w:rsidR="00DC0271" w:rsidRPr="00BB229F">
        <w:t xml:space="preserve"> </w:t>
      </w:r>
      <w:r w:rsidR="00615681" w:rsidRPr="00BB229F">
        <w:t xml:space="preserve">As we discuss below, we are adopting </w:t>
      </w:r>
      <w:r w:rsidR="00B62B9A" w:rsidRPr="00BB229F">
        <w:t xml:space="preserve">the proposed rate of 38 </w:t>
      </w:r>
      <w:r w:rsidR="00615681" w:rsidRPr="00BB229F">
        <w:t>cents per subscriber</w:t>
      </w:r>
      <w:r w:rsidR="00F00702" w:rsidRPr="00BB229F">
        <w:t>,</w:t>
      </w:r>
      <w:r w:rsidR="00615681" w:rsidRPr="00BB229F">
        <w:t xml:space="preserve"> per year</w:t>
      </w:r>
      <w:r w:rsidR="00615286" w:rsidRPr="00BB229F">
        <w:t xml:space="preserve"> in this Report and Order</w:t>
      </w:r>
      <w:r w:rsidR="00615681" w:rsidRPr="00BB229F">
        <w:t>, in our effort to bring the DBS rate</w:t>
      </w:r>
      <w:r w:rsidR="00342DCD" w:rsidRPr="00BB229F">
        <w:t xml:space="preserve"> closer </w:t>
      </w:r>
      <w:r w:rsidR="00615681" w:rsidRPr="00BB229F">
        <w:t xml:space="preserve">to the cable television/IPTV </w:t>
      </w:r>
      <w:r w:rsidR="00AE312D" w:rsidRPr="00BB229F">
        <w:t xml:space="preserve">per subscriber </w:t>
      </w:r>
      <w:r w:rsidR="00615681" w:rsidRPr="00BB229F">
        <w:t>rate.</w:t>
      </w:r>
    </w:p>
    <w:p w:rsidR="00964557" w:rsidRPr="00BB229F" w:rsidRDefault="007A7A99" w:rsidP="00683D33">
      <w:pPr>
        <w:pStyle w:val="ParaNum"/>
      </w:pPr>
      <w:r w:rsidRPr="00BB229F">
        <w:t>We agree with the commenters representing the cable television industry that the Media Bureau resources utilized by the DBS providers are similar to those used by the cable television and IPTV industry,</w:t>
      </w:r>
      <w:r w:rsidRPr="00BB229F">
        <w:rPr>
          <w:rStyle w:val="FootnoteReference"/>
        </w:rPr>
        <w:footnoteReference w:id="79"/>
      </w:r>
      <w:r w:rsidRPr="00BB229F">
        <w:t xml:space="preserve"> and for this reason we have been </w:t>
      </w:r>
      <w:r w:rsidR="006F6EA9" w:rsidRPr="00BB229F">
        <w:t xml:space="preserve">phasing in </w:t>
      </w:r>
      <w:r w:rsidRPr="00BB229F">
        <w:t>the regulatory fee for DBS providers each year.  Commenters representing the cable television industry observe that despite the Commission’s prior commitment to ensuring “an appropriate level of regulatory parity with cable television and IPTV” the proposed rate is far below the 96 cents proposed rate for cable television and IPTV.</w:t>
      </w:r>
      <w:r w:rsidRPr="00BB229F">
        <w:rPr>
          <w:rStyle w:val="FootnoteReference"/>
        </w:rPr>
        <w:footnoteReference w:id="80"/>
      </w:r>
      <w:r w:rsidRPr="00BB229F">
        <w:t xml:space="preserve">  These commenters argue that there is no justification for this disparity, due to the fact that DBS operators impose regulatory costs and receive benefits from the Media Bureau that affect all MVPDs;</w:t>
      </w:r>
      <w:r w:rsidRPr="00BB229F">
        <w:rPr>
          <w:rStyle w:val="FootnoteReference"/>
        </w:rPr>
        <w:footnoteReference w:id="81"/>
      </w:r>
      <w:r w:rsidRPr="00BB229F">
        <w:t xml:space="preserve"> </w:t>
      </w:r>
      <w:r w:rsidR="00FB5C83" w:rsidRPr="00BB229F">
        <w:t xml:space="preserve">that </w:t>
      </w:r>
      <w:r w:rsidRPr="00BB229F">
        <w:t>the proposed fees impose competitive and technological disparities, favoring DBS over cable television and IPTV;</w:t>
      </w:r>
      <w:r w:rsidRPr="00BB229F">
        <w:rPr>
          <w:rStyle w:val="FootnoteReference"/>
        </w:rPr>
        <w:footnoteReference w:id="82"/>
      </w:r>
      <w:r w:rsidRPr="00BB229F">
        <w:t xml:space="preserve"> and that there is no evidence in the record to support the disparity in fees.</w:t>
      </w:r>
      <w:r w:rsidRPr="00BB229F">
        <w:rPr>
          <w:rStyle w:val="FootnoteReference"/>
        </w:rPr>
        <w:footnoteReference w:id="83"/>
      </w:r>
      <w:r w:rsidR="00964557" w:rsidRPr="00BB229F">
        <w:t xml:space="preserve">  </w:t>
      </w:r>
      <w:r w:rsidR="00BB229F" w:rsidRPr="00EF5D9E">
        <w:t>The Media Bureau FTEs regulate the DBS industry together with the other MVPDs</w:t>
      </w:r>
      <w:r w:rsidR="00BB229F">
        <w:t xml:space="preserve"> and the burden that DBS imposes on Media Bureau FTEs is roughly the same.  For example, since October 1, 2016, the Media Bureau has opened 17 proceedings that affect MVPDs; seven of those proceedings are focused on cable operators, six are focused on DBS, and four cover all MVPDs (with three of those also covering other media services like broadcasters). </w:t>
      </w:r>
      <w:r w:rsidR="00BB229F" w:rsidRPr="00EF5D9E">
        <w:t xml:space="preserve"> Thus, </w:t>
      </w:r>
      <w:r w:rsidR="00BB229F">
        <w:t>these regulatees—MVPDs—are</w:t>
      </w:r>
      <w:r w:rsidR="00BB229F" w:rsidRPr="00EF5D9E">
        <w:t xml:space="preserve"> a group that includes DBS. </w:t>
      </w:r>
      <w:r w:rsidR="00BB229F">
        <w:t xml:space="preserve"> </w:t>
      </w:r>
      <w:r w:rsidR="007919D8" w:rsidRPr="00BB229F">
        <w:t>I</w:t>
      </w:r>
      <w:r w:rsidR="00DC0271" w:rsidRPr="00BB229F">
        <w:t xml:space="preserve">n order to continue to </w:t>
      </w:r>
      <w:r w:rsidR="00C160C3" w:rsidRPr="00BB229F">
        <w:t xml:space="preserve">bring </w:t>
      </w:r>
      <w:r w:rsidR="00DC0271" w:rsidRPr="00BB229F">
        <w:t xml:space="preserve">the DBS fee  closer to the cable television/IPTV fee, we are adopting </w:t>
      </w:r>
      <w:r w:rsidR="00BB7E77" w:rsidRPr="00BB229F">
        <w:t xml:space="preserve">the proposed rate of 38 </w:t>
      </w:r>
      <w:r w:rsidR="00DC0271" w:rsidRPr="00BB229F">
        <w:t xml:space="preserve">cents per subscriber, which </w:t>
      </w:r>
      <w:r w:rsidR="00FC23E5" w:rsidRPr="00BB229F">
        <w:t xml:space="preserve">still </w:t>
      </w:r>
      <w:r w:rsidR="00AB5AF0" w:rsidRPr="00BB229F">
        <w:t xml:space="preserve">remains </w:t>
      </w:r>
      <w:r w:rsidR="00DC0271" w:rsidRPr="00BB229F">
        <w:t>substantially below the cable television/IPTV fee</w:t>
      </w:r>
      <w:r w:rsidR="005147A6" w:rsidRPr="00BB229F">
        <w:t xml:space="preserve"> we adopt today</w:t>
      </w:r>
      <w:r w:rsidR="00DC0271" w:rsidRPr="00BB229F">
        <w:t>.</w:t>
      </w:r>
      <w:r w:rsidR="00812FCA" w:rsidRPr="00BB229F">
        <w:t xml:space="preserve">  </w:t>
      </w:r>
    </w:p>
    <w:p w:rsidR="00A778B7" w:rsidRPr="00BB229F" w:rsidRDefault="00812FCA" w:rsidP="00683D33">
      <w:pPr>
        <w:pStyle w:val="ParaNum"/>
      </w:pPr>
      <w:r w:rsidRPr="00BB229F">
        <w:t>We reject the argument raised by DISH and AT&amp;T, the two DBS providers, who contend that a fee increase would “harm DBS customers.”</w:t>
      </w:r>
      <w:r w:rsidRPr="00BB229F">
        <w:rPr>
          <w:rStyle w:val="FootnoteReference"/>
        </w:rPr>
        <w:footnoteReference w:id="84"/>
      </w:r>
      <w:r w:rsidR="00101415" w:rsidRPr="00BB229F">
        <w:t xml:space="preserve">  We do not accept the DISH and AT&amp;T unsupported contention that a regulatory fee increase of several cents per subscriber</w:t>
      </w:r>
      <w:r w:rsidR="00D15B17" w:rsidRPr="00BB229F">
        <w:t>,</w:t>
      </w:r>
      <w:r w:rsidR="00101415" w:rsidRPr="00BB229F">
        <w:t xml:space="preserve"> per month would “harm” their customers</w:t>
      </w:r>
      <w:r w:rsidR="00532F2D" w:rsidRPr="00BB229F">
        <w:t xml:space="preserve">, as such an increase is a negligible </w:t>
      </w:r>
      <w:r w:rsidR="008C4EB7" w:rsidRPr="00BB229F">
        <w:t>fraction</w:t>
      </w:r>
      <w:r w:rsidR="00532F2D" w:rsidRPr="00BB229F">
        <w:t xml:space="preserve"> of a monthly bill</w:t>
      </w:r>
      <w:r w:rsidR="00101415" w:rsidRPr="00BB229F">
        <w:t>.</w:t>
      </w:r>
      <w:r w:rsidR="002769AA" w:rsidRPr="00BB229F">
        <w:rPr>
          <w:rStyle w:val="FootnoteReference"/>
        </w:rPr>
        <w:footnoteReference w:id="85"/>
      </w:r>
      <w:r w:rsidR="00101415" w:rsidRPr="00BB229F">
        <w:t xml:space="preserve">  </w:t>
      </w:r>
    </w:p>
    <w:p w:rsidR="00AC4C0C" w:rsidRPr="00BB229F" w:rsidRDefault="008475A3" w:rsidP="00683D33">
      <w:pPr>
        <w:pStyle w:val="ParaNum"/>
      </w:pPr>
      <w:r w:rsidRPr="00BB229F">
        <w:t>AT&amp;T and DISH also argue that several recent proceedings involving MVPDs do not justify an increase in regulatory fees.</w:t>
      </w:r>
      <w:r w:rsidRPr="00BB229F">
        <w:rPr>
          <w:rStyle w:val="FootnoteReference"/>
        </w:rPr>
        <w:footnoteReference w:id="86"/>
      </w:r>
      <w:r w:rsidRPr="00BB229F">
        <w:t xml:space="preserve">  </w:t>
      </w:r>
      <w:r w:rsidR="00220250" w:rsidRPr="00BB229F">
        <w:t xml:space="preserve">We disagree.  The examples of recent proceedings involving MVPDs illustrate that Media Bureau FTEs work on significant MVPD issues that include DBS.  </w:t>
      </w:r>
      <w:r w:rsidR="00A93A42" w:rsidRPr="00BB229F">
        <w:t xml:space="preserve">DBS, </w:t>
      </w:r>
      <w:r w:rsidR="00220250" w:rsidRPr="00BB229F">
        <w:t>cable television</w:t>
      </w:r>
      <w:r w:rsidR="00A93A42" w:rsidRPr="00BB229F">
        <w:t>, and IPTV</w:t>
      </w:r>
      <w:r w:rsidR="00220250" w:rsidRPr="00BB229F">
        <w:t xml:space="preserve"> all receive oversight and regulation as a result of the work of Media Bureau FTEs on MVPD issues.  </w:t>
      </w:r>
      <w:r w:rsidRPr="00BB229F">
        <w:t xml:space="preserve">This regulatory fee is not based on </w:t>
      </w:r>
      <w:r w:rsidR="00B74DB3" w:rsidRPr="00BB229F">
        <w:t>specific recent</w:t>
      </w:r>
      <w:r w:rsidRPr="00BB229F">
        <w:t xml:space="preserve"> proceedings, </w:t>
      </w:r>
      <w:r w:rsidR="00503800" w:rsidRPr="00BB229F">
        <w:t xml:space="preserve">but that </w:t>
      </w:r>
      <w:r w:rsidRPr="00BB229F">
        <w:t>a significant number of Media Bureau FTEs work on MVPD issues that include DBS.</w:t>
      </w:r>
      <w:r w:rsidRPr="00BB229F">
        <w:rPr>
          <w:rStyle w:val="FootnoteReference"/>
        </w:rPr>
        <w:footnoteReference w:id="87"/>
      </w:r>
      <w:r w:rsidRPr="00BB229F">
        <w:t xml:space="preserve">  We listed </w:t>
      </w:r>
      <w:r w:rsidR="00E93446" w:rsidRPr="00BB229F">
        <w:t xml:space="preserve">examples of </w:t>
      </w:r>
      <w:r w:rsidRPr="00BB229F">
        <w:t>several recent proceedings to illustrate that the Media Bureau is involved in numerous</w:t>
      </w:r>
      <w:r w:rsidR="00503800" w:rsidRPr="00BB229F">
        <w:t xml:space="preserve"> MVPD</w:t>
      </w:r>
      <w:r w:rsidRPr="00BB229F">
        <w:t xml:space="preserve"> issues</w:t>
      </w:r>
      <w:r w:rsidR="00503800" w:rsidRPr="00BB229F">
        <w:t>.</w:t>
      </w:r>
      <w:r w:rsidR="00E93446" w:rsidRPr="00BB229F">
        <w:rPr>
          <w:rStyle w:val="FootnoteReference"/>
        </w:rPr>
        <w:footnoteReference w:id="88"/>
      </w:r>
      <w:r w:rsidR="00503800" w:rsidRPr="00BB229F">
        <w:t xml:space="preserve">  </w:t>
      </w:r>
      <w:r w:rsidR="00D63BEE" w:rsidRPr="00BB229F">
        <w:t xml:space="preserve">The fee increase we adopt today is not based on particular Media Bureau proceedings, but </w:t>
      </w:r>
      <w:r w:rsidR="00B74DB3" w:rsidRPr="00BB229F">
        <w:t xml:space="preserve">is </w:t>
      </w:r>
      <w:r w:rsidR="00D63BEE" w:rsidRPr="00BB229F">
        <w:t xml:space="preserve">an effort to bring the regulatory fee closer to the cable television/IPTV </w:t>
      </w:r>
      <w:r w:rsidR="005506C5" w:rsidRPr="00BB229F">
        <w:t xml:space="preserve">per subscriber </w:t>
      </w:r>
      <w:r w:rsidR="00D63BEE" w:rsidRPr="00BB229F">
        <w:t xml:space="preserve">fee.  </w:t>
      </w:r>
    </w:p>
    <w:p w:rsidR="003E20D5" w:rsidRPr="00BB229F" w:rsidRDefault="00503800" w:rsidP="00683D33">
      <w:pPr>
        <w:pStyle w:val="ParaNum"/>
      </w:pPr>
      <w:r w:rsidRPr="00BB229F">
        <w:t>AT&amp;T and DISH contend that there is no evidence that DBS providers “usurped the work o</w:t>
      </w:r>
      <w:r w:rsidR="00AC4C0C" w:rsidRPr="00BB229F">
        <w:t>f</w:t>
      </w:r>
      <w:r w:rsidRPr="00BB229F">
        <w:t xml:space="preserve"> such a significant amount of Media Bureau FTEs sufficient to justify this increase</w:t>
      </w:r>
      <w:r w:rsidR="00744BCB" w:rsidRPr="00BB229F">
        <w:t>.</w:t>
      </w:r>
      <w:r w:rsidRPr="00BB229F">
        <w:t>”</w:t>
      </w:r>
      <w:r w:rsidRPr="00BB229F">
        <w:rPr>
          <w:rStyle w:val="FootnoteReference"/>
        </w:rPr>
        <w:footnoteReference w:id="89"/>
      </w:r>
      <w:r w:rsidRPr="00BB229F">
        <w:t xml:space="preserve">  </w:t>
      </w:r>
      <w:r w:rsidR="00220250" w:rsidRPr="00BB229F">
        <w:t>The DBS commenters are misunderstanding the basis for including DBS in the cable television/IPTV regulatory fee.</w:t>
      </w:r>
      <w:r w:rsidR="00162F5D" w:rsidRPr="00BB229F">
        <w:rPr>
          <w:rStyle w:val="FootnoteReference"/>
        </w:rPr>
        <w:footnoteReference w:id="90"/>
      </w:r>
      <w:r w:rsidR="00220250" w:rsidRPr="00BB229F">
        <w:t xml:space="preserve">  The Commission has never said that the DBS industry “usurped the work” of the Media Bureau staff.  The regulatory fee is based on the fact that Media Bureau staff work on significant issues involving MVPDs, including DBS. </w:t>
      </w:r>
      <w:r w:rsidRPr="00BB229F">
        <w:t xml:space="preserve"> The</w:t>
      </w:r>
      <w:r w:rsidR="0042601C" w:rsidRPr="00BB229F">
        <w:t xml:space="preserve"> </w:t>
      </w:r>
      <w:r w:rsidR="00812FCA" w:rsidRPr="00BB229F">
        <w:t xml:space="preserve">DBS </w:t>
      </w:r>
      <w:r w:rsidR="0042601C" w:rsidRPr="00BB229F">
        <w:t>regulatory fee is based on the Media Bureau</w:t>
      </w:r>
      <w:r w:rsidR="005A1457" w:rsidRPr="00BB229F">
        <w:t>’s</w:t>
      </w:r>
      <w:r w:rsidR="0042601C" w:rsidRPr="00BB229F">
        <w:t xml:space="preserve"> regulation and oversight of the MVPD industry (including DBS)</w:t>
      </w:r>
      <w:r w:rsidRPr="00BB229F">
        <w:t xml:space="preserve">, not on a particular number of FTEs </w:t>
      </w:r>
      <w:r w:rsidR="001130EF" w:rsidRPr="00BB229F">
        <w:t xml:space="preserve">focused </w:t>
      </w:r>
      <w:r w:rsidR="00CB11C3" w:rsidRPr="00BB229F">
        <w:t xml:space="preserve">solely </w:t>
      </w:r>
      <w:r w:rsidR="001130EF" w:rsidRPr="00BB229F">
        <w:t xml:space="preserve">on </w:t>
      </w:r>
      <w:r w:rsidRPr="00BB229F">
        <w:t xml:space="preserve">DBS. </w:t>
      </w:r>
      <w:r w:rsidR="00213FDC" w:rsidRPr="00BB229F">
        <w:t xml:space="preserve"> </w:t>
      </w:r>
      <w:r w:rsidR="006C5BF1" w:rsidRPr="00BB229F">
        <w:t>The Commission has specifically rejected the argument that section 9 of the Act requires us to “show that DBS and cable occupy a comparable number of FTEs.”</w:t>
      </w:r>
      <w:r w:rsidR="006C5BF1" w:rsidRPr="00BB229F">
        <w:rPr>
          <w:rStyle w:val="FootnoteReference"/>
        </w:rPr>
        <w:footnoteReference w:id="91"/>
      </w:r>
      <w:r w:rsidR="006C5BF1" w:rsidRPr="00BB229F">
        <w:t xml:space="preserve"> </w:t>
      </w:r>
      <w:r w:rsidRPr="00BB229F">
        <w:t xml:space="preserve"> </w:t>
      </w:r>
    </w:p>
    <w:p w:rsidR="00AC1AA8" w:rsidRPr="00BB229F" w:rsidRDefault="006C5BF1" w:rsidP="00683D33">
      <w:pPr>
        <w:pStyle w:val="ParaNum"/>
        <w:rPr>
          <w:rStyle w:val="FootnoteReference"/>
          <w:sz w:val="22"/>
          <w:vertAlign w:val="baseline"/>
        </w:rPr>
      </w:pPr>
      <w:r w:rsidRPr="00BB229F">
        <w:t>Finally, AT&amp;T and DISH contend that there is no legal basis to charge DBS providers the same regulatory fees as cable television and IPTV operators.</w:t>
      </w:r>
      <w:r w:rsidRPr="00BB229F">
        <w:rPr>
          <w:rStyle w:val="FootnoteReference"/>
        </w:rPr>
        <w:footnoteReference w:id="92"/>
      </w:r>
      <w:r w:rsidRPr="00BB229F">
        <w:t xml:space="preserve">  We disagree.  </w:t>
      </w:r>
      <w:r w:rsidR="001130EF" w:rsidRPr="00BB229F">
        <w:t xml:space="preserve">We recognize that DBS is not identical to cable television and IPTV.  </w:t>
      </w:r>
      <w:r w:rsidRPr="00BB229F">
        <w:t>S</w:t>
      </w:r>
      <w:r w:rsidR="00AC1AA8" w:rsidRPr="00BB229F">
        <w:t>ervices that are not technologically identical nevertheless warrant placement in the same regulatory fee category, e.g., ITSP includes a range of carriers that may not be regulated identically</w:t>
      </w:r>
      <w:r w:rsidR="00213FDC" w:rsidRPr="00BB229F">
        <w:t xml:space="preserve"> but must pay fees on the same basis</w:t>
      </w:r>
      <w:r w:rsidR="00AC1AA8" w:rsidRPr="00BB229F">
        <w:t>.</w:t>
      </w:r>
      <w:r w:rsidR="00AC1AA8" w:rsidRPr="00BB229F">
        <w:rPr>
          <w:rStyle w:val="FootnoteReference"/>
        </w:rPr>
        <w:footnoteReference w:id="93"/>
      </w:r>
      <w:r w:rsidR="00AC1AA8" w:rsidRPr="00BB229F">
        <w:t xml:space="preserve">  When interconnected Voice over Internet Protocol (VoIP) providers were added to the ITSP category in a permitted amendment the Commission observed that “the costs and benefits associated with our regulation of interconnected VoIP providers are not identical as those associated with regulating interstate telecommunications service and CMRS.”</w:t>
      </w:r>
      <w:r w:rsidR="00AC1AA8" w:rsidRPr="00BB229F">
        <w:rPr>
          <w:rStyle w:val="FootnoteReference"/>
        </w:rPr>
        <w:footnoteReference w:id="94"/>
      </w:r>
      <w:r w:rsidR="00AC1AA8" w:rsidRPr="00BB229F">
        <w:t xml:space="preserve">  </w:t>
      </w:r>
      <w:r w:rsidR="00213FDC" w:rsidRPr="00BB229F">
        <w:t>Indeed, IPTV is not regulated in all the same ways as cable television, and yet the Commission requires them to pay fees on the same basis.</w:t>
      </w:r>
      <w:r w:rsidR="009F7AC1" w:rsidRPr="00BB229F">
        <w:rPr>
          <w:rStyle w:val="FootnoteReference"/>
        </w:rPr>
        <w:footnoteReference w:id="95"/>
      </w:r>
      <w:r w:rsidR="00213FDC" w:rsidRPr="00BB229F">
        <w:t xml:space="preserve">  </w:t>
      </w:r>
      <w:r w:rsidR="00BB229F" w:rsidRPr="00EF5D9E">
        <w:t>We recognize that DBS is not identical to cable, but the Media Bureau FTEs work on MVPD issues that include DBS.</w:t>
      </w:r>
      <w:r w:rsidR="00BB229F">
        <w:t xml:space="preserve"> </w:t>
      </w:r>
      <w:r w:rsidR="00BB229F" w:rsidRPr="00EF5D9E">
        <w:t xml:space="preserve"> Although </w:t>
      </w:r>
      <w:r w:rsidR="00AC1AA8" w:rsidRPr="00BB229F">
        <w:t>DBS is not identical to cable television and IPTV, the services all receive oversight and regulation as a result of the work of Media Bureau FTEs on MVPD issues</w:t>
      </w:r>
      <w:r w:rsidR="00FB5C83" w:rsidRPr="00BB229F">
        <w:t>,</w:t>
      </w:r>
      <w:r w:rsidR="006048E7" w:rsidRPr="00BB229F">
        <w:t xml:space="preserve"> and t</w:t>
      </w:r>
      <w:r w:rsidR="00AC1AA8" w:rsidRPr="00BB229F">
        <w:t>he burden imposed on the Commission is similar.</w:t>
      </w:r>
      <w:r w:rsidR="00AC1AA8" w:rsidRPr="00BB229F">
        <w:rPr>
          <w:rStyle w:val="FootnoteReference"/>
        </w:rPr>
        <w:t xml:space="preserve">  </w:t>
      </w:r>
    </w:p>
    <w:p w:rsidR="00A60E52" w:rsidRPr="00BB229F" w:rsidRDefault="005E0D8F" w:rsidP="007E6CF4">
      <w:pPr>
        <w:pStyle w:val="ParaNum"/>
      </w:pPr>
      <w:r w:rsidRPr="00BB229F">
        <w:t>A</w:t>
      </w:r>
      <w:r w:rsidR="00337B4F" w:rsidRPr="00BB229F">
        <w:t xml:space="preserve">fter considering the comments filed in this proceeding, </w:t>
      </w:r>
      <w:r w:rsidR="002241B4" w:rsidRPr="00BB229F">
        <w:t xml:space="preserve">we </w:t>
      </w:r>
      <w:r w:rsidR="00337B4F" w:rsidRPr="00BB229F">
        <w:t xml:space="preserve">conclude that </w:t>
      </w:r>
      <w:r w:rsidR="00744096" w:rsidRPr="00BB229F">
        <w:t>moving the DBS rate is supported by the data and analysis</w:t>
      </w:r>
      <w:r w:rsidR="00322770" w:rsidRPr="00BB229F">
        <w:t xml:space="preserve">, and therefore adopt a regulatory fee rate of </w:t>
      </w:r>
      <w:r w:rsidR="00DB171C" w:rsidRPr="00BB229F">
        <w:t>38</w:t>
      </w:r>
      <w:r w:rsidR="00322770" w:rsidRPr="00BB229F">
        <w:t xml:space="preserve"> cents</w:t>
      </w:r>
      <w:r w:rsidR="00FB5C83" w:rsidRPr="00BB229F">
        <w:t>,</w:t>
      </w:r>
      <w:r w:rsidR="00322770" w:rsidRPr="00BB229F">
        <w:t xml:space="preserve"> per subscriber</w:t>
      </w:r>
      <w:r w:rsidR="00BE63B7" w:rsidRPr="00BB229F">
        <w:t>,</w:t>
      </w:r>
      <w:r w:rsidR="002241B4" w:rsidRPr="00BB229F">
        <w:t xml:space="preserve"> per year</w:t>
      </w:r>
      <w:r w:rsidR="00BE63B7" w:rsidRPr="00BB229F">
        <w:t xml:space="preserve"> </w:t>
      </w:r>
      <w:r w:rsidR="002662A6" w:rsidRPr="00BB229F">
        <w:t>for FY 2017</w:t>
      </w:r>
      <w:r w:rsidR="00322770" w:rsidRPr="00BB229F">
        <w:t>.</w:t>
      </w:r>
    </w:p>
    <w:p w:rsidR="007E6CF4" w:rsidRPr="00BB229F" w:rsidRDefault="00B30932" w:rsidP="00BA45AA">
      <w:pPr>
        <w:pStyle w:val="Heading2"/>
      </w:pPr>
      <w:bookmarkStart w:id="16" w:name="_Toc491865028"/>
      <w:bookmarkStart w:id="17" w:name="_Toc491865443"/>
      <w:r w:rsidRPr="00BB229F">
        <w:t xml:space="preserve">Radio </w:t>
      </w:r>
      <w:r w:rsidR="007E6CF4" w:rsidRPr="00BB229F">
        <w:t>Broadcaster Regulatory Fees</w:t>
      </w:r>
      <w:bookmarkEnd w:id="16"/>
      <w:bookmarkEnd w:id="17"/>
    </w:p>
    <w:p w:rsidR="005B0BD8" w:rsidRPr="00BB229F" w:rsidRDefault="005B0BD8" w:rsidP="005B0BD8">
      <w:pPr>
        <w:pStyle w:val="ParaNum"/>
      </w:pPr>
      <w:r w:rsidRPr="00BB229F">
        <w:t xml:space="preserve">In the </w:t>
      </w:r>
      <w:r w:rsidRPr="00BB229F">
        <w:rPr>
          <w:i/>
        </w:rPr>
        <w:t>FY 2017 NPRM</w:t>
      </w:r>
      <w:r w:rsidRPr="00BB229F">
        <w:t>, the Commission proposed to revise the table for AM and FM broadcasters.</w:t>
      </w:r>
      <w:r w:rsidR="00891346" w:rsidRPr="00BB229F">
        <w:rPr>
          <w:rStyle w:val="FootnoteReference"/>
        </w:rPr>
        <w:footnoteReference w:id="96"/>
      </w:r>
      <w:r w:rsidRPr="00BB229F">
        <w:t xml:space="preserve">  The proposed table had revised ratios so that the difference between each tier would be proportional.  We also sought comment on whether the regulatory fees should be reduced further for the AM and FM broadcasters in the two lowest tiers.  </w:t>
      </w:r>
    </w:p>
    <w:p w:rsidR="00B051D7" w:rsidRPr="00BB229F" w:rsidRDefault="008B6DEB" w:rsidP="00B051D7">
      <w:pPr>
        <w:pStyle w:val="ParaNum"/>
      </w:pPr>
      <w:r w:rsidRPr="00BB229F">
        <w:t xml:space="preserve">We received two comments on this issue.  </w:t>
      </w:r>
      <w:r w:rsidR="0088799B" w:rsidRPr="00BB229F">
        <w:t>CRC</w:t>
      </w:r>
      <w:r w:rsidR="005F4597" w:rsidRPr="00BB229F">
        <w:t>, an AM station licensee,</w:t>
      </w:r>
      <w:r w:rsidR="0088799B" w:rsidRPr="00BB229F">
        <w:t xml:space="preserve"> </w:t>
      </w:r>
      <w:r w:rsidR="00347FAD" w:rsidRPr="00BB229F">
        <w:t xml:space="preserve">contends that </w:t>
      </w:r>
      <w:r w:rsidR="005F4597" w:rsidRPr="00BB229F">
        <w:t>the proposed fees for AM stations are too high.</w:t>
      </w:r>
      <w:r w:rsidR="005F4597" w:rsidRPr="00BB229F">
        <w:rPr>
          <w:rStyle w:val="FootnoteReference"/>
        </w:rPr>
        <w:footnoteReference w:id="97"/>
      </w:r>
      <w:r w:rsidR="005F4597" w:rsidRPr="00BB229F">
        <w:t xml:space="preserve">  CRC observes that small AM stations must compete against FM stations and other media and they generate significantly less revenue than FM sta</w:t>
      </w:r>
      <w:r w:rsidR="006D230E" w:rsidRPr="00BB229F">
        <w:t>t</w:t>
      </w:r>
      <w:r w:rsidR="005F4597" w:rsidRPr="00BB229F">
        <w:t>ions.</w:t>
      </w:r>
      <w:r w:rsidR="002115C1" w:rsidRPr="00BB229F">
        <w:rPr>
          <w:rStyle w:val="FootnoteReference"/>
        </w:rPr>
        <w:footnoteReference w:id="98"/>
      </w:r>
      <w:r w:rsidR="002115C1" w:rsidRPr="00BB229F">
        <w:t xml:space="preserve">  CRC argues that the economic disparities between AM and FM facilities should be reflected in the regulatory fee schedules, particularly in the top tiers where the disparity in revenues is much greater than in the smaller markets.</w:t>
      </w:r>
      <w:r w:rsidR="002115C1" w:rsidRPr="00BB229F">
        <w:rPr>
          <w:rStyle w:val="FootnoteReference"/>
        </w:rPr>
        <w:t xml:space="preserve"> </w:t>
      </w:r>
      <w:r w:rsidR="002115C1" w:rsidRPr="00BB229F">
        <w:rPr>
          <w:rStyle w:val="FootnoteReference"/>
        </w:rPr>
        <w:footnoteReference w:id="99"/>
      </w:r>
      <w:r w:rsidR="00BA5747" w:rsidRPr="00BB229F">
        <w:t xml:space="preserve">  Arso contends that the </w:t>
      </w:r>
      <w:r w:rsidR="00BA5747" w:rsidRPr="00BB229F">
        <w:rPr>
          <w:i/>
        </w:rPr>
        <w:t>FY 2017 NPRM</w:t>
      </w:r>
      <w:r w:rsidR="00BA5747" w:rsidRPr="00BB229F">
        <w:t xml:space="preserve"> does not go far enough in alleviating the hardship imposed on small broadcasters and urges the Commission to adopt a fast track waiver process for stations in economically depressed areas, such as Puerto Rico.</w:t>
      </w:r>
      <w:r w:rsidR="00BA5747" w:rsidRPr="00BB229F">
        <w:rPr>
          <w:rStyle w:val="FootnoteReference"/>
        </w:rPr>
        <w:footnoteReference w:id="100"/>
      </w:r>
    </w:p>
    <w:p w:rsidR="00A46004" w:rsidRPr="00BB229F" w:rsidRDefault="00E00103" w:rsidP="00F72A50">
      <w:pPr>
        <w:pStyle w:val="ParaNum"/>
      </w:pPr>
      <w:r w:rsidRPr="00BB229F">
        <w:t xml:space="preserve">We agree with the commenters that </w:t>
      </w:r>
      <w:r w:rsidR="009A1296" w:rsidRPr="00BB229F">
        <w:t xml:space="preserve">small independent broadcasters face hardship today.  </w:t>
      </w:r>
      <w:r w:rsidR="00ED3658" w:rsidRPr="00BB229F">
        <w:t xml:space="preserve">As the Commission explained </w:t>
      </w:r>
      <w:r w:rsidR="003B42CA" w:rsidRPr="00BB229F">
        <w:t xml:space="preserve">in the </w:t>
      </w:r>
      <w:r w:rsidR="003B42CA" w:rsidRPr="00BB229F">
        <w:rPr>
          <w:i/>
        </w:rPr>
        <w:t>FY 2016 Report and Order</w:t>
      </w:r>
      <w:r w:rsidR="00ED3658" w:rsidRPr="00BB229F">
        <w:t xml:space="preserve">, </w:t>
      </w:r>
      <w:r w:rsidR="00E4682B" w:rsidRPr="00BB229F">
        <w:t>“[e]xtending some relief to these small radio broadcasters may facilitate their continued ability to stay in business and serve their small and rural communities.”</w:t>
      </w:r>
      <w:r w:rsidR="00E4682B" w:rsidRPr="00BB229F">
        <w:rPr>
          <w:rStyle w:val="FootnoteReference"/>
        </w:rPr>
        <w:footnoteReference w:id="101"/>
      </w:r>
      <w:r w:rsidR="007C3504" w:rsidRPr="00BB229F">
        <w:t xml:space="preserve">  After reviewing the record, and due to the economic hardship faced by many small rural independent radio stations, we are adopting a revised version of the proposed table in the </w:t>
      </w:r>
      <w:r w:rsidR="007C3504" w:rsidRPr="00BB229F">
        <w:rPr>
          <w:i/>
        </w:rPr>
        <w:t>FY 2017 NPRM</w:t>
      </w:r>
      <w:r w:rsidR="007C3504" w:rsidRPr="00BB229F">
        <w:t xml:space="preserve"> and reducing the regulatory fees in the two lowest population tiers for AM and FM broadcasters from the amounts proposed.  </w:t>
      </w:r>
      <w:r w:rsidR="003834D3" w:rsidRPr="00BB229F">
        <w:t xml:space="preserve">In FY 2018, we will again review the status of these small radio broadcast stations to see if further relief is warranted.  </w:t>
      </w:r>
      <w:r w:rsidR="007C3504" w:rsidRPr="00BB229F">
        <w:t>Below is the table we adopt today</w:t>
      </w:r>
      <w:r w:rsidR="00B57DCA" w:rsidRPr="00BB229F">
        <w:t>:</w:t>
      </w:r>
    </w:p>
    <w:p w:rsidR="002F56D9" w:rsidRPr="00BB229F" w:rsidRDefault="002F56D9" w:rsidP="002F56D9">
      <w:pPr>
        <w:pStyle w:val="ParaNum"/>
        <w:numPr>
          <w:ilvl w:val="0"/>
          <w:numId w:val="0"/>
        </w:numPr>
        <w:ind w:left="720"/>
      </w:pPr>
    </w:p>
    <w:tbl>
      <w:tblPr>
        <w:tblW w:w="8550" w:type="dxa"/>
        <w:tblInd w:w="152" w:type="dxa"/>
        <w:tblCellMar>
          <w:left w:w="0" w:type="dxa"/>
          <w:right w:w="0" w:type="dxa"/>
        </w:tblCellMar>
        <w:tblLook w:val="04A0" w:firstRow="1" w:lastRow="0" w:firstColumn="1" w:lastColumn="0" w:noHBand="0" w:noVBand="1"/>
      </w:tblPr>
      <w:tblGrid>
        <w:gridCol w:w="1890"/>
        <w:gridCol w:w="1080"/>
        <w:gridCol w:w="990"/>
        <w:gridCol w:w="900"/>
        <w:gridCol w:w="900"/>
        <w:gridCol w:w="1440"/>
        <w:gridCol w:w="1350"/>
      </w:tblGrid>
      <w:tr w:rsidR="00BB229F" w:rsidRPr="00BB229F" w:rsidTr="00E00103">
        <w:tc>
          <w:tcPr>
            <w:tcW w:w="8550" w:type="dxa"/>
            <w:gridSpan w:val="7"/>
            <w:tcBorders>
              <w:top w:val="double" w:sz="6" w:space="0" w:color="auto"/>
              <w:left w:val="double" w:sz="6" w:space="0" w:color="auto"/>
              <w:bottom w:val="nil"/>
              <w:right w:val="double" w:sz="6" w:space="0" w:color="auto"/>
            </w:tcBorders>
            <w:tcMar>
              <w:top w:w="0" w:type="dxa"/>
              <w:left w:w="62" w:type="dxa"/>
              <w:bottom w:w="0" w:type="dxa"/>
              <w:right w:w="62" w:type="dxa"/>
            </w:tcMar>
            <w:hideMark/>
          </w:tcPr>
          <w:p w:rsidR="00E00103" w:rsidRPr="00BB229F" w:rsidRDefault="00E00103" w:rsidP="00E970B0">
            <w:pPr>
              <w:spacing w:before="42" w:after="104"/>
              <w:jc w:val="center"/>
              <w:rPr>
                <w:b/>
                <w:bCs/>
                <w:sz w:val="20"/>
              </w:rPr>
            </w:pPr>
            <w:r w:rsidRPr="00BB229F">
              <w:rPr>
                <w:b/>
                <w:bCs/>
                <w:sz w:val="20"/>
              </w:rPr>
              <w:t>FY 2017 RADIO STATION REGULATORY FEES</w:t>
            </w:r>
          </w:p>
        </w:tc>
      </w:tr>
      <w:tr w:rsidR="00BB229F" w:rsidRPr="00BB229F" w:rsidTr="00E00103">
        <w:tc>
          <w:tcPr>
            <w:tcW w:w="1890" w:type="dxa"/>
            <w:tcBorders>
              <w:top w:val="single" w:sz="8" w:space="0" w:color="auto"/>
              <w:left w:val="double" w:sz="6" w:space="0" w:color="auto"/>
              <w:bottom w:val="nil"/>
              <w:right w:val="nil"/>
            </w:tcBorders>
            <w:tcMar>
              <w:top w:w="0" w:type="dxa"/>
              <w:left w:w="62" w:type="dxa"/>
              <w:bottom w:w="0" w:type="dxa"/>
              <w:right w:w="62" w:type="dxa"/>
            </w:tcMar>
            <w:hideMark/>
          </w:tcPr>
          <w:p w:rsidR="00E00103" w:rsidRPr="00BB229F" w:rsidRDefault="00E00103">
            <w:pPr>
              <w:spacing w:before="42"/>
              <w:jc w:val="center"/>
              <w:rPr>
                <w:b/>
                <w:bCs/>
                <w:sz w:val="20"/>
              </w:rPr>
            </w:pPr>
            <w:r w:rsidRPr="00BB229F">
              <w:rPr>
                <w:b/>
                <w:bCs/>
                <w:sz w:val="20"/>
              </w:rPr>
              <w:t xml:space="preserve">Population </w:t>
            </w:r>
          </w:p>
          <w:p w:rsidR="00E00103" w:rsidRPr="00BB229F" w:rsidRDefault="00E00103">
            <w:pPr>
              <w:spacing w:after="104"/>
              <w:jc w:val="center"/>
              <w:rPr>
                <w:b/>
                <w:bCs/>
                <w:sz w:val="20"/>
              </w:rPr>
            </w:pPr>
            <w:r w:rsidRPr="00BB229F">
              <w:rPr>
                <w:b/>
                <w:bCs/>
                <w:sz w:val="20"/>
              </w:rPr>
              <w:t>Served</w:t>
            </w:r>
          </w:p>
        </w:tc>
        <w:tc>
          <w:tcPr>
            <w:tcW w:w="1080" w:type="dxa"/>
            <w:tcBorders>
              <w:top w:val="single" w:sz="8" w:space="0" w:color="auto"/>
              <w:left w:val="single" w:sz="8" w:space="0" w:color="auto"/>
              <w:bottom w:val="nil"/>
              <w:right w:val="nil"/>
            </w:tcBorders>
            <w:tcMar>
              <w:top w:w="0" w:type="dxa"/>
              <w:left w:w="62" w:type="dxa"/>
              <w:bottom w:w="0" w:type="dxa"/>
              <w:right w:w="62" w:type="dxa"/>
            </w:tcMar>
            <w:hideMark/>
          </w:tcPr>
          <w:p w:rsidR="00E00103" w:rsidRPr="00BB229F" w:rsidRDefault="00E00103">
            <w:pPr>
              <w:spacing w:before="42" w:after="104"/>
              <w:jc w:val="center"/>
              <w:rPr>
                <w:b/>
                <w:bCs/>
                <w:sz w:val="20"/>
              </w:rPr>
            </w:pPr>
            <w:r w:rsidRPr="00BB229F">
              <w:rPr>
                <w:b/>
                <w:bCs/>
                <w:sz w:val="20"/>
              </w:rPr>
              <w:t>AM Class A</w:t>
            </w:r>
          </w:p>
        </w:tc>
        <w:tc>
          <w:tcPr>
            <w:tcW w:w="990" w:type="dxa"/>
            <w:tcBorders>
              <w:top w:val="single" w:sz="8" w:space="0" w:color="auto"/>
              <w:left w:val="single" w:sz="8" w:space="0" w:color="auto"/>
              <w:bottom w:val="nil"/>
              <w:right w:val="nil"/>
            </w:tcBorders>
            <w:tcMar>
              <w:top w:w="0" w:type="dxa"/>
              <w:left w:w="62" w:type="dxa"/>
              <w:bottom w:w="0" w:type="dxa"/>
              <w:right w:w="62" w:type="dxa"/>
            </w:tcMar>
            <w:hideMark/>
          </w:tcPr>
          <w:p w:rsidR="00E00103" w:rsidRPr="00BB229F" w:rsidRDefault="00E00103">
            <w:pPr>
              <w:spacing w:before="42" w:after="104"/>
              <w:jc w:val="center"/>
              <w:rPr>
                <w:b/>
                <w:bCs/>
                <w:sz w:val="20"/>
              </w:rPr>
            </w:pPr>
            <w:r w:rsidRPr="00BB229F">
              <w:rPr>
                <w:b/>
                <w:bCs/>
                <w:sz w:val="20"/>
              </w:rPr>
              <w:t>AM Class B</w:t>
            </w:r>
          </w:p>
        </w:tc>
        <w:tc>
          <w:tcPr>
            <w:tcW w:w="900" w:type="dxa"/>
            <w:tcBorders>
              <w:top w:val="single" w:sz="8" w:space="0" w:color="auto"/>
              <w:left w:val="single" w:sz="8" w:space="0" w:color="auto"/>
              <w:bottom w:val="nil"/>
              <w:right w:val="nil"/>
            </w:tcBorders>
            <w:tcMar>
              <w:top w:w="0" w:type="dxa"/>
              <w:left w:w="62" w:type="dxa"/>
              <w:bottom w:w="0" w:type="dxa"/>
              <w:right w:w="62" w:type="dxa"/>
            </w:tcMar>
            <w:hideMark/>
          </w:tcPr>
          <w:p w:rsidR="00E00103" w:rsidRPr="00BB229F" w:rsidRDefault="00E00103">
            <w:pPr>
              <w:spacing w:before="42" w:after="104"/>
              <w:jc w:val="center"/>
              <w:rPr>
                <w:b/>
                <w:bCs/>
                <w:sz w:val="20"/>
              </w:rPr>
            </w:pPr>
            <w:r w:rsidRPr="00BB229F">
              <w:rPr>
                <w:b/>
                <w:bCs/>
                <w:sz w:val="20"/>
              </w:rPr>
              <w:t>AM Class C</w:t>
            </w:r>
          </w:p>
        </w:tc>
        <w:tc>
          <w:tcPr>
            <w:tcW w:w="900" w:type="dxa"/>
            <w:tcBorders>
              <w:top w:val="single" w:sz="8" w:space="0" w:color="auto"/>
              <w:left w:val="single" w:sz="8" w:space="0" w:color="auto"/>
              <w:bottom w:val="nil"/>
              <w:right w:val="nil"/>
            </w:tcBorders>
            <w:tcMar>
              <w:top w:w="0" w:type="dxa"/>
              <w:left w:w="62" w:type="dxa"/>
              <w:bottom w:w="0" w:type="dxa"/>
              <w:right w:w="62" w:type="dxa"/>
            </w:tcMar>
            <w:hideMark/>
          </w:tcPr>
          <w:p w:rsidR="00E00103" w:rsidRPr="00BB229F" w:rsidRDefault="00E00103">
            <w:pPr>
              <w:spacing w:before="42" w:after="104"/>
              <w:jc w:val="center"/>
              <w:rPr>
                <w:b/>
                <w:bCs/>
                <w:sz w:val="20"/>
              </w:rPr>
            </w:pPr>
            <w:r w:rsidRPr="00BB229F">
              <w:rPr>
                <w:b/>
                <w:bCs/>
                <w:sz w:val="20"/>
              </w:rPr>
              <w:t>AM Class D</w:t>
            </w:r>
          </w:p>
        </w:tc>
        <w:tc>
          <w:tcPr>
            <w:tcW w:w="1440" w:type="dxa"/>
            <w:tcBorders>
              <w:top w:val="single" w:sz="8" w:space="0" w:color="auto"/>
              <w:left w:val="single" w:sz="8" w:space="0" w:color="auto"/>
              <w:bottom w:val="nil"/>
              <w:right w:val="nil"/>
            </w:tcBorders>
            <w:tcMar>
              <w:top w:w="0" w:type="dxa"/>
              <w:left w:w="62" w:type="dxa"/>
              <w:bottom w:w="0" w:type="dxa"/>
              <w:right w:w="62" w:type="dxa"/>
            </w:tcMar>
            <w:hideMark/>
          </w:tcPr>
          <w:p w:rsidR="00E00103" w:rsidRPr="00BB229F" w:rsidRDefault="00E00103">
            <w:pPr>
              <w:spacing w:before="42"/>
              <w:jc w:val="center"/>
              <w:rPr>
                <w:b/>
                <w:bCs/>
                <w:sz w:val="20"/>
                <w:lang w:val="pt-BR"/>
              </w:rPr>
            </w:pPr>
            <w:r w:rsidRPr="00BB229F">
              <w:rPr>
                <w:b/>
                <w:bCs/>
                <w:sz w:val="20"/>
                <w:lang w:val="pt-BR"/>
              </w:rPr>
              <w:t>FM Classes</w:t>
            </w:r>
          </w:p>
          <w:p w:rsidR="00E00103" w:rsidRPr="00BB229F" w:rsidRDefault="00E00103">
            <w:pPr>
              <w:spacing w:after="104"/>
              <w:jc w:val="center"/>
              <w:rPr>
                <w:b/>
                <w:bCs/>
                <w:sz w:val="20"/>
                <w:lang w:val="pt-BR"/>
              </w:rPr>
            </w:pPr>
            <w:r w:rsidRPr="00BB229F">
              <w:rPr>
                <w:b/>
                <w:bCs/>
                <w:sz w:val="20"/>
                <w:lang w:val="pt-BR"/>
              </w:rPr>
              <w:t>A, B1 &amp; C3</w:t>
            </w:r>
          </w:p>
        </w:tc>
        <w:tc>
          <w:tcPr>
            <w:tcW w:w="1350" w:type="dxa"/>
            <w:tcBorders>
              <w:top w:val="single" w:sz="8" w:space="0" w:color="auto"/>
              <w:left w:val="single" w:sz="8" w:space="0" w:color="auto"/>
              <w:bottom w:val="nil"/>
              <w:right w:val="double" w:sz="6" w:space="0" w:color="auto"/>
            </w:tcBorders>
            <w:tcMar>
              <w:top w:w="0" w:type="dxa"/>
              <w:left w:w="62" w:type="dxa"/>
              <w:bottom w:w="0" w:type="dxa"/>
              <w:right w:w="62" w:type="dxa"/>
            </w:tcMar>
            <w:hideMark/>
          </w:tcPr>
          <w:p w:rsidR="00E00103" w:rsidRPr="00BB229F" w:rsidRDefault="00E00103">
            <w:pPr>
              <w:spacing w:before="42"/>
              <w:jc w:val="center"/>
              <w:rPr>
                <w:b/>
                <w:bCs/>
                <w:sz w:val="20"/>
                <w:lang w:val="pt-BR"/>
              </w:rPr>
            </w:pPr>
            <w:r w:rsidRPr="00BB229F">
              <w:rPr>
                <w:b/>
                <w:bCs/>
                <w:sz w:val="20"/>
                <w:lang w:val="pt-BR"/>
              </w:rPr>
              <w:t>FM Classes</w:t>
            </w:r>
          </w:p>
          <w:p w:rsidR="00E00103" w:rsidRPr="00BB229F" w:rsidRDefault="00E00103">
            <w:pPr>
              <w:spacing w:after="104"/>
              <w:jc w:val="center"/>
              <w:rPr>
                <w:b/>
                <w:bCs/>
                <w:sz w:val="20"/>
                <w:lang w:val="pt-BR"/>
              </w:rPr>
            </w:pPr>
            <w:r w:rsidRPr="00BB229F">
              <w:rPr>
                <w:b/>
                <w:bCs/>
                <w:sz w:val="20"/>
                <w:lang w:val="pt-BR"/>
              </w:rPr>
              <w:t>B, C, C0, C1 &amp; C2</w:t>
            </w:r>
          </w:p>
        </w:tc>
      </w:tr>
      <w:tr w:rsidR="00BB229F" w:rsidRPr="00BB229F" w:rsidTr="00E00103">
        <w:tc>
          <w:tcPr>
            <w:tcW w:w="1890" w:type="dxa"/>
            <w:tcBorders>
              <w:top w:val="single" w:sz="8" w:space="0" w:color="auto"/>
              <w:left w:val="double" w:sz="6" w:space="0" w:color="auto"/>
              <w:bottom w:val="nil"/>
              <w:right w:val="nil"/>
            </w:tcBorders>
            <w:tcMar>
              <w:top w:w="0" w:type="dxa"/>
              <w:left w:w="62" w:type="dxa"/>
              <w:bottom w:w="0" w:type="dxa"/>
              <w:right w:w="62" w:type="dxa"/>
            </w:tcMar>
            <w:hideMark/>
          </w:tcPr>
          <w:p w:rsidR="00E00103" w:rsidRPr="00BB229F" w:rsidRDefault="00E00103">
            <w:pPr>
              <w:spacing w:before="42" w:after="104"/>
              <w:rPr>
                <w:b/>
                <w:bCs/>
                <w:sz w:val="20"/>
              </w:rPr>
            </w:pPr>
            <w:r w:rsidRPr="00BB229F">
              <w:rPr>
                <w:b/>
                <w:bCs/>
                <w:sz w:val="20"/>
              </w:rPr>
              <w:t>&lt;=25,000</w:t>
            </w:r>
          </w:p>
        </w:tc>
        <w:tc>
          <w:tcPr>
            <w:tcW w:w="1080" w:type="dxa"/>
            <w:tcBorders>
              <w:top w:val="single" w:sz="8" w:space="0" w:color="auto"/>
              <w:left w:val="single" w:sz="8" w:space="0" w:color="auto"/>
              <w:bottom w:val="nil"/>
              <w:right w:val="nil"/>
            </w:tcBorders>
            <w:tcMar>
              <w:top w:w="0" w:type="dxa"/>
              <w:left w:w="62" w:type="dxa"/>
              <w:bottom w:w="0" w:type="dxa"/>
              <w:right w:w="62" w:type="dxa"/>
            </w:tcMar>
            <w:hideMark/>
          </w:tcPr>
          <w:p w:rsidR="00E00103" w:rsidRPr="00BB229F" w:rsidRDefault="00E00103">
            <w:pPr>
              <w:spacing w:before="42" w:after="104"/>
              <w:jc w:val="right"/>
              <w:rPr>
                <w:sz w:val="20"/>
              </w:rPr>
            </w:pPr>
            <w:r w:rsidRPr="00BB229F">
              <w:rPr>
                <w:sz w:val="20"/>
              </w:rPr>
              <w:t>$895</w:t>
            </w:r>
          </w:p>
        </w:tc>
        <w:tc>
          <w:tcPr>
            <w:tcW w:w="990" w:type="dxa"/>
            <w:tcBorders>
              <w:top w:val="single" w:sz="8" w:space="0" w:color="auto"/>
              <w:left w:val="single" w:sz="8" w:space="0" w:color="auto"/>
              <w:bottom w:val="nil"/>
              <w:right w:val="nil"/>
            </w:tcBorders>
            <w:tcMar>
              <w:top w:w="0" w:type="dxa"/>
              <w:left w:w="62" w:type="dxa"/>
              <w:bottom w:w="0" w:type="dxa"/>
              <w:right w:w="62" w:type="dxa"/>
            </w:tcMar>
            <w:hideMark/>
          </w:tcPr>
          <w:p w:rsidR="00E00103" w:rsidRPr="00BB229F" w:rsidRDefault="00E00103">
            <w:pPr>
              <w:spacing w:before="42" w:after="104"/>
              <w:jc w:val="right"/>
              <w:rPr>
                <w:sz w:val="20"/>
              </w:rPr>
            </w:pPr>
            <w:r w:rsidRPr="00BB229F">
              <w:rPr>
                <w:sz w:val="20"/>
              </w:rPr>
              <w:t>$640</w:t>
            </w:r>
          </w:p>
        </w:tc>
        <w:tc>
          <w:tcPr>
            <w:tcW w:w="900" w:type="dxa"/>
            <w:tcBorders>
              <w:top w:val="single" w:sz="8" w:space="0" w:color="auto"/>
              <w:left w:val="single" w:sz="8" w:space="0" w:color="auto"/>
              <w:bottom w:val="nil"/>
              <w:right w:val="nil"/>
            </w:tcBorders>
            <w:tcMar>
              <w:top w:w="0" w:type="dxa"/>
              <w:left w:w="62" w:type="dxa"/>
              <w:bottom w:w="0" w:type="dxa"/>
              <w:right w:w="62" w:type="dxa"/>
            </w:tcMar>
            <w:hideMark/>
          </w:tcPr>
          <w:p w:rsidR="00E00103" w:rsidRPr="00BB229F" w:rsidRDefault="00E00103">
            <w:pPr>
              <w:spacing w:before="42" w:after="104"/>
              <w:jc w:val="right"/>
              <w:rPr>
                <w:sz w:val="20"/>
              </w:rPr>
            </w:pPr>
            <w:r w:rsidRPr="00BB229F">
              <w:rPr>
                <w:sz w:val="20"/>
              </w:rPr>
              <w:t>$555</w:t>
            </w:r>
          </w:p>
        </w:tc>
        <w:tc>
          <w:tcPr>
            <w:tcW w:w="900" w:type="dxa"/>
            <w:tcBorders>
              <w:top w:val="single" w:sz="8" w:space="0" w:color="auto"/>
              <w:left w:val="single" w:sz="8" w:space="0" w:color="auto"/>
              <w:bottom w:val="nil"/>
              <w:right w:val="nil"/>
            </w:tcBorders>
            <w:tcMar>
              <w:top w:w="0" w:type="dxa"/>
              <w:left w:w="62" w:type="dxa"/>
              <w:bottom w:w="0" w:type="dxa"/>
              <w:right w:w="62" w:type="dxa"/>
            </w:tcMar>
            <w:hideMark/>
          </w:tcPr>
          <w:p w:rsidR="00E00103" w:rsidRPr="00BB229F" w:rsidRDefault="00E00103">
            <w:pPr>
              <w:spacing w:before="42" w:after="104"/>
              <w:jc w:val="right"/>
              <w:rPr>
                <w:sz w:val="20"/>
              </w:rPr>
            </w:pPr>
            <w:r w:rsidRPr="00BB229F">
              <w:rPr>
                <w:sz w:val="20"/>
              </w:rPr>
              <w:t>$610</w:t>
            </w:r>
          </w:p>
        </w:tc>
        <w:tc>
          <w:tcPr>
            <w:tcW w:w="1440" w:type="dxa"/>
            <w:tcBorders>
              <w:top w:val="single" w:sz="8" w:space="0" w:color="auto"/>
              <w:left w:val="single" w:sz="8" w:space="0" w:color="auto"/>
              <w:bottom w:val="nil"/>
              <w:right w:val="nil"/>
            </w:tcBorders>
            <w:tcMar>
              <w:top w:w="0" w:type="dxa"/>
              <w:left w:w="62" w:type="dxa"/>
              <w:bottom w:w="0" w:type="dxa"/>
              <w:right w:w="62" w:type="dxa"/>
            </w:tcMar>
            <w:hideMark/>
          </w:tcPr>
          <w:p w:rsidR="00E00103" w:rsidRPr="00BB229F" w:rsidRDefault="00E00103">
            <w:pPr>
              <w:spacing w:before="42" w:after="104"/>
              <w:jc w:val="right"/>
              <w:rPr>
                <w:sz w:val="20"/>
              </w:rPr>
            </w:pPr>
            <w:r w:rsidRPr="00BB229F">
              <w:rPr>
                <w:sz w:val="20"/>
              </w:rPr>
              <w:t>$980</w:t>
            </w:r>
          </w:p>
        </w:tc>
        <w:tc>
          <w:tcPr>
            <w:tcW w:w="1350" w:type="dxa"/>
            <w:tcBorders>
              <w:top w:val="single" w:sz="8" w:space="0" w:color="auto"/>
              <w:left w:val="single" w:sz="8" w:space="0" w:color="auto"/>
              <w:bottom w:val="nil"/>
              <w:right w:val="double" w:sz="6" w:space="0" w:color="auto"/>
            </w:tcBorders>
            <w:tcMar>
              <w:top w:w="0" w:type="dxa"/>
              <w:left w:w="62" w:type="dxa"/>
              <w:bottom w:w="0" w:type="dxa"/>
              <w:right w:w="62" w:type="dxa"/>
            </w:tcMar>
            <w:hideMark/>
          </w:tcPr>
          <w:p w:rsidR="00E00103" w:rsidRPr="00BB229F" w:rsidRDefault="00E00103">
            <w:pPr>
              <w:spacing w:before="42" w:after="104"/>
              <w:jc w:val="right"/>
              <w:rPr>
                <w:sz w:val="20"/>
              </w:rPr>
            </w:pPr>
            <w:r w:rsidRPr="00BB229F">
              <w:rPr>
                <w:sz w:val="20"/>
              </w:rPr>
              <w:t>$1,100</w:t>
            </w:r>
          </w:p>
        </w:tc>
      </w:tr>
      <w:tr w:rsidR="00BB229F" w:rsidRPr="00BB229F" w:rsidTr="00E00103">
        <w:tc>
          <w:tcPr>
            <w:tcW w:w="1890" w:type="dxa"/>
            <w:tcBorders>
              <w:top w:val="single" w:sz="8" w:space="0" w:color="auto"/>
              <w:left w:val="double" w:sz="6" w:space="0" w:color="auto"/>
              <w:bottom w:val="nil"/>
              <w:right w:val="nil"/>
            </w:tcBorders>
            <w:tcMar>
              <w:top w:w="0" w:type="dxa"/>
              <w:left w:w="62" w:type="dxa"/>
              <w:bottom w:w="0" w:type="dxa"/>
              <w:right w:w="62" w:type="dxa"/>
            </w:tcMar>
            <w:hideMark/>
          </w:tcPr>
          <w:p w:rsidR="00E00103" w:rsidRPr="00BB229F" w:rsidRDefault="00E00103">
            <w:pPr>
              <w:spacing w:before="42" w:after="104"/>
              <w:rPr>
                <w:b/>
                <w:bCs/>
                <w:sz w:val="20"/>
              </w:rPr>
            </w:pPr>
            <w:r w:rsidRPr="00BB229F">
              <w:rPr>
                <w:b/>
                <w:bCs/>
                <w:sz w:val="20"/>
              </w:rPr>
              <w:t>25,001 – 75,000</w:t>
            </w:r>
          </w:p>
        </w:tc>
        <w:tc>
          <w:tcPr>
            <w:tcW w:w="1080" w:type="dxa"/>
            <w:tcBorders>
              <w:top w:val="single" w:sz="8" w:space="0" w:color="auto"/>
              <w:left w:val="single" w:sz="8" w:space="0" w:color="auto"/>
              <w:bottom w:val="nil"/>
              <w:right w:val="nil"/>
            </w:tcBorders>
            <w:tcMar>
              <w:top w:w="0" w:type="dxa"/>
              <w:left w:w="62" w:type="dxa"/>
              <w:bottom w:w="0" w:type="dxa"/>
              <w:right w:w="62" w:type="dxa"/>
            </w:tcMar>
            <w:hideMark/>
          </w:tcPr>
          <w:p w:rsidR="00E00103" w:rsidRPr="00BB229F" w:rsidRDefault="00E00103">
            <w:pPr>
              <w:spacing w:before="42" w:after="104"/>
              <w:jc w:val="right"/>
              <w:rPr>
                <w:sz w:val="20"/>
              </w:rPr>
            </w:pPr>
            <w:r w:rsidRPr="00BB229F">
              <w:rPr>
                <w:sz w:val="20"/>
              </w:rPr>
              <w:t>$1,350</w:t>
            </w:r>
          </w:p>
        </w:tc>
        <w:tc>
          <w:tcPr>
            <w:tcW w:w="990" w:type="dxa"/>
            <w:tcBorders>
              <w:top w:val="single" w:sz="8" w:space="0" w:color="auto"/>
              <w:left w:val="single" w:sz="8" w:space="0" w:color="auto"/>
              <w:bottom w:val="nil"/>
              <w:right w:val="nil"/>
            </w:tcBorders>
            <w:tcMar>
              <w:top w:w="0" w:type="dxa"/>
              <w:left w:w="62" w:type="dxa"/>
              <w:bottom w:w="0" w:type="dxa"/>
              <w:right w:w="62" w:type="dxa"/>
            </w:tcMar>
            <w:hideMark/>
          </w:tcPr>
          <w:p w:rsidR="00E00103" w:rsidRPr="00BB229F" w:rsidRDefault="00E00103">
            <w:pPr>
              <w:spacing w:before="42" w:after="104"/>
              <w:jc w:val="right"/>
              <w:rPr>
                <w:sz w:val="20"/>
              </w:rPr>
            </w:pPr>
            <w:r w:rsidRPr="00BB229F">
              <w:rPr>
                <w:sz w:val="20"/>
              </w:rPr>
              <w:t>$955</w:t>
            </w:r>
          </w:p>
        </w:tc>
        <w:tc>
          <w:tcPr>
            <w:tcW w:w="900" w:type="dxa"/>
            <w:tcBorders>
              <w:top w:val="single" w:sz="8" w:space="0" w:color="auto"/>
              <w:left w:val="single" w:sz="8" w:space="0" w:color="auto"/>
              <w:bottom w:val="nil"/>
              <w:right w:val="nil"/>
            </w:tcBorders>
            <w:tcMar>
              <w:top w:w="0" w:type="dxa"/>
              <w:left w:w="62" w:type="dxa"/>
              <w:bottom w:w="0" w:type="dxa"/>
              <w:right w:w="62" w:type="dxa"/>
            </w:tcMar>
            <w:hideMark/>
          </w:tcPr>
          <w:p w:rsidR="00E00103" w:rsidRPr="00BB229F" w:rsidRDefault="00E00103">
            <w:pPr>
              <w:spacing w:before="42" w:after="104"/>
              <w:jc w:val="right"/>
              <w:rPr>
                <w:sz w:val="20"/>
              </w:rPr>
            </w:pPr>
            <w:r w:rsidRPr="00BB229F">
              <w:rPr>
                <w:sz w:val="20"/>
              </w:rPr>
              <w:t>$830</w:t>
            </w:r>
          </w:p>
        </w:tc>
        <w:tc>
          <w:tcPr>
            <w:tcW w:w="900" w:type="dxa"/>
            <w:tcBorders>
              <w:top w:val="single" w:sz="8" w:space="0" w:color="auto"/>
              <w:left w:val="single" w:sz="8" w:space="0" w:color="auto"/>
              <w:bottom w:val="nil"/>
              <w:right w:val="nil"/>
            </w:tcBorders>
            <w:tcMar>
              <w:top w:w="0" w:type="dxa"/>
              <w:left w:w="62" w:type="dxa"/>
              <w:bottom w:w="0" w:type="dxa"/>
              <w:right w:w="62" w:type="dxa"/>
            </w:tcMar>
            <w:hideMark/>
          </w:tcPr>
          <w:p w:rsidR="00E00103" w:rsidRPr="00BB229F" w:rsidRDefault="00E00103">
            <w:pPr>
              <w:spacing w:before="42" w:after="104"/>
              <w:jc w:val="right"/>
              <w:rPr>
                <w:sz w:val="20"/>
              </w:rPr>
            </w:pPr>
            <w:r w:rsidRPr="00BB229F">
              <w:rPr>
                <w:sz w:val="20"/>
              </w:rPr>
              <w:t>$915</w:t>
            </w:r>
          </w:p>
        </w:tc>
        <w:tc>
          <w:tcPr>
            <w:tcW w:w="1440" w:type="dxa"/>
            <w:tcBorders>
              <w:top w:val="single" w:sz="8" w:space="0" w:color="auto"/>
              <w:left w:val="single" w:sz="8" w:space="0" w:color="auto"/>
              <w:bottom w:val="nil"/>
              <w:right w:val="nil"/>
            </w:tcBorders>
            <w:tcMar>
              <w:top w:w="0" w:type="dxa"/>
              <w:left w:w="62" w:type="dxa"/>
              <w:bottom w:w="0" w:type="dxa"/>
              <w:right w:w="62" w:type="dxa"/>
            </w:tcMar>
            <w:hideMark/>
          </w:tcPr>
          <w:p w:rsidR="00E00103" w:rsidRPr="00BB229F" w:rsidRDefault="00E00103">
            <w:pPr>
              <w:spacing w:before="42" w:after="104"/>
              <w:jc w:val="right"/>
              <w:rPr>
                <w:sz w:val="20"/>
              </w:rPr>
            </w:pPr>
            <w:r w:rsidRPr="00BB229F">
              <w:rPr>
                <w:sz w:val="20"/>
              </w:rPr>
              <w:t>$1,475</w:t>
            </w:r>
          </w:p>
        </w:tc>
        <w:tc>
          <w:tcPr>
            <w:tcW w:w="1350" w:type="dxa"/>
            <w:tcBorders>
              <w:top w:val="single" w:sz="8" w:space="0" w:color="auto"/>
              <w:left w:val="single" w:sz="8" w:space="0" w:color="auto"/>
              <w:bottom w:val="nil"/>
              <w:right w:val="double" w:sz="6" w:space="0" w:color="auto"/>
            </w:tcBorders>
            <w:tcMar>
              <w:top w:w="0" w:type="dxa"/>
              <w:left w:w="62" w:type="dxa"/>
              <w:bottom w:w="0" w:type="dxa"/>
              <w:right w:w="62" w:type="dxa"/>
            </w:tcMar>
            <w:hideMark/>
          </w:tcPr>
          <w:p w:rsidR="00E00103" w:rsidRPr="00BB229F" w:rsidRDefault="00E00103">
            <w:pPr>
              <w:spacing w:before="42" w:after="104"/>
              <w:jc w:val="right"/>
              <w:rPr>
                <w:sz w:val="20"/>
              </w:rPr>
            </w:pPr>
            <w:r w:rsidRPr="00BB229F">
              <w:rPr>
                <w:sz w:val="20"/>
              </w:rPr>
              <w:t>$1,650</w:t>
            </w:r>
          </w:p>
        </w:tc>
      </w:tr>
      <w:tr w:rsidR="00BB229F" w:rsidRPr="00BB229F" w:rsidTr="00E00103">
        <w:tc>
          <w:tcPr>
            <w:tcW w:w="1890" w:type="dxa"/>
            <w:tcBorders>
              <w:top w:val="single" w:sz="8" w:space="0" w:color="auto"/>
              <w:left w:val="double" w:sz="6" w:space="0" w:color="auto"/>
              <w:bottom w:val="nil"/>
              <w:right w:val="nil"/>
            </w:tcBorders>
            <w:tcMar>
              <w:top w:w="0" w:type="dxa"/>
              <w:left w:w="62" w:type="dxa"/>
              <w:bottom w:w="0" w:type="dxa"/>
              <w:right w:w="62" w:type="dxa"/>
            </w:tcMar>
            <w:hideMark/>
          </w:tcPr>
          <w:p w:rsidR="00E00103" w:rsidRPr="00BB229F" w:rsidRDefault="00E00103">
            <w:pPr>
              <w:spacing w:before="42" w:after="104"/>
              <w:rPr>
                <w:b/>
                <w:bCs/>
                <w:sz w:val="20"/>
              </w:rPr>
            </w:pPr>
            <w:r w:rsidRPr="00BB229F">
              <w:rPr>
                <w:b/>
                <w:bCs/>
                <w:sz w:val="20"/>
              </w:rPr>
              <w:t>75,001 – 150,000</w:t>
            </w:r>
          </w:p>
        </w:tc>
        <w:tc>
          <w:tcPr>
            <w:tcW w:w="1080" w:type="dxa"/>
            <w:tcBorders>
              <w:top w:val="single" w:sz="8" w:space="0" w:color="auto"/>
              <w:left w:val="single" w:sz="8" w:space="0" w:color="auto"/>
              <w:bottom w:val="nil"/>
              <w:right w:val="nil"/>
            </w:tcBorders>
            <w:tcMar>
              <w:top w:w="0" w:type="dxa"/>
              <w:left w:w="62" w:type="dxa"/>
              <w:bottom w:w="0" w:type="dxa"/>
              <w:right w:w="62" w:type="dxa"/>
            </w:tcMar>
            <w:hideMark/>
          </w:tcPr>
          <w:p w:rsidR="00E00103" w:rsidRPr="00BB229F" w:rsidRDefault="00E00103">
            <w:pPr>
              <w:spacing w:before="42" w:after="104"/>
              <w:jc w:val="right"/>
              <w:rPr>
                <w:sz w:val="20"/>
              </w:rPr>
            </w:pPr>
            <w:r w:rsidRPr="00BB229F">
              <w:rPr>
                <w:sz w:val="20"/>
              </w:rPr>
              <w:t>$2,375</w:t>
            </w:r>
          </w:p>
        </w:tc>
        <w:tc>
          <w:tcPr>
            <w:tcW w:w="990" w:type="dxa"/>
            <w:tcBorders>
              <w:top w:val="single" w:sz="8" w:space="0" w:color="auto"/>
              <w:left w:val="single" w:sz="8" w:space="0" w:color="auto"/>
              <w:bottom w:val="nil"/>
              <w:right w:val="nil"/>
            </w:tcBorders>
            <w:tcMar>
              <w:top w:w="0" w:type="dxa"/>
              <w:left w:w="62" w:type="dxa"/>
              <w:bottom w:w="0" w:type="dxa"/>
              <w:right w:w="62" w:type="dxa"/>
            </w:tcMar>
            <w:hideMark/>
          </w:tcPr>
          <w:p w:rsidR="00E00103" w:rsidRPr="00BB229F" w:rsidRDefault="00E00103">
            <w:pPr>
              <w:spacing w:before="42" w:after="104"/>
              <w:jc w:val="right"/>
              <w:rPr>
                <w:sz w:val="20"/>
              </w:rPr>
            </w:pPr>
            <w:r w:rsidRPr="00BB229F">
              <w:rPr>
                <w:sz w:val="20"/>
              </w:rPr>
              <w:t>$1,700</w:t>
            </w:r>
          </w:p>
        </w:tc>
        <w:tc>
          <w:tcPr>
            <w:tcW w:w="900" w:type="dxa"/>
            <w:tcBorders>
              <w:top w:val="single" w:sz="8" w:space="0" w:color="auto"/>
              <w:left w:val="single" w:sz="8" w:space="0" w:color="auto"/>
              <w:bottom w:val="nil"/>
              <w:right w:val="nil"/>
            </w:tcBorders>
            <w:tcMar>
              <w:top w:w="0" w:type="dxa"/>
              <w:left w:w="62" w:type="dxa"/>
              <w:bottom w:w="0" w:type="dxa"/>
              <w:right w:w="62" w:type="dxa"/>
            </w:tcMar>
            <w:hideMark/>
          </w:tcPr>
          <w:p w:rsidR="00E00103" w:rsidRPr="00BB229F" w:rsidRDefault="00E00103">
            <w:pPr>
              <w:spacing w:before="42" w:after="104"/>
              <w:jc w:val="right"/>
              <w:rPr>
                <w:sz w:val="20"/>
              </w:rPr>
            </w:pPr>
            <w:r w:rsidRPr="00BB229F">
              <w:rPr>
                <w:sz w:val="20"/>
              </w:rPr>
              <w:t>$1,475</w:t>
            </w:r>
          </w:p>
        </w:tc>
        <w:tc>
          <w:tcPr>
            <w:tcW w:w="900" w:type="dxa"/>
            <w:tcBorders>
              <w:top w:val="single" w:sz="8" w:space="0" w:color="auto"/>
              <w:left w:val="single" w:sz="8" w:space="0" w:color="auto"/>
              <w:bottom w:val="nil"/>
              <w:right w:val="nil"/>
            </w:tcBorders>
            <w:tcMar>
              <w:top w:w="0" w:type="dxa"/>
              <w:left w:w="62" w:type="dxa"/>
              <w:bottom w:w="0" w:type="dxa"/>
              <w:right w:w="62" w:type="dxa"/>
            </w:tcMar>
            <w:hideMark/>
          </w:tcPr>
          <w:p w:rsidR="00E00103" w:rsidRPr="00BB229F" w:rsidRDefault="00E00103">
            <w:pPr>
              <w:spacing w:before="42" w:after="104"/>
              <w:jc w:val="right"/>
              <w:rPr>
                <w:sz w:val="20"/>
              </w:rPr>
            </w:pPr>
            <w:r w:rsidRPr="00BB229F">
              <w:rPr>
                <w:sz w:val="20"/>
              </w:rPr>
              <w:t>$1,600</w:t>
            </w:r>
          </w:p>
        </w:tc>
        <w:tc>
          <w:tcPr>
            <w:tcW w:w="1440" w:type="dxa"/>
            <w:tcBorders>
              <w:top w:val="single" w:sz="8" w:space="0" w:color="auto"/>
              <w:left w:val="single" w:sz="8" w:space="0" w:color="auto"/>
              <w:bottom w:val="nil"/>
              <w:right w:val="nil"/>
            </w:tcBorders>
            <w:tcMar>
              <w:top w:w="0" w:type="dxa"/>
              <w:left w:w="62" w:type="dxa"/>
              <w:bottom w:w="0" w:type="dxa"/>
              <w:right w:w="62" w:type="dxa"/>
            </w:tcMar>
            <w:hideMark/>
          </w:tcPr>
          <w:p w:rsidR="00E00103" w:rsidRPr="00BB229F" w:rsidRDefault="00E00103">
            <w:pPr>
              <w:spacing w:before="42" w:after="104"/>
              <w:jc w:val="right"/>
              <w:rPr>
                <w:sz w:val="20"/>
              </w:rPr>
            </w:pPr>
            <w:r w:rsidRPr="00BB229F">
              <w:rPr>
                <w:sz w:val="20"/>
              </w:rPr>
              <w:t>$2,600</w:t>
            </w:r>
          </w:p>
        </w:tc>
        <w:tc>
          <w:tcPr>
            <w:tcW w:w="1350" w:type="dxa"/>
            <w:tcBorders>
              <w:top w:val="single" w:sz="8" w:space="0" w:color="auto"/>
              <w:left w:val="single" w:sz="8" w:space="0" w:color="auto"/>
              <w:bottom w:val="nil"/>
              <w:right w:val="double" w:sz="6" w:space="0" w:color="auto"/>
            </w:tcBorders>
            <w:tcMar>
              <w:top w:w="0" w:type="dxa"/>
              <w:left w:w="62" w:type="dxa"/>
              <w:bottom w:w="0" w:type="dxa"/>
              <w:right w:w="62" w:type="dxa"/>
            </w:tcMar>
            <w:hideMark/>
          </w:tcPr>
          <w:p w:rsidR="00E00103" w:rsidRPr="00BB229F" w:rsidRDefault="00E00103">
            <w:pPr>
              <w:spacing w:before="42" w:after="104"/>
              <w:jc w:val="right"/>
              <w:rPr>
                <w:sz w:val="20"/>
              </w:rPr>
            </w:pPr>
            <w:r w:rsidRPr="00BB229F">
              <w:rPr>
                <w:sz w:val="20"/>
              </w:rPr>
              <w:t>$2,925</w:t>
            </w:r>
          </w:p>
        </w:tc>
      </w:tr>
      <w:tr w:rsidR="00BB229F" w:rsidRPr="00BB229F" w:rsidTr="00E00103">
        <w:tc>
          <w:tcPr>
            <w:tcW w:w="1890" w:type="dxa"/>
            <w:tcBorders>
              <w:top w:val="single" w:sz="8" w:space="0" w:color="auto"/>
              <w:left w:val="double" w:sz="6" w:space="0" w:color="auto"/>
              <w:bottom w:val="nil"/>
              <w:right w:val="nil"/>
            </w:tcBorders>
            <w:tcMar>
              <w:top w:w="0" w:type="dxa"/>
              <w:left w:w="62" w:type="dxa"/>
              <w:bottom w:w="0" w:type="dxa"/>
              <w:right w:w="62" w:type="dxa"/>
            </w:tcMar>
            <w:hideMark/>
          </w:tcPr>
          <w:p w:rsidR="00E00103" w:rsidRPr="00BB229F" w:rsidRDefault="00E00103">
            <w:pPr>
              <w:spacing w:before="42" w:after="104"/>
              <w:rPr>
                <w:b/>
                <w:bCs/>
                <w:sz w:val="20"/>
              </w:rPr>
            </w:pPr>
            <w:r w:rsidRPr="00BB229F">
              <w:rPr>
                <w:b/>
                <w:bCs/>
                <w:sz w:val="20"/>
              </w:rPr>
              <w:t>150,001 – 500,000</w:t>
            </w:r>
          </w:p>
        </w:tc>
        <w:tc>
          <w:tcPr>
            <w:tcW w:w="1080" w:type="dxa"/>
            <w:tcBorders>
              <w:top w:val="single" w:sz="8" w:space="0" w:color="auto"/>
              <w:left w:val="single" w:sz="8" w:space="0" w:color="auto"/>
              <w:bottom w:val="nil"/>
              <w:right w:val="nil"/>
            </w:tcBorders>
            <w:tcMar>
              <w:top w:w="0" w:type="dxa"/>
              <w:left w:w="62" w:type="dxa"/>
              <w:bottom w:w="0" w:type="dxa"/>
              <w:right w:w="62" w:type="dxa"/>
            </w:tcMar>
            <w:hideMark/>
          </w:tcPr>
          <w:p w:rsidR="00E00103" w:rsidRPr="00BB229F" w:rsidRDefault="00E00103">
            <w:pPr>
              <w:spacing w:before="42" w:after="104"/>
              <w:jc w:val="right"/>
              <w:rPr>
                <w:sz w:val="20"/>
              </w:rPr>
            </w:pPr>
            <w:r w:rsidRPr="00BB229F">
              <w:rPr>
                <w:sz w:val="20"/>
              </w:rPr>
              <w:t>$3,550</w:t>
            </w:r>
          </w:p>
        </w:tc>
        <w:tc>
          <w:tcPr>
            <w:tcW w:w="990" w:type="dxa"/>
            <w:tcBorders>
              <w:top w:val="single" w:sz="8" w:space="0" w:color="auto"/>
              <w:left w:val="single" w:sz="8" w:space="0" w:color="auto"/>
              <w:bottom w:val="nil"/>
              <w:right w:val="nil"/>
            </w:tcBorders>
            <w:tcMar>
              <w:top w:w="0" w:type="dxa"/>
              <w:left w:w="62" w:type="dxa"/>
              <w:bottom w:w="0" w:type="dxa"/>
              <w:right w:w="62" w:type="dxa"/>
            </w:tcMar>
            <w:hideMark/>
          </w:tcPr>
          <w:p w:rsidR="00E00103" w:rsidRPr="00BB229F" w:rsidRDefault="00E00103">
            <w:pPr>
              <w:spacing w:before="42" w:after="104"/>
              <w:jc w:val="right"/>
              <w:rPr>
                <w:sz w:val="20"/>
              </w:rPr>
            </w:pPr>
            <w:r w:rsidRPr="00BB229F">
              <w:rPr>
                <w:sz w:val="20"/>
              </w:rPr>
              <w:t>$2,525</w:t>
            </w:r>
          </w:p>
        </w:tc>
        <w:tc>
          <w:tcPr>
            <w:tcW w:w="900" w:type="dxa"/>
            <w:tcBorders>
              <w:top w:val="single" w:sz="8" w:space="0" w:color="auto"/>
              <w:left w:val="single" w:sz="8" w:space="0" w:color="auto"/>
              <w:bottom w:val="nil"/>
              <w:right w:val="nil"/>
            </w:tcBorders>
            <w:tcMar>
              <w:top w:w="0" w:type="dxa"/>
              <w:left w:w="62" w:type="dxa"/>
              <w:bottom w:w="0" w:type="dxa"/>
              <w:right w:w="62" w:type="dxa"/>
            </w:tcMar>
            <w:hideMark/>
          </w:tcPr>
          <w:p w:rsidR="00E00103" w:rsidRPr="00BB229F" w:rsidRDefault="00E00103">
            <w:pPr>
              <w:spacing w:before="42" w:after="104"/>
              <w:jc w:val="right"/>
              <w:rPr>
                <w:sz w:val="20"/>
              </w:rPr>
            </w:pPr>
            <w:r w:rsidRPr="00BB229F">
              <w:rPr>
                <w:sz w:val="20"/>
              </w:rPr>
              <w:t>$2,200</w:t>
            </w:r>
          </w:p>
        </w:tc>
        <w:tc>
          <w:tcPr>
            <w:tcW w:w="900" w:type="dxa"/>
            <w:tcBorders>
              <w:top w:val="single" w:sz="8" w:space="0" w:color="auto"/>
              <w:left w:val="single" w:sz="8" w:space="0" w:color="auto"/>
              <w:bottom w:val="nil"/>
              <w:right w:val="nil"/>
            </w:tcBorders>
            <w:tcMar>
              <w:top w:w="0" w:type="dxa"/>
              <w:left w:w="62" w:type="dxa"/>
              <w:bottom w:w="0" w:type="dxa"/>
              <w:right w:w="62" w:type="dxa"/>
            </w:tcMar>
            <w:hideMark/>
          </w:tcPr>
          <w:p w:rsidR="00E00103" w:rsidRPr="00BB229F" w:rsidRDefault="00E00103">
            <w:pPr>
              <w:spacing w:before="42" w:after="104"/>
              <w:jc w:val="right"/>
              <w:rPr>
                <w:sz w:val="20"/>
              </w:rPr>
            </w:pPr>
            <w:r w:rsidRPr="00BB229F">
              <w:rPr>
                <w:sz w:val="20"/>
              </w:rPr>
              <w:t>$2,425</w:t>
            </w:r>
          </w:p>
        </w:tc>
        <w:tc>
          <w:tcPr>
            <w:tcW w:w="1440" w:type="dxa"/>
            <w:tcBorders>
              <w:top w:val="single" w:sz="8" w:space="0" w:color="auto"/>
              <w:left w:val="single" w:sz="8" w:space="0" w:color="auto"/>
              <w:bottom w:val="nil"/>
              <w:right w:val="nil"/>
            </w:tcBorders>
            <w:tcMar>
              <w:top w:w="0" w:type="dxa"/>
              <w:left w:w="62" w:type="dxa"/>
              <w:bottom w:w="0" w:type="dxa"/>
              <w:right w:w="62" w:type="dxa"/>
            </w:tcMar>
            <w:hideMark/>
          </w:tcPr>
          <w:p w:rsidR="00E00103" w:rsidRPr="00BB229F" w:rsidRDefault="00E00103">
            <w:pPr>
              <w:spacing w:before="42" w:after="104"/>
              <w:jc w:val="right"/>
              <w:rPr>
                <w:sz w:val="20"/>
              </w:rPr>
            </w:pPr>
            <w:r w:rsidRPr="00BB229F">
              <w:rPr>
                <w:sz w:val="20"/>
              </w:rPr>
              <w:t>$3,875</w:t>
            </w:r>
          </w:p>
        </w:tc>
        <w:tc>
          <w:tcPr>
            <w:tcW w:w="1350" w:type="dxa"/>
            <w:tcBorders>
              <w:top w:val="single" w:sz="8" w:space="0" w:color="auto"/>
              <w:left w:val="single" w:sz="8" w:space="0" w:color="auto"/>
              <w:bottom w:val="nil"/>
              <w:right w:val="double" w:sz="6" w:space="0" w:color="auto"/>
            </w:tcBorders>
            <w:tcMar>
              <w:top w:w="0" w:type="dxa"/>
              <w:left w:w="62" w:type="dxa"/>
              <w:bottom w:w="0" w:type="dxa"/>
              <w:right w:w="62" w:type="dxa"/>
            </w:tcMar>
            <w:hideMark/>
          </w:tcPr>
          <w:p w:rsidR="00E00103" w:rsidRPr="00BB229F" w:rsidRDefault="00E00103">
            <w:pPr>
              <w:spacing w:before="42" w:after="104"/>
              <w:jc w:val="right"/>
              <w:rPr>
                <w:sz w:val="20"/>
              </w:rPr>
            </w:pPr>
            <w:r w:rsidRPr="00BB229F">
              <w:rPr>
                <w:sz w:val="20"/>
              </w:rPr>
              <w:t>$4,400</w:t>
            </w:r>
          </w:p>
        </w:tc>
      </w:tr>
      <w:tr w:rsidR="00BB229F" w:rsidRPr="00BB229F" w:rsidTr="00E00103">
        <w:tc>
          <w:tcPr>
            <w:tcW w:w="1890" w:type="dxa"/>
            <w:tcBorders>
              <w:top w:val="single" w:sz="8" w:space="0" w:color="auto"/>
              <w:left w:val="double" w:sz="6" w:space="0" w:color="auto"/>
              <w:bottom w:val="nil"/>
              <w:right w:val="nil"/>
            </w:tcBorders>
            <w:tcMar>
              <w:top w:w="0" w:type="dxa"/>
              <w:left w:w="62" w:type="dxa"/>
              <w:bottom w:w="0" w:type="dxa"/>
              <w:right w:w="62" w:type="dxa"/>
            </w:tcMar>
            <w:hideMark/>
          </w:tcPr>
          <w:p w:rsidR="00E00103" w:rsidRPr="00BB229F" w:rsidRDefault="00E00103">
            <w:pPr>
              <w:spacing w:before="42" w:after="104"/>
              <w:rPr>
                <w:b/>
                <w:bCs/>
                <w:sz w:val="20"/>
              </w:rPr>
            </w:pPr>
            <w:r w:rsidRPr="00BB229F">
              <w:rPr>
                <w:b/>
                <w:bCs/>
                <w:sz w:val="20"/>
              </w:rPr>
              <w:t>500,001 – 1,200,000</w:t>
            </w:r>
          </w:p>
        </w:tc>
        <w:tc>
          <w:tcPr>
            <w:tcW w:w="1080" w:type="dxa"/>
            <w:tcBorders>
              <w:top w:val="single" w:sz="8" w:space="0" w:color="auto"/>
              <w:left w:val="single" w:sz="8" w:space="0" w:color="auto"/>
              <w:bottom w:val="nil"/>
              <w:right w:val="nil"/>
            </w:tcBorders>
            <w:tcMar>
              <w:top w:w="0" w:type="dxa"/>
              <w:left w:w="62" w:type="dxa"/>
              <w:bottom w:w="0" w:type="dxa"/>
              <w:right w:w="62" w:type="dxa"/>
            </w:tcMar>
            <w:hideMark/>
          </w:tcPr>
          <w:p w:rsidR="00E00103" w:rsidRPr="00BB229F" w:rsidRDefault="00E00103">
            <w:pPr>
              <w:spacing w:before="42" w:after="104"/>
              <w:jc w:val="right"/>
              <w:rPr>
                <w:sz w:val="20"/>
              </w:rPr>
            </w:pPr>
            <w:r w:rsidRPr="00BB229F">
              <w:rPr>
                <w:sz w:val="20"/>
              </w:rPr>
              <w:t>$5,325</w:t>
            </w:r>
          </w:p>
        </w:tc>
        <w:tc>
          <w:tcPr>
            <w:tcW w:w="990" w:type="dxa"/>
            <w:tcBorders>
              <w:top w:val="single" w:sz="8" w:space="0" w:color="auto"/>
              <w:left w:val="single" w:sz="8" w:space="0" w:color="auto"/>
              <w:bottom w:val="nil"/>
              <w:right w:val="nil"/>
            </w:tcBorders>
            <w:tcMar>
              <w:top w:w="0" w:type="dxa"/>
              <w:left w:w="62" w:type="dxa"/>
              <w:bottom w:w="0" w:type="dxa"/>
              <w:right w:w="62" w:type="dxa"/>
            </w:tcMar>
            <w:hideMark/>
          </w:tcPr>
          <w:p w:rsidR="00E00103" w:rsidRPr="00BB229F" w:rsidRDefault="00E00103">
            <w:pPr>
              <w:spacing w:before="42" w:after="104"/>
              <w:jc w:val="right"/>
              <w:rPr>
                <w:sz w:val="20"/>
              </w:rPr>
            </w:pPr>
            <w:r w:rsidRPr="00BB229F">
              <w:rPr>
                <w:sz w:val="20"/>
              </w:rPr>
              <w:t>$3,800</w:t>
            </w:r>
          </w:p>
        </w:tc>
        <w:tc>
          <w:tcPr>
            <w:tcW w:w="900" w:type="dxa"/>
            <w:tcBorders>
              <w:top w:val="single" w:sz="8" w:space="0" w:color="auto"/>
              <w:left w:val="single" w:sz="8" w:space="0" w:color="auto"/>
              <w:bottom w:val="nil"/>
              <w:right w:val="nil"/>
            </w:tcBorders>
            <w:tcMar>
              <w:top w:w="0" w:type="dxa"/>
              <w:left w:w="62" w:type="dxa"/>
              <w:bottom w:w="0" w:type="dxa"/>
              <w:right w:w="62" w:type="dxa"/>
            </w:tcMar>
            <w:hideMark/>
          </w:tcPr>
          <w:p w:rsidR="00E00103" w:rsidRPr="00BB229F" w:rsidRDefault="00E00103">
            <w:pPr>
              <w:spacing w:before="42" w:after="104"/>
              <w:jc w:val="right"/>
              <w:rPr>
                <w:sz w:val="20"/>
              </w:rPr>
            </w:pPr>
            <w:r w:rsidRPr="00BB229F">
              <w:rPr>
                <w:sz w:val="20"/>
              </w:rPr>
              <w:t>$3,300</w:t>
            </w:r>
          </w:p>
        </w:tc>
        <w:tc>
          <w:tcPr>
            <w:tcW w:w="900" w:type="dxa"/>
            <w:tcBorders>
              <w:top w:val="single" w:sz="8" w:space="0" w:color="auto"/>
              <w:left w:val="single" w:sz="8" w:space="0" w:color="auto"/>
              <w:bottom w:val="nil"/>
              <w:right w:val="nil"/>
            </w:tcBorders>
            <w:tcMar>
              <w:top w:w="0" w:type="dxa"/>
              <w:left w:w="62" w:type="dxa"/>
              <w:bottom w:w="0" w:type="dxa"/>
              <w:right w:w="62" w:type="dxa"/>
            </w:tcMar>
            <w:hideMark/>
          </w:tcPr>
          <w:p w:rsidR="00E00103" w:rsidRPr="00BB229F" w:rsidRDefault="00E00103">
            <w:pPr>
              <w:spacing w:before="42" w:after="104"/>
              <w:jc w:val="right"/>
              <w:rPr>
                <w:sz w:val="20"/>
              </w:rPr>
            </w:pPr>
            <w:r w:rsidRPr="00BB229F">
              <w:rPr>
                <w:sz w:val="20"/>
              </w:rPr>
              <w:t>$3,625</w:t>
            </w:r>
          </w:p>
        </w:tc>
        <w:tc>
          <w:tcPr>
            <w:tcW w:w="1440" w:type="dxa"/>
            <w:tcBorders>
              <w:top w:val="single" w:sz="8" w:space="0" w:color="auto"/>
              <w:left w:val="single" w:sz="8" w:space="0" w:color="auto"/>
              <w:bottom w:val="nil"/>
              <w:right w:val="nil"/>
            </w:tcBorders>
            <w:tcMar>
              <w:top w:w="0" w:type="dxa"/>
              <w:left w:w="62" w:type="dxa"/>
              <w:bottom w:w="0" w:type="dxa"/>
              <w:right w:w="62" w:type="dxa"/>
            </w:tcMar>
            <w:hideMark/>
          </w:tcPr>
          <w:p w:rsidR="00E00103" w:rsidRPr="00BB229F" w:rsidRDefault="00E00103">
            <w:pPr>
              <w:spacing w:before="42" w:after="104"/>
              <w:jc w:val="right"/>
              <w:rPr>
                <w:sz w:val="20"/>
              </w:rPr>
            </w:pPr>
            <w:r w:rsidRPr="00BB229F">
              <w:rPr>
                <w:sz w:val="20"/>
              </w:rPr>
              <w:t>$5,825</w:t>
            </w:r>
          </w:p>
        </w:tc>
        <w:tc>
          <w:tcPr>
            <w:tcW w:w="1350" w:type="dxa"/>
            <w:tcBorders>
              <w:top w:val="single" w:sz="8" w:space="0" w:color="auto"/>
              <w:left w:val="single" w:sz="8" w:space="0" w:color="auto"/>
              <w:bottom w:val="nil"/>
              <w:right w:val="double" w:sz="6" w:space="0" w:color="auto"/>
            </w:tcBorders>
            <w:tcMar>
              <w:top w:w="0" w:type="dxa"/>
              <w:left w:w="62" w:type="dxa"/>
              <w:bottom w:w="0" w:type="dxa"/>
              <w:right w:w="62" w:type="dxa"/>
            </w:tcMar>
            <w:hideMark/>
          </w:tcPr>
          <w:p w:rsidR="00E00103" w:rsidRPr="00BB229F" w:rsidRDefault="00E00103">
            <w:pPr>
              <w:spacing w:before="42" w:after="104"/>
              <w:jc w:val="right"/>
              <w:rPr>
                <w:sz w:val="20"/>
              </w:rPr>
            </w:pPr>
            <w:r w:rsidRPr="00BB229F">
              <w:rPr>
                <w:sz w:val="20"/>
              </w:rPr>
              <w:t>$6,575</w:t>
            </w:r>
          </w:p>
        </w:tc>
      </w:tr>
      <w:tr w:rsidR="00BB229F" w:rsidRPr="00BB229F" w:rsidTr="00E00103">
        <w:trPr>
          <w:trHeight w:val="361"/>
        </w:trPr>
        <w:tc>
          <w:tcPr>
            <w:tcW w:w="1890" w:type="dxa"/>
            <w:tcBorders>
              <w:top w:val="single" w:sz="8" w:space="0" w:color="auto"/>
              <w:left w:val="double" w:sz="6" w:space="0" w:color="auto"/>
              <w:bottom w:val="single" w:sz="8" w:space="0" w:color="auto"/>
              <w:right w:val="nil"/>
            </w:tcBorders>
            <w:tcMar>
              <w:top w:w="0" w:type="dxa"/>
              <w:left w:w="62" w:type="dxa"/>
              <w:bottom w:w="0" w:type="dxa"/>
              <w:right w:w="62" w:type="dxa"/>
            </w:tcMar>
            <w:hideMark/>
          </w:tcPr>
          <w:p w:rsidR="00E00103" w:rsidRPr="00BB229F" w:rsidRDefault="00E00103">
            <w:pPr>
              <w:spacing w:before="42" w:after="104"/>
              <w:rPr>
                <w:b/>
                <w:bCs/>
                <w:sz w:val="20"/>
              </w:rPr>
            </w:pPr>
            <w:r w:rsidRPr="00BB229F">
              <w:rPr>
                <w:b/>
                <w:bCs/>
                <w:sz w:val="20"/>
              </w:rPr>
              <w:t>1,200,001 – 3,000,00</w:t>
            </w:r>
          </w:p>
        </w:tc>
        <w:tc>
          <w:tcPr>
            <w:tcW w:w="1080" w:type="dxa"/>
            <w:tcBorders>
              <w:top w:val="single" w:sz="8" w:space="0" w:color="auto"/>
              <w:left w:val="single" w:sz="8" w:space="0" w:color="auto"/>
              <w:bottom w:val="single" w:sz="8" w:space="0" w:color="auto"/>
              <w:right w:val="nil"/>
            </w:tcBorders>
            <w:tcMar>
              <w:top w:w="0" w:type="dxa"/>
              <w:left w:w="62" w:type="dxa"/>
              <w:bottom w:w="0" w:type="dxa"/>
              <w:right w:w="62" w:type="dxa"/>
            </w:tcMar>
            <w:hideMark/>
          </w:tcPr>
          <w:p w:rsidR="00E00103" w:rsidRPr="00BB229F" w:rsidRDefault="00E00103">
            <w:pPr>
              <w:spacing w:before="42" w:after="104"/>
              <w:jc w:val="right"/>
              <w:rPr>
                <w:sz w:val="20"/>
              </w:rPr>
            </w:pPr>
            <w:r w:rsidRPr="00BB229F">
              <w:rPr>
                <w:sz w:val="20"/>
              </w:rPr>
              <w:t>$7,975</w:t>
            </w:r>
          </w:p>
        </w:tc>
        <w:tc>
          <w:tcPr>
            <w:tcW w:w="990" w:type="dxa"/>
            <w:tcBorders>
              <w:top w:val="single" w:sz="8" w:space="0" w:color="auto"/>
              <w:left w:val="single" w:sz="8" w:space="0" w:color="auto"/>
              <w:bottom w:val="single" w:sz="8" w:space="0" w:color="auto"/>
              <w:right w:val="nil"/>
            </w:tcBorders>
            <w:tcMar>
              <w:top w:w="0" w:type="dxa"/>
              <w:left w:w="62" w:type="dxa"/>
              <w:bottom w:w="0" w:type="dxa"/>
              <w:right w:w="62" w:type="dxa"/>
            </w:tcMar>
            <w:hideMark/>
          </w:tcPr>
          <w:p w:rsidR="00E00103" w:rsidRPr="00BB229F" w:rsidRDefault="00E00103">
            <w:pPr>
              <w:spacing w:before="42" w:after="104"/>
              <w:jc w:val="right"/>
              <w:rPr>
                <w:sz w:val="20"/>
              </w:rPr>
            </w:pPr>
            <w:r w:rsidRPr="00BB229F">
              <w:rPr>
                <w:sz w:val="20"/>
              </w:rPr>
              <w:t>$5,700</w:t>
            </w:r>
          </w:p>
        </w:tc>
        <w:tc>
          <w:tcPr>
            <w:tcW w:w="900" w:type="dxa"/>
            <w:tcBorders>
              <w:top w:val="single" w:sz="8" w:space="0" w:color="auto"/>
              <w:left w:val="single" w:sz="8" w:space="0" w:color="auto"/>
              <w:bottom w:val="single" w:sz="8" w:space="0" w:color="auto"/>
              <w:right w:val="nil"/>
            </w:tcBorders>
            <w:tcMar>
              <w:top w:w="0" w:type="dxa"/>
              <w:left w:w="62" w:type="dxa"/>
              <w:bottom w:w="0" w:type="dxa"/>
              <w:right w:w="62" w:type="dxa"/>
            </w:tcMar>
            <w:hideMark/>
          </w:tcPr>
          <w:p w:rsidR="00E00103" w:rsidRPr="00BB229F" w:rsidRDefault="00E00103">
            <w:pPr>
              <w:spacing w:before="42" w:after="104"/>
              <w:jc w:val="right"/>
              <w:rPr>
                <w:sz w:val="20"/>
              </w:rPr>
            </w:pPr>
            <w:r w:rsidRPr="00BB229F">
              <w:rPr>
                <w:sz w:val="20"/>
              </w:rPr>
              <w:t>$4,950</w:t>
            </w:r>
          </w:p>
        </w:tc>
        <w:tc>
          <w:tcPr>
            <w:tcW w:w="900" w:type="dxa"/>
            <w:tcBorders>
              <w:top w:val="single" w:sz="8" w:space="0" w:color="auto"/>
              <w:left w:val="single" w:sz="8" w:space="0" w:color="auto"/>
              <w:bottom w:val="single" w:sz="8" w:space="0" w:color="auto"/>
              <w:right w:val="nil"/>
            </w:tcBorders>
            <w:tcMar>
              <w:top w:w="0" w:type="dxa"/>
              <w:left w:w="62" w:type="dxa"/>
              <w:bottom w:w="0" w:type="dxa"/>
              <w:right w:w="62" w:type="dxa"/>
            </w:tcMar>
            <w:hideMark/>
          </w:tcPr>
          <w:p w:rsidR="00E00103" w:rsidRPr="00BB229F" w:rsidRDefault="00E00103">
            <w:pPr>
              <w:spacing w:before="42" w:after="104"/>
              <w:jc w:val="right"/>
              <w:rPr>
                <w:sz w:val="20"/>
              </w:rPr>
            </w:pPr>
            <w:r w:rsidRPr="00BB229F">
              <w:rPr>
                <w:sz w:val="20"/>
              </w:rPr>
              <w:t>$5,425</w:t>
            </w:r>
          </w:p>
        </w:tc>
        <w:tc>
          <w:tcPr>
            <w:tcW w:w="1440" w:type="dxa"/>
            <w:tcBorders>
              <w:top w:val="single" w:sz="8" w:space="0" w:color="auto"/>
              <w:left w:val="single" w:sz="8" w:space="0" w:color="auto"/>
              <w:bottom w:val="single" w:sz="8" w:space="0" w:color="auto"/>
              <w:right w:val="nil"/>
            </w:tcBorders>
            <w:tcMar>
              <w:top w:w="0" w:type="dxa"/>
              <w:left w:w="62" w:type="dxa"/>
              <w:bottom w:w="0" w:type="dxa"/>
              <w:right w:w="62" w:type="dxa"/>
            </w:tcMar>
            <w:hideMark/>
          </w:tcPr>
          <w:p w:rsidR="00E00103" w:rsidRPr="00BB229F" w:rsidRDefault="00E00103">
            <w:pPr>
              <w:spacing w:before="42" w:after="104"/>
              <w:jc w:val="right"/>
              <w:rPr>
                <w:sz w:val="20"/>
              </w:rPr>
            </w:pPr>
            <w:r w:rsidRPr="00BB229F">
              <w:rPr>
                <w:sz w:val="20"/>
              </w:rPr>
              <w:t>$8,750</w:t>
            </w:r>
          </w:p>
        </w:tc>
        <w:tc>
          <w:tcPr>
            <w:tcW w:w="1350" w:type="dxa"/>
            <w:tcBorders>
              <w:top w:val="single" w:sz="8" w:space="0" w:color="auto"/>
              <w:left w:val="single" w:sz="8" w:space="0" w:color="auto"/>
              <w:bottom w:val="single" w:sz="8" w:space="0" w:color="auto"/>
              <w:right w:val="double" w:sz="6" w:space="0" w:color="auto"/>
            </w:tcBorders>
            <w:tcMar>
              <w:top w:w="0" w:type="dxa"/>
              <w:left w:w="62" w:type="dxa"/>
              <w:bottom w:w="0" w:type="dxa"/>
              <w:right w:w="62" w:type="dxa"/>
            </w:tcMar>
            <w:hideMark/>
          </w:tcPr>
          <w:p w:rsidR="00E00103" w:rsidRPr="00BB229F" w:rsidRDefault="00E00103">
            <w:pPr>
              <w:spacing w:before="42" w:after="104"/>
              <w:jc w:val="right"/>
              <w:rPr>
                <w:sz w:val="20"/>
              </w:rPr>
            </w:pPr>
            <w:r w:rsidRPr="00BB229F">
              <w:rPr>
                <w:sz w:val="20"/>
              </w:rPr>
              <w:t>$9,875</w:t>
            </w:r>
          </w:p>
        </w:tc>
      </w:tr>
      <w:tr w:rsidR="00BB229F" w:rsidRPr="00BB229F" w:rsidTr="00E00103">
        <w:tc>
          <w:tcPr>
            <w:tcW w:w="1890" w:type="dxa"/>
            <w:tcBorders>
              <w:top w:val="nil"/>
              <w:left w:val="double" w:sz="6" w:space="0" w:color="auto"/>
              <w:bottom w:val="single" w:sz="8" w:space="0" w:color="auto"/>
              <w:right w:val="nil"/>
            </w:tcBorders>
            <w:tcMar>
              <w:top w:w="0" w:type="dxa"/>
              <w:left w:w="62" w:type="dxa"/>
              <w:bottom w:w="0" w:type="dxa"/>
              <w:right w:w="62" w:type="dxa"/>
            </w:tcMar>
            <w:hideMark/>
          </w:tcPr>
          <w:p w:rsidR="00E00103" w:rsidRPr="00BB229F" w:rsidRDefault="00E00103">
            <w:pPr>
              <w:spacing w:before="42" w:after="104"/>
              <w:rPr>
                <w:b/>
                <w:bCs/>
                <w:sz w:val="20"/>
              </w:rPr>
            </w:pPr>
            <w:r w:rsidRPr="00BB229F">
              <w:rPr>
                <w:b/>
                <w:bCs/>
                <w:sz w:val="20"/>
              </w:rPr>
              <w:t>3,000,001 – 6,000,00</w:t>
            </w:r>
          </w:p>
        </w:tc>
        <w:tc>
          <w:tcPr>
            <w:tcW w:w="1080" w:type="dxa"/>
            <w:tcBorders>
              <w:top w:val="nil"/>
              <w:left w:val="single" w:sz="8" w:space="0" w:color="auto"/>
              <w:bottom w:val="single" w:sz="8" w:space="0" w:color="auto"/>
              <w:right w:val="nil"/>
            </w:tcBorders>
            <w:tcMar>
              <w:top w:w="0" w:type="dxa"/>
              <w:left w:w="62" w:type="dxa"/>
              <w:bottom w:w="0" w:type="dxa"/>
              <w:right w:w="62" w:type="dxa"/>
            </w:tcMar>
            <w:hideMark/>
          </w:tcPr>
          <w:p w:rsidR="00E00103" w:rsidRPr="00BB229F" w:rsidRDefault="00E00103">
            <w:pPr>
              <w:spacing w:before="42" w:after="104"/>
              <w:jc w:val="right"/>
              <w:rPr>
                <w:sz w:val="20"/>
              </w:rPr>
            </w:pPr>
            <w:r w:rsidRPr="00BB229F">
              <w:rPr>
                <w:sz w:val="20"/>
              </w:rPr>
              <w:t>$11,950</w:t>
            </w:r>
          </w:p>
        </w:tc>
        <w:tc>
          <w:tcPr>
            <w:tcW w:w="990" w:type="dxa"/>
            <w:tcBorders>
              <w:top w:val="nil"/>
              <w:left w:val="single" w:sz="8" w:space="0" w:color="auto"/>
              <w:bottom w:val="single" w:sz="8" w:space="0" w:color="auto"/>
              <w:right w:val="nil"/>
            </w:tcBorders>
            <w:tcMar>
              <w:top w:w="0" w:type="dxa"/>
              <w:left w:w="62" w:type="dxa"/>
              <w:bottom w:w="0" w:type="dxa"/>
              <w:right w:w="62" w:type="dxa"/>
            </w:tcMar>
            <w:hideMark/>
          </w:tcPr>
          <w:p w:rsidR="00E00103" w:rsidRPr="00BB229F" w:rsidRDefault="00E00103">
            <w:pPr>
              <w:spacing w:before="42" w:after="104"/>
              <w:jc w:val="right"/>
              <w:rPr>
                <w:sz w:val="20"/>
              </w:rPr>
            </w:pPr>
            <w:r w:rsidRPr="00BB229F">
              <w:rPr>
                <w:sz w:val="20"/>
              </w:rPr>
              <w:t>$8,550</w:t>
            </w:r>
          </w:p>
        </w:tc>
        <w:tc>
          <w:tcPr>
            <w:tcW w:w="900" w:type="dxa"/>
            <w:tcBorders>
              <w:top w:val="nil"/>
              <w:left w:val="single" w:sz="8" w:space="0" w:color="auto"/>
              <w:bottom w:val="single" w:sz="8" w:space="0" w:color="auto"/>
              <w:right w:val="nil"/>
            </w:tcBorders>
            <w:tcMar>
              <w:top w:w="0" w:type="dxa"/>
              <w:left w:w="62" w:type="dxa"/>
              <w:bottom w:w="0" w:type="dxa"/>
              <w:right w:w="62" w:type="dxa"/>
            </w:tcMar>
            <w:hideMark/>
          </w:tcPr>
          <w:p w:rsidR="00E00103" w:rsidRPr="00BB229F" w:rsidRDefault="00E00103">
            <w:pPr>
              <w:spacing w:before="42" w:after="104"/>
              <w:jc w:val="right"/>
              <w:rPr>
                <w:sz w:val="20"/>
              </w:rPr>
            </w:pPr>
            <w:r w:rsidRPr="00BB229F">
              <w:rPr>
                <w:sz w:val="20"/>
              </w:rPr>
              <w:t>$7,400</w:t>
            </w:r>
          </w:p>
        </w:tc>
        <w:tc>
          <w:tcPr>
            <w:tcW w:w="900" w:type="dxa"/>
            <w:tcBorders>
              <w:top w:val="nil"/>
              <w:left w:val="single" w:sz="8" w:space="0" w:color="auto"/>
              <w:bottom w:val="single" w:sz="8" w:space="0" w:color="auto"/>
              <w:right w:val="nil"/>
            </w:tcBorders>
            <w:tcMar>
              <w:top w:w="0" w:type="dxa"/>
              <w:left w:w="62" w:type="dxa"/>
              <w:bottom w:w="0" w:type="dxa"/>
              <w:right w:w="62" w:type="dxa"/>
            </w:tcMar>
            <w:hideMark/>
          </w:tcPr>
          <w:p w:rsidR="00E00103" w:rsidRPr="00BB229F" w:rsidRDefault="00E00103">
            <w:pPr>
              <w:spacing w:before="42" w:after="104"/>
              <w:jc w:val="right"/>
              <w:rPr>
                <w:sz w:val="20"/>
              </w:rPr>
            </w:pPr>
            <w:r w:rsidRPr="00BB229F">
              <w:rPr>
                <w:sz w:val="20"/>
              </w:rPr>
              <w:t>$8,150</w:t>
            </w:r>
          </w:p>
        </w:tc>
        <w:tc>
          <w:tcPr>
            <w:tcW w:w="1440" w:type="dxa"/>
            <w:tcBorders>
              <w:top w:val="nil"/>
              <w:left w:val="single" w:sz="8" w:space="0" w:color="auto"/>
              <w:bottom w:val="single" w:sz="8" w:space="0" w:color="auto"/>
              <w:right w:val="nil"/>
            </w:tcBorders>
            <w:tcMar>
              <w:top w:w="0" w:type="dxa"/>
              <w:left w:w="62" w:type="dxa"/>
              <w:bottom w:w="0" w:type="dxa"/>
              <w:right w:w="62" w:type="dxa"/>
            </w:tcMar>
            <w:hideMark/>
          </w:tcPr>
          <w:p w:rsidR="00E00103" w:rsidRPr="00BB229F" w:rsidRDefault="00E00103">
            <w:pPr>
              <w:spacing w:before="42" w:after="104"/>
              <w:jc w:val="right"/>
              <w:rPr>
                <w:sz w:val="20"/>
              </w:rPr>
            </w:pPr>
            <w:r w:rsidRPr="00BB229F">
              <w:rPr>
                <w:sz w:val="20"/>
              </w:rPr>
              <w:t>$13,100</w:t>
            </w:r>
          </w:p>
        </w:tc>
        <w:tc>
          <w:tcPr>
            <w:tcW w:w="1350" w:type="dxa"/>
            <w:tcBorders>
              <w:top w:val="nil"/>
              <w:left w:val="single" w:sz="8" w:space="0" w:color="auto"/>
              <w:bottom w:val="single" w:sz="8" w:space="0" w:color="auto"/>
              <w:right w:val="double" w:sz="6" w:space="0" w:color="auto"/>
            </w:tcBorders>
            <w:tcMar>
              <w:top w:w="0" w:type="dxa"/>
              <w:left w:w="62" w:type="dxa"/>
              <w:bottom w:w="0" w:type="dxa"/>
              <w:right w:w="62" w:type="dxa"/>
            </w:tcMar>
            <w:hideMark/>
          </w:tcPr>
          <w:p w:rsidR="00E00103" w:rsidRPr="00BB229F" w:rsidRDefault="00E00103">
            <w:pPr>
              <w:spacing w:before="42" w:after="104"/>
              <w:jc w:val="right"/>
              <w:rPr>
                <w:sz w:val="20"/>
              </w:rPr>
            </w:pPr>
            <w:r w:rsidRPr="00BB229F">
              <w:rPr>
                <w:sz w:val="20"/>
              </w:rPr>
              <w:t>$14,800</w:t>
            </w:r>
          </w:p>
        </w:tc>
      </w:tr>
      <w:tr w:rsidR="00E00103" w:rsidRPr="00BB229F" w:rsidTr="00E00103">
        <w:tc>
          <w:tcPr>
            <w:tcW w:w="1890" w:type="dxa"/>
            <w:tcBorders>
              <w:top w:val="nil"/>
              <w:left w:val="double" w:sz="6" w:space="0" w:color="auto"/>
              <w:bottom w:val="double" w:sz="6" w:space="0" w:color="auto"/>
              <w:right w:val="nil"/>
            </w:tcBorders>
            <w:tcMar>
              <w:top w:w="0" w:type="dxa"/>
              <w:left w:w="62" w:type="dxa"/>
              <w:bottom w:w="0" w:type="dxa"/>
              <w:right w:w="62" w:type="dxa"/>
            </w:tcMar>
            <w:hideMark/>
          </w:tcPr>
          <w:p w:rsidR="00E00103" w:rsidRPr="00BB229F" w:rsidRDefault="00E00103">
            <w:pPr>
              <w:spacing w:before="42" w:after="104"/>
              <w:rPr>
                <w:b/>
                <w:bCs/>
                <w:sz w:val="20"/>
              </w:rPr>
            </w:pPr>
            <w:r w:rsidRPr="00BB229F">
              <w:rPr>
                <w:b/>
                <w:bCs/>
                <w:sz w:val="20"/>
              </w:rPr>
              <w:t>&gt;6,000,000</w:t>
            </w:r>
          </w:p>
        </w:tc>
        <w:tc>
          <w:tcPr>
            <w:tcW w:w="1080" w:type="dxa"/>
            <w:tcBorders>
              <w:top w:val="nil"/>
              <w:left w:val="single" w:sz="8" w:space="0" w:color="auto"/>
              <w:bottom w:val="double" w:sz="6" w:space="0" w:color="auto"/>
              <w:right w:val="nil"/>
            </w:tcBorders>
            <w:tcMar>
              <w:top w:w="0" w:type="dxa"/>
              <w:left w:w="62" w:type="dxa"/>
              <w:bottom w:w="0" w:type="dxa"/>
              <w:right w:w="62" w:type="dxa"/>
            </w:tcMar>
            <w:hideMark/>
          </w:tcPr>
          <w:p w:rsidR="00E00103" w:rsidRPr="00BB229F" w:rsidRDefault="00E00103">
            <w:pPr>
              <w:spacing w:before="42" w:after="104"/>
              <w:jc w:val="right"/>
              <w:rPr>
                <w:sz w:val="20"/>
              </w:rPr>
            </w:pPr>
            <w:r w:rsidRPr="00BB229F">
              <w:rPr>
                <w:sz w:val="20"/>
              </w:rPr>
              <w:t>$17,950</w:t>
            </w:r>
          </w:p>
        </w:tc>
        <w:tc>
          <w:tcPr>
            <w:tcW w:w="990" w:type="dxa"/>
            <w:tcBorders>
              <w:top w:val="nil"/>
              <w:left w:val="single" w:sz="8" w:space="0" w:color="auto"/>
              <w:bottom w:val="double" w:sz="6" w:space="0" w:color="auto"/>
              <w:right w:val="nil"/>
            </w:tcBorders>
            <w:tcMar>
              <w:top w:w="0" w:type="dxa"/>
              <w:left w:w="62" w:type="dxa"/>
              <w:bottom w:w="0" w:type="dxa"/>
              <w:right w:w="62" w:type="dxa"/>
            </w:tcMar>
            <w:hideMark/>
          </w:tcPr>
          <w:p w:rsidR="00E00103" w:rsidRPr="00BB229F" w:rsidRDefault="00E00103">
            <w:pPr>
              <w:spacing w:before="42" w:after="104"/>
              <w:jc w:val="right"/>
              <w:rPr>
                <w:sz w:val="20"/>
              </w:rPr>
            </w:pPr>
            <w:r w:rsidRPr="00BB229F">
              <w:rPr>
                <w:sz w:val="20"/>
              </w:rPr>
              <w:t>$12,825</w:t>
            </w:r>
          </w:p>
        </w:tc>
        <w:tc>
          <w:tcPr>
            <w:tcW w:w="900" w:type="dxa"/>
            <w:tcBorders>
              <w:top w:val="nil"/>
              <w:left w:val="single" w:sz="8" w:space="0" w:color="auto"/>
              <w:bottom w:val="double" w:sz="6" w:space="0" w:color="auto"/>
              <w:right w:val="nil"/>
            </w:tcBorders>
            <w:tcMar>
              <w:top w:w="0" w:type="dxa"/>
              <w:left w:w="62" w:type="dxa"/>
              <w:bottom w:w="0" w:type="dxa"/>
              <w:right w:w="62" w:type="dxa"/>
            </w:tcMar>
            <w:hideMark/>
          </w:tcPr>
          <w:p w:rsidR="00E00103" w:rsidRPr="00BB229F" w:rsidRDefault="00E00103">
            <w:pPr>
              <w:spacing w:before="42" w:after="104"/>
              <w:jc w:val="right"/>
              <w:rPr>
                <w:sz w:val="20"/>
              </w:rPr>
            </w:pPr>
            <w:r w:rsidRPr="00BB229F">
              <w:rPr>
                <w:sz w:val="20"/>
              </w:rPr>
              <w:t>$11,100</w:t>
            </w:r>
          </w:p>
        </w:tc>
        <w:tc>
          <w:tcPr>
            <w:tcW w:w="900" w:type="dxa"/>
            <w:tcBorders>
              <w:top w:val="nil"/>
              <w:left w:val="single" w:sz="8" w:space="0" w:color="auto"/>
              <w:bottom w:val="double" w:sz="6" w:space="0" w:color="auto"/>
              <w:right w:val="nil"/>
            </w:tcBorders>
            <w:tcMar>
              <w:top w:w="0" w:type="dxa"/>
              <w:left w:w="62" w:type="dxa"/>
              <w:bottom w:w="0" w:type="dxa"/>
              <w:right w:w="62" w:type="dxa"/>
            </w:tcMar>
            <w:hideMark/>
          </w:tcPr>
          <w:p w:rsidR="00E00103" w:rsidRPr="00BB229F" w:rsidRDefault="00E00103">
            <w:pPr>
              <w:spacing w:before="42" w:after="104"/>
              <w:jc w:val="right"/>
              <w:rPr>
                <w:sz w:val="20"/>
              </w:rPr>
            </w:pPr>
            <w:r w:rsidRPr="00BB229F">
              <w:rPr>
                <w:sz w:val="20"/>
              </w:rPr>
              <w:t>$12,225</w:t>
            </w:r>
          </w:p>
        </w:tc>
        <w:tc>
          <w:tcPr>
            <w:tcW w:w="1440" w:type="dxa"/>
            <w:tcBorders>
              <w:top w:val="nil"/>
              <w:left w:val="single" w:sz="8" w:space="0" w:color="auto"/>
              <w:bottom w:val="double" w:sz="6" w:space="0" w:color="auto"/>
              <w:right w:val="nil"/>
            </w:tcBorders>
            <w:tcMar>
              <w:top w:w="0" w:type="dxa"/>
              <w:left w:w="62" w:type="dxa"/>
              <w:bottom w:w="0" w:type="dxa"/>
              <w:right w:w="62" w:type="dxa"/>
            </w:tcMar>
            <w:hideMark/>
          </w:tcPr>
          <w:p w:rsidR="00E00103" w:rsidRPr="00BB229F" w:rsidRDefault="00E00103">
            <w:pPr>
              <w:spacing w:before="42" w:after="104"/>
              <w:jc w:val="right"/>
              <w:rPr>
                <w:sz w:val="20"/>
              </w:rPr>
            </w:pPr>
            <w:r w:rsidRPr="00BB229F">
              <w:rPr>
                <w:sz w:val="20"/>
              </w:rPr>
              <w:t>$19,650</w:t>
            </w:r>
          </w:p>
        </w:tc>
        <w:tc>
          <w:tcPr>
            <w:tcW w:w="1350" w:type="dxa"/>
            <w:tcBorders>
              <w:top w:val="nil"/>
              <w:left w:val="single" w:sz="8" w:space="0" w:color="auto"/>
              <w:bottom w:val="double" w:sz="6" w:space="0" w:color="auto"/>
              <w:right w:val="double" w:sz="6" w:space="0" w:color="auto"/>
            </w:tcBorders>
            <w:tcMar>
              <w:top w:w="0" w:type="dxa"/>
              <w:left w:w="62" w:type="dxa"/>
              <w:bottom w:w="0" w:type="dxa"/>
              <w:right w:w="62" w:type="dxa"/>
            </w:tcMar>
            <w:hideMark/>
          </w:tcPr>
          <w:p w:rsidR="00E00103" w:rsidRPr="00BB229F" w:rsidRDefault="00E00103">
            <w:pPr>
              <w:spacing w:before="42" w:after="104"/>
              <w:jc w:val="right"/>
              <w:rPr>
                <w:sz w:val="20"/>
              </w:rPr>
            </w:pPr>
            <w:r w:rsidRPr="00BB229F">
              <w:rPr>
                <w:sz w:val="20"/>
              </w:rPr>
              <w:t>$22,225</w:t>
            </w:r>
          </w:p>
        </w:tc>
      </w:tr>
    </w:tbl>
    <w:p w:rsidR="00E00103" w:rsidRPr="00BB229F" w:rsidRDefault="00E00103" w:rsidP="00AA171A">
      <w:pPr>
        <w:pStyle w:val="ParaNum"/>
        <w:numPr>
          <w:ilvl w:val="0"/>
          <w:numId w:val="0"/>
        </w:numPr>
        <w:ind w:left="720"/>
      </w:pPr>
    </w:p>
    <w:p w:rsidR="00F570F5" w:rsidRPr="00BB229F" w:rsidRDefault="00F570F5" w:rsidP="009D63B2">
      <w:pPr>
        <w:pStyle w:val="Heading2"/>
      </w:pPr>
      <w:bookmarkStart w:id="18" w:name="_Toc491865029"/>
      <w:bookmarkStart w:id="19" w:name="_Toc491865444"/>
      <w:r w:rsidRPr="00BB229F">
        <w:t>Broadcast Television Satellite</w:t>
      </w:r>
    </w:p>
    <w:p w:rsidR="00F570F5" w:rsidRPr="00BB229F" w:rsidRDefault="00F570F5" w:rsidP="00F570F5">
      <w:pPr>
        <w:pStyle w:val="ParaNum"/>
        <w:rPr>
          <w:rFonts w:ascii="Calibri" w:hAnsi="Calibri" w:cs="Calibri"/>
        </w:rPr>
      </w:pPr>
      <w:r w:rsidRPr="00BB229F">
        <w:t>Broadcast television satellite stations pay a lower regulatory fee than standalone full service broadcast television stations, and some of these stations are designated as such pursuant to note 5 to section 73.3555 of the Commission’s rules.</w:t>
      </w:r>
      <w:r w:rsidRPr="00BB229F">
        <w:rPr>
          <w:rStyle w:val="FootnoteReference"/>
          <w:szCs w:val="22"/>
        </w:rPr>
        <w:footnoteReference w:id="102"/>
      </w:r>
      <w:r w:rsidRPr="00BB229F">
        <w:t xml:space="preserve">  For purposes of regulatory fees, we historically have identified as satellite stations those so listed in the Media Bureau’s Consolidated Data Base System (CDBS), the Television and Cable Factbook, or BIA/Kelsey MEDIA Access Pro.</w:t>
      </w:r>
      <w:r w:rsidRPr="00BB229F">
        <w:rPr>
          <w:rStyle w:val="FootnoteReference"/>
          <w:szCs w:val="22"/>
        </w:rPr>
        <w:footnoteReference w:id="103"/>
      </w:r>
      <w:r w:rsidRPr="00BB229F">
        <w:t xml:space="preserve">  In the </w:t>
      </w:r>
      <w:r w:rsidRPr="00BB229F">
        <w:rPr>
          <w:i/>
        </w:rPr>
        <w:t>FY 2017 NPRM</w:t>
      </w:r>
      <w:r w:rsidRPr="00BB229F">
        <w:t>, the Commission sought comment on basing the categorization of television satellite stations for regulatory fee payments on authorization under note 5 of section 73.3555 of the Commission’s rules, and noted that the Television and Cable Factbook may identify some stations as satellite stations that are not listed in the Media Bureau’s records.</w:t>
      </w:r>
      <w:r w:rsidRPr="00BB229F">
        <w:rPr>
          <w:rStyle w:val="FootnoteReference"/>
          <w:szCs w:val="22"/>
        </w:rPr>
        <w:footnoteReference w:id="104"/>
      </w:r>
      <w:r w:rsidRPr="00BB229F">
        <w:t xml:space="preserve">  We received limited comments on the issue and do not have adequate support to change the methodology for determining which stations are satellites at this time.  We recognize that regulatees rely on consistency of treatment.  Therefore, for FY 2017 regulatory fees we treat broadcast television satellite stations as satellite stations that are listed as such in CDBS, the 2017 Television and Cable Factbook, or BIA/Kelsey MEDIA Access Pro, or paid regulatory fees as a satellite station in FY 2016.</w:t>
      </w:r>
      <w:r w:rsidRPr="00BB229F">
        <w:rPr>
          <w:rStyle w:val="FootnoteReference"/>
          <w:szCs w:val="22"/>
        </w:rPr>
        <w:footnoteReference w:id="105"/>
      </w:r>
      <w:r w:rsidRPr="00BB229F">
        <w:t xml:space="preserve">  In the future, we intend to continue examining the appropriate methodology for categorizing when a station should only be assessed regulatory fees at the satellite station level. In doing so, as with other fee reforms, the Commission will work to ensure that any proposed changes to our fee structure are </w:t>
      </w:r>
      <w:r w:rsidRPr="00BB229F">
        <w:rPr>
          <w:rStyle w:val="cosearchterm"/>
        </w:rPr>
        <w:t>equitable</w:t>
      </w:r>
      <w:r w:rsidRPr="00BB229F">
        <w:t>, administrable, and sustainable.</w:t>
      </w:r>
      <w:r w:rsidRPr="00BB229F">
        <w:rPr>
          <w:rStyle w:val="FootnoteReference"/>
        </w:rPr>
        <w:footnoteReference w:id="106"/>
      </w:r>
      <w:r w:rsidRPr="00BB229F">
        <w:t xml:space="preserve"> </w:t>
      </w:r>
    </w:p>
    <w:p w:rsidR="009D63B2" w:rsidRPr="00BB229F" w:rsidRDefault="009D63B2" w:rsidP="009D63B2">
      <w:pPr>
        <w:pStyle w:val="Heading2"/>
      </w:pPr>
      <w:r w:rsidRPr="00BB229F">
        <w:t>Submarine Cable Regulatory Fees</w:t>
      </w:r>
      <w:bookmarkEnd w:id="18"/>
      <w:bookmarkEnd w:id="19"/>
    </w:p>
    <w:p w:rsidR="004B51C1" w:rsidRPr="00BB229F" w:rsidRDefault="00F73B94" w:rsidP="004B51C1">
      <w:pPr>
        <w:pStyle w:val="ParaNum"/>
      </w:pPr>
      <w:r w:rsidRPr="00BB229F">
        <w:t>The Coalition</w:t>
      </w:r>
      <w:r w:rsidR="006F0F0B" w:rsidRPr="00BB229F">
        <w:t>, a group of submarine cable operators,</w:t>
      </w:r>
      <w:r w:rsidRPr="00BB229F">
        <w:t xml:space="preserve"> objects to the proposed FY 2017 </w:t>
      </w:r>
      <w:r w:rsidR="0024146D" w:rsidRPr="00BB229F">
        <w:t xml:space="preserve">regulatory </w:t>
      </w:r>
      <w:r w:rsidRPr="00BB229F">
        <w:t>fees</w:t>
      </w:r>
      <w:r w:rsidR="0024146D" w:rsidRPr="00BB229F">
        <w:t xml:space="preserve"> for the submarine cable industry</w:t>
      </w:r>
      <w:r w:rsidR="00DC1273" w:rsidRPr="00BB229F">
        <w:t>, observing that the total amount the Commission is collecting for FY 2017 ($356,710,992) is less than the amount collected for FY 2016 ($384,012,497</w:t>
      </w:r>
      <w:r w:rsidR="00010664" w:rsidRPr="00BB229F">
        <w:t>, of which $44,168,497 was to offset facilities reduction costs</w:t>
      </w:r>
      <w:r w:rsidR="00DC1273" w:rsidRPr="00BB229F">
        <w:t>)</w:t>
      </w:r>
      <w:r w:rsidR="00021E9C" w:rsidRPr="00BB229F">
        <w:t>,</w:t>
      </w:r>
      <w:r w:rsidR="00DC1273" w:rsidRPr="00BB229F">
        <w:t xml:space="preserve"> yet the regulatory fee for the highest tier submarine cable system was $133,200 for FY 2016 and the rate proposed for FY 2017, for the highest tier, </w:t>
      </w:r>
      <w:r w:rsidR="00EA706F" w:rsidRPr="00BB229F">
        <w:t>i</w:t>
      </w:r>
      <w:r w:rsidR="00DC1273" w:rsidRPr="00BB229F">
        <w:t>s $135,700.</w:t>
      </w:r>
      <w:r w:rsidR="00C449DE" w:rsidRPr="00BB229F">
        <w:rPr>
          <w:rStyle w:val="FootnoteReference"/>
        </w:rPr>
        <w:footnoteReference w:id="107"/>
      </w:r>
      <w:r w:rsidR="00DC1273" w:rsidRPr="00BB229F">
        <w:t xml:space="preserve">  </w:t>
      </w:r>
      <w:r w:rsidR="00CA784E" w:rsidRPr="00BB229F">
        <w:t xml:space="preserve">The Coalition states that the </w:t>
      </w:r>
      <w:r w:rsidR="00CA784E" w:rsidRPr="00BB229F">
        <w:rPr>
          <w:i/>
        </w:rPr>
        <w:t>FY 2017 NPRM</w:t>
      </w:r>
      <w:r w:rsidR="00CA784E" w:rsidRPr="00BB229F">
        <w:t xml:space="preserve"> </w:t>
      </w:r>
      <w:r w:rsidR="00561991" w:rsidRPr="00BB229F">
        <w:t xml:space="preserve">does not adequately justify </w:t>
      </w:r>
      <w:r w:rsidR="00CA784E" w:rsidRPr="00BB229F">
        <w:t>the proposed increase in fe</w:t>
      </w:r>
      <w:r w:rsidR="00EA706F" w:rsidRPr="00BB229F">
        <w:t>es for submarine cable systems</w:t>
      </w:r>
      <w:r w:rsidR="00DC1273" w:rsidRPr="00BB229F">
        <w:t>.</w:t>
      </w:r>
      <w:r w:rsidR="00CA784E" w:rsidRPr="00BB229F">
        <w:rPr>
          <w:rStyle w:val="FootnoteReference"/>
        </w:rPr>
        <w:footnoteReference w:id="108"/>
      </w:r>
      <w:r w:rsidR="0038425C" w:rsidRPr="00BB229F">
        <w:t xml:space="preserve">  The Coalition argues that the FY 2016 rate included a one-time facilities reduction charge and the FY 2017 rate should be less than the FY 2016 rate because the number of payment units are the same.</w:t>
      </w:r>
      <w:r w:rsidR="00352434" w:rsidRPr="00BB229F">
        <w:rPr>
          <w:rStyle w:val="FootnoteReference"/>
        </w:rPr>
        <w:footnoteReference w:id="109"/>
      </w:r>
      <w:r w:rsidR="000F0EF2" w:rsidRPr="00BB229F">
        <w:t xml:space="preserve">  The Coalition con</w:t>
      </w:r>
      <w:r w:rsidR="00561991" w:rsidRPr="00BB229F">
        <w:t>tends</w:t>
      </w:r>
      <w:r w:rsidR="000F0EF2" w:rsidRPr="00BB229F">
        <w:t xml:space="preserve"> that the Commission </w:t>
      </w:r>
      <w:r w:rsidR="00F42D3F" w:rsidRPr="00BB229F">
        <w:t>is subsidizing unrelated activities to the detriment of the submarine cable operators.</w:t>
      </w:r>
      <w:r w:rsidR="00F42D3F" w:rsidRPr="00BB229F">
        <w:rPr>
          <w:rStyle w:val="FootnoteReference"/>
        </w:rPr>
        <w:footnoteReference w:id="110"/>
      </w:r>
      <w:r w:rsidR="00A5183B" w:rsidRPr="00BB229F">
        <w:t xml:space="preserve">  </w:t>
      </w:r>
    </w:p>
    <w:p w:rsidR="00790A09" w:rsidRPr="00BB229F" w:rsidRDefault="00BF280E" w:rsidP="00683D33">
      <w:pPr>
        <w:pStyle w:val="ParaNum"/>
      </w:pPr>
      <w:r w:rsidRPr="00BB229F">
        <w:t xml:space="preserve">We disagree with the Coalition’s argument.  The increase in regulatory fee rates for the International Bureau regulatees is due to the </w:t>
      </w:r>
      <w:r w:rsidR="00E04275" w:rsidRPr="00BB229F">
        <w:t xml:space="preserve">reallocation of 38 Wireline Competition Bureau direct </w:t>
      </w:r>
      <w:r w:rsidRPr="00BB229F">
        <w:t>FTEs</w:t>
      </w:r>
      <w:r w:rsidR="00E04275" w:rsidRPr="00BB229F">
        <w:t xml:space="preserve"> as indirect in FY 2017,</w:t>
      </w:r>
      <w:r w:rsidRPr="00BB229F">
        <w:t xml:space="preserve"> as discussed above.  Although the amount collected overall is less in FY 2017 than in FY 2016, the allocation percentage of regulatory fees for the International Bureau increased from 5.6 percent in FY 2016</w:t>
      </w:r>
      <w:r w:rsidRPr="00BB229F">
        <w:rPr>
          <w:rStyle w:val="FootnoteReference"/>
        </w:rPr>
        <w:footnoteReference w:id="111"/>
      </w:r>
      <w:r w:rsidRPr="00BB229F">
        <w:t xml:space="preserve"> to 6.22 percent for FY 2017</w:t>
      </w:r>
      <w:r w:rsidR="00A852D1" w:rsidRPr="00BB229F">
        <w:t>,</w:t>
      </w:r>
      <w:r w:rsidRPr="00BB229F">
        <w:rPr>
          <w:rStyle w:val="FootnoteReference"/>
        </w:rPr>
        <w:footnoteReference w:id="112"/>
      </w:r>
      <w:r w:rsidR="00A852D1" w:rsidRPr="00BB229F">
        <w:t xml:space="preserve"> due to the increase in indirect FTEs.  We also note that t</w:t>
      </w:r>
      <w:r w:rsidR="004B51C1" w:rsidRPr="00BB229F">
        <w:t>he regulatory fees paid by the submarine cable operators cover</w:t>
      </w:r>
      <w:r w:rsidR="00153822" w:rsidRPr="00BB229F">
        <w:t>, in addition to the services that the International Bureau provides to submarine cable operators,</w:t>
      </w:r>
      <w:r w:rsidR="004B51C1" w:rsidRPr="00BB229F">
        <w:t xml:space="preserve"> the services provided to common carriers using submarine cable circuits.</w:t>
      </w:r>
      <w:r w:rsidR="004B51C1" w:rsidRPr="00BB229F">
        <w:rPr>
          <w:rStyle w:val="FootnoteReference"/>
        </w:rPr>
        <w:footnoteReference w:id="113"/>
      </w:r>
      <w:r w:rsidR="004B51C1" w:rsidRPr="00BB229F">
        <w:t xml:space="preserve">  </w:t>
      </w:r>
      <w:r w:rsidR="00E04275" w:rsidRPr="00BB229F">
        <w:t>The</w:t>
      </w:r>
      <w:r w:rsidR="004B51C1" w:rsidRPr="00BB229F">
        <w:t xml:space="preserve"> International Bureau </w:t>
      </w:r>
      <w:r w:rsidR="00E04275" w:rsidRPr="00BB229F">
        <w:t xml:space="preserve">provides many </w:t>
      </w:r>
      <w:r w:rsidR="004B51C1" w:rsidRPr="00BB229F">
        <w:t xml:space="preserve">services </w:t>
      </w:r>
      <w:r w:rsidR="00E04275" w:rsidRPr="00BB229F">
        <w:t xml:space="preserve">on behalf of </w:t>
      </w:r>
      <w:r w:rsidR="004B51C1" w:rsidRPr="00BB229F">
        <w:t>common carriers using submarine cable circuits, such as benchmarks enforcement,</w:t>
      </w:r>
      <w:r w:rsidR="004B51C1" w:rsidRPr="00BB229F">
        <w:rPr>
          <w:rStyle w:val="FootnoteReference"/>
        </w:rPr>
        <w:footnoteReference w:id="114"/>
      </w:r>
      <w:r w:rsidR="004B51C1" w:rsidRPr="00BB229F">
        <w:t xml:space="preserve"> protection from anticompetitive actions by foreign carriers, </w:t>
      </w:r>
      <w:r w:rsidR="00EB7BBF" w:rsidRPr="00BB229F">
        <w:t xml:space="preserve">section 310(b) </w:t>
      </w:r>
      <w:r w:rsidR="004B51C1" w:rsidRPr="00BB229F">
        <w:t xml:space="preserve">foreign ownership rulings, </w:t>
      </w:r>
      <w:r w:rsidR="005E00F7" w:rsidRPr="00BB229F">
        <w:t xml:space="preserve">international </w:t>
      </w:r>
      <w:r w:rsidR="004B51C1" w:rsidRPr="00BB229F">
        <w:t xml:space="preserve">section 214 authorizations, </w:t>
      </w:r>
      <w:r w:rsidR="00EB7BBF" w:rsidRPr="00BB229F">
        <w:t xml:space="preserve">and </w:t>
      </w:r>
      <w:r w:rsidR="004B51C1" w:rsidRPr="00BB229F">
        <w:t xml:space="preserve">representation of U.S. interests at </w:t>
      </w:r>
      <w:r w:rsidR="00EB7BBF" w:rsidRPr="00BB229F">
        <w:t xml:space="preserve">bilateral and multilateral negotiations and </w:t>
      </w:r>
      <w:r w:rsidR="004B51C1" w:rsidRPr="00BB229F">
        <w:t>international organizations.</w:t>
      </w:r>
      <w:r w:rsidR="004B51C1" w:rsidRPr="00BB229F">
        <w:rPr>
          <w:rStyle w:val="FootnoteReference"/>
        </w:rPr>
        <w:footnoteReference w:id="115"/>
      </w:r>
      <w:r w:rsidR="004B51C1" w:rsidRPr="00BB229F">
        <w:t xml:space="preserve">  </w:t>
      </w:r>
      <w:r w:rsidR="00ED3A5D" w:rsidRPr="00BB229F">
        <w:t xml:space="preserve">After reviewing the record, including the comments from the submarine cable industry, we are adopting the fee proposed </w:t>
      </w:r>
      <w:r w:rsidR="00960050" w:rsidRPr="00BB229F">
        <w:t xml:space="preserve">in the </w:t>
      </w:r>
      <w:r w:rsidR="00597CAF" w:rsidRPr="00BB229F">
        <w:rPr>
          <w:i/>
        </w:rPr>
        <w:t xml:space="preserve">FY 2017 </w:t>
      </w:r>
      <w:r w:rsidR="00960050" w:rsidRPr="00BB229F">
        <w:rPr>
          <w:i/>
        </w:rPr>
        <w:t>NPRM</w:t>
      </w:r>
      <w:r w:rsidR="00960050" w:rsidRPr="00BB229F">
        <w:t xml:space="preserve"> </w:t>
      </w:r>
      <w:r w:rsidR="00ED3A5D" w:rsidRPr="00BB229F">
        <w:t>for submarine cable systems.</w:t>
      </w:r>
    </w:p>
    <w:p w:rsidR="00C00E24" w:rsidRPr="00BB229F" w:rsidRDefault="00C00E24" w:rsidP="00C00E24">
      <w:pPr>
        <w:pStyle w:val="Heading2"/>
      </w:pPr>
      <w:bookmarkStart w:id="20" w:name="_Toc491865030"/>
      <w:bookmarkStart w:id="21" w:name="_Toc491865445"/>
      <w:r w:rsidRPr="00BB229F">
        <w:t>International Bearer Circuits</w:t>
      </w:r>
      <w:bookmarkEnd w:id="20"/>
      <w:bookmarkEnd w:id="21"/>
    </w:p>
    <w:p w:rsidR="00C00E24" w:rsidRPr="00BB229F" w:rsidRDefault="00C00E24" w:rsidP="00C00E24">
      <w:pPr>
        <w:pStyle w:val="ParaNum"/>
        <w:widowControl/>
        <w:rPr>
          <w:szCs w:val="22"/>
        </w:rPr>
      </w:pPr>
      <w:r w:rsidRPr="00BB229F">
        <w:t>In 2009,</w:t>
      </w:r>
      <w:r w:rsidR="00892719" w:rsidRPr="00BB229F">
        <w:rPr>
          <w:rStyle w:val="FootnoteReference"/>
        </w:rPr>
        <w:footnoteReference w:id="116"/>
      </w:r>
      <w:r w:rsidRPr="00BB229F">
        <w:t xml:space="preserve"> the Commission adopted a new methodology for calculating submarine </w:t>
      </w:r>
      <w:r w:rsidR="00B8452F" w:rsidRPr="00BB229F">
        <w:t xml:space="preserve">cable </w:t>
      </w:r>
      <w:r w:rsidRPr="00BB229F">
        <w:t>international bearer circuits regulatory fees by</w:t>
      </w:r>
      <w:r w:rsidR="00561991" w:rsidRPr="00BB229F">
        <w:t>:</w:t>
      </w:r>
      <w:r w:rsidRPr="00BB229F">
        <w:t xml:space="preserve"> (i) eliminating the distinction between common carriers and non-common carriers</w:t>
      </w:r>
      <w:r w:rsidRPr="00BB229F">
        <w:rPr>
          <w:rStyle w:val="FootnoteReference"/>
          <w:rFonts w:eastAsiaTheme="minorEastAsia"/>
        </w:rPr>
        <w:footnoteReference w:id="117"/>
      </w:r>
      <w:r w:rsidRPr="00BB229F">
        <w:t xml:space="preserve"> and (ii) assessing a flat per cable landing license fee</w:t>
      </w:r>
      <w:r w:rsidRPr="00BB229F">
        <w:rPr>
          <w:rStyle w:val="FootnoteReference"/>
        </w:rPr>
        <w:footnoteReference w:id="118"/>
      </w:r>
      <w:r w:rsidRPr="00BB229F">
        <w:t xml:space="preserve"> for all submarine cable systems with higher fees for larger submarine cable systems and lower fees for smaller systems.</w:t>
      </w:r>
      <w:r w:rsidRPr="00BB229F">
        <w:rPr>
          <w:rStyle w:val="FootnoteReference"/>
        </w:rPr>
        <w:footnoteReference w:id="119"/>
      </w:r>
      <w:r w:rsidR="004562C5" w:rsidRPr="00BB229F">
        <w:t xml:space="preserve">  </w:t>
      </w:r>
      <w:r w:rsidRPr="00BB229F">
        <w:t>The Commission concluded that the new methodology would be more equitable and would encourage better compliance with the regulatory fee requirements.</w:t>
      </w:r>
      <w:r w:rsidRPr="00BB229F">
        <w:rPr>
          <w:rStyle w:val="FootnoteReference"/>
        </w:rPr>
        <w:footnoteReference w:id="120"/>
      </w:r>
      <w:r w:rsidRPr="00BB229F">
        <w:t xml:space="preserve">  The Commission did not revise the terrestrial and satellite IBC regulatory fee methodology at that time because of the “complexity of the legal, policy and equity issues involved.”</w:t>
      </w:r>
      <w:r w:rsidRPr="00BB229F">
        <w:rPr>
          <w:rStyle w:val="FootnoteReference"/>
        </w:rPr>
        <w:footnoteReference w:id="121"/>
      </w:r>
      <w:r w:rsidRPr="00BB229F">
        <w:t xml:space="preserve">  </w:t>
      </w:r>
    </w:p>
    <w:p w:rsidR="00C00E24" w:rsidRPr="00BB229F" w:rsidRDefault="00C00E24" w:rsidP="00C00E24">
      <w:pPr>
        <w:pStyle w:val="ParaNum"/>
        <w:widowControl/>
        <w:rPr>
          <w:szCs w:val="22"/>
        </w:rPr>
      </w:pPr>
      <w:r w:rsidRPr="00BB229F">
        <w:t xml:space="preserve">In the </w:t>
      </w:r>
      <w:r w:rsidRPr="00BB229F">
        <w:rPr>
          <w:i/>
        </w:rPr>
        <w:t>FY 2016 NPRM</w:t>
      </w:r>
      <w:r w:rsidRPr="00BB229F">
        <w:t>, the Commission revisited the disparate treatment of terrestrial and satellite IBCs vis-à-vis submarine IBCs,</w:t>
      </w:r>
      <w:r w:rsidRPr="00BB229F">
        <w:rPr>
          <w:rStyle w:val="FootnoteReference"/>
          <w:rFonts w:eastAsiaTheme="minorEastAsia"/>
        </w:rPr>
        <w:footnoteReference w:id="122"/>
      </w:r>
      <w:r w:rsidRPr="00BB229F">
        <w:rPr>
          <w:rFonts w:eastAsiaTheme="minorEastAsia"/>
        </w:rPr>
        <w:t xml:space="preserve"> but subsequently decided that the </w:t>
      </w:r>
      <w:r w:rsidRPr="00BB229F">
        <w:t>record was insufficient to change the fee methodology</w:t>
      </w:r>
      <w:r w:rsidRPr="00BB229F">
        <w:rPr>
          <w:rFonts w:eastAsiaTheme="minorEastAsia"/>
        </w:rPr>
        <w:t>.</w:t>
      </w:r>
      <w:r w:rsidRPr="00BB229F">
        <w:rPr>
          <w:rStyle w:val="FootnoteReference"/>
          <w:rFonts w:eastAsiaTheme="minorEastAsia"/>
        </w:rPr>
        <w:footnoteReference w:id="123"/>
      </w:r>
      <w:r w:rsidRPr="00BB229F">
        <w:rPr>
          <w:rFonts w:eastAsiaTheme="minorEastAsia"/>
        </w:rPr>
        <w:t xml:space="preserve">  In the </w:t>
      </w:r>
      <w:r w:rsidRPr="00BB229F">
        <w:rPr>
          <w:rFonts w:eastAsiaTheme="minorEastAsia"/>
          <w:i/>
        </w:rPr>
        <w:t>FY 2017 NPRM</w:t>
      </w:r>
      <w:r w:rsidRPr="00BB229F">
        <w:rPr>
          <w:rFonts w:eastAsiaTheme="minorEastAsia"/>
        </w:rPr>
        <w:t>,</w:t>
      </w:r>
      <w:r w:rsidRPr="00BB229F">
        <w:rPr>
          <w:rFonts w:eastAsiaTheme="minorEastAsia"/>
          <w:i/>
        </w:rPr>
        <w:t xml:space="preserve"> </w:t>
      </w:r>
      <w:r w:rsidRPr="00BB229F">
        <w:rPr>
          <w:rFonts w:eastAsiaTheme="minorEastAsia"/>
        </w:rPr>
        <w:t xml:space="preserve">the Commission again sought comment on how to update and </w:t>
      </w:r>
      <w:r w:rsidRPr="00BB229F">
        <w:t xml:space="preserve">improve the regulatory fee assessment for terrestrial and satellite IBCs.  Specifically, </w:t>
      </w:r>
      <w:r w:rsidR="00561991" w:rsidRPr="00BB229F">
        <w:t>the Commission</w:t>
      </w:r>
      <w:r w:rsidRPr="00BB229F">
        <w:t xml:space="preserve"> sought comment on </w:t>
      </w:r>
      <w:r w:rsidR="006266A9" w:rsidRPr="00BB229F">
        <w:t>several issues</w:t>
      </w:r>
      <w:r w:rsidR="00EC01B7" w:rsidRPr="00BB229F">
        <w:t xml:space="preserve"> raised by Level 3</w:t>
      </w:r>
      <w:r w:rsidR="006266A9" w:rsidRPr="00BB229F">
        <w:t>:</w:t>
      </w:r>
      <w:r w:rsidR="00EC01B7" w:rsidRPr="00BB229F">
        <w:rPr>
          <w:rStyle w:val="FootnoteReference"/>
        </w:rPr>
        <w:footnoteReference w:id="124"/>
      </w:r>
      <w:r w:rsidRPr="00BB229F">
        <w:t xml:space="preserve"> </w:t>
      </w:r>
      <w:r w:rsidRPr="00BB229F">
        <w:rPr>
          <w:rFonts w:eastAsiaTheme="minorEastAsia"/>
        </w:rPr>
        <w:t>adopting a flat, per-provider fee, similar to the submarine cable regulatory fee methodology, based on capacity</w:t>
      </w:r>
      <w:r w:rsidR="006266A9" w:rsidRPr="00BB229F">
        <w:rPr>
          <w:rStyle w:val="FootnoteReference"/>
          <w:rFonts w:eastAsiaTheme="minorEastAsia"/>
        </w:rPr>
        <w:footnoteReference w:id="125"/>
      </w:r>
      <w:r w:rsidR="00D1085B" w:rsidRPr="00BB229F">
        <w:rPr>
          <w:rFonts w:eastAsiaTheme="minorEastAsia"/>
        </w:rPr>
        <w:t xml:space="preserve"> and</w:t>
      </w:r>
      <w:r w:rsidR="00B22E9F" w:rsidRPr="00BB229F">
        <w:rPr>
          <w:rFonts w:eastAsiaTheme="minorEastAsia"/>
        </w:rPr>
        <w:t xml:space="preserve"> </w:t>
      </w:r>
      <w:r w:rsidR="00DA148A" w:rsidRPr="00BB229F">
        <w:rPr>
          <w:rFonts w:eastAsiaTheme="minorEastAsia"/>
        </w:rPr>
        <w:t xml:space="preserve">including </w:t>
      </w:r>
      <w:r w:rsidR="00B22E9F" w:rsidRPr="00BB229F">
        <w:rPr>
          <w:rFonts w:eastAsiaTheme="minorEastAsia"/>
        </w:rPr>
        <w:t xml:space="preserve">all </w:t>
      </w:r>
      <w:r w:rsidR="00372AA2" w:rsidRPr="00BB229F">
        <w:rPr>
          <w:rFonts w:eastAsiaTheme="minorEastAsia"/>
        </w:rPr>
        <w:t xml:space="preserve">terrestrial </w:t>
      </w:r>
      <w:r w:rsidR="00B22E9F" w:rsidRPr="00BB229F">
        <w:rPr>
          <w:rFonts w:eastAsiaTheme="minorEastAsia"/>
        </w:rPr>
        <w:t xml:space="preserve">IBCs, </w:t>
      </w:r>
      <w:r w:rsidR="00562F19" w:rsidRPr="00BB229F">
        <w:rPr>
          <w:rFonts w:eastAsiaTheme="minorEastAsia"/>
        </w:rPr>
        <w:t xml:space="preserve">i.e., both </w:t>
      </w:r>
      <w:r w:rsidRPr="00BB229F">
        <w:rPr>
          <w:rFonts w:eastAsiaTheme="minorEastAsia"/>
        </w:rPr>
        <w:t>common</w:t>
      </w:r>
      <w:r w:rsidR="00B22E9F" w:rsidRPr="00BB229F">
        <w:rPr>
          <w:rFonts w:eastAsiaTheme="minorEastAsia"/>
        </w:rPr>
        <w:t xml:space="preserve"> </w:t>
      </w:r>
      <w:r w:rsidRPr="00BB229F">
        <w:rPr>
          <w:rFonts w:eastAsiaTheme="minorEastAsia"/>
        </w:rPr>
        <w:t>carrier</w:t>
      </w:r>
      <w:r w:rsidR="009214F6" w:rsidRPr="00BB229F">
        <w:rPr>
          <w:rFonts w:eastAsiaTheme="minorEastAsia"/>
        </w:rPr>
        <w:t xml:space="preserve"> and</w:t>
      </w:r>
      <w:r w:rsidR="00B22E9F" w:rsidRPr="00BB229F">
        <w:rPr>
          <w:rFonts w:eastAsiaTheme="minorEastAsia"/>
        </w:rPr>
        <w:t xml:space="preserve"> </w:t>
      </w:r>
      <w:r w:rsidRPr="00BB229F">
        <w:rPr>
          <w:rFonts w:eastAsiaTheme="minorEastAsia"/>
        </w:rPr>
        <w:t>non-common</w:t>
      </w:r>
      <w:r w:rsidR="00B22E9F" w:rsidRPr="00BB229F">
        <w:rPr>
          <w:rFonts w:eastAsiaTheme="minorEastAsia"/>
        </w:rPr>
        <w:t xml:space="preserve"> </w:t>
      </w:r>
      <w:r w:rsidRPr="00BB229F">
        <w:rPr>
          <w:rFonts w:eastAsiaTheme="minorEastAsia"/>
        </w:rPr>
        <w:t>carrier</w:t>
      </w:r>
      <w:r w:rsidR="00B22E9F" w:rsidRPr="00BB229F">
        <w:rPr>
          <w:rFonts w:eastAsiaTheme="minorEastAsia"/>
        </w:rPr>
        <w:t xml:space="preserve">, </w:t>
      </w:r>
      <w:r w:rsidRPr="00BB229F">
        <w:rPr>
          <w:rFonts w:eastAsiaTheme="minorEastAsia"/>
        </w:rPr>
        <w:t>for regulatory fee purposes</w:t>
      </w:r>
      <w:r w:rsidR="00D1085B" w:rsidRPr="00BB229F">
        <w:rPr>
          <w:rFonts w:eastAsiaTheme="minorEastAsia"/>
        </w:rPr>
        <w:t>.</w:t>
      </w:r>
      <w:r w:rsidR="00DB5199" w:rsidRPr="00BB229F">
        <w:rPr>
          <w:rStyle w:val="FootnoteReference"/>
          <w:rFonts w:eastAsiaTheme="minorEastAsia"/>
        </w:rPr>
        <w:footnoteReference w:id="126"/>
      </w:r>
      <w:r w:rsidR="00D1085B" w:rsidRPr="00BB229F">
        <w:rPr>
          <w:rFonts w:eastAsiaTheme="minorEastAsia"/>
        </w:rPr>
        <w:t xml:space="preserve">  We also sought comment on </w:t>
      </w:r>
      <w:r w:rsidRPr="00BB229F">
        <w:t xml:space="preserve">eliminating the IBC regulatory fee for satellite IBCs and whether we should </w:t>
      </w:r>
      <w:r w:rsidRPr="00BB229F">
        <w:rPr>
          <w:rFonts w:eastAsiaTheme="minorEastAsia"/>
        </w:rPr>
        <w:t>continue to assess regulatory fees based on IBCs that were active as of December 31 of the prior year.</w:t>
      </w:r>
      <w:r w:rsidRPr="00BB229F">
        <w:rPr>
          <w:rStyle w:val="FootnoteReference"/>
          <w:rFonts w:eastAsiaTheme="minorEastAsia"/>
        </w:rPr>
        <w:footnoteReference w:id="127"/>
      </w:r>
      <w:r w:rsidRPr="00BB229F">
        <w:rPr>
          <w:rFonts w:eastAsiaTheme="minorEastAsia"/>
        </w:rPr>
        <w:t xml:space="preserve">  </w:t>
      </w:r>
    </w:p>
    <w:p w:rsidR="00DF6077" w:rsidRPr="00BB229F" w:rsidRDefault="00DF6077" w:rsidP="00DF6077">
      <w:pPr>
        <w:pStyle w:val="Heading3"/>
      </w:pPr>
      <w:bookmarkStart w:id="22" w:name="_Toc491865031"/>
      <w:bookmarkStart w:id="23" w:name="_Toc491865446"/>
      <w:r w:rsidRPr="00BB229F">
        <w:rPr>
          <w:rFonts w:eastAsiaTheme="minorEastAsia"/>
        </w:rPr>
        <w:t>Including non-common carrier IBCs</w:t>
      </w:r>
      <w:bookmarkEnd w:id="22"/>
      <w:bookmarkEnd w:id="23"/>
      <w:r w:rsidRPr="00BB229F">
        <w:rPr>
          <w:rFonts w:eastAsiaTheme="minorEastAsia"/>
        </w:rPr>
        <w:t xml:space="preserve">  </w:t>
      </w:r>
    </w:p>
    <w:p w:rsidR="00F30DFC" w:rsidRPr="00BB229F" w:rsidRDefault="00C00E24" w:rsidP="00C00E24">
      <w:pPr>
        <w:pStyle w:val="ParaNum"/>
        <w:widowControl/>
        <w:rPr>
          <w:szCs w:val="22"/>
        </w:rPr>
      </w:pPr>
      <w:r w:rsidRPr="00BB229F">
        <w:rPr>
          <w:rFonts w:eastAsiaTheme="minorEastAsia"/>
        </w:rPr>
        <w:t>We agree with the commenters</w:t>
      </w:r>
      <w:r w:rsidR="00DB5199" w:rsidRPr="00BB229F">
        <w:rPr>
          <w:rFonts w:eastAsiaTheme="minorEastAsia"/>
        </w:rPr>
        <w:t>, Level 3 and AT&amp;T,</w:t>
      </w:r>
      <w:r w:rsidRPr="00BB229F">
        <w:rPr>
          <w:rFonts w:eastAsiaTheme="minorEastAsia"/>
        </w:rPr>
        <w:t xml:space="preserve"> that </w:t>
      </w:r>
      <w:r w:rsidR="0040262A" w:rsidRPr="00BB229F">
        <w:rPr>
          <w:rFonts w:eastAsiaTheme="minorEastAsia"/>
        </w:rPr>
        <w:t>a m</w:t>
      </w:r>
      <w:r w:rsidRPr="00BB229F">
        <w:rPr>
          <w:rFonts w:eastAsiaTheme="minorEastAsia"/>
        </w:rPr>
        <w:t xml:space="preserve">ethodology for </w:t>
      </w:r>
      <w:r w:rsidR="0040262A" w:rsidRPr="00BB229F">
        <w:rPr>
          <w:rFonts w:eastAsiaTheme="minorEastAsia"/>
        </w:rPr>
        <w:t xml:space="preserve">terrestrial and satellite </w:t>
      </w:r>
      <w:r w:rsidRPr="00BB229F">
        <w:rPr>
          <w:rFonts w:eastAsiaTheme="minorEastAsia"/>
        </w:rPr>
        <w:t>IBC regulatory fees</w:t>
      </w:r>
      <w:r w:rsidR="0040262A" w:rsidRPr="00BB229F">
        <w:rPr>
          <w:rFonts w:eastAsiaTheme="minorEastAsia"/>
        </w:rPr>
        <w:t xml:space="preserve"> based on circuits</w:t>
      </w:r>
      <w:r w:rsidRPr="00BB229F">
        <w:rPr>
          <w:rFonts w:eastAsiaTheme="minorEastAsia"/>
        </w:rPr>
        <w:t xml:space="preserve"> should </w:t>
      </w:r>
      <w:r w:rsidR="009214F6" w:rsidRPr="00BB229F">
        <w:rPr>
          <w:rFonts w:eastAsiaTheme="minorEastAsia"/>
        </w:rPr>
        <w:t xml:space="preserve">be consistent with the submarine cable methodology and </w:t>
      </w:r>
      <w:r w:rsidRPr="00BB229F">
        <w:rPr>
          <w:rFonts w:eastAsiaTheme="minorEastAsia"/>
        </w:rPr>
        <w:t xml:space="preserve">include common carrier and non-common carrier terrestrial IBCs.  </w:t>
      </w:r>
      <w:r w:rsidR="00D821D4" w:rsidRPr="00BB229F">
        <w:rPr>
          <w:rFonts w:eastAsiaTheme="minorEastAsia"/>
        </w:rPr>
        <w:t>Level 3 explains that including non-common carrier IBCs will “eliminate a major incentive and opportunity providers currently have to underreport the number of IBCs they have in service.”</w:t>
      </w:r>
      <w:r w:rsidR="00D821D4" w:rsidRPr="00BB229F">
        <w:rPr>
          <w:rStyle w:val="FootnoteReference"/>
          <w:rFonts w:eastAsiaTheme="minorEastAsia"/>
        </w:rPr>
        <w:footnoteReference w:id="128"/>
      </w:r>
      <w:r w:rsidR="00C27264" w:rsidRPr="00BB229F">
        <w:rPr>
          <w:rFonts w:eastAsiaTheme="minorEastAsia"/>
        </w:rPr>
        <w:t xml:space="preserve">  </w:t>
      </w:r>
      <w:r w:rsidRPr="00BB229F">
        <w:rPr>
          <w:rFonts w:eastAsiaTheme="minorEastAsia"/>
        </w:rPr>
        <w:t>As AT&amp;T observes, such an approach treat</w:t>
      </w:r>
      <w:r w:rsidR="00561991" w:rsidRPr="00BB229F">
        <w:rPr>
          <w:rFonts w:eastAsiaTheme="minorEastAsia"/>
        </w:rPr>
        <w:t>s</w:t>
      </w:r>
      <w:r w:rsidRPr="00BB229F">
        <w:rPr>
          <w:rFonts w:eastAsiaTheme="minorEastAsia"/>
        </w:rPr>
        <w:t xml:space="preserve"> all terrestrial IBC providers equitabl</w:t>
      </w:r>
      <w:r w:rsidR="00561991" w:rsidRPr="00BB229F">
        <w:rPr>
          <w:rFonts w:eastAsiaTheme="minorEastAsia"/>
        </w:rPr>
        <w:t>y</w:t>
      </w:r>
      <w:r w:rsidRPr="00BB229F">
        <w:rPr>
          <w:rFonts w:eastAsiaTheme="minorEastAsia"/>
        </w:rPr>
        <w:t xml:space="preserve"> and reduce</w:t>
      </w:r>
      <w:r w:rsidR="00561991" w:rsidRPr="00BB229F">
        <w:rPr>
          <w:rFonts w:eastAsiaTheme="minorEastAsia"/>
        </w:rPr>
        <w:t>s</w:t>
      </w:r>
      <w:r w:rsidRPr="00BB229F">
        <w:rPr>
          <w:rFonts w:eastAsiaTheme="minorEastAsia"/>
        </w:rPr>
        <w:t xml:space="preserve"> fees by increasing the payment units.</w:t>
      </w:r>
      <w:r w:rsidRPr="00BB229F">
        <w:rPr>
          <w:rStyle w:val="FootnoteReference"/>
          <w:rFonts w:eastAsiaTheme="minorEastAsia"/>
        </w:rPr>
        <w:footnoteReference w:id="129"/>
      </w:r>
      <w:r w:rsidR="009214F6" w:rsidRPr="00BB229F">
        <w:rPr>
          <w:rFonts w:eastAsiaTheme="minorEastAsia"/>
        </w:rPr>
        <w:t xml:space="preserve"> </w:t>
      </w:r>
      <w:r w:rsidR="00FA55B0" w:rsidRPr="00BB229F">
        <w:rPr>
          <w:rFonts w:eastAsiaTheme="minorEastAsia"/>
        </w:rPr>
        <w:t xml:space="preserve"> </w:t>
      </w:r>
      <w:r w:rsidR="00561991" w:rsidRPr="00BB229F">
        <w:rPr>
          <w:rFonts w:eastAsiaTheme="minorEastAsia"/>
        </w:rPr>
        <w:t>For these reasons, w</w:t>
      </w:r>
      <w:r w:rsidR="00FA55B0" w:rsidRPr="00BB229F">
        <w:rPr>
          <w:rFonts w:eastAsiaTheme="minorEastAsia"/>
        </w:rPr>
        <w:t xml:space="preserve">e find no reason to continue excluding non-common carrier </w:t>
      </w:r>
      <w:r w:rsidR="00F30DFC" w:rsidRPr="00BB229F">
        <w:rPr>
          <w:rFonts w:eastAsiaTheme="minorEastAsia"/>
        </w:rPr>
        <w:t xml:space="preserve">terrestrial </w:t>
      </w:r>
      <w:r w:rsidR="00FA55B0" w:rsidRPr="00BB229F">
        <w:rPr>
          <w:rFonts w:eastAsiaTheme="minorEastAsia"/>
        </w:rPr>
        <w:t xml:space="preserve">IBCs from regulatory fees and adopt our proposal to include both common carrier and non-common carrier </w:t>
      </w:r>
      <w:r w:rsidR="00F30DFC" w:rsidRPr="00BB229F">
        <w:rPr>
          <w:rFonts w:eastAsiaTheme="minorEastAsia"/>
        </w:rPr>
        <w:t xml:space="preserve">terrestrial </w:t>
      </w:r>
      <w:r w:rsidR="00FA55B0" w:rsidRPr="00BB229F">
        <w:rPr>
          <w:rFonts w:eastAsiaTheme="minorEastAsia"/>
        </w:rPr>
        <w:t>IBCs</w:t>
      </w:r>
      <w:r w:rsidR="00683D33" w:rsidRPr="00BB229F">
        <w:rPr>
          <w:rFonts w:eastAsiaTheme="minorEastAsia"/>
        </w:rPr>
        <w:t>, consistent with the submarine cable regulatory fee methodology</w:t>
      </w:r>
      <w:r w:rsidR="00FA55B0" w:rsidRPr="00BB229F">
        <w:rPr>
          <w:rFonts w:eastAsiaTheme="minorEastAsia"/>
        </w:rPr>
        <w:t>.</w:t>
      </w:r>
      <w:r w:rsidR="00564B04" w:rsidRPr="00BB229F">
        <w:rPr>
          <w:rFonts w:eastAsiaTheme="minorEastAsia"/>
        </w:rPr>
        <w:t xml:space="preserve">  </w:t>
      </w:r>
    </w:p>
    <w:p w:rsidR="00913A1C" w:rsidRPr="00BB229F" w:rsidRDefault="00564B04" w:rsidP="00C00E24">
      <w:pPr>
        <w:pStyle w:val="ParaNum"/>
        <w:widowControl/>
        <w:rPr>
          <w:szCs w:val="22"/>
        </w:rPr>
      </w:pPr>
      <w:r w:rsidRPr="00BB229F">
        <w:rPr>
          <w:rFonts w:eastAsiaTheme="minorEastAsia"/>
        </w:rPr>
        <w:t>Adding non-common carrier</w:t>
      </w:r>
      <w:r w:rsidR="00683D33" w:rsidRPr="00BB229F">
        <w:rPr>
          <w:rFonts w:eastAsiaTheme="minorEastAsia"/>
        </w:rPr>
        <w:t xml:space="preserve"> terrestrial IBCs</w:t>
      </w:r>
      <w:r w:rsidRPr="00BB229F">
        <w:rPr>
          <w:rFonts w:eastAsiaTheme="minorEastAsia"/>
        </w:rPr>
        <w:t xml:space="preserve"> to the regulatory fee schedule is a permitted amendment, as defined in section 9(b)(3) of the Act,</w:t>
      </w:r>
      <w:r w:rsidR="004C3AE5" w:rsidRPr="00BB229F">
        <w:rPr>
          <w:rStyle w:val="FootnoteReference"/>
          <w:rFonts w:eastAsiaTheme="minorEastAsia"/>
        </w:rPr>
        <w:footnoteReference w:id="130"/>
      </w:r>
      <w:r w:rsidRPr="00BB229F">
        <w:rPr>
          <w:rFonts w:eastAsiaTheme="minorEastAsia"/>
        </w:rPr>
        <w:t xml:space="preserve"> and pursuant to section 9(b)(4)(B)</w:t>
      </w:r>
      <w:r w:rsidR="00E84A65" w:rsidRPr="00BB229F">
        <w:rPr>
          <w:rFonts w:eastAsiaTheme="minorEastAsia"/>
        </w:rPr>
        <w:t>,</w:t>
      </w:r>
      <w:r w:rsidR="00E663DA" w:rsidRPr="00BB229F">
        <w:rPr>
          <w:rStyle w:val="FootnoteReference"/>
          <w:rFonts w:eastAsiaTheme="minorEastAsia"/>
        </w:rPr>
        <w:footnoteReference w:id="131"/>
      </w:r>
      <w:r w:rsidRPr="00BB229F">
        <w:rPr>
          <w:rFonts w:eastAsiaTheme="minorEastAsia"/>
        </w:rPr>
        <w:t xml:space="preserve"> must be submitted to Congress at least 90 days before it will be effective.  For that reason, this </w:t>
      </w:r>
      <w:r w:rsidR="00D70073" w:rsidRPr="00BB229F">
        <w:rPr>
          <w:rFonts w:eastAsiaTheme="minorEastAsia"/>
        </w:rPr>
        <w:t xml:space="preserve">new fee </w:t>
      </w:r>
      <w:r w:rsidRPr="00BB229F">
        <w:rPr>
          <w:rFonts w:eastAsiaTheme="minorEastAsia"/>
        </w:rPr>
        <w:t xml:space="preserve">will </w:t>
      </w:r>
      <w:r w:rsidR="00224855" w:rsidRPr="00BB229F">
        <w:rPr>
          <w:rFonts w:eastAsiaTheme="minorEastAsia"/>
        </w:rPr>
        <w:t xml:space="preserve">be included in the regulatory fee </w:t>
      </w:r>
      <w:r w:rsidR="003717E7" w:rsidRPr="00BB229F">
        <w:rPr>
          <w:rFonts w:eastAsiaTheme="minorEastAsia"/>
        </w:rPr>
        <w:t xml:space="preserve">proceeding </w:t>
      </w:r>
      <w:r w:rsidR="00224855" w:rsidRPr="00BB229F">
        <w:rPr>
          <w:rFonts w:eastAsiaTheme="minorEastAsia"/>
        </w:rPr>
        <w:t>for FY 2018</w:t>
      </w:r>
      <w:r w:rsidRPr="00BB229F">
        <w:rPr>
          <w:rFonts w:eastAsiaTheme="minorEastAsia"/>
        </w:rPr>
        <w:t>.</w:t>
      </w:r>
      <w:r w:rsidR="0040262A" w:rsidRPr="00BB229F">
        <w:rPr>
          <w:rFonts w:eastAsiaTheme="minorEastAsia"/>
        </w:rPr>
        <w:t xml:space="preserve">  We also seek further comment on implementation of this new methodology in the Further Notice of Proposed Rulemaking below.</w:t>
      </w:r>
    </w:p>
    <w:p w:rsidR="006364CE" w:rsidRPr="00BB229F" w:rsidRDefault="006364CE" w:rsidP="006364CE">
      <w:pPr>
        <w:pStyle w:val="Heading3"/>
      </w:pPr>
      <w:bookmarkStart w:id="24" w:name="_Toc491865032"/>
      <w:bookmarkStart w:id="25" w:name="_Toc491865447"/>
      <w:r w:rsidRPr="00BB229F">
        <w:t>Satellite IBCs</w:t>
      </w:r>
      <w:bookmarkEnd w:id="24"/>
      <w:bookmarkEnd w:id="25"/>
    </w:p>
    <w:p w:rsidR="00C00E24" w:rsidRPr="00BB229F" w:rsidRDefault="00C00E24" w:rsidP="00C00E24">
      <w:pPr>
        <w:pStyle w:val="ParaNum"/>
      </w:pPr>
      <w:r w:rsidRPr="00BB229F">
        <w:t xml:space="preserve">In the </w:t>
      </w:r>
      <w:r w:rsidRPr="00BB229F">
        <w:rPr>
          <w:i/>
        </w:rPr>
        <w:t>FY 2017 NPRM</w:t>
      </w:r>
      <w:r w:rsidRPr="00BB229F">
        <w:t xml:space="preserve">, we sought comment on whether </w:t>
      </w:r>
      <w:r w:rsidR="00561991" w:rsidRPr="00BB229F">
        <w:t>to</w:t>
      </w:r>
      <w:r w:rsidRPr="00BB229F">
        <w:t xml:space="preserve"> eliminate the IBC regulatory fee for satellite providers of IBCs.</w:t>
      </w:r>
      <w:r w:rsidRPr="00BB229F">
        <w:rPr>
          <w:rStyle w:val="FootnoteReference"/>
          <w:szCs w:val="22"/>
        </w:rPr>
        <w:footnoteReference w:id="132"/>
      </w:r>
      <w:r w:rsidRPr="00BB229F">
        <w:t xml:space="preserve">  SIA contends that the fee should be eliminated because it does not correspond with substantive work by the Commission and is overly burdensome for satellite operators to calculate.</w:t>
      </w:r>
      <w:r w:rsidRPr="00BB229F">
        <w:rPr>
          <w:rStyle w:val="FootnoteReference"/>
        </w:rPr>
        <w:footnoteReference w:id="133"/>
      </w:r>
      <w:r w:rsidRPr="00BB229F">
        <w:t xml:space="preserve">  According to SIA, calculating the number of circuits takes at least ten hours for in-house counsel and</w:t>
      </w:r>
      <w:r w:rsidR="0062283B" w:rsidRPr="00BB229F">
        <w:t xml:space="preserve"> additional</w:t>
      </w:r>
      <w:r w:rsidR="00ED6066" w:rsidRPr="00BB229F">
        <w:t xml:space="preserve"> </w:t>
      </w:r>
      <w:r w:rsidRPr="00BB229F">
        <w:t xml:space="preserve"> personnel in other departments are responsible for collecting data for this calculation.</w:t>
      </w:r>
      <w:r w:rsidRPr="00BB229F">
        <w:rPr>
          <w:rStyle w:val="FootnoteReference"/>
        </w:rPr>
        <w:footnoteReference w:id="134"/>
      </w:r>
      <w:r w:rsidR="00176C37" w:rsidRPr="00BB229F">
        <w:t xml:space="preserve">   </w:t>
      </w:r>
      <w:r w:rsidR="00FF28E9" w:rsidRPr="00BB229F">
        <w:t xml:space="preserve">In our Further Notice of Proposed Rulemaking </w:t>
      </w:r>
      <w:r w:rsidR="00FF6416" w:rsidRPr="00BB229F">
        <w:t xml:space="preserve">below </w:t>
      </w:r>
      <w:r w:rsidR="00FF28E9" w:rsidRPr="00BB229F">
        <w:t>we seek comment on a flat fee methodology for terrestrial and satellite IBCs.  T</w:t>
      </w:r>
      <w:r w:rsidR="00856B10" w:rsidRPr="00BB229F">
        <w:t xml:space="preserve">he </w:t>
      </w:r>
      <w:r w:rsidR="00176C37" w:rsidRPr="00BB229F">
        <w:t>flat fee methodology for terrestrial and satellite IBCs</w:t>
      </w:r>
      <w:r w:rsidR="00FF28E9" w:rsidRPr="00BB229F">
        <w:t xml:space="preserve"> </w:t>
      </w:r>
      <w:r w:rsidR="00176C37" w:rsidRPr="00BB229F">
        <w:t xml:space="preserve">should </w:t>
      </w:r>
      <w:r w:rsidR="00920996" w:rsidRPr="00BB229F">
        <w:t xml:space="preserve">significantly reduce any </w:t>
      </w:r>
      <w:r w:rsidR="00176C37" w:rsidRPr="00BB229F">
        <w:t>burden of collecting data</w:t>
      </w:r>
      <w:r w:rsidR="003717E7" w:rsidRPr="00BB229F">
        <w:t xml:space="preserve"> described by SIA</w:t>
      </w:r>
      <w:r w:rsidR="00176C37" w:rsidRPr="00BB229F">
        <w:t xml:space="preserve">.  </w:t>
      </w:r>
      <w:r w:rsidR="00FF28E9" w:rsidRPr="00BB229F">
        <w:t>After reviewing the record, we do not see a</w:t>
      </w:r>
      <w:r w:rsidR="00561991" w:rsidRPr="00BB229F">
        <w:t xml:space="preserve">ny </w:t>
      </w:r>
      <w:r w:rsidR="00FF28E9" w:rsidRPr="00BB229F">
        <w:t>reason to eliminate this fee category.</w:t>
      </w:r>
      <w:r w:rsidR="0007780D" w:rsidRPr="00BB229F">
        <w:t xml:space="preserve">  Instead, we are moving toward a more consistent regulatory fee methodology for all IBCs</w:t>
      </w:r>
      <w:r w:rsidR="00DE2E14" w:rsidRPr="00BB229F">
        <w:t xml:space="preserve"> and a less burdensome process for all regulatees</w:t>
      </w:r>
      <w:r w:rsidR="0007780D" w:rsidRPr="00BB229F">
        <w:t>.</w:t>
      </w:r>
    </w:p>
    <w:p w:rsidR="00FF48BA" w:rsidRPr="00BB229F" w:rsidRDefault="00FF48BA" w:rsidP="00FF48BA">
      <w:pPr>
        <w:pStyle w:val="Heading3"/>
      </w:pPr>
      <w:bookmarkStart w:id="26" w:name="_Toc491865033"/>
      <w:bookmarkStart w:id="27" w:name="_Toc491865448"/>
      <w:r w:rsidRPr="00BB229F">
        <w:t>Fee Based on Circuits as of December 31</w:t>
      </w:r>
      <w:bookmarkEnd w:id="26"/>
      <w:bookmarkEnd w:id="27"/>
    </w:p>
    <w:p w:rsidR="00FF48BA" w:rsidRPr="00BB229F" w:rsidRDefault="00FF48BA" w:rsidP="0088474A">
      <w:pPr>
        <w:pStyle w:val="ParaNum"/>
      </w:pPr>
      <w:r w:rsidRPr="00BB229F">
        <w:t xml:space="preserve">In the </w:t>
      </w:r>
      <w:r w:rsidRPr="00BB229F">
        <w:rPr>
          <w:i/>
        </w:rPr>
        <w:t>FY 2017 NPRM</w:t>
      </w:r>
      <w:r w:rsidRPr="00BB229F">
        <w:t xml:space="preserve">, we </w:t>
      </w:r>
      <w:r w:rsidR="003B7FF7" w:rsidRPr="00BB229F">
        <w:t>sought co</w:t>
      </w:r>
      <w:r w:rsidRPr="00BB229F">
        <w:t>mment on whether to assess the number of active circuits on systems active as of December 31 of the prior year or assess fees on IBCs that were active at any point during the preceding calendar year.</w:t>
      </w:r>
      <w:r w:rsidRPr="00BB229F">
        <w:rPr>
          <w:rStyle w:val="FootnoteReference"/>
        </w:rPr>
        <w:footnoteReference w:id="135"/>
      </w:r>
      <w:r w:rsidRPr="00BB229F">
        <w:t xml:space="preserve">  Level 3 and AT&amp;T argue that the Commission should continue to assess regulatory fees based on IBCs that were active as of December 31 of the prior year because it is significantly less burdensome for carriers to identify circuits that are active at a fixed point in time as opposed to at any point during the preceding year.</w:t>
      </w:r>
      <w:r w:rsidRPr="00BB229F">
        <w:rPr>
          <w:rStyle w:val="FootnoteReference"/>
        </w:rPr>
        <w:footnoteReference w:id="136"/>
      </w:r>
      <w:r w:rsidRPr="00BB229F">
        <w:t xml:space="preserve">  We agree that the burdens associated with requiring providers to count the number of active circuits at any point during the preceding year does not outweigh the benefits.  Therefore, we will retain the current requirement of assessing fees on systems active as of December 31 of the prior year.</w:t>
      </w:r>
    </w:p>
    <w:p w:rsidR="00CD3A03" w:rsidRPr="00BB229F" w:rsidRDefault="00CD3A03" w:rsidP="00CD3A03">
      <w:pPr>
        <w:pStyle w:val="Heading2"/>
      </w:pPr>
      <w:bookmarkStart w:id="28" w:name="_Toc491865034"/>
      <w:bookmarkStart w:id="29" w:name="_Toc491865449"/>
      <w:bookmarkStart w:id="30" w:name="_Toc382567920"/>
      <w:bookmarkStart w:id="31" w:name="_Toc384227053"/>
      <w:r w:rsidRPr="00BB229F">
        <w:t>Increasing the De Minimis Threshold</w:t>
      </w:r>
      <w:bookmarkEnd w:id="28"/>
      <w:bookmarkEnd w:id="29"/>
      <w:r w:rsidRPr="00BB229F">
        <w:t xml:space="preserve"> </w:t>
      </w:r>
    </w:p>
    <w:p w:rsidR="006C38A0" w:rsidRPr="00BB229F" w:rsidRDefault="006C38A0" w:rsidP="006C38A0">
      <w:pPr>
        <w:pStyle w:val="ParaNum"/>
        <w:rPr>
          <w:snapToGrid/>
          <w:kern w:val="0"/>
        </w:rPr>
      </w:pPr>
      <w:r w:rsidRPr="00BB229F">
        <w:rPr>
          <w:szCs w:val="22"/>
        </w:rPr>
        <w:t xml:space="preserve">Under the Commission’s current de minimis rule for regulatory fee payments, a regulatee is exempt from paying regulatory fees if the sum total of all of its regulatory fee liabilities for </w:t>
      </w:r>
      <w:r w:rsidRPr="00BB229F">
        <w:rPr>
          <w:szCs w:val="22"/>
          <w:u w:val="single"/>
        </w:rPr>
        <w:t>annual</w:t>
      </w:r>
      <w:r w:rsidRPr="00BB229F">
        <w:rPr>
          <w:szCs w:val="22"/>
        </w:rPr>
        <w:t xml:space="preserve"> regulatory fees is $500 or less for the fiscal year.</w:t>
      </w:r>
      <w:r w:rsidRPr="00BB229F">
        <w:rPr>
          <w:rStyle w:val="FootnoteReference"/>
        </w:rPr>
        <w:footnoteReference w:id="137"/>
      </w:r>
      <w:r w:rsidRPr="00BB229F">
        <w:rPr>
          <w:szCs w:val="22"/>
        </w:rPr>
        <w:t xml:space="preserve">  The Commission increased the de minimis threshold from $10 to $500 in the </w:t>
      </w:r>
      <w:r w:rsidRPr="00BB229F">
        <w:rPr>
          <w:i/>
          <w:szCs w:val="22"/>
        </w:rPr>
        <w:t>FY 2014 Report and Order</w:t>
      </w:r>
      <w:r w:rsidRPr="00BB229F">
        <w:rPr>
          <w:szCs w:val="22"/>
        </w:rPr>
        <w:t>.</w:t>
      </w:r>
      <w:r w:rsidRPr="00BB229F">
        <w:rPr>
          <w:rStyle w:val="FootnoteReference"/>
          <w:szCs w:val="22"/>
        </w:rPr>
        <w:footnoteReference w:id="138"/>
      </w:r>
      <w:r w:rsidRPr="00BB229F">
        <w:rPr>
          <w:szCs w:val="22"/>
        </w:rPr>
        <w:t xml:space="preserve">  T</w:t>
      </w:r>
      <w:r w:rsidRPr="00BB229F">
        <w:rPr>
          <w:snapToGrid/>
          <w:kern w:val="0"/>
          <w:szCs w:val="22"/>
        </w:rPr>
        <w:t>he higher threshold reflected the estimated costs of collecting an unpaid regulatory fee, i.e., at least $350 in direct costs.  The Commission’s estimate of approximately $350 per unpaid fee excluded overhead or other costs involved in regulatory fee collection.</w:t>
      </w:r>
      <w:r w:rsidRPr="00BB229F">
        <w:rPr>
          <w:rStyle w:val="FootnoteReference"/>
          <w:kern w:val="0"/>
          <w:szCs w:val="22"/>
        </w:rPr>
        <w:footnoteReference w:id="139"/>
      </w:r>
      <w:r w:rsidRPr="00BB229F">
        <w:rPr>
          <w:snapToGrid/>
          <w:kern w:val="0"/>
          <w:szCs w:val="22"/>
        </w:rPr>
        <w:t xml:space="preserve">  In addition, the Commission observed that setting the de minimis threshold at $500 was unlikely to reduce fee collections to an amount below the full amount of the Commission’s annual appropriation.</w:t>
      </w:r>
      <w:r w:rsidRPr="00BB229F">
        <w:rPr>
          <w:rStyle w:val="FootnoteReference"/>
          <w:kern w:val="0"/>
          <w:szCs w:val="22"/>
        </w:rPr>
        <w:footnoteReference w:id="140"/>
      </w:r>
      <w:r w:rsidRPr="00BB229F">
        <w:rPr>
          <w:snapToGrid/>
          <w:kern w:val="0"/>
          <w:szCs w:val="22"/>
        </w:rPr>
        <w:t xml:space="preserve">  </w:t>
      </w:r>
    </w:p>
    <w:p w:rsidR="006C38A0" w:rsidRPr="00BB229F" w:rsidRDefault="006C38A0" w:rsidP="006C38A0">
      <w:pPr>
        <w:pStyle w:val="ParaNum"/>
      </w:pPr>
      <w:r w:rsidRPr="00BB229F">
        <w:rPr>
          <w:snapToGrid/>
          <w:kern w:val="0"/>
          <w:szCs w:val="22"/>
        </w:rPr>
        <w:t>In the FY 2014 regulatory fee proceeding, commenters had argued the threshold should be increased to $750 or $1,000.</w:t>
      </w:r>
      <w:r w:rsidRPr="00BB229F">
        <w:rPr>
          <w:rStyle w:val="FootnoteReference"/>
          <w:kern w:val="0"/>
          <w:szCs w:val="22"/>
        </w:rPr>
        <w:footnoteReference w:id="141"/>
      </w:r>
      <w:r w:rsidRPr="00BB229F">
        <w:rPr>
          <w:snapToGrid/>
          <w:kern w:val="0"/>
          <w:szCs w:val="22"/>
        </w:rPr>
        <w:t xml:space="preserve">  In response, the Commission adopted a new threshold of $500 for annual regulatory fee and committed to further monitor the de minimis threshold and consider whether to increase the threshold or revise on some other basis.</w:t>
      </w:r>
      <w:r w:rsidRPr="00BB229F">
        <w:rPr>
          <w:rStyle w:val="FootnoteReference"/>
          <w:kern w:val="0"/>
          <w:szCs w:val="22"/>
        </w:rPr>
        <w:footnoteReference w:id="142"/>
      </w:r>
      <w:r w:rsidRPr="00BB229F">
        <w:rPr>
          <w:snapToGrid/>
          <w:kern w:val="0"/>
          <w:szCs w:val="22"/>
        </w:rPr>
        <w:t xml:space="preserve">  </w:t>
      </w:r>
      <w:r w:rsidRPr="00BB229F">
        <w:t xml:space="preserve">In the </w:t>
      </w:r>
      <w:r w:rsidRPr="00BB229F">
        <w:rPr>
          <w:i/>
        </w:rPr>
        <w:t>FY 2017 NPRM</w:t>
      </w:r>
      <w:r w:rsidRPr="00BB229F">
        <w:t>, we sought comment on increasing the de minimis threshold to $1,000 to improve the cost effectiveness of the Commission’s collection of regulatory fees.</w:t>
      </w:r>
      <w:r w:rsidRPr="00BB229F">
        <w:rPr>
          <w:rStyle w:val="FootnoteReference"/>
        </w:rPr>
        <w:footnoteReference w:id="143"/>
      </w:r>
      <w:r w:rsidRPr="00BB229F">
        <w:t xml:space="preserve"> </w:t>
      </w:r>
      <w:r w:rsidRPr="00BB229F">
        <w:rPr>
          <w:snapToGrid/>
          <w:kern w:val="0"/>
        </w:rPr>
        <w:t>Commenters support an increase in the de minimis threshold.</w:t>
      </w:r>
      <w:r w:rsidRPr="00BB229F">
        <w:rPr>
          <w:rStyle w:val="FootnoteReference"/>
          <w:kern w:val="0"/>
        </w:rPr>
        <w:footnoteReference w:id="144"/>
      </w:r>
    </w:p>
    <w:p w:rsidR="006C38A0" w:rsidRPr="00BB229F" w:rsidRDefault="006C38A0" w:rsidP="006C38A0">
      <w:pPr>
        <w:pStyle w:val="ParaNum"/>
      </w:pPr>
      <w:r w:rsidRPr="00BB229F">
        <w:t xml:space="preserve">In general, we believe the Commission’s operational costs associated with processing and collecting these smaller fees, outweigh the benefits of such payments.  For example, payors between $500 and $1,000 account for less than one percent of all regulatory fee payments.  And yet processing and collecting these fees generates a disproportionate amount of work for Commission staff.  Specifically, the </w:t>
      </w:r>
      <w:r w:rsidRPr="00BB229F">
        <w:rPr>
          <w:snapToGrid/>
          <w:kern w:val="0"/>
        </w:rPr>
        <w:t>cost of researching, creating a bill to send to a non-payor, and completing all follow-up discussion and correspondence has increased since 2014’s $350 estimate, and that does not even include the cost of overhead and administering the regulatory fee program.</w:t>
      </w:r>
      <w:r w:rsidRPr="00BB229F">
        <w:rPr>
          <w:rStyle w:val="FootnoteReference"/>
          <w:kern w:val="0"/>
          <w:szCs w:val="22"/>
        </w:rPr>
        <w:footnoteReference w:id="145"/>
      </w:r>
      <w:r w:rsidRPr="00BB229F">
        <w:rPr>
          <w:snapToGrid/>
          <w:kern w:val="0"/>
        </w:rPr>
        <w:t xml:space="preserve">  </w:t>
      </w:r>
      <w:r w:rsidRPr="00BB229F">
        <w:t>The Commission has found that smaller entities with regulatory fees that fall within this range are less likely to pay on a timely basis and consequently use more Commission resources for fee collection.</w:t>
      </w:r>
      <w:r w:rsidRPr="00BB229F">
        <w:rPr>
          <w:rStyle w:val="FootnoteReference"/>
          <w:szCs w:val="22"/>
        </w:rPr>
        <w:footnoteReference w:id="146"/>
      </w:r>
      <w:r w:rsidRPr="00BB229F">
        <w:t xml:space="preserve">  Nonpayment by these small entities then often results in the escalation of the Commission’s administrative costs and a disproportionate use of FTE resources.  </w:t>
      </w:r>
      <w:r w:rsidRPr="00BB229F">
        <w:rPr>
          <w:snapToGrid/>
          <w:kern w:val="0"/>
        </w:rPr>
        <w:t xml:space="preserve">As such, the marginal benefit to Commission operations of assessing, billing, and collecting regulatory fees on regulatees that would owe less than $1,000 is minute.  </w:t>
      </w:r>
      <w:r w:rsidRPr="00BB229F">
        <w:t>In addition, setting the threshold at $1,000 is unlikely to reduce fee collections to an amount below the full amount of the Commission’s annual appropriation because the additional amount that would no longer be collected is relatively small.  We conclude that raising the de minimis threshold to $1,000 is justified by reducing the Commission’s cost in collection of regulatory fees, thus allowing a more efficient allocation of Commission resources.</w:t>
      </w:r>
    </w:p>
    <w:p w:rsidR="006C38A0" w:rsidRPr="00BB229F" w:rsidRDefault="006C38A0" w:rsidP="00BB229F">
      <w:pPr>
        <w:pStyle w:val="ParaNum"/>
      </w:pPr>
      <w:r w:rsidRPr="00BB229F">
        <w:t xml:space="preserve"> </w:t>
      </w:r>
      <w:r w:rsidRPr="00BB229F">
        <w:rPr>
          <w:szCs w:val="22"/>
        </w:rPr>
        <w:t xml:space="preserve">We also sought comment on whether we should </w:t>
      </w:r>
      <w:r w:rsidRPr="00BB229F">
        <w:t xml:space="preserve">include multi-year wireless licenses in the de minimis threshold.  </w:t>
      </w:r>
      <w:r w:rsidRPr="00BB229F">
        <w:rPr>
          <w:snapToGrid/>
          <w:kern w:val="0"/>
        </w:rPr>
        <w:t>EWA explains, and we agree, that it would be difficult to administer a de minimis threshold for multi-year licenses.</w:t>
      </w:r>
      <w:r w:rsidRPr="00BB229F">
        <w:rPr>
          <w:rStyle w:val="FootnoteReference"/>
          <w:kern w:val="0"/>
        </w:rPr>
        <w:footnoteReference w:id="147"/>
      </w:r>
      <w:r w:rsidRPr="00BB229F">
        <w:rPr>
          <w:snapToGrid/>
          <w:kern w:val="0"/>
        </w:rPr>
        <w:t xml:space="preserve">  ACA proposes that we adopt a de minimis threshold for small cable and IPTV operators of 1000 or fewer subscribers.</w:t>
      </w:r>
      <w:r w:rsidRPr="00BB229F">
        <w:rPr>
          <w:rStyle w:val="FootnoteReference"/>
          <w:kern w:val="0"/>
        </w:rPr>
        <w:footnoteReference w:id="148"/>
      </w:r>
      <w:r w:rsidRPr="00BB229F">
        <w:rPr>
          <w:snapToGrid/>
          <w:kern w:val="0"/>
        </w:rPr>
        <w:t xml:space="preserve">  After analyzing this issue we conclude that it would be administratively difficult to have both a per subscriber de minimis threshold and a $1000 de minimis threshold at the same time.  Many cable operators also have CARS licenses and offer other services, such as VoIP, and it would be difficult to calculate if they exceed the de minimis threshold with two different thresholds.  </w:t>
      </w:r>
    </w:p>
    <w:p w:rsidR="00564C47" w:rsidRPr="00BB229F" w:rsidRDefault="006C38A0" w:rsidP="00B66E0C">
      <w:pPr>
        <w:pStyle w:val="ParaNum"/>
        <w:rPr>
          <w:rFonts w:eastAsiaTheme="minorEastAsia"/>
        </w:rPr>
      </w:pPr>
      <w:r w:rsidRPr="00BB229F">
        <w:rPr>
          <w:snapToGrid/>
          <w:kern w:val="0"/>
        </w:rPr>
        <w:t>Accordingly, t</w:t>
      </w:r>
      <w:r w:rsidRPr="00BB229F">
        <w:t xml:space="preserve">he de minimis threshold we adopt today applies only to filers of </w:t>
      </w:r>
      <w:r w:rsidRPr="00BB229F">
        <w:rPr>
          <w:u w:val="single"/>
        </w:rPr>
        <w:t>annual</w:t>
      </w:r>
      <w:r w:rsidRPr="00BB229F">
        <w:t xml:space="preserve"> regulatory fees for FY 2017 and not multi-year filings.</w:t>
      </w:r>
      <w:r w:rsidRPr="00BB229F">
        <w:rPr>
          <w:rStyle w:val="FootnoteReference"/>
        </w:rPr>
        <w:footnoteReference w:id="149"/>
      </w:r>
      <w:r w:rsidRPr="00BB229F">
        <w:t xml:space="preserve">  This de minimis exemption from the payment of regulatory fees applies to the sum of all annual regulatory fee obligations that a regulatee has for all applicable fee categories; not to individual payments for each category separately.  The Commission will implement the de minimis threshold of $1,000 beginning immediately.  The de minimis status is not a permanent exemption from regulatory fees.  Rather, each regulatee will need to reevaluate annually to determine whether its total liability for annual regulatory fees falls at or below the threshold given any changes that the Commission may make in its regulatory fees from year to year.</w:t>
      </w:r>
      <w:bookmarkEnd w:id="30"/>
      <w:bookmarkEnd w:id="31"/>
      <w:r w:rsidR="00CD3A03" w:rsidRPr="00BB229F">
        <w:t xml:space="preserve"> </w:t>
      </w:r>
    </w:p>
    <w:p w:rsidR="007D28F0" w:rsidRPr="00BB229F" w:rsidRDefault="007D28F0" w:rsidP="007D28F0">
      <w:pPr>
        <w:pStyle w:val="Heading1"/>
      </w:pPr>
      <w:bookmarkStart w:id="32" w:name="_Toc491865035"/>
      <w:bookmarkStart w:id="33" w:name="_Toc491865450"/>
      <w:r w:rsidRPr="00BB229F">
        <w:t>further notice of proposed rulemaking</w:t>
      </w:r>
      <w:bookmarkEnd w:id="32"/>
      <w:bookmarkEnd w:id="33"/>
    </w:p>
    <w:p w:rsidR="007E13ED" w:rsidRPr="00BB229F" w:rsidRDefault="007E13ED" w:rsidP="007E13ED">
      <w:pPr>
        <w:pStyle w:val="ParaNum"/>
      </w:pPr>
      <w:r w:rsidRPr="00BB229F">
        <w:t xml:space="preserve">In this Further Notice of Proposed Rulemaking, we seek further comment </w:t>
      </w:r>
      <w:r w:rsidR="009D61FD" w:rsidRPr="00BB229F">
        <w:t xml:space="preserve">on </w:t>
      </w:r>
      <w:r w:rsidRPr="00BB229F">
        <w:t>th</w:t>
      </w:r>
      <w:r w:rsidR="009D61FD" w:rsidRPr="00BB229F">
        <w:t>e</w:t>
      </w:r>
      <w:r w:rsidRPr="00BB229F">
        <w:t xml:space="preserve"> </w:t>
      </w:r>
      <w:r w:rsidR="004953D3" w:rsidRPr="00BB229F">
        <w:t xml:space="preserve">appropriate </w:t>
      </w:r>
      <w:r w:rsidR="00CA2638" w:rsidRPr="00BB229F">
        <w:t xml:space="preserve">tiers for calculating </w:t>
      </w:r>
      <w:r w:rsidRPr="00BB229F">
        <w:t xml:space="preserve">terrestrial and satellite international bearer circuit fees raised in the </w:t>
      </w:r>
      <w:r w:rsidRPr="00BB229F">
        <w:rPr>
          <w:i/>
        </w:rPr>
        <w:t>FY 2016 NPRM</w:t>
      </w:r>
      <w:r w:rsidRPr="00BB229F">
        <w:t xml:space="preserve"> and the </w:t>
      </w:r>
      <w:r w:rsidRPr="00BB229F">
        <w:rPr>
          <w:i/>
        </w:rPr>
        <w:t>FY 2017 NPRM</w:t>
      </w:r>
      <w:r w:rsidRPr="00BB229F">
        <w:t xml:space="preserve"> and the </w:t>
      </w:r>
      <w:r w:rsidR="00937020" w:rsidRPr="00BB229F">
        <w:t>methodology for calculating cable television subscribers in multiple dwelling units (MDUs)</w:t>
      </w:r>
      <w:r w:rsidR="00913BFB" w:rsidRPr="00BB229F">
        <w:t xml:space="preserve"> raised in the </w:t>
      </w:r>
      <w:r w:rsidR="00913BFB" w:rsidRPr="00BB229F">
        <w:rPr>
          <w:i/>
        </w:rPr>
        <w:t>FY 2008 FNPRM</w:t>
      </w:r>
      <w:r w:rsidR="00913BFB" w:rsidRPr="00BB229F">
        <w:t>.</w:t>
      </w:r>
      <w:r w:rsidR="00913BFB" w:rsidRPr="00BB229F">
        <w:rPr>
          <w:rStyle w:val="FootnoteReference"/>
        </w:rPr>
        <w:footnoteReference w:id="150"/>
      </w:r>
    </w:p>
    <w:p w:rsidR="00C44ED0" w:rsidRPr="00BB229F" w:rsidRDefault="00542E6D" w:rsidP="00C44ED0">
      <w:pPr>
        <w:pStyle w:val="Heading2"/>
      </w:pPr>
      <w:bookmarkStart w:id="34" w:name="_Toc491865036"/>
      <w:bookmarkStart w:id="35" w:name="_Toc491865451"/>
      <w:r w:rsidRPr="00BB229F">
        <w:t>International Bearer Circuits</w:t>
      </w:r>
      <w:bookmarkEnd w:id="34"/>
      <w:bookmarkEnd w:id="35"/>
    </w:p>
    <w:p w:rsidR="00DA60A2" w:rsidRPr="00BB229F" w:rsidRDefault="00C44ED0" w:rsidP="00B1305D">
      <w:pPr>
        <w:pStyle w:val="ParaNum"/>
        <w:widowControl/>
      </w:pPr>
      <w:r w:rsidRPr="00BB229F">
        <w:t>We seek further comment on this issue to have a more comprehensive record for adopting a new flat rate methodology</w:t>
      </w:r>
      <w:r w:rsidR="00052393" w:rsidRPr="00BB229F">
        <w:t xml:space="preserve"> for terrestrial and satellite IBCs</w:t>
      </w:r>
      <w:r w:rsidR="00DA60A2" w:rsidRPr="00BB229F">
        <w:t xml:space="preserve"> </w:t>
      </w:r>
      <w:r w:rsidR="007C2C4B" w:rsidRPr="00BB229F">
        <w:t>and</w:t>
      </w:r>
      <w:r w:rsidR="00DA60A2" w:rsidRPr="00BB229F">
        <w:t xml:space="preserve"> to revise the tiers for submarine cable systems.  We also seek comment on the proposal to adopt a regulatory fee for all holders of section 214 international authorization</w:t>
      </w:r>
      <w:r w:rsidR="004953D3" w:rsidRPr="00BB229F">
        <w:t>s</w:t>
      </w:r>
      <w:r w:rsidRPr="00BB229F">
        <w:t>.</w:t>
      </w:r>
      <w:r w:rsidRPr="00BB229F">
        <w:rPr>
          <w:rFonts w:eastAsiaTheme="minorEastAsia"/>
        </w:rPr>
        <w:t xml:space="preserve">  </w:t>
      </w:r>
    </w:p>
    <w:p w:rsidR="00C526B8" w:rsidRPr="00BB229F" w:rsidRDefault="00C44ED0" w:rsidP="00B1305D">
      <w:pPr>
        <w:pStyle w:val="ParaNum"/>
        <w:widowControl/>
      </w:pPr>
      <w:r w:rsidRPr="00BB229F">
        <w:t xml:space="preserve">In the </w:t>
      </w:r>
      <w:r w:rsidRPr="00BB229F">
        <w:rPr>
          <w:i/>
        </w:rPr>
        <w:t>Submarine Cable Order</w:t>
      </w:r>
      <w:r w:rsidRPr="00BB229F">
        <w:t>, the Commission adopted a tiered system using gigab</w:t>
      </w:r>
      <w:r w:rsidR="00FB2126" w:rsidRPr="00BB229F">
        <w:t>i</w:t>
      </w:r>
      <w:r w:rsidRPr="00BB229F">
        <w:t>ts per second (Gbps) increments (instead of 64 kbps</w:t>
      </w:r>
      <w:r w:rsidRPr="00BB229F">
        <w:rPr>
          <w:rStyle w:val="FootnoteReference"/>
        </w:rPr>
        <w:footnoteReference w:id="151"/>
      </w:r>
      <w:r w:rsidRPr="00BB229F">
        <w:t>).  The tiers adopted for submarine cable systems at that time were as follows:  “large” systems, 20 Gbps or more, paying one payment unit each; systems with capacity equal to or greater than 10 Gbps but less than 20 Gbps, paying 50 percent of a payment unit; systems with capacity equal to or greater than 5 Gbps but less than 10 Gbps, paying 25 percent of a payment unit; systems with capacity equal to or greater than 2.5 Gbps but less than 5 Gbps, paying 12.5 percent of a payment unit; and systems with capacity below 2.5 Gbps paying 6.25 percent of a payment unit.</w:t>
      </w:r>
      <w:r w:rsidRPr="00BB229F">
        <w:rPr>
          <w:rStyle w:val="FootnoteReference"/>
        </w:rPr>
        <w:footnoteReference w:id="152"/>
      </w:r>
      <w:r w:rsidRPr="00BB229F">
        <w:t xml:space="preserve">  </w:t>
      </w:r>
    </w:p>
    <w:p w:rsidR="00C526B8" w:rsidRPr="00BB229F" w:rsidRDefault="00C526B8" w:rsidP="00B1305D">
      <w:pPr>
        <w:pStyle w:val="ParaNum"/>
        <w:widowControl/>
      </w:pPr>
      <w:r w:rsidRPr="00BB229F">
        <w:t>We propose revising the tiers for submarine cable systems.  We recognize that since we adopted the current tiers for submarine cable systems, the subsequent growth in the industry has moved all but two systems to the highest tier.  We seek comment on whether we should revise the tiers.  For example, we could adopt the following:  systems with capacity of  10,000 Gbps or more, paying 16 payment units each; systems with capacity equal to or greater than 5,000 Gbps but less than 10,000 Gbps, paying eight payment units; systems with capacity equal to or greater than 2,500 Gbps but less than 5,000 Gbps, paying four payment units; systems with capacity equal to or greater than 1,000 Gbps but less than 2,500 Gbps, paying two payment units; and systems with capacity below 1,000 Gbps paying one payment unit.  We seek comment on this proposal.</w:t>
      </w:r>
    </w:p>
    <w:p w:rsidR="00C00E24" w:rsidRPr="00BB229F" w:rsidRDefault="001C7297" w:rsidP="00B1305D">
      <w:pPr>
        <w:pStyle w:val="ParaNum"/>
        <w:widowControl/>
      </w:pPr>
      <w:r w:rsidRPr="00BB229F">
        <w:t xml:space="preserve">We </w:t>
      </w:r>
      <w:r w:rsidR="00C526B8" w:rsidRPr="00BB229F">
        <w:t xml:space="preserve">also </w:t>
      </w:r>
      <w:r w:rsidRPr="00BB229F">
        <w:t>propose adopting</w:t>
      </w:r>
      <w:r w:rsidR="00505D69" w:rsidRPr="00BB229F">
        <w:t>, for terrestrial and satellite IBCs,</w:t>
      </w:r>
      <w:r w:rsidRPr="00BB229F">
        <w:t xml:space="preserve"> the same five tiers used for submarine cable systems.  </w:t>
      </w:r>
      <w:r w:rsidR="00BB292E" w:rsidRPr="00BB229F">
        <w:t>Level 3 contends that two tiers would be sufficient</w:t>
      </w:r>
      <w:r w:rsidR="005F108A" w:rsidRPr="00BB229F">
        <w:t xml:space="preserve"> for terrestrial and satellite IBCs</w:t>
      </w:r>
      <w:r w:rsidR="00AC36B7" w:rsidRPr="00BB229F">
        <w:t xml:space="preserve"> to ensure that larger carriers pay a fair amount and to avoid being a barrier to entry for new providers</w:t>
      </w:r>
      <w:r w:rsidR="00BB292E" w:rsidRPr="00BB229F">
        <w:t>.</w:t>
      </w:r>
      <w:r w:rsidR="00BB292E" w:rsidRPr="00BB229F">
        <w:rPr>
          <w:rStyle w:val="FootnoteReference"/>
        </w:rPr>
        <w:footnoteReference w:id="153"/>
      </w:r>
      <w:r w:rsidR="005F108A" w:rsidRPr="00BB229F">
        <w:t xml:space="preserve">  </w:t>
      </w:r>
      <w:r w:rsidR="008F3D4E" w:rsidRPr="00BB229F">
        <w:t xml:space="preserve">AT&amp;T opposes a </w:t>
      </w:r>
      <w:r w:rsidR="007A6271" w:rsidRPr="00BB229F">
        <w:t>two-</w:t>
      </w:r>
      <w:r w:rsidR="008F3D4E" w:rsidRPr="00BB229F">
        <w:t xml:space="preserve">tiered approach, contending that the </w:t>
      </w:r>
      <w:r w:rsidR="002B1BFA" w:rsidRPr="00BB229F">
        <w:t>disparities</w:t>
      </w:r>
      <w:r w:rsidR="008F3D4E" w:rsidRPr="00BB229F">
        <w:t xml:space="preserve"> between the volumes of circuits held by different operators may be too large to structure a reasonable and fair system.</w:t>
      </w:r>
      <w:r w:rsidR="008F3D4E" w:rsidRPr="00BB229F">
        <w:rPr>
          <w:rStyle w:val="FootnoteReference"/>
        </w:rPr>
        <w:footnoteReference w:id="154"/>
      </w:r>
      <w:r w:rsidR="002B1BFA" w:rsidRPr="00BB229F">
        <w:t xml:space="preserve">  </w:t>
      </w:r>
      <w:r w:rsidR="00C44ED0" w:rsidRPr="00BB229F">
        <w:t xml:space="preserve">We seek comment on whether we should adopt the same tiers for </w:t>
      </w:r>
      <w:r w:rsidR="0094561A" w:rsidRPr="00BB229F">
        <w:t xml:space="preserve">common carrier and non-common carrier </w:t>
      </w:r>
      <w:r w:rsidR="00C44ED0" w:rsidRPr="00BB229F">
        <w:t xml:space="preserve">terrestrial and satellite IBCs. </w:t>
      </w:r>
      <w:r w:rsidR="00885C61" w:rsidRPr="00BB229F">
        <w:t xml:space="preserve"> Comme</w:t>
      </w:r>
      <w:r w:rsidR="000D24B5" w:rsidRPr="00BB229F">
        <w:t xml:space="preserve">nters proposing different tiers, including fewer or greater </w:t>
      </w:r>
      <w:r w:rsidR="002B1BFA" w:rsidRPr="00BB229F">
        <w:t xml:space="preserve">numbers of </w:t>
      </w:r>
      <w:r w:rsidR="000D24B5" w:rsidRPr="00BB229F">
        <w:t xml:space="preserve">tiers, </w:t>
      </w:r>
      <w:r w:rsidR="00885C61" w:rsidRPr="00BB229F">
        <w:t xml:space="preserve">should explain how their proposals would be more equitable.  </w:t>
      </w:r>
    </w:p>
    <w:p w:rsidR="00E02EC0" w:rsidRPr="00BB229F" w:rsidRDefault="00E02EC0" w:rsidP="0045073F">
      <w:pPr>
        <w:pStyle w:val="ParaNum"/>
        <w:widowControl/>
      </w:pPr>
      <w:r w:rsidRPr="00BB229F">
        <w:t>In its comments, the Coalition suggested that the Commission should adopt a fee methodology based on flat fee from every holder of an international section 214 authorization.</w:t>
      </w:r>
      <w:r w:rsidRPr="00BB229F">
        <w:rPr>
          <w:rStyle w:val="FootnoteReference"/>
        </w:rPr>
        <w:footnoteReference w:id="155"/>
      </w:r>
      <w:r w:rsidRPr="00BB229F">
        <w:t xml:space="preserve">  We seek further comment on this approach.  Should a flat fee based on holding an international </w:t>
      </w:r>
      <w:r w:rsidR="00B76FD0" w:rsidRPr="00BB229F">
        <w:t xml:space="preserve">section </w:t>
      </w:r>
      <w:r w:rsidRPr="00BB229F">
        <w:t>214 authorization replace only the terrestrial and satellite IBCs</w:t>
      </w:r>
      <w:r w:rsidR="00B76FD0" w:rsidRPr="00BB229F">
        <w:t xml:space="preserve"> regulatory fees</w:t>
      </w:r>
      <w:r w:rsidRPr="00BB229F">
        <w:t>, with sub</w:t>
      </w:r>
      <w:r w:rsidR="00505C2A" w:rsidRPr="00BB229F">
        <w:t xml:space="preserve">marine </w:t>
      </w:r>
      <w:r w:rsidRPr="00BB229F">
        <w:t xml:space="preserve">cable IBCs continuing to be assessed on holding a cable landing license, or </w:t>
      </w:r>
      <w:r w:rsidR="00B76FD0" w:rsidRPr="00BB229F">
        <w:t xml:space="preserve">should it replace </w:t>
      </w:r>
      <w:r w:rsidRPr="00BB229F">
        <w:t>all IBC</w:t>
      </w:r>
      <w:r w:rsidR="00B76FD0" w:rsidRPr="00BB229F">
        <w:t xml:space="preserve"> regulatory fees</w:t>
      </w:r>
      <w:r w:rsidRPr="00BB229F">
        <w:t xml:space="preserve"> (i.e., terrestrial, satellite and sub</w:t>
      </w:r>
      <w:r w:rsidR="00505C2A" w:rsidRPr="00BB229F">
        <w:t xml:space="preserve">marine </w:t>
      </w:r>
      <w:r w:rsidRPr="00BB229F">
        <w:t xml:space="preserve">cable)? </w:t>
      </w:r>
      <w:r w:rsidR="00742810" w:rsidRPr="00BB229F">
        <w:t xml:space="preserve"> </w:t>
      </w:r>
      <w:r w:rsidRPr="00BB229F">
        <w:t xml:space="preserve">Would a flat fee on </w:t>
      </w:r>
      <w:r w:rsidR="00784EC7" w:rsidRPr="00BB229F">
        <w:t xml:space="preserve">an </w:t>
      </w:r>
      <w:r w:rsidRPr="00BB229F">
        <w:t xml:space="preserve">international </w:t>
      </w:r>
      <w:r w:rsidR="00B76FD0" w:rsidRPr="00BB229F">
        <w:t xml:space="preserve">section </w:t>
      </w:r>
      <w:r w:rsidRPr="00BB229F">
        <w:t>214 authorization reduce administrative burdens in collecting the IBC fee?  The Coalition states that there are approximately 7,000 current international section 214 authorizations,</w:t>
      </w:r>
      <w:r w:rsidRPr="00BB229F">
        <w:rPr>
          <w:rStyle w:val="FootnoteReference"/>
        </w:rPr>
        <w:footnoteReference w:id="156"/>
      </w:r>
      <w:r w:rsidRPr="00BB229F">
        <w:t xml:space="preserve"> but CTIA notes that many of those are held by companies that do not actually provide international service and many companies hold multiple authorizations.</w:t>
      </w:r>
      <w:r w:rsidRPr="00BB229F">
        <w:rPr>
          <w:rStyle w:val="FootnoteReference"/>
        </w:rPr>
        <w:footnoteReference w:id="157"/>
      </w:r>
      <w:r w:rsidRPr="00BB229F">
        <w:t xml:space="preserve">  We seek comment on whether a fee should be applied to every holder of an international </w:t>
      </w:r>
      <w:r w:rsidR="00B76FD0" w:rsidRPr="00BB229F">
        <w:t xml:space="preserve">section </w:t>
      </w:r>
      <w:r w:rsidRPr="00BB229F">
        <w:t xml:space="preserve">214 </w:t>
      </w:r>
      <w:r w:rsidR="00784EC7" w:rsidRPr="00BB229F">
        <w:t>authorization</w:t>
      </w:r>
      <w:r w:rsidRPr="00BB229F">
        <w:t xml:space="preserve"> regardless of the number of international </w:t>
      </w:r>
      <w:r w:rsidR="00B76FD0" w:rsidRPr="00BB229F">
        <w:t xml:space="preserve">section </w:t>
      </w:r>
      <w:r w:rsidRPr="00BB229F">
        <w:t>214</w:t>
      </w:r>
      <w:r w:rsidR="00B76FD0" w:rsidRPr="00BB229F">
        <w:t xml:space="preserve"> authorizations</w:t>
      </w:r>
      <w:r w:rsidRPr="00BB229F">
        <w:t xml:space="preserve"> held.  Alternatively, should a set fee be applied to every international </w:t>
      </w:r>
      <w:r w:rsidR="00B76FD0" w:rsidRPr="00BB229F">
        <w:t xml:space="preserve">section </w:t>
      </w:r>
      <w:r w:rsidRPr="00BB229F">
        <w:t xml:space="preserve">214 </w:t>
      </w:r>
      <w:r w:rsidR="00784EC7" w:rsidRPr="00BB229F">
        <w:t>authorization</w:t>
      </w:r>
      <w:r w:rsidRPr="00BB229F">
        <w:t xml:space="preserve">?  We also seek comment on whether there should be a different fee based on whether the international </w:t>
      </w:r>
      <w:r w:rsidR="00B76FD0" w:rsidRPr="00BB229F">
        <w:t xml:space="preserve">section </w:t>
      </w:r>
      <w:r w:rsidRPr="00BB229F">
        <w:t xml:space="preserve">214 </w:t>
      </w:r>
      <w:r w:rsidR="00784EC7" w:rsidRPr="00BB229F">
        <w:t>authorization</w:t>
      </w:r>
      <w:r w:rsidRPr="00BB229F">
        <w:t xml:space="preserve"> is for resale only or for facilities-based services.  We seek comment on whether a fee based on international </w:t>
      </w:r>
      <w:r w:rsidR="00B76FD0" w:rsidRPr="00BB229F">
        <w:t xml:space="preserve">section </w:t>
      </w:r>
      <w:r w:rsidRPr="00BB229F">
        <w:t xml:space="preserve">214 authorizations should be calibrated based on size.  For example, should there be one fee for resale, another up to a certain number of circuits, and a larger fee for any circuits above that amount?  We seek comment on CITA’s assertion that there are no additional, ongoing costs associated with international </w:t>
      </w:r>
      <w:r w:rsidR="00B76FD0" w:rsidRPr="00BB229F">
        <w:t xml:space="preserve">section </w:t>
      </w:r>
      <w:r w:rsidRPr="00BB229F">
        <w:t>214 authorizations that are not already covered by the application fees.</w:t>
      </w:r>
      <w:r w:rsidRPr="00BB229F">
        <w:rPr>
          <w:rStyle w:val="FootnoteReference"/>
        </w:rPr>
        <w:footnoteReference w:id="158"/>
      </w:r>
      <w:r w:rsidRPr="00BB229F">
        <w:t xml:space="preserve">  We seek comment on whether a fee applied to each </w:t>
      </w:r>
      <w:r w:rsidR="00B76FD0" w:rsidRPr="00BB229F">
        <w:t xml:space="preserve">section </w:t>
      </w:r>
      <w:r w:rsidRPr="00BB229F">
        <w:t xml:space="preserve">214 </w:t>
      </w:r>
      <w:r w:rsidR="00B76FD0" w:rsidRPr="00BB229F">
        <w:t xml:space="preserve">authorization </w:t>
      </w:r>
      <w:r w:rsidRPr="00BB229F">
        <w:t xml:space="preserve">holder would capture most carriers that provide non-common carrier services or are there a number of carriers that provide only non-common carrier international services?  </w:t>
      </w:r>
    </w:p>
    <w:p w:rsidR="00742892" w:rsidRPr="00BB229F" w:rsidRDefault="00742892" w:rsidP="00742892">
      <w:pPr>
        <w:pStyle w:val="Heading2"/>
      </w:pPr>
      <w:bookmarkStart w:id="36" w:name="_Toc491865037"/>
      <w:bookmarkStart w:id="37" w:name="_Toc491865452"/>
      <w:r w:rsidRPr="00BB229F">
        <w:t xml:space="preserve">Cable Television Services – Calculation of </w:t>
      </w:r>
      <w:r w:rsidR="004F160E" w:rsidRPr="00BB229F">
        <w:t>Number of Subscribers</w:t>
      </w:r>
      <w:bookmarkEnd w:id="36"/>
      <w:bookmarkEnd w:id="37"/>
    </w:p>
    <w:p w:rsidR="00742892" w:rsidRPr="00BB229F" w:rsidRDefault="00742892" w:rsidP="00742892">
      <w:pPr>
        <w:pStyle w:val="ParaNum"/>
      </w:pPr>
      <w:r w:rsidRPr="00BB229F">
        <w:t xml:space="preserve">In the </w:t>
      </w:r>
      <w:r w:rsidRPr="00BB229F">
        <w:rPr>
          <w:i/>
        </w:rPr>
        <w:t>FY 2008 FNPRM</w:t>
      </w:r>
      <w:r w:rsidRPr="00BB229F">
        <w:t xml:space="preserve">, the Commission sought comment on </w:t>
      </w:r>
      <w:r w:rsidR="00A75BF6" w:rsidRPr="00BB229F">
        <w:t xml:space="preserve">the bulk rate calculation for determining the number of subscribers in a </w:t>
      </w:r>
      <w:r w:rsidR="00237A83" w:rsidRPr="00BB229F">
        <w:t xml:space="preserve">multiple dwelling unit or </w:t>
      </w:r>
      <w:r w:rsidR="00A75BF6" w:rsidRPr="00BB229F">
        <w:t>MDU.</w:t>
      </w:r>
      <w:r w:rsidR="00A75BF6" w:rsidRPr="00BB229F">
        <w:rPr>
          <w:rStyle w:val="FootnoteReference"/>
        </w:rPr>
        <w:footnoteReference w:id="159"/>
      </w:r>
      <w:r w:rsidR="00E3128E" w:rsidRPr="00BB229F">
        <w:t xml:space="preserve">  </w:t>
      </w:r>
      <w:r w:rsidR="00281A13" w:rsidRPr="00BB229F">
        <w:t xml:space="preserve">The </w:t>
      </w:r>
      <w:r w:rsidR="00E3128E" w:rsidRPr="00BB229F">
        <w:t>methodology</w:t>
      </w:r>
      <w:r w:rsidR="00180E65" w:rsidRPr="00BB229F">
        <w:t xml:space="preserve"> </w:t>
      </w:r>
      <w:r w:rsidR="003202F9" w:rsidRPr="00BB229F">
        <w:t xml:space="preserve">for calculating the number of cable subscribers </w:t>
      </w:r>
      <w:r w:rsidR="00180E65" w:rsidRPr="00BB229F">
        <w:t xml:space="preserve">has </w:t>
      </w:r>
      <w:r w:rsidR="005C5D97" w:rsidRPr="00BB229F">
        <w:t xml:space="preserve">since </w:t>
      </w:r>
      <w:r w:rsidR="00180E65" w:rsidRPr="00BB229F">
        <w:t>been</w:t>
      </w:r>
      <w:r w:rsidR="00E3128E" w:rsidRPr="00BB229F">
        <w:t xml:space="preserve"> the following: </w:t>
      </w:r>
    </w:p>
    <w:p w:rsidR="00E3128E" w:rsidRPr="00BB229F" w:rsidRDefault="00E3128E" w:rsidP="00E3128E">
      <w:pPr>
        <w:pStyle w:val="ParaNum"/>
        <w:numPr>
          <w:ilvl w:val="0"/>
          <w:numId w:val="0"/>
        </w:numPr>
        <w:ind w:left="720"/>
      </w:pPr>
      <w:r w:rsidRPr="00BB229F">
        <w:t xml:space="preserve">Cable television system operators should compute their number of basic subscribers as follows: Number of single family dwellings + number of individual households in multiple dwelling unit (apartments, condominiums, mobile home parks, etc.) paying at the basic subscriber rate + bulk rate customers + courtesy and free service.  Note: Bulk-Rate Customers = Total annual bulk-rate charge divided by basic annual subscription rate for individual households.  Operators may base their count on “a typical day in the last full week” of December </w:t>
      </w:r>
      <w:r w:rsidR="005C5D97" w:rsidRPr="00BB229F">
        <w:t>[year]</w:t>
      </w:r>
      <w:r w:rsidRPr="00BB229F">
        <w:t xml:space="preserve">, rather than on a count as of December 31, </w:t>
      </w:r>
      <w:r w:rsidR="005C5D97" w:rsidRPr="00BB229F">
        <w:t>[year]</w:t>
      </w:r>
      <w:r w:rsidR="00281A13" w:rsidRPr="00BB229F">
        <w:t>.</w:t>
      </w:r>
      <w:r w:rsidR="00281A13" w:rsidRPr="00BB229F">
        <w:rPr>
          <w:rStyle w:val="FootnoteReference"/>
        </w:rPr>
        <w:footnoteReference w:id="160"/>
      </w:r>
    </w:p>
    <w:p w:rsidR="00250261" w:rsidRPr="00BB229F" w:rsidRDefault="00281A13" w:rsidP="003B7F57">
      <w:pPr>
        <w:pStyle w:val="ParaNum"/>
        <w:widowControl/>
      </w:pPr>
      <w:r w:rsidRPr="00BB229F">
        <w:t xml:space="preserve">We recognize that the cable television industry has evolved </w:t>
      </w:r>
      <w:r w:rsidR="003A5EDB" w:rsidRPr="00BB229F">
        <w:t xml:space="preserve">significantly </w:t>
      </w:r>
      <w:r w:rsidR="000D24B5" w:rsidRPr="00BB229F">
        <w:t xml:space="preserve">and the </w:t>
      </w:r>
      <w:r w:rsidR="00674EF7" w:rsidRPr="00BB229F">
        <w:t xml:space="preserve">bulk rate calculation </w:t>
      </w:r>
      <w:r w:rsidRPr="00BB229F">
        <w:t xml:space="preserve">may not be </w:t>
      </w:r>
      <w:r w:rsidR="003202F9" w:rsidRPr="00BB229F">
        <w:t xml:space="preserve">reasonable or </w:t>
      </w:r>
      <w:r w:rsidRPr="00BB229F">
        <w:t>feasible today</w:t>
      </w:r>
      <w:r w:rsidR="000D24B5" w:rsidRPr="00BB229F">
        <w:t xml:space="preserve"> because of the many services offered </w:t>
      </w:r>
      <w:r w:rsidR="00250261" w:rsidRPr="00BB229F">
        <w:t xml:space="preserve">today </w:t>
      </w:r>
      <w:r w:rsidR="000D24B5" w:rsidRPr="00BB229F">
        <w:t>by cable providers</w:t>
      </w:r>
      <w:r w:rsidRPr="00BB229F">
        <w:t xml:space="preserve">.  </w:t>
      </w:r>
      <w:r w:rsidR="000D24B5" w:rsidRPr="00BB229F">
        <w:t>Specifically, with offerings of different packages and bundles, it may no</w:t>
      </w:r>
      <w:r w:rsidR="00250261" w:rsidRPr="00BB229F">
        <w:t xml:space="preserve"> longer</w:t>
      </w:r>
      <w:r w:rsidR="000D24B5" w:rsidRPr="00BB229F">
        <w:t xml:space="preserve"> be feasible to use a bulk rate calculation.  </w:t>
      </w:r>
      <w:r w:rsidR="00674EF7" w:rsidRPr="00BB229F">
        <w:t>Commenter</w:t>
      </w:r>
      <w:r w:rsidR="005F0664" w:rsidRPr="00BB229F">
        <w:t>s</w:t>
      </w:r>
      <w:r w:rsidR="00674EF7" w:rsidRPr="00BB229F">
        <w:t xml:space="preserve"> should discuss if the</w:t>
      </w:r>
      <w:r w:rsidR="004C6D39" w:rsidRPr="00BB229F">
        <w:t>y use the bulk rate calculation</w:t>
      </w:r>
      <w:r w:rsidR="005F0664" w:rsidRPr="00BB229F">
        <w:t xml:space="preserve"> or if they separately count each subscriber, even those living in MDUs</w:t>
      </w:r>
      <w:r w:rsidR="004C6D39" w:rsidRPr="00BB229F">
        <w:t xml:space="preserve">.  </w:t>
      </w:r>
    </w:p>
    <w:p w:rsidR="003B7F57" w:rsidRPr="00BB229F" w:rsidRDefault="003A5EDB" w:rsidP="003B7F57">
      <w:pPr>
        <w:pStyle w:val="ParaNum"/>
        <w:widowControl/>
      </w:pPr>
      <w:r w:rsidRPr="00BB229F">
        <w:t>We seek comment on whether w</w:t>
      </w:r>
      <w:r w:rsidR="004C6D39" w:rsidRPr="00BB229F">
        <w:t xml:space="preserve">e should keep the bulk rate calculation, </w:t>
      </w:r>
      <w:r w:rsidR="000D24B5" w:rsidRPr="00BB229F">
        <w:t xml:space="preserve">or alternatively, whether </w:t>
      </w:r>
      <w:r w:rsidRPr="00BB229F">
        <w:t xml:space="preserve">we </w:t>
      </w:r>
      <w:r w:rsidR="004C6D39" w:rsidRPr="00BB229F">
        <w:t xml:space="preserve">should </w:t>
      </w:r>
      <w:r w:rsidRPr="00BB229F">
        <w:t xml:space="preserve">modify </w:t>
      </w:r>
      <w:r w:rsidR="000D24B5" w:rsidRPr="00BB229F">
        <w:t>the methodology</w:t>
      </w:r>
      <w:r w:rsidR="004C6D39" w:rsidRPr="00BB229F">
        <w:t xml:space="preserve"> to more accurately calculate the numbers of subscribers in a MDU</w:t>
      </w:r>
      <w:r w:rsidRPr="00BB229F">
        <w:t>.</w:t>
      </w:r>
      <w:r w:rsidR="003202F9" w:rsidRPr="00BB229F">
        <w:t xml:space="preserve">  </w:t>
      </w:r>
      <w:r w:rsidR="005F0664" w:rsidRPr="00BB229F">
        <w:t>We seek comment on whether we should eliminate the bulk rate calcula</w:t>
      </w:r>
      <w:r w:rsidR="000D24B5" w:rsidRPr="00BB229F">
        <w:t xml:space="preserve">tion due to </w:t>
      </w:r>
      <w:r w:rsidR="00C526B8" w:rsidRPr="00BB229F">
        <w:t>changes</w:t>
      </w:r>
      <w:r w:rsidR="000D24B5" w:rsidRPr="00BB229F">
        <w:t xml:space="preserve"> </w:t>
      </w:r>
      <w:r w:rsidR="005F0664" w:rsidRPr="00BB229F">
        <w:t xml:space="preserve">in today’s cable market.  </w:t>
      </w:r>
      <w:r w:rsidR="00521793" w:rsidRPr="00BB229F">
        <w:t xml:space="preserve"> </w:t>
      </w:r>
    </w:p>
    <w:p w:rsidR="003B7F57" w:rsidRPr="00BB229F" w:rsidRDefault="003B7F57" w:rsidP="003B7F57">
      <w:pPr>
        <w:pStyle w:val="Heading1"/>
        <w:widowControl/>
        <w:rPr>
          <w:rFonts w:ascii="Times New Roman" w:hAnsi="Times New Roman"/>
          <w:szCs w:val="22"/>
        </w:rPr>
      </w:pPr>
      <w:bookmarkStart w:id="38" w:name="_Toc394672312"/>
      <w:bookmarkStart w:id="39" w:name="_Toc397078327"/>
      <w:bookmarkStart w:id="40" w:name="_Toc491865038"/>
      <w:bookmarkStart w:id="41" w:name="_Toc491865453"/>
      <w:r w:rsidRPr="00BB229F">
        <w:rPr>
          <w:rFonts w:ascii="Times New Roman" w:hAnsi="Times New Roman"/>
          <w:szCs w:val="22"/>
        </w:rPr>
        <w:t>procedural matters</w:t>
      </w:r>
      <w:bookmarkEnd w:id="38"/>
      <w:bookmarkEnd w:id="39"/>
      <w:bookmarkEnd w:id="40"/>
      <w:bookmarkEnd w:id="41"/>
    </w:p>
    <w:p w:rsidR="003B7F57" w:rsidRPr="00BB229F" w:rsidRDefault="003B7F57" w:rsidP="003B7F57">
      <w:pPr>
        <w:pStyle w:val="Heading2"/>
      </w:pPr>
      <w:bookmarkStart w:id="42" w:name="_Toc285458170"/>
      <w:bookmarkStart w:id="43" w:name="_Toc289263533"/>
      <w:bookmarkStart w:id="44" w:name="_Toc292177321"/>
      <w:bookmarkStart w:id="45" w:name="_Toc296691761"/>
      <w:bookmarkStart w:id="46" w:name="_Toc297116981"/>
      <w:bookmarkStart w:id="47" w:name="_Toc298752209"/>
      <w:bookmarkStart w:id="48" w:name="_Toc299091574"/>
      <w:bookmarkStart w:id="49" w:name="_Toc319681886"/>
      <w:bookmarkStart w:id="50" w:name="_Toc320103193"/>
      <w:bookmarkStart w:id="51" w:name="_Toc320615943"/>
      <w:bookmarkStart w:id="52" w:name="_Toc320616361"/>
      <w:bookmarkStart w:id="53" w:name="_Toc320616500"/>
      <w:bookmarkStart w:id="54" w:name="_Toc320632321"/>
      <w:bookmarkStart w:id="55" w:name="_Toc320632354"/>
      <w:bookmarkStart w:id="56" w:name="_Toc320639461"/>
      <w:bookmarkStart w:id="57" w:name="_Toc321130260"/>
      <w:bookmarkStart w:id="58" w:name="_Toc321301162"/>
      <w:bookmarkStart w:id="59" w:name="_Toc327344918"/>
      <w:bookmarkStart w:id="60" w:name="_Toc327454758"/>
      <w:bookmarkStart w:id="61" w:name="_Toc328052401"/>
      <w:bookmarkStart w:id="62" w:name="_Toc330473852"/>
      <w:bookmarkStart w:id="63" w:name="_Toc390878806"/>
      <w:bookmarkStart w:id="64" w:name="_Toc394672315"/>
      <w:bookmarkStart w:id="65" w:name="_Toc397078332"/>
      <w:bookmarkStart w:id="66" w:name="_Toc491865039"/>
      <w:bookmarkStart w:id="67" w:name="_Toc491865454"/>
      <w:r w:rsidRPr="00BB229F">
        <w:t>Payment of Regulatory Fees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3B7F57" w:rsidRPr="00BB229F" w:rsidRDefault="003B7F57" w:rsidP="003B7F57">
      <w:pPr>
        <w:pStyle w:val="Heading3"/>
      </w:pPr>
      <w:bookmarkStart w:id="68" w:name="_Toc491865040"/>
      <w:bookmarkStart w:id="69" w:name="_Toc491865455"/>
      <w:r w:rsidRPr="00BB229F">
        <w:t>Check</w:t>
      </w:r>
      <w:r w:rsidR="00077FF5" w:rsidRPr="00BB229F">
        <w:t>s</w:t>
      </w:r>
      <w:r w:rsidRPr="00BB229F">
        <w:t xml:space="preserve"> Will Not Be Accepted for Payment of Annual Regulatory Fees</w:t>
      </w:r>
      <w:bookmarkEnd w:id="68"/>
      <w:bookmarkEnd w:id="69"/>
    </w:p>
    <w:p w:rsidR="003B7F57" w:rsidRPr="00BB229F" w:rsidRDefault="003B7F57" w:rsidP="003B7F57">
      <w:pPr>
        <w:pStyle w:val="ParaNum"/>
        <w:rPr>
          <w:sz w:val="24"/>
          <w:szCs w:val="24"/>
        </w:rPr>
      </w:pPr>
      <w:r w:rsidRPr="00BB229F">
        <w:t>Pursuant to an Office of Management and Budget (OMB) directive,</w:t>
      </w:r>
      <w:r w:rsidRPr="00BB229F">
        <w:rPr>
          <w:rStyle w:val="FootnoteReference"/>
        </w:rPr>
        <w:footnoteReference w:id="161"/>
      </w:r>
      <w:r w:rsidRPr="00BB229F">
        <w:rPr>
          <w:vertAlign w:val="superscript"/>
        </w:rPr>
        <w:t xml:space="preserve"> </w:t>
      </w:r>
      <w:r w:rsidRPr="00BB229F">
        <w:t xml:space="preserve"> the Commission is moving towards a paperless environment, extending to disbursement and collection of select federal government payments and receipts.</w:t>
      </w:r>
      <w:r w:rsidRPr="00BB229F">
        <w:rPr>
          <w:rStyle w:val="FootnoteReference"/>
        </w:rPr>
        <w:footnoteReference w:id="162"/>
      </w:r>
      <w:r w:rsidRPr="00BB229F">
        <w:rPr>
          <w:vertAlign w:val="superscript"/>
        </w:rPr>
        <w:t xml:space="preserve"> </w:t>
      </w:r>
      <w:r w:rsidRPr="00BB229F">
        <w:t xml:space="preserve">  In 2015, </w:t>
      </w:r>
      <w:r w:rsidR="00077FF5" w:rsidRPr="00BB229F">
        <w:t>the Commission</w:t>
      </w:r>
      <w:r w:rsidRPr="00BB229F">
        <w:t xml:space="preserve"> stopped accepting checks (including cashier’s checks and money orders) and the accompanying hardcopy forms (e.g., Forms 159, 159-B, 159-E, 159-W) for the payment of regulatory fees.</w:t>
      </w:r>
      <w:r w:rsidRPr="00BB229F">
        <w:rPr>
          <w:rStyle w:val="FootnoteReference"/>
        </w:rPr>
        <w:footnoteReference w:id="163"/>
      </w:r>
      <w:r w:rsidRPr="00BB229F">
        <w:t xml:space="preserve">  </w:t>
      </w:r>
      <w:r w:rsidR="00077FF5" w:rsidRPr="00BB229F">
        <w:t xml:space="preserve">All regulatory fee payments must be </w:t>
      </w:r>
      <w:r w:rsidRPr="00BB229F">
        <w:t xml:space="preserve">made by online Automated Clearing House (ACH) payment, online credit card, or wire transfer.  Any other form of payment (e.g., checks, cashier’s checks, or money orders) will be rejected.  For payments by wire, a Form 159-E should still be transmitted via fax </w:t>
      </w:r>
      <w:r w:rsidR="00077FF5" w:rsidRPr="00BB229F">
        <w:t>so that the Commission can associate</w:t>
      </w:r>
      <w:r w:rsidRPr="00BB229F">
        <w:t xml:space="preserve"> the wire payment with the correct regulatory fee information.</w:t>
      </w:r>
    </w:p>
    <w:p w:rsidR="003B7F57" w:rsidRPr="00BB229F" w:rsidRDefault="003B7F57" w:rsidP="003B7F57">
      <w:pPr>
        <w:pStyle w:val="Heading3"/>
      </w:pPr>
      <w:bookmarkStart w:id="70" w:name="_Toc491865041"/>
      <w:bookmarkStart w:id="71" w:name="_Toc491865456"/>
      <w:r w:rsidRPr="00BB229F">
        <w:t>Credit Card Transaction Levels</w:t>
      </w:r>
      <w:bookmarkEnd w:id="70"/>
      <w:bookmarkEnd w:id="71"/>
    </w:p>
    <w:p w:rsidR="00BE1AB1" w:rsidRPr="00BB229F" w:rsidRDefault="003B7F57" w:rsidP="00BE1AB1">
      <w:pPr>
        <w:pStyle w:val="ParaNum"/>
        <w:widowControl/>
        <w:rPr>
          <w:rStyle w:val="Hyperlink"/>
          <w:color w:val="auto"/>
          <w:szCs w:val="22"/>
        </w:rPr>
      </w:pPr>
      <w:r w:rsidRPr="00BB229F">
        <w:t>Since June 1, 2015, in accordance with U.S. Treasury Announcement No. A-2014-04 (July 2014), the amount that can be charged on a credit card for transactions with federal agencies has been limited to $24,999.99.</w:t>
      </w:r>
      <w:r w:rsidRPr="00BB229F">
        <w:rPr>
          <w:rStyle w:val="FootnoteReference"/>
        </w:rPr>
        <w:footnoteReference w:id="164"/>
      </w:r>
      <w:r w:rsidRPr="00BB229F">
        <w:t xml:space="preserve">  Transactions greater than $24,999.99 will be rejected.  This limit applies to single payments or bundled payments of more than one bill.  Multiple transactions to a single agency in one day may be aggregated and treated as a single transaction subject to the $24,999.99 limit.  Customers who wish to pay an amount greater than $24,999.99 should consider available electronic alternatives such as Visa or MasterCard debit cards, ACH debits from a bank account, and wire transfers.  Each of these payment options is available after filing regulatory fee information in Fee Filer</w:t>
      </w:r>
      <w:r w:rsidR="00BE1AB1" w:rsidRPr="00BB229F">
        <w:t>.</w:t>
      </w:r>
    </w:p>
    <w:p w:rsidR="00BE1AB1" w:rsidRPr="00BB229F" w:rsidRDefault="00BE1AB1" w:rsidP="00BE1AB1">
      <w:pPr>
        <w:pStyle w:val="Heading3"/>
      </w:pPr>
      <w:bookmarkStart w:id="72" w:name="_Toc491865042"/>
      <w:bookmarkStart w:id="73" w:name="_Toc491865457"/>
      <w:r w:rsidRPr="00BB229F">
        <w:t>Payment Methods</w:t>
      </w:r>
      <w:bookmarkEnd w:id="72"/>
      <w:bookmarkEnd w:id="73"/>
    </w:p>
    <w:p w:rsidR="003B7F57" w:rsidRPr="00BB229F" w:rsidRDefault="003B7F57" w:rsidP="002D7002">
      <w:pPr>
        <w:pStyle w:val="ParaNum"/>
        <w:widowControl/>
        <w:rPr>
          <w:rStyle w:val="Hyperlink"/>
          <w:color w:val="auto"/>
          <w:szCs w:val="22"/>
        </w:rPr>
      </w:pPr>
      <w:r w:rsidRPr="00BB229F">
        <w:t>During the fee season for collecting FY 201</w:t>
      </w:r>
      <w:r w:rsidR="00046D29" w:rsidRPr="00BB229F">
        <w:t>7</w:t>
      </w:r>
      <w:r w:rsidRPr="00BB229F">
        <w:t xml:space="preserve"> regulatory fees, regulatees can pay their fees by credit card through Pay.gov,</w:t>
      </w:r>
      <w:r w:rsidRPr="00BB229F">
        <w:rPr>
          <w:rStyle w:val="FootnoteReference"/>
          <w:szCs w:val="22"/>
        </w:rPr>
        <w:footnoteReference w:id="165"/>
      </w:r>
      <w:r w:rsidRPr="00BB229F">
        <w:t xml:space="preserve"> ACH, debit card,</w:t>
      </w:r>
      <w:r w:rsidRPr="00BB229F">
        <w:rPr>
          <w:rStyle w:val="FootnoteReference"/>
          <w:szCs w:val="22"/>
        </w:rPr>
        <w:footnoteReference w:id="166"/>
      </w:r>
      <w:r w:rsidRPr="00BB229F">
        <w:t xml:space="preserve"> or by wire transfer.  Additional payment instructions are posted at </w:t>
      </w:r>
      <w:hyperlink r:id="rId8" w:history="1">
        <w:r w:rsidRPr="00BB229F">
          <w:rPr>
            <w:rStyle w:val="Hyperlink"/>
            <w:color w:val="auto"/>
            <w:szCs w:val="22"/>
          </w:rPr>
          <w:t>http://transition.fcc.gov/fees/regfees.html</w:t>
        </w:r>
      </w:hyperlink>
      <w:r w:rsidRPr="00BB229F">
        <w:rPr>
          <w:u w:val="single"/>
        </w:rPr>
        <w:t>.</w:t>
      </w:r>
      <w:r w:rsidRPr="00BB229F">
        <w:t xml:space="preserve">  The receiving bank for all wire payments is the U.S. Treasury, New York, New York.  When making a wire transfer, regulatees must fax a copy of their Fee Filer generated Form 159-E to the Federal Communications Commission at (202) 418-2843 at least one hour before initiating the wire transfer (but on the same business day) so as not to delay crediting their account.  Regulatees should discuss arrangements (including bank closing schedules) with their bankers several days before they plan to make the wire transfer to allow sufficient time for the transfer to be initiated and completed before the deadline.  Complete instructions for making wire payments are posted at </w:t>
      </w:r>
      <w:hyperlink r:id="rId9" w:tooltip="http://transition.fcc.gov/fees/wiretran.html" w:history="1">
        <w:r w:rsidRPr="00BB229F">
          <w:rPr>
            <w:rStyle w:val="Hyperlink"/>
            <w:color w:val="auto"/>
            <w:szCs w:val="22"/>
          </w:rPr>
          <w:t>http://transition.fcc.gov/fees/wiretran.html</w:t>
        </w:r>
      </w:hyperlink>
      <w:r w:rsidR="00D258A4" w:rsidRPr="00BB229F">
        <w:rPr>
          <w:rStyle w:val="Hyperlink"/>
          <w:color w:val="auto"/>
          <w:szCs w:val="22"/>
          <w:u w:val="none"/>
        </w:rPr>
        <w:t>.</w:t>
      </w:r>
    </w:p>
    <w:p w:rsidR="003B7F57" w:rsidRPr="00BB229F" w:rsidRDefault="003B7F57" w:rsidP="003B7F57">
      <w:pPr>
        <w:pStyle w:val="Heading3"/>
        <w:rPr>
          <w:szCs w:val="22"/>
        </w:rPr>
      </w:pPr>
      <w:bookmarkStart w:id="74" w:name="_Toc285458173"/>
      <w:bookmarkStart w:id="75" w:name="_Toc289263536"/>
      <w:bookmarkStart w:id="76" w:name="_Toc292177324"/>
      <w:bookmarkStart w:id="77" w:name="_Toc296691764"/>
      <w:bookmarkStart w:id="78" w:name="_Toc297116984"/>
      <w:bookmarkStart w:id="79" w:name="_Toc298752212"/>
      <w:bookmarkStart w:id="80" w:name="_Toc299091577"/>
      <w:bookmarkStart w:id="81" w:name="_Toc319681889"/>
      <w:bookmarkStart w:id="82" w:name="_Toc320103196"/>
      <w:bookmarkStart w:id="83" w:name="_Toc320615946"/>
      <w:bookmarkStart w:id="84" w:name="_Toc320616364"/>
      <w:bookmarkStart w:id="85" w:name="_Toc320616503"/>
      <w:bookmarkStart w:id="86" w:name="_Toc320632324"/>
      <w:bookmarkStart w:id="87" w:name="_Toc320632357"/>
      <w:bookmarkStart w:id="88" w:name="_Toc320639464"/>
      <w:bookmarkStart w:id="89" w:name="_Toc321130263"/>
      <w:bookmarkStart w:id="90" w:name="_Toc321301165"/>
      <w:bookmarkStart w:id="91" w:name="_Toc327344921"/>
      <w:bookmarkStart w:id="92" w:name="_Toc327454761"/>
      <w:bookmarkStart w:id="93" w:name="_Toc328052404"/>
      <w:bookmarkStart w:id="94" w:name="_Toc330473855"/>
      <w:bookmarkStart w:id="95" w:name="_Toc390878809"/>
      <w:bookmarkStart w:id="96" w:name="_Toc391364439"/>
      <w:bookmarkStart w:id="97" w:name="_Toc394672319"/>
      <w:bookmarkStart w:id="98" w:name="_Toc397078335"/>
      <w:bookmarkStart w:id="99" w:name="_Toc491865043"/>
      <w:bookmarkStart w:id="100" w:name="_Toc491865458"/>
      <w:r w:rsidRPr="00BB229F">
        <w:rPr>
          <w:szCs w:val="22"/>
        </w:rPr>
        <w:t>De Minimis Regulatory Fees</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rsidR="003B7F57" w:rsidRPr="00BB229F" w:rsidRDefault="003B7F57" w:rsidP="003B7F57">
      <w:pPr>
        <w:pStyle w:val="ParaNum"/>
        <w:widowControl/>
      </w:pPr>
      <w:r w:rsidRPr="00BB229F">
        <w:t>Regulatees whose total FY 201</w:t>
      </w:r>
      <w:r w:rsidR="00046D29" w:rsidRPr="00BB229F">
        <w:t>7</w:t>
      </w:r>
      <w:r w:rsidRPr="00BB229F">
        <w:t xml:space="preserve"> </w:t>
      </w:r>
      <w:r w:rsidRPr="00BB229F">
        <w:rPr>
          <w:u w:val="single"/>
        </w:rPr>
        <w:t>annual</w:t>
      </w:r>
      <w:r w:rsidRPr="00BB229F">
        <w:t xml:space="preserve"> regulatory fee liability, including all categories of fees for which payment is due, is $</w:t>
      </w:r>
      <w:r w:rsidR="006C36A9" w:rsidRPr="00BB229F">
        <w:t>1,0</w:t>
      </w:r>
      <w:r w:rsidR="001E0FE3" w:rsidRPr="00BB229F">
        <w:t>00</w:t>
      </w:r>
      <w:r w:rsidRPr="00BB229F">
        <w:t xml:space="preserve"> or less are exempt from payment of FY 201</w:t>
      </w:r>
      <w:r w:rsidR="00046D29" w:rsidRPr="00BB229F">
        <w:t>7</w:t>
      </w:r>
      <w:r w:rsidRPr="00BB229F">
        <w:t xml:space="preserve"> regulatory fees.   The de minimis threshold applies only to filers of annual regulatory fees (not regulatory fees paid through multi-year filings), and is not a permanent exemption.  Regulatees will need to reevaluate their total fee liability each fiscal year to determine whether they meet the de minimis exemption.  </w:t>
      </w:r>
    </w:p>
    <w:p w:rsidR="003B7F57" w:rsidRPr="00BB229F" w:rsidRDefault="003B7F57" w:rsidP="003B7F57">
      <w:pPr>
        <w:pStyle w:val="Heading3"/>
        <w:rPr>
          <w:szCs w:val="22"/>
        </w:rPr>
      </w:pPr>
      <w:bookmarkStart w:id="101" w:name="_Toc285458174"/>
      <w:bookmarkStart w:id="102" w:name="_Toc289263537"/>
      <w:bookmarkStart w:id="103" w:name="_Toc292177325"/>
      <w:bookmarkStart w:id="104" w:name="_Toc296691765"/>
      <w:bookmarkStart w:id="105" w:name="_Toc297116985"/>
      <w:bookmarkStart w:id="106" w:name="_Toc298752213"/>
      <w:bookmarkStart w:id="107" w:name="_Toc299091578"/>
      <w:bookmarkStart w:id="108" w:name="_Toc319681890"/>
      <w:bookmarkStart w:id="109" w:name="_Toc320103197"/>
      <w:bookmarkStart w:id="110" w:name="_Toc320615947"/>
      <w:bookmarkStart w:id="111" w:name="_Toc320616365"/>
      <w:bookmarkStart w:id="112" w:name="_Toc320616504"/>
      <w:bookmarkStart w:id="113" w:name="_Toc320632325"/>
      <w:bookmarkStart w:id="114" w:name="_Toc320632358"/>
      <w:bookmarkStart w:id="115" w:name="_Toc320639465"/>
      <w:bookmarkStart w:id="116" w:name="_Toc321130264"/>
      <w:bookmarkStart w:id="117" w:name="_Toc321301166"/>
      <w:bookmarkStart w:id="118" w:name="_Toc327344922"/>
      <w:bookmarkStart w:id="119" w:name="_Toc327454762"/>
      <w:bookmarkStart w:id="120" w:name="_Toc328052405"/>
      <w:bookmarkStart w:id="121" w:name="_Toc330473856"/>
      <w:bookmarkStart w:id="122" w:name="_Toc390878810"/>
      <w:bookmarkStart w:id="123" w:name="_Toc391364440"/>
      <w:bookmarkStart w:id="124" w:name="_Toc394672320"/>
      <w:bookmarkStart w:id="125" w:name="_Toc397078336"/>
      <w:bookmarkStart w:id="126" w:name="_Toc491865044"/>
      <w:bookmarkStart w:id="127" w:name="_Toc491865459"/>
      <w:r w:rsidRPr="00BB229F">
        <w:rPr>
          <w:szCs w:val="22"/>
        </w:rPr>
        <w:t>Standard Fee Calculations and Payment Dates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rsidR="003B7F57" w:rsidRPr="00BB229F" w:rsidRDefault="003B7F57" w:rsidP="003B7F57">
      <w:pPr>
        <w:pStyle w:val="ParaNum"/>
      </w:pPr>
      <w:r w:rsidRPr="00BB229F">
        <w:t>The Commission will accept fee payments made in advance of the window for the payment of regulatory fees.  The responsibility for payment of fees by service category is as follows:</w:t>
      </w:r>
    </w:p>
    <w:p w:rsidR="003B7F57" w:rsidRPr="00BB229F" w:rsidRDefault="003B7F57" w:rsidP="003B7F57">
      <w:pPr>
        <w:pStyle w:val="ParaNum"/>
        <w:numPr>
          <w:ilvl w:val="0"/>
          <w:numId w:val="8"/>
        </w:numPr>
        <w:rPr>
          <w:szCs w:val="22"/>
        </w:rPr>
      </w:pPr>
      <w:r w:rsidRPr="00BB229F">
        <w:rPr>
          <w:i/>
          <w:szCs w:val="22"/>
        </w:rPr>
        <w:t>Media Services</w:t>
      </w:r>
      <w:r w:rsidRPr="00BB229F">
        <w:rPr>
          <w:szCs w:val="22"/>
        </w:rPr>
        <w:t>:  Regulatory fees must be paid for initial construction permits that were granted on or before October 1, 201</w:t>
      </w:r>
      <w:r w:rsidR="001230D9" w:rsidRPr="00BB229F">
        <w:rPr>
          <w:szCs w:val="22"/>
        </w:rPr>
        <w:t>6</w:t>
      </w:r>
      <w:r w:rsidRPr="00BB229F">
        <w:rPr>
          <w:szCs w:val="22"/>
        </w:rPr>
        <w:t xml:space="preserve"> for AM/FM radio stations, VHF/UHF full service television stations, and satellite television stations.  Regulatory fees must be paid for all broadcast facility licenses granted on or before October 1, 201</w:t>
      </w:r>
      <w:r w:rsidR="001230D9" w:rsidRPr="00BB229F">
        <w:rPr>
          <w:szCs w:val="22"/>
        </w:rPr>
        <w:t>6</w:t>
      </w:r>
      <w:r w:rsidRPr="00BB229F">
        <w:rPr>
          <w:szCs w:val="22"/>
        </w:rPr>
        <w:t xml:space="preserve">.  </w:t>
      </w:r>
    </w:p>
    <w:p w:rsidR="003B7F57" w:rsidRPr="00BB229F" w:rsidRDefault="003B7F57" w:rsidP="003B7F57">
      <w:pPr>
        <w:pStyle w:val="ParaNum"/>
        <w:numPr>
          <w:ilvl w:val="0"/>
          <w:numId w:val="8"/>
        </w:numPr>
        <w:rPr>
          <w:szCs w:val="22"/>
        </w:rPr>
      </w:pPr>
      <w:r w:rsidRPr="00BB229F">
        <w:rPr>
          <w:i/>
          <w:szCs w:val="22"/>
        </w:rPr>
        <w:t>Wireline (Common Carrier) Services</w:t>
      </w:r>
      <w:r w:rsidRPr="00BB229F">
        <w:rPr>
          <w:szCs w:val="22"/>
        </w:rPr>
        <w:t>:  Regulatory fees must be paid for authorizations that were granted on or before October 1, 201</w:t>
      </w:r>
      <w:r w:rsidR="001230D9" w:rsidRPr="00BB229F">
        <w:rPr>
          <w:szCs w:val="22"/>
        </w:rPr>
        <w:t>6</w:t>
      </w:r>
      <w:r w:rsidRPr="00BB229F">
        <w:rPr>
          <w:szCs w:val="22"/>
        </w:rPr>
        <w:t>.  In instances where a permit or license is transferred or assigned after October 1, 201</w:t>
      </w:r>
      <w:r w:rsidR="001230D9" w:rsidRPr="00BB229F">
        <w:rPr>
          <w:szCs w:val="22"/>
        </w:rPr>
        <w:t>6</w:t>
      </w:r>
      <w:r w:rsidRPr="00BB229F">
        <w:rPr>
          <w:szCs w:val="22"/>
        </w:rPr>
        <w:t>, responsibility for payment rests with the holder of the permit or license as of the fee due date.  Audio bridging service providers are included in this category.</w:t>
      </w:r>
      <w:r w:rsidRPr="00BB229F">
        <w:rPr>
          <w:rStyle w:val="FootnoteReference"/>
          <w:szCs w:val="22"/>
        </w:rPr>
        <w:footnoteReference w:id="167"/>
      </w:r>
      <w:r w:rsidRPr="00BB229F">
        <w:rPr>
          <w:szCs w:val="22"/>
        </w:rPr>
        <w:t xml:space="preserve">  For </w:t>
      </w:r>
      <w:r w:rsidR="001230D9" w:rsidRPr="00BB229F">
        <w:rPr>
          <w:szCs w:val="22"/>
        </w:rPr>
        <w:t>Responsible Organizations (</w:t>
      </w:r>
      <w:r w:rsidRPr="00BB229F">
        <w:rPr>
          <w:szCs w:val="22"/>
        </w:rPr>
        <w:t>RespOrgs</w:t>
      </w:r>
      <w:r w:rsidR="001230D9" w:rsidRPr="00BB229F">
        <w:rPr>
          <w:szCs w:val="22"/>
        </w:rPr>
        <w:t>)</w:t>
      </w:r>
      <w:r w:rsidRPr="00BB229F">
        <w:rPr>
          <w:szCs w:val="22"/>
        </w:rPr>
        <w:t xml:space="preserve"> that manage Toll Free Numbers (TFN), regulatory fees should be paid on all working, assigned, and reserved toll free numbers, </w:t>
      </w:r>
      <w:r w:rsidR="001230D9" w:rsidRPr="00BB229F">
        <w:rPr>
          <w:szCs w:val="22"/>
        </w:rPr>
        <w:t xml:space="preserve">as well as </w:t>
      </w:r>
      <w:r w:rsidRPr="00BB229F">
        <w:rPr>
          <w:szCs w:val="22"/>
        </w:rPr>
        <w:t xml:space="preserve">toll free numbers that are </w:t>
      </w:r>
      <w:r w:rsidR="001230D9" w:rsidRPr="00BB229F">
        <w:rPr>
          <w:szCs w:val="22"/>
        </w:rPr>
        <w:t xml:space="preserve">in </w:t>
      </w:r>
      <w:r w:rsidRPr="00BB229F">
        <w:rPr>
          <w:szCs w:val="22"/>
        </w:rPr>
        <w:t>any other status as defined in section 52.103 of the Commission’s rules.</w:t>
      </w:r>
      <w:r w:rsidR="001230D9" w:rsidRPr="00BB229F">
        <w:rPr>
          <w:rStyle w:val="FootnoteReference"/>
          <w:szCs w:val="22"/>
        </w:rPr>
        <w:footnoteReference w:id="168"/>
      </w:r>
      <w:r w:rsidRPr="00BB229F">
        <w:rPr>
          <w:szCs w:val="22"/>
        </w:rPr>
        <w:t xml:space="preserve">  The unit count should be based on toll free numbers managed by RespOrgs on or about December 31, 201</w:t>
      </w:r>
      <w:r w:rsidR="001230D9" w:rsidRPr="00BB229F">
        <w:rPr>
          <w:szCs w:val="22"/>
        </w:rPr>
        <w:t>6</w:t>
      </w:r>
      <w:r w:rsidRPr="00BB229F">
        <w:rPr>
          <w:szCs w:val="22"/>
        </w:rPr>
        <w:t>.</w:t>
      </w:r>
    </w:p>
    <w:p w:rsidR="003B7F57" w:rsidRPr="00BB229F" w:rsidRDefault="003B7F57" w:rsidP="003B7F57">
      <w:pPr>
        <w:pStyle w:val="ParaNum"/>
        <w:numPr>
          <w:ilvl w:val="0"/>
          <w:numId w:val="8"/>
        </w:numPr>
        <w:rPr>
          <w:szCs w:val="22"/>
        </w:rPr>
      </w:pPr>
      <w:r w:rsidRPr="00BB229F">
        <w:rPr>
          <w:i/>
          <w:szCs w:val="22"/>
        </w:rPr>
        <w:t>Wireless Services</w:t>
      </w:r>
      <w:r w:rsidRPr="00BB229F">
        <w:rPr>
          <w:szCs w:val="22"/>
        </w:rPr>
        <w:t>:  CMRS cellular, mobile, and messaging services (fees based on number of subscribers or telephone number count):  Regulatory fees must be paid for authorizations that were granted on or before October 1, 201</w:t>
      </w:r>
      <w:r w:rsidR="00B74C85" w:rsidRPr="00BB229F">
        <w:rPr>
          <w:szCs w:val="22"/>
        </w:rPr>
        <w:t>6</w:t>
      </w:r>
      <w:r w:rsidRPr="00BB229F">
        <w:rPr>
          <w:szCs w:val="22"/>
        </w:rPr>
        <w:t>.  The number of subscribers, units, or telephone numbers on December 31, 201</w:t>
      </w:r>
      <w:r w:rsidR="00B74C85" w:rsidRPr="00BB229F">
        <w:rPr>
          <w:szCs w:val="22"/>
        </w:rPr>
        <w:t>6</w:t>
      </w:r>
      <w:r w:rsidRPr="00BB229F">
        <w:rPr>
          <w:szCs w:val="22"/>
        </w:rPr>
        <w:t xml:space="preserve"> will be used as the basis from which to calculate the fee payment.  In instances where a permit or license is transferred or assigned after October 1, 201</w:t>
      </w:r>
      <w:r w:rsidR="00B74C85" w:rsidRPr="00BB229F">
        <w:rPr>
          <w:szCs w:val="22"/>
        </w:rPr>
        <w:t>6</w:t>
      </w:r>
      <w:r w:rsidRPr="00BB229F">
        <w:rPr>
          <w:szCs w:val="22"/>
        </w:rPr>
        <w:t xml:space="preserve">, responsibility for payment rests with the holder of the permit or license as of the fee due date.  </w:t>
      </w:r>
    </w:p>
    <w:p w:rsidR="003B7F57" w:rsidRPr="00BB229F" w:rsidRDefault="003B7F57" w:rsidP="003B7F57">
      <w:pPr>
        <w:pStyle w:val="ParaNum"/>
        <w:numPr>
          <w:ilvl w:val="0"/>
          <w:numId w:val="8"/>
        </w:numPr>
        <w:rPr>
          <w:szCs w:val="22"/>
        </w:rPr>
      </w:pPr>
      <w:r w:rsidRPr="00BB229F">
        <w:rPr>
          <w:i/>
          <w:szCs w:val="22"/>
        </w:rPr>
        <w:t>Wireless Services, Multi-year fees</w:t>
      </w:r>
      <w:r w:rsidRPr="00BB229F">
        <w:rPr>
          <w:szCs w:val="22"/>
        </w:rPr>
        <w:t>:  The first eight regulatory fee categories in our Schedule of Regulatory Fees pay “small multi-year wireless regulatory fees.”  Entities pay these regulatory fees in advance for the entire amount period covered by the five-year or ten-year terms of their initial licenses, and pay regulatory fees again only when the license is renewed or a new license is obtained.  We include these fee categories in our rulemaking to publicize our estimates of the number of “small multi-year wireless” licenses that will be renewed or newly obtained in FY 201</w:t>
      </w:r>
      <w:r w:rsidR="00B74C85" w:rsidRPr="00BB229F">
        <w:rPr>
          <w:szCs w:val="22"/>
        </w:rPr>
        <w:t>7</w:t>
      </w:r>
      <w:r w:rsidRPr="00BB229F">
        <w:rPr>
          <w:szCs w:val="22"/>
        </w:rPr>
        <w:t xml:space="preserve">. </w:t>
      </w:r>
    </w:p>
    <w:p w:rsidR="003B7F57" w:rsidRPr="00BB229F" w:rsidRDefault="003B7F57" w:rsidP="003B7F57">
      <w:pPr>
        <w:pStyle w:val="ParaNum"/>
        <w:numPr>
          <w:ilvl w:val="0"/>
          <w:numId w:val="8"/>
        </w:numPr>
        <w:rPr>
          <w:szCs w:val="22"/>
        </w:rPr>
      </w:pPr>
      <w:r w:rsidRPr="00BB229F">
        <w:rPr>
          <w:i/>
          <w:szCs w:val="22"/>
        </w:rPr>
        <w:t>Multichannel Video Programming Distributor Services (cable television operators</w:t>
      </w:r>
      <w:r w:rsidR="001D6046" w:rsidRPr="00BB229F">
        <w:rPr>
          <w:i/>
          <w:szCs w:val="22"/>
        </w:rPr>
        <w:t>,</w:t>
      </w:r>
      <w:r w:rsidR="00D94F55" w:rsidRPr="00BB229F">
        <w:rPr>
          <w:i/>
          <w:szCs w:val="22"/>
        </w:rPr>
        <w:t xml:space="preserve"> </w:t>
      </w:r>
      <w:r w:rsidRPr="00BB229F">
        <w:rPr>
          <w:i/>
          <w:szCs w:val="22"/>
        </w:rPr>
        <w:t>CARS licensees</w:t>
      </w:r>
      <w:r w:rsidR="001D6046" w:rsidRPr="00BB229F">
        <w:rPr>
          <w:i/>
          <w:szCs w:val="22"/>
        </w:rPr>
        <w:t>, DBS, and IPTV</w:t>
      </w:r>
      <w:r w:rsidRPr="00BB229F">
        <w:rPr>
          <w:i/>
          <w:szCs w:val="22"/>
        </w:rPr>
        <w:t>)</w:t>
      </w:r>
      <w:r w:rsidRPr="00BB229F">
        <w:rPr>
          <w:szCs w:val="22"/>
        </w:rPr>
        <w:t>:  Regulatory fees must be paid for the number of basic cable television subscribers as of December 31, 201</w:t>
      </w:r>
      <w:r w:rsidR="00EE2A2E" w:rsidRPr="00BB229F">
        <w:rPr>
          <w:szCs w:val="22"/>
        </w:rPr>
        <w:t>6</w:t>
      </w:r>
      <w:r w:rsidRPr="00BB229F">
        <w:rPr>
          <w:szCs w:val="22"/>
        </w:rPr>
        <w:t>.</w:t>
      </w:r>
      <w:r w:rsidRPr="00BB229F">
        <w:rPr>
          <w:szCs w:val="22"/>
          <w:vertAlign w:val="superscript"/>
        </w:rPr>
        <w:footnoteReference w:id="169"/>
      </w:r>
      <w:r w:rsidRPr="00BB229F">
        <w:rPr>
          <w:szCs w:val="22"/>
        </w:rPr>
        <w:t xml:space="preserve">  Regulatory fees also must be paid for CARS licenses that were granted on or before October 1, 201</w:t>
      </w:r>
      <w:r w:rsidR="00EE2A2E" w:rsidRPr="00BB229F">
        <w:rPr>
          <w:szCs w:val="22"/>
        </w:rPr>
        <w:t>6</w:t>
      </w:r>
      <w:r w:rsidRPr="00BB229F">
        <w:rPr>
          <w:szCs w:val="22"/>
        </w:rPr>
        <w:t>.  In instances where a permit or license is transferred or assigned after October 1, 201</w:t>
      </w:r>
      <w:r w:rsidR="00EE2A2E" w:rsidRPr="00BB229F">
        <w:rPr>
          <w:szCs w:val="22"/>
        </w:rPr>
        <w:t>6</w:t>
      </w:r>
      <w:r w:rsidRPr="00BB229F">
        <w:rPr>
          <w:szCs w:val="22"/>
        </w:rPr>
        <w:t xml:space="preserve">, responsibility for payment rests with the holder of the permit or license as of the fee due date.  </w:t>
      </w:r>
      <w:r w:rsidR="00EE2A2E" w:rsidRPr="00BB229F">
        <w:rPr>
          <w:szCs w:val="22"/>
        </w:rPr>
        <w:t>For providers of DBS service and IPTV-based MVPDs, regulatory fees should be paid based on a subscriber count on or about December 31, 2016.  In instances where a permit or license is transferred or assigned after October 31, 2016, responsibility for payment rests with the holder of the permit or license as of the due date.</w:t>
      </w:r>
    </w:p>
    <w:p w:rsidR="003B7F57" w:rsidRPr="00BB229F" w:rsidRDefault="003B7F57" w:rsidP="003B7F57">
      <w:pPr>
        <w:pStyle w:val="ParaNum"/>
        <w:numPr>
          <w:ilvl w:val="0"/>
          <w:numId w:val="8"/>
        </w:numPr>
        <w:rPr>
          <w:szCs w:val="22"/>
        </w:rPr>
      </w:pPr>
      <w:r w:rsidRPr="00BB229F">
        <w:rPr>
          <w:i/>
          <w:szCs w:val="22"/>
        </w:rPr>
        <w:t>International Services:</w:t>
      </w:r>
      <w:r w:rsidRPr="00BB229F">
        <w:rPr>
          <w:szCs w:val="22"/>
        </w:rPr>
        <w:t xml:space="preserve">  Regulatory fees must be paid for (1) earth stations and (2) geostationary orbit space stations and non-geostationary orbit satellite systems that were licensed and operational on or before October 1, 201</w:t>
      </w:r>
      <w:r w:rsidR="00D94F55" w:rsidRPr="00BB229F">
        <w:rPr>
          <w:szCs w:val="22"/>
        </w:rPr>
        <w:t>6</w:t>
      </w:r>
      <w:r w:rsidRPr="00BB229F">
        <w:rPr>
          <w:szCs w:val="22"/>
        </w:rPr>
        <w:t>.  In instances where a permit or license is transferred or assigned after October 1, 201</w:t>
      </w:r>
      <w:r w:rsidR="00D94F55" w:rsidRPr="00BB229F">
        <w:rPr>
          <w:szCs w:val="22"/>
        </w:rPr>
        <w:t>6</w:t>
      </w:r>
      <w:r w:rsidRPr="00BB229F">
        <w:rPr>
          <w:szCs w:val="22"/>
        </w:rPr>
        <w:t>, responsibility for payment rests with the holder of the permit or license as of the fee due date.</w:t>
      </w:r>
    </w:p>
    <w:p w:rsidR="003B7F57" w:rsidRPr="00BB229F" w:rsidRDefault="003B7F57" w:rsidP="003B7F57">
      <w:pPr>
        <w:pStyle w:val="ParaNum"/>
        <w:numPr>
          <w:ilvl w:val="0"/>
          <w:numId w:val="8"/>
        </w:numPr>
        <w:rPr>
          <w:szCs w:val="22"/>
        </w:rPr>
      </w:pPr>
      <w:r w:rsidRPr="00BB229F">
        <w:rPr>
          <w:i/>
          <w:szCs w:val="22"/>
        </w:rPr>
        <w:t xml:space="preserve">International Services:  </w:t>
      </w:r>
      <w:r w:rsidRPr="00BB229F">
        <w:rPr>
          <w:szCs w:val="22"/>
        </w:rPr>
        <w:t>(</w:t>
      </w:r>
      <w:r w:rsidRPr="00BB229F">
        <w:rPr>
          <w:i/>
          <w:szCs w:val="22"/>
        </w:rPr>
        <w:t>Submarine Cable Systems</w:t>
      </w:r>
      <w:r w:rsidRPr="00BB229F">
        <w:rPr>
          <w:szCs w:val="22"/>
        </w:rPr>
        <w:t>)</w:t>
      </w:r>
      <w:r w:rsidRPr="00BB229F">
        <w:rPr>
          <w:i/>
          <w:szCs w:val="22"/>
        </w:rPr>
        <w:t xml:space="preserve">:  </w:t>
      </w:r>
      <w:r w:rsidRPr="00BB229F">
        <w:rPr>
          <w:szCs w:val="22"/>
        </w:rPr>
        <w:t>Regulatory fees for submarine cable systems are to be paid on a per cable landing license basis based on circuit capacity as of December 31, 201</w:t>
      </w:r>
      <w:r w:rsidR="00D80A2F" w:rsidRPr="00BB229F">
        <w:rPr>
          <w:szCs w:val="22"/>
        </w:rPr>
        <w:t>6</w:t>
      </w:r>
      <w:r w:rsidRPr="00BB229F">
        <w:rPr>
          <w:szCs w:val="22"/>
        </w:rPr>
        <w:t>.  In instances where a license is transferred or assigned after October 1, 201</w:t>
      </w:r>
      <w:r w:rsidR="00D80A2F" w:rsidRPr="00BB229F">
        <w:rPr>
          <w:szCs w:val="22"/>
        </w:rPr>
        <w:t>6</w:t>
      </w:r>
      <w:r w:rsidRPr="00BB229F">
        <w:rPr>
          <w:szCs w:val="22"/>
        </w:rPr>
        <w:t>, responsibility for payment rests with the holder of the license as of the fee due date.  For regulatory fee purposes, the allocation in FY 201</w:t>
      </w:r>
      <w:r w:rsidR="00D80A2F" w:rsidRPr="00BB229F">
        <w:rPr>
          <w:szCs w:val="22"/>
        </w:rPr>
        <w:t>7</w:t>
      </w:r>
      <w:r w:rsidRPr="00BB229F">
        <w:rPr>
          <w:szCs w:val="22"/>
        </w:rPr>
        <w:t xml:space="preserve"> will remain at 87.6 percent for submarine cable and 12.4 percent for satellite/terrestrial facilities. </w:t>
      </w:r>
    </w:p>
    <w:p w:rsidR="003B7F57" w:rsidRPr="00BB229F" w:rsidRDefault="003B7F57" w:rsidP="003B7F57">
      <w:pPr>
        <w:pStyle w:val="ParaNum"/>
        <w:widowControl/>
        <w:numPr>
          <w:ilvl w:val="0"/>
          <w:numId w:val="8"/>
        </w:numPr>
        <w:ind w:left="806"/>
        <w:rPr>
          <w:szCs w:val="22"/>
        </w:rPr>
      </w:pPr>
      <w:r w:rsidRPr="00BB229F">
        <w:rPr>
          <w:i/>
          <w:szCs w:val="22"/>
        </w:rPr>
        <w:t xml:space="preserve">International Services:  </w:t>
      </w:r>
      <w:r w:rsidRPr="00BB229F">
        <w:rPr>
          <w:szCs w:val="22"/>
        </w:rPr>
        <w:t>(</w:t>
      </w:r>
      <w:r w:rsidRPr="00BB229F">
        <w:rPr>
          <w:i/>
          <w:szCs w:val="22"/>
        </w:rPr>
        <w:t>Terrestrial and Satellite Services</w:t>
      </w:r>
      <w:r w:rsidRPr="00BB229F">
        <w:rPr>
          <w:szCs w:val="22"/>
        </w:rPr>
        <w:t>):  Regulatory fees for Terrestrial and Satellite International Bearer Circuits are to be paid by facilities-based common carriers that have active (used or leased) international bearer circuits as of December 31, 201</w:t>
      </w:r>
      <w:r w:rsidR="008F39F8" w:rsidRPr="00BB229F">
        <w:rPr>
          <w:szCs w:val="22"/>
        </w:rPr>
        <w:t>6</w:t>
      </w:r>
      <w:r w:rsidRPr="00BB229F">
        <w:rPr>
          <w:szCs w:val="22"/>
        </w:rPr>
        <w:t xml:space="preserve"> in any terrestrial or satellite transmission facility for the provision of service to an end user or resale carrier.  When calculating the number of such active circuits, the facilities-based common carriers must include circuits used by themselves or their affiliates.  In addition, non-common carrier satellite operators must pay a fee for each circuit they and their affiliates hold and each circuit sold or leased to any customer, other than an international common carrier authorized by the Commission to provide U.S. international common carrier services.  For these purposes, “active circuits” include backup and redundant circuits as of December 31, 201</w:t>
      </w:r>
      <w:r w:rsidR="008F39F8" w:rsidRPr="00BB229F">
        <w:rPr>
          <w:szCs w:val="22"/>
        </w:rPr>
        <w:t>6</w:t>
      </w:r>
      <w:r w:rsidRPr="00BB229F">
        <w:rPr>
          <w:szCs w:val="22"/>
        </w:rPr>
        <w:t>.  Whether circuits are used specifically for voice or data is not relevant for purposes of determining that they are active circuits.</w:t>
      </w:r>
      <w:r w:rsidRPr="00BB229F">
        <w:rPr>
          <w:rStyle w:val="FootnoteReference"/>
          <w:szCs w:val="22"/>
        </w:rPr>
        <w:footnoteReference w:id="170"/>
      </w:r>
      <w:r w:rsidRPr="00BB229F">
        <w:rPr>
          <w:szCs w:val="22"/>
        </w:rPr>
        <w:t xml:space="preserve">  In instances where a permit or license is transferred or assigned after October 1, 201</w:t>
      </w:r>
      <w:r w:rsidR="008F39F8" w:rsidRPr="00BB229F">
        <w:rPr>
          <w:szCs w:val="22"/>
        </w:rPr>
        <w:t>6</w:t>
      </w:r>
      <w:r w:rsidRPr="00BB229F">
        <w:rPr>
          <w:szCs w:val="22"/>
        </w:rPr>
        <w:t>, responsibility for payment rests with the holder of the permit or license as of the fee due date.  For regulatory fee purposes, the allocation in FY 201</w:t>
      </w:r>
      <w:r w:rsidR="008F39F8" w:rsidRPr="00BB229F">
        <w:rPr>
          <w:szCs w:val="22"/>
        </w:rPr>
        <w:t>7</w:t>
      </w:r>
      <w:r w:rsidRPr="00BB229F">
        <w:rPr>
          <w:szCs w:val="22"/>
        </w:rPr>
        <w:t xml:space="preserve"> will remain at 87.6 percent for submarine cable and 12.4 percent for satellite/terrestrial facilities.</w:t>
      </w:r>
      <w:r w:rsidRPr="00BB229F">
        <w:rPr>
          <w:rStyle w:val="FootnoteReference"/>
          <w:szCs w:val="22"/>
        </w:rPr>
        <w:footnoteReference w:id="171"/>
      </w:r>
    </w:p>
    <w:p w:rsidR="003B7F57" w:rsidRPr="00BB229F" w:rsidRDefault="003B7F57" w:rsidP="003B7F57">
      <w:pPr>
        <w:pStyle w:val="Heading2"/>
        <w:rPr>
          <w:szCs w:val="22"/>
        </w:rPr>
      </w:pPr>
      <w:bookmarkStart w:id="128" w:name="_Toc491865045"/>
      <w:bookmarkStart w:id="129" w:name="_Toc491865460"/>
      <w:r w:rsidRPr="00BB229F">
        <w:rPr>
          <w:szCs w:val="22"/>
        </w:rPr>
        <w:t>Commercial Mobile Radio Service (CMRS) Cellular and Mobile Services Assessments</w:t>
      </w:r>
      <w:bookmarkEnd w:id="128"/>
      <w:bookmarkEnd w:id="129"/>
      <w:r w:rsidRPr="00BB229F">
        <w:rPr>
          <w:szCs w:val="22"/>
        </w:rPr>
        <w:t xml:space="preserve">   </w:t>
      </w:r>
    </w:p>
    <w:p w:rsidR="003B7F57" w:rsidRPr="00BB229F" w:rsidRDefault="003B7F57" w:rsidP="002F56D9">
      <w:pPr>
        <w:pStyle w:val="ParaNum"/>
        <w:widowControl/>
        <w:rPr>
          <w:szCs w:val="22"/>
        </w:rPr>
      </w:pPr>
      <w:r w:rsidRPr="00BB229F">
        <w:t>The Commission will compile data from the Numbering Resource Utilization Forecast (NRUF) report that is based on “assigned” telephone number (subscriber) counts that have been adjusted for porting to net Type 0 ports (“in” and “out”).</w:t>
      </w:r>
      <w:r w:rsidRPr="00BB229F">
        <w:rPr>
          <w:rStyle w:val="FootnoteReference"/>
        </w:rPr>
        <w:footnoteReference w:id="172"/>
      </w:r>
      <w:r w:rsidRPr="00BB229F">
        <w:t xml:space="preserve">  This information of telephone numbers (subscriber count) will be posted on the Commission’s electronic filing and payment system (Fee Filer) along with the carrier’s Operating Company Numbers (OCNs).</w:t>
      </w:r>
      <w:r w:rsidRPr="00BB229F">
        <w:rPr>
          <w:szCs w:val="22"/>
        </w:rPr>
        <w:t xml:space="preserve">  </w:t>
      </w:r>
    </w:p>
    <w:p w:rsidR="003B7F57" w:rsidRPr="00BB229F" w:rsidRDefault="003B7F57" w:rsidP="003B7F57">
      <w:pPr>
        <w:pStyle w:val="ParaNum"/>
        <w:rPr>
          <w:szCs w:val="22"/>
        </w:rPr>
      </w:pPr>
      <w:r w:rsidRPr="00BB229F">
        <w:t>A carrier wishing to revise its telephone number (subscriber) count can do so by accessing Fee Filer and follow the prompts to revise their telephone number counts.  Any revisions to the telephone number counts should be accompanied by an explanation or</w:t>
      </w:r>
      <w:r w:rsidRPr="00BB229F">
        <w:rPr>
          <w:rStyle w:val="CommentReference"/>
        </w:rPr>
        <w:t> </w:t>
      </w:r>
      <w:r w:rsidRPr="00BB229F">
        <w:t>supporting documentation.</w:t>
      </w:r>
      <w:r w:rsidRPr="00BB229F">
        <w:rPr>
          <w:rStyle w:val="FootnoteReference"/>
        </w:rPr>
        <w:footnoteReference w:id="173"/>
      </w:r>
      <w:r w:rsidRPr="00BB229F">
        <w:t xml:space="preserve">  The Commission will then review the revised count and supporting documentation and either approve or disapprove the submission in Fee Filer.  If the submission is disapproved, the Commission will contact the provider to afford the provider an opportunity to discuss its revised subscriber count and/or provide additional supporting documentation.  If we receive no response from the provider, or we do not reverse our initial disapproval of the provider’s revised count submission, the fee payment must be based on the number of subscribers listed initially in Fee Filer.  Once the timeframe for revision has passed, the telephone number counts are final and are the basis upon which CMRS regulatory fees are to be paid.  Providers can view their final telephone counts online in Fee Filer.  A final CMRS assessment letter will not be mailed out.</w:t>
      </w:r>
    </w:p>
    <w:p w:rsidR="003B7F57" w:rsidRPr="00BB229F" w:rsidRDefault="003B7F57" w:rsidP="0045073F">
      <w:pPr>
        <w:pStyle w:val="ParaNum"/>
        <w:widowControl/>
        <w:rPr>
          <w:szCs w:val="22"/>
        </w:rPr>
      </w:pPr>
      <w:r w:rsidRPr="00BB229F">
        <w:t>Because some carriers do not file the NRUF report, they may not see their telephone number counts in Fee Filer.  In these instances, the carriers should compute their fee payment using the standard methodology that is currently in place for CMRS Wireless services (i.e., compute their telephone number counts as of December 31, 201</w:t>
      </w:r>
      <w:r w:rsidR="008F39F8" w:rsidRPr="00BB229F">
        <w:t>6</w:t>
      </w:r>
      <w:r w:rsidRPr="00BB229F">
        <w:t>), and submit their fee payment accordingly.  Whether a carrier reviews its telephone number counts in Fee Filer or not, the Commission reserves the right to audit the number of telephone numbers for which regulatory fees are paid.  In the event that the Commission determines that the number of telephone numbers that are paid is inaccurate, the Commission will bill the carrier for the difference between what was paid and what should have been paid.</w:t>
      </w:r>
    </w:p>
    <w:p w:rsidR="003B7F57" w:rsidRPr="00BB229F" w:rsidRDefault="003B7F57" w:rsidP="003B7F57">
      <w:pPr>
        <w:pStyle w:val="Heading2"/>
      </w:pPr>
      <w:bookmarkStart w:id="130" w:name="_Toc491865046"/>
      <w:bookmarkStart w:id="131" w:name="_Toc491865461"/>
      <w:bookmarkStart w:id="132" w:name="_Toc391364442"/>
      <w:bookmarkStart w:id="133" w:name="_Toc394672322"/>
      <w:bookmarkStart w:id="134" w:name="_Toc397078338"/>
      <w:r w:rsidRPr="00BB229F">
        <w:t>Enforcement</w:t>
      </w:r>
      <w:bookmarkEnd w:id="130"/>
      <w:bookmarkEnd w:id="131"/>
    </w:p>
    <w:p w:rsidR="003B7F57" w:rsidRPr="00BB229F" w:rsidRDefault="003B7F57" w:rsidP="003B7F57">
      <w:pPr>
        <w:pStyle w:val="ParaNum"/>
      </w:pPr>
      <w:r w:rsidRPr="00BB229F">
        <w:t>To be considered timely, regulatory fee payments must be made electronically by the payment due date for regulatory fees.  Section 9(c) of the Act requires us to impose a late payment penalty of 25 percent of the unpaid amount to be assessed on the first day following the deadline for filing these fees.</w:t>
      </w:r>
      <w:r w:rsidRPr="00BB229F">
        <w:rPr>
          <w:rStyle w:val="FootnoteReference"/>
          <w:szCs w:val="22"/>
        </w:rPr>
        <w:footnoteReference w:id="174"/>
      </w:r>
      <w:r w:rsidRPr="00BB229F">
        <w:t xml:space="preserve">  Failure to pay regulatory fees and/or any late penalty will subject regulatees to sanctions, including those set forth in section 1.1910 of the Commission’s rules,</w:t>
      </w:r>
      <w:r w:rsidRPr="00BB229F">
        <w:rPr>
          <w:rStyle w:val="FootnoteReference"/>
          <w:szCs w:val="22"/>
        </w:rPr>
        <w:footnoteReference w:id="175"/>
      </w:r>
      <w:r w:rsidRPr="00BB229F">
        <w:t xml:space="preserve"> which generally requires the Commission to withhold action on “applications, including on a petition for reconsideration or any application for review of a fee determination, or requests for authorization by any entity found to be delinquent in its debt to the Commission” and in the DCIA.</w:t>
      </w:r>
      <w:r w:rsidRPr="00BB229F">
        <w:rPr>
          <w:rStyle w:val="FootnoteReference"/>
          <w:szCs w:val="22"/>
        </w:rPr>
        <w:footnoteReference w:id="176"/>
      </w:r>
      <w:r w:rsidRPr="00BB229F">
        <w:t xml:space="preserve">  We also assess administrative processing charges on delinquent debts to recover additional costs incurred in processing and handling the debt pursuant to the DCIA and section 1.1940(d) of the Commission’s rules.</w:t>
      </w:r>
      <w:r w:rsidRPr="00BB229F">
        <w:rPr>
          <w:rStyle w:val="FootnoteReference"/>
          <w:szCs w:val="22"/>
        </w:rPr>
        <w:footnoteReference w:id="177"/>
      </w:r>
      <w:r w:rsidRPr="00BB229F">
        <w:t xml:space="preserve">  These administrative processing charges will be assessed on any delinquent regulatory fee, in addition to the 25 percent late charge penalty.  In the case of partial payments (underpayments) of regulatory fees, the payor will be given credit for the amount paid, but if it is later determined that the fee paid is incorrect or not timely paid, then the 25 percent late charge penalty (and other charges and/or sanctions, as appropriate) will be assessed on the portion that is not paid in a timely manner.</w:t>
      </w:r>
    </w:p>
    <w:p w:rsidR="003B7F57" w:rsidRPr="00BB229F" w:rsidRDefault="003B7F57" w:rsidP="003B7F57">
      <w:pPr>
        <w:pStyle w:val="ParaNum"/>
      </w:pPr>
      <w:r w:rsidRPr="00BB229F">
        <w:t>Pursuant to the “red light rule,” we will withhold action on any applications or other requests for benefits filed by anyone who is delinquent in any non-tax debts owed to the Commission (including regulatory fees) and will ultimately dismiss those applications or other requests if payment of the delinquent debt or other satisfactory arrangement for payment is not made.</w:t>
      </w:r>
      <w:r w:rsidRPr="00BB229F">
        <w:rPr>
          <w:rStyle w:val="FootnoteReference"/>
          <w:szCs w:val="22"/>
        </w:rPr>
        <w:footnoteReference w:id="178"/>
      </w:r>
      <w:r w:rsidRPr="00BB229F">
        <w:t xml:space="preserve">  Failure to pay regulatory fees can also result in the initiation of a proceeding to revoke any and all authorizations held by the entity responsible for paying the delinquent fee(s).</w:t>
      </w:r>
      <w:r w:rsidRPr="00BB229F">
        <w:rPr>
          <w:rStyle w:val="FootnoteReference"/>
          <w:szCs w:val="22"/>
        </w:rPr>
        <w:footnoteReference w:id="179"/>
      </w:r>
      <w:r w:rsidRPr="00BB229F">
        <w:t xml:space="preserve">  Pursuant to a pilot program, we have initiated procedures to transfer debt to the Centralized Receivables Service at the U.S. Treasury, as described below. </w:t>
      </w:r>
    </w:p>
    <w:p w:rsidR="003B7F57" w:rsidRPr="00BB229F" w:rsidRDefault="003B7F57" w:rsidP="003B7F57">
      <w:pPr>
        <w:pStyle w:val="Heading2"/>
      </w:pPr>
      <w:bookmarkStart w:id="135" w:name="_Toc491865047"/>
      <w:bookmarkStart w:id="136" w:name="_Toc491865462"/>
      <w:r w:rsidRPr="00BB229F">
        <w:t>Transfers of Unpaid Debt to Centralized Receivables Service (CRS), U.S. Treasury</w:t>
      </w:r>
      <w:bookmarkEnd w:id="135"/>
      <w:bookmarkEnd w:id="136"/>
    </w:p>
    <w:p w:rsidR="003B7F57" w:rsidRPr="00BB229F" w:rsidRDefault="003B7F57" w:rsidP="0045073F">
      <w:pPr>
        <w:pStyle w:val="ParaNum"/>
        <w:widowControl/>
      </w:pPr>
      <w:r w:rsidRPr="00BB229F">
        <w:t>Under section 9 of the Act, Commission rules, and federal debt collection laws, a licensee’s regulatory fee is due on the first day of the fiscal year and payable at a date established in the Commission’s annual regulatory fee Report and Order. In October 2015, the Commission, under revised procedures, began transferring unpaid regulatory fee receivables directly to the CRS at the U.S. Treasury rather than trying to collect the debt itself and then transferring the remaining unpaid debts to Treasury.  Under revised procedures, the Commission can transfer delinquent debt to Treasury for further collection action within 120 days after the date of delinquency.</w:t>
      </w:r>
      <w:r w:rsidRPr="00BB229F">
        <w:rPr>
          <w:rStyle w:val="FootnoteReference"/>
        </w:rPr>
        <w:footnoteReference w:id="180"/>
      </w:r>
      <w:r w:rsidRPr="00BB229F">
        <w:t xml:space="preserve">  However, regulatees will not likely see any substantial change in the current procedures of how past due debts are to be paid, except that the debts will be handled by CRS (U.S. Treasury) rather than by the Commission  </w:t>
      </w:r>
    </w:p>
    <w:p w:rsidR="003B7F57" w:rsidRPr="00BB229F" w:rsidRDefault="003B7F57" w:rsidP="003B7F57">
      <w:pPr>
        <w:pStyle w:val="Heading2"/>
      </w:pPr>
      <w:bookmarkStart w:id="137" w:name="_Toc491865048"/>
      <w:bookmarkStart w:id="138" w:name="_Toc491865463"/>
      <w:r w:rsidRPr="00BB229F">
        <w:t>Effective Date</w:t>
      </w:r>
      <w:bookmarkEnd w:id="132"/>
      <w:bookmarkEnd w:id="133"/>
      <w:bookmarkEnd w:id="134"/>
      <w:bookmarkEnd w:id="137"/>
      <w:bookmarkEnd w:id="138"/>
    </w:p>
    <w:p w:rsidR="003B7F57" w:rsidRPr="00BB229F" w:rsidRDefault="008F39F8" w:rsidP="003B7F57">
      <w:pPr>
        <w:pStyle w:val="ParaNum"/>
      </w:pPr>
      <w:r w:rsidRPr="00BB229F">
        <w:t>Providing a 30-</w:t>
      </w:r>
      <w:r w:rsidR="003B7F57" w:rsidRPr="00BB229F">
        <w:t>day period after Federal Register publication before this Report and Order becomes effective as required by 5 U.S.C. § 553(d) will not allow sufficient time to collect the FY 201</w:t>
      </w:r>
      <w:r w:rsidRPr="00BB229F">
        <w:t>7</w:t>
      </w:r>
      <w:r w:rsidR="003B7F57" w:rsidRPr="00BB229F">
        <w:t xml:space="preserve"> fees before FY 201</w:t>
      </w:r>
      <w:r w:rsidRPr="00BB229F">
        <w:t>7</w:t>
      </w:r>
      <w:r w:rsidR="003B7F57" w:rsidRPr="00BB229F">
        <w:t xml:space="preserve"> ends on September 30, 201</w:t>
      </w:r>
      <w:r w:rsidRPr="00BB229F">
        <w:t>7</w:t>
      </w:r>
      <w:r w:rsidR="003B7F57" w:rsidRPr="00BB229F">
        <w:t>.  For this reason, pursuant to 5 U.S.C. § 553(d)(3), we find there is good cause to waive the requirements of section 553(d), and this Report and Order will become effective upon publication in the Federal Register.  Because payments of the regulatory fees will not actually be due until late September, persons affected by this Report and Order will still have a reasonable period in which to make their payments and thereby comply with the rules established herein.</w:t>
      </w:r>
    </w:p>
    <w:p w:rsidR="003B7F57" w:rsidRPr="00BB229F" w:rsidRDefault="003B7F57" w:rsidP="003B7F57">
      <w:pPr>
        <w:pStyle w:val="Heading2"/>
      </w:pPr>
      <w:bookmarkStart w:id="139" w:name="_Toc390878812"/>
      <w:bookmarkStart w:id="140" w:name="_Toc394672323"/>
      <w:bookmarkStart w:id="141" w:name="_Toc397078339"/>
      <w:bookmarkStart w:id="142" w:name="_Toc491865049"/>
      <w:bookmarkStart w:id="143" w:name="_Toc491865464"/>
      <w:r w:rsidRPr="00BB229F">
        <w:t>Final Regulatory Flexibility Analysis</w:t>
      </w:r>
      <w:bookmarkEnd w:id="139"/>
      <w:bookmarkEnd w:id="140"/>
      <w:bookmarkEnd w:id="141"/>
      <w:bookmarkEnd w:id="142"/>
      <w:bookmarkEnd w:id="143"/>
    </w:p>
    <w:p w:rsidR="003B7F57" w:rsidRPr="00BB229F" w:rsidRDefault="003B7F57" w:rsidP="003B7F57">
      <w:pPr>
        <w:pStyle w:val="ParaNum"/>
        <w:rPr>
          <w:szCs w:val="22"/>
        </w:rPr>
      </w:pPr>
      <w:r w:rsidRPr="00BB229F">
        <w:t>As required by the Regulatory Flexibility Act of 1980 (RFA),</w:t>
      </w:r>
      <w:r w:rsidRPr="00BB229F">
        <w:rPr>
          <w:rStyle w:val="FootnoteReference"/>
        </w:rPr>
        <w:footnoteReference w:id="181"/>
      </w:r>
      <w:r w:rsidRPr="00BB229F">
        <w:t xml:space="preserve"> the Commission has prepared a Final Regulatory Flexibility Analysis (FRFA) relating to this Report and Order.  The </w:t>
      </w:r>
      <w:r w:rsidRPr="00BB229F">
        <w:rPr>
          <w:szCs w:val="22"/>
        </w:rPr>
        <w:t xml:space="preserve">FRFA is contained in Appendix </w:t>
      </w:r>
      <w:r w:rsidR="00F30430" w:rsidRPr="00BB229F">
        <w:rPr>
          <w:szCs w:val="22"/>
        </w:rPr>
        <w:t>H</w:t>
      </w:r>
      <w:r w:rsidRPr="00BB229F">
        <w:rPr>
          <w:szCs w:val="22"/>
        </w:rPr>
        <w:t xml:space="preserve">. </w:t>
      </w:r>
    </w:p>
    <w:p w:rsidR="003B7F57" w:rsidRPr="00BB229F" w:rsidRDefault="003B7F57" w:rsidP="003B7F57">
      <w:pPr>
        <w:pStyle w:val="Heading2"/>
      </w:pPr>
      <w:bookmarkStart w:id="144" w:name="_Toc382567934"/>
      <w:bookmarkStart w:id="145" w:name="_Toc384227070"/>
      <w:bookmarkStart w:id="146" w:name="_Toc397078341"/>
      <w:bookmarkStart w:id="147" w:name="_Toc491865050"/>
      <w:bookmarkStart w:id="148" w:name="_Toc491865465"/>
      <w:r w:rsidRPr="00BB229F">
        <w:t>Paperwork Reduction Act of 1995 Analysis</w:t>
      </w:r>
      <w:bookmarkEnd w:id="144"/>
      <w:bookmarkEnd w:id="145"/>
      <w:bookmarkEnd w:id="146"/>
      <w:bookmarkEnd w:id="147"/>
      <w:bookmarkEnd w:id="148"/>
    </w:p>
    <w:p w:rsidR="003B7F57" w:rsidRPr="00BB229F" w:rsidRDefault="003B7F57" w:rsidP="003B7F57">
      <w:pPr>
        <w:pStyle w:val="ParaNum"/>
        <w:widowControl/>
        <w:rPr>
          <w:szCs w:val="22"/>
        </w:rPr>
      </w:pPr>
      <w:r w:rsidRPr="00BB229F">
        <w:rPr>
          <w:szCs w:val="22"/>
        </w:rPr>
        <w:t xml:space="preserve">This document does not contain new or modified information collection requirements subject to the Paperwork Reduction Act of 1995 (PRA), Public Law 104-13.  In addition, therefore, it does not contain any new or modified information collection burden for small business concerns with fewer than 25 employees, pursuant to the Small Business Paperwork Relief Act of 2002, Public Law 107-198, </w:t>
      </w:r>
      <w:r w:rsidRPr="00BB229F">
        <w:rPr>
          <w:i/>
          <w:iCs/>
          <w:szCs w:val="22"/>
        </w:rPr>
        <w:t xml:space="preserve">see </w:t>
      </w:r>
      <w:r w:rsidRPr="00BB229F">
        <w:rPr>
          <w:szCs w:val="22"/>
        </w:rPr>
        <w:t>44 U.S.C. 3506(c)(4).</w:t>
      </w:r>
    </w:p>
    <w:p w:rsidR="00D86DA3" w:rsidRPr="00BB229F" w:rsidRDefault="00D86DA3" w:rsidP="00D86DA3">
      <w:pPr>
        <w:pStyle w:val="Heading2"/>
      </w:pPr>
      <w:bookmarkStart w:id="149" w:name="_Toc491865051"/>
      <w:bookmarkStart w:id="150" w:name="_Toc491865466"/>
      <w:r w:rsidRPr="00BB229F">
        <w:t>Initial Regulatory Flexibility Analysis</w:t>
      </w:r>
      <w:bookmarkEnd w:id="149"/>
      <w:bookmarkEnd w:id="150"/>
    </w:p>
    <w:p w:rsidR="00D86DA3" w:rsidRPr="00BB229F" w:rsidRDefault="00D86DA3" w:rsidP="00D86DA3">
      <w:pPr>
        <w:pStyle w:val="ParaNum"/>
      </w:pPr>
      <w:r w:rsidRPr="00BB229F">
        <w:t xml:space="preserve">An initial regulatory flexibility analysis (IRFA) is contained in Appendix </w:t>
      </w:r>
      <w:r w:rsidR="00F30430" w:rsidRPr="00BB229F">
        <w:t>G</w:t>
      </w:r>
      <w:r w:rsidRPr="00BB229F">
        <w:t xml:space="preserve">.  Comments to the IRFA must be identified as responses to the IRFA and filed by the deadlines for comments on the </w:t>
      </w:r>
      <w:r w:rsidR="005E3353" w:rsidRPr="00BB229F">
        <w:t xml:space="preserve">Further </w:t>
      </w:r>
      <w:r w:rsidRPr="00BB229F">
        <w:t>Notice of Proposed Rulemaking.  The Commission will send a copy of the Further Notice of Proposed Rulemaking, including the IRFA, to the Chief Counsel for Advocacy of the Small Business Administration.</w:t>
      </w:r>
    </w:p>
    <w:p w:rsidR="00D86DA3" w:rsidRPr="00BB229F" w:rsidRDefault="00D86DA3" w:rsidP="00D86DA3">
      <w:pPr>
        <w:pStyle w:val="Heading2"/>
      </w:pPr>
      <w:bookmarkStart w:id="151" w:name="_Toc491865052"/>
      <w:bookmarkStart w:id="152" w:name="_Toc491865467"/>
      <w:r w:rsidRPr="00BB229F">
        <w:t>Filing Instructions</w:t>
      </w:r>
      <w:bookmarkEnd w:id="151"/>
      <w:bookmarkEnd w:id="152"/>
    </w:p>
    <w:p w:rsidR="00D86DA3" w:rsidRPr="00BB229F" w:rsidRDefault="00D86DA3" w:rsidP="00D86DA3">
      <w:pPr>
        <w:pStyle w:val="ParaNum"/>
      </w:pPr>
      <w:r w:rsidRPr="00BB229F">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BB229F">
        <w:rPr>
          <w:i/>
        </w:rPr>
        <w:t>See</w:t>
      </w:r>
      <w:r w:rsidRPr="00BB229F">
        <w:t xml:space="preserve"> </w:t>
      </w:r>
      <w:r w:rsidRPr="00BB229F">
        <w:rPr>
          <w:i/>
        </w:rPr>
        <w:t>Electronic Filing of Documents in Rulemaking Proceedings</w:t>
      </w:r>
      <w:r w:rsidRPr="00BB229F">
        <w:t>, 63 FR 24121 (1998).</w:t>
      </w:r>
    </w:p>
    <w:p w:rsidR="00D86DA3" w:rsidRPr="00BB229F" w:rsidRDefault="00D86DA3" w:rsidP="00D86DA3">
      <w:pPr>
        <w:pStyle w:val="ParaNum"/>
        <w:numPr>
          <w:ilvl w:val="0"/>
          <w:numId w:val="9"/>
        </w:numPr>
        <w:rPr>
          <w:szCs w:val="22"/>
        </w:rPr>
      </w:pPr>
      <w:r w:rsidRPr="00BB229F">
        <w:rPr>
          <w:szCs w:val="22"/>
        </w:rPr>
        <w:t>Electronic Filers:  Comments may be filed electronically using the Internet by accessing the ECFS.</w:t>
      </w:r>
    </w:p>
    <w:p w:rsidR="00D86DA3" w:rsidRPr="00BB229F" w:rsidRDefault="00D86DA3" w:rsidP="00D86DA3">
      <w:pPr>
        <w:pStyle w:val="ParaNum"/>
        <w:numPr>
          <w:ilvl w:val="0"/>
          <w:numId w:val="9"/>
        </w:numPr>
        <w:rPr>
          <w:szCs w:val="22"/>
        </w:rPr>
      </w:pPr>
      <w:r w:rsidRPr="00BB229F">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D86DA3" w:rsidRPr="00BB229F" w:rsidRDefault="00D86DA3" w:rsidP="00D86DA3">
      <w:pPr>
        <w:pStyle w:val="ParaNum"/>
        <w:numPr>
          <w:ilvl w:val="1"/>
          <w:numId w:val="9"/>
        </w:numPr>
        <w:rPr>
          <w:szCs w:val="22"/>
        </w:rPr>
      </w:pPr>
      <w:r w:rsidRPr="00BB229F">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D86DA3" w:rsidRPr="00BB229F" w:rsidRDefault="00D86DA3" w:rsidP="00D86DA3">
      <w:pPr>
        <w:pStyle w:val="ParaNum"/>
        <w:numPr>
          <w:ilvl w:val="1"/>
          <w:numId w:val="9"/>
        </w:numPr>
        <w:rPr>
          <w:szCs w:val="22"/>
        </w:rPr>
      </w:pPr>
      <w:r w:rsidRPr="00BB229F">
        <w:rPr>
          <w:szCs w:val="22"/>
        </w:rPr>
        <w:t xml:space="preserve">All hand-delivered or messenger-delivered paper filings for the Commission’s Secretary must be delivered to FCC Headquarters at 445 12th St., SW, Room TW-A325, Washington, DC 20554.  The filing hours are 8:00 a.m. to 7:00 p.m.  All hand deliveries must be held together with rubber bands or fasteners.  Any envelopes and boxes must be disposed of before entering the building.  </w:t>
      </w:r>
    </w:p>
    <w:p w:rsidR="00D86DA3" w:rsidRPr="00BB229F" w:rsidRDefault="00D86DA3" w:rsidP="00D86DA3">
      <w:pPr>
        <w:pStyle w:val="ParaNum"/>
        <w:numPr>
          <w:ilvl w:val="1"/>
          <w:numId w:val="9"/>
        </w:numPr>
        <w:rPr>
          <w:szCs w:val="22"/>
        </w:rPr>
      </w:pPr>
      <w:r w:rsidRPr="00BB229F">
        <w:rPr>
          <w:szCs w:val="22"/>
        </w:rPr>
        <w:t>Commercial overnight mail (other than U.S. Postal Service Express Mail and Priority Mail) must be sent to 9300 East Hampton Drive, Capitol Heights, MD  20743.</w:t>
      </w:r>
    </w:p>
    <w:p w:rsidR="00D86DA3" w:rsidRPr="00BB229F" w:rsidRDefault="00D86DA3" w:rsidP="00D86DA3">
      <w:pPr>
        <w:pStyle w:val="ParaNum"/>
        <w:numPr>
          <w:ilvl w:val="1"/>
          <w:numId w:val="9"/>
        </w:numPr>
        <w:rPr>
          <w:szCs w:val="22"/>
        </w:rPr>
      </w:pPr>
      <w:r w:rsidRPr="00BB229F">
        <w:rPr>
          <w:szCs w:val="22"/>
        </w:rPr>
        <w:t>U.S. Postal Service first-class, Express, and Priority mail must be addressed to 445 12th Street, SW, Washington, DC  20554.</w:t>
      </w:r>
    </w:p>
    <w:p w:rsidR="00D86DA3" w:rsidRPr="00BB229F" w:rsidRDefault="00D86DA3" w:rsidP="00D86DA3">
      <w:pPr>
        <w:pStyle w:val="ParaNum"/>
      </w:pPr>
      <w:r w:rsidRPr="00BB229F">
        <w:t xml:space="preserve">People with Disabilities:  To request materials in accessible formats for people with disabilities (braille, large print, electronic files, audio format), send an e-mail to </w:t>
      </w:r>
      <w:hyperlink r:id="rId10" w:history="1">
        <w:r w:rsidRPr="00BB229F">
          <w:rPr>
            <w:rStyle w:val="Hyperlink"/>
            <w:color w:val="auto"/>
            <w:szCs w:val="22"/>
          </w:rPr>
          <w:t>fcc504@fcc.gov</w:t>
        </w:r>
      </w:hyperlink>
      <w:r w:rsidRPr="00BB229F">
        <w:t xml:space="preserve"> or call the Consumer &amp; Governmental Affairs Bureau at 202-418-0530 (voice), 202-418-0432 (tty).</w:t>
      </w:r>
    </w:p>
    <w:p w:rsidR="00D86DA3" w:rsidRPr="00BB229F" w:rsidRDefault="00D86DA3" w:rsidP="00D86DA3">
      <w:pPr>
        <w:pStyle w:val="Heading2"/>
      </w:pPr>
      <w:bookmarkStart w:id="153" w:name="_Toc491865053"/>
      <w:bookmarkStart w:id="154" w:name="_Toc491865468"/>
      <w:r w:rsidRPr="00BB229F">
        <w:t>Ex Parte Information</w:t>
      </w:r>
      <w:bookmarkEnd w:id="153"/>
      <w:bookmarkEnd w:id="154"/>
    </w:p>
    <w:p w:rsidR="00D86DA3" w:rsidRPr="00BB229F" w:rsidRDefault="00D86DA3" w:rsidP="003B7F57">
      <w:pPr>
        <w:pStyle w:val="ParaNum"/>
        <w:widowControl/>
        <w:rPr>
          <w:szCs w:val="22"/>
        </w:rPr>
      </w:pPr>
      <w:r w:rsidRPr="00BB229F">
        <w:t>This proceeding shall be treated as a “permit-but-disclose” proceeding in accordance with the Commission’s ex parte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list all persons attending or otherwise participating in the meeting at which the ex parte presentation was made, and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section 1.1206(b) of the Commission’s rules.  In proceedings governed by section 1.49(f) of the Commission’s rules or for which the Commission has made available a method of electronic filing, written ex parte presentations and memoranda summarizing oral ex parte 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ex parte rules.</w:t>
      </w:r>
    </w:p>
    <w:p w:rsidR="003B7F57" w:rsidRPr="00BB229F" w:rsidRDefault="003B7F57" w:rsidP="003B7F57">
      <w:pPr>
        <w:pStyle w:val="Heading2"/>
        <w:rPr>
          <w:b w:val="0"/>
        </w:rPr>
      </w:pPr>
      <w:bookmarkStart w:id="155" w:name="_Toc390878814"/>
      <w:bookmarkStart w:id="156" w:name="_Toc394672325"/>
      <w:bookmarkStart w:id="157" w:name="_Toc397078342"/>
      <w:bookmarkStart w:id="158" w:name="_Toc491865054"/>
      <w:bookmarkStart w:id="159" w:name="_Toc491865469"/>
      <w:r w:rsidRPr="00BB229F">
        <w:rPr>
          <w:bCs/>
        </w:rPr>
        <w:t>Congressional Review Act.</w:t>
      </w:r>
      <w:bookmarkEnd w:id="155"/>
      <w:bookmarkEnd w:id="156"/>
      <w:bookmarkEnd w:id="157"/>
      <w:bookmarkEnd w:id="158"/>
      <w:bookmarkEnd w:id="159"/>
    </w:p>
    <w:p w:rsidR="003B7F57" w:rsidRPr="00BB229F" w:rsidRDefault="003B7F57" w:rsidP="003B7F57">
      <w:pPr>
        <w:pStyle w:val="ParaNum"/>
        <w:rPr>
          <w:szCs w:val="22"/>
        </w:rPr>
      </w:pPr>
      <w:r w:rsidRPr="00BB229F">
        <w:t>The Commission will send a copy of this Report and Order</w:t>
      </w:r>
      <w:r w:rsidR="005E3353" w:rsidRPr="00BB229F">
        <w:t xml:space="preserve"> </w:t>
      </w:r>
      <w:r w:rsidR="00FB2677" w:rsidRPr="00BB229F">
        <w:t xml:space="preserve">and Further Notice of Proposed Rulemaking </w:t>
      </w:r>
      <w:r w:rsidRPr="00BB229F">
        <w:t xml:space="preserve">to Congress and the Government Accountability Office pursuant to the Congressional Review Act.  5 U.S.C. 801(a)(1)(A).  </w:t>
      </w:r>
    </w:p>
    <w:p w:rsidR="003B7F57" w:rsidRPr="00BB229F" w:rsidRDefault="003B7F57" w:rsidP="003B7F57">
      <w:pPr>
        <w:pStyle w:val="Heading1"/>
        <w:rPr>
          <w:rFonts w:ascii="Times New Roman" w:hAnsi="Times New Roman"/>
          <w:szCs w:val="22"/>
        </w:rPr>
      </w:pPr>
      <w:bookmarkStart w:id="160" w:name="_Toc351484777"/>
      <w:bookmarkStart w:id="161" w:name="_Toc351484823"/>
      <w:bookmarkStart w:id="162" w:name="_Toc351484965"/>
      <w:bookmarkStart w:id="163" w:name="_Toc351571074"/>
      <w:bookmarkStart w:id="164" w:name="_Toc353032064"/>
      <w:bookmarkStart w:id="165" w:name="_Toc351572438"/>
      <w:bookmarkStart w:id="166" w:name="_Toc352943197"/>
      <w:bookmarkStart w:id="167" w:name="_Toc352943646"/>
      <w:bookmarkStart w:id="168" w:name="_Toc353987741"/>
      <w:bookmarkStart w:id="169" w:name="_Toc390878816"/>
      <w:bookmarkStart w:id="170" w:name="_Toc394672328"/>
      <w:bookmarkStart w:id="171" w:name="_Toc397078345"/>
      <w:bookmarkStart w:id="172" w:name="_Toc491865055"/>
      <w:bookmarkStart w:id="173" w:name="_Toc491865470"/>
      <w:r w:rsidRPr="00BB229F">
        <w:rPr>
          <w:rFonts w:ascii="Times New Roman" w:hAnsi="Times New Roman"/>
          <w:szCs w:val="22"/>
        </w:rPr>
        <w:t>ORDERING CLAUSES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rsidR="003B7F57" w:rsidRPr="00BB229F" w:rsidRDefault="003B7F57" w:rsidP="003B7F57">
      <w:pPr>
        <w:pStyle w:val="ParaNum"/>
      </w:pPr>
      <w:r w:rsidRPr="00BB229F">
        <w:t xml:space="preserve">Accordingly, </w:t>
      </w:r>
      <w:r w:rsidRPr="00BB229F">
        <w:rPr>
          <w:b/>
        </w:rPr>
        <w:t>IT IS ORDERED</w:t>
      </w:r>
      <w:r w:rsidRPr="00BB229F">
        <w:t xml:space="preserve"> that, pursuant to Sections 4(i) and (j), 9, and 303(r) of the Communications Act of 1934, as amended, 47 U.S.C. §§ 154(i), 154(j), 159, and 303(r), this Report and Order</w:t>
      </w:r>
      <w:r w:rsidR="005E3353" w:rsidRPr="00BB229F">
        <w:t xml:space="preserve"> </w:t>
      </w:r>
      <w:r w:rsidR="00FB2677" w:rsidRPr="00BB229F">
        <w:t xml:space="preserve">and Further Notice of Proposed Rulemaking </w:t>
      </w:r>
      <w:r w:rsidRPr="00BB229F">
        <w:rPr>
          <w:b/>
        </w:rPr>
        <w:t>IS HEREBY ADOPTED</w:t>
      </w:r>
      <w:r w:rsidRPr="00BB229F">
        <w:t>.</w:t>
      </w:r>
    </w:p>
    <w:p w:rsidR="003B7F57" w:rsidRPr="00BB229F" w:rsidRDefault="003B7F57" w:rsidP="003B7F57">
      <w:pPr>
        <w:pStyle w:val="ParaNum"/>
      </w:pPr>
      <w:r w:rsidRPr="00BB229F">
        <w:rPr>
          <w:b/>
        </w:rPr>
        <w:t xml:space="preserve">IT IS FURTHER ORDERED </w:t>
      </w:r>
      <w:r w:rsidRPr="00BB229F">
        <w:t xml:space="preserve">that this Report and Order </w:t>
      </w:r>
      <w:r w:rsidRPr="00BB229F">
        <w:rPr>
          <w:b/>
        </w:rPr>
        <w:t>SHALL BE EFFECTIVE</w:t>
      </w:r>
      <w:r w:rsidRPr="00BB229F">
        <w:t xml:space="preserve"> upon publication in the Federal Register.</w:t>
      </w:r>
    </w:p>
    <w:p w:rsidR="00487228" w:rsidRPr="00BB229F" w:rsidRDefault="00487228" w:rsidP="003B7F57">
      <w:pPr>
        <w:pStyle w:val="ParaNum"/>
      </w:pPr>
      <w:r w:rsidRPr="00BB229F">
        <w:rPr>
          <w:b/>
        </w:rPr>
        <w:t xml:space="preserve">IT IS FURTHER ORDERED </w:t>
      </w:r>
      <w:r w:rsidRPr="00BB229F">
        <w:t xml:space="preserve">that this Further Notice of Proposed Rulemaking </w:t>
      </w:r>
      <w:r w:rsidRPr="00BB229F">
        <w:rPr>
          <w:b/>
        </w:rPr>
        <w:t>SHALL BE EFFECTIVE</w:t>
      </w:r>
      <w:r w:rsidRPr="00BB229F">
        <w:t xml:space="preserve"> upon publication in the Federal Register.</w:t>
      </w:r>
    </w:p>
    <w:p w:rsidR="0045073F" w:rsidRDefault="0045073F">
      <w:pPr>
        <w:widowControl/>
        <w:rPr>
          <w:b/>
        </w:rPr>
      </w:pPr>
    </w:p>
    <w:p w:rsidR="003B7F57" w:rsidRPr="00BB229F" w:rsidRDefault="003B7F57" w:rsidP="003B7F57">
      <w:pPr>
        <w:pStyle w:val="ParaNum"/>
      </w:pPr>
      <w:r w:rsidRPr="00BB229F">
        <w:rPr>
          <w:b/>
        </w:rPr>
        <w:t xml:space="preserve">IT IS FURTHER ORDERED </w:t>
      </w:r>
      <w:r w:rsidRPr="00BB229F">
        <w:t xml:space="preserve">that the Commission’s Consumer &amp; Governmental Affairs Bureau, Reference Information Center, </w:t>
      </w:r>
      <w:r w:rsidRPr="00BB229F">
        <w:rPr>
          <w:b/>
        </w:rPr>
        <w:t>SHALL SEND</w:t>
      </w:r>
      <w:r w:rsidRPr="00BB229F">
        <w:t xml:space="preserve"> a copy of this Report and Order</w:t>
      </w:r>
      <w:r w:rsidR="00FB2677" w:rsidRPr="00BB229F">
        <w:t xml:space="preserve"> and Further Notice of Proposed Rulemaking</w:t>
      </w:r>
      <w:r w:rsidRPr="00BB229F">
        <w:t xml:space="preserve">, including the Final Regulatory Flexibility Analysis in Appendix </w:t>
      </w:r>
      <w:r w:rsidR="00F30430" w:rsidRPr="00BB229F">
        <w:t>H</w:t>
      </w:r>
      <w:r w:rsidRPr="00BB229F">
        <w:t>, to the Chief Counsel for Advocacy of the U.S. Small Business Administration.</w:t>
      </w:r>
    </w:p>
    <w:p w:rsidR="003B7F57" w:rsidRPr="00BB229F" w:rsidRDefault="003B7F57" w:rsidP="003B7F57">
      <w:pPr>
        <w:pStyle w:val="Heading1"/>
        <w:numPr>
          <w:ilvl w:val="0"/>
          <w:numId w:val="0"/>
        </w:numPr>
        <w:ind w:left="720" w:hanging="720"/>
        <w:rPr>
          <w:rFonts w:ascii="Times New Roman" w:hAnsi="Times New Roman"/>
          <w:szCs w:val="22"/>
        </w:rPr>
      </w:pPr>
    </w:p>
    <w:p w:rsidR="003B7F57" w:rsidRPr="00BB229F" w:rsidRDefault="003B7F57" w:rsidP="003B7F57">
      <w:r w:rsidRPr="00BB229F">
        <w:tab/>
      </w:r>
      <w:r w:rsidRPr="00BB229F">
        <w:tab/>
      </w:r>
      <w:r w:rsidRPr="00BB229F">
        <w:tab/>
      </w:r>
      <w:r w:rsidRPr="00BB229F">
        <w:tab/>
      </w:r>
      <w:r w:rsidRPr="00BB229F">
        <w:tab/>
      </w:r>
      <w:r w:rsidRPr="00BB229F">
        <w:tab/>
        <w:t>FEDERAL COMMUNICATIONS COMMISSION</w:t>
      </w:r>
    </w:p>
    <w:p w:rsidR="003B7F57" w:rsidRPr="00BB229F" w:rsidRDefault="003B7F57" w:rsidP="003B7F57"/>
    <w:p w:rsidR="003B7F57" w:rsidRPr="00BB229F" w:rsidRDefault="003B7F57" w:rsidP="003B7F57"/>
    <w:p w:rsidR="003B7F57" w:rsidRPr="00BB229F" w:rsidRDefault="003B7F57" w:rsidP="003B7F57"/>
    <w:p w:rsidR="003B7F57" w:rsidRPr="00BB229F" w:rsidRDefault="003B7F57" w:rsidP="003B7F57"/>
    <w:p w:rsidR="003B7F57" w:rsidRPr="00BB229F" w:rsidRDefault="003B7F57" w:rsidP="003B7F57">
      <w:r w:rsidRPr="00BB229F">
        <w:tab/>
      </w:r>
      <w:r w:rsidRPr="00BB229F">
        <w:tab/>
      </w:r>
      <w:r w:rsidRPr="00BB229F">
        <w:tab/>
      </w:r>
      <w:r w:rsidRPr="00BB229F">
        <w:tab/>
      </w:r>
      <w:r w:rsidRPr="00BB229F">
        <w:tab/>
      </w:r>
      <w:r w:rsidRPr="00BB229F">
        <w:tab/>
        <w:t>Marlene H. Dortch</w:t>
      </w:r>
    </w:p>
    <w:p w:rsidR="003B7F57" w:rsidRDefault="003B7F57" w:rsidP="00293571">
      <w:pPr>
        <w:rPr>
          <w:b/>
        </w:rPr>
      </w:pPr>
      <w:r w:rsidRPr="00BB229F">
        <w:tab/>
      </w:r>
      <w:r w:rsidRPr="00BB229F">
        <w:tab/>
      </w:r>
      <w:r w:rsidRPr="00BB229F">
        <w:tab/>
      </w:r>
      <w:r w:rsidRPr="00BB229F">
        <w:tab/>
      </w:r>
      <w:r w:rsidRPr="00BB229F">
        <w:tab/>
      </w:r>
      <w:r w:rsidRPr="00BB229F">
        <w:tab/>
        <w:t>Secretary</w:t>
      </w:r>
    </w:p>
    <w:p w:rsidR="00293571" w:rsidRDefault="00293571">
      <w:pPr>
        <w:widowControl/>
        <w:rPr>
          <w:b/>
        </w:rPr>
      </w:pPr>
      <w:r>
        <w:rPr>
          <w:b/>
        </w:rPr>
        <w:br w:type="page"/>
      </w:r>
    </w:p>
    <w:p w:rsidR="00293571" w:rsidRPr="00BB229F" w:rsidRDefault="00533C43" w:rsidP="00533C43">
      <w:pPr>
        <w:jc w:val="center"/>
        <w:rPr>
          <w:b/>
        </w:rPr>
      </w:pPr>
      <w:r>
        <w:rPr>
          <w:b/>
        </w:rPr>
        <w:t>APPENDIX A</w:t>
      </w:r>
    </w:p>
    <w:p w:rsidR="00E74F23" w:rsidRPr="00BB229F" w:rsidRDefault="00E74F23" w:rsidP="00E74F23">
      <w:pPr>
        <w:jc w:val="center"/>
        <w:rPr>
          <w:b/>
        </w:rPr>
      </w:pPr>
    </w:p>
    <w:p w:rsidR="00E74F23" w:rsidRPr="00BB229F" w:rsidRDefault="00E74F23" w:rsidP="00E74F23">
      <w:pPr>
        <w:jc w:val="center"/>
        <w:rPr>
          <w:b/>
        </w:rPr>
      </w:pPr>
      <w:r w:rsidRPr="00BB229F">
        <w:rPr>
          <w:b/>
        </w:rPr>
        <w:t>Commenters—Initial Comments</w:t>
      </w:r>
    </w:p>
    <w:p w:rsidR="00E74F23" w:rsidRPr="00BB229F" w:rsidRDefault="00E74F23" w:rsidP="00E74F23">
      <w:pPr>
        <w:jc w:val="center"/>
        <w:rPr>
          <w:b/>
        </w:rPr>
      </w:pPr>
    </w:p>
    <w:tbl>
      <w:tblPr>
        <w:tblStyle w:val="TableGrid"/>
        <w:tblW w:w="0" w:type="auto"/>
        <w:tblLook w:val="04A0" w:firstRow="1" w:lastRow="0" w:firstColumn="1" w:lastColumn="0" w:noHBand="0" w:noVBand="1"/>
      </w:tblPr>
      <w:tblGrid>
        <w:gridCol w:w="4675"/>
        <w:gridCol w:w="4675"/>
      </w:tblGrid>
      <w:tr w:rsidR="00BB229F" w:rsidRPr="00BB229F" w:rsidTr="00E74F23">
        <w:tc>
          <w:tcPr>
            <w:tcW w:w="4675" w:type="dxa"/>
          </w:tcPr>
          <w:p w:rsidR="00E74F23" w:rsidRPr="00BB229F" w:rsidRDefault="009D2E62" w:rsidP="00E74F23">
            <w:pPr>
              <w:jc w:val="center"/>
              <w:rPr>
                <w:b/>
              </w:rPr>
            </w:pPr>
            <w:r w:rsidRPr="00BB229F">
              <w:rPr>
                <w:b/>
              </w:rPr>
              <w:t>Commenter</w:t>
            </w:r>
          </w:p>
        </w:tc>
        <w:tc>
          <w:tcPr>
            <w:tcW w:w="4675" w:type="dxa"/>
          </w:tcPr>
          <w:p w:rsidR="00E74F23" w:rsidRPr="00BB229F" w:rsidRDefault="009D2E62" w:rsidP="00E74F23">
            <w:pPr>
              <w:jc w:val="center"/>
              <w:rPr>
                <w:b/>
              </w:rPr>
            </w:pPr>
            <w:r w:rsidRPr="00BB229F">
              <w:rPr>
                <w:b/>
              </w:rPr>
              <w:t>Abbreviation</w:t>
            </w:r>
          </w:p>
        </w:tc>
      </w:tr>
      <w:tr w:rsidR="00BB229F" w:rsidRPr="00BB229F" w:rsidTr="00E74F23">
        <w:tc>
          <w:tcPr>
            <w:tcW w:w="4675" w:type="dxa"/>
          </w:tcPr>
          <w:p w:rsidR="003D780B" w:rsidRPr="00BB229F" w:rsidRDefault="003D780B" w:rsidP="00E74F23">
            <w:pPr>
              <w:jc w:val="center"/>
            </w:pPr>
            <w:r w:rsidRPr="00BB229F">
              <w:t>American Cable Association</w:t>
            </w:r>
          </w:p>
        </w:tc>
        <w:tc>
          <w:tcPr>
            <w:tcW w:w="4675" w:type="dxa"/>
          </w:tcPr>
          <w:p w:rsidR="003D780B" w:rsidRPr="00BB229F" w:rsidRDefault="003D780B" w:rsidP="00E74F23">
            <w:pPr>
              <w:jc w:val="center"/>
            </w:pPr>
            <w:r w:rsidRPr="00BB229F">
              <w:t>ACA</w:t>
            </w:r>
          </w:p>
        </w:tc>
      </w:tr>
      <w:tr w:rsidR="00BB229F" w:rsidRPr="00BB229F" w:rsidTr="00E74F23">
        <w:tc>
          <w:tcPr>
            <w:tcW w:w="4675" w:type="dxa"/>
          </w:tcPr>
          <w:p w:rsidR="00AA71C2" w:rsidRPr="00BB229F" w:rsidRDefault="007105EA" w:rsidP="00E74F23">
            <w:pPr>
              <w:jc w:val="center"/>
            </w:pPr>
            <w:r w:rsidRPr="00BB229F">
              <w:t>Arso</w:t>
            </w:r>
            <w:r w:rsidR="00AA71C2" w:rsidRPr="00BB229F">
              <w:t xml:space="preserve"> Radio Corporation</w:t>
            </w:r>
          </w:p>
        </w:tc>
        <w:tc>
          <w:tcPr>
            <w:tcW w:w="4675" w:type="dxa"/>
          </w:tcPr>
          <w:p w:rsidR="00AA71C2" w:rsidRPr="00BB229F" w:rsidRDefault="007105EA" w:rsidP="00E74F23">
            <w:pPr>
              <w:jc w:val="center"/>
            </w:pPr>
            <w:r w:rsidRPr="00BB229F">
              <w:t>Arso</w:t>
            </w:r>
          </w:p>
        </w:tc>
      </w:tr>
      <w:tr w:rsidR="00BB229F" w:rsidRPr="00BB229F" w:rsidTr="00E74F23">
        <w:tc>
          <w:tcPr>
            <w:tcW w:w="4675" w:type="dxa"/>
          </w:tcPr>
          <w:p w:rsidR="00E74F23" w:rsidRPr="00BB229F" w:rsidRDefault="008141E7" w:rsidP="00E74F23">
            <w:pPr>
              <w:jc w:val="center"/>
            </w:pPr>
            <w:r w:rsidRPr="00BB229F">
              <w:t>AT&amp;T Services, Inc.</w:t>
            </w:r>
          </w:p>
        </w:tc>
        <w:tc>
          <w:tcPr>
            <w:tcW w:w="4675" w:type="dxa"/>
          </w:tcPr>
          <w:p w:rsidR="00E74F23" w:rsidRPr="00BB229F" w:rsidRDefault="008141E7" w:rsidP="00E74F23">
            <w:pPr>
              <w:jc w:val="center"/>
            </w:pPr>
            <w:r w:rsidRPr="00BB229F">
              <w:t>AT&amp;T</w:t>
            </w:r>
          </w:p>
        </w:tc>
      </w:tr>
      <w:tr w:rsidR="00BB229F" w:rsidRPr="00BB229F" w:rsidTr="00E74F23">
        <w:tc>
          <w:tcPr>
            <w:tcW w:w="4675" w:type="dxa"/>
          </w:tcPr>
          <w:p w:rsidR="00542898" w:rsidRPr="00BB229F" w:rsidRDefault="00542898" w:rsidP="00E74F23">
            <w:pPr>
              <w:jc w:val="center"/>
            </w:pPr>
            <w:r w:rsidRPr="00BB229F">
              <w:t>CenturyLink, Inc.</w:t>
            </w:r>
          </w:p>
        </w:tc>
        <w:tc>
          <w:tcPr>
            <w:tcW w:w="4675" w:type="dxa"/>
          </w:tcPr>
          <w:p w:rsidR="00542898" w:rsidRPr="00BB229F" w:rsidRDefault="00542898" w:rsidP="00E74F23">
            <w:pPr>
              <w:jc w:val="center"/>
            </w:pPr>
            <w:r w:rsidRPr="00BB229F">
              <w:t>CenturyLink</w:t>
            </w:r>
          </w:p>
        </w:tc>
      </w:tr>
      <w:tr w:rsidR="00BB229F" w:rsidRPr="00BB229F" w:rsidTr="00E74F23">
        <w:tc>
          <w:tcPr>
            <w:tcW w:w="4675" w:type="dxa"/>
          </w:tcPr>
          <w:p w:rsidR="0011735F" w:rsidRPr="00BB229F" w:rsidRDefault="0011735F" w:rsidP="00E74F23">
            <w:pPr>
              <w:jc w:val="center"/>
            </w:pPr>
            <w:r w:rsidRPr="00BB229F">
              <w:t>CRC Broadcasting Company, Inc.</w:t>
            </w:r>
          </w:p>
        </w:tc>
        <w:tc>
          <w:tcPr>
            <w:tcW w:w="4675" w:type="dxa"/>
          </w:tcPr>
          <w:p w:rsidR="0011735F" w:rsidRPr="00BB229F" w:rsidRDefault="0011735F" w:rsidP="00E74F23">
            <w:pPr>
              <w:jc w:val="center"/>
            </w:pPr>
            <w:r w:rsidRPr="00BB229F">
              <w:t>CRC</w:t>
            </w:r>
          </w:p>
        </w:tc>
      </w:tr>
      <w:tr w:rsidR="00BB229F" w:rsidRPr="00BB229F" w:rsidTr="00E74F23">
        <w:tc>
          <w:tcPr>
            <w:tcW w:w="4675" w:type="dxa"/>
          </w:tcPr>
          <w:p w:rsidR="00760B74" w:rsidRPr="00BB229F" w:rsidRDefault="00760B74" w:rsidP="00E74F23">
            <w:pPr>
              <w:jc w:val="center"/>
            </w:pPr>
            <w:r w:rsidRPr="00BB229F">
              <w:t>Critical Messaging Association</w:t>
            </w:r>
          </w:p>
        </w:tc>
        <w:tc>
          <w:tcPr>
            <w:tcW w:w="4675" w:type="dxa"/>
          </w:tcPr>
          <w:p w:rsidR="00760B74" w:rsidRPr="00BB229F" w:rsidRDefault="00760B74" w:rsidP="00E74F23">
            <w:pPr>
              <w:jc w:val="center"/>
            </w:pPr>
            <w:r w:rsidRPr="00BB229F">
              <w:t>CMA</w:t>
            </w:r>
          </w:p>
        </w:tc>
      </w:tr>
      <w:tr w:rsidR="00BB229F" w:rsidRPr="00BB229F" w:rsidTr="00E74F23">
        <w:tc>
          <w:tcPr>
            <w:tcW w:w="4675" w:type="dxa"/>
          </w:tcPr>
          <w:p w:rsidR="00EE048C" w:rsidRPr="00BB229F" w:rsidRDefault="003E53F8" w:rsidP="00E74F23">
            <w:pPr>
              <w:jc w:val="center"/>
            </w:pPr>
            <w:r w:rsidRPr="00BB229F">
              <w:t>DISH Network, L.L.C. and AT&amp;T Services, Inc.</w:t>
            </w:r>
          </w:p>
        </w:tc>
        <w:tc>
          <w:tcPr>
            <w:tcW w:w="4675" w:type="dxa"/>
          </w:tcPr>
          <w:p w:rsidR="00EE048C" w:rsidRPr="00BB229F" w:rsidRDefault="003E53F8" w:rsidP="00E74F23">
            <w:pPr>
              <w:jc w:val="center"/>
            </w:pPr>
            <w:r w:rsidRPr="00BB229F">
              <w:t>DISH and AT&amp;T</w:t>
            </w:r>
          </w:p>
        </w:tc>
      </w:tr>
      <w:tr w:rsidR="00BB229F" w:rsidRPr="00BB229F" w:rsidTr="00E74F23">
        <w:tc>
          <w:tcPr>
            <w:tcW w:w="4675" w:type="dxa"/>
          </w:tcPr>
          <w:p w:rsidR="00A57055" w:rsidRPr="00BB229F" w:rsidRDefault="00A57055" w:rsidP="00E74F23">
            <w:pPr>
              <w:jc w:val="center"/>
            </w:pPr>
            <w:r w:rsidRPr="00BB229F">
              <w:t>Enterprise Wireless Alliance</w:t>
            </w:r>
          </w:p>
        </w:tc>
        <w:tc>
          <w:tcPr>
            <w:tcW w:w="4675" w:type="dxa"/>
          </w:tcPr>
          <w:p w:rsidR="00A57055" w:rsidRPr="00BB229F" w:rsidRDefault="00A57055" w:rsidP="00E74F23">
            <w:pPr>
              <w:jc w:val="center"/>
            </w:pPr>
            <w:r w:rsidRPr="00BB229F">
              <w:t>EWA</w:t>
            </w:r>
          </w:p>
        </w:tc>
      </w:tr>
      <w:tr w:rsidR="00BB229F" w:rsidRPr="00BB229F" w:rsidTr="00E74F23">
        <w:tc>
          <w:tcPr>
            <w:tcW w:w="4675" w:type="dxa"/>
          </w:tcPr>
          <w:p w:rsidR="00502539" w:rsidRPr="00BB229F" w:rsidRDefault="000E4A38" w:rsidP="00E74F23">
            <w:pPr>
              <w:jc w:val="center"/>
            </w:pPr>
            <w:r w:rsidRPr="00BB229F">
              <w:t>Frontier Communications Corporation</w:t>
            </w:r>
          </w:p>
        </w:tc>
        <w:tc>
          <w:tcPr>
            <w:tcW w:w="4675" w:type="dxa"/>
          </w:tcPr>
          <w:p w:rsidR="00502539" w:rsidRPr="00BB229F" w:rsidRDefault="000E4A38" w:rsidP="00E74F23">
            <w:pPr>
              <w:jc w:val="center"/>
            </w:pPr>
            <w:r w:rsidRPr="00BB229F">
              <w:t>Frontier</w:t>
            </w:r>
          </w:p>
        </w:tc>
      </w:tr>
      <w:tr w:rsidR="00BB229F" w:rsidRPr="00BB229F" w:rsidTr="00E74F23">
        <w:tc>
          <w:tcPr>
            <w:tcW w:w="4675" w:type="dxa"/>
          </w:tcPr>
          <w:p w:rsidR="00E74F23" w:rsidRPr="00BB229F" w:rsidRDefault="00050CD7" w:rsidP="00E74F23">
            <w:pPr>
              <w:jc w:val="center"/>
            </w:pPr>
            <w:r w:rsidRPr="00BB229F">
              <w:t>ITTA—The Voice of America’s Broadband Providers</w:t>
            </w:r>
          </w:p>
        </w:tc>
        <w:tc>
          <w:tcPr>
            <w:tcW w:w="4675" w:type="dxa"/>
          </w:tcPr>
          <w:p w:rsidR="00E74F23" w:rsidRPr="00BB229F" w:rsidRDefault="00050CD7" w:rsidP="00E74F23">
            <w:pPr>
              <w:jc w:val="center"/>
            </w:pPr>
            <w:r w:rsidRPr="00BB229F">
              <w:t>ITTA</w:t>
            </w:r>
          </w:p>
        </w:tc>
      </w:tr>
      <w:tr w:rsidR="00BB229F" w:rsidRPr="00BB229F" w:rsidTr="00E74F23">
        <w:tc>
          <w:tcPr>
            <w:tcW w:w="4675" w:type="dxa"/>
          </w:tcPr>
          <w:p w:rsidR="00FE511A" w:rsidRPr="00BB229F" w:rsidRDefault="00FE511A" w:rsidP="00FE511A">
            <w:pPr>
              <w:jc w:val="center"/>
            </w:pPr>
            <w:r w:rsidRPr="00BB229F">
              <w:t>Level 3 Communications, LLC</w:t>
            </w:r>
          </w:p>
        </w:tc>
        <w:tc>
          <w:tcPr>
            <w:tcW w:w="4675" w:type="dxa"/>
          </w:tcPr>
          <w:p w:rsidR="00FE511A" w:rsidRPr="00BB229F" w:rsidRDefault="00FE511A" w:rsidP="00FE511A">
            <w:pPr>
              <w:jc w:val="center"/>
            </w:pPr>
            <w:r w:rsidRPr="00BB229F">
              <w:t>Level 3</w:t>
            </w:r>
          </w:p>
        </w:tc>
      </w:tr>
      <w:tr w:rsidR="00BB229F" w:rsidRPr="00BB229F" w:rsidTr="00E74F23">
        <w:tc>
          <w:tcPr>
            <w:tcW w:w="4675" w:type="dxa"/>
          </w:tcPr>
          <w:p w:rsidR="00FE511A" w:rsidRPr="00BB229F" w:rsidRDefault="00FE511A" w:rsidP="00FE511A">
            <w:pPr>
              <w:jc w:val="center"/>
            </w:pPr>
            <w:r w:rsidRPr="00BB229F">
              <w:t>National Association of Broadcasters</w:t>
            </w:r>
          </w:p>
        </w:tc>
        <w:tc>
          <w:tcPr>
            <w:tcW w:w="4675" w:type="dxa"/>
          </w:tcPr>
          <w:p w:rsidR="00FE511A" w:rsidRPr="00BB229F" w:rsidRDefault="00FE511A" w:rsidP="00FE511A">
            <w:pPr>
              <w:jc w:val="center"/>
            </w:pPr>
            <w:r w:rsidRPr="00BB229F">
              <w:t>NAB</w:t>
            </w:r>
          </w:p>
        </w:tc>
      </w:tr>
      <w:tr w:rsidR="00BB229F" w:rsidRPr="00BB229F" w:rsidTr="00E74F23">
        <w:tc>
          <w:tcPr>
            <w:tcW w:w="4675" w:type="dxa"/>
          </w:tcPr>
          <w:p w:rsidR="00FE511A" w:rsidRPr="00BB229F" w:rsidRDefault="00FE511A" w:rsidP="00FE511A">
            <w:pPr>
              <w:jc w:val="center"/>
            </w:pPr>
            <w:r w:rsidRPr="00BB229F">
              <w:t>NCTA—The Internet and Television Association</w:t>
            </w:r>
          </w:p>
        </w:tc>
        <w:tc>
          <w:tcPr>
            <w:tcW w:w="4675" w:type="dxa"/>
          </w:tcPr>
          <w:p w:rsidR="00FE511A" w:rsidRPr="00BB229F" w:rsidRDefault="00FE511A" w:rsidP="00FE511A">
            <w:pPr>
              <w:jc w:val="center"/>
            </w:pPr>
            <w:r w:rsidRPr="00BB229F">
              <w:t>NCTA</w:t>
            </w:r>
          </w:p>
        </w:tc>
      </w:tr>
      <w:tr w:rsidR="00BB229F" w:rsidRPr="00BB229F" w:rsidTr="00E74F23">
        <w:tc>
          <w:tcPr>
            <w:tcW w:w="4675" w:type="dxa"/>
          </w:tcPr>
          <w:p w:rsidR="00FE511A" w:rsidRPr="00BB229F" w:rsidRDefault="00FE511A" w:rsidP="00FE511A">
            <w:pPr>
              <w:jc w:val="center"/>
            </w:pPr>
            <w:r w:rsidRPr="00BB229F">
              <w:t>Quincy Media, Inc.</w:t>
            </w:r>
          </w:p>
        </w:tc>
        <w:tc>
          <w:tcPr>
            <w:tcW w:w="4675" w:type="dxa"/>
          </w:tcPr>
          <w:p w:rsidR="00FE511A" w:rsidRPr="00BB229F" w:rsidRDefault="00FE511A" w:rsidP="00FE511A">
            <w:pPr>
              <w:jc w:val="center"/>
            </w:pPr>
            <w:r w:rsidRPr="00BB229F">
              <w:t>QMI</w:t>
            </w:r>
          </w:p>
        </w:tc>
      </w:tr>
      <w:tr w:rsidR="00BB229F" w:rsidRPr="00BB229F" w:rsidTr="00E74F23">
        <w:tc>
          <w:tcPr>
            <w:tcW w:w="4675" w:type="dxa"/>
          </w:tcPr>
          <w:p w:rsidR="00FE511A" w:rsidRPr="00BB229F" w:rsidRDefault="00FE511A" w:rsidP="00FE511A">
            <w:pPr>
              <w:jc w:val="center"/>
            </w:pPr>
            <w:r w:rsidRPr="00BB229F">
              <w:t>Ramar Communications, Inc.</w:t>
            </w:r>
          </w:p>
        </w:tc>
        <w:tc>
          <w:tcPr>
            <w:tcW w:w="4675" w:type="dxa"/>
          </w:tcPr>
          <w:p w:rsidR="00FE511A" w:rsidRPr="00BB229F" w:rsidRDefault="00FE511A" w:rsidP="00FE511A">
            <w:pPr>
              <w:jc w:val="center"/>
            </w:pPr>
            <w:r w:rsidRPr="00BB229F">
              <w:t>Ramar</w:t>
            </w:r>
          </w:p>
        </w:tc>
      </w:tr>
      <w:tr w:rsidR="00BB229F" w:rsidRPr="00BB229F" w:rsidTr="00E74F23">
        <w:tc>
          <w:tcPr>
            <w:tcW w:w="4675" w:type="dxa"/>
          </w:tcPr>
          <w:p w:rsidR="00FE511A" w:rsidRPr="00BB229F" w:rsidRDefault="00FE511A" w:rsidP="00FE511A">
            <w:pPr>
              <w:jc w:val="center"/>
            </w:pPr>
            <w:r w:rsidRPr="00BB229F">
              <w:t>Satellite Industry Association</w:t>
            </w:r>
          </w:p>
        </w:tc>
        <w:tc>
          <w:tcPr>
            <w:tcW w:w="4675" w:type="dxa"/>
          </w:tcPr>
          <w:p w:rsidR="00FE511A" w:rsidRPr="00BB229F" w:rsidRDefault="00FE511A" w:rsidP="00FE511A">
            <w:pPr>
              <w:jc w:val="center"/>
            </w:pPr>
            <w:r w:rsidRPr="00BB229F">
              <w:t>SIA</w:t>
            </w:r>
          </w:p>
        </w:tc>
      </w:tr>
      <w:tr w:rsidR="00FE511A" w:rsidRPr="00BB229F" w:rsidTr="00E74F23">
        <w:tc>
          <w:tcPr>
            <w:tcW w:w="4675" w:type="dxa"/>
          </w:tcPr>
          <w:p w:rsidR="00FE511A" w:rsidRPr="00BB229F" w:rsidRDefault="00FE511A" w:rsidP="00FE511A">
            <w:pPr>
              <w:jc w:val="center"/>
            </w:pPr>
            <w:r w:rsidRPr="00BB229F">
              <w:t>Submarine Cable Coalition</w:t>
            </w:r>
          </w:p>
        </w:tc>
        <w:tc>
          <w:tcPr>
            <w:tcW w:w="4675" w:type="dxa"/>
          </w:tcPr>
          <w:p w:rsidR="00FE511A" w:rsidRPr="00BB229F" w:rsidRDefault="00FE511A" w:rsidP="00FE511A">
            <w:pPr>
              <w:jc w:val="center"/>
            </w:pPr>
            <w:r w:rsidRPr="00BB229F">
              <w:t>Coalition</w:t>
            </w:r>
          </w:p>
        </w:tc>
      </w:tr>
    </w:tbl>
    <w:p w:rsidR="003B7F57" w:rsidRPr="00BB229F" w:rsidRDefault="003B7F57" w:rsidP="003B7F57">
      <w:pPr>
        <w:pStyle w:val="ParaNum"/>
        <w:numPr>
          <w:ilvl w:val="0"/>
          <w:numId w:val="0"/>
        </w:numPr>
        <w:ind w:firstLine="630"/>
        <w:rPr>
          <w:szCs w:val="22"/>
        </w:rPr>
      </w:pPr>
    </w:p>
    <w:p w:rsidR="003B7F57" w:rsidRPr="00BB229F" w:rsidRDefault="00AD1B47" w:rsidP="003B7F57">
      <w:pPr>
        <w:rPr>
          <w:b/>
        </w:rPr>
      </w:pPr>
      <w:r w:rsidRPr="00BB229F">
        <w:tab/>
      </w:r>
      <w:r w:rsidRPr="00BB229F">
        <w:tab/>
      </w:r>
      <w:r w:rsidRPr="00BB229F">
        <w:tab/>
      </w:r>
      <w:r w:rsidRPr="00BB229F">
        <w:tab/>
      </w:r>
      <w:r w:rsidR="00E74F23" w:rsidRPr="00BB229F">
        <w:rPr>
          <w:b/>
        </w:rPr>
        <w:t>Commenters—Reply Comments</w:t>
      </w:r>
    </w:p>
    <w:p w:rsidR="00E74F23" w:rsidRPr="00BB229F" w:rsidRDefault="00E74F23" w:rsidP="003B7F57">
      <w:pPr>
        <w:rPr>
          <w:b/>
        </w:rPr>
      </w:pPr>
    </w:p>
    <w:tbl>
      <w:tblPr>
        <w:tblStyle w:val="TableGrid"/>
        <w:tblW w:w="0" w:type="auto"/>
        <w:tblLook w:val="04A0" w:firstRow="1" w:lastRow="0" w:firstColumn="1" w:lastColumn="0" w:noHBand="0" w:noVBand="1"/>
      </w:tblPr>
      <w:tblGrid>
        <w:gridCol w:w="4675"/>
        <w:gridCol w:w="4675"/>
      </w:tblGrid>
      <w:tr w:rsidR="00BB229F" w:rsidRPr="00BB229F" w:rsidTr="00E74F23">
        <w:tc>
          <w:tcPr>
            <w:tcW w:w="4675" w:type="dxa"/>
          </w:tcPr>
          <w:p w:rsidR="00E74F23" w:rsidRPr="00BB229F" w:rsidRDefault="009D2E62" w:rsidP="009D2E62">
            <w:pPr>
              <w:jc w:val="center"/>
              <w:rPr>
                <w:b/>
              </w:rPr>
            </w:pPr>
            <w:r w:rsidRPr="00BB229F">
              <w:rPr>
                <w:b/>
              </w:rPr>
              <w:t>Commenter</w:t>
            </w:r>
          </w:p>
        </w:tc>
        <w:tc>
          <w:tcPr>
            <w:tcW w:w="4675" w:type="dxa"/>
          </w:tcPr>
          <w:p w:rsidR="00E74F23" w:rsidRPr="00BB229F" w:rsidRDefault="009D2E62" w:rsidP="009D2E62">
            <w:pPr>
              <w:jc w:val="center"/>
              <w:rPr>
                <w:b/>
              </w:rPr>
            </w:pPr>
            <w:r w:rsidRPr="00BB229F">
              <w:rPr>
                <w:b/>
              </w:rPr>
              <w:t>Abbreviation</w:t>
            </w:r>
          </w:p>
        </w:tc>
      </w:tr>
      <w:tr w:rsidR="00BB229F" w:rsidRPr="00BB229F" w:rsidTr="00E74F23">
        <w:tc>
          <w:tcPr>
            <w:tcW w:w="4675" w:type="dxa"/>
          </w:tcPr>
          <w:p w:rsidR="003D780B" w:rsidRPr="00BB229F" w:rsidRDefault="003D780B" w:rsidP="005D6F02">
            <w:pPr>
              <w:jc w:val="center"/>
            </w:pPr>
            <w:r w:rsidRPr="00BB229F">
              <w:t>American Cable Association</w:t>
            </w:r>
          </w:p>
        </w:tc>
        <w:tc>
          <w:tcPr>
            <w:tcW w:w="4675" w:type="dxa"/>
          </w:tcPr>
          <w:p w:rsidR="003D780B" w:rsidRPr="00BB229F" w:rsidRDefault="003D780B" w:rsidP="005D6F02">
            <w:pPr>
              <w:jc w:val="center"/>
            </w:pPr>
            <w:r w:rsidRPr="00BB229F">
              <w:t>ACA</w:t>
            </w:r>
          </w:p>
        </w:tc>
      </w:tr>
      <w:tr w:rsidR="00BB229F" w:rsidRPr="00BB229F" w:rsidTr="00E74F23">
        <w:tc>
          <w:tcPr>
            <w:tcW w:w="4675" w:type="dxa"/>
          </w:tcPr>
          <w:p w:rsidR="00E50504" w:rsidRPr="00BB229F" w:rsidRDefault="00FA585A" w:rsidP="005D6F02">
            <w:pPr>
              <w:jc w:val="center"/>
            </w:pPr>
            <w:r w:rsidRPr="00BB229F">
              <w:t>AT&amp;T Services, Inc.</w:t>
            </w:r>
          </w:p>
        </w:tc>
        <w:tc>
          <w:tcPr>
            <w:tcW w:w="4675" w:type="dxa"/>
          </w:tcPr>
          <w:p w:rsidR="00E50504" w:rsidRPr="00BB229F" w:rsidRDefault="00FA585A" w:rsidP="005D6F02">
            <w:pPr>
              <w:jc w:val="center"/>
            </w:pPr>
            <w:r w:rsidRPr="00BB229F">
              <w:t>AT&amp;T</w:t>
            </w:r>
          </w:p>
        </w:tc>
      </w:tr>
      <w:tr w:rsidR="00BB229F" w:rsidRPr="00BB229F" w:rsidTr="00E74F23">
        <w:tc>
          <w:tcPr>
            <w:tcW w:w="4675" w:type="dxa"/>
          </w:tcPr>
          <w:p w:rsidR="00866B38" w:rsidRPr="00BB229F" w:rsidRDefault="00D60A3A" w:rsidP="005D6F02">
            <w:pPr>
              <w:jc w:val="center"/>
            </w:pPr>
            <w:r w:rsidRPr="00BB229F">
              <w:t>CenturyLink, Inc.</w:t>
            </w:r>
          </w:p>
        </w:tc>
        <w:tc>
          <w:tcPr>
            <w:tcW w:w="4675" w:type="dxa"/>
          </w:tcPr>
          <w:p w:rsidR="00866B38" w:rsidRPr="00BB229F" w:rsidRDefault="00D60A3A" w:rsidP="005D6F02">
            <w:pPr>
              <w:jc w:val="center"/>
            </w:pPr>
            <w:r w:rsidRPr="00BB229F">
              <w:t>CenturyLink</w:t>
            </w:r>
          </w:p>
        </w:tc>
      </w:tr>
      <w:tr w:rsidR="00BB229F" w:rsidRPr="00BB229F" w:rsidTr="00E74F23">
        <w:tc>
          <w:tcPr>
            <w:tcW w:w="4675" w:type="dxa"/>
          </w:tcPr>
          <w:p w:rsidR="00E74F23" w:rsidRPr="00BB229F" w:rsidRDefault="005D6F02" w:rsidP="005D6F02">
            <w:pPr>
              <w:jc w:val="center"/>
            </w:pPr>
            <w:r w:rsidRPr="00BB229F">
              <w:t>CTIA®</w:t>
            </w:r>
          </w:p>
        </w:tc>
        <w:tc>
          <w:tcPr>
            <w:tcW w:w="4675" w:type="dxa"/>
          </w:tcPr>
          <w:p w:rsidR="00E74F23" w:rsidRPr="00BB229F" w:rsidRDefault="005D6F02" w:rsidP="005D6F02">
            <w:pPr>
              <w:jc w:val="center"/>
            </w:pPr>
            <w:r w:rsidRPr="00BB229F">
              <w:t>CTIA</w:t>
            </w:r>
          </w:p>
        </w:tc>
      </w:tr>
      <w:tr w:rsidR="00BB229F" w:rsidRPr="00BB229F" w:rsidTr="00E74F23">
        <w:tc>
          <w:tcPr>
            <w:tcW w:w="4675" w:type="dxa"/>
          </w:tcPr>
          <w:p w:rsidR="005D6F02" w:rsidRPr="00BB229F" w:rsidRDefault="005D6F02" w:rsidP="005D6F02">
            <w:pPr>
              <w:jc w:val="center"/>
            </w:pPr>
            <w:r w:rsidRPr="00BB229F">
              <w:t>Level 3 Communications, LLC</w:t>
            </w:r>
          </w:p>
        </w:tc>
        <w:tc>
          <w:tcPr>
            <w:tcW w:w="4675" w:type="dxa"/>
          </w:tcPr>
          <w:p w:rsidR="005D6F02" w:rsidRPr="00BB229F" w:rsidRDefault="005D6F02" w:rsidP="005D6F02">
            <w:pPr>
              <w:jc w:val="center"/>
            </w:pPr>
            <w:r w:rsidRPr="00BB229F">
              <w:t>Level 3</w:t>
            </w:r>
          </w:p>
        </w:tc>
      </w:tr>
      <w:tr w:rsidR="00E74F23" w:rsidRPr="00BB229F" w:rsidTr="00E74F23">
        <w:tc>
          <w:tcPr>
            <w:tcW w:w="4675" w:type="dxa"/>
          </w:tcPr>
          <w:p w:rsidR="00E74F23" w:rsidRPr="00BB229F" w:rsidRDefault="00B33047" w:rsidP="00B33047">
            <w:pPr>
              <w:jc w:val="center"/>
            </w:pPr>
            <w:r w:rsidRPr="00BB229F">
              <w:t>Romar Communications, Inc.</w:t>
            </w:r>
          </w:p>
        </w:tc>
        <w:tc>
          <w:tcPr>
            <w:tcW w:w="4675" w:type="dxa"/>
          </w:tcPr>
          <w:p w:rsidR="00E74F23" w:rsidRPr="00BB229F" w:rsidRDefault="00B33047" w:rsidP="00B33047">
            <w:pPr>
              <w:jc w:val="center"/>
            </w:pPr>
            <w:r w:rsidRPr="00BB229F">
              <w:t>Romar</w:t>
            </w:r>
          </w:p>
        </w:tc>
      </w:tr>
    </w:tbl>
    <w:p w:rsidR="00E74F23" w:rsidRPr="00BB229F" w:rsidRDefault="00E74F23" w:rsidP="003B7F57"/>
    <w:p w:rsidR="001A0D91" w:rsidRPr="00BB229F" w:rsidRDefault="001A0D91" w:rsidP="001A0D91">
      <w:pPr>
        <w:jc w:val="center"/>
        <w:rPr>
          <w:b/>
        </w:rPr>
      </w:pPr>
      <w:r w:rsidRPr="00BB229F">
        <w:rPr>
          <w:b/>
        </w:rPr>
        <w:t>E</w:t>
      </w:r>
      <w:r w:rsidR="00441672" w:rsidRPr="00BB229F">
        <w:rPr>
          <w:b/>
        </w:rPr>
        <w:t>x P</w:t>
      </w:r>
      <w:r w:rsidRPr="00BB229F">
        <w:rPr>
          <w:b/>
        </w:rPr>
        <w:t>arte</w:t>
      </w:r>
      <w:r w:rsidR="00455298" w:rsidRPr="00BB229F">
        <w:rPr>
          <w:b/>
        </w:rPr>
        <w:t xml:space="preserve"> Filings</w:t>
      </w:r>
    </w:p>
    <w:p w:rsidR="001A0D91" w:rsidRPr="00BB229F" w:rsidRDefault="001A0D91" w:rsidP="003B7F57"/>
    <w:tbl>
      <w:tblPr>
        <w:tblStyle w:val="TableGrid"/>
        <w:tblW w:w="0" w:type="auto"/>
        <w:tblLook w:val="04A0" w:firstRow="1" w:lastRow="0" w:firstColumn="1" w:lastColumn="0" w:noHBand="0" w:noVBand="1"/>
      </w:tblPr>
      <w:tblGrid>
        <w:gridCol w:w="4675"/>
        <w:gridCol w:w="4675"/>
      </w:tblGrid>
      <w:tr w:rsidR="00BB229F" w:rsidRPr="00BB229F" w:rsidTr="001A0D91">
        <w:tc>
          <w:tcPr>
            <w:tcW w:w="4675" w:type="dxa"/>
          </w:tcPr>
          <w:p w:rsidR="001A0D91" w:rsidRPr="00BB229F" w:rsidRDefault="001A0D91" w:rsidP="001A0D91">
            <w:pPr>
              <w:jc w:val="center"/>
              <w:rPr>
                <w:b/>
              </w:rPr>
            </w:pPr>
            <w:r w:rsidRPr="00BB229F">
              <w:rPr>
                <w:b/>
              </w:rPr>
              <w:t>Commenter</w:t>
            </w:r>
            <w:r w:rsidR="004F188D" w:rsidRPr="00BB229F">
              <w:rPr>
                <w:b/>
              </w:rPr>
              <w:t xml:space="preserve"> and date filed</w:t>
            </w:r>
          </w:p>
        </w:tc>
        <w:tc>
          <w:tcPr>
            <w:tcW w:w="4675" w:type="dxa"/>
          </w:tcPr>
          <w:p w:rsidR="001A0D91" w:rsidRPr="00BB229F" w:rsidRDefault="001A0D91" w:rsidP="001A0D91">
            <w:pPr>
              <w:jc w:val="center"/>
              <w:rPr>
                <w:b/>
              </w:rPr>
            </w:pPr>
            <w:r w:rsidRPr="00BB229F">
              <w:rPr>
                <w:b/>
              </w:rPr>
              <w:t>Abbreviation</w:t>
            </w:r>
          </w:p>
        </w:tc>
      </w:tr>
      <w:tr w:rsidR="00BB229F" w:rsidRPr="00BB229F" w:rsidTr="001A0D91">
        <w:tc>
          <w:tcPr>
            <w:tcW w:w="4675" w:type="dxa"/>
          </w:tcPr>
          <w:p w:rsidR="00976475" w:rsidRPr="00BB229F" w:rsidRDefault="00976475" w:rsidP="00976475">
            <w:pPr>
              <w:jc w:val="center"/>
            </w:pPr>
            <w:r w:rsidRPr="00BB229F">
              <w:t>American Cable Association (Aug. 30, 2017)</w:t>
            </w:r>
          </w:p>
        </w:tc>
        <w:tc>
          <w:tcPr>
            <w:tcW w:w="4675" w:type="dxa"/>
          </w:tcPr>
          <w:p w:rsidR="00976475" w:rsidRPr="00BB229F" w:rsidRDefault="00976475" w:rsidP="00976475">
            <w:pPr>
              <w:jc w:val="center"/>
            </w:pPr>
            <w:r w:rsidRPr="00BB229F">
              <w:t>ACA</w:t>
            </w:r>
          </w:p>
        </w:tc>
      </w:tr>
      <w:tr w:rsidR="00BB229F" w:rsidRPr="00BB229F" w:rsidTr="001A0D91">
        <w:tc>
          <w:tcPr>
            <w:tcW w:w="4675" w:type="dxa"/>
          </w:tcPr>
          <w:p w:rsidR="00976475" w:rsidRPr="00BB229F" w:rsidRDefault="00976475" w:rsidP="00976475">
            <w:pPr>
              <w:jc w:val="center"/>
            </w:pPr>
            <w:r w:rsidRPr="00BB229F">
              <w:t>AT&amp;T Services, Inc. (July 27, 2017)</w:t>
            </w:r>
          </w:p>
        </w:tc>
        <w:tc>
          <w:tcPr>
            <w:tcW w:w="4675" w:type="dxa"/>
          </w:tcPr>
          <w:p w:rsidR="00976475" w:rsidRPr="00BB229F" w:rsidRDefault="00976475" w:rsidP="00976475">
            <w:pPr>
              <w:jc w:val="center"/>
            </w:pPr>
            <w:r w:rsidRPr="00BB229F">
              <w:t>AT&amp;T</w:t>
            </w:r>
          </w:p>
        </w:tc>
      </w:tr>
      <w:tr w:rsidR="00BB229F" w:rsidRPr="00BB229F" w:rsidTr="001A0D91">
        <w:tc>
          <w:tcPr>
            <w:tcW w:w="4675" w:type="dxa"/>
          </w:tcPr>
          <w:p w:rsidR="00976475" w:rsidRPr="00BB229F" w:rsidRDefault="00976475" w:rsidP="00976475">
            <w:pPr>
              <w:jc w:val="center"/>
            </w:pPr>
            <w:r w:rsidRPr="00BB229F">
              <w:t>DISH Network, L.L.C. (Aug. 22, 2017)</w:t>
            </w:r>
          </w:p>
        </w:tc>
        <w:tc>
          <w:tcPr>
            <w:tcW w:w="4675" w:type="dxa"/>
          </w:tcPr>
          <w:p w:rsidR="00976475" w:rsidRPr="00BB229F" w:rsidRDefault="00976475" w:rsidP="00976475">
            <w:pPr>
              <w:jc w:val="center"/>
            </w:pPr>
            <w:r w:rsidRPr="00BB229F">
              <w:t>DISH</w:t>
            </w:r>
          </w:p>
        </w:tc>
      </w:tr>
      <w:tr w:rsidR="00BB229F" w:rsidRPr="00BB229F" w:rsidTr="001A0D91">
        <w:tc>
          <w:tcPr>
            <w:tcW w:w="4675" w:type="dxa"/>
          </w:tcPr>
          <w:p w:rsidR="001A0D91" w:rsidRPr="00BB229F" w:rsidRDefault="001A0D91" w:rsidP="001A0D91">
            <w:pPr>
              <w:jc w:val="center"/>
            </w:pPr>
            <w:r w:rsidRPr="00BB229F">
              <w:t>Level 3 Communications</w:t>
            </w:r>
            <w:r w:rsidR="005D6F02" w:rsidRPr="00BB229F">
              <w:t>, LLC</w:t>
            </w:r>
            <w:r w:rsidRPr="00BB229F">
              <w:t xml:space="preserve"> (June 29, </w:t>
            </w:r>
            <w:r w:rsidR="00FB4496" w:rsidRPr="00BB229F">
              <w:t xml:space="preserve">July 24, </w:t>
            </w:r>
            <w:r w:rsidRPr="00BB229F">
              <w:t>2017)</w:t>
            </w:r>
          </w:p>
        </w:tc>
        <w:tc>
          <w:tcPr>
            <w:tcW w:w="4675" w:type="dxa"/>
          </w:tcPr>
          <w:p w:rsidR="001A0D91" w:rsidRPr="00BB229F" w:rsidRDefault="001A0D91" w:rsidP="001A0D91">
            <w:pPr>
              <w:jc w:val="center"/>
            </w:pPr>
            <w:r w:rsidRPr="00BB229F">
              <w:t>Level 3</w:t>
            </w:r>
          </w:p>
        </w:tc>
      </w:tr>
      <w:tr w:rsidR="00976475" w:rsidRPr="00BB229F" w:rsidTr="001A0D91">
        <w:tc>
          <w:tcPr>
            <w:tcW w:w="4675" w:type="dxa"/>
          </w:tcPr>
          <w:p w:rsidR="00976475" w:rsidRPr="00BB229F" w:rsidRDefault="00976475" w:rsidP="00976475">
            <w:pPr>
              <w:jc w:val="center"/>
            </w:pPr>
            <w:r w:rsidRPr="00BB229F">
              <w:t>Ramar Communications, Inc. (</w:t>
            </w:r>
            <w:r w:rsidR="00FB4496" w:rsidRPr="00BB229F">
              <w:t xml:space="preserve">July 21, </w:t>
            </w:r>
            <w:r w:rsidRPr="00BB229F">
              <w:t xml:space="preserve">Aug. </w:t>
            </w:r>
            <w:r w:rsidR="00591CEE" w:rsidRPr="00BB229F">
              <w:t xml:space="preserve">15, 21, </w:t>
            </w:r>
            <w:r w:rsidRPr="00BB229F">
              <w:t>22, 2017</w:t>
            </w:r>
            <w:r w:rsidR="00FB4496" w:rsidRPr="00BB229F">
              <w:t>)</w:t>
            </w:r>
          </w:p>
        </w:tc>
        <w:tc>
          <w:tcPr>
            <w:tcW w:w="4675" w:type="dxa"/>
          </w:tcPr>
          <w:p w:rsidR="00976475" w:rsidRPr="00BB229F" w:rsidRDefault="00976475" w:rsidP="00976475">
            <w:pPr>
              <w:jc w:val="center"/>
            </w:pPr>
            <w:r w:rsidRPr="00BB229F">
              <w:t>Ramar</w:t>
            </w:r>
          </w:p>
        </w:tc>
      </w:tr>
    </w:tbl>
    <w:p w:rsidR="00293571" w:rsidRDefault="00293571" w:rsidP="003B7F57"/>
    <w:p w:rsidR="00293571" w:rsidRDefault="00293571">
      <w:pPr>
        <w:widowControl/>
      </w:pPr>
      <w:r>
        <w:br w:type="page"/>
      </w:r>
    </w:p>
    <w:p w:rsidR="001A0D91" w:rsidRPr="00BB229F" w:rsidRDefault="001A0D91" w:rsidP="003B7F57"/>
    <w:p w:rsidR="001A0D91" w:rsidRPr="00BB229F" w:rsidRDefault="001A0D91" w:rsidP="003B7F57"/>
    <w:p w:rsidR="003B7F57" w:rsidRPr="00BB229F" w:rsidRDefault="00E74F23" w:rsidP="002F56D9">
      <w:pPr>
        <w:pStyle w:val="ParaNum"/>
        <w:numPr>
          <w:ilvl w:val="0"/>
          <w:numId w:val="0"/>
        </w:numPr>
        <w:ind w:firstLine="720"/>
        <w:jc w:val="center"/>
        <w:rPr>
          <w:b/>
        </w:rPr>
      </w:pPr>
      <w:r w:rsidRPr="00BB229F">
        <w:rPr>
          <w:b/>
        </w:rPr>
        <w:t>APPENDIX B</w:t>
      </w:r>
    </w:p>
    <w:p w:rsidR="00337314" w:rsidRPr="00BB229F" w:rsidRDefault="00337314" w:rsidP="00337314">
      <w:pPr>
        <w:tabs>
          <w:tab w:val="left" w:pos="3629"/>
        </w:tabs>
        <w:jc w:val="center"/>
        <w:rPr>
          <w:b/>
        </w:rPr>
      </w:pPr>
      <w:r w:rsidRPr="00BB229F">
        <w:rPr>
          <w:b/>
        </w:rPr>
        <w:t>Calculation of FY 2017 Revenue Requirements and Pro-Rata Fees</w:t>
      </w:r>
      <w:r w:rsidRPr="00BB229F" w:rsidDel="00E52B5F">
        <w:rPr>
          <w:b/>
        </w:rPr>
        <w:t xml:space="preserve"> </w:t>
      </w:r>
    </w:p>
    <w:p w:rsidR="00337314" w:rsidRPr="00BB229F" w:rsidRDefault="00337314" w:rsidP="00337314">
      <w:pPr>
        <w:tabs>
          <w:tab w:val="left" w:pos="3629"/>
        </w:tabs>
        <w:jc w:val="center"/>
        <w:rPr>
          <w:b/>
        </w:rPr>
      </w:pPr>
    </w:p>
    <w:p w:rsidR="00337314" w:rsidRPr="00BB229F" w:rsidRDefault="00337314" w:rsidP="00337314">
      <w:pPr>
        <w:tabs>
          <w:tab w:val="center" w:pos="5040"/>
        </w:tabs>
        <w:suppressAutoHyphens/>
        <w:outlineLvl w:val="0"/>
        <w:rPr>
          <w:b/>
          <w:szCs w:val="22"/>
        </w:rPr>
      </w:pPr>
      <w:bookmarkStart w:id="174" w:name="_Toc394672329"/>
      <w:bookmarkStart w:id="175" w:name="_Toc491865056"/>
      <w:bookmarkStart w:id="176" w:name="_Toc491865471"/>
      <w:r w:rsidRPr="00BB229F">
        <w:rPr>
          <w:szCs w:val="22"/>
        </w:rPr>
        <w:t>Regulatory fees for the categories shaded in gray are collected by the Commission in advance to cover the term of the license and are submitted at the time the application is filed.</w:t>
      </w:r>
      <w:bookmarkEnd w:id="174"/>
      <w:bookmarkEnd w:id="175"/>
      <w:bookmarkEnd w:id="176"/>
      <w:r w:rsidRPr="00BB229F">
        <w:rPr>
          <w:szCs w:val="22"/>
        </w:rPr>
        <w:t xml:space="preserve">  </w:t>
      </w:r>
    </w:p>
    <w:tbl>
      <w:tblPr>
        <w:tblW w:w="9307" w:type="dxa"/>
        <w:tblInd w:w="-60" w:type="dxa"/>
        <w:tblLayout w:type="fixed"/>
        <w:tblCellMar>
          <w:left w:w="30" w:type="dxa"/>
          <w:right w:w="30" w:type="dxa"/>
        </w:tblCellMar>
        <w:tblLook w:val="0000" w:firstRow="0" w:lastRow="0" w:firstColumn="0" w:lastColumn="0" w:noHBand="0" w:noVBand="0"/>
      </w:tblPr>
      <w:tblGrid>
        <w:gridCol w:w="1800"/>
        <w:gridCol w:w="1207"/>
        <w:gridCol w:w="630"/>
        <w:gridCol w:w="1170"/>
        <w:gridCol w:w="1260"/>
        <w:gridCol w:w="1080"/>
        <w:gridCol w:w="990"/>
        <w:gridCol w:w="1170"/>
      </w:tblGrid>
      <w:tr w:rsidR="00BB229F" w:rsidRPr="00BB229F" w:rsidTr="003C0FC3">
        <w:trPr>
          <w:tblHeader/>
        </w:trPr>
        <w:tc>
          <w:tcPr>
            <w:tcW w:w="1800" w:type="dxa"/>
            <w:tcBorders>
              <w:top w:val="double" w:sz="6" w:space="0" w:color="auto"/>
              <w:left w:val="double" w:sz="6" w:space="0" w:color="auto"/>
              <w:bottom w:val="single" w:sz="18"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b/>
                <w:sz w:val="20"/>
              </w:rPr>
            </w:pPr>
            <w:r w:rsidRPr="00BB229F">
              <w:rPr>
                <w:b/>
                <w:sz w:val="20"/>
              </w:rPr>
              <w:fldChar w:fldCharType="begin"/>
            </w:r>
            <w:r w:rsidRPr="00BB229F">
              <w:rPr>
                <w:b/>
                <w:sz w:val="20"/>
              </w:rPr>
              <w:instrText xml:space="preserve">PRIVATE </w:instrText>
            </w:r>
            <w:r w:rsidRPr="00BB229F">
              <w:rPr>
                <w:b/>
                <w:sz w:val="20"/>
              </w:rPr>
              <w:fldChar w:fldCharType="end"/>
            </w:r>
            <w:r w:rsidRPr="00BB229F">
              <w:rPr>
                <w:b/>
                <w:sz w:val="20"/>
              </w:rPr>
              <w:t>Fee Category</w:t>
            </w:r>
          </w:p>
        </w:tc>
        <w:tc>
          <w:tcPr>
            <w:tcW w:w="1207" w:type="dxa"/>
            <w:tcBorders>
              <w:top w:val="double" w:sz="6" w:space="0" w:color="auto"/>
              <w:left w:val="single" w:sz="6" w:space="0" w:color="auto"/>
              <w:bottom w:val="single" w:sz="18" w:space="0" w:color="auto"/>
            </w:tcBorders>
          </w:tcPr>
          <w:p w:rsidR="003C0FC3"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b/>
                <w:sz w:val="20"/>
              </w:rPr>
            </w:pPr>
            <w:r w:rsidRPr="00BB229F">
              <w:rPr>
                <w:b/>
                <w:sz w:val="20"/>
              </w:rPr>
              <w:t xml:space="preserve">FY 2017 Payment </w:t>
            </w:r>
          </w:p>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b/>
                <w:sz w:val="20"/>
              </w:rPr>
            </w:pPr>
            <w:r w:rsidRPr="00BB229F">
              <w:rPr>
                <w:b/>
                <w:sz w:val="20"/>
              </w:rPr>
              <w:t>Units</w:t>
            </w:r>
          </w:p>
        </w:tc>
        <w:tc>
          <w:tcPr>
            <w:tcW w:w="630" w:type="dxa"/>
            <w:tcBorders>
              <w:top w:val="double" w:sz="6" w:space="0" w:color="auto"/>
              <w:left w:val="single" w:sz="6" w:space="0" w:color="auto"/>
              <w:bottom w:val="single" w:sz="18"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 w:val="20"/>
              </w:rPr>
            </w:pPr>
          </w:p>
          <w:p w:rsidR="00337314" w:rsidRPr="00BB229F" w:rsidRDefault="00F60791"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b/>
                <w:sz w:val="20"/>
              </w:rPr>
            </w:pPr>
            <w:r w:rsidRPr="00BB229F">
              <w:rPr>
                <w:b/>
                <w:sz w:val="20"/>
              </w:rPr>
              <w:t>Y</w:t>
            </w:r>
            <w:r w:rsidR="00337314" w:rsidRPr="00BB229F">
              <w:rPr>
                <w:b/>
                <w:sz w:val="20"/>
              </w:rPr>
              <w:t>rs</w:t>
            </w:r>
          </w:p>
        </w:tc>
        <w:tc>
          <w:tcPr>
            <w:tcW w:w="1170" w:type="dxa"/>
            <w:tcBorders>
              <w:top w:val="double" w:sz="6" w:space="0" w:color="auto"/>
              <w:left w:val="single" w:sz="6" w:space="0" w:color="auto"/>
              <w:bottom w:val="single" w:sz="18"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b/>
                <w:sz w:val="20"/>
              </w:rPr>
            </w:pPr>
            <w:r w:rsidRPr="00BB229F">
              <w:rPr>
                <w:b/>
                <w:sz w:val="20"/>
              </w:rPr>
              <w:t>FY 2016 Revenue Estimate</w:t>
            </w:r>
          </w:p>
        </w:tc>
        <w:tc>
          <w:tcPr>
            <w:tcW w:w="1260" w:type="dxa"/>
            <w:tcBorders>
              <w:top w:val="double" w:sz="6" w:space="0" w:color="auto"/>
              <w:left w:val="single" w:sz="6" w:space="0" w:color="auto"/>
              <w:bottom w:val="single" w:sz="18"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b/>
                <w:sz w:val="20"/>
              </w:rPr>
            </w:pPr>
            <w:r w:rsidRPr="00BB229F">
              <w:rPr>
                <w:b/>
                <w:sz w:val="20"/>
              </w:rPr>
              <w:t>Pr</w:t>
            </w:r>
            <w:r w:rsidR="003C0FC3" w:rsidRPr="00BB229F">
              <w:rPr>
                <w:b/>
                <w:sz w:val="20"/>
              </w:rPr>
              <w:t>o-Rated FY 2017 Revenue Require</w:t>
            </w:r>
            <w:r w:rsidRPr="00BB229F">
              <w:rPr>
                <w:b/>
                <w:sz w:val="20"/>
              </w:rPr>
              <w:t>ment</w:t>
            </w:r>
          </w:p>
        </w:tc>
        <w:tc>
          <w:tcPr>
            <w:tcW w:w="1080" w:type="dxa"/>
            <w:tcBorders>
              <w:top w:val="double" w:sz="6" w:space="0" w:color="auto"/>
              <w:left w:val="single" w:sz="6" w:space="0" w:color="auto"/>
              <w:bottom w:val="single" w:sz="18" w:space="0" w:color="auto"/>
              <w:righ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sidRPr="00BB229F">
              <w:rPr>
                <w:b/>
                <w:sz w:val="20"/>
              </w:rPr>
              <w:t>Computed FY 2017 Regulatory Fee</w:t>
            </w:r>
          </w:p>
        </w:tc>
        <w:tc>
          <w:tcPr>
            <w:tcW w:w="990" w:type="dxa"/>
            <w:tcBorders>
              <w:top w:val="double" w:sz="6" w:space="0" w:color="auto"/>
              <w:left w:val="single" w:sz="6" w:space="0" w:color="auto"/>
              <w:bottom w:val="single" w:sz="18"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 w:val="20"/>
              </w:rPr>
            </w:pPr>
            <w:r w:rsidRPr="00BB229F">
              <w:rPr>
                <w:b/>
                <w:sz w:val="20"/>
              </w:rPr>
              <w:t xml:space="preserve"> Rounded </w:t>
            </w:r>
          </w:p>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 w:val="20"/>
              </w:rPr>
            </w:pPr>
            <w:r w:rsidRPr="00BB229F">
              <w:rPr>
                <w:b/>
                <w:sz w:val="20"/>
              </w:rPr>
              <w:t xml:space="preserve">FY 2017 </w:t>
            </w:r>
          </w:p>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sidRPr="00BB229F">
              <w:rPr>
                <w:b/>
                <w:sz w:val="20"/>
              </w:rPr>
              <w:t>Reg. Fee</w:t>
            </w:r>
          </w:p>
        </w:tc>
        <w:tc>
          <w:tcPr>
            <w:tcW w:w="1170" w:type="dxa"/>
            <w:tcBorders>
              <w:top w:val="double" w:sz="6" w:space="0" w:color="auto"/>
              <w:left w:val="single" w:sz="6" w:space="0" w:color="auto"/>
              <w:bottom w:val="single" w:sz="18" w:space="0" w:color="auto"/>
              <w:right w:val="doub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 w:val="20"/>
              </w:rPr>
            </w:pPr>
            <w:r w:rsidRPr="00BB229F">
              <w:rPr>
                <w:b/>
                <w:sz w:val="20"/>
              </w:rPr>
              <w:t>Expected</w:t>
            </w:r>
          </w:p>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 w:val="20"/>
              </w:rPr>
            </w:pPr>
            <w:r w:rsidRPr="00BB229F">
              <w:rPr>
                <w:b/>
                <w:sz w:val="20"/>
              </w:rPr>
              <w:t>FY 2017</w:t>
            </w:r>
          </w:p>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sidRPr="00BB229F">
              <w:rPr>
                <w:b/>
                <w:sz w:val="20"/>
              </w:rPr>
              <w:t>Revenue</w:t>
            </w:r>
          </w:p>
        </w:tc>
      </w:tr>
      <w:tr w:rsidR="00BB229F" w:rsidRPr="00BB229F" w:rsidTr="003C0FC3">
        <w:tc>
          <w:tcPr>
            <w:tcW w:w="1800" w:type="dxa"/>
            <w:tcBorders>
              <w:top w:val="single" w:sz="18" w:space="0" w:color="auto"/>
              <w:left w:val="double" w:sz="12" w:space="0" w:color="auto"/>
              <w:bottom w:val="single" w:sz="8" w:space="0" w:color="auto"/>
              <w:right w:val="single" w:sz="8" w:space="0" w:color="auto"/>
            </w:tcBorders>
            <w:shd w:val="clear" w:color="auto" w:fill="C0C0C0"/>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sidRPr="00BB229F">
              <w:rPr>
                <w:sz w:val="20"/>
              </w:rPr>
              <w:t xml:space="preserve"> PLMRS (Exclusive Use) </w:t>
            </w:r>
          </w:p>
        </w:tc>
        <w:tc>
          <w:tcPr>
            <w:tcW w:w="1207" w:type="dxa"/>
            <w:tcBorders>
              <w:top w:val="single" w:sz="18" w:space="0" w:color="auto"/>
              <w:left w:val="single" w:sz="8" w:space="0" w:color="auto"/>
              <w:bottom w:val="single" w:sz="8" w:space="0" w:color="auto"/>
              <w:right w:val="single" w:sz="8" w:space="0" w:color="auto"/>
            </w:tcBorders>
            <w:shd w:val="clear" w:color="auto" w:fill="C0C0C0"/>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1,300</w:t>
            </w:r>
          </w:p>
        </w:tc>
        <w:tc>
          <w:tcPr>
            <w:tcW w:w="630" w:type="dxa"/>
            <w:tcBorders>
              <w:top w:val="single" w:sz="18" w:space="0" w:color="auto"/>
              <w:left w:val="single" w:sz="8" w:space="0" w:color="auto"/>
              <w:bottom w:val="single" w:sz="8" w:space="0" w:color="auto"/>
              <w:right w:val="single" w:sz="8" w:space="0" w:color="auto"/>
            </w:tcBorders>
            <w:shd w:val="clear" w:color="auto" w:fill="C0C0C0"/>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sidRPr="00BB229F">
              <w:rPr>
                <w:sz w:val="20"/>
              </w:rPr>
              <w:t xml:space="preserve">10 </w:t>
            </w:r>
          </w:p>
        </w:tc>
        <w:tc>
          <w:tcPr>
            <w:tcW w:w="1170" w:type="dxa"/>
            <w:tcBorders>
              <w:top w:val="single" w:sz="18" w:space="0" w:color="auto"/>
              <w:left w:val="single" w:sz="8" w:space="0" w:color="auto"/>
              <w:bottom w:val="single" w:sz="8" w:space="0" w:color="auto"/>
              <w:right w:val="single" w:sz="8" w:space="0" w:color="auto"/>
            </w:tcBorders>
            <w:shd w:val="clear" w:color="auto" w:fill="C0C0C0"/>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625,000</w:t>
            </w:r>
          </w:p>
        </w:tc>
        <w:tc>
          <w:tcPr>
            <w:tcW w:w="1260" w:type="dxa"/>
            <w:tcBorders>
              <w:top w:val="single" w:sz="18" w:space="0" w:color="auto"/>
              <w:left w:val="single" w:sz="8" w:space="0" w:color="auto"/>
              <w:bottom w:val="single" w:sz="8" w:space="0" w:color="auto"/>
              <w:right w:val="single" w:sz="8" w:space="0" w:color="auto"/>
            </w:tcBorders>
            <w:shd w:val="clear" w:color="auto" w:fill="C0C0C0"/>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325,000</w:t>
            </w:r>
          </w:p>
        </w:tc>
        <w:tc>
          <w:tcPr>
            <w:tcW w:w="1080" w:type="dxa"/>
            <w:tcBorders>
              <w:top w:val="single" w:sz="18" w:space="0" w:color="auto"/>
              <w:left w:val="single" w:sz="8" w:space="0" w:color="auto"/>
              <w:bottom w:val="single" w:sz="8" w:space="0" w:color="auto"/>
              <w:right w:val="single" w:sz="8" w:space="0" w:color="auto"/>
            </w:tcBorders>
            <w:shd w:val="clear" w:color="auto" w:fill="C0C0C0"/>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25</w:t>
            </w:r>
          </w:p>
        </w:tc>
        <w:tc>
          <w:tcPr>
            <w:tcW w:w="990" w:type="dxa"/>
            <w:tcBorders>
              <w:top w:val="single" w:sz="18" w:space="0" w:color="auto"/>
              <w:left w:val="single" w:sz="8" w:space="0" w:color="auto"/>
              <w:bottom w:val="single" w:sz="8" w:space="0" w:color="auto"/>
              <w:right w:val="single" w:sz="8" w:space="0" w:color="auto"/>
            </w:tcBorders>
            <w:shd w:val="clear" w:color="auto" w:fill="C0C0C0"/>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25</w:t>
            </w:r>
          </w:p>
        </w:tc>
        <w:tc>
          <w:tcPr>
            <w:tcW w:w="1170" w:type="dxa"/>
            <w:tcBorders>
              <w:top w:val="single" w:sz="18" w:space="0" w:color="auto"/>
              <w:left w:val="single" w:sz="8" w:space="0" w:color="auto"/>
              <w:bottom w:val="single" w:sz="8" w:space="0" w:color="auto"/>
              <w:right w:val="double" w:sz="12" w:space="0" w:color="auto"/>
            </w:tcBorders>
            <w:shd w:val="clear" w:color="auto" w:fill="C0C0C0"/>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325,000</w:t>
            </w:r>
          </w:p>
        </w:tc>
      </w:tr>
      <w:tr w:rsidR="00BB229F" w:rsidRPr="00BB229F" w:rsidTr="003C0FC3">
        <w:tc>
          <w:tcPr>
            <w:tcW w:w="1800" w:type="dxa"/>
            <w:tcBorders>
              <w:top w:val="single" w:sz="8" w:space="0" w:color="auto"/>
              <w:left w:val="double" w:sz="12" w:space="0" w:color="auto"/>
              <w:bottom w:val="single" w:sz="8" w:space="0" w:color="auto"/>
              <w:right w:val="single" w:sz="8" w:space="0" w:color="auto"/>
            </w:tcBorders>
            <w:shd w:val="clear" w:color="auto" w:fill="C0C0C0"/>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sidRPr="00BB229F">
              <w:rPr>
                <w:sz w:val="20"/>
              </w:rPr>
              <w:t>PLMRS (Shared use)</w:t>
            </w:r>
          </w:p>
        </w:tc>
        <w:tc>
          <w:tcPr>
            <w:tcW w:w="1207" w:type="dxa"/>
            <w:tcBorders>
              <w:top w:val="single" w:sz="8" w:space="0" w:color="auto"/>
              <w:left w:val="single" w:sz="8" w:space="0" w:color="auto"/>
              <w:bottom w:val="single" w:sz="8" w:space="0" w:color="auto"/>
              <w:right w:val="single" w:sz="8" w:space="0" w:color="auto"/>
            </w:tcBorders>
            <w:shd w:val="clear" w:color="auto" w:fill="C0C0C0"/>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16,000</w:t>
            </w:r>
          </w:p>
        </w:tc>
        <w:tc>
          <w:tcPr>
            <w:tcW w:w="630" w:type="dxa"/>
            <w:tcBorders>
              <w:top w:val="single" w:sz="8" w:space="0" w:color="auto"/>
              <w:left w:val="single" w:sz="8" w:space="0" w:color="auto"/>
              <w:bottom w:val="single" w:sz="8" w:space="0" w:color="auto"/>
              <w:right w:val="single" w:sz="8" w:space="0" w:color="auto"/>
            </w:tcBorders>
            <w:shd w:val="clear" w:color="auto" w:fill="C0C0C0"/>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sidRPr="00BB229F">
              <w:rPr>
                <w:sz w:val="20"/>
              </w:rPr>
              <w:t>10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3,110,000</w:t>
            </w:r>
          </w:p>
        </w:tc>
        <w:tc>
          <w:tcPr>
            <w:tcW w:w="1260" w:type="dxa"/>
            <w:tcBorders>
              <w:top w:val="single" w:sz="8" w:space="0" w:color="auto"/>
              <w:left w:val="single" w:sz="8" w:space="0" w:color="auto"/>
              <w:bottom w:val="single" w:sz="8" w:space="0" w:color="auto"/>
              <w:right w:val="single" w:sz="8" w:space="0" w:color="auto"/>
            </w:tcBorders>
            <w:shd w:val="clear" w:color="auto" w:fill="C0C0C0"/>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1,600,000</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10</w:t>
            </w:r>
          </w:p>
        </w:tc>
        <w:tc>
          <w:tcPr>
            <w:tcW w:w="990" w:type="dxa"/>
            <w:tcBorders>
              <w:top w:val="single" w:sz="8" w:space="0" w:color="auto"/>
              <w:left w:val="single" w:sz="8" w:space="0" w:color="auto"/>
              <w:bottom w:val="single" w:sz="8" w:space="0" w:color="auto"/>
              <w:right w:val="single" w:sz="8" w:space="0" w:color="auto"/>
            </w:tcBorders>
            <w:shd w:val="clear" w:color="auto" w:fill="C0C0C0"/>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10</w:t>
            </w:r>
          </w:p>
        </w:tc>
        <w:tc>
          <w:tcPr>
            <w:tcW w:w="1170" w:type="dxa"/>
            <w:tcBorders>
              <w:top w:val="single" w:sz="8" w:space="0" w:color="auto"/>
              <w:left w:val="single" w:sz="8" w:space="0" w:color="auto"/>
              <w:bottom w:val="single" w:sz="8" w:space="0" w:color="auto"/>
              <w:right w:val="double" w:sz="12" w:space="0" w:color="auto"/>
            </w:tcBorders>
            <w:shd w:val="clear" w:color="auto" w:fill="C0C0C0"/>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1,600,000</w:t>
            </w:r>
          </w:p>
        </w:tc>
      </w:tr>
      <w:tr w:rsidR="00BB229F" w:rsidRPr="00BB229F" w:rsidTr="003C0FC3">
        <w:tc>
          <w:tcPr>
            <w:tcW w:w="1800" w:type="dxa"/>
            <w:tcBorders>
              <w:top w:val="single" w:sz="8" w:space="0" w:color="auto"/>
              <w:left w:val="double" w:sz="12" w:space="0" w:color="auto"/>
              <w:bottom w:val="single" w:sz="8" w:space="0" w:color="auto"/>
              <w:right w:val="single" w:sz="8" w:space="0" w:color="auto"/>
            </w:tcBorders>
            <w:shd w:val="clear" w:color="auto" w:fill="C0C0C0"/>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sidRPr="00BB229F">
              <w:rPr>
                <w:sz w:val="20"/>
              </w:rPr>
              <w:t>Microwave</w:t>
            </w:r>
          </w:p>
        </w:tc>
        <w:tc>
          <w:tcPr>
            <w:tcW w:w="1207" w:type="dxa"/>
            <w:tcBorders>
              <w:top w:val="single" w:sz="8" w:space="0" w:color="auto"/>
              <w:left w:val="single" w:sz="8" w:space="0" w:color="auto"/>
              <w:bottom w:val="single" w:sz="8" w:space="0" w:color="auto"/>
              <w:right w:val="single" w:sz="8" w:space="0" w:color="auto"/>
            </w:tcBorders>
            <w:shd w:val="clear" w:color="auto" w:fill="C0C0C0"/>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11,800</w:t>
            </w:r>
          </w:p>
        </w:tc>
        <w:tc>
          <w:tcPr>
            <w:tcW w:w="630" w:type="dxa"/>
            <w:tcBorders>
              <w:top w:val="single" w:sz="8" w:space="0" w:color="auto"/>
              <w:left w:val="single" w:sz="8" w:space="0" w:color="auto"/>
              <w:bottom w:val="single" w:sz="8" w:space="0" w:color="auto"/>
              <w:right w:val="single" w:sz="8" w:space="0" w:color="auto"/>
            </w:tcBorders>
            <w:shd w:val="clear" w:color="auto" w:fill="C0C0C0"/>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sidRPr="00BB229F">
              <w:rPr>
                <w:sz w:val="20"/>
              </w:rPr>
              <w:t xml:space="preserve">10 </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3,125,000</w:t>
            </w:r>
          </w:p>
        </w:tc>
        <w:tc>
          <w:tcPr>
            <w:tcW w:w="1260" w:type="dxa"/>
            <w:tcBorders>
              <w:top w:val="single" w:sz="8" w:space="0" w:color="auto"/>
              <w:left w:val="single" w:sz="8" w:space="0" w:color="auto"/>
              <w:bottom w:val="single" w:sz="8" w:space="0" w:color="auto"/>
              <w:right w:val="single" w:sz="8" w:space="0" w:color="auto"/>
            </w:tcBorders>
            <w:shd w:val="clear" w:color="auto" w:fill="C0C0C0"/>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2,950,000</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25</w:t>
            </w:r>
          </w:p>
        </w:tc>
        <w:tc>
          <w:tcPr>
            <w:tcW w:w="990" w:type="dxa"/>
            <w:tcBorders>
              <w:top w:val="single" w:sz="8" w:space="0" w:color="auto"/>
              <w:left w:val="single" w:sz="8" w:space="0" w:color="auto"/>
              <w:bottom w:val="single" w:sz="8" w:space="0" w:color="auto"/>
              <w:right w:val="single" w:sz="8" w:space="0" w:color="auto"/>
            </w:tcBorders>
            <w:shd w:val="clear" w:color="auto" w:fill="C0C0C0"/>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25</w:t>
            </w:r>
          </w:p>
        </w:tc>
        <w:tc>
          <w:tcPr>
            <w:tcW w:w="1170" w:type="dxa"/>
            <w:tcBorders>
              <w:top w:val="single" w:sz="8" w:space="0" w:color="auto"/>
              <w:left w:val="single" w:sz="8" w:space="0" w:color="auto"/>
              <w:bottom w:val="single" w:sz="8" w:space="0" w:color="auto"/>
              <w:right w:val="double" w:sz="12" w:space="0" w:color="auto"/>
            </w:tcBorders>
            <w:shd w:val="clear" w:color="auto" w:fill="C0C0C0"/>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2,950,000</w:t>
            </w:r>
          </w:p>
        </w:tc>
      </w:tr>
      <w:tr w:rsidR="00BB229F" w:rsidRPr="00BB229F" w:rsidTr="003C0FC3">
        <w:tc>
          <w:tcPr>
            <w:tcW w:w="1800" w:type="dxa"/>
            <w:tcBorders>
              <w:top w:val="single" w:sz="8" w:space="0" w:color="auto"/>
              <w:left w:val="double" w:sz="12" w:space="0" w:color="auto"/>
              <w:bottom w:val="single" w:sz="8" w:space="0" w:color="auto"/>
              <w:right w:val="single" w:sz="8" w:space="0" w:color="auto"/>
            </w:tcBorders>
            <w:shd w:val="clear" w:color="auto" w:fill="C0C0C0"/>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vertAlign w:val="superscript"/>
              </w:rPr>
            </w:pPr>
            <w:r w:rsidRPr="00BB229F">
              <w:rPr>
                <w:sz w:val="20"/>
              </w:rPr>
              <w:t>Marine (Ship)</w:t>
            </w:r>
          </w:p>
        </w:tc>
        <w:tc>
          <w:tcPr>
            <w:tcW w:w="1207" w:type="dxa"/>
            <w:tcBorders>
              <w:top w:val="single" w:sz="8" w:space="0" w:color="auto"/>
              <w:left w:val="single" w:sz="8" w:space="0" w:color="auto"/>
              <w:bottom w:val="single" w:sz="8" w:space="0" w:color="auto"/>
              <w:right w:val="single" w:sz="8" w:space="0" w:color="auto"/>
            </w:tcBorders>
            <w:shd w:val="clear" w:color="auto" w:fill="C0C0C0"/>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 xml:space="preserve">8,100 </w:t>
            </w:r>
          </w:p>
        </w:tc>
        <w:tc>
          <w:tcPr>
            <w:tcW w:w="630" w:type="dxa"/>
            <w:tcBorders>
              <w:top w:val="single" w:sz="8" w:space="0" w:color="auto"/>
              <w:left w:val="single" w:sz="8" w:space="0" w:color="auto"/>
              <w:bottom w:val="single" w:sz="8" w:space="0" w:color="auto"/>
              <w:right w:val="single" w:sz="8" w:space="0" w:color="auto"/>
            </w:tcBorders>
            <w:shd w:val="clear" w:color="auto" w:fill="C0C0C0"/>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sidRPr="00BB229F">
              <w:rPr>
                <w:sz w:val="20"/>
              </w:rPr>
              <w:t xml:space="preserve">10 </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1,035,000</w:t>
            </w:r>
          </w:p>
        </w:tc>
        <w:tc>
          <w:tcPr>
            <w:tcW w:w="1260" w:type="dxa"/>
            <w:tcBorders>
              <w:top w:val="single" w:sz="8" w:space="0" w:color="auto"/>
              <w:left w:val="single" w:sz="8" w:space="0" w:color="auto"/>
              <w:bottom w:val="single" w:sz="8" w:space="0" w:color="auto"/>
              <w:right w:val="single" w:sz="8" w:space="0" w:color="auto"/>
            </w:tcBorders>
            <w:shd w:val="clear" w:color="auto" w:fill="C0C0C0"/>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1,215,000</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15</w:t>
            </w:r>
          </w:p>
        </w:tc>
        <w:tc>
          <w:tcPr>
            <w:tcW w:w="990" w:type="dxa"/>
            <w:tcBorders>
              <w:top w:val="single" w:sz="8" w:space="0" w:color="auto"/>
              <w:left w:val="single" w:sz="8" w:space="0" w:color="auto"/>
              <w:bottom w:val="single" w:sz="8" w:space="0" w:color="auto"/>
              <w:right w:val="single" w:sz="8" w:space="0" w:color="auto"/>
            </w:tcBorders>
            <w:shd w:val="clear" w:color="auto" w:fill="C0C0C0"/>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15</w:t>
            </w:r>
          </w:p>
        </w:tc>
        <w:tc>
          <w:tcPr>
            <w:tcW w:w="1170" w:type="dxa"/>
            <w:tcBorders>
              <w:top w:val="single" w:sz="8" w:space="0" w:color="auto"/>
              <w:left w:val="single" w:sz="8" w:space="0" w:color="auto"/>
              <w:bottom w:val="single" w:sz="8" w:space="0" w:color="auto"/>
              <w:right w:val="double" w:sz="12" w:space="0" w:color="auto"/>
            </w:tcBorders>
            <w:shd w:val="clear" w:color="auto" w:fill="C0C0C0"/>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1,215,000</w:t>
            </w:r>
          </w:p>
        </w:tc>
      </w:tr>
      <w:tr w:rsidR="00BB229F" w:rsidRPr="00BB229F" w:rsidTr="003C0FC3">
        <w:tc>
          <w:tcPr>
            <w:tcW w:w="1800" w:type="dxa"/>
            <w:tcBorders>
              <w:top w:val="single" w:sz="8" w:space="0" w:color="auto"/>
              <w:left w:val="double" w:sz="12" w:space="0" w:color="auto"/>
              <w:bottom w:val="single" w:sz="8" w:space="0" w:color="auto"/>
              <w:right w:val="single" w:sz="8" w:space="0" w:color="auto"/>
            </w:tcBorders>
            <w:shd w:val="clear" w:color="auto" w:fill="C0C0C0"/>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sidRPr="00BB229F">
              <w:rPr>
                <w:sz w:val="20"/>
              </w:rPr>
              <w:t>Aviation (Aircraft)</w:t>
            </w:r>
          </w:p>
        </w:tc>
        <w:tc>
          <w:tcPr>
            <w:tcW w:w="1207" w:type="dxa"/>
            <w:tcBorders>
              <w:top w:val="single" w:sz="8" w:space="0" w:color="auto"/>
              <w:left w:val="single" w:sz="8" w:space="0" w:color="auto"/>
              <w:bottom w:val="single" w:sz="8" w:space="0" w:color="auto"/>
              <w:right w:val="single" w:sz="8" w:space="0" w:color="auto"/>
            </w:tcBorders>
            <w:shd w:val="clear" w:color="auto" w:fill="C0C0C0"/>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 xml:space="preserve">4,200 </w:t>
            </w:r>
          </w:p>
        </w:tc>
        <w:tc>
          <w:tcPr>
            <w:tcW w:w="630" w:type="dxa"/>
            <w:tcBorders>
              <w:top w:val="single" w:sz="8" w:space="0" w:color="auto"/>
              <w:left w:val="single" w:sz="8" w:space="0" w:color="auto"/>
              <w:bottom w:val="single" w:sz="8" w:space="0" w:color="auto"/>
              <w:right w:val="single" w:sz="8" w:space="0" w:color="auto"/>
            </w:tcBorders>
            <w:shd w:val="clear" w:color="auto" w:fill="C0C0C0"/>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sidRPr="00BB229F">
              <w:rPr>
                <w:sz w:val="20"/>
              </w:rPr>
              <w:t xml:space="preserve">10 </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470,000</w:t>
            </w:r>
          </w:p>
        </w:tc>
        <w:tc>
          <w:tcPr>
            <w:tcW w:w="1260" w:type="dxa"/>
            <w:tcBorders>
              <w:top w:val="single" w:sz="8" w:space="0" w:color="auto"/>
              <w:left w:val="single" w:sz="8" w:space="0" w:color="auto"/>
              <w:bottom w:val="single" w:sz="8" w:space="0" w:color="auto"/>
              <w:right w:val="single" w:sz="8" w:space="0" w:color="auto"/>
            </w:tcBorders>
            <w:shd w:val="clear" w:color="auto" w:fill="C0C0C0"/>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420,000</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10</w:t>
            </w:r>
          </w:p>
        </w:tc>
        <w:tc>
          <w:tcPr>
            <w:tcW w:w="990" w:type="dxa"/>
            <w:tcBorders>
              <w:top w:val="single" w:sz="8" w:space="0" w:color="auto"/>
              <w:left w:val="single" w:sz="8" w:space="0" w:color="auto"/>
              <w:bottom w:val="single" w:sz="8" w:space="0" w:color="auto"/>
              <w:right w:val="single" w:sz="8" w:space="0" w:color="auto"/>
            </w:tcBorders>
            <w:shd w:val="clear" w:color="auto" w:fill="C0C0C0"/>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10</w:t>
            </w:r>
          </w:p>
        </w:tc>
        <w:tc>
          <w:tcPr>
            <w:tcW w:w="1170" w:type="dxa"/>
            <w:tcBorders>
              <w:top w:val="single" w:sz="8" w:space="0" w:color="auto"/>
              <w:left w:val="single" w:sz="8" w:space="0" w:color="auto"/>
              <w:bottom w:val="single" w:sz="8" w:space="0" w:color="auto"/>
              <w:right w:val="double" w:sz="12" w:space="0" w:color="auto"/>
            </w:tcBorders>
            <w:shd w:val="clear" w:color="auto" w:fill="C0C0C0"/>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420,000</w:t>
            </w:r>
          </w:p>
        </w:tc>
      </w:tr>
      <w:tr w:rsidR="00BB229F" w:rsidRPr="00BB229F" w:rsidTr="003C0FC3">
        <w:tc>
          <w:tcPr>
            <w:tcW w:w="1800" w:type="dxa"/>
            <w:tcBorders>
              <w:top w:val="single" w:sz="8" w:space="0" w:color="auto"/>
              <w:left w:val="double" w:sz="12" w:space="0" w:color="auto"/>
              <w:bottom w:val="single" w:sz="8" w:space="0" w:color="auto"/>
              <w:right w:val="single" w:sz="8" w:space="0" w:color="auto"/>
            </w:tcBorders>
            <w:shd w:val="clear" w:color="auto" w:fill="C0C0C0"/>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sidRPr="00BB229F">
              <w:rPr>
                <w:sz w:val="20"/>
              </w:rPr>
              <w:t>Marine (Coast)</w:t>
            </w:r>
          </w:p>
        </w:tc>
        <w:tc>
          <w:tcPr>
            <w:tcW w:w="1207" w:type="dxa"/>
            <w:tcBorders>
              <w:top w:val="single" w:sz="8" w:space="0" w:color="auto"/>
              <w:left w:val="single" w:sz="8" w:space="0" w:color="auto"/>
              <w:bottom w:val="single" w:sz="8" w:space="0" w:color="auto"/>
              <w:right w:val="single" w:sz="8" w:space="0" w:color="auto"/>
            </w:tcBorders>
            <w:shd w:val="clear" w:color="auto" w:fill="C0C0C0"/>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 xml:space="preserve">150 </w:t>
            </w:r>
          </w:p>
        </w:tc>
        <w:tc>
          <w:tcPr>
            <w:tcW w:w="630" w:type="dxa"/>
            <w:tcBorders>
              <w:top w:val="single" w:sz="8" w:space="0" w:color="auto"/>
              <w:left w:val="single" w:sz="8" w:space="0" w:color="auto"/>
              <w:bottom w:val="single" w:sz="8" w:space="0" w:color="auto"/>
              <w:right w:val="single" w:sz="8" w:space="0" w:color="auto"/>
            </w:tcBorders>
            <w:shd w:val="clear" w:color="auto" w:fill="C0C0C0"/>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sidRPr="00BB229F">
              <w:rPr>
                <w:sz w:val="20"/>
              </w:rPr>
              <w:t xml:space="preserve">10 </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192,500</w:t>
            </w:r>
          </w:p>
        </w:tc>
        <w:tc>
          <w:tcPr>
            <w:tcW w:w="1260" w:type="dxa"/>
            <w:tcBorders>
              <w:top w:val="single" w:sz="8" w:space="0" w:color="auto"/>
              <w:left w:val="single" w:sz="8" w:space="0" w:color="auto"/>
              <w:bottom w:val="single" w:sz="8" w:space="0" w:color="auto"/>
              <w:right w:val="single" w:sz="8" w:space="0" w:color="auto"/>
            </w:tcBorders>
            <w:shd w:val="clear" w:color="auto" w:fill="C0C0C0"/>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60,000</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40</w:t>
            </w:r>
          </w:p>
        </w:tc>
        <w:tc>
          <w:tcPr>
            <w:tcW w:w="990" w:type="dxa"/>
            <w:tcBorders>
              <w:top w:val="single" w:sz="8" w:space="0" w:color="auto"/>
              <w:left w:val="single" w:sz="8" w:space="0" w:color="auto"/>
              <w:bottom w:val="single" w:sz="8" w:space="0" w:color="auto"/>
              <w:right w:val="single" w:sz="8" w:space="0" w:color="auto"/>
            </w:tcBorders>
            <w:shd w:val="clear" w:color="auto" w:fill="C0C0C0"/>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40</w:t>
            </w:r>
          </w:p>
        </w:tc>
        <w:tc>
          <w:tcPr>
            <w:tcW w:w="1170" w:type="dxa"/>
            <w:tcBorders>
              <w:top w:val="single" w:sz="8" w:space="0" w:color="auto"/>
              <w:left w:val="single" w:sz="8" w:space="0" w:color="auto"/>
              <w:bottom w:val="single" w:sz="8" w:space="0" w:color="auto"/>
              <w:right w:val="double" w:sz="12" w:space="0" w:color="auto"/>
            </w:tcBorders>
            <w:shd w:val="clear" w:color="auto" w:fill="C0C0C0"/>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60,000</w:t>
            </w:r>
          </w:p>
        </w:tc>
      </w:tr>
      <w:tr w:rsidR="00BB229F" w:rsidRPr="00BB229F" w:rsidTr="003C0FC3">
        <w:tc>
          <w:tcPr>
            <w:tcW w:w="1800" w:type="dxa"/>
            <w:tcBorders>
              <w:top w:val="single" w:sz="8" w:space="0" w:color="auto"/>
              <w:left w:val="double" w:sz="12" w:space="0" w:color="auto"/>
              <w:bottom w:val="single" w:sz="8" w:space="0" w:color="auto"/>
              <w:right w:val="single" w:sz="8" w:space="0" w:color="auto"/>
            </w:tcBorders>
            <w:shd w:val="clear" w:color="auto" w:fill="C0C0C0"/>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vertAlign w:val="superscript"/>
              </w:rPr>
            </w:pPr>
            <w:r w:rsidRPr="00BB229F">
              <w:rPr>
                <w:sz w:val="20"/>
              </w:rPr>
              <w:t>Aviation (Ground)</w:t>
            </w:r>
          </w:p>
        </w:tc>
        <w:tc>
          <w:tcPr>
            <w:tcW w:w="1207" w:type="dxa"/>
            <w:tcBorders>
              <w:top w:val="single" w:sz="8" w:space="0" w:color="auto"/>
              <w:left w:val="single" w:sz="8" w:space="0" w:color="auto"/>
              <w:bottom w:val="single" w:sz="8" w:space="0" w:color="auto"/>
              <w:right w:val="single" w:sz="8" w:space="0" w:color="auto"/>
            </w:tcBorders>
            <w:shd w:val="clear" w:color="auto" w:fill="C0C0C0"/>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 xml:space="preserve">1,100 </w:t>
            </w:r>
          </w:p>
        </w:tc>
        <w:tc>
          <w:tcPr>
            <w:tcW w:w="630" w:type="dxa"/>
            <w:tcBorders>
              <w:top w:val="single" w:sz="8" w:space="0" w:color="auto"/>
              <w:left w:val="single" w:sz="8" w:space="0" w:color="auto"/>
              <w:bottom w:val="single" w:sz="8" w:space="0" w:color="auto"/>
              <w:right w:val="single" w:sz="8" w:space="0" w:color="auto"/>
            </w:tcBorders>
            <w:shd w:val="clear" w:color="auto" w:fill="C0C0C0"/>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sidRPr="00BB229F">
              <w:rPr>
                <w:sz w:val="20"/>
              </w:rPr>
              <w:t xml:space="preserve">10 </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220,000</w:t>
            </w:r>
          </w:p>
        </w:tc>
        <w:tc>
          <w:tcPr>
            <w:tcW w:w="1260" w:type="dxa"/>
            <w:tcBorders>
              <w:top w:val="single" w:sz="8" w:space="0" w:color="auto"/>
              <w:left w:val="single" w:sz="8" w:space="0" w:color="auto"/>
              <w:bottom w:val="single" w:sz="8" w:space="0" w:color="auto"/>
              <w:right w:val="single" w:sz="8" w:space="0" w:color="auto"/>
            </w:tcBorders>
            <w:shd w:val="clear" w:color="auto" w:fill="C0C0C0"/>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220,000</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20</w:t>
            </w:r>
          </w:p>
        </w:tc>
        <w:tc>
          <w:tcPr>
            <w:tcW w:w="990" w:type="dxa"/>
            <w:tcBorders>
              <w:top w:val="single" w:sz="8" w:space="0" w:color="auto"/>
              <w:left w:val="single" w:sz="8" w:space="0" w:color="auto"/>
              <w:bottom w:val="single" w:sz="8" w:space="0" w:color="auto"/>
              <w:right w:val="single" w:sz="8" w:space="0" w:color="auto"/>
            </w:tcBorders>
            <w:shd w:val="clear" w:color="auto" w:fill="C0C0C0"/>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20</w:t>
            </w:r>
          </w:p>
        </w:tc>
        <w:tc>
          <w:tcPr>
            <w:tcW w:w="1170" w:type="dxa"/>
            <w:tcBorders>
              <w:top w:val="single" w:sz="8" w:space="0" w:color="auto"/>
              <w:left w:val="single" w:sz="8" w:space="0" w:color="auto"/>
              <w:bottom w:val="single" w:sz="8" w:space="0" w:color="auto"/>
              <w:right w:val="double" w:sz="12" w:space="0" w:color="auto"/>
            </w:tcBorders>
            <w:shd w:val="clear" w:color="auto" w:fill="C0C0C0"/>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220,000</w:t>
            </w:r>
          </w:p>
        </w:tc>
      </w:tr>
      <w:tr w:rsidR="00BB229F" w:rsidRPr="00BB229F" w:rsidTr="003C0FC3">
        <w:tc>
          <w:tcPr>
            <w:tcW w:w="1800" w:type="dxa"/>
            <w:tcBorders>
              <w:top w:val="single" w:sz="8" w:space="0" w:color="auto"/>
              <w:left w:val="doub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vertAlign w:val="superscript"/>
              </w:rPr>
            </w:pPr>
            <w:r w:rsidRPr="00BB229F">
              <w:rPr>
                <w:sz w:val="20"/>
              </w:rPr>
              <w:t>AM Class A</w:t>
            </w:r>
            <w:r w:rsidRPr="00BB229F">
              <w:rPr>
                <w:sz w:val="20"/>
                <w:vertAlign w:val="superscript"/>
              </w:rPr>
              <w:t>4</w:t>
            </w:r>
          </w:p>
        </w:tc>
        <w:tc>
          <w:tcPr>
            <w:tcW w:w="1207" w:type="dxa"/>
            <w:tcBorders>
              <w:top w:val="single" w:sz="8"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65</w:t>
            </w:r>
          </w:p>
        </w:tc>
        <w:tc>
          <w:tcPr>
            <w:tcW w:w="630" w:type="dxa"/>
            <w:tcBorders>
              <w:top w:val="single" w:sz="8"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sidRPr="00BB229F">
              <w:rPr>
                <w:sz w:val="20"/>
              </w:rPr>
              <w:t>1</w:t>
            </w:r>
          </w:p>
        </w:tc>
        <w:tc>
          <w:tcPr>
            <w:tcW w:w="1170" w:type="dxa"/>
            <w:tcBorders>
              <w:top w:val="single" w:sz="8"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313,500</w:t>
            </w:r>
          </w:p>
        </w:tc>
        <w:tc>
          <w:tcPr>
            <w:tcW w:w="1260" w:type="dxa"/>
            <w:tcBorders>
              <w:top w:val="single" w:sz="8"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305,500</w:t>
            </w:r>
          </w:p>
        </w:tc>
        <w:tc>
          <w:tcPr>
            <w:tcW w:w="1080" w:type="dxa"/>
            <w:tcBorders>
              <w:top w:val="single" w:sz="8" w:space="0" w:color="auto"/>
              <w:left w:val="single" w:sz="6" w:space="0" w:color="auto"/>
              <w:righ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4,699</w:t>
            </w:r>
          </w:p>
        </w:tc>
        <w:tc>
          <w:tcPr>
            <w:tcW w:w="990" w:type="dxa"/>
            <w:tcBorders>
              <w:top w:val="single" w:sz="8"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4,700</w:t>
            </w:r>
          </w:p>
        </w:tc>
        <w:tc>
          <w:tcPr>
            <w:tcW w:w="1170" w:type="dxa"/>
            <w:tcBorders>
              <w:top w:val="single" w:sz="8" w:space="0" w:color="auto"/>
              <w:left w:val="single" w:sz="6" w:space="0" w:color="auto"/>
              <w:right w:val="doub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305,500</w:t>
            </w:r>
          </w:p>
        </w:tc>
      </w:tr>
      <w:tr w:rsidR="00BB229F" w:rsidRPr="00BB229F" w:rsidTr="003C0FC3">
        <w:tc>
          <w:tcPr>
            <w:tcW w:w="1800" w:type="dxa"/>
            <w:tcBorders>
              <w:top w:val="single" w:sz="6" w:space="0" w:color="auto"/>
              <w:left w:val="doub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vertAlign w:val="superscript"/>
              </w:rPr>
            </w:pPr>
            <w:r w:rsidRPr="00BB229F">
              <w:rPr>
                <w:sz w:val="20"/>
              </w:rPr>
              <w:t>AM Class B</w:t>
            </w:r>
            <w:r w:rsidRPr="00BB229F">
              <w:rPr>
                <w:sz w:val="20"/>
                <w:vertAlign w:val="superscript"/>
              </w:rPr>
              <w:t>4</w:t>
            </w:r>
          </w:p>
        </w:tc>
        <w:tc>
          <w:tcPr>
            <w:tcW w:w="1207"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1,523</w:t>
            </w:r>
          </w:p>
        </w:tc>
        <w:tc>
          <w:tcPr>
            <w:tcW w:w="630"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sidRPr="00BB229F">
              <w:rPr>
                <w:sz w:val="20"/>
              </w:rPr>
              <w:t>1</w:t>
            </w:r>
          </w:p>
        </w:tc>
        <w:tc>
          <w:tcPr>
            <w:tcW w:w="1170"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3,875,875</w:t>
            </w:r>
          </w:p>
        </w:tc>
        <w:tc>
          <w:tcPr>
            <w:tcW w:w="1260"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3,807,500</w:t>
            </w:r>
          </w:p>
        </w:tc>
        <w:tc>
          <w:tcPr>
            <w:tcW w:w="1080" w:type="dxa"/>
            <w:tcBorders>
              <w:top w:val="single" w:sz="6" w:space="0" w:color="auto"/>
              <w:left w:val="single" w:sz="6" w:space="0" w:color="auto"/>
              <w:righ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2,488</w:t>
            </w:r>
          </w:p>
        </w:tc>
        <w:tc>
          <w:tcPr>
            <w:tcW w:w="990"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2,500</w:t>
            </w:r>
          </w:p>
        </w:tc>
        <w:tc>
          <w:tcPr>
            <w:tcW w:w="1170" w:type="dxa"/>
            <w:tcBorders>
              <w:top w:val="single" w:sz="6" w:space="0" w:color="auto"/>
              <w:left w:val="single" w:sz="6" w:space="0" w:color="auto"/>
              <w:right w:val="doub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3,807,500</w:t>
            </w:r>
          </w:p>
        </w:tc>
      </w:tr>
      <w:tr w:rsidR="00BB229F" w:rsidRPr="00BB229F" w:rsidTr="003C0FC3">
        <w:tc>
          <w:tcPr>
            <w:tcW w:w="1800" w:type="dxa"/>
            <w:tcBorders>
              <w:top w:val="single" w:sz="6" w:space="0" w:color="auto"/>
              <w:left w:val="doub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vertAlign w:val="superscript"/>
              </w:rPr>
            </w:pPr>
            <w:r w:rsidRPr="00BB229F">
              <w:rPr>
                <w:sz w:val="20"/>
              </w:rPr>
              <w:t>AM Class C</w:t>
            </w:r>
            <w:r w:rsidRPr="00BB229F">
              <w:rPr>
                <w:sz w:val="20"/>
                <w:vertAlign w:val="superscript"/>
              </w:rPr>
              <w:t>4</w:t>
            </w:r>
          </w:p>
        </w:tc>
        <w:tc>
          <w:tcPr>
            <w:tcW w:w="1207"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870</w:t>
            </w:r>
          </w:p>
        </w:tc>
        <w:tc>
          <w:tcPr>
            <w:tcW w:w="630"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sidRPr="00BB229F">
              <w:rPr>
                <w:sz w:val="20"/>
              </w:rPr>
              <w:t>1</w:t>
            </w:r>
          </w:p>
        </w:tc>
        <w:tc>
          <w:tcPr>
            <w:tcW w:w="1170"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1,400,175</w:t>
            </w:r>
          </w:p>
        </w:tc>
        <w:tc>
          <w:tcPr>
            <w:tcW w:w="1260"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1,348,500</w:t>
            </w:r>
          </w:p>
        </w:tc>
        <w:tc>
          <w:tcPr>
            <w:tcW w:w="1080" w:type="dxa"/>
            <w:tcBorders>
              <w:top w:val="single" w:sz="6" w:space="0" w:color="auto"/>
              <w:left w:val="single" w:sz="6" w:space="0" w:color="auto"/>
              <w:righ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1,559</w:t>
            </w:r>
          </w:p>
        </w:tc>
        <w:tc>
          <w:tcPr>
            <w:tcW w:w="990"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1,550</w:t>
            </w:r>
          </w:p>
        </w:tc>
        <w:tc>
          <w:tcPr>
            <w:tcW w:w="1170" w:type="dxa"/>
            <w:tcBorders>
              <w:top w:val="single" w:sz="6" w:space="0" w:color="auto"/>
              <w:left w:val="single" w:sz="6" w:space="0" w:color="auto"/>
              <w:right w:val="doub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1,348,500</w:t>
            </w:r>
          </w:p>
        </w:tc>
      </w:tr>
      <w:tr w:rsidR="00BB229F" w:rsidRPr="00BB229F" w:rsidTr="003C0FC3">
        <w:tc>
          <w:tcPr>
            <w:tcW w:w="1800" w:type="dxa"/>
            <w:tcBorders>
              <w:top w:val="single" w:sz="6" w:space="0" w:color="auto"/>
              <w:left w:val="doub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vertAlign w:val="superscript"/>
              </w:rPr>
            </w:pPr>
            <w:r w:rsidRPr="00BB229F">
              <w:rPr>
                <w:sz w:val="20"/>
              </w:rPr>
              <w:t>AM Class D</w:t>
            </w:r>
            <w:r w:rsidRPr="00BB229F">
              <w:rPr>
                <w:sz w:val="20"/>
                <w:vertAlign w:val="superscript"/>
              </w:rPr>
              <w:t>4</w:t>
            </w:r>
          </w:p>
        </w:tc>
        <w:tc>
          <w:tcPr>
            <w:tcW w:w="1207"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1,492</w:t>
            </w:r>
          </w:p>
        </w:tc>
        <w:tc>
          <w:tcPr>
            <w:tcW w:w="630"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sidRPr="00BB229F">
              <w:rPr>
                <w:sz w:val="20"/>
              </w:rPr>
              <w:t>1</w:t>
            </w:r>
          </w:p>
        </w:tc>
        <w:tc>
          <w:tcPr>
            <w:tcW w:w="1170"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4,587,900</w:t>
            </w:r>
          </w:p>
        </w:tc>
        <w:tc>
          <w:tcPr>
            <w:tcW w:w="1260"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4,476,000</w:t>
            </w:r>
          </w:p>
        </w:tc>
        <w:tc>
          <w:tcPr>
            <w:tcW w:w="1080" w:type="dxa"/>
            <w:tcBorders>
              <w:top w:val="single" w:sz="6" w:space="0" w:color="auto"/>
              <w:left w:val="single" w:sz="6" w:space="0" w:color="auto"/>
              <w:righ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3,004</w:t>
            </w:r>
          </w:p>
        </w:tc>
        <w:tc>
          <w:tcPr>
            <w:tcW w:w="990"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3,000</w:t>
            </w:r>
          </w:p>
        </w:tc>
        <w:tc>
          <w:tcPr>
            <w:tcW w:w="1170" w:type="dxa"/>
            <w:tcBorders>
              <w:top w:val="single" w:sz="6" w:space="0" w:color="auto"/>
              <w:left w:val="single" w:sz="6" w:space="0" w:color="auto"/>
              <w:right w:val="doub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4,476,000</w:t>
            </w:r>
          </w:p>
        </w:tc>
      </w:tr>
      <w:tr w:rsidR="00BB229F" w:rsidRPr="00BB229F" w:rsidTr="003C0FC3">
        <w:tc>
          <w:tcPr>
            <w:tcW w:w="1800" w:type="dxa"/>
            <w:tcBorders>
              <w:top w:val="single" w:sz="6" w:space="0" w:color="auto"/>
              <w:left w:val="doub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vertAlign w:val="superscript"/>
                <w:lang w:val="pt-BR"/>
              </w:rPr>
            </w:pPr>
            <w:r w:rsidRPr="00BB229F">
              <w:rPr>
                <w:sz w:val="20"/>
                <w:lang w:val="pt-BR"/>
              </w:rPr>
              <w:t>FM Classes A, B1 &amp; C3</w:t>
            </w:r>
            <w:r w:rsidRPr="00BB229F">
              <w:rPr>
                <w:sz w:val="20"/>
                <w:vertAlign w:val="superscript"/>
                <w:lang w:val="pt-BR"/>
              </w:rPr>
              <w:t>4</w:t>
            </w:r>
          </w:p>
        </w:tc>
        <w:tc>
          <w:tcPr>
            <w:tcW w:w="1207"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3,150</w:t>
            </w:r>
          </w:p>
        </w:tc>
        <w:tc>
          <w:tcPr>
            <w:tcW w:w="630"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sidRPr="00BB229F">
              <w:rPr>
                <w:sz w:val="20"/>
              </w:rPr>
              <w:t>1</w:t>
            </w:r>
          </w:p>
        </w:tc>
        <w:tc>
          <w:tcPr>
            <w:tcW w:w="1170"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9,678,200</w:t>
            </w:r>
          </w:p>
        </w:tc>
        <w:tc>
          <w:tcPr>
            <w:tcW w:w="1260"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9,371,250</w:t>
            </w:r>
          </w:p>
        </w:tc>
        <w:tc>
          <w:tcPr>
            <w:tcW w:w="1080" w:type="dxa"/>
            <w:tcBorders>
              <w:top w:val="single" w:sz="6" w:space="0" w:color="auto"/>
              <w:left w:val="single" w:sz="6" w:space="0" w:color="auto"/>
              <w:righ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2,987</w:t>
            </w:r>
          </w:p>
        </w:tc>
        <w:tc>
          <w:tcPr>
            <w:tcW w:w="990"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2,975</w:t>
            </w:r>
          </w:p>
        </w:tc>
        <w:tc>
          <w:tcPr>
            <w:tcW w:w="1170" w:type="dxa"/>
            <w:tcBorders>
              <w:top w:val="single" w:sz="6" w:space="0" w:color="auto"/>
              <w:left w:val="single" w:sz="6" w:space="0" w:color="auto"/>
              <w:right w:val="doub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9,371,250</w:t>
            </w:r>
          </w:p>
        </w:tc>
      </w:tr>
      <w:tr w:rsidR="00BB229F" w:rsidRPr="00BB229F" w:rsidTr="003C0FC3">
        <w:tc>
          <w:tcPr>
            <w:tcW w:w="1800" w:type="dxa"/>
            <w:tcBorders>
              <w:top w:val="single" w:sz="6" w:space="0" w:color="auto"/>
              <w:left w:val="doub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vertAlign w:val="superscript"/>
              </w:rPr>
            </w:pPr>
            <w:r w:rsidRPr="00BB229F">
              <w:rPr>
                <w:sz w:val="20"/>
              </w:rPr>
              <w:t>FM Classes B, C, C0, C1 &amp; C2</w:t>
            </w:r>
            <w:r w:rsidRPr="00BB229F">
              <w:rPr>
                <w:sz w:val="20"/>
                <w:vertAlign w:val="superscript"/>
              </w:rPr>
              <w:t>4</w:t>
            </w:r>
          </w:p>
        </w:tc>
        <w:tc>
          <w:tcPr>
            <w:tcW w:w="1207"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3,114</w:t>
            </w:r>
          </w:p>
        </w:tc>
        <w:tc>
          <w:tcPr>
            <w:tcW w:w="630"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sidRPr="00BB229F">
              <w:rPr>
                <w:sz w:val="20"/>
              </w:rPr>
              <w:t>1</w:t>
            </w:r>
          </w:p>
        </w:tc>
        <w:tc>
          <w:tcPr>
            <w:tcW w:w="1170"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11,849,725</w:t>
            </w:r>
          </w:p>
        </w:tc>
        <w:tc>
          <w:tcPr>
            <w:tcW w:w="1260"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11,521,800</w:t>
            </w:r>
          </w:p>
        </w:tc>
        <w:tc>
          <w:tcPr>
            <w:tcW w:w="1080" w:type="dxa"/>
            <w:tcBorders>
              <w:top w:val="single" w:sz="6" w:space="0" w:color="auto"/>
              <w:left w:val="single" w:sz="6" w:space="0" w:color="auto"/>
              <w:righ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3,703</w:t>
            </w:r>
          </w:p>
        </w:tc>
        <w:tc>
          <w:tcPr>
            <w:tcW w:w="990"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3,700</w:t>
            </w:r>
          </w:p>
        </w:tc>
        <w:tc>
          <w:tcPr>
            <w:tcW w:w="1170" w:type="dxa"/>
            <w:tcBorders>
              <w:top w:val="single" w:sz="6" w:space="0" w:color="auto"/>
              <w:left w:val="single" w:sz="6" w:space="0" w:color="auto"/>
              <w:right w:val="doub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11,521,800</w:t>
            </w:r>
          </w:p>
        </w:tc>
      </w:tr>
      <w:tr w:rsidR="00BB229F" w:rsidRPr="00BB229F" w:rsidTr="003C0FC3">
        <w:trPr>
          <w:trHeight w:val="534"/>
        </w:trPr>
        <w:tc>
          <w:tcPr>
            <w:tcW w:w="1800" w:type="dxa"/>
            <w:tcBorders>
              <w:top w:val="single" w:sz="6" w:space="0" w:color="auto"/>
              <w:left w:val="doub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sidRPr="00BB229F">
              <w:rPr>
                <w:sz w:val="20"/>
              </w:rPr>
              <w:t xml:space="preserve">AM Construction Permits </w:t>
            </w:r>
            <w:r w:rsidRPr="00BB229F">
              <w:rPr>
                <w:sz w:val="20"/>
                <w:vertAlign w:val="superscript"/>
              </w:rPr>
              <w:t>1</w:t>
            </w:r>
          </w:p>
        </w:tc>
        <w:tc>
          <w:tcPr>
            <w:tcW w:w="1207"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 xml:space="preserve">10 </w:t>
            </w:r>
          </w:p>
        </w:tc>
        <w:tc>
          <w:tcPr>
            <w:tcW w:w="630"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sidRPr="00BB229F">
              <w:rPr>
                <w:sz w:val="20"/>
              </w:rPr>
              <w:t xml:space="preserve">1 </w:t>
            </w:r>
          </w:p>
        </w:tc>
        <w:tc>
          <w:tcPr>
            <w:tcW w:w="1170"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9,300</w:t>
            </w:r>
          </w:p>
        </w:tc>
        <w:tc>
          <w:tcPr>
            <w:tcW w:w="1260"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5,550</w:t>
            </w:r>
          </w:p>
        </w:tc>
        <w:tc>
          <w:tcPr>
            <w:tcW w:w="1080" w:type="dxa"/>
            <w:tcBorders>
              <w:top w:val="single" w:sz="6" w:space="0" w:color="auto"/>
              <w:left w:val="single" w:sz="6" w:space="0" w:color="auto"/>
              <w:righ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555</w:t>
            </w:r>
          </w:p>
        </w:tc>
        <w:tc>
          <w:tcPr>
            <w:tcW w:w="990"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555</w:t>
            </w:r>
          </w:p>
        </w:tc>
        <w:tc>
          <w:tcPr>
            <w:tcW w:w="1170" w:type="dxa"/>
            <w:tcBorders>
              <w:top w:val="single" w:sz="6" w:space="0" w:color="auto"/>
              <w:left w:val="single" w:sz="6" w:space="0" w:color="auto"/>
              <w:right w:val="doub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5,550</w:t>
            </w:r>
          </w:p>
        </w:tc>
      </w:tr>
      <w:tr w:rsidR="00BB229F" w:rsidRPr="00BB229F" w:rsidTr="003C0FC3">
        <w:tc>
          <w:tcPr>
            <w:tcW w:w="1800" w:type="dxa"/>
            <w:tcBorders>
              <w:top w:val="single" w:sz="6" w:space="0" w:color="auto"/>
              <w:left w:val="doub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sidRPr="00BB229F">
              <w:rPr>
                <w:sz w:val="20"/>
              </w:rPr>
              <w:t>FM Construction Permits</w:t>
            </w:r>
            <w:r w:rsidRPr="00BB229F">
              <w:rPr>
                <w:sz w:val="20"/>
                <w:vertAlign w:val="superscript"/>
              </w:rPr>
              <w:t>1</w:t>
            </w:r>
          </w:p>
        </w:tc>
        <w:tc>
          <w:tcPr>
            <w:tcW w:w="1207"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 xml:space="preserve">113 </w:t>
            </w:r>
          </w:p>
        </w:tc>
        <w:tc>
          <w:tcPr>
            <w:tcW w:w="630"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sidRPr="00BB229F">
              <w:rPr>
                <w:sz w:val="20"/>
              </w:rPr>
              <w:t xml:space="preserve">1 </w:t>
            </w:r>
          </w:p>
        </w:tc>
        <w:tc>
          <w:tcPr>
            <w:tcW w:w="1170"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192,425</w:t>
            </w:r>
          </w:p>
        </w:tc>
        <w:tc>
          <w:tcPr>
            <w:tcW w:w="1260"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110,740</w:t>
            </w:r>
          </w:p>
        </w:tc>
        <w:tc>
          <w:tcPr>
            <w:tcW w:w="1080" w:type="dxa"/>
            <w:tcBorders>
              <w:top w:val="single" w:sz="6" w:space="0" w:color="auto"/>
              <w:left w:val="single" w:sz="6" w:space="0" w:color="auto"/>
              <w:righ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980</w:t>
            </w:r>
          </w:p>
        </w:tc>
        <w:tc>
          <w:tcPr>
            <w:tcW w:w="990"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980</w:t>
            </w:r>
          </w:p>
        </w:tc>
        <w:tc>
          <w:tcPr>
            <w:tcW w:w="1170" w:type="dxa"/>
            <w:tcBorders>
              <w:top w:val="single" w:sz="6" w:space="0" w:color="auto"/>
              <w:left w:val="single" w:sz="6" w:space="0" w:color="auto"/>
              <w:right w:val="doub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110,740</w:t>
            </w:r>
          </w:p>
        </w:tc>
      </w:tr>
      <w:tr w:rsidR="00BB229F" w:rsidRPr="00BB229F" w:rsidTr="003C0FC3">
        <w:trPr>
          <w:trHeight w:val="444"/>
        </w:trPr>
        <w:tc>
          <w:tcPr>
            <w:tcW w:w="1800" w:type="dxa"/>
            <w:tcBorders>
              <w:top w:val="single" w:sz="6" w:space="0" w:color="auto"/>
              <w:left w:val="doub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sidRPr="00BB229F">
              <w:rPr>
                <w:sz w:val="20"/>
              </w:rPr>
              <w:t>Satellite TV</w:t>
            </w:r>
          </w:p>
        </w:tc>
        <w:tc>
          <w:tcPr>
            <w:tcW w:w="1207"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126</w:t>
            </w:r>
          </w:p>
        </w:tc>
        <w:tc>
          <w:tcPr>
            <w:tcW w:w="630"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sidRPr="00BB229F">
              <w:rPr>
                <w:sz w:val="20"/>
              </w:rPr>
              <w:t>1</w:t>
            </w:r>
          </w:p>
        </w:tc>
        <w:tc>
          <w:tcPr>
            <w:tcW w:w="1170"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224,000</w:t>
            </w:r>
          </w:p>
        </w:tc>
        <w:tc>
          <w:tcPr>
            <w:tcW w:w="1260"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217,350</w:t>
            </w:r>
          </w:p>
        </w:tc>
        <w:tc>
          <w:tcPr>
            <w:tcW w:w="1080" w:type="dxa"/>
            <w:tcBorders>
              <w:top w:val="single" w:sz="6" w:space="0" w:color="auto"/>
              <w:left w:val="single" w:sz="6" w:space="0" w:color="auto"/>
              <w:righ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1,722</w:t>
            </w:r>
          </w:p>
        </w:tc>
        <w:tc>
          <w:tcPr>
            <w:tcW w:w="990"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1,725</w:t>
            </w:r>
          </w:p>
        </w:tc>
        <w:tc>
          <w:tcPr>
            <w:tcW w:w="1170" w:type="dxa"/>
            <w:tcBorders>
              <w:top w:val="single" w:sz="6" w:space="0" w:color="auto"/>
              <w:left w:val="single" w:sz="6" w:space="0" w:color="auto"/>
              <w:right w:val="doub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217,350</w:t>
            </w:r>
          </w:p>
        </w:tc>
      </w:tr>
      <w:tr w:rsidR="00BB229F" w:rsidRPr="00BB229F" w:rsidTr="003C0FC3">
        <w:tc>
          <w:tcPr>
            <w:tcW w:w="1800" w:type="dxa"/>
            <w:tcBorders>
              <w:top w:val="single" w:sz="6" w:space="0" w:color="auto"/>
              <w:left w:val="doub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sidRPr="00BB229F">
              <w:rPr>
                <w:sz w:val="20"/>
              </w:rPr>
              <w:t>Digital TV Markets 1-10</w:t>
            </w:r>
          </w:p>
        </w:tc>
        <w:tc>
          <w:tcPr>
            <w:tcW w:w="1207"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 xml:space="preserve">139 </w:t>
            </w:r>
          </w:p>
        </w:tc>
        <w:tc>
          <w:tcPr>
            <w:tcW w:w="630"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sidRPr="00BB229F">
              <w:rPr>
                <w:sz w:val="20"/>
              </w:rPr>
              <w:t xml:space="preserve">1 </w:t>
            </w:r>
          </w:p>
        </w:tc>
        <w:tc>
          <w:tcPr>
            <w:tcW w:w="1170"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8,433,825</w:t>
            </w:r>
          </w:p>
        </w:tc>
        <w:tc>
          <w:tcPr>
            <w:tcW w:w="1260"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8,305,250</w:t>
            </w:r>
          </w:p>
        </w:tc>
        <w:tc>
          <w:tcPr>
            <w:tcW w:w="1080" w:type="dxa"/>
            <w:tcBorders>
              <w:top w:val="single" w:sz="6" w:space="0" w:color="auto"/>
              <w:left w:val="single" w:sz="6" w:space="0" w:color="auto"/>
              <w:righ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59,748</w:t>
            </w:r>
          </w:p>
        </w:tc>
        <w:tc>
          <w:tcPr>
            <w:tcW w:w="990"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59,750</w:t>
            </w:r>
          </w:p>
        </w:tc>
        <w:tc>
          <w:tcPr>
            <w:tcW w:w="1170" w:type="dxa"/>
            <w:tcBorders>
              <w:top w:val="single" w:sz="6" w:space="0" w:color="auto"/>
              <w:left w:val="single" w:sz="6" w:space="0" w:color="auto"/>
              <w:right w:val="doub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8,305,250</w:t>
            </w:r>
          </w:p>
        </w:tc>
      </w:tr>
      <w:tr w:rsidR="00BB229F" w:rsidRPr="00BB229F" w:rsidTr="003C0FC3">
        <w:tc>
          <w:tcPr>
            <w:tcW w:w="1800" w:type="dxa"/>
            <w:tcBorders>
              <w:top w:val="single" w:sz="6" w:space="0" w:color="auto"/>
              <w:left w:val="doub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sidRPr="00BB229F">
              <w:rPr>
                <w:sz w:val="20"/>
              </w:rPr>
              <w:t>Digital TV Markets 11-25</w:t>
            </w:r>
          </w:p>
        </w:tc>
        <w:tc>
          <w:tcPr>
            <w:tcW w:w="1207"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 xml:space="preserve">131 </w:t>
            </w:r>
          </w:p>
        </w:tc>
        <w:tc>
          <w:tcPr>
            <w:tcW w:w="630"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sidRPr="00BB229F">
              <w:rPr>
                <w:sz w:val="20"/>
              </w:rPr>
              <w:t xml:space="preserve">1 </w:t>
            </w:r>
          </w:p>
        </w:tc>
        <w:tc>
          <w:tcPr>
            <w:tcW w:w="1170"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6,348,825</w:t>
            </w:r>
          </w:p>
        </w:tc>
        <w:tc>
          <w:tcPr>
            <w:tcW w:w="1260"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5,898,275</w:t>
            </w:r>
          </w:p>
        </w:tc>
        <w:tc>
          <w:tcPr>
            <w:tcW w:w="1080" w:type="dxa"/>
            <w:tcBorders>
              <w:top w:val="single" w:sz="6" w:space="0" w:color="auto"/>
              <w:left w:val="single" w:sz="6" w:space="0" w:color="auto"/>
              <w:righ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45,013</w:t>
            </w:r>
          </w:p>
        </w:tc>
        <w:tc>
          <w:tcPr>
            <w:tcW w:w="990"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45,025</w:t>
            </w:r>
          </w:p>
        </w:tc>
        <w:tc>
          <w:tcPr>
            <w:tcW w:w="1170" w:type="dxa"/>
            <w:tcBorders>
              <w:top w:val="single" w:sz="6" w:space="0" w:color="auto"/>
              <w:left w:val="single" w:sz="6" w:space="0" w:color="auto"/>
              <w:right w:val="doub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5,898,275</w:t>
            </w:r>
          </w:p>
        </w:tc>
      </w:tr>
      <w:tr w:rsidR="00BB229F" w:rsidRPr="00BB229F" w:rsidTr="003C0FC3">
        <w:tc>
          <w:tcPr>
            <w:tcW w:w="1800" w:type="dxa"/>
            <w:tcBorders>
              <w:top w:val="single" w:sz="6" w:space="0" w:color="auto"/>
              <w:left w:val="doub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sidRPr="00BB229F">
              <w:rPr>
                <w:sz w:val="20"/>
              </w:rPr>
              <w:t>Digital TV Markets 26-50</w:t>
            </w:r>
          </w:p>
        </w:tc>
        <w:tc>
          <w:tcPr>
            <w:tcW w:w="1207"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 xml:space="preserve">181 </w:t>
            </w:r>
          </w:p>
        </w:tc>
        <w:tc>
          <w:tcPr>
            <w:tcW w:w="630"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sidRPr="00BB229F">
              <w:rPr>
                <w:sz w:val="20"/>
              </w:rPr>
              <w:t xml:space="preserve">1 </w:t>
            </w:r>
          </w:p>
        </w:tc>
        <w:tc>
          <w:tcPr>
            <w:tcW w:w="1170"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5,525,025</w:t>
            </w:r>
          </w:p>
        </w:tc>
        <w:tc>
          <w:tcPr>
            <w:tcW w:w="1260"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5,439,050</w:t>
            </w:r>
          </w:p>
        </w:tc>
        <w:tc>
          <w:tcPr>
            <w:tcW w:w="1080" w:type="dxa"/>
            <w:tcBorders>
              <w:top w:val="single" w:sz="6" w:space="0" w:color="auto"/>
              <w:left w:val="single" w:sz="6" w:space="0" w:color="auto"/>
              <w:righ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30,049</w:t>
            </w:r>
          </w:p>
        </w:tc>
        <w:tc>
          <w:tcPr>
            <w:tcW w:w="990"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30,050</w:t>
            </w:r>
          </w:p>
        </w:tc>
        <w:tc>
          <w:tcPr>
            <w:tcW w:w="1170" w:type="dxa"/>
            <w:tcBorders>
              <w:top w:val="single" w:sz="6" w:space="0" w:color="auto"/>
              <w:left w:val="single" w:sz="6" w:space="0" w:color="auto"/>
              <w:right w:val="doub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5,439,050</w:t>
            </w:r>
          </w:p>
        </w:tc>
      </w:tr>
      <w:tr w:rsidR="00BB229F" w:rsidRPr="00BB229F" w:rsidTr="003C0FC3">
        <w:tc>
          <w:tcPr>
            <w:tcW w:w="1800" w:type="dxa"/>
            <w:tcBorders>
              <w:top w:val="single" w:sz="6" w:space="0" w:color="auto"/>
              <w:left w:val="doub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sidRPr="00BB229F">
              <w:rPr>
                <w:sz w:val="20"/>
              </w:rPr>
              <w:t>Digital TV Markets 51-100</w:t>
            </w:r>
          </w:p>
        </w:tc>
        <w:tc>
          <w:tcPr>
            <w:tcW w:w="1207"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 xml:space="preserve">285 </w:t>
            </w:r>
          </w:p>
        </w:tc>
        <w:tc>
          <w:tcPr>
            <w:tcW w:w="630"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sidRPr="00BB229F">
              <w:rPr>
                <w:sz w:val="20"/>
              </w:rPr>
              <w:t xml:space="preserve">1 </w:t>
            </w:r>
          </w:p>
        </w:tc>
        <w:tc>
          <w:tcPr>
            <w:tcW w:w="1170"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4,301,600</w:t>
            </w:r>
          </w:p>
        </w:tc>
        <w:tc>
          <w:tcPr>
            <w:tcW w:w="1260"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4,289,250</w:t>
            </w:r>
          </w:p>
        </w:tc>
        <w:tc>
          <w:tcPr>
            <w:tcW w:w="1080" w:type="dxa"/>
            <w:tcBorders>
              <w:top w:val="single" w:sz="6" w:space="0" w:color="auto"/>
              <w:left w:val="single" w:sz="6" w:space="0" w:color="auto"/>
              <w:righ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14,976</w:t>
            </w:r>
          </w:p>
        </w:tc>
        <w:tc>
          <w:tcPr>
            <w:tcW w:w="990"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14,975</w:t>
            </w:r>
          </w:p>
        </w:tc>
        <w:tc>
          <w:tcPr>
            <w:tcW w:w="1170" w:type="dxa"/>
            <w:tcBorders>
              <w:top w:val="single" w:sz="6" w:space="0" w:color="auto"/>
              <w:left w:val="single" w:sz="6" w:space="0" w:color="auto"/>
              <w:right w:val="doub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4,267,875</w:t>
            </w:r>
          </w:p>
        </w:tc>
      </w:tr>
      <w:tr w:rsidR="00BB229F" w:rsidRPr="00BB229F" w:rsidTr="003C0FC3">
        <w:tc>
          <w:tcPr>
            <w:tcW w:w="1800" w:type="dxa"/>
            <w:tcBorders>
              <w:top w:val="single" w:sz="6" w:space="0" w:color="auto"/>
              <w:left w:val="doub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sidRPr="00BB229F">
              <w:rPr>
                <w:sz w:val="20"/>
              </w:rPr>
              <w:t xml:space="preserve">Digital TV  Remaining Markets </w:t>
            </w:r>
          </w:p>
        </w:tc>
        <w:tc>
          <w:tcPr>
            <w:tcW w:w="1207"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 xml:space="preserve">367 </w:t>
            </w:r>
          </w:p>
        </w:tc>
        <w:tc>
          <w:tcPr>
            <w:tcW w:w="630"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sidRPr="00BB229F">
              <w:rPr>
                <w:sz w:val="20"/>
              </w:rPr>
              <w:t xml:space="preserve">1 </w:t>
            </w:r>
          </w:p>
        </w:tc>
        <w:tc>
          <w:tcPr>
            <w:tcW w:w="1170"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1,825,000</w:t>
            </w:r>
          </w:p>
        </w:tc>
        <w:tc>
          <w:tcPr>
            <w:tcW w:w="1260"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1,807,475</w:t>
            </w:r>
          </w:p>
        </w:tc>
        <w:tc>
          <w:tcPr>
            <w:tcW w:w="1080" w:type="dxa"/>
            <w:tcBorders>
              <w:top w:val="single" w:sz="6" w:space="0" w:color="auto"/>
              <w:left w:val="single" w:sz="6" w:space="0" w:color="auto"/>
              <w:righ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4,924</w:t>
            </w:r>
          </w:p>
        </w:tc>
        <w:tc>
          <w:tcPr>
            <w:tcW w:w="990"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4,925</w:t>
            </w:r>
          </w:p>
        </w:tc>
        <w:tc>
          <w:tcPr>
            <w:tcW w:w="1170" w:type="dxa"/>
            <w:tcBorders>
              <w:top w:val="single" w:sz="6" w:space="0" w:color="auto"/>
              <w:left w:val="single" w:sz="6" w:space="0" w:color="auto"/>
              <w:right w:val="doub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1,807,475</w:t>
            </w:r>
          </w:p>
        </w:tc>
      </w:tr>
      <w:tr w:rsidR="00BB229F" w:rsidRPr="00BB229F" w:rsidTr="003C0FC3">
        <w:tc>
          <w:tcPr>
            <w:tcW w:w="1800" w:type="dxa"/>
            <w:tcBorders>
              <w:top w:val="single" w:sz="6" w:space="0" w:color="auto"/>
              <w:left w:val="doub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vertAlign w:val="superscript"/>
              </w:rPr>
            </w:pPr>
            <w:r w:rsidRPr="00BB229F">
              <w:rPr>
                <w:sz w:val="20"/>
              </w:rPr>
              <w:t>Digital TV Construction Permits</w:t>
            </w:r>
            <w:r w:rsidRPr="00BB229F">
              <w:rPr>
                <w:sz w:val="20"/>
                <w:vertAlign w:val="superscript"/>
              </w:rPr>
              <w:t>1</w:t>
            </w:r>
          </w:p>
        </w:tc>
        <w:tc>
          <w:tcPr>
            <w:tcW w:w="1207"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 xml:space="preserve">3 </w:t>
            </w:r>
          </w:p>
        </w:tc>
        <w:tc>
          <w:tcPr>
            <w:tcW w:w="630"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sidRPr="00BB229F">
              <w:rPr>
                <w:sz w:val="20"/>
              </w:rPr>
              <w:t xml:space="preserve">1 </w:t>
            </w:r>
          </w:p>
        </w:tc>
        <w:tc>
          <w:tcPr>
            <w:tcW w:w="1170"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15,000</w:t>
            </w:r>
          </w:p>
        </w:tc>
        <w:tc>
          <w:tcPr>
            <w:tcW w:w="1260"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14,775</w:t>
            </w:r>
          </w:p>
        </w:tc>
        <w:tc>
          <w:tcPr>
            <w:tcW w:w="1080" w:type="dxa"/>
            <w:tcBorders>
              <w:top w:val="single" w:sz="6" w:space="0" w:color="auto"/>
              <w:left w:val="single" w:sz="6" w:space="0" w:color="auto"/>
              <w:righ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4,925</w:t>
            </w:r>
          </w:p>
        </w:tc>
        <w:tc>
          <w:tcPr>
            <w:tcW w:w="990"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4,925</w:t>
            </w:r>
          </w:p>
        </w:tc>
        <w:tc>
          <w:tcPr>
            <w:tcW w:w="1170" w:type="dxa"/>
            <w:tcBorders>
              <w:top w:val="single" w:sz="6" w:space="0" w:color="auto"/>
              <w:left w:val="single" w:sz="6" w:space="0" w:color="auto"/>
              <w:right w:val="doub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14,775</w:t>
            </w:r>
          </w:p>
        </w:tc>
      </w:tr>
      <w:tr w:rsidR="00BB229F" w:rsidRPr="00BB229F" w:rsidTr="003C0FC3">
        <w:tc>
          <w:tcPr>
            <w:tcW w:w="1800" w:type="dxa"/>
            <w:tcBorders>
              <w:top w:val="single" w:sz="6" w:space="0" w:color="auto"/>
              <w:left w:val="doub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sidRPr="00BB229F">
              <w:rPr>
                <w:sz w:val="20"/>
              </w:rPr>
              <w:t>LPTV/Translators/ Boosters/Class A TV</w:t>
            </w:r>
          </w:p>
        </w:tc>
        <w:tc>
          <w:tcPr>
            <w:tcW w:w="1207"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 xml:space="preserve">4,051 </w:t>
            </w:r>
          </w:p>
        </w:tc>
        <w:tc>
          <w:tcPr>
            <w:tcW w:w="630"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sidRPr="00BB229F">
              <w:rPr>
                <w:sz w:val="20"/>
              </w:rPr>
              <w:t xml:space="preserve">1 </w:t>
            </w:r>
          </w:p>
        </w:tc>
        <w:tc>
          <w:tcPr>
            <w:tcW w:w="1170"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1,785,420</w:t>
            </w:r>
          </w:p>
        </w:tc>
        <w:tc>
          <w:tcPr>
            <w:tcW w:w="1260"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1,741,930</w:t>
            </w:r>
          </w:p>
        </w:tc>
        <w:tc>
          <w:tcPr>
            <w:tcW w:w="1080" w:type="dxa"/>
            <w:tcBorders>
              <w:top w:val="single" w:sz="6" w:space="0" w:color="auto"/>
              <w:left w:val="single" w:sz="6" w:space="0" w:color="auto"/>
              <w:righ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428</w:t>
            </w:r>
          </w:p>
        </w:tc>
        <w:tc>
          <w:tcPr>
            <w:tcW w:w="990"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430</w:t>
            </w:r>
          </w:p>
        </w:tc>
        <w:tc>
          <w:tcPr>
            <w:tcW w:w="1170" w:type="dxa"/>
            <w:tcBorders>
              <w:top w:val="single" w:sz="6" w:space="0" w:color="auto"/>
              <w:left w:val="single" w:sz="6" w:space="0" w:color="auto"/>
              <w:right w:val="doub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1,741,930</w:t>
            </w:r>
          </w:p>
        </w:tc>
      </w:tr>
      <w:tr w:rsidR="00BB229F" w:rsidRPr="00BB229F" w:rsidTr="003C0FC3">
        <w:tc>
          <w:tcPr>
            <w:tcW w:w="1800" w:type="dxa"/>
            <w:tcBorders>
              <w:top w:val="single" w:sz="6" w:space="0" w:color="auto"/>
              <w:left w:val="doub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vertAlign w:val="superscript"/>
              </w:rPr>
            </w:pPr>
            <w:r w:rsidRPr="00BB229F">
              <w:rPr>
                <w:sz w:val="20"/>
              </w:rPr>
              <w:t>CARS Stations</w:t>
            </w:r>
          </w:p>
        </w:tc>
        <w:tc>
          <w:tcPr>
            <w:tcW w:w="1207"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 xml:space="preserve">230 </w:t>
            </w:r>
          </w:p>
        </w:tc>
        <w:tc>
          <w:tcPr>
            <w:tcW w:w="630"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sidRPr="00BB229F">
              <w:rPr>
                <w:sz w:val="20"/>
              </w:rPr>
              <w:t xml:space="preserve">1 </w:t>
            </w:r>
          </w:p>
        </w:tc>
        <w:tc>
          <w:tcPr>
            <w:tcW w:w="1170"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220,875</w:t>
            </w:r>
          </w:p>
        </w:tc>
        <w:tc>
          <w:tcPr>
            <w:tcW w:w="1260"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215,050</w:t>
            </w:r>
          </w:p>
        </w:tc>
        <w:tc>
          <w:tcPr>
            <w:tcW w:w="1080" w:type="dxa"/>
            <w:tcBorders>
              <w:top w:val="single" w:sz="6" w:space="0" w:color="auto"/>
              <w:left w:val="single" w:sz="6" w:space="0" w:color="auto"/>
              <w:righ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935</w:t>
            </w:r>
          </w:p>
        </w:tc>
        <w:tc>
          <w:tcPr>
            <w:tcW w:w="990"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935</w:t>
            </w:r>
          </w:p>
        </w:tc>
        <w:tc>
          <w:tcPr>
            <w:tcW w:w="1170" w:type="dxa"/>
            <w:tcBorders>
              <w:top w:val="single" w:sz="6" w:space="0" w:color="auto"/>
              <w:left w:val="single" w:sz="6" w:space="0" w:color="auto"/>
              <w:right w:val="doub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215,050</w:t>
            </w:r>
          </w:p>
        </w:tc>
      </w:tr>
      <w:tr w:rsidR="00BB229F" w:rsidRPr="00BB229F" w:rsidTr="003C0FC3">
        <w:tc>
          <w:tcPr>
            <w:tcW w:w="1800" w:type="dxa"/>
            <w:tcBorders>
              <w:top w:val="single" w:sz="6" w:space="0" w:color="auto"/>
              <w:left w:val="doub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sidRPr="00BB229F">
              <w:rPr>
                <w:sz w:val="20"/>
              </w:rPr>
              <w:t xml:space="preserve">Cable TV Systems, including IPTV </w:t>
            </w:r>
          </w:p>
        </w:tc>
        <w:tc>
          <w:tcPr>
            <w:tcW w:w="1207"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 xml:space="preserve">62,000,000 </w:t>
            </w:r>
          </w:p>
        </w:tc>
        <w:tc>
          <w:tcPr>
            <w:tcW w:w="630"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sidRPr="00BB229F">
              <w:rPr>
                <w:sz w:val="20"/>
              </w:rPr>
              <w:t xml:space="preserve">1 </w:t>
            </w:r>
          </w:p>
        </w:tc>
        <w:tc>
          <w:tcPr>
            <w:tcW w:w="1170"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18"/>
                <w:szCs w:val="18"/>
              </w:rPr>
            </w:pPr>
            <w:r w:rsidRPr="00BB229F">
              <w:rPr>
                <w:sz w:val="20"/>
              </w:rPr>
              <w:t>64,200,000</w:t>
            </w:r>
          </w:p>
        </w:tc>
        <w:tc>
          <w:tcPr>
            <w:tcW w:w="1260" w:type="dxa"/>
            <w:tcBorders>
              <w:top w:val="single" w:sz="6" w:space="0" w:color="auto"/>
              <w:left w:val="single" w:sz="6" w:space="0" w:color="auto"/>
            </w:tcBorders>
          </w:tcPr>
          <w:p w:rsidR="00337314" w:rsidRPr="00BB229F" w:rsidRDefault="00337314" w:rsidP="00C60CE6">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5</w:t>
            </w:r>
            <w:r w:rsidR="00C60CE6" w:rsidRPr="00BB229F">
              <w:rPr>
                <w:sz w:val="20"/>
              </w:rPr>
              <w:t>8</w:t>
            </w:r>
            <w:r w:rsidRPr="00BB229F">
              <w:rPr>
                <w:sz w:val="20"/>
              </w:rPr>
              <w:t>,</w:t>
            </w:r>
            <w:r w:rsidR="00C60CE6" w:rsidRPr="00BB229F">
              <w:rPr>
                <w:sz w:val="20"/>
              </w:rPr>
              <w:t>900</w:t>
            </w:r>
            <w:r w:rsidRPr="00BB229F">
              <w:rPr>
                <w:sz w:val="20"/>
              </w:rPr>
              <w:t>,000</w:t>
            </w:r>
          </w:p>
        </w:tc>
        <w:tc>
          <w:tcPr>
            <w:tcW w:w="1080" w:type="dxa"/>
            <w:tcBorders>
              <w:top w:val="single" w:sz="6" w:space="0" w:color="auto"/>
              <w:left w:val="single" w:sz="6" w:space="0" w:color="auto"/>
              <w:right w:val="single" w:sz="6" w:space="0" w:color="auto"/>
            </w:tcBorders>
          </w:tcPr>
          <w:p w:rsidR="00337314" w:rsidRPr="00BB229F" w:rsidRDefault="00337314" w:rsidP="00595F8B">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.9</w:t>
            </w:r>
            <w:r w:rsidR="00C60CE6" w:rsidRPr="00BB229F">
              <w:rPr>
                <w:sz w:val="20"/>
              </w:rPr>
              <w:t>529</w:t>
            </w:r>
          </w:p>
        </w:tc>
        <w:tc>
          <w:tcPr>
            <w:tcW w:w="990" w:type="dxa"/>
            <w:tcBorders>
              <w:top w:val="single" w:sz="6" w:space="0" w:color="auto"/>
              <w:left w:val="single" w:sz="6" w:space="0" w:color="auto"/>
            </w:tcBorders>
          </w:tcPr>
          <w:p w:rsidR="00337314" w:rsidRPr="00BB229F" w:rsidRDefault="0033731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.9</w:t>
            </w:r>
            <w:r w:rsidR="00C60CE6" w:rsidRPr="00BB229F">
              <w:rPr>
                <w:sz w:val="20"/>
              </w:rPr>
              <w:t>5</w:t>
            </w:r>
          </w:p>
        </w:tc>
        <w:tc>
          <w:tcPr>
            <w:tcW w:w="1170" w:type="dxa"/>
            <w:tcBorders>
              <w:top w:val="single" w:sz="6" w:space="0" w:color="auto"/>
              <w:left w:val="single" w:sz="6" w:space="0" w:color="auto"/>
              <w:right w:val="double" w:sz="6" w:space="0" w:color="auto"/>
            </w:tcBorders>
          </w:tcPr>
          <w:p w:rsidR="00337314" w:rsidRPr="00BB229F" w:rsidRDefault="0033731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5</w:t>
            </w:r>
            <w:r w:rsidR="00C60CE6" w:rsidRPr="00BB229F">
              <w:rPr>
                <w:sz w:val="20"/>
              </w:rPr>
              <w:t>8</w:t>
            </w:r>
            <w:r w:rsidRPr="00BB229F">
              <w:rPr>
                <w:sz w:val="20"/>
              </w:rPr>
              <w:t>,</w:t>
            </w:r>
            <w:r w:rsidR="00C60CE6" w:rsidRPr="00BB229F">
              <w:rPr>
                <w:sz w:val="20"/>
              </w:rPr>
              <w:t>900</w:t>
            </w:r>
            <w:r w:rsidRPr="00BB229F">
              <w:rPr>
                <w:sz w:val="20"/>
              </w:rPr>
              <w:t>,000</w:t>
            </w:r>
          </w:p>
        </w:tc>
      </w:tr>
      <w:tr w:rsidR="00BB229F" w:rsidRPr="00BB229F" w:rsidTr="003C0FC3">
        <w:tc>
          <w:tcPr>
            <w:tcW w:w="1800" w:type="dxa"/>
            <w:tcBorders>
              <w:top w:val="single" w:sz="6" w:space="0" w:color="auto"/>
              <w:left w:val="doub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sidRPr="00BB229F">
              <w:rPr>
                <w:sz w:val="20"/>
              </w:rPr>
              <w:t>Direct Broadcast Satellite (DBS)</w:t>
            </w:r>
          </w:p>
        </w:tc>
        <w:tc>
          <w:tcPr>
            <w:tcW w:w="1207"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18"/>
                <w:szCs w:val="18"/>
              </w:rPr>
            </w:pPr>
            <w:r w:rsidRPr="00BB229F">
              <w:rPr>
                <w:sz w:val="18"/>
                <w:szCs w:val="18"/>
              </w:rPr>
              <w:t>32,500,000</w:t>
            </w:r>
          </w:p>
        </w:tc>
        <w:tc>
          <w:tcPr>
            <w:tcW w:w="630"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sidRPr="00BB229F">
              <w:rPr>
                <w:sz w:val="20"/>
              </w:rPr>
              <w:t>1</w:t>
            </w:r>
          </w:p>
        </w:tc>
        <w:tc>
          <w:tcPr>
            <w:tcW w:w="1170"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9,180,000</w:t>
            </w:r>
          </w:p>
        </w:tc>
        <w:tc>
          <w:tcPr>
            <w:tcW w:w="1260" w:type="dxa"/>
            <w:tcBorders>
              <w:top w:val="single" w:sz="6" w:space="0" w:color="auto"/>
              <w:left w:val="single" w:sz="6" w:space="0" w:color="auto"/>
            </w:tcBorders>
          </w:tcPr>
          <w:p w:rsidR="00337314" w:rsidRPr="00BB229F" w:rsidRDefault="00337314" w:rsidP="00595F8B">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1</w:t>
            </w:r>
            <w:r w:rsidR="00DD6DE4" w:rsidRPr="00BB229F">
              <w:rPr>
                <w:sz w:val="20"/>
              </w:rPr>
              <w:t>2</w:t>
            </w:r>
            <w:r w:rsidRPr="00BB229F">
              <w:rPr>
                <w:sz w:val="20"/>
              </w:rPr>
              <w:t>,</w:t>
            </w:r>
            <w:r w:rsidR="00DD6DE4" w:rsidRPr="00BB229F">
              <w:rPr>
                <w:sz w:val="20"/>
              </w:rPr>
              <w:t>3</w:t>
            </w:r>
            <w:r w:rsidRPr="00BB229F">
              <w:rPr>
                <w:sz w:val="20"/>
              </w:rPr>
              <w:t>50,000</w:t>
            </w:r>
          </w:p>
        </w:tc>
        <w:tc>
          <w:tcPr>
            <w:tcW w:w="1080" w:type="dxa"/>
            <w:tcBorders>
              <w:top w:val="single" w:sz="6" w:space="0" w:color="auto"/>
              <w:left w:val="single" w:sz="6" w:space="0" w:color="auto"/>
              <w:right w:val="single" w:sz="6" w:space="0" w:color="auto"/>
            </w:tcBorders>
          </w:tcPr>
          <w:p w:rsidR="00337314" w:rsidRPr="00BB229F" w:rsidRDefault="0033731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w:t>
            </w:r>
            <w:r w:rsidR="00DD6DE4" w:rsidRPr="00BB229F">
              <w:rPr>
                <w:sz w:val="20"/>
              </w:rPr>
              <w:t>3800</w:t>
            </w:r>
          </w:p>
        </w:tc>
        <w:tc>
          <w:tcPr>
            <w:tcW w:w="990" w:type="dxa"/>
            <w:tcBorders>
              <w:top w:val="single" w:sz="6" w:space="0" w:color="auto"/>
              <w:left w:val="single" w:sz="6" w:space="0" w:color="auto"/>
            </w:tcBorders>
          </w:tcPr>
          <w:p w:rsidR="00337314" w:rsidRPr="00BB229F" w:rsidRDefault="0033731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w:t>
            </w:r>
            <w:r w:rsidR="00DD6DE4" w:rsidRPr="00BB229F">
              <w:rPr>
                <w:sz w:val="20"/>
              </w:rPr>
              <w:t>38</w:t>
            </w:r>
          </w:p>
        </w:tc>
        <w:tc>
          <w:tcPr>
            <w:tcW w:w="1170" w:type="dxa"/>
            <w:tcBorders>
              <w:top w:val="single" w:sz="6" w:space="0" w:color="auto"/>
              <w:left w:val="single" w:sz="6" w:space="0" w:color="auto"/>
              <w:right w:val="double" w:sz="6" w:space="0" w:color="auto"/>
            </w:tcBorders>
          </w:tcPr>
          <w:p w:rsidR="00337314" w:rsidRPr="00BB229F" w:rsidRDefault="0033731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1</w:t>
            </w:r>
            <w:r w:rsidR="00DD6DE4" w:rsidRPr="00BB229F">
              <w:rPr>
                <w:sz w:val="20"/>
              </w:rPr>
              <w:t>2</w:t>
            </w:r>
            <w:r w:rsidRPr="00BB229F">
              <w:rPr>
                <w:sz w:val="20"/>
              </w:rPr>
              <w:t>,</w:t>
            </w:r>
            <w:r w:rsidR="00DD6DE4" w:rsidRPr="00BB229F">
              <w:rPr>
                <w:sz w:val="20"/>
              </w:rPr>
              <w:t>350</w:t>
            </w:r>
            <w:r w:rsidRPr="00BB229F">
              <w:rPr>
                <w:sz w:val="20"/>
              </w:rPr>
              <w:t>,000</w:t>
            </w:r>
          </w:p>
        </w:tc>
      </w:tr>
      <w:tr w:rsidR="00BB229F" w:rsidRPr="00BB229F" w:rsidTr="003C0FC3">
        <w:tc>
          <w:tcPr>
            <w:tcW w:w="1800" w:type="dxa"/>
            <w:tcBorders>
              <w:top w:val="single" w:sz="6" w:space="0" w:color="auto"/>
              <w:left w:val="doub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sidRPr="00BB229F">
              <w:rPr>
                <w:sz w:val="20"/>
              </w:rPr>
              <w:t>Interstate Telecommunication Service Providers</w:t>
            </w:r>
          </w:p>
        </w:tc>
        <w:tc>
          <w:tcPr>
            <w:tcW w:w="1207"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18"/>
                <w:szCs w:val="18"/>
              </w:rPr>
            </w:pPr>
            <w:r w:rsidRPr="00BB229F">
              <w:rPr>
                <w:sz w:val="18"/>
                <w:szCs w:val="18"/>
              </w:rPr>
              <w:t xml:space="preserve">$37,000,000,000 </w:t>
            </w:r>
          </w:p>
        </w:tc>
        <w:tc>
          <w:tcPr>
            <w:tcW w:w="630"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sidRPr="00BB229F">
              <w:rPr>
                <w:sz w:val="20"/>
              </w:rPr>
              <w:t xml:space="preserve">1 </w:t>
            </w:r>
          </w:p>
        </w:tc>
        <w:tc>
          <w:tcPr>
            <w:tcW w:w="1170"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18"/>
                <w:szCs w:val="18"/>
              </w:rPr>
            </w:pPr>
            <w:r w:rsidRPr="00BB229F">
              <w:rPr>
                <w:sz w:val="20"/>
              </w:rPr>
              <w:t>142,722,000</w:t>
            </w:r>
          </w:p>
        </w:tc>
        <w:tc>
          <w:tcPr>
            <w:tcW w:w="1260"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111,740,000</w:t>
            </w:r>
          </w:p>
        </w:tc>
        <w:tc>
          <w:tcPr>
            <w:tcW w:w="1080" w:type="dxa"/>
            <w:tcBorders>
              <w:top w:val="single" w:sz="6" w:space="0" w:color="auto"/>
              <w:left w:val="single" w:sz="6" w:space="0" w:color="auto"/>
              <w:righ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0.00302</w:t>
            </w:r>
          </w:p>
        </w:tc>
        <w:tc>
          <w:tcPr>
            <w:tcW w:w="990"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0.00302</w:t>
            </w:r>
          </w:p>
        </w:tc>
        <w:tc>
          <w:tcPr>
            <w:tcW w:w="1170" w:type="dxa"/>
            <w:tcBorders>
              <w:top w:val="single" w:sz="6" w:space="0" w:color="auto"/>
              <w:left w:val="single" w:sz="6" w:space="0" w:color="auto"/>
              <w:right w:val="doub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111,740,000</w:t>
            </w:r>
          </w:p>
        </w:tc>
      </w:tr>
      <w:tr w:rsidR="00BB229F" w:rsidRPr="00BB229F" w:rsidTr="003C0FC3">
        <w:tc>
          <w:tcPr>
            <w:tcW w:w="1800" w:type="dxa"/>
            <w:tcBorders>
              <w:top w:val="single" w:sz="6" w:space="0" w:color="auto"/>
              <w:left w:val="doub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sidRPr="00BB229F">
              <w:rPr>
                <w:sz w:val="20"/>
              </w:rPr>
              <w:t>Toll Free Numbers</w:t>
            </w:r>
          </w:p>
        </w:tc>
        <w:tc>
          <w:tcPr>
            <w:tcW w:w="1207"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18"/>
                <w:szCs w:val="18"/>
              </w:rPr>
            </w:pPr>
            <w:r w:rsidRPr="00BB229F">
              <w:rPr>
                <w:sz w:val="18"/>
                <w:szCs w:val="18"/>
              </w:rPr>
              <w:t>32,700,000</w:t>
            </w:r>
          </w:p>
        </w:tc>
        <w:tc>
          <w:tcPr>
            <w:tcW w:w="630"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sidRPr="00BB229F">
              <w:rPr>
                <w:sz w:val="20"/>
              </w:rPr>
              <w:t>1</w:t>
            </w:r>
          </w:p>
        </w:tc>
        <w:tc>
          <w:tcPr>
            <w:tcW w:w="1170"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4,745,000</w:t>
            </w:r>
          </w:p>
        </w:tc>
        <w:tc>
          <w:tcPr>
            <w:tcW w:w="1260"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3,924,000</w:t>
            </w:r>
          </w:p>
        </w:tc>
        <w:tc>
          <w:tcPr>
            <w:tcW w:w="1080" w:type="dxa"/>
            <w:tcBorders>
              <w:top w:val="single" w:sz="6" w:space="0" w:color="auto"/>
              <w:left w:val="single" w:sz="6" w:space="0" w:color="auto"/>
              <w:righ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0.1174</w:t>
            </w:r>
          </w:p>
        </w:tc>
        <w:tc>
          <w:tcPr>
            <w:tcW w:w="990"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0.12</w:t>
            </w:r>
          </w:p>
        </w:tc>
        <w:tc>
          <w:tcPr>
            <w:tcW w:w="1170" w:type="dxa"/>
            <w:tcBorders>
              <w:top w:val="single" w:sz="6" w:space="0" w:color="auto"/>
              <w:left w:val="single" w:sz="6" w:space="0" w:color="auto"/>
              <w:right w:val="doub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3,924,000</w:t>
            </w:r>
          </w:p>
        </w:tc>
      </w:tr>
      <w:tr w:rsidR="00BB229F" w:rsidRPr="00BB229F" w:rsidTr="003C0FC3">
        <w:tc>
          <w:tcPr>
            <w:tcW w:w="1800" w:type="dxa"/>
            <w:tcBorders>
              <w:top w:val="single" w:sz="6" w:space="0" w:color="auto"/>
              <w:left w:val="doub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sidRPr="00BB229F">
              <w:rPr>
                <w:sz w:val="20"/>
              </w:rPr>
              <w:t>CMRS Mobile Services (Cellular/Public Mobile)</w:t>
            </w:r>
          </w:p>
        </w:tc>
        <w:tc>
          <w:tcPr>
            <w:tcW w:w="1207"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18"/>
                <w:szCs w:val="18"/>
              </w:rPr>
            </w:pPr>
            <w:r w:rsidRPr="00BB229F">
              <w:rPr>
                <w:sz w:val="18"/>
                <w:szCs w:val="18"/>
              </w:rPr>
              <w:t xml:space="preserve">393,000,000 </w:t>
            </w:r>
          </w:p>
        </w:tc>
        <w:tc>
          <w:tcPr>
            <w:tcW w:w="630"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sidRPr="00BB229F">
              <w:rPr>
                <w:sz w:val="20"/>
              </w:rPr>
              <w:t xml:space="preserve">1 </w:t>
            </w:r>
          </w:p>
        </w:tc>
        <w:tc>
          <w:tcPr>
            <w:tcW w:w="1170"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18"/>
                <w:szCs w:val="18"/>
              </w:rPr>
            </w:pPr>
            <w:r w:rsidRPr="00BB229F">
              <w:rPr>
                <w:sz w:val="20"/>
              </w:rPr>
              <w:t>73,200,000</w:t>
            </w:r>
          </w:p>
        </w:tc>
        <w:tc>
          <w:tcPr>
            <w:tcW w:w="1260"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82,530,000</w:t>
            </w:r>
          </w:p>
        </w:tc>
        <w:tc>
          <w:tcPr>
            <w:tcW w:w="1080" w:type="dxa"/>
            <w:tcBorders>
              <w:top w:val="single" w:sz="6" w:space="0" w:color="auto"/>
              <w:left w:val="single" w:sz="6" w:space="0" w:color="auto"/>
              <w:righ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0.210</w:t>
            </w:r>
          </w:p>
        </w:tc>
        <w:tc>
          <w:tcPr>
            <w:tcW w:w="990"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0.21</w:t>
            </w:r>
          </w:p>
        </w:tc>
        <w:tc>
          <w:tcPr>
            <w:tcW w:w="1170" w:type="dxa"/>
            <w:tcBorders>
              <w:top w:val="single" w:sz="6" w:space="0" w:color="auto"/>
              <w:left w:val="single" w:sz="6" w:space="0" w:color="auto"/>
              <w:right w:val="doub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82,530,000</w:t>
            </w:r>
          </w:p>
        </w:tc>
      </w:tr>
      <w:tr w:rsidR="00BB229F" w:rsidRPr="00BB229F" w:rsidTr="003C0FC3">
        <w:tc>
          <w:tcPr>
            <w:tcW w:w="1800" w:type="dxa"/>
            <w:tcBorders>
              <w:top w:val="single" w:sz="6" w:space="0" w:color="auto"/>
              <w:left w:val="doub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sidRPr="00BB229F">
              <w:rPr>
                <w:sz w:val="20"/>
              </w:rPr>
              <w:t>CMRS Messag. Services</w:t>
            </w:r>
          </w:p>
        </w:tc>
        <w:tc>
          <w:tcPr>
            <w:tcW w:w="1207"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 xml:space="preserve">2,100,000 </w:t>
            </w:r>
          </w:p>
        </w:tc>
        <w:tc>
          <w:tcPr>
            <w:tcW w:w="630"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sidRPr="00BB229F">
              <w:rPr>
                <w:sz w:val="20"/>
              </w:rPr>
              <w:t xml:space="preserve">1 </w:t>
            </w:r>
          </w:p>
        </w:tc>
        <w:tc>
          <w:tcPr>
            <w:tcW w:w="1170"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184,000</w:t>
            </w:r>
          </w:p>
        </w:tc>
        <w:tc>
          <w:tcPr>
            <w:tcW w:w="1260"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168,000</w:t>
            </w:r>
          </w:p>
        </w:tc>
        <w:tc>
          <w:tcPr>
            <w:tcW w:w="1080" w:type="dxa"/>
            <w:tcBorders>
              <w:top w:val="single" w:sz="6" w:space="0" w:color="auto"/>
              <w:left w:val="single" w:sz="6" w:space="0" w:color="auto"/>
              <w:righ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0.0800</w:t>
            </w:r>
          </w:p>
        </w:tc>
        <w:tc>
          <w:tcPr>
            <w:tcW w:w="990"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0.080</w:t>
            </w:r>
          </w:p>
        </w:tc>
        <w:tc>
          <w:tcPr>
            <w:tcW w:w="1170" w:type="dxa"/>
            <w:tcBorders>
              <w:top w:val="single" w:sz="6" w:space="0" w:color="auto"/>
              <w:left w:val="single" w:sz="6" w:space="0" w:color="auto"/>
              <w:right w:val="doub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168,000</w:t>
            </w:r>
          </w:p>
        </w:tc>
      </w:tr>
      <w:tr w:rsidR="00BB229F" w:rsidRPr="00BB229F" w:rsidTr="003C0FC3">
        <w:tc>
          <w:tcPr>
            <w:tcW w:w="1800" w:type="dxa"/>
            <w:tcBorders>
              <w:top w:val="single" w:sz="6" w:space="0" w:color="auto"/>
              <w:left w:val="doub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sidRPr="00BB229F">
              <w:rPr>
                <w:sz w:val="20"/>
              </w:rPr>
              <w:t>BRS</w:t>
            </w:r>
            <w:r w:rsidRPr="00BB229F">
              <w:rPr>
                <w:sz w:val="20"/>
                <w:vertAlign w:val="superscript"/>
              </w:rPr>
              <w:t>2</w:t>
            </w:r>
          </w:p>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sidRPr="00BB229F">
              <w:rPr>
                <w:sz w:val="20"/>
              </w:rPr>
              <w:t xml:space="preserve">LMDS </w:t>
            </w:r>
          </w:p>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p>
        </w:tc>
        <w:tc>
          <w:tcPr>
            <w:tcW w:w="1207"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870</w:t>
            </w:r>
          </w:p>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395</w:t>
            </w:r>
          </w:p>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630"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sidRPr="00BB229F">
              <w:rPr>
                <w:sz w:val="20"/>
              </w:rPr>
              <w:t>1</w:t>
            </w:r>
          </w:p>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sidRPr="00BB229F">
              <w:rPr>
                <w:sz w:val="20"/>
              </w:rPr>
              <w:t xml:space="preserve">1 </w:t>
            </w:r>
          </w:p>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p>
        </w:tc>
        <w:tc>
          <w:tcPr>
            <w:tcW w:w="1170"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645,250</w:t>
            </w:r>
          </w:p>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286,375</w:t>
            </w:r>
          </w:p>
        </w:tc>
        <w:tc>
          <w:tcPr>
            <w:tcW w:w="1260"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558,050</w:t>
            </w:r>
          </w:p>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454,250</w:t>
            </w:r>
          </w:p>
        </w:tc>
        <w:tc>
          <w:tcPr>
            <w:tcW w:w="1080" w:type="dxa"/>
            <w:tcBorders>
              <w:top w:val="single" w:sz="6" w:space="0" w:color="auto"/>
              <w:left w:val="single" w:sz="6" w:space="0" w:color="auto"/>
              <w:righ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800</w:t>
            </w:r>
          </w:p>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800</w:t>
            </w:r>
          </w:p>
        </w:tc>
        <w:tc>
          <w:tcPr>
            <w:tcW w:w="990"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800</w:t>
            </w:r>
          </w:p>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800</w:t>
            </w:r>
          </w:p>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1170" w:type="dxa"/>
            <w:tcBorders>
              <w:top w:val="single" w:sz="6" w:space="0" w:color="auto"/>
              <w:left w:val="single" w:sz="6" w:space="0" w:color="auto"/>
              <w:right w:val="doub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696,000</w:t>
            </w:r>
          </w:p>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316,000</w:t>
            </w:r>
          </w:p>
        </w:tc>
      </w:tr>
      <w:tr w:rsidR="00BB229F" w:rsidRPr="00BB229F" w:rsidTr="003C0FC3">
        <w:tc>
          <w:tcPr>
            <w:tcW w:w="1800" w:type="dxa"/>
            <w:tcBorders>
              <w:top w:val="single" w:sz="6" w:space="0" w:color="auto"/>
              <w:left w:val="doub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vertAlign w:val="superscript"/>
              </w:rPr>
            </w:pPr>
            <w:r w:rsidRPr="00BB229F">
              <w:rPr>
                <w:sz w:val="20"/>
              </w:rPr>
              <w:t xml:space="preserve">Per 64 kbps Int’l Bearer Circuits </w:t>
            </w:r>
          </w:p>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18"/>
                <w:szCs w:val="18"/>
              </w:rPr>
            </w:pPr>
            <w:r w:rsidRPr="00BB229F">
              <w:rPr>
                <w:sz w:val="18"/>
                <w:szCs w:val="18"/>
              </w:rPr>
              <w:t xml:space="preserve">Terrestrial (Common) &amp; Satellite (Common &amp; Non-Common) </w:t>
            </w:r>
          </w:p>
        </w:tc>
        <w:tc>
          <w:tcPr>
            <w:tcW w:w="1207" w:type="dxa"/>
            <w:tcBorders>
              <w:top w:val="single" w:sz="6" w:space="0" w:color="auto"/>
              <w:left w:val="single" w:sz="6" w:space="0" w:color="auto"/>
            </w:tcBorders>
          </w:tcPr>
          <w:p w:rsidR="00337314" w:rsidRPr="00BB229F" w:rsidRDefault="003E1C13" w:rsidP="003E1C1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30</w:t>
            </w:r>
            <w:r w:rsidR="00337314" w:rsidRPr="00BB229F">
              <w:rPr>
                <w:sz w:val="20"/>
              </w:rPr>
              <w:t>,</w:t>
            </w:r>
            <w:r w:rsidRPr="00BB229F">
              <w:rPr>
                <w:sz w:val="20"/>
              </w:rPr>
              <w:t>056</w:t>
            </w:r>
            <w:r w:rsidR="00337314" w:rsidRPr="00BB229F">
              <w:rPr>
                <w:sz w:val="20"/>
              </w:rPr>
              <w:t xml:space="preserve">,000 </w:t>
            </w:r>
          </w:p>
        </w:tc>
        <w:tc>
          <w:tcPr>
            <w:tcW w:w="630"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sidRPr="00BB229F">
              <w:rPr>
                <w:sz w:val="20"/>
              </w:rPr>
              <w:t xml:space="preserve">1 </w:t>
            </w:r>
          </w:p>
        </w:tc>
        <w:tc>
          <w:tcPr>
            <w:tcW w:w="1170"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638,000</w:t>
            </w:r>
          </w:p>
        </w:tc>
        <w:tc>
          <w:tcPr>
            <w:tcW w:w="1260" w:type="dxa"/>
            <w:tcBorders>
              <w:top w:val="single" w:sz="6" w:space="0" w:color="auto"/>
              <w:left w:val="single" w:sz="6" w:space="0" w:color="auto"/>
            </w:tcBorders>
          </w:tcPr>
          <w:p w:rsidR="00337314" w:rsidRPr="00BB229F" w:rsidRDefault="003E1C1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801</w:t>
            </w:r>
            <w:r w:rsidR="00337314" w:rsidRPr="00BB229F">
              <w:rPr>
                <w:sz w:val="20"/>
              </w:rPr>
              <w:t>,</w:t>
            </w:r>
            <w:r w:rsidRPr="00BB229F">
              <w:rPr>
                <w:sz w:val="20"/>
              </w:rPr>
              <w:t>295</w:t>
            </w:r>
          </w:p>
        </w:tc>
        <w:tc>
          <w:tcPr>
            <w:tcW w:w="1080" w:type="dxa"/>
            <w:tcBorders>
              <w:top w:val="single" w:sz="6" w:space="0" w:color="auto"/>
              <w:left w:val="single" w:sz="6" w:space="0" w:color="auto"/>
              <w:right w:val="single" w:sz="6" w:space="0" w:color="auto"/>
            </w:tcBorders>
          </w:tcPr>
          <w:p w:rsidR="00337314" w:rsidRPr="00BB229F" w:rsidRDefault="0033731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.02</w:t>
            </w:r>
            <w:r w:rsidR="003E1C13" w:rsidRPr="00BB229F">
              <w:rPr>
                <w:sz w:val="20"/>
              </w:rPr>
              <w:t>6</w:t>
            </w:r>
            <w:r w:rsidRPr="00BB229F">
              <w:rPr>
                <w:sz w:val="20"/>
              </w:rPr>
              <w:t>7</w:t>
            </w:r>
          </w:p>
        </w:tc>
        <w:tc>
          <w:tcPr>
            <w:tcW w:w="990"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.03</w:t>
            </w:r>
          </w:p>
        </w:tc>
        <w:tc>
          <w:tcPr>
            <w:tcW w:w="1170" w:type="dxa"/>
            <w:tcBorders>
              <w:top w:val="single" w:sz="6" w:space="0" w:color="auto"/>
              <w:left w:val="single" w:sz="6" w:space="0" w:color="auto"/>
              <w:right w:val="double" w:sz="6" w:space="0" w:color="auto"/>
            </w:tcBorders>
          </w:tcPr>
          <w:p w:rsidR="00337314" w:rsidRPr="00BB229F" w:rsidRDefault="003E1C1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901</w:t>
            </w:r>
            <w:r w:rsidR="00337314" w:rsidRPr="00BB229F">
              <w:rPr>
                <w:sz w:val="20"/>
              </w:rPr>
              <w:t>,</w:t>
            </w:r>
            <w:r w:rsidRPr="00BB229F">
              <w:rPr>
                <w:sz w:val="20"/>
              </w:rPr>
              <w:t>680</w:t>
            </w:r>
          </w:p>
        </w:tc>
      </w:tr>
      <w:tr w:rsidR="00BB229F" w:rsidRPr="00BB229F" w:rsidTr="003C0FC3">
        <w:tc>
          <w:tcPr>
            <w:tcW w:w="1800" w:type="dxa"/>
            <w:tcBorders>
              <w:top w:val="single" w:sz="6" w:space="0" w:color="auto"/>
              <w:left w:val="doub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sidRPr="00BB229F">
              <w:rPr>
                <w:sz w:val="20"/>
              </w:rPr>
              <w:t>Submarine Cable Providers (see chart in Appendix C)</w:t>
            </w:r>
            <w:r w:rsidRPr="00BB229F">
              <w:rPr>
                <w:sz w:val="20"/>
                <w:vertAlign w:val="superscript"/>
              </w:rPr>
              <w:t>3</w:t>
            </w:r>
          </w:p>
        </w:tc>
        <w:tc>
          <w:tcPr>
            <w:tcW w:w="1207"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41.19</w:t>
            </w:r>
          </w:p>
        </w:tc>
        <w:tc>
          <w:tcPr>
            <w:tcW w:w="630"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sidRPr="00BB229F">
              <w:rPr>
                <w:sz w:val="20"/>
              </w:rPr>
              <w:t xml:space="preserve">1 </w:t>
            </w:r>
          </w:p>
        </w:tc>
        <w:tc>
          <w:tcPr>
            <w:tcW w:w="1170"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5,486,242</w:t>
            </w:r>
          </w:p>
        </w:tc>
        <w:tc>
          <w:tcPr>
            <w:tcW w:w="1260" w:type="dxa"/>
            <w:tcBorders>
              <w:top w:val="single" w:sz="6" w:space="0" w:color="auto"/>
              <w:left w:val="single" w:sz="6" w:space="0" w:color="auto"/>
            </w:tcBorders>
          </w:tcPr>
          <w:p w:rsidR="00337314" w:rsidRPr="00BB229F" w:rsidRDefault="0033731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5,</w:t>
            </w:r>
            <w:r w:rsidR="003E1C13" w:rsidRPr="00BB229F">
              <w:rPr>
                <w:sz w:val="20"/>
              </w:rPr>
              <w:t>660</w:t>
            </w:r>
            <w:r w:rsidRPr="00BB229F">
              <w:rPr>
                <w:sz w:val="20"/>
              </w:rPr>
              <w:t>,</w:t>
            </w:r>
            <w:r w:rsidR="003E1C13" w:rsidRPr="00BB229F">
              <w:rPr>
                <w:sz w:val="20"/>
              </w:rPr>
              <w:t>765</w:t>
            </w:r>
          </w:p>
        </w:tc>
        <w:tc>
          <w:tcPr>
            <w:tcW w:w="1080" w:type="dxa"/>
            <w:tcBorders>
              <w:top w:val="single" w:sz="6" w:space="0" w:color="auto"/>
              <w:left w:val="single" w:sz="6" w:space="0" w:color="auto"/>
              <w:right w:val="single" w:sz="6" w:space="0" w:color="auto"/>
            </w:tcBorders>
          </w:tcPr>
          <w:p w:rsidR="00337314" w:rsidRPr="00BB229F" w:rsidRDefault="0033731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13</w:t>
            </w:r>
            <w:r w:rsidR="003E1C13" w:rsidRPr="00BB229F">
              <w:rPr>
                <w:sz w:val="20"/>
              </w:rPr>
              <w:t>7</w:t>
            </w:r>
            <w:r w:rsidRPr="00BB229F">
              <w:rPr>
                <w:sz w:val="20"/>
              </w:rPr>
              <w:t>,</w:t>
            </w:r>
            <w:r w:rsidR="003E1C13" w:rsidRPr="00BB229F">
              <w:rPr>
                <w:sz w:val="20"/>
              </w:rPr>
              <w:t>437</w:t>
            </w:r>
          </w:p>
        </w:tc>
        <w:tc>
          <w:tcPr>
            <w:tcW w:w="990" w:type="dxa"/>
            <w:tcBorders>
              <w:top w:val="single" w:sz="6" w:space="0" w:color="auto"/>
              <w:left w:val="single" w:sz="6" w:space="0" w:color="auto"/>
            </w:tcBorders>
          </w:tcPr>
          <w:p w:rsidR="00337314" w:rsidRPr="00BB229F" w:rsidRDefault="0033731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13</w:t>
            </w:r>
            <w:r w:rsidR="003E1C13" w:rsidRPr="00BB229F">
              <w:rPr>
                <w:sz w:val="20"/>
              </w:rPr>
              <w:t>7</w:t>
            </w:r>
            <w:r w:rsidRPr="00BB229F">
              <w:rPr>
                <w:sz w:val="20"/>
              </w:rPr>
              <w:t>,</w:t>
            </w:r>
            <w:r w:rsidR="003E1C13" w:rsidRPr="00BB229F">
              <w:rPr>
                <w:sz w:val="20"/>
              </w:rPr>
              <w:t>425</w:t>
            </w:r>
          </w:p>
        </w:tc>
        <w:tc>
          <w:tcPr>
            <w:tcW w:w="1170" w:type="dxa"/>
            <w:tcBorders>
              <w:top w:val="single" w:sz="6" w:space="0" w:color="auto"/>
              <w:left w:val="single" w:sz="6" w:space="0" w:color="auto"/>
              <w:right w:val="double" w:sz="6" w:space="0" w:color="auto"/>
            </w:tcBorders>
          </w:tcPr>
          <w:p w:rsidR="00337314" w:rsidRPr="00BB229F" w:rsidRDefault="0033731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5,</w:t>
            </w:r>
            <w:r w:rsidR="003E1C13" w:rsidRPr="00BB229F">
              <w:rPr>
                <w:sz w:val="20"/>
              </w:rPr>
              <w:t>660</w:t>
            </w:r>
            <w:r w:rsidRPr="00BB229F">
              <w:rPr>
                <w:sz w:val="20"/>
              </w:rPr>
              <w:t>,</w:t>
            </w:r>
            <w:r w:rsidR="003E1C13" w:rsidRPr="00BB229F">
              <w:rPr>
                <w:sz w:val="20"/>
              </w:rPr>
              <w:t>261</w:t>
            </w:r>
          </w:p>
        </w:tc>
      </w:tr>
      <w:tr w:rsidR="00BB229F" w:rsidRPr="00BB229F" w:rsidTr="003C0FC3">
        <w:trPr>
          <w:trHeight w:val="370"/>
        </w:trPr>
        <w:tc>
          <w:tcPr>
            <w:tcW w:w="1800" w:type="dxa"/>
            <w:tcBorders>
              <w:top w:val="single" w:sz="6" w:space="0" w:color="auto"/>
              <w:left w:val="doub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vertAlign w:val="superscript"/>
              </w:rPr>
            </w:pPr>
            <w:r w:rsidRPr="00BB229F">
              <w:rPr>
                <w:sz w:val="20"/>
              </w:rPr>
              <w:t xml:space="preserve">Earth Stations </w:t>
            </w:r>
          </w:p>
        </w:tc>
        <w:tc>
          <w:tcPr>
            <w:tcW w:w="1207"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 xml:space="preserve">3,400 </w:t>
            </w:r>
          </w:p>
        </w:tc>
        <w:tc>
          <w:tcPr>
            <w:tcW w:w="630"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sidRPr="00BB229F">
              <w:rPr>
                <w:sz w:val="20"/>
              </w:rPr>
              <w:t xml:space="preserve">1 </w:t>
            </w:r>
          </w:p>
        </w:tc>
        <w:tc>
          <w:tcPr>
            <w:tcW w:w="1170"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1,173,000</w:t>
            </w:r>
          </w:p>
        </w:tc>
        <w:tc>
          <w:tcPr>
            <w:tcW w:w="1260"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1,224,000</w:t>
            </w:r>
          </w:p>
        </w:tc>
        <w:tc>
          <w:tcPr>
            <w:tcW w:w="1080" w:type="dxa"/>
            <w:tcBorders>
              <w:top w:val="single" w:sz="6" w:space="0" w:color="auto"/>
              <w:left w:val="single" w:sz="6" w:space="0" w:color="auto"/>
              <w:righ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360</w:t>
            </w:r>
          </w:p>
        </w:tc>
        <w:tc>
          <w:tcPr>
            <w:tcW w:w="990"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360</w:t>
            </w:r>
          </w:p>
        </w:tc>
        <w:tc>
          <w:tcPr>
            <w:tcW w:w="1170" w:type="dxa"/>
            <w:tcBorders>
              <w:top w:val="single" w:sz="6" w:space="0" w:color="auto"/>
              <w:left w:val="single" w:sz="6" w:space="0" w:color="auto"/>
              <w:right w:val="doub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1,224,000</w:t>
            </w:r>
          </w:p>
        </w:tc>
      </w:tr>
      <w:tr w:rsidR="00BB229F" w:rsidRPr="00BB229F" w:rsidTr="003C0FC3">
        <w:trPr>
          <w:trHeight w:val="595"/>
        </w:trPr>
        <w:tc>
          <w:tcPr>
            <w:tcW w:w="1800" w:type="dxa"/>
            <w:tcBorders>
              <w:top w:val="single" w:sz="6" w:space="0" w:color="auto"/>
              <w:left w:val="doub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sidRPr="00BB229F">
              <w:rPr>
                <w:sz w:val="20"/>
              </w:rPr>
              <w:t xml:space="preserve">Space Stations (Geostationary) </w:t>
            </w:r>
          </w:p>
        </w:tc>
        <w:tc>
          <w:tcPr>
            <w:tcW w:w="1207" w:type="dxa"/>
            <w:tcBorders>
              <w:top w:val="single" w:sz="6" w:space="0" w:color="auto"/>
              <w:left w:val="single" w:sz="6" w:space="0" w:color="auto"/>
            </w:tcBorders>
          </w:tcPr>
          <w:p w:rsidR="00337314" w:rsidRPr="00BB229F" w:rsidRDefault="0033731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9</w:t>
            </w:r>
            <w:r w:rsidR="003E1C13" w:rsidRPr="00BB229F">
              <w:rPr>
                <w:sz w:val="20"/>
              </w:rPr>
              <w:t>7</w:t>
            </w:r>
          </w:p>
        </w:tc>
        <w:tc>
          <w:tcPr>
            <w:tcW w:w="630"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sidRPr="00BB229F">
              <w:rPr>
                <w:sz w:val="20"/>
              </w:rPr>
              <w:t xml:space="preserve">1 </w:t>
            </w:r>
          </w:p>
        </w:tc>
        <w:tc>
          <w:tcPr>
            <w:tcW w:w="1170"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13,155,125</w:t>
            </w:r>
          </w:p>
        </w:tc>
        <w:tc>
          <w:tcPr>
            <w:tcW w:w="1260" w:type="dxa"/>
            <w:tcBorders>
              <w:top w:val="single" w:sz="6" w:space="0" w:color="auto"/>
              <w:left w:val="single" w:sz="6" w:space="0" w:color="auto"/>
            </w:tcBorders>
          </w:tcPr>
          <w:p w:rsidR="00337314" w:rsidRPr="00BB229F" w:rsidRDefault="0033731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13,</w:t>
            </w:r>
            <w:r w:rsidR="003E1C13" w:rsidRPr="00BB229F">
              <w:rPr>
                <w:sz w:val="20"/>
              </w:rPr>
              <w:t>669</w:t>
            </w:r>
            <w:r w:rsidRPr="00BB229F">
              <w:rPr>
                <w:sz w:val="20"/>
              </w:rPr>
              <w:t>,</w:t>
            </w:r>
            <w:r w:rsidR="003E1C13" w:rsidRPr="00BB229F">
              <w:rPr>
                <w:sz w:val="20"/>
              </w:rPr>
              <w:t>725</w:t>
            </w:r>
          </w:p>
        </w:tc>
        <w:tc>
          <w:tcPr>
            <w:tcW w:w="1080" w:type="dxa"/>
            <w:tcBorders>
              <w:top w:val="single" w:sz="6" w:space="0" w:color="auto"/>
              <w:left w:val="single" w:sz="6" w:space="0" w:color="auto"/>
              <w:right w:val="single" w:sz="6" w:space="0" w:color="auto"/>
            </w:tcBorders>
          </w:tcPr>
          <w:p w:rsidR="00337314" w:rsidRPr="00BB229F" w:rsidRDefault="0033731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14</w:t>
            </w:r>
            <w:r w:rsidR="003E1C13" w:rsidRPr="00BB229F">
              <w:rPr>
                <w:sz w:val="20"/>
              </w:rPr>
              <w:t>0</w:t>
            </w:r>
            <w:r w:rsidRPr="00BB229F">
              <w:rPr>
                <w:sz w:val="20"/>
              </w:rPr>
              <w:t>,</w:t>
            </w:r>
            <w:r w:rsidR="003E1C13" w:rsidRPr="00BB229F">
              <w:rPr>
                <w:sz w:val="20"/>
              </w:rPr>
              <w:t>924</w:t>
            </w:r>
          </w:p>
        </w:tc>
        <w:tc>
          <w:tcPr>
            <w:tcW w:w="990" w:type="dxa"/>
            <w:tcBorders>
              <w:top w:val="single" w:sz="6" w:space="0" w:color="auto"/>
              <w:left w:val="single" w:sz="6" w:space="0" w:color="auto"/>
            </w:tcBorders>
          </w:tcPr>
          <w:p w:rsidR="00337314" w:rsidRPr="00BB229F" w:rsidRDefault="0033731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14</w:t>
            </w:r>
            <w:r w:rsidR="003E1C13" w:rsidRPr="00BB229F">
              <w:rPr>
                <w:sz w:val="20"/>
              </w:rPr>
              <w:t>0</w:t>
            </w:r>
            <w:r w:rsidRPr="00BB229F">
              <w:rPr>
                <w:sz w:val="20"/>
              </w:rPr>
              <w:t>,9</w:t>
            </w:r>
            <w:r w:rsidR="003E1C13" w:rsidRPr="00BB229F">
              <w:rPr>
                <w:sz w:val="20"/>
              </w:rPr>
              <w:t>25</w:t>
            </w:r>
          </w:p>
        </w:tc>
        <w:tc>
          <w:tcPr>
            <w:tcW w:w="1170" w:type="dxa"/>
            <w:tcBorders>
              <w:top w:val="single" w:sz="6" w:space="0" w:color="auto"/>
              <w:left w:val="single" w:sz="6" w:space="0" w:color="auto"/>
              <w:right w:val="double" w:sz="6" w:space="0" w:color="auto"/>
            </w:tcBorders>
          </w:tcPr>
          <w:p w:rsidR="00337314" w:rsidRPr="00BB229F" w:rsidRDefault="0033731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13,6</w:t>
            </w:r>
            <w:r w:rsidR="003E1C13" w:rsidRPr="00BB229F">
              <w:rPr>
                <w:sz w:val="20"/>
              </w:rPr>
              <w:t>69</w:t>
            </w:r>
            <w:r w:rsidRPr="00BB229F">
              <w:rPr>
                <w:sz w:val="20"/>
              </w:rPr>
              <w:t>,</w:t>
            </w:r>
            <w:r w:rsidR="003E1C13" w:rsidRPr="00BB229F">
              <w:rPr>
                <w:sz w:val="20"/>
              </w:rPr>
              <w:t>725</w:t>
            </w:r>
          </w:p>
        </w:tc>
      </w:tr>
      <w:tr w:rsidR="00BB229F" w:rsidRPr="00BB229F" w:rsidTr="003C0FC3">
        <w:trPr>
          <w:trHeight w:val="874"/>
        </w:trPr>
        <w:tc>
          <w:tcPr>
            <w:tcW w:w="1800" w:type="dxa"/>
            <w:tcBorders>
              <w:top w:val="single" w:sz="6" w:space="0" w:color="auto"/>
              <w:left w:val="doub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sidRPr="00BB229F">
              <w:rPr>
                <w:sz w:val="20"/>
              </w:rPr>
              <w:t xml:space="preserve">Space Stations (Non-Geostationary) </w:t>
            </w:r>
          </w:p>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p>
        </w:tc>
        <w:tc>
          <w:tcPr>
            <w:tcW w:w="1207" w:type="dxa"/>
            <w:tcBorders>
              <w:top w:val="single" w:sz="6" w:space="0" w:color="auto"/>
              <w:left w:val="single" w:sz="6" w:space="0" w:color="auto"/>
            </w:tcBorders>
          </w:tcPr>
          <w:p w:rsidR="00337314" w:rsidRPr="00BB229F" w:rsidRDefault="003E1C13"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7</w:t>
            </w:r>
          </w:p>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630"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sidRPr="00BB229F">
              <w:rPr>
                <w:sz w:val="20"/>
              </w:rPr>
              <w:t>1</w:t>
            </w:r>
          </w:p>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p>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p>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p>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sidRPr="00BB229F">
              <w:rPr>
                <w:sz w:val="20"/>
              </w:rPr>
              <w:t xml:space="preserve"> </w:t>
            </w:r>
          </w:p>
        </w:tc>
        <w:tc>
          <w:tcPr>
            <w:tcW w:w="1170" w:type="dxa"/>
            <w:tcBorders>
              <w:top w:val="single" w:sz="2" w:space="0" w:color="auto"/>
              <w:left w:val="single" w:sz="2" w:space="0" w:color="auto"/>
              <w:bottom w:val="double" w:sz="4" w:space="0" w:color="auto"/>
              <w:right w:val="single" w:sz="2"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911,700</w:t>
            </w:r>
          </w:p>
        </w:tc>
        <w:tc>
          <w:tcPr>
            <w:tcW w:w="1260" w:type="dxa"/>
            <w:tcBorders>
              <w:top w:val="single" w:sz="2" w:space="0" w:color="auto"/>
              <w:left w:val="nil"/>
              <w:bottom w:val="double" w:sz="4" w:space="0" w:color="auto"/>
              <w:right w:val="single" w:sz="2"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947,4</w:t>
            </w:r>
            <w:r w:rsidR="003E1C13" w:rsidRPr="00BB229F">
              <w:rPr>
                <w:sz w:val="20"/>
              </w:rPr>
              <w:t>5</w:t>
            </w:r>
            <w:r w:rsidRPr="00BB229F">
              <w:rPr>
                <w:sz w:val="20"/>
              </w:rPr>
              <w:t>0</w:t>
            </w:r>
          </w:p>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1080" w:type="dxa"/>
            <w:tcBorders>
              <w:top w:val="single" w:sz="6" w:space="0" w:color="auto"/>
              <w:left w:val="nil"/>
              <w:righ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1</w:t>
            </w:r>
            <w:r w:rsidR="003E1C13" w:rsidRPr="00BB229F">
              <w:rPr>
                <w:sz w:val="20"/>
              </w:rPr>
              <w:t>35</w:t>
            </w:r>
            <w:r w:rsidRPr="00BB229F">
              <w:rPr>
                <w:sz w:val="20"/>
              </w:rPr>
              <w:t>,</w:t>
            </w:r>
            <w:r w:rsidR="003E1C13" w:rsidRPr="00BB229F">
              <w:rPr>
                <w:sz w:val="20"/>
              </w:rPr>
              <w:t>343</w:t>
            </w:r>
          </w:p>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990"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1</w:t>
            </w:r>
            <w:r w:rsidR="003E1C13" w:rsidRPr="00BB229F">
              <w:rPr>
                <w:sz w:val="20"/>
              </w:rPr>
              <w:t>35</w:t>
            </w:r>
            <w:r w:rsidRPr="00BB229F">
              <w:rPr>
                <w:sz w:val="20"/>
              </w:rPr>
              <w:t>,</w:t>
            </w:r>
            <w:r w:rsidR="003E1C13" w:rsidRPr="00BB229F">
              <w:rPr>
                <w:sz w:val="20"/>
              </w:rPr>
              <w:t>350</w:t>
            </w:r>
          </w:p>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1170" w:type="dxa"/>
            <w:tcBorders>
              <w:top w:val="single" w:sz="2" w:space="0" w:color="auto"/>
              <w:left w:val="single" w:sz="2" w:space="0" w:color="auto"/>
              <w:bottom w:val="double" w:sz="2" w:space="0" w:color="auto"/>
              <w:right w:val="double" w:sz="2"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947,4</w:t>
            </w:r>
            <w:r w:rsidR="003E1C13" w:rsidRPr="00BB229F">
              <w:rPr>
                <w:sz w:val="20"/>
              </w:rPr>
              <w:t>5</w:t>
            </w:r>
            <w:r w:rsidRPr="00BB229F">
              <w:rPr>
                <w:sz w:val="20"/>
              </w:rPr>
              <w:t>0</w:t>
            </w:r>
          </w:p>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r>
      <w:tr w:rsidR="00BB229F" w:rsidRPr="00BB229F" w:rsidTr="003C0FC3">
        <w:tc>
          <w:tcPr>
            <w:tcW w:w="1800" w:type="dxa"/>
            <w:tcBorders>
              <w:top w:val="single" w:sz="6" w:space="0" w:color="auto"/>
              <w:left w:val="doub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sidRPr="00BB229F">
              <w:rPr>
                <w:sz w:val="20"/>
              </w:rPr>
              <w:t>******  Total Estimated Revenue to be Collected</w:t>
            </w:r>
          </w:p>
        </w:tc>
        <w:tc>
          <w:tcPr>
            <w:tcW w:w="1207"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630"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1170" w:type="dxa"/>
            <w:tcBorders>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18"/>
                <w:szCs w:val="18"/>
              </w:rPr>
            </w:pPr>
            <w:r w:rsidRPr="00BB229F">
              <w:rPr>
                <w:sz w:val="20"/>
              </w:rPr>
              <w:t>384,890,362</w:t>
            </w:r>
          </w:p>
        </w:tc>
        <w:tc>
          <w:tcPr>
            <w:tcW w:w="1260" w:type="dxa"/>
            <w:tcBorders>
              <w:left w:val="single" w:sz="6" w:space="0" w:color="auto"/>
            </w:tcBorders>
          </w:tcPr>
          <w:p w:rsidR="00337314" w:rsidRPr="00BB229F" w:rsidRDefault="0033731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358,</w:t>
            </w:r>
            <w:r w:rsidR="003E1C13" w:rsidRPr="00BB229F">
              <w:rPr>
                <w:sz w:val="20"/>
              </w:rPr>
              <w:t>571</w:t>
            </w:r>
            <w:r w:rsidRPr="00BB229F">
              <w:rPr>
                <w:sz w:val="20"/>
              </w:rPr>
              <w:t>,4</w:t>
            </w:r>
            <w:r w:rsidR="003E1C13" w:rsidRPr="00BB229F">
              <w:rPr>
                <w:sz w:val="20"/>
              </w:rPr>
              <w:t>05</w:t>
            </w:r>
          </w:p>
        </w:tc>
        <w:tc>
          <w:tcPr>
            <w:tcW w:w="1080" w:type="dxa"/>
            <w:tcBorders>
              <w:top w:val="single" w:sz="6" w:space="0" w:color="auto"/>
              <w:left w:val="single" w:sz="6" w:space="0" w:color="auto"/>
              <w:righ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990"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1170" w:type="dxa"/>
            <w:tcBorders>
              <w:left w:val="single" w:sz="6" w:space="0" w:color="auto"/>
              <w:right w:val="double" w:sz="6" w:space="0" w:color="auto"/>
            </w:tcBorders>
          </w:tcPr>
          <w:p w:rsidR="00337314" w:rsidRPr="00BB229F" w:rsidRDefault="0033731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358,</w:t>
            </w:r>
            <w:r w:rsidR="003E1C13" w:rsidRPr="00BB229F">
              <w:rPr>
                <w:sz w:val="20"/>
              </w:rPr>
              <w:t>670</w:t>
            </w:r>
            <w:r w:rsidRPr="00BB229F">
              <w:rPr>
                <w:sz w:val="20"/>
              </w:rPr>
              <w:t>,</w:t>
            </w:r>
            <w:r w:rsidR="003E1C13" w:rsidRPr="00BB229F">
              <w:rPr>
                <w:sz w:val="20"/>
              </w:rPr>
              <w:t>986</w:t>
            </w:r>
          </w:p>
        </w:tc>
      </w:tr>
      <w:tr w:rsidR="00BB229F" w:rsidRPr="00BB229F" w:rsidTr="003C0FC3">
        <w:tc>
          <w:tcPr>
            <w:tcW w:w="1800" w:type="dxa"/>
            <w:tcBorders>
              <w:top w:val="single" w:sz="6" w:space="0" w:color="auto"/>
              <w:left w:val="doub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sidRPr="00BB229F">
              <w:rPr>
                <w:sz w:val="20"/>
              </w:rPr>
              <w:t>******  Total Revenue Requirement</w:t>
            </w:r>
          </w:p>
        </w:tc>
        <w:tc>
          <w:tcPr>
            <w:tcW w:w="1207"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630"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1170"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384,012,497</w:t>
            </w:r>
          </w:p>
        </w:tc>
        <w:tc>
          <w:tcPr>
            <w:tcW w:w="1260" w:type="dxa"/>
            <w:tcBorders>
              <w:top w:val="single" w:sz="2" w:space="0" w:color="auto"/>
              <w:left w:val="single" w:sz="2" w:space="0" w:color="auto"/>
              <w:bottom w:val="double" w:sz="2" w:space="0" w:color="auto"/>
              <w:right w:val="single" w:sz="2"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356,710,992</w:t>
            </w:r>
          </w:p>
        </w:tc>
        <w:tc>
          <w:tcPr>
            <w:tcW w:w="1080" w:type="dxa"/>
            <w:tcBorders>
              <w:top w:val="single" w:sz="6" w:space="0" w:color="auto"/>
              <w:left w:val="nil"/>
              <w:righ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990" w:type="dxa"/>
            <w:tcBorders>
              <w:top w:val="single" w:sz="6" w:space="0" w:color="auto"/>
              <w:lef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1170" w:type="dxa"/>
            <w:tcBorders>
              <w:top w:val="single" w:sz="2" w:space="0" w:color="auto"/>
              <w:left w:val="single" w:sz="2" w:space="0" w:color="auto"/>
              <w:bottom w:val="double" w:sz="2" w:space="0" w:color="auto"/>
              <w:right w:val="double" w:sz="2"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356,710,992</w:t>
            </w:r>
          </w:p>
        </w:tc>
      </w:tr>
      <w:tr w:rsidR="00BB229F" w:rsidRPr="00BB229F" w:rsidTr="003C0FC3">
        <w:tc>
          <w:tcPr>
            <w:tcW w:w="1800" w:type="dxa"/>
            <w:tcBorders>
              <w:top w:val="single" w:sz="6" w:space="0" w:color="auto"/>
              <w:left w:val="double" w:sz="6" w:space="0" w:color="auto"/>
              <w:bottom w:val="doub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sidRPr="00BB229F">
              <w:rPr>
                <w:sz w:val="20"/>
              </w:rPr>
              <w:t xml:space="preserve">                   Difference</w:t>
            </w:r>
          </w:p>
        </w:tc>
        <w:tc>
          <w:tcPr>
            <w:tcW w:w="1207" w:type="dxa"/>
            <w:tcBorders>
              <w:top w:val="single" w:sz="6" w:space="0" w:color="auto"/>
              <w:left w:val="single" w:sz="6" w:space="0" w:color="auto"/>
              <w:bottom w:val="doub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630" w:type="dxa"/>
            <w:tcBorders>
              <w:top w:val="single" w:sz="6" w:space="0" w:color="auto"/>
              <w:left w:val="single" w:sz="6" w:space="0" w:color="auto"/>
              <w:bottom w:val="doub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1170" w:type="dxa"/>
            <w:tcBorders>
              <w:top w:val="single" w:sz="6" w:space="0" w:color="auto"/>
              <w:left w:val="single" w:sz="6" w:space="0" w:color="auto"/>
              <w:bottom w:val="doub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877,865</w:t>
            </w:r>
          </w:p>
        </w:tc>
        <w:tc>
          <w:tcPr>
            <w:tcW w:w="1260" w:type="dxa"/>
            <w:tcBorders>
              <w:left w:val="single" w:sz="6" w:space="0" w:color="auto"/>
              <w:bottom w:val="double" w:sz="6" w:space="0" w:color="auto"/>
            </w:tcBorders>
          </w:tcPr>
          <w:p w:rsidR="00337314" w:rsidRPr="00BB229F" w:rsidRDefault="0033731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1,</w:t>
            </w:r>
            <w:r w:rsidR="003E1C13" w:rsidRPr="00BB229F">
              <w:rPr>
                <w:sz w:val="20"/>
              </w:rPr>
              <w:t>860</w:t>
            </w:r>
            <w:r w:rsidR="00DD6DE4" w:rsidRPr="00BB229F">
              <w:rPr>
                <w:sz w:val="20"/>
              </w:rPr>
              <w:t>,4</w:t>
            </w:r>
            <w:r w:rsidR="003E1C13" w:rsidRPr="00BB229F">
              <w:rPr>
                <w:sz w:val="20"/>
              </w:rPr>
              <w:t>13</w:t>
            </w:r>
          </w:p>
        </w:tc>
        <w:tc>
          <w:tcPr>
            <w:tcW w:w="1080" w:type="dxa"/>
            <w:tcBorders>
              <w:top w:val="single" w:sz="6" w:space="0" w:color="auto"/>
              <w:left w:val="single" w:sz="6" w:space="0" w:color="auto"/>
              <w:bottom w:val="double" w:sz="6" w:space="0" w:color="auto"/>
              <w:right w:val="sing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990" w:type="dxa"/>
            <w:tcBorders>
              <w:top w:val="single" w:sz="6" w:space="0" w:color="auto"/>
              <w:left w:val="single" w:sz="6" w:space="0" w:color="auto"/>
              <w:bottom w:val="double" w:sz="6" w:space="0" w:color="auto"/>
            </w:tcBorders>
          </w:tcPr>
          <w:p w:rsidR="00337314" w:rsidRPr="00BB229F" w:rsidRDefault="00337314"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1170" w:type="dxa"/>
            <w:tcBorders>
              <w:left w:val="single" w:sz="6" w:space="0" w:color="auto"/>
              <w:bottom w:val="double" w:sz="6" w:space="0" w:color="auto"/>
              <w:right w:val="double" w:sz="6" w:space="0" w:color="auto"/>
            </w:tcBorders>
          </w:tcPr>
          <w:p w:rsidR="00337314" w:rsidRPr="00BB229F" w:rsidRDefault="0033731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sidRPr="00BB229F">
              <w:rPr>
                <w:sz w:val="20"/>
              </w:rPr>
              <w:t>1,</w:t>
            </w:r>
            <w:r w:rsidR="003E1C13" w:rsidRPr="00BB229F">
              <w:rPr>
                <w:sz w:val="20"/>
              </w:rPr>
              <w:t>959</w:t>
            </w:r>
            <w:r w:rsidRPr="00BB229F">
              <w:rPr>
                <w:sz w:val="20"/>
              </w:rPr>
              <w:t>,</w:t>
            </w:r>
            <w:r w:rsidR="003E1C13" w:rsidRPr="00BB229F">
              <w:rPr>
                <w:sz w:val="20"/>
              </w:rPr>
              <w:t>994</w:t>
            </w:r>
          </w:p>
        </w:tc>
      </w:tr>
    </w:tbl>
    <w:p w:rsidR="00337314" w:rsidRPr="00BB229F" w:rsidRDefault="00337314" w:rsidP="00337314">
      <w:pPr>
        <w:tabs>
          <w:tab w:val="left" w:pos="-1440"/>
          <w:tab w:val="left" w:pos="-720"/>
          <w:tab w:val="left" w:pos="0"/>
          <w:tab w:val="left" w:pos="720"/>
          <w:tab w:val="left" w:pos="1440"/>
          <w:tab w:val="left" w:pos="2160"/>
          <w:tab w:val="left" w:pos="2880"/>
          <w:tab w:val="left" w:pos="3600"/>
          <w:tab w:val="left" w:pos="4680"/>
          <w:tab w:val="left" w:pos="5040"/>
        </w:tabs>
        <w:suppressAutoHyphens/>
        <w:rPr>
          <w:sz w:val="20"/>
        </w:rPr>
      </w:pPr>
      <w:r w:rsidRPr="00BB229F">
        <w:rPr>
          <w:sz w:val="20"/>
        </w:rPr>
        <w:t xml:space="preserve"> </w:t>
      </w:r>
    </w:p>
    <w:p w:rsidR="00337314" w:rsidRPr="00BB229F" w:rsidRDefault="00337314" w:rsidP="00337314">
      <w:pPr>
        <w:tabs>
          <w:tab w:val="left" w:pos="-1440"/>
          <w:tab w:val="left" w:pos="-720"/>
          <w:tab w:val="left" w:pos="0"/>
          <w:tab w:val="left" w:pos="720"/>
          <w:tab w:val="left" w:pos="1440"/>
          <w:tab w:val="left" w:pos="2160"/>
          <w:tab w:val="left" w:pos="2880"/>
          <w:tab w:val="left" w:pos="3600"/>
          <w:tab w:val="left" w:pos="4680"/>
          <w:tab w:val="left" w:pos="5040"/>
        </w:tabs>
        <w:suppressAutoHyphens/>
        <w:ind w:left="1080"/>
        <w:rPr>
          <w:sz w:val="20"/>
        </w:rPr>
      </w:pPr>
    </w:p>
    <w:p w:rsidR="00337314" w:rsidRPr="00BB229F" w:rsidRDefault="00337314" w:rsidP="00337314">
      <w:pPr>
        <w:widowControl/>
        <w:rPr>
          <w:sz w:val="20"/>
          <w:u w:val="single"/>
        </w:rPr>
      </w:pPr>
      <w:r w:rsidRPr="00BB229F">
        <w:rPr>
          <w:sz w:val="20"/>
          <w:u w:val="single"/>
        </w:rPr>
        <w:br w:type="page"/>
        <w:t>Notes on Appendix B</w:t>
      </w:r>
    </w:p>
    <w:p w:rsidR="00337314" w:rsidRPr="00BB229F" w:rsidRDefault="00337314" w:rsidP="0033731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20"/>
        <w:rPr>
          <w:sz w:val="20"/>
          <w:vertAlign w:val="superscript"/>
        </w:rPr>
      </w:pPr>
      <w:r w:rsidRPr="00BB229F">
        <w:rPr>
          <w:sz w:val="20"/>
          <w:vertAlign w:val="superscript"/>
        </w:rPr>
        <w:t>1</w:t>
      </w:r>
      <w:r w:rsidRPr="00BB229F">
        <w:rPr>
          <w:sz w:val="20"/>
        </w:rPr>
        <w:t xml:space="preserve"> The AM and FM Construction Permit revenues and the Digital (VHF/UHF) Construction Permit revenues were adjusted, respectively, to set the regulatory fee to an amount no higher than the lowest licensed fee for that class of service.  Reductions in the Digital (VHF/UHF) Construction Permit revenues, and in the AM and FM Construction Permit revenues, were offset by increases in the revenue totals for Digital television stations by market size, and in the AM and FM radio stations by class size and population served, respectively. </w:t>
      </w:r>
    </w:p>
    <w:p w:rsidR="00337314" w:rsidRPr="00BB229F" w:rsidRDefault="00337314" w:rsidP="0033731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20"/>
        <w:rPr>
          <w:sz w:val="20"/>
        </w:rPr>
      </w:pPr>
      <w:r w:rsidRPr="00BB229F">
        <w:rPr>
          <w:sz w:val="20"/>
          <w:vertAlign w:val="superscript"/>
        </w:rPr>
        <w:t>2</w:t>
      </w:r>
      <w:r w:rsidRPr="00BB229F">
        <w:rPr>
          <w:sz w:val="20"/>
        </w:rPr>
        <w:t xml:space="preserve"> MDS/MMDS category was renamed Broadband Radio Service (BRS).  </w:t>
      </w:r>
      <w:r w:rsidRPr="00BB229F">
        <w:rPr>
          <w:i/>
          <w:sz w:val="20"/>
        </w:rPr>
        <w:t xml:space="preserve"> See Amendment of Parts 1, 21, 73, 74 and 101 of the Commission’s Rules to Facilitate the Provision</w:t>
      </w:r>
      <w:r w:rsidR="002D7002" w:rsidRPr="00BB229F">
        <w:rPr>
          <w:i/>
          <w:sz w:val="20"/>
        </w:rPr>
        <w:t xml:space="preserve"> of Fixed and Mobile Broadband </w:t>
      </w:r>
      <w:r w:rsidRPr="00BB229F">
        <w:rPr>
          <w:i/>
          <w:sz w:val="20"/>
        </w:rPr>
        <w:t>Access, Educational and Other Advanced Services in the 2150-2162 and 2500-2690 MHz Bands</w:t>
      </w:r>
      <w:r w:rsidRPr="00BB229F">
        <w:rPr>
          <w:sz w:val="20"/>
        </w:rPr>
        <w:t>, Report &amp; Order and Further Notice of Proposed Rulemaking, 19 FCC Rcd 14165, 14169, para. 6 (2004).</w:t>
      </w:r>
    </w:p>
    <w:p w:rsidR="00337314" w:rsidRPr="00BB229F" w:rsidRDefault="00337314" w:rsidP="0033731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20"/>
        <w:rPr>
          <w:sz w:val="20"/>
        </w:rPr>
      </w:pPr>
      <w:r w:rsidRPr="00BB229F">
        <w:rPr>
          <w:sz w:val="20"/>
          <w:vertAlign w:val="superscript"/>
        </w:rPr>
        <w:t>3</w:t>
      </w:r>
      <w:r w:rsidRPr="00BB229F">
        <w:rPr>
          <w:sz w:val="20"/>
        </w:rPr>
        <w:t xml:space="preserve"> The chart at the end of Appendix B lists the submarine cable bearer circuit regulatory fees (common and non-common carrier basis) that resulted from the adoption of the </w:t>
      </w:r>
      <w:r w:rsidRPr="00BB229F">
        <w:rPr>
          <w:i/>
          <w:sz w:val="20"/>
        </w:rPr>
        <w:t xml:space="preserve">Assessment and Collection of Regulatory Fees for Fiscal Year 2008, </w:t>
      </w:r>
      <w:r w:rsidRPr="00BB229F">
        <w:rPr>
          <w:sz w:val="20"/>
        </w:rPr>
        <w:t xml:space="preserve">Report and Order and Further Notice of Proposed Rulemaking, 24 FCC Rcd 6388 (2008) and </w:t>
      </w:r>
      <w:r w:rsidRPr="00BB229F">
        <w:rPr>
          <w:i/>
          <w:sz w:val="20"/>
        </w:rPr>
        <w:t>Assessment and Collection of Regulatory Fees for Fiscal Year 2008</w:t>
      </w:r>
      <w:r w:rsidRPr="00BB229F">
        <w:rPr>
          <w:sz w:val="20"/>
        </w:rPr>
        <w:t>, Second Report and Order, 24 FCC Rcd 4208 (2009).</w:t>
      </w:r>
    </w:p>
    <w:p w:rsidR="00337314" w:rsidRPr="00BB229F" w:rsidRDefault="00337314" w:rsidP="0033731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20"/>
        <w:rPr>
          <w:sz w:val="20"/>
        </w:rPr>
      </w:pPr>
      <w:r w:rsidRPr="00BB229F">
        <w:rPr>
          <w:sz w:val="20"/>
          <w:vertAlign w:val="superscript"/>
        </w:rPr>
        <w:t>4</w:t>
      </w:r>
      <w:r w:rsidRPr="00BB229F">
        <w:rPr>
          <w:sz w:val="20"/>
        </w:rPr>
        <w:t xml:space="preserve"> The fee amounts listed in the column entitled “Rounded New FY 2017 Regulatory Fee” constitute a weighted average broadcast regulatory fee by class of service.  The actual FY 2017 regulatory fees for AM/FM radio station are listed on a grid located at the end of Appendix </w:t>
      </w:r>
      <w:r w:rsidR="00F30430" w:rsidRPr="00BB229F">
        <w:rPr>
          <w:sz w:val="20"/>
        </w:rPr>
        <w:t>C</w:t>
      </w:r>
      <w:r w:rsidRPr="00BB229F">
        <w:rPr>
          <w:sz w:val="20"/>
        </w:rPr>
        <w:t xml:space="preserve">.   </w:t>
      </w:r>
    </w:p>
    <w:p w:rsidR="00293571" w:rsidRDefault="00293571">
      <w:pPr>
        <w:widowControl/>
        <w:rPr>
          <w:b/>
        </w:rPr>
      </w:pPr>
      <w:r>
        <w:rPr>
          <w:b/>
        </w:rPr>
        <w:br w:type="page"/>
      </w:r>
    </w:p>
    <w:p w:rsidR="00E74F23" w:rsidRPr="00BB229F" w:rsidRDefault="00E74F23" w:rsidP="00E74F23">
      <w:pPr>
        <w:pStyle w:val="ParaNum"/>
        <w:numPr>
          <w:ilvl w:val="0"/>
          <w:numId w:val="0"/>
        </w:numPr>
        <w:ind w:firstLine="720"/>
        <w:jc w:val="center"/>
        <w:rPr>
          <w:b/>
        </w:rPr>
      </w:pPr>
    </w:p>
    <w:p w:rsidR="00E74F23" w:rsidRPr="00BB229F" w:rsidRDefault="00E74F23" w:rsidP="00E74F23">
      <w:pPr>
        <w:pStyle w:val="ParaNum"/>
        <w:numPr>
          <w:ilvl w:val="0"/>
          <w:numId w:val="0"/>
        </w:numPr>
        <w:ind w:firstLine="720"/>
        <w:jc w:val="center"/>
        <w:rPr>
          <w:b/>
        </w:rPr>
      </w:pPr>
      <w:r w:rsidRPr="00BB229F">
        <w:rPr>
          <w:b/>
        </w:rPr>
        <w:t>APPENDIX C</w:t>
      </w:r>
    </w:p>
    <w:p w:rsidR="009A152C" w:rsidRPr="00BB229F" w:rsidRDefault="009A152C" w:rsidP="00E74F23">
      <w:pPr>
        <w:pStyle w:val="ParaNum"/>
        <w:numPr>
          <w:ilvl w:val="0"/>
          <w:numId w:val="0"/>
        </w:numPr>
        <w:ind w:firstLine="720"/>
        <w:jc w:val="center"/>
        <w:rPr>
          <w:b/>
        </w:rPr>
      </w:pPr>
      <w:r w:rsidRPr="00BB229F">
        <w:rPr>
          <w:b/>
        </w:rPr>
        <w:t>FY 2017 Schedule of Regulatory Fees</w:t>
      </w:r>
    </w:p>
    <w:p w:rsidR="00C92700" w:rsidRPr="00BB229F" w:rsidRDefault="00C92700" w:rsidP="00C92700">
      <w:pPr>
        <w:tabs>
          <w:tab w:val="center" w:pos="5040"/>
        </w:tabs>
        <w:suppressAutoHyphens/>
        <w:outlineLvl w:val="0"/>
        <w:rPr>
          <w:szCs w:val="22"/>
        </w:rPr>
      </w:pPr>
      <w:bookmarkStart w:id="177" w:name="_Toc394672330"/>
      <w:bookmarkStart w:id="178" w:name="_Toc491865057"/>
      <w:bookmarkStart w:id="179" w:name="_Toc491865472"/>
      <w:r w:rsidRPr="00BB229F">
        <w:rPr>
          <w:szCs w:val="22"/>
        </w:rPr>
        <w:t>Regulatory fees for the categories shaded in gray are collected by the Commission in advance to cover the term of the license and are submitted at the time the application is filed.</w:t>
      </w:r>
      <w:bookmarkEnd w:id="177"/>
      <w:bookmarkEnd w:id="178"/>
      <w:bookmarkEnd w:id="179"/>
    </w:p>
    <w:p w:rsidR="00C92700" w:rsidRPr="00BB229F" w:rsidRDefault="00C92700" w:rsidP="00C92700">
      <w:pPr>
        <w:tabs>
          <w:tab w:val="left" w:pos="-1440"/>
          <w:tab w:val="left" w:pos="-720"/>
          <w:tab w:val="left" w:pos="0"/>
          <w:tab w:val="left" w:pos="720"/>
          <w:tab w:val="left" w:pos="1440"/>
          <w:tab w:val="left" w:pos="2160"/>
          <w:tab w:val="left" w:pos="2880"/>
          <w:tab w:val="left" w:pos="3600"/>
          <w:tab w:val="left" w:pos="4680"/>
          <w:tab w:val="left" w:pos="5040"/>
        </w:tabs>
        <w:suppressAutoHyphens/>
        <w:ind w:left="1440" w:hanging="1440"/>
        <w:rPr>
          <w:sz w:val="20"/>
        </w:rPr>
      </w:pPr>
      <w:r w:rsidRPr="00BB229F">
        <w:rPr>
          <w:sz w:val="20"/>
        </w:rPr>
        <w:tab/>
      </w:r>
      <w:r w:rsidRPr="00BB229F">
        <w:rPr>
          <w:sz w:val="20"/>
        </w:rPr>
        <w:tab/>
      </w:r>
      <w:r w:rsidRPr="00BB229F">
        <w:rPr>
          <w:sz w:val="20"/>
        </w:rPr>
        <w:tab/>
      </w:r>
    </w:p>
    <w:tbl>
      <w:tblPr>
        <w:tblW w:w="8550" w:type="dxa"/>
        <w:tblInd w:w="210" w:type="dxa"/>
        <w:tblLayout w:type="fixed"/>
        <w:tblCellMar>
          <w:left w:w="120" w:type="dxa"/>
          <w:right w:w="120" w:type="dxa"/>
        </w:tblCellMar>
        <w:tblLook w:val="0000" w:firstRow="0" w:lastRow="0" w:firstColumn="0" w:lastColumn="0" w:noHBand="0" w:noVBand="0"/>
      </w:tblPr>
      <w:tblGrid>
        <w:gridCol w:w="6840"/>
        <w:gridCol w:w="1710"/>
      </w:tblGrid>
      <w:tr w:rsidR="00BB229F" w:rsidRPr="00BB229F" w:rsidTr="00246F55">
        <w:trPr>
          <w:tblHeader/>
        </w:trPr>
        <w:tc>
          <w:tcPr>
            <w:tcW w:w="6840" w:type="dxa"/>
            <w:tcBorders>
              <w:top w:val="double" w:sz="6" w:space="0" w:color="auto"/>
              <w:left w:val="double" w:sz="6" w:space="0" w:color="auto"/>
              <w:bottom w:val="single" w:sz="8" w:space="0" w:color="auto"/>
            </w:tcBorders>
          </w:tcPr>
          <w:p w:rsidR="00C92700" w:rsidRPr="00BB229F" w:rsidRDefault="00C92700"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jc w:val="center"/>
              <w:rPr>
                <w:sz w:val="20"/>
              </w:rPr>
            </w:pPr>
            <w:r w:rsidRPr="00BB229F">
              <w:rPr>
                <w:sz w:val="20"/>
              </w:rPr>
              <w:fldChar w:fldCharType="begin"/>
            </w:r>
            <w:r w:rsidRPr="00BB229F">
              <w:rPr>
                <w:sz w:val="20"/>
              </w:rPr>
              <w:instrText xml:space="preserve">PRIVATE </w:instrText>
            </w:r>
            <w:r w:rsidRPr="00BB229F">
              <w:rPr>
                <w:sz w:val="20"/>
              </w:rPr>
              <w:fldChar w:fldCharType="end"/>
            </w:r>
          </w:p>
          <w:p w:rsidR="00C92700" w:rsidRPr="00BB229F" w:rsidRDefault="00C92700"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 w:val="20"/>
              </w:rPr>
            </w:pPr>
            <w:r w:rsidRPr="00BB229F">
              <w:rPr>
                <w:b/>
                <w:sz w:val="20"/>
              </w:rPr>
              <w:t>Fee Category</w:t>
            </w:r>
          </w:p>
          <w:p w:rsidR="00C92700" w:rsidRPr="00BB229F" w:rsidRDefault="00C92700"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54"/>
              <w:rPr>
                <w:b/>
                <w:sz w:val="20"/>
              </w:rPr>
            </w:pPr>
          </w:p>
        </w:tc>
        <w:tc>
          <w:tcPr>
            <w:tcW w:w="1710" w:type="dxa"/>
            <w:tcBorders>
              <w:top w:val="double" w:sz="6" w:space="0" w:color="auto"/>
              <w:left w:val="single" w:sz="6" w:space="0" w:color="auto"/>
              <w:bottom w:val="single" w:sz="8" w:space="0" w:color="auto"/>
              <w:right w:val="double" w:sz="6" w:space="0" w:color="auto"/>
            </w:tcBorders>
          </w:tcPr>
          <w:p w:rsidR="00C92700" w:rsidRPr="00BB229F" w:rsidRDefault="00C92700"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jc w:val="center"/>
              <w:rPr>
                <w:b/>
                <w:sz w:val="20"/>
              </w:rPr>
            </w:pPr>
            <w:r w:rsidRPr="00BB229F">
              <w:rPr>
                <w:b/>
                <w:sz w:val="20"/>
              </w:rPr>
              <w:t>Annual Regulatory Fee</w:t>
            </w:r>
          </w:p>
          <w:p w:rsidR="00C92700" w:rsidRPr="00BB229F" w:rsidRDefault="00551E0F" w:rsidP="00246F55">
            <w:pPr>
              <w:tabs>
                <w:tab w:val="center" w:pos="850"/>
              </w:tabs>
              <w:suppressAutoHyphens/>
              <w:spacing w:after="54"/>
              <w:jc w:val="center"/>
              <w:rPr>
                <w:b/>
                <w:sz w:val="20"/>
              </w:rPr>
            </w:pPr>
            <w:r w:rsidRPr="00BB229F">
              <w:rPr>
                <w:b/>
                <w:sz w:val="20"/>
              </w:rPr>
              <w:t>(U.S. $</w:t>
            </w:r>
            <w:r w:rsidR="00C92700" w:rsidRPr="00BB229F">
              <w:rPr>
                <w:b/>
                <w:sz w:val="20"/>
              </w:rPr>
              <w:t>s)</w:t>
            </w:r>
          </w:p>
        </w:tc>
      </w:tr>
      <w:tr w:rsidR="00BB229F" w:rsidRPr="00BB229F" w:rsidTr="00246F55">
        <w:tc>
          <w:tcPr>
            <w:tcW w:w="6840" w:type="dxa"/>
            <w:tcBorders>
              <w:top w:val="single" w:sz="8" w:space="0" w:color="auto"/>
              <w:left w:val="double" w:sz="12" w:space="0" w:color="auto"/>
              <w:bottom w:val="single" w:sz="8" w:space="0" w:color="auto"/>
              <w:right w:val="single" w:sz="8" w:space="0" w:color="auto"/>
            </w:tcBorders>
            <w:shd w:val="clear" w:color="auto" w:fill="C0C0C0"/>
          </w:tcPr>
          <w:p w:rsidR="00C92700" w:rsidRPr="00BB229F" w:rsidRDefault="00C92700"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ind w:left="4680" w:hanging="4680"/>
              <w:rPr>
                <w:sz w:val="20"/>
              </w:rPr>
            </w:pPr>
            <w:r w:rsidRPr="00BB229F">
              <w:rPr>
                <w:sz w:val="20"/>
              </w:rPr>
              <w:t>PLMRS (per license) (Exclusive Use) (47 CFR part 90)</w:t>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C92700" w:rsidRPr="00BB229F" w:rsidRDefault="00C92700" w:rsidP="00246F55">
            <w:pPr>
              <w:tabs>
                <w:tab w:val="left" w:pos="-1440"/>
                <w:tab w:val="left" w:pos="-720"/>
                <w:tab w:val="left" w:pos="0"/>
                <w:tab w:val="left" w:pos="720"/>
                <w:tab w:val="left" w:pos="1440"/>
                <w:tab w:val="left" w:pos="2160"/>
                <w:tab w:val="left" w:pos="2880"/>
                <w:tab w:val="right" w:pos="3461"/>
                <w:tab w:val="left" w:pos="3600"/>
              </w:tabs>
              <w:suppressAutoHyphens/>
              <w:spacing w:before="90" w:after="54"/>
              <w:jc w:val="center"/>
              <w:rPr>
                <w:sz w:val="20"/>
              </w:rPr>
            </w:pPr>
            <w:r w:rsidRPr="00BB229F">
              <w:rPr>
                <w:sz w:val="20"/>
              </w:rPr>
              <w:t>25</w:t>
            </w:r>
          </w:p>
        </w:tc>
      </w:tr>
      <w:tr w:rsidR="00BB229F" w:rsidRPr="00BB229F" w:rsidTr="00246F55">
        <w:tc>
          <w:tcPr>
            <w:tcW w:w="6840" w:type="dxa"/>
            <w:tcBorders>
              <w:top w:val="single" w:sz="8" w:space="0" w:color="auto"/>
              <w:left w:val="double" w:sz="12" w:space="0" w:color="auto"/>
              <w:bottom w:val="single" w:sz="8" w:space="0" w:color="auto"/>
              <w:right w:val="single" w:sz="8" w:space="0" w:color="auto"/>
            </w:tcBorders>
            <w:shd w:val="clear" w:color="auto" w:fill="C0C0C0"/>
          </w:tcPr>
          <w:p w:rsidR="00C92700" w:rsidRPr="00BB229F" w:rsidRDefault="00C92700" w:rsidP="00246F55">
            <w:pPr>
              <w:tabs>
                <w:tab w:val="left" w:pos="-1440"/>
                <w:tab w:val="left" w:pos="-720"/>
                <w:tab w:val="left" w:pos="0"/>
                <w:tab w:val="left" w:pos="720"/>
                <w:tab w:val="left" w:pos="1440"/>
                <w:tab w:val="left" w:pos="2160"/>
                <w:tab w:val="left" w:pos="2880"/>
                <w:tab w:val="right" w:pos="3461"/>
                <w:tab w:val="left" w:pos="3600"/>
              </w:tabs>
              <w:suppressAutoHyphens/>
              <w:spacing w:before="90" w:after="54"/>
              <w:ind w:left="4320" w:hanging="4320"/>
              <w:rPr>
                <w:sz w:val="20"/>
              </w:rPr>
            </w:pPr>
            <w:r w:rsidRPr="00BB229F">
              <w:rPr>
                <w:sz w:val="20"/>
              </w:rPr>
              <w:t>Microwave (per license) (47 CFR part 101)</w:t>
            </w:r>
            <w:r w:rsidRPr="00BB229F">
              <w:rPr>
                <w:sz w:val="20"/>
              </w:rPr>
              <w:tab/>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C92700" w:rsidRPr="00BB229F" w:rsidRDefault="00C92700" w:rsidP="00246F55">
            <w:pPr>
              <w:tabs>
                <w:tab w:val="left" w:pos="-1440"/>
                <w:tab w:val="left" w:pos="-720"/>
                <w:tab w:val="left" w:pos="0"/>
                <w:tab w:val="left" w:pos="720"/>
                <w:tab w:val="left" w:pos="1440"/>
                <w:tab w:val="left" w:pos="2160"/>
                <w:tab w:val="left" w:pos="2880"/>
                <w:tab w:val="right" w:pos="3461"/>
                <w:tab w:val="left" w:pos="3600"/>
              </w:tabs>
              <w:suppressAutoHyphens/>
              <w:spacing w:before="90" w:after="54"/>
              <w:jc w:val="center"/>
              <w:rPr>
                <w:sz w:val="20"/>
              </w:rPr>
            </w:pPr>
            <w:r w:rsidRPr="00BB229F">
              <w:rPr>
                <w:sz w:val="20"/>
              </w:rPr>
              <w:t>25</w:t>
            </w:r>
          </w:p>
        </w:tc>
      </w:tr>
      <w:tr w:rsidR="00BB229F" w:rsidRPr="00BB229F" w:rsidTr="00246F55">
        <w:tc>
          <w:tcPr>
            <w:tcW w:w="6840" w:type="dxa"/>
            <w:tcBorders>
              <w:top w:val="single" w:sz="8" w:space="0" w:color="auto"/>
              <w:left w:val="double" w:sz="12" w:space="0" w:color="auto"/>
              <w:bottom w:val="single" w:sz="8" w:space="0" w:color="auto"/>
              <w:right w:val="single" w:sz="8" w:space="0" w:color="auto"/>
            </w:tcBorders>
            <w:shd w:val="clear" w:color="auto" w:fill="C0C0C0"/>
          </w:tcPr>
          <w:p w:rsidR="00C92700" w:rsidRPr="00BB229F" w:rsidRDefault="00C92700" w:rsidP="00246F55">
            <w:pPr>
              <w:tabs>
                <w:tab w:val="left" w:pos="-1440"/>
                <w:tab w:val="left" w:pos="-720"/>
              </w:tabs>
              <w:suppressAutoHyphens/>
              <w:spacing w:before="90" w:after="54"/>
              <w:rPr>
                <w:sz w:val="20"/>
              </w:rPr>
            </w:pPr>
            <w:r w:rsidRPr="00BB229F">
              <w:rPr>
                <w:sz w:val="20"/>
              </w:rPr>
              <w:t>Marine (Ship) (per station) (47 CFR part 80)</w:t>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C92700" w:rsidRPr="00BB229F" w:rsidRDefault="00C92700" w:rsidP="00246F55">
            <w:pPr>
              <w:tabs>
                <w:tab w:val="left" w:pos="-1440"/>
                <w:tab w:val="left" w:pos="-720"/>
              </w:tabs>
              <w:suppressAutoHyphens/>
              <w:spacing w:before="90" w:after="54"/>
              <w:jc w:val="center"/>
              <w:rPr>
                <w:sz w:val="20"/>
              </w:rPr>
            </w:pPr>
            <w:r w:rsidRPr="00BB229F">
              <w:rPr>
                <w:sz w:val="20"/>
              </w:rPr>
              <w:t>15</w:t>
            </w:r>
          </w:p>
        </w:tc>
      </w:tr>
      <w:tr w:rsidR="00BB229F" w:rsidRPr="00BB229F" w:rsidTr="00246F55">
        <w:tc>
          <w:tcPr>
            <w:tcW w:w="6840" w:type="dxa"/>
            <w:tcBorders>
              <w:top w:val="single" w:sz="8" w:space="0" w:color="auto"/>
              <w:left w:val="double" w:sz="12" w:space="0" w:color="auto"/>
              <w:bottom w:val="single" w:sz="8" w:space="0" w:color="auto"/>
              <w:right w:val="single" w:sz="8" w:space="0" w:color="auto"/>
            </w:tcBorders>
            <w:shd w:val="clear" w:color="auto" w:fill="C0C0C0"/>
          </w:tcPr>
          <w:p w:rsidR="00C92700" w:rsidRPr="00BB229F" w:rsidRDefault="00C92700" w:rsidP="00246F55">
            <w:pPr>
              <w:tabs>
                <w:tab w:val="left" w:pos="-1440"/>
                <w:tab w:val="left" w:pos="-720"/>
              </w:tabs>
              <w:suppressAutoHyphens/>
              <w:spacing w:before="90" w:after="54"/>
              <w:rPr>
                <w:sz w:val="20"/>
              </w:rPr>
            </w:pPr>
            <w:r w:rsidRPr="00BB229F">
              <w:rPr>
                <w:sz w:val="20"/>
              </w:rPr>
              <w:t>Marine (Coast) (per license) (47 CFR part 80)</w:t>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C92700" w:rsidRPr="00BB229F" w:rsidRDefault="00C92700" w:rsidP="00246F55">
            <w:pPr>
              <w:tabs>
                <w:tab w:val="left" w:pos="-1440"/>
                <w:tab w:val="left" w:pos="-720"/>
              </w:tabs>
              <w:suppressAutoHyphens/>
              <w:spacing w:before="90" w:after="54"/>
              <w:jc w:val="center"/>
              <w:rPr>
                <w:sz w:val="20"/>
              </w:rPr>
            </w:pPr>
            <w:r w:rsidRPr="00BB229F">
              <w:rPr>
                <w:sz w:val="20"/>
              </w:rPr>
              <w:t>40</w:t>
            </w:r>
          </w:p>
        </w:tc>
      </w:tr>
      <w:tr w:rsidR="00BB229F" w:rsidRPr="00BB229F" w:rsidTr="00246F55">
        <w:tc>
          <w:tcPr>
            <w:tcW w:w="6840" w:type="dxa"/>
            <w:tcBorders>
              <w:top w:val="single" w:sz="8" w:space="0" w:color="auto"/>
              <w:left w:val="double" w:sz="12" w:space="0" w:color="auto"/>
              <w:bottom w:val="single" w:sz="8" w:space="0" w:color="auto"/>
              <w:right w:val="single" w:sz="8" w:space="0" w:color="auto"/>
            </w:tcBorders>
            <w:shd w:val="clear" w:color="auto" w:fill="C0C0C0"/>
          </w:tcPr>
          <w:p w:rsidR="00C92700" w:rsidRPr="00BB229F" w:rsidRDefault="00C92700" w:rsidP="00246F55">
            <w:pPr>
              <w:tabs>
                <w:tab w:val="left" w:pos="-1440"/>
                <w:tab w:val="left" w:pos="-720"/>
              </w:tabs>
              <w:suppressAutoHyphens/>
              <w:spacing w:before="90" w:after="54"/>
              <w:rPr>
                <w:sz w:val="20"/>
              </w:rPr>
            </w:pPr>
            <w:r w:rsidRPr="00BB229F">
              <w:rPr>
                <w:sz w:val="20"/>
              </w:rPr>
              <w:t>Rural Radio (47 CFR part 22) (previously listed under the Land Mobile category)</w:t>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C92700" w:rsidRPr="00BB229F" w:rsidRDefault="00C92700" w:rsidP="00246F55">
            <w:pPr>
              <w:tabs>
                <w:tab w:val="left" w:pos="-1440"/>
                <w:tab w:val="left" w:pos="-720"/>
              </w:tabs>
              <w:suppressAutoHyphens/>
              <w:spacing w:before="90" w:after="54"/>
              <w:jc w:val="center"/>
              <w:rPr>
                <w:sz w:val="20"/>
              </w:rPr>
            </w:pPr>
            <w:r w:rsidRPr="00BB229F">
              <w:rPr>
                <w:sz w:val="20"/>
              </w:rPr>
              <w:t>10</w:t>
            </w:r>
          </w:p>
        </w:tc>
      </w:tr>
      <w:tr w:rsidR="00BB229F" w:rsidRPr="00BB229F" w:rsidTr="00246F55">
        <w:tc>
          <w:tcPr>
            <w:tcW w:w="6840" w:type="dxa"/>
            <w:tcBorders>
              <w:top w:val="single" w:sz="8" w:space="0" w:color="auto"/>
              <w:left w:val="double" w:sz="12" w:space="0" w:color="auto"/>
              <w:bottom w:val="single" w:sz="8" w:space="0" w:color="auto"/>
              <w:right w:val="single" w:sz="8" w:space="0" w:color="auto"/>
            </w:tcBorders>
            <w:shd w:val="clear" w:color="auto" w:fill="C0C0C0"/>
          </w:tcPr>
          <w:p w:rsidR="00C92700" w:rsidRPr="00BB229F" w:rsidRDefault="00C92700" w:rsidP="00246F55">
            <w:pPr>
              <w:tabs>
                <w:tab w:val="left" w:pos="-1440"/>
                <w:tab w:val="left" w:pos="-720"/>
              </w:tabs>
              <w:suppressAutoHyphens/>
              <w:spacing w:before="90" w:after="54"/>
              <w:rPr>
                <w:sz w:val="20"/>
              </w:rPr>
            </w:pPr>
            <w:r w:rsidRPr="00BB229F">
              <w:rPr>
                <w:sz w:val="20"/>
              </w:rPr>
              <w:t>PLMRS (Shared Use) (per license) (47 CFR part 90)</w:t>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C92700" w:rsidRPr="00BB229F" w:rsidRDefault="00C92700" w:rsidP="00246F55">
            <w:pPr>
              <w:tabs>
                <w:tab w:val="left" w:pos="-1440"/>
                <w:tab w:val="left" w:pos="-720"/>
              </w:tabs>
              <w:suppressAutoHyphens/>
              <w:spacing w:before="90" w:after="54"/>
              <w:jc w:val="center"/>
              <w:rPr>
                <w:sz w:val="20"/>
              </w:rPr>
            </w:pPr>
            <w:r w:rsidRPr="00BB229F">
              <w:rPr>
                <w:sz w:val="20"/>
              </w:rPr>
              <w:t>10</w:t>
            </w:r>
          </w:p>
        </w:tc>
      </w:tr>
      <w:tr w:rsidR="00BB229F" w:rsidRPr="00BB229F" w:rsidTr="00246F55">
        <w:tc>
          <w:tcPr>
            <w:tcW w:w="6840" w:type="dxa"/>
            <w:tcBorders>
              <w:top w:val="single" w:sz="8" w:space="0" w:color="auto"/>
              <w:left w:val="double" w:sz="12" w:space="0" w:color="auto"/>
              <w:bottom w:val="single" w:sz="8" w:space="0" w:color="auto"/>
              <w:right w:val="single" w:sz="8" w:space="0" w:color="auto"/>
            </w:tcBorders>
            <w:shd w:val="clear" w:color="auto" w:fill="C0C0C0"/>
          </w:tcPr>
          <w:p w:rsidR="00C92700" w:rsidRPr="00BB229F" w:rsidRDefault="00C92700" w:rsidP="00246F55">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 w:val="20"/>
              </w:rPr>
            </w:pPr>
            <w:r w:rsidRPr="00BB229F">
              <w:rPr>
                <w:sz w:val="20"/>
              </w:rPr>
              <w:t>Aviation (Aircraft) (per station) (47 CFR part 87)</w:t>
            </w:r>
            <w:r w:rsidRPr="00BB229F">
              <w:rPr>
                <w:sz w:val="20"/>
              </w:rPr>
              <w:tab/>
            </w:r>
            <w:r w:rsidRPr="00BB229F">
              <w:rPr>
                <w:sz w:val="20"/>
              </w:rPr>
              <w:tab/>
            </w:r>
            <w:r w:rsidRPr="00BB229F">
              <w:rPr>
                <w:sz w:val="20"/>
              </w:rPr>
              <w:tab/>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C92700" w:rsidRPr="00BB229F" w:rsidRDefault="00C92700" w:rsidP="00246F55">
            <w:pPr>
              <w:tabs>
                <w:tab w:val="left" w:pos="-1440"/>
                <w:tab w:val="left" w:pos="-720"/>
              </w:tabs>
              <w:suppressAutoHyphens/>
              <w:spacing w:before="90" w:after="54"/>
              <w:jc w:val="center"/>
              <w:rPr>
                <w:sz w:val="20"/>
              </w:rPr>
            </w:pPr>
            <w:r w:rsidRPr="00BB229F">
              <w:rPr>
                <w:sz w:val="20"/>
              </w:rPr>
              <w:t>10</w:t>
            </w:r>
          </w:p>
        </w:tc>
      </w:tr>
      <w:tr w:rsidR="00BB229F" w:rsidRPr="00BB229F" w:rsidTr="00246F55">
        <w:tc>
          <w:tcPr>
            <w:tcW w:w="6840" w:type="dxa"/>
            <w:tcBorders>
              <w:top w:val="single" w:sz="8" w:space="0" w:color="auto"/>
              <w:left w:val="double" w:sz="12" w:space="0" w:color="auto"/>
              <w:bottom w:val="single" w:sz="8" w:space="0" w:color="auto"/>
              <w:right w:val="single" w:sz="8" w:space="0" w:color="auto"/>
            </w:tcBorders>
            <w:shd w:val="clear" w:color="auto" w:fill="C0C0C0"/>
          </w:tcPr>
          <w:p w:rsidR="00C92700" w:rsidRPr="00BB229F" w:rsidRDefault="00C92700" w:rsidP="00246F55">
            <w:pPr>
              <w:tabs>
                <w:tab w:val="left" w:pos="-1440"/>
                <w:tab w:val="left" w:pos="-720"/>
                <w:tab w:val="left" w:pos="0"/>
                <w:tab w:val="left" w:pos="720"/>
                <w:tab w:val="left" w:pos="1440"/>
                <w:tab w:val="left" w:pos="2160"/>
                <w:tab w:val="left" w:pos="2880"/>
                <w:tab w:val="left" w:pos="3600"/>
              </w:tabs>
              <w:suppressAutoHyphens/>
              <w:spacing w:before="90" w:after="54"/>
              <w:ind w:left="4320" w:hanging="4320"/>
              <w:rPr>
                <w:sz w:val="20"/>
              </w:rPr>
            </w:pPr>
            <w:r w:rsidRPr="00BB229F">
              <w:rPr>
                <w:sz w:val="20"/>
              </w:rPr>
              <w:t>Aviation (Ground) (per license) (47 CFR part 87)</w:t>
            </w:r>
            <w:r w:rsidRPr="00BB229F">
              <w:rPr>
                <w:sz w:val="20"/>
              </w:rPr>
              <w:tab/>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C92700" w:rsidRPr="00BB229F" w:rsidRDefault="00C92700" w:rsidP="00246F55">
            <w:pPr>
              <w:tabs>
                <w:tab w:val="left" w:pos="-1440"/>
                <w:tab w:val="left" w:pos="-720"/>
              </w:tabs>
              <w:suppressAutoHyphens/>
              <w:spacing w:before="90" w:after="54"/>
              <w:jc w:val="center"/>
              <w:rPr>
                <w:sz w:val="20"/>
              </w:rPr>
            </w:pPr>
            <w:r w:rsidRPr="00BB229F">
              <w:rPr>
                <w:sz w:val="20"/>
              </w:rPr>
              <w:t>20</w:t>
            </w:r>
          </w:p>
        </w:tc>
      </w:tr>
      <w:tr w:rsidR="00BB229F" w:rsidRPr="00BB229F" w:rsidTr="00246F55">
        <w:tc>
          <w:tcPr>
            <w:tcW w:w="6840" w:type="dxa"/>
            <w:tcBorders>
              <w:top w:val="single" w:sz="8" w:space="0" w:color="auto"/>
              <w:left w:val="double" w:sz="6" w:space="0" w:color="auto"/>
            </w:tcBorders>
          </w:tcPr>
          <w:p w:rsidR="00C92700" w:rsidRPr="00BB229F" w:rsidRDefault="00C92700" w:rsidP="00246F55">
            <w:pPr>
              <w:tabs>
                <w:tab w:val="left" w:pos="-1440"/>
                <w:tab w:val="left" w:pos="-720"/>
              </w:tabs>
              <w:suppressAutoHyphens/>
              <w:spacing w:before="90" w:after="54"/>
              <w:rPr>
                <w:sz w:val="20"/>
              </w:rPr>
            </w:pPr>
            <w:r w:rsidRPr="00BB229F">
              <w:rPr>
                <w:sz w:val="20"/>
              </w:rPr>
              <w:t>CMRS Mobile/Cellular Services (per unit) (47 CFR parts 20, 22, 24, 27, 80 and 90)</w:t>
            </w:r>
          </w:p>
        </w:tc>
        <w:tc>
          <w:tcPr>
            <w:tcW w:w="1710" w:type="dxa"/>
            <w:tcBorders>
              <w:top w:val="single" w:sz="8" w:space="0" w:color="auto"/>
              <w:left w:val="single" w:sz="6" w:space="0" w:color="auto"/>
              <w:right w:val="double" w:sz="6" w:space="0" w:color="auto"/>
            </w:tcBorders>
          </w:tcPr>
          <w:p w:rsidR="00C92700" w:rsidRPr="00BB229F" w:rsidRDefault="00C92700" w:rsidP="00246F55">
            <w:pPr>
              <w:tabs>
                <w:tab w:val="left" w:pos="-1440"/>
                <w:tab w:val="left" w:pos="-720"/>
              </w:tabs>
              <w:suppressAutoHyphens/>
              <w:spacing w:before="90" w:after="54"/>
              <w:jc w:val="center"/>
              <w:rPr>
                <w:sz w:val="20"/>
              </w:rPr>
            </w:pPr>
            <w:r w:rsidRPr="00BB229F">
              <w:rPr>
                <w:sz w:val="20"/>
              </w:rPr>
              <w:t>.21</w:t>
            </w:r>
          </w:p>
        </w:tc>
      </w:tr>
      <w:tr w:rsidR="00BB229F" w:rsidRPr="00BB229F" w:rsidTr="00246F55">
        <w:tc>
          <w:tcPr>
            <w:tcW w:w="6840" w:type="dxa"/>
            <w:tcBorders>
              <w:top w:val="single" w:sz="6" w:space="0" w:color="auto"/>
              <w:left w:val="double" w:sz="6" w:space="0" w:color="auto"/>
            </w:tcBorders>
          </w:tcPr>
          <w:p w:rsidR="00C92700" w:rsidRPr="00BB229F" w:rsidRDefault="00C92700" w:rsidP="00246F55">
            <w:pPr>
              <w:tabs>
                <w:tab w:val="left" w:pos="-1440"/>
                <w:tab w:val="left" w:pos="-720"/>
              </w:tabs>
              <w:suppressAutoHyphens/>
              <w:spacing w:before="90" w:after="54"/>
              <w:rPr>
                <w:sz w:val="20"/>
              </w:rPr>
            </w:pPr>
            <w:r w:rsidRPr="00BB229F">
              <w:rPr>
                <w:sz w:val="20"/>
              </w:rPr>
              <w:t>CMRS Messaging Services (per unit) (47 CFR parts 20, 22, 24 and 90)</w:t>
            </w:r>
          </w:p>
        </w:tc>
        <w:tc>
          <w:tcPr>
            <w:tcW w:w="1710" w:type="dxa"/>
            <w:tcBorders>
              <w:top w:val="single" w:sz="6" w:space="0" w:color="auto"/>
              <w:left w:val="single" w:sz="6" w:space="0" w:color="auto"/>
              <w:right w:val="double" w:sz="6" w:space="0" w:color="auto"/>
            </w:tcBorders>
          </w:tcPr>
          <w:p w:rsidR="00C92700" w:rsidRPr="00BB229F" w:rsidRDefault="00C92700" w:rsidP="00246F55">
            <w:pPr>
              <w:tabs>
                <w:tab w:val="left" w:pos="-1440"/>
                <w:tab w:val="left" w:pos="-720"/>
              </w:tabs>
              <w:suppressAutoHyphens/>
              <w:spacing w:before="90" w:after="54"/>
              <w:jc w:val="center"/>
              <w:rPr>
                <w:sz w:val="20"/>
              </w:rPr>
            </w:pPr>
            <w:r w:rsidRPr="00BB229F">
              <w:rPr>
                <w:sz w:val="20"/>
              </w:rPr>
              <w:t>.08</w:t>
            </w:r>
          </w:p>
        </w:tc>
      </w:tr>
      <w:tr w:rsidR="00BB229F" w:rsidRPr="00BB229F" w:rsidTr="00246F55">
        <w:tc>
          <w:tcPr>
            <w:tcW w:w="6840" w:type="dxa"/>
            <w:tcBorders>
              <w:top w:val="single" w:sz="6" w:space="0" w:color="auto"/>
              <w:left w:val="double" w:sz="6" w:space="0" w:color="auto"/>
            </w:tcBorders>
          </w:tcPr>
          <w:p w:rsidR="00C92700" w:rsidRPr="00BB229F" w:rsidRDefault="00C92700" w:rsidP="00246F55">
            <w:pPr>
              <w:tabs>
                <w:tab w:val="left" w:pos="-1440"/>
                <w:tab w:val="left" w:pos="-720"/>
              </w:tabs>
              <w:suppressAutoHyphens/>
              <w:spacing w:before="90" w:after="54"/>
              <w:rPr>
                <w:sz w:val="20"/>
              </w:rPr>
            </w:pPr>
            <w:r w:rsidRPr="00BB229F">
              <w:rPr>
                <w:sz w:val="20"/>
              </w:rPr>
              <w:t>Broadband Radio Service (formerly MMDS/ MDS) (per license) (47 CFR part 27)</w:t>
            </w:r>
          </w:p>
          <w:p w:rsidR="00C92700" w:rsidRPr="00BB229F" w:rsidRDefault="00C92700" w:rsidP="00246F55">
            <w:pPr>
              <w:tabs>
                <w:tab w:val="left" w:pos="-1440"/>
                <w:tab w:val="left" w:pos="-720"/>
              </w:tabs>
              <w:suppressAutoHyphens/>
              <w:spacing w:before="90" w:after="54"/>
              <w:rPr>
                <w:sz w:val="20"/>
              </w:rPr>
            </w:pPr>
            <w:r w:rsidRPr="00BB229F">
              <w:rPr>
                <w:sz w:val="20"/>
              </w:rPr>
              <w:t>Local Multipoint Distribution Service (per call sign) (47 CFR, part 101)</w:t>
            </w:r>
          </w:p>
          <w:p w:rsidR="00C92700" w:rsidRPr="00BB229F" w:rsidRDefault="00C92700" w:rsidP="00246F55">
            <w:pPr>
              <w:tabs>
                <w:tab w:val="left" w:pos="-1440"/>
                <w:tab w:val="left" w:pos="-720"/>
              </w:tabs>
              <w:suppressAutoHyphens/>
              <w:spacing w:before="90" w:after="54"/>
              <w:rPr>
                <w:sz w:val="20"/>
              </w:rPr>
            </w:pPr>
          </w:p>
        </w:tc>
        <w:tc>
          <w:tcPr>
            <w:tcW w:w="1710" w:type="dxa"/>
            <w:tcBorders>
              <w:top w:val="single" w:sz="6" w:space="0" w:color="auto"/>
              <w:left w:val="single" w:sz="6" w:space="0" w:color="auto"/>
              <w:right w:val="double" w:sz="6" w:space="0" w:color="auto"/>
            </w:tcBorders>
          </w:tcPr>
          <w:p w:rsidR="00C92700" w:rsidRPr="00BB229F" w:rsidRDefault="00C92700" w:rsidP="00246F55">
            <w:pPr>
              <w:tabs>
                <w:tab w:val="left" w:pos="-1440"/>
                <w:tab w:val="left" w:pos="-720"/>
              </w:tabs>
              <w:suppressAutoHyphens/>
              <w:spacing w:before="90" w:after="54"/>
              <w:jc w:val="center"/>
              <w:rPr>
                <w:sz w:val="20"/>
              </w:rPr>
            </w:pPr>
            <w:r w:rsidRPr="00BB229F">
              <w:rPr>
                <w:sz w:val="20"/>
              </w:rPr>
              <w:t>800</w:t>
            </w:r>
          </w:p>
          <w:p w:rsidR="00C92700" w:rsidRPr="00BB229F" w:rsidRDefault="00C92700" w:rsidP="00246F55">
            <w:pPr>
              <w:tabs>
                <w:tab w:val="left" w:pos="-1440"/>
                <w:tab w:val="left" w:pos="-720"/>
              </w:tabs>
              <w:suppressAutoHyphens/>
              <w:spacing w:before="90" w:after="54"/>
              <w:jc w:val="center"/>
              <w:rPr>
                <w:sz w:val="20"/>
              </w:rPr>
            </w:pPr>
          </w:p>
          <w:p w:rsidR="00C92700" w:rsidRPr="00BB229F" w:rsidRDefault="00C92700" w:rsidP="00246F55">
            <w:pPr>
              <w:tabs>
                <w:tab w:val="left" w:pos="-1440"/>
                <w:tab w:val="left" w:pos="-720"/>
              </w:tabs>
              <w:suppressAutoHyphens/>
              <w:spacing w:before="90" w:after="54"/>
              <w:jc w:val="center"/>
              <w:rPr>
                <w:sz w:val="20"/>
              </w:rPr>
            </w:pPr>
            <w:r w:rsidRPr="00BB229F">
              <w:rPr>
                <w:sz w:val="20"/>
              </w:rPr>
              <w:t>800</w:t>
            </w:r>
          </w:p>
        </w:tc>
      </w:tr>
      <w:tr w:rsidR="00BB229F" w:rsidRPr="00BB229F" w:rsidTr="00246F55">
        <w:tc>
          <w:tcPr>
            <w:tcW w:w="6840" w:type="dxa"/>
            <w:tcBorders>
              <w:top w:val="single" w:sz="6" w:space="0" w:color="auto"/>
              <w:left w:val="double" w:sz="6" w:space="0" w:color="auto"/>
            </w:tcBorders>
          </w:tcPr>
          <w:p w:rsidR="00C92700" w:rsidRPr="00BB229F" w:rsidRDefault="00C92700" w:rsidP="00246F55">
            <w:pPr>
              <w:tabs>
                <w:tab w:val="left" w:pos="-1440"/>
                <w:tab w:val="left" w:pos="-720"/>
              </w:tabs>
              <w:suppressAutoHyphens/>
              <w:spacing w:before="90" w:after="54"/>
              <w:rPr>
                <w:sz w:val="20"/>
              </w:rPr>
            </w:pPr>
            <w:r w:rsidRPr="00BB229F">
              <w:rPr>
                <w:sz w:val="20"/>
              </w:rPr>
              <w:t>AM Radio Construction Permits</w:t>
            </w:r>
          </w:p>
        </w:tc>
        <w:tc>
          <w:tcPr>
            <w:tcW w:w="1710" w:type="dxa"/>
            <w:tcBorders>
              <w:top w:val="single" w:sz="6" w:space="0" w:color="auto"/>
              <w:left w:val="single" w:sz="6" w:space="0" w:color="auto"/>
              <w:right w:val="double" w:sz="6" w:space="0" w:color="auto"/>
            </w:tcBorders>
          </w:tcPr>
          <w:p w:rsidR="00C92700" w:rsidRPr="00BB229F" w:rsidRDefault="00C92700" w:rsidP="00246F55">
            <w:pPr>
              <w:tabs>
                <w:tab w:val="left" w:pos="-1440"/>
                <w:tab w:val="left" w:pos="-720"/>
              </w:tabs>
              <w:suppressAutoHyphens/>
              <w:spacing w:before="90" w:after="54"/>
              <w:jc w:val="center"/>
              <w:rPr>
                <w:sz w:val="20"/>
              </w:rPr>
            </w:pPr>
            <w:r w:rsidRPr="00BB229F">
              <w:rPr>
                <w:sz w:val="20"/>
              </w:rPr>
              <w:t>555</w:t>
            </w:r>
          </w:p>
        </w:tc>
      </w:tr>
      <w:tr w:rsidR="00BB229F" w:rsidRPr="00BB229F" w:rsidTr="00246F55">
        <w:tc>
          <w:tcPr>
            <w:tcW w:w="6840" w:type="dxa"/>
            <w:tcBorders>
              <w:top w:val="single" w:sz="6" w:space="0" w:color="auto"/>
              <w:left w:val="double" w:sz="6" w:space="0" w:color="auto"/>
            </w:tcBorders>
          </w:tcPr>
          <w:p w:rsidR="00C92700" w:rsidRPr="00BB229F" w:rsidRDefault="00C92700" w:rsidP="00246F55">
            <w:pPr>
              <w:tabs>
                <w:tab w:val="left" w:pos="-1440"/>
                <w:tab w:val="left" w:pos="-720"/>
              </w:tabs>
              <w:suppressAutoHyphens/>
              <w:spacing w:before="90" w:after="54"/>
              <w:rPr>
                <w:sz w:val="20"/>
              </w:rPr>
            </w:pPr>
            <w:r w:rsidRPr="00BB229F">
              <w:rPr>
                <w:sz w:val="20"/>
              </w:rPr>
              <w:t>FM Radio Construction Permits</w:t>
            </w:r>
          </w:p>
        </w:tc>
        <w:tc>
          <w:tcPr>
            <w:tcW w:w="1710" w:type="dxa"/>
            <w:tcBorders>
              <w:top w:val="single" w:sz="6" w:space="0" w:color="auto"/>
              <w:left w:val="single" w:sz="6" w:space="0" w:color="auto"/>
              <w:right w:val="double" w:sz="6" w:space="0" w:color="auto"/>
            </w:tcBorders>
          </w:tcPr>
          <w:p w:rsidR="00C92700" w:rsidRPr="00BB229F" w:rsidRDefault="00C92700" w:rsidP="00246F55">
            <w:pPr>
              <w:tabs>
                <w:tab w:val="left" w:pos="-1440"/>
                <w:tab w:val="left" w:pos="-720"/>
              </w:tabs>
              <w:suppressAutoHyphens/>
              <w:spacing w:before="90" w:after="54"/>
              <w:jc w:val="center"/>
              <w:rPr>
                <w:sz w:val="20"/>
              </w:rPr>
            </w:pPr>
            <w:r w:rsidRPr="00BB229F">
              <w:rPr>
                <w:sz w:val="20"/>
              </w:rPr>
              <w:t>980</w:t>
            </w:r>
          </w:p>
        </w:tc>
      </w:tr>
      <w:tr w:rsidR="00BB229F" w:rsidRPr="00BB229F" w:rsidTr="00246F55">
        <w:tc>
          <w:tcPr>
            <w:tcW w:w="6840" w:type="dxa"/>
            <w:tcBorders>
              <w:top w:val="single" w:sz="6" w:space="0" w:color="auto"/>
              <w:left w:val="double" w:sz="6" w:space="0" w:color="auto"/>
            </w:tcBorders>
          </w:tcPr>
          <w:p w:rsidR="00C92700" w:rsidRPr="00BB229F" w:rsidRDefault="00C92700" w:rsidP="00246F55">
            <w:pPr>
              <w:tabs>
                <w:tab w:val="left" w:pos="-1440"/>
                <w:tab w:val="left" w:pos="-720"/>
              </w:tabs>
              <w:suppressAutoHyphens/>
              <w:spacing w:before="90" w:after="54"/>
              <w:rPr>
                <w:sz w:val="20"/>
              </w:rPr>
            </w:pPr>
            <w:r w:rsidRPr="00BB229F">
              <w:rPr>
                <w:sz w:val="20"/>
              </w:rPr>
              <w:t>Digital TV (47 CFR part 73) VHF and UHF Commercial</w:t>
            </w:r>
          </w:p>
        </w:tc>
        <w:tc>
          <w:tcPr>
            <w:tcW w:w="1710" w:type="dxa"/>
            <w:tcBorders>
              <w:top w:val="single" w:sz="6" w:space="0" w:color="auto"/>
              <w:left w:val="single" w:sz="6" w:space="0" w:color="auto"/>
              <w:right w:val="double" w:sz="6" w:space="0" w:color="auto"/>
            </w:tcBorders>
          </w:tcPr>
          <w:p w:rsidR="00C92700" w:rsidRPr="00BB229F" w:rsidRDefault="00C92700" w:rsidP="00246F55">
            <w:pPr>
              <w:tabs>
                <w:tab w:val="left" w:pos="-1440"/>
                <w:tab w:val="left" w:pos="-720"/>
              </w:tabs>
              <w:suppressAutoHyphens/>
              <w:spacing w:before="90" w:after="54"/>
              <w:jc w:val="right"/>
              <w:rPr>
                <w:sz w:val="20"/>
              </w:rPr>
            </w:pPr>
          </w:p>
        </w:tc>
      </w:tr>
      <w:tr w:rsidR="00BB229F" w:rsidRPr="00BB229F" w:rsidTr="00246F55">
        <w:tc>
          <w:tcPr>
            <w:tcW w:w="6840" w:type="dxa"/>
            <w:tcBorders>
              <w:top w:val="single" w:sz="6" w:space="0" w:color="auto"/>
              <w:left w:val="double" w:sz="6" w:space="0" w:color="auto"/>
            </w:tcBorders>
          </w:tcPr>
          <w:p w:rsidR="00C92700" w:rsidRPr="00BB229F" w:rsidRDefault="00C92700" w:rsidP="00246F55">
            <w:pPr>
              <w:tabs>
                <w:tab w:val="left" w:pos="-1440"/>
                <w:tab w:val="left" w:pos="-720"/>
                <w:tab w:val="left" w:pos="0"/>
                <w:tab w:val="left" w:pos="720"/>
                <w:tab w:val="left" w:pos="1440"/>
              </w:tabs>
              <w:suppressAutoHyphens/>
              <w:spacing w:before="90" w:after="54"/>
              <w:ind w:left="2160" w:hanging="2160"/>
              <w:rPr>
                <w:sz w:val="20"/>
              </w:rPr>
            </w:pPr>
            <w:r w:rsidRPr="00BB229F">
              <w:rPr>
                <w:sz w:val="20"/>
              </w:rPr>
              <w:tab/>
              <w:t>Markets 1-10</w:t>
            </w:r>
            <w:r w:rsidRPr="00BB229F">
              <w:rPr>
                <w:sz w:val="20"/>
              </w:rPr>
              <w:tab/>
            </w:r>
          </w:p>
        </w:tc>
        <w:tc>
          <w:tcPr>
            <w:tcW w:w="1710" w:type="dxa"/>
            <w:tcBorders>
              <w:top w:val="single" w:sz="6" w:space="0" w:color="auto"/>
              <w:left w:val="single" w:sz="6" w:space="0" w:color="auto"/>
              <w:right w:val="double" w:sz="6" w:space="0" w:color="auto"/>
            </w:tcBorders>
          </w:tcPr>
          <w:p w:rsidR="00C92700" w:rsidRPr="00BB229F" w:rsidRDefault="00C92700" w:rsidP="00246F55">
            <w:pPr>
              <w:tabs>
                <w:tab w:val="left" w:pos="-1440"/>
                <w:tab w:val="left" w:pos="-720"/>
              </w:tabs>
              <w:suppressAutoHyphens/>
              <w:spacing w:before="90" w:after="54"/>
              <w:jc w:val="center"/>
              <w:rPr>
                <w:sz w:val="20"/>
              </w:rPr>
            </w:pPr>
            <w:r w:rsidRPr="00BB229F">
              <w:rPr>
                <w:sz w:val="20"/>
              </w:rPr>
              <w:t>59,750</w:t>
            </w:r>
          </w:p>
        </w:tc>
      </w:tr>
      <w:tr w:rsidR="00BB229F" w:rsidRPr="00BB229F" w:rsidTr="00246F55">
        <w:tc>
          <w:tcPr>
            <w:tcW w:w="6840" w:type="dxa"/>
            <w:tcBorders>
              <w:top w:val="single" w:sz="6" w:space="0" w:color="auto"/>
              <w:left w:val="double" w:sz="6" w:space="0" w:color="auto"/>
            </w:tcBorders>
          </w:tcPr>
          <w:p w:rsidR="00C92700" w:rsidRPr="00BB229F" w:rsidRDefault="00C92700" w:rsidP="00246F55">
            <w:pPr>
              <w:tabs>
                <w:tab w:val="left" w:pos="-1440"/>
                <w:tab w:val="left" w:pos="-720"/>
                <w:tab w:val="left" w:pos="0"/>
              </w:tabs>
              <w:suppressAutoHyphens/>
              <w:spacing w:before="90" w:after="54"/>
              <w:ind w:left="720" w:hanging="720"/>
              <w:rPr>
                <w:sz w:val="20"/>
              </w:rPr>
            </w:pPr>
            <w:r w:rsidRPr="00BB229F">
              <w:rPr>
                <w:sz w:val="20"/>
              </w:rPr>
              <w:tab/>
              <w:t>Markets 11-25</w:t>
            </w:r>
          </w:p>
        </w:tc>
        <w:tc>
          <w:tcPr>
            <w:tcW w:w="1710" w:type="dxa"/>
            <w:tcBorders>
              <w:top w:val="single" w:sz="6" w:space="0" w:color="auto"/>
              <w:left w:val="single" w:sz="6" w:space="0" w:color="auto"/>
              <w:right w:val="double" w:sz="6" w:space="0" w:color="auto"/>
            </w:tcBorders>
          </w:tcPr>
          <w:p w:rsidR="00C92700" w:rsidRPr="00BB229F" w:rsidRDefault="00C92700" w:rsidP="00246F55">
            <w:pPr>
              <w:tabs>
                <w:tab w:val="left" w:pos="-1440"/>
                <w:tab w:val="left" w:pos="-720"/>
              </w:tabs>
              <w:suppressAutoHyphens/>
              <w:spacing w:before="90" w:after="54"/>
              <w:jc w:val="center"/>
              <w:rPr>
                <w:sz w:val="20"/>
              </w:rPr>
            </w:pPr>
            <w:r w:rsidRPr="00BB229F">
              <w:rPr>
                <w:sz w:val="20"/>
              </w:rPr>
              <w:t>45,025</w:t>
            </w:r>
          </w:p>
        </w:tc>
      </w:tr>
      <w:tr w:rsidR="00BB229F" w:rsidRPr="00BB229F" w:rsidTr="00246F55">
        <w:tc>
          <w:tcPr>
            <w:tcW w:w="6840" w:type="dxa"/>
            <w:tcBorders>
              <w:top w:val="single" w:sz="2" w:space="0" w:color="auto"/>
              <w:left w:val="double" w:sz="2" w:space="0" w:color="auto"/>
              <w:right w:val="single" w:sz="2" w:space="0" w:color="auto"/>
            </w:tcBorders>
          </w:tcPr>
          <w:p w:rsidR="00C92700" w:rsidRPr="00BB229F" w:rsidRDefault="00C92700" w:rsidP="00246F55">
            <w:pPr>
              <w:tabs>
                <w:tab w:val="left" w:pos="-1440"/>
                <w:tab w:val="left" w:pos="-720"/>
                <w:tab w:val="left" w:pos="0"/>
              </w:tabs>
              <w:suppressAutoHyphens/>
              <w:spacing w:before="90" w:after="54"/>
              <w:ind w:left="720" w:hanging="720"/>
              <w:rPr>
                <w:sz w:val="20"/>
              </w:rPr>
            </w:pPr>
            <w:r w:rsidRPr="00BB229F">
              <w:rPr>
                <w:sz w:val="20"/>
              </w:rPr>
              <w:tab/>
              <w:t>Markets 26-50</w:t>
            </w:r>
          </w:p>
        </w:tc>
        <w:tc>
          <w:tcPr>
            <w:tcW w:w="1710" w:type="dxa"/>
            <w:tcBorders>
              <w:top w:val="single" w:sz="2" w:space="0" w:color="auto"/>
              <w:left w:val="single" w:sz="2" w:space="0" w:color="auto"/>
              <w:right w:val="double" w:sz="2" w:space="0" w:color="auto"/>
            </w:tcBorders>
          </w:tcPr>
          <w:p w:rsidR="00C92700" w:rsidRPr="00BB229F" w:rsidRDefault="00C92700" w:rsidP="00246F55">
            <w:pPr>
              <w:tabs>
                <w:tab w:val="left" w:pos="-1440"/>
                <w:tab w:val="left" w:pos="-720"/>
              </w:tabs>
              <w:suppressAutoHyphens/>
              <w:spacing w:before="90" w:after="54"/>
              <w:jc w:val="center"/>
              <w:rPr>
                <w:sz w:val="20"/>
              </w:rPr>
            </w:pPr>
            <w:r w:rsidRPr="00BB229F">
              <w:rPr>
                <w:sz w:val="20"/>
              </w:rPr>
              <w:t>30,050</w:t>
            </w:r>
          </w:p>
        </w:tc>
      </w:tr>
      <w:tr w:rsidR="00BB229F" w:rsidRPr="00BB229F" w:rsidTr="00246F55">
        <w:tc>
          <w:tcPr>
            <w:tcW w:w="6840" w:type="dxa"/>
            <w:tcBorders>
              <w:top w:val="single" w:sz="6" w:space="0" w:color="auto"/>
              <w:left w:val="double" w:sz="6" w:space="0" w:color="auto"/>
            </w:tcBorders>
          </w:tcPr>
          <w:p w:rsidR="00C92700" w:rsidRPr="00BB229F" w:rsidRDefault="00C92700" w:rsidP="00246F55">
            <w:pPr>
              <w:tabs>
                <w:tab w:val="left" w:pos="-1440"/>
                <w:tab w:val="left" w:pos="-720"/>
                <w:tab w:val="left" w:pos="0"/>
                <w:tab w:val="left" w:pos="720"/>
                <w:tab w:val="left" w:pos="1440"/>
                <w:tab w:val="left" w:pos="2160"/>
              </w:tabs>
              <w:suppressAutoHyphens/>
              <w:spacing w:before="90" w:after="54"/>
              <w:ind w:left="2880" w:hanging="2880"/>
              <w:rPr>
                <w:sz w:val="20"/>
              </w:rPr>
            </w:pPr>
            <w:r w:rsidRPr="00BB229F">
              <w:rPr>
                <w:sz w:val="20"/>
              </w:rPr>
              <w:tab/>
              <w:t>Markets 51-100</w:t>
            </w:r>
            <w:r w:rsidRPr="00BB229F">
              <w:rPr>
                <w:sz w:val="20"/>
              </w:rPr>
              <w:tab/>
            </w:r>
          </w:p>
        </w:tc>
        <w:tc>
          <w:tcPr>
            <w:tcW w:w="1710" w:type="dxa"/>
            <w:tcBorders>
              <w:top w:val="single" w:sz="6" w:space="0" w:color="auto"/>
              <w:left w:val="single" w:sz="6" w:space="0" w:color="auto"/>
              <w:right w:val="double" w:sz="6" w:space="0" w:color="auto"/>
            </w:tcBorders>
          </w:tcPr>
          <w:p w:rsidR="00C92700" w:rsidRPr="00BB229F" w:rsidRDefault="00C92700" w:rsidP="00246F55">
            <w:pPr>
              <w:tabs>
                <w:tab w:val="left" w:pos="-1440"/>
                <w:tab w:val="left" w:pos="-720"/>
              </w:tabs>
              <w:suppressAutoHyphens/>
              <w:spacing w:before="90" w:after="54"/>
              <w:jc w:val="center"/>
              <w:rPr>
                <w:sz w:val="20"/>
              </w:rPr>
            </w:pPr>
            <w:r w:rsidRPr="00BB229F">
              <w:rPr>
                <w:sz w:val="20"/>
              </w:rPr>
              <w:t>14,975</w:t>
            </w:r>
          </w:p>
        </w:tc>
      </w:tr>
      <w:tr w:rsidR="00BB229F" w:rsidRPr="00BB229F" w:rsidTr="00246F55">
        <w:tc>
          <w:tcPr>
            <w:tcW w:w="6840" w:type="dxa"/>
            <w:tcBorders>
              <w:top w:val="single" w:sz="6" w:space="0" w:color="auto"/>
              <w:left w:val="double" w:sz="6" w:space="0" w:color="auto"/>
            </w:tcBorders>
          </w:tcPr>
          <w:p w:rsidR="00C92700" w:rsidRPr="00BB229F" w:rsidRDefault="00C92700" w:rsidP="00246F55">
            <w:pPr>
              <w:tabs>
                <w:tab w:val="left" w:pos="-1440"/>
                <w:tab w:val="left" w:pos="-720"/>
                <w:tab w:val="left" w:pos="0"/>
              </w:tabs>
              <w:suppressAutoHyphens/>
              <w:spacing w:before="90" w:after="54"/>
              <w:ind w:left="720" w:hanging="720"/>
              <w:rPr>
                <w:sz w:val="20"/>
              </w:rPr>
            </w:pPr>
            <w:r w:rsidRPr="00BB229F">
              <w:rPr>
                <w:sz w:val="20"/>
              </w:rPr>
              <w:tab/>
              <w:t>Remaining Markets</w:t>
            </w:r>
          </w:p>
        </w:tc>
        <w:tc>
          <w:tcPr>
            <w:tcW w:w="1710" w:type="dxa"/>
            <w:tcBorders>
              <w:top w:val="single" w:sz="6" w:space="0" w:color="auto"/>
              <w:left w:val="single" w:sz="6" w:space="0" w:color="auto"/>
              <w:right w:val="double" w:sz="6" w:space="0" w:color="auto"/>
            </w:tcBorders>
          </w:tcPr>
          <w:p w:rsidR="00C92700" w:rsidRPr="00BB229F" w:rsidRDefault="00C92700" w:rsidP="00246F55">
            <w:pPr>
              <w:tabs>
                <w:tab w:val="left" w:pos="-1440"/>
                <w:tab w:val="left" w:pos="-720"/>
              </w:tabs>
              <w:suppressAutoHyphens/>
              <w:spacing w:before="90" w:after="54"/>
              <w:jc w:val="center"/>
              <w:rPr>
                <w:sz w:val="20"/>
              </w:rPr>
            </w:pPr>
            <w:r w:rsidRPr="00BB229F">
              <w:rPr>
                <w:sz w:val="20"/>
              </w:rPr>
              <w:t>4,925</w:t>
            </w:r>
          </w:p>
        </w:tc>
      </w:tr>
      <w:tr w:rsidR="00BB229F" w:rsidRPr="00BB229F" w:rsidTr="00246F55">
        <w:tc>
          <w:tcPr>
            <w:tcW w:w="6840" w:type="dxa"/>
            <w:tcBorders>
              <w:top w:val="single" w:sz="6" w:space="0" w:color="auto"/>
              <w:left w:val="double" w:sz="6" w:space="0" w:color="auto"/>
            </w:tcBorders>
          </w:tcPr>
          <w:p w:rsidR="00C92700" w:rsidRPr="00BB229F" w:rsidRDefault="00C92700" w:rsidP="00246F55">
            <w:pPr>
              <w:tabs>
                <w:tab w:val="left" w:pos="-1440"/>
                <w:tab w:val="left" w:pos="-720"/>
                <w:tab w:val="left" w:pos="0"/>
              </w:tabs>
              <w:suppressAutoHyphens/>
              <w:spacing w:before="90" w:after="54"/>
              <w:ind w:left="720" w:hanging="720"/>
              <w:rPr>
                <w:sz w:val="20"/>
              </w:rPr>
            </w:pPr>
            <w:r w:rsidRPr="00BB229F">
              <w:rPr>
                <w:sz w:val="20"/>
              </w:rPr>
              <w:tab/>
              <w:t>Construction Permits</w:t>
            </w:r>
          </w:p>
        </w:tc>
        <w:tc>
          <w:tcPr>
            <w:tcW w:w="1710" w:type="dxa"/>
            <w:tcBorders>
              <w:top w:val="single" w:sz="6" w:space="0" w:color="auto"/>
              <w:left w:val="single" w:sz="6" w:space="0" w:color="auto"/>
              <w:right w:val="double" w:sz="6" w:space="0" w:color="auto"/>
            </w:tcBorders>
          </w:tcPr>
          <w:p w:rsidR="00C92700" w:rsidRPr="00BB229F" w:rsidRDefault="00C92700" w:rsidP="00246F55">
            <w:pPr>
              <w:tabs>
                <w:tab w:val="left" w:pos="-1440"/>
                <w:tab w:val="left" w:pos="-720"/>
              </w:tabs>
              <w:suppressAutoHyphens/>
              <w:spacing w:before="90" w:after="54"/>
              <w:jc w:val="center"/>
              <w:rPr>
                <w:sz w:val="20"/>
              </w:rPr>
            </w:pPr>
            <w:r w:rsidRPr="00BB229F">
              <w:rPr>
                <w:sz w:val="20"/>
              </w:rPr>
              <w:t>4,925</w:t>
            </w:r>
          </w:p>
        </w:tc>
      </w:tr>
      <w:tr w:rsidR="00BB229F" w:rsidRPr="00BB229F" w:rsidTr="00246F55">
        <w:tc>
          <w:tcPr>
            <w:tcW w:w="6840" w:type="dxa"/>
            <w:tcBorders>
              <w:top w:val="single" w:sz="6" w:space="0" w:color="auto"/>
              <w:left w:val="double" w:sz="6" w:space="0" w:color="auto"/>
            </w:tcBorders>
          </w:tcPr>
          <w:p w:rsidR="00C92700" w:rsidRPr="00BB229F" w:rsidRDefault="00C92700" w:rsidP="00246F55">
            <w:pPr>
              <w:tabs>
                <w:tab w:val="left" w:pos="-1440"/>
                <w:tab w:val="left" w:pos="-720"/>
              </w:tabs>
              <w:suppressAutoHyphens/>
              <w:spacing w:before="90" w:after="54"/>
              <w:rPr>
                <w:sz w:val="20"/>
              </w:rPr>
            </w:pPr>
            <w:r w:rsidRPr="00BB229F">
              <w:rPr>
                <w:sz w:val="20"/>
              </w:rPr>
              <w:t xml:space="preserve">Satellite Television Stations (All Markets)  </w:t>
            </w:r>
          </w:p>
        </w:tc>
        <w:tc>
          <w:tcPr>
            <w:tcW w:w="1710" w:type="dxa"/>
            <w:tcBorders>
              <w:top w:val="single" w:sz="6" w:space="0" w:color="auto"/>
              <w:left w:val="single" w:sz="6" w:space="0" w:color="auto"/>
              <w:right w:val="double" w:sz="6" w:space="0" w:color="auto"/>
            </w:tcBorders>
          </w:tcPr>
          <w:p w:rsidR="00C92700" w:rsidRPr="00BB229F" w:rsidRDefault="00C92700" w:rsidP="00246F55">
            <w:pPr>
              <w:tabs>
                <w:tab w:val="left" w:pos="-1440"/>
                <w:tab w:val="left" w:pos="-720"/>
              </w:tabs>
              <w:suppressAutoHyphens/>
              <w:spacing w:before="90" w:after="54"/>
              <w:jc w:val="center"/>
              <w:rPr>
                <w:sz w:val="20"/>
              </w:rPr>
            </w:pPr>
            <w:r w:rsidRPr="00BB229F">
              <w:rPr>
                <w:sz w:val="20"/>
              </w:rPr>
              <w:t>1,725</w:t>
            </w:r>
          </w:p>
        </w:tc>
      </w:tr>
      <w:tr w:rsidR="00BB229F" w:rsidRPr="00BB229F" w:rsidTr="00246F55">
        <w:tc>
          <w:tcPr>
            <w:tcW w:w="6840" w:type="dxa"/>
            <w:tcBorders>
              <w:top w:val="single" w:sz="6" w:space="0" w:color="auto"/>
              <w:left w:val="double" w:sz="6" w:space="0" w:color="auto"/>
            </w:tcBorders>
          </w:tcPr>
          <w:p w:rsidR="00C92700" w:rsidRPr="00BB229F" w:rsidRDefault="00C92700" w:rsidP="00246F55">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 w:val="20"/>
              </w:rPr>
            </w:pPr>
            <w:r w:rsidRPr="00BB229F">
              <w:rPr>
                <w:sz w:val="20"/>
              </w:rPr>
              <w:t>Low Power TV, Class A TV, TV/FM Translators &amp; Boosters (47 CFR part 74)</w:t>
            </w:r>
          </w:p>
        </w:tc>
        <w:tc>
          <w:tcPr>
            <w:tcW w:w="1710" w:type="dxa"/>
            <w:tcBorders>
              <w:top w:val="single" w:sz="6" w:space="0" w:color="auto"/>
              <w:left w:val="single" w:sz="6" w:space="0" w:color="auto"/>
              <w:right w:val="double" w:sz="6" w:space="0" w:color="auto"/>
            </w:tcBorders>
          </w:tcPr>
          <w:p w:rsidR="00C92700" w:rsidRPr="00BB229F" w:rsidRDefault="00C92700" w:rsidP="00246F55">
            <w:pPr>
              <w:tabs>
                <w:tab w:val="left" w:pos="-1440"/>
                <w:tab w:val="left" w:pos="-720"/>
              </w:tabs>
              <w:suppressAutoHyphens/>
              <w:spacing w:before="90" w:after="54"/>
              <w:jc w:val="center"/>
              <w:rPr>
                <w:sz w:val="20"/>
              </w:rPr>
            </w:pPr>
            <w:r w:rsidRPr="00BB229F">
              <w:rPr>
                <w:sz w:val="20"/>
              </w:rPr>
              <w:t>430</w:t>
            </w:r>
          </w:p>
        </w:tc>
      </w:tr>
      <w:tr w:rsidR="00BB229F" w:rsidRPr="00BB229F" w:rsidTr="00246F55">
        <w:tc>
          <w:tcPr>
            <w:tcW w:w="6840" w:type="dxa"/>
            <w:tcBorders>
              <w:top w:val="single" w:sz="6" w:space="0" w:color="auto"/>
              <w:left w:val="double" w:sz="6" w:space="0" w:color="auto"/>
            </w:tcBorders>
          </w:tcPr>
          <w:p w:rsidR="00C92700" w:rsidRPr="00BB229F" w:rsidRDefault="00C92700" w:rsidP="00246F55">
            <w:pPr>
              <w:tabs>
                <w:tab w:val="left" w:pos="-1440"/>
                <w:tab w:val="left" w:pos="-720"/>
                <w:tab w:val="left" w:pos="0"/>
                <w:tab w:val="left" w:pos="720"/>
                <w:tab w:val="left" w:pos="1440"/>
                <w:tab w:val="left" w:pos="2160"/>
                <w:tab w:val="left" w:pos="2880"/>
                <w:tab w:val="left" w:pos="3600"/>
              </w:tabs>
              <w:suppressAutoHyphens/>
              <w:spacing w:before="90" w:after="54"/>
              <w:ind w:left="4320" w:hanging="4320"/>
              <w:rPr>
                <w:sz w:val="20"/>
              </w:rPr>
            </w:pPr>
            <w:r w:rsidRPr="00BB229F">
              <w:rPr>
                <w:sz w:val="20"/>
              </w:rPr>
              <w:t>CARS (47 CFR part 78)</w:t>
            </w:r>
            <w:r w:rsidRPr="00BB229F">
              <w:rPr>
                <w:sz w:val="20"/>
              </w:rPr>
              <w:tab/>
            </w:r>
          </w:p>
        </w:tc>
        <w:tc>
          <w:tcPr>
            <w:tcW w:w="1710" w:type="dxa"/>
            <w:tcBorders>
              <w:top w:val="single" w:sz="6" w:space="0" w:color="auto"/>
              <w:left w:val="single" w:sz="6" w:space="0" w:color="auto"/>
              <w:right w:val="double" w:sz="6" w:space="0" w:color="auto"/>
            </w:tcBorders>
          </w:tcPr>
          <w:p w:rsidR="00C92700" w:rsidRPr="00BB229F" w:rsidRDefault="00C92700" w:rsidP="00246F55">
            <w:pPr>
              <w:tabs>
                <w:tab w:val="left" w:pos="-1440"/>
                <w:tab w:val="left" w:pos="-720"/>
              </w:tabs>
              <w:suppressAutoHyphens/>
              <w:spacing w:before="90" w:after="54"/>
              <w:jc w:val="center"/>
              <w:rPr>
                <w:sz w:val="20"/>
              </w:rPr>
            </w:pPr>
            <w:r w:rsidRPr="00BB229F">
              <w:rPr>
                <w:sz w:val="20"/>
              </w:rPr>
              <w:t>935</w:t>
            </w:r>
          </w:p>
        </w:tc>
      </w:tr>
      <w:tr w:rsidR="00BB229F" w:rsidRPr="00BB229F" w:rsidTr="00246F55">
        <w:tc>
          <w:tcPr>
            <w:tcW w:w="6840" w:type="dxa"/>
            <w:tcBorders>
              <w:top w:val="single" w:sz="6" w:space="0" w:color="auto"/>
              <w:left w:val="double" w:sz="6" w:space="0" w:color="auto"/>
            </w:tcBorders>
          </w:tcPr>
          <w:p w:rsidR="00C92700" w:rsidRPr="00BB229F" w:rsidRDefault="00C92700" w:rsidP="00246F55">
            <w:pPr>
              <w:tabs>
                <w:tab w:val="left" w:pos="-1440"/>
                <w:tab w:val="left" w:pos="-720"/>
              </w:tabs>
              <w:suppressAutoHyphens/>
              <w:spacing w:before="90" w:after="54"/>
              <w:rPr>
                <w:sz w:val="20"/>
              </w:rPr>
            </w:pPr>
            <w:r w:rsidRPr="00BB229F">
              <w:rPr>
                <w:sz w:val="20"/>
              </w:rPr>
              <w:t>Cable Television Systems (per subscriber) (47 CFR part 76), Including IPTV</w:t>
            </w:r>
          </w:p>
        </w:tc>
        <w:tc>
          <w:tcPr>
            <w:tcW w:w="1710" w:type="dxa"/>
            <w:tcBorders>
              <w:top w:val="single" w:sz="6" w:space="0" w:color="auto"/>
              <w:left w:val="single" w:sz="6" w:space="0" w:color="auto"/>
              <w:right w:val="double" w:sz="6" w:space="0" w:color="auto"/>
            </w:tcBorders>
          </w:tcPr>
          <w:p w:rsidR="00C92700" w:rsidRPr="00BB229F" w:rsidRDefault="00C92700" w:rsidP="00595F8B">
            <w:pPr>
              <w:tabs>
                <w:tab w:val="left" w:pos="-1440"/>
                <w:tab w:val="left" w:pos="-720"/>
              </w:tabs>
              <w:suppressAutoHyphens/>
              <w:spacing w:before="90" w:after="54"/>
              <w:jc w:val="center"/>
              <w:rPr>
                <w:sz w:val="20"/>
              </w:rPr>
            </w:pPr>
            <w:r w:rsidRPr="00BB229F">
              <w:rPr>
                <w:sz w:val="20"/>
              </w:rPr>
              <w:t>.9</w:t>
            </w:r>
            <w:r w:rsidR="00D91462" w:rsidRPr="00BB229F">
              <w:rPr>
                <w:sz w:val="20"/>
              </w:rPr>
              <w:t>5</w:t>
            </w:r>
          </w:p>
        </w:tc>
      </w:tr>
      <w:tr w:rsidR="00BB229F" w:rsidRPr="00BB229F" w:rsidTr="00246F55">
        <w:tc>
          <w:tcPr>
            <w:tcW w:w="6840" w:type="dxa"/>
            <w:tcBorders>
              <w:top w:val="single" w:sz="6" w:space="0" w:color="auto"/>
              <w:left w:val="double" w:sz="6" w:space="0" w:color="auto"/>
            </w:tcBorders>
          </w:tcPr>
          <w:p w:rsidR="00C92700" w:rsidRPr="00BB229F" w:rsidRDefault="00C92700" w:rsidP="00246F55">
            <w:pPr>
              <w:tabs>
                <w:tab w:val="left" w:pos="-1440"/>
                <w:tab w:val="left" w:pos="-720"/>
              </w:tabs>
              <w:suppressAutoHyphens/>
              <w:spacing w:before="90" w:after="54"/>
              <w:rPr>
                <w:sz w:val="20"/>
              </w:rPr>
            </w:pPr>
            <w:r w:rsidRPr="00BB229F">
              <w:rPr>
                <w:sz w:val="20"/>
              </w:rPr>
              <w:t>Direct Broadcast Service (DBS) (per subscriber) (as defined by section 602(13) of the Act)</w:t>
            </w:r>
          </w:p>
        </w:tc>
        <w:tc>
          <w:tcPr>
            <w:tcW w:w="1710" w:type="dxa"/>
            <w:tcBorders>
              <w:top w:val="single" w:sz="6" w:space="0" w:color="auto"/>
              <w:left w:val="single" w:sz="6" w:space="0" w:color="auto"/>
              <w:right w:val="double" w:sz="6" w:space="0" w:color="auto"/>
            </w:tcBorders>
          </w:tcPr>
          <w:p w:rsidR="00C92700" w:rsidRPr="00BB229F" w:rsidRDefault="00C92700" w:rsidP="00246F55">
            <w:pPr>
              <w:tabs>
                <w:tab w:val="left" w:pos="-1440"/>
                <w:tab w:val="left" w:pos="-720"/>
              </w:tabs>
              <w:suppressAutoHyphens/>
              <w:spacing w:before="90" w:after="54"/>
              <w:jc w:val="center"/>
              <w:rPr>
                <w:sz w:val="20"/>
              </w:rPr>
            </w:pPr>
            <w:r w:rsidRPr="00BB229F">
              <w:rPr>
                <w:sz w:val="20"/>
              </w:rPr>
              <w:t>.</w:t>
            </w:r>
            <w:r w:rsidR="00733D0E" w:rsidRPr="00BB229F">
              <w:rPr>
                <w:sz w:val="20"/>
              </w:rPr>
              <w:t>38</w:t>
            </w:r>
          </w:p>
        </w:tc>
      </w:tr>
      <w:tr w:rsidR="00BB229F" w:rsidRPr="00BB229F" w:rsidTr="00246F55">
        <w:tc>
          <w:tcPr>
            <w:tcW w:w="6840" w:type="dxa"/>
            <w:tcBorders>
              <w:top w:val="single" w:sz="6" w:space="0" w:color="auto"/>
              <w:left w:val="double" w:sz="6" w:space="0" w:color="auto"/>
            </w:tcBorders>
          </w:tcPr>
          <w:p w:rsidR="00C92700" w:rsidRPr="00BB229F" w:rsidRDefault="00C92700" w:rsidP="00246F55">
            <w:pPr>
              <w:tabs>
                <w:tab w:val="left" w:pos="-1440"/>
                <w:tab w:val="left" w:pos="-720"/>
              </w:tabs>
              <w:suppressAutoHyphens/>
              <w:spacing w:before="90" w:after="54"/>
              <w:rPr>
                <w:sz w:val="20"/>
              </w:rPr>
            </w:pPr>
            <w:r w:rsidRPr="00BB229F">
              <w:rPr>
                <w:sz w:val="20"/>
              </w:rPr>
              <w:t>Interstate Telecommunication Service Providers (per revenue dollar)</w:t>
            </w:r>
          </w:p>
        </w:tc>
        <w:tc>
          <w:tcPr>
            <w:tcW w:w="1710" w:type="dxa"/>
            <w:tcBorders>
              <w:top w:val="single" w:sz="6" w:space="0" w:color="auto"/>
              <w:left w:val="single" w:sz="6" w:space="0" w:color="auto"/>
              <w:right w:val="double" w:sz="6" w:space="0" w:color="auto"/>
            </w:tcBorders>
          </w:tcPr>
          <w:p w:rsidR="00C92700" w:rsidRPr="00BB229F" w:rsidRDefault="00C92700" w:rsidP="00246F55">
            <w:pPr>
              <w:tabs>
                <w:tab w:val="left" w:pos="-1440"/>
                <w:tab w:val="left" w:pos="-720"/>
              </w:tabs>
              <w:suppressAutoHyphens/>
              <w:spacing w:before="90" w:after="54"/>
              <w:jc w:val="center"/>
              <w:rPr>
                <w:sz w:val="20"/>
              </w:rPr>
            </w:pPr>
            <w:r w:rsidRPr="00BB229F">
              <w:rPr>
                <w:sz w:val="20"/>
              </w:rPr>
              <w:t>.00302</w:t>
            </w:r>
          </w:p>
        </w:tc>
      </w:tr>
      <w:tr w:rsidR="00BB229F" w:rsidRPr="00BB229F" w:rsidTr="00246F55">
        <w:tc>
          <w:tcPr>
            <w:tcW w:w="6840" w:type="dxa"/>
            <w:tcBorders>
              <w:top w:val="single" w:sz="6" w:space="0" w:color="auto"/>
              <w:left w:val="double" w:sz="6" w:space="0" w:color="auto"/>
            </w:tcBorders>
          </w:tcPr>
          <w:p w:rsidR="00C92700" w:rsidRPr="00BB229F" w:rsidRDefault="00C92700" w:rsidP="00246F55">
            <w:pPr>
              <w:tabs>
                <w:tab w:val="left" w:pos="-1440"/>
                <w:tab w:val="left" w:pos="-720"/>
              </w:tabs>
              <w:suppressAutoHyphens/>
              <w:spacing w:before="90" w:after="54"/>
              <w:rPr>
                <w:sz w:val="20"/>
              </w:rPr>
            </w:pPr>
            <w:r w:rsidRPr="00BB229F">
              <w:rPr>
                <w:sz w:val="20"/>
              </w:rPr>
              <w:t>Toll Free (per toll free subscriber) (47 C.F.R. section 52.101 (f) of the rules)</w:t>
            </w:r>
          </w:p>
        </w:tc>
        <w:tc>
          <w:tcPr>
            <w:tcW w:w="1710" w:type="dxa"/>
            <w:tcBorders>
              <w:top w:val="single" w:sz="6" w:space="0" w:color="auto"/>
              <w:left w:val="single" w:sz="6" w:space="0" w:color="auto"/>
              <w:right w:val="double" w:sz="6" w:space="0" w:color="auto"/>
            </w:tcBorders>
          </w:tcPr>
          <w:p w:rsidR="00C92700" w:rsidRPr="00BB229F" w:rsidRDefault="00C92700" w:rsidP="00246F55">
            <w:pPr>
              <w:tabs>
                <w:tab w:val="left" w:pos="-1440"/>
                <w:tab w:val="left" w:pos="-720"/>
              </w:tabs>
              <w:suppressAutoHyphens/>
              <w:spacing w:before="90" w:after="54"/>
              <w:jc w:val="center"/>
              <w:rPr>
                <w:sz w:val="20"/>
              </w:rPr>
            </w:pPr>
            <w:r w:rsidRPr="00BB229F">
              <w:rPr>
                <w:sz w:val="20"/>
              </w:rPr>
              <w:t>.12</w:t>
            </w:r>
          </w:p>
        </w:tc>
      </w:tr>
      <w:tr w:rsidR="00BB229F" w:rsidRPr="00BB229F" w:rsidTr="00246F55">
        <w:tc>
          <w:tcPr>
            <w:tcW w:w="6840" w:type="dxa"/>
            <w:tcBorders>
              <w:top w:val="single" w:sz="6" w:space="0" w:color="auto"/>
              <w:left w:val="double" w:sz="6" w:space="0" w:color="auto"/>
            </w:tcBorders>
          </w:tcPr>
          <w:p w:rsidR="00C92700" w:rsidRPr="00BB229F" w:rsidRDefault="00C92700" w:rsidP="00246F55">
            <w:pPr>
              <w:tabs>
                <w:tab w:val="left" w:pos="-1440"/>
                <w:tab w:val="left" w:pos="-720"/>
              </w:tabs>
              <w:suppressAutoHyphens/>
              <w:spacing w:before="90" w:after="54"/>
              <w:rPr>
                <w:sz w:val="20"/>
              </w:rPr>
            </w:pPr>
            <w:r w:rsidRPr="00BB229F">
              <w:rPr>
                <w:sz w:val="20"/>
              </w:rPr>
              <w:t>Earth Stations (47 CFR part 25)</w:t>
            </w:r>
          </w:p>
        </w:tc>
        <w:tc>
          <w:tcPr>
            <w:tcW w:w="1710" w:type="dxa"/>
            <w:tcBorders>
              <w:top w:val="single" w:sz="6" w:space="0" w:color="auto"/>
              <w:left w:val="single" w:sz="6" w:space="0" w:color="auto"/>
              <w:right w:val="double" w:sz="6" w:space="0" w:color="auto"/>
            </w:tcBorders>
          </w:tcPr>
          <w:p w:rsidR="00C92700" w:rsidRPr="00BB229F" w:rsidRDefault="00C92700" w:rsidP="00246F55">
            <w:pPr>
              <w:tabs>
                <w:tab w:val="left" w:pos="-1440"/>
                <w:tab w:val="left" w:pos="-720"/>
              </w:tabs>
              <w:suppressAutoHyphens/>
              <w:spacing w:before="90" w:after="54"/>
              <w:jc w:val="center"/>
              <w:rPr>
                <w:sz w:val="20"/>
              </w:rPr>
            </w:pPr>
            <w:r w:rsidRPr="00BB229F">
              <w:rPr>
                <w:sz w:val="20"/>
              </w:rPr>
              <w:t>360</w:t>
            </w:r>
          </w:p>
        </w:tc>
      </w:tr>
      <w:tr w:rsidR="00BB229F" w:rsidRPr="00BB229F" w:rsidTr="00246F55">
        <w:tc>
          <w:tcPr>
            <w:tcW w:w="6840" w:type="dxa"/>
            <w:tcBorders>
              <w:top w:val="single" w:sz="6" w:space="0" w:color="auto"/>
              <w:left w:val="double" w:sz="6" w:space="0" w:color="auto"/>
            </w:tcBorders>
          </w:tcPr>
          <w:p w:rsidR="00C92700" w:rsidRPr="00BB229F" w:rsidRDefault="00C92700" w:rsidP="00246F55">
            <w:pPr>
              <w:tabs>
                <w:tab w:val="left" w:pos="-1440"/>
                <w:tab w:val="left" w:pos="-720"/>
              </w:tabs>
              <w:suppressAutoHyphens/>
              <w:spacing w:before="90" w:after="54"/>
              <w:rPr>
                <w:sz w:val="20"/>
              </w:rPr>
            </w:pPr>
            <w:r w:rsidRPr="00BB229F">
              <w:rPr>
                <w:sz w:val="20"/>
              </w:rPr>
              <w:t>Space Stations (per operational station in geostationary orbit) (47 CFR part 25) also includes DBS Service (per operational station) (47 CFR part 100)</w:t>
            </w:r>
          </w:p>
        </w:tc>
        <w:tc>
          <w:tcPr>
            <w:tcW w:w="1710" w:type="dxa"/>
            <w:tcBorders>
              <w:top w:val="single" w:sz="6" w:space="0" w:color="auto"/>
              <w:left w:val="single" w:sz="6" w:space="0" w:color="auto"/>
              <w:right w:val="double" w:sz="6" w:space="0" w:color="auto"/>
            </w:tcBorders>
          </w:tcPr>
          <w:p w:rsidR="00C92700" w:rsidRPr="00BB229F" w:rsidRDefault="00C92700" w:rsidP="00246F55">
            <w:pPr>
              <w:tabs>
                <w:tab w:val="left" w:pos="-1440"/>
                <w:tab w:val="left" w:pos="-720"/>
              </w:tabs>
              <w:suppressAutoHyphens/>
              <w:spacing w:before="90"/>
              <w:jc w:val="center"/>
              <w:rPr>
                <w:sz w:val="20"/>
              </w:rPr>
            </w:pPr>
          </w:p>
          <w:p w:rsidR="00C92700" w:rsidRPr="00BB229F" w:rsidRDefault="00C92700">
            <w:pPr>
              <w:tabs>
                <w:tab w:val="left" w:pos="-1440"/>
                <w:tab w:val="left" w:pos="-720"/>
              </w:tabs>
              <w:suppressAutoHyphens/>
              <w:spacing w:after="54"/>
              <w:jc w:val="center"/>
              <w:rPr>
                <w:sz w:val="20"/>
              </w:rPr>
            </w:pPr>
            <w:r w:rsidRPr="00BB229F">
              <w:rPr>
                <w:sz w:val="20"/>
              </w:rPr>
              <w:t>14</w:t>
            </w:r>
            <w:r w:rsidR="003E1C13" w:rsidRPr="00BB229F">
              <w:rPr>
                <w:sz w:val="20"/>
              </w:rPr>
              <w:t>0</w:t>
            </w:r>
            <w:r w:rsidRPr="00BB229F">
              <w:rPr>
                <w:sz w:val="20"/>
              </w:rPr>
              <w:t>,9</w:t>
            </w:r>
            <w:r w:rsidR="003E1C13" w:rsidRPr="00BB229F">
              <w:rPr>
                <w:sz w:val="20"/>
              </w:rPr>
              <w:t>25</w:t>
            </w:r>
          </w:p>
        </w:tc>
      </w:tr>
      <w:tr w:rsidR="00BB229F" w:rsidRPr="00BB229F" w:rsidTr="00246F55">
        <w:tc>
          <w:tcPr>
            <w:tcW w:w="6840" w:type="dxa"/>
            <w:tcBorders>
              <w:top w:val="single" w:sz="6" w:space="0" w:color="auto"/>
              <w:left w:val="double" w:sz="6" w:space="0" w:color="auto"/>
            </w:tcBorders>
          </w:tcPr>
          <w:p w:rsidR="00C92700" w:rsidRPr="00BB229F" w:rsidRDefault="00C92700" w:rsidP="00246F55">
            <w:pPr>
              <w:tabs>
                <w:tab w:val="left" w:pos="-1440"/>
                <w:tab w:val="left" w:pos="-720"/>
              </w:tabs>
              <w:suppressAutoHyphens/>
              <w:spacing w:before="90" w:after="54"/>
              <w:rPr>
                <w:sz w:val="20"/>
              </w:rPr>
            </w:pPr>
            <w:r w:rsidRPr="00BB229F">
              <w:rPr>
                <w:sz w:val="20"/>
              </w:rPr>
              <w:t>Space Stations (per operational system in non-geostationary orbit) (47 CFR part 25)</w:t>
            </w:r>
          </w:p>
        </w:tc>
        <w:tc>
          <w:tcPr>
            <w:tcW w:w="1710" w:type="dxa"/>
            <w:tcBorders>
              <w:top w:val="single" w:sz="6" w:space="0" w:color="auto"/>
              <w:left w:val="single" w:sz="6" w:space="0" w:color="auto"/>
              <w:right w:val="double" w:sz="6" w:space="0" w:color="auto"/>
            </w:tcBorders>
          </w:tcPr>
          <w:p w:rsidR="00C92700" w:rsidRPr="00BB229F" w:rsidRDefault="00C92700">
            <w:pPr>
              <w:tabs>
                <w:tab w:val="left" w:pos="-1440"/>
                <w:tab w:val="left" w:pos="-720"/>
              </w:tabs>
              <w:suppressAutoHyphens/>
              <w:spacing w:before="90" w:after="54"/>
              <w:jc w:val="center"/>
              <w:rPr>
                <w:sz w:val="20"/>
              </w:rPr>
            </w:pPr>
            <w:r w:rsidRPr="00BB229F">
              <w:rPr>
                <w:sz w:val="20"/>
              </w:rPr>
              <w:t>1</w:t>
            </w:r>
            <w:r w:rsidR="003E1C13" w:rsidRPr="00BB229F">
              <w:rPr>
                <w:sz w:val="20"/>
              </w:rPr>
              <w:t>35</w:t>
            </w:r>
            <w:r w:rsidRPr="00BB229F">
              <w:rPr>
                <w:sz w:val="20"/>
              </w:rPr>
              <w:t>,</w:t>
            </w:r>
            <w:r w:rsidR="003E1C13" w:rsidRPr="00BB229F">
              <w:rPr>
                <w:sz w:val="20"/>
              </w:rPr>
              <w:t>350</w:t>
            </w:r>
          </w:p>
        </w:tc>
      </w:tr>
      <w:tr w:rsidR="00BB229F" w:rsidRPr="00BB229F" w:rsidTr="00246F55">
        <w:tc>
          <w:tcPr>
            <w:tcW w:w="6840" w:type="dxa"/>
            <w:tcBorders>
              <w:top w:val="single" w:sz="6" w:space="0" w:color="auto"/>
              <w:left w:val="double" w:sz="6" w:space="0" w:color="auto"/>
            </w:tcBorders>
          </w:tcPr>
          <w:p w:rsidR="00C92700" w:rsidRPr="00BB229F" w:rsidRDefault="00C92700" w:rsidP="00246F55">
            <w:pPr>
              <w:tabs>
                <w:tab w:val="left" w:pos="-1440"/>
                <w:tab w:val="left" w:pos="-720"/>
              </w:tabs>
              <w:suppressAutoHyphens/>
              <w:spacing w:before="90" w:after="54"/>
              <w:rPr>
                <w:sz w:val="20"/>
              </w:rPr>
            </w:pPr>
            <w:r w:rsidRPr="00BB229F">
              <w:rPr>
                <w:sz w:val="20"/>
              </w:rPr>
              <w:t>International Bearer Circuits -  Terrestrial/Satellites (per 64KB circuit)</w:t>
            </w:r>
            <w:r w:rsidRPr="00BB229F">
              <w:rPr>
                <w:sz w:val="20"/>
                <w:vertAlign w:val="superscript"/>
              </w:rPr>
              <w:t xml:space="preserve"> </w:t>
            </w:r>
            <w:r w:rsidRPr="00BB229F">
              <w:rPr>
                <w:sz w:val="20"/>
              </w:rPr>
              <w:t xml:space="preserve"> </w:t>
            </w:r>
          </w:p>
        </w:tc>
        <w:tc>
          <w:tcPr>
            <w:tcW w:w="1710" w:type="dxa"/>
            <w:tcBorders>
              <w:top w:val="single" w:sz="6" w:space="0" w:color="auto"/>
              <w:left w:val="single" w:sz="6" w:space="0" w:color="auto"/>
              <w:right w:val="double" w:sz="6" w:space="0" w:color="auto"/>
            </w:tcBorders>
          </w:tcPr>
          <w:p w:rsidR="00C92700" w:rsidRPr="00BB229F" w:rsidRDefault="00C92700" w:rsidP="00246F55">
            <w:pPr>
              <w:tabs>
                <w:tab w:val="left" w:pos="-1440"/>
                <w:tab w:val="left" w:pos="-720"/>
              </w:tabs>
              <w:suppressAutoHyphens/>
              <w:spacing w:before="90" w:after="54"/>
              <w:jc w:val="center"/>
              <w:rPr>
                <w:sz w:val="20"/>
              </w:rPr>
            </w:pPr>
            <w:r w:rsidRPr="00BB229F">
              <w:rPr>
                <w:sz w:val="20"/>
              </w:rPr>
              <w:t>.03</w:t>
            </w:r>
          </w:p>
        </w:tc>
      </w:tr>
      <w:tr w:rsidR="00BB229F" w:rsidRPr="00BB229F" w:rsidTr="00246F55">
        <w:tc>
          <w:tcPr>
            <w:tcW w:w="6840" w:type="dxa"/>
            <w:tcBorders>
              <w:top w:val="single" w:sz="6" w:space="0" w:color="auto"/>
              <w:left w:val="double" w:sz="6" w:space="0" w:color="auto"/>
            </w:tcBorders>
          </w:tcPr>
          <w:p w:rsidR="00C92700" w:rsidRPr="00BB229F" w:rsidRDefault="00C92700" w:rsidP="00246F55">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 w:val="20"/>
              </w:rPr>
            </w:pPr>
            <w:r w:rsidRPr="00BB229F">
              <w:rPr>
                <w:sz w:val="20"/>
              </w:rPr>
              <w:t xml:space="preserve">Submarine Cable Landing Licenses Fee (per cable system) </w:t>
            </w:r>
          </w:p>
        </w:tc>
        <w:tc>
          <w:tcPr>
            <w:tcW w:w="1710" w:type="dxa"/>
            <w:tcBorders>
              <w:top w:val="single" w:sz="6" w:space="0" w:color="auto"/>
              <w:left w:val="single" w:sz="6" w:space="0" w:color="auto"/>
              <w:right w:val="double" w:sz="6" w:space="0" w:color="auto"/>
            </w:tcBorders>
          </w:tcPr>
          <w:p w:rsidR="00C92700" w:rsidRPr="00BB229F" w:rsidRDefault="00C92700" w:rsidP="00246F55">
            <w:pPr>
              <w:tabs>
                <w:tab w:val="left" w:pos="-1440"/>
                <w:tab w:val="left" w:pos="-720"/>
              </w:tabs>
              <w:suppressAutoHyphens/>
              <w:spacing w:before="90" w:after="54"/>
              <w:jc w:val="center"/>
              <w:rPr>
                <w:sz w:val="20"/>
              </w:rPr>
            </w:pPr>
            <w:r w:rsidRPr="00BB229F">
              <w:rPr>
                <w:sz w:val="20"/>
              </w:rPr>
              <w:t>See Table Below</w:t>
            </w:r>
          </w:p>
        </w:tc>
      </w:tr>
      <w:tr w:rsidR="00C92700" w:rsidRPr="00BB229F" w:rsidTr="00246F55">
        <w:trPr>
          <w:trHeight w:val="57"/>
        </w:trPr>
        <w:tc>
          <w:tcPr>
            <w:tcW w:w="6840" w:type="dxa"/>
            <w:tcBorders>
              <w:top w:val="single" w:sz="6" w:space="0" w:color="auto"/>
              <w:left w:val="double" w:sz="6" w:space="0" w:color="auto"/>
              <w:bottom w:val="double" w:sz="6" w:space="0" w:color="auto"/>
            </w:tcBorders>
          </w:tcPr>
          <w:p w:rsidR="00C92700" w:rsidRPr="00BB229F" w:rsidRDefault="00C92700" w:rsidP="00246F55">
            <w:pPr>
              <w:tabs>
                <w:tab w:val="left" w:pos="-1440"/>
                <w:tab w:val="left" w:pos="-720"/>
                <w:tab w:val="left" w:pos="0"/>
                <w:tab w:val="left" w:pos="720"/>
                <w:tab w:val="left" w:pos="1440"/>
                <w:tab w:val="left" w:pos="2160"/>
                <w:tab w:val="left" w:pos="2880"/>
                <w:tab w:val="left" w:pos="3600"/>
              </w:tabs>
              <w:suppressAutoHyphens/>
              <w:spacing w:before="90" w:after="54"/>
              <w:ind w:left="4320" w:hanging="4320"/>
              <w:rPr>
                <w:sz w:val="20"/>
              </w:rPr>
            </w:pPr>
            <w:r w:rsidRPr="00BB229F">
              <w:rPr>
                <w:sz w:val="20"/>
              </w:rPr>
              <w:tab/>
            </w:r>
          </w:p>
        </w:tc>
        <w:tc>
          <w:tcPr>
            <w:tcW w:w="1710" w:type="dxa"/>
            <w:tcBorders>
              <w:top w:val="single" w:sz="6" w:space="0" w:color="auto"/>
              <w:left w:val="single" w:sz="6" w:space="0" w:color="auto"/>
              <w:bottom w:val="double" w:sz="6" w:space="0" w:color="auto"/>
              <w:right w:val="double" w:sz="6" w:space="0" w:color="auto"/>
            </w:tcBorders>
          </w:tcPr>
          <w:p w:rsidR="00C92700" w:rsidRPr="00BB229F" w:rsidRDefault="00C92700" w:rsidP="00246F55">
            <w:pPr>
              <w:tabs>
                <w:tab w:val="center" w:pos="850"/>
              </w:tabs>
              <w:suppressAutoHyphens/>
              <w:spacing w:before="90" w:after="54"/>
              <w:jc w:val="center"/>
              <w:rPr>
                <w:sz w:val="20"/>
              </w:rPr>
            </w:pPr>
          </w:p>
        </w:tc>
      </w:tr>
    </w:tbl>
    <w:p w:rsidR="00C92700" w:rsidRPr="00BB229F" w:rsidRDefault="00C92700" w:rsidP="00C92700">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outlineLvl w:val="0"/>
        <w:rPr>
          <w:b/>
          <w:sz w:val="20"/>
        </w:rPr>
      </w:pPr>
    </w:p>
    <w:p w:rsidR="00C92700" w:rsidRPr="00BB229F" w:rsidRDefault="00C92700" w:rsidP="00C92700">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outlineLvl w:val="0"/>
        <w:rPr>
          <w:b/>
          <w:sz w:val="20"/>
        </w:rPr>
      </w:pPr>
    </w:p>
    <w:p w:rsidR="00C92700" w:rsidRPr="00BB229F" w:rsidRDefault="00C92700" w:rsidP="00C92700">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outlineLvl w:val="0"/>
        <w:rPr>
          <w:rFonts w:ascii="Times New Roman Bold" w:hAnsi="Times New Roman Bold"/>
          <w:b/>
          <w:szCs w:val="22"/>
        </w:rPr>
      </w:pPr>
      <w:r w:rsidRPr="00BB229F">
        <w:rPr>
          <w:sz w:val="20"/>
        </w:rPr>
        <w:br w:type="page"/>
      </w:r>
    </w:p>
    <w:tbl>
      <w:tblPr>
        <w:tblW w:w="8550" w:type="dxa"/>
        <w:tblInd w:w="152" w:type="dxa"/>
        <w:tblLayout w:type="fixed"/>
        <w:tblCellMar>
          <w:left w:w="62" w:type="dxa"/>
          <w:right w:w="62" w:type="dxa"/>
        </w:tblCellMar>
        <w:tblLook w:val="0000" w:firstRow="0" w:lastRow="0" w:firstColumn="0" w:lastColumn="0" w:noHBand="0" w:noVBand="0"/>
      </w:tblPr>
      <w:tblGrid>
        <w:gridCol w:w="1890"/>
        <w:gridCol w:w="1080"/>
        <w:gridCol w:w="990"/>
        <w:gridCol w:w="900"/>
        <w:gridCol w:w="900"/>
        <w:gridCol w:w="1440"/>
        <w:gridCol w:w="1350"/>
      </w:tblGrid>
      <w:tr w:rsidR="00BB229F" w:rsidRPr="00BB229F" w:rsidTr="00246F55">
        <w:tc>
          <w:tcPr>
            <w:tcW w:w="8550" w:type="dxa"/>
            <w:gridSpan w:val="7"/>
            <w:tcBorders>
              <w:top w:val="double" w:sz="6" w:space="0" w:color="auto"/>
              <w:left w:val="double" w:sz="6" w:space="0" w:color="auto"/>
              <w:right w:val="double" w:sz="6" w:space="0" w:color="auto"/>
            </w:tcBorders>
          </w:tcPr>
          <w:p w:rsidR="00C92700" w:rsidRPr="00BB229F" w:rsidRDefault="00C92700"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 w:val="20"/>
              </w:rPr>
            </w:pPr>
            <w:r w:rsidRPr="00BB229F">
              <w:rPr>
                <w:b/>
                <w:sz w:val="20"/>
              </w:rPr>
              <w:t xml:space="preserve">FY 2017 </w:t>
            </w:r>
            <w:r w:rsidRPr="00BB229F">
              <w:rPr>
                <w:b/>
                <w:sz w:val="20"/>
              </w:rPr>
              <w:fldChar w:fldCharType="begin"/>
            </w:r>
            <w:r w:rsidRPr="00BB229F">
              <w:rPr>
                <w:b/>
                <w:sz w:val="20"/>
              </w:rPr>
              <w:instrText xml:space="preserve">PRIVATE </w:instrText>
            </w:r>
            <w:r w:rsidRPr="00BB229F">
              <w:rPr>
                <w:b/>
                <w:sz w:val="20"/>
              </w:rPr>
              <w:fldChar w:fldCharType="end"/>
            </w:r>
            <w:r w:rsidRPr="00BB229F">
              <w:rPr>
                <w:b/>
                <w:sz w:val="20"/>
              </w:rPr>
              <w:t>RADIO STATION REGULATORY FEES</w:t>
            </w:r>
          </w:p>
        </w:tc>
      </w:tr>
      <w:tr w:rsidR="00BB229F" w:rsidRPr="00BB229F" w:rsidTr="00246F55">
        <w:tc>
          <w:tcPr>
            <w:tcW w:w="1890" w:type="dxa"/>
            <w:tcBorders>
              <w:top w:val="single" w:sz="6" w:space="0" w:color="auto"/>
              <w:left w:val="double" w:sz="6" w:space="0" w:color="auto"/>
            </w:tcBorders>
          </w:tcPr>
          <w:p w:rsidR="00C92700" w:rsidRPr="00BB229F" w:rsidRDefault="00C92700"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jc w:val="center"/>
              <w:rPr>
                <w:b/>
                <w:sz w:val="20"/>
              </w:rPr>
            </w:pPr>
            <w:r w:rsidRPr="00BB229F">
              <w:rPr>
                <w:b/>
                <w:sz w:val="20"/>
              </w:rPr>
              <w:t xml:space="preserve">Population </w:t>
            </w:r>
          </w:p>
          <w:p w:rsidR="00C92700" w:rsidRPr="00BB229F" w:rsidRDefault="00C92700"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04"/>
              <w:jc w:val="center"/>
              <w:rPr>
                <w:b/>
                <w:sz w:val="20"/>
              </w:rPr>
            </w:pPr>
            <w:r w:rsidRPr="00BB229F">
              <w:rPr>
                <w:b/>
                <w:sz w:val="20"/>
              </w:rPr>
              <w:t>Served</w:t>
            </w:r>
          </w:p>
        </w:tc>
        <w:tc>
          <w:tcPr>
            <w:tcW w:w="1080" w:type="dxa"/>
            <w:tcBorders>
              <w:top w:val="single" w:sz="6" w:space="0" w:color="auto"/>
              <w:left w:val="single" w:sz="6" w:space="0" w:color="auto"/>
            </w:tcBorders>
          </w:tcPr>
          <w:p w:rsidR="00C92700" w:rsidRPr="00BB229F" w:rsidRDefault="00C92700"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 w:val="20"/>
              </w:rPr>
            </w:pPr>
            <w:r w:rsidRPr="00BB229F">
              <w:rPr>
                <w:b/>
                <w:sz w:val="20"/>
              </w:rPr>
              <w:t>AM Class A</w:t>
            </w:r>
          </w:p>
        </w:tc>
        <w:tc>
          <w:tcPr>
            <w:tcW w:w="990" w:type="dxa"/>
            <w:tcBorders>
              <w:top w:val="single" w:sz="6" w:space="0" w:color="auto"/>
              <w:left w:val="single" w:sz="6" w:space="0" w:color="auto"/>
            </w:tcBorders>
          </w:tcPr>
          <w:p w:rsidR="00C92700" w:rsidRPr="00BB229F" w:rsidRDefault="00C92700"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 w:val="20"/>
              </w:rPr>
            </w:pPr>
            <w:r w:rsidRPr="00BB229F">
              <w:rPr>
                <w:b/>
                <w:sz w:val="20"/>
              </w:rPr>
              <w:t>AM Class B</w:t>
            </w:r>
          </w:p>
        </w:tc>
        <w:tc>
          <w:tcPr>
            <w:tcW w:w="900" w:type="dxa"/>
            <w:tcBorders>
              <w:top w:val="single" w:sz="6" w:space="0" w:color="auto"/>
              <w:left w:val="single" w:sz="6" w:space="0" w:color="auto"/>
            </w:tcBorders>
          </w:tcPr>
          <w:p w:rsidR="00C92700" w:rsidRPr="00BB229F" w:rsidRDefault="00C92700"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 w:val="20"/>
              </w:rPr>
            </w:pPr>
            <w:r w:rsidRPr="00BB229F">
              <w:rPr>
                <w:b/>
                <w:sz w:val="20"/>
              </w:rPr>
              <w:t>AM Class C</w:t>
            </w:r>
          </w:p>
        </w:tc>
        <w:tc>
          <w:tcPr>
            <w:tcW w:w="900" w:type="dxa"/>
            <w:tcBorders>
              <w:top w:val="single" w:sz="6" w:space="0" w:color="auto"/>
              <w:left w:val="single" w:sz="6" w:space="0" w:color="auto"/>
            </w:tcBorders>
          </w:tcPr>
          <w:p w:rsidR="00C92700" w:rsidRPr="00BB229F" w:rsidRDefault="00C92700"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 w:val="20"/>
              </w:rPr>
            </w:pPr>
            <w:r w:rsidRPr="00BB229F">
              <w:rPr>
                <w:b/>
                <w:sz w:val="20"/>
              </w:rPr>
              <w:t>AM Class D</w:t>
            </w:r>
          </w:p>
        </w:tc>
        <w:tc>
          <w:tcPr>
            <w:tcW w:w="1440" w:type="dxa"/>
            <w:tcBorders>
              <w:top w:val="single" w:sz="6" w:space="0" w:color="auto"/>
              <w:left w:val="single" w:sz="6" w:space="0" w:color="auto"/>
            </w:tcBorders>
          </w:tcPr>
          <w:p w:rsidR="00C92700" w:rsidRPr="00BB229F" w:rsidRDefault="00C92700"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jc w:val="center"/>
              <w:rPr>
                <w:b/>
                <w:sz w:val="20"/>
                <w:lang w:val="pt-BR"/>
              </w:rPr>
            </w:pPr>
            <w:r w:rsidRPr="00BB229F">
              <w:rPr>
                <w:b/>
                <w:sz w:val="20"/>
                <w:lang w:val="pt-BR"/>
              </w:rPr>
              <w:t>FM Classes</w:t>
            </w:r>
          </w:p>
          <w:p w:rsidR="00C92700" w:rsidRPr="00BB229F" w:rsidRDefault="00C92700"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04"/>
              <w:jc w:val="center"/>
              <w:rPr>
                <w:b/>
                <w:sz w:val="20"/>
                <w:lang w:val="pt-BR"/>
              </w:rPr>
            </w:pPr>
            <w:r w:rsidRPr="00BB229F">
              <w:rPr>
                <w:b/>
                <w:sz w:val="20"/>
                <w:lang w:val="pt-BR"/>
              </w:rPr>
              <w:t>A, B1 &amp; C3</w:t>
            </w:r>
          </w:p>
        </w:tc>
        <w:tc>
          <w:tcPr>
            <w:tcW w:w="1350" w:type="dxa"/>
            <w:tcBorders>
              <w:top w:val="single" w:sz="6" w:space="0" w:color="auto"/>
              <w:left w:val="single" w:sz="6" w:space="0" w:color="auto"/>
              <w:right w:val="double" w:sz="6" w:space="0" w:color="auto"/>
            </w:tcBorders>
          </w:tcPr>
          <w:p w:rsidR="00C92700" w:rsidRPr="00BB229F" w:rsidRDefault="00C92700"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jc w:val="center"/>
              <w:rPr>
                <w:b/>
                <w:sz w:val="20"/>
                <w:lang w:val="pt-BR"/>
              </w:rPr>
            </w:pPr>
            <w:r w:rsidRPr="00BB229F">
              <w:rPr>
                <w:b/>
                <w:sz w:val="20"/>
                <w:lang w:val="pt-BR"/>
              </w:rPr>
              <w:t>FM Classes</w:t>
            </w:r>
          </w:p>
          <w:p w:rsidR="00C92700" w:rsidRPr="00BB229F" w:rsidRDefault="00C92700"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04"/>
              <w:jc w:val="center"/>
              <w:rPr>
                <w:b/>
                <w:sz w:val="20"/>
                <w:lang w:val="pt-BR"/>
              </w:rPr>
            </w:pPr>
            <w:r w:rsidRPr="00BB229F">
              <w:rPr>
                <w:b/>
                <w:sz w:val="20"/>
                <w:lang w:val="pt-BR"/>
              </w:rPr>
              <w:t>B, C, C0, C1 &amp; C2</w:t>
            </w:r>
          </w:p>
        </w:tc>
      </w:tr>
      <w:tr w:rsidR="00BB229F" w:rsidRPr="00BB229F" w:rsidTr="00246F55">
        <w:tc>
          <w:tcPr>
            <w:tcW w:w="1890" w:type="dxa"/>
            <w:tcBorders>
              <w:top w:val="single" w:sz="6" w:space="0" w:color="auto"/>
              <w:left w:val="double" w:sz="6" w:space="0" w:color="auto"/>
            </w:tcBorders>
          </w:tcPr>
          <w:p w:rsidR="00C92700" w:rsidRPr="00BB229F" w:rsidRDefault="00C92700"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sidRPr="00BB229F">
              <w:rPr>
                <w:b/>
                <w:sz w:val="20"/>
              </w:rPr>
              <w:t>&lt;=25,000</w:t>
            </w:r>
          </w:p>
        </w:tc>
        <w:tc>
          <w:tcPr>
            <w:tcW w:w="1080" w:type="dxa"/>
            <w:tcBorders>
              <w:top w:val="single" w:sz="6" w:space="0" w:color="auto"/>
              <w:left w:val="single" w:sz="6" w:space="0" w:color="auto"/>
            </w:tcBorders>
          </w:tcPr>
          <w:p w:rsidR="00C92700" w:rsidRPr="00BB229F" w:rsidRDefault="00C92700"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sidRPr="00BB229F">
              <w:rPr>
                <w:sz w:val="20"/>
              </w:rPr>
              <w:t>$895</w:t>
            </w:r>
          </w:p>
        </w:tc>
        <w:tc>
          <w:tcPr>
            <w:tcW w:w="990" w:type="dxa"/>
            <w:tcBorders>
              <w:top w:val="single" w:sz="6" w:space="0" w:color="auto"/>
              <w:left w:val="single" w:sz="6" w:space="0" w:color="auto"/>
            </w:tcBorders>
          </w:tcPr>
          <w:p w:rsidR="00C92700" w:rsidRPr="00BB229F" w:rsidRDefault="00C92700"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sidRPr="00BB229F">
              <w:rPr>
                <w:sz w:val="20"/>
              </w:rPr>
              <w:t>$640</w:t>
            </w:r>
          </w:p>
        </w:tc>
        <w:tc>
          <w:tcPr>
            <w:tcW w:w="900" w:type="dxa"/>
            <w:tcBorders>
              <w:top w:val="single" w:sz="6" w:space="0" w:color="auto"/>
              <w:left w:val="single" w:sz="6" w:space="0" w:color="auto"/>
            </w:tcBorders>
          </w:tcPr>
          <w:p w:rsidR="00C92700" w:rsidRPr="00BB229F" w:rsidRDefault="00C92700"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sidRPr="00BB229F">
              <w:rPr>
                <w:sz w:val="20"/>
              </w:rPr>
              <w:t>$555</w:t>
            </w:r>
          </w:p>
        </w:tc>
        <w:tc>
          <w:tcPr>
            <w:tcW w:w="900" w:type="dxa"/>
            <w:tcBorders>
              <w:top w:val="single" w:sz="6" w:space="0" w:color="auto"/>
              <w:left w:val="single" w:sz="6" w:space="0" w:color="auto"/>
            </w:tcBorders>
          </w:tcPr>
          <w:p w:rsidR="00C92700" w:rsidRPr="00BB229F" w:rsidRDefault="00C92700"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sidRPr="00BB229F">
              <w:rPr>
                <w:sz w:val="20"/>
              </w:rPr>
              <w:t>$610</w:t>
            </w:r>
          </w:p>
        </w:tc>
        <w:tc>
          <w:tcPr>
            <w:tcW w:w="1440" w:type="dxa"/>
            <w:tcBorders>
              <w:top w:val="single" w:sz="6" w:space="0" w:color="auto"/>
              <w:left w:val="single" w:sz="6" w:space="0" w:color="auto"/>
            </w:tcBorders>
          </w:tcPr>
          <w:p w:rsidR="00C92700" w:rsidRPr="00BB229F" w:rsidRDefault="00C92700"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sidRPr="00BB229F">
              <w:rPr>
                <w:sz w:val="20"/>
              </w:rPr>
              <w:t>$980</w:t>
            </w:r>
          </w:p>
        </w:tc>
        <w:tc>
          <w:tcPr>
            <w:tcW w:w="1350" w:type="dxa"/>
            <w:tcBorders>
              <w:top w:val="single" w:sz="6" w:space="0" w:color="auto"/>
              <w:left w:val="single" w:sz="6" w:space="0" w:color="auto"/>
              <w:right w:val="double" w:sz="6" w:space="0" w:color="auto"/>
            </w:tcBorders>
          </w:tcPr>
          <w:p w:rsidR="00C92700" w:rsidRPr="00BB229F" w:rsidRDefault="00C92700"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sidRPr="00BB229F">
              <w:rPr>
                <w:sz w:val="20"/>
              </w:rPr>
              <w:t>$1,100</w:t>
            </w:r>
          </w:p>
        </w:tc>
      </w:tr>
      <w:tr w:rsidR="00BB229F" w:rsidRPr="00BB229F" w:rsidTr="00246F55">
        <w:tc>
          <w:tcPr>
            <w:tcW w:w="1890" w:type="dxa"/>
            <w:tcBorders>
              <w:top w:val="single" w:sz="6" w:space="0" w:color="auto"/>
              <w:left w:val="double" w:sz="6" w:space="0" w:color="auto"/>
            </w:tcBorders>
          </w:tcPr>
          <w:p w:rsidR="00C92700" w:rsidRPr="00BB229F" w:rsidRDefault="00C92700"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sidRPr="00BB229F">
              <w:rPr>
                <w:b/>
                <w:sz w:val="20"/>
              </w:rPr>
              <w:t>25,001 – 75,000</w:t>
            </w:r>
          </w:p>
        </w:tc>
        <w:tc>
          <w:tcPr>
            <w:tcW w:w="1080" w:type="dxa"/>
            <w:tcBorders>
              <w:top w:val="single" w:sz="6" w:space="0" w:color="auto"/>
              <w:left w:val="single" w:sz="6" w:space="0" w:color="auto"/>
            </w:tcBorders>
          </w:tcPr>
          <w:p w:rsidR="00C92700" w:rsidRPr="00BB229F" w:rsidRDefault="00C92700"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sidRPr="00BB229F">
              <w:rPr>
                <w:sz w:val="20"/>
              </w:rPr>
              <w:t>$1,350</w:t>
            </w:r>
          </w:p>
        </w:tc>
        <w:tc>
          <w:tcPr>
            <w:tcW w:w="990" w:type="dxa"/>
            <w:tcBorders>
              <w:top w:val="single" w:sz="6" w:space="0" w:color="auto"/>
              <w:left w:val="single" w:sz="6" w:space="0" w:color="auto"/>
            </w:tcBorders>
          </w:tcPr>
          <w:p w:rsidR="00C92700" w:rsidRPr="00BB229F" w:rsidRDefault="00C92700"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sidRPr="00BB229F">
              <w:rPr>
                <w:sz w:val="20"/>
              </w:rPr>
              <w:t>$955</w:t>
            </w:r>
          </w:p>
        </w:tc>
        <w:tc>
          <w:tcPr>
            <w:tcW w:w="900" w:type="dxa"/>
            <w:tcBorders>
              <w:top w:val="single" w:sz="6" w:space="0" w:color="auto"/>
              <w:left w:val="single" w:sz="6" w:space="0" w:color="auto"/>
            </w:tcBorders>
          </w:tcPr>
          <w:p w:rsidR="00C92700" w:rsidRPr="00BB229F" w:rsidRDefault="00C92700"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sidRPr="00BB229F">
              <w:rPr>
                <w:sz w:val="20"/>
              </w:rPr>
              <w:t>$830</w:t>
            </w:r>
          </w:p>
        </w:tc>
        <w:tc>
          <w:tcPr>
            <w:tcW w:w="900" w:type="dxa"/>
            <w:tcBorders>
              <w:top w:val="single" w:sz="6" w:space="0" w:color="auto"/>
              <w:left w:val="single" w:sz="6" w:space="0" w:color="auto"/>
            </w:tcBorders>
          </w:tcPr>
          <w:p w:rsidR="00C92700" w:rsidRPr="00BB229F" w:rsidRDefault="00C92700"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sidRPr="00BB229F">
              <w:rPr>
                <w:sz w:val="20"/>
              </w:rPr>
              <w:t>$915</w:t>
            </w:r>
          </w:p>
        </w:tc>
        <w:tc>
          <w:tcPr>
            <w:tcW w:w="1440" w:type="dxa"/>
            <w:tcBorders>
              <w:top w:val="single" w:sz="6" w:space="0" w:color="auto"/>
              <w:left w:val="single" w:sz="6" w:space="0" w:color="auto"/>
            </w:tcBorders>
          </w:tcPr>
          <w:p w:rsidR="00C92700" w:rsidRPr="00BB229F" w:rsidRDefault="00C92700"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sidRPr="00BB229F">
              <w:rPr>
                <w:sz w:val="20"/>
              </w:rPr>
              <w:t>$1,475</w:t>
            </w:r>
          </w:p>
        </w:tc>
        <w:tc>
          <w:tcPr>
            <w:tcW w:w="1350" w:type="dxa"/>
            <w:tcBorders>
              <w:top w:val="single" w:sz="6" w:space="0" w:color="auto"/>
              <w:left w:val="single" w:sz="6" w:space="0" w:color="auto"/>
              <w:right w:val="double" w:sz="6" w:space="0" w:color="auto"/>
            </w:tcBorders>
          </w:tcPr>
          <w:p w:rsidR="00C92700" w:rsidRPr="00BB229F" w:rsidRDefault="00C92700"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sidRPr="00BB229F">
              <w:rPr>
                <w:sz w:val="20"/>
              </w:rPr>
              <w:t>$1,650</w:t>
            </w:r>
          </w:p>
        </w:tc>
      </w:tr>
      <w:tr w:rsidR="00BB229F" w:rsidRPr="00BB229F" w:rsidTr="00246F55">
        <w:tc>
          <w:tcPr>
            <w:tcW w:w="1890" w:type="dxa"/>
            <w:tcBorders>
              <w:top w:val="single" w:sz="6" w:space="0" w:color="auto"/>
              <w:left w:val="double" w:sz="6" w:space="0" w:color="auto"/>
            </w:tcBorders>
          </w:tcPr>
          <w:p w:rsidR="00C92700" w:rsidRPr="00BB229F" w:rsidRDefault="00C92700"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sidRPr="00BB229F">
              <w:rPr>
                <w:b/>
                <w:sz w:val="20"/>
              </w:rPr>
              <w:t>75,001 – 150,000</w:t>
            </w:r>
          </w:p>
        </w:tc>
        <w:tc>
          <w:tcPr>
            <w:tcW w:w="1080" w:type="dxa"/>
            <w:tcBorders>
              <w:top w:val="single" w:sz="6" w:space="0" w:color="auto"/>
              <w:left w:val="single" w:sz="6" w:space="0" w:color="auto"/>
            </w:tcBorders>
          </w:tcPr>
          <w:p w:rsidR="00C92700" w:rsidRPr="00BB229F" w:rsidRDefault="00C92700"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sidRPr="00BB229F">
              <w:rPr>
                <w:sz w:val="20"/>
              </w:rPr>
              <w:t>$2,375</w:t>
            </w:r>
          </w:p>
        </w:tc>
        <w:tc>
          <w:tcPr>
            <w:tcW w:w="990" w:type="dxa"/>
            <w:tcBorders>
              <w:top w:val="single" w:sz="6" w:space="0" w:color="auto"/>
              <w:left w:val="single" w:sz="6" w:space="0" w:color="auto"/>
            </w:tcBorders>
          </w:tcPr>
          <w:p w:rsidR="00C92700" w:rsidRPr="00BB229F" w:rsidRDefault="00C92700"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sidRPr="00BB229F">
              <w:rPr>
                <w:sz w:val="20"/>
              </w:rPr>
              <w:t>$1,700</w:t>
            </w:r>
          </w:p>
        </w:tc>
        <w:tc>
          <w:tcPr>
            <w:tcW w:w="900" w:type="dxa"/>
            <w:tcBorders>
              <w:top w:val="single" w:sz="6" w:space="0" w:color="auto"/>
              <w:left w:val="single" w:sz="6" w:space="0" w:color="auto"/>
            </w:tcBorders>
          </w:tcPr>
          <w:p w:rsidR="00C92700" w:rsidRPr="00BB229F" w:rsidRDefault="00C92700"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sidRPr="00BB229F">
              <w:rPr>
                <w:sz w:val="20"/>
              </w:rPr>
              <w:t>$1,475</w:t>
            </w:r>
          </w:p>
        </w:tc>
        <w:tc>
          <w:tcPr>
            <w:tcW w:w="900" w:type="dxa"/>
            <w:tcBorders>
              <w:top w:val="single" w:sz="6" w:space="0" w:color="auto"/>
              <w:left w:val="single" w:sz="6" w:space="0" w:color="auto"/>
            </w:tcBorders>
          </w:tcPr>
          <w:p w:rsidR="00C92700" w:rsidRPr="00BB229F" w:rsidRDefault="00C92700"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sidRPr="00BB229F">
              <w:rPr>
                <w:sz w:val="20"/>
              </w:rPr>
              <w:t>$1,600</w:t>
            </w:r>
          </w:p>
        </w:tc>
        <w:tc>
          <w:tcPr>
            <w:tcW w:w="1440" w:type="dxa"/>
            <w:tcBorders>
              <w:top w:val="single" w:sz="6" w:space="0" w:color="auto"/>
              <w:left w:val="single" w:sz="6" w:space="0" w:color="auto"/>
            </w:tcBorders>
          </w:tcPr>
          <w:p w:rsidR="00C92700" w:rsidRPr="00BB229F" w:rsidRDefault="00C92700"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sidRPr="00BB229F">
              <w:rPr>
                <w:sz w:val="20"/>
              </w:rPr>
              <w:t>$2,600</w:t>
            </w:r>
          </w:p>
        </w:tc>
        <w:tc>
          <w:tcPr>
            <w:tcW w:w="1350" w:type="dxa"/>
            <w:tcBorders>
              <w:top w:val="single" w:sz="6" w:space="0" w:color="auto"/>
              <w:left w:val="single" w:sz="6" w:space="0" w:color="auto"/>
              <w:right w:val="double" w:sz="6" w:space="0" w:color="auto"/>
            </w:tcBorders>
          </w:tcPr>
          <w:p w:rsidR="00C92700" w:rsidRPr="00BB229F" w:rsidRDefault="00C92700"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sidRPr="00BB229F">
              <w:rPr>
                <w:sz w:val="20"/>
              </w:rPr>
              <w:t>$2,925</w:t>
            </w:r>
          </w:p>
        </w:tc>
      </w:tr>
      <w:tr w:rsidR="00BB229F" w:rsidRPr="00BB229F" w:rsidTr="00246F55">
        <w:tc>
          <w:tcPr>
            <w:tcW w:w="1890" w:type="dxa"/>
            <w:tcBorders>
              <w:top w:val="single" w:sz="6" w:space="0" w:color="auto"/>
              <w:left w:val="double" w:sz="6" w:space="0" w:color="auto"/>
            </w:tcBorders>
          </w:tcPr>
          <w:p w:rsidR="00C92700" w:rsidRPr="00BB229F" w:rsidRDefault="00C92700"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sidRPr="00BB229F">
              <w:rPr>
                <w:b/>
                <w:sz w:val="20"/>
              </w:rPr>
              <w:t>150,001 – 500,000</w:t>
            </w:r>
          </w:p>
        </w:tc>
        <w:tc>
          <w:tcPr>
            <w:tcW w:w="1080" w:type="dxa"/>
            <w:tcBorders>
              <w:top w:val="single" w:sz="6" w:space="0" w:color="auto"/>
              <w:left w:val="single" w:sz="6" w:space="0" w:color="auto"/>
            </w:tcBorders>
          </w:tcPr>
          <w:p w:rsidR="00C92700" w:rsidRPr="00BB229F" w:rsidRDefault="00C92700"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sidRPr="00BB229F">
              <w:rPr>
                <w:sz w:val="20"/>
              </w:rPr>
              <w:t>$3,550</w:t>
            </w:r>
          </w:p>
        </w:tc>
        <w:tc>
          <w:tcPr>
            <w:tcW w:w="990" w:type="dxa"/>
            <w:tcBorders>
              <w:top w:val="single" w:sz="6" w:space="0" w:color="auto"/>
              <w:left w:val="single" w:sz="6" w:space="0" w:color="auto"/>
            </w:tcBorders>
          </w:tcPr>
          <w:p w:rsidR="00C92700" w:rsidRPr="00BB229F" w:rsidRDefault="00C92700"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sidRPr="00BB229F">
              <w:rPr>
                <w:sz w:val="20"/>
              </w:rPr>
              <w:t>$2,525</w:t>
            </w:r>
          </w:p>
        </w:tc>
        <w:tc>
          <w:tcPr>
            <w:tcW w:w="900" w:type="dxa"/>
            <w:tcBorders>
              <w:top w:val="single" w:sz="6" w:space="0" w:color="auto"/>
              <w:left w:val="single" w:sz="6" w:space="0" w:color="auto"/>
            </w:tcBorders>
          </w:tcPr>
          <w:p w:rsidR="00C92700" w:rsidRPr="00BB229F" w:rsidRDefault="00C92700"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sidRPr="00BB229F">
              <w:rPr>
                <w:sz w:val="20"/>
              </w:rPr>
              <w:t>$2,200</w:t>
            </w:r>
          </w:p>
        </w:tc>
        <w:tc>
          <w:tcPr>
            <w:tcW w:w="900" w:type="dxa"/>
            <w:tcBorders>
              <w:top w:val="single" w:sz="6" w:space="0" w:color="auto"/>
              <w:left w:val="single" w:sz="6" w:space="0" w:color="auto"/>
            </w:tcBorders>
          </w:tcPr>
          <w:p w:rsidR="00C92700" w:rsidRPr="00BB229F" w:rsidRDefault="00C92700"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sidRPr="00BB229F">
              <w:rPr>
                <w:sz w:val="20"/>
              </w:rPr>
              <w:t>$2,425</w:t>
            </w:r>
          </w:p>
        </w:tc>
        <w:tc>
          <w:tcPr>
            <w:tcW w:w="1440" w:type="dxa"/>
            <w:tcBorders>
              <w:top w:val="single" w:sz="6" w:space="0" w:color="auto"/>
              <w:left w:val="single" w:sz="6" w:space="0" w:color="auto"/>
            </w:tcBorders>
          </w:tcPr>
          <w:p w:rsidR="00C92700" w:rsidRPr="00BB229F" w:rsidRDefault="00C92700"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sidRPr="00BB229F">
              <w:rPr>
                <w:sz w:val="20"/>
              </w:rPr>
              <w:t>$3,875</w:t>
            </w:r>
          </w:p>
        </w:tc>
        <w:tc>
          <w:tcPr>
            <w:tcW w:w="1350" w:type="dxa"/>
            <w:tcBorders>
              <w:top w:val="single" w:sz="6" w:space="0" w:color="auto"/>
              <w:left w:val="single" w:sz="6" w:space="0" w:color="auto"/>
              <w:right w:val="double" w:sz="6" w:space="0" w:color="auto"/>
            </w:tcBorders>
          </w:tcPr>
          <w:p w:rsidR="00C92700" w:rsidRPr="00BB229F" w:rsidRDefault="00C92700"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sidRPr="00BB229F">
              <w:rPr>
                <w:sz w:val="20"/>
              </w:rPr>
              <w:t>$4,400</w:t>
            </w:r>
          </w:p>
        </w:tc>
      </w:tr>
      <w:tr w:rsidR="00BB229F" w:rsidRPr="00BB229F" w:rsidTr="00246F55">
        <w:tc>
          <w:tcPr>
            <w:tcW w:w="1890" w:type="dxa"/>
            <w:tcBorders>
              <w:top w:val="single" w:sz="6" w:space="0" w:color="auto"/>
              <w:left w:val="double" w:sz="6" w:space="0" w:color="auto"/>
            </w:tcBorders>
          </w:tcPr>
          <w:p w:rsidR="00C92700" w:rsidRPr="00BB229F" w:rsidRDefault="00C92700"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sidRPr="00BB229F">
              <w:rPr>
                <w:b/>
                <w:sz w:val="20"/>
              </w:rPr>
              <w:t>500,001 – 1,200,000</w:t>
            </w:r>
          </w:p>
        </w:tc>
        <w:tc>
          <w:tcPr>
            <w:tcW w:w="1080" w:type="dxa"/>
            <w:tcBorders>
              <w:top w:val="single" w:sz="6" w:space="0" w:color="auto"/>
              <w:left w:val="single" w:sz="6" w:space="0" w:color="auto"/>
            </w:tcBorders>
          </w:tcPr>
          <w:p w:rsidR="00C92700" w:rsidRPr="00BB229F" w:rsidRDefault="00C92700"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sidRPr="00BB229F">
              <w:rPr>
                <w:sz w:val="20"/>
              </w:rPr>
              <w:t>$5,325</w:t>
            </w:r>
          </w:p>
        </w:tc>
        <w:tc>
          <w:tcPr>
            <w:tcW w:w="990" w:type="dxa"/>
            <w:tcBorders>
              <w:top w:val="single" w:sz="6" w:space="0" w:color="auto"/>
              <w:left w:val="single" w:sz="6" w:space="0" w:color="auto"/>
            </w:tcBorders>
          </w:tcPr>
          <w:p w:rsidR="00C92700" w:rsidRPr="00BB229F" w:rsidRDefault="00C92700"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sidRPr="00BB229F">
              <w:rPr>
                <w:sz w:val="20"/>
              </w:rPr>
              <w:t>$3,800</w:t>
            </w:r>
          </w:p>
        </w:tc>
        <w:tc>
          <w:tcPr>
            <w:tcW w:w="900" w:type="dxa"/>
            <w:tcBorders>
              <w:top w:val="single" w:sz="6" w:space="0" w:color="auto"/>
              <w:left w:val="single" w:sz="6" w:space="0" w:color="auto"/>
            </w:tcBorders>
          </w:tcPr>
          <w:p w:rsidR="00C92700" w:rsidRPr="00BB229F" w:rsidRDefault="00C92700"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sidRPr="00BB229F">
              <w:rPr>
                <w:sz w:val="20"/>
              </w:rPr>
              <w:t>$3,300</w:t>
            </w:r>
          </w:p>
        </w:tc>
        <w:tc>
          <w:tcPr>
            <w:tcW w:w="900" w:type="dxa"/>
            <w:tcBorders>
              <w:top w:val="single" w:sz="6" w:space="0" w:color="auto"/>
              <w:left w:val="single" w:sz="6" w:space="0" w:color="auto"/>
            </w:tcBorders>
          </w:tcPr>
          <w:p w:rsidR="00C92700" w:rsidRPr="00BB229F" w:rsidRDefault="00C92700"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sidRPr="00BB229F">
              <w:rPr>
                <w:sz w:val="20"/>
              </w:rPr>
              <w:t>$3,625</w:t>
            </w:r>
          </w:p>
        </w:tc>
        <w:tc>
          <w:tcPr>
            <w:tcW w:w="1440" w:type="dxa"/>
            <w:tcBorders>
              <w:top w:val="single" w:sz="6" w:space="0" w:color="auto"/>
              <w:left w:val="single" w:sz="6" w:space="0" w:color="auto"/>
            </w:tcBorders>
          </w:tcPr>
          <w:p w:rsidR="00C92700" w:rsidRPr="00BB229F" w:rsidRDefault="00C92700"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sidRPr="00BB229F">
              <w:rPr>
                <w:sz w:val="20"/>
              </w:rPr>
              <w:t>$5,825</w:t>
            </w:r>
          </w:p>
        </w:tc>
        <w:tc>
          <w:tcPr>
            <w:tcW w:w="1350" w:type="dxa"/>
            <w:tcBorders>
              <w:top w:val="single" w:sz="6" w:space="0" w:color="auto"/>
              <w:left w:val="single" w:sz="6" w:space="0" w:color="auto"/>
              <w:right w:val="double" w:sz="6" w:space="0" w:color="auto"/>
            </w:tcBorders>
          </w:tcPr>
          <w:p w:rsidR="00C92700" w:rsidRPr="00BB229F" w:rsidRDefault="00C92700"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sidRPr="00BB229F">
              <w:rPr>
                <w:sz w:val="20"/>
              </w:rPr>
              <w:t>$6,575</w:t>
            </w:r>
          </w:p>
        </w:tc>
      </w:tr>
      <w:tr w:rsidR="00BB229F" w:rsidRPr="00BB229F" w:rsidTr="00246F55">
        <w:trPr>
          <w:trHeight w:val="361"/>
        </w:trPr>
        <w:tc>
          <w:tcPr>
            <w:tcW w:w="1890" w:type="dxa"/>
            <w:tcBorders>
              <w:top w:val="single" w:sz="6" w:space="0" w:color="auto"/>
              <w:left w:val="double" w:sz="6" w:space="0" w:color="auto"/>
              <w:bottom w:val="single" w:sz="6" w:space="0" w:color="auto"/>
            </w:tcBorders>
          </w:tcPr>
          <w:p w:rsidR="00C92700" w:rsidRPr="00BB229F" w:rsidRDefault="00C92700"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sidRPr="00BB229F">
              <w:rPr>
                <w:b/>
                <w:sz w:val="20"/>
              </w:rPr>
              <w:t>1,200,001 – 3,000,00</w:t>
            </w:r>
          </w:p>
        </w:tc>
        <w:tc>
          <w:tcPr>
            <w:tcW w:w="1080" w:type="dxa"/>
            <w:tcBorders>
              <w:top w:val="single" w:sz="6" w:space="0" w:color="auto"/>
              <w:left w:val="single" w:sz="6" w:space="0" w:color="auto"/>
              <w:bottom w:val="single" w:sz="6" w:space="0" w:color="auto"/>
            </w:tcBorders>
          </w:tcPr>
          <w:p w:rsidR="00C92700" w:rsidRPr="00BB229F" w:rsidRDefault="00C92700"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sidRPr="00BB229F">
              <w:rPr>
                <w:sz w:val="20"/>
              </w:rPr>
              <w:t>$7,975</w:t>
            </w:r>
          </w:p>
        </w:tc>
        <w:tc>
          <w:tcPr>
            <w:tcW w:w="990" w:type="dxa"/>
            <w:tcBorders>
              <w:top w:val="single" w:sz="6" w:space="0" w:color="auto"/>
              <w:left w:val="single" w:sz="6" w:space="0" w:color="auto"/>
              <w:bottom w:val="single" w:sz="6" w:space="0" w:color="auto"/>
            </w:tcBorders>
          </w:tcPr>
          <w:p w:rsidR="00C92700" w:rsidRPr="00BB229F" w:rsidRDefault="00C92700"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sidRPr="00BB229F">
              <w:rPr>
                <w:sz w:val="20"/>
              </w:rPr>
              <w:t>$5,700</w:t>
            </w:r>
          </w:p>
        </w:tc>
        <w:tc>
          <w:tcPr>
            <w:tcW w:w="900" w:type="dxa"/>
            <w:tcBorders>
              <w:top w:val="single" w:sz="6" w:space="0" w:color="auto"/>
              <w:left w:val="single" w:sz="6" w:space="0" w:color="auto"/>
              <w:bottom w:val="single" w:sz="6" w:space="0" w:color="auto"/>
            </w:tcBorders>
          </w:tcPr>
          <w:p w:rsidR="00C92700" w:rsidRPr="00BB229F" w:rsidRDefault="00C92700"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sidRPr="00BB229F">
              <w:rPr>
                <w:sz w:val="20"/>
              </w:rPr>
              <w:t>$4,950</w:t>
            </w:r>
          </w:p>
        </w:tc>
        <w:tc>
          <w:tcPr>
            <w:tcW w:w="900" w:type="dxa"/>
            <w:tcBorders>
              <w:top w:val="single" w:sz="6" w:space="0" w:color="auto"/>
              <w:left w:val="single" w:sz="6" w:space="0" w:color="auto"/>
              <w:bottom w:val="single" w:sz="6" w:space="0" w:color="auto"/>
            </w:tcBorders>
          </w:tcPr>
          <w:p w:rsidR="00C92700" w:rsidRPr="00BB229F" w:rsidRDefault="00C92700"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sidRPr="00BB229F">
              <w:rPr>
                <w:sz w:val="20"/>
              </w:rPr>
              <w:t>$5,425</w:t>
            </w:r>
          </w:p>
        </w:tc>
        <w:tc>
          <w:tcPr>
            <w:tcW w:w="1440" w:type="dxa"/>
            <w:tcBorders>
              <w:top w:val="single" w:sz="6" w:space="0" w:color="auto"/>
              <w:left w:val="single" w:sz="6" w:space="0" w:color="auto"/>
              <w:bottom w:val="single" w:sz="6" w:space="0" w:color="auto"/>
            </w:tcBorders>
          </w:tcPr>
          <w:p w:rsidR="00C92700" w:rsidRPr="00BB229F" w:rsidRDefault="00C92700"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sidRPr="00BB229F">
              <w:rPr>
                <w:sz w:val="20"/>
              </w:rPr>
              <w:t>$8,750</w:t>
            </w:r>
          </w:p>
        </w:tc>
        <w:tc>
          <w:tcPr>
            <w:tcW w:w="1350" w:type="dxa"/>
            <w:tcBorders>
              <w:top w:val="single" w:sz="6" w:space="0" w:color="auto"/>
              <w:left w:val="single" w:sz="6" w:space="0" w:color="auto"/>
              <w:bottom w:val="single" w:sz="6" w:space="0" w:color="auto"/>
              <w:right w:val="double" w:sz="6" w:space="0" w:color="auto"/>
            </w:tcBorders>
          </w:tcPr>
          <w:p w:rsidR="00C92700" w:rsidRPr="00BB229F" w:rsidRDefault="00C92700"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sidRPr="00BB229F">
              <w:rPr>
                <w:sz w:val="20"/>
              </w:rPr>
              <w:t>$9,875</w:t>
            </w:r>
          </w:p>
        </w:tc>
      </w:tr>
      <w:tr w:rsidR="00BB229F" w:rsidRPr="00BB229F" w:rsidTr="00246F55">
        <w:tc>
          <w:tcPr>
            <w:tcW w:w="1890" w:type="dxa"/>
            <w:tcBorders>
              <w:top w:val="single" w:sz="6" w:space="0" w:color="auto"/>
              <w:left w:val="double" w:sz="6" w:space="0" w:color="auto"/>
              <w:bottom w:val="single" w:sz="6" w:space="0" w:color="auto"/>
            </w:tcBorders>
          </w:tcPr>
          <w:p w:rsidR="00C92700" w:rsidRPr="00BB229F" w:rsidRDefault="00C92700"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sidRPr="00BB229F">
              <w:rPr>
                <w:b/>
                <w:sz w:val="20"/>
              </w:rPr>
              <w:t>3,000,001 – 6,000,00</w:t>
            </w:r>
          </w:p>
        </w:tc>
        <w:tc>
          <w:tcPr>
            <w:tcW w:w="1080" w:type="dxa"/>
            <w:tcBorders>
              <w:top w:val="single" w:sz="6" w:space="0" w:color="auto"/>
              <w:left w:val="single" w:sz="6" w:space="0" w:color="auto"/>
              <w:bottom w:val="single" w:sz="6" w:space="0" w:color="auto"/>
            </w:tcBorders>
          </w:tcPr>
          <w:p w:rsidR="00C92700" w:rsidRPr="00BB229F" w:rsidRDefault="00C92700"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sidRPr="00BB229F">
              <w:rPr>
                <w:sz w:val="20"/>
              </w:rPr>
              <w:t>$11,950</w:t>
            </w:r>
          </w:p>
        </w:tc>
        <w:tc>
          <w:tcPr>
            <w:tcW w:w="990" w:type="dxa"/>
            <w:tcBorders>
              <w:top w:val="single" w:sz="6" w:space="0" w:color="auto"/>
              <w:left w:val="single" w:sz="6" w:space="0" w:color="auto"/>
              <w:bottom w:val="single" w:sz="6" w:space="0" w:color="auto"/>
            </w:tcBorders>
          </w:tcPr>
          <w:p w:rsidR="00C92700" w:rsidRPr="00BB229F" w:rsidRDefault="00C92700"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sidRPr="00BB229F">
              <w:rPr>
                <w:sz w:val="20"/>
              </w:rPr>
              <w:t>$8,550</w:t>
            </w:r>
          </w:p>
        </w:tc>
        <w:tc>
          <w:tcPr>
            <w:tcW w:w="900" w:type="dxa"/>
            <w:tcBorders>
              <w:top w:val="single" w:sz="6" w:space="0" w:color="auto"/>
              <w:left w:val="single" w:sz="6" w:space="0" w:color="auto"/>
              <w:bottom w:val="single" w:sz="6" w:space="0" w:color="auto"/>
            </w:tcBorders>
          </w:tcPr>
          <w:p w:rsidR="00C92700" w:rsidRPr="00BB229F" w:rsidRDefault="00C92700"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sidRPr="00BB229F">
              <w:rPr>
                <w:sz w:val="20"/>
              </w:rPr>
              <w:t>$7,400</w:t>
            </w:r>
          </w:p>
        </w:tc>
        <w:tc>
          <w:tcPr>
            <w:tcW w:w="900" w:type="dxa"/>
            <w:tcBorders>
              <w:top w:val="single" w:sz="6" w:space="0" w:color="auto"/>
              <w:left w:val="single" w:sz="6" w:space="0" w:color="auto"/>
              <w:bottom w:val="single" w:sz="6" w:space="0" w:color="auto"/>
            </w:tcBorders>
          </w:tcPr>
          <w:p w:rsidR="00C92700" w:rsidRPr="00BB229F" w:rsidRDefault="00C92700"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sidRPr="00BB229F">
              <w:rPr>
                <w:sz w:val="20"/>
              </w:rPr>
              <w:t>$8,150</w:t>
            </w:r>
          </w:p>
        </w:tc>
        <w:tc>
          <w:tcPr>
            <w:tcW w:w="1440" w:type="dxa"/>
            <w:tcBorders>
              <w:top w:val="single" w:sz="6" w:space="0" w:color="auto"/>
              <w:left w:val="single" w:sz="6" w:space="0" w:color="auto"/>
              <w:bottom w:val="single" w:sz="6" w:space="0" w:color="auto"/>
            </w:tcBorders>
          </w:tcPr>
          <w:p w:rsidR="00C92700" w:rsidRPr="00BB229F" w:rsidRDefault="00C92700"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sidRPr="00BB229F">
              <w:rPr>
                <w:sz w:val="20"/>
              </w:rPr>
              <w:t>$13,100</w:t>
            </w:r>
          </w:p>
        </w:tc>
        <w:tc>
          <w:tcPr>
            <w:tcW w:w="1350" w:type="dxa"/>
            <w:tcBorders>
              <w:top w:val="single" w:sz="6" w:space="0" w:color="auto"/>
              <w:left w:val="single" w:sz="6" w:space="0" w:color="auto"/>
              <w:bottom w:val="single" w:sz="6" w:space="0" w:color="auto"/>
              <w:right w:val="double" w:sz="6" w:space="0" w:color="auto"/>
            </w:tcBorders>
          </w:tcPr>
          <w:p w:rsidR="00C92700" w:rsidRPr="00BB229F" w:rsidRDefault="00C92700"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sidRPr="00BB229F">
              <w:rPr>
                <w:sz w:val="20"/>
              </w:rPr>
              <w:t>$14,800</w:t>
            </w:r>
          </w:p>
        </w:tc>
      </w:tr>
      <w:tr w:rsidR="00C92700" w:rsidRPr="00BB229F" w:rsidTr="00246F55">
        <w:tc>
          <w:tcPr>
            <w:tcW w:w="1890" w:type="dxa"/>
            <w:tcBorders>
              <w:top w:val="single" w:sz="6" w:space="0" w:color="auto"/>
              <w:left w:val="double" w:sz="6" w:space="0" w:color="auto"/>
              <w:bottom w:val="double" w:sz="6" w:space="0" w:color="auto"/>
            </w:tcBorders>
          </w:tcPr>
          <w:p w:rsidR="00C92700" w:rsidRPr="00BB229F" w:rsidRDefault="00C92700"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sidRPr="00BB229F">
              <w:rPr>
                <w:b/>
                <w:sz w:val="20"/>
              </w:rPr>
              <w:t>&gt;6,000,000</w:t>
            </w:r>
          </w:p>
        </w:tc>
        <w:tc>
          <w:tcPr>
            <w:tcW w:w="1080" w:type="dxa"/>
            <w:tcBorders>
              <w:top w:val="single" w:sz="6" w:space="0" w:color="auto"/>
              <w:left w:val="single" w:sz="6" w:space="0" w:color="auto"/>
              <w:bottom w:val="double" w:sz="6" w:space="0" w:color="auto"/>
            </w:tcBorders>
          </w:tcPr>
          <w:p w:rsidR="00C92700" w:rsidRPr="00BB229F" w:rsidRDefault="00C92700"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sidRPr="00BB229F">
              <w:rPr>
                <w:sz w:val="20"/>
              </w:rPr>
              <w:t>$17,950</w:t>
            </w:r>
          </w:p>
        </w:tc>
        <w:tc>
          <w:tcPr>
            <w:tcW w:w="990" w:type="dxa"/>
            <w:tcBorders>
              <w:top w:val="single" w:sz="6" w:space="0" w:color="auto"/>
              <w:left w:val="single" w:sz="6" w:space="0" w:color="auto"/>
              <w:bottom w:val="double" w:sz="6" w:space="0" w:color="auto"/>
            </w:tcBorders>
          </w:tcPr>
          <w:p w:rsidR="00C92700" w:rsidRPr="00BB229F" w:rsidRDefault="00C92700"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sidRPr="00BB229F">
              <w:rPr>
                <w:sz w:val="20"/>
              </w:rPr>
              <w:t>$12,825</w:t>
            </w:r>
          </w:p>
        </w:tc>
        <w:tc>
          <w:tcPr>
            <w:tcW w:w="900" w:type="dxa"/>
            <w:tcBorders>
              <w:top w:val="single" w:sz="6" w:space="0" w:color="auto"/>
              <w:left w:val="single" w:sz="6" w:space="0" w:color="auto"/>
              <w:bottom w:val="double" w:sz="6" w:space="0" w:color="auto"/>
            </w:tcBorders>
          </w:tcPr>
          <w:p w:rsidR="00C92700" w:rsidRPr="00BB229F" w:rsidRDefault="00C92700"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sidRPr="00BB229F">
              <w:rPr>
                <w:sz w:val="20"/>
              </w:rPr>
              <w:t>$11,100</w:t>
            </w:r>
          </w:p>
        </w:tc>
        <w:tc>
          <w:tcPr>
            <w:tcW w:w="900" w:type="dxa"/>
            <w:tcBorders>
              <w:top w:val="single" w:sz="6" w:space="0" w:color="auto"/>
              <w:left w:val="single" w:sz="6" w:space="0" w:color="auto"/>
              <w:bottom w:val="double" w:sz="6" w:space="0" w:color="auto"/>
            </w:tcBorders>
          </w:tcPr>
          <w:p w:rsidR="00C92700" w:rsidRPr="00BB229F" w:rsidRDefault="00C92700"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sidRPr="00BB229F">
              <w:rPr>
                <w:sz w:val="20"/>
              </w:rPr>
              <w:t>$12,225</w:t>
            </w:r>
          </w:p>
        </w:tc>
        <w:tc>
          <w:tcPr>
            <w:tcW w:w="1440" w:type="dxa"/>
            <w:tcBorders>
              <w:top w:val="single" w:sz="6" w:space="0" w:color="auto"/>
              <w:left w:val="single" w:sz="6" w:space="0" w:color="auto"/>
              <w:bottom w:val="double" w:sz="6" w:space="0" w:color="auto"/>
            </w:tcBorders>
          </w:tcPr>
          <w:p w:rsidR="00C92700" w:rsidRPr="00BB229F" w:rsidRDefault="00C92700"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sidRPr="00BB229F">
              <w:rPr>
                <w:sz w:val="20"/>
              </w:rPr>
              <w:t>$19,650</w:t>
            </w:r>
          </w:p>
        </w:tc>
        <w:tc>
          <w:tcPr>
            <w:tcW w:w="1350" w:type="dxa"/>
            <w:tcBorders>
              <w:top w:val="single" w:sz="6" w:space="0" w:color="auto"/>
              <w:left w:val="single" w:sz="6" w:space="0" w:color="auto"/>
              <w:bottom w:val="double" w:sz="6" w:space="0" w:color="auto"/>
              <w:right w:val="double" w:sz="6" w:space="0" w:color="auto"/>
            </w:tcBorders>
          </w:tcPr>
          <w:p w:rsidR="00C92700" w:rsidRPr="00BB229F" w:rsidRDefault="00C92700"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sidRPr="00BB229F">
              <w:rPr>
                <w:sz w:val="20"/>
              </w:rPr>
              <w:t>$22,225</w:t>
            </w:r>
          </w:p>
        </w:tc>
      </w:tr>
    </w:tbl>
    <w:p w:rsidR="00C92700" w:rsidRPr="00BB229F" w:rsidRDefault="00C92700" w:rsidP="00C92700">
      <w:pPr>
        <w:tabs>
          <w:tab w:val="right" w:pos="10080"/>
        </w:tabs>
        <w:suppressAutoHyphens/>
        <w:ind w:left="450"/>
        <w:jc w:val="center"/>
        <w:outlineLvl w:val="0"/>
        <w:rPr>
          <w:b/>
          <w:szCs w:val="22"/>
        </w:rPr>
      </w:pPr>
    </w:p>
    <w:p w:rsidR="00C92700" w:rsidRPr="00BB229F" w:rsidRDefault="00C92700" w:rsidP="00C92700">
      <w:pPr>
        <w:tabs>
          <w:tab w:val="right" w:pos="10080"/>
        </w:tabs>
        <w:suppressAutoHyphens/>
        <w:ind w:left="450"/>
        <w:jc w:val="center"/>
        <w:outlineLvl w:val="0"/>
        <w:rPr>
          <w:b/>
          <w:szCs w:val="22"/>
        </w:rPr>
      </w:pPr>
    </w:p>
    <w:p w:rsidR="00C92700" w:rsidRPr="00BB229F" w:rsidRDefault="00C92700" w:rsidP="00C92700">
      <w:pPr>
        <w:tabs>
          <w:tab w:val="right" w:pos="10080"/>
        </w:tabs>
        <w:suppressAutoHyphens/>
        <w:ind w:left="450"/>
        <w:jc w:val="center"/>
        <w:outlineLvl w:val="0"/>
        <w:rPr>
          <w:b/>
          <w:szCs w:val="22"/>
        </w:rPr>
      </w:pPr>
      <w:bookmarkStart w:id="180" w:name="_Toc394672333"/>
      <w:bookmarkStart w:id="181" w:name="_Toc491865058"/>
      <w:bookmarkStart w:id="182" w:name="_Toc491865473"/>
      <w:r w:rsidRPr="00BB229F">
        <w:rPr>
          <w:b/>
          <w:szCs w:val="22"/>
        </w:rPr>
        <w:t>International Bearer Circuits - Submarine Cable</w:t>
      </w:r>
      <w:bookmarkEnd w:id="180"/>
      <w:bookmarkEnd w:id="181"/>
      <w:bookmarkEnd w:id="182"/>
    </w:p>
    <w:p w:rsidR="00C92700" w:rsidRPr="00BB229F" w:rsidRDefault="00C92700" w:rsidP="00C92700">
      <w:pPr>
        <w:tabs>
          <w:tab w:val="left" w:pos="-1440"/>
          <w:tab w:val="left" w:pos="-720"/>
          <w:tab w:val="left" w:pos="0"/>
          <w:tab w:val="left" w:pos="720"/>
          <w:tab w:val="left" w:pos="1440"/>
          <w:tab w:val="left" w:pos="2160"/>
          <w:tab w:val="left" w:pos="2880"/>
          <w:tab w:val="left" w:pos="3600"/>
          <w:tab w:val="left" w:pos="4680"/>
          <w:tab w:val="left" w:pos="5040"/>
        </w:tabs>
        <w:suppressAutoHyphens/>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3780"/>
      </w:tblGrid>
      <w:tr w:rsidR="00BB229F" w:rsidRPr="00BB229F" w:rsidTr="00246F55">
        <w:tc>
          <w:tcPr>
            <w:tcW w:w="4860" w:type="dxa"/>
          </w:tcPr>
          <w:p w:rsidR="00C92700" w:rsidRPr="00BB229F" w:rsidRDefault="00C92700"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Cs w:val="22"/>
              </w:rPr>
            </w:pPr>
            <w:r w:rsidRPr="00BB229F">
              <w:rPr>
                <w:spacing w:val="-3"/>
                <w:szCs w:val="22"/>
              </w:rPr>
              <w:t>Submarine Cable Systems</w:t>
            </w:r>
          </w:p>
          <w:p w:rsidR="00C92700" w:rsidRPr="00BB229F" w:rsidRDefault="00C92700"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 w:val="20"/>
              </w:rPr>
            </w:pPr>
            <w:r w:rsidRPr="00BB229F">
              <w:rPr>
                <w:sz w:val="20"/>
              </w:rPr>
              <w:t>(capacity as of December 31, 2016)</w:t>
            </w:r>
          </w:p>
        </w:tc>
        <w:tc>
          <w:tcPr>
            <w:tcW w:w="3780" w:type="dxa"/>
          </w:tcPr>
          <w:p w:rsidR="00C92700" w:rsidRPr="00BB229F" w:rsidRDefault="00C92700"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r w:rsidRPr="00BB229F">
              <w:rPr>
                <w:spacing w:val="-3"/>
                <w:szCs w:val="22"/>
              </w:rPr>
              <w:t>Fee amount</w:t>
            </w:r>
          </w:p>
        </w:tc>
      </w:tr>
      <w:tr w:rsidR="00BB229F" w:rsidRPr="00BB229F" w:rsidTr="00246F55">
        <w:trPr>
          <w:trHeight w:val="1034"/>
        </w:trPr>
        <w:tc>
          <w:tcPr>
            <w:tcW w:w="4860" w:type="dxa"/>
          </w:tcPr>
          <w:p w:rsidR="00C92700" w:rsidRPr="00BB229F" w:rsidRDefault="00C92700"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b/>
                <w:szCs w:val="22"/>
              </w:rPr>
            </w:pPr>
          </w:p>
          <w:p w:rsidR="00C92700" w:rsidRPr="00BB229F" w:rsidRDefault="00C92700"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b/>
                <w:spacing w:val="-3"/>
                <w:szCs w:val="22"/>
              </w:rPr>
            </w:pPr>
            <w:r w:rsidRPr="00BB229F">
              <w:rPr>
                <w:b/>
                <w:szCs w:val="22"/>
              </w:rPr>
              <w:t>&lt; 2.5 Gbps</w:t>
            </w:r>
          </w:p>
        </w:tc>
        <w:tc>
          <w:tcPr>
            <w:tcW w:w="3780" w:type="dxa"/>
            <w:vAlign w:val="center"/>
          </w:tcPr>
          <w:p w:rsidR="00C92700" w:rsidRPr="00BB229F" w:rsidRDefault="00C92700">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r w:rsidRPr="00BB229F">
              <w:rPr>
                <w:bCs/>
                <w:szCs w:val="22"/>
              </w:rPr>
              <w:t>$8,</w:t>
            </w:r>
            <w:r w:rsidR="00DD00A6" w:rsidRPr="00BB229F">
              <w:rPr>
                <w:bCs/>
                <w:szCs w:val="22"/>
              </w:rPr>
              <w:t>600</w:t>
            </w:r>
          </w:p>
        </w:tc>
      </w:tr>
      <w:tr w:rsidR="00BB229F" w:rsidRPr="00BB229F" w:rsidTr="00246F55">
        <w:trPr>
          <w:trHeight w:val="1034"/>
        </w:trPr>
        <w:tc>
          <w:tcPr>
            <w:tcW w:w="4860" w:type="dxa"/>
          </w:tcPr>
          <w:p w:rsidR="00C92700" w:rsidRPr="00BB229F" w:rsidRDefault="00C92700"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rPr>
                <w:b/>
                <w:spacing w:val="-3"/>
                <w:szCs w:val="22"/>
              </w:rPr>
            </w:pPr>
            <w:r w:rsidRPr="00BB229F">
              <w:rPr>
                <w:b/>
                <w:szCs w:val="22"/>
              </w:rPr>
              <w:t>2.5 Gbps or greater, but less than 5 Gbps</w:t>
            </w:r>
          </w:p>
        </w:tc>
        <w:tc>
          <w:tcPr>
            <w:tcW w:w="3780" w:type="dxa"/>
            <w:vAlign w:val="center"/>
          </w:tcPr>
          <w:p w:rsidR="00C92700" w:rsidRPr="00BB229F" w:rsidRDefault="00C92700" w:rsidP="00246F55">
            <w:pPr>
              <w:jc w:val="center"/>
              <w:rPr>
                <w:bCs/>
                <w:szCs w:val="22"/>
              </w:rPr>
            </w:pPr>
            <w:r w:rsidRPr="00BB229F">
              <w:rPr>
                <w:bCs/>
                <w:szCs w:val="22"/>
              </w:rPr>
              <w:t>$1</w:t>
            </w:r>
            <w:r w:rsidR="00DD00A6" w:rsidRPr="00BB229F">
              <w:rPr>
                <w:bCs/>
                <w:szCs w:val="22"/>
              </w:rPr>
              <w:t>7</w:t>
            </w:r>
            <w:r w:rsidRPr="00BB229F">
              <w:rPr>
                <w:bCs/>
                <w:szCs w:val="22"/>
              </w:rPr>
              <w:t>,</w:t>
            </w:r>
            <w:r w:rsidR="00DD00A6" w:rsidRPr="00BB229F">
              <w:rPr>
                <w:bCs/>
                <w:szCs w:val="22"/>
              </w:rPr>
              <w:t>175</w:t>
            </w:r>
          </w:p>
          <w:p w:rsidR="00C92700" w:rsidRPr="00BB229F" w:rsidRDefault="00C92700"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p>
        </w:tc>
      </w:tr>
      <w:tr w:rsidR="00BB229F" w:rsidRPr="00BB229F" w:rsidTr="00246F55">
        <w:tc>
          <w:tcPr>
            <w:tcW w:w="4860" w:type="dxa"/>
          </w:tcPr>
          <w:p w:rsidR="00C92700" w:rsidRPr="00BB229F" w:rsidRDefault="00C92700"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rPr>
                <w:b/>
                <w:spacing w:val="-3"/>
                <w:szCs w:val="22"/>
              </w:rPr>
            </w:pPr>
            <w:r w:rsidRPr="00BB229F">
              <w:rPr>
                <w:b/>
                <w:szCs w:val="22"/>
              </w:rPr>
              <w:t>5 Gbps or greater, but less than 10 Gbps</w:t>
            </w:r>
          </w:p>
        </w:tc>
        <w:tc>
          <w:tcPr>
            <w:tcW w:w="3780" w:type="dxa"/>
            <w:vAlign w:val="center"/>
          </w:tcPr>
          <w:p w:rsidR="00C92700" w:rsidRPr="00BB229F" w:rsidRDefault="00C92700" w:rsidP="00246F55">
            <w:pPr>
              <w:jc w:val="center"/>
              <w:rPr>
                <w:bCs/>
                <w:szCs w:val="22"/>
              </w:rPr>
            </w:pPr>
          </w:p>
          <w:p w:rsidR="00C92700" w:rsidRPr="00BB229F" w:rsidRDefault="00C92700" w:rsidP="00246F55">
            <w:pPr>
              <w:jc w:val="center"/>
              <w:rPr>
                <w:bCs/>
                <w:szCs w:val="22"/>
              </w:rPr>
            </w:pPr>
            <w:r w:rsidRPr="00BB229F">
              <w:rPr>
                <w:bCs/>
                <w:szCs w:val="22"/>
              </w:rPr>
              <w:t xml:space="preserve"> $3</w:t>
            </w:r>
            <w:r w:rsidR="00DD00A6" w:rsidRPr="00BB229F">
              <w:rPr>
                <w:bCs/>
                <w:szCs w:val="22"/>
              </w:rPr>
              <w:t>4</w:t>
            </w:r>
            <w:r w:rsidRPr="00BB229F">
              <w:rPr>
                <w:bCs/>
                <w:szCs w:val="22"/>
              </w:rPr>
              <w:t>,</w:t>
            </w:r>
            <w:r w:rsidR="00DD00A6" w:rsidRPr="00BB229F">
              <w:rPr>
                <w:bCs/>
                <w:szCs w:val="22"/>
              </w:rPr>
              <w:t>350</w:t>
            </w:r>
          </w:p>
          <w:p w:rsidR="00C92700" w:rsidRPr="00BB229F" w:rsidRDefault="00C92700" w:rsidP="00246F55">
            <w:pPr>
              <w:jc w:val="center"/>
              <w:rPr>
                <w:spacing w:val="-3"/>
                <w:szCs w:val="22"/>
              </w:rPr>
            </w:pPr>
          </w:p>
        </w:tc>
      </w:tr>
      <w:tr w:rsidR="00BB229F" w:rsidRPr="00BB229F" w:rsidTr="00246F55">
        <w:trPr>
          <w:trHeight w:val="998"/>
        </w:trPr>
        <w:tc>
          <w:tcPr>
            <w:tcW w:w="4860" w:type="dxa"/>
          </w:tcPr>
          <w:p w:rsidR="00C92700" w:rsidRPr="00BB229F" w:rsidRDefault="00C92700"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rPr>
                <w:b/>
                <w:szCs w:val="22"/>
              </w:rPr>
            </w:pPr>
            <w:r w:rsidRPr="00BB229F">
              <w:rPr>
                <w:b/>
                <w:szCs w:val="22"/>
              </w:rPr>
              <w:t>10 Gbps or greater, but less than 20 Gbps</w:t>
            </w:r>
          </w:p>
          <w:p w:rsidR="00C92700" w:rsidRPr="00BB229F" w:rsidRDefault="00C92700"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rPr>
                <w:b/>
                <w:spacing w:val="-3"/>
                <w:szCs w:val="22"/>
              </w:rPr>
            </w:pPr>
          </w:p>
        </w:tc>
        <w:tc>
          <w:tcPr>
            <w:tcW w:w="3780" w:type="dxa"/>
            <w:vAlign w:val="center"/>
          </w:tcPr>
          <w:p w:rsidR="00C92700" w:rsidRPr="00BB229F" w:rsidRDefault="00C92700" w:rsidP="00246F55">
            <w:pPr>
              <w:jc w:val="center"/>
              <w:rPr>
                <w:bCs/>
                <w:szCs w:val="22"/>
              </w:rPr>
            </w:pPr>
            <w:r w:rsidRPr="00BB229F">
              <w:rPr>
                <w:bCs/>
                <w:szCs w:val="22"/>
              </w:rPr>
              <w:t>$6</w:t>
            </w:r>
            <w:r w:rsidR="00DD00A6" w:rsidRPr="00BB229F">
              <w:rPr>
                <w:bCs/>
                <w:szCs w:val="22"/>
              </w:rPr>
              <w:t>8</w:t>
            </w:r>
            <w:r w:rsidRPr="00BB229F">
              <w:rPr>
                <w:bCs/>
                <w:szCs w:val="22"/>
              </w:rPr>
              <w:t>,</w:t>
            </w:r>
            <w:r w:rsidR="00DD00A6" w:rsidRPr="00BB229F">
              <w:rPr>
                <w:bCs/>
                <w:szCs w:val="22"/>
              </w:rPr>
              <w:t>725</w:t>
            </w:r>
          </w:p>
          <w:p w:rsidR="00C92700" w:rsidRPr="00BB229F" w:rsidRDefault="00C92700"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p>
        </w:tc>
      </w:tr>
      <w:tr w:rsidR="00C92700" w:rsidRPr="00BB229F" w:rsidTr="00246F55">
        <w:trPr>
          <w:trHeight w:val="998"/>
        </w:trPr>
        <w:tc>
          <w:tcPr>
            <w:tcW w:w="4860" w:type="dxa"/>
          </w:tcPr>
          <w:p w:rsidR="00C92700" w:rsidRPr="00BB229F" w:rsidRDefault="00C92700"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rPr>
                <w:b/>
                <w:szCs w:val="22"/>
              </w:rPr>
            </w:pPr>
          </w:p>
          <w:p w:rsidR="00C92700" w:rsidRPr="00BB229F" w:rsidRDefault="00C92700"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rPr>
                <w:b/>
                <w:szCs w:val="22"/>
              </w:rPr>
            </w:pPr>
            <w:r w:rsidRPr="00BB229F">
              <w:rPr>
                <w:b/>
                <w:szCs w:val="22"/>
              </w:rPr>
              <w:t>20 Gbps or greater</w:t>
            </w:r>
          </w:p>
          <w:p w:rsidR="00C92700" w:rsidRPr="00BB229F" w:rsidRDefault="00C92700"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rPr>
                <w:b/>
                <w:szCs w:val="22"/>
              </w:rPr>
            </w:pPr>
          </w:p>
        </w:tc>
        <w:tc>
          <w:tcPr>
            <w:tcW w:w="3780" w:type="dxa"/>
            <w:vAlign w:val="center"/>
          </w:tcPr>
          <w:p w:rsidR="00C92700" w:rsidRPr="00BB229F" w:rsidRDefault="00C92700">
            <w:pPr>
              <w:jc w:val="center"/>
            </w:pPr>
            <w:r w:rsidRPr="00BB229F">
              <w:rPr>
                <w:bCs/>
                <w:szCs w:val="22"/>
              </w:rPr>
              <w:t>$13</w:t>
            </w:r>
            <w:r w:rsidR="003E1C13" w:rsidRPr="00BB229F">
              <w:rPr>
                <w:bCs/>
                <w:szCs w:val="22"/>
              </w:rPr>
              <w:t>7</w:t>
            </w:r>
            <w:r w:rsidRPr="00BB229F">
              <w:rPr>
                <w:bCs/>
                <w:szCs w:val="22"/>
              </w:rPr>
              <w:t>,</w:t>
            </w:r>
            <w:r w:rsidR="003E1C13" w:rsidRPr="00BB229F">
              <w:rPr>
                <w:bCs/>
                <w:szCs w:val="22"/>
              </w:rPr>
              <w:t>425</w:t>
            </w:r>
          </w:p>
        </w:tc>
      </w:tr>
    </w:tbl>
    <w:p w:rsidR="00C92700" w:rsidRPr="00BB229F" w:rsidRDefault="00C92700" w:rsidP="00C92700">
      <w:pPr>
        <w:tabs>
          <w:tab w:val="left" w:pos="3629"/>
        </w:tabs>
        <w:jc w:val="center"/>
        <w:rPr>
          <w:b/>
        </w:rPr>
      </w:pPr>
    </w:p>
    <w:p w:rsidR="00293571" w:rsidRDefault="00293571">
      <w:pPr>
        <w:widowControl/>
        <w:rPr>
          <w:b/>
        </w:rPr>
      </w:pPr>
      <w:r>
        <w:rPr>
          <w:b/>
        </w:rPr>
        <w:br w:type="page"/>
      </w:r>
    </w:p>
    <w:p w:rsidR="00293571" w:rsidRDefault="00293571" w:rsidP="00E74F23">
      <w:pPr>
        <w:pStyle w:val="ParaNum"/>
        <w:numPr>
          <w:ilvl w:val="0"/>
          <w:numId w:val="0"/>
        </w:numPr>
        <w:ind w:firstLine="720"/>
        <w:jc w:val="center"/>
        <w:rPr>
          <w:b/>
        </w:rPr>
      </w:pPr>
    </w:p>
    <w:p w:rsidR="00E74F23" w:rsidRPr="00BB229F" w:rsidRDefault="00E74F23" w:rsidP="00E74F23">
      <w:pPr>
        <w:pStyle w:val="ParaNum"/>
        <w:numPr>
          <w:ilvl w:val="0"/>
          <w:numId w:val="0"/>
        </w:numPr>
        <w:ind w:firstLine="720"/>
        <w:jc w:val="center"/>
        <w:rPr>
          <w:b/>
        </w:rPr>
      </w:pPr>
      <w:r w:rsidRPr="00BB229F">
        <w:rPr>
          <w:b/>
        </w:rPr>
        <w:t>APPENDIX D</w:t>
      </w:r>
    </w:p>
    <w:p w:rsidR="00E74F23" w:rsidRPr="00BB229F" w:rsidRDefault="00E74F23" w:rsidP="00E74F23">
      <w:pPr>
        <w:pStyle w:val="ParaNum"/>
        <w:numPr>
          <w:ilvl w:val="0"/>
          <w:numId w:val="0"/>
        </w:numPr>
        <w:ind w:firstLine="720"/>
        <w:jc w:val="center"/>
        <w:rPr>
          <w:b/>
        </w:rPr>
      </w:pPr>
      <w:r w:rsidRPr="00BB229F">
        <w:rPr>
          <w:b/>
        </w:rPr>
        <w:t>Sources of Payment Unit Estimates for FY 2017</w:t>
      </w:r>
    </w:p>
    <w:p w:rsidR="0037141E" w:rsidRPr="00BB229F" w:rsidRDefault="0037141E" w:rsidP="0037141E">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2"/>
          <w:szCs w:val="22"/>
        </w:rPr>
      </w:pPr>
      <w:r w:rsidRPr="00BB229F">
        <w:t xml:space="preserve">In order to calculate individual service fees for FY 2017, we adjusted FY 2016 payment units for each service to more accurately reflect expected FY 2017 payment liabilities.  </w:t>
      </w:r>
      <w:r w:rsidRPr="00BB229F">
        <w:rPr>
          <w:spacing w:val="-2"/>
          <w:szCs w:val="22"/>
        </w:rPr>
        <w:t xml:space="preserve">We obtained our updated estimates through a variety of means. For example, we used Commission licensee data bases, actual prior year payment records and industry and trade association projections when available.  The databases we consulted include </w:t>
      </w:r>
      <w:r w:rsidRPr="00BB229F">
        <w:rPr>
          <w:szCs w:val="22"/>
        </w:rPr>
        <w:t xml:space="preserve">our </w:t>
      </w:r>
      <w:r w:rsidRPr="00BB229F">
        <w:t>Universal Licensing System (ULS), International Bureau Filing System (IBFS), Consolidated Database System (CDBS) and Cable Operations and Licensing System (COALS)</w:t>
      </w:r>
      <w:r w:rsidRPr="00BB229F">
        <w:rPr>
          <w:szCs w:val="22"/>
        </w:rPr>
        <w:t xml:space="preserve">, as well as reports generated within the Commission such as the Wireless Telecommunications Bureau’s </w:t>
      </w:r>
      <w:r w:rsidRPr="00BB229F">
        <w:rPr>
          <w:i/>
          <w:szCs w:val="22"/>
        </w:rPr>
        <w:t>Numbering Resource Utilization Forecast</w:t>
      </w:r>
      <w:r w:rsidRPr="00BB229F">
        <w:rPr>
          <w:szCs w:val="22"/>
        </w:rPr>
        <w:t xml:space="preserve">.  </w:t>
      </w:r>
    </w:p>
    <w:p w:rsidR="0037141E" w:rsidRPr="00BB229F" w:rsidRDefault="0037141E" w:rsidP="0037141E">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2"/>
          <w:sz w:val="20"/>
        </w:rPr>
      </w:pPr>
    </w:p>
    <w:p w:rsidR="0037141E" w:rsidRPr="00BB229F" w:rsidRDefault="0037141E" w:rsidP="0037141E">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2"/>
          <w:szCs w:val="22"/>
        </w:rPr>
      </w:pPr>
      <w:r w:rsidRPr="00BB229F">
        <w:rPr>
          <w:spacing w:val="-2"/>
          <w:szCs w:val="22"/>
        </w:rPr>
        <w:t xml:space="preserve">We sought verification for these estimates from multiple sources and, in all cases, we compared FY 2017 estimates with actual FY 2016 payment units to ensure that our revised estimates were reasonable.  Where appropriate, we adjusted and/or rounded our final estimates to take into consideration the fact that certain variables that impact on the number of payment units cannot yet be estimated with sufficient accuracy.  These include an unknown number of waivers and/or exemptions that may occur in FY 2017 and the fact that, in many services, the number of actual licensees or station operators fluctuates from time to time due to economic, technical, or other reasons.  When we note, for example, that our estimated FY 2017 payment units are based on FY 2016 actual payment units, it does not necessarily mean that our FY 2017 projection is </w:t>
      </w:r>
      <w:r w:rsidR="003475F2" w:rsidRPr="00BB229F">
        <w:rPr>
          <w:spacing w:val="-2"/>
          <w:szCs w:val="22"/>
        </w:rPr>
        <w:t>the same</w:t>
      </w:r>
      <w:r w:rsidRPr="00BB229F">
        <w:rPr>
          <w:spacing w:val="-2"/>
          <w:szCs w:val="22"/>
        </w:rPr>
        <w:t xml:space="preserve"> number as in FY 2016.  We have either rounded the FY 2017 number or adjusted it slightly to account for these variables.</w:t>
      </w:r>
    </w:p>
    <w:p w:rsidR="0037141E" w:rsidRPr="00BB229F" w:rsidRDefault="0037141E" w:rsidP="0037141E">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2"/>
          <w:szCs w:val="22"/>
        </w:rPr>
      </w:pPr>
    </w:p>
    <w:p w:rsidR="0037141E" w:rsidRPr="00BB229F" w:rsidRDefault="0037141E" w:rsidP="0037141E">
      <w:pPr>
        <w:tabs>
          <w:tab w:val="left" w:pos="-1440"/>
          <w:tab w:val="left" w:pos="-720"/>
          <w:tab w:val="left" w:pos="0"/>
          <w:tab w:val="left" w:pos="720"/>
          <w:tab w:val="left" w:pos="1440"/>
          <w:tab w:val="left" w:pos="2160"/>
          <w:tab w:val="left" w:pos="2880"/>
          <w:tab w:val="left" w:pos="3600"/>
          <w:tab w:val="left" w:pos="4680"/>
          <w:tab w:val="left" w:pos="5040"/>
        </w:tabs>
        <w:suppressAutoHyphens/>
        <w:ind w:left="-720"/>
        <w:rPr>
          <w:sz w:val="20"/>
        </w:rPr>
      </w:pPr>
      <w:r w:rsidRPr="00BB229F">
        <w:rPr>
          <w:sz w:val="20"/>
        </w:rPr>
        <w:t xml:space="preserve"> </w:t>
      </w:r>
    </w:p>
    <w:tbl>
      <w:tblPr>
        <w:tblW w:w="8640" w:type="dxa"/>
        <w:tblInd w:w="120" w:type="dxa"/>
        <w:tblLayout w:type="fixed"/>
        <w:tblCellMar>
          <w:left w:w="120" w:type="dxa"/>
          <w:right w:w="120" w:type="dxa"/>
        </w:tblCellMar>
        <w:tblLook w:val="0000" w:firstRow="0" w:lastRow="0" w:firstColumn="0" w:lastColumn="0" w:noHBand="0" w:noVBand="0"/>
      </w:tblPr>
      <w:tblGrid>
        <w:gridCol w:w="2978"/>
        <w:gridCol w:w="5662"/>
      </w:tblGrid>
      <w:tr w:rsidR="00BB229F" w:rsidRPr="00BB229F" w:rsidTr="00246F55">
        <w:tc>
          <w:tcPr>
            <w:tcW w:w="2978" w:type="dxa"/>
            <w:tcBorders>
              <w:top w:val="double" w:sz="6" w:space="0" w:color="auto"/>
              <w:left w:val="double" w:sz="6" w:space="0" w:color="auto"/>
            </w:tcBorders>
          </w:tcPr>
          <w:p w:rsidR="0037141E" w:rsidRPr="00BB229F" w:rsidRDefault="0037141E"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jc w:val="center"/>
              <w:rPr>
                <w:b/>
                <w:sz w:val="20"/>
              </w:rPr>
            </w:pPr>
            <w:r w:rsidRPr="00BB229F">
              <w:rPr>
                <w:sz w:val="20"/>
              </w:rPr>
              <w:fldChar w:fldCharType="begin"/>
            </w:r>
            <w:r w:rsidRPr="00BB229F">
              <w:rPr>
                <w:sz w:val="20"/>
              </w:rPr>
              <w:instrText xml:space="preserve">PRIVATE </w:instrText>
            </w:r>
            <w:r w:rsidRPr="00BB229F">
              <w:rPr>
                <w:sz w:val="20"/>
              </w:rPr>
              <w:fldChar w:fldCharType="end"/>
            </w:r>
            <w:r w:rsidRPr="00BB229F">
              <w:rPr>
                <w:b/>
                <w:sz w:val="20"/>
              </w:rPr>
              <w:t>FEE CATEGORY</w:t>
            </w:r>
          </w:p>
        </w:tc>
        <w:tc>
          <w:tcPr>
            <w:tcW w:w="5662" w:type="dxa"/>
            <w:tcBorders>
              <w:top w:val="double" w:sz="6" w:space="0" w:color="auto"/>
              <w:left w:val="single" w:sz="6" w:space="0" w:color="auto"/>
              <w:right w:val="double" w:sz="6" w:space="0" w:color="auto"/>
            </w:tcBorders>
          </w:tcPr>
          <w:p w:rsidR="0037141E" w:rsidRPr="00BB229F" w:rsidRDefault="0037141E"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jc w:val="center"/>
              <w:rPr>
                <w:b/>
                <w:sz w:val="20"/>
              </w:rPr>
            </w:pPr>
            <w:r w:rsidRPr="00BB229F">
              <w:rPr>
                <w:b/>
                <w:sz w:val="20"/>
              </w:rPr>
              <w:t>SOURCES OF PAYMENT UNIT ESTIMATES</w:t>
            </w:r>
          </w:p>
        </w:tc>
      </w:tr>
      <w:tr w:rsidR="00BB229F" w:rsidRPr="00BB229F" w:rsidTr="00246F55">
        <w:tc>
          <w:tcPr>
            <w:tcW w:w="2978" w:type="dxa"/>
            <w:tcBorders>
              <w:top w:val="single" w:sz="6" w:space="0" w:color="auto"/>
              <w:left w:val="double" w:sz="6" w:space="0" w:color="auto"/>
            </w:tcBorders>
          </w:tcPr>
          <w:p w:rsidR="0037141E" w:rsidRPr="00BB229F" w:rsidRDefault="0037141E"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sidRPr="00BB229F">
              <w:rPr>
                <w:sz w:val="20"/>
              </w:rPr>
              <w:t xml:space="preserve">Land Mobile (All), Microwave, Marine (Ship &amp; Coast), Aviation (Aircraft &amp; Ground), Domestic Public Fixed </w:t>
            </w:r>
          </w:p>
        </w:tc>
        <w:tc>
          <w:tcPr>
            <w:tcW w:w="5662" w:type="dxa"/>
            <w:tcBorders>
              <w:top w:val="single" w:sz="6" w:space="0" w:color="auto"/>
              <w:left w:val="single" w:sz="6" w:space="0" w:color="auto"/>
              <w:right w:val="double" w:sz="6" w:space="0" w:color="auto"/>
            </w:tcBorders>
          </w:tcPr>
          <w:p w:rsidR="0037141E" w:rsidRPr="00BB229F" w:rsidRDefault="0037141E"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sidRPr="00BB229F">
              <w:rPr>
                <w:sz w:val="20"/>
              </w:rPr>
              <w:t>Based on Wireless Telecommunications Bureau (WTB) projections of new applications and renewals taking into consideration existing Commission licensee data bases. Aviation (Aircraft) and Marine (Ship) estimates have been adjusted to take into consideration the licensing of portions of these services on a voluntary basis.</w:t>
            </w:r>
          </w:p>
        </w:tc>
      </w:tr>
      <w:tr w:rsidR="00BB229F" w:rsidRPr="00BB229F" w:rsidTr="00246F55">
        <w:tc>
          <w:tcPr>
            <w:tcW w:w="2978" w:type="dxa"/>
            <w:tcBorders>
              <w:top w:val="single" w:sz="6" w:space="0" w:color="auto"/>
              <w:left w:val="double" w:sz="6" w:space="0" w:color="auto"/>
            </w:tcBorders>
          </w:tcPr>
          <w:p w:rsidR="0037141E" w:rsidRPr="00BB229F" w:rsidRDefault="0037141E"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sidRPr="00BB229F">
              <w:rPr>
                <w:sz w:val="20"/>
              </w:rPr>
              <w:t xml:space="preserve">CMRS Cellular/Mobile Services </w:t>
            </w:r>
          </w:p>
        </w:tc>
        <w:tc>
          <w:tcPr>
            <w:tcW w:w="5662" w:type="dxa"/>
            <w:tcBorders>
              <w:top w:val="single" w:sz="6" w:space="0" w:color="auto"/>
              <w:left w:val="single" w:sz="6" w:space="0" w:color="auto"/>
              <w:right w:val="double" w:sz="6" w:space="0" w:color="auto"/>
            </w:tcBorders>
          </w:tcPr>
          <w:p w:rsidR="0037141E" w:rsidRPr="00BB229F" w:rsidRDefault="0037141E"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sidRPr="00BB229F">
              <w:rPr>
                <w:sz w:val="20"/>
              </w:rPr>
              <w:t xml:space="preserve">Based on WTB projection reports, and FY 16 payment data. </w:t>
            </w:r>
          </w:p>
        </w:tc>
      </w:tr>
      <w:tr w:rsidR="00BB229F" w:rsidRPr="00BB229F" w:rsidTr="00246F55">
        <w:tc>
          <w:tcPr>
            <w:tcW w:w="2978" w:type="dxa"/>
            <w:tcBorders>
              <w:top w:val="single" w:sz="6" w:space="0" w:color="auto"/>
              <w:left w:val="double" w:sz="6" w:space="0" w:color="auto"/>
            </w:tcBorders>
          </w:tcPr>
          <w:p w:rsidR="0037141E" w:rsidRPr="00BB229F" w:rsidRDefault="0037141E"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sidRPr="00BB229F">
              <w:rPr>
                <w:sz w:val="20"/>
              </w:rPr>
              <w:t>CMRS Messaging Services</w:t>
            </w:r>
          </w:p>
        </w:tc>
        <w:tc>
          <w:tcPr>
            <w:tcW w:w="5662" w:type="dxa"/>
            <w:tcBorders>
              <w:top w:val="single" w:sz="6" w:space="0" w:color="auto"/>
              <w:left w:val="single" w:sz="6" w:space="0" w:color="auto"/>
              <w:right w:val="double" w:sz="6" w:space="0" w:color="auto"/>
            </w:tcBorders>
          </w:tcPr>
          <w:p w:rsidR="0037141E" w:rsidRPr="00BB229F" w:rsidRDefault="0037141E"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sidRPr="00BB229F">
              <w:rPr>
                <w:sz w:val="20"/>
              </w:rPr>
              <w:t xml:space="preserve">Based on WTB reports, and FY 16 payment data.  </w:t>
            </w:r>
          </w:p>
        </w:tc>
      </w:tr>
      <w:tr w:rsidR="00BB229F" w:rsidRPr="00BB229F" w:rsidTr="00246F55">
        <w:tc>
          <w:tcPr>
            <w:tcW w:w="2978" w:type="dxa"/>
            <w:tcBorders>
              <w:top w:val="single" w:sz="6" w:space="0" w:color="auto"/>
              <w:left w:val="double" w:sz="6" w:space="0" w:color="auto"/>
            </w:tcBorders>
          </w:tcPr>
          <w:p w:rsidR="0037141E" w:rsidRPr="00BB229F" w:rsidRDefault="0037141E"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sidRPr="00BB229F">
              <w:rPr>
                <w:sz w:val="20"/>
              </w:rPr>
              <w:t>AM/FM Radio Stations</w:t>
            </w:r>
          </w:p>
        </w:tc>
        <w:tc>
          <w:tcPr>
            <w:tcW w:w="5662" w:type="dxa"/>
            <w:tcBorders>
              <w:top w:val="single" w:sz="6" w:space="0" w:color="auto"/>
              <w:left w:val="single" w:sz="6" w:space="0" w:color="auto"/>
              <w:right w:val="double" w:sz="6" w:space="0" w:color="auto"/>
            </w:tcBorders>
          </w:tcPr>
          <w:p w:rsidR="0037141E" w:rsidRPr="00BB229F" w:rsidRDefault="0037141E"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sidRPr="00BB229F">
              <w:rPr>
                <w:sz w:val="20"/>
              </w:rPr>
              <w:t>Based on CDBS data, adjusted for exemptions, and actual FY 2016 payment units.</w:t>
            </w:r>
          </w:p>
        </w:tc>
      </w:tr>
      <w:tr w:rsidR="00BB229F" w:rsidRPr="00BB229F" w:rsidTr="00246F55">
        <w:tc>
          <w:tcPr>
            <w:tcW w:w="2978" w:type="dxa"/>
            <w:tcBorders>
              <w:top w:val="single" w:sz="6" w:space="0" w:color="auto"/>
              <w:left w:val="double" w:sz="6" w:space="0" w:color="auto"/>
            </w:tcBorders>
          </w:tcPr>
          <w:p w:rsidR="0037141E" w:rsidRPr="00BB229F" w:rsidRDefault="0037141E"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sidRPr="00BB229F">
              <w:rPr>
                <w:sz w:val="20"/>
              </w:rPr>
              <w:t>Digital TV Stations</w:t>
            </w:r>
          </w:p>
          <w:p w:rsidR="0037141E" w:rsidRPr="00BB229F" w:rsidRDefault="0037141E"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sidRPr="00BB229F">
              <w:rPr>
                <w:sz w:val="20"/>
              </w:rPr>
              <w:t>(Combined VHF/UHF units)</w:t>
            </w:r>
          </w:p>
        </w:tc>
        <w:tc>
          <w:tcPr>
            <w:tcW w:w="5662" w:type="dxa"/>
            <w:tcBorders>
              <w:top w:val="single" w:sz="6" w:space="0" w:color="auto"/>
              <w:left w:val="single" w:sz="6" w:space="0" w:color="auto"/>
              <w:right w:val="double" w:sz="6" w:space="0" w:color="auto"/>
            </w:tcBorders>
          </w:tcPr>
          <w:p w:rsidR="0037141E" w:rsidRPr="00BB229F" w:rsidRDefault="0037141E"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sidRPr="00BB229F">
              <w:rPr>
                <w:sz w:val="20"/>
              </w:rPr>
              <w:t>Based on CDBS data, adjusted for exemptions, and actual FY 2016 payment units.</w:t>
            </w:r>
          </w:p>
        </w:tc>
      </w:tr>
      <w:tr w:rsidR="00BB229F" w:rsidRPr="00BB229F" w:rsidTr="00246F55">
        <w:tc>
          <w:tcPr>
            <w:tcW w:w="2978" w:type="dxa"/>
            <w:tcBorders>
              <w:top w:val="single" w:sz="6" w:space="0" w:color="auto"/>
              <w:left w:val="double" w:sz="6" w:space="0" w:color="auto"/>
            </w:tcBorders>
          </w:tcPr>
          <w:p w:rsidR="0037141E" w:rsidRPr="00BB229F" w:rsidRDefault="0037141E"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sidRPr="00BB229F">
              <w:rPr>
                <w:sz w:val="20"/>
              </w:rPr>
              <w:t>AM/FM/TV Construction Permits</w:t>
            </w:r>
          </w:p>
        </w:tc>
        <w:tc>
          <w:tcPr>
            <w:tcW w:w="5662" w:type="dxa"/>
            <w:tcBorders>
              <w:top w:val="single" w:sz="6" w:space="0" w:color="auto"/>
              <w:left w:val="single" w:sz="6" w:space="0" w:color="auto"/>
              <w:right w:val="double" w:sz="6" w:space="0" w:color="auto"/>
            </w:tcBorders>
          </w:tcPr>
          <w:p w:rsidR="0037141E" w:rsidRPr="00BB229F" w:rsidRDefault="0037141E"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sidRPr="00BB229F">
              <w:rPr>
                <w:sz w:val="20"/>
              </w:rPr>
              <w:t xml:space="preserve">Based on CDBS data, adjusted for exemptions, and actual FY 2016 payment units. </w:t>
            </w:r>
          </w:p>
        </w:tc>
      </w:tr>
      <w:tr w:rsidR="00BB229F" w:rsidRPr="00BB229F" w:rsidTr="00246F55">
        <w:tc>
          <w:tcPr>
            <w:tcW w:w="2978" w:type="dxa"/>
            <w:tcBorders>
              <w:top w:val="single" w:sz="6" w:space="0" w:color="auto"/>
              <w:left w:val="double" w:sz="6" w:space="0" w:color="auto"/>
            </w:tcBorders>
          </w:tcPr>
          <w:p w:rsidR="0037141E" w:rsidRPr="00BB229F" w:rsidRDefault="0037141E"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sidRPr="00BB229F">
              <w:rPr>
                <w:sz w:val="20"/>
              </w:rPr>
              <w:t>LPTV, Translators and Boosters, Class A Television</w:t>
            </w:r>
          </w:p>
        </w:tc>
        <w:tc>
          <w:tcPr>
            <w:tcW w:w="5662" w:type="dxa"/>
            <w:tcBorders>
              <w:top w:val="single" w:sz="6" w:space="0" w:color="auto"/>
              <w:left w:val="single" w:sz="6" w:space="0" w:color="auto"/>
              <w:right w:val="double" w:sz="6" w:space="0" w:color="auto"/>
            </w:tcBorders>
          </w:tcPr>
          <w:p w:rsidR="0037141E" w:rsidRPr="00BB229F" w:rsidRDefault="0037141E"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sidRPr="00BB229F">
              <w:rPr>
                <w:sz w:val="20"/>
              </w:rPr>
              <w:t>Based on CDBS data, adjusted for exemptions, and actual FY 2016 payment units.</w:t>
            </w:r>
          </w:p>
        </w:tc>
      </w:tr>
      <w:tr w:rsidR="00BB229F" w:rsidRPr="00BB229F" w:rsidTr="00246F55">
        <w:tc>
          <w:tcPr>
            <w:tcW w:w="2978" w:type="dxa"/>
            <w:tcBorders>
              <w:top w:val="single" w:sz="6" w:space="0" w:color="auto"/>
              <w:left w:val="double" w:sz="6" w:space="0" w:color="auto"/>
            </w:tcBorders>
          </w:tcPr>
          <w:p w:rsidR="0037141E" w:rsidRPr="00BB229F" w:rsidRDefault="0037141E"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sidRPr="00BB229F">
              <w:rPr>
                <w:sz w:val="20"/>
              </w:rPr>
              <w:t>BRS (formerly MDS/MMDS)</w:t>
            </w:r>
          </w:p>
          <w:p w:rsidR="0037141E" w:rsidRPr="00BB229F" w:rsidRDefault="0037141E"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sidRPr="00BB229F">
              <w:rPr>
                <w:sz w:val="20"/>
              </w:rPr>
              <w:t>LMDS</w:t>
            </w:r>
          </w:p>
        </w:tc>
        <w:tc>
          <w:tcPr>
            <w:tcW w:w="5662" w:type="dxa"/>
            <w:tcBorders>
              <w:top w:val="single" w:sz="6" w:space="0" w:color="auto"/>
              <w:left w:val="single" w:sz="6" w:space="0" w:color="auto"/>
              <w:right w:val="double" w:sz="6" w:space="0" w:color="auto"/>
            </w:tcBorders>
          </w:tcPr>
          <w:p w:rsidR="0037141E" w:rsidRPr="00BB229F" w:rsidRDefault="0037141E"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sidRPr="00BB229F">
              <w:rPr>
                <w:sz w:val="20"/>
              </w:rPr>
              <w:t>Based on WTB reports and actual FY 2016 payment units.</w:t>
            </w:r>
          </w:p>
          <w:p w:rsidR="0037141E" w:rsidRPr="00BB229F" w:rsidRDefault="0037141E"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sidRPr="00BB229F">
              <w:rPr>
                <w:sz w:val="20"/>
              </w:rPr>
              <w:t>Based on WTB reports and actual FY 2016 payment units.</w:t>
            </w:r>
          </w:p>
        </w:tc>
      </w:tr>
      <w:tr w:rsidR="00BB229F" w:rsidRPr="00BB229F" w:rsidTr="00246F55">
        <w:tc>
          <w:tcPr>
            <w:tcW w:w="2978" w:type="dxa"/>
            <w:tcBorders>
              <w:top w:val="single" w:sz="6" w:space="0" w:color="auto"/>
              <w:left w:val="double" w:sz="6" w:space="0" w:color="auto"/>
            </w:tcBorders>
          </w:tcPr>
          <w:p w:rsidR="0037141E" w:rsidRPr="00BB229F" w:rsidRDefault="0037141E"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sidRPr="00BB229F">
              <w:rPr>
                <w:sz w:val="20"/>
              </w:rPr>
              <w:t>Cable Television Relay Service (CARS) Stations</w:t>
            </w:r>
          </w:p>
        </w:tc>
        <w:tc>
          <w:tcPr>
            <w:tcW w:w="5662" w:type="dxa"/>
            <w:tcBorders>
              <w:top w:val="single" w:sz="6" w:space="0" w:color="auto"/>
              <w:left w:val="single" w:sz="6" w:space="0" w:color="auto"/>
              <w:right w:val="double" w:sz="6" w:space="0" w:color="auto"/>
            </w:tcBorders>
          </w:tcPr>
          <w:p w:rsidR="0037141E" w:rsidRPr="00BB229F" w:rsidRDefault="0037141E"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sidRPr="00BB229F">
              <w:rPr>
                <w:sz w:val="20"/>
              </w:rPr>
              <w:t>Based on data from Media Bureau’s COALS database and actual FY 2016 payment units.</w:t>
            </w:r>
          </w:p>
        </w:tc>
      </w:tr>
      <w:tr w:rsidR="00BB229F" w:rsidRPr="00BB229F" w:rsidTr="00246F55">
        <w:tc>
          <w:tcPr>
            <w:tcW w:w="2978" w:type="dxa"/>
            <w:tcBorders>
              <w:top w:val="single" w:sz="6" w:space="0" w:color="auto"/>
              <w:left w:val="double" w:sz="6" w:space="0" w:color="auto"/>
            </w:tcBorders>
          </w:tcPr>
          <w:p w:rsidR="0037141E" w:rsidRPr="00BB229F" w:rsidRDefault="0037141E"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sidRPr="00BB229F">
              <w:rPr>
                <w:sz w:val="20"/>
              </w:rPr>
              <w:t>Cable Television System Subscribers, Including IPTV Subscribers</w:t>
            </w:r>
          </w:p>
        </w:tc>
        <w:tc>
          <w:tcPr>
            <w:tcW w:w="5662" w:type="dxa"/>
            <w:tcBorders>
              <w:top w:val="single" w:sz="6" w:space="0" w:color="auto"/>
              <w:left w:val="single" w:sz="6" w:space="0" w:color="auto"/>
              <w:right w:val="double" w:sz="6" w:space="0" w:color="auto"/>
            </w:tcBorders>
          </w:tcPr>
          <w:p w:rsidR="0037141E" w:rsidRPr="00BB229F" w:rsidRDefault="0037141E"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sidRPr="00BB229F">
              <w:rPr>
                <w:sz w:val="20"/>
              </w:rPr>
              <w:t xml:space="preserve">Based on publicly available data sources for estimated subscriber counts and actual FY 2016 payment units. </w:t>
            </w:r>
          </w:p>
        </w:tc>
      </w:tr>
      <w:tr w:rsidR="00BB229F" w:rsidRPr="00BB229F" w:rsidTr="00246F55">
        <w:tc>
          <w:tcPr>
            <w:tcW w:w="2978" w:type="dxa"/>
            <w:tcBorders>
              <w:top w:val="single" w:sz="6" w:space="0" w:color="auto"/>
              <w:left w:val="double" w:sz="6" w:space="0" w:color="auto"/>
            </w:tcBorders>
          </w:tcPr>
          <w:p w:rsidR="0037141E" w:rsidRPr="00BB229F" w:rsidRDefault="0037141E"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sidRPr="00BB229F">
              <w:rPr>
                <w:sz w:val="20"/>
              </w:rPr>
              <w:t>Interstate Telecommunication Service Providers</w:t>
            </w:r>
          </w:p>
        </w:tc>
        <w:tc>
          <w:tcPr>
            <w:tcW w:w="5662" w:type="dxa"/>
            <w:tcBorders>
              <w:top w:val="single" w:sz="6" w:space="0" w:color="auto"/>
              <w:left w:val="single" w:sz="6" w:space="0" w:color="auto"/>
              <w:right w:val="double" w:sz="6" w:space="0" w:color="auto"/>
            </w:tcBorders>
          </w:tcPr>
          <w:p w:rsidR="0037141E" w:rsidRPr="00BB229F" w:rsidRDefault="0037141E"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sidRPr="00BB229F">
              <w:rPr>
                <w:sz w:val="20"/>
              </w:rPr>
              <w:t>Based on FCC Form 499-Q data for the four quarters of calendar year 2016, the Wireline Competition Bureau projected the amount of calendar year 2016 revenue that will be reported on 2017 FCC Form 499-A worksheets due in April, 2017.</w:t>
            </w:r>
          </w:p>
        </w:tc>
      </w:tr>
      <w:tr w:rsidR="00BB229F" w:rsidRPr="00BB229F" w:rsidTr="00246F55">
        <w:tc>
          <w:tcPr>
            <w:tcW w:w="2978" w:type="dxa"/>
            <w:tcBorders>
              <w:top w:val="single" w:sz="6" w:space="0" w:color="auto"/>
              <w:left w:val="double" w:sz="6" w:space="0" w:color="auto"/>
            </w:tcBorders>
          </w:tcPr>
          <w:p w:rsidR="0037141E" w:rsidRPr="00BB229F" w:rsidRDefault="0037141E"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sidRPr="00BB229F">
              <w:rPr>
                <w:sz w:val="20"/>
              </w:rPr>
              <w:t>Earth Stations</w:t>
            </w:r>
          </w:p>
        </w:tc>
        <w:tc>
          <w:tcPr>
            <w:tcW w:w="5662" w:type="dxa"/>
            <w:tcBorders>
              <w:top w:val="single" w:sz="6" w:space="0" w:color="auto"/>
              <w:left w:val="single" w:sz="6" w:space="0" w:color="auto"/>
              <w:right w:val="double" w:sz="6" w:space="0" w:color="auto"/>
            </w:tcBorders>
          </w:tcPr>
          <w:p w:rsidR="0037141E" w:rsidRPr="00BB229F" w:rsidRDefault="0037141E"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sidRPr="00BB229F">
              <w:rPr>
                <w:sz w:val="20"/>
              </w:rPr>
              <w:t>Based on International Bureau (“IB”) licensing data and actual FY 2016 payment units.</w:t>
            </w:r>
          </w:p>
        </w:tc>
      </w:tr>
      <w:tr w:rsidR="00BB229F" w:rsidRPr="00BB229F" w:rsidTr="00246F55">
        <w:tc>
          <w:tcPr>
            <w:tcW w:w="2978" w:type="dxa"/>
            <w:tcBorders>
              <w:top w:val="single" w:sz="6" w:space="0" w:color="auto"/>
              <w:left w:val="double" w:sz="6" w:space="0" w:color="auto"/>
            </w:tcBorders>
          </w:tcPr>
          <w:p w:rsidR="0037141E" w:rsidRPr="00BB229F" w:rsidRDefault="0037141E"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sidRPr="00BB229F">
              <w:rPr>
                <w:sz w:val="20"/>
              </w:rPr>
              <w:t>Space Stations (GSOs &amp; NGSOs)</w:t>
            </w:r>
          </w:p>
        </w:tc>
        <w:tc>
          <w:tcPr>
            <w:tcW w:w="5662" w:type="dxa"/>
            <w:tcBorders>
              <w:top w:val="single" w:sz="6" w:space="0" w:color="auto"/>
              <w:left w:val="single" w:sz="6" w:space="0" w:color="auto"/>
              <w:right w:val="double" w:sz="6" w:space="0" w:color="auto"/>
            </w:tcBorders>
          </w:tcPr>
          <w:p w:rsidR="0037141E" w:rsidRPr="00BB229F" w:rsidRDefault="0037141E"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sidRPr="00BB229F">
              <w:rPr>
                <w:sz w:val="20"/>
              </w:rPr>
              <w:t>Based on IB data reports and actual FY 2016 payment units.</w:t>
            </w:r>
          </w:p>
        </w:tc>
      </w:tr>
      <w:tr w:rsidR="00BB229F" w:rsidRPr="00BB229F" w:rsidTr="00246F55">
        <w:tc>
          <w:tcPr>
            <w:tcW w:w="2978" w:type="dxa"/>
            <w:tcBorders>
              <w:top w:val="single" w:sz="6" w:space="0" w:color="auto"/>
              <w:left w:val="double" w:sz="6" w:space="0" w:color="auto"/>
            </w:tcBorders>
          </w:tcPr>
          <w:p w:rsidR="0037141E" w:rsidRPr="00BB229F" w:rsidRDefault="0037141E"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sidRPr="00BB229F">
              <w:rPr>
                <w:sz w:val="20"/>
              </w:rPr>
              <w:t>International Bearer Circuits</w:t>
            </w:r>
          </w:p>
        </w:tc>
        <w:tc>
          <w:tcPr>
            <w:tcW w:w="5662" w:type="dxa"/>
            <w:tcBorders>
              <w:top w:val="single" w:sz="6" w:space="0" w:color="auto"/>
              <w:left w:val="single" w:sz="6" w:space="0" w:color="auto"/>
              <w:right w:val="double" w:sz="6" w:space="0" w:color="auto"/>
            </w:tcBorders>
          </w:tcPr>
          <w:p w:rsidR="0037141E" w:rsidRPr="00BB229F" w:rsidRDefault="0037141E"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sidRPr="00BB229F">
              <w:rPr>
                <w:sz w:val="20"/>
              </w:rPr>
              <w:t>Based on IB reports and submissions by licensees, adjusted as necessary.</w:t>
            </w:r>
          </w:p>
        </w:tc>
      </w:tr>
      <w:tr w:rsidR="0037141E" w:rsidRPr="00BB229F" w:rsidTr="00246F55">
        <w:tc>
          <w:tcPr>
            <w:tcW w:w="2978" w:type="dxa"/>
            <w:tcBorders>
              <w:top w:val="single" w:sz="6" w:space="0" w:color="auto"/>
              <w:left w:val="double" w:sz="6" w:space="0" w:color="auto"/>
            </w:tcBorders>
          </w:tcPr>
          <w:p w:rsidR="0037141E" w:rsidRPr="00BB229F" w:rsidRDefault="0037141E"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sidRPr="00BB229F">
              <w:rPr>
                <w:sz w:val="20"/>
              </w:rPr>
              <w:t>Submarine Cable Licenses</w:t>
            </w:r>
          </w:p>
        </w:tc>
        <w:tc>
          <w:tcPr>
            <w:tcW w:w="5662" w:type="dxa"/>
            <w:tcBorders>
              <w:top w:val="single" w:sz="6" w:space="0" w:color="auto"/>
              <w:left w:val="single" w:sz="6" w:space="0" w:color="auto"/>
              <w:right w:val="double" w:sz="6" w:space="0" w:color="auto"/>
            </w:tcBorders>
          </w:tcPr>
          <w:p w:rsidR="0037141E" w:rsidRPr="00BB229F" w:rsidRDefault="0037141E" w:rsidP="00246F55">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sidRPr="00BB229F">
              <w:rPr>
                <w:sz w:val="20"/>
              </w:rPr>
              <w:t>Based on IB license information.</w:t>
            </w:r>
          </w:p>
        </w:tc>
      </w:tr>
    </w:tbl>
    <w:p w:rsidR="0037141E" w:rsidRPr="00BB229F" w:rsidRDefault="0037141E" w:rsidP="0037141E">
      <w:pPr>
        <w:jc w:val="center"/>
      </w:pPr>
    </w:p>
    <w:p w:rsidR="00293571" w:rsidRDefault="00293571">
      <w:pPr>
        <w:widowControl/>
        <w:rPr>
          <w:b/>
        </w:rPr>
      </w:pPr>
      <w:r>
        <w:rPr>
          <w:b/>
        </w:rPr>
        <w:br w:type="page"/>
      </w:r>
    </w:p>
    <w:p w:rsidR="0037141E" w:rsidRPr="00BB229F" w:rsidRDefault="0037141E" w:rsidP="0037141E">
      <w:pPr>
        <w:tabs>
          <w:tab w:val="left" w:pos="3629"/>
        </w:tabs>
        <w:rPr>
          <w:b/>
        </w:rPr>
      </w:pPr>
    </w:p>
    <w:p w:rsidR="00DB7112" w:rsidRPr="00BB229F" w:rsidRDefault="00DB7112" w:rsidP="00DB7112">
      <w:pPr>
        <w:tabs>
          <w:tab w:val="left" w:pos="3629"/>
        </w:tabs>
        <w:jc w:val="center"/>
        <w:rPr>
          <w:b/>
        </w:rPr>
      </w:pPr>
      <w:r w:rsidRPr="00BB229F">
        <w:rPr>
          <w:b/>
        </w:rPr>
        <w:t>APPENDIX E</w:t>
      </w:r>
    </w:p>
    <w:p w:rsidR="00DB7112" w:rsidRPr="00BB229F" w:rsidRDefault="00DB7112" w:rsidP="00DB7112">
      <w:pPr>
        <w:tabs>
          <w:tab w:val="left" w:pos="3629"/>
        </w:tabs>
        <w:jc w:val="center"/>
        <w:rPr>
          <w:b/>
        </w:rPr>
      </w:pPr>
    </w:p>
    <w:p w:rsidR="00C450FC" w:rsidRPr="00BB229F" w:rsidRDefault="00DB7112" w:rsidP="00DB7112">
      <w:pPr>
        <w:tabs>
          <w:tab w:val="left" w:pos="3629"/>
        </w:tabs>
        <w:jc w:val="center"/>
        <w:rPr>
          <w:b/>
        </w:rPr>
      </w:pPr>
      <w:r w:rsidRPr="00BB229F">
        <w:rPr>
          <w:b/>
        </w:rPr>
        <w:t>Factors, Measurements, and Calculations that Determine Station Signal Contours</w:t>
      </w:r>
    </w:p>
    <w:p w:rsidR="00DB7112" w:rsidRPr="00BB229F" w:rsidRDefault="00DB7112" w:rsidP="00DB7112">
      <w:pPr>
        <w:tabs>
          <w:tab w:val="left" w:pos="3629"/>
        </w:tabs>
        <w:jc w:val="center"/>
        <w:rPr>
          <w:b/>
        </w:rPr>
      </w:pPr>
      <w:r w:rsidRPr="00BB229F">
        <w:rPr>
          <w:b/>
        </w:rPr>
        <w:t>and Associated Population Coverages</w:t>
      </w:r>
    </w:p>
    <w:p w:rsidR="00DB7112" w:rsidRPr="00BB229F" w:rsidRDefault="00DB7112" w:rsidP="00DB7112">
      <w:pPr>
        <w:tabs>
          <w:tab w:val="left" w:pos="3629"/>
        </w:tabs>
        <w:jc w:val="center"/>
        <w:rPr>
          <w:b/>
        </w:rPr>
      </w:pPr>
    </w:p>
    <w:p w:rsidR="00DB7112" w:rsidRPr="00BB229F" w:rsidRDefault="00DB7112" w:rsidP="00DB7112">
      <w:pPr>
        <w:tabs>
          <w:tab w:val="left" w:pos="-1440"/>
          <w:tab w:val="left" w:pos="-720"/>
          <w:tab w:val="left" w:pos="0"/>
          <w:tab w:val="left" w:pos="720"/>
          <w:tab w:val="left" w:pos="1440"/>
          <w:tab w:val="left" w:pos="2160"/>
          <w:tab w:val="left" w:pos="2880"/>
          <w:tab w:val="left" w:pos="3600"/>
          <w:tab w:val="left" w:pos="4680"/>
          <w:tab w:val="left" w:pos="5040"/>
        </w:tabs>
        <w:suppressAutoHyphens/>
        <w:ind w:left="720" w:right="720"/>
        <w:outlineLvl w:val="0"/>
        <w:rPr>
          <w:b/>
          <w:spacing w:val="-3"/>
          <w:szCs w:val="22"/>
          <w:u w:val="single"/>
        </w:rPr>
      </w:pPr>
      <w:bookmarkStart w:id="183" w:name="_Toc394672337"/>
      <w:bookmarkStart w:id="184" w:name="_Toc491865059"/>
      <w:bookmarkStart w:id="185" w:name="_Toc491865474"/>
      <w:r w:rsidRPr="00BB229F">
        <w:rPr>
          <w:b/>
          <w:spacing w:val="-3"/>
          <w:szCs w:val="22"/>
          <w:u w:val="single"/>
        </w:rPr>
        <w:t xml:space="preserve">AM </w:t>
      </w:r>
      <w:r w:rsidRPr="00BB229F">
        <w:rPr>
          <w:b/>
          <w:szCs w:val="22"/>
          <w:u w:val="single"/>
        </w:rPr>
        <w:t>Stations</w:t>
      </w:r>
      <w:bookmarkEnd w:id="183"/>
      <w:bookmarkEnd w:id="184"/>
      <w:bookmarkEnd w:id="185"/>
    </w:p>
    <w:p w:rsidR="00DB7112" w:rsidRPr="00BB229F" w:rsidRDefault="00DB7112" w:rsidP="00DB7112">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p>
    <w:p w:rsidR="00DB7112" w:rsidRPr="00BB229F" w:rsidRDefault="00DB7112" w:rsidP="00DB7112">
      <w:pPr>
        <w:tabs>
          <w:tab w:val="left" w:pos="-1440"/>
          <w:tab w:val="left" w:pos="-720"/>
          <w:tab w:val="left" w:pos="0"/>
          <w:tab w:val="left" w:pos="720"/>
          <w:tab w:val="left" w:pos="1440"/>
          <w:tab w:val="left" w:pos="2160"/>
          <w:tab w:val="left" w:pos="2880"/>
          <w:tab w:val="left" w:pos="3600"/>
          <w:tab w:val="left" w:pos="4680"/>
          <w:tab w:val="left" w:pos="5040"/>
        </w:tabs>
        <w:suppressAutoHyphens/>
        <w:ind w:left="720"/>
        <w:rPr>
          <w:szCs w:val="22"/>
        </w:rPr>
      </w:pPr>
      <w:r w:rsidRPr="00BB229F">
        <w:rPr>
          <w:szCs w:val="22"/>
        </w:rPr>
        <w:t>For stations with nondirectional daytime antennas, the theoretical radiation was used at all azimuths.  For stations with directional daytime antennas, specific information on each day tower, including field ratio, phase, spacing, and orientation was retrieved, as well as the theoretical pattern root-mean-square of the radiation in all directions in the horizontal plane (RMS) figure (milliVolt per meter (mV/m) @ 1 km) for the antenna system.  The standard, or augmented standard if pertinent, horizontal plane radiation pattern was calculated using techniques and methods specified in sections 73.150 and 73.152 of the Commission’s rules. Radiation values were calculated for each of 360 radials around the transmitter site.  Next, estimated soil conductivity data was retrieved from a database representing the information in FCC Figure R3. Using the calculated horizontal radiation values, and the retrieved soil conductivity data, the distance to the principal community (5 mV/m) contour was predicted for each of the 360 radials.  The resulting distance to principal community contours were used to form a geographical polygon.  Population counting was accomplished by determining which 2010 block centroids were contained in the polygon.  (A block centroid is the center point of a small area containing population as computed by the U.S. Census Bureau.)  The sum of the population figures for all enclosed blocks represents the total population for the predicted principal community coverage area.</w:t>
      </w:r>
    </w:p>
    <w:p w:rsidR="00DB7112" w:rsidRPr="00BB229F" w:rsidRDefault="00DB7112" w:rsidP="00DB7112">
      <w:pPr>
        <w:tabs>
          <w:tab w:val="left" w:pos="-1440"/>
          <w:tab w:val="left" w:pos="-720"/>
          <w:tab w:val="left" w:pos="0"/>
          <w:tab w:val="left" w:pos="720"/>
          <w:tab w:val="left" w:pos="1440"/>
          <w:tab w:val="left" w:pos="2160"/>
          <w:tab w:val="left" w:pos="2880"/>
          <w:tab w:val="left" w:pos="3600"/>
          <w:tab w:val="left" w:pos="4680"/>
          <w:tab w:val="left" w:pos="5040"/>
        </w:tabs>
        <w:suppressAutoHyphens/>
        <w:ind w:left="720"/>
        <w:rPr>
          <w:szCs w:val="22"/>
        </w:rPr>
      </w:pPr>
    </w:p>
    <w:p w:rsidR="00DB7112" w:rsidRPr="00BB229F" w:rsidRDefault="00DB7112" w:rsidP="00DB7112">
      <w:pPr>
        <w:tabs>
          <w:tab w:val="left" w:pos="-1440"/>
          <w:tab w:val="left" w:pos="-720"/>
          <w:tab w:val="left" w:pos="0"/>
          <w:tab w:val="left" w:pos="720"/>
          <w:tab w:val="left" w:pos="1440"/>
          <w:tab w:val="left" w:pos="2160"/>
          <w:tab w:val="left" w:pos="2880"/>
          <w:tab w:val="left" w:pos="3600"/>
          <w:tab w:val="left" w:pos="4680"/>
          <w:tab w:val="left" w:pos="5040"/>
        </w:tabs>
        <w:suppressAutoHyphens/>
        <w:rPr>
          <w:b/>
          <w:szCs w:val="22"/>
          <w:u w:val="single"/>
        </w:rPr>
      </w:pPr>
      <w:r w:rsidRPr="00BB229F">
        <w:rPr>
          <w:b/>
          <w:szCs w:val="22"/>
        </w:rPr>
        <w:tab/>
      </w:r>
      <w:r w:rsidRPr="00BB229F">
        <w:rPr>
          <w:b/>
          <w:szCs w:val="22"/>
          <w:u w:val="single"/>
        </w:rPr>
        <w:t>FM Stations</w:t>
      </w:r>
    </w:p>
    <w:p w:rsidR="00DB7112" w:rsidRPr="00BB229F" w:rsidRDefault="00DB7112" w:rsidP="00DB7112">
      <w:pPr>
        <w:tabs>
          <w:tab w:val="left" w:pos="-1440"/>
          <w:tab w:val="left" w:pos="-720"/>
          <w:tab w:val="left" w:pos="0"/>
          <w:tab w:val="left" w:pos="720"/>
          <w:tab w:val="left" w:pos="1440"/>
          <w:tab w:val="left" w:pos="2160"/>
          <w:tab w:val="left" w:pos="2880"/>
          <w:tab w:val="left" w:pos="3600"/>
          <w:tab w:val="left" w:pos="4680"/>
          <w:tab w:val="left" w:pos="5040"/>
        </w:tabs>
        <w:suppressAutoHyphens/>
        <w:rPr>
          <w:szCs w:val="22"/>
        </w:rPr>
      </w:pPr>
    </w:p>
    <w:p w:rsidR="00293571" w:rsidRDefault="00DB7112" w:rsidP="00293571">
      <w:pPr>
        <w:tabs>
          <w:tab w:val="left" w:pos="-1440"/>
          <w:tab w:val="left" w:pos="-720"/>
          <w:tab w:val="left" w:pos="720"/>
          <w:tab w:val="left" w:pos="1440"/>
          <w:tab w:val="left" w:pos="2160"/>
          <w:tab w:val="left" w:pos="2880"/>
          <w:tab w:val="left" w:pos="3600"/>
          <w:tab w:val="left" w:pos="4680"/>
          <w:tab w:val="left" w:pos="5040"/>
        </w:tabs>
        <w:suppressAutoHyphens/>
        <w:ind w:left="720"/>
      </w:pPr>
      <w:r w:rsidRPr="00BB229F">
        <w:rPr>
          <w:szCs w:val="22"/>
        </w:rPr>
        <w:t>The greater of the horizontal or vertical effective radiated power (ERP) (kW) and respective height above average terrain (HAAT) (m) combination was used.  Where the antenna height above mean sea level (HAMSL) was available, it was used in lieu of the average HAAT figure to calculate specific HAAT figures for each of 360 radials under study.  Any available directional pattern information was applied as well, to produce a radial-specific ERP figure.  The HAAT and ERP figures were used in conjunction with the Field Strength (50-50) propagation curves specified in 47 CFR § 73.313 of the Commission’s rules to predict the distance to the principal community (70 dBu (decibel above 1 microVolt per meter) or 3.17 mV/m) contour for each of the 360 radials.  The resulting distance to principal community contours were used to form a geographical polygon.  Population counting was accomplished by determining which 2010 block centroids were contained in the polygon.  The sum of the population figures for all enclosed blocks represents the total population for the predicted principal community coverage area.</w:t>
      </w:r>
      <w:r w:rsidRPr="00BB229F">
        <w:t xml:space="preserve"> </w:t>
      </w:r>
    </w:p>
    <w:p w:rsidR="00293571" w:rsidRDefault="00293571" w:rsidP="00293571">
      <w:pPr>
        <w:tabs>
          <w:tab w:val="left" w:pos="-1440"/>
          <w:tab w:val="left" w:pos="-720"/>
          <w:tab w:val="left" w:pos="720"/>
          <w:tab w:val="left" w:pos="1440"/>
          <w:tab w:val="left" w:pos="2160"/>
          <w:tab w:val="left" w:pos="2880"/>
          <w:tab w:val="left" w:pos="3600"/>
          <w:tab w:val="left" w:pos="4680"/>
          <w:tab w:val="left" w:pos="5040"/>
        </w:tabs>
        <w:suppressAutoHyphens/>
        <w:ind w:left="720"/>
        <w:rPr>
          <w:b/>
        </w:rPr>
      </w:pPr>
    </w:p>
    <w:p w:rsidR="00293571" w:rsidRDefault="00293571">
      <w:pPr>
        <w:widowControl/>
        <w:rPr>
          <w:b/>
        </w:rPr>
      </w:pPr>
      <w:r>
        <w:rPr>
          <w:b/>
        </w:rPr>
        <w:br w:type="page"/>
      </w:r>
    </w:p>
    <w:p w:rsidR="00E74F23" w:rsidRDefault="00E74F23" w:rsidP="00293571">
      <w:pPr>
        <w:tabs>
          <w:tab w:val="left" w:pos="-1440"/>
          <w:tab w:val="left" w:pos="-720"/>
          <w:tab w:val="left" w:pos="720"/>
          <w:tab w:val="left" w:pos="1440"/>
          <w:tab w:val="left" w:pos="2160"/>
          <w:tab w:val="left" w:pos="2880"/>
          <w:tab w:val="left" w:pos="3600"/>
          <w:tab w:val="left" w:pos="4680"/>
          <w:tab w:val="left" w:pos="5040"/>
        </w:tabs>
        <w:suppressAutoHyphens/>
        <w:ind w:left="720"/>
        <w:jc w:val="center"/>
        <w:rPr>
          <w:b/>
        </w:rPr>
      </w:pPr>
      <w:r w:rsidRPr="00BB229F">
        <w:rPr>
          <w:b/>
        </w:rPr>
        <w:t xml:space="preserve">APPENDIX </w:t>
      </w:r>
      <w:r w:rsidR="00111B67" w:rsidRPr="00BB229F">
        <w:rPr>
          <w:b/>
        </w:rPr>
        <w:t>F</w:t>
      </w:r>
    </w:p>
    <w:p w:rsidR="00293571" w:rsidRPr="00BB229F" w:rsidRDefault="00293571" w:rsidP="00293571">
      <w:pPr>
        <w:tabs>
          <w:tab w:val="left" w:pos="-1440"/>
          <w:tab w:val="left" w:pos="-720"/>
          <w:tab w:val="left" w:pos="720"/>
          <w:tab w:val="left" w:pos="1440"/>
          <w:tab w:val="left" w:pos="2160"/>
          <w:tab w:val="left" w:pos="2880"/>
          <w:tab w:val="left" w:pos="3600"/>
          <w:tab w:val="left" w:pos="4680"/>
          <w:tab w:val="left" w:pos="5040"/>
        </w:tabs>
        <w:suppressAutoHyphens/>
        <w:ind w:left="720"/>
        <w:jc w:val="center"/>
        <w:rPr>
          <w:b/>
        </w:rPr>
      </w:pPr>
    </w:p>
    <w:p w:rsidR="00E74F23" w:rsidRPr="00BB229F" w:rsidRDefault="00E74F23" w:rsidP="00E74F23">
      <w:pPr>
        <w:pStyle w:val="ParaNum"/>
        <w:numPr>
          <w:ilvl w:val="0"/>
          <w:numId w:val="0"/>
        </w:numPr>
        <w:ind w:firstLine="720"/>
        <w:jc w:val="center"/>
        <w:rPr>
          <w:b/>
        </w:rPr>
      </w:pPr>
      <w:r w:rsidRPr="00BB229F">
        <w:rPr>
          <w:b/>
        </w:rPr>
        <w:t>Initial Regulatory Flexibility Analysis</w:t>
      </w:r>
    </w:p>
    <w:p w:rsidR="009D2847" w:rsidRPr="00BB229F" w:rsidRDefault="009D2847" w:rsidP="009D2847">
      <w:pPr>
        <w:pStyle w:val="ParaNum"/>
        <w:numPr>
          <w:ilvl w:val="0"/>
          <w:numId w:val="7"/>
        </w:numPr>
      </w:pPr>
      <w:r w:rsidRPr="00BB229F">
        <w:t>As required by the Regulatory Flexibility Act of 1980, as amended (RFA),</w:t>
      </w:r>
      <w:r w:rsidRPr="00BB229F">
        <w:rPr>
          <w:rStyle w:val="FootnoteReference"/>
          <w:spacing w:val="-2"/>
          <w:szCs w:val="22"/>
        </w:rPr>
        <w:footnoteReference w:id="182"/>
      </w:r>
      <w:r w:rsidRPr="00BB229F">
        <w:t xml:space="preserve"> the Commission prepared this Initial Regulatory Flexibility Analysis (IRFA) of the possible significant economic impact on small entities by the policies and rules proposed in the Further Notice of Proposed Rulemaking (</w:t>
      </w:r>
      <w:r w:rsidR="002662D9" w:rsidRPr="00BB229F">
        <w:rPr>
          <w:i/>
        </w:rPr>
        <w:t xml:space="preserve">Further </w:t>
      </w:r>
      <w:r w:rsidRPr="00BB229F">
        <w:rPr>
          <w:i/>
        </w:rPr>
        <w:t>Notice</w:t>
      </w:r>
      <w:r w:rsidRPr="00BB229F">
        <w:t xml:space="preserve">).  Written comments are requested on this IRFA.  Comments must be identified as responses to the IRFA and must be filed by the deadline for comments on this </w:t>
      </w:r>
      <w:r w:rsidR="00656C0B" w:rsidRPr="00BB229F">
        <w:rPr>
          <w:i/>
        </w:rPr>
        <w:t xml:space="preserve">Further </w:t>
      </w:r>
      <w:r w:rsidRPr="00BB229F">
        <w:rPr>
          <w:i/>
        </w:rPr>
        <w:t>Notice</w:t>
      </w:r>
      <w:r w:rsidRPr="00BB229F">
        <w:t xml:space="preserve">.  The Commission will send a copy of the </w:t>
      </w:r>
      <w:r w:rsidR="00656C0B" w:rsidRPr="00BB229F">
        <w:rPr>
          <w:i/>
        </w:rPr>
        <w:t xml:space="preserve">Further </w:t>
      </w:r>
      <w:r w:rsidRPr="00BB229F">
        <w:rPr>
          <w:i/>
        </w:rPr>
        <w:t>Notice</w:t>
      </w:r>
      <w:r w:rsidRPr="00BB229F">
        <w:t>, including the IRFA, to the Chief Counsel for Advocacy of the Small Business Administration (SBA).</w:t>
      </w:r>
      <w:r w:rsidRPr="00BB229F">
        <w:rPr>
          <w:rStyle w:val="FootnoteReference"/>
          <w:spacing w:val="-2"/>
          <w:szCs w:val="22"/>
        </w:rPr>
        <w:footnoteReference w:id="183"/>
      </w:r>
      <w:r w:rsidRPr="00BB229F">
        <w:t xml:space="preserve">  In addition, the </w:t>
      </w:r>
      <w:r w:rsidR="00656C0B" w:rsidRPr="00BB229F">
        <w:rPr>
          <w:i/>
        </w:rPr>
        <w:t xml:space="preserve">Further </w:t>
      </w:r>
      <w:r w:rsidRPr="00BB229F">
        <w:rPr>
          <w:i/>
        </w:rPr>
        <w:t>Notice</w:t>
      </w:r>
      <w:r w:rsidRPr="00BB229F">
        <w:t xml:space="preserve"> and IRFA (or summaries thereof) will be published in the Federal Register.</w:t>
      </w:r>
      <w:r w:rsidRPr="00BB229F">
        <w:rPr>
          <w:rStyle w:val="FootnoteReference"/>
          <w:spacing w:val="-2"/>
          <w:szCs w:val="22"/>
        </w:rPr>
        <w:footnoteReference w:id="184"/>
      </w:r>
      <w:r w:rsidRPr="00BB229F">
        <w:t xml:space="preserve"> </w:t>
      </w:r>
    </w:p>
    <w:p w:rsidR="009D2847" w:rsidRPr="00BB229F" w:rsidRDefault="009D2847" w:rsidP="00887E02">
      <w:pPr>
        <w:pStyle w:val="Heading2"/>
      </w:pPr>
      <w:bookmarkStart w:id="186" w:name="_Toc491865060"/>
      <w:bookmarkStart w:id="187" w:name="_Toc491865475"/>
      <w:r w:rsidRPr="00BB229F">
        <w:t xml:space="preserve">Need for, and Objectives of, the </w:t>
      </w:r>
      <w:r w:rsidR="00656C0B" w:rsidRPr="00BB229F">
        <w:t xml:space="preserve">Further </w:t>
      </w:r>
      <w:r w:rsidRPr="00BB229F">
        <w:t>Notice</w:t>
      </w:r>
      <w:bookmarkEnd w:id="186"/>
      <w:bookmarkEnd w:id="187"/>
      <w:r w:rsidRPr="00BB229F">
        <w:t xml:space="preserve">  </w:t>
      </w:r>
    </w:p>
    <w:p w:rsidR="009D2847" w:rsidRPr="00BB229F" w:rsidRDefault="009D2847" w:rsidP="009D2847">
      <w:pPr>
        <w:pStyle w:val="ParaNum"/>
        <w:rPr>
          <w:szCs w:val="22"/>
        </w:rPr>
      </w:pPr>
      <w:r w:rsidRPr="00BB229F">
        <w:rPr>
          <w:szCs w:val="22"/>
        </w:rPr>
        <w:t xml:space="preserve">The </w:t>
      </w:r>
      <w:r w:rsidR="00656C0B" w:rsidRPr="00BB229F">
        <w:rPr>
          <w:i/>
        </w:rPr>
        <w:t xml:space="preserve">Further </w:t>
      </w:r>
      <w:r w:rsidRPr="00BB229F">
        <w:rPr>
          <w:i/>
          <w:szCs w:val="22"/>
        </w:rPr>
        <w:t xml:space="preserve">Notice </w:t>
      </w:r>
      <w:r w:rsidRPr="00BB229F">
        <w:rPr>
          <w:szCs w:val="22"/>
        </w:rPr>
        <w:t>seeks comment regarding (1) adopting a new five-tiered flat rate methodology for assessing regulatory fees for terrestrial and satellite international bearer circuits (IBCs)</w:t>
      </w:r>
      <w:r w:rsidR="00BA69EC" w:rsidRPr="00BB229F">
        <w:rPr>
          <w:szCs w:val="22"/>
        </w:rPr>
        <w:t>, revising the tiers for submarine cable systems, and adopting a new fee category for all holders of section 214 international authority and</w:t>
      </w:r>
      <w:r w:rsidRPr="00BB229F">
        <w:rPr>
          <w:szCs w:val="22"/>
        </w:rPr>
        <w:t xml:space="preserve"> (2) revising the calculation for cable television “Bulk Rate Customers</w:t>
      </w:r>
      <w:r w:rsidR="00BA69EC" w:rsidRPr="00BB229F">
        <w:rPr>
          <w:szCs w:val="22"/>
        </w:rPr>
        <w:t>.</w:t>
      </w:r>
      <w:r w:rsidRPr="00BB229F">
        <w:rPr>
          <w:szCs w:val="22"/>
        </w:rPr>
        <w:t xml:space="preserve">” </w:t>
      </w:r>
      <w:r w:rsidRPr="00BB229F">
        <w:t xml:space="preserve"> </w:t>
      </w:r>
    </w:p>
    <w:p w:rsidR="009D2847" w:rsidRPr="00BB229F" w:rsidRDefault="009D2847" w:rsidP="009D2847">
      <w:pPr>
        <w:pStyle w:val="Heading2"/>
      </w:pPr>
      <w:bookmarkStart w:id="188" w:name="_Toc491865061"/>
      <w:bookmarkStart w:id="189" w:name="_Toc491865476"/>
      <w:r w:rsidRPr="00BB229F">
        <w:t>Legal Basis</w:t>
      </w:r>
      <w:bookmarkEnd w:id="188"/>
      <w:bookmarkEnd w:id="189"/>
    </w:p>
    <w:p w:rsidR="009D2847" w:rsidRPr="00BB229F" w:rsidRDefault="009D2847" w:rsidP="009D2847">
      <w:pPr>
        <w:pStyle w:val="ParaNum"/>
      </w:pPr>
      <w:r w:rsidRPr="00BB229F">
        <w:t>This action, including publication of proposed rules, is authorized under sections (4)(i) and (j), 9, and 303(r) of the Communications Act of 1934, as amended.</w:t>
      </w:r>
      <w:r w:rsidRPr="00BB229F">
        <w:rPr>
          <w:rStyle w:val="FootnoteReference"/>
          <w:spacing w:val="-2"/>
          <w:szCs w:val="22"/>
        </w:rPr>
        <w:footnoteReference w:id="185"/>
      </w:r>
      <w:r w:rsidRPr="00BB229F">
        <w:t xml:space="preserve"> </w:t>
      </w:r>
    </w:p>
    <w:p w:rsidR="009D2847" w:rsidRPr="00BB229F" w:rsidRDefault="009D2847" w:rsidP="009D2847">
      <w:pPr>
        <w:pStyle w:val="Heading2"/>
        <w:numPr>
          <w:ilvl w:val="1"/>
          <w:numId w:val="11"/>
        </w:numPr>
      </w:pPr>
      <w:bookmarkStart w:id="190" w:name="_Toc491865062"/>
      <w:bookmarkStart w:id="191" w:name="_Toc491865477"/>
      <w:r w:rsidRPr="00BB229F">
        <w:t>Description and Estimate of the Number of Small Entities to Which the Rules Will Apply</w:t>
      </w:r>
      <w:bookmarkEnd w:id="190"/>
      <w:bookmarkEnd w:id="191"/>
    </w:p>
    <w:p w:rsidR="009D2847" w:rsidRPr="00BB229F" w:rsidRDefault="009D2847" w:rsidP="009D2847">
      <w:pPr>
        <w:pStyle w:val="ParaNum"/>
      </w:pPr>
      <w:r w:rsidRPr="00BB229F">
        <w:t>The RFA directs agencies to provide a description of, and where feasible, an estimate of the number of small entities that may be affected by the proposed rules and policies, if adopted.</w:t>
      </w:r>
      <w:r w:rsidRPr="00BB229F">
        <w:rPr>
          <w:rStyle w:val="FootnoteReference"/>
          <w:spacing w:val="-2"/>
          <w:szCs w:val="22"/>
        </w:rPr>
        <w:footnoteReference w:id="186"/>
      </w:r>
      <w:r w:rsidRPr="00BB229F">
        <w:t xml:space="preserve">  The RFA generally defines the term “small entity” as having the same meaning as the terms “small business,” “small organization,” and “small governmental jurisdiction.”</w:t>
      </w:r>
      <w:r w:rsidRPr="00BB229F">
        <w:rPr>
          <w:rStyle w:val="FootnoteReference"/>
          <w:spacing w:val="-2"/>
          <w:szCs w:val="22"/>
        </w:rPr>
        <w:footnoteReference w:id="187"/>
      </w:r>
      <w:r w:rsidRPr="00BB229F">
        <w:t xml:space="preserve">  In addition, the term “small business” has the same meaning as the term “small business concern” under the Small Business Act.</w:t>
      </w:r>
      <w:r w:rsidRPr="00BB229F">
        <w:rPr>
          <w:rStyle w:val="FootnoteReference"/>
          <w:spacing w:val="-2"/>
          <w:szCs w:val="22"/>
        </w:rPr>
        <w:footnoteReference w:id="188"/>
      </w:r>
      <w:r w:rsidRPr="00BB229F">
        <w:t xml:space="preserve">  A “small business concern” is one which: (1) is independently owned and operated; (2) is not dominant in its field of operation; and (3) satisfies any additional criteria established by the SBA.</w:t>
      </w:r>
      <w:r w:rsidRPr="00BB229F">
        <w:rPr>
          <w:rStyle w:val="FootnoteReference"/>
          <w:spacing w:val="-2"/>
          <w:szCs w:val="22"/>
        </w:rPr>
        <w:footnoteReference w:id="189"/>
      </w:r>
      <w:r w:rsidRPr="00BB229F">
        <w:t xml:space="preserve"> </w:t>
      </w:r>
    </w:p>
    <w:p w:rsidR="009D2847" w:rsidRPr="00BB229F" w:rsidRDefault="009D2847" w:rsidP="009D2847">
      <w:pPr>
        <w:pStyle w:val="ParaNum"/>
      </w:pPr>
      <w:r w:rsidRPr="00BB229F">
        <w:rPr>
          <w:b/>
        </w:rPr>
        <w:t>Small Entities.</w:t>
      </w:r>
      <w:r w:rsidRPr="00BB229F">
        <w:t xml:space="preserve">  Our actions, over time, may affect small entities that are not easily categorized at present.  We therefore describe here, at the outset, three comprehensive small entity size standards that could be directly affected by the proposals under consideration.</w:t>
      </w:r>
      <w:r w:rsidRPr="00BB229F">
        <w:rPr>
          <w:rStyle w:val="FootnoteReference"/>
        </w:rPr>
        <w:footnoteReference w:id="190"/>
      </w:r>
      <w:r w:rsidRPr="00BB229F">
        <w:t xml:space="preserve">  As of 2009, small businesses represented 99.9 percent of the 27.5 million businesses in the United States, according to the SBA.</w:t>
      </w:r>
      <w:r w:rsidRPr="00BB229F">
        <w:rPr>
          <w:rStyle w:val="FootnoteReference"/>
        </w:rPr>
        <w:footnoteReference w:id="191"/>
      </w:r>
      <w:r w:rsidRPr="00BB229F">
        <w:t xml:space="preserve">  In addition, a “small organization is generally any not-for-profit enterprise which is independently owned and operated and not dominant in its field.</w:t>
      </w:r>
      <w:r w:rsidRPr="00BB229F">
        <w:rPr>
          <w:rStyle w:val="FootnoteReference"/>
        </w:rPr>
        <w:footnoteReference w:id="192"/>
      </w:r>
      <w:r w:rsidRPr="00BB229F">
        <w:t xml:space="preserve">  In addition, the term “small governmental jurisdiction” is defined generally as “governments of cities, towns, townships, villages, school districts, or special districts, with a population of less than fifty thousand.”</w:t>
      </w:r>
      <w:r w:rsidRPr="00BB229F">
        <w:rPr>
          <w:rStyle w:val="FootnoteReference"/>
        </w:rPr>
        <w:footnoteReference w:id="193"/>
      </w:r>
      <w:r w:rsidRPr="00BB229F">
        <w:t xml:space="preserve">  U.S. Census Bureau data for 2011 indicate that there were 90,056 local governmental jurisdictions in the United States.</w:t>
      </w:r>
      <w:r w:rsidRPr="00BB229F">
        <w:rPr>
          <w:rStyle w:val="FootnoteReference"/>
        </w:rPr>
        <w:footnoteReference w:id="194"/>
      </w:r>
      <w:r w:rsidRPr="00BB229F">
        <w:t xml:space="preserve">  We estimate that, of this total, as many as 89,327 entities may qualify as “small governmental jurisdictions.”</w:t>
      </w:r>
      <w:r w:rsidRPr="00BB229F">
        <w:rPr>
          <w:rStyle w:val="FootnoteReference"/>
        </w:rPr>
        <w:footnoteReference w:id="195"/>
      </w:r>
      <w:r w:rsidRPr="00BB229F">
        <w:t xml:space="preserve">  Thus, we estimate that most local government jurisdictions are small.  </w:t>
      </w:r>
    </w:p>
    <w:p w:rsidR="009D2847" w:rsidRPr="00BB229F" w:rsidRDefault="009D2847" w:rsidP="009D2847">
      <w:pPr>
        <w:pStyle w:val="ParaNum"/>
      </w:pPr>
      <w:r w:rsidRPr="00BB229F">
        <w:rPr>
          <w:b/>
        </w:rPr>
        <w:t>Wired Telecommunications Carriers</w:t>
      </w:r>
      <w:r w:rsidRPr="00BB229F">
        <w:t>.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sidRPr="00BB229F">
        <w:rPr>
          <w:rStyle w:val="FootnoteReference"/>
        </w:rPr>
        <w:footnoteReference w:id="196"/>
      </w:r>
      <w:r w:rsidRPr="00BB229F">
        <w:t xml:space="preserve">  The SBA has developed a small business size standard for Wired Telecommunications Carriers, which consists of all such companies having 1,500 or fewer employees.</w:t>
      </w:r>
      <w:r w:rsidRPr="00BB229F">
        <w:rPr>
          <w:rStyle w:val="FootnoteReference"/>
        </w:rPr>
        <w:footnoteReference w:id="197"/>
      </w:r>
      <w:r w:rsidRPr="00BB229F">
        <w:t xml:space="preserve">  Census data for 2012 shows that there were 3,117 firms that operated that year.  Of this total, 3,083 operated with fewer than 1,000 employees.</w:t>
      </w:r>
      <w:r w:rsidRPr="00BB229F">
        <w:rPr>
          <w:rStyle w:val="FootnoteReference"/>
        </w:rPr>
        <w:footnoteReference w:id="198"/>
      </w:r>
      <w:r w:rsidRPr="00BB229F">
        <w:t xml:space="preserve">  Thus, under this size standard, the majority of firms in this industry can be considered small.</w:t>
      </w:r>
    </w:p>
    <w:p w:rsidR="009D2847" w:rsidRPr="00BB229F" w:rsidRDefault="009D2847" w:rsidP="009D2847">
      <w:pPr>
        <w:pStyle w:val="ParaNum"/>
      </w:pPr>
      <w:r w:rsidRPr="00BB229F">
        <w:rPr>
          <w:b/>
        </w:rPr>
        <w:t>Local Exchange Carriers (LECs)</w:t>
      </w:r>
      <w:r w:rsidRPr="00BB229F">
        <w:t>.  Neither the Commission nor the SBA has developed a size standard for small businesses specifically applicable to local exchange services.  The closest applicable NAICS code category is for Wired Telecommunications Carriers.  Under that size standard, such a business is small if it has 1,500 or fewer employees.</w:t>
      </w:r>
      <w:r w:rsidRPr="00BB229F">
        <w:rPr>
          <w:rStyle w:val="FootnoteReference"/>
          <w:spacing w:val="-2"/>
          <w:szCs w:val="22"/>
        </w:rPr>
        <w:footnoteReference w:id="199"/>
      </w:r>
      <w:r w:rsidRPr="00BB229F">
        <w:t xml:space="preserve">  According to census data from 2012, there were 3,117 establishments that operated that year.  Of this total, 3,083 operated with fewer than 1,000 employees.</w:t>
      </w:r>
      <w:r w:rsidRPr="00BB229F">
        <w:rPr>
          <w:rStyle w:val="FootnoteReference"/>
          <w:spacing w:val="-2"/>
          <w:szCs w:val="22"/>
        </w:rPr>
        <w:footnoteReference w:id="200"/>
      </w:r>
      <w:r w:rsidRPr="00BB229F">
        <w:t xml:space="preserve">  The Commission estimates that most providers of local exchange service are small entities that may be affected by the rules proposed in the </w:t>
      </w:r>
      <w:r w:rsidR="00FE4D27" w:rsidRPr="00BB229F">
        <w:rPr>
          <w:i/>
        </w:rPr>
        <w:t xml:space="preserve">Further </w:t>
      </w:r>
      <w:r w:rsidRPr="00BB229F">
        <w:rPr>
          <w:i/>
        </w:rPr>
        <w:t>Notice</w:t>
      </w:r>
      <w:r w:rsidRPr="00BB229F">
        <w:t>.</w:t>
      </w:r>
    </w:p>
    <w:p w:rsidR="009D2847" w:rsidRPr="00BB229F" w:rsidRDefault="009D2847" w:rsidP="009D2847">
      <w:pPr>
        <w:pStyle w:val="ParaNum"/>
      </w:pPr>
      <w:r w:rsidRPr="00BB229F">
        <w:rPr>
          <w:b/>
        </w:rPr>
        <w:t>Incumbent LECs.</w:t>
      </w:r>
      <w:r w:rsidRPr="00BB229F">
        <w:t xml:space="preserve">  Neither the Commission nor the SBA has developed a small business size standard specifically for incumbent local exchange services.  The closest applicable NAICS code category is Wired Telecommunications Carriers.  Under that size standard, such a business is small if it has 1,500 or fewer employees.</w:t>
      </w:r>
      <w:r w:rsidRPr="00BB229F">
        <w:rPr>
          <w:rStyle w:val="FootnoteReference"/>
          <w:spacing w:val="-2"/>
          <w:szCs w:val="22"/>
        </w:rPr>
        <w:footnoteReference w:id="201"/>
      </w:r>
      <w:r w:rsidRPr="00BB229F">
        <w:t xml:space="preserve">  According to census data from 2012, 3,117 firms operated in that year.  Of this total, 3,083 operated with fewer than 1,000 employees.</w:t>
      </w:r>
      <w:r w:rsidRPr="00BB229F">
        <w:rPr>
          <w:rStyle w:val="FootnoteReference"/>
        </w:rPr>
        <w:footnoteReference w:id="202"/>
      </w:r>
      <w:r w:rsidRPr="00BB229F">
        <w:t xml:space="preserve">   According to Commission data, 1,307 carriers reported that they were incumbent local exchange service providers.</w:t>
      </w:r>
      <w:r w:rsidRPr="00BB229F">
        <w:rPr>
          <w:rStyle w:val="FootnoteReference"/>
          <w:spacing w:val="-2"/>
          <w:szCs w:val="22"/>
        </w:rPr>
        <w:footnoteReference w:id="203"/>
      </w:r>
      <w:r w:rsidRPr="00BB229F">
        <w:t xml:space="preserve">  Of this total of 1,307 incumbent local exchange service providers, an estimated 1,006 operated with 1,500 or fewer employees.</w:t>
      </w:r>
      <w:r w:rsidRPr="00BB229F">
        <w:rPr>
          <w:rStyle w:val="FootnoteReference"/>
          <w:spacing w:val="-2"/>
          <w:szCs w:val="22"/>
        </w:rPr>
        <w:footnoteReference w:id="204"/>
      </w:r>
      <w:r w:rsidRPr="00BB229F">
        <w:t xml:space="preserve">  Consequently, the Commission estimates that most providers of incumbent local exchange service are small businesses that may be affected by the rules proposed in this </w:t>
      </w:r>
      <w:r w:rsidR="00FE4D27" w:rsidRPr="00BB229F">
        <w:rPr>
          <w:i/>
        </w:rPr>
        <w:t xml:space="preserve">Further </w:t>
      </w:r>
      <w:r w:rsidRPr="00BB229F">
        <w:rPr>
          <w:i/>
        </w:rPr>
        <w:t>Notice</w:t>
      </w:r>
      <w:r w:rsidRPr="00BB229F">
        <w:t xml:space="preserve">.  </w:t>
      </w:r>
    </w:p>
    <w:p w:rsidR="009D2847" w:rsidRPr="00BB229F" w:rsidRDefault="009D2847" w:rsidP="009D2847">
      <w:pPr>
        <w:pStyle w:val="ParaNum"/>
      </w:pPr>
      <w:r w:rsidRPr="00BB229F">
        <w:rPr>
          <w:b/>
        </w:rPr>
        <w:t>Competitive Local Exchange Carriers (Competitive LECs), Competitive Access Providers (CAPs), Shared-Tenant Service Providers, and Other Local Service Providers</w:t>
      </w:r>
      <w:r w:rsidRPr="00BB229F">
        <w:t>.  Neither the Commission nor the SBA has developed a small business size standard specifically for these service providers.  The appropriate NAICS code category is Wired Telecommunications Carriers.  Under that size standard, such a business is small if it has 1,500 or fewer employees.</w:t>
      </w:r>
      <w:r w:rsidRPr="00BB229F">
        <w:rPr>
          <w:rStyle w:val="FootnoteReference"/>
          <w:spacing w:val="-2"/>
          <w:szCs w:val="22"/>
        </w:rPr>
        <w:footnoteReference w:id="205"/>
      </w:r>
      <w:r w:rsidRPr="00BB229F">
        <w:t xml:space="preserve">  U.S. Census data for 2012 indicate that 3,117 firms operated during that year.  Of that number, 3,083 operated with fewer than 1,000 employees.</w:t>
      </w:r>
      <w:r w:rsidRPr="00BB229F">
        <w:rPr>
          <w:rStyle w:val="FootnoteReference"/>
        </w:rPr>
        <w:footnoteReference w:id="206"/>
      </w:r>
      <w:r w:rsidRPr="00BB229F">
        <w:t xml:space="preserve">  Based on this data, the Commission concludes that the majority of Competitive LECs, CAPs, Shared-Tenant Service Providers, and Other Local Service Providers are small entities.  According to the Commission data, 1,442 carriers reported that they were engaged in the provision of either competitive local exchange services or competitive access provider services.</w:t>
      </w:r>
      <w:r w:rsidRPr="00BB229F">
        <w:rPr>
          <w:rStyle w:val="FootnoteReference"/>
          <w:spacing w:val="-2"/>
          <w:szCs w:val="22"/>
        </w:rPr>
        <w:footnoteReference w:id="207"/>
      </w:r>
      <w:r w:rsidRPr="00BB229F">
        <w:t xml:space="preserve">  Of these 1,442 carriers, an estimated 1,256 have 1,500 or fewer employees.  In addition, 17 carriers have reported that they are Shared-Tenant Service Providers, and all 17 are estimated to have 1,500 or fewer employees.</w:t>
      </w:r>
      <w:r w:rsidRPr="00BB229F">
        <w:rPr>
          <w:rStyle w:val="FootnoteReference"/>
          <w:spacing w:val="-2"/>
          <w:szCs w:val="22"/>
        </w:rPr>
        <w:footnoteReference w:id="208"/>
      </w:r>
      <w:r w:rsidRPr="00BB229F">
        <w:t xml:space="preserve">   Also, 72 carriers have reported that they are Other Local Service Providers.</w:t>
      </w:r>
      <w:r w:rsidRPr="00BB229F">
        <w:rPr>
          <w:rStyle w:val="FootnoteReference"/>
          <w:spacing w:val="-2"/>
          <w:szCs w:val="22"/>
        </w:rPr>
        <w:footnoteReference w:id="209"/>
      </w:r>
      <w:r w:rsidRPr="00BB229F">
        <w:t xml:space="preserve">  Of this total, 70 have 1,500 or fewer employees.</w:t>
      </w:r>
      <w:r w:rsidRPr="00BB229F">
        <w:rPr>
          <w:rStyle w:val="FootnoteReference"/>
          <w:spacing w:val="-2"/>
          <w:szCs w:val="22"/>
        </w:rPr>
        <w:footnoteReference w:id="210"/>
      </w:r>
      <w:r w:rsidRPr="00BB229F">
        <w:t xml:space="preserve">  Consequently, the Commission estimates that most providers of competitive local exchange service, competitive access providers, Shared-Tenant Service Providers, and Other Local Service Providers are small entities that may be affected by rules proposed in this </w:t>
      </w:r>
      <w:r w:rsidR="00FE4D27" w:rsidRPr="00BB229F">
        <w:rPr>
          <w:i/>
        </w:rPr>
        <w:t xml:space="preserve">Further </w:t>
      </w:r>
      <w:r w:rsidRPr="00BB229F">
        <w:rPr>
          <w:i/>
        </w:rPr>
        <w:t>Notice</w:t>
      </w:r>
      <w:r w:rsidRPr="00BB229F">
        <w:t xml:space="preserve">. </w:t>
      </w:r>
    </w:p>
    <w:p w:rsidR="009D2847" w:rsidRPr="00BB229F" w:rsidRDefault="009D2847" w:rsidP="009D2847">
      <w:pPr>
        <w:pStyle w:val="ParaNum"/>
      </w:pPr>
      <w:r w:rsidRPr="00BB229F">
        <w:rPr>
          <w:b/>
        </w:rPr>
        <w:t>Interexchange Carriers (IXCs)</w:t>
      </w:r>
      <w:r w:rsidRPr="00BB229F">
        <w:t>.  Neither the Commission nor the SBA has developed a definition for Interexchange Carriers.  The closest NAICS code category is Wired Telecommunications Carriers as defined in paragraph 6 of this IRFA.  The applicable size standard under SBA rules is that such a business is small if it has 1,500 or fewer employees.</w:t>
      </w:r>
      <w:r w:rsidRPr="00BB229F">
        <w:rPr>
          <w:rStyle w:val="FootnoteReference"/>
          <w:spacing w:val="-2"/>
          <w:szCs w:val="22"/>
        </w:rPr>
        <w:footnoteReference w:id="211"/>
      </w:r>
      <w:r w:rsidRPr="00BB229F">
        <w:t xml:space="preserve">  U.S. Census data for 2012 indicate that 3,117 firms operated during that year.  Of that number, 3,083 operated with fewer than 1,000 employees.</w:t>
      </w:r>
      <w:r w:rsidRPr="00BB229F">
        <w:rPr>
          <w:rStyle w:val="FootnoteReference"/>
        </w:rPr>
        <w:footnoteReference w:id="212"/>
      </w:r>
      <w:r w:rsidRPr="00BB229F">
        <w:t xml:space="preserve">  According to Commission data, 359 companies reported that their primary telecommunications service activity was the provision of interexchange services.</w:t>
      </w:r>
      <w:r w:rsidRPr="00BB229F">
        <w:rPr>
          <w:rStyle w:val="FootnoteReference"/>
        </w:rPr>
        <w:footnoteReference w:id="213"/>
      </w:r>
      <w:r w:rsidRPr="00BB229F">
        <w:t xml:space="preserve">  Of this total, an estimated 317 have 1,500 or fewer employees.  Consequently, the Commission estimates that the majority of interexchange service providers are small entities that may be affected by rules proposed in this </w:t>
      </w:r>
      <w:r w:rsidR="00FE4D27" w:rsidRPr="00BB229F">
        <w:rPr>
          <w:i/>
        </w:rPr>
        <w:t xml:space="preserve">Further </w:t>
      </w:r>
      <w:r w:rsidRPr="00BB229F">
        <w:rPr>
          <w:i/>
        </w:rPr>
        <w:t>Notice</w:t>
      </w:r>
      <w:r w:rsidRPr="00BB229F">
        <w:t>.</w:t>
      </w:r>
    </w:p>
    <w:p w:rsidR="009D2847" w:rsidRPr="00BB229F" w:rsidRDefault="009D2847" w:rsidP="009D2847">
      <w:pPr>
        <w:pStyle w:val="ParaNum"/>
      </w:pPr>
      <w:r w:rsidRPr="00BB229F">
        <w:rPr>
          <w:b/>
        </w:rPr>
        <w:t>Prepaid Calling Card Providers.</w:t>
      </w:r>
      <w:r w:rsidRPr="00BB229F">
        <w:t xml:space="preserve">  Neither the Commission nor the SBA has developed a small business size standard specifically for prepaid calling card providers.  The appropriate NAICS code category for prepaid calling card providers is Telecommunications Resellers.  This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networks operators (MVNOs) are included in this industry.</w:t>
      </w:r>
      <w:r w:rsidRPr="00BB229F">
        <w:rPr>
          <w:rStyle w:val="FootnoteReference"/>
        </w:rPr>
        <w:footnoteReference w:id="214"/>
      </w:r>
      <w:r w:rsidRPr="00BB229F">
        <w:t xml:space="preserve">  Under the applicable SBA size standard, such a business is small if it has 1,500 or fewer employees.</w:t>
      </w:r>
      <w:r w:rsidRPr="00BB229F">
        <w:rPr>
          <w:rStyle w:val="FootnoteReference"/>
          <w:spacing w:val="-2"/>
          <w:szCs w:val="22"/>
        </w:rPr>
        <w:footnoteReference w:id="215"/>
      </w:r>
      <w:r w:rsidRPr="00BB229F">
        <w:t xml:space="preserve">  U.S. Census data for 2012 show that 1,341 firms provided resale services during that year.  Of that number, 1,341 operated with fewer than 1,000 employees.</w:t>
      </w:r>
      <w:r w:rsidRPr="00BB229F">
        <w:rPr>
          <w:rStyle w:val="FootnoteReference"/>
          <w:spacing w:val="-2"/>
          <w:szCs w:val="22"/>
        </w:rPr>
        <w:footnoteReference w:id="216"/>
      </w:r>
      <w:r w:rsidRPr="00BB229F">
        <w:t xml:space="preserve">  Thus, under this category and the associated small business size standard, the majority of these prepaid calling card providers can be considered small entities.  According to Commission data, 193 carriers have reported that they are engaged in the provision of prepaid calling cards.</w:t>
      </w:r>
      <w:r w:rsidRPr="00BB229F">
        <w:rPr>
          <w:rStyle w:val="FootnoteReference"/>
          <w:spacing w:val="-2"/>
          <w:szCs w:val="22"/>
        </w:rPr>
        <w:footnoteReference w:id="217"/>
      </w:r>
      <w:r w:rsidRPr="00BB229F">
        <w:t xml:space="preserve">  All 193 carriers have 1,500 or fewer employees.</w:t>
      </w:r>
      <w:r w:rsidRPr="00BB229F">
        <w:rPr>
          <w:rStyle w:val="FootnoteReference"/>
          <w:spacing w:val="-2"/>
          <w:szCs w:val="22"/>
        </w:rPr>
        <w:footnoteReference w:id="218"/>
      </w:r>
      <w:r w:rsidRPr="00BB229F">
        <w:t xml:space="preserve">  Consequently, the Commission estimates that the majority of prepaid calling card providers are small entities that may be affected by rules proposed in this </w:t>
      </w:r>
      <w:r w:rsidR="00FE4D27" w:rsidRPr="00BB229F">
        <w:rPr>
          <w:i/>
        </w:rPr>
        <w:t xml:space="preserve">Further </w:t>
      </w:r>
      <w:r w:rsidRPr="00BB229F">
        <w:rPr>
          <w:i/>
        </w:rPr>
        <w:t>Notice</w:t>
      </w:r>
      <w:r w:rsidRPr="00BB229F">
        <w:t>.</w:t>
      </w:r>
    </w:p>
    <w:p w:rsidR="009D2847" w:rsidRPr="00BB229F" w:rsidRDefault="009D2847" w:rsidP="009D2847">
      <w:pPr>
        <w:pStyle w:val="ParaNum"/>
      </w:pPr>
      <w:r w:rsidRPr="00BB229F">
        <w:rPr>
          <w:b/>
        </w:rPr>
        <w:t>Local Resellers</w:t>
      </w:r>
      <w:r w:rsidRPr="00BB229F">
        <w:t>.  Neither the Commission nor the SBA has developed a small business size standard specifically for Local Resellers.  The SBA has developed a small business size standard for the category of Telecommunications Resellers.  Under that size standard, such a business is small if it has 1,500 or fewer employees.</w:t>
      </w:r>
      <w:r w:rsidRPr="00BB229F">
        <w:rPr>
          <w:rStyle w:val="FootnoteReference"/>
          <w:spacing w:val="-2"/>
          <w:szCs w:val="22"/>
        </w:rPr>
        <w:footnoteReference w:id="219"/>
      </w:r>
      <w:r w:rsidRPr="00BB229F">
        <w:t xml:space="preserve">  Census data for 2012 show that 1,341 firms provided resale services during that year.</w:t>
      </w:r>
      <w:r w:rsidRPr="00BB229F">
        <w:rPr>
          <w:rStyle w:val="FootnoteReference"/>
          <w:spacing w:val="-2"/>
          <w:szCs w:val="22"/>
        </w:rPr>
        <w:t xml:space="preserve"> </w:t>
      </w:r>
      <w:r w:rsidRPr="00BB229F">
        <w:rPr>
          <w:rStyle w:val="FootnoteReference"/>
          <w:spacing w:val="-2"/>
          <w:szCs w:val="22"/>
        </w:rPr>
        <w:footnoteReference w:id="220"/>
      </w:r>
      <w:r w:rsidRPr="00BB229F">
        <w:t xml:space="preserve">  Of that number, 1,341 operated with fewer than 1,000 employees.</w:t>
      </w:r>
      <w:r w:rsidRPr="00BB229F">
        <w:rPr>
          <w:rStyle w:val="FootnoteReference"/>
          <w:spacing w:val="-2"/>
          <w:szCs w:val="22"/>
        </w:rPr>
        <w:footnoteReference w:id="221"/>
      </w:r>
      <w:r w:rsidRPr="00BB229F">
        <w:t xml:space="preserve">  Under this category and the associated small business size standard, the majority of these local resellers can be considered small entities.  According to Commission data, 213 carriers have reported that they are engaged in the provision of local resale services.</w:t>
      </w:r>
      <w:r w:rsidRPr="00BB229F">
        <w:rPr>
          <w:rStyle w:val="FootnoteReference"/>
          <w:spacing w:val="-2"/>
          <w:szCs w:val="22"/>
        </w:rPr>
        <w:footnoteReference w:id="222"/>
      </w:r>
      <w:r w:rsidRPr="00BB229F">
        <w:t xml:space="preserve">  Of this total, an estimated 211 have 1,500 or fewer employees.</w:t>
      </w:r>
      <w:r w:rsidRPr="00BB229F">
        <w:rPr>
          <w:rStyle w:val="FootnoteReference"/>
          <w:spacing w:val="-2"/>
          <w:szCs w:val="22"/>
        </w:rPr>
        <w:footnoteReference w:id="223"/>
      </w:r>
      <w:r w:rsidRPr="00BB229F">
        <w:t xml:space="preserve">  Consequently, the Commission estimates that the majority of local resellers are small entities that may be affected by rules proposed in this </w:t>
      </w:r>
      <w:r w:rsidR="00FE4D27" w:rsidRPr="00BB229F">
        <w:rPr>
          <w:i/>
        </w:rPr>
        <w:t xml:space="preserve">Further </w:t>
      </w:r>
      <w:r w:rsidRPr="00BB229F">
        <w:rPr>
          <w:i/>
        </w:rPr>
        <w:t>Notice</w:t>
      </w:r>
      <w:r w:rsidRPr="00BB229F">
        <w:t xml:space="preserve">. </w:t>
      </w:r>
    </w:p>
    <w:p w:rsidR="009D2847" w:rsidRPr="00BB229F" w:rsidRDefault="009D2847" w:rsidP="009D2847">
      <w:pPr>
        <w:pStyle w:val="ParaNum"/>
      </w:pPr>
      <w:r w:rsidRPr="00BB229F">
        <w:rPr>
          <w:b/>
        </w:rPr>
        <w:t>Toll Resellers</w:t>
      </w:r>
      <w:r w:rsidRPr="00BB229F">
        <w:t>.  The Commission has not developed a definition for Toll Resellers.  The closest NAICS code Category is Telecommunications Resellers, and the SBA has developed a small business size standard for the category of Telecommunications Resellers.</w:t>
      </w:r>
      <w:r w:rsidRPr="00BB229F">
        <w:rPr>
          <w:rStyle w:val="FootnoteReference"/>
          <w:spacing w:val="-2"/>
          <w:szCs w:val="22"/>
        </w:rPr>
        <w:footnoteReference w:id="224"/>
      </w:r>
      <w:r w:rsidRPr="00BB229F">
        <w:t xml:space="preserve">  Under that size standard, such a business is small if it has 1,500 or fewer employees.</w:t>
      </w:r>
      <w:r w:rsidRPr="00BB229F">
        <w:rPr>
          <w:rStyle w:val="FootnoteReference"/>
          <w:spacing w:val="-2"/>
          <w:szCs w:val="22"/>
        </w:rPr>
        <w:footnoteReference w:id="225"/>
      </w:r>
      <w:r w:rsidRPr="00BB229F">
        <w:t xml:space="preserve">  Census data for 2012 show that 1,341 firms provided resale services during that year.</w:t>
      </w:r>
      <w:r w:rsidRPr="00BB229F">
        <w:rPr>
          <w:rStyle w:val="FootnoteReference"/>
          <w:spacing w:val="-2"/>
          <w:szCs w:val="22"/>
        </w:rPr>
        <w:footnoteReference w:id="226"/>
      </w:r>
      <w:r w:rsidRPr="00BB229F">
        <w:t xml:space="preserve">  Of that number, 1,341 operated with fewer than 1,000 employees.</w:t>
      </w:r>
      <w:r w:rsidRPr="00BB229F">
        <w:rPr>
          <w:rStyle w:val="FootnoteReference"/>
          <w:spacing w:val="-2"/>
          <w:szCs w:val="22"/>
        </w:rPr>
        <w:footnoteReference w:id="227"/>
      </w:r>
      <w:r w:rsidRPr="00BB229F">
        <w:t xml:space="preserve">  Thus, under this category and the associated small business size standard, the majority of these resellers can be considered small entities.  According to Commission data, 881 carriers have reported that they are engaged in the provision of toll resale services.</w:t>
      </w:r>
      <w:r w:rsidRPr="00BB229F">
        <w:rPr>
          <w:rStyle w:val="FootnoteReference"/>
          <w:spacing w:val="-2"/>
          <w:szCs w:val="22"/>
        </w:rPr>
        <w:footnoteReference w:id="228"/>
      </w:r>
      <w:r w:rsidRPr="00BB229F">
        <w:t xml:space="preserve">  Of this total, an estimated 857 have 1,500 or fewer employees.</w:t>
      </w:r>
      <w:r w:rsidRPr="00BB229F">
        <w:rPr>
          <w:rStyle w:val="FootnoteReference"/>
          <w:spacing w:val="-2"/>
          <w:szCs w:val="22"/>
        </w:rPr>
        <w:footnoteReference w:id="229"/>
      </w:r>
      <w:r w:rsidRPr="00BB229F">
        <w:t xml:space="preserve">  Consequently, the Commission estimates that the majority of toll resellers are small entities that may be affected by the rules proposed in the </w:t>
      </w:r>
      <w:r w:rsidR="00FE4D27" w:rsidRPr="00BB229F">
        <w:rPr>
          <w:i/>
        </w:rPr>
        <w:t xml:space="preserve">Further </w:t>
      </w:r>
      <w:r w:rsidRPr="00BB229F">
        <w:rPr>
          <w:i/>
        </w:rPr>
        <w:t>Notice</w:t>
      </w:r>
      <w:r w:rsidRPr="00BB229F">
        <w:t>.</w:t>
      </w:r>
    </w:p>
    <w:p w:rsidR="009D2847" w:rsidRPr="00BB229F" w:rsidRDefault="009D2847" w:rsidP="009D2847">
      <w:pPr>
        <w:pStyle w:val="ParaNum"/>
      </w:pPr>
      <w:r w:rsidRPr="00BB229F">
        <w:rPr>
          <w:b/>
        </w:rPr>
        <w:t>Other Toll Carriers.</w:t>
      </w:r>
      <w:r w:rsidRPr="00BB229F">
        <w:t xml:space="preserve">  Neither the Commission nor the SBA has developed a size standard for small businesses specifically applicable to Other Toll Carriers.  This category includes toll carriers that do not fall within the categories of interexchange carriers, operator service providers, prepaid calling card providers, satellite service carriers, or toll resellers.  The closest applicable NAICS code category is for Wired Telecommunications Carriers, as defined in paragraph 6 of this IRFA.  Under that size standard, such a business is small if it has 1,500 or fewer employees.</w:t>
      </w:r>
      <w:r w:rsidRPr="00BB229F">
        <w:rPr>
          <w:rStyle w:val="FootnoteReference"/>
          <w:spacing w:val="-2"/>
          <w:szCs w:val="22"/>
        </w:rPr>
        <w:footnoteReference w:id="230"/>
      </w:r>
      <w:r w:rsidRPr="00BB229F">
        <w:t xml:space="preserve">  Census data for 2012 shows that there were 3,117 firms that operated that year.</w:t>
      </w:r>
      <w:r w:rsidRPr="00BB229F">
        <w:rPr>
          <w:rStyle w:val="FootnoteReference"/>
          <w:spacing w:val="-2"/>
          <w:szCs w:val="22"/>
        </w:rPr>
        <w:footnoteReference w:id="231"/>
      </w:r>
      <w:r w:rsidRPr="00BB229F">
        <w:t xml:space="preserve">  Of this total, 3,083 operated with fewer than 1,000 employees.</w:t>
      </w:r>
      <w:r w:rsidRPr="00BB229F">
        <w:rPr>
          <w:rStyle w:val="FootnoteReference"/>
          <w:spacing w:val="-2"/>
          <w:szCs w:val="22"/>
        </w:rPr>
        <w:footnoteReference w:id="232"/>
      </w:r>
      <w:r w:rsidRPr="00BB229F">
        <w:t xml:space="preserve">  Thus, under this category and the associated small business size standard, the majority of Other Toll Carriers can be considered small.  According to Commission data, 284 companies reported that their primary telecommunications service activity was the provision of other toll carriage.</w:t>
      </w:r>
      <w:r w:rsidRPr="00BB229F">
        <w:rPr>
          <w:rStyle w:val="FootnoteReference"/>
          <w:spacing w:val="-2"/>
          <w:szCs w:val="22"/>
        </w:rPr>
        <w:footnoteReference w:id="233"/>
      </w:r>
      <w:r w:rsidRPr="00BB229F">
        <w:t xml:space="preserve">  Of these, an estimated 279 have 1,500 or fewer employees.</w:t>
      </w:r>
      <w:r w:rsidRPr="00BB229F">
        <w:rPr>
          <w:rStyle w:val="FootnoteReference"/>
          <w:spacing w:val="-2"/>
          <w:szCs w:val="22"/>
        </w:rPr>
        <w:footnoteReference w:id="234"/>
      </w:r>
      <w:r w:rsidRPr="00BB229F">
        <w:t xml:space="preserve">  Consequently, the Commission estimates that most Other Toll Carriers are small entities that may be affected by the rules proposed in the </w:t>
      </w:r>
      <w:r w:rsidR="00FE4D27" w:rsidRPr="00BB229F">
        <w:rPr>
          <w:i/>
        </w:rPr>
        <w:t xml:space="preserve">Further </w:t>
      </w:r>
      <w:r w:rsidRPr="00BB229F">
        <w:rPr>
          <w:i/>
        </w:rPr>
        <w:t>Notice</w:t>
      </w:r>
      <w:r w:rsidRPr="00BB229F">
        <w:t>.</w:t>
      </w:r>
    </w:p>
    <w:p w:rsidR="009D2847" w:rsidRPr="00BB229F" w:rsidRDefault="009D2847" w:rsidP="009D2847">
      <w:pPr>
        <w:pStyle w:val="ParaNum"/>
      </w:pPr>
      <w:r w:rsidRPr="00BB229F">
        <w:rPr>
          <w:b/>
        </w:rPr>
        <w:t>Wireless Telecommunications Carriers (except Satellite).</w:t>
      </w:r>
      <w:r w:rsidRPr="00BB229F">
        <w:t xml:space="preserve">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sidRPr="00BB229F">
        <w:rPr>
          <w:rStyle w:val="FootnoteReference"/>
        </w:rPr>
        <w:footnoteReference w:id="235"/>
      </w:r>
      <w:r w:rsidRPr="00BB229F">
        <w:t xml:space="preserve">  The appropriate size standard under SBA rules is that such a business is small if it has 1,500 or fewer employees.  For this industry, Census Data for 2012 show that there were 967 firms that operated for the entire year.</w:t>
      </w:r>
      <w:r w:rsidRPr="00BB229F">
        <w:rPr>
          <w:rStyle w:val="FootnoteReference"/>
          <w:spacing w:val="-2"/>
          <w:szCs w:val="22"/>
        </w:rPr>
        <w:footnoteReference w:id="236"/>
      </w:r>
      <w:r w:rsidRPr="00BB229F">
        <w:t xml:space="preserve">  Of this total, 955 firms had fewer than 1,000 employees.</w:t>
      </w:r>
      <w:r w:rsidRPr="00BB229F">
        <w:rPr>
          <w:rStyle w:val="FootnoteReference"/>
          <w:spacing w:val="-2"/>
          <w:szCs w:val="22"/>
        </w:rPr>
        <w:footnoteReference w:id="237"/>
      </w:r>
      <w:r w:rsidRPr="00BB229F">
        <w:t xml:space="preserve">   Thus under this category and the associated size standard, the Commission estimates that the majority of wireless telecommunications carriers (except satellite) are small entities.  Similarly, according to Commission data, 413 carriers reported that they were engaged in the provision of wireless telephony, including cellular service, Personal Communications Service (PCS), and Specialized Mobile Radio (SMR) services.</w:t>
      </w:r>
      <w:r w:rsidRPr="00BB229F">
        <w:rPr>
          <w:rStyle w:val="FootnoteReference"/>
          <w:spacing w:val="-2"/>
          <w:szCs w:val="22"/>
        </w:rPr>
        <w:footnoteReference w:id="238"/>
      </w:r>
      <w:r w:rsidRPr="00BB229F">
        <w:t xml:space="preserve">  Of this total, an estimated 261 have 1,500 or fewer employees.</w:t>
      </w:r>
      <w:r w:rsidRPr="00BB229F">
        <w:rPr>
          <w:rStyle w:val="FootnoteReference"/>
          <w:spacing w:val="-2"/>
          <w:szCs w:val="22"/>
        </w:rPr>
        <w:footnoteReference w:id="239"/>
      </w:r>
      <w:r w:rsidRPr="00BB229F">
        <w:t xml:space="preserve">  Thus, using available data, we estimate that the majority of wireless firms can be considered small and may be affected by rules proposed in this </w:t>
      </w:r>
      <w:r w:rsidR="00FE4D27" w:rsidRPr="00BB229F">
        <w:rPr>
          <w:i/>
        </w:rPr>
        <w:t xml:space="preserve">Further </w:t>
      </w:r>
      <w:r w:rsidRPr="00BB229F">
        <w:rPr>
          <w:i/>
        </w:rPr>
        <w:t>Notice</w:t>
      </w:r>
      <w:r w:rsidRPr="00BB229F">
        <w:t>.</w:t>
      </w:r>
    </w:p>
    <w:p w:rsidR="009D2847" w:rsidRPr="00BB229F" w:rsidRDefault="009D2847" w:rsidP="009D2847">
      <w:pPr>
        <w:pStyle w:val="ParaNum"/>
      </w:pPr>
      <w:r w:rsidRPr="00BB229F">
        <w:rPr>
          <w:b/>
        </w:rPr>
        <w:t>Television Broadcasting</w:t>
      </w:r>
      <w:r w:rsidRPr="00BB229F">
        <w:t xml:space="preserve">.  </w:t>
      </w:r>
      <w:r w:rsidRPr="00BB229F">
        <w:rPr>
          <w:szCs w:val="22"/>
        </w:rPr>
        <w:t>This Economic Census category “</w:t>
      </w:r>
      <w:r w:rsidRPr="00BB229F">
        <w:t>comprises establishments primarily engaged in broadcasting images together with sound.  These establishments operate television broadcasting studios and facilities for the programming and transmission of programs to the public.”</w:t>
      </w:r>
      <w:r w:rsidRPr="00BB229F">
        <w:rPr>
          <w:rStyle w:val="FootnoteReference"/>
        </w:rPr>
        <w:footnoteReference w:id="240"/>
      </w:r>
      <w:r w:rsidRPr="00BB229F">
        <w:t xml:space="preserve"> These establishments also produce or transmit visual programming to affiliated broadcast television stations, which in turn broadcast the programs to the public on a predetermined schedule.  Programming may originate in their own studio, from an affiliated network, or from external sources.  </w:t>
      </w:r>
      <w:r w:rsidRPr="00BB229F">
        <w:rPr>
          <w:szCs w:val="22"/>
        </w:rPr>
        <w:t>The SBA has created the following small business size standard for Television Broadcasting firms:  those having $38.5 million or less in annual receipts.</w:t>
      </w:r>
      <w:r w:rsidRPr="00BB229F">
        <w:rPr>
          <w:rStyle w:val="FootnoteReference"/>
          <w:szCs w:val="22"/>
        </w:rPr>
        <w:footnoteReference w:id="241"/>
      </w:r>
      <w:r w:rsidRPr="00BB229F">
        <w:rPr>
          <w:szCs w:val="22"/>
        </w:rPr>
        <w:t xml:space="preserve">  The 2012 Economic Census reports that 751 television broadcasting firms operated during that year.  Of that number, 656 had annual receipts of less than $25 million per year.  Based on that Census data we conclude that a majority of firms that operate television stations are small.  The Commission has estimated the number of licensed commercial television stations to be 1,383.</w:t>
      </w:r>
      <w:r w:rsidRPr="00BB229F">
        <w:rPr>
          <w:rStyle w:val="FootnoteReference"/>
          <w:szCs w:val="22"/>
        </w:rPr>
        <w:footnoteReference w:id="242"/>
      </w:r>
      <w:r w:rsidRPr="00BB229F">
        <w:rPr>
          <w:szCs w:val="22"/>
        </w:rPr>
        <w:t xml:space="preserve">  In addition, according to Commission staff review of the BIA Advisory Services, LLC’s </w:t>
      </w:r>
      <w:r w:rsidRPr="00BB229F">
        <w:rPr>
          <w:i/>
          <w:szCs w:val="22"/>
        </w:rPr>
        <w:t>Media Access Pro Television Database</w:t>
      </w:r>
      <w:r w:rsidRPr="00BB229F">
        <w:rPr>
          <w:szCs w:val="22"/>
        </w:rPr>
        <w:t xml:space="preserve"> on March 28, 2012, about 950 of an estimated 1,300 commercial television stations (or approximately 73 percent) had revenues of $14 million or less.</w:t>
      </w:r>
      <w:r w:rsidRPr="00BB229F">
        <w:rPr>
          <w:rStyle w:val="FootnoteReference"/>
          <w:szCs w:val="22"/>
        </w:rPr>
        <w:footnoteReference w:id="243"/>
      </w:r>
      <w:r w:rsidRPr="00BB229F">
        <w:rPr>
          <w:szCs w:val="22"/>
        </w:rPr>
        <w:t xml:space="preserve">  We therefore estimate that the majority of commercial television broadcasters are small entities.</w:t>
      </w:r>
    </w:p>
    <w:p w:rsidR="009D2847" w:rsidRPr="00BB229F" w:rsidRDefault="009D2847" w:rsidP="009D2847">
      <w:pPr>
        <w:pStyle w:val="ParaNum"/>
      </w:pPr>
      <w:r w:rsidRPr="00BB229F">
        <w:t>In assessing whether a business concern qualifies as small under the above definition, business (control) affiliations</w:t>
      </w:r>
      <w:r w:rsidRPr="00BB229F">
        <w:rPr>
          <w:vertAlign w:val="superscript"/>
        </w:rPr>
        <w:footnoteReference w:id="244"/>
      </w:r>
      <w:r w:rsidRPr="00BB229F">
        <w:t xml:space="preserve"> must be included.  Our estimate, therefore, likely overstates the number of small entities that might be affected by our action, because the revenue figure on which it is based does not include or aggregate revenues from affiliated companies.  In addition, an element of the definition of “small business” is that the entity not be dominant in its field of operation.  We are unable at this time to define or quantify the criteria that would establish whether a specific television station is dominant in its field of operation.  Accordingly, the estimate of small businesses to which rules may apply does not exclude any television station from the definition of a small business on this basis and is therefore possibly over-inclusive to that extent.</w:t>
      </w:r>
    </w:p>
    <w:p w:rsidR="009D2847" w:rsidRPr="00BB229F" w:rsidRDefault="009D2847" w:rsidP="009D2847">
      <w:pPr>
        <w:pStyle w:val="ParaNum"/>
        <w:rPr>
          <w:szCs w:val="22"/>
        </w:rPr>
      </w:pPr>
      <w:r w:rsidRPr="00BB229F">
        <w:t>In addition, the Commission has estimated the number of licensed noncommercial educational (NCE) television stations to be 396.</w:t>
      </w:r>
      <w:r w:rsidRPr="00BB229F">
        <w:rPr>
          <w:rStyle w:val="FootnoteReference"/>
          <w:szCs w:val="22"/>
        </w:rPr>
        <w:footnoteReference w:id="245"/>
      </w:r>
      <w:r w:rsidRPr="00BB229F">
        <w:t xml:space="preserve">   These stations are non-profit, and therefore considered to be small entities.</w:t>
      </w:r>
      <w:r w:rsidRPr="00BB229F">
        <w:rPr>
          <w:rStyle w:val="FootnoteReference"/>
          <w:szCs w:val="22"/>
        </w:rPr>
        <w:footnoteReference w:id="246"/>
      </w:r>
      <w:r w:rsidRPr="00BB229F">
        <w:t xml:space="preserve">  There are also 2,528 low power television stations, including Class A stations </w:t>
      </w:r>
      <w:r w:rsidRPr="00BB229F">
        <w:rPr>
          <w:szCs w:val="22"/>
        </w:rPr>
        <w:t>(LPTV).</w:t>
      </w:r>
      <w:r w:rsidRPr="00BB229F">
        <w:rPr>
          <w:rStyle w:val="FootnoteReference"/>
          <w:szCs w:val="22"/>
        </w:rPr>
        <w:footnoteReference w:id="247"/>
      </w:r>
      <w:r w:rsidRPr="00BB229F">
        <w:rPr>
          <w:szCs w:val="22"/>
        </w:rPr>
        <w:t xml:space="preserve">  Given the nature of these services, we will presume that all LPTV licensees qualify as small entities under the above SBA small business size standard.</w:t>
      </w:r>
    </w:p>
    <w:p w:rsidR="009D2847" w:rsidRPr="00BB229F" w:rsidRDefault="009D2847" w:rsidP="009D2847">
      <w:pPr>
        <w:pStyle w:val="ParaNum"/>
        <w:rPr>
          <w:rStyle w:val="documentbody1"/>
          <w:rFonts w:ascii="Times New Roman" w:hAnsi="Times New Roman"/>
          <w:sz w:val="22"/>
          <w:szCs w:val="22"/>
        </w:rPr>
      </w:pPr>
      <w:r w:rsidRPr="00BB229F">
        <w:rPr>
          <w:b/>
          <w:szCs w:val="22"/>
        </w:rPr>
        <w:t>Radio Broadcasting</w:t>
      </w:r>
      <w:r w:rsidRPr="00BB229F">
        <w:rPr>
          <w:szCs w:val="22"/>
        </w:rPr>
        <w:t xml:space="preserve">.  </w:t>
      </w:r>
      <w:r w:rsidRPr="00BB229F">
        <w:rPr>
          <w:rStyle w:val="documentbody1"/>
          <w:rFonts w:ascii="Times New Roman" w:hAnsi="Times New Roman"/>
          <w:sz w:val="22"/>
          <w:szCs w:val="22"/>
        </w:rPr>
        <w:t>This Economic Census category “</w:t>
      </w:r>
      <w:r w:rsidRPr="00BB229F">
        <w:rPr>
          <w:szCs w:val="22"/>
        </w:rPr>
        <w:t>comprises establishments primarily engaged in broadcasting aural programs by radio to the public. Programming may originate in their own studio, from an affiliated network, or from external sources.”</w:t>
      </w:r>
      <w:r w:rsidRPr="00BB229F">
        <w:rPr>
          <w:rStyle w:val="FootnoteReference"/>
          <w:sz w:val="22"/>
          <w:szCs w:val="22"/>
        </w:rPr>
        <w:footnoteReference w:id="248"/>
      </w:r>
      <w:r w:rsidRPr="00BB229F">
        <w:rPr>
          <w:szCs w:val="22"/>
        </w:rPr>
        <w:t xml:space="preserve">  The SBA has established a small business size standard for this category, which is:  such firms having $38.5 million or less in annual receipts.</w:t>
      </w:r>
      <w:r w:rsidRPr="00BB229F">
        <w:rPr>
          <w:rStyle w:val="FootnoteReference"/>
          <w:sz w:val="22"/>
          <w:szCs w:val="22"/>
        </w:rPr>
        <w:footnoteReference w:id="249"/>
      </w:r>
      <w:r w:rsidRPr="00BB229F">
        <w:rPr>
          <w:szCs w:val="22"/>
        </w:rPr>
        <w:t xml:space="preserve">  U.S. Census data for 2012 show that 2,849 radio station firms operated during that year.</w:t>
      </w:r>
      <w:r w:rsidRPr="00BB229F">
        <w:rPr>
          <w:rStyle w:val="FootnoteReference"/>
          <w:spacing w:val="-2"/>
          <w:sz w:val="22"/>
          <w:szCs w:val="22"/>
        </w:rPr>
        <w:footnoteReference w:id="250"/>
      </w:r>
      <w:r w:rsidRPr="00BB229F">
        <w:rPr>
          <w:szCs w:val="22"/>
        </w:rPr>
        <w:t xml:space="preserve">   Of that number, 2,806 operated with annual receipts of less than $25 million per year</w:t>
      </w:r>
      <w:r w:rsidRPr="00BB229F">
        <w:rPr>
          <w:rStyle w:val="documentbody1"/>
          <w:rFonts w:ascii="Times New Roman" w:hAnsi="Times New Roman"/>
          <w:sz w:val="22"/>
          <w:szCs w:val="22"/>
        </w:rPr>
        <w:t>.</w:t>
      </w:r>
      <w:r w:rsidRPr="00BB229F">
        <w:rPr>
          <w:rStyle w:val="FootnoteReference"/>
          <w:sz w:val="22"/>
          <w:szCs w:val="22"/>
        </w:rPr>
        <w:footnoteReference w:id="251"/>
      </w:r>
      <w:r w:rsidRPr="00BB229F">
        <w:rPr>
          <w:szCs w:val="22"/>
        </w:rPr>
        <w:t xml:space="preserve">  </w:t>
      </w:r>
      <w:r w:rsidRPr="00BB229F">
        <w:rPr>
          <w:rStyle w:val="documentbody1"/>
          <w:rFonts w:ascii="Times New Roman" w:hAnsi="Times New Roman"/>
          <w:sz w:val="22"/>
          <w:szCs w:val="22"/>
        </w:rPr>
        <w:t xml:space="preserve">According to Commission staff review of </w:t>
      </w:r>
      <w:r w:rsidRPr="00BB229F">
        <w:rPr>
          <w:szCs w:val="22"/>
        </w:rPr>
        <w:t xml:space="preserve">BIA Advisory Services, LLC’s </w:t>
      </w:r>
      <w:r w:rsidRPr="00BB229F">
        <w:rPr>
          <w:i/>
          <w:szCs w:val="22"/>
        </w:rPr>
        <w:t>Media Access Pro Radio Database</w:t>
      </w:r>
      <w:r w:rsidRPr="00BB229F">
        <w:rPr>
          <w:szCs w:val="22"/>
        </w:rPr>
        <w:t xml:space="preserve"> </w:t>
      </w:r>
      <w:r w:rsidRPr="00BB229F">
        <w:rPr>
          <w:rStyle w:val="documentbody1"/>
          <w:rFonts w:ascii="Times New Roman" w:hAnsi="Times New Roman"/>
          <w:sz w:val="22"/>
          <w:szCs w:val="22"/>
        </w:rPr>
        <w:t>on March 28, 2012, about 10,759 (97%) of 11,102 commercial radio stations had revenues of $38.5 million or less.  Therefore, the majority of such entities are small entities.</w:t>
      </w:r>
    </w:p>
    <w:p w:rsidR="009D2847" w:rsidRPr="00BB229F" w:rsidRDefault="009D2847" w:rsidP="009D2847">
      <w:pPr>
        <w:pStyle w:val="ParaNum"/>
      </w:pPr>
      <w:r w:rsidRPr="00BB229F">
        <w:rPr>
          <w:szCs w:val="22"/>
        </w:rPr>
        <w:t>In assessing whether a business concern qualifies as small under the above size standard, business affiliations must be included.</w:t>
      </w:r>
      <w:r w:rsidRPr="00BB229F">
        <w:rPr>
          <w:szCs w:val="22"/>
          <w:vertAlign w:val="superscript"/>
        </w:rPr>
        <w:footnoteReference w:id="252"/>
      </w:r>
      <w:r w:rsidRPr="00BB229F">
        <w:rPr>
          <w:szCs w:val="22"/>
        </w:rPr>
        <w:t xml:space="preserve">  In addition, to be determined to be a “small business,” the entity may not be dominant in its field of operation.</w:t>
      </w:r>
      <w:r w:rsidRPr="00BB229F">
        <w:rPr>
          <w:rStyle w:val="FootnoteReference"/>
          <w:szCs w:val="22"/>
        </w:rPr>
        <w:footnoteReference w:id="253"/>
      </w:r>
      <w:r w:rsidRPr="00BB229F">
        <w:rPr>
          <w:szCs w:val="22"/>
        </w:rPr>
        <w:t xml:space="preserve">  It is difficult at times to assess these criteria in the context of media entities, and our estimate of small businesses may therefore be over-inclusive.</w:t>
      </w:r>
    </w:p>
    <w:p w:rsidR="009D2847" w:rsidRPr="00BB229F" w:rsidRDefault="009D2847" w:rsidP="009D2847">
      <w:pPr>
        <w:pStyle w:val="ParaNum"/>
      </w:pPr>
      <w:r w:rsidRPr="00BB229F">
        <w:rPr>
          <w:b/>
        </w:rPr>
        <w:t>Cable Television and other Subscription Programming.</w:t>
      </w:r>
      <w:r w:rsidRPr="00BB229F">
        <w:t xml:space="preserve">  This industry comprises establishments primarily engaged in operating studios and facilities for the broadcasting of programs on a subscription or fee basis.  The broadcast programming is typically narrowcast in nature, e.g., limited format, such as news, sports, education, or youth-oriented.  These establishments produce programming in their own facilities or acquire programming from external sources.  The programming material is usually delivered to a third party, such as cable systems or direct-to-home satellite systems, for transmission to viewers.</w:t>
      </w:r>
      <w:r w:rsidRPr="00BB229F">
        <w:rPr>
          <w:rStyle w:val="FootnoteReference"/>
          <w:szCs w:val="22"/>
        </w:rPr>
        <w:footnoteReference w:id="254"/>
      </w:r>
      <w:r w:rsidRPr="00BB229F">
        <w:t xml:space="preserve">  The SBA has established a size standard for this industry of $38.5 million or less.  Census data for 2012 shows that there were 367 firms that operated that year.</w:t>
      </w:r>
      <w:r w:rsidRPr="00BB229F">
        <w:rPr>
          <w:rStyle w:val="FootnoteReference"/>
          <w:spacing w:val="-2"/>
          <w:szCs w:val="22"/>
        </w:rPr>
        <w:footnoteReference w:id="255"/>
      </w:r>
      <w:r w:rsidRPr="00BB229F">
        <w:t xml:space="preserve">  Of this total, 319 operated with annual receipts of less than $25 million.</w:t>
      </w:r>
      <w:r w:rsidRPr="00BB229F">
        <w:rPr>
          <w:rStyle w:val="FootnoteReference"/>
        </w:rPr>
        <w:footnoteReference w:id="256"/>
      </w:r>
      <w:r w:rsidRPr="00BB229F">
        <w:t xml:space="preserve">  Thus under this size standard, the majority of firms offering cable and other program distribution services can be considered small and may be affected by rules proposed in this </w:t>
      </w:r>
      <w:r w:rsidR="00117EBE" w:rsidRPr="00BB229F">
        <w:rPr>
          <w:i/>
        </w:rPr>
        <w:t xml:space="preserve">Further </w:t>
      </w:r>
      <w:r w:rsidRPr="00BB229F">
        <w:rPr>
          <w:i/>
        </w:rPr>
        <w:t>Notice</w:t>
      </w:r>
      <w:r w:rsidRPr="00BB229F">
        <w:t>.</w:t>
      </w:r>
    </w:p>
    <w:p w:rsidR="009D2847" w:rsidRPr="00BB229F" w:rsidRDefault="009D2847" w:rsidP="009D2847">
      <w:pPr>
        <w:pStyle w:val="ParaNum"/>
      </w:pPr>
      <w:r w:rsidRPr="00BB229F">
        <w:rPr>
          <w:b/>
        </w:rPr>
        <w:t>Cable Companies and Systems</w:t>
      </w:r>
      <w:r w:rsidRPr="00BB229F">
        <w:t xml:space="preserve">.  The Commission has developed its own small business size standards </w:t>
      </w:r>
      <w:r w:rsidR="00A759D1" w:rsidRPr="00BB229F">
        <w:t>for</w:t>
      </w:r>
      <w:r w:rsidRPr="00BB229F">
        <w:t xml:space="preserve"> cable rate regulation.  Under the Commission’s rules, a “small cable company” is one serving 400,000 or fewer subscribers nationwide.</w:t>
      </w:r>
      <w:r w:rsidRPr="00BB229F">
        <w:rPr>
          <w:rStyle w:val="FootnoteReference"/>
        </w:rPr>
        <w:footnoteReference w:id="257"/>
      </w:r>
      <w:r w:rsidRPr="00BB229F">
        <w:t xml:space="preserve">  Industry data indicate that there are currently 4,413 active cable systems in the United States.</w:t>
      </w:r>
      <w:r w:rsidRPr="00BB229F">
        <w:rPr>
          <w:rStyle w:val="FootnoteReference"/>
        </w:rPr>
        <w:footnoteReference w:id="258"/>
      </w:r>
      <w:r w:rsidRPr="00BB229F">
        <w:t xml:space="preserve">  Of this total, all but ten cable operators nationwide are small under the 400,000-subscriber size standard.</w:t>
      </w:r>
      <w:r w:rsidRPr="00BB229F">
        <w:rPr>
          <w:rStyle w:val="FootnoteReference"/>
        </w:rPr>
        <w:footnoteReference w:id="259"/>
      </w:r>
      <w:r w:rsidRPr="00BB229F">
        <w:t xml:space="preserve">  In addition, under the Commission's rate regulation rules, a “small system” is a cable system serving 15,000 or fewer subscribers.</w:t>
      </w:r>
      <w:r w:rsidRPr="00BB229F">
        <w:rPr>
          <w:rStyle w:val="FootnoteReference"/>
        </w:rPr>
        <w:footnoteReference w:id="260"/>
      </w:r>
      <w:r w:rsidRPr="00BB229F">
        <w:t xml:space="preserve">  Current Commission records show 4,413 cable systems nationwide.</w:t>
      </w:r>
      <w:r w:rsidRPr="00BB229F">
        <w:rPr>
          <w:rStyle w:val="FootnoteReference"/>
        </w:rPr>
        <w:footnoteReference w:id="261"/>
      </w:r>
      <w:r w:rsidRPr="00BB229F">
        <w:t xml:space="preserve">  Of this total, 3,900 cable systems have less than 15,000 subscribers, and 700 systems have 15,000 or more subscribers, based on the same records.</w:t>
      </w:r>
      <w:r w:rsidRPr="00BB229F">
        <w:rPr>
          <w:rStyle w:val="FootnoteReference"/>
        </w:rPr>
        <w:footnoteReference w:id="262"/>
      </w:r>
      <w:r w:rsidRPr="00BB229F">
        <w:t xml:space="preserve">  Thus, under this standard as well, the Commission estimates that most cable systems are small entities.</w:t>
      </w:r>
    </w:p>
    <w:p w:rsidR="009D2847" w:rsidRPr="00BB229F" w:rsidRDefault="009D2847" w:rsidP="00823762">
      <w:pPr>
        <w:pStyle w:val="ParaNum"/>
        <w:widowControl/>
      </w:pPr>
      <w:r w:rsidRPr="00BB229F">
        <w:rPr>
          <w:b/>
        </w:rPr>
        <w:t>Cable System Operators (Telecom Act Standard).</w:t>
      </w:r>
      <w:r w:rsidRPr="00BB229F">
        <w:t xml:space="preserve">  The Communications Act also contains a size standard for small cable system operators, which is “a cable operator that, directly or through an affiliate, serves in the aggregate fewer than 1 percent of all subscribers in the United States and is not affiliated with any entity or entities whose gross annual revenues in the aggregate exceed $250,000,000.”</w:t>
      </w:r>
      <w:r w:rsidRPr="00BB229F">
        <w:rPr>
          <w:rStyle w:val="FootnoteReference"/>
        </w:rPr>
        <w:t xml:space="preserve"> </w:t>
      </w:r>
      <w:r w:rsidRPr="00BB229F">
        <w:rPr>
          <w:rStyle w:val="FootnoteReference"/>
        </w:rPr>
        <w:footnoteReference w:id="263"/>
      </w:r>
      <w:r w:rsidRPr="00BB229F">
        <w:t xml:space="preserve">  There are approximately 53 million cable video subscribers in the United States today.</w:t>
      </w:r>
      <w:r w:rsidRPr="00BB229F">
        <w:rPr>
          <w:rStyle w:val="FootnoteReference"/>
        </w:rPr>
        <w:footnoteReference w:id="264"/>
      </w:r>
      <w:r w:rsidRPr="00BB229F">
        <w:t xml:space="preserve">  Accordingly, an operator serving fewer than 524,037 subscribers shall be deemed a small operator if its annual revenues, when combined with the total annual revenues of all its affiliates, do not exceed $250 million in the aggregate.</w:t>
      </w:r>
      <w:r w:rsidRPr="00BB229F">
        <w:rPr>
          <w:rStyle w:val="FootnoteReference"/>
        </w:rPr>
        <w:footnoteReference w:id="265"/>
      </w:r>
      <w:r w:rsidRPr="00BB229F">
        <w:t xml:space="preserve">  Based on available data, we find that all but nine incumbent cable operators are small entities under this size standard.</w:t>
      </w:r>
      <w:r w:rsidRPr="00BB229F">
        <w:rPr>
          <w:rStyle w:val="FootnoteReference"/>
        </w:rPr>
        <w:footnoteReference w:id="266"/>
      </w:r>
      <w:r w:rsidRPr="00BB229F">
        <w:t xml:space="preserve">  The Commission neither requests nor collects information on whether cable system operators are affiliated with entities whose gross annual revenues exceed $250 million.</w:t>
      </w:r>
      <w:r w:rsidRPr="00BB229F">
        <w:rPr>
          <w:rStyle w:val="FootnoteReference"/>
        </w:rPr>
        <w:footnoteReference w:id="267"/>
      </w:r>
      <w:r w:rsidRPr="00BB229F">
        <w:t xml:space="preserve">  Although it seems certain that some of these cable system operators are affiliated with entities whose gross annual revenues exceed $250,000,000, we are unable at this time to estimate with greater precision the number of cable system operators that would qualify as small cable operators under the definition in the Communications Act.</w:t>
      </w:r>
    </w:p>
    <w:p w:rsidR="009D2847" w:rsidRPr="00BB229F" w:rsidRDefault="009D2847" w:rsidP="009D2847">
      <w:pPr>
        <w:pStyle w:val="ParaNum"/>
      </w:pPr>
      <w:r w:rsidRPr="00BB229F">
        <w:rPr>
          <w:b/>
        </w:rPr>
        <w:t>Direct Broadcast Satellite (DBS) Service.</w:t>
      </w:r>
      <w:r w:rsidRPr="00BB229F">
        <w:t xml:space="preserve">  DBS Service is a nationally distributed subscription service that delivers video and audio programming via satellite to a small parabolic dish antenna at the subscriber’s location.  DBS is now included in SBA’s economic census category </w:t>
      </w:r>
      <w:r w:rsidRPr="00BB229F">
        <w:rPr>
          <w:rFonts w:cs="Calibri"/>
        </w:rPr>
        <w:t>“</w:t>
      </w:r>
      <w:r w:rsidRPr="00BB229F">
        <w:t>Wired Telecommunications Carriers.</w:t>
      </w:r>
      <w:r w:rsidRPr="00BB229F">
        <w:rPr>
          <w:rFonts w:cs="Calibri"/>
        </w:rPr>
        <w:t xml:space="preserve">” </w:t>
      </w:r>
      <w:r w:rsidRPr="00BB229F">
        <w:t xml:space="preserve"> The Wired Telecommunications Carriers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sidRPr="00BB229F">
        <w:rPr>
          <w:rStyle w:val="FootnoteReference"/>
        </w:rPr>
        <w:footnoteReference w:id="268"/>
      </w:r>
      <w:r w:rsidRPr="00BB229F">
        <w:t xml:space="preserve">  The SBA determines that a wireline business is small if it has fewer than 1500 employees.</w:t>
      </w:r>
      <w:r w:rsidRPr="00BB229F">
        <w:rPr>
          <w:rStyle w:val="FootnoteReference"/>
        </w:rPr>
        <w:footnoteReference w:id="269"/>
      </w:r>
      <w:r w:rsidRPr="00BB229F">
        <w:t xml:space="preserve">  Census data for 2012 indicate that 3,117 wireline companies were operational during that year.  Of that number, 3,083 operated with fewer than 1,000 employees.</w:t>
      </w:r>
      <w:r w:rsidRPr="00BB229F">
        <w:rPr>
          <w:rStyle w:val="FootnoteReference"/>
        </w:rPr>
        <w:footnoteReference w:id="270"/>
      </w:r>
      <w:r w:rsidRPr="00BB229F">
        <w:t xml:space="preserve">  Based on that data, we conclude that the majority of wireline firms are small under the applicable standard.  However, only two entities provide DBS service, AT&amp;T and DISH Network.  AT&amp;T and DISH Network each report annual revenues that are in excess of the threshold for a small business.  Accordingly, we conclude that DBS service is provided only by large firms.</w:t>
      </w:r>
    </w:p>
    <w:p w:rsidR="009D2847" w:rsidRPr="00BB229F" w:rsidRDefault="009D2847" w:rsidP="009D2847">
      <w:pPr>
        <w:pStyle w:val="ParaNum"/>
      </w:pPr>
      <w:r w:rsidRPr="00BB229F">
        <w:rPr>
          <w:b/>
        </w:rPr>
        <w:t>All Other Telecommunications</w:t>
      </w:r>
      <w:r w:rsidRPr="00BB229F">
        <w:t xml:space="preserve">.  </w:t>
      </w:r>
      <w:r w:rsidRPr="00BB229F">
        <w:rPr>
          <w:b/>
        </w:rPr>
        <w:t>“</w:t>
      </w:r>
      <w:r w:rsidRPr="00BB229F">
        <w:t>All Other Telecommunications” is defined as follows:  This U.S. industry is comprised of establishments that are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client-supplied telecommunications connections are also included in this industry.</w:t>
      </w:r>
      <w:r w:rsidRPr="00BB229F">
        <w:rPr>
          <w:rStyle w:val="FootnoteReference"/>
        </w:rPr>
        <w:footnoteReference w:id="271"/>
      </w:r>
      <w:r w:rsidRPr="00BB229F">
        <w:t xml:space="preserve">  The SBA has developed a small business size standard for “All Other Telecommunications,” which consists of all such firms with gross annual receipts of $32.5 million or less.</w:t>
      </w:r>
      <w:r w:rsidRPr="00BB229F">
        <w:rPr>
          <w:rStyle w:val="FootnoteReference"/>
        </w:rPr>
        <w:footnoteReference w:id="272"/>
      </w:r>
      <w:r w:rsidRPr="00BB229F">
        <w:t xml:space="preserve">  For this category, census data for 2012 show that there were 1,442 firms that operated for the entire year.  Of these firms, a total of 1,400 had gross annual receipts of less than $25 million.</w:t>
      </w:r>
      <w:r w:rsidRPr="00BB229F">
        <w:rPr>
          <w:rStyle w:val="FootnoteReference"/>
        </w:rPr>
        <w:footnoteReference w:id="273"/>
      </w:r>
      <w:r w:rsidRPr="00BB229F">
        <w:t xml:space="preserve">  Thus, a majority of “All Other Telecommunications” firms potentially affected by the proposals in the </w:t>
      </w:r>
      <w:r w:rsidRPr="00BB229F">
        <w:rPr>
          <w:i/>
        </w:rPr>
        <w:t>Notice</w:t>
      </w:r>
      <w:r w:rsidRPr="00BB229F">
        <w:t xml:space="preserve"> can be considered small. </w:t>
      </w:r>
    </w:p>
    <w:p w:rsidR="009D2847" w:rsidRPr="00BB229F" w:rsidRDefault="009D2847" w:rsidP="00823762">
      <w:pPr>
        <w:pStyle w:val="ParaNum"/>
        <w:widowControl/>
      </w:pPr>
      <w:r w:rsidRPr="00BB229F">
        <w:rPr>
          <w:b/>
        </w:rPr>
        <w:t xml:space="preserve">RespOrgs.  </w:t>
      </w:r>
      <w:r w:rsidRPr="00BB229F">
        <w:t>Responsible Organizations, or RespOrgs, are entities chosen by toll free subscribers to manage and administer the appropriate</w:t>
      </w:r>
      <w:r w:rsidR="00124C6C" w:rsidRPr="00BB229F">
        <w:t xml:space="preserve"> records in the toll-</w:t>
      </w:r>
      <w:r w:rsidRPr="00BB229F">
        <w:t>free Service</w:t>
      </w:r>
      <w:r w:rsidR="00117EBE" w:rsidRPr="00BB229F">
        <w:t xml:space="preserve"> Management System for the toll-</w:t>
      </w:r>
      <w:r w:rsidRPr="00BB229F">
        <w:t>free subscriber.</w:t>
      </w:r>
      <w:r w:rsidRPr="00BB229F">
        <w:rPr>
          <w:rStyle w:val="FootnoteReference"/>
        </w:rPr>
        <w:footnoteReference w:id="274"/>
      </w:r>
      <w:r w:rsidRPr="00BB229F">
        <w:t xml:space="preserve">  Although RespOrgs are often wireline carriers, they can also include non-carrier entities.  Therefore, in the definition herein of RespOrgs, two categories are presented, i.e., Carrier RespOrgs and Non-Carrier RespOrgs.</w:t>
      </w:r>
    </w:p>
    <w:p w:rsidR="009D2847" w:rsidRPr="00BB229F" w:rsidRDefault="009D2847" w:rsidP="009D2847">
      <w:pPr>
        <w:pStyle w:val="ParaNum"/>
      </w:pPr>
      <w:r w:rsidRPr="00BB229F">
        <w:rPr>
          <w:b/>
        </w:rPr>
        <w:t>Carrier RespOrgs</w:t>
      </w:r>
      <w:r w:rsidRPr="00BB229F">
        <w:t>. Neither the Commission, the U.S. Census, nor the SBA have developed a definition for Carrier RespOrgs.  Accordingly, the Commission believes that the closest NAICS code-based definitional categories for Carrier RespOrgs are Wired Telecommunications Carriers,</w:t>
      </w:r>
      <w:r w:rsidRPr="00BB229F">
        <w:rPr>
          <w:rStyle w:val="FootnoteReference"/>
        </w:rPr>
        <w:footnoteReference w:id="275"/>
      </w:r>
      <w:r w:rsidRPr="00BB229F">
        <w:t xml:space="preserve"> and Wireless Telecommunications Carriers (except satellite).</w:t>
      </w:r>
      <w:r w:rsidRPr="00BB229F">
        <w:rPr>
          <w:rStyle w:val="FootnoteReference"/>
        </w:rPr>
        <w:footnoteReference w:id="276"/>
      </w:r>
      <w:r w:rsidRPr="00BB229F">
        <w:t xml:space="preserve"> </w:t>
      </w:r>
    </w:p>
    <w:p w:rsidR="009D2847" w:rsidRPr="00BB229F" w:rsidRDefault="009D2847" w:rsidP="009D2847">
      <w:pPr>
        <w:pStyle w:val="ParaNum"/>
      </w:pPr>
      <w:r w:rsidRPr="00BB229F">
        <w:t xml:space="preserve">The U.S. Census Bureau defines </w:t>
      </w:r>
      <w:r w:rsidRPr="00BB229F">
        <w:rPr>
          <w:b/>
        </w:rPr>
        <w:t>Wired Telecommunications Carriers</w:t>
      </w:r>
      <w:r w:rsidRPr="00BB229F">
        <w:t xml:space="preserve">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sidRPr="00BB229F">
        <w:rPr>
          <w:rStyle w:val="FootnoteReference"/>
        </w:rPr>
        <w:footnoteReference w:id="277"/>
      </w:r>
      <w:r w:rsidRPr="00BB229F">
        <w:t xml:space="preserve">  The SBA has developed a small business size standard for Wired Telecommunications Carriers, which consists of all such companies having 1,500 or fewer employees.</w:t>
      </w:r>
      <w:r w:rsidRPr="00BB229F">
        <w:rPr>
          <w:rStyle w:val="FootnoteReference"/>
        </w:rPr>
        <w:footnoteReference w:id="278"/>
      </w:r>
      <w:r w:rsidRPr="00BB229F">
        <w:t xml:space="preserve">  Census data for 2012 show that there were 3,117 Wired Telecommunications Carrier firms that operated for that entire year.  Of that number, 3,083 operated with less than 1,000 employees.</w:t>
      </w:r>
      <w:r w:rsidRPr="00BB229F">
        <w:rPr>
          <w:rStyle w:val="FootnoteReference"/>
        </w:rPr>
        <w:footnoteReference w:id="279"/>
      </w:r>
      <w:r w:rsidRPr="00BB229F">
        <w:t xml:space="preserve">  Based on that data, we conclude that </w:t>
      </w:r>
      <w:r w:rsidR="00124C6C" w:rsidRPr="00BB229F">
        <w:t>most</w:t>
      </w:r>
      <w:r w:rsidRPr="00BB229F">
        <w:t xml:space="preserve"> Carrier RespOrgs that operated with wireline-based technology are small.</w:t>
      </w:r>
    </w:p>
    <w:p w:rsidR="009D2847" w:rsidRPr="00BB229F" w:rsidRDefault="009D2847" w:rsidP="009D2847">
      <w:pPr>
        <w:pStyle w:val="ParaNum"/>
      </w:pPr>
      <w:r w:rsidRPr="00BB229F">
        <w:t xml:space="preserve">The U.S. Census Bureau defines </w:t>
      </w:r>
      <w:r w:rsidRPr="00BB229F">
        <w:rPr>
          <w:b/>
        </w:rPr>
        <w:t>Wireless Telecommunications Carriers (except satellite</w:t>
      </w:r>
      <w:r w:rsidRPr="00BB229F">
        <w:t>) as establishments engaged in operating and maintaining switching and transmission facilities to provide communications via the airwaves, such as cellular services, paging services, wireless internet access, and wireless video services.</w:t>
      </w:r>
      <w:r w:rsidRPr="00BB229F">
        <w:rPr>
          <w:rStyle w:val="FootnoteReference"/>
        </w:rPr>
        <w:footnoteReference w:id="280"/>
      </w:r>
      <w:r w:rsidRPr="00BB229F">
        <w:t xml:space="preserve">  The appropriate size standard under SBA rules is that such a business is small if it has 1,500 or fewer employees.</w:t>
      </w:r>
      <w:r w:rsidRPr="00BB229F">
        <w:rPr>
          <w:rStyle w:val="FootnoteReference"/>
        </w:rPr>
        <w:footnoteReference w:id="281"/>
      </w:r>
      <w:r w:rsidRPr="00BB229F">
        <w:t xml:space="preserve">  Census data for 2012 show that 967 Wireless Telecommunications Carriers operated in that year.  Of that number, 955 operated with less than 1,000 employees.</w:t>
      </w:r>
      <w:r w:rsidRPr="00BB229F">
        <w:rPr>
          <w:rStyle w:val="FootnoteReference"/>
        </w:rPr>
        <w:footnoteReference w:id="282"/>
      </w:r>
      <w:r w:rsidRPr="00BB229F">
        <w:t xml:space="preserve">  Based on that data, we conclude that the majority of Carrier RespOrgs that operated with wireless-based technology are small.</w:t>
      </w:r>
    </w:p>
    <w:p w:rsidR="009D2847" w:rsidRPr="00BB229F" w:rsidRDefault="009D2847" w:rsidP="009D2847">
      <w:pPr>
        <w:pStyle w:val="ParaNum"/>
      </w:pPr>
      <w:r w:rsidRPr="00BB229F">
        <w:rPr>
          <w:b/>
        </w:rPr>
        <w:t>Non-Carrier RespOrgs</w:t>
      </w:r>
      <w:r w:rsidRPr="00BB229F">
        <w:t xml:space="preserve">. </w:t>
      </w:r>
      <w:r w:rsidRPr="00BB229F">
        <w:rPr>
          <w:b/>
        </w:rPr>
        <w:t xml:space="preserve"> </w:t>
      </w:r>
      <w:r w:rsidRPr="00BB229F">
        <w:t>Neither the Commission, the U.S. Census, nor the SBA have developed a definition of Non-Carrier RespOrgs.  Accordingly, the Commission believes that the closest NAICS code-based definitional categories for Non-Carrier RespOrgs are “Other Services Related to Advertising”</w:t>
      </w:r>
      <w:r w:rsidRPr="00BB229F">
        <w:rPr>
          <w:rStyle w:val="FootnoteReference"/>
        </w:rPr>
        <w:footnoteReference w:id="283"/>
      </w:r>
      <w:r w:rsidRPr="00BB229F">
        <w:t xml:space="preserve"> and “Other Management Consulting Services.”</w:t>
      </w:r>
      <w:r w:rsidRPr="00BB229F">
        <w:rPr>
          <w:rStyle w:val="FootnoteReference"/>
        </w:rPr>
        <w:footnoteReference w:id="284"/>
      </w:r>
    </w:p>
    <w:p w:rsidR="009D2847" w:rsidRPr="00BB229F" w:rsidRDefault="009D2847" w:rsidP="00823762">
      <w:pPr>
        <w:pStyle w:val="ParaNum"/>
        <w:widowControl/>
      </w:pPr>
      <w:r w:rsidRPr="00BB229F">
        <w:t xml:space="preserve">The U.S. Census defines </w:t>
      </w:r>
      <w:r w:rsidRPr="00BB229F">
        <w:rPr>
          <w:b/>
        </w:rPr>
        <w:t xml:space="preserve">Other Services Related to Advertising </w:t>
      </w:r>
      <w:r w:rsidRPr="00BB229F">
        <w:t>as comprising establishments primarily engaged in providing advertising services (except advertising agency services, public relations agency services, media buying agency services, media representative services, display advertising services, direct mail advertising services, advertising material distribution services, and marketing consulting services).</w:t>
      </w:r>
      <w:r w:rsidRPr="00BB229F">
        <w:rPr>
          <w:rStyle w:val="FootnoteReference"/>
        </w:rPr>
        <w:footnoteReference w:id="285"/>
      </w:r>
      <w:r w:rsidRPr="00BB229F">
        <w:t xml:space="preserve">  The SBA has established a size standard for this industry as annual receipts of $15 million dollars or less.</w:t>
      </w:r>
      <w:r w:rsidRPr="00BB229F">
        <w:rPr>
          <w:rStyle w:val="FootnoteReference"/>
        </w:rPr>
        <w:footnoteReference w:id="286"/>
      </w:r>
      <w:r w:rsidRPr="00BB229F">
        <w:t xml:space="preserve">  Census data for 2012 show that 5,804 firms operated in this industry for the entire year.  Of that number, 5,249 operated with annual receipts of less than $10 million.</w:t>
      </w:r>
      <w:r w:rsidRPr="00BB229F">
        <w:rPr>
          <w:rStyle w:val="FootnoteReference"/>
        </w:rPr>
        <w:footnoteReference w:id="287"/>
      </w:r>
      <w:r w:rsidRPr="00BB229F">
        <w:t xml:space="preserve">  Based on that data we conclude that the majority of Non-Carrier RespOrgs who provide toll-free number (TFN)-related advertising services are small.</w:t>
      </w:r>
    </w:p>
    <w:p w:rsidR="009D2847" w:rsidRPr="00BB229F" w:rsidRDefault="009D2847" w:rsidP="009D2847">
      <w:pPr>
        <w:pStyle w:val="ParaNum"/>
      </w:pPr>
      <w:r w:rsidRPr="00BB229F">
        <w:t xml:space="preserve">The U.S. Census defines </w:t>
      </w:r>
      <w:r w:rsidRPr="00BB229F">
        <w:rPr>
          <w:b/>
        </w:rPr>
        <w:t xml:space="preserve">Other Management Consulting Services </w:t>
      </w:r>
      <w:r w:rsidRPr="00BB229F">
        <w:t>as establishments primarily engaged in providing management consulting services (except administrative and general management consulting; human resources consulting; marketing consulting; or process, physical distribution, and logistics consulting).  Establishments providing telecommunications or utilities management consulting services are included in this industry.</w:t>
      </w:r>
      <w:r w:rsidRPr="00BB229F">
        <w:rPr>
          <w:rStyle w:val="FootnoteReference"/>
        </w:rPr>
        <w:footnoteReference w:id="288"/>
      </w:r>
      <w:r w:rsidRPr="00BB229F">
        <w:t xml:space="preserve">  The SBA has established a size standard for this industry of $15 million dollars or less.</w:t>
      </w:r>
      <w:r w:rsidRPr="00BB229F">
        <w:rPr>
          <w:rStyle w:val="FootnoteReference"/>
        </w:rPr>
        <w:footnoteReference w:id="289"/>
      </w:r>
      <w:r w:rsidRPr="00BB229F">
        <w:t xml:space="preserve">  Census data for 2012 show that 3,683 firms operated in this industry for that entire year.  Of that number, 3,632 operated with less than $10 million in annual receipts.</w:t>
      </w:r>
      <w:r w:rsidRPr="00BB229F">
        <w:rPr>
          <w:rStyle w:val="FootnoteReference"/>
        </w:rPr>
        <w:footnoteReference w:id="290"/>
      </w:r>
      <w:r w:rsidRPr="00BB229F">
        <w:t xml:space="preserve">  Based on this data, we conclude that a majority of non-carrier RespOrgs who provide TFN-related management consulting services are small.</w:t>
      </w:r>
      <w:r w:rsidRPr="00BB229F">
        <w:rPr>
          <w:rStyle w:val="FootnoteReference"/>
        </w:rPr>
        <w:footnoteReference w:id="291"/>
      </w:r>
    </w:p>
    <w:p w:rsidR="009D2847" w:rsidRPr="00BB229F" w:rsidRDefault="009D2847" w:rsidP="009D2847">
      <w:pPr>
        <w:pStyle w:val="ParaNum"/>
      </w:pPr>
      <w:r w:rsidRPr="00BB229F">
        <w:t>In addition to the data contained in the four (see above) U.S. Census NAICS code categories that provide definitions of what services and functions the Carrier and Non-Carrier RespOrgs provide, Somos, the trade association that monitors RespOrg activities, compiled data showing that as of July 1, 2016</w:t>
      </w:r>
      <w:r w:rsidR="00124C6C" w:rsidRPr="00BB229F">
        <w:t>,</w:t>
      </w:r>
      <w:r w:rsidRPr="00BB229F">
        <w:t xml:space="preserve"> there were 23 RespOrgs operational in Canada and 436 RespOrgs operational in the United States, for a total of 459 RespOrgs currently registered with Somos.</w:t>
      </w:r>
    </w:p>
    <w:p w:rsidR="009D2847" w:rsidRPr="00BB229F" w:rsidRDefault="009D2847" w:rsidP="009D2847">
      <w:pPr>
        <w:pStyle w:val="Heading2"/>
        <w:numPr>
          <w:ilvl w:val="1"/>
          <w:numId w:val="11"/>
        </w:numPr>
      </w:pPr>
      <w:bookmarkStart w:id="192" w:name="_Toc491865063"/>
      <w:bookmarkStart w:id="193" w:name="_Toc491865478"/>
      <w:r w:rsidRPr="00BB229F">
        <w:t>Description of Projected Reporting, Recordkeeping and Other Compliance Requirements</w:t>
      </w:r>
      <w:bookmarkEnd w:id="192"/>
      <w:bookmarkEnd w:id="193"/>
    </w:p>
    <w:p w:rsidR="00821B0D" w:rsidRPr="00BB229F" w:rsidRDefault="009D2847" w:rsidP="009D2847">
      <w:pPr>
        <w:pStyle w:val="ParaNum"/>
      </w:pPr>
      <w:r w:rsidRPr="00BB229F">
        <w:t>This</w:t>
      </w:r>
      <w:r w:rsidRPr="00BB229F">
        <w:rPr>
          <w:i/>
        </w:rPr>
        <w:t xml:space="preserve"> Notice</w:t>
      </w:r>
      <w:r w:rsidRPr="00BB229F">
        <w:t xml:space="preserve"> does not propose any changes to the Commission’s current information collection, reporting, recordkeeping, or compliance requirements. </w:t>
      </w:r>
    </w:p>
    <w:p w:rsidR="00821B0D" w:rsidRPr="00BB229F" w:rsidRDefault="00821B0D">
      <w:pPr>
        <w:widowControl/>
      </w:pPr>
      <w:r w:rsidRPr="00BB229F">
        <w:br w:type="page"/>
      </w:r>
    </w:p>
    <w:p w:rsidR="009D2847" w:rsidRPr="00BB229F" w:rsidRDefault="009D2847" w:rsidP="009D2847">
      <w:pPr>
        <w:pStyle w:val="Heading2"/>
        <w:numPr>
          <w:ilvl w:val="1"/>
          <w:numId w:val="11"/>
        </w:numPr>
      </w:pPr>
      <w:bookmarkStart w:id="194" w:name="_Toc491865064"/>
      <w:bookmarkStart w:id="195" w:name="_Toc491865479"/>
      <w:r w:rsidRPr="00BB229F">
        <w:t>Steps Taken to Minimize Significant Economic Impact on Small Entities, and Significant Alternatives Considered</w:t>
      </w:r>
      <w:bookmarkEnd w:id="194"/>
      <w:bookmarkEnd w:id="195"/>
    </w:p>
    <w:p w:rsidR="009D2847" w:rsidRPr="00BB229F" w:rsidRDefault="009D2847" w:rsidP="009D2847">
      <w:pPr>
        <w:pStyle w:val="ParaNum"/>
      </w:pPr>
      <w:r w:rsidRPr="00BB229F">
        <w:t>The RFA requires an agency to describe any significant alternatives that it has considered in reaching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sidRPr="00BB229F">
        <w:rPr>
          <w:rStyle w:val="FootnoteReference"/>
          <w:spacing w:val="-2"/>
          <w:szCs w:val="22"/>
        </w:rPr>
        <w:footnoteReference w:id="292"/>
      </w:r>
      <w:r w:rsidRPr="00BB229F">
        <w:t xml:space="preserve">  </w:t>
      </w:r>
    </w:p>
    <w:p w:rsidR="009D2847" w:rsidRPr="00BB229F" w:rsidRDefault="00643047" w:rsidP="005B49CD">
      <w:pPr>
        <w:pStyle w:val="ParaNum"/>
      </w:pPr>
      <w:r w:rsidRPr="00BB229F">
        <w:t xml:space="preserve">The </w:t>
      </w:r>
      <w:r w:rsidRPr="00BB229F">
        <w:rPr>
          <w:i/>
        </w:rPr>
        <w:t xml:space="preserve">Further Notice </w:t>
      </w:r>
      <w:r w:rsidRPr="00BB229F">
        <w:t>seeks comment regarding</w:t>
      </w:r>
      <w:r w:rsidR="005B49CD" w:rsidRPr="00BB229F">
        <w:t>:</w:t>
      </w:r>
      <w:r w:rsidRPr="00BB229F">
        <w:t xml:space="preserve"> (1) adopting a new five-tiered flat rate methodology for assessing regulatory fees for terrestrial and satellite international bearer circuits (IBCs)</w:t>
      </w:r>
      <w:r w:rsidR="005B49CD" w:rsidRPr="00BB229F">
        <w:t xml:space="preserve">, revising the current five-tiered methodology for submarine cable systems, and adopting a new fee category for all holders of section 214 international authority and </w:t>
      </w:r>
      <w:r w:rsidRPr="00BB229F">
        <w:t>(2) revising the calculation for cable television “Bulk Rate Customers</w:t>
      </w:r>
      <w:r w:rsidR="005B49CD" w:rsidRPr="00BB229F">
        <w:t>.</w:t>
      </w:r>
      <w:r w:rsidRPr="00BB229F">
        <w:t xml:space="preserve">” </w:t>
      </w:r>
      <w:r w:rsidR="00991230" w:rsidRPr="00BB229F">
        <w:t xml:space="preserve"> </w:t>
      </w:r>
      <w:r w:rsidRPr="00BB229F">
        <w:t>The proposals to adopt a flat five-tier methodology for terrestrial and satellite IBCs might provide relief to smaller entities that would fall into the lowest tier.  The proposal to revise the calculation for Bulk Rate Customers for cable television, in multiple dwelling units (MDUs), may affect small cable operators who provide service to MDUs.  We are seeking comment on this issue so that we can improve the calculation of customers in MDUs.</w:t>
      </w:r>
      <w:r w:rsidR="009D2847" w:rsidRPr="00BB229F">
        <w:t xml:space="preserve">    </w:t>
      </w:r>
    </w:p>
    <w:p w:rsidR="009D2847" w:rsidRPr="00BB229F" w:rsidRDefault="009D2847" w:rsidP="009D2847">
      <w:pPr>
        <w:pStyle w:val="Heading2"/>
        <w:numPr>
          <w:ilvl w:val="1"/>
          <w:numId w:val="11"/>
        </w:numPr>
      </w:pPr>
      <w:bookmarkStart w:id="196" w:name="_Toc491865065"/>
      <w:bookmarkStart w:id="197" w:name="_Toc491865480"/>
      <w:r w:rsidRPr="00BB229F">
        <w:t>Federal Rules that May Duplicate, Overlap, or Conflict with the Proposed Rules</w:t>
      </w:r>
      <w:bookmarkEnd w:id="196"/>
      <w:bookmarkEnd w:id="197"/>
    </w:p>
    <w:p w:rsidR="009D2847" w:rsidRPr="00BB229F" w:rsidRDefault="009D2847" w:rsidP="00B1305D">
      <w:pPr>
        <w:pStyle w:val="ParaNum"/>
      </w:pPr>
      <w:r w:rsidRPr="00BB229F">
        <w:t>None.</w:t>
      </w:r>
    </w:p>
    <w:p w:rsidR="00293571" w:rsidRDefault="00293571">
      <w:pPr>
        <w:widowControl/>
        <w:rPr>
          <w:b/>
        </w:rPr>
      </w:pPr>
      <w:r>
        <w:rPr>
          <w:b/>
        </w:rPr>
        <w:br w:type="page"/>
      </w:r>
    </w:p>
    <w:p w:rsidR="00E74F23" w:rsidRPr="00BB229F" w:rsidRDefault="00E74F23" w:rsidP="00E74F23">
      <w:pPr>
        <w:pStyle w:val="ParaNum"/>
        <w:numPr>
          <w:ilvl w:val="0"/>
          <w:numId w:val="0"/>
        </w:numPr>
        <w:ind w:firstLine="720"/>
        <w:jc w:val="center"/>
        <w:rPr>
          <w:b/>
        </w:rPr>
      </w:pPr>
      <w:r w:rsidRPr="00BB229F">
        <w:rPr>
          <w:b/>
        </w:rPr>
        <w:t xml:space="preserve">APPENDIX </w:t>
      </w:r>
      <w:r w:rsidR="00111B67" w:rsidRPr="00BB229F">
        <w:rPr>
          <w:b/>
        </w:rPr>
        <w:t>G</w:t>
      </w:r>
    </w:p>
    <w:p w:rsidR="00E74F23" w:rsidRPr="00BB229F" w:rsidRDefault="00E74F23" w:rsidP="00E74F23">
      <w:pPr>
        <w:pStyle w:val="ParaNum"/>
        <w:numPr>
          <w:ilvl w:val="0"/>
          <w:numId w:val="0"/>
        </w:numPr>
        <w:ind w:firstLine="720"/>
        <w:jc w:val="center"/>
        <w:rPr>
          <w:b/>
        </w:rPr>
      </w:pPr>
      <w:r w:rsidRPr="00BB229F">
        <w:rPr>
          <w:b/>
        </w:rPr>
        <w:t>Final Regulatory Flexibility Analysis</w:t>
      </w:r>
    </w:p>
    <w:p w:rsidR="00B85713" w:rsidRPr="00BB229F" w:rsidRDefault="00B85713" w:rsidP="00D12DE1">
      <w:pPr>
        <w:pStyle w:val="ParaNum"/>
        <w:numPr>
          <w:ilvl w:val="0"/>
          <w:numId w:val="13"/>
        </w:numPr>
      </w:pPr>
      <w:r w:rsidRPr="00BB229F">
        <w:t>As required by the Regulatory Flexibility Act of 1980, as amended (RFA),</w:t>
      </w:r>
      <w:r w:rsidRPr="00BB229F">
        <w:rPr>
          <w:rStyle w:val="FootnoteReference"/>
          <w:spacing w:val="-2"/>
          <w:szCs w:val="22"/>
        </w:rPr>
        <w:footnoteReference w:id="293"/>
      </w:r>
      <w:r w:rsidRPr="00BB229F">
        <w:t xml:space="preserve"> an Initial Regulatory Flexibility Analysis (IRFA) was included in the </w:t>
      </w:r>
      <w:r w:rsidRPr="00BB229F">
        <w:rPr>
          <w:i/>
        </w:rPr>
        <w:t>Notice of Proposed Rulemaking</w:t>
      </w:r>
      <w:r w:rsidRPr="00BB229F">
        <w:t>.</w:t>
      </w:r>
      <w:r w:rsidRPr="00BB229F">
        <w:rPr>
          <w:rStyle w:val="FootnoteReference"/>
          <w:szCs w:val="22"/>
        </w:rPr>
        <w:footnoteReference w:id="294"/>
      </w:r>
      <w:r w:rsidRPr="00BB229F">
        <w:rPr>
          <w:i/>
        </w:rPr>
        <w:t xml:space="preserve">  </w:t>
      </w:r>
      <w:r w:rsidRPr="00BB229F">
        <w:t>The Commission sought written public comment on these proposals including comment on the IRFA.  This Final Regulatory Flexibility Analysis (FRFA) conforms to the IRFA.</w:t>
      </w:r>
      <w:r w:rsidRPr="00BB229F">
        <w:rPr>
          <w:rStyle w:val="FootnoteReference"/>
          <w:spacing w:val="-2"/>
          <w:szCs w:val="22"/>
        </w:rPr>
        <w:footnoteReference w:id="295"/>
      </w:r>
      <w:r w:rsidRPr="00BB229F">
        <w:t xml:space="preserve"> </w:t>
      </w:r>
    </w:p>
    <w:p w:rsidR="00B85713" w:rsidRPr="00BB229F" w:rsidRDefault="00B85713" w:rsidP="00B85713">
      <w:pPr>
        <w:pStyle w:val="Heading2"/>
        <w:numPr>
          <w:ilvl w:val="0"/>
          <w:numId w:val="0"/>
        </w:numPr>
        <w:ind w:left="1440" w:hanging="720"/>
      </w:pPr>
      <w:bookmarkStart w:id="198" w:name="_Toc353870731"/>
      <w:bookmarkStart w:id="199" w:name="_Toc353987758"/>
      <w:bookmarkStart w:id="200" w:name="_Toc353988079"/>
      <w:bookmarkStart w:id="201" w:name="_Toc390878817"/>
      <w:bookmarkStart w:id="202" w:name="_Toc403117508"/>
      <w:bookmarkStart w:id="203" w:name="_Toc404352144"/>
      <w:bookmarkStart w:id="204" w:name="_Toc406064038"/>
      <w:bookmarkStart w:id="205" w:name="_Toc406754918"/>
      <w:bookmarkStart w:id="206" w:name="_Toc407006736"/>
      <w:bookmarkStart w:id="207" w:name="_Toc407018471"/>
      <w:bookmarkStart w:id="208" w:name="_Toc408483453"/>
      <w:bookmarkStart w:id="209" w:name="_Toc410723693"/>
      <w:bookmarkStart w:id="210" w:name="_Toc411434902"/>
      <w:bookmarkStart w:id="211" w:name="_Toc413083244"/>
      <w:bookmarkStart w:id="212" w:name="_Toc413672134"/>
      <w:bookmarkStart w:id="213" w:name="_Toc491865066"/>
      <w:bookmarkStart w:id="214" w:name="_Toc491865481"/>
      <w:r w:rsidRPr="00BB229F">
        <w:t>A.</w:t>
      </w:r>
      <w:r w:rsidRPr="00BB229F">
        <w:tab/>
        <w:t xml:space="preserve"> </w:t>
      </w:r>
      <w:bookmarkStart w:id="215" w:name="_Toc391364450"/>
      <w:bookmarkStart w:id="216" w:name="_Toc394672338"/>
      <w:bookmarkStart w:id="217" w:name="_Toc397078346"/>
      <w:r w:rsidRPr="00BB229F">
        <w:t xml:space="preserve">Need for, and Objectives of, the </w:t>
      </w:r>
      <w:bookmarkEnd w:id="198"/>
      <w:bookmarkEnd w:id="199"/>
      <w:bookmarkEnd w:id="200"/>
      <w:r w:rsidRPr="00BB229F">
        <w:t>Report and Order</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BB229F">
        <w:t xml:space="preserve">  </w:t>
      </w:r>
    </w:p>
    <w:p w:rsidR="00B85713" w:rsidRPr="00BB229F" w:rsidRDefault="00B85713" w:rsidP="00B85713">
      <w:pPr>
        <w:pStyle w:val="ParaNum"/>
        <w:numPr>
          <w:ilvl w:val="0"/>
          <w:numId w:val="7"/>
        </w:numPr>
      </w:pPr>
      <w:r w:rsidRPr="00BB229F">
        <w:t>In this Report and Order, we conclude the Assessment and Collection of Regulatory Fees for Fiscal Year (FY) 2017 proceeding to collect $356,710,992 in regulatory fees for FY 2017, pursuant to section 9 of the Communications Act of 1934, as amended (Communications Act or Act).</w:t>
      </w:r>
      <w:r w:rsidRPr="00BB229F">
        <w:rPr>
          <w:rStyle w:val="FootnoteReference"/>
        </w:rPr>
        <w:footnoteReference w:id="296"/>
      </w:r>
      <w:r w:rsidRPr="00BB229F">
        <w:t xml:space="preserve">  These regulatory fees will be due in September 2017.  Under section 9 of the Communications Act, regulatory fees are mandated by Congress and collected to recover the regulatory costs associated with the Commission’s enforcement, policy and rulemaking, user information, and international activities in an amount that can be reasonably expected to equal the amount of the Commission’s annual appropriation.</w:t>
      </w:r>
      <w:r w:rsidRPr="00BB229F">
        <w:rPr>
          <w:rStyle w:val="FootnoteReference"/>
        </w:rPr>
        <w:footnoteReference w:id="297"/>
      </w:r>
      <w:r w:rsidRPr="00BB229F">
        <w:t xml:space="preserve">  </w:t>
      </w:r>
    </w:p>
    <w:p w:rsidR="00B85713" w:rsidRPr="00BB229F" w:rsidRDefault="00B85713" w:rsidP="00B85713">
      <w:pPr>
        <w:pStyle w:val="ParaNum"/>
        <w:numPr>
          <w:ilvl w:val="0"/>
          <w:numId w:val="7"/>
        </w:numPr>
      </w:pPr>
      <w:r w:rsidRPr="00BB229F">
        <w:t xml:space="preserve">This </w:t>
      </w:r>
      <w:r w:rsidRPr="00BB229F">
        <w:rPr>
          <w:i/>
        </w:rPr>
        <w:t>FY 2017 Report and Order</w:t>
      </w:r>
      <w:r w:rsidRPr="00BB229F">
        <w:t xml:space="preserve"> adopts a regulatory fee schedule that includes the following noteworthy changes from prior years: (1) a reallocation of 38 FTEs in the Wireline Competition Bureau from direct to indirect; (2) a reallocation of four FTEs from the Wireline Competition Bureau to the Wireless Telecommunications Bureau; (3) an updated regulatory fee for Direct Broadcast Satellite (DBS) providers, a subcategory in the cable television and Internet Protocol Television (IPTV) category; (4) adjustments to the regulatory fees on radio and television broadcasters; (5) an increase in the de minimis threshold for annual regulatory fee payments from $500 to $1,000</w:t>
      </w:r>
      <w:r w:rsidR="00505BCB" w:rsidRPr="00BB229F">
        <w:t xml:space="preserve">; </w:t>
      </w:r>
      <w:r w:rsidRPr="00BB229F">
        <w:t>and (</w:t>
      </w:r>
      <w:r w:rsidR="000A0B96" w:rsidRPr="00BB229F">
        <w:t>6</w:t>
      </w:r>
      <w:r w:rsidRPr="00BB229F">
        <w:t>) the elimination  of the distinction between non-common carrier and common carrier terrestrial Inter</w:t>
      </w:r>
      <w:r w:rsidR="00505BCB" w:rsidRPr="00BB229F">
        <w:t>national Bearer Circuits (IBCs)</w:t>
      </w:r>
      <w:r w:rsidRPr="00BB229F">
        <w:t>.</w:t>
      </w:r>
    </w:p>
    <w:p w:rsidR="00B85713" w:rsidRPr="00BB229F" w:rsidRDefault="00B85713" w:rsidP="00B85713">
      <w:pPr>
        <w:pStyle w:val="Heading2"/>
        <w:numPr>
          <w:ilvl w:val="0"/>
          <w:numId w:val="0"/>
        </w:numPr>
        <w:ind w:left="1440" w:hanging="720"/>
      </w:pPr>
      <w:bookmarkStart w:id="218" w:name="_Toc390878818"/>
      <w:bookmarkStart w:id="219" w:name="_Toc391364451"/>
      <w:bookmarkStart w:id="220" w:name="_Toc394672339"/>
      <w:bookmarkStart w:id="221" w:name="_Toc397078347"/>
      <w:bookmarkStart w:id="222" w:name="_Toc403117509"/>
      <w:bookmarkStart w:id="223" w:name="_Toc404352145"/>
      <w:bookmarkStart w:id="224" w:name="_Toc406064039"/>
      <w:bookmarkStart w:id="225" w:name="_Toc406754919"/>
      <w:bookmarkStart w:id="226" w:name="_Toc407006737"/>
      <w:bookmarkStart w:id="227" w:name="_Toc407018472"/>
      <w:bookmarkStart w:id="228" w:name="_Toc408483454"/>
      <w:bookmarkStart w:id="229" w:name="_Toc410723694"/>
      <w:bookmarkStart w:id="230" w:name="_Toc411434903"/>
      <w:bookmarkStart w:id="231" w:name="_Toc413083245"/>
      <w:bookmarkStart w:id="232" w:name="_Toc413672135"/>
      <w:bookmarkStart w:id="233" w:name="_Toc491865067"/>
      <w:bookmarkStart w:id="234" w:name="_Toc491865482"/>
      <w:r w:rsidRPr="00BB229F">
        <w:t>B.</w:t>
      </w:r>
      <w:r w:rsidRPr="00BB229F">
        <w:tab/>
        <w:t>Summary of the Significant Issues Raised by the Public Comments in Response to the IRFA</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B85713" w:rsidRPr="00BB229F" w:rsidRDefault="00B85713" w:rsidP="00B85713">
      <w:pPr>
        <w:pStyle w:val="ParaNum"/>
        <w:numPr>
          <w:ilvl w:val="0"/>
          <w:numId w:val="7"/>
        </w:numPr>
      </w:pPr>
      <w:bookmarkStart w:id="235" w:name="_Toc390878819"/>
      <w:r w:rsidRPr="00BB229F">
        <w:t>None.</w:t>
      </w:r>
    </w:p>
    <w:p w:rsidR="00B85713" w:rsidRPr="00BB229F" w:rsidRDefault="00B85713" w:rsidP="00B85713">
      <w:pPr>
        <w:pStyle w:val="Heading2"/>
        <w:numPr>
          <w:ilvl w:val="0"/>
          <w:numId w:val="0"/>
        </w:numPr>
        <w:ind w:left="1440" w:hanging="720"/>
      </w:pPr>
      <w:bookmarkStart w:id="236" w:name="_Toc391364452"/>
      <w:bookmarkStart w:id="237" w:name="_Toc394672340"/>
      <w:bookmarkStart w:id="238" w:name="_Toc397078348"/>
      <w:bookmarkStart w:id="239" w:name="_Toc403117510"/>
      <w:bookmarkStart w:id="240" w:name="_Toc404352146"/>
      <w:bookmarkStart w:id="241" w:name="_Toc406064040"/>
      <w:bookmarkStart w:id="242" w:name="_Toc406754920"/>
      <w:bookmarkStart w:id="243" w:name="_Toc407006738"/>
      <w:bookmarkStart w:id="244" w:name="_Toc407018473"/>
      <w:bookmarkStart w:id="245" w:name="_Toc408483455"/>
      <w:bookmarkStart w:id="246" w:name="_Toc410723695"/>
      <w:bookmarkStart w:id="247" w:name="_Toc411434904"/>
      <w:bookmarkStart w:id="248" w:name="_Toc413083246"/>
      <w:bookmarkStart w:id="249" w:name="_Toc413672136"/>
      <w:bookmarkStart w:id="250" w:name="_Toc491865068"/>
      <w:bookmarkStart w:id="251" w:name="_Toc491865483"/>
      <w:r w:rsidRPr="00BB229F">
        <w:t>C.</w:t>
      </w:r>
      <w:r w:rsidRPr="00BB229F">
        <w:tab/>
        <w:t>Description and Estimate of the Number of Small Entities to Which the Rules Will Apply:</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rsidR="00B85713" w:rsidRPr="00BB229F" w:rsidRDefault="00B85713" w:rsidP="00B85713">
      <w:pPr>
        <w:pStyle w:val="ParaNum"/>
        <w:numPr>
          <w:ilvl w:val="0"/>
          <w:numId w:val="7"/>
        </w:numPr>
      </w:pPr>
      <w:r w:rsidRPr="00BB229F">
        <w:t>The RFA directs agencies to provide a description of, and where feasible, an estimate of the number of small entities that may be affected by the proposed rules and policies, if adopted.</w:t>
      </w:r>
      <w:r w:rsidRPr="00BB229F">
        <w:rPr>
          <w:rStyle w:val="FootnoteReference"/>
          <w:spacing w:val="-2"/>
          <w:szCs w:val="22"/>
        </w:rPr>
        <w:footnoteReference w:id="298"/>
      </w:r>
      <w:r w:rsidRPr="00BB229F">
        <w:t xml:space="preserve">  The RFA generally defines the term “small entity” as having the same meaning as the terms “small business,” “small organization,” and “small governmental jurisdiction.”</w:t>
      </w:r>
      <w:r w:rsidRPr="00BB229F">
        <w:rPr>
          <w:rStyle w:val="FootnoteReference"/>
          <w:spacing w:val="-2"/>
          <w:szCs w:val="22"/>
        </w:rPr>
        <w:footnoteReference w:id="299"/>
      </w:r>
      <w:r w:rsidRPr="00BB229F">
        <w:t xml:space="preserve">  In addition, the term “small business” has the same meaning as the term “small business concern” under the Small Business Act.</w:t>
      </w:r>
      <w:r w:rsidRPr="00BB229F">
        <w:rPr>
          <w:rStyle w:val="FootnoteReference"/>
          <w:spacing w:val="-2"/>
          <w:szCs w:val="22"/>
        </w:rPr>
        <w:footnoteReference w:id="300"/>
      </w:r>
      <w:r w:rsidRPr="00BB229F">
        <w:t xml:space="preserve">  A “small business concern” is one which: (1) is independently owned and operated; (2) is not dominant in its field of operation; and (3) satisfies any additional criteria established by the SBA.</w:t>
      </w:r>
      <w:r w:rsidRPr="00BB229F">
        <w:rPr>
          <w:rStyle w:val="FootnoteReference"/>
          <w:spacing w:val="-2"/>
          <w:szCs w:val="22"/>
        </w:rPr>
        <w:footnoteReference w:id="301"/>
      </w:r>
      <w:r w:rsidRPr="00BB229F">
        <w:t xml:space="preserve">  Nationwide, there are a total of approximately 27.9 million small businesses, according to the SBA.</w:t>
      </w:r>
      <w:r w:rsidRPr="00BB229F">
        <w:rPr>
          <w:rStyle w:val="FootnoteReference"/>
          <w:spacing w:val="-2"/>
          <w:szCs w:val="22"/>
        </w:rPr>
        <w:footnoteReference w:id="302"/>
      </w:r>
      <w:r w:rsidRPr="00BB229F">
        <w:t xml:space="preserve">   </w:t>
      </w:r>
    </w:p>
    <w:p w:rsidR="00B85713" w:rsidRPr="00BB229F" w:rsidRDefault="00B85713" w:rsidP="00B85713">
      <w:pPr>
        <w:pStyle w:val="ParaNum"/>
        <w:numPr>
          <w:ilvl w:val="0"/>
          <w:numId w:val="7"/>
        </w:numPr>
      </w:pPr>
      <w:r w:rsidRPr="00BB229F">
        <w:rPr>
          <w:b/>
        </w:rPr>
        <w:t>Wired Telecommunications Carriers</w:t>
      </w:r>
      <w:r w:rsidRPr="00BB229F">
        <w:t>.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sidRPr="00BB229F">
        <w:rPr>
          <w:rStyle w:val="FootnoteReference"/>
        </w:rPr>
        <w:footnoteReference w:id="303"/>
      </w:r>
      <w:r w:rsidRPr="00BB229F">
        <w:t xml:space="preserve">  The SBA has developed a small business size standard for Wired Telecommunications Carriers, which consists of all such companies having 1,500 or fewer employees.</w:t>
      </w:r>
      <w:r w:rsidRPr="00BB229F">
        <w:rPr>
          <w:rStyle w:val="FootnoteReference"/>
        </w:rPr>
        <w:footnoteReference w:id="304"/>
      </w:r>
      <w:r w:rsidRPr="00BB229F">
        <w:t xml:space="preserve">  Census data for 2012 shows that there were 3,117 firms that operated that year.  Of this total, 3,083 operated with fewer than 1,000 employees.</w:t>
      </w:r>
      <w:r w:rsidRPr="00BB229F">
        <w:rPr>
          <w:rStyle w:val="FootnoteReference"/>
        </w:rPr>
        <w:footnoteReference w:id="305"/>
      </w:r>
      <w:r w:rsidRPr="00BB229F">
        <w:t xml:space="preserve">  Thus, under this size standard, </w:t>
      </w:r>
      <w:r w:rsidR="000D7E1D" w:rsidRPr="00BB229F">
        <w:t>most</w:t>
      </w:r>
      <w:r w:rsidRPr="00BB229F">
        <w:t xml:space="preserve"> firms in this industry can be considered small.</w:t>
      </w:r>
    </w:p>
    <w:p w:rsidR="00B85713" w:rsidRPr="00BB229F" w:rsidRDefault="00B85713" w:rsidP="00B85713">
      <w:pPr>
        <w:pStyle w:val="ParaNum"/>
        <w:numPr>
          <w:ilvl w:val="0"/>
          <w:numId w:val="7"/>
        </w:numPr>
      </w:pPr>
      <w:r w:rsidRPr="00BB229F">
        <w:rPr>
          <w:b/>
        </w:rPr>
        <w:t>Local Exchange Carriers (LECs)</w:t>
      </w:r>
      <w:r w:rsidRPr="00BB229F">
        <w:t xml:space="preserve">.  Neither the Commission nor the SBA has developed a size standard for small businesses specifically applicable to local exchange services.  The closest applicable </w:t>
      </w:r>
      <w:r w:rsidR="001E0353" w:rsidRPr="00BB229F">
        <w:t>NAICS c</w:t>
      </w:r>
      <w:r w:rsidRPr="00BB229F">
        <w:t>ode category is Wired Telecommunications Carriers as defined in paragraph 6 of this FRFA.  Under the applicable SBA size standard, such a business is small if it has 1,500 or fewer employees.</w:t>
      </w:r>
      <w:r w:rsidRPr="00BB229F">
        <w:rPr>
          <w:rStyle w:val="FootnoteReference"/>
          <w:spacing w:val="-2"/>
          <w:szCs w:val="22"/>
        </w:rPr>
        <w:footnoteReference w:id="306"/>
      </w:r>
      <w:r w:rsidRPr="00BB229F">
        <w:t xml:space="preserve">  According to Commission data, census data for 2012 shows that there were 3,117 firms that operated that year.  Of this total, 3,083 operated with fewer than 1,000 employees.</w:t>
      </w:r>
      <w:r w:rsidRPr="00BB229F">
        <w:rPr>
          <w:rStyle w:val="FootnoteReference"/>
        </w:rPr>
        <w:footnoteReference w:id="307"/>
      </w:r>
      <w:r w:rsidRPr="00BB229F">
        <w:t xml:space="preserve">  The Commission therefore estimates that most providers of local exchange carrier service are small entities that may be affected by the rules adopted.</w:t>
      </w:r>
    </w:p>
    <w:p w:rsidR="00B85713" w:rsidRPr="00BB229F" w:rsidRDefault="00B85713" w:rsidP="00B85713">
      <w:pPr>
        <w:pStyle w:val="ParaNum"/>
        <w:numPr>
          <w:ilvl w:val="0"/>
          <w:numId w:val="7"/>
        </w:numPr>
      </w:pPr>
      <w:r w:rsidRPr="00BB229F">
        <w:rPr>
          <w:b/>
        </w:rPr>
        <w:t>Incumbent LECs.</w:t>
      </w:r>
      <w:r w:rsidRPr="00BB229F">
        <w:t xml:space="preserve">  Neither the Commission nor the SBA has developed a small business size standard specifically for incumbent local exchange services.  The </w:t>
      </w:r>
      <w:r w:rsidR="001E0353" w:rsidRPr="00BB229F">
        <w:t>closest applicable NAICS c</w:t>
      </w:r>
      <w:r w:rsidRPr="00BB229F">
        <w:t>ode category is Wired Telecommunications Carriers as defined in paragraph 6 of this FRFA.  Under that size standard, such a business is small if it has 1,500 or fewer employees.</w:t>
      </w:r>
      <w:r w:rsidRPr="00BB229F">
        <w:rPr>
          <w:rStyle w:val="FootnoteReference"/>
          <w:spacing w:val="-2"/>
          <w:szCs w:val="22"/>
        </w:rPr>
        <w:footnoteReference w:id="308"/>
      </w:r>
      <w:r w:rsidRPr="00BB229F">
        <w:t xml:space="preserve">  According to Commission data, 3,117 firms operated in that year.  Of this total, 3,083 operated with fewer than 1,000 employees.</w:t>
      </w:r>
      <w:r w:rsidRPr="00BB229F">
        <w:rPr>
          <w:rStyle w:val="FootnoteReference"/>
        </w:rPr>
        <w:footnoteReference w:id="309"/>
      </w:r>
      <w:r w:rsidRPr="00BB229F">
        <w:t xml:space="preserve">  Consequently, the Commission estimates that most providers of incumbent local exchange service are small businesses that may be affected by the rules and policies adopted</w:t>
      </w:r>
      <w:r w:rsidRPr="00BB229F">
        <w:rPr>
          <w:i/>
        </w:rPr>
        <w:t>.</w:t>
      </w:r>
      <w:r w:rsidRPr="00BB229F">
        <w:t xml:space="preserve">  Three hundred and seven (307) Incumbent Local Exchange Carriers reported that they were incumbent local exchange service providers.</w:t>
      </w:r>
      <w:r w:rsidRPr="00BB229F">
        <w:rPr>
          <w:rStyle w:val="FootnoteReference"/>
          <w:spacing w:val="-2"/>
          <w:szCs w:val="22"/>
        </w:rPr>
        <w:footnoteReference w:id="310"/>
      </w:r>
      <w:r w:rsidRPr="00BB229F">
        <w:t xml:space="preserve">  Of this total, an estimated 1,006 have 1,500 or fewer employees.</w:t>
      </w:r>
      <w:r w:rsidRPr="00BB229F">
        <w:rPr>
          <w:rStyle w:val="FootnoteReference"/>
          <w:spacing w:val="-2"/>
          <w:szCs w:val="22"/>
        </w:rPr>
        <w:footnoteReference w:id="311"/>
      </w:r>
      <w:r w:rsidRPr="00BB229F">
        <w:t xml:space="preserve">    </w:t>
      </w:r>
    </w:p>
    <w:p w:rsidR="00B85713" w:rsidRPr="00BB229F" w:rsidRDefault="00B85713" w:rsidP="00B85713">
      <w:pPr>
        <w:pStyle w:val="ParaNum"/>
        <w:numPr>
          <w:ilvl w:val="0"/>
          <w:numId w:val="7"/>
        </w:numPr>
      </w:pPr>
      <w:r w:rsidRPr="00BB229F">
        <w:rPr>
          <w:b/>
        </w:rPr>
        <w:t>Competitive Local Exchange Carriers (Competitive LECs), Competitive Access Providers (CAPs), Shared-Tenant Service Providers, and Other Local Service Providers</w:t>
      </w:r>
      <w:r w:rsidRPr="00BB229F">
        <w:t xml:space="preserve">.  Neither the Commission nor the SBA has developed a small business size standard specifically for these service providers.  The appropriate </w:t>
      </w:r>
      <w:r w:rsidR="00450145" w:rsidRPr="00BB229F">
        <w:t>NAICS c</w:t>
      </w:r>
      <w:r w:rsidRPr="00BB229F">
        <w:t>ode category is Wired Telecommunications Carriers, as defined in paragraph 6 of this FRFA.  Under that size standard, such a business is small if it has 1,500 or fewer employees.</w:t>
      </w:r>
      <w:r w:rsidRPr="00BB229F">
        <w:rPr>
          <w:rStyle w:val="FootnoteReference"/>
          <w:spacing w:val="-2"/>
          <w:szCs w:val="22"/>
        </w:rPr>
        <w:footnoteReference w:id="312"/>
      </w:r>
      <w:r w:rsidRPr="00BB229F">
        <w:t xml:space="preserve">  U.S. Census data for 2012 indicate that 3,117 firms operated during that year.  Of that number, 3,083 operated with fewer than 1,000 employees.</w:t>
      </w:r>
      <w:r w:rsidRPr="00BB229F">
        <w:rPr>
          <w:rStyle w:val="FootnoteReference"/>
        </w:rPr>
        <w:footnoteReference w:id="313"/>
      </w:r>
      <w:r w:rsidRPr="00BB229F">
        <w:t xml:space="preserve">  Based on this data, the Commission concludes that most Competitive LECS, CAPs, Shared-Tenant Service Providers, and Other Local Service Providers, are small entities.  According to Commission data, 1,442 carriers reported that they were engaged in the provision of either competitive local exchange services or competitive access provider services.</w:t>
      </w:r>
      <w:r w:rsidRPr="00BB229F">
        <w:rPr>
          <w:rStyle w:val="FootnoteReference"/>
          <w:spacing w:val="-2"/>
          <w:szCs w:val="22"/>
        </w:rPr>
        <w:footnoteReference w:id="314"/>
      </w:r>
      <w:r w:rsidRPr="00BB229F">
        <w:t xml:space="preserve">  Of these 1,442 carriers, an estimated 1,256 have 1,500 or fewer employees.</w:t>
      </w:r>
      <w:r w:rsidRPr="00BB229F">
        <w:rPr>
          <w:rStyle w:val="FootnoteReference"/>
          <w:spacing w:val="-2"/>
          <w:szCs w:val="22"/>
        </w:rPr>
        <w:footnoteReference w:id="315"/>
      </w:r>
      <w:r w:rsidRPr="00BB229F">
        <w:t xml:space="preserve">  In addition, 17 carriers have reported that they are Shared-Tenant Service Providers, and all 17 are estimated to have 1,500 or fewer employees.</w:t>
      </w:r>
      <w:r w:rsidRPr="00BB229F">
        <w:rPr>
          <w:rStyle w:val="FootnoteReference"/>
          <w:spacing w:val="-2"/>
          <w:szCs w:val="22"/>
        </w:rPr>
        <w:footnoteReference w:id="316"/>
      </w:r>
      <w:r w:rsidRPr="00BB229F">
        <w:t xml:space="preserve">  Also, 72 carriers have reported that they are Other Local Service Providers.</w:t>
      </w:r>
      <w:r w:rsidRPr="00BB229F">
        <w:rPr>
          <w:rStyle w:val="FootnoteReference"/>
          <w:spacing w:val="-2"/>
          <w:szCs w:val="22"/>
        </w:rPr>
        <w:footnoteReference w:id="317"/>
      </w:r>
      <w:r w:rsidRPr="00BB229F">
        <w:t xml:space="preserve">   Of this total, 70 have 1,500 or fewer employees.</w:t>
      </w:r>
      <w:r w:rsidRPr="00BB229F">
        <w:rPr>
          <w:rStyle w:val="FootnoteReference"/>
          <w:spacing w:val="-2"/>
          <w:szCs w:val="22"/>
        </w:rPr>
        <w:footnoteReference w:id="318"/>
      </w:r>
      <w:r w:rsidRPr="00BB229F">
        <w:t xml:space="preserve">  Consequently, based on internally researched FCC data, the Commission estimates that most providers of competitive local exchange service, competitive access providers, Shared-Tenant Service Providers, and Other Local Service Providers are small entities.  </w:t>
      </w:r>
    </w:p>
    <w:p w:rsidR="00B85713" w:rsidRPr="00BB229F" w:rsidRDefault="00B85713" w:rsidP="00B85713">
      <w:pPr>
        <w:pStyle w:val="ParaNum"/>
        <w:numPr>
          <w:ilvl w:val="0"/>
          <w:numId w:val="7"/>
        </w:numPr>
      </w:pPr>
      <w:r w:rsidRPr="00BB229F">
        <w:rPr>
          <w:b/>
        </w:rPr>
        <w:t>Interexchange Carriers (IXCs)</w:t>
      </w:r>
      <w:r w:rsidRPr="00BB229F">
        <w:t>.  Neither the Commission nor the SBA has developed a definition for Interexchang</w:t>
      </w:r>
      <w:r w:rsidR="00450145" w:rsidRPr="00BB229F">
        <w:t>e Carriers.  The closest NAICS c</w:t>
      </w:r>
      <w:r w:rsidRPr="00BB229F">
        <w:t>ode category is Wired Telecommunications Carriers as defined in paragraph 6 of this FRFA.  The applicable size standard under SBA rules is that such a business is small if it has 1,500 or fewer employees.</w:t>
      </w:r>
      <w:r w:rsidRPr="00BB229F">
        <w:rPr>
          <w:rStyle w:val="FootnoteReference"/>
          <w:spacing w:val="-2"/>
          <w:szCs w:val="22"/>
        </w:rPr>
        <w:footnoteReference w:id="319"/>
      </w:r>
      <w:r w:rsidRPr="00BB229F">
        <w:t xml:space="preserve">  U.S. Census data for 2012 indicates that 3,117 firms operated during that year.  Of that number, 3,083 operated with fewer than 1,000 employees.</w:t>
      </w:r>
      <w:r w:rsidRPr="00BB229F">
        <w:rPr>
          <w:rStyle w:val="FootnoteReference"/>
        </w:rPr>
        <w:footnoteReference w:id="320"/>
      </w:r>
      <w:r w:rsidRPr="00BB229F">
        <w:t xml:space="preserve">  According to internally developed Commission data, 359 companies reported that their primary telecommunications service activity was the provision of interexchange services.</w:t>
      </w:r>
      <w:r w:rsidRPr="00BB229F">
        <w:rPr>
          <w:rStyle w:val="FootnoteReference"/>
          <w:spacing w:val="-2"/>
          <w:szCs w:val="22"/>
        </w:rPr>
        <w:footnoteReference w:id="321"/>
      </w:r>
      <w:r w:rsidRPr="00BB229F">
        <w:t xml:space="preserve">  Of this total, an estimated 317 have 1,500 or fewer employees.</w:t>
      </w:r>
      <w:r w:rsidRPr="00BB229F">
        <w:rPr>
          <w:rStyle w:val="FootnoteReference"/>
          <w:spacing w:val="-2"/>
          <w:szCs w:val="22"/>
        </w:rPr>
        <w:footnoteReference w:id="322"/>
      </w:r>
      <w:r w:rsidRPr="00BB229F">
        <w:t xml:space="preserve">  Consequently, the Commission estimates that most interexchange service providers are small entities that may be affected by the rules adopted.</w:t>
      </w:r>
    </w:p>
    <w:p w:rsidR="00B85713" w:rsidRPr="00BB229F" w:rsidRDefault="00B85713" w:rsidP="00B85713">
      <w:pPr>
        <w:pStyle w:val="ParaNum"/>
        <w:numPr>
          <w:ilvl w:val="0"/>
          <w:numId w:val="7"/>
        </w:numPr>
      </w:pPr>
      <w:r w:rsidRPr="00BB229F">
        <w:rPr>
          <w:b/>
        </w:rPr>
        <w:t>Prepaid Calling Card Providers.</w:t>
      </w:r>
      <w:r w:rsidRPr="00BB229F">
        <w:t xml:space="preserve">  Neither the Commission nor the SBA has developed a small business definition specifically for prepaid calling card providers.  The most appropriate NAICS code-based category for defining prepaid calling card providers is Telecommunications Resellers.  This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networks operators (MVNOs) are included in this industry.</w:t>
      </w:r>
      <w:r w:rsidRPr="00BB229F">
        <w:rPr>
          <w:rStyle w:val="FootnoteReference"/>
        </w:rPr>
        <w:footnoteReference w:id="323"/>
      </w:r>
      <w:r w:rsidRPr="00BB229F">
        <w:t xml:space="preserve">  Under the applicable SBA size standard, such a business is small if it has 1,500 or fewer employees.</w:t>
      </w:r>
      <w:r w:rsidRPr="00BB229F">
        <w:rPr>
          <w:rStyle w:val="FootnoteReference"/>
          <w:spacing w:val="-2"/>
          <w:szCs w:val="22"/>
        </w:rPr>
        <w:footnoteReference w:id="324"/>
      </w:r>
      <w:r w:rsidRPr="00BB229F">
        <w:t xml:space="preserve">  U.S. Census data for 2012 show that 1,341 firms provided resale services during that year.  Of that number, 1,341 operated with fewer than 1,000 employees.</w:t>
      </w:r>
      <w:r w:rsidRPr="00BB229F">
        <w:rPr>
          <w:rStyle w:val="FootnoteReference"/>
          <w:spacing w:val="-2"/>
          <w:szCs w:val="22"/>
        </w:rPr>
        <w:footnoteReference w:id="325"/>
      </w:r>
      <w:r w:rsidRPr="00BB229F">
        <w:t xml:space="preserve">  Thus, under this category and the associated small business size standard, the majority of these prepaid calling card providers can be considered small entities.  According to Commission data, 193 carriers have reported that they are engaged in the provision of prepaid calling cards.</w:t>
      </w:r>
      <w:r w:rsidRPr="00BB229F">
        <w:rPr>
          <w:rStyle w:val="FootnoteReference"/>
          <w:spacing w:val="-2"/>
          <w:szCs w:val="22"/>
        </w:rPr>
        <w:footnoteReference w:id="326"/>
      </w:r>
      <w:r w:rsidRPr="00BB229F">
        <w:t xml:space="preserve">  All 193 carriers have 1,500 or fewer employees.</w:t>
      </w:r>
      <w:r w:rsidRPr="00BB229F">
        <w:rPr>
          <w:rStyle w:val="FootnoteReference"/>
          <w:spacing w:val="-2"/>
          <w:szCs w:val="22"/>
        </w:rPr>
        <w:footnoteReference w:id="327"/>
      </w:r>
      <w:r w:rsidRPr="00BB229F">
        <w:t xml:space="preserve">  Consequently, the Commission estimates that the majority of prepaid calling card providers are small entities that may be affected by the rules adopted.</w:t>
      </w:r>
    </w:p>
    <w:p w:rsidR="00B85713" w:rsidRPr="00BB229F" w:rsidRDefault="00B85713" w:rsidP="00B85713">
      <w:pPr>
        <w:pStyle w:val="ParaNum"/>
        <w:numPr>
          <w:ilvl w:val="0"/>
          <w:numId w:val="7"/>
        </w:numPr>
      </w:pPr>
      <w:r w:rsidRPr="00BB229F">
        <w:rPr>
          <w:b/>
        </w:rPr>
        <w:t>Local Resellers</w:t>
      </w:r>
      <w:r w:rsidRPr="00BB229F">
        <w:t>.  Neither the Commission nor the SBA has developed a small business size standard specifically for Local Resellers.  The SBA has developed a small business size standard for the category of Telecommunications Resellers.  Under that size standard, such a business is small if it has 1,500 or fewer employees.</w:t>
      </w:r>
      <w:r w:rsidRPr="00BB229F">
        <w:rPr>
          <w:rStyle w:val="FootnoteReference"/>
          <w:spacing w:val="-2"/>
          <w:szCs w:val="22"/>
        </w:rPr>
        <w:footnoteReference w:id="328"/>
      </w:r>
      <w:r w:rsidRPr="00BB229F">
        <w:t xml:space="preserve">  Census data for 2012 show that 1,341 firms provided resale services during that year.  Of that number, 1,341 operated with fewer than 1,000 employees.</w:t>
      </w:r>
      <w:r w:rsidRPr="00BB229F">
        <w:rPr>
          <w:rStyle w:val="FootnoteReference"/>
          <w:spacing w:val="-2"/>
          <w:szCs w:val="22"/>
        </w:rPr>
        <w:footnoteReference w:id="329"/>
      </w:r>
      <w:r w:rsidRPr="00BB229F">
        <w:t xml:space="preserve">  Under this category and the associated small business size standard, the majority of these local resellers can be considered small entities.  According to Commission data, 213 carriers have reported that they are engaged in the provision of local resale services.</w:t>
      </w:r>
      <w:r w:rsidRPr="00BB229F">
        <w:rPr>
          <w:rStyle w:val="FootnoteReference"/>
          <w:spacing w:val="-2"/>
          <w:szCs w:val="22"/>
        </w:rPr>
        <w:footnoteReference w:id="330"/>
      </w:r>
      <w:r w:rsidRPr="00BB229F">
        <w:t xml:space="preserve">  Of this total, an estimated 211 have 1,500 or fewer employees.</w:t>
      </w:r>
      <w:r w:rsidRPr="00BB229F">
        <w:rPr>
          <w:rStyle w:val="FootnoteReference"/>
          <w:spacing w:val="-2"/>
          <w:szCs w:val="22"/>
        </w:rPr>
        <w:footnoteReference w:id="331"/>
      </w:r>
      <w:r w:rsidRPr="00BB229F">
        <w:t xml:space="preserve">  Consequently, the Commission estimates that the majority of local resellers are small entities that may be affected by the rules adopted. </w:t>
      </w:r>
    </w:p>
    <w:p w:rsidR="00B85713" w:rsidRPr="00BB229F" w:rsidRDefault="00B85713" w:rsidP="00B85713">
      <w:pPr>
        <w:pStyle w:val="ParaNum"/>
        <w:numPr>
          <w:ilvl w:val="0"/>
          <w:numId w:val="7"/>
        </w:numPr>
      </w:pPr>
      <w:r w:rsidRPr="00BB229F">
        <w:rPr>
          <w:b/>
        </w:rPr>
        <w:t>Toll Resellers</w:t>
      </w:r>
      <w:r w:rsidRPr="00BB229F">
        <w:t>.  The Commission has not developed a definition for Toll</w:t>
      </w:r>
      <w:r w:rsidR="00954ACF" w:rsidRPr="00BB229F">
        <w:t xml:space="preserve"> Resellers.  The closest NAICS c</w:t>
      </w:r>
      <w:r w:rsidRPr="00BB229F">
        <w:t>ode Category is Telecommunications Resellers, and the SBA has developed a small business size standard for the category of Telecommunications Resellers.</w:t>
      </w:r>
      <w:r w:rsidRPr="00BB229F">
        <w:rPr>
          <w:rStyle w:val="FootnoteReference"/>
          <w:spacing w:val="-2"/>
          <w:szCs w:val="22"/>
        </w:rPr>
        <w:footnoteReference w:id="332"/>
      </w:r>
      <w:r w:rsidRPr="00BB229F">
        <w:t xml:space="preserve">  Under that size standard, such a business is small if it has 1,500 or fewer employees.</w:t>
      </w:r>
      <w:r w:rsidRPr="00BB229F">
        <w:rPr>
          <w:rStyle w:val="FootnoteReference"/>
        </w:rPr>
        <w:footnoteReference w:id="333"/>
      </w:r>
      <w:r w:rsidRPr="00BB229F">
        <w:t xml:space="preserve">  Census data for 2012 show that 1,341 firms provided resale services during that year.  Of that number, 1,341 operated with fewer than 1,000 employees.</w:t>
      </w:r>
      <w:r w:rsidRPr="00BB229F">
        <w:rPr>
          <w:rStyle w:val="FootnoteReference"/>
          <w:spacing w:val="-2"/>
          <w:szCs w:val="22"/>
        </w:rPr>
        <w:footnoteReference w:id="334"/>
      </w:r>
      <w:r w:rsidRPr="00BB229F">
        <w:t xml:space="preserve">  Thus, under this category and the associated small business size standard, the majority of these resellers can be considered small entities.  According to Commission data, 881 carriers have reported that they are engaged in the provision of toll resale services.</w:t>
      </w:r>
      <w:r w:rsidRPr="00BB229F">
        <w:rPr>
          <w:rStyle w:val="FootnoteReference"/>
          <w:spacing w:val="-2"/>
          <w:szCs w:val="22"/>
        </w:rPr>
        <w:footnoteReference w:id="335"/>
      </w:r>
      <w:r w:rsidRPr="00BB229F">
        <w:t xml:space="preserve">  Of this total, an estimated 857 have 1,500 or fewer employees.</w:t>
      </w:r>
      <w:r w:rsidRPr="00BB229F">
        <w:rPr>
          <w:rStyle w:val="FootnoteReference"/>
          <w:spacing w:val="-2"/>
          <w:szCs w:val="22"/>
        </w:rPr>
        <w:footnoteReference w:id="336"/>
      </w:r>
      <w:r w:rsidRPr="00BB229F">
        <w:t xml:space="preserve">  Consequently, the Commission estimates that the majority of toll resellers are small entities.</w:t>
      </w:r>
    </w:p>
    <w:p w:rsidR="00B85713" w:rsidRPr="00BB229F" w:rsidRDefault="00B85713" w:rsidP="00B85713">
      <w:pPr>
        <w:pStyle w:val="ParaNum"/>
        <w:numPr>
          <w:ilvl w:val="0"/>
          <w:numId w:val="7"/>
        </w:numPr>
      </w:pPr>
      <w:r w:rsidRPr="00BB229F">
        <w:rPr>
          <w:b/>
        </w:rPr>
        <w:t>Other Toll Carriers.</w:t>
      </w:r>
      <w:r w:rsidRPr="00BB229F">
        <w:t xml:space="preserve">  Neither the Commission nor the SBA has developed a definition for small businesses specifically applicable to Other Toll Carriers.  This category includes toll carriers that do not fall within the categories of interexchange carriers, operator service providers, prepaid calling card providers, satellite service carriers, or toll resellers.  The closest applicable NAICS </w:t>
      </w:r>
      <w:r w:rsidR="00954ACF" w:rsidRPr="00BB229F">
        <w:t>c</w:t>
      </w:r>
      <w:r w:rsidRPr="00BB229F">
        <w:t>ode category is for Wired Telecommunications Carriers as defined in paragraph 6 of this FRFA.  Under the applicable SBA size standard, such a business is small if it has 1,500 or fewer employees.</w:t>
      </w:r>
      <w:r w:rsidRPr="00BB229F">
        <w:rPr>
          <w:rStyle w:val="FootnoteReference"/>
          <w:spacing w:val="-2"/>
          <w:szCs w:val="22"/>
        </w:rPr>
        <w:footnoteReference w:id="337"/>
      </w:r>
      <w:r w:rsidRPr="00BB229F">
        <w:t xml:space="preserve">  Census data for 2012 shows that there were 3,117 firms that operated that year.  Of this total, 3,083 operated with fewer than 1,000 employees.</w:t>
      </w:r>
      <w:r w:rsidRPr="00BB229F">
        <w:rPr>
          <w:rStyle w:val="FootnoteReference"/>
        </w:rPr>
        <w:footnoteReference w:id="338"/>
      </w:r>
      <w:r w:rsidRPr="00BB229F">
        <w:t xml:space="preserve">  Thus, under this category and the associated small business size standard, most Other Toll Carriers can be considered small.  According to internally developed Commission data, 284 companies reported that their primary telecommunications service activity was the provision of other toll carriage.</w:t>
      </w:r>
      <w:r w:rsidRPr="00BB229F">
        <w:rPr>
          <w:rStyle w:val="FootnoteReference"/>
          <w:spacing w:val="-2"/>
          <w:szCs w:val="22"/>
        </w:rPr>
        <w:footnoteReference w:id="339"/>
      </w:r>
      <w:r w:rsidRPr="00BB229F">
        <w:t xml:space="preserve">  Of these, an estimated 279 have 1,500 or fewer employees.</w:t>
      </w:r>
      <w:r w:rsidRPr="00BB229F">
        <w:rPr>
          <w:rStyle w:val="FootnoteReference"/>
          <w:spacing w:val="-2"/>
          <w:szCs w:val="22"/>
        </w:rPr>
        <w:footnoteReference w:id="340"/>
      </w:r>
      <w:r w:rsidRPr="00BB229F">
        <w:t xml:space="preserve">  Consequently, the Commission estimates that most Other Toll Carriers are small entities. </w:t>
      </w:r>
    </w:p>
    <w:p w:rsidR="00B85713" w:rsidRPr="00BB229F" w:rsidRDefault="00B85713" w:rsidP="00B85713">
      <w:pPr>
        <w:pStyle w:val="ParaNum"/>
        <w:numPr>
          <w:ilvl w:val="0"/>
          <w:numId w:val="7"/>
        </w:numPr>
      </w:pPr>
      <w:r w:rsidRPr="00BB229F">
        <w:rPr>
          <w:b/>
        </w:rPr>
        <w:t>Wireless Telecommunications Carriers (except Satellite).</w:t>
      </w:r>
      <w:r w:rsidRPr="00BB229F">
        <w:t xml:space="preserve">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sidRPr="00BB229F">
        <w:rPr>
          <w:rStyle w:val="FootnoteReference"/>
        </w:rPr>
        <w:footnoteReference w:id="341"/>
      </w:r>
      <w:r w:rsidRPr="00BB229F">
        <w:t xml:space="preserve">  The appropriate size standard under SBA rules is that such a business is small if it has 1,500 or fewer employees.  For this industry, Census data for 2012 show that there were 967 firms that operated for the entire year.  Of this total, 955 firms had fewer than 1,000 employees.  Thus</w:t>
      </w:r>
      <w:r w:rsidR="00DF24E1" w:rsidRPr="00BB229F">
        <w:t>,</w:t>
      </w:r>
      <w:r w:rsidRPr="00BB229F">
        <w:t xml:space="preserve"> under this category and the associated size standard, the Commission estimates that the majority of wireless telecommunications carriers (except satellite) are small entities.  Similarly, according to internally developed Commission data, 413 carriers reported that they were engaged in the provision of wireless telephony, including cellular service, Personal Communications Service (PCS), and Specialized Mobile Radio (SMR) services.</w:t>
      </w:r>
      <w:r w:rsidRPr="00BB229F">
        <w:rPr>
          <w:rStyle w:val="FootnoteReference"/>
          <w:spacing w:val="-2"/>
          <w:szCs w:val="22"/>
        </w:rPr>
        <w:footnoteReference w:id="342"/>
      </w:r>
      <w:r w:rsidRPr="00BB229F">
        <w:t xml:space="preserve">  Of this total, an estimated 261 have 1,500 or fewer employees.</w:t>
      </w:r>
      <w:r w:rsidRPr="00BB229F">
        <w:rPr>
          <w:rStyle w:val="FootnoteReference"/>
          <w:spacing w:val="-2"/>
          <w:szCs w:val="22"/>
        </w:rPr>
        <w:footnoteReference w:id="343"/>
      </w:r>
      <w:r w:rsidRPr="00BB229F">
        <w:t xml:space="preserve">  Thus, using available data, we estimate that the majority of wireless firms can be considered small.</w:t>
      </w:r>
    </w:p>
    <w:p w:rsidR="00B85713" w:rsidRPr="00BB229F" w:rsidRDefault="00B85713" w:rsidP="00B85713">
      <w:pPr>
        <w:pStyle w:val="ParaNum"/>
        <w:numPr>
          <w:ilvl w:val="0"/>
          <w:numId w:val="7"/>
        </w:numPr>
      </w:pPr>
      <w:r w:rsidRPr="00BB229F">
        <w:rPr>
          <w:b/>
        </w:rPr>
        <w:t>Television Broadcasting</w:t>
      </w:r>
      <w:r w:rsidRPr="00BB229F">
        <w:t xml:space="preserve">.  </w:t>
      </w:r>
      <w:r w:rsidRPr="00BB229F">
        <w:rPr>
          <w:szCs w:val="22"/>
        </w:rPr>
        <w:t>This Economic Census category “</w:t>
      </w:r>
      <w:r w:rsidRPr="00BB229F">
        <w:t>comprises establishments primarily engaged in broadcasting images together with sound.  These establishments operate television broadcasting studios and facilities for the programming and transmission of programs to the public.”</w:t>
      </w:r>
      <w:r w:rsidRPr="00BB229F">
        <w:rPr>
          <w:rStyle w:val="FootnoteReference"/>
        </w:rPr>
        <w:footnoteReference w:id="344"/>
      </w:r>
      <w:r w:rsidRPr="00BB229F">
        <w:t xml:space="preserve">  These establishments also produce or transmit visual programming to affiliated broadcast television stations, which in turn broadcast the programs to the public on a predetermined schedule.  Programming may originate in their own studio, from an affiliated network, or from external sources.  </w:t>
      </w:r>
      <w:r w:rsidRPr="00BB229F">
        <w:rPr>
          <w:szCs w:val="22"/>
        </w:rPr>
        <w:t>The SBA has created the following small business size standard for Television Broadcasting firms:  those having $38.5 million or less in annual receipts.</w:t>
      </w:r>
      <w:r w:rsidRPr="00BB229F">
        <w:rPr>
          <w:rStyle w:val="FootnoteReference"/>
          <w:szCs w:val="22"/>
        </w:rPr>
        <w:footnoteReference w:id="345"/>
      </w:r>
      <w:r w:rsidRPr="00BB229F">
        <w:rPr>
          <w:szCs w:val="22"/>
        </w:rPr>
        <w:t xml:space="preserve">  The 2012 Economic Census reports that 751 television broadcasting firms operated during that year.  Of that number, 656 had annual receipts of less than $25 million per year.  Based on that Census data we conclude that most firms that operate television stations are small.  The Commission has estimated the number of licensed commercial television stations to be 1,383.</w:t>
      </w:r>
      <w:r w:rsidRPr="00BB229F">
        <w:rPr>
          <w:rStyle w:val="FootnoteReference"/>
          <w:szCs w:val="22"/>
        </w:rPr>
        <w:footnoteReference w:id="346"/>
      </w:r>
      <w:r w:rsidRPr="00BB229F">
        <w:rPr>
          <w:szCs w:val="22"/>
        </w:rPr>
        <w:t xml:space="preserve">  In addition, according to Commission staff review of the BIA Advisory Services, LLC’s Media Access Pro Television Database, on March 28, 2012, about 950 of an estimated 1,300 commercial television stations (or approximately 73 percent) had revenues of $14 million or less.</w:t>
      </w:r>
      <w:r w:rsidRPr="00BB229F">
        <w:rPr>
          <w:rStyle w:val="FootnoteReference"/>
          <w:szCs w:val="22"/>
        </w:rPr>
        <w:footnoteReference w:id="347"/>
      </w:r>
      <w:r w:rsidRPr="00BB229F">
        <w:rPr>
          <w:szCs w:val="22"/>
        </w:rPr>
        <w:t xml:space="preserve">  We therefore estimate that the majority of commercial television broadcasters are small entities.</w:t>
      </w:r>
    </w:p>
    <w:p w:rsidR="00B85713" w:rsidRPr="00BB229F" w:rsidRDefault="00B85713" w:rsidP="00B85713">
      <w:pPr>
        <w:pStyle w:val="ParaNum"/>
        <w:numPr>
          <w:ilvl w:val="0"/>
          <w:numId w:val="7"/>
        </w:numPr>
      </w:pPr>
      <w:r w:rsidRPr="00BB229F">
        <w:t>In assessing whether a business concern qualifies as small under the above definition, business (control) affiliations</w:t>
      </w:r>
      <w:r w:rsidRPr="00BB229F">
        <w:rPr>
          <w:vertAlign w:val="superscript"/>
        </w:rPr>
        <w:footnoteReference w:id="348"/>
      </w:r>
      <w:r w:rsidRPr="00BB229F">
        <w:t xml:space="preserve"> must be included.  Our estimate, therefore, likely overstates the number of small entities that might be affected by our action, because the revenue figure on which it is based does not include or aggregate revenues from affiliated companies.  In addition, an element of the definition of “small business” is that the entity not be dominant in its field of operation.  We are unable at this time to define or quantify the criteria that would establish whether a specific television station is dominant in its field of operation.  Accordingly, the estimate of small businesses to which rules may apply does not exclude any television station from the definition of a small business on this basis and is therefore possibly over-inclusive to that extent.</w:t>
      </w:r>
    </w:p>
    <w:p w:rsidR="00B85713" w:rsidRPr="00BB229F" w:rsidRDefault="00B85713" w:rsidP="002F56D9">
      <w:pPr>
        <w:pStyle w:val="ParaNum"/>
        <w:widowControl/>
        <w:numPr>
          <w:ilvl w:val="0"/>
          <w:numId w:val="7"/>
        </w:numPr>
        <w:rPr>
          <w:szCs w:val="22"/>
        </w:rPr>
      </w:pPr>
      <w:r w:rsidRPr="00BB229F">
        <w:t>In addition, the Commission has estimated the number of licensed noncommercial educational television stations to be 394.</w:t>
      </w:r>
      <w:r w:rsidRPr="00BB229F">
        <w:rPr>
          <w:rStyle w:val="FootnoteReference"/>
          <w:szCs w:val="22"/>
        </w:rPr>
        <w:footnoteReference w:id="349"/>
      </w:r>
      <w:r w:rsidRPr="00BB229F">
        <w:t xml:space="preserve">  These stations are non-profit, and therefore considered to be small entities.</w:t>
      </w:r>
      <w:r w:rsidRPr="00BB229F">
        <w:rPr>
          <w:rStyle w:val="FootnoteReference"/>
          <w:szCs w:val="22"/>
        </w:rPr>
        <w:footnoteReference w:id="350"/>
      </w:r>
      <w:r w:rsidRPr="00BB229F">
        <w:t xml:space="preserve">  There are also 2,382 low power television stations, including Class A stations.</w:t>
      </w:r>
      <w:r w:rsidRPr="00BB229F">
        <w:rPr>
          <w:rStyle w:val="FootnoteReference"/>
        </w:rPr>
        <w:footnoteReference w:id="351"/>
      </w:r>
      <w:r w:rsidRPr="00BB229F">
        <w:t xml:space="preserve">  Given the nature of these services, we will presume that all LPTV licensees qualify as small entities under the above SBA small business size standard.</w:t>
      </w:r>
    </w:p>
    <w:p w:rsidR="00B85713" w:rsidRPr="00BB229F" w:rsidRDefault="00B85713" w:rsidP="00B85713">
      <w:pPr>
        <w:pStyle w:val="ParaNum"/>
        <w:numPr>
          <w:ilvl w:val="0"/>
          <w:numId w:val="7"/>
        </w:numPr>
        <w:rPr>
          <w:rStyle w:val="documentbody1"/>
          <w:rFonts w:ascii="Times New Roman" w:hAnsi="Times New Roman"/>
          <w:sz w:val="22"/>
          <w:szCs w:val="22"/>
        </w:rPr>
      </w:pPr>
      <w:r w:rsidRPr="00BB229F">
        <w:rPr>
          <w:b/>
        </w:rPr>
        <w:t>Radio Stations</w:t>
      </w:r>
      <w:r w:rsidRPr="00BB229F">
        <w:t xml:space="preserve">.  </w:t>
      </w:r>
      <w:r w:rsidRPr="00BB229F">
        <w:rPr>
          <w:rStyle w:val="documentbody1"/>
          <w:rFonts w:ascii="Times New Roman" w:hAnsi="Times New Roman"/>
          <w:sz w:val="22"/>
          <w:szCs w:val="22"/>
        </w:rPr>
        <w:t>This Economic Census category “</w:t>
      </w:r>
      <w:r w:rsidRPr="00BB229F">
        <w:rPr>
          <w:szCs w:val="22"/>
        </w:rPr>
        <w:t>comprises establishments primarily engaged in broadcasting aural programs by radio to the public.  Programming may originate in their own studio, from an affiliated network, or from external sources.”</w:t>
      </w:r>
      <w:r w:rsidRPr="00BB229F">
        <w:rPr>
          <w:rStyle w:val="FootnoteReference"/>
          <w:sz w:val="22"/>
          <w:szCs w:val="22"/>
        </w:rPr>
        <w:footnoteReference w:id="352"/>
      </w:r>
      <w:r w:rsidRPr="00BB229F">
        <w:rPr>
          <w:szCs w:val="22"/>
        </w:rPr>
        <w:t xml:space="preserve">  The SBA has established a small business size standard for this category, which is:  such firms having $38.5 million or less in annual receipts.</w:t>
      </w:r>
      <w:r w:rsidRPr="00BB229F">
        <w:rPr>
          <w:rStyle w:val="FootnoteReference"/>
          <w:sz w:val="22"/>
          <w:szCs w:val="22"/>
        </w:rPr>
        <w:footnoteReference w:id="353"/>
      </w:r>
      <w:r w:rsidRPr="00BB229F">
        <w:rPr>
          <w:szCs w:val="22"/>
        </w:rPr>
        <w:t xml:space="preserve">  Census data for 2012 show that 2,849 radio station firms operated during that year.  Of that number, 2,806 operated with annual receipts of less than $25 million per year</w:t>
      </w:r>
      <w:r w:rsidRPr="00BB229F">
        <w:rPr>
          <w:rStyle w:val="documentbody1"/>
          <w:rFonts w:ascii="Times New Roman" w:hAnsi="Times New Roman"/>
          <w:sz w:val="22"/>
          <w:szCs w:val="22"/>
        </w:rPr>
        <w:t>.</w:t>
      </w:r>
      <w:r w:rsidRPr="00BB229F">
        <w:rPr>
          <w:rStyle w:val="FootnoteReference"/>
          <w:sz w:val="22"/>
          <w:szCs w:val="22"/>
        </w:rPr>
        <w:t xml:space="preserve"> </w:t>
      </w:r>
      <w:r w:rsidRPr="00BB229F">
        <w:rPr>
          <w:rStyle w:val="FootnoteReference"/>
          <w:sz w:val="22"/>
          <w:szCs w:val="22"/>
        </w:rPr>
        <w:footnoteReference w:id="354"/>
      </w:r>
      <w:r w:rsidRPr="00BB229F">
        <w:rPr>
          <w:szCs w:val="22"/>
        </w:rPr>
        <w:t xml:space="preserve">  </w:t>
      </w:r>
      <w:r w:rsidRPr="00BB229F">
        <w:rPr>
          <w:rStyle w:val="documentbody1"/>
          <w:rFonts w:ascii="Times New Roman" w:hAnsi="Times New Roman"/>
          <w:sz w:val="22"/>
          <w:szCs w:val="22"/>
        </w:rPr>
        <w:t xml:space="preserve">According to Commission staff review of </w:t>
      </w:r>
      <w:r w:rsidRPr="00BB229F">
        <w:rPr>
          <w:szCs w:val="22"/>
        </w:rPr>
        <w:t xml:space="preserve">BIA Advisory Services, LLC’s Media Access Pro Radio Database, </w:t>
      </w:r>
      <w:r w:rsidRPr="00BB229F">
        <w:rPr>
          <w:rStyle w:val="documentbody1"/>
          <w:rFonts w:ascii="Times New Roman" w:hAnsi="Times New Roman"/>
          <w:sz w:val="22"/>
          <w:szCs w:val="22"/>
        </w:rPr>
        <w:t xml:space="preserve">on March 28, 2012, about 10,759 (97 percent) of 11,102 commercial radio stations had revenues of $38.5 million or less.  Therefore, </w:t>
      </w:r>
      <w:r w:rsidR="00650DA2" w:rsidRPr="00BB229F">
        <w:rPr>
          <w:rStyle w:val="documentbody1"/>
          <w:rFonts w:ascii="Times New Roman" w:hAnsi="Times New Roman"/>
          <w:sz w:val="22"/>
          <w:szCs w:val="22"/>
        </w:rPr>
        <w:t>most</w:t>
      </w:r>
      <w:r w:rsidRPr="00BB229F">
        <w:rPr>
          <w:rStyle w:val="documentbody1"/>
          <w:rFonts w:ascii="Times New Roman" w:hAnsi="Times New Roman"/>
          <w:sz w:val="22"/>
          <w:szCs w:val="22"/>
        </w:rPr>
        <w:t xml:space="preserve"> such entities are small entities.</w:t>
      </w:r>
    </w:p>
    <w:p w:rsidR="00B85713" w:rsidRPr="00BB229F" w:rsidRDefault="00B85713" w:rsidP="00B85713">
      <w:pPr>
        <w:pStyle w:val="ParaNum"/>
        <w:numPr>
          <w:ilvl w:val="0"/>
          <w:numId w:val="7"/>
        </w:numPr>
        <w:rPr>
          <w:szCs w:val="22"/>
        </w:rPr>
      </w:pPr>
      <w:r w:rsidRPr="00BB229F">
        <w:rPr>
          <w:szCs w:val="22"/>
        </w:rPr>
        <w:t>In assessing whether a business concern qualifies as small under the above size standard, business affiliations must be included.</w:t>
      </w:r>
      <w:r w:rsidRPr="00BB229F">
        <w:rPr>
          <w:szCs w:val="22"/>
          <w:vertAlign w:val="superscript"/>
        </w:rPr>
        <w:footnoteReference w:id="355"/>
      </w:r>
      <w:r w:rsidRPr="00BB229F">
        <w:rPr>
          <w:szCs w:val="22"/>
        </w:rPr>
        <w:t xml:space="preserve">  In addition, to be determined to be a “small business,” the entity may not be dominant in its field of operation.</w:t>
      </w:r>
      <w:r w:rsidRPr="00BB229F">
        <w:rPr>
          <w:rStyle w:val="FootnoteReference"/>
          <w:szCs w:val="22"/>
        </w:rPr>
        <w:footnoteReference w:id="356"/>
      </w:r>
      <w:r w:rsidRPr="00BB229F">
        <w:rPr>
          <w:szCs w:val="22"/>
        </w:rPr>
        <w:t xml:space="preserve">  We note that it is difficult at times to assess these criteria in the context of media entities, and our estimate of small businesses may therefore be over-inclusive.</w:t>
      </w:r>
    </w:p>
    <w:p w:rsidR="00B85713" w:rsidRPr="00BB229F" w:rsidRDefault="00B85713" w:rsidP="00B85713">
      <w:pPr>
        <w:pStyle w:val="ParaNum"/>
        <w:numPr>
          <w:ilvl w:val="0"/>
          <w:numId w:val="7"/>
        </w:numPr>
      </w:pPr>
      <w:r w:rsidRPr="00BB229F">
        <w:rPr>
          <w:b/>
          <w:szCs w:val="22"/>
        </w:rPr>
        <w:t>Cable</w:t>
      </w:r>
      <w:r w:rsidRPr="00BB229F">
        <w:rPr>
          <w:b/>
        </w:rPr>
        <w:t xml:space="preserve"> Television and Other Subscription Programming</w:t>
      </w:r>
      <w:r w:rsidRPr="00BB229F">
        <w:t>.  This industry comprises establishments primarily engaged in operating studios and facilities for the broadcasting of programs on a subscription or fee basis.  The broadcast programming is typically narrowcast in nature (e.g., limited format, such as news, sports, education, or youth-oriented).  These establishments produce programming in their own facilities or acquire programming from external sources.  The programming material is usually delivered to a third party, such as cable systems or direct-to-home satellite systems, for transmission to viewers.</w:t>
      </w:r>
      <w:r w:rsidRPr="00BB229F">
        <w:rPr>
          <w:rStyle w:val="FootnoteReference"/>
          <w:szCs w:val="22"/>
        </w:rPr>
        <w:footnoteReference w:id="357"/>
      </w:r>
      <w:r w:rsidRPr="00BB229F">
        <w:t xml:space="preserve">  The SBA has established a size standard for this industry of $38.5 million or less.  Census data for 2012 shows that there were 367 firms that operated that year.  Of this total, 319 operated with annual receipts of less than $25 million.</w:t>
      </w:r>
      <w:r w:rsidRPr="00BB229F">
        <w:rPr>
          <w:rStyle w:val="FootnoteReference"/>
        </w:rPr>
        <w:footnoteReference w:id="358"/>
      </w:r>
      <w:r w:rsidRPr="00BB229F">
        <w:t xml:space="preserve">  Thus under this size standard, </w:t>
      </w:r>
      <w:r w:rsidR="00773EA6" w:rsidRPr="00BB229F">
        <w:t>most</w:t>
      </w:r>
      <w:r w:rsidRPr="00BB229F">
        <w:t xml:space="preserve"> firms offering cable and other program distribution services can be considered small and may be affected by rules adopted.</w:t>
      </w:r>
    </w:p>
    <w:p w:rsidR="00B85713" w:rsidRPr="00BB229F" w:rsidRDefault="00B85713" w:rsidP="00823762">
      <w:pPr>
        <w:pStyle w:val="ParaNum"/>
        <w:widowControl/>
        <w:numPr>
          <w:ilvl w:val="0"/>
          <w:numId w:val="7"/>
        </w:numPr>
      </w:pPr>
      <w:r w:rsidRPr="00BB229F">
        <w:rPr>
          <w:b/>
        </w:rPr>
        <w:t>Cable Companies and Systems</w:t>
      </w:r>
      <w:r w:rsidRPr="00BB229F">
        <w:t>.  The Commission has developed its own small business size standards for the purpose of cable rate regulation.  Under the Commission's rules, a “small cable company” is one serving 400,000 or fewer subscribers nationwide.</w:t>
      </w:r>
      <w:r w:rsidRPr="00BB229F">
        <w:rPr>
          <w:rStyle w:val="FootnoteReference"/>
        </w:rPr>
        <w:footnoteReference w:id="359"/>
      </w:r>
      <w:r w:rsidRPr="00BB229F">
        <w:t xml:space="preserve">  Industry data indicate that there are currently 4,413 active cable systems in the United States.</w:t>
      </w:r>
      <w:r w:rsidRPr="00BB229F">
        <w:rPr>
          <w:rStyle w:val="FootnoteReference"/>
        </w:rPr>
        <w:footnoteReference w:id="360"/>
      </w:r>
      <w:r w:rsidRPr="00BB229F">
        <w:t xml:space="preserve">  Of this total, all but ten cable operators nationwide are small under the 400,000-subscriber size standard.</w:t>
      </w:r>
      <w:r w:rsidRPr="00BB229F">
        <w:rPr>
          <w:rStyle w:val="FootnoteReference"/>
        </w:rPr>
        <w:footnoteReference w:id="361"/>
      </w:r>
      <w:r w:rsidRPr="00BB229F">
        <w:t xml:space="preserve">  In addition, under the Commission's rate regulation rules, a “small system” is a cable system serving 15,000 or fewer subscribers.</w:t>
      </w:r>
      <w:r w:rsidRPr="00BB229F">
        <w:rPr>
          <w:rStyle w:val="FootnoteReference"/>
        </w:rPr>
        <w:footnoteReference w:id="362"/>
      </w:r>
      <w:r w:rsidRPr="00BB229F">
        <w:t xml:space="preserve">  Current Commission records show 4,413 cable systems nationwide.</w:t>
      </w:r>
      <w:r w:rsidRPr="00BB229F">
        <w:rPr>
          <w:rStyle w:val="FootnoteReference"/>
        </w:rPr>
        <w:footnoteReference w:id="363"/>
      </w:r>
      <w:r w:rsidRPr="00BB229F">
        <w:t xml:space="preserve">  Of this total, 3,900 cable systems have fewer than 15,000 subscribers, and 700 systems have 15,000 or more subscribers, based on the same records.</w:t>
      </w:r>
      <w:r w:rsidRPr="00BB229F">
        <w:rPr>
          <w:rStyle w:val="FootnoteReference"/>
        </w:rPr>
        <w:footnoteReference w:id="364"/>
      </w:r>
      <w:r w:rsidRPr="00BB229F">
        <w:t xml:space="preserve">  Thus, under this standard as well, we estimate that most cable systems are small entities.</w:t>
      </w:r>
    </w:p>
    <w:p w:rsidR="00B85713" w:rsidRPr="00BB229F" w:rsidRDefault="00B85713" w:rsidP="00CA3438">
      <w:pPr>
        <w:pStyle w:val="ParaNum"/>
      </w:pPr>
      <w:r w:rsidRPr="00BB229F">
        <w:rPr>
          <w:b/>
        </w:rPr>
        <w:t>Cable System Operators (Telecom Act Standard).</w:t>
      </w:r>
      <w:r w:rsidRPr="00BB229F">
        <w:t xml:space="preserve">  The Communications Act also contains a size standard for small cable system operators, which is “a cable operator that, directly or through an affiliate, serves in the aggregate fewer than 1 percent of all subscribers in the United States and is not affiliated with any entity or entities whose gross annual revenues in the aggregate exceed $250,000,000.”</w:t>
      </w:r>
      <w:r w:rsidRPr="00BB229F">
        <w:rPr>
          <w:rStyle w:val="FootnoteReference"/>
        </w:rPr>
        <w:footnoteReference w:id="365"/>
      </w:r>
      <w:r w:rsidRPr="00BB229F">
        <w:t xml:space="preserve">  There are approximately 53 million cable video subscribers in the United States today.</w:t>
      </w:r>
      <w:r w:rsidRPr="00BB229F">
        <w:rPr>
          <w:rStyle w:val="FootnoteReference"/>
        </w:rPr>
        <w:footnoteReference w:id="366"/>
      </w:r>
      <w:r w:rsidRPr="00BB229F">
        <w:t xml:space="preserve">  Accordingly, an operator serving fewer than 524,037 subscribers shall be deemed a small operator if its annual revenues, when combined with the total annual revenues of all its affiliates, do not exceed $250 million in the aggregate.</w:t>
      </w:r>
      <w:r w:rsidRPr="00BB229F">
        <w:rPr>
          <w:rStyle w:val="FootnoteReference"/>
        </w:rPr>
        <w:footnoteReference w:id="367"/>
      </w:r>
      <w:r w:rsidRPr="00BB229F">
        <w:t xml:space="preserve">  Based on available data, we find that all but nine incumbent cable operators are small entities under this size standard.</w:t>
      </w:r>
      <w:r w:rsidRPr="00BB229F">
        <w:rPr>
          <w:rStyle w:val="FootnoteReference"/>
        </w:rPr>
        <w:footnoteReference w:id="368"/>
      </w:r>
      <w:r w:rsidRPr="00BB229F">
        <w:t xml:space="preserve">  We note that the Commission neither requests nor collects information on whether cable system operators are affiliated with entities whose gross annual revenues exceed $250 million.</w:t>
      </w:r>
      <w:r w:rsidRPr="00BB229F">
        <w:rPr>
          <w:rStyle w:val="FootnoteReference"/>
        </w:rPr>
        <w:footnoteReference w:id="369"/>
      </w:r>
      <w:r w:rsidRPr="00BB229F">
        <w:t xml:space="preserve">  Although it seems certain that some of these cable system operators are affiliated with entities whose gross annual revenues exceed $250 million, we are unable at this time to estimate with greater precision the number of cable system operators that would qualify as small cable operators under the definition in the Communications Act.</w:t>
      </w:r>
    </w:p>
    <w:p w:rsidR="00B85713" w:rsidRPr="00BB229F" w:rsidRDefault="00B85713" w:rsidP="00823762">
      <w:pPr>
        <w:pStyle w:val="ParaNum"/>
        <w:widowControl/>
      </w:pPr>
      <w:r w:rsidRPr="00BB229F">
        <w:rPr>
          <w:b/>
        </w:rPr>
        <w:t>Direct Broadcast Satellite (DBS) Service.</w:t>
      </w:r>
      <w:r w:rsidRPr="00BB229F">
        <w:t xml:space="preserve">  DBS Service is a nationally distributed subscription service that delivers video and audio programming via satellite to a small parabolic dish antenna at the subscriber’s location.  DBS is now included in SBA’s economic census category </w:t>
      </w:r>
      <w:r w:rsidRPr="00BB229F">
        <w:rPr>
          <w:rFonts w:cs="Calibri"/>
        </w:rPr>
        <w:t>“</w:t>
      </w:r>
      <w:r w:rsidRPr="00BB229F">
        <w:t>Wired Telecommunications Carriers.</w:t>
      </w:r>
      <w:r w:rsidRPr="00BB229F">
        <w:rPr>
          <w:rFonts w:cs="Calibri"/>
        </w:rPr>
        <w:t xml:space="preserve">” </w:t>
      </w:r>
      <w:r w:rsidRPr="00BB229F">
        <w:t xml:space="preserve"> The Wired Telecommunications Carriers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sidRPr="00BB229F">
        <w:rPr>
          <w:rStyle w:val="FootnoteReference"/>
        </w:rPr>
        <w:footnoteReference w:id="370"/>
      </w:r>
      <w:r w:rsidRPr="00BB229F">
        <w:t xml:space="preserve">  The SBA determines that a wireline business is small if it has fewer than 1500 employees.</w:t>
      </w:r>
      <w:r w:rsidRPr="00BB229F">
        <w:rPr>
          <w:rStyle w:val="FootnoteReference"/>
        </w:rPr>
        <w:footnoteReference w:id="371"/>
      </w:r>
      <w:r w:rsidRPr="00BB229F">
        <w:t xml:space="preserve">  Census data for 2012 indicate that 3,117 wireline companies were operational during that year.  Of that number, 3,083 operated with fewer than 1,000 employees.</w:t>
      </w:r>
      <w:r w:rsidRPr="00BB229F">
        <w:rPr>
          <w:rStyle w:val="FootnoteReference"/>
        </w:rPr>
        <w:footnoteReference w:id="372"/>
      </w:r>
      <w:r w:rsidRPr="00BB229F">
        <w:t xml:space="preserve">  Based on that data, we conclude that </w:t>
      </w:r>
      <w:r w:rsidR="001E1667" w:rsidRPr="00BB229F">
        <w:t>most</w:t>
      </w:r>
      <w:r w:rsidRPr="00BB229F">
        <w:t xml:space="preserve"> wireline firms are small under the applicable standard.  However, currently only two entities provide DBS service, AT&amp;T and DISH Network.  AT&amp;T and DISH Network each report annual revenues that are in excess of the threshold for a small business.  Accordingly, we conclude that DBS service is provided only by large firms.</w:t>
      </w:r>
    </w:p>
    <w:p w:rsidR="00B85713" w:rsidRPr="00BB229F" w:rsidRDefault="00B85713" w:rsidP="00CA3438">
      <w:pPr>
        <w:pStyle w:val="ParaNum"/>
      </w:pPr>
      <w:r w:rsidRPr="00BB229F">
        <w:rPr>
          <w:b/>
        </w:rPr>
        <w:t>All Other Telecommunications</w:t>
      </w:r>
      <w:r w:rsidRPr="00BB229F">
        <w:t xml:space="preserve">.  </w:t>
      </w:r>
      <w:bookmarkStart w:id="252" w:name="_Toc390878820"/>
      <w:bookmarkStart w:id="253" w:name="_Toc391364453"/>
      <w:bookmarkStart w:id="254" w:name="_Toc394672341"/>
      <w:bookmarkStart w:id="255" w:name="_Toc397078349"/>
      <w:bookmarkStart w:id="256" w:name="_Toc403117511"/>
      <w:bookmarkStart w:id="257" w:name="_Toc404352147"/>
      <w:bookmarkStart w:id="258" w:name="_Toc406064041"/>
      <w:bookmarkStart w:id="259" w:name="_Toc406754921"/>
      <w:bookmarkStart w:id="260" w:name="_Toc407006739"/>
      <w:bookmarkStart w:id="261" w:name="_Toc407018474"/>
      <w:bookmarkStart w:id="262" w:name="_Toc408483456"/>
      <w:bookmarkStart w:id="263" w:name="_Toc410723696"/>
      <w:bookmarkStart w:id="264" w:name="_Toc411434905"/>
      <w:bookmarkStart w:id="265" w:name="_Toc413083247"/>
      <w:bookmarkStart w:id="266" w:name="_Toc413672137"/>
      <w:r w:rsidRPr="00BB229F">
        <w:rPr>
          <w:b/>
        </w:rPr>
        <w:t>“</w:t>
      </w:r>
      <w:r w:rsidRPr="00BB229F">
        <w:t>All Other Telecommunications” is defined as follows:  This U.S. industry is comprised of establishments that are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client-supplied telecommunications connections are also included in this industry.</w:t>
      </w:r>
      <w:r w:rsidRPr="00BB229F">
        <w:rPr>
          <w:rStyle w:val="FootnoteReference"/>
        </w:rPr>
        <w:footnoteReference w:id="373"/>
      </w:r>
      <w:r w:rsidRPr="00BB229F">
        <w:t xml:space="preserve">  The SBA has developed a small business size standard for “All Other Telecommunications,” which consists of all such firms with gross annual receipts of $32.5 million or less.</w:t>
      </w:r>
      <w:r w:rsidRPr="00BB229F">
        <w:rPr>
          <w:rStyle w:val="FootnoteReference"/>
        </w:rPr>
        <w:footnoteReference w:id="374"/>
      </w:r>
      <w:r w:rsidRPr="00BB229F">
        <w:t xml:space="preserve">  For this category, census data for 2012 show that there were 1,442 firms that operated for the entire year.  Of these firms, a total of 1,400 had gross annual receipts of less than $25 million.</w:t>
      </w:r>
      <w:r w:rsidRPr="00BB229F">
        <w:rPr>
          <w:rStyle w:val="FootnoteReference"/>
        </w:rPr>
        <w:footnoteReference w:id="375"/>
      </w:r>
      <w:r w:rsidRPr="00BB229F">
        <w:t xml:space="preserve">  Thus, </w:t>
      </w:r>
      <w:r w:rsidR="00796852" w:rsidRPr="00BB229F">
        <w:t>most</w:t>
      </w:r>
      <w:r w:rsidRPr="00BB229F">
        <w:t xml:space="preserve"> “All Other Telecommunications” firms potentially affected by the rules adopted can be considered small.</w:t>
      </w:r>
    </w:p>
    <w:p w:rsidR="00B85713" w:rsidRPr="00BB229F" w:rsidRDefault="00B85713" w:rsidP="00B85713">
      <w:pPr>
        <w:pStyle w:val="ParaNum"/>
      </w:pPr>
      <w:r w:rsidRPr="00BB229F">
        <w:rPr>
          <w:b/>
        </w:rPr>
        <w:t xml:space="preserve">RespOrgs.  </w:t>
      </w:r>
      <w:r w:rsidRPr="00BB229F">
        <w:t>RespOrgs, i.e., Responsible Organizatio</w:t>
      </w:r>
      <w:r w:rsidR="004323B4" w:rsidRPr="00BB229F">
        <w:t>ns, are entities chosen by toll-</w:t>
      </w:r>
      <w:r w:rsidRPr="00BB229F">
        <w:t xml:space="preserve">free subscribers to manage and administer the appropriate records in the </w:t>
      </w:r>
      <w:r w:rsidR="00C359E3" w:rsidRPr="00BB229F">
        <w:t>toll-free</w:t>
      </w:r>
      <w:r w:rsidRPr="00BB229F">
        <w:t xml:space="preserve"> Service</w:t>
      </w:r>
      <w:r w:rsidR="004323B4" w:rsidRPr="00BB229F">
        <w:t xml:space="preserve"> Management System for the toll-</w:t>
      </w:r>
      <w:r w:rsidRPr="00BB229F">
        <w:t>free subscriber.</w:t>
      </w:r>
      <w:r w:rsidRPr="00BB229F">
        <w:rPr>
          <w:rStyle w:val="FootnoteReference"/>
        </w:rPr>
        <w:footnoteReference w:id="376"/>
      </w:r>
      <w:r w:rsidRPr="00BB229F">
        <w:t xml:space="preserve">  Although RespOrgs are often wireline carriers, they can also include non-carrier entities.  Therefore, in the definition herein of RespOrgs, two categories are presented, i.e., Carrier RespOrgs and Non-Carrier RespOrgs.</w:t>
      </w:r>
    </w:p>
    <w:p w:rsidR="00B85713" w:rsidRPr="00BB229F" w:rsidRDefault="00B85713" w:rsidP="00B85713">
      <w:pPr>
        <w:pStyle w:val="ParaNum"/>
      </w:pPr>
      <w:r w:rsidRPr="00BB229F">
        <w:rPr>
          <w:b/>
        </w:rPr>
        <w:t>Carrier RespOrgs</w:t>
      </w:r>
      <w:r w:rsidRPr="00BB229F">
        <w:t>. Neither the Commission, the U.S. Census, nor the SBA have developed a definition for Carrier RespOrgs.  Accordingly, the Commission b</w:t>
      </w:r>
      <w:r w:rsidR="000F55AD" w:rsidRPr="00BB229F">
        <w:t>elieves that the closest NAICS c</w:t>
      </w:r>
      <w:r w:rsidRPr="00BB229F">
        <w:t>ode-based definitional categories for Carrier RespOrgs are Wired Telecommunications Carriers</w:t>
      </w:r>
      <w:r w:rsidRPr="00BB229F">
        <w:rPr>
          <w:rStyle w:val="FootnoteReference"/>
        </w:rPr>
        <w:footnoteReference w:id="377"/>
      </w:r>
      <w:r w:rsidRPr="00BB229F">
        <w:t xml:space="preserve"> and Wireless Telecommunications Carriers (except satellite).</w:t>
      </w:r>
      <w:r w:rsidRPr="00BB229F">
        <w:rPr>
          <w:rStyle w:val="FootnoteReference"/>
        </w:rPr>
        <w:footnoteReference w:id="378"/>
      </w:r>
      <w:r w:rsidRPr="00BB229F">
        <w:t xml:space="preserve"> </w:t>
      </w:r>
    </w:p>
    <w:p w:rsidR="00B85713" w:rsidRPr="00BB229F" w:rsidRDefault="00B85713" w:rsidP="00B85713">
      <w:pPr>
        <w:pStyle w:val="ParaNum"/>
      </w:pPr>
      <w:r w:rsidRPr="00BB229F">
        <w:t xml:space="preserve">The U.S. Census Bureau defines </w:t>
      </w:r>
      <w:r w:rsidRPr="00BB229F">
        <w:rPr>
          <w:b/>
        </w:rPr>
        <w:t>Wired Telecommunications Carriers</w:t>
      </w:r>
      <w:r w:rsidRPr="00BB229F">
        <w:t xml:space="preserve">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sidRPr="00BB229F">
        <w:rPr>
          <w:rStyle w:val="FootnoteReference"/>
        </w:rPr>
        <w:footnoteReference w:id="379"/>
      </w:r>
      <w:r w:rsidRPr="00BB229F">
        <w:t xml:space="preserve">  The SBA has developed a small business size standard for Wired Telecommunications Carriers, which consists of all such companies having 1,500 or fewer employees.</w:t>
      </w:r>
      <w:r w:rsidRPr="00BB229F">
        <w:rPr>
          <w:rStyle w:val="FootnoteReference"/>
        </w:rPr>
        <w:footnoteReference w:id="380"/>
      </w:r>
      <w:r w:rsidRPr="00BB229F">
        <w:t xml:space="preserve">  Census data for 2012 show that there were 3,117 Wired Telecommunications Carrier firms that operated for that entire year.  Of that number, 3,083 operated with less than 1,000 employees.</w:t>
      </w:r>
      <w:r w:rsidRPr="00BB229F">
        <w:rPr>
          <w:rStyle w:val="FootnoteReference"/>
        </w:rPr>
        <w:footnoteReference w:id="381"/>
      </w:r>
      <w:r w:rsidRPr="00BB229F">
        <w:t xml:space="preserve">  Based on that data, we conclude that </w:t>
      </w:r>
      <w:r w:rsidR="001E234E" w:rsidRPr="00BB229F">
        <w:t>most</w:t>
      </w:r>
      <w:r w:rsidRPr="00BB229F">
        <w:t xml:space="preserve"> Carrier RespOrgs that operated with wireline-based technology are small.</w:t>
      </w:r>
    </w:p>
    <w:p w:rsidR="00B85713" w:rsidRPr="00BB229F" w:rsidRDefault="00B85713" w:rsidP="00B85713">
      <w:pPr>
        <w:pStyle w:val="ParaNum"/>
      </w:pPr>
      <w:r w:rsidRPr="00BB229F">
        <w:t xml:space="preserve">The U.S. Census Bureau defines </w:t>
      </w:r>
      <w:r w:rsidRPr="00BB229F">
        <w:rPr>
          <w:b/>
        </w:rPr>
        <w:t>Wireless Telecommunications Carriers (except satellite</w:t>
      </w:r>
      <w:r w:rsidRPr="00BB229F">
        <w:t>) as  establishments engaged in operating and maintaining switching and transmission facilities to provide communications via the airwaves, such as cellular services, paging services, wireless internet access, and wireless video services.</w:t>
      </w:r>
      <w:r w:rsidRPr="00BB229F">
        <w:rPr>
          <w:rStyle w:val="FootnoteReference"/>
        </w:rPr>
        <w:footnoteReference w:id="382"/>
      </w:r>
      <w:r w:rsidRPr="00BB229F">
        <w:t xml:space="preserve">  The appropriate size standard under SBA rules is that such a business is small if it has 1,500 or fewer employees.</w:t>
      </w:r>
      <w:r w:rsidRPr="00BB229F">
        <w:rPr>
          <w:rStyle w:val="FootnoteReference"/>
        </w:rPr>
        <w:footnoteReference w:id="383"/>
      </w:r>
      <w:r w:rsidRPr="00BB229F">
        <w:t xml:space="preserve">  Census data for 2012 show that 967 Wireless Telecommunications Carriers operated in that year. Of that number, 955 operated with less than 1,000 employees.</w:t>
      </w:r>
      <w:r w:rsidRPr="00BB229F">
        <w:rPr>
          <w:rStyle w:val="FootnoteReference"/>
        </w:rPr>
        <w:footnoteReference w:id="384"/>
      </w:r>
      <w:r w:rsidRPr="00BB229F">
        <w:t xml:space="preserve">   Based on that data, we conclude that </w:t>
      </w:r>
      <w:r w:rsidR="00AC1EB5" w:rsidRPr="00BB229F">
        <w:t>most</w:t>
      </w:r>
      <w:r w:rsidRPr="00BB229F">
        <w:t xml:space="preserve"> Carrier RespOrgs that operated with wireless-based technology are small.</w:t>
      </w:r>
    </w:p>
    <w:p w:rsidR="00B85713" w:rsidRPr="00BB229F" w:rsidRDefault="00B85713" w:rsidP="00B85713">
      <w:pPr>
        <w:pStyle w:val="ParaNum"/>
      </w:pPr>
      <w:r w:rsidRPr="00BB229F">
        <w:rPr>
          <w:b/>
        </w:rPr>
        <w:t>Non-Carrier RespOrgs</w:t>
      </w:r>
      <w:r w:rsidRPr="00BB229F">
        <w:t xml:space="preserve">. </w:t>
      </w:r>
      <w:r w:rsidRPr="00BB229F">
        <w:rPr>
          <w:b/>
        </w:rPr>
        <w:t xml:space="preserve"> </w:t>
      </w:r>
      <w:r w:rsidRPr="00BB229F">
        <w:t>Neither the Commission, the Census, nor the SBA have developed a definition of Non-Carrier RespOrgs.  Accordingly, the Commission believes tha</w:t>
      </w:r>
      <w:r w:rsidR="000F55AD" w:rsidRPr="00BB229F">
        <w:t>t the closest NAICS c</w:t>
      </w:r>
      <w:r w:rsidRPr="00BB229F">
        <w:t>ode-based definitional categories for Non-Carrier RespOrgs are “Other Services Related To Advertising”</w:t>
      </w:r>
      <w:r w:rsidRPr="00BB229F">
        <w:rPr>
          <w:rStyle w:val="FootnoteReference"/>
        </w:rPr>
        <w:footnoteReference w:id="385"/>
      </w:r>
      <w:r w:rsidRPr="00BB229F">
        <w:t xml:space="preserve"> and “Other Management Consulting Services.”</w:t>
      </w:r>
      <w:r w:rsidRPr="00BB229F">
        <w:rPr>
          <w:rStyle w:val="FootnoteReference"/>
        </w:rPr>
        <w:footnoteReference w:id="386"/>
      </w:r>
    </w:p>
    <w:p w:rsidR="00B85713" w:rsidRPr="00BB229F" w:rsidRDefault="00B85713" w:rsidP="00B85713">
      <w:pPr>
        <w:pStyle w:val="ParaNum"/>
      </w:pPr>
      <w:r w:rsidRPr="00BB229F">
        <w:t xml:space="preserve">The U.S. Census defines </w:t>
      </w:r>
      <w:r w:rsidRPr="00BB229F">
        <w:rPr>
          <w:b/>
        </w:rPr>
        <w:t xml:space="preserve">Other Services Related to Advertising </w:t>
      </w:r>
      <w:r w:rsidRPr="00BB229F">
        <w:t>as comprising establishments primarily engaged in providing advertising services (except advertising agency services, public relations agency services, media buying agency services, media representative services, display advertising services, direct mail advertising services, advertising material distribution services, and marketing consulting services</w:t>
      </w:r>
      <w:r w:rsidR="002D5D3D" w:rsidRPr="00BB229F">
        <w:t>.</w:t>
      </w:r>
      <w:r w:rsidRPr="00BB229F">
        <w:rPr>
          <w:rStyle w:val="FootnoteReference"/>
        </w:rPr>
        <w:footnoteReference w:id="387"/>
      </w:r>
      <w:r w:rsidRPr="00BB229F">
        <w:t xml:space="preserve">  The SBA has established a size standard for this industry as annual receipts of $15 million dollars or less.</w:t>
      </w:r>
      <w:r w:rsidRPr="00BB229F">
        <w:rPr>
          <w:rStyle w:val="FootnoteReference"/>
        </w:rPr>
        <w:footnoteReference w:id="388"/>
      </w:r>
      <w:r w:rsidRPr="00BB229F">
        <w:t xml:space="preserve">  Census data for 2012 show that 5,804 firms operated in this industry for the entire year.  Of that number, 5,249 operated with annual receipts of less than $10 million.</w:t>
      </w:r>
      <w:r w:rsidRPr="00BB229F">
        <w:rPr>
          <w:rStyle w:val="FootnoteReference"/>
        </w:rPr>
        <w:footnoteReference w:id="389"/>
      </w:r>
      <w:r w:rsidRPr="00BB229F">
        <w:t xml:space="preserve">  Based on that data we conclude that </w:t>
      </w:r>
      <w:r w:rsidR="00B1305D" w:rsidRPr="00BB229F">
        <w:t>most</w:t>
      </w:r>
      <w:r w:rsidRPr="00BB229F">
        <w:t xml:space="preserve"> Non-Carrier RespOrgs who provide TFN-related advertising services are small.</w:t>
      </w:r>
    </w:p>
    <w:p w:rsidR="00B85713" w:rsidRPr="00BB229F" w:rsidRDefault="00B85713" w:rsidP="00B85713">
      <w:pPr>
        <w:pStyle w:val="ParaNum"/>
      </w:pPr>
      <w:r w:rsidRPr="00BB229F">
        <w:t xml:space="preserve">The U.S. Census defines </w:t>
      </w:r>
      <w:r w:rsidRPr="00BB229F">
        <w:rPr>
          <w:b/>
        </w:rPr>
        <w:t xml:space="preserve">Other Management Consulting Services </w:t>
      </w:r>
      <w:r w:rsidRPr="00BB229F">
        <w:t>as establishments primarily engaged in providing management consulting services (except administrative and general management consulting; human resources consulting; marketing consulting; or process, physical distribution, and logistics consulting).  Establishments providing telecommunications or utilities management consulting services are included in this industry.</w:t>
      </w:r>
      <w:r w:rsidRPr="00BB229F">
        <w:rPr>
          <w:rStyle w:val="FootnoteReference"/>
        </w:rPr>
        <w:footnoteReference w:id="390"/>
      </w:r>
      <w:r w:rsidRPr="00BB229F">
        <w:t xml:space="preserve">  The SBA has established a size standard for this industry of $15 million dollars or less.</w:t>
      </w:r>
      <w:r w:rsidRPr="00BB229F">
        <w:rPr>
          <w:rStyle w:val="FootnoteReference"/>
        </w:rPr>
        <w:footnoteReference w:id="391"/>
      </w:r>
      <w:r w:rsidRPr="00BB229F">
        <w:t xml:space="preserve">  Census data for 2012 show that 3,683 firms operated in this industry for that entire year.  Of that number, 3,632 operated with less than $10 million in annual receipts.</w:t>
      </w:r>
      <w:r w:rsidRPr="00BB229F">
        <w:rPr>
          <w:rStyle w:val="FootnoteReference"/>
        </w:rPr>
        <w:t xml:space="preserve"> </w:t>
      </w:r>
      <w:r w:rsidRPr="00BB229F">
        <w:rPr>
          <w:rStyle w:val="FootnoteReference"/>
        </w:rPr>
        <w:footnoteReference w:id="392"/>
      </w:r>
      <w:r w:rsidRPr="00BB229F">
        <w:t xml:space="preserve"> Based on this data, we conclude that </w:t>
      </w:r>
      <w:r w:rsidR="002B79B7" w:rsidRPr="00BB229F">
        <w:t>most</w:t>
      </w:r>
      <w:r w:rsidRPr="00BB229F">
        <w:t xml:space="preserve"> non-carrier RespOrgs who provide TFN-related management consulting services are small.</w:t>
      </w:r>
      <w:r w:rsidRPr="00BB229F">
        <w:rPr>
          <w:rStyle w:val="FootnoteReference"/>
        </w:rPr>
        <w:footnoteReference w:id="393"/>
      </w:r>
    </w:p>
    <w:p w:rsidR="00B85713" w:rsidRPr="00BB229F" w:rsidRDefault="00B85713" w:rsidP="00B85713">
      <w:pPr>
        <w:pStyle w:val="ParaNum"/>
        <w:numPr>
          <w:ilvl w:val="0"/>
          <w:numId w:val="7"/>
        </w:numPr>
      </w:pPr>
      <w:r w:rsidRPr="00BB229F">
        <w:t xml:space="preserve">In addition to the data contained in the four (see above) U.S. Census NAICS </w:t>
      </w:r>
      <w:r w:rsidR="000F55AD" w:rsidRPr="00BB229F">
        <w:t>c</w:t>
      </w:r>
      <w:r w:rsidRPr="00BB229F">
        <w:t>ode categories that provide definitions of what services and functions the Carrier and Non-Carrier RespOrgs provide, Somos, the trade association that monitors RespOrg activities, compiled data showing that as of July 1, 2016</w:t>
      </w:r>
      <w:r w:rsidR="00C359E3" w:rsidRPr="00BB229F">
        <w:t>,</w:t>
      </w:r>
      <w:r w:rsidRPr="00BB229F">
        <w:t xml:space="preserve"> there were 23 RespOrgs operational in Canada and 436 RespOrgs operational in the United States, for a total of 459 RespOrgs currently registered with Somos.</w:t>
      </w:r>
      <w:r w:rsidRPr="00BB229F">
        <w:rPr>
          <w:rStyle w:val="FootnoteReference"/>
        </w:rPr>
        <w:footnoteReference w:id="394"/>
      </w:r>
    </w:p>
    <w:p w:rsidR="00B85713" w:rsidRPr="00BB229F" w:rsidRDefault="00B85713" w:rsidP="00B85713">
      <w:pPr>
        <w:pStyle w:val="Heading2"/>
        <w:numPr>
          <w:ilvl w:val="0"/>
          <w:numId w:val="0"/>
        </w:numPr>
        <w:ind w:left="1440" w:hanging="720"/>
      </w:pPr>
      <w:bookmarkStart w:id="267" w:name="_Toc491865069"/>
      <w:bookmarkStart w:id="268" w:name="_Toc491865484"/>
      <w:r w:rsidRPr="00BB229F">
        <w:t>D.</w:t>
      </w:r>
      <w:r w:rsidRPr="00BB229F">
        <w:tab/>
        <w:t>Description of Projected Reporting, Recordkeeping and Other Compliance Requirements</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rsidR="00B85713" w:rsidRPr="00BB229F" w:rsidRDefault="00B85713" w:rsidP="00B85713">
      <w:pPr>
        <w:pStyle w:val="ParaNum"/>
        <w:numPr>
          <w:ilvl w:val="0"/>
          <w:numId w:val="7"/>
        </w:numPr>
      </w:pPr>
      <w:r w:rsidRPr="00BB229F">
        <w:t>This Report and Order does not adopt any new reporting, recordkeeping, or other compliance requirements.</w:t>
      </w:r>
      <w:bookmarkStart w:id="269" w:name="_Toc390878821"/>
    </w:p>
    <w:p w:rsidR="00B85713" w:rsidRPr="00BB229F" w:rsidRDefault="00B85713" w:rsidP="00B85713">
      <w:pPr>
        <w:pStyle w:val="Heading2"/>
        <w:numPr>
          <w:ilvl w:val="0"/>
          <w:numId w:val="0"/>
        </w:numPr>
        <w:ind w:left="1440" w:hanging="720"/>
      </w:pPr>
      <w:bookmarkStart w:id="270" w:name="_Toc391364454"/>
      <w:bookmarkStart w:id="271" w:name="_Toc394672342"/>
      <w:bookmarkStart w:id="272" w:name="_Toc397078350"/>
      <w:bookmarkStart w:id="273" w:name="_Toc403117512"/>
      <w:bookmarkStart w:id="274" w:name="_Toc404352148"/>
      <w:bookmarkStart w:id="275" w:name="_Toc406064042"/>
      <w:bookmarkStart w:id="276" w:name="_Toc406754922"/>
      <w:bookmarkStart w:id="277" w:name="_Toc407006740"/>
      <w:bookmarkStart w:id="278" w:name="_Toc407018475"/>
      <w:bookmarkStart w:id="279" w:name="_Toc408483457"/>
      <w:bookmarkStart w:id="280" w:name="_Toc410723697"/>
      <w:bookmarkStart w:id="281" w:name="_Toc411434906"/>
      <w:bookmarkStart w:id="282" w:name="_Toc413083248"/>
      <w:bookmarkStart w:id="283" w:name="_Toc413672138"/>
      <w:bookmarkStart w:id="284" w:name="_Toc491865070"/>
      <w:bookmarkStart w:id="285" w:name="_Toc491865485"/>
      <w:r w:rsidRPr="00BB229F">
        <w:t>E.</w:t>
      </w:r>
      <w:r w:rsidRPr="00BB229F">
        <w:tab/>
        <w:t>Steps Taken to Minimize Significant Economic Impact on Small Entities, and Significant Alternatives Considered</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rsidR="00B85713" w:rsidRPr="00BB229F" w:rsidRDefault="00B85713" w:rsidP="00B85713">
      <w:pPr>
        <w:pStyle w:val="ParaNum"/>
        <w:numPr>
          <w:ilvl w:val="0"/>
          <w:numId w:val="7"/>
        </w:numPr>
      </w:pPr>
      <w:r w:rsidRPr="00BB229F">
        <w:t>The RFA requires an agency to describe any significant alternatives that it has considered in reaching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sidRPr="00BB229F">
        <w:rPr>
          <w:rStyle w:val="FootnoteReference"/>
          <w:spacing w:val="-2"/>
          <w:szCs w:val="22"/>
        </w:rPr>
        <w:footnoteReference w:id="395"/>
      </w:r>
      <w:r w:rsidRPr="00BB229F">
        <w:t xml:space="preserve">   </w:t>
      </w:r>
    </w:p>
    <w:p w:rsidR="00B85713" w:rsidRPr="00BB229F" w:rsidRDefault="00B85713" w:rsidP="00B85713">
      <w:pPr>
        <w:pStyle w:val="ParaNum"/>
        <w:numPr>
          <w:ilvl w:val="0"/>
          <w:numId w:val="7"/>
        </w:numPr>
      </w:pPr>
      <w:r w:rsidRPr="00BB229F">
        <w:t>This Report and Order does not adopt any new reporting requirements.  Therefore</w:t>
      </w:r>
      <w:r w:rsidR="001609CD" w:rsidRPr="00BB229F">
        <w:t>,</w:t>
      </w:r>
      <w:r w:rsidRPr="00BB229F">
        <w:t xml:space="preserve"> no adverse economic impact on small entities will be sustained based on reporting requirements.  </w:t>
      </w:r>
    </w:p>
    <w:p w:rsidR="00B85713" w:rsidRPr="00BB229F" w:rsidRDefault="00B85713" w:rsidP="00B85713">
      <w:pPr>
        <w:pStyle w:val="ParaNum"/>
        <w:numPr>
          <w:ilvl w:val="0"/>
          <w:numId w:val="7"/>
        </w:numPr>
      </w:pPr>
      <w:r w:rsidRPr="00BB229F">
        <w:t xml:space="preserve">In keeping with the requirements of the Regulatory Flexibility Act, we have considered certain alternative means of mitigating the effects of fee increases to a particular industry segment.  For example, the Commission increased the de minimis threshold from $500 </w:t>
      </w:r>
      <w:r w:rsidR="001609CD" w:rsidRPr="00BB229F">
        <w:t>to $1,0</w:t>
      </w:r>
      <w:r w:rsidR="0022322A" w:rsidRPr="00BB229F">
        <w:t xml:space="preserve">00, </w:t>
      </w:r>
      <w:r w:rsidRPr="00BB229F">
        <w:t>which will impact many small entities that pay regulatory fees.  Historically, many of these small entities have been late in making their fee payments to the Commission by the due date.  This increase in the de minimis threshold to $</w:t>
      </w:r>
      <w:r w:rsidR="00007098" w:rsidRPr="00BB229F">
        <w:t xml:space="preserve">1,000 </w:t>
      </w:r>
      <w:r w:rsidRPr="00BB229F">
        <w:t xml:space="preserve">will relieve regulatees both financially and administratively.  This Report and Order also adopts regulatory fees for the smaller market AM and FM </w:t>
      </w:r>
      <w:r w:rsidR="00ED19BF" w:rsidRPr="00BB229F">
        <w:t xml:space="preserve">broadcast radio </w:t>
      </w:r>
      <w:r w:rsidRPr="00BB229F">
        <w:t xml:space="preserve">stations at a lower amount than had been proposed.  Finally, regulatees may also seek waivers or other relief on the basis of financial hardship.  </w:t>
      </w:r>
      <w:r w:rsidRPr="00BB229F">
        <w:rPr>
          <w:i/>
        </w:rPr>
        <w:t xml:space="preserve">See </w:t>
      </w:r>
      <w:r w:rsidRPr="00BB229F">
        <w:t xml:space="preserve">47 CFR §1.1166. </w:t>
      </w:r>
    </w:p>
    <w:p w:rsidR="00B85713" w:rsidRPr="00BB229F" w:rsidRDefault="00B85713" w:rsidP="00B85713">
      <w:pPr>
        <w:pStyle w:val="Heading2"/>
        <w:numPr>
          <w:ilvl w:val="0"/>
          <w:numId w:val="0"/>
        </w:numPr>
        <w:ind w:left="1440" w:hanging="720"/>
      </w:pPr>
      <w:bookmarkStart w:id="286" w:name="_Toc391364455"/>
      <w:bookmarkStart w:id="287" w:name="_Toc394672343"/>
      <w:bookmarkStart w:id="288" w:name="_Toc397078351"/>
      <w:bookmarkStart w:id="289" w:name="_Toc403117513"/>
      <w:bookmarkStart w:id="290" w:name="_Toc404352149"/>
      <w:bookmarkStart w:id="291" w:name="_Toc406064043"/>
      <w:bookmarkStart w:id="292" w:name="_Toc406754923"/>
      <w:bookmarkStart w:id="293" w:name="_Toc407006741"/>
      <w:bookmarkStart w:id="294" w:name="_Toc407018476"/>
      <w:bookmarkStart w:id="295" w:name="_Toc408483458"/>
      <w:bookmarkStart w:id="296" w:name="_Toc410723698"/>
      <w:bookmarkStart w:id="297" w:name="_Toc411434907"/>
      <w:bookmarkStart w:id="298" w:name="_Toc413083249"/>
      <w:bookmarkStart w:id="299" w:name="_Toc413672139"/>
      <w:bookmarkStart w:id="300" w:name="_Toc491865071"/>
      <w:bookmarkStart w:id="301" w:name="_Toc491865486"/>
      <w:bookmarkStart w:id="302" w:name="_Toc390878822"/>
      <w:r w:rsidRPr="00BB229F">
        <w:t>F.</w:t>
      </w:r>
      <w:r w:rsidRPr="00BB229F">
        <w:tab/>
      </w:r>
      <w:bookmarkStart w:id="303" w:name="start_from_here"/>
      <w:r w:rsidRPr="00BB229F">
        <w:t>Federal Rules that May Duplicate, Overlap, or Conflict</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3"/>
      <w:r w:rsidRPr="00BB229F">
        <w:t xml:space="preserve"> </w:t>
      </w:r>
      <w:bookmarkEnd w:id="302"/>
    </w:p>
    <w:p w:rsidR="00E74F23" w:rsidRPr="00BB229F" w:rsidRDefault="00B85713" w:rsidP="00B1305D">
      <w:pPr>
        <w:pStyle w:val="ParaNum"/>
        <w:numPr>
          <w:ilvl w:val="0"/>
          <w:numId w:val="0"/>
        </w:numPr>
        <w:tabs>
          <w:tab w:val="num" w:pos="1440"/>
        </w:tabs>
        <w:ind w:firstLine="720"/>
      </w:pPr>
      <w:r w:rsidRPr="00BB229F">
        <w:t>None.</w:t>
      </w:r>
    </w:p>
    <w:p w:rsidR="005367F8" w:rsidRDefault="005367F8">
      <w:pPr>
        <w:widowControl/>
        <w:rPr>
          <w:b/>
          <w:szCs w:val="22"/>
        </w:rPr>
      </w:pPr>
      <w:r>
        <w:rPr>
          <w:b/>
          <w:szCs w:val="22"/>
        </w:rPr>
        <w:br w:type="page"/>
      </w:r>
    </w:p>
    <w:p w:rsidR="00AA2862" w:rsidRPr="00BB229F" w:rsidRDefault="00AA2862" w:rsidP="00AA2862">
      <w:pPr>
        <w:autoSpaceDE w:val="0"/>
        <w:autoSpaceDN w:val="0"/>
        <w:adjustRightInd w:val="0"/>
        <w:jc w:val="center"/>
        <w:rPr>
          <w:b/>
        </w:rPr>
      </w:pPr>
      <w:r w:rsidRPr="00BB229F">
        <w:rPr>
          <w:b/>
          <w:szCs w:val="22"/>
        </w:rPr>
        <w:t xml:space="preserve">APPENDIX </w:t>
      </w:r>
      <w:r w:rsidR="00111B67" w:rsidRPr="00BB229F">
        <w:rPr>
          <w:b/>
          <w:szCs w:val="22"/>
        </w:rPr>
        <w:t>H</w:t>
      </w:r>
      <w:r w:rsidRPr="00BB229F">
        <w:rPr>
          <w:b/>
        </w:rPr>
        <w:t xml:space="preserve"> </w:t>
      </w:r>
    </w:p>
    <w:p w:rsidR="00AA2862" w:rsidRPr="00BB229F" w:rsidRDefault="00AA2862" w:rsidP="00AA2862">
      <w:pPr>
        <w:autoSpaceDE w:val="0"/>
        <w:autoSpaceDN w:val="0"/>
        <w:adjustRightInd w:val="0"/>
        <w:jc w:val="center"/>
        <w:rPr>
          <w:b/>
        </w:rPr>
      </w:pPr>
    </w:p>
    <w:p w:rsidR="00AA2862" w:rsidRPr="00BB229F" w:rsidRDefault="00AA2862" w:rsidP="00AA2862">
      <w:pPr>
        <w:jc w:val="center"/>
        <w:rPr>
          <w:b/>
        </w:rPr>
      </w:pPr>
      <w:r w:rsidRPr="00BB229F">
        <w:rPr>
          <w:b/>
        </w:rPr>
        <w:t>FY 2016 Schedule of Regulatory Fees</w:t>
      </w:r>
    </w:p>
    <w:p w:rsidR="00AA2862" w:rsidRPr="00BB229F" w:rsidRDefault="00AA2862" w:rsidP="00AA2862">
      <w:pPr>
        <w:jc w:val="center"/>
        <w:rPr>
          <w:b/>
        </w:rPr>
      </w:pPr>
    </w:p>
    <w:p w:rsidR="00AA2862" w:rsidRPr="00BB229F" w:rsidRDefault="00AA2862" w:rsidP="00AA2862">
      <w:pPr>
        <w:tabs>
          <w:tab w:val="center" w:pos="5040"/>
        </w:tabs>
        <w:suppressAutoHyphens/>
        <w:outlineLvl w:val="0"/>
        <w:rPr>
          <w:szCs w:val="22"/>
        </w:rPr>
      </w:pPr>
      <w:bookmarkStart w:id="304" w:name="_Toc491865072"/>
      <w:bookmarkStart w:id="305" w:name="_Toc491865487"/>
      <w:r w:rsidRPr="00BB229F">
        <w:rPr>
          <w:szCs w:val="22"/>
        </w:rPr>
        <w:t>Regulatory fees for the categories shaded in gray are collected by the Commission in advance to cover the term of the license and are submitted at the time the application is filed.</w:t>
      </w:r>
      <w:bookmarkEnd w:id="304"/>
      <w:bookmarkEnd w:id="305"/>
    </w:p>
    <w:p w:rsidR="00AA2862" w:rsidRPr="00BB229F" w:rsidRDefault="00AA2862" w:rsidP="00AA2862">
      <w:pPr>
        <w:suppressAutoHyphens/>
        <w:ind w:left="1440" w:hanging="1440"/>
        <w:rPr>
          <w:sz w:val="20"/>
        </w:rPr>
      </w:pPr>
    </w:p>
    <w:tbl>
      <w:tblPr>
        <w:tblW w:w="8550" w:type="dxa"/>
        <w:tblInd w:w="210" w:type="dxa"/>
        <w:tblLayout w:type="fixed"/>
        <w:tblCellMar>
          <w:left w:w="120" w:type="dxa"/>
          <w:right w:w="120" w:type="dxa"/>
        </w:tblCellMar>
        <w:tblLook w:val="0000" w:firstRow="0" w:lastRow="0" w:firstColumn="0" w:lastColumn="0" w:noHBand="0" w:noVBand="0"/>
      </w:tblPr>
      <w:tblGrid>
        <w:gridCol w:w="6840"/>
        <w:gridCol w:w="1710"/>
      </w:tblGrid>
      <w:tr w:rsidR="00BB229F" w:rsidRPr="00BB229F" w:rsidTr="00F30430">
        <w:trPr>
          <w:tblHeader/>
        </w:trPr>
        <w:tc>
          <w:tcPr>
            <w:tcW w:w="6840" w:type="dxa"/>
            <w:tcBorders>
              <w:top w:val="double" w:sz="6" w:space="0" w:color="auto"/>
              <w:left w:val="double" w:sz="6" w:space="0" w:color="auto"/>
              <w:bottom w:val="single" w:sz="8" w:space="0" w:color="auto"/>
            </w:tcBorders>
          </w:tcPr>
          <w:p w:rsidR="00AA2862" w:rsidRPr="00BB229F" w:rsidRDefault="00AA2862" w:rsidP="00F3043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jc w:val="center"/>
              <w:rPr>
                <w:sz w:val="20"/>
              </w:rPr>
            </w:pPr>
            <w:r w:rsidRPr="00BB229F">
              <w:rPr>
                <w:sz w:val="20"/>
              </w:rPr>
              <w:fldChar w:fldCharType="begin"/>
            </w:r>
            <w:r w:rsidRPr="00BB229F">
              <w:rPr>
                <w:sz w:val="20"/>
              </w:rPr>
              <w:instrText xml:space="preserve">PRIVATE </w:instrText>
            </w:r>
            <w:r w:rsidRPr="00BB229F">
              <w:rPr>
                <w:sz w:val="20"/>
              </w:rPr>
              <w:fldChar w:fldCharType="end"/>
            </w:r>
          </w:p>
          <w:p w:rsidR="00AA2862" w:rsidRPr="00BB229F" w:rsidRDefault="00AA2862" w:rsidP="00F30430">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 w:val="20"/>
              </w:rPr>
            </w:pPr>
            <w:r w:rsidRPr="00BB229F">
              <w:rPr>
                <w:b/>
                <w:sz w:val="20"/>
              </w:rPr>
              <w:t>Fee Category</w:t>
            </w:r>
          </w:p>
          <w:p w:rsidR="00AA2862" w:rsidRPr="00BB229F" w:rsidRDefault="00AA2862" w:rsidP="00F3043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54"/>
              <w:rPr>
                <w:b/>
                <w:sz w:val="20"/>
              </w:rPr>
            </w:pPr>
          </w:p>
        </w:tc>
        <w:tc>
          <w:tcPr>
            <w:tcW w:w="1710" w:type="dxa"/>
            <w:tcBorders>
              <w:top w:val="double" w:sz="6" w:space="0" w:color="auto"/>
              <w:left w:val="single" w:sz="6" w:space="0" w:color="auto"/>
              <w:bottom w:val="single" w:sz="8" w:space="0" w:color="auto"/>
              <w:right w:val="double" w:sz="6" w:space="0" w:color="auto"/>
            </w:tcBorders>
          </w:tcPr>
          <w:p w:rsidR="00AA2862" w:rsidRPr="00BB229F" w:rsidRDefault="00AA2862" w:rsidP="00F3043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jc w:val="center"/>
              <w:rPr>
                <w:b/>
                <w:sz w:val="20"/>
              </w:rPr>
            </w:pPr>
            <w:r w:rsidRPr="00BB229F">
              <w:rPr>
                <w:b/>
                <w:sz w:val="20"/>
              </w:rPr>
              <w:t>Annual Regulatory Fee</w:t>
            </w:r>
          </w:p>
          <w:p w:rsidR="00AA2862" w:rsidRPr="00BB229F" w:rsidRDefault="00AA2862" w:rsidP="00F30430">
            <w:pPr>
              <w:tabs>
                <w:tab w:val="center" w:pos="850"/>
              </w:tabs>
              <w:suppressAutoHyphens/>
              <w:spacing w:after="54"/>
              <w:jc w:val="center"/>
              <w:rPr>
                <w:b/>
                <w:sz w:val="20"/>
              </w:rPr>
            </w:pPr>
            <w:r w:rsidRPr="00BB229F">
              <w:rPr>
                <w:b/>
                <w:sz w:val="20"/>
              </w:rPr>
              <w:t>(U.S. $s)</w:t>
            </w:r>
          </w:p>
        </w:tc>
      </w:tr>
      <w:tr w:rsidR="00BB229F" w:rsidRPr="00BB229F" w:rsidTr="00F30430">
        <w:tc>
          <w:tcPr>
            <w:tcW w:w="6840" w:type="dxa"/>
            <w:tcBorders>
              <w:top w:val="single" w:sz="8" w:space="0" w:color="auto"/>
              <w:left w:val="double" w:sz="12" w:space="0" w:color="auto"/>
              <w:bottom w:val="single" w:sz="8" w:space="0" w:color="auto"/>
              <w:right w:val="single" w:sz="8" w:space="0" w:color="auto"/>
            </w:tcBorders>
            <w:shd w:val="clear" w:color="auto" w:fill="C0C0C0"/>
          </w:tcPr>
          <w:p w:rsidR="00AA2862" w:rsidRPr="00BB229F" w:rsidRDefault="00AA2862" w:rsidP="00F3043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ind w:left="4680" w:hanging="4680"/>
              <w:rPr>
                <w:sz w:val="20"/>
              </w:rPr>
            </w:pPr>
            <w:r w:rsidRPr="00BB229F">
              <w:rPr>
                <w:sz w:val="20"/>
              </w:rPr>
              <w:t>PLMRS (per license) (Exclusive Use) (47 CFR part 90)</w:t>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AA2862" w:rsidRPr="00BB229F" w:rsidRDefault="00AA2862" w:rsidP="00F30430">
            <w:pPr>
              <w:tabs>
                <w:tab w:val="left" w:pos="-1440"/>
                <w:tab w:val="left" w:pos="-720"/>
                <w:tab w:val="left" w:pos="0"/>
                <w:tab w:val="left" w:pos="720"/>
                <w:tab w:val="left" w:pos="1440"/>
                <w:tab w:val="left" w:pos="2160"/>
                <w:tab w:val="left" w:pos="2880"/>
                <w:tab w:val="right" w:pos="3461"/>
                <w:tab w:val="left" w:pos="3600"/>
              </w:tabs>
              <w:suppressAutoHyphens/>
              <w:spacing w:before="90" w:after="54"/>
              <w:jc w:val="center"/>
              <w:rPr>
                <w:sz w:val="20"/>
              </w:rPr>
            </w:pPr>
            <w:r w:rsidRPr="00BB229F">
              <w:rPr>
                <w:sz w:val="20"/>
              </w:rPr>
              <w:t>25</w:t>
            </w:r>
          </w:p>
        </w:tc>
      </w:tr>
      <w:tr w:rsidR="00BB229F" w:rsidRPr="00BB229F" w:rsidTr="00F30430">
        <w:tc>
          <w:tcPr>
            <w:tcW w:w="6840" w:type="dxa"/>
            <w:tcBorders>
              <w:top w:val="single" w:sz="8" w:space="0" w:color="auto"/>
              <w:left w:val="double" w:sz="12" w:space="0" w:color="auto"/>
              <w:bottom w:val="single" w:sz="8" w:space="0" w:color="auto"/>
              <w:right w:val="single" w:sz="8" w:space="0" w:color="auto"/>
            </w:tcBorders>
            <w:shd w:val="clear" w:color="auto" w:fill="C0C0C0"/>
          </w:tcPr>
          <w:p w:rsidR="00AA2862" w:rsidRPr="00BB229F" w:rsidRDefault="00AA2862" w:rsidP="00F30430">
            <w:pPr>
              <w:tabs>
                <w:tab w:val="left" w:pos="-1440"/>
                <w:tab w:val="left" w:pos="-720"/>
                <w:tab w:val="left" w:pos="0"/>
                <w:tab w:val="left" w:pos="720"/>
                <w:tab w:val="left" w:pos="1440"/>
                <w:tab w:val="left" w:pos="2160"/>
                <w:tab w:val="left" w:pos="2880"/>
                <w:tab w:val="right" w:pos="3461"/>
                <w:tab w:val="left" w:pos="3600"/>
              </w:tabs>
              <w:suppressAutoHyphens/>
              <w:spacing w:before="90" w:after="54"/>
              <w:ind w:left="4320" w:hanging="4320"/>
              <w:rPr>
                <w:sz w:val="20"/>
              </w:rPr>
            </w:pPr>
            <w:r w:rsidRPr="00BB229F">
              <w:rPr>
                <w:sz w:val="20"/>
              </w:rPr>
              <w:t>Microwave (per license) (47 CFR part 101)</w:t>
            </w:r>
            <w:r w:rsidRPr="00BB229F">
              <w:rPr>
                <w:sz w:val="20"/>
              </w:rPr>
              <w:tab/>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AA2862" w:rsidRPr="00BB229F" w:rsidRDefault="00AA2862" w:rsidP="00F30430">
            <w:pPr>
              <w:tabs>
                <w:tab w:val="left" w:pos="-1440"/>
                <w:tab w:val="left" w:pos="-720"/>
                <w:tab w:val="left" w:pos="0"/>
                <w:tab w:val="left" w:pos="720"/>
                <w:tab w:val="left" w:pos="1440"/>
                <w:tab w:val="left" w:pos="2160"/>
                <w:tab w:val="left" w:pos="2880"/>
                <w:tab w:val="right" w:pos="3461"/>
                <w:tab w:val="left" w:pos="3600"/>
              </w:tabs>
              <w:suppressAutoHyphens/>
              <w:spacing w:before="90" w:after="54"/>
              <w:jc w:val="center"/>
              <w:rPr>
                <w:sz w:val="20"/>
              </w:rPr>
            </w:pPr>
            <w:r w:rsidRPr="00BB229F">
              <w:rPr>
                <w:sz w:val="20"/>
              </w:rPr>
              <w:t>25</w:t>
            </w:r>
          </w:p>
        </w:tc>
      </w:tr>
      <w:tr w:rsidR="00BB229F" w:rsidRPr="00BB229F" w:rsidTr="00F30430">
        <w:tc>
          <w:tcPr>
            <w:tcW w:w="6840" w:type="dxa"/>
            <w:tcBorders>
              <w:top w:val="single" w:sz="8" w:space="0" w:color="auto"/>
              <w:left w:val="double" w:sz="12" w:space="0" w:color="auto"/>
              <w:bottom w:val="single" w:sz="8" w:space="0" w:color="auto"/>
              <w:right w:val="single" w:sz="8" w:space="0" w:color="auto"/>
            </w:tcBorders>
            <w:shd w:val="clear" w:color="auto" w:fill="C0C0C0"/>
          </w:tcPr>
          <w:p w:rsidR="00AA2862" w:rsidRPr="00BB229F" w:rsidRDefault="00AA2862" w:rsidP="00F30430">
            <w:pPr>
              <w:tabs>
                <w:tab w:val="left" w:pos="-1440"/>
                <w:tab w:val="left" w:pos="-720"/>
              </w:tabs>
              <w:suppressAutoHyphens/>
              <w:spacing w:before="90" w:after="54"/>
              <w:rPr>
                <w:sz w:val="20"/>
              </w:rPr>
            </w:pPr>
            <w:r w:rsidRPr="00BB229F">
              <w:rPr>
                <w:sz w:val="20"/>
              </w:rPr>
              <w:t>Marine (Ship) (per station) (47 CFR part 80)</w:t>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AA2862" w:rsidRPr="00BB229F" w:rsidRDefault="00AA2862" w:rsidP="00F30430">
            <w:pPr>
              <w:tabs>
                <w:tab w:val="left" w:pos="-1440"/>
                <w:tab w:val="left" w:pos="-720"/>
              </w:tabs>
              <w:suppressAutoHyphens/>
              <w:spacing w:before="90" w:after="54"/>
              <w:jc w:val="center"/>
              <w:rPr>
                <w:sz w:val="20"/>
              </w:rPr>
            </w:pPr>
            <w:r w:rsidRPr="00BB229F">
              <w:rPr>
                <w:sz w:val="20"/>
              </w:rPr>
              <w:t>15</w:t>
            </w:r>
          </w:p>
        </w:tc>
      </w:tr>
      <w:tr w:rsidR="00BB229F" w:rsidRPr="00BB229F" w:rsidTr="00F30430">
        <w:tc>
          <w:tcPr>
            <w:tcW w:w="6840" w:type="dxa"/>
            <w:tcBorders>
              <w:top w:val="single" w:sz="8" w:space="0" w:color="auto"/>
              <w:left w:val="double" w:sz="12" w:space="0" w:color="auto"/>
              <w:bottom w:val="single" w:sz="8" w:space="0" w:color="auto"/>
              <w:right w:val="single" w:sz="8" w:space="0" w:color="auto"/>
            </w:tcBorders>
            <w:shd w:val="clear" w:color="auto" w:fill="C0C0C0"/>
          </w:tcPr>
          <w:p w:rsidR="00AA2862" w:rsidRPr="00BB229F" w:rsidRDefault="00AA2862" w:rsidP="00F30430">
            <w:pPr>
              <w:tabs>
                <w:tab w:val="left" w:pos="-1440"/>
                <w:tab w:val="left" w:pos="-720"/>
              </w:tabs>
              <w:suppressAutoHyphens/>
              <w:spacing w:before="90" w:after="54"/>
              <w:rPr>
                <w:sz w:val="20"/>
              </w:rPr>
            </w:pPr>
            <w:r w:rsidRPr="00BB229F">
              <w:rPr>
                <w:sz w:val="20"/>
              </w:rPr>
              <w:t>Marine (Coast) (per license) (47 CFR part 80)</w:t>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AA2862" w:rsidRPr="00BB229F" w:rsidRDefault="00AA2862" w:rsidP="00F30430">
            <w:pPr>
              <w:tabs>
                <w:tab w:val="left" w:pos="-1440"/>
                <w:tab w:val="left" w:pos="-720"/>
              </w:tabs>
              <w:suppressAutoHyphens/>
              <w:spacing w:before="90" w:after="54"/>
              <w:jc w:val="center"/>
              <w:rPr>
                <w:sz w:val="20"/>
              </w:rPr>
            </w:pPr>
            <w:r w:rsidRPr="00BB229F">
              <w:rPr>
                <w:sz w:val="20"/>
              </w:rPr>
              <w:t>40</w:t>
            </w:r>
          </w:p>
        </w:tc>
      </w:tr>
      <w:tr w:rsidR="00BB229F" w:rsidRPr="00BB229F" w:rsidTr="00F30430">
        <w:tc>
          <w:tcPr>
            <w:tcW w:w="6840" w:type="dxa"/>
            <w:tcBorders>
              <w:top w:val="single" w:sz="8" w:space="0" w:color="auto"/>
              <w:left w:val="double" w:sz="12" w:space="0" w:color="auto"/>
              <w:bottom w:val="single" w:sz="8" w:space="0" w:color="auto"/>
              <w:right w:val="single" w:sz="8" w:space="0" w:color="auto"/>
            </w:tcBorders>
            <w:shd w:val="clear" w:color="auto" w:fill="C0C0C0"/>
          </w:tcPr>
          <w:p w:rsidR="00AA2862" w:rsidRPr="00BB229F" w:rsidRDefault="00AA2862" w:rsidP="00F30430">
            <w:pPr>
              <w:tabs>
                <w:tab w:val="left" w:pos="-1440"/>
                <w:tab w:val="left" w:pos="-720"/>
              </w:tabs>
              <w:suppressAutoHyphens/>
              <w:spacing w:before="90" w:after="54"/>
              <w:rPr>
                <w:sz w:val="20"/>
              </w:rPr>
            </w:pPr>
            <w:r w:rsidRPr="00BB229F">
              <w:rPr>
                <w:sz w:val="20"/>
              </w:rPr>
              <w:t>Rural Radio (47 CFR part 22) (previously listed under the Land Mobile category)</w:t>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AA2862" w:rsidRPr="00BB229F" w:rsidRDefault="00AA2862" w:rsidP="00F30430">
            <w:pPr>
              <w:tabs>
                <w:tab w:val="left" w:pos="-1440"/>
                <w:tab w:val="left" w:pos="-720"/>
              </w:tabs>
              <w:suppressAutoHyphens/>
              <w:spacing w:before="90" w:after="54"/>
              <w:jc w:val="center"/>
              <w:rPr>
                <w:sz w:val="20"/>
              </w:rPr>
            </w:pPr>
            <w:r w:rsidRPr="00BB229F">
              <w:rPr>
                <w:sz w:val="20"/>
              </w:rPr>
              <w:t>10</w:t>
            </w:r>
          </w:p>
        </w:tc>
      </w:tr>
      <w:tr w:rsidR="00BB229F" w:rsidRPr="00BB229F" w:rsidTr="00F30430">
        <w:tc>
          <w:tcPr>
            <w:tcW w:w="6840" w:type="dxa"/>
            <w:tcBorders>
              <w:top w:val="single" w:sz="8" w:space="0" w:color="auto"/>
              <w:left w:val="double" w:sz="12" w:space="0" w:color="auto"/>
              <w:bottom w:val="single" w:sz="8" w:space="0" w:color="auto"/>
              <w:right w:val="single" w:sz="8" w:space="0" w:color="auto"/>
            </w:tcBorders>
            <w:shd w:val="clear" w:color="auto" w:fill="C0C0C0"/>
          </w:tcPr>
          <w:p w:rsidR="00AA2862" w:rsidRPr="00BB229F" w:rsidRDefault="00AA2862" w:rsidP="00F30430">
            <w:pPr>
              <w:tabs>
                <w:tab w:val="left" w:pos="-1440"/>
                <w:tab w:val="left" w:pos="-720"/>
              </w:tabs>
              <w:suppressAutoHyphens/>
              <w:spacing w:before="90" w:after="54"/>
              <w:rPr>
                <w:sz w:val="20"/>
              </w:rPr>
            </w:pPr>
            <w:r w:rsidRPr="00BB229F">
              <w:rPr>
                <w:sz w:val="20"/>
              </w:rPr>
              <w:t>PLMRS (Shared Use) (per license) (47 CFR part 90)</w:t>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AA2862" w:rsidRPr="00BB229F" w:rsidRDefault="00AA2862" w:rsidP="00F30430">
            <w:pPr>
              <w:tabs>
                <w:tab w:val="left" w:pos="-1440"/>
                <w:tab w:val="left" w:pos="-720"/>
              </w:tabs>
              <w:suppressAutoHyphens/>
              <w:spacing w:before="90" w:after="54"/>
              <w:jc w:val="center"/>
              <w:rPr>
                <w:sz w:val="20"/>
              </w:rPr>
            </w:pPr>
            <w:r w:rsidRPr="00BB229F">
              <w:rPr>
                <w:sz w:val="20"/>
              </w:rPr>
              <w:t>10</w:t>
            </w:r>
          </w:p>
        </w:tc>
      </w:tr>
      <w:tr w:rsidR="00BB229F" w:rsidRPr="00BB229F" w:rsidTr="00F30430">
        <w:tc>
          <w:tcPr>
            <w:tcW w:w="6840" w:type="dxa"/>
            <w:tcBorders>
              <w:top w:val="single" w:sz="8" w:space="0" w:color="auto"/>
              <w:left w:val="double" w:sz="12" w:space="0" w:color="auto"/>
              <w:bottom w:val="single" w:sz="8" w:space="0" w:color="auto"/>
              <w:right w:val="single" w:sz="8" w:space="0" w:color="auto"/>
            </w:tcBorders>
            <w:shd w:val="clear" w:color="auto" w:fill="C0C0C0"/>
          </w:tcPr>
          <w:p w:rsidR="00AA2862" w:rsidRPr="00BB229F" w:rsidRDefault="00AA2862" w:rsidP="00F30430">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 w:val="20"/>
              </w:rPr>
            </w:pPr>
            <w:r w:rsidRPr="00BB229F">
              <w:rPr>
                <w:sz w:val="20"/>
              </w:rPr>
              <w:t>Aviation (Aircraft) (per station) (47 CFR part 87)</w:t>
            </w:r>
            <w:r w:rsidRPr="00BB229F">
              <w:rPr>
                <w:sz w:val="20"/>
              </w:rPr>
              <w:tab/>
            </w:r>
            <w:r w:rsidRPr="00BB229F">
              <w:rPr>
                <w:sz w:val="20"/>
              </w:rPr>
              <w:tab/>
            </w:r>
            <w:r w:rsidRPr="00BB229F">
              <w:rPr>
                <w:sz w:val="20"/>
              </w:rPr>
              <w:tab/>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AA2862" w:rsidRPr="00BB229F" w:rsidRDefault="00AA2862" w:rsidP="00F30430">
            <w:pPr>
              <w:tabs>
                <w:tab w:val="left" w:pos="-1440"/>
                <w:tab w:val="left" w:pos="-720"/>
              </w:tabs>
              <w:suppressAutoHyphens/>
              <w:spacing w:before="90" w:after="54"/>
              <w:jc w:val="center"/>
              <w:rPr>
                <w:sz w:val="20"/>
              </w:rPr>
            </w:pPr>
            <w:r w:rsidRPr="00BB229F">
              <w:rPr>
                <w:sz w:val="20"/>
              </w:rPr>
              <w:t>10</w:t>
            </w:r>
          </w:p>
        </w:tc>
      </w:tr>
      <w:tr w:rsidR="00BB229F" w:rsidRPr="00BB229F" w:rsidTr="00F30430">
        <w:tc>
          <w:tcPr>
            <w:tcW w:w="6840" w:type="dxa"/>
            <w:tcBorders>
              <w:top w:val="single" w:sz="8" w:space="0" w:color="auto"/>
              <w:left w:val="double" w:sz="12" w:space="0" w:color="auto"/>
              <w:bottom w:val="single" w:sz="8" w:space="0" w:color="auto"/>
              <w:right w:val="single" w:sz="8" w:space="0" w:color="auto"/>
            </w:tcBorders>
            <w:shd w:val="clear" w:color="auto" w:fill="C0C0C0"/>
          </w:tcPr>
          <w:p w:rsidR="00AA2862" w:rsidRPr="00BB229F" w:rsidRDefault="00AA2862" w:rsidP="00F30430">
            <w:pPr>
              <w:tabs>
                <w:tab w:val="left" w:pos="-1440"/>
                <w:tab w:val="left" w:pos="-720"/>
                <w:tab w:val="left" w:pos="0"/>
                <w:tab w:val="left" w:pos="720"/>
                <w:tab w:val="left" w:pos="1440"/>
                <w:tab w:val="left" w:pos="2160"/>
                <w:tab w:val="left" w:pos="2880"/>
                <w:tab w:val="left" w:pos="3600"/>
              </w:tabs>
              <w:suppressAutoHyphens/>
              <w:spacing w:before="90" w:after="54"/>
              <w:ind w:left="4320" w:hanging="4320"/>
              <w:rPr>
                <w:sz w:val="20"/>
              </w:rPr>
            </w:pPr>
            <w:r w:rsidRPr="00BB229F">
              <w:rPr>
                <w:sz w:val="20"/>
              </w:rPr>
              <w:t>Aviation (Ground) (per license) (47 CFR part 87)</w:t>
            </w:r>
            <w:r w:rsidRPr="00BB229F">
              <w:rPr>
                <w:sz w:val="20"/>
              </w:rPr>
              <w:tab/>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AA2862" w:rsidRPr="00BB229F" w:rsidRDefault="00AA2862" w:rsidP="00F30430">
            <w:pPr>
              <w:tabs>
                <w:tab w:val="left" w:pos="-1440"/>
                <w:tab w:val="left" w:pos="-720"/>
              </w:tabs>
              <w:suppressAutoHyphens/>
              <w:spacing w:before="90" w:after="54"/>
              <w:jc w:val="center"/>
              <w:rPr>
                <w:sz w:val="20"/>
              </w:rPr>
            </w:pPr>
            <w:r w:rsidRPr="00BB229F">
              <w:rPr>
                <w:sz w:val="20"/>
              </w:rPr>
              <w:t>20</w:t>
            </w:r>
          </w:p>
        </w:tc>
      </w:tr>
      <w:tr w:rsidR="00BB229F" w:rsidRPr="00BB229F" w:rsidTr="00F30430">
        <w:tc>
          <w:tcPr>
            <w:tcW w:w="6840" w:type="dxa"/>
            <w:tcBorders>
              <w:top w:val="single" w:sz="8" w:space="0" w:color="auto"/>
              <w:left w:val="double" w:sz="6" w:space="0" w:color="auto"/>
            </w:tcBorders>
          </w:tcPr>
          <w:p w:rsidR="00AA2862" w:rsidRPr="00BB229F" w:rsidRDefault="00AA2862" w:rsidP="00F30430">
            <w:pPr>
              <w:tabs>
                <w:tab w:val="left" w:pos="-1440"/>
                <w:tab w:val="left" w:pos="-720"/>
              </w:tabs>
              <w:suppressAutoHyphens/>
              <w:spacing w:before="90" w:after="54"/>
              <w:rPr>
                <w:sz w:val="20"/>
              </w:rPr>
            </w:pPr>
            <w:r w:rsidRPr="00BB229F">
              <w:rPr>
                <w:sz w:val="20"/>
              </w:rPr>
              <w:t>CMRS Mobile/Cellular Services (per unit) (47 CFR parts 20, 22, 24, 27, 80 and 90)</w:t>
            </w:r>
          </w:p>
        </w:tc>
        <w:tc>
          <w:tcPr>
            <w:tcW w:w="1710" w:type="dxa"/>
            <w:tcBorders>
              <w:top w:val="single" w:sz="8" w:space="0" w:color="auto"/>
              <w:left w:val="single" w:sz="6" w:space="0" w:color="auto"/>
              <w:right w:val="double" w:sz="6" w:space="0" w:color="auto"/>
            </w:tcBorders>
          </w:tcPr>
          <w:p w:rsidR="00AA2862" w:rsidRPr="00BB229F" w:rsidRDefault="00AA2862" w:rsidP="00F30430">
            <w:pPr>
              <w:tabs>
                <w:tab w:val="left" w:pos="-1440"/>
                <w:tab w:val="left" w:pos="-720"/>
              </w:tabs>
              <w:suppressAutoHyphens/>
              <w:spacing w:before="90" w:after="54"/>
              <w:jc w:val="center"/>
              <w:rPr>
                <w:sz w:val="20"/>
              </w:rPr>
            </w:pPr>
            <w:r w:rsidRPr="00BB229F">
              <w:rPr>
                <w:sz w:val="20"/>
              </w:rPr>
              <w:t>.20</w:t>
            </w:r>
          </w:p>
        </w:tc>
      </w:tr>
      <w:tr w:rsidR="00BB229F" w:rsidRPr="00BB229F" w:rsidTr="00F30430">
        <w:tc>
          <w:tcPr>
            <w:tcW w:w="6840" w:type="dxa"/>
            <w:tcBorders>
              <w:top w:val="single" w:sz="6" w:space="0" w:color="auto"/>
              <w:left w:val="double" w:sz="6" w:space="0" w:color="auto"/>
            </w:tcBorders>
          </w:tcPr>
          <w:p w:rsidR="00AA2862" w:rsidRPr="00BB229F" w:rsidRDefault="00AA2862" w:rsidP="00F30430">
            <w:pPr>
              <w:tabs>
                <w:tab w:val="left" w:pos="-1440"/>
                <w:tab w:val="left" w:pos="-720"/>
              </w:tabs>
              <w:suppressAutoHyphens/>
              <w:spacing w:before="90" w:after="54"/>
              <w:rPr>
                <w:sz w:val="20"/>
              </w:rPr>
            </w:pPr>
            <w:r w:rsidRPr="00BB229F">
              <w:rPr>
                <w:sz w:val="20"/>
              </w:rPr>
              <w:t>CMRS Messaging Services (per unit) (47 CFR parts 20, 22, 24 and 90)</w:t>
            </w:r>
          </w:p>
        </w:tc>
        <w:tc>
          <w:tcPr>
            <w:tcW w:w="1710" w:type="dxa"/>
            <w:tcBorders>
              <w:top w:val="single" w:sz="6" w:space="0" w:color="auto"/>
              <w:left w:val="single" w:sz="6" w:space="0" w:color="auto"/>
              <w:right w:val="double" w:sz="6" w:space="0" w:color="auto"/>
            </w:tcBorders>
          </w:tcPr>
          <w:p w:rsidR="00AA2862" w:rsidRPr="00BB229F" w:rsidRDefault="00AA2862" w:rsidP="00F30430">
            <w:pPr>
              <w:tabs>
                <w:tab w:val="left" w:pos="-1440"/>
                <w:tab w:val="left" w:pos="-720"/>
              </w:tabs>
              <w:suppressAutoHyphens/>
              <w:spacing w:before="90" w:after="54"/>
              <w:jc w:val="center"/>
              <w:rPr>
                <w:sz w:val="20"/>
              </w:rPr>
            </w:pPr>
            <w:r w:rsidRPr="00BB229F">
              <w:rPr>
                <w:sz w:val="20"/>
              </w:rPr>
              <w:t>.08</w:t>
            </w:r>
          </w:p>
        </w:tc>
      </w:tr>
      <w:tr w:rsidR="00BB229F" w:rsidRPr="00BB229F" w:rsidTr="00F30430">
        <w:tc>
          <w:tcPr>
            <w:tcW w:w="6840" w:type="dxa"/>
            <w:tcBorders>
              <w:top w:val="single" w:sz="6" w:space="0" w:color="auto"/>
              <w:left w:val="double" w:sz="6" w:space="0" w:color="auto"/>
            </w:tcBorders>
          </w:tcPr>
          <w:p w:rsidR="00AA2862" w:rsidRPr="00BB229F" w:rsidRDefault="00AA2862" w:rsidP="00F30430">
            <w:pPr>
              <w:tabs>
                <w:tab w:val="left" w:pos="-1440"/>
                <w:tab w:val="left" w:pos="-720"/>
              </w:tabs>
              <w:suppressAutoHyphens/>
              <w:spacing w:before="90" w:after="54"/>
              <w:rPr>
                <w:sz w:val="20"/>
              </w:rPr>
            </w:pPr>
            <w:r w:rsidRPr="00BB229F">
              <w:rPr>
                <w:sz w:val="20"/>
              </w:rPr>
              <w:t>Broadband Radio Service (formerly MMDS/ MDS) (per license) (47 CFR part 27)</w:t>
            </w:r>
          </w:p>
          <w:p w:rsidR="00AA2862" w:rsidRPr="00BB229F" w:rsidRDefault="00AA2862" w:rsidP="00F30430">
            <w:pPr>
              <w:tabs>
                <w:tab w:val="left" w:pos="-1440"/>
                <w:tab w:val="left" w:pos="-720"/>
              </w:tabs>
              <w:suppressAutoHyphens/>
              <w:spacing w:before="90" w:after="54"/>
              <w:rPr>
                <w:sz w:val="20"/>
              </w:rPr>
            </w:pPr>
            <w:r w:rsidRPr="00BB229F">
              <w:rPr>
                <w:sz w:val="20"/>
              </w:rPr>
              <w:t>Local Multipoint Distribution Service (per call sign) (47 CFR, part 101)</w:t>
            </w:r>
          </w:p>
          <w:p w:rsidR="00AA2862" w:rsidRPr="00BB229F" w:rsidRDefault="00AA2862" w:rsidP="00F30430">
            <w:pPr>
              <w:tabs>
                <w:tab w:val="left" w:pos="-1440"/>
                <w:tab w:val="left" w:pos="-720"/>
              </w:tabs>
              <w:suppressAutoHyphens/>
              <w:spacing w:before="90" w:after="54"/>
              <w:rPr>
                <w:sz w:val="20"/>
              </w:rPr>
            </w:pPr>
          </w:p>
        </w:tc>
        <w:tc>
          <w:tcPr>
            <w:tcW w:w="1710" w:type="dxa"/>
            <w:tcBorders>
              <w:top w:val="single" w:sz="6" w:space="0" w:color="auto"/>
              <w:left w:val="single" w:sz="6" w:space="0" w:color="auto"/>
              <w:right w:val="double" w:sz="6" w:space="0" w:color="auto"/>
            </w:tcBorders>
          </w:tcPr>
          <w:p w:rsidR="00AA2862" w:rsidRPr="00BB229F" w:rsidRDefault="00AA2862" w:rsidP="00F30430">
            <w:pPr>
              <w:tabs>
                <w:tab w:val="left" w:pos="-1440"/>
                <w:tab w:val="left" w:pos="-720"/>
              </w:tabs>
              <w:suppressAutoHyphens/>
              <w:spacing w:before="90" w:after="54"/>
              <w:jc w:val="center"/>
              <w:rPr>
                <w:sz w:val="20"/>
              </w:rPr>
            </w:pPr>
            <w:r w:rsidRPr="00BB229F">
              <w:rPr>
                <w:sz w:val="20"/>
              </w:rPr>
              <w:t>725</w:t>
            </w:r>
          </w:p>
          <w:p w:rsidR="00AA2862" w:rsidRPr="00BB229F" w:rsidRDefault="00AA2862" w:rsidP="00F30430">
            <w:pPr>
              <w:tabs>
                <w:tab w:val="left" w:pos="-1440"/>
                <w:tab w:val="left" w:pos="-720"/>
              </w:tabs>
              <w:suppressAutoHyphens/>
              <w:spacing w:before="90" w:after="54"/>
              <w:jc w:val="center"/>
              <w:rPr>
                <w:sz w:val="20"/>
              </w:rPr>
            </w:pPr>
          </w:p>
          <w:p w:rsidR="00AA2862" w:rsidRPr="00BB229F" w:rsidRDefault="00AA2862" w:rsidP="00F30430">
            <w:pPr>
              <w:tabs>
                <w:tab w:val="left" w:pos="-1440"/>
                <w:tab w:val="left" w:pos="-720"/>
              </w:tabs>
              <w:suppressAutoHyphens/>
              <w:spacing w:before="90" w:after="54"/>
              <w:jc w:val="center"/>
              <w:rPr>
                <w:sz w:val="20"/>
              </w:rPr>
            </w:pPr>
            <w:r w:rsidRPr="00BB229F">
              <w:rPr>
                <w:sz w:val="20"/>
              </w:rPr>
              <w:t>725</w:t>
            </w:r>
          </w:p>
        </w:tc>
      </w:tr>
      <w:tr w:rsidR="00BB229F" w:rsidRPr="00BB229F" w:rsidTr="00F30430">
        <w:tc>
          <w:tcPr>
            <w:tcW w:w="6840" w:type="dxa"/>
            <w:tcBorders>
              <w:top w:val="single" w:sz="6" w:space="0" w:color="auto"/>
              <w:left w:val="double" w:sz="6" w:space="0" w:color="auto"/>
            </w:tcBorders>
          </w:tcPr>
          <w:p w:rsidR="00AA2862" w:rsidRPr="00BB229F" w:rsidRDefault="00AA2862" w:rsidP="00F30430">
            <w:pPr>
              <w:tabs>
                <w:tab w:val="left" w:pos="-1440"/>
                <w:tab w:val="left" w:pos="-720"/>
              </w:tabs>
              <w:suppressAutoHyphens/>
              <w:spacing w:before="90" w:after="54"/>
              <w:rPr>
                <w:sz w:val="20"/>
              </w:rPr>
            </w:pPr>
            <w:r w:rsidRPr="00BB229F">
              <w:rPr>
                <w:sz w:val="20"/>
              </w:rPr>
              <w:t>AM Radio Construction Permits</w:t>
            </w:r>
          </w:p>
        </w:tc>
        <w:tc>
          <w:tcPr>
            <w:tcW w:w="1710" w:type="dxa"/>
            <w:tcBorders>
              <w:top w:val="single" w:sz="6" w:space="0" w:color="auto"/>
              <w:left w:val="single" w:sz="6" w:space="0" w:color="auto"/>
              <w:right w:val="double" w:sz="6" w:space="0" w:color="auto"/>
            </w:tcBorders>
          </w:tcPr>
          <w:p w:rsidR="00AA2862" w:rsidRPr="00BB229F" w:rsidRDefault="00AA2862" w:rsidP="00F30430">
            <w:pPr>
              <w:tabs>
                <w:tab w:val="left" w:pos="-1440"/>
                <w:tab w:val="left" w:pos="-720"/>
              </w:tabs>
              <w:suppressAutoHyphens/>
              <w:spacing w:before="90" w:after="54"/>
              <w:jc w:val="center"/>
              <w:rPr>
                <w:sz w:val="20"/>
              </w:rPr>
            </w:pPr>
            <w:r w:rsidRPr="00BB229F">
              <w:rPr>
                <w:sz w:val="20"/>
              </w:rPr>
              <w:t>620</w:t>
            </w:r>
          </w:p>
        </w:tc>
      </w:tr>
      <w:tr w:rsidR="00BB229F" w:rsidRPr="00BB229F" w:rsidTr="00F30430">
        <w:tc>
          <w:tcPr>
            <w:tcW w:w="6840" w:type="dxa"/>
            <w:tcBorders>
              <w:top w:val="single" w:sz="6" w:space="0" w:color="auto"/>
              <w:left w:val="double" w:sz="6" w:space="0" w:color="auto"/>
            </w:tcBorders>
          </w:tcPr>
          <w:p w:rsidR="00AA2862" w:rsidRPr="00BB229F" w:rsidRDefault="00AA2862" w:rsidP="00F30430">
            <w:pPr>
              <w:tabs>
                <w:tab w:val="left" w:pos="-1440"/>
                <w:tab w:val="left" w:pos="-720"/>
              </w:tabs>
              <w:suppressAutoHyphens/>
              <w:spacing w:before="90" w:after="54"/>
              <w:rPr>
                <w:sz w:val="20"/>
              </w:rPr>
            </w:pPr>
            <w:r w:rsidRPr="00BB229F">
              <w:rPr>
                <w:sz w:val="20"/>
              </w:rPr>
              <w:t>FM Radio Construction Permits</w:t>
            </w:r>
          </w:p>
        </w:tc>
        <w:tc>
          <w:tcPr>
            <w:tcW w:w="1710" w:type="dxa"/>
            <w:tcBorders>
              <w:top w:val="single" w:sz="6" w:space="0" w:color="auto"/>
              <w:left w:val="single" w:sz="6" w:space="0" w:color="auto"/>
              <w:right w:val="double" w:sz="6" w:space="0" w:color="auto"/>
            </w:tcBorders>
          </w:tcPr>
          <w:p w:rsidR="00AA2862" w:rsidRPr="00BB229F" w:rsidRDefault="00AA2862" w:rsidP="00F30430">
            <w:pPr>
              <w:tabs>
                <w:tab w:val="left" w:pos="-1440"/>
                <w:tab w:val="left" w:pos="-720"/>
              </w:tabs>
              <w:suppressAutoHyphens/>
              <w:spacing w:before="90" w:after="54"/>
              <w:jc w:val="center"/>
              <w:rPr>
                <w:sz w:val="20"/>
              </w:rPr>
            </w:pPr>
            <w:r w:rsidRPr="00BB229F">
              <w:rPr>
                <w:sz w:val="20"/>
              </w:rPr>
              <w:t>1,075</w:t>
            </w:r>
          </w:p>
        </w:tc>
      </w:tr>
      <w:tr w:rsidR="00BB229F" w:rsidRPr="00BB229F" w:rsidTr="00F30430">
        <w:tc>
          <w:tcPr>
            <w:tcW w:w="6840" w:type="dxa"/>
            <w:tcBorders>
              <w:top w:val="single" w:sz="6" w:space="0" w:color="auto"/>
              <w:left w:val="double" w:sz="6" w:space="0" w:color="auto"/>
            </w:tcBorders>
          </w:tcPr>
          <w:p w:rsidR="00AA2862" w:rsidRPr="00BB229F" w:rsidRDefault="00AA2862" w:rsidP="00F30430">
            <w:pPr>
              <w:tabs>
                <w:tab w:val="left" w:pos="-1440"/>
                <w:tab w:val="left" w:pos="-720"/>
              </w:tabs>
              <w:suppressAutoHyphens/>
              <w:spacing w:before="90" w:after="54"/>
              <w:rPr>
                <w:sz w:val="20"/>
              </w:rPr>
            </w:pPr>
            <w:r w:rsidRPr="00BB229F">
              <w:rPr>
                <w:sz w:val="20"/>
              </w:rPr>
              <w:t>Digital TV (47 CFR part 73) VHF and UHF Commercial</w:t>
            </w:r>
          </w:p>
        </w:tc>
        <w:tc>
          <w:tcPr>
            <w:tcW w:w="1710" w:type="dxa"/>
            <w:tcBorders>
              <w:top w:val="single" w:sz="6" w:space="0" w:color="auto"/>
              <w:left w:val="single" w:sz="6" w:space="0" w:color="auto"/>
              <w:right w:val="double" w:sz="6" w:space="0" w:color="auto"/>
            </w:tcBorders>
          </w:tcPr>
          <w:p w:rsidR="00AA2862" w:rsidRPr="00BB229F" w:rsidRDefault="00AA2862" w:rsidP="00F30430">
            <w:pPr>
              <w:tabs>
                <w:tab w:val="left" w:pos="-1440"/>
                <w:tab w:val="left" w:pos="-720"/>
              </w:tabs>
              <w:suppressAutoHyphens/>
              <w:spacing w:before="90" w:after="54"/>
              <w:jc w:val="right"/>
              <w:rPr>
                <w:sz w:val="20"/>
              </w:rPr>
            </w:pPr>
          </w:p>
        </w:tc>
      </w:tr>
      <w:tr w:rsidR="00BB229F" w:rsidRPr="00BB229F" w:rsidTr="00F30430">
        <w:tc>
          <w:tcPr>
            <w:tcW w:w="6840" w:type="dxa"/>
            <w:tcBorders>
              <w:top w:val="single" w:sz="6" w:space="0" w:color="auto"/>
              <w:left w:val="double" w:sz="6" w:space="0" w:color="auto"/>
            </w:tcBorders>
          </w:tcPr>
          <w:p w:rsidR="00AA2862" w:rsidRPr="00BB229F" w:rsidRDefault="00AA2862" w:rsidP="00F30430">
            <w:pPr>
              <w:tabs>
                <w:tab w:val="left" w:pos="-1440"/>
                <w:tab w:val="left" w:pos="-720"/>
                <w:tab w:val="left" w:pos="0"/>
                <w:tab w:val="left" w:pos="720"/>
                <w:tab w:val="left" w:pos="1440"/>
              </w:tabs>
              <w:suppressAutoHyphens/>
              <w:spacing w:before="90" w:after="54"/>
              <w:ind w:left="2160" w:hanging="2160"/>
              <w:rPr>
                <w:sz w:val="20"/>
              </w:rPr>
            </w:pPr>
            <w:r w:rsidRPr="00BB229F">
              <w:rPr>
                <w:sz w:val="20"/>
              </w:rPr>
              <w:tab/>
              <w:t>Markets 1-10</w:t>
            </w:r>
            <w:r w:rsidRPr="00BB229F">
              <w:rPr>
                <w:sz w:val="20"/>
              </w:rPr>
              <w:tab/>
            </w:r>
          </w:p>
        </w:tc>
        <w:tc>
          <w:tcPr>
            <w:tcW w:w="1710" w:type="dxa"/>
            <w:tcBorders>
              <w:top w:val="single" w:sz="6" w:space="0" w:color="auto"/>
              <w:left w:val="single" w:sz="6" w:space="0" w:color="auto"/>
              <w:right w:val="double" w:sz="6" w:space="0" w:color="auto"/>
            </w:tcBorders>
          </w:tcPr>
          <w:p w:rsidR="00AA2862" w:rsidRPr="00BB229F" w:rsidRDefault="00AA2862" w:rsidP="00F30430">
            <w:pPr>
              <w:tabs>
                <w:tab w:val="left" w:pos="-1440"/>
                <w:tab w:val="left" w:pos="-720"/>
              </w:tabs>
              <w:suppressAutoHyphens/>
              <w:spacing w:before="90" w:after="54"/>
              <w:jc w:val="center"/>
              <w:rPr>
                <w:sz w:val="20"/>
              </w:rPr>
            </w:pPr>
            <w:r w:rsidRPr="00BB229F">
              <w:rPr>
                <w:sz w:val="20"/>
              </w:rPr>
              <w:t>60,675</w:t>
            </w:r>
          </w:p>
        </w:tc>
      </w:tr>
      <w:tr w:rsidR="00BB229F" w:rsidRPr="00BB229F" w:rsidTr="00F30430">
        <w:tc>
          <w:tcPr>
            <w:tcW w:w="6840" w:type="dxa"/>
            <w:tcBorders>
              <w:top w:val="single" w:sz="6" w:space="0" w:color="auto"/>
              <w:left w:val="double" w:sz="6" w:space="0" w:color="auto"/>
            </w:tcBorders>
          </w:tcPr>
          <w:p w:rsidR="00AA2862" w:rsidRPr="00BB229F" w:rsidRDefault="00AA2862" w:rsidP="00F30430">
            <w:pPr>
              <w:tabs>
                <w:tab w:val="left" w:pos="-1440"/>
                <w:tab w:val="left" w:pos="-720"/>
                <w:tab w:val="left" w:pos="0"/>
              </w:tabs>
              <w:suppressAutoHyphens/>
              <w:spacing w:before="90" w:after="54"/>
              <w:ind w:left="720" w:hanging="720"/>
              <w:rPr>
                <w:sz w:val="20"/>
              </w:rPr>
            </w:pPr>
            <w:r w:rsidRPr="00BB229F">
              <w:rPr>
                <w:sz w:val="20"/>
              </w:rPr>
              <w:tab/>
              <w:t>Markets 11-25</w:t>
            </w:r>
          </w:p>
        </w:tc>
        <w:tc>
          <w:tcPr>
            <w:tcW w:w="1710" w:type="dxa"/>
            <w:tcBorders>
              <w:top w:val="single" w:sz="6" w:space="0" w:color="auto"/>
              <w:left w:val="single" w:sz="6" w:space="0" w:color="auto"/>
              <w:right w:val="double" w:sz="6" w:space="0" w:color="auto"/>
            </w:tcBorders>
          </w:tcPr>
          <w:p w:rsidR="00AA2862" w:rsidRPr="00BB229F" w:rsidRDefault="00AA2862" w:rsidP="00F30430">
            <w:pPr>
              <w:tabs>
                <w:tab w:val="left" w:pos="-1440"/>
                <w:tab w:val="left" w:pos="-720"/>
              </w:tabs>
              <w:suppressAutoHyphens/>
              <w:spacing w:before="90" w:after="54"/>
              <w:jc w:val="center"/>
              <w:rPr>
                <w:sz w:val="20"/>
              </w:rPr>
            </w:pPr>
            <w:r w:rsidRPr="00BB229F">
              <w:rPr>
                <w:sz w:val="20"/>
              </w:rPr>
              <w:t>45,675</w:t>
            </w:r>
          </w:p>
        </w:tc>
      </w:tr>
      <w:tr w:rsidR="00BB229F" w:rsidRPr="00BB229F" w:rsidTr="00F30430">
        <w:tc>
          <w:tcPr>
            <w:tcW w:w="6840" w:type="dxa"/>
            <w:tcBorders>
              <w:top w:val="single" w:sz="2" w:space="0" w:color="auto"/>
              <w:left w:val="double" w:sz="2" w:space="0" w:color="auto"/>
              <w:right w:val="single" w:sz="2" w:space="0" w:color="auto"/>
            </w:tcBorders>
          </w:tcPr>
          <w:p w:rsidR="00AA2862" w:rsidRPr="00BB229F" w:rsidRDefault="00AA2862" w:rsidP="00F30430">
            <w:pPr>
              <w:tabs>
                <w:tab w:val="left" w:pos="-1440"/>
                <w:tab w:val="left" w:pos="-720"/>
                <w:tab w:val="left" w:pos="0"/>
              </w:tabs>
              <w:suppressAutoHyphens/>
              <w:spacing w:before="90" w:after="54"/>
              <w:ind w:left="720" w:hanging="720"/>
              <w:rPr>
                <w:sz w:val="20"/>
              </w:rPr>
            </w:pPr>
            <w:r w:rsidRPr="00BB229F">
              <w:rPr>
                <w:sz w:val="20"/>
              </w:rPr>
              <w:tab/>
              <w:t>Markets 26-50</w:t>
            </w:r>
          </w:p>
        </w:tc>
        <w:tc>
          <w:tcPr>
            <w:tcW w:w="1710" w:type="dxa"/>
            <w:tcBorders>
              <w:top w:val="single" w:sz="2" w:space="0" w:color="auto"/>
              <w:left w:val="single" w:sz="2" w:space="0" w:color="auto"/>
              <w:right w:val="double" w:sz="2" w:space="0" w:color="auto"/>
            </w:tcBorders>
          </w:tcPr>
          <w:p w:rsidR="00AA2862" w:rsidRPr="00BB229F" w:rsidRDefault="00AA2862" w:rsidP="00F30430">
            <w:pPr>
              <w:tabs>
                <w:tab w:val="left" w:pos="-1440"/>
                <w:tab w:val="left" w:pos="-720"/>
              </w:tabs>
              <w:suppressAutoHyphens/>
              <w:spacing w:before="90" w:after="54"/>
              <w:jc w:val="center"/>
              <w:rPr>
                <w:sz w:val="20"/>
              </w:rPr>
            </w:pPr>
            <w:r w:rsidRPr="00BB229F">
              <w:rPr>
                <w:sz w:val="20"/>
              </w:rPr>
              <w:t>30,525</w:t>
            </w:r>
          </w:p>
        </w:tc>
      </w:tr>
      <w:tr w:rsidR="00BB229F" w:rsidRPr="00BB229F" w:rsidTr="00F30430">
        <w:tc>
          <w:tcPr>
            <w:tcW w:w="6840" w:type="dxa"/>
            <w:tcBorders>
              <w:top w:val="single" w:sz="6" w:space="0" w:color="auto"/>
              <w:left w:val="double" w:sz="6" w:space="0" w:color="auto"/>
            </w:tcBorders>
          </w:tcPr>
          <w:p w:rsidR="00AA2862" w:rsidRPr="00BB229F" w:rsidRDefault="00AA2862" w:rsidP="00F30430">
            <w:pPr>
              <w:tabs>
                <w:tab w:val="left" w:pos="-1440"/>
                <w:tab w:val="left" w:pos="-720"/>
                <w:tab w:val="left" w:pos="0"/>
                <w:tab w:val="left" w:pos="720"/>
                <w:tab w:val="left" w:pos="1440"/>
                <w:tab w:val="left" w:pos="2160"/>
              </w:tabs>
              <w:suppressAutoHyphens/>
              <w:spacing w:before="90" w:after="54"/>
              <w:ind w:left="2880" w:hanging="2880"/>
              <w:rPr>
                <w:sz w:val="20"/>
              </w:rPr>
            </w:pPr>
            <w:r w:rsidRPr="00BB229F">
              <w:rPr>
                <w:sz w:val="20"/>
              </w:rPr>
              <w:tab/>
              <w:t>Markets 51-100</w:t>
            </w:r>
            <w:r w:rsidRPr="00BB229F">
              <w:rPr>
                <w:sz w:val="20"/>
              </w:rPr>
              <w:tab/>
            </w:r>
          </w:p>
        </w:tc>
        <w:tc>
          <w:tcPr>
            <w:tcW w:w="1710" w:type="dxa"/>
            <w:tcBorders>
              <w:top w:val="single" w:sz="6" w:space="0" w:color="auto"/>
              <w:left w:val="single" w:sz="6" w:space="0" w:color="auto"/>
              <w:right w:val="double" w:sz="6" w:space="0" w:color="auto"/>
            </w:tcBorders>
          </w:tcPr>
          <w:p w:rsidR="00AA2862" w:rsidRPr="00BB229F" w:rsidRDefault="00AA2862" w:rsidP="00F30430">
            <w:pPr>
              <w:tabs>
                <w:tab w:val="left" w:pos="-1440"/>
                <w:tab w:val="left" w:pos="-720"/>
              </w:tabs>
              <w:suppressAutoHyphens/>
              <w:spacing w:before="90" w:after="54"/>
              <w:jc w:val="center"/>
              <w:rPr>
                <w:sz w:val="20"/>
              </w:rPr>
            </w:pPr>
            <w:r w:rsidRPr="00BB229F">
              <w:rPr>
                <w:sz w:val="20"/>
              </w:rPr>
              <w:t>15,200</w:t>
            </w:r>
          </w:p>
        </w:tc>
      </w:tr>
      <w:tr w:rsidR="00BB229F" w:rsidRPr="00BB229F" w:rsidTr="00F30430">
        <w:tc>
          <w:tcPr>
            <w:tcW w:w="6840" w:type="dxa"/>
            <w:tcBorders>
              <w:top w:val="single" w:sz="6" w:space="0" w:color="auto"/>
              <w:left w:val="double" w:sz="6" w:space="0" w:color="auto"/>
            </w:tcBorders>
          </w:tcPr>
          <w:p w:rsidR="00AA2862" w:rsidRPr="00BB229F" w:rsidRDefault="00AA2862" w:rsidP="00F30430">
            <w:pPr>
              <w:tabs>
                <w:tab w:val="left" w:pos="-1440"/>
                <w:tab w:val="left" w:pos="-720"/>
                <w:tab w:val="left" w:pos="0"/>
              </w:tabs>
              <w:suppressAutoHyphens/>
              <w:spacing w:before="90" w:after="54"/>
              <w:ind w:left="720" w:hanging="720"/>
              <w:rPr>
                <w:sz w:val="20"/>
              </w:rPr>
            </w:pPr>
            <w:r w:rsidRPr="00BB229F">
              <w:rPr>
                <w:sz w:val="20"/>
              </w:rPr>
              <w:tab/>
              <w:t>Remaining Markets</w:t>
            </w:r>
          </w:p>
        </w:tc>
        <w:tc>
          <w:tcPr>
            <w:tcW w:w="1710" w:type="dxa"/>
            <w:tcBorders>
              <w:top w:val="single" w:sz="6" w:space="0" w:color="auto"/>
              <w:left w:val="single" w:sz="6" w:space="0" w:color="auto"/>
              <w:right w:val="double" w:sz="6" w:space="0" w:color="auto"/>
            </w:tcBorders>
          </w:tcPr>
          <w:p w:rsidR="00AA2862" w:rsidRPr="00BB229F" w:rsidRDefault="00AA2862" w:rsidP="00F30430">
            <w:pPr>
              <w:tabs>
                <w:tab w:val="left" w:pos="-1440"/>
                <w:tab w:val="left" w:pos="-720"/>
              </w:tabs>
              <w:suppressAutoHyphens/>
              <w:spacing w:before="90" w:after="54"/>
              <w:jc w:val="center"/>
              <w:rPr>
                <w:sz w:val="20"/>
              </w:rPr>
            </w:pPr>
            <w:r w:rsidRPr="00BB229F">
              <w:rPr>
                <w:sz w:val="20"/>
              </w:rPr>
              <w:t>5,000</w:t>
            </w:r>
          </w:p>
        </w:tc>
      </w:tr>
      <w:tr w:rsidR="00BB229F" w:rsidRPr="00BB229F" w:rsidTr="00F30430">
        <w:tc>
          <w:tcPr>
            <w:tcW w:w="6840" w:type="dxa"/>
            <w:tcBorders>
              <w:top w:val="single" w:sz="6" w:space="0" w:color="auto"/>
              <w:left w:val="double" w:sz="6" w:space="0" w:color="auto"/>
            </w:tcBorders>
          </w:tcPr>
          <w:p w:rsidR="00AA2862" w:rsidRPr="00BB229F" w:rsidRDefault="00AA2862" w:rsidP="00F30430">
            <w:pPr>
              <w:tabs>
                <w:tab w:val="left" w:pos="-1440"/>
                <w:tab w:val="left" w:pos="-720"/>
                <w:tab w:val="left" w:pos="0"/>
              </w:tabs>
              <w:suppressAutoHyphens/>
              <w:spacing w:before="90" w:after="54"/>
              <w:ind w:left="720" w:hanging="720"/>
              <w:rPr>
                <w:sz w:val="20"/>
              </w:rPr>
            </w:pPr>
            <w:r w:rsidRPr="00BB229F">
              <w:rPr>
                <w:sz w:val="20"/>
              </w:rPr>
              <w:tab/>
              <w:t>Construction Permits</w:t>
            </w:r>
          </w:p>
        </w:tc>
        <w:tc>
          <w:tcPr>
            <w:tcW w:w="1710" w:type="dxa"/>
            <w:tcBorders>
              <w:top w:val="single" w:sz="6" w:space="0" w:color="auto"/>
              <w:left w:val="single" w:sz="6" w:space="0" w:color="auto"/>
              <w:right w:val="double" w:sz="6" w:space="0" w:color="auto"/>
            </w:tcBorders>
          </w:tcPr>
          <w:p w:rsidR="00AA2862" w:rsidRPr="00BB229F" w:rsidRDefault="00AA2862" w:rsidP="00F30430">
            <w:pPr>
              <w:tabs>
                <w:tab w:val="left" w:pos="-1440"/>
                <w:tab w:val="left" w:pos="-720"/>
              </w:tabs>
              <w:suppressAutoHyphens/>
              <w:spacing w:before="90" w:after="54"/>
              <w:jc w:val="center"/>
              <w:rPr>
                <w:sz w:val="20"/>
              </w:rPr>
            </w:pPr>
            <w:r w:rsidRPr="00BB229F">
              <w:rPr>
                <w:sz w:val="20"/>
              </w:rPr>
              <w:t>5,000</w:t>
            </w:r>
          </w:p>
        </w:tc>
      </w:tr>
      <w:tr w:rsidR="00BB229F" w:rsidRPr="00BB229F" w:rsidTr="00F30430">
        <w:tc>
          <w:tcPr>
            <w:tcW w:w="6840" w:type="dxa"/>
            <w:tcBorders>
              <w:top w:val="single" w:sz="6" w:space="0" w:color="auto"/>
              <w:left w:val="double" w:sz="6" w:space="0" w:color="auto"/>
            </w:tcBorders>
          </w:tcPr>
          <w:p w:rsidR="00AA2862" w:rsidRPr="00BB229F" w:rsidRDefault="00AA2862" w:rsidP="00F30430">
            <w:pPr>
              <w:tabs>
                <w:tab w:val="left" w:pos="-1440"/>
                <w:tab w:val="left" w:pos="-720"/>
              </w:tabs>
              <w:suppressAutoHyphens/>
              <w:spacing w:before="90" w:after="54"/>
              <w:rPr>
                <w:sz w:val="20"/>
              </w:rPr>
            </w:pPr>
            <w:r w:rsidRPr="00BB229F">
              <w:rPr>
                <w:sz w:val="20"/>
              </w:rPr>
              <w:t xml:space="preserve">Satellite Television Stations  (All Markets)   </w:t>
            </w:r>
          </w:p>
        </w:tc>
        <w:tc>
          <w:tcPr>
            <w:tcW w:w="1710" w:type="dxa"/>
            <w:tcBorders>
              <w:top w:val="single" w:sz="6" w:space="0" w:color="auto"/>
              <w:left w:val="single" w:sz="6" w:space="0" w:color="auto"/>
              <w:right w:val="double" w:sz="6" w:space="0" w:color="auto"/>
            </w:tcBorders>
          </w:tcPr>
          <w:p w:rsidR="00AA2862" w:rsidRPr="00BB229F" w:rsidRDefault="00AA2862" w:rsidP="00F30430">
            <w:pPr>
              <w:tabs>
                <w:tab w:val="left" w:pos="-1440"/>
                <w:tab w:val="left" w:pos="-720"/>
              </w:tabs>
              <w:suppressAutoHyphens/>
              <w:spacing w:before="90" w:after="54"/>
              <w:jc w:val="center"/>
              <w:rPr>
                <w:sz w:val="20"/>
              </w:rPr>
            </w:pPr>
            <w:r w:rsidRPr="00BB229F">
              <w:rPr>
                <w:sz w:val="20"/>
              </w:rPr>
              <w:t>1,750</w:t>
            </w:r>
          </w:p>
        </w:tc>
      </w:tr>
      <w:tr w:rsidR="00BB229F" w:rsidRPr="00BB229F" w:rsidTr="00F30430">
        <w:tc>
          <w:tcPr>
            <w:tcW w:w="6840" w:type="dxa"/>
            <w:tcBorders>
              <w:top w:val="single" w:sz="6" w:space="0" w:color="auto"/>
              <w:left w:val="double" w:sz="6" w:space="0" w:color="auto"/>
            </w:tcBorders>
          </w:tcPr>
          <w:p w:rsidR="00AA2862" w:rsidRPr="00BB229F" w:rsidRDefault="00AA2862" w:rsidP="00F30430">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 w:val="20"/>
              </w:rPr>
            </w:pPr>
            <w:r w:rsidRPr="00BB229F">
              <w:rPr>
                <w:sz w:val="20"/>
              </w:rPr>
              <w:t>Low Power TV, Class A TV, TV/FM Translators &amp; Boosters (47 CFR part 74)</w:t>
            </w:r>
          </w:p>
        </w:tc>
        <w:tc>
          <w:tcPr>
            <w:tcW w:w="1710" w:type="dxa"/>
            <w:tcBorders>
              <w:top w:val="single" w:sz="6" w:space="0" w:color="auto"/>
              <w:left w:val="single" w:sz="6" w:space="0" w:color="auto"/>
              <w:right w:val="double" w:sz="6" w:space="0" w:color="auto"/>
            </w:tcBorders>
          </w:tcPr>
          <w:p w:rsidR="00AA2862" w:rsidRPr="00BB229F" w:rsidRDefault="00AA2862" w:rsidP="00F30430">
            <w:pPr>
              <w:tabs>
                <w:tab w:val="left" w:pos="-1440"/>
                <w:tab w:val="left" w:pos="-720"/>
              </w:tabs>
              <w:suppressAutoHyphens/>
              <w:spacing w:before="90" w:after="54"/>
              <w:jc w:val="center"/>
              <w:rPr>
                <w:sz w:val="20"/>
              </w:rPr>
            </w:pPr>
            <w:r w:rsidRPr="00BB229F">
              <w:rPr>
                <w:sz w:val="20"/>
              </w:rPr>
              <w:t>455</w:t>
            </w:r>
          </w:p>
        </w:tc>
      </w:tr>
      <w:tr w:rsidR="00BB229F" w:rsidRPr="00BB229F" w:rsidTr="00F30430">
        <w:tc>
          <w:tcPr>
            <w:tcW w:w="6840" w:type="dxa"/>
            <w:tcBorders>
              <w:top w:val="single" w:sz="6" w:space="0" w:color="auto"/>
              <w:left w:val="double" w:sz="6" w:space="0" w:color="auto"/>
            </w:tcBorders>
          </w:tcPr>
          <w:p w:rsidR="00AA2862" w:rsidRPr="00BB229F" w:rsidRDefault="00AA2862" w:rsidP="00F30430">
            <w:pPr>
              <w:tabs>
                <w:tab w:val="left" w:pos="-1440"/>
                <w:tab w:val="left" w:pos="-720"/>
                <w:tab w:val="left" w:pos="0"/>
                <w:tab w:val="left" w:pos="720"/>
                <w:tab w:val="left" w:pos="1440"/>
                <w:tab w:val="left" w:pos="2160"/>
                <w:tab w:val="left" w:pos="2880"/>
                <w:tab w:val="left" w:pos="3600"/>
              </w:tabs>
              <w:suppressAutoHyphens/>
              <w:spacing w:before="90" w:after="54"/>
              <w:ind w:left="4320" w:hanging="4320"/>
              <w:rPr>
                <w:sz w:val="20"/>
              </w:rPr>
            </w:pPr>
            <w:r w:rsidRPr="00BB229F">
              <w:rPr>
                <w:sz w:val="20"/>
              </w:rPr>
              <w:t>CARS (47 CFR part 78)</w:t>
            </w:r>
            <w:r w:rsidRPr="00BB229F">
              <w:rPr>
                <w:sz w:val="20"/>
              </w:rPr>
              <w:tab/>
            </w:r>
          </w:p>
        </w:tc>
        <w:tc>
          <w:tcPr>
            <w:tcW w:w="1710" w:type="dxa"/>
            <w:tcBorders>
              <w:top w:val="single" w:sz="6" w:space="0" w:color="auto"/>
              <w:left w:val="single" w:sz="6" w:space="0" w:color="auto"/>
              <w:right w:val="double" w:sz="6" w:space="0" w:color="auto"/>
            </w:tcBorders>
          </w:tcPr>
          <w:p w:rsidR="00AA2862" w:rsidRPr="00BB229F" w:rsidRDefault="00AA2862" w:rsidP="00F30430">
            <w:pPr>
              <w:tabs>
                <w:tab w:val="left" w:pos="-1440"/>
                <w:tab w:val="left" w:pos="-720"/>
              </w:tabs>
              <w:suppressAutoHyphens/>
              <w:spacing w:before="90" w:after="54"/>
              <w:jc w:val="center"/>
              <w:rPr>
                <w:sz w:val="20"/>
              </w:rPr>
            </w:pPr>
            <w:r w:rsidRPr="00BB229F">
              <w:rPr>
                <w:sz w:val="20"/>
              </w:rPr>
              <w:t>775</w:t>
            </w:r>
          </w:p>
        </w:tc>
      </w:tr>
      <w:tr w:rsidR="00BB229F" w:rsidRPr="00BB229F" w:rsidTr="00F30430">
        <w:tc>
          <w:tcPr>
            <w:tcW w:w="6840" w:type="dxa"/>
            <w:tcBorders>
              <w:top w:val="single" w:sz="6" w:space="0" w:color="auto"/>
              <w:left w:val="double" w:sz="6" w:space="0" w:color="auto"/>
            </w:tcBorders>
          </w:tcPr>
          <w:p w:rsidR="00AA2862" w:rsidRPr="00BB229F" w:rsidRDefault="00AA2862" w:rsidP="00F30430">
            <w:pPr>
              <w:tabs>
                <w:tab w:val="left" w:pos="-1440"/>
                <w:tab w:val="left" w:pos="-720"/>
              </w:tabs>
              <w:suppressAutoHyphens/>
              <w:spacing w:before="90" w:after="54"/>
              <w:rPr>
                <w:sz w:val="20"/>
              </w:rPr>
            </w:pPr>
            <w:r w:rsidRPr="00BB229F">
              <w:rPr>
                <w:sz w:val="20"/>
              </w:rPr>
              <w:t>Cable Television Systems (per subscriber) (47 CFR part 76), Including IPTV</w:t>
            </w:r>
          </w:p>
        </w:tc>
        <w:tc>
          <w:tcPr>
            <w:tcW w:w="1710" w:type="dxa"/>
            <w:tcBorders>
              <w:top w:val="single" w:sz="6" w:space="0" w:color="auto"/>
              <w:left w:val="single" w:sz="6" w:space="0" w:color="auto"/>
              <w:right w:val="double" w:sz="6" w:space="0" w:color="auto"/>
            </w:tcBorders>
          </w:tcPr>
          <w:p w:rsidR="00AA2862" w:rsidRPr="00BB229F" w:rsidRDefault="00AA2862" w:rsidP="00F30430">
            <w:pPr>
              <w:tabs>
                <w:tab w:val="left" w:pos="-1440"/>
                <w:tab w:val="left" w:pos="-720"/>
              </w:tabs>
              <w:suppressAutoHyphens/>
              <w:spacing w:before="90" w:after="54"/>
              <w:jc w:val="center"/>
              <w:rPr>
                <w:sz w:val="20"/>
              </w:rPr>
            </w:pPr>
            <w:r w:rsidRPr="00BB229F">
              <w:rPr>
                <w:sz w:val="20"/>
              </w:rPr>
              <w:t>1.00</w:t>
            </w:r>
          </w:p>
        </w:tc>
      </w:tr>
      <w:tr w:rsidR="00BB229F" w:rsidRPr="00BB229F" w:rsidTr="00F30430">
        <w:tc>
          <w:tcPr>
            <w:tcW w:w="6840" w:type="dxa"/>
            <w:tcBorders>
              <w:top w:val="single" w:sz="6" w:space="0" w:color="auto"/>
              <w:left w:val="double" w:sz="6" w:space="0" w:color="auto"/>
            </w:tcBorders>
          </w:tcPr>
          <w:p w:rsidR="00AA2862" w:rsidRPr="00BB229F" w:rsidRDefault="00AA2862" w:rsidP="00F30430">
            <w:pPr>
              <w:tabs>
                <w:tab w:val="left" w:pos="-1440"/>
                <w:tab w:val="left" w:pos="-720"/>
              </w:tabs>
              <w:suppressAutoHyphens/>
              <w:spacing w:before="90" w:after="54"/>
              <w:rPr>
                <w:sz w:val="20"/>
              </w:rPr>
            </w:pPr>
            <w:r w:rsidRPr="00BB229F">
              <w:rPr>
                <w:sz w:val="20"/>
              </w:rPr>
              <w:t>Direct Broadcast Service (DBS) (per subscriber) (as defined by section 602(13) of the Act)</w:t>
            </w:r>
          </w:p>
        </w:tc>
        <w:tc>
          <w:tcPr>
            <w:tcW w:w="1710" w:type="dxa"/>
            <w:tcBorders>
              <w:top w:val="single" w:sz="6" w:space="0" w:color="auto"/>
              <w:left w:val="single" w:sz="6" w:space="0" w:color="auto"/>
              <w:right w:val="double" w:sz="6" w:space="0" w:color="auto"/>
            </w:tcBorders>
          </w:tcPr>
          <w:p w:rsidR="00AA2862" w:rsidRPr="00BB229F" w:rsidRDefault="00AA2862" w:rsidP="00F30430">
            <w:pPr>
              <w:tabs>
                <w:tab w:val="left" w:pos="-1440"/>
                <w:tab w:val="left" w:pos="-720"/>
              </w:tabs>
              <w:suppressAutoHyphens/>
              <w:spacing w:before="90" w:after="54"/>
              <w:jc w:val="center"/>
              <w:rPr>
                <w:sz w:val="20"/>
              </w:rPr>
            </w:pPr>
            <w:r w:rsidRPr="00BB229F">
              <w:rPr>
                <w:sz w:val="20"/>
              </w:rPr>
              <w:t>.27</w:t>
            </w:r>
          </w:p>
        </w:tc>
      </w:tr>
      <w:tr w:rsidR="00BB229F" w:rsidRPr="00BB229F" w:rsidTr="00F30430">
        <w:tc>
          <w:tcPr>
            <w:tcW w:w="6840" w:type="dxa"/>
            <w:tcBorders>
              <w:top w:val="single" w:sz="6" w:space="0" w:color="auto"/>
              <w:left w:val="double" w:sz="6" w:space="0" w:color="auto"/>
            </w:tcBorders>
          </w:tcPr>
          <w:p w:rsidR="00AA2862" w:rsidRPr="00BB229F" w:rsidRDefault="00AA2862" w:rsidP="00F30430">
            <w:pPr>
              <w:tabs>
                <w:tab w:val="left" w:pos="-1440"/>
                <w:tab w:val="left" w:pos="-720"/>
              </w:tabs>
              <w:suppressAutoHyphens/>
              <w:spacing w:before="90" w:after="54"/>
              <w:rPr>
                <w:sz w:val="20"/>
              </w:rPr>
            </w:pPr>
            <w:r w:rsidRPr="00BB229F">
              <w:rPr>
                <w:sz w:val="20"/>
              </w:rPr>
              <w:t>Interstate Telecommunication Service Providers (per revenue dollar)</w:t>
            </w:r>
          </w:p>
        </w:tc>
        <w:tc>
          <w:tcPr>
            <w:tcW w:w="1710" w:type="dxa"/>
            <w:tcBorders>
              <w:top w:val="single" w:sz="6" w:space="0" w:color="auto"/>
              <w:left w:val="single" w:sz="6" w:space="0" w:color="auto"/>
              <w:right w:val="double" w:sz="6" w:space="0" w:color="auto"/>
            </w:tcBorders>
          </w:tcPr>
          <w:p w:rsidR="00AA2862" w:rsidRPr="00BB229F" w:rsidRDefault="00AA2862" w:rsidP="00F30430">
            <w:pPr>
              <w:tabs>
                <w:tab w:val="left" w:pos="-1440"/>
                <w:tab w:val="left" w:pos="-720"/>
              </w:tabs>
              <w:suppressAutoHyphens/>
              <w:spacing w:before="90" w:after="54"/>
              <w:jc w:val="center"/>
              <w:rPr>
                <w:sz w:val="20"/>
              </w:rPr>
            </w:pPr>
            <w:r w:rsidRPr="00BB229F">
              <w:rPr>
                <w:sz w:val="20"/>
              </w:rPr>
              <w:t>.00371</w:t>
            </w:r>
          </w:p>
        </w:tc>
      </w:tr>
      <w:tr w:rsidR="00BB229F" w:rsidRPr="00BB229F" w:rsidTr="00F30430">
        <w:tc>
          <w:tcPr>
            <w:tcW w:w="6840" w:type="dxa"/>
            <w:tcBorders>
              <w:top w:val="single" w:sz="6" w:space="0" w:color="auto"/>
              <w:left w:val="double" w:sz="6" w:space="0" w:color="auto"/>
            </w:tcBorders>
          </w:tcPr>
          <w:p w:rsidR="00AA2862" w:rsidRPr="00BB229F" w:rsidRDefault="00AA2862" w:rsidP="00F30430">
            <w:pPr>
              <w:tabs>
                <w:tab w:val="left" w:pos="-1440"/>
                <w:tab w:val="left" w:pos="-720"/>
              </w:tabs>
              <w:suppressAutoHyphens/>
              <w:spacing w:before="90" w:after="54"/>
              <w:rPr>
                <w:sz w:val="20"/>
              </w:rPr>
            </w:pPr>
            <w:r w:rsidRPr="00BB229F">
              <w:rPr>
                <w:sz w:val="20"/>
              </w:rPr>
              <w:t>Toll Free (per toll free subscriber) (47 CFR section 52.101 (f) of the rules)</w:t>
            </w:r>
          </w:p>
        </w:tc>
        <w:tc>
          <w:tcPr>
            <w:tcW w:w="1710" w:type="dxa"/>
            <w:tcBorders>
              <w:top w:val="single" w:sz="6" w:space="0" w:color="auto"/>
              <w:left w:val="single" w:sz="6" w:space="0" w:color="auto"/>
              <w:right w:val="double" w:sz="6" w:space="0" w:color="auto"/>
            </w:tcBorders>
          </w:tcPr>
          <w:p w:rsidR="00AA2862" w:rsidRPr="00BB229F" w:rsidRDefault="00AA2862" w:rsidP="00F30430">
            <w:pPr>
              <w:tabs>
                <w:tab w:val="left" w:pos="-1440"/>
                <w:tab w:val="left" w:pos="-720"/>
              </w:tabs>
              <w:suppressAutoHyphens/>
              <w:spacing w:before="90" w:after="54"/>
              <w:jc w:val="center"/>
              <w:rPr>
                <w:sz w:val="20"/>
              </w:rPr>
            </w:pPr>
            <w:r w:rsidRPr="00BB229F">
              <w:rPr>
                <w:sz w:val="20"/>
              </w:rPr>
              <w:t>.13</w:t>
            </w:r>
          </w:p>
        </w:tc>
      </w:tr>
      <w:tr w:rsidR="00BB229F" w:rsidRPr="00BB229F" w:rsidTr="00F30430">
        <w:tc>
          <w:tcPr>
            <w:tcW w:w="6840" w:type="dxa"/>
            <w:tcBorders>
              <w:top w:val="single" w:sz="6" w:space="0" w:color="auto"/>
              <w:left w:val="double" w:sz="6" w:space="0" w:color="auto"/>
            </w:tcBorders>
          </w:tcPr>
          <w:p w:rsidR="00AA2862" w:rsidRPr="00BB229F" w:rsidRDefault="00AA2862" w:rsidP="00F30430">
            <w:pPr>
              <w:tabs>
                <w:tab w:val="left" w:pos="-1440"/>
                <w:tab w:val="left" w:pos="-720"/>
              </w:tabs>
              <w:suppressAutoHyphens/>
              <w:spacing w:before="90" w:after="54"/>
              <w:rPr>
                <w:sz w:val="20"/>
              </w:rPr>
            </w:pPr>
            <w:r w:rsidRPr="00BB229F">
              <w:rPr>
                <w:sz w:val="20"/>
              </w:rPr>
              <w:t>Earth Stations (47 CFR part 25)</w:t>
            </w:r>
          </w:p>
        </w:tc>
        <w:tc>
          <w:tcPr>
            <w:tcW w:w="1710" w:type="dxa"/>
            <w:tcBorders>
              <w:top w:val="single" w:sz="6" w:space="0" w:color="auto"/>
              <w:left w:val="single" w:sz="6" w:space="0" w:color="auto"/>
              <w:right w:val="double" w:sz="6" w:space="0" w:color="auto"/>
            </w:tcBorders>
          </w:tcPr>
          <w:p w:rsidR="00AA2862" w:rsidRPr="00BB229F" w:rsidRDefault="00AA2862" w:rsidP="00F30430">
            <w:pPr>
              <w:tabs>
                <w:tab w:val="left" w:pos="-1440"/>
                <w:tab w:val="left" w:pos="-720"/>
              </w:tabs>
              <w:suppressAutoHyphens/>
              <w:spacing w:before="90" w:after="54"/>
              <w:jc w:val="center"/>
              <w:rPr>
                <w:sz w:val="20"/>
              </w:rPr>
            </w:pPr>
            <w:r w:rsidRPr="00BB229F">
              <w:rPr>
                <w:sz w:val="20"/>
              </w:rPr>
              <w:t>345</w:t>
            </w:r>
          </w:p>
        </w:tc>
      </w:tr>
      <w:tr w:rsidR="00BB229F" w:rsidRPr="00BB229F" w:rsidTr="00F30430">
        <w:tc>
          <w:tcPr>
            <w:tcW w:w="6840" w:type="dxa"/>
            <w:tcBorders>
              <w:top w:val="single" w:sz="6" w:space="0" w:color="auto"/>
              <w:left w:val="double" w:sz="6" w:space="0" w:color="auto"/>
            </w:tcBorders>
          </w:tcPr>
          <w:p w:rsidR="00AA2862" w:rsidRPr="00BB229F" w:rsidRDefault="00AA2862" w:rsidP="00F30430">
            <w:pPr>
              <w:tabs>
                <w:tab w:val="left" w:pos="-1440"/>
                <w:tab w:val="left" w:pos="-720"/>
              </w:tabs>
              <w:suppressAutoHyphens/>
              <w:spacing w:before="90" w:after="54"/>
              <w:rPr>
                <w:sz w:val="20"/>
              </w:rPr>
            </w:pPr>
            <w:r w:rsidRPr="00BB229F">
              <w:rPr>
                <w:sz w:val="20"/>
              </w:rPr>
              <w:t>Space Stations (per operational station in geostationary orbit) (47 CFR part 25) also includes DBS Service (per operational station) (47 CFR part 100)</w:t>
            </w:r>
          </w:p>
        </w:tc>
        <w:tc>
          <w:tcPr>
            <w:tcW w:w="1710" w:type="dxa"/>
            <w:tcBorders>
              <w:top w:val="single" w:sz="6" w:space="0" w:color="auto"/>
              <w:left w:val="single" w:sz="6" w:space="0" w:color="auto"/>
              <w:right w:val="double" w:sz="6" w:space="0" w:color="auto"/>
            </w:tcBorders>
          </w:tcPr>
          <w:p w:rsidR="00AA2862" w:rsidRPr="00BB229F" w:rsidRDefault="00AA2862" w:rsidP="00F30430">
            <w:pPr>
              <w:tabs>
                <w:tab w:val="left" w:pos="-1440"/>
                <w:tab w:val="left" w:pos="-720"/>
              </w:tabs>
              <w:suppressAutoHyphens/>
              <w:spacing w:before="90"/>
              <w:jc w:val="center"/>
              <w:rPr>
                <w:sz w:val="20"/>
              </w:rPr>
            </w:pPr>
          </w:p>
          <w:p w:rsidR="00AA2862" w:rsidRPr="00BB229F" w:rsidRDefault="00AA2862" w:rsidP="00F30430">
            <w:pPr>
              <w:tabs>
                <w:tab w:val="left" w:pos="-1440"/>
                <w:tab w:val="left" w:pos="-720"/>
              </w:tabs>
              <w:suppressAutoHyphens/>
              <w:spacing w:after="54"/>
              <w:jc w:val="center"/>
              <w:rPr>
                <w:sz w:val="20"/>
              </w:rPr>
            </w:pPr>
            <w:r w:rsidRPr="00BB229F">
              <w:rPr>
                <w:sz w:val="20"/>
              </w:rPr>
              <w:t>138,475</w:t>
            </w:r>
          </w:p>
        </w:tc>
      </w:tr>
      <w:tr w:rsidR="00BB229F" w:rsidRPr="00BB229F" w:rsidTr="00F30430">
        <w:tc>
          <w:tcPr>
            <w:tcW w:w="6840" w:type="dxa"/>
            <w:tcBorders>
              <w:top w:val="single" w:sz="6" w:space="0" w:color="auto"/>
              <w:left w:val="double" w:sz="6" w:space="0" w:color="auto"/>
            </w:tcBorders>
          </w:tcPr>
          <w:p w:rsidR="00AA2862" w:rsidRPr="00BB229F" w:rsidRDefault="00AA2862" w:rsidP="00F30430">
            <w:pPr>
              <w:tabs>
                <w:tab w:val="left" w:pos="-1440"/>
                <w:tab w:val="left" w:pos="-720"/>
              </w:tabs>
              <w:suppressAutoHyphens/>
              <w:spacing w:before="90" w:after="54"/>
              <w:rPr>
                <w:sz w:val="20"/>
              </w:rPr>
            </w:pPr>
            <w:r w:rsidRPr="00BB229F">
              <w:rPr>
                <w:sz w:val="20"/>
              </w:rPr>
              <w:t>Space Stations (per operational system in non-geostationary orbit) (47 CFR part 25)</w:t>
            </w:r>
          </w:p>
        </w:tc>
        <w:tc>
          <w:tcPr>
            <w:tcW w:w="1710" w:type="dxa"/>
            <w:tcBorders>
              <w:top w:val="single" w:sz="6" w:space="0" w:color="auto"/>
              <w:left w:val="single" w:sz="6" w:space="0" w:color="auto"/>
              <w:right w:val="double" w:sz="6" w:space="0" w:color="auto"/>
            </w:tcBorders>
          </w:tcPr>
          <w:p w:rsidR="00AA2862" w:rsidRPr="00BB229F" w:rsidRDefault="00AA2862" w:rsidP="00F30430">
            <w:pPr>
              <w:tabs>
                <w:tab w:val="left" w:pos="-1440"/>
                <w:tab w:val="left" w:pos="-720"/>
              </w:tabs>
              <w:suppressAutoHyphens/>
              <w:spacing w:before="90" w:after="54"/>
              <w:jc w:val="center"/>
              <w:rPr>
                <w:sz w:val="20"/>
              </w:rPr>
            </w:pPr>
            <w:r w:rsidRPr="00BB229F">
              <w:rPr>
                <w:sz w:val="20"/>
              </w:rPr>
              <w:t>151,950</w:t>
            </w:r>
          </w:p>
        </w:tc>
      </w:tr>
      <w:tr w:rsidR="00BB229F" w:rsidRPr="00BB229F" w:rsidTr="00F30430">
        <w:tc>
          <w:tcPr>
            <w:tcW w:w="6840" w:type="dxa"/>
            <w:tcBorders>
              <w:top w:val="single" w:sz="6" w:space="0" w:color="auto"/>
              <w:left w:val="double" w:sz="6" w:space="0" w:color="auto"/>
            </w:tcBorders>
          </w:tcPr>
          <w:p w:rsidR="00AA2862" w:rsidRPr="00BB229F" w:rsidRDefault="00AA2862" w:rsidP="00F30430">
            <w:pPr>
              <w:tabs>
                <w:tab w:val="left" w:pos="-1440"/>
                <w:tab w:val="left" w:pos="-720"/>
              </w:tabs>
              <w:suppressAutoHyphens/>
              <w:spacing w:before="90" w:after="54"/>
              <w:rPr>
                <w:sz w:val="20"/>
              </w:rPr>
            </w:pPr>
            <w:r w:rsidRPr="00BB229F">
              <w:rPr>
                <w:sz w:val="20"/>
              </w:rPr>
              <w:t>International Bearer Circuits -- Terrestrial/Satellites (per 64KB circuit)</w:t>
            </w:r>
            <w:r w:rsidRPr="00BB229F">
              <w:rPr>
                <w:sz w:val="20"/>
                <w:vertAlign w:val="superscript"/>
              </w:rPr>
              <w:t xml:space="preserve"> </w:t>
            </w:r>
            <w:r w:rsidRPr="00BB229F">
              <w:rPr>
                <w:sz w:val="20"/>
              </w:rPr>
              <w:t xml:space="preserve"> </w:t>
            </w:r>
          </w:p>
        </w:tc>
        <w:tc>
          <w:tcPr>
            <w:tcW w:w="1710" w:type="dxa"/>
            <w:tcBorders>
              <w:top w:val="single" w:sz="6" w:space="0" w:color="auto"/>
              <w:left w:val="single" w:sz="6" w:space="0" w:color="auto"/>
              <w:right w:val="double" w:sz="6" w:space="0" w:color="auto"/>
            </w:tcBorders>
          </w:tcPr>
          <w:p w:rsidR="00AA2862" w:rsidRPr="00BB229F" w:rsidRDefault="00AA2862" w:rsidP="00F30430">
            <w:pPr>
              <w:tabs>
                <w:tab w:val="left" w:pos="-1440"/>
                <w:tab w:val="left" w:pos="-720"/>
              </w:tabs>
              <w:suppressAutoHyphens/>
              <w:spacing w:before="90" w:after="54"/>
              <w:jc w:val="center"/>
              <w:rPr>
                <w:sz w:val="20"/>
              </w:rPr>
            </w:pPr>
            <w:r w:rsidRPr="00BB229F">
              <w:rPr>
                <w:sz w:val="20"/>
              </w:rPr>
              <w:t>.02</w:t>
            </w:r>
          </w:p>
        </w:tc>
      </w:tr>
      <w:tr w:rsidR="00BB229F" w:rsidRPr="00BB229F" w:rsidTr="00F30430">
        <w:tc>
          <w:tcPr>
            <w:tcW w:w="6840" w:type="dxa"/>
            <w:tcBorders>
              <w:top w:val="single" w:sz="6" w:space="0" w:color="auto"/>
              <w:left w:val="double" w:sz="6" w:space="0" w:color="auto"/>
            </w:tcBorders>
          </w:tcPr>
          <w:p w:rsidR="00AA2862" w:rsidRPr="00BB229F" w:rsidRDefault="00AA2862" w:rsidP="00F30430">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 w:val="20"/>
              </w:rPr>
            </w:pPr>
            <w:r w:rsidRPr="00BB229F">
              <w:rPr>
                <w:sz w:val="20"/>
              </w:rPr>
              <w:t xml:space="preserve">Submarine Cable Landing Licenses Fee (per cable system) </w:t>
            </w:r>
          </w:p>
        </w:tc>
        <w:tc>
          <w:tcPr>
            <w:tcW w:w="1710" w:type="dxa"/>
            <w:tcBorders>
              <w:top w:val="single" w:sz="6" w:space="0" w:color="auto"/>
              <w:left w:val="single" w:sz="6" w:space="0" w:color="auto"/>
              <w:right w:val="double" w:sz="6" w:space="0" w:color="auto"/>
            </w:tcBorders>
          </w:tcPr>
          <w:p w:rsidR="00AA2862" w:rsidRPr="00BB229F" w:rsidRDefault="00AA2862" w:rsidP="00F30430">
            <w:pPr>
              <w:tabs>
                <w:tab w:val="left" w:pos="-1440"/>
                <w:tab w:val="left" w:pos="-720"/>
              </w:tabs>
              <w:suppressAutoHyphens/>
              <w:spacing w:before="90" w:after="54"/>
              <w:jc w:val="center"/>
              <w:rPr>
                <w:sz w:val="20"/>
              </w:rPr>
            </w:pPr>
            <w:r w:rsidRPr="00BB229F">
              <w:rPr>
                <w:sz w:val="20"/>
              </w:rPr>
              <w:t>See Table Below</w:t>
            </w:r>
          </w:p>
        </w:tc>
      </w:tr>
      <w:tr w:rsidR="00AA2862" w:rsidRPr="00BB229F" w:rsidTr="00F30430">
        <w:trPr>
          <w:trHeight w:val="57"/>
        </w:trPr>
        <w:tc>
          <w:tcPr>
            <w:tcW w:w="6840" w:type="dxa"/>
            <w:tcBorders>
              <w:top w:val="single" w:sz="6" w:space="0" w:color="auto"/>
              <w:left w:val="double" w:sz="6" w:space="0" w:color="auto"/>
              <w:bottom w:val="double" w:sz="6" w:space="0" w:color="auto"/>
            </w:tcBorders>
          </w:tcPr>
          <w:p w:rsidR="00AA2862" w:rsidRPr="00BB229F" w:rsidRDefault="00AA2862" w:rsidP="00F30430">
            <w:pPr>
              <w:tabs>
                <w:tab w:val="left" w:pos="-1440"/>
                <w:tab w:val="left" w:pos="-720"/>
                <w:tab w:val="left" w:pos="0"/>
                <w:tab w:val="left" w:pos="720"/>
                <w:tab w:val="left" w:pos="1440"/>
                <w:tab w:val="left" w:pos="2160"/>
                <w:tab w:val="left" w:pos="2880"/>
                <w:tab w:val="left" w:pos="3600"/>
              </w:tabs>
              <w:suppressAutoHyphens/>
              <w:spacing w:before="90" w:after="54"/>
              <w:ind w:left="4320" w:hanging="4320"/>
              <w:rPr>
                <w:sz w:val="20"/>
              </w:rPr>
            </w:pPr>
            <w:r w:rsidRPr="00BB229F">
              <w:rPr>
                <w:sz w:val="20"/>
              </w:rPr>
              <w:tab/>
            </w:r>
          </w:p>
        </w:tc>
        <w:tc>
          <w:tcPr>
            <w:tcW w:w="1710" w:type="dxa"/>
            <w:tcBorders>
              <w:top w:val="single" w:sz="6" w:space="0" w:color="auto"/>
              <w:left w:val="single" w:sz="6" w:space="0" w:color="auto"/>
              <w:bottom w:val="double" w:sz="6" w:space="0" w:color="auto"/>
              <w:right w:val="double" w:sz="6" w:space="0" w:color="auto"/>
            </w:tcBorders>
          </w:tcPr>
          <w:p w:rsidR="00AA2862" w:rsidRPr="00BB229F" w:rsidRDefault="00AA2862" w:rsidP="00F30430">
            <w:pPr>
              <w:tabs>
                <w:tab w:val="center" w:pos="850"/>
              </w:tabs>
              <w:suppressAutoHyphens/>
              <w:spacing w:before="90" w:after="54"/>
              <w:jc w:val="center"/>
              <w:rPr>
                <w:sz w:val="20"/>
              </w:rPr>
            </w:pPr>
          </w:p>
        </w:tc>
      </w:tr>
    </w:tbl>
    <w:p w:rsidR="00AA2862" w:rsidRPr="00BB229F" w:rsidRDefault="00AA2862" w:rsidP="00AA286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20"/>
        <w:jc w:val="center"/>
        <w:outlineLvl w:val="0"/>
        <w:rPr>
          <w:b/>
          <w:sz w:val="20"/>
        </w:rPr>
      </w:pPr>
    </w:p>
    <w:p w:rsidR="00AA2862" w:rsidRPr="00BB229F" w:rsidRDefault="00AA2862" w:rsidP="00AA2862">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outlineLvl w:val="0"/>
        <w:rPr>
          <w:rFonts w:ascii="Times New Roman Bold" w:hAnsi="Times New Roman Bold"/>
          <w:b/>
          <w:szCs w:val="22"/>
        </w:rPr>
      </w:pPr>
      <w:bookmarkStart w:id="306" w:name="_Toc491865073"/>
      <w:bookmarkStart w:id="307" w:name="_Toc491865488"/>
      <w:r w:rsidRPr="00BB229F">
        <w:rPr>
          <w:b/>
          <w:szCs w:val="22"/>
        </w:rPr>
        <w:t xml:space="preserve">FY 2016 SCHEDULE OF REGULATORY FEES: </w:t>
      </w:r>
      <w:r w:rsidRPr="00BB229F">
        <w:rPr>
          <w:rFonts w:ascii="Times New Roman Bold" w:hAnsi="Times New Roman Bold"/>
          <w:b/>
          <w:szCs w:val="22"/>
        </w:rPr>
        <w:t>(continued)</w:t>
      </w:r>
      <w:bookmarkEnd w:id="306"/>
      <w:bookmarkEnd w:id="307"/>
    </w:p>
    <w:p w:rsidR="00AA2862" w:rsidRPr="00BB229F" w:rsidRDefault="00AA2862" w:rsidP="00AA2862">
      <w:pPr>
        <w:tabs>
          <w:tab w:val="left" w:pos="-1440"/>
          <w:tab w:val="left" w:pos="-720"/>
          <w:tab w:val="left" w:pos="0"/>
          <w:tab w:val="left" w:pos="720"/>
          <w:tab w:val="left" w:pos="1440"/>
          <w:tab w:val="left" w:pos="2160"/>
          <w:tab w:val="left" w:pos="2880"/>
          <w:tab w:val="left" w:pos="3600"/>
          <w:tab w:val="left" w:pos="4680"/>
          <w:tab w:val="left" w:pos="5040"/>
        </w:tabs>
        <w:suppressAutoHyphens/>
        <w:rPr>
          <w:b/>
          <w:sz w:val="20"/>
        </w:rPr>
      </w:pPr>
    </w:p>
    <w:p w:rsidR="00AA2862" w:rsidRPr="00BB229F" w:rsidRDefault="00AA2862" w:rsidP="00AA2862">
      <w:pPr>
        <w:tabs>
          <w:tab w:val="left" w:pos="-1440"/>
          <w:tab w:val="left" w:pos="-720"/>
          <w:tab w:val="left" w:pos="0"/>
          <w:tab w:val="left" w:pos="720"/>
          <w:tab w:val="left" w:pos="1440"/>
          <w:tab w:val="left" w:pos="2160"/>
          <w:tab w:val="left" w:pos="2880"/>
          <w:tab w:val="left" w:pos="3600"/>
          <w:tab w:val="left" w:pos="4680"/>
          <w:tab w:val="left" w:pos="5040"/>
        </w:tabs>
        <w:suppressAutoHyphens/>
        <w:ind w:left="450"/>
        <w:rPr>
          <w:b/>
          <w:sz w:val="20"/>
        </w:rPr>
      </w:pPr>
    </w:p>
    <w:tbl>
      <w:tblPr>
        <w:tblW w:w="8550" w:type="dxa"/>
        <w:tblInd w:w="152" w:type="dxa"/>
        <w:tblLayout w:type="fixed"/>
        <w:tblCellMar>
          <w:left w:w="62" w:type="dxa"/>
          <w:right w:w="62" w:type="dxa"/>
        </w:tblCellMar>
        <w:tblLook w:val="0000" w:firstRow="0" w:lastRow="0" w:firstColumn="0" w:lastColumn="0" w:noHBand="0" w:noVBand="0"/>
      </w:tblPr>
      <w:tblGrid>
        <w:gridCol w:w="1890"/>
        <w:gridCol w:w="1080"/>
        <w:gridCol w:w="990"/>
        <w:gridCol w:w="900"/>
        <w:gridCol w:w="900"/>
        <w:gridCol w:w="1440"/>
        <w:gridCol w:w="1350"/>
      </w:tblGrid>
      <w:tr w:rsidR="00BB229F" w:rsidRPr="00BB229F" w:rsidTr="00F30430">
        <w:tc>
          <w:tcPr>
            <w:tcW w:w="8550" w:type="dxa"/>
            <w:gridSpan w:val="7"/>
            <w:tcBorders>
              <w:top w:val="double" w:sz="6" w:space="0" w:color="auto"/>
              <w:left w:val="double" w:sz="6" w:space="0" w:color="auto"/>
              <w:right w:val="double" w:sz="6" w:space="0" w:color="auto"/>
            </w:tcBorders>
          </w:tcPr>
          <w:p w:rsidR="00AA2862" w:rsidRPr="00BB229F" w:rsidRDefault="00AA2862" w:rsidP="00F3043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 w:val="20"/>
              </w:rPr>
            </w:pPr>
            <w:r w:rsidRPr="00BB229F">
              <w:rPr>
                <w:b/>
                <w:sz w:val="20"/>
              </w:rPr>
              <w:t xml:space="preserve">FY 2016 </w:t>
            </w:r>
            <w:r w:rsidRPr="00BB229F">
              <w:rPr>
                <w:b/>
                <w:sz w:val="20"/>
              </w:rPr>
              <w:fldChar w:fldCharType="begin"/>
            </w:r>
            <w:r w:rsidRPr="00BB229F">
              <w:rPr>
                <w:b/>
                <w:sz w:val="20"/>
              </w:rPr>
              <w:instrText xml:space="preserve">PRIVATE </w:instrText>
            </w:r>
            <w:r w:rsidRPr="00BB229F">
              <w:rPr>
                <w:b/>
                <w:sz w:val="20"/>
              </w:rPr>
              <w:fldChar w:fldCharType="end"/>
            </w:r>
            <w:r w:rsidRPr="00BB229F">
              <w:rPr>
                <w:b/>
                <w:sz w:val="20"/>
              </w:rPr>
              <w:t>RADIO STATION REGULATORY FEES</w:t>
            </w:r>
          </w:p>
        </w:tc>
      </w:tr>
      <w:tr w:rsidR="00BB229F" w:rsidRPr="00BB229F" w:rsidTr="00F30430">
        <w:tc>
          <w:tcPr>
            <w:tcW w:w="1890" w:type="dxa"/>
            <w:tcBorders>
              <w:top w:val="single" w:sz="6" w:space="0" w:color="auto"/>
              <w:left w:val="double" w:sz="6" w:space="0" w:color="auto"/>
            </w:tcBorders>
          </w:tcPr>
          <w:p w:rsidR="00AA2862" w:rsidRPr="00BB229F" w:rsidRDefault="00AA2862" w:rsidP="00F3043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jc w:val="center"/>
              <w:rPr>
                <w:b/>
                <w:sz w:val="20"/>
              </w:rPr>
            </w:pPr>
            <w:r w:rsidRPr="00BB229F">
              <w:rPr>
                <w:b/>
                <w:sz w:val="20"/>
              </w:rPr>
              <w:t xml:space="preserve">Population </w:t>
            </w:r>
          </w:p>
          <w:p w:rsidR="00AA2862" w:rsidRPr="00BB229F" w:rsidRDefault="00AA2862" w:rsidP="00F3043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04"/>
              <w:jc w:val="center"/>
              <w:rPr>
                <w:b/>
                <w:sz w:val="20"/>
              </w:rPr>
            </w:pPr>
            <w:r w:rsidRPr="00BB229F">
              <w:rPr>
                <w:b/>
                <w:sz w:val="20"/>
              </w:rPr>
              <w:t>Served</w:t>
            </w:r>
          </w:p>
        </w:tc>
        <w:tc>
          <w:tcPr>
            <w:tcW w:w="1080" w:type="dxa"/>
            <w:tcBorders>
              <w:top w:val="single" w:sz="6" w:space="0" w:color="auto"/>
              <w:left w:val="single" w:sz="6" w:space="0" w:color="auto"/>
            </w:tcBorders>
          </w:tcPr>
          <w:p w:rsidR="00AA2862" w:rsidRPr="00BB229F" w:rsidRDefault="00AA2862" w:rsidP="00F3043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 w:val="20"/>
              </w:rPr>
            </w:pPr>
            <w:r w:rsidRPr="00BB229F">
              <w:rPr>
                <w:b/>
                <w:sz w:val="20"/>
              </w:rPr>
              <w:t>AM Class A</w:t>
            </w:r>
          </w:p>
        </w:tc>
        <w:tc>
          <w:tcPr>
            <w:tcW w:w="990" w:type="dxa"/>
            <w:tcBorders>
              <w:top w:val="single" w:sz="6" w:space="0" w:color="auto"/>
              <w:left w:val="single" w:sz="6" w:space="0" w:color="auto"/>
            </w:tcBorders>
          </w:tcPr>
          <w:p w:rsidR="00AA2862" w:rsidRPr="00BB229F" w:rsidRDefault="00AA2862" w:rsidP="00F3043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 w:val="20"/>
              </w:rPr>
            </w:pPr>
            <w:r w:rsidRPr="00BB229F">
              <w:rPr>
                <w:b/>
                <w:sz w:val="20"/>
              </w:rPr>
              <w:t>AM Class B</w:t>
            </w:r>
          </w:p>
        </w:tc>
        <w:tc>
          <w:tcPr>
            <w:tcW w:w="900" w:type="dxa"/>
            <w:tcBorders>
              <w:top w:val="single" w:sz="6" w:space="0" w:color="auto"/>
              <w:left w:val="single" w:sz="6" w:space="0" w:color="auto"/>
            </w:tcBorders>
          </w:tcPr>
          <w:p w:rsidR="00AA2862" w:rsidRPr="00BB229F" w:rsidRDefault="00AA2862" w:rsidP="00F3043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 w:val="20"/>
              </w:rPr>
            </w:pPr>
            <w:r w:rsidRPr="00BB229F">
              <w:rPr>
                <w:b/>
                <w:sz w:val="20"/>
              </w:rPr>
              <w:t>AM Class C</w:t>
            </w:r>
          </w:p>
        </w:tc>
        <w:tc>
          <w:tcPr>
            <w:tcW w:w="900" w:type="dxa"/>
            <w:tcBorders>
              <w:top w:val="single" w:sz="6" w:space="0" w:color="auto"/>
              <w:left w:val="single" w:sz="6" w:space="0" w:color="auto"/>
            </w:tcBorders>
          </w:tcPr>
          <w:p w:rsidR="00AA2862" w:rsidRPr="00BB229F" w:rsidRDefault="00AA2862" w:rsidP="00F3043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 w:val="20"/>
              </w:rPr>
            </w:pPr>
            <w:r w:rsidRPr="00BB229F">
              <w:rPr>
                <w:b/>
                <w:sz w:val="20"/>
              </w:rPr>
              <w:t>AM Class D</w:t>
            </w:r>
          </w:p>
        </w:tc>
        <w:tc>
          <w:tcPr>
            <w:tcW w:w="1440" w:type="dxa"/>
            <w:tcBorders>
              <w:top w:val="single" w:sz="6" w:space="0" w:color="auto"/>
              <w:left w:val="single" w:sz="6" w:space="0" w:color="auto"/>
            </w:tcBorders>
          </w:tcPr>
          <w:p w:rsidR="00AA2862" w:rsidRPr="00BB229F" w:rsidRDefault="00AA2862" w:rsidP="00F3043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jc w:val="center"/>
              <w:rPr>
                <w:b/>
                <w:sz w:val="20"/>
                <w:lang w:val="pt-BR"/>
              </w:rPr>
            </w:pPr>
            <w:r w:rsidRPr="00BB229F">
              <w:rPr>
                <w:b/>
                <w:sz w:val="20"/>
                <w:lang w:val="pt-BR"/>
              </w:rPr>
              <w:t>FM Classes</w:t>
            </w:r>
          </w:p>
          <w:p w:rsidR="00AA2862" w:rsidRPr="00BB229F" w:rsidRDefault="00AA2862" w:rsidP="00F3043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04"/>
              <w:jc w:val="center"/>
              <w:rPr>
                <w:b/>
                <w:sz w:val="20"/>
                <w:lang w:val="pt-BR"/>
              </w:rPr>
            </w:pPr>
            <w:r w:rsidRPr="00BB229F">
              <w:rPr>
                <w:b/>
                <w:sz w:val="20"/>
                <w:lang w:val="pt-BR"/>
              </w:rPr>
              <w:t>A, B1 &amp; C3</w:t>
            </w:r>
          </w:p>
        </w:tc>
        <w:tc>
          <w:tcPr>
            <w:tcW w:w="1350" w:type="dxa"/>
            <w:tcBorders>
              <w:top w:val="single" w:sz="6" w:space="0" w:color="auto"/>
              <w:left w:val="single" w:sz="6" w:space="0" w:color="auto"/>
              <w:right w:val="double" w:sz="6" w:space="0" w:color="auto"/>
            </w:tcBorders>
          </w:tcPr>
          <w:p w:rsidR="00AA2862" w:rsidRPr="00BB229F" w:rsidRDefault="00AA2862" w:rsidP="00F3043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jc w:val="center"/>
              <w:rPr>
                <w:b/>
                <w:sz w:val="20"/>
                <w:lang w:val="pt-BR"/>
              </w:rPr>
            </w:pPr>
            <w:r w:rsidRPr="00BB229F">
              <w:rPr>
                <w:b/>
                <w:sz w:val="20"/>
                <w:lang w:val="pt-BR"/>
              </w:rPr>
              <w:t>FM Classes</w:t>
            </w:r>
          </w:p>
          <w:p w:rsidR="00AA2862" w:rsidRPr="00BB229F" w:rsidRDefault="00AA2862" w:rsidP="00F30430">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04"/>
              <w:jc w:val="center"/>
              <w:rPr>
                <w:b/>
                <w:sz w:val="20"/>
                <w:lang w:val="pt-BR"/>
              </w:rPr>
            </w:pPr>
            <w:r w:rsidRPr="00BB229F">
              <w:rPr>
                <w:b/>
                <w:sz w:val="20"/>
                <w:lang w:val="pt-BR"/>
              </w:rPr>
              <w:t>B, C, C0, C1 &amp; C2</w:t>
            </w:r>
          </w:p>
        </w:tc>
      </w:tr>
      <w:tr w:rsidR="00BB229F" w:rsidRPr="00BB229F" w:rsidTr="00F30430">
        <w:tc>
          <w:tcPr>
            <w:tcW w:w="1890" w:type="dxa"/>
            <w:tcBorders>
              <w:top w:val="single" w:sz="6" w:space="0" w:color="auto"/>
              <w:left w:val="double" w:sz="6" w:space="0" w:color="auto"/>
            </w:tcBorders>
          </w:tcPr>
          <w:p w:rsidR="00AA2862" w:rsidRPr="00BB229F" w:rsidRDefault="00AA2862" w:rsidP="00F3043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sidRPr="00BB229F">
              <w:rPr>
                <w:b/>
                <w:sz w:val="20"/>
              </w:rPr>
              <w:t>&lt;=25,000</w:t>
            </w:r>
          </w:p>
        </w:tc>
        <w:tc>
          <w:tcPr>
            <w:tcW w:w="1080" w:type="dxa"/>
            <w:tcBorders>
              <w:top w:val="single" w:sz="6" w:space="0" w:color="auto"/>
              <w:left w:val="single" w:sz="6" w:space="0" w:color="auto"/>
            </w:tcBorders>
          </w:tcPr>
          <w:p w:rsidR="00AA2862" w:rsidRPr="00BB229F" w:rsidRDefault="00AA2862" w:rsidP="00F3043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sidRPr="00BB229F">
              <w:rPr>
                <w:sz w:val="20"/>
              </w:rPr>
              <w:t>$990</w:t>
            </w:r>
          </w:p>
        </w:tc>
        <w:tc>
          <w:tcPr>
            <w:tcW w:w="990" w:type="dxa"/>
            <w:tcBorders>
              <w:top w:val="single" w:sz="6" w:space="0" w:color="auto"/>
              <w:left w:val="single" w:sz="6" w:space="0" w:color="auto"/>
            </w:tcBorders>
          </w:tcPr>
          <w:p w:rsidR="00AA2862" w:rsidRPr="00BB229F" w:rsidRDefault="00AA2862" w:rsidP="00F3043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sidRPr="00BB229F">
              <w:rPr>
                <w:sz w:val="20"/>
              </w:rPr>
              <w:t>$715</w:t>
            </w:r>
          </w:p>
        </w:tc>
        <w:tc>
          <w:tcPr>
            <w:tcW w:w="900" w:type="dxa"/>
            <w:tcBorders>
              <w:top w:val="single" w:sz="6" w:space="0" w:color="auto"/>
              <w:left w:val="single" w:sz="6" w:space="0" w:color="auto"/>
            </w:tcBorders>
          </w:tcPr>
          <w:p w:rsidR="00AA2862" w:rsidRPr="00BB229F" w:rsidRDefault="00AA2862" w:rsidP="00F3043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sidRPr="00BB229F">
              <w:rPr>
                <w:sz w:val="20"/>
              </w:rPr>
              <w:t>$620</w:t>
            </w:r>
          </w:p>
        </w:tc>
        <w:tc>
          <w:tcPr>
            <w:tcW w:w="900" w:type="dxa"/>
            <w:tcBorders>
              <w:top w:val="single" w:sz="6" w:space="0" w:color="auto"/>
              <w:left w:val="single" w:sz="6" w:space="0" w:color="auto"/>
            </w:tcBorders>
          </w:tcPr>
          <w:p w:rsidR="00AA2862" w:rsidRPr="00BB229F" w:rsidRDefault="00AA2862" w:rsidP="00F3043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sidRPr="00BB229F">
              <w:rPr>
                <w:sz w:val="20"/>
              </w:rPr>
              <w:t>$685</w:t>
            </w:r>
          </w:p>
        </w:tc>
        <w:tc>
          <w:tcPr>
            <w:tcW w:w="1440" w:type="dxa"/>
            <w:tcBorders>
              <w:top w:val="single" w:sz="6" w:space="0" w:color="auto"/>
              <w:left w:val="single" w:sz="6" w:space="0" w:color="auto"/>
            </w:tcBorders>
          </w:tcPr>
          <w:p w:rsidR="00AA2862" w:rsidRPr="00BB229F" w:rsidRDefault="00AA2862" w:rsidP="00F3043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sidRPr="00BB229F">
              <w:rPr>
                <w:sz w:val="20"/>
              </w:rPr>
              <w:t>$1,075</w:t>
            </w:r>
          </w:p>
        </w:tc>
        <w:tc>
          <w:tcPr>
            <w:tcW w:w="1350" w:type="dxa"/>
            <w:tcBorders>
              <w:top w:val="single" w:sz="6" w:space="0" w:color="auto"/>
              <w:left w:val="single" w:sz="6" w:space="0" w:color="auto"/>
              <w:right w:val="double" w:sz="6" w:space="0" w:color="auto"/>
            </w:tcBorders>
          </w:tcPr>
          <w:p w:rsidR="00AA2862" w:rsidRPr="00BB229F" w:rsidRDefault="00AA2862" w:rsidP="00F3043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sidRPr="00BB229F">
              <w:rPr>
                <w:sz w:val="20"/>
              </w:rPr>
              <w:t>$1,250</w:t>
            </w:r>
          </w:p>
        </w:tc>
      </w:tr>
      <w:tr w:rsidR="00BB229F" w:rsidRPr="00BB229F" w:rsidTr="00F30430">
        <w:tc>
          <w:tcPr>
            <w:tcW w:w="1890" w:type="dxa"/>
            <w:tcBorders>
              <w:top w:val="single" w:sz="6" w:space="0" w:color="auto"/>
              <w:left w:val="double" w:sz="6" w:space="0" w:color="auto"/>
            </w:tcBorders>
          </w:tcPr>
          <w:p w:rsidR="00AA2862" w:rsidRPr="00BB229F" w:rsidRDefault="00AA2862" w:rsidP="00F3043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sidRPr="00BB229F">
              <w:rPr>
                <w:b/>
                <w:sz w:val="20"/>
              </w:rPr>
              <w:t>25,001 – 75,000</w:t>
            </w:r>
          </w:p>
        </w:tc>
        <w:tc>
          <w:tcPr>
            <w:tcW w:w="1080" w:type="dxa"/>
            <w:tcBorders>
              <w:top w:val="single" w:sz="6" w:space="0" w:color="auto"/>
              <w:left w:val="single" w:sz="6" w:space="0" w:color="auto"/>
            </w:tcBorders>
          </w:tcPr>
          <w:p w:rsidR="00AA2862" w:rsidRPr="00BB229F" w:rsidRDefault="00AA2862" w:rsidP="00F3043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sidRPr="00BB229F">
              <w:rPr>
                <w:sz w:val="20"/>
              </w:rPr>
              <w:t>$1,475</w:t>
            </w:r>
          </w:p>
        </w:tc>
        <w:tc>
          <w:tcPr>
            <w:tcW w:w="990" w:type="dxa"/>
            <w:tcBorders>
              <w:top w:val="single" w:sz="6" w:space="0" w:color="auto"/>
              <w:left w:val="single" w:sz="6" w:space="0" w:color="auto"/>
            </w:tcBorders>
          </w:tcPr>
          <w:p w:rsidR="00AA2862" w:rsidRPr="00BB229F" w:rsidRDefault="00AA2862" w:rsidP="00F3043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sidRPr="00BB229F">
              <w:rPr>
                <w:sz w:val="20"/>
              </w:rPr>
              <w:t>$1,075</w:t>
            </w:r>
          </w:p>
        </w:tc>
        <w:tc>
          <w:tcPr>
            <w:tcW w:w="900" w:type="dxa"/>
            <w:tcBorders>
              <w:top w:val="single" w:sz="6" w:space="0" w:color="auto"/>
              <w:left w:val="single" w:sz="6" w:space="0" w:color="auto"/>
            </w:tcBorders>
          </w:tcPr>
          <w:p w:rsidR="00AA2862" w:rsidRPr="00BB229F" w:rsidRDefault="00AA2862" w:rsidP="00F3043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sidRPr="00BB229F">
              <w:rPr>
                <w:sz w:val="20"/>
              </w:rPr>
              <w:t>$925</w:t>
            </w:r>
          </w:p>
        </w:tc>
        <w:tc>
          <w:tcPr>
            <w:tcW w:w="900" w:type="dxa"/>
            <w:tcBorders>
              <w:top w:val="single" w:sz="6" w:space="0" w:color="auto"/>
              <w:left w:val="single" w:sz="6" w:space="0" w:color="auto"/>
            </w:tcBorders>
          </w:tcPr>
          <w:p w:rsidR="00AA2862" w:rsidRPr="00BB229F" w:rsidRDefault="00AA2862" w:rsidP="00F3043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sidRPr="00BB229F">
              <w:rPr>
                <w:sz w:val="20"/>
              </w:rPr>
              <w:t>$1,025</w:t>
            </w:r>
          </w:p>
        </w:tc>
        <w:tc>
          <w:tcPr>
            <w:tcW w:w="1440" w:type="dxa"/>
            <w:tcBorders>
              <w:top w:val="single" w:sz="6" w:space="0" w:color="auto"/>
              <w:left w:val="single" w:sz="6" w:space="0" w:color="auto"/>
            </w:tcBorders>
          </w:tcPr>
          <w:p w:rsidR="00AA2862" w:rsidRPr="00BB229F" w:rsidRDefault="00AA2862" w:rsidP="00F3043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sidRPr="00BB229F">
              <w:rPr>
                <w:sz w:val="20"/>
              </w:rPr>
              <w:t>$1,625</w:t>
            </w:r>
          </w:p>
        </w:tc>
        <w:tc>
          <w:tcPr>
            <w:tcW w:w="1350" w:type="dxa"/>
            <w:tcBorders>
              <w:top w:val="single" w:sz="6" w:space="0" w:color="auto"/>
              <w:left w:val="single" w:sz="6" w:space="0" w:color="auto"/>
              <w:right w:val="double" w:sz="6" w:space="0" w:color="auto"/>
            </w:tcBorders>
          </w:tcPr>
          <w:p w:rsidR="00AA2862" w:rsidRPr="00BB229F" w:rsidRDefault="00AA2862" w:rsidP="00F3043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sidRPr="00BB229F">
              <w:rPr>
                <w:sz w:val="20"/>
              </w:rPr>
              <w:t>$1,850</w:t>
            </w:r>
          </w:p>
        </w:tc>
      </w:tr>
      <w:tr w:rsidR="00BB229F" w:rsidRPr="00BB229F" w:rsidTr="00F30430">
        <w:tc>
          <w:tcPr>
            <w:tcW w:w="1890" w:type="dxa"/>
            <w:tcBorders>
              <w:top w:val="single" w:sz="6" w:space="0" w:color="auto"/>
              <w:left w:val="double" w:sz="6" w:space="0" w:color="auto"/>
            </w:tcBorders>
          </w:tcPr>
          <w:p w:rsidR="00AA2862" w:rsidRPr="00BB229F" w:rsidRDefault="00AA2862" w:rsidP="00F3043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sidRPr="00BB229F">
              <w:rPr>
                <w:b/>
                <w:sz w:val="20"/>
              </w:rPr>
              <w:t>75,001 – 150,000</w:t>
            </w:r>
          </w:p>
        </w:tc>
        <w:tc>
          <w:tcPr>
            <w:tcW w:w="1080" w:type="dxa"/>
            <w:tcBorders>
              <w:top w:val="single" w:sz="6" w:space="0" w:color="auto"/>
              <w:left w:val="single" w:sz="6" w:space="0" w:color="auto"/>
            </w:tcBorders>
          </w:tcPr>
          <w:p w:rsidR="00AA2862" w:rsidRPr="00BB229F" w:rsidRDefault="00AA2862" w:rsidP="00F3043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sidRPr="00BB229F">
              <w:rPr>
                <w:sz w:val="20"/>
              </w:rPr>
              <w:t>$2,200</w:t>
            </w:r>
          </w:p>
        </w:tc>
        <w:tc>
          <w:tcPr>
            <w:tcW w:w="990" w:type="dxa"/>
            <w:tcBorders>
              <w:top w:val="single" w:sz="6" w:space="0" w:color="auto"/>
              <w:left w:val="single" w:sz="6" w:space="0" w:color="auto"/>
            </w:tcBorders>
          </w:tcPr>
          <w:p w:rsidR="00AA2862" w:rsidRPr="00BB229F" w:rsidRDefault="00AA2862" w:rsidP="00F3043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sidRPr="00BB229F">
              <w:rPr>
                <w:sz w:val="20"/>
              </w:rPr>
              <w:t>$1,600</w:t>
            </w:r>
          </w:p>
        </w:tc>
        <w:tc>
          <w:tcPr>
            <w:tcW w:w="900" w:type="dxa"/>
            <w:tcBorders>
              <w:top w:val="single" w:sz="6" w:space="0" w:color="auto"/>
              <w:left w:val="single" w:sz="6" w:space="0" w:color="auto"/>
            </w:tcBorders>
          </w:tcPr>
          <w:p w:rsidR="00AA2862" w:rsidRPr="00BB229F" w:rsidRDefault="00AA2862" w:rsidP="00F3043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sidRPr="00BB229F">
              <w:rPr>
                <w:sz w:val="20"/>
              </w:rPr>
              <w:t>$1,375</w:t>
            </w:r>
          </w:p>
        </w:tc>
        <w:tc>
          <w:tcPr>
            <w:tcW w:w="900" w:type="dxa"/>
            <w:tcBorders>
              <w:top w:val="single" w:sz="6" w:space="0" w:color="auto"/>
              <w:left w:val="single" w:sz="6" w:space="0" w:color="auto"/>
            </w:tcBorders>
          </w:tcPr>
          <w:p w:rsidR="00AA2862" w:rsidRPr="00BB229F" w:rsidRDefault="00AA2862" w:rsidP="00F3043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sidRPr="00BB229F">
              <w:rPr>
                <w:sz w:val="20"/>
              </w:rPr>
              <w:t>$1,525</w:t>
            </w:r>
          </w:p>
        </w:tc>
        <w:tc>
          <w:tcPr>
            <w:tcW w:w="1440" w:type="dxa"/>
            <w:tcBorders>
              <w:top w:val="single" w:sz="6" w:space="0" w:color="auto"/>
              <w:left w:val="single" w:sz="6" w:space="0" w:color="auto"/>
            </w:tcBorders>
          </w:tcPr>
          <w:p w:rsidR="00AA2862" w:rsidRPr="00BB229F" w:rsidRDefault="00AA2862" w:rsidP="00F3043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sidRPr="00BB229F">
              <w:rPr>
                <w:sz w:val="20"/>
              </w:rPr>
              <w:t>$2,400</w:t>
            </w:r>
          </w:p>
        </w:tc>
        <w:tc>
          <w:tcPr>
            <w:tcW w:w="1350" w:type="dxa"/>
            <w:tcBorders>
              <w:top w:val="single" w:sz="6" w:space="0" w:color="auto"/>
              <w:left w:val="single" w:sz="6" w:space="0" w:color="auto"/>
              <w:right w:val="double" w:sz="6" w:space="0" w:color="auto"/>
            </w:tcBorders>
          </w:tcPr>
          <w:p w:rsidR="00AA2862" w:rsidRPr="00BB229F" w:rsidRDefault="00AA2862" w:rsidP="00F3043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sidRPr="00BB229F">
              <w:rPr>
                <w:sz w:val="20"/>
              </w:rPr>
              <w:t>$2,750</w:t>
            </w:r>
          </w:p>
        </w:tc>
      </w:tr>
      <w:tr w:rsidR="00BB229F" w:rsidRPr="00BB229F" w:rsidTr="00F30430">
        <w:tc>
          <w:tcPr>
            <w:tcW w:w="1890" w:type="dxa"/>
            <w:tcBorders>
              <w:top w:val="single" w:sz="6" w:space="0" w:color="auto"/>
              <w:left w:val="double" w:sz="6" w:space="0" w:color="auto"/>
            </w:tcBorders>
          </w:tcPr>
          <w:p w:rsidR="00AA2862" w:rsidRPr="00BB229F" w:rsidRDefault="00AA2862" w:rsidP="00F3043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sidRPr="00BB229F">
              <w:rPr>
                <w:b/>
                <w:sz w:val="20"/>
              </w:rPr>
              <w:t>150,001 – 500,000</w:t>
            </w:r>
          </w:p>
        </w:tc>
        <w:tc>
          <w:tcPr>
            <w:tcW w:w="1080" w:type="dxa"/>
            <w:tcBorders>
              <w:top w:val="single" w:sz="6" w:space="0" w:color="auto"/>
              <w:left w:val="single" w:sz="6" w:space="0" w:color="auto"/>
            </w:tcBorders>
          </w:tcPr>
          <w:p w:rsidR="00AA2862" w:rsidRPr="00BB229F" w:rsidRDefault="00AA2862" w:rsidP="00F3043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sidRPr="00BB229F">
              <w:rPr>
                <w:sz w:val="20"/>
              </w:rPr>
              <w:t>$3,300</w:t>
            </w:r>
          </w:p>
        </w:tc>
        <w:tc>
          <w:tcPr>
            <w:tcW w:w="990" w:type="dxa"/>
            <w:tcBorders>
              <w:top w:val="single" w:sz="6" w:space="0" w:color="auto"/>
              <w:left w:val="single" w:sz="6" w:space="0" w:color="auto"/>
            </w:tcBorders>
          </w:tcPr>
          <w:p w:rsidR="00AA2862" w:rsidRPr="00BB229F" w:rsidRDefault="00AA2862" w:rsidP="00F3043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sidRPr="00BB229F">
              <w:rPr>
                <w:sz w:val="20"/>
              </w:rPr>
              <w:t>$2,375</w:t>
            </w:r>
          </w:p>
        </w:tc>
        <w:tc>
          <w:tcPr>
            <w:tcW w:w="900" w:type="dxa"/>
            <w:tcBorders>
              <w:top w:val="single" w:sz="6" w:space="0" w:color="auto"/>
              <w:left w:val="single" w:sz="6" w:space="0" w:color="auto"/>
            </w:tcBorders>
          </w:tcPr>
          <w:p w:rsidR="00AA2862" w:rsidRPr="00BB229F" w:rsidRDefault="00AA2862" w:rsidP="00F3043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sidRPr="00BB229F">
              <w:rPr>
                <w:sz w:val="20"/>
              </w:rPr>
              <w:t>$2,075</w:t>
            </w:r>
          </w:p>
        </w:tc>
        <w:tc>
          <w:tcPr>
            <w:tcW w:w="900" w:type="dxa"/>
            <w:tcBorders>
              <w:top w:val="single" w:sz="6" w:space="0" w:color="auto"/>
              <w:left w:val="single" w:sz="6" w:space="0" w:color="auto"/>
            </w:tcBorders>
          </w:tcPr>
          <w:p w:rsidR="00AA2862" w:rsidRPr="00BB229F" w:rsidRDefault="00AA2862" w:rsidP="00F3043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sidRPr="00BB229F">
              <w:rPr>
                <w:sz w:val="20"/>
              </w:rPr>
              <w:t>$2,275</w:t>
            </w:r>
          </w:p>
        </w:tc>
        <w:tc>
          <w:tcPr>
            <w:tcW w:w="1440" w:type="dxa"/>
            <w:tcBorders>
              <w:top w:val="single" w:sz="6" w:space="0" w:color="auto"/>
              <w:left w:val="single" w:sz="6" w:space="0" w:color="auto"/>
            </w:tcBorders>
          </w:tcPr>
          <w:p w:rsidR="00AA2862" w:rsidRPr="00BB229F" w:rsidRDefault="00AA2862" w:rsidP="00F3043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sidRPr="00BB229F">
              <w:rPr>
                <w:sz w:val="20"/>
              </w:rPr>
              <w:t>$3,600</w:t>
            </w:r>
          </w:p>
        </w:tc>
        <w:tc>
          <w:tcPr>
            <w:tcW w:w="1350" w:type="dxa"/>
            <w:tcBorders>
              <w:top w:val="single" w:sz="6" w:space="0" w:color="auto"/>
              <w:left w:val="single" w:sz="6" w:space="0" w:color="auto"/>
              <w:right w:val="double" w:sz="6" w:space="0" w:color="auto"/>
            </w:tcBorders>
          </w:tcPr>
          <w:p w:rsidR="00AA2862" w:rsidRPr="00BB229F" w:rsidRDefault="00AA2862" w:rsidP="00F3043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sidRPr="00BB229F">
              <w:rPr>
                <w:sz w:val="20"/>
              </w:rPr>
              <w:t>$4,125</w:t>
            </w:r>
          </w:p>
        </w:tc>
      </w:tr>
      <w:tr w:rsidR="00BB229F" w:rsidRPr="00BB229F" w:rsidTr="00F30430">
        <w:tc>
          <w:tcPr>
            <w:tcW w:w="1890" w:type="dxa"/>
            <w:tcBorders>
              <w:top w:val="single" w:sz="6" w:space="0" w:color="auto"/>
              <w:left w:val="double" w:sz="6" w:space="0" w:color="auto"/>
            </w:tcBorders>
          </w:tcPr>
          <w:p w:rsidR="00AA2862" w:rsidRPr="00BB229F" w:rsidRDefault="00AA2862" w:rsidP="00F3043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sidRPr="00BB229F">
              <w:rPr>
                <w:b/>
                <w:sz w:val="20"/>
              </w:rPr>
              <w:t>500,001 – 1,200,000</w:t>
            </w:r>
          </w:p>
        </w:tc>
        <w:tc>
          <w:tcPr>
            <w:tcW w:w="1080" w:type="dxa"/>
            <w:tcBorders>
              <w:top w:val="single" w:sz="6" w:space="0" w:color="auto"/>
              <w:left w:val="single" w:sz="6" w:space="0" w:color="auto"/>
            </w:tcBorders>
          </w:tcPr>
          <w:p w:rsidR="00AA2862" w:rsidRPr="00BB229F" w:rsidRDefault="00AA2862" w:rsidP="00F3043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sidRPr="00BB229F">
              <w:rPr>
                <w:sz w:val="20"/>
              </w:rPr>
              <w:t>$5,500</w:t>
            </w:r>
          </w:p>
        </w:tc>
        <w:tc>
          <w:tcPr>
            <w:tcW w:w="990" w:type="dxa"/>
            <w:tcBorders>
              <w:top w:val="single" w:sz="6" w:space="0" w:color="auto"/>
              <w:left w:val="single" w:sz="6" w:space="0" w:color="auto"/>
            </w:tcBorders>
          </w:tcPr>
          <w:p w:rsidR="00AA2862" w:rsidRPr="00BB229F" w:rsidRDefault="00AA2862" w:rsidP="00F3043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sidRPr="00BB229F">
              <w:rPr>
                <w:sz w:val="20"/>
              </w:rPr>
              <w:t>$3,975</w:t>
            </w:r>
          </w:p>
        </w:tc>
        <w:tc>
          <w:tcPr>
            <w:tcW w:w="900" w:type="dxa"/>
            <w:tcBorders>
              <w:top w:val="single" w:sz="6" w:space="0" w:color="auto"/>
              <w:left w:val="single" w:sz="6" w:space="0" w:color="auto"/>
            </w:tcBorders>
          </w:tcPr>
          <w:p w:rsidR="00AA2862" w:rsidRPr="00BB229F" w:rsidRDefault="00AA2862" w:rsidP="00F3043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sidRPr="00BB229F">
              <w:rPr>
                <w:sz w:val="20"/>
              </w:rPr>
              <w:t>$3,450</w:t>
            </w:r>
          </w:p>
        </w:tc>
        <w:tc>
          <w:tcPr>
            <w:tcW w:w="900" w:type="dxa"/>
            <w:tcBorders>
              <w:top w:val="single" w:sz="6" w:space="0" w:color="auto"/>
              <w:left w:val="single" w:sz="6" w:space="0" w:color="auto"/>
            </w:tcBorders>
          </w:tcPr>
          <w:p w:rsidR="00AA2862" w:rsidRPr="00BB229F" w:rsidRDefault="00AA2862" w:rsidP="00F3043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sidRPr="00BB229F">
              <w:rPr>
                <w:sz w:val="20"/>
              </w:rPr>
              <w:t>$3,800</w:t>
            </w:r>
          </w:p>
        </w:tc>
        <w:tc>
          <w:tcPr>
            <w:tcW w:w="1440" w:type="dxa"/>
            <w:tcBorders>
              <w:top w:val="single" w:sz="6" w:space="0" w:color="auto"/>
              <w:left w:val="single" w:sz="6" w:space="0" w:color="auto"/>
            </w:tcBorders>
          </w:tcPr>
          <w:p w:rsidR="00AA2862" w:rsidRPr="00BB229F" w:rsidRDefault="00AA2862" w:rsidP="00F3043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sidRPr="00BB229F">
              <w:rPr>
                <w:sz w:val="20"/>
              </w:rPr>
              <w:t>$6,000</w:t>
            </w:r>
          </w:p>
        </w:tc>
        <w:tc>
          <w:tcPr>
            <w:tcW w:w="1350" w:type="dxa"/>
            <w:tcBorders>
              <w:top w:val="single" w:sz="6" w:space="0" w:color="auto"/>
              <w:left w:val="single" w:sz="6" w:space="0" w:color="auto"/>
              <w:right w:val="double" w:sz="6" w:space="0" w:color="auto"/>
            </w:tcBorders>
          </w:tcPr>
          <w:p w:rsidR="00AA2862" w:rsidRPr="00BB229F" w:rsidRDefault="00AA2862" w:rsidP="00F3043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sidRPr="00BB229F">
              <w:rPr>
                <w:sz w:val="20"/>
              </w:rPr>
              <w:t>$6,875</w:t>
            </w:r>
          </w:p>
        </w:tc>
      </w:tr>
      <w:tr w:rsidR="00BB229F" w:rsidRPr="00BB229F" w:rsidTr="00F30430">
        <w:trPr>
          <w:trHeight w:val="361"/>
        </w:trPr>
        <w:tc>
          <w:tcPr>
            <w:tcW w:w="1890" w:type="dxa"/>
            <w:tcBorders>
              <w:top w:val="single" w:sz="6" w:space="0" w:color="auto"/>
              <w:left w:val="double" w:sz="6" w:space="0" w:color="auto"/>
              <w:bottom w:val="single" w:sz="6" w:space="0" w:color="auto"/>
            </w:tcBorders>
          </w:tcPr>
          <w:p w:rsidR="00AA2862" w:rsidRPr="00BB229F" w:rsidRDefault="00AA2862" w:rsidP="00F3043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sidRPr="00BB229F">
              <w:rPr>
                <w:b/>
                <w:sz w:val="20"/>
              </w:rPr>
              <w:t>1,200,001 – 3,000,00</w:t>
            </w:r>
          </w:p>
        </w:tc>
        <w:tc>
          <w:tcPr>
            <w:tcW w:w="1080" w:type="dxa"/>
            <w:tcBorders>
              <w:top w:val="single" w:sz="6" w:space="0" w:color="auto"/>
              <w:left w:val="single" w:sz="6" w:space="0" w:color="auto"/>
              <w:bottom w:val="single" w:sz="6" w:space="0" w:color="auto"/>
            </w:tcBorders>
          </w:tcPr>
          <w:p w:rsidR="00AA2862" w:rsidRPr="00BB229F" w:rsidRDefault="00AA2862" w:rsidP="00F3043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sidRPr="00BB229F">
              <w:rPr>
                <w:sz w:val="20"/>
              </w:rPr>
              <w:t>$8,250</w:t>
            </w:r>
          </w:p>
        </w:tc>
        <w:tc>
          <w:tcPr>
            <w:tcW w:w="990" w:type="dxa"/>
            <w:tcBorders>
              <w:top w:val="single" w:sz="6" w:space="0" w:color="auto"/>
              <w:left w:val="single" w:sz="6" w:space="0" w:color="auto"/>
              <w:bottom w:val="single" w:sz="6" w:space="0" w:color="auto"/>
            </w:tcBorders>
          </w:tcPr>
          <w:p w:rsidR="00AA2862" w:rsidRPr="00BB229F" w:rsidRDefault="00AA2862" w:rsidP="00F3043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sidRPr="00BB229F">
              <w:rPr>
                <w:sz w:val="20"/>
              </w:rPr>
              <w:t>$5,950</w:t>
            </w:r>
          </w:p>
        </w:tc>
        <w:tc>
          <w:tcPr>
            <w:tcW w:w="900" w:type="dxa"/>
            <w:tcBorders>
              <w:top w:val="single" w:sz="6" w:space="0" w:color="auto"/>
              <w:left w:val="single" w:sz="6" w:space="0" w:color="auto"/>
              <w:bottom w:val="single" w:sz="6" w:space="0" w:color="auto"/>
            </w:tcBorders>
          </w:tcPr>
          <w:p w:rsidR="00AA2862" w:rsidRPr="00BB229F" w:rsidRDefault="00AA2862" w:rsidP="00F3043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sidRPr="00BB229F">
              <w:rPr>
                <w:sz w:val="20"/>
              </w:rPr>
              <w:t>$5,175</w:t>
            </w:r>
          </w:p>
        </w:tc>
        <w:tc>
          <w:tcPr>
            <w:tcW w:w="900" w:type="dxa"/>
            <w:tcBorders>
              <w:top w:val="single" w:sz="6" w:space="0" w:color="auto"/>
              <w:left w:val="single" w:sz="6" w:space="0" w:color="auto"/>
              <w:bottom w:val="single" w:sz="6" w:space="0" w:color="auto"/>
            </w:tcBorders>
          </w:tcPr>
          <w:p w:rsidR="00AA2862" w:rsidRPr="00BB229F" w:rsidRDefault="00AA2862" w:rsidP="00F3043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sidRPr="00BB229F">
              <w:rPr>
                <w:sz w:val="20"/>
              </w:rPr>
              <w:t>$5,700</w:t>
            </w:r>
          </w:p>
        </w:tc>
        <w:tc>
          <w:tcPr>
            <w:tcW w:w="1440" w:type="dxa"/>
            <w:tcBorders>
              <w:top w:val="single" w:sz="6" w:space="0" w:color="auto"/>
              <w:left w:val="single" w:sz="6" w:space="0" w:color="auto"/>
              <w:bottom w:val="single" w:sz="6" w:space="0" w:color="auto"/>
            </w:tcBorders>
          </w:tcPr>
          <w:p w:rsidR="00AA2862" w:rsidRPr="00BB229F" w:rsidRDefault="00AA2862" w:rsidP="00F3043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sidRPr="00BB229F">
              <w:rPr>
                <w:sz w:val="20"/>
              </w:rPr>
              <w:t>$9,000</w:t>
            </w:r>
          </w:p>
        </w:tc>
        <w:tc>
          <w:tcPr>
            <w:tcW w:w="1350" w:type="dxa"/>
            <w:tcBorders>
              <w:top w:val="single" w:sz="6" w:space="0" w:color="auto"/>
              <w:left w:val="single" w:sz="6" w:space="0" w:color="auto"/>
              <w:bottom w:val="single" w:sz="6" w:space="0" w:color="auto"/>
              <w:right w:val="double" w:sz="6" w:space="0" w:color="auto"/>
            </w:tcBorders>
          </w:tcPr>
          <w:p w:rsidR="00AA2862" w:rsidRPr="00BB229F" w:rsidRDefault="00AA2862" w:rsidP="00F3043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sidRPr="00BB229F">
              <w:rPr>
                <w:sz w:val="20"/>
              </w:rPr>
              <w:t>$10,300</w:t>
            </w:r>
          </w:p>
        </w:tc>
      </w:tr>
      <w:tr w:rsidR="00BB229F" w:rsidRPr="00BB229F" w:rsidTr="00F30430">
        <w:tc>
          <w:tcPr>
            <w:tcW w:w="1890" w:type="dxa"/>
            <w:tcBorders>
              <w:top w:val="single" w:sz="6" w:space="0" w:color="auto"/>
              <w:left w:val="double" w:sz="6" w:space="0" w:color="auto"/>
              <w:bottom w:val="single" w:sz="6" w:space="0" w:color="auto"/>
            </w:tcBorders>
          </w:tcPr>
          <w:p w:rsidR="00AA2862" w:rsidRPr="00BB229F" w:rsidRDefault="00AA2862" w:rsidP="00F3043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sidRPr="00BB229F">
              <w:rPr>
                <w:b/>
                <w:sz w:val="20"/>
              </w:rPr>
              <w:t>3,000,001 – 6,000,00</w:t>
            </w:r>
          </w:p>
        </w:tc>
        <w:tc>
          <w:tcPr>
            <w:tcW w:w="1080" w:type="dxa"/>
            <w:tcBorders>
              <w:top w:val="single" w:sz="6" w:space="0" w:color="auto"/>
              <w:left w:val="single" w:sz="6" w:space="0" w:color="auto"/>
              <w:bottom w:val="single" w:sz="6" w:space="0" w:color="auto"/>
            </w:tcBorders>
          </w:tcPr>
          <w:p w:rsidR="00AA2862" w:rsidRPr="00BB229F" w:rsidRDefault="00AA2862" w:rsidP="00F3043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sidRPr="00BB229F">
              <w:rPr>
                <w:sz w:val="20"/>
              </w:rPr>
              <w:t>$11,000</w:t>
            </w:r>
          </w:p>
        </w:tc>
        <w:tc>
          <w:tcPr>
            <w:tcW w:w="990" w:type="dxa"/>
            <w:tcBorders>
              <w:top w:val="single" w:sz="6" w:space="0" w:color="auto"/>
              <w:left w:val="single" w:sz="6" w:space="0" w:color="auto"/>
              <w:bottom w:val="single" w:sz="6" w:space="0" w:color="auto"/>
            </w:tcBorders>
          </w:tcPr>
          <w:p w:rsidR="00AA2862" w:rsidRPr="00BB229F" w:rsidRDefault="00AA2862" w:rsidP="00F3043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sidRPr="00BB229F">
              <w:rPr>
                <w:sz w:val="20"/>
              </w:rPr>
              <w:t>$7,950</w:t>
            </w:r>
          </w:p>
        </w:tc>
        <w:tc>
          <w:tcPr>
            <w:tcW w:w="900" w:type="dxa"/>
            <w:tcBorders>
              <w:top w:val="single" w:sz="6" w:space="0" w:color="auto"/>
              <w:left w:val="single" w:sz="6" w:space="0" w:color="auto"/>
              <w:bottom w:val="single" w:sz="6" w:space="0" w:color="auto"/>
            </w:tcBorders>
          </w:tcPr>
          <w:p w:rsidR="00AA2862" w:rsidRPr="00BB229F" w:rsidRDefault="00AA2862" w:rsidP="00F3043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sidRPr="00BB229F">
              <w:rPr>
                <w:sz w:val="20"/>
              </w:rPr>
              <w:t>$6,900</w:t>
            </w:r>
          </w:p>
        </w:tc>
        <w:tc>
          <w:tcPr>
            <w:tcW w:w="900" w:type="dxa"/>
            <w:tcBorders>
              <w:top w:val="single" w:sz="6" w:space="0" w:color="auto"/>
              <w:left w:val="single" w:sz="6" w:space="0" w:color="auto"/>
              <w:bottom w:val="single" w:sz="6" w:space="0" w:color="auto"/>
            </w:tcBorders>
          </w:tcPr>
          <w:p w:rsidR="00AA2862" w:rsidRPr="00BB229F" w:rsidRDefault="00AA2862" w:rsidP="00F3043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sidRPr="00BB229F">
              <w:rPr>
                <w:sz w:val="20"/>
              </w:rPr>
              <w:t>$7,600</w:t>
            </w:r>
          </w:p>
        </w:tc>
        <w:tc>
          <w:tcPr>
            <w:tcW w:w="1440" w:type="dxa"/>
            <w:tcBorders>
              <w:top w:val="single" w:sz="6" w:space="0" w:color="auto"/>
              <w:left w:val="single" w:sz="6" w:space="0" w:color="auto"/>
              <w:bottom w:val="single" w:sz="6" w:space="0" w:color="auto"/>
            </w:tcBorders>
          </w:tcPr>
          <w:p w:rsidR="00AA2862" w:rsidRPr="00BB229F" w:rsidRDefault="00AA2862" w:rsidP="00F3043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sidRPr="00BB229F">
              <w:rPr>
                <w:sz w:val="20"/>
              </w:rPr>
              <w:t>$12,000</w:t>
            </w:r>
          </w:p>
        </w:tc>
        <w:tc>
          <w:tcPr>
            <w:tcW w:w="1350" w:type="dxa"/>
            <w:tcBorders>
              <w:top w:val="single" w:sz="6" w:space="0" w:color="auto"/>
              <w:left w:val="single" w:sz="6" w:space="0" w:color="auto"/>
              <w:bottom w:val="single" w:sz="6" w:space="0" w:color="auto"/>
              <w:right w:val="double" w:sz="6" w:space="0" w:color="auto"/>
            </w:tcBorders>
          </w:tcPr>
          <w:p w:rsidR="00AA2862" w:rsidRPr="00BB229F" w:rsidRDefault="00AA2862" w:rsidP="00F3043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sidRPr="00BB229F">
              <w:rPr>
                <w:sz w:val="20"/>
              </w:rPr>
              <w:t>$13,750</w:t>
            </w:r>
          </w:p>
        </w:tc>
      </w:tr>
      <w:tr w:rsidR="00AA2862" w:rsidRPr="00BB229F" w:rsidTr="00F30430">
        <w:tc>
          <w:tcPr>
            <w:tcW w:w="1890" w:type="dxa"/>
            <w:tcBorders>
              <w:top w:val="single" w:sz="6" w:space="0" w:color="auto"/>
              <w:left w:val="double" w:sz="6" w:space="0" w:color="auto"/>
              <w:bottom w:val="double" w:sz="6" w:space="0" w:color="auto"/>
            </w:tcBorders>
          </w:tcPr>
          <w:p w:rsidR="00AA2862" w:rsidRPr="00BB229F" w:rsidRDefault="00AA2862" w:rsidP="00F3043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sidRPr="00BB229F">
              <w:rPr>
                <w:b/>
                <w:sz w:val="20"/>
              </w:rPr>
              <w:t>&gt;6,000,000</w:t>
            </w:r>
          </w:p>
        </w:tc>
        <w:tc>
          <w:tcPr>
            <w:tcW w:w="1080" w:type="dxa"/>
            <w:tcBorders>
              <w:top w:val="single" w:sz="6" w:space="0" w:color="auto"/>
              <w:left w:val="single" w:sz="6" w:space="0" w:color="auto"/>
              <w:bottom w:val="double" w:sz="6" w:space="0" w:color="auto"/>
            </w:tcBorders>
          </w:tcPr>
          <w:p w:rsidR="00AA2862" w:rsidRPr="00BB229F" w:rsidRDefault="00AA2862" w:rsidP="00F3043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sidRPr="00BB229F">
              <w:rPr>
                <w:sz w:val="20"/>
              </w:rPr>
              <w:t>$13,750</w:t>
            </w:r>
          </w:p>
        </w:tc>
        <w:tc>
          <w:tcPr>
            <w:tcW w:w="990" w:type="dxa"/>
            <w:tcBorders>
              <w:top w:val="single" w:sz="6" w:space="0" w:color="auto"/>
              <w:left w:val="single" w:sz="6" w:space="0" w:color="auto"/>
              <w:bottom w:val="double" w:sz="6" w:space="0" w:color="auto"/>
            </w:tcBorders>
          </w:tcPr>
          <w:p w:rsidR="00AA2862" w:rsidRPr="00BB229F" w:rsidRDefault="00AA2862" w:rsidP="00F3043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sidRPr="00BB229F">
              <w:rPr>
                <w:sz w:val="20"/>
              </w:rPr>
              <w:t>$9,950</w:t>
            </w:r>
          </w:p>
        </w:tc>
        <w:tc>
          <w:tcPr>
            <w:tcW w:w="900" w:type="dxa"/>
            <w:tcBorders>
              <w:top w:val="single" w:sz="6" w:space="0" w:color="auto"/>
              <w:left w:val="single" w:sz="6" w:space="0" w:color="auto"/>
              <w:bottom w:val="double" w:sz="6" w:space="0" w:color="auto"/>
            </w:tcBorders>
          </w:tcPr>
          <w:p w:rsidR="00AA2862" w:rsidRPr="00BB229F" w:rsidRDefault="00AA2862" w:rsidP="00F3043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sidRPr="00BB229F">
              <w:rPr>
                <w:sz w:val="20"/>
              </w:rPr>
              <w:t>$8,625</w:t>
            </w:r>
          </w:p>
        </w:tc>
        <w:tc>
          <w:tcPr>
            <w:tcW w:w="900" w:type="dxa"/>
            <w:tcBorders>
              <w:top w:val="single" w:sz="6" w:space="0" w:color="auto"/>
              <w:left w:val="single" w:sz="6" w:space="0" w:color="auto"/>
              <w:bottom w:val="double" w:sz="6" w:space="0" w:color="auto"/>
            </w:tcBorders>
          </w:tcPr>
          <w:p w:rsidR="00AA2862" w:rsidRPr="00BB229F" w:rsidRDefault="00AA2862" w:rsidP="00F3043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sidRPr="00BB229F">
              <w:rPr>
                <w:sz w:val="20"/>
              </w:rPr>
              <w:t>$9,500</w:t>
            </w:r>
          </w:p>
        </w:tc>
        <w:tc>
          <w:tcPr>
            <w:tcW w:w="1440" w:type="dxa"/>
            <w:tcBorders>
              <w:top w:val="single" w:sz="6" w:space="0" w:color="auto"/>
              <w:left w:val="single" w:sz="6" w:space="0" w:color="auto"/>
              <w:bottom w:val="double" w:sz="6" w:space="0" w:color="auto"/>
            </w:tcBorders>
          </w:tcPr>
          <w:p w:rsidR="00AA2862" w:rsidRPr="00BB229F" w:rsidRDefault="00AA2862" w:rsidP="00F3043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sidRPr="00BB229F">
              <w:rPr>
                <w:sz w:val="20"/>
              </w:rPr>
              <w:t>$15,000</w:t>
            </w:r>
          </w:p>
        </w:tc>
        <w:tc>
          <w:tcPr>
            <w:tcW w:w="1350" w:type="dxa"/>
            <w:tcBorders>
              <w:top w:val="single" w:sz="6" w:space="0" w:color="auto"/>
              <w:left w:val="single" w:sz="6" w:space="0" w:color="auto"/>
              <w:bottom w:val="double" w:sz="6" w:space="0" w:color="auto"/>
              <w:right w:val="double" w:sz="6" w:space="0" w:color="auto"/>
            </w:tcBorders>
          </w:tcPr>
          <w:p w:rsidR="00AA2862" w:rsidRPr="00BB229F" w:rsidRDefault="00AA2862" w:rsidP="00F30430">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sidRPr="00BB229F">
              <w:rPr>
                <w:sz w:val="20"/>
              </w:rPr>
              <w:t>$17,175</w:t>
            </w:r>
          </w:p>
        </w:tc>
      </w:tr>
    </w:tbl>
    <w:p w:rsidR="00AA2862" w:rsidRPr="00BB229F" w:rsidRDefault="00AA2862" w:rsidP="00AA2862">
      <w:pPr>
        <w:tabs>
          <w:tab w:val="right" w:pos="10080"/>
        </w:tabs>
        <w:suppressAutoHyphens/>
        <w:ind w:left="450"/>
        <w:jc w:val="center"/>
        <w:outlineLvl w:val="0"/>
        <w:rPr>
          <w:b/>
          <w:szCs w:val="22"/>
        </w:rPr>
      </w:pPr>
    </w:p>
    <w:p w:rsidR="00AA2862" w:rsidRPr="00BB229F" w:rsidRDefault="00AA2862" w:rsidP="00AA2862">
      <w:pPr>
        <w:keepNext/>
        <w:widowControl/>
        <w:tabs>
          <w:tab w:val="right" w:pos="10080"/>
        </w:tabs>
        <w:suppressAutoHyphens/>
        <w:spacing w:after="120"/>
        <w:ind w:left="446"/>
        <w:jc w:val="center"/>
        <w:outlineLvl w:val="0"/>
        <w:rPr>
          <w:b/>
          <w:szCs w:val="22"/>
        </w:rPr>
      </w:pPr>
      <w:bookmarkStart w:id="308" w:name="_Toc394672332"/>
      <w:bookmarkStart w:id="309" w:name="_Toc491865074"/>
      <w:bookmarkStart w:id="310" w:name="_Toc491865489"/>
      <w:r w:rsidRPr="00BB229F">
        <w:rPr>
          <w:b/>
          <w:szCs w:val="22"/>
        </w:rPr>
        <w:t>FY 2016 SCHEDULE OF REGULATORY FEES</w:t>
      </w:r>
      <w:bookmarkEnd w:id="308"/>
      <w:bookmarkEnd w:id="309"/>
      <w:bookmarkEnd w:id="310"/>
    </w:p>
    <w:p w:rsidR="00AA2862" w:rsidRPr="00BB229F" w:rsidRDefault="00AA2862" w:rsidP="00AA2862">
      <w:pPr>
        <w:keepNext/>
        <w:widowControl/>
        <w:tabs>
          <w:tab w:val="right" w:pos="10080"/>
        </w:tabs>
        <w:suppressAutoHyphens/>
        <w:ind w:left="450"/>
        <w:jc w:val="center"/>
        <w:outlineLvl w:val="0"/>
        <w:rPr>
          <w:b/>
          <w:szCs w:val="22"/>
        </w:rPr>
      </w:pPr>
      <w:bookmarkStart w:id="311" w:name="_Toc491865075"/>
      <w:bookmarkStart w:id="312" w:name="_Toc491865490"/>
      <w:r w:rsidRPr="00BB229F">
        <w:rPr>
          <w:b/>
          <w:szCs w:val="22"/>
        </w:rPr>
        <w:t>International Bearer Circuits - Submarine Cable</w:t>
      </w:r>
      <w:bookmarkEnd w:id="311"/>
      <w:bookmarkEnd w:id="312"/>
    </w:p>
    <w:p w:rsidR="00AA2862" w:rsidRPr="00BB229F" w:rsidRDefault="00AA2862" w:rsidP="00AA2862">
      <w:pPr>
        <w:keepNext/>
        <w:widowControl/>
        <w:tabs>
          <w:tab w:val="right" w:pos="10080"/>
        </w:tabs>
        <w:suppressAutoHyphens/>
        <w:ind w:left="450"/>
        <w:jc w:val="center"/>
        <w:outlineLvl w:val="0"/>
        <w:rPr>
          <w:b/>
          <w:szCs w:val="22"/>
        </w:rPr>
      </w:pPr>
    </w:p>
    <w:p w:rsidR="00AA2862" w:rsidRPr="00BB229F" w:rsidRDefault="00AA2862" w:rsidP="00AA2862">
      <w:pPr>
        <w:keepNext/>
        <w:widowControl/>
        <w:tabs>
          <w:tab w:val="left" w:pos="-1440"/>
          <w:tab w:val="left" w:pos="-720"/>
          <w:tab w:val="left" w:pos="0"/>
          <w:tab w:val="left" w:pos="720"/>
          <w:tab w:val="left" w:pos="1440"/>
          <w:tab w:val="left" w:pos="2160"/>
          <w:tab w:val="left" w:pos="2880"/>
          <w:tab w:val="left" w:pos="3600"/>
          <w:tab w:val="left" w:pos="4680"/>
          <w:tab w:val="left" w:pos="5040"/>
        </w:tabs>
        <w:suppressAutoHyphens/>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3780"/>
      </w:tblGrid>
      <w:tr w:rsidR="00BB229F" w:rsidRPr="00BB229F" w:rsidTr="00F30430">
        <w:tc>
          <w:tcPr>
            <w:tcW w:w="4860" w:type="dxa"/>
          </w:tcPr>
          <w:p w:rsidR="00AA2862" w:rsidRPr="00BB229F" w:rsidRDefault="00AA2862" w:rsidP="00F30430">
            <w:pPr>
              <w:keepNext/>
              <w:widowControl/>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Cs w:val="22"/>
              </w:rPr>
            </w:pPr>
            <w:r w:rsidRPr="00BB229F">
              <w:rPr>
                <w:spacing w:val="-3"/>
                <w:szCs w:val="22"/>
              </w:rPr>
              <w:t>Submarine Cable Systems</w:t>
            </w:r>
          </w:p>
          <w:p w:rsidR="00AA2862" w:rsidRPr="00BB229F" w:rsidRDefault="00AA2862" w:rsidP="00F30430">
            <w:pPr>
              <w:keepNext/>
              <w:widowControl/>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 w:val="20"/>
              </w:rPr>
            </w:pPr>
            <w:r w:rsidRPr="00BB229F">
              <w:rPr>
                <w:sz w:val="20"/>
              </w:rPr>
              <w:t>(capacity as of December 31, 2015)</w:t>
            </w:r>
          </w:p>
        </w:tc>
        <w:tc>
          <w:tcPr>
            <w:tcW w:w="3780" w:type="dxa"/>
          </w:tcPr>
          <w:p w:rsidR="00AA2862" w:rsidRPr="00BB229F" w:rsidRDefault="00AA2862" w:rsidP="00F30430">
            <w:pPr>
              <w:keepNext/>
              <w:widowControl/>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r w:rsidRPr="00BB229F">
              <w:rPr>
                <w:spacing w:val="-3"/>
                <w:szCs w:val="22"/>
              </w:rPr>
              <w:t>Fee amount</w:t>
            </w:r>
          </w:p>
        </w:tc>
      </w:tr>
      <w:tr w:rsidR="00BB229F" w:rsidRPr="00BB229F" w:rsidTr="00F30430">
        <w:trPr>
          <w:trHeight w:val="1034"/>
        </w:trPr>
        <w:tc>
          <w:tcPr>
            <w:tcW w:w="4860" w:type="dxa"/>
          </w:tcPr>
          <w:p w:rsidR="00AA2862" w:rsidRPr="00BB229F" w:rsidRDefault="00AA2862" w:rsidP="00F30430">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b/>
                <w:szCs w:val="22"/>
              </w:rPr>
            </w:pPr>
          </w:p>
          <w:p w:rsidR="00AA2862" w:rsidRPr="00BB229F" w:rsidRDefault="00AA2862" w:rsidP="00F30430">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b/>
                <w:spacing w:val="-3"/>
                <w:szCs w:val="22"/>
              </w:rPr>
            </w:pPr>
            <w:r w:rsidRPr="00BB229F">
              <w:rPr>
                <w:b/>
                <w:szCs w:val="22"/>
              </w:rPr>
              <w:t>&lt; 2.5 Gbps</w:t>
            </w:r>
          </w:p>
        </w:tc>
        <w:tc>
          <w:tcPr>
            <w:tcW w:w="3780" w:type="dxa"/>
            <w:vAlign w:val="center"/>
          </w:tcPr>
          <w:p w:rsidR="00AA2862" w:rsidRPr="00BB229F" w:rsidRDefault="00AA2862" w:rsidP="00F30430">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r w:rsidRPr="00BB229F">
              <w:rPr>
                <w:bCs/>
                <w:szCs w:val="22"/>
              </w:rPr>
              <w:t>$8,325</w:t>
            </w:r>
          </w:p>
        </w:tc>
      </w:tr>
      <w:tr w:rsidR="00BB229F" w:rsidRPr="00BB229F" w:rsidTr="00F30430">
        <w:trPr>
          <w:trHeight w:val="1034"/>
        </w:trPr>
        <w:tc>
          <w:tcPr>
            <w:tcW w:w="4860" w:type="dxa"/>
          </w:tcPr>
          <w:p w:rsidR="00AA2862" w:rsidRPr="00BB229F" w:rsidRDefault="00AA2862" w:rsidP="00F30430">
            <w:pPr>
              <w:tabs>
                <w:tab w:val="left" w:pos="-1440"/>
                <w:tab w:val="left" w:pos="-720"/>
                <w:tab w:val="left" w:pos="0"/>
                <w:tab w:val="left" w:pos="720"/>
                <w:tab w:val="left" w:pos="1440"/>
                <w:tab w:val="left" w:pos="2160"/>
                <w:tab w:val="left" w:pos="2880"/>
                <w:tab w:val="left" w:pos="3600"/>
                <w:tab w:val="left" w:pos="4680"/>
                <w:tab w:val="left" w:pos="5040"/>
              </w:tabs>
              <w:suppressAutoHyphens/>
              <w:rPr>
                <w:b/>
                <w:spacing w:val="-3"/>
                <w:szCs w:val="22"/>
              </w:rPr>
            </w:pPr>
            <w:r w:rsidRPr="00BB229F">
              <w:rPr>
                <w:b/>
                <w:szCs w:val="22"/>
              </w:rPr>
              <w:t>2.5 Gbps or greater, but less than 5 Gbps</w:t>
            </w:r>
          </w:p>
        </w:tc>
        <w:tc>
          <w:tcPr>
            <w:tcW w:w="3780" w:type="dxa"/>
            <w:vAlign w:val="center"/>
          </w:tcPr>
          <w:p w:rsidR="00AA2862" w:rsidRPr="00BB229F" w:rsidRDefault="00AA2862" w:rsidP="00F30430">
            <w:pPr>
              <w:jc w:val="center"/>
              <w:rPr>
                <w:bCs/>
                <w:szCs w:val="22"/>
              </w:rPr>
            </w:pPr>
            <w:r w:rsidRPr="00BB229F">
              <w:rPr>
                <w:bCs/>
                <w:szCs w:val="22"/>
              </w:rPr>
              <w:t>$16,650</w:t>
            </w:r>
          </w:p>
          <w:p w:rsidR="00AA2862" w:rsidRPr="00BB229F" w:rsidRDefault="00AA2862" w:rsidP="00F30430">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p>
        </w:tc>
      </w:tr>
      <w:tr w:rsidR="00BB229F" w:rsidRPr="00BB229F" w:rsidTr="00F30430">
        <w:tc>
          <w:tcPr>
            <w:tcW w:w="4860" w:type="dxa"/>
          </w:tcPr>
          <w:p w:rsidR="00AA2862" w:rsidRPr="00BB229F" w:rsidRDefault="00AA2862" w:rsidP="00F30430">
            <w:pPr>
              <w:tabs>
                <w:tab w:val="left" w:pos="-1440"/>
                <w:tab w:val="left" w:pos="-720"/>
                <w:tab w:val="left" w:pos="0"/>
                <w:tab w:val="left" w:pos="720"/>
                <w:tab w:val="left" w:pos="1440"/>
                <w:tab w:val="left" w:pos="2160"/>
                <w:tab w:val="left" w:pos="2880"/>
                <w:tab w:val="left" w:pos="3600"/>
                <w:tab w:val="left" w:pos="4680"/>
                <w:tab w:val="left" w:pos="5040"/>
              </w:tabs>
              <w:suppressAutoHyphens/>
              <w:rPr>
                <w:b/>
                <w:spacing w:val="-3"/>
                <w:szCs w:val="22"/>
              </w:rPr>
            </w:pPr>
            <w:r w:rsidRPr="00BB229F">
              <w:rPr>
                <w:b/>
                <w:szCs w:val="22"/>
              </w:rPr>
              <w:t>5 Gbps or greater, but less than 10 Gbps</w:t>
            </w:r>
          </w:p>
        </w:tc>
        <w:tc>
          <w:tcPr>
            <w:tcW w:w="3780" w:type="dxa"/>
            <w:vAlign w:val="center"/>
          </w:tcPr>
          <w:p w:rsidR="00AA2862" w:rsidRPr="00BB229F" w:rsidRDefault="00AA2862" w:rsidP="00F30430">
            <w:pPr>
              <w:jc w:val="center"/>
              <w:rPr>
                <w:bCs/>
                <w:szCs w:val="22"/>
              </w:rPr>
            </w:pPr>
          </w:p>
          <w:p w:rsidR="00AA2862" w:rsidRPr="00BB229F" w:rsidRDefault="00AA2862" w:rsidP="00F30430">
            <w:pPr>
              <w:jc w:val="center"/>
              <w:rPr>
                <w:bCs/>
                <w:szCs w:val="22"/>
              </w:rPr>
            </w:pPr>
            <w:r w:rsidRPr="00BB229F">
              <w:rPr>
                <w:bCs/>
                <w:szCs w:val="22"/>
              </w:rPr>
              <w:t xml:space="preserve"> $33,300</w:t>
            </w:r>
          </w:p>
          <w:p w:rsidR="00AA2862" w:rsidRPr="00BB229F" w:rsidRDefault="00AA2862" w:rsidP="00F30430">
            <w:pPr>
              <w:jc w:val="center"/>
              <w:rPr>
                <w:spacing w:val="-3"/>
                <w:szCs w:val="22"/>
              </w:rPr>
            </w:pPr>
          </w:p>
        </w:tc>
      </w:tr>
      <w:tr w:rsidR="00BB229F" w:rsidRPr="00BB229F" w:rsidTr="00F30430">
        <w:trPr>
          <w:trHeight w:val="998"/>
        </w:trPr>
        <w:tc>
          <w:tcPr>
            <w:tcW w:w="4860" w:type="dxa"/>
          </w:tcPr>
          <w:p w:rsidR="00AA2862" w:rsidRPr="00BB229F" w:rsidRDefault="00AA2862" w:rsidP="00F30430">
            <w:pPr>
              <w:tabs>
                <w:tab w:val="left" w:pos="-1440"/>
                <w:tab w:val="left" w:pos="-720"/>
                <w:tab w:val="left" w:pos="0"/>
                <w:tab w:val="left" w:pos="720"/>
                <w:tab w:val="left" w:pos="1440"/>
                <w:tab w:val="left" w:pos="2160"/>
                <w:tab w:val="left" w:pos="2880"/>
                <w:tab w:val="left" w:pos="3600"/>
                <w:tab w:val="left" w:pos="4680"/>
                <w:tab w:val="left" w:pos="5040"/>
              </w:tabs>
              <w:suppressAutoHyphens/>
              <w:rPr>
                <w:b/>
                <w:szCs w:val="22"/>
              </w:rPr>
            </w:pPr>
            <w:r w:rsidRPr="00BB229F">
              <w:rPr>
                <w:b/>
                <w:szCs w:val="22"/>
              </w:rPr>
              <w:t>10 Gbps or greater, but less than 20 Gbps</w:t>
            </w:r>
          </w:p>
          <w:p w:rsidR="00AA2862" w:rsidRPr="00BB229F" w:rsidRDefault="00AA2862" w:rsidP="00F30430">
            <w:pPr>
              <w:tabs>
                <w:tab w:val="left" w:pos="-1440"/>
                <w:tab w:val="left" w:pos="-720"/>
                <w:tab w:val="left" w:pos="0"/>
                <w:tab w:val="left" w:pos="720"/>
                <w:tab w:val="left" w:pos="1440"/>
                <w:tab w:val="left" w:pos="2160"/>
                <w:tab w:val="left" w:pos="2880"/>
                <w:tab w:val="left" w:pos="3600"/>
                <w:tab w:val="left" w:pos="4680"/>
                <w:tab w:val="left" w:pos="5040"/>
              </w:tabs>
              <w:suppressAutoHyphens/>
              <w:rPr>
                <w:b/>
                <w:spacing w:val="-3"/>
                <w:szCs w:val="22"/>
              </w:rPr>
            </w:pPr>
          </w:p>
        </w:tc>
        <w:tc>
          <w:tcPr>
            <w:tcW w:w="3780" w:type="dxa"/>
            <w:vAlign w:val="center"/>
          </w:tcPr>
          <w:p w:rsidR="00AA2862" w:rsidRPr="00BB229F" w:rsidRDefault="00AA2862" w:rsidP="00F30430">
            <w:pPr>
              <w:jc w:val="center"/>
              <w:rPr>
                <w:bCs/>
                <w:szCs w:val="22"/>
              </w:rPr>
            </w:pPr>
            <w:r w:rsidRPr="00BB229F">
              <w:rPr>
                <w:bCs/>
                <w:szCs w:val="22"/>
              </w:rPr>
              <w:t xml:space="preserve">$66,600 </w:t>
            </w:r>
          </w:p>
          <w:p w:rsidR="00AA2862" w:rsidRPr="00BB229F" w:rsidRDefault="00AA2862" w:rsidP="00F30430">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p>
        </w:tc>
      </w:tr>
      <w:tr w:rsidR="00AA2862" w:rsidRPr="00BB229F" w:rsidTr="00F30430">
        <w:trPr>
          <w:trHeight w:val="998"/>
        </w:trPr>
        <w:tc>
          <w:tcPr>
            <w:tcW w:w="4860" w:type="dxa"/>
          </w:tcPr>
          <w:p w:rsidR="00AA2862" w:rsidRPr="00BB229F" w:rsidRDefault="00AA2862" w:rsidP="00F30430">
            <w:pPr>
              <w:tabs>
                <w:tab w:val="left" w:pos="-1440"/>
                <w:tab w:val="left" w:pos="-720"/>
                <w:tab w:val="left" w:pos="0"/>
                <w:tab w:val="left" w:pos="720"/>
                <w:tab w:val="left" w:pos="1440"/>
                <w:tab w:val="left" w:pos="2160"/>
                <w:tab w:val="left" w:pos="2880"/>
                <w:tab w:val="left" w:pos="3600"/>
                <w:tab w:val="left" w:pos="4680"/>
                <w:tab w:val="left" w:pos="5040"/>
              </w:tabs>
              <w:suppressAutoHyphens/>
              <w:rPr>
                <w:b/>
                <w:szCs w:val="22"/>
              </w:rPr>
            </w:pPr>
          </w:p>
          <w:p w:rsidR="00AA2862" w:rsidRPr="00BB229F" w:rsidRDefault="00AA2862" w:rsidP="00F30430">
            <w:pPr>
              <w:tabs>
                <w:tab w:val="left" w:pos="-1440"/>
                <w:tab w:val="left" w:pos="-720"/>
                <w:tab w:val="left" w:pos="0"/>
                <w:tab w:val="left" w:pos="720"/>
                <w:tab w:val="left" w:pos="1440"/>
                <w:tab w:val="left" w:pos="2160"/>
                <w:tab w:val="left" w:pos="2880"/>
                <w:tab w:val="left" w:pos="3600"/>
                <w:tab w:val="left" w:pos="4680"/>
                <w:tab w:val="left" w:pos="5040"/>
              </w:tabs>
              <w:suppressAutoHyphens/>
              <w:rPr>
                <w:b/>
                <w:szCs w:val="22"/>
              </w:rPr>
            </w:pPr>
            <w:r w:rsidRPr="00BB229F">
              <w:rPr>
                <w:b/>
                <w:szCs w:val="22"/>
              </w:rPr>
              <w:t>20 Gbps or greater</w:t>
            </w:r>
          </w:p>
          <w:p w:rsidR="00AA2862" w:rsidRPr="00BB229F" w:rsidRDefault="00AA2862" w:rsidP="00F30430">
            <w:pPr>
              <w:tabs>
                <w:tab w:val="left" w:pos="-1440"/>
                <w:tab w:val="left" w:pos="-720"/>
                <w:tab w:val="left" w:pos="0"/>
                <w:tab w:val="left" w:pos="720"/>
                <w:tab w:val="left" w:pos="1440"/>
                <w:tab w:val="left" w:pos="2160"/>
                <w:tab w:val="left" w:pos="2880"/>
                <w:tab w:val="left" w:pos="3600"/>
                <w:tab w:val="left" w:pos="4680"/>
                <w:tab w:val="left" w:pos="5040"/>
              </w:tabs>
              <w:suppressAutoHyphens/>
              <w:rPr>
                <w:b/>
                <w:szCs w:val="22"/>
              </w:rPr>
            </w:pPr>
          </w:p>
        </w:tc>
        <w:tc>
          <w:tcPr>
            <w:tcW w:w="3780" w:type="dxa"/>
            <w:vAlign w:val="center"/>
          </w:tcPr>
          <w:p w:rsidR="00AA2862" w:rsidRPr="00BB229F" w:rsidRDefault="00AA2862" w:rsidP="00F30430">
            <w:pPr>
              <w:jc w:val="center"/>
            </w:pPr>
            <w:r w:rsidRPr="00BB229F">
              <w:rPr>
                <w:bCs/>
                <w:szCs w:val="22"/>
              </w:rPr>
              <w:t>$133,200</w:t>
            </w:r>
          </w:p>
        </w:tc>
      </w:tr>
    </w:tbl>
    <w:p w:rsidR="00AA2862" w:rsidRPr="00BB229F" w:rsidRDefault="00AA2862" w:rsidP="00AA2862"/>
    <w:p w:rsidR="005367F8" w:rsidRDefault="005367F8">
      <w:pPr>
        <w:widowControl/>
        <w:rPr>
          <w:b/>
          <w:spacing w:val="-2"/>
        </w:rPr>
      </w:pPr>
      <w:r>
        <w:rPr>
          <w:b/>
          <w:spacing w:val="-2"/>
        </w:rPr>
        <w:br w:type="page"/>
      </w:r>
    </w:p>
    <w:p w:rsidR="00AA2862" w:rsidRPr="00BB229F" w:rsidRDefault="00AA2862" w:rsidP="00AA2862">
      <w:pPr>
        <w:pStyle w:val="ParaNum"/>
        <w:numPr>
          <w:ilvl w:val="0"/>
          <w:numId w:val="0"/>
        </w:numPr>
        <w:jc w:val="center"/>
        <w:rPr>
          <w:b/>
          <w:spacing w:val="-2"/>
        </w:rPr>
      </w:pPr>
      <w:r w:rsidRPr="00BB229F">
        <w:rPr>
          <w:b/>
          <w:spacing w:val="-2"/>
        </w:rPr>
        <w:t xml:space="preserve">APPENDIX </w:t>
      </w:r>
      <w:r w:rsidR="00111B67" w:rsidRPr="00BB229F">
        <w:rPr>
          <w:b/>
          <w:spacing w:val="-2"/>
        </w:rPr>
        <w:t>I</w:t>
      </w:r>
    </w:p>
    <w:p w:rsidR="00AA2862" w:rsidRPr="00BB229F" w:rsidRDefault="00AA2862" w:rsidP="00AA2862">
      <w:pPr>
        <w:pStyle w:val="EndnoteText"/>
        <w:jc w:val="center"/>
        <w:rPr>
          <w:b/>
          <w:sz w:val="22"/>
          <w:szCs w:val="22"/>
        </w:rPr>
      </w:pPr>
      <w:r w:rsidRPr="00BB229F">
        <w:rPr>
          <w:b/>
          <w:sz w:val="22"/>
          <w:szCs w:val="22"/>
        </w:rPr>
        <w:t>Rule Changes</w:t>
      </w:r>
    </w:p>
    <w:p w:rsidR="00AA2862" w:rsidRPr="00BB229F" w:rsidRDefault="00AA2862" w:rsidP="00AA2862">
      <w:pPr>
        <w:pStyle w:val="EndnoteText"/>
        <w:rPr>
          <w:sz w:val="22"/>
          <w:szCs w:val="22"/>
        </w:rPr>
      </w:pPr>
    </w:p>
    <w:p w:rsidR="00AA2862" w:rsidRPr="00BB229F" w:rsidRDefault="00AA2862" w:rsidP="00AA2862">
      <w:pPr>
        <w:pStyle w:val="EndnoteText"/>
        <w:rPr>
          <w:sz w:val="22"/>
          <w:szCs w:val="22"/>
        </w:rPr>
      </w:pPr>
      <w:r w:rsidRPr="00BB229F">
        <w:rPr>
          <w:sz w:val="22"/>
          <w:szCs w:val="22"/>
        </w:rPr>
        <w:t>Part 1 of Title 47 of the Code of Federal Regulations is amended to read as follows:</w:t>
      </w:r>
    </w:p>
    <w:p w:rsidR="00AA2862" w:rsidRPr="00BB229F" w:rsidRDefault="00AA2862" w:rsidP="00AA2862">
      <w:pPr>
        <w:pStyle w:val="EndnoteText"/>
        <w:rPr>
          <w:sz w:val="22"/>
          <w:szCs w:val="22"/>
        </w:rPr>
      </w:pPr>
    </w:p>
    <w:p w:rsidR="00AA2862" w:rsidRPr="00BB229F" w:rsidRDefault="00AA2862" w:rsidP="00AA2862">
      <w:pPr>
        <w:pStyle w:val="EndnoteText"/>
        <w:rPr>
          <w:b/>
          <w:sz w:val="22"/>
          <w:szCs w:val="22"/>
        </w:rPr>
      </w:pPr>
      <w:r w:rsidRPr="00BB229F">
        <w:rPr>
          <w:b/>
          <w:sz w:val="22"/>
          <w:szCs w:val="22"/>
        </w:rPr>
        <w:t>PART 1 – PRACTICE AND PROCEDURE</w:t>
      </w:r>
    </w:p>
    <w:p w:rsidR="00AA2862" w:rsidRPr="00BB229F" w:rsidRDefault="00AA2862" w:rsidP="00AA2862">
      <w:pPr>
        <w:pStyle w:val="EndnoteText"/>
        <w:rPr>
          <w:sz w:val="22"/>
          <w:szCs w:val="22"/>
        </w:rPr>
      </w:pPr>
    </w:p>
    <w:p w:rsidR="00AA2862" w:rsidRPr="00BB229F" w:rsidRDefault="00AA2862" w:rsidP="00AA2862">
      <w:pPr>
        <w:pStyle w:val="EndnoteText"/>
        <w:tabs>
          <w:tab w:val="left" w:pos="720"/>
        </w:tabs>
        <w:rPr>
          <w:sz w:val="22"/>
          <w:szCs w:val="22"/>
        </w:rPr>
      </w:pPr>
      <w:r w:rsidRPr="00BB229F">
        <w:rPr>
          <w:sz w:val="22"/>
          <w:szCs w:val="22"/>
        </w:rPr>
        <w:t>1.</w:t>
      </w:r>
      <w:r w:rsidRPr="00BB229F">
        <w:rPr>
          <w:sz w:val="22"/>
          <w:szCs w:val="22"/>
        </w:rPr>
        <w:tab/>
        <w:t>The authority citation for part 1 continues to read as follows:</w:t>
      </w:r>
    </w:p>
    <w:p w:rsidR="00AA2862" w:rsidRPr="00BB229F" w:rsidRDefault="00AA2862" w:rsidP="00AA2862">
      <w:pPr>
        <w:pStyle w:val="EndnoteText"/>
        <w:tabs>
          <w:tab w:val="left" w:pos="720"/>
        </w:tabs>
        <w:rPr>
          <w:sz w:val="22"/>
          <w:szCs w:val="22"/>
        </w:rPr>
      </w:pPr>
    </w:p>
    <w:p w:rsidR="00AA2862" w:rsidRPr="00BB229F" w:rsidRDefault="00AA2862" w:rsidP="00AA2862">
      <w:pPr>
        <w:pStyle w:val="EndnoteText"/>
        <w:rPr>
          <w:sz w:val="22"/>
          <w:szCs w:val="22"/>
        </w:rPr>
      </w:pPr>
      <w:r w:rsidRPr="00BB229F">
        <w:rPr>
          <w:sz w:val="22"/>
          <w:szCs w:val="22"/>
        </w:rPr>
        <w:tab/>
        <w:t xml:space="preserve">Authority:  15 U.S.C. 79 </w:t>
      </w:r>
      <w:r w:rsidRPr="00BB229F">
        <w:rPr>
          <w:i/>
          <w:sz w:val="22"/>
          <w:szCs w:val="22"/>
        </w:rPr>
        <w:t>et seq.</w:t>
      </w:r>
      <w:r w:rsidRPr="00BB229F">
        <w:rPr>
          <w:sz w:val="22"/>
          <w:szCs w:val="22"/>
        </w:rPr>
        <w:t>; 47 U.S.C. 151, 154(i), 154(j), 155, 157, 225, 303(r), 309.</w:t>
      </w:r>
    </w:p>
    <w:p w:rsidR="00AA2862" w:rsidRPr="00BB229F" w:rsidRDefault="00AA2862" w:rsidP="00AA2862">
      <w:pPr>
        <w:pStyle w:val="EndnoteText"/>
        <w:rPr>
          <w:sz w:val="22"/>
          <w:szCs w:val="22"/>
        </w:rPr>
      </w:pPr>
    </w:p>
    <w:p w:rsidR="00AA2862" w:rsidRPr="00BB229F" w:rsidRDefault="00AA2862" w:rsidP="00AA2862">
      <w:pPr>
        <w:pStyle w:val="EndnoteText"/>
        <w:tabs>
          <w:tab w:val="left" w:pos="720"/>
        </w:tabs>
        <w:rPr>
          <w:sz w:val="22"/>
          <w:szCs w:val="22"/>
        </w:rPr>
      </w:pPr>
      <w:r w:rsidRPr="00BB229F">
        <w:rPr>
          <w:sz w:val="22"/>
          <w:szCs w:val="22"/>
        </w:rPr>
        <w:t xml:space="preserve">2.   </w:t>
      </w:r>
      <w:r w:rsidRPr="00BB229F">
        <w:rPr>
          <w:sz w:val="22"/>
          <w:szCs w:val="22"/>
        </w:rPr>
        <w:tab/>
        <w:t>Section 1.1152 is revised to read as follows:</w:t>
      </w:r>
    </w:p>
    <w:p w:rsidR="00AA2862" w:rsidRPr="00BB229F" w:rsidRDefault="00AA2862" w:rsidP="00AA2862">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Cs w:val="22"/>
        </w:rPr>
      </w:pPr>
      <w:r w:rsidRPr="00BB229F">
        <w:rPr>
          <w:spacing w:val="-3"/>
          <w:szCs w:val="22"/>
        </w:rPr>
        <w:t xml:space="preserve">   </w:t>
      </w:r>
    </w:p>
    <w:p w:rsidR="00AA2862" w:rsidRPr="00BB229F" w:rsidRDefault="00AA2862" w:rsidP="00AA2862">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Cs w:val="22"/>
        </w:rPr>
      </w:pPr>
      <w:r w:rsidRPr="00BB229F">
        <w:rPr>
          <w:spacing w:val="-3"/>
          <w:szCs w:val="22"/>
        </w:rPr>
        <w:t>§ 1.1152  Schedule of annual regulatory fees for wireless radio services.</w:t>
      </w:r>
    </w:p>
    <w:p w:rsidR="00AA2862" w:rsidRPr="00BB229F" w:rsidRDefault="00AA2862" w:rsidP="00AA2862">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Cs w:val="22"/>
        </w:rPr>
      </w:pPr>
      <w:r w:rsidRPr="00BB229F">
        <w:rPr>
          <w:spacing w:val="-3"/>
          <w:szCs w:val="22"/>
        </w:rPr>
        <w:t xml:space="preserve">                     </w:t>
      </w:r>
    </w:p>
    <w:p w:rsidR="00AA2862" w:rsidRPr="00BB229F" w:rsidRDefault="00AA2862" w:rsidP="00AA2862">
      <w:pPr>
        <w:tabs>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6840"/>
          <w:tab w:val="left" w:pos="7920"/>
        </w:tabs>
        <w:suppressAutoHyphens/>
        <w:jc w:val="both"/>
        <w:rPr>
          <w:spacing w:val="-3"/>
          <w:szCs w:val="22"/>
        </w:rPr>
      </w:pPr>
      <w:r w:rsidRPr="00BB229F">
        <w:rPr>
          <w:b/>
          <w:spacing w:val="-3"/>
          <w:szCs w:val="22"/>
        </w:rPr>
        <w:t>Exclusive use services (per license)</w:t>
      </w:r>
      <w:r w:rsidRPr="00BB229F">
        <w:rPr>
          <w:b/>
          <w:spacing w:val="-3"/>
          <w:szCs w:val="22"/>
        </w:rPr>
        <w:tab/>
      </w:r>
      <w:r w:rsidRPr="00BB229F">
        <w:rPr>
          <w:b/>
          <w:spacing w:val="-3"/>
          <w:szCs w:val="22"/>
        </w:rPr>
        <w:tab/>
      </w:r>
      <w:r w:rsidRPr="00BB229F">
        <w:rPr>
          <w:b/>
          <w:spacing w:val="-3"/>
          <w:szCs w:val="22"/>
        </w:rPr>
        <w:tab/>
        <w:t>Fee Amount</w:t>
      </w:r>
      <w:r w:rsidRPr="00BB229F">
        <w:rPr>
          <w:spacing w:val="-3"/>
          <w:szCs w:val="22"/>
        </w:rPr>
        <w:t xml:space="preserve"> </w:t>
      </w:r>
      <w:r w:rsidRPr="00BB229F">
        <w:rPr>
          <w:rStyle w:val="FootnoteReference"/>
          <w:spacing w:val="-2"/>
          <w:szCs w:val="22"/>
        </w:rPr>
        <w:footnoteReference w:id="396"/>
      </w:r>
      <w:r w:rsidRPr="00BB229F">
        <w:rPr>
          <w:b/>
          <w:spacing w:val="-3"/>
          <w:szCs w:val="22"/>
        </w:rPr>
        <w:tab/>
      </w:r>
      <w:r w:rsidRPr="00BB229F">
        <w:rPr>
          <w:b/>
          <w:spacing w:val="-3"/>
          <w:szCs w:val="22"/>
        </w:rPr>
        <w:tab/>
      </w:r>
      <w:r w:rsidRPr="00BB229F">
        <w:rPr>
          <w:spacing w:val="-3"/>
          <w:szCs w:val="22"/>
        </w:rPr>
        <w:t xml:space="preserve">  </w:t>
      </w:r>
    </w:p>
    <w:p w:rsidR="00AA2862" w:rsidRPr="00BB229F" w:rsidRDefault="00AA2862" w:rsidP="00AA2862">
      <w:pPr>
        <w:tabs>
          <w:tab w:val="left" w:pos="-1440"/>
          <w:tab w:val="left" w:pos="-720"/>
          <w:tab w:val="left" w:pos="5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3"/>
          <w:szCs w:val="22"/>
        </w:rPr>
      </w:pPr>
    </w:p>
    <w:p w:rsidR="00AA2862" w:rsidRPr="00BB229F" w:rsidRDefault="00AA2862" w:rsidP="00AA2862">
      <w:pPr>
        <w:tabs>
          <w:tab w:val="left" w:pos="-1440"/>
          <w:tab w:val="left" w:pos="-720"/>
          <w:tab w:val="left" w:pos="5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outlineLvl w:val="0"/>
        <w:rPr>
          <w:spacing w:val="-3"/>
          <w:szCs w:val="22"/>
        </w:rPr>
      </w:pPr>
      <w:bookmarkStart w:id="313" w:name="_Toc491865076"/>
      <w:bookmarkStart w:id="314" w:name="_Toc491865491"/>
      <w:r w:rsidRPr="00BB229F">
        <w:rPr>
          <w:b/>
          <w:spacing w:val="-3"/>
          <w:szCs w:val="22"/>
        </w:rPr>
        <w:t>1.</w:t>
      </w:r>
      <w:r w:rsidRPr="00BB229F">
        <w:rPr>
          <w:b/>
          <w:spacing w:val="-3"/>
          <w:szCs w:val="22"/>
        </w:rPr>
        <w:tab/>
        <w:t>Land Mobile (Above 470</w:t>
      </w:r>
      <w:bookmarkEnd w:id="313"/>
      <w:bookmarkEnd w:id="314"/>
    </w:p>
    <w:p w:rsidR="00AA2862" w:rsidRPr="00BB229F" w:rsidRDefault="00AA2862" w:rsidP="00AA2862">
      <w:pPr>
        <w:tabs>
          <w:tab w:val="left" w:pos="-1440"/>
          <w:tab w:val="left" w:pos="-720"/>
          <w:tab w:val="left" w:pos="5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outlineLvl w:val="0"/>
        <w:rPr>
          <w:b/>
          <w:spacing w:val="-3"/>
          <w:szCs w:val="22"/>
        </w:rPr>
      </w:pPr>
      <w:r w:rsidRPr="00BB229F">
        <w:rPr>
          <w:b/>
          <w:spacing w:val="-3"/>
          <w:szCs w:val="22"/>
        </w:rPr>
        <w:tab/>
      </w:r>
      <w:bookmarkStart w:id="315" w:name="_Toc491865077"/>
      <w:bookmarkStart w:id="316" w:name="_Toc491865492"/>
      <w:r w:rsidRPr="00BB229F">
        <w:rPr>
          <w:b/>
          <w:spacing w:val="-3"/>
          <w:szCs w:val="22"/>
        </w:rPr>
        <w:t>MHz and 220 MHz Local,</w:t>
      </w:r>
      <w:bookmarkEnd w:id="315"/>
      <w:bookmarkEnd w:id="316"/>
    </w:p>
    <w:p w:rsidR="00AA2862" w:rsidRPr="00BB229F" w:rsidRDefault="00AA2862" w:rsidP="00AA2862">
      <w:pPr>
        <w:tabs>
          <w:tab w:val="left" w:pos="-1440"/>
          <w:tab w:val="left" w:pos="-720"/>
          <w:tab w:val="left" w:pos="5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outlineLvl w:val="0"/>
        <w:rPr>
          <w:b/>
          <w:spacing w:val="-3"/>
          <w:szCs w:val="22"/>
        </w:rPr>
      </w:pPr>
      <w:r w:rsidRPr="00BB229F">
        <w:rPr>
          <w:b/>
          <w:spacing w:val="-3"/>
          <w:szCs w:val="22"/>
        </w:rPr>
        <w:tab/>
      </w:r>
      <w:bookmarkStart w:id="317" w:name="_Toc491865078"/>
      <w:bookmarkStart w:id="318" w:name="_Toc491865493"/>
      <w:r w:rsidRPr="00BB229F">
        <w:rPr>
          <w:b/>
          <w:spacing w:val="-3"/>
          <w:szCs w:val="22"/>
        </w:rPr>
        <w:t>Base Station &amp; SMRS)</w:t>
      </w:r>
      <w:bookmarkEnd w:id="317"/>
      <w:bookmarkEnd w:id="318"/>
    </w:p>
    <w:p w:rsidR="00AA2862" w:rsidRPr="00BB229F" w:rsidRDefault="00AA2862" w:rsidP="00AA2862">
      <w:pPr>
        <w:tabs>
          <w:tab w:val="left" w:pos="-1440"/>
          <w:tab w:val="left" w:pos="-720"/>
          <w:tab w:val="left" w:pos="5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3"/>
          <w:szCs w:val="22"/>
        </w:rPr>
      </w:pPr>
      <w:r w:rsidRPr="00BB229F">
        <w:rPr>
          <w:b/>
          <w:spacing w:val="-3"/>
          <w:szCs w:val="22"/>
        </w:rPr>
        <w:tab/>
        <w:t>(47 CFR part 90)</w:t>
      </w:r>
    </w:p>
    <w:p w:rsidR="00AA2862" w:rsidRPr="00BB229F" w:rsidRDefault="00AA2862" w:rsidP="00AA2862">
      <w:pPr>
        <w:tabs>
          <w:tab w:val="left" w:pos="-1440"/>
          <w:tab w:val="left" w:pos="-720"/>
          <w:tab w:val="left" w:pos="5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3"/>
          <w:szCs w:val="22"/>
        </w:rPr>
      </w:pPr>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t>a)New, Renew/Mod</w:t>
      </w:r>
      <w:r w:rsidRPr="00BB229F">
        <w:rPr>
          <w:spacing w:val="-3"/>
          <w:szCs w:val="22"/>
        </w:rPr>
        <w:tab/>
        <w:t>$25.00</w:t>
      </w: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t xml:space="preserve">  (FCC 601 &amp; 159)</w:t>
      </w:r>
      <w:r w:rsidRPr="00BB229F">
        <w:rPr>
          <w:spacing w:val="-3"/>
          <w:szCs w:val="22"/>
        </w:rPr>
        <w:tab/>
      </w:r>
      <w:r w:rsidRPr="00BB229F">
        <w:rPr>
          <w:spacing w:val="-3"/>
          <w:szCs w:val="22"/>
        </w:rPr>
        <w:tab/>
      </w: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r>
      <w:r w:rsidRPr="00BB229F">
        <w:rPr>
          <w:spacing w:val="-3"/>
          <w:szCs w:val="22"/>
        </w:rPr>
        <w:tab/>
      </w: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t>b) New, Renew/Mod</w:t>
      </w:r>
      <w:r w:rsidRPr="00BB229F">
        <w:rPr>
          <w:spacing w:val="-3"/>
          <w:szCs w:val="22"/>
        </w:rPr>
        <w:tab/>
        <w:t>$25.00</w:t>
      </w: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t xml:space="preserve">   (Electronic Filing)</w:t>
      </w:r>
      <w:r w:rsidRPr="00BB229F">
        <w:rPr>
          <w:spacing w:val="-3"/>
          <w:szCs w:val="22"/>
        </w:rPr>
        <w:tab/>
      </w: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t xml:space="preserve">   (FCC 601 &amp; 159)</w:t>
      </w:r>
      <w:r w:rsidRPr="00BB229F">
        <w:rPr>
          <w:spacing w:val="-3"/>
          <w:szCs w:val="22"/>
        </w:rPr>
        <w:tab/>
      </w: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r>
      <w:r w:rsidRPr="00BB229F">
        <w:rPr>
          <w:spacing w:val="-3"/>
          <w:szCs w:val="22"/>
        </w:rPr>
        <w:tab/>
      </w:r>
      <w:r w:rsidRPr="00BB229F">
        <w:rPr>
          <w:spacing w:val="-3"/>
          <w:szCs w:val="22"/>
        </w:rPr>
        <w:tab/>
      </w:r>
      <w:r w:rsidRPr="00BB229F">
        <w:rPr>
          <w:spacing w:val="-3"/>
          <w:szCs w:val="22"/>
        </w:rPr>
        <w:tab/>
      </w:r>
    </w:p>
    <w:p w:rsidR="00AA2862" w:rsidRPr="00BB229F" w:rsidRDefault="00AA2862" w:rsidP="00AA2862">
      <w:pPr>
        <w:tabs>
          <w:tab w:val="left" w:pos="540"/>
          <w:tab w:val="left" w:pos="4860"/>
          <w:tab w:val="left" w:pos="6840"/>
        </w:tabs>
        <w:suppressAutoHyphens/>
        <w:ind w:left="540"/>
        <w:jc w:val="both"/>
        <w:rPr>
          <w:spacing w:val="-3"/>
          <w:szCs w:val="22"/>
        </w:rPr>
      </w:pPr>
      <w:r w:rsidRPr="00BB229F">
        <w:rPr>
          <w:spacing w:val="-3"/>
          <w:szCs w:val="22"/>
        </w:rPr>
        <w:t>c)Renewal Only</w:t>
      </w:r>
      <w:r w:rsidRPr="00BB229F">
        <w:rPr>
          <w:spacing w:val="-3"/>
          <w:szCs w:val="22"/>
        </w:rPr>
        <w:tab/>
        <w:t>$25.00</w:t>
      </w: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 xml:space="preserve">            (FCC 601 &amp; 159)</w:t>
      </w:r>
      <w:r w:rsidRPr="00BB229F">
        <w:rPr>
          <w:spacing w:val="-3"/>
          <w:szCs w:val="22"/>
        </w:rPr>
        <w:tab/>
      </w: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r>
      <w:r w:rsidRPr="00BB229F">
        <w:rPr>
          <w:spacing w:val="-3"/>
          <w:szCs w:val="22"/>
        </w:rPr>
        <w:tab/>
      </w: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t>d)Renewal Only</w:t>
      </w:r>
      <w:r w:rsidRPr="00BB229F">
        <w:rPr>
          <w:spacing w:val="-3"/>
          <w:szCs w:val="22"/>
        </w:rPr>
        <w:tab/>
        <w:t>$25.00</w:t>
      </w: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t xml:space="preserve">  (Electronic Filing)</w:t>
      </w:r>
      <w:r w:rsidRPr="00BB229F">
        <w:rPr>
          <w:spacing w:val="-3"/>
          <w:szCs w:val="22"/>
        </w:rPr>
        <w:tab/>
      </w: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t xml:space="preserve">  (FCC 601 &amp; 159)</w:t>
      </w:r>
      <w:r w:rsidRPr="00BB229F">
        <w:rPr>
          <w:spacing w:val="-3"/>
          <w:szCs w:val="22"/>
        </w:rPr>
        <w:tab/>
      </w: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t xml:space="preserve"> </w:t>
      </w:r>
      <w:r w:rsidRPr="00BB229F">
        <w:rPr>
          <w:b/>
          <w:spacing w:val="-3"/>
          <w:szCs w:val="22"/>
        </w:rPr>
        <w:t>220 MHz Nationwide</w:t>
      </w:r>
      <w:r w:rsidRPr="00BB229F">
        <w:rPr>
          <w:spacing w:val="-3"/>
          <w:szCs w:val="22"/>
        </w:rPr>
        <w:tab/>
        <w:t>$25.00</w:t>
      </w: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t>a)New, Renew/Mod</w:t>
      </w:r>
      <w:r w:rsidRPr="00BB229F">
        <w:rPr>
          <w:spacing w:val="-3"/>
          <w:szCs w:val="22"/>
        </w:rPr>
        <w:tab/>
      </w: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t xml:space="preserve">  (FCC 601 &amp; 159)</w:t>
      </w:r>
      <w:r w:rsidRPr="00BB229F">
        <w:rPr>
          <w:spacing w:val="-3"/>
          <w:szCs w:val="22"/>
        </w:rPr>
        <w:tab/>
      </w: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t>b)New, Renew/Mod</w:t>
      </w:r>
      <w:r w:rsidRPr="00BB229F">
        <w:rPr>
          <w:spacing w:val="-3"/>
          <w:szCs w:val="22"/>
        </w:rPr>
        <w:tab/>
        <w:t>$25.00</w:t>
      </w: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t xml:space="preserve">   (Electronic Filing)</w:t>
      </w:r>
      <w:r w:rsidRPr="00BB229F">
        <w:rPr>
          <w:spacing w:val="-3"/>
          <w:szCs w:val="22"/>
        </w:rPr>
        <w:tab/>
      </w: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t xml:space="preserve">   (FCC 601 &amp; 159)</w:t>
      </w:r>
      <w:r w:rsidRPr="00BB229F">
        <w:rPr>
          <w:spacing w:val="-3"/>
          <w:szCs w:val="22"/>
        </w:rPr>
        <w:tab/>
      </w: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r>
      <w:r w:rsidRPr="00BB229F">
        <w:rPr>
          <w:spacing w:val="-3"/>
          <w:szCs w:val="22"/>
        </w:rPr>
        <w:tab/>
      </w: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t>c)Renewal Only</w:t>
      </w:r>
      <w:r w:rsidRPr="00BB229F">
        <w:rPr>
          <w:spacing w:val="-3"/>
          <w:szCs w:val="22"/>
        </w:rPr>
        <w:tab/>
        <w:t>$25.00</w:t>
      </w: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t xml:space="preserve">  (FCC 601 &amp; 159)</w:t>
      </w:r>
      <w:r w:rsidRPr="00BB229F">
        <w:rPr>
          <w:spacing w:val="-3"/>
          <w:szCs w:val="22"/>
        </w:rPr>
        <w:tab/>
      </w:r>
      <w:r w:rsidRPr="00BB229F">
        <w:rPr>
          <w:spacing w:val="-3"/>
          <w:szCs w:val="22"/>
        </w:rPr>
        <w:tab/>
      </w:r>
      <w:r w:rsidRPr="00BB229F">
        <w:rPr>
          <w:spacing w:val="-3"/>
          <w:szCs w:val="22"/>
        </w:rPr>
        <w:tab/>
      </w: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 xml:space="preserve">          d)Renewal Only</w:t>
      </w:r>
      <w:r w:rsidRPr="00BB229F">
        <w:rPr>
          <w:spacing w:val="-3"/>
          <w:szCs w:val="22"/>
        </w:rPr>
        <w:tab/>
        <w:t>$25.00</w:t>
      </w: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t xml:space="preserve">  (Electronic Filing)</w:t>
      </w:r>
      <w:r w:rsidRPr="00BB229F">
        <w:rPr>
          <w:spacing w:val="-3"/>
          <w:szCs w:val="22"/>
        </w:rPr>
        <w:tab/>
      </w: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t xml:space="preserve">  (FCC 601 &amp; 159)</w:t>
      </w:r>
      <w:r w:rsidRPr="00BB229F">
        <w:rPr>
          <w:spacing w:val="-3"/>
          <w:szCs w:val="22"/>
        </w:rPr>
        <w:tab/>
      </w: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r>
      <w:r w:rsidRPr="00BB229F">
        <w:rPr>
          <w:spacing w:val="-3"/>
          <w:szCs w:val="22"/>
        </w:rPr>
        <w:tab/>
      </w:r>
      <w:r w:rsidRPr="00BB229F">
        <w:rPr>
          <w:spacing w:val="-3"/>
          <w:szCs w:val="22"/>
        </w:rPr>
        <w:tab/>
      </w:r>
    </w:p>
    <w:p w:rsidR="00AA2862" w:rsidRPr="00BB229F" w:rsidRDefault="00AA2862" w:rsidP="00AA2862">
      <w:pPr>
        <w:tabs>
          <w:tab w:val="left" w:pos="540"/>
          <w:tab w:val="left" w:pos="4860"/>
          <w:tab w:val="left" w:pos="6840"/>
        </w:tabs>
        <w:suppressAutoHyphens/>
        <w:jc w:val="both"/>
        <w:outlineLvl w:val="0"/>
        <w:rPr>
          <w:spacing w:val="-3"/>
          <w:szCs w:val="22"/>
        </w:rPr>
      </w:pPr>
      <w:bookmarkStart w:id="319" w:name="_Toc491865079"/>
      <w:bookmarkStart w:id="320" w:name="_Toc491865494"/>
      <w:r w:rsidRPr="00BB229F">
        <w:rPr>
          <w:b/>
          <w:spacing w:val="-3"/>
          <w:szCs w:val="22"/>
        </w:rPr>
        <w:t>2.</w:t>
      </w:r>
      <w:r w:rsidRPr="00BB229F">
        <w:rPr>
          <w:b/>
          <w:spacing w:val="-3"/>
          <w:szCs w:val="22"/>
        </w:rPr>
        <w:tab/>
        <w:t>Microwave (47 CFR Pt. 101) (Private)</w:t>
      </w:r>
      <w:bookmarkEnd w:id="319"/>
      <w:bookmarkEnd w:id="320"/>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 xml:space="preserve">         </w:t>
      </w:r>
      <w:r w:rsidRPr="00BB229F">
        <w:rPr>
          <w:spacing w:val="-3"/>
          <w:szCs w:val="22"/>
        </w:rPr>
        <w:tab/>
        <w:t>a)New, Renew/Mod</w:t>
      </w:r>
      <w:r w:rsidRPr="00BB229F">
        <w:rPr>
          <w:spacing w:val="-3"/>
          <w:szCs w:val="22"/>
        </w:rPr>
        <w:tab/>
        <w:t>$25.00</w:t>
      </w: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t xml:space="preserve">  (FCC 601 &amp; 159)</w:t>
      </w:r>
      <w:r w:rsidRPr="00BB229F">
        <w:rPr>
          <w:spacing w:val="-3"/>
          <w:szCs w:val="22"/>
        </w:rPr>
        <w:tab/>
      </w: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r>
      <w:r w:rsidRPr="00BB229F">
        <w:rPr>
          <w:spacing w:val="-3"/>
          <w:szCs w:val="22"/>
        </w:rPr>
        <w:tab/>
      </w: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t>b)New, Renew/Mod</w:t>
      </w:r>
      <w:r w:rsidRPr="00BB229F">
        <w:rPr>
          <w:spacing w:val="-3"/>
          <w:szCs w:val="22"/>
        </w:rPr>
        <w:tab/>
        <w:t>$25.00</w:t>
      </w: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t xml:space="preserve">  (Electronic Filing)</w:t>
      </w:r>
      <w:r w:rsidRPr="00BB229F">
        <w:rPr>
          <w:spacing w:val="-3"/>
          <w:szCs w:val="22"/>
        </w:rPr>
        <w:tab/>
      </w: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t xml:space="preserve">  (FCC 601 &amp; 159)</w:t>
      </w:r>
      <w:r w:rsidRPr="00BB229F">
        <w:rPr>
          <w:spacing w:val="-3"/>
          <w:szCs w:val="22"/>
        </w:rPr>
        <w:tab/>
      </w: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r>
      <w:r w:rsidRPr="00BB229F">
        <w:rPr>
          <w:spacing w:val="-3"/>
          <w:szCs w:val="22"/>
        </w:rPr>
        <w:tab/>
      </w:r>
    </w:p>
    <w:p w:rsidR="00AA2862" w:rsidRPr="00BB229F" w:rsidRDefault="00AA2862" w:rsidP="00AA2862">
      <w:pPr>
        <w:tabs>
          <w:tab w:val="left" w:pos="540"/>
          <w:tab w:val="left" w:pos="4860"/>
          <w:tab w:val="left" w:pos="6840"/>
        </w:tabs>
        <w:suppressAutoHyphens/>
        <w:ind w:left="540"/>
        <w:jc w:val="both"/>
        <w:rPr>
          <w:spacing w:val="-3"/>
          <w:szCs w:val="22"/>
        </w:rPr>
      </w:pPr>
      <w:r w:rsidRPr="00BB229F">
        <w:rPr>
          <w:spacing w:val="-3"/>
          <w:szCs w:val="22"/>
        </w:rPr>
        <w:t>c)Renewal Only</w:t>
      </w:r>
      <w:r w:rsidRPr="00BB229F">
        <w:rPr>
          <w:spacing w:val="-3"/>
          <w:szCs w:val="22"/>
        </w:rPr>
        <w:tab/>
        <w:t>$25.00</w:t>
      </w: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t xml:space="preserve">  (FCC 601 &amp; 159)</w:t>
      </w:r>
      <w:r w:rsidRPr="00BB229F">
        <w:rPr>
          <w:spacing w:val="-3"/>
          <w:szCs w:val="22"/>
        </w:rPr>
        <w:tab/>
      </w: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r>
      <w:r w:rsidRPr="00BB229F">
        <w:rPr>
          <w:spacing w:val="-3"/>
          <w:szCs w:val="22"/>
        </w:rPr>
        <w:tab/>
      </w: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 xml:space="preserve">          d)Renewal Only</w:t>
      </w:r>
      <w:r w:rsidRPr="00BB229F">
        <w:rPr>
          <w:spacing w:val="-3"/>
          <w:szCs w:val="22"/>
        </w:rPr>
        <w:tab/>
        <w:t>$25.00</w:t>
      </w: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t xml:space="preserve">    (Electronic Filing)</w:t>
      </w:r>
      <w:r w:rsidRPr="00BB229F">
        <w:rPr>
          <w:spacing w:val="-3"/>
          <w:szCs w:val="22"/>
        </w:rPr>
        <w:tab/>
      </w: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t xml:space="preserve">    (FCC 601 &amp; 159)</w:t>
      </w:r>
      <w:r w:rsidRPr="00BB229F">
        <w:rPr>
          <w:spacing w:val="-3"/>
          <w:szCs w:val="22"/>
        </w:rPr>
        <w:tab/>
      </w:r>
      <w:r w:rsidRPr="00BB229F">
        <w:rPr>
          <w:spacing w:val="-3"/>
          <w:szCs w:val="22"/>
        </w:rPr>
        <w:tab/>
      </w:r>
    </w:p>
    <w:p w:rsidR="00AA2862" w:rsidRPr="00BB229F" w:rsidRDefault="00AA2862" w:rsidP="00992A12">
      <w:pPr>
        <w:tabs>
          <w:tab w:val="left" w:pos="540"/>
          <w:tab w:val="left" w:pos="4860"/>
          <w:tab w:val="left" w:pos="6840"/>
        </w:tabs>
        <w:suppressAutoHyphens/>
        <w:jc w:val="both"/>
        <w:rPr>
          <w:spacing w:val="-3"/>
          <w:szCs w:val="22"/>
        </w:rPr>
      </w:pPr>
      <w:r w:rsidRPr="00BB229F">
        <w:rPr>
          <w:spacing w:val="-3"/>
          <w:szCs w:val="22"/>
        </w:rPr>
        <w:tab/>
      </w:r>
      <w:r w:rsidRPr="00BB229F">
        <w:rPr>
          <w:spacing w:val="-3"/>
          <w:szCs w:val="22"/>
        </w:rPr>
        <w:tab/>
      </w:r>
      <w:r w:rsidRPr="00BB229F">
        <w:rPr>
          <w:spacing w:val="-3"/>
          <w:szCs w:val="22"/>
        </w:rPr>
        <w:tab/>
      </w:r>
    </w:p>
    <w:p w:rsidR="00AA2862" w:rsidRPr="00BB229F" w:rsidRDefault="00AA2862" w:rsidP="00AA2862">
      <w:pPr>
        <w:tabs>
          <w:tab w:val="left" w:pos="540"/>
          <w:tab w:val="left" w:pos="4860"/>
          <w:tab w:val="left" w:pos="6840"/>
        </w:tabs>
        <w:suppressAutoHyphens/>
        <w:jc w:val="both"/>
        <w:outlineLvl w:val="0"/>
        <w:rPr>
          <w:spacing w:val="-3"/>
          <w:szCs w:val="22"/>
        </w:rPr>
      </w:pPr>
      <w:bookmarkStart w:id="321" w:name="_Toc491865080"/>
      <w:bookmarkStart w:id="322" w:name="_Toc491865495"/>
      <w:r w:rsidRPr="00BB229F">
        <w:rPr>
          <w:b/>
          <w:spacing w:val="-3"/>
          <w:szCs w:val="22"/>
        </w:rPr>
        <w:t>3.  Shared Use Services</w:t>
      </w:r>
      <w:bookmarkEnd w:id="321"/>
      <w:bookmarkEnd w:id="322"/>
    </w:p>
    <w:p w:rsidR="00AA2862" w:rsidRPr="00BB229F" w:rsidRDefault="00AA2862" w:rsidP="00AA2862">
      <w:pPr>
        <w:tabs>
          <w:tab w:val="left" w:pos="540"/>
          <w:tab w:val="left" w:pos="4860"/>
          <w:tab w:val="left" w:pos="6840"/>
        </w:tabs>
        <w:suppressAutoHyphens/>
        <w:jc w:val="both"/>
        <w:rPr>
          <w:spacing w:val="-3"/>
          <w:szCs w:val="22"/>
        </w:rPr>
      </w:pPr>
    </w:p>
    <w:p w:rsidR="00AA2862" w:rsidRPr="00BB229F" w:rsidRDefault="00AA2862" w:rsidP="00AA2862">
      <w:pPr>
        <w:tabs>
          <w:tab w:val="left" w:pos="540"/>
          <w:tab w:val="left" w:pos="4860"/>
          <w:tab w:val="left" w:pos="6840"/>
        </w:tabs>
        <w:suppressAutoHyphens/>
        <w:jc w:val="both"/>
        <w:outlineLvl w:val="0"/>
        <w:rPr>
          <w:b/>
          <w:spacing w:val="-3"/>
          <w:szCs w:val="22"/>
        </w:rPr>
      </w:pPr>
      <w:r w:rsidRPr="00BB229F">
        <w:rPr>
          <w:spacing w:val="-3"/>
          <w:szCs w:val="22"/>
        </w:rPr>
        <w:t xml:space="preserve">          </w:t>
      </w:r>
      <w:bookmarkStart w:id="323" w:name="_Toc491865081"/>
      <w:bookmarkStart w:id="324" w:name="_Toc491865496"/>
      <w:r w:rsidRPr="00BB229F">
        <w:rPr>
          <w:b/>
          <w:spacing w:val="-3"/>
          <w:szCs w:val="22"/>
        </w:rPr>
        <w:t>Land Mobile (Frequencies</w:t>
      </w:r>
      <w:bookmarkEnd w:id="323"/>
      <w:bookmarkEnd w:id="324"/>
    </w:p>
    <w:p w:rsidR="00AA2862" w:rsidRPr="00BB229F" w:rsidRDefault="00AA2862" w:rsidP="00AA2862">
      <w:pPr>
        <w:tabs>
          <w:tab w:val="left" w:pos="540"/>
          <w:tab w:val="left" w:pos="4860"/>
          <w:tab w:val="left" w:pos="6840"/>
        </w:tabs>
        <w:suppressAutoHyphens/>
        <w:jc w:val="both"/>
        <w:outlineLvl w:val="0"/>
        <w:rPr>
          <w:b/>
          <w:spacing w:val="-3"/>
          <w:szCs w:val="22"/>
        </w:rPr>
      </w:pPr>
      <w:r w:rsidRPr="00BB229F">
        <w:rPr>
          <w:spacing w:val="-3"/>
          <w:szCs w:val="22"/>
        </w:rPr>
        <w:t xml:space="preserve">          </w:t>
      </w:r>
      <w:bookmarkStart w:id="325" w:name="_Toc491865082"/>
      <w:bookmarkStart w:id="326" w:name="_Toc491865497"/>
      <w:r w:rsidRPr="00BB229F">
        <w:rPr>
          <w:b/>
          <w:spacing w:val="-3"/>
          <w:szCs w:val="22"/>
        </w:rPr>
        <w:t>Below 470 MHz – except</w:t>
      </w:r>
      <w:bookmarkEnd w:id="325"/>
      <w:bookmarkEnd w:id="326"/>
    </w:p>
    <w:p w:rsidR="00AA2862" w:rsidRPr="00BB229F" w:rsidRDefault="00AA2862" w:rsidP="00AA2862">
      <w:pPr>
        <w:tabs>
          <w:tab w:val="left" w:pos="540"/>
          <w:tab w:val="left" w:pos="4860"/>
          <w:tab w:val="left" w:pos="6840"/>
        </w:tabs>
        <w:suppressAutoHyphens/>
        <w:jc w:val="both"/>
        <w:outlineLvl w:val="0"/>
        <w:rPr>
          <w:b/>
          <w:spacing w:val="-3"/>
          <w:szCs w:val="22"/>
        </w:rPr>
      </w:pPr>
      <w:r w:rsidRPr="00BB229F">
        <w:rPr>
          <w:b/>
          <w:spacing w:val="-3"/>
          <w:szCs w:val="22"/>
        </w:rPr>
        <w:t xml:space="preserve">           </w:t>
      </w:r>
      <w:bookmarkStart w:id="327" w:name="_Toc491865083"/>
      <w:bookmarkStart w:id="328" w:name="_Toc491865498"/>
      <w:r w:rsidRPr="00BB229F">
        <w:rPr>
          <w:b/>
          <w:spacing w:val="-3"/>
          <w:szCs w:val="22"/>
        </w:rPr>
        <w:t>220 MHz)</w:t>
      </w:r>
      <w:bookmarkEnd w:id="327"/>
      <w:bookmarkEnd w:id="328"/>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t>a)New, Renew/Mod</w:t>
      </w:r>
      <w:r w:rsidRPr="00BB229F">
        <w:rPr>
          <w:spacing w:val="-3"/>
          <w:szCs w:val="22"/>
        </w:rPr>
        <w:tab/>
        <w:t>$10.00</w:t>
      </w: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t xml:space="preserve">  (FCC 601 &amp; 159)</w:t>
      </w:r>
      <w:r w:rsidRPr="00BB229F">
        <w:rPr>
          <w:spacing w:val="-3"/>
          <w:szCs w:val="22"/>
        </w:rPr>
        <w:tab/>
      </w:r>
      <w:r w:rsidRPr="00BB229F">
        <w:rPr>
          <w:spacing w:val="-3"/>
          <w:szCs w:val="22"/>
        </w:rPr>
        <w:tab/>
      </w:r>
      <w:r w:rsidRPr="00BB229F">
        <w:rPr>
          <w:spacing w:val="-3"/>
          <w:szCs w:val="22"/>
        </w:rPr>
        <w:tab/>
      </w: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t>b) New, Renew/Mod</w:t>
      </w:r>
      <w:r w:rsidRPr="00BB229F">
        <w:rPr>
          <w:spacing w:val="-3"/>
          <w:szCs w:val="22"/>
        </w:rPr>
        <w:tab/>
        <w:t>$10.00</w:t>
      </w: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t xml:space="preserve">   (Electronic Filing)</w:t>
      </w:r>
      <w:r w:rsidRPr="00BB229F">
        <w:rPr>
          <w:spacing w:val="-3"/>
          <w:szCs w:val="22"/>
        </w:rPr>
        <w:tab/>
      </w: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t xml:space="preserve">   (FCC 601 &amp; 159)</w:t>
      </w:r>
      <w:r w:rsidRPr="00BB229F">
        <w:rPr>
          <w:spacing w:val="-3"/>
          <w:szCs w:val="22"/>
        </w:rPr>
        <w:tab/>
      </w: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t>c)Renewal Only</w:t>
      </w:r>
      <w:r w:rsidRPr="00BB229F">
        <w:rPr>
          <w:spacing w:val="-3"/>
          <w:szCs w:val="22"/>
        </w:rPr>
        <w:tab/>
        <w:t>$10.00</w:t>
      </w: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t xml:space="preserve">  (FCC 601 &amp; 159)</w:t>
      </w:r>
      <w:r w:rsidRPr="00BB229F">
        <w:rPr>
          <w:spacing w:val="-3"/>
          <w:szCs w:val="22"/>
        </w:rPr>
        <w:tab/>
      </w:r>
      <w:r w:rsidRPr="00BB229F">
        <w:rPr>
          <w:spacing w:val="-3"/>
          <w:szCs w:val="22"/>
        </w:rPr>
        <w:tab/>
      </w:r>
      <w:r w:rsidRPr="00BB229F">
        <w:rPr>
          <w:spacing w:val="-3"/>
          <w:szCs w:val="22"/>
        </w:rPr>
        <w:tab/>
      </w: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t>d)Renewal Only</w:t>
      </w:r>
      <w:r w:rsidRPr="00BB229F">
        <w:rPr>
          <w:spacing w:val="-3"/>
          <w:szCs w:val="22"/>
        </w:rPr>
        <w:tab/>
        <w:t>$10.00</w:t>
      </w: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t xml:space="preserve">  (Electronic Filing)</w:t>
      </w:r>
      <w:r w:rsidRPr="00BB229F">
        <w:rPr>
          <w:spacing w:val="-3"/>
          <w:szCs w:val="22"/>
        </w:rPr>
        <w:tab/>
      </w: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t xml:space="preserve">  (FCC 601 &amp; 159)</w:t>
      </w:r>
      <w:r w:rsidRPr="00BB229F">
        <w:rPr>
          <w:spacing w:val="-3"/>
          <w:szCs w:val="22"/>
        </w:rPr>
        <w:tab/>
      </w:r>
      <w:r w:rsidRPr="00BB229F">
        <w:rPr>
          <w:spacing w:val="-3"/>
          <w:szCs w:val="22"/>
        </w:rPr>
        <w:tab/>
      </w:r>
    </w:p>
    <w:p w:rsidR="00AA2862" w:rsidRPr="00BB229F" w:rsidRDefault="00AA2862" w:rsidP="00992A12">
      <w:pPr>
        <w:tabs>
          <w:tab w:val="left" w:pos="540"/>
          <w:tab w:val="left" w:pos="4860"/>
          <w:tab w:val="left" w:pos="6840"/>
        </w:tabs>
        <w:suppressAutoHyphens/>
        <w:jc w:val="both"/>
        <w:rPr>
          <w:spacing w:val="-3"/>
          <w:szCs w:val="22"/>
        </w:rPr>
      </w:pPr>
      <w:r w:rsidRPr="00BB229F">
        <w:rPr>
          <w:spacing w:val="-3"/>
          <w:szCs w:val="22"/>
        </w:rPr>
        <w:tab/>
      </w:r>
      <w:r w:rsidRPr="00BB229F">
        <w:rPr>
          <w:spacing w:val="-3"/>
          <w:szCs w:val="22"/>
        </w:rPr>
        <w:tab/>
      </w:r>
      <w:r w:rsidRPr="00BB229F">
        <w:rPr>
          <w:spacing w:val="-3"/>
          <w:szCs w:val="22"/>
        </w:rPr>
        <w:tab/>
      </w:r>
    </w:p>
    <w:p w:rsidR="00AA2862" w:rsidRPr="00BB229F" w:rsidRDefault="00AA2862" w:rsidP="00AA2862">
      <w:pPr>
        <w:tabs>
          <w:tab w:val="left" w:pos="540"/>
          <w:tab w:val="left" w:pos="4860"/>
          <w:tab w:val="left" w:pos="6840"/>
        </w:tabs>
        <w:suppressAutoHyphens/>
        <w:jc w:val="both"/>
        <w:outlineLvl w:val="0"/>
        <w:rPr>
          <w:spacing w:val="-3"/>
          <w:szCs w:val="22"/>
        </w:rPr>
      </w:pPr>
      <w:r w:rsidRPr="00BB229F">
        <w:rPr>
          <w:b/>
          <w:spacing w:val="-3"/>
          <w:szCs w:val="22"/>
        </w:rPr>
        <w:tab/>
      </w:r>
      <w:bookmarkStart w:id="329" w:name="_Toc491865084"/>
      <w:bookmarkStart w:id="330" w:name="_Toc491865499"/>
      <w:r w:rsidRPr="00BB229F">
        <w:rPr>
          <w:b/>
          <w:spacing w:val="-3"/>
          <w:szCs w:val="22"/>
        </w:rPr>
        <w:t>Rural Radio (Part 22)</w:t>
      </w:r>
      <w:bookmarkEnd w:id="329"/>
      <w:bookmarkEnd w:id="330"/>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t>a)New, Additional Facility,</w:t>
      </w:r>
      <w:r w:rsidRPr="00BB229F">
        <w:rPr>
          <w:spacing w:val="-3"/>
          <w:szCs w:val="22"/>
        </w:rPr>
        <w:tab/>
        <w:t>$10.00</w:t>
      </w: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t xml:space="preserve">   Major Renew/Mod</w:t>
      </w:r>
      <w:r w:rsidRPr="00BB229F">
        <w:rPr>
          <w:spacing w:val="-3"/>
          <w:szCs w:val="22"/>
        </w:rPr>
        <w:tab/>
      </w: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t xml:space="preserve">  (Electronic Filing)</w:t>
      </w:r>
      <w:r w:rsidRPr="00BB229F">
        <w:rPr>
          <w:spacing w:val="-3"/>
          <w:szCs w:val="22"/>
        </w:rPr>
        <w:tab/>
      </w: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t xml:space="preserve">  (FCC 601 &amp; 159)</w:t>
      </w:r>
      <w:r w:rsidRPr="00BB229F">
        <w:rPr>
          <w:spacing w:val="-3"/>
          <w:szCs w:val="22"/>
        </w:rPr>
        <w:tab/>
      </w: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t>b)Renewal, Minor Renew/Mod</w:t>
      </w:r>
      <w:r w:rsidRPr="00BB229F">
        <w:rPr>
          <w:spacing w:val="-3"/>
          <w:szCs w:val="22"/>
        </w:rPr>
        <w:tab/>
        <w:t>$10.00</w:t>
      </w: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t xml:space="preserve">  (Electronic Filing)</w:t>
      </w:r>
      <w:r w:rsidRPr="00BB229F">
        <w:rPr>
          <w:spacing w:val="-3"/>
          <w:szCs w:val="22"/>
        </w:rPr>
        <w:tab/>
      </w: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t xml:space="preserve">  (FCC 601 &amp; 159)</w:t>
      </w:r>
      <w:r w:rsidRPr="00BB229F">
        <w:rPr>
          <w:spacing w:val="-3"/>
          <w:szCs w:val="22"/>
        </w:rPr>
        <w:tab/>
      </w: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r>
      <w:r w:rsidRPr="00BB229F">
        <w:rPr>
          <w:spacing w:val="-3"/>
          <w:szCs w:val="22"/>
        </w:rPr>
        <w:tab/>
      </w:r>
      <w:r w:rsidRPr="00BB229F">
        <w:rPr>
          <w:spacing w:val="-3"/>
          <w:szCs w:val="22"/>
        </w:rPr>
        <w:tab/>
      </w:r>
    </w:p>
    <w:p w:rsidR="00AA2862" w:rsidRPr="00BB229F" w:rsidRDefault="00AA2862" w:rsidP="00AA2862">
      <w:pPr>
        <w:tabs>
          <w:tab w:val="left" w:pos="540"/>
          <w:tab w:val="left" w:pos="4860"/>
          <w:tab w:val="left" w:pos="6840"/>
        </w:tabs>
        <w:suppressAutoHyphens/>
        <w:jc w:val="both"/>
        <w:outlineLvl w:val="0"/>
        <w:rPr>
          <w:b/>
          <w:spacing w:val="-3"/>
          <w:szCs w:val="22"/>
        </w:rPr>
      </w:pPr>
      <w:r w:rsidRPr="00BB229F">
        <w:rPr>
          <w:b/>
          <w:spacing w:val="-3"/>
          <w:szCs w:val="22"/>
        </w:rPr>
        <w:tab/>
      </w:r>
      <w:bookmarkStart w:id="331" w:name="_Toc491865085"/>
      <w:bookmarkStart w:id="332" w:name="_Toc491865500"/>
      <w:r w:rsidRPr="00BB229F">
        <w:rPr>
          <w:b/>
          <w:spacing w:val="-3"/>
          <w:szCs w:val="22"/>
        </w:rPr>
        <w:t>Marine Coast</w:t>
      </w:r>
      <w:bookmarkEnd w:id="331"/>
      <w:bookmarkEnd w:id="332"/>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t>a)New Renewal/Mod</w:t>
      </w:r>
      <w:r w:rsidRPr="00BB229F">
        <w:rPr>
          <w:spacing w:val="-3"/>
          <w:szCs w:val="22"/>
        </w:rPr>
        <w:tab/>
        <w:t>$40.00</w:t>
      </w: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t xml:space="preserve">  (FCC 601 &amp; 159)</w:t>
      </w:r>
      <w:r w:rsidRPr="00BB229F">
        <w:rPr>
          <w:spacing w:val="-3"/>
          <w:szCs w:val="22"/>
        </w:rPr>
        <w:tab/>
      </w: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r>
      <w:r w:rsidRPr="00BB229F">
        <w:rPr>
          <w:spacing w:val="-3"/>
          <w:szCs w:val="22"/>
        </w:rPr>
        <w:tab/>
      </w: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t>b)New, Renewal/Mod</w:t>
      </w:r>
      <w:r w:rsidRPr="00BB229F">
        <w:rPr>
          <w:spacing w:val="-3"/>
          <w:szCs w:val="22"/>
        </w:rPr>
        <w:tab/>
        <w:t>$40.00</w:t>
      </w: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t xml:space="preserve">  (Electronic Filing)</w:t>
      </w:r>
      <w:r w:rsidRPr="00BB229F">
        <w:rPr>
          <w:spacing w:val="-3"/>
          <w:szCs w:val="22"/>
        </w:rPr>
        <w:tab/>
      </w: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t xml:space="preserve">  (FCC 601 &amp; 159)</w:t>
      </w:r>
      <w:r w:rsidRPr="00BB229F">
        <w:rPr>
          <w:spacing w:val="-3"/>
          <w:szCs w:val="22"/>
        </w:rPr>
        <w:tab/>
      </w: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r>
      <w:r w:rsidRPr="00BB229F">
        <w:rPr>
          <w:spacing w:val="-3"/>
          <w:szCs w:val="22"/>
        </w:rPr>
        <w:tab/>
      </w:r>
    </w:p>
    <w:p w:rsidR="00AA2862" w:rsidRPr="00BB229F" w:rsidRDefault="00AA2862" w:rsidP="00AA2862">
      <w:pPr>
        <w:tabs>
          <w:tab w:val="left" w:pos="540"/>
          <w:tab w:val="left" w:pos="4860"/>
          <w:tab w:val="left" w:pos="6840"/>
        </w:tabs>
        <w:suppressAutoHyphens/>
        <w:ind w:left="540"/>
        <w:jc w:val="both"/>
        <w:rPr>
          <w:spacing w:val="-3"/>
          <w:szCs w:val="22"/>
        </w:rPr>
      </w:pPr>
      <w:r w:rsidRPr="00BB229F">
        <w:rPr>
          <w:spacing w:val="-3"/>
          <w:szCs w:val="22"/>
        </w:rPr>
        <w:t>c)Renewal Only</w:t>
      </w:r>
      <w:r w:rsidRPr="00BB229F">
        <w:rPr>
          <w:spacing w:val="-3"/>
          <w:szCs w:val="22"/>
        </w:rPr>
        <w:tab/>
        <w:t>$40.00</w:t>
      </w: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t xml:space="preserve">  (FCC 601 &amp; 159)</w:t>
      </w:r>
      <w:r w:rsidRPr="00BB229F">
        <w:rPr>
          <w:spacing w:val="-3"/>
          <w:szCs w:val="22"/>
        </w:rPr>
        <w:tab/>
      </w: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t xml:space="preserve">  </w:t>
      </w:r>
      <w:r w:rsidRPr="00BB229F">
        <w:rPr>
          <w:spacing w:val="-3"/>
          <w:szCs w:val="22"/>
        </w:rPr>
        <w:tab/>
      </w: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t>d)Renewal Only</w:t>
      </w:r>
      <w:r w:rsidRPr="00BB229F">
        <w:rPr>
          <w:spacing w:val="-3"/>
          <w:szCs w:val="22"/>
        </w:rPr>
        <w:tab/>
        <w:t>$40.00</w:t>
      </w: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t xml:space="preserve">  (Electronic Filing)</w:t>
      </w:r>
      <w:r w:rsidRPr="00BB229F">
        <w:rPr>
          <w:spacing w:val="-3"/>
          <w:szCs w:val="22"/>
        </w:rPr>
        <w:tab/>
      </w: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t xml:space="preserve">  (FCC 601 &amp; 159)</w:t>
      </w:r>
      <w:r w:rsidRPr="00BB229F">
        <w:rPr>
          <w:spacing w:val="-3"/>
          <w:szCs w:val="22"/>
        </w:rPr>
        <w:tab/>
      </w: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r>
      <w:r w:rsidRPr="00BB229F">
        <w:rPr>
          <w:spacing w:val="-3"/>
          <w:szCs w:val="22"/>
        </w:rPr>
        <w:tab/>
      </w:r>
      <w:r w:rsidRPr="00BB229F">
        <w:rPr>
          <w:spacing w:val="-3"/>
          <w:szCs w:val="22"/>
        </w:rPr>
        <w:tab/>
      </w:r>
    </w:p>
    <w:p w:rsidR="00AA2862" w:rsidRPr="00BB229F" w:rsidRDefault="00AA2862" w:rsidP="00AA2862">
      <w:pPr>
        <w:tabs>
          <w:tab w:val="left" w:pos="540"/>
          <w:tab w:val="left" w:pos="4860"/>
          <w:tab w:val="left" w:pos="6840"/>
        </w:tabs>
        <w:suppressAutoHyphens/>
        <w:jc w:val="both"/>
        <w:outlineLvl w:val="0"/>
        <w:rPr>
          <w:b/>
          <w:spacing w:val="-3"/>
          <w:szCs w:val="22"/>
        </w:rPr>
      </w:pPr>
      <w:r w:rsidRPr="00BB229F">
        <w:rPr>
          <w:b/>
          <w:spacing w:val="-3"/>
          <w:szCs w:val="22"/>
        </w:rPr>
        <w:tab/>
      </w:r>
      <w:bookmarkStart w:id="333" w:name="_Toc491865086"/>
      <w:bookmarkStart w:id="334" w:name="_Toc491865501"/>
      <w:r w:rsidRPr="00BB229F">
        <w:rPr>
          <w:b/>
          <w:spacing w:val="-3"/>
          <w:szCs w:val="22"/>
        </w:rPr>
        <w:t>Aviation Ground</w:t>
      </w:r>
      <w:bookmarkEnd w:id="333"/>
      <w:bookmarkEnd w:id="334"/>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t>a)New, Renewal/Mod</w:t>
      </w:r>
      <w:r w:rsidRPr="00BB229F">
        <w:rPr>
          <w:spacing w:val="-3"/>
          <w:szCs w:val="22"/>
        </w:rPr>
        <w:tab/>
        <w:t>$20.00</w:t>
      </w: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t xml:space="preserve">  (FCC 601 &amp; 159)</w:t>
      </w:r>
      <w:r w:rsidRPr="00BB229F">
        <w:rPr>
          <w:spacing w:val="-3"/>
          <w:szCs w:val="22"/>
        </w:rPr>
        <w:tab/>
      </w: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r>
      <w:r w:rsidRPr="00BB229F">
        <w:rPr>
          <w:spacing w:val="-3"/>
          <w:szCs w:val="22"/>
        </w:rPr>
        <w:tab/>
      </w: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t>b)New, Renewal/Mod</w:t>
      </w:r>
      <w:r w:rsidRPr="00BB229F">
        <w:rPr>
          <w:spacing w:val="-3"/>
          <w:szCs w:val="22"/>
        </w:rPr>
        <w:tab/>
        <w:t>$20.00</w:t>
      </w: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t xml:space="preserve">  (Electronic Filing)</w:t>
      </w:r>
      <w:r w:rsidRPr="00BB229F">
        <w:rPr>
          <w:spacing w:val="-3"/>
          <w:szCs w:val="22"/>
        </w:rPr>
        <w:tab/>
      </w: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t xml:space="preserve">  (FCC 601 &amp; 159)</w:t>
      </w:r>
      <w:r w:rsidRPr="00BB229F">
        <w:rPr>
          <w:spacing w:val="-3"/>
          <w:szCs w:val="22"/>
        </w:rPr>
        <w:tab/>
      </w: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t>c)Renewal Only</w:t>
      </w:r>
      <w:r w:rsidRPr="00BB229F">
        <w:rPr>
          <w:spacing w:val="-3"/>
          <w:szCs w:val="22"/>
        </w:rPr>
        <w:tab/>
        <w:t>$20.00</w:t>
      </w: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t xml:space="preserve">  (FCC 601 &amp; 159)</w:t>
      </w:r>
      <w:r w:rsidRPr="00BB229F">
        <w:rPr>
          <w:spacing w:val="-3"/>
          <w:szCs w:val="22"/>
        </w:rPr>
        <w:tab/>
      </w: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t>d)Renewal Only</w:t>
      </w:r>
      <w:r w:rsidRPr="00BB229F">
        <w:rPr>
          <w:spacing w:val="-3"/>
          <w:szCs w:val="22"/>
        </w:rPr>
        <w:tab/>
        <w:t>$20.00</w:t>
      </w: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t xml:space="preserve">  (Electronic Only)</w:t>
      </w:r>
      <w:r w:rsidRPr="00BB229F">
        <w:rPr>
          <w:spacing w:val="-3"/>
          <w:szCs w:val="22"/>
        </w:rPr>
        <w:tab/>
      </w: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t xml:space="preserve">  (FCC 601 &amp; 159)</w:t>
      </w:r>
      <w:r w:rsidRPr="00BB229F">
        <w:rPr>
          <w:spacing w:val="-3"/>
          <w:szCs w:val="22"/>
        </w:rPr>
        <w:tab/>
      </w: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r>
      <w:r w:rsidRPr="00BB229F">
        <w:rPr>
          <w:spacing w:val="-3"/>
          <w:szCs w:val="22"/>
        </w:rPr>
        <w:tab/>
      </w:r>
      <w:r w:rsidRPr="00BB229F">
        <w:rPr>
          <w:spacing w:val="-3"/>
          <w:szCs w:val="22"/>
        </w:rPr>
        <w:tab/>
      </w:r>
    </w:p>
    <w:p w:rsidR="00AA2862" w:rsidRPr="00BB229F" w:rsidRDefault="00AA2862" w:rsidP="00AA2862">
      <w:pPr>
        <w:tabs>
          <w:tab w:val="left" w:pos="540"/>
          <w:tab w:val="left" w:pos="4860"/>
          <w:tab w:val="left" w:pos="6840"/>
        </w:tabs>
        <w:suppressAutoHyphens/>
        <w:jc w:val="both"/>
        <w:outlineLvl w:val="0"/>
        <w:rPr>
          <w:spacing w:val="-3"/>
          <w:szCs w:val="22"/>
        </w:rPr>
      </w:pPr>
      <w:r w:rsidRPr="00BB229F">
        <w:rPr>
          <w:b/>
          <w:spacing w:val="-3"/>
          <w:szCs w:val="22"/>
        </w:rPr>
        <w:tab/>
      </w:r>
      <w:bookmarkStart w:id="335" w:name="_Toc491865087"/>
      <w:bookmarkStart w:id="336" w:name="_Toc491865502"/>
      <w:r w:rsidRPr="00BB229F">
        <w:rPr>
          <w:b/>
          <w:spacing w:val="-3"/>
          <w:szCs w:val="22"/>
        </w:rPr>
        <w:t>Marine Ship</w:t>
      </w:r>
      <w:bookmarkEnd w:id="335"/>
      <w:bookmarkEnd w:id="336"/>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t>a)New, Renewal/Mod</w:t>
      </w:r>
      <w:r w:rsidRPr="00BB229F">
        <w:rPr>
          <w:spacing w:val="-3"/>
          <w:szCs w:val="22"/>
        </w:rPr>
        <w:tab/>
        <w:t>$15.00</w:t>
      </w: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t xml:space="preserve">  (FCC 605 &amp; 159)</w:t>
      </w:r>
      <w:r w:rsidRPr="00BB229F">
        <w:rPr>
          <w:spacing w:val="-3"/>
          <w:szCs w:val="22"/>
        </w:rPr>
        <w:tab/>
      </w: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r>
      <w:r w:rsidRPr="00BB229F">
        <w:rPr>
          <w:spacing w:val="-3"/>
          <w:szCs w:val="22"/>
        </w:rPr>
        <w:tab/>
      </w: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t>b)New, Renewal/Mod</w:t>
      </w:r>
      <w:r w:rsidRPr="00BB229F">
        <w:rPr>
          <w:spacing w:val="-3"/>
          <w:szCs w:val="22"/>
        </w:rPr>
        <w:tab/>
        <w:t>$15.00</w:t>
      </w: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t>(Electronic Filing)</w:t>
      </w:r>
      <w:r w:rsidRPr="00BB229F">
        <w:rPr>
          <w:spacing w:val="-3"/>
          <w:szCs w:val="22"/>
        </w:rPr>
        <w:tab/>
      </w: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t>(FCC 605 &amp; 159)</w:t>
      </w:r>
      <w:r w:rsidRPr="00BB229F">
        <w:rPr>
          <w:spacing w:val="-3"/>
          <w:szCs w:val="22"/>
        </w:rPr>
        <w:tab/>
      </w: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p>
    <w:p w:rsidR="002F56D9"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r>
    </w:p>
    <w:p w:rsidR="00AA2862" w:rsidRPr="00BB229F" w:rsidRDefault="002F56D9" w:rsidP="00AA2862">
      <w:pPr>
        <w:tabs>
          <w:tab w:val="left" w:pos="540"/>
          <w:tab w:val="left" w:pos="4860"/>
          <w:tab w:val="left" w:pos="6840"/>
        </w:tabs>
        <w:suppressAutoHyphens/>
        <w:jc w:val="both"/>
        <w:rPr>
          <w:spacing w:val="-3"/>
          <w:szCs w:val="22"/>
        </w:rPr>
      </w:pPr>
      <w:r w:rsidRPr="00BB229F">
        <w:rPr>
          <w:spacing w:val="-3"/>
          <w:szCs w:val="22"/>
        </w:rPr>
        <w:tab/>
      </w:r>
      <w:r w:rsidR="00AA2862" w:rsidRPr="00BB229F">
        <w:rPr>
          <w:spacing w:val="-3"/>
          <w:szCs w:val="22"/>
        </w:rPr>
        <w:t>c)Renewal Only</w:t>
      </w:r>
      <w:r w:rsidR="00AA2862" w:rsidRPr="00BB229F">
        <w:rPr>
          <w:spacing w:val="-3"/>
          <w:szCs w:val="22"/>
        </w:rPr>
        <w:tab/>
        <w:t>$15.00</w:t>
      </w:r>
      <w:r w:rsidR="00AA2862"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t xml:space="preserve">  (FCC 605 &amp; 159)</w:t>
      </w:r>
      <w:r w:rsidRPr="00BB229F">
        <w:rPr>
          <w:spacing w:val="-3"/>
          <w:szCs w:val="22"/>
        </w:rPr>
        <w:tab/>
      </w: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r>
      <w:r w:rsidRPr="00BB229F">
        <w:rPr>
          <w:spacing w:val="-3"/>
          <w:szCs w:val="22"/>
        </w:rPr>
        <w:tab/>
      </w: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t>d)Renewal Only</w:t>
      </w:r>
      <w:r w:rsidRPr="00BB229F">
        <w:rPr>
          <w:spacing w:val="-3"/>
          <w:szCs w:val="22"/>
        </w:rPr>
        <w:tab/>
        <w:t>$15.00</w:t>
      </w: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t>(Electronic Filing)</w:t>
      </w:r>
      <w:r w:rsidRPr="00BB229F">
        <w:rPr>
          <w:spacing w:val="-3"/>
          <w:szCs w:val="22"/>
        </w:rPr>
        <w:tab/>
      </w: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t>(FCC 605 &amp; 159)</w:t>
      </w:r>
      <w:r w:rsidRPr="00BB229F">
        <w:rPr>
          <w:spacing w:val="-3"/>
          <w:szCs w:val="22"/>
        </w:rPr>
        <w:tab/>
      </w: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r>
      <w:r w:rsidRPr="00BB229F">
        <w:rPr>
          <w:spacing w:val="-3"/>
          <w:szCs w:val="22"/>
        </w:rPr>
        <w:tab/>
      </w:r>
    </w:p>
    <w:p w:rsidR="00AA2862" w:rsidRPr="00BB229F" w:rsidRDefault="00AA2862" w:rsidP="00AA2862">
      <w:pPr>
        <w:tabs>
          <w:tab w:val="left" w:pos="540"/>
          <w:tab w:val="left" w:pos="4860"/>
          <w:tab w:val="left" w:pos="6840"/>
        </w:tabs>
        <w:suppressAutoHyphens/>
        <w:jc w:val="both"/>
        <w:outlineLvl w:val="0"/>
        <w:rPr>
          <w:spacing w:val="-3"/>
          <w:szCs w:val="22"/>
        </w:rPr>
      </w:pPr>
      <w:r w:rsidRPr="00BB229F">
        <w:rPr>
          <w:spacing w:val="-3"/>
          <w:szCs w:val="22"/>
        </w:rPr>
        <w:tab/>
      </w:r>
    </w:p>
    <w:p w:rsidR="00AA2862" w:rsidRPr="00BB229F" w:rsidRDefault="00AA2862" w:rsidP="00AA2862">
      <w:pPr>
        <w:widowControl/>
        <w:rPr>
          <w:spacing w:val="-3"/>
          <w:szCs w:val="22"/>
        </w:rPr>
      </w:pPr>
    </w:p>
    <w:p w:rsidR="00AA2862" w:rsidRPr="00BB229F" w:rsidRDefault="00AA2862" w:rsidP="00AA2862">
      <w:pPr>
        <w:tabs>
          <w:tab w:val="left" w:pos="540"/>
          <w:tab w:val="left" w:pos="4860"/>
          <w:tab w:val="left" w:pos="6840"/>
        </w:tabs>
        <w:suppressAutoHyphens/>
        <w:jc w:val="both"/>
        <w:outlineLvl w:val="0"/>
        <w:rPr>
          <w:spacing w:val="-3"/>
          <w:szCs w:val="22"/>
        </w:rPr>
      </w:pPr>
      <w:r w:rsidRPr="00BB229F">
        <w:rPr>
          <w:b/>
          <w:spacing w:val="-3"/>
          <w:szCs w:val="22"/>
        </w:rPr>
        <w:tab/>
      </w:r>
      <w:bookmarkStart w:id="337" w:name="_Toc491865088"/>
      <w:bookmarkStart w:id="338" w:name="_Toc491865503"/>
      <w:r w:rsidRPr="00BB229F">
        <w:rPr>
          <w:b/>
          <w:spacing w:val="-3"/>
          <w:szCs w:val="22"/>
        </w:rPr>
        <w:t>Aviation Aircraft</w:t>
      </w:r>
      <w:bookmarkEnd w:id="337"/>
      <w:bookmarkEnd w:id="338"/>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t>a)New, Renew/Mod</w:t>
      </w:r>
      <w:r w:rsidRPr="00BB229F">
        <w:rPr>
          <w:spacing w:val="-3"/>
          <w:szCs w:val="22"/>
        </w:rPr>
        <w:tab/>
        <w:t>$10.00</w:t>
      </w: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t xml:space="preserve">  (FCC 605 &amp; 159)</w:t>
      </w:r>
      <w:r w:rsidRPr="00BB229F">
        <w:rPr>
          <w:spacing w:val="-3"/>
          <w:szCs w:val="22"/>
        </w:rPr>
        <w:tab/>
      </w:r>
      <w:r w:rsidRPr="00BB229F">
        <w:rPr>
          <w:spacing w:val="-3"/>
          <w:szCs w:val="22"/>
        </w:rPr>
        <w:tab/>
      </w:r>
      <w:r w:rsidRPr="00BB229F">
        <w:rPr>
          <w:spacing w:val="-3"/>
          <w:szCs w:val="22"/>
        </w:rPr>
        <w:tab/>
      </w: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t>b)New, Renew/Mod</w:t>
      </w:r>
      <w:r w:rsidRPr="00BB229F">
        <w:rPr>
          <w:spacing w:val="-3"/>
          <w:szCs w:val="22"/>
        </w:rPr>
        <w:tab/>
        <w:t>$10.00</w:t>
      </w: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t xml:space="preserve">  (Electronic Filing)</w:t>
      </w:r>
      <w:r w:rsidRPr="00BB229F">
        <w:rPr>
          <w:spacing w:val="-3"/>
          <w:szCs w:val="22"/>
        </w:rPr>
        <w:tab/>
      </w: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t xml:space="preserve">  (FCC 605 &amp; 159)</w:t>
      </w:r>
      <w:r w:rsidRPr="00BB229F">
        <w:rPr>
          <w:spacing w:val="-3"/>
          <w:szCs w:val="22"/>
        </w:rPr>
        <w:tab/>
      </w: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t>c)Renewal Only</w:t>
      </w:r>
      <w:r w:rsidRPr="00BB229F">
        <w:rPr>
          <w:spacing w:val="-3"/>
          <w:szCs w:val="22"/>
        </w:rPr>
        <w:tab/>
        <w:t>$10.00</w:t>
      </w: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t xml:space="preserve">  (FCC 605 &amp; 159)</w:t>
      </w:r>
      <w:r w:rsidRPr="00BB229F">
        <w:rPr>
          <w:spacing w:val="-3"/>
          <w:szCs w:val="22"/>
        </w:rPr>
        <w:tab/>
      </w: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r>
      <w:r w:rsidRPr="00BB229F">
        <w:rPr>
          <w:spacing w:val="-3"/>
          <w:szCs w:val="22"/>
        </w:rPr>
        <w:tab/>
      </w: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t>d)Renewal Only</w:t>
      </w:r>
      <w:r w:rsidRPr="00BB229F">
        <w:rPr>
          <w:spacing w:val="-3"/>
          <w:szCs w:val="22"/>
        </w:rPr>
        <w:tab/>
        <w:t>$10.00</w:t>
      </w: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t xml:space="preserve">  (Electronic Filing)</w:t>
      </w:r>
      <w:r w:rsidRPr="00BB229F">
        <w:rPr>
          <w:spacing w:val="-3"/>
          <w:szCs w:val="22"/>
        </w:rPr>
        <w:tab/>
      </w: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ab/>
        <w:t xml:space="preserve">  (FCC 605 &amp; 159)</w:t>
      </w:r>
      <w:r w:rsidRPr="00BB229F">
        <w:rPr>
          <w:spacing w:val="-3"/>
          <w:szCs w:val="22"/>
        </w:rPr>
        <w:tab/>
      </w: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p>
    <w:p w:rsidR="00AA2862" w:rsidRPr="00BB229F" w:rsidRDefault="00AA2862" w:rsidP="00AA2862">
      <w:pPr>
        <w:tabs>
          <w:tab w:val="left" w:pos="540"/>
          <w:tab w:val="left" w:pos="4860"/>
          <w:tab w:val="left" w:pos="6840"/>
        </w:tabs>
        <w:suppressAutoHyphens/>
        <w:jc w:val="both"/>
        <w:rPr>
          <w:spacing w:val="-3"/>
          <w:szCs w:val="22"/>
        </w:rPr>
      </w:pPr>
      <w:r w:rsidRPr="00BB229F">
        <w:rPr>
          <w:b/>
          <w:spacing w:val="-3"/>
          <w:szCs w:val="22"/>
        </w:rPr>
        <w:t>4.  CMRS Cellular/Mobile Services</w:t>
      </w:r>
      <w:r w:rsidRPr="00BB229F">
        <w:rPr>
          <w:spacing w:val="-3"/>
          <w:szCs w:val="22"/>
        </w:rPr>
        <w:tab/>
        <w:t>$ .21</w:t>
      </w:r>
      <w:r w:rsidRPr="00BB229F">
        <w:rPr>
          <w:rStyle w:val="FootnoteReference"/>
          <w:spacing w:val="-3"/>
          <w:szCs w:val="22"/>
        </w:rPr>
        <w:footnoteReference w:id="397"/>
      </w: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r w:rsidRPr="00BB229F">
        <w:rPr>
          <w:b/>
          <w:spacing w:val="-3"/>
          <w:szCs w:val="22"/>
        </w:rPr>
        <w:t xml:space="preserve">     (per unit)</w:t>
      </w:r>
      <w:r w:rsidRPr="00BB229F">
        <w:rPr>
          <w:spacing w:val="-3"/>
          <w:szCs w:val="22"/>
        </w:rPr>
        <w:tab/>
      </w: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 xml:space="preserve">     (FCC 159)</w:t>
      </w:r>
      <w:r w:rsidRPr="00BB229F">
        <w:rPr>
          <w:spacing w:val="-3"/>
          <w:szCs w:val="22"/>
        </w:rPr>
        <w:tab/>
      </w: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p>
    <w:p w:rsidR="00AA2862" w:rsidRPr="00BB229F" w:rsidRDefault="00AA2862" w:rsidP="00AA2862">
      <w:pPr>
        <w:tabs>
          <w:tab w:val="left" w:pos="540"/>
          <w:tab w:val="left" w:pos="4860"/>
          <w:tab w:val="left" w:pos="6840"/>
        </w:tabs>
        <w:suppressAutoHyphens/>
        <w:jc w:val="both"/>
        <w:rPr>
          <w:spacing w:val="-3"/>
          <w:szCs w:val="22"/>
        </w:rPr>
      </w:pPr>
      <w:r w:rsidRPr="00BB229F">
        <w:rPr>
          <w:b/>
          <w:spacing w:val="-3"/>
          <w:szCs w:val="22"/>
        </w:rPr>
        <w:t>5.  CMRS Messaging Services</w:t>
      </w:r>
      <w:r w:rsidRPr="00BB229F">
        <w:rPr>
          <w:spacing w:val="-3"/>
          <w:szCs w:val="22"/>
        </w:rPr>
        <w:tab/>
        <w:t>$ .08</w:t>
      </w:r>
      <w:r w:rsidRPr="00BB229F">
        <w:rPr>
          <w:rStyle w:val="FootnoteReference"/>
          <w:spacing w:val="-3"/>
          <w:szCs w:val="22"/>
        </w:rPr>
        <w:footnoteReference w:id="398"/>
      </w: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r w:rsidRPr="00BB229F">
        <w:rPr>
          <w:b/>
          <w:spacing w:val="-3"/>
          <w:szCs w:val="22"/>
        </w:rPr>
        <w:t xml:space="preserve">     (per unit)</w:t>
      </w:r>
      <w:r w:rsidRPr="00BB229F">
        <w:rPr>
          <w:spacing w:val="-3"/>
          <w:szCs w:val="22"/>
        </w:rPr>
        <w:tab/>
      </w: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r w:rsidRPr="00BB229F">
        <w:rPr>
          <w:spacing w:val="-3"/>
          <w:szCs w:val="22"/>
        </w:rPr>
        <w:t xml:space="preserve">     (FCC 159)</w:t>
      </w:r>
      <w:r w:rsidRPr="00BB229F">
        <w:rPr>
          <w:spacing w:val="-3"/>
          <w:szCs w:val="22"/>
        </w:rPr>
        <w:tab/>
      </w:r>
      <w:r w:rsidRPr="00BB229F">
        <w:rPr>
          <w:spacing w:val="-3"/>
          <w:szCs w:val="22"/>
        </w:rPr>
        <w:tab/>
      </w:r>
    </w:p>
    <w:p w:rsidR="00AA2862" w:rsidRPr="00BB229F" w:rsidRDefault="00AA2862" w:rsidP="00AA2862">
      <w:pPr>
        <w:tabs>
          <w:tab w:val="left" w:pos="540"/>
          <w:tab w:val="left" w:pos="4860"/>
          <w:tab w:val="left" w:pos="6840"/>
        </w:tabs>
        <w:suppressAutoHyphens/>
        <w:jc w:val="both"/>
        <w:rPr>
          <w:spacing w:val="-3"/>
          <w:szCs w:val="22"/>
        </w:rPr>
      </w:pPr>
    </w:p>
    <w:p w:rsidR="00AA2862" w:rsidRPr="00BB229F" w:rsidRDefault="00AA2862" w:rsidP="00AA2862">
      <w:pPr>
        <w:tabs>
          <w:tab w:val="left" w:pos="-1440"/>
          <w:tab w:val="left" w:pos="-720"/>
          <w:tab w:val="left" w:pos="540"/>
          <w:tab w:val="left" w:pos="4590"/>
          <w:tab w:val="left" w:pos="6480"/>
        </w:tabs>
        <w:suppressAutoHyphens/>
        <w:jc w:val="both"/>
        <w:rPr>
          <w:spacing w:val="-3"/>
          <w:szCs w:val="22"/>
        </w:rPr>
      </w:pPr>
      <w:r w:rsidRPr="00BB229F">
        <w:rPr>
          <w:b/>
          <w:spacing w:val="-3"/>
          <w:szCs w:val="22"/>
        </w:rPr>
        <w:t>6. Broadband Radio Service</w:t>
      </w:r>
      <w:r w:rsidRPr="00BB229F">
        <w:rPr>
          <w:spacing w:val="-3"/>
          <w:szCs w:val="22"/>
        </w:rPr>
        <w:tab/>
        <w:t xml:space="preserve">     $  800</w:t>
      </w:r>
      <w:r w:rsidRPr="00BB229F">
        <w:rPr>
          <w:spacing w:val="-3"/>
          <w:szCs w:val="22"/>
        </w:rPr>
        <w:tab/>
        <w:t xml:space="preserve">       </w:t>
      </w:r>
    </w:p>
    <w:p w:rsidR="00AA2862" w:rsidRPr="00BB229F" w:rsidRDefault="00AA2862" w:rsidP="00AA2862">
      <w:pPr>
        <w:tabs>
          <w:tab w:val="left" w:pos="-1440"/>
          <w:tab w:val="left" w:pos="-720"/>
          <w:tab w:val="left" w:pos="540"/>
          <w:tab w:val="left" w:pos="4590"/>
          <w:tab w:val="left" w:pos="6480"/>
        </w:tabs>
        <w:suppressAutoHyphens/>
        <w:jc w:val="both"/>
        <w:rPr>
          <w:spacing w:val="-3"/>
          <w:szCs w:val="22"/>
        </w:rPr>
      </w:pPr>
      <w:r w:rsidRPr="00BB229F">
        <w:rPr>
          <w:spacing w:val="-3"/>
          <w:szCs w:val="22"/>
        </w:rPr>
        <w:t xml:space="preserve">    (formerly MMDS and  MDS)</w:t>
      </w:r>
      <w:r w:rsidRPr="00BB229F">
        <w:rPr>
          <w:spacing w:val="-3"/>
          <w:szCs w:val="22"/>
        </w:rPr>
        <w:tab/>
      </w:r>
      <w:r w:rsidRPr="00BB229F">
        <w:rPr>
          <w:spacing w:val="-3"/>
          <w:szCs w:val="22"/>
        </w:rPr>
        <w:tab/>
        <w:t xml:space="preserve">       </w:t>
      </w:r>
    </w:p>
    <w:p w:rsidR="00AA2862" w:rsidRPr="00BB229F" w:rsidRDefault="00AA2862" w:rsidP="00AA2862">
      <w:pPr>
        <w:tabs>
          <w:tab w:val="left" w:pos="-1440"/>
          <w:tab w:val="left" w:pos="-720"/>
          <w:tab w:val="left" w:pos="540"/>
          <w:tab w:val="left" w:pos="4590"/>
          <w:tab w:val="left" w:pos="6480"/>
        </w:tabs>
        <w:suppressAutoHyphens/>
        <w:jc w:val="both"/>
        <w:rPr>
          <w:spacing w:val="-3"/>
          <w:szCs w:val="22"/>
        </w:rPr>
      </w:pPr>
      <w:r w:rsidRPr="00BB229F">
        <w:rPr>
          <w:spacing w:val="-3"/>
          <w:szCs w:val="22"/>
        </w:rPr>
        <w:tab/>
      </w:r>
      <w:r w:rsidRPr="00BB229F">
        <w:rPr>
          <w:spacing w:val="-3"/>
          <w:szCs w:val="22"/>
        </w:rPr>
        <w:tab/>
      </w:r>
      <w:r w:rsidRPr="00BB229F">
        <w:rPr>
          <w:spacing w:val="-3"/>
          <w:szCs w:val="22"/>
        </w:rPr>
        <w:tab/>
        <w:t xml:space="preserve">       </w:t>
      </w:r>
    </w:p>
    <w:p w:rsidR="00AA2862" w:rsidRPr="00BB229F" w:rsidRDefault="00AA2862" w:rsidP="00AA2862">
      <w:pPr>
        <w:widowControl/>
        <w:rPr>
          <w:b/>
          <w:spacing w:val="-3"/>
          <w:szCs w:val="22"/>
        </w:rPr>
      </w:pPr>
    </w:p>
    <w:p w:rsidR="00AA2862" w:rsidRPr="00BB229F" w:rsidRDefault="00AA2862" w:rsidP="00AA2862">
      <w:pPr>
        <w:tabs>
          <w:tab w:val="left" w:pos="-1440"/>
          <w:tab w:val="left" w:pos="-720"/>
          <w:tab w:val="left" w:pos="540"/>
          <w:tab w:val="left" w:pos="4590"/>
          <w:tab w:val="left" w:pos="6480"/>
        </w:tabs>
        <w:suppressAutoHyphens/>
        <w:jc w:val="both"/>
        <w:rPr>
          <w:spacing w:val="-3"/>
          <w:szCs w:val="22"/>
        </w:rPr>
      </w:pPr>
      <w:r w:rsidRPr="00BB229F">
        <w:rPr>
          <w:b/>
          <w:spacing w:val="-3"/>
          <w:szCs w:val="22"/>
        </w:rPr>
        <w:t>7. Local Multipoint Distribution Service</w:t>
      </w:r>
      <w:r w:rsidRPr="00BB229F">
        <w:rPr>
          <w:spacing w:val="-3"/>
          <w:szCs w:val="22"/>
        </w:rPr>
        <w:tab/>
        <w:t xml:space="preserve">     $  800</w:t>
      </w:r>
      <w:r w:rsidRPr="00BB229F">
        <w:rPr>
          <w:spacing w:val="-3"/>
          <w:szCs w:val="22"/>
        </w:rPr>
        <w:tab/>
        <w:t xml:space="preserve">       </w:t>
      </w:r>
    </w:p>
    <w:p w:rsidR="00AA2862" w:rsidRPr="00BB229F" w:rsidRDefault="00AA2862" w:rsidP="00AA2862">
      <w:pPr>
        <w:tabs>
          <w:tab w:val="left" w:pos="-1440"/>
          <w:tab w:val="left" w:pos="-720"/>
          <w:tab w:val="left" w:pos="540"/>
          <w:tab w:val="left" w:pos="4590"/>
          <w:tab w:val="left" w:pos="6480"/>
        </w:tabs>
        <w:suppressAutoHyphens/>
        <w:jc w:val="both"/>
        <w:rPr>
          <w:spacing w:val="-3"/>
          <w:szCs w:val="22"/>
        </w:rPr>
      </w:pPr>
      <w:r w:rsidRPr="00BB229F">
        <w:rPr>
          <w:spacing w:val="-3"/>
          <w:szCs w:val="22"/>
        </w:rPr>
        <w:t xml:space="preserve">    </w:t>
      </w:r>
      <w:r w:rsidRPr="00BB229F">
        <w:rPr>
          <w:spacing w:val="-3"/>
          <w:szCs w:val="22"/>
        </w:rPr>
        <w:tab/>
      </w:r>
      <w:r w:rsidRPr="00BB229F">
        <w:rPr>
          <w:spacing w:val="-3"/>
          <w:szCs w:val="22"/>
        </w:rPr>
        <w:tab/>
      </w:r>
      <w:r w:rsidRPr="00BB229F">
        <w:rPr>
          <w:spacing w:val="-3"/>
          <w:szCs w:val="22"/>
        </w:rPr>
        <w:tab/>
        <w:t xml:space="preserve">       </w:t>
      </w:r>
      <w:r w:rsidRPr="00BB229F">
        <w:rPr>
          <w:spacing w:val="-3"/>
          <w:szCs w:val="22"/>
        </w:rPr>
        <w:tab/>
      </w:r>
      <w:r w:rsidRPr="00BB229F">
        <w:rPr>
          <w:spacing w:val="-3"/>
          <w:szCs w:val="22"/>
        </w:rPr>
        <w:tab/>
        <w:t xml:space="preserve">       </w:t>
      </w:r>
    </w:p>
    <w:p w:rsidR="00AA2862" w:rsidRPr="00BB229F" w:rsidRDefault="00AA2862" w:rsidP="00AA2862">
      <w:pPr>
        <w:tabs>
          <w:tab w:val="left" w:pos="-1440"/>
          <w:tab w:val="left" w:pos="-720"/>
          <w:tab w:val="left" w:pos="540"/>
          <w:tab w:val="left" w:pos="4590"/>
          <w:tab w:val="left" w:pos="6480"/>
        </w:tabs>
        <w:suppressAutoHyphens/>
        <w:jc w:val="both"/>
        <w:rPr>
          <w:spacing w:val="-3"/>
          <w:szCs w:val="22"/>
        </w:rPr>
      </w:pPr>
    </w:p>
    <w:p w:rsidR="00AA2862" w:rsidRPr="00BB229F" w:rsidRDefault="00AA2862" w:rsidP="00AA2862">
      <w:pPr>
        <w:tabs>
          <w:tab w:val="left" w:pos="720"/>
          <w:tab w:val="left" w:pos="4860"/>
          <w:tab w:val="left" w:pos="6840"/>
        </w:tabs>
        <w:suppressAutoHyphens/>
        <w:jc w:val="both"/>
        <w:rPr>
          <w:spacing w:val="-3"/>
          <w:szCs w:val="22"/>
        </w:rPr>
      </w:pPr>
      <w:r w:rsidRPr="00BB229F">
        <w:rPr>
          <w:spacing w:val="-3"/>
          <w:szCs w:val="22"/>
        </w:rPr>
        <w:t>3.   Section 1.1153 is revised to read as follows:</w:t>
      </w:r>
    </w:p>
    <w:p w:rsidR="00AA2862" w:rsidRPr="00BB229F" w:rsidRDefault="00AA2862" w:rsidP="00AA2862">
      <w:pPr>
        <w:tabs>
          <w:tab w:val="left" w:pos="540"/>
          <w:tab w:val="left" w:pos="4860"/>
          <w:tab w:val="left" w:pos="6840"/>
        </w:tabs>
        <w:suppressAutoHyphens/>
        <w:rPr>
          <w:b/>
          <w:szCs w:val="22"/>
        </w:rPr>
      </w:pPr>
    </w:p>
    <w:p w:rsidR="00AA2862" w:rsidRPr="00BB229F" w:rsidRDefault="00AA2862" w:rsidP="00AA2862">
      <w:pPr>
        <w:tabs>
          <w:tab w:val="left" w:pos="540"/>
          <w:tab w:val="left" w:pos="4860"/>
          <w:tab w:val="left" w:pos="6840"/>
        </w:tabs>
        <w:suppressAutoHyphens/>
        <w:rPr>
          <w:szCs w:val="22"/>
        </w:rPr>
      </w:pPr>
      <w:r w:rsidRPr="00BB229F">
        <w:rPr>
          <w:szCs w:val="22"/>
        </w:rPr>
        <w:t xml:space="preserve">§ 1.1153  Schedule of annual regulatory fees and filing locations for mass media services. </w:t>
      </w:r>
    </w:p>
    <w:p w:rsidR="00AA2862" w:rsidRPr="00BB229F" w:rsidRDefault="00AA2862" w:rsidP="00AA2862">
      <w:pPr>
        <w:tabs>
          <w:tab w:val="left" w:pos="540"/>
          <w:tab w:val="left" w:pos="4860"/>
          <w:tab w:val="left" w:pos="6840"/>
        </w:tabs>
        <w:suppressAutoHyphens/>
        <w:jc w:val="both"/>
        <w:rPr>
          <w:spacing w:val="-3"/>
          <w:szCs w:val="22"/>
        </w:rPr>
      </w:pPr>
    </w:p>
    <w:p w:rsidR="00AA2862" w:rsidRPr="00BB229F" w:rsidRDefault="00AA2862" w:rsidP="00AA2862">
      <w:pPr>
        <w:tabs>
          <w:tab w:val="left" w:pos="540"/>
          <w:tab w:val="left" w:pos="4860"/>
          <w:tab w:val="left" w:pos="6840"/>
        </w:tabs>
        <w:suppressAutoHyphens/>
        <w:jc w:val="both"/>
        <w:rPr>
          <w:spacing w:val="-3"/>
          <w:szCs w:val="22"/>
        </w:rPr>
      </w:pPr>
    </w:p>
    <w:p w:rsidR="00AA2862" w:rsidRPr="00BB229F" w:rsidRDefault="00AA2862" w:rsidP="00AA2862">
      <w:pPr>
        <w:tabs>
          <w:tab w:val="left" w:pos="540"/>
          <w:tab w:val="left" w:pos="4860"/>
          <w:tab w:val="left" w:pos="6840"/>
        </w:tabs>
        <w:suppressAutoHyphens/>
        <w:jc w:val="both"/>
        <w:rPr>
          <w:spacing w:val="-3"/>
          <w:szCs w:val="22"/>
        </w:rPr>
      </w:pPr>
      <w:r w:rsidRPr="00BB229F">
        <w:rPr>
          <w:b/>
          <w:spacing w:val="-3"/>
          <w:szCs w:val="22"/>
        </w:rPr>
        <w:t>Radio [AM and FM] (47 CFR part 73)</w:t>
      </w:r>
      <w:r w:rsidRPr="00BB229F">
        <w:rPr>
          <w:b/>
          <w:spacing w:val="-3"/>
          <w:szCs w:val="22"/>
        </w:rPr>
        <w:tab/>
        <w:t>Fee Amount</w:t>
      </w:r>
      <w:r w:rsidRPr="00BB229F">
        <w:rPr>
          <w:b/>
          <w:spacing w:val="-3"/>
          <w:szCs w:val="22"/>
        </w:rPr>
        <w:tab/>
      </w:r>
    </w:p>
    <w:p w:rsidR="00AA2862" w:rsidRPr="00BB229F" w:rsidRDefault="00AA2862" w:rsidP="00AA2862">
      <w:pPr>
        <w:tabs>
          <w:tab w:val="left" w:pos="-1440"/>
          <w:tab w:val="left" w:pos="-720"/>
          <w:tab w:val="left" w:pos="540"/>
          <w:tab w:val="left" w:pos="4590"/>
          <w:tab w:val="left" w:pos="6480"/>
        </w:tabs>
        <w:suppressAutoHyphens/>
        <w:jc w:val="both"/>
        <w:rPr>
          <w:spacing w:val="-3"/>
          <w:szCs w:val="22"/>
        </w:rPr>
      </w:pPr>
    </w:p>
    <w:p w:rsidR="00AA2862" w:rsidRPr="00BB229F" w:rsidRDefault="00AA2862" w:rsidP="00AA2862">
      <w:pPr>
        <w:tabs>
          <w:tab w:val="left" w:pos="-1440"/>
          <w:tab w:val="left" w:pos="-720"/>
          <w:tab w:val="left" w:pos="540"/>
          <w:tab w:val="left" w:pos="4590"/>
          <w:tab w:val="left" w:pos="6480"/>
        </w:tabs>
        <w:suppressAutoHyphens/>
        <w:jc w:val="both"/>
        <w:outlineLvl w:val="0"/>
        <w:rPr>
          <w:spacing w:val="-3"/>
          <w:szCs w:val="22"/>
        </w:rPr>
      </w:pPr>
      <w:bookmarkStart w:id="339" w:name="_Toc491865089"/>
      <w:bookmarkStart w:id="340" w:name="_Toc491865504"/>
      <w:r w:rsidRPr="00BB229F">
        <w:rPr>
          <w:spacing w:val="-3"/>
          <w:szCs w:val="22"/>
        </w:rPr>
        <w:t>1.</w:t>
      </w:r>
      <w:r w:rsidRPr="00BB229F">
        <w:rPr>
          <w:spacing w:val="-3"/>
          <w:szCs w:val="22"/>
        </w:rPr>
        <w:tab/>
      </w:r>
      <w:r w:rsidRPr="00BB229F">
        <w:rPr>
          <w:spacing w:val="-3"/>
          <w:szCs w:val="22"/>
          <w:u w:val="single"/>
        </w:rPr>
        <w:t>AM Class A</w:t>
      </w:r>
      <w:bookmarkEnd w:id="339"/>
      <w:bookmarkEnd w:id="340"/>
    </w:p>
    <w:p w:rsidR="00AA2862" w:rsidRPr="00BB229F" w:rsidRDefault="00AA2862" w:rsidP="00AA2862">
      <w:pPr>
        <w:tabs>
          <w:tab w:val="left" w:pos="-1440"/>
          <w:tab w:val="left" w:pos="-720"/>
          <w:tab w:val="left" w:pos="540"/>
          <w:tab w:val="left" w:pos="4590"/>
          <w:tab w:val="left" w:pos="6480"/>
        </w:tabs>
        <w:suppressAutoHyphens/>
        <w:jc w:val="both"/>
        <w:rPr>
          <w:spacing w:val="-3"/>
          <w:szCs w:val="22"/>
        </w:rPr>
      </w:pPr>
      <w:r w:rsidRPr="00BB229F">
        <w:rPr>
          <w:spacing w:val="-3"/>
          <w:szCs w:val="22"/>
        </w:rPr>
        <w:tab/>
        <w:t>&lt;=25,000 population</w:t>
      </w:r>
      <w:r w:rsidRPr="00BB229F">
        <w:rPr>
          <w:spacing w:val="-3"/>
          <w:szCs w:val="22"/>
        </w:rPr>
        <w:tab/>
        <w:t xml:space="preserve">   $895</w:t>
      </w:r>
      <w:r w:rsidRPr="00BB229F">
        <w:rPr>
          <w:spacing w:val="-3"/>
          <w:szCs w:val="22"/>
        </w:rPr>
        <w:tab/>
      </w:r>
    </w:p>
    <w:p w:rsidR="00AA2862" w:rsidRPr="00BB229F" w:rsidRDefault="00AA2862" w:rsidP="00AA2862">
      <w:pPr>
        <w:tabs>
          <w:tab w:val="left" w:pos="-1440"/>
          <w:tab w:val="left" w:pos="-720"/>
          <w:tab w:val="left" w:pos="540"/>
          <w:tab w:val="left" w:pos="4590"/>
          <w:tab w:val="left" w:pos="6480"/>
        </w:tabs>
        <w:suppressAutoHyphens/>
        <w:jc w:val="both"/>
        <w:rPr>
          <w:spacing w:val="-3"/>
          <w:szCs w:val="22"/>
          <w:lang w:val="fr-FR"/>
        </w:rPr>
      </w:pPr>
      <w:r w:rsidRPr="00BB229F">
        <w:rPr>
          <w:spacing w:val="-3"/>
          <w:szCs w:val="22"/>
        </w:rPr>
        <w:tab/>
      </w:r>
      <w:r w:rsidRPr="00BB229F">
        <w:rPr>
          <w:spacing w:val="-3"/>
          <w:szCs w:val="22"/>
          <w:lang w:val="fr-FR"/>
        </w:rPr>
        <w:t>25,001-75,000 population</w:t>
      </w:r>
      <w:r w:rsidRPr="00BB229F">
        <w:rPr>
          <w:spacing w:val="-3"/>
          <w:szCs w:val="22"/>
          <w:lang w:val="fr-FR"/>
        </w:rPr>
        <w:tab/>
        <w:t>$1,350</w:t>
      </w:r>
      <w:r w:rsidRPr="00BB229F">
        <w:rPr>
          <w:spacing w:val="-3"/>
          <w:szCs w:val="22"/>
          <w:lang w:val="fr-FR"/>
        </w:rPr>
        <w:tab/>
      </w:r>
    </w:p>
    <w:p w:rsidR="00AA2862" w:rsidRPr="00BB229F" w:rsidRDefault="00AA2862" w:rsidP="00AA2862">
      <w:pPr>
        <w:tabs>
          <w:tab w:val="left" w:pos="-1440"/>
          <w:tab w:val="left" w:pos="-720"/>
          <w:tab w:val="left" w:pos="540"/>
          <w:tab w:val="left" w:pos="4590"/>
          <w:tab w:val="left" w:pos="6480"/>
        </w:tabs>
        <w:suppressAutoHyphens/>
        <w:jc w:val="both"/>
        <w:rPr>
          <w:spacing w:val="-3"/>
          <w:szCs w:val="22"/>
          <w:lang w:val="fr-FR"/>
        </w:rPr>
      </w:pPr>
      <w:r w:rsidRPr="00BB229F">
        <w:rPr>
          <w:spacing w:val="-3"/>
          <w:szCs w:val="22"/>
          <w:lang w:val="fr-FR"/>
        </w:rPr>
        <w:tab/>
        <w:t>75,001-150,000 population</w:t>
      </w:r>
      <w:r w:rsidRPr="00BB229F">
        <w:rPr>
          <w:spacing w:val="-3"/>
          <w:szCs w:val="22"/>
          <w:lang w:val="fr-FR"/>
        </w:rPr>
        <w:tab/>
        <w:t>$2,375</w:t>
      </w:r>
      <w:r w:rsidRPr="00BB229F">
        <w:rPr>
          <w:spacing w:val="-3"/>
          <w:szCs w:val="22"/>
          <w:lang w:val="fr-FR"/>
        </w:rPr>
        <w:tab/>
      </w:r>
    </w:p>
    <w:p w:rsidR="00AA2862" w:rsidRPr="00BB229F" w:rsidRDefault="00AA2862" w:rsidP="00AA2862">
      <w:pPr>
        <w:tabs>
          <w:tab w:val="left" w:pos="-1440"/>
          <w:tab w:val="left" w:pos="-720"/>
          <w:tab w:val="left" w:pos="540"/>
          <w:tab w:val="left" w:pos="4590"/>
          <w:tab w:val="left" w:pos="6480"/>
        </w:tabs>
        <w:suppressAutoHyphens/>
        <w:jc w:val="both"/>
        <w:rPr>
          <w:spacing w:val="-3"/>
          <w:szCs w:val="22"/>
          <w:lang w:val="fr-FR"/>
        </w:rPr>
      </w:pPr>
      <w:r w:rsidRPr="00BB229F">
        <w:rPr>
          <w:spacing w:val="-3"/>
          <w:szCs w:val="22"/>
          <w:lang w:val="fr-FR"/>
        </w:rPr>
        <w:tab/>
        <w:t>150,001-500,000 population</w:t>
      </w:r>
      <w:r w:rsidRPr="00BB229F">
        <w:rPr>
          <w:spacing w:val="-3"/>
          <w:szCs w:val="22"/>
          <w:lang w:val="fr-FR"/>
        </w:rPr>
        <w:tab/>
        <w:t>$3,550</w:t>
      </w:r>
      <w:r w:rsidRPr="00BB229F">
        <w:rPr>
          <w:spacing w:val="-3"/>
          <w:szCs w:val="22"/>
          <w:lang w:val="fr-FR"/>
        </w:rPr>
        <w:tab/>
      </w:r>
    </w:p>
    <w:p w:rsidR="00AA2862" w:rsidRPr="00BB229F" w:rsidRDefault="00AA2862" w:rsidP="00AA2862">
      <w:pPr>
        <w:tabs>
          <w:tab w:val="left" w:pos="-1440"/>
          <w:tab w:val="left" w:pos="-720"/>
          <w:tab w:val="left" w:pos="540"/>
          <w:tab w:val="left" w:pos="4590"/>
          <w:tab w:val="left" w:pos="6480"/>
        </w:tabs>
        <w:suppressAutoHyphens/>
        <w:jc w:val="both"/>
        <w:rPr>
          <w:spacing w:val="-3"/>
          <w:szCs w:val="22"/>
          <w:lang w:val="fr-FR"/>
        </w:rPr>
      </w:pPr>
      <w:r w:rsidRPr="00BB229F">
        <w:rPr>
          <w:spacing w:val="-3"/>
          <w:szCs w:val="22"/>
          <w:lang w:val="fr-FR"/>
        </w:rPr>
        <w:tab/>
        <w:t>500,001-1,200,000 population</w:t>
      </w:r>
      <w:r w:rsidRPr="00BB229F">
        <w:rPr>
          <w:spacing w:val="-3"/>
          <w:szCs w:val="22"/>
          <w:lang w:val="fr-FR"/>
        </w:rPr>
        <w:tab/>
        <w:t>$5,325</w:t>
      </w:r>
    </w:p>
    <w:p w:rsidR="00AA2862" w:rsidRPr="00BB229F" w:rsidRDefault="00AA2862" w:rsidP="00AA2862">
      <w:pPr>
        <w:tabs>
          <w:tab w:val="left" w:pos="-1440"/>
          <w:tab w:val="left" w:pos="-720"/>
          <w:tab w:val="left" w:pos="540"/>
          <w:tab w:val="left" w:pos="4590"/>
          <w:tab w:val="left" w:pos="6480"/>
        </w:tabs>
        <w:suppressAutoHyphens/>
        <w:jc w:val="both"/>
        <w:rPr>
          <w:spacing w:val="-3"/>
          <w:szCs w:val="22"/>
          <w:lang w:val="fr-FR"/>
        </w:rPr>
      </w:pPr>
      <w:r w:rsidRPr="00BB229F">
        <w:rPr>
          <w:spacing w:val="-3"/>
          <w:szCs w:val="22"/>
          <w:lang w:val="fr-FR"/>
        </w:rPr>
        <w:tab/>
        <w:t>1,200,001-3,000,000 population</w:t>
      </w:r>
      <w:r w:rsidRPr="00BB229F">
        <w:rPr>
          <w:spacing w:val="-3"/>
          <w:szCs w:val="22"/>
          <w:lang w:val="fr-FR"/>
        </w:rPr>
        <w:tab/>
        <w:t>$7,975</w:t>
      </w:r>
    </w:p>
    <w:p w:rsidR="00AA2862" w:rsidRPr="00BB229F" w:rsidRDefault="00AA2862" w:rsidP="00AA2862">
      <w:pPr>
        <w:tabs>
          <w:tab w:val="left" w:pos="-1440"/>
          <w:tab w:val="left" w:pos="-720"/>
          <w:tab w:val="left" w:pos="540"/>
          <w:tab w:val="left" w:pos="4590"/>
          <w:tab w:val="left" w:pos="6480"/>
        </w:tabs>
        <w:suppressAutoHyphens/>
        <w:jc w:val="both"/>
        <w:rPr>
          <w:spacing w:val="-3"/>
          <w:szCs w:val="22"/>
          <w:lang w:val="fr-FR"/>
        </w:rPr>
      </w:pPr>
      <w:r w:rsidRPr="00BB229F">
        <w:rPr>
          <w:spacing w:val="-3"/>
          <w:szCs w:val="22"/>
          <w:lang w:val="fr-FR"/>
        </w:rPr>
        <w:tab/>
        <w:t>3,000,001-6,000,000 population</w:t>
      </w:r>
      <w:r w:rsidRPr="00BB229F">
        <w:rPr>
          <w:spacing w:val="-3"/>
          <w:szCs w:val="22"/>
          <w:lang w:val="fr-FR"/>
        </w:rPr>
        <w:tab/>
        <w:t>$11,950</w:t>
      </w:r>
    </w:p>
    <w:p w:rsidR="00AA2862" w:rsidRPr="00BB229F" w:rsidRDefault="00AA2862" w:rsidP="00AA2862">
      <w:pPr>
        <w:tabs>
          <w:tab w:val="left" w:pos="-1440"/>
          <w:tab w:val="left" w:pos="-720"/>
          <w:tab w:val="left" w:pos="540"/>
          <w:tab w:val="left" w:pos="4590"/>
          <w:tab w:val="left" w:pos="6480"/>
        </w:tabs>
        <w:suppressAutoHyphens/>
        <w:jc w:val="both"/>
        <w:rPr>
          <w:spacing w:val="-3"/>
          <w:szCs w:val="22"/>
          <w:lang w:val="fr-FR"/>
        </w:rPr>
      </w:pPr>
      <w:r w:rsidRPr="00BB229F">
        <w:rPr>
          <w:spacing w:val="-3"/>
          <w:szCs w:val="22"/>
          <w:lang w:val="fr-FR"/>
        </w:rPr>
        <w:tab/>
        <w:t>&gt;6,000,000 population</w:t>
      </w:r>
      <w:r w:rsidRPr="00BB229F">
        <w:rPr>
          <w:spacing w:val="-3"/>
          <w:szCs w:val="22"/>
          <w:lang w:val="fr-FR"/>
        </w:rPr>
        <w:tab/>
        <w:t>$17,950</w:t>
      </w:r>
    </w:p>
    <w:p w:rsidR="00AA2862" w:rsidRPr="00BB229F" w:rsidRDefault="00AA2862" w:rsidP="00AA2862">
      <w:pPr>
        <w:tabs>
          <w:tab w:val="left" w:pos="-1440"/>
          <w:tab w:val="left" w:pos="-720"/>
          <w:tab w:val="left" w:pos="540"/>
          <w:tab w:val="left" w:pos="4590"/>
          <w:tab w:val="left" w:pos="6480"/>
        </w:tabs>
        <w:suppressAutoHyphens/>
        <w:jc w:val="both"/>
        <w:rPr>
          <w:spacing w:val="-3"/>
          <w:szCs w:val="22"/>
          <w:lang w:val="fr-FR"/>
        </w:rPr>
      </w:pPr>
      <w:r w:rsidRPr="00BB229F">
        <w:rPr>
          <w:spacing w:val="-3"/>
          <w:szCs w:val="22"/>
          <w:lang w:val="fr-FR"/>
        </w:rPr>
        <w:t>2.</w:t>
      </w:r>
      <w:r w:rsidRPr="00BB229F">
        <w:rPr>
          <w:spacing w:val="-3"/>
          <w:szCs w:val="22"/>
          <w:lang w:val="fr-FR"/>
        </w:rPr>
        <w:tab/>
      </w:r>
      <w:r w:rsidRPr="00BB229F">
        <w:rPr>
          <w:spacing w:val="-3"/>
          <w:szCs w:val="22"/>
          <w:u w:val="single"/>
          <w:lang w:val="fr-FR"/>
        </w:rPr>
        <w:t>AM Class B</w:t>
      </w:r>
    </w:p>
    <w:p w:rsidR="00AA2862" w:rsidRPr="00BB229F" w:rsidRDefault="00AA2862" w:rsidP="00AA2862">
      <w:pPr>
        <w:tabs>
          <w:tab w:val="left" w:pos="-1440"/>
          <w:tab w:val="left" w:pos="-720"/>
          <w:tab w:val="left" w:pos="540"/>
          <w:tab w:val="left" w:pos="4590"/>
          <w:tab w:val="left" w:pos="6480"/>
        </w:tabs>
        <w:suppressAutoHyphens/>
        <w:jc w:val="both"/>
        <w:rPr>
          <w:spacing w:val="-3"/>
          <w:szCs w:val="22"/>
          <w:lang w:val="fr-FR"/>
        </w:rPr>
      </w:pPr>
      <w:r w:rsidRPr="00BB229F">
        <w:rPr>
          <w:spacing w:val="-3"/>
          <w:szCs w:val="22"/>
          <w:lang w:val="fr-FR"/>
        </w:rPr>
        <w:tab/>
        <w:t>&lt;=25,000 population</w:t>
      </w:r>
      <w:r w:rsidRPr="00BB229F">
        <w:rPr>
          <w:spacing w:val="-3"/>
          <w:szCs w:val="22"/>
          <w:lang w:val="fr-FR"/>
        </w:rPr>
        <w:tab/>
        <w:t xml:space="preserve">   $640</w:t>
      </w:r>
      <w:r w:rsidRPr="00BB229F">
        <w:rPr>
          <w:spacing w:val="-3"/>
          <w:szCs w:val="22"/>
          <w:lang w:val="fr-FR"/>
        </w:rPr>
        <w:tab/>
      </w:r>
    </w:p>
    <w:p w:rsidR="00AA2862" w:rsidRPr="00BB229F" w:rsidRDefault="00AA2862" w:rsidP="00AA2862">
      <w:pPr>
        <w:tabs>
          <w:tab w:val="left" w:pos="-1440"/>
          <w:tab w:val="left" w:pos="-720"/>
          <w:tab w:val="left" w:pos="540"/>
          <w:tab w:val="left" w:pos="4590"/>
          <w:tab w:val="left" w:pos="6480"/>
        </w:tabs>
        <w:suppressAutoHyphens/>
        <w:jc w:val="both"/>
        <w:rPr>
          <w:spacing w:val="-3"/>
          <w:szCs w:val="22"/>
          <w:lang w:val="fr-FR"/>
        </w:rPr>
      </w:pPr>
      <w:r w:rsidRPr="00BB229F">
        <w:rPr>
          <w:spacing w:val="-3"/>
          <w:szCs w:val="22"/>
          <w:lang w:val="fr-FR"/>
        </w:rPr>
        <w:tab/>
        <w:t>25,001-75,000 population</w:t>
      </w:r>
      <w:r w:rsidRPr="00BB229F">
        <w:rPr>
          <w:spacing w:val="-3"/>
          <w:szCs w:val="22"/>
          <w:lang w:val="fr-FR"/>
        </w:rPr>
        <w:tab/>
        <w:t xml:space="preserve">   $955</w:t>
      </w:r>
      <w:r w:rsidRPr="00BB229F">
        <w:rPr>
          <w:spacing w:val="-3"/>
          <w:szCs w:val="22"/>
          <w:lang w:val="fr-FR"/>
        </w:rPr>
        <w:tab/>
      </w:r>
    </w:p>
    <w:p w:rsidR="00AA2862" w:rsidRPr="00BB229F" w:rsidRDefault="00AA2862" w:rsidP="00AA2862">
      <w:pPr>
        <w:tabs>
          <w:tab w:val="left" w:pos="-1440"/>
          <w:tab w:val="left" w:pos="-720"/>
          <w:tab w:val="left" w:pos="540"/>
          <w:tab w:val="left" w:pos="4590"/>
          <w:tab w:val="left" w:pos="6480"/>
        </w:tabs>
        <w:suppressAutoHyphens/>
        <w:jc w:val="both"/>
        <w:rPr>
          <w:spacing w:val="-3"/>
          <w:szCs w:val="22"/>
          <w:lang w:val="fr-FR"/>
        </w:rPr>
      </w:pPr>
      <w:r w:rsidRPr="00BB229F">
        <w:rPr>
          <w:spacing w:val="-3"/>
          <w:szCs w:val="22"/>
          <w:lang w:val="fr-FR"/>
        </w:rPr>
        <w:tab/>
        <w:t>75,001-150,000 population</w:t>
      </w:r>
      <w:r w:rsidRPr="00BB229F">
        <w:rPr>
          <w:spacing w:val="-3"/>
          <w:szCs w:val="22"/>
          <w:lang w:val="fr-FR"/>
        </w:rPr>
        <w:tab/>
        <w:t>$1,700</w:t>
      </w:r>
      <w:r w:rsidRPr="00BB229F">
        <w:rPr>
          <w:spacing w:val="-3"/>
          <w:szCs w:val="22"/>
          <w:lang w:val="fr-FR"/>
        </w:rPr>
        <w:tab/>
      </w:r>
    </w:p>
    <w:p w:rsidR="00AA2862" w:rsidRPr="00BB229F" w:rsidRDefault="00AA2862" w:rsidP="00AA2862">
      <w:pPr>
        <w:tabs>
          <w:tab w:val="left" w:pos="-1440"/>
          <w:tab w:val="left" w:pos="-720"/>
          <w:tab w:val="left" w:pos="540"/>
          <w:tab w:val="left" w:pos="4590"/>
          <w:tab w:val="left" w:pos="6480"/>
        </w:tabs>
        <w:suppressAutoHyphens/>
        <w:jc w:val="both"/>
        <w:rPr>
          <w:spacing w:val="-3"/>
          <w:szCs w:val="22"/>
          <w:lang w:val="fr-FR"/>
        </w:rPr>
      </w:pPr>
      <w:r w:rsidRPr="00BB229F">
        <w:rPr>
          <w:spacing w:val="-3"/>
          <w:szCs w:val="22"/>
          <w:lang w:val="fr-FR"/>
        </w:rPr>
        <w:tab/>
        <w:t>150,001-500,000 population</w:t>
      </w:r>
      <w:r w:rsidRPr="00BB229F">
        <w:rPr>
          <w:spacing w:val="-3"/>
          <w:szCs w:val="22"/>
          <w:lang w:val="fr-FR"/>
        </w:rPr>
        <w:tab/>
        <w:t>$2,525</w:t>
      </w:r>
    </w:p>
    <w:p w:rsidR="00AA2862" w:rsidRPr="00BB229F" w:rsidRDefault="00AA2862" w:rsidP="00AA2862">
      <w:pPr>
        <w:tabs>
          <w:tab w:val="left" w:pos="-1440"/>
          <w:tab w:val="left" w:pos="-720"/>
          <w:tab w:val="left" w:pos="540"/>
          <w:tab w:val="left" w:pos="4590"/>
          <w:tab w:val="left" w:pos="6480"/>
        </w:tabs>
        <w:suppressAutoHyphens/>
        <w:jc w:val="both"/>
        <w:rPr>
          <w:spacing w:val="-3"/>
          <w:szCs w:val="22"/>
          <w:lang w:val="fr-FR"/>
        </w:rPr>
      </w:pPr>
      <w:r w:rsidRPr="00BB229F">
        <w:rPr>
          <w:spacing w:val="-3"/>
          <w:szCs w:val="22"/>
          <w:lang w:val="fr-FR"/>
        </w:rPr>
        <w:tab/>
        <w:t>500,001-1,200,000 population</w:t>
      </w:r>
      <w:r w:rsidRPr="00BB229F">
        <w:rPr>
          <w:spacing w:val="-3"/>
          <w:szCs w:val="22"/>
          <w:lang w:val="fr-FR"/>
        </w:rPr>
        <w:tab/>
        <w:t>$3,800</w:t>
      </w:r>
    </w:p>
    <w:p w:rsidR="00AA2862" w:rsidRPr="00BB229F" w:rsidRDefault="00AA2862" w:rsidP="00AA2862">
      <w:pPr>
        <w:tabs>
          <w:tab w:val="left" w:pos="-1440"/>
          <w:tab w:val="left" w:pos="-720"/>
          <w:tab w:val="left" w:pos="540"/>
          <w:tab w:val="left" w:pos="4590"/>
          <w:tab w:val="left" w:pos="6480"/>
        </w:tabs>
        <w:suppressAutoHyphens/>
        <w:jc w:val="both"/>
        <w:rPr>
          <w:spacing w:val="-3"/>
          <w:szCs w:val="22"/>
          <w:lang w:val="fr-FR"/>
        </w:rPr>
      </w:pPr>
      <w:r w:rsidRPr="00BB229F">
        <w:rPr>
          <w:spacing w:val="-3"/>
          <w:szCs w:val="22"/>
          <w:lang w:val="fr-FR"/>
        </w:rPr>
        <w:tab/>
        <w:t>1,200,001-3,000,000 population</w:t>
      </w:r>
      <w:r w:rsidRPr="00BB229F">
        <w:rPr>
          <w:spacing w:val="-3"/>
          <w:szCs w:val="22"/>
          <w:lang w:val="fr-FR"/>
        </w:rPr>
        <w:tab/>
        <w:t>$5,700</w:t>
      </w:r>
    </w:p>
    <w:p w:rsidR="00AA2862" w:rsidRPr="00BB229F" w:rsidRDefault="00AA2862" w:rsidP="00AA2862">
      <w:pPr>
        <w:tabs>
          <w:tab w:val="left" w:pos="-1440"/>
          <w:tab w:val="left" w:pos="-720"/>
          <w:tab w:val="left" w:pos="540"/>
          <w:tab w:val="left" w:pos="4590"/>
          <w:tab w:val="left" w:pos="6480"/>
        </w:tabs>
        <w:suppressAutoHyphens/>
        <w:jc w:val="both"/>
        <w:rPr>
          <w:spacing w:val="-3"/>
          <w:szCs w:val="22"/>
          <w:lang w:val="fr-FR"/>
        </w:rPr>
      </w:pPr>
      <w:r w:rsidRPr="00BB229F">
        <w:rPr>
          <w:spacing w:val="-3"/>
          <w:szCs w:val="22"/>
          <w:lang w:val="fr-FR"/>
        </w:rPr>
        <w:tab/>
        <w:t>3,000,001-6,000,000 population</w:t>
      </w:r>
      <w:r w:rsidRPr="00BB229F">
        <w:rPr>
          <w:spacing w:val="-3"/>
          <w:szCs w:val="22"/>
          <w:lang w:val="fr-FR"/>
        </w:rPr>
        <w:tab/>
        <w:t>$8,550</w:t>
      </w:r>
    </w:p>
    <w:p w:rsidR="00AA2862" w:rsidRPr="00BB229F" w:rsidRDefault="00AA2862" w:rsidP="00AA2862">
      <w:pPr>
        <w:tabs>
          <w:tab w:val="left" w:pos="-1440"/>
          <w:tab w:val="left" w:pos="-720"/>
          <w:tab w:val="left" w:pos="540"/>
          <w:tab w:val="left" w:pos="4590"/>
          <w:tab w:val="left" w:pos="6480"/>
        </w:tabs>
        <w:suppressAutoHyphens/>
        <w:jc w:val="both"/>
        <w:rPr>
          <w:spacing w:val="-3"/>
          <w:szCs w:val="22"/>
          <w:lang w:val="fr-FR"/>
        </w:rPr>
      </w:pPr>
      <w:r w:rsidRPr="00BB229F">
        <w:rPr>
          <w:spacing w:val="-3"/>
          <w:szCs w:val="22"/>
          <w:lang w:val="fr-FR"/>
        </w:rPr>
        <w:tab/>
        <w:t>&gt;6,000,000 population</w:t>
      </w:r>
      <w:r w:rsidRPr="00BB229F">
        <w:rPr>
          <w:spacing w:val="-3"/>
          <w:szCs w:val="22"/>
          <w:lang w:val="fr-FR"/>
        </w:rPr>
        <w:tab/>
        <w:t>$12,825</w:t>
      </w:r>
    </w:p>
    <w:p w:rsidR="00AA2862" w:rsidRPr="00BB229F" w:rsidRDefault="00AA2862" w:rsidP="00AA2862">
      <w:pPr>
        <w:tabs>
          <w:tab w:val="left" w:pos="-1440"/>
          <w:tab w:val="left" w:pos="-720"/>
          <w:tab w:val="left" w:pos="540"/>
          <w:tab w:val="left" w:pos="4590"/>
          <w:tab w:val="left" w:pos="6480"/>
        </w:tabs>
        <w:suppressAutoHyphens/>
        <w:jc w:val="both"/>
        <w:rPr>
          <w:spacing w:val="-3"/>
          <w:szCs w:val="22"/>
          <w:lang w:val="fr-FR"/>
        </w:rPr>
      </w:pPr>
    </w:p>
    <w:p w:rsidR="00AA2862" w:rsidRPr="00BB229F" w:rsidRDefault="00AA2862" w:rsidP="00AA2862">
      <w:pPr>
        <w:tabs>
          <w:tab w:val="left" w:pos="-1440"/>
          <w:tab w:val="left" w:pos="-720"/>
          <w:tab w:val="left" w:pos="540"/>
          <w:tab w:val="left" w:pos="4590"/>
          <w:tab w:val="left" w:pos="6480"/>
        </w:tabs>
        <w:suppressAutoHyphens/>
        <w:jc w:val="both"/>
        <w:outlineLvl w:val="0"/>
        <w:rPr>
          <w:spacing w:val="-3"/>
          <w:szCs w:val="22"/>
          <w:lang w:val="fr-FR"/>
        </w:rPr>
      </w:pPr>
      <w:bookmarkStart w:id="341" w:name="_Toc491865090"/>
      <w:bookmarkStart w:id="342" w:name="_Toc491865505"/>
      <w:r w:rsidRPr="00BB229F">
        <w:rPr>
          <w:spacing w:val="-3"/>
          <w:szCs w:val="22"/>
          <w:lang w:val="fr-FR"/>
        </w:rPr>
        <w:t>3.</w:t>
      </w:r>
      <w:r w:rsidRPr="00BB229F">
        <w:rPr>
          <w:spacing w:val="-3"/>
          <w:szCs w:val="22"/>
          <w:lang w:val="fr-FR"/>
        </w:rPr>
        <w:tab/>
      </w:r>
      <w:r w:rsidRPr="00BB229F">
        <w:rPr>
          <w:spacing w:val="-3"/>
          <w:szCs w:val="22"/>
          <w:u w:val="single"/>
          <w:lang w:val="fr-FR"/>
        </w:rPr>
        <w:t>AM Class C</w:t>
      </w:r>
      <w:bookmarkEnd w:id="341"/>
      <w:bookmarkEnd w:id="342"/>
    </w:p>
    <w:p w:rsidR="00AA2862" w:rsidRPr="00BB229F" w:rsidRDefault="00AA2862" w:rsidP="00AA2862">
      <w:pPr>
        <w:tabs>
          <w:tab w:val="left" w:pos="-1440"/>
          <w:tab w:val="left" w:pos="-720"/>
          <w:tab w:val="left" w:pos="540"/>
          <w:tab w:val="left" w:pos="4590"/>
          <w:tab w:val="left" w:pos="6480"/>
        </w:tabs>
        <w:suppressAutoHyphens/>
        <w:jc w:val="both"/>
        <w:rPr>
          <w:spacing w:val="-3"/>
          <w:szCs w:val="22"/>
          <w:lang w:val="fr-FR"/>
        </w:rPr>
      </w:pPr>
      <w:r w:rsidRPr="00BB229F">
        <w:rPr>
          <w:spacing w:val="-3"/>
          <w:szCs w:val="22"/>
          <w:lang w:val="fr-FR"/>
        </w:rPr>
        <w:tab/>
        <w:t>&lt;=25,000 population</w:t>
      </w:r>
      <w:r w:rsidRPr="00BB229F">
        <w:rPr>
          <w:spacing w:val="-3"/>
          <w:szCs w:val="22"/>
          <w:lang w:val="fr-FR"/>
        </w:rPr>
        <w:tab/>
        <w:t xml:space="preserve">   $555</w:t>
      </w:r>
      <w:r w:rsidRPr="00BB229F">
        <w:rPr>
          <w:spacing w:val="-3"/>
          <w:szCs w:val="22"/>
          <w:lang w:val="fr-FR"/>
        </w:rPr>
        <w:tab/>
      </w:r>
    </w:p>
    <w:p w:rsidR="00AA2862" w:rsidRPr="00BB229F" w:rsidRDefault="00AA2862" w:rsidP="00AA2862">
      <w:pPr>
        <w:tabs>
          <w:tab w:val="left" w:pos="-1440"/>
          <w:tab w:val="left" w:pos="-720"/>
          <w:tab w:val="left" w:pos="540"/>
          <w:tab w:val="left" w:pos="4590"/>
          <w:tab w:val="left" w:pos="6480"/>
        </w:tabs>
        <w:suppressAutoHyphens/>
        <w:jc w:val="both"/>
        <w:rPr>
          <w:spacing w:val="-3"/>
          <w:szCs w:val="22"/>
          <w:lang w:val="fr-FR"/>
        </w:rPr>
      </w:pPr>
      <w:r w:rsidRPr="00BB229F">
        <w:rPr>
          <w:spacing w:val="-3"/>
          <w:szCs w:val="22"/>
          <w:lang w:val="fr-FR"/>
        </w:rPr>
        <w:tab/>
        <w:t>25,001-75,000 population</w:t>
      </w:r>
      <w:r w:rsidRPr="00BB229F">
        <w:rPr>
          <w:spacing w:val="-3"/>
          <w:szCs w:val="22"/>
          <w:lang w:val="fr-FR"/>
        </w:rPr>
        <w:tab/>
        <w:t xml:space="preserve">   $830</w:t>
      </w:r>
      <w:r w:rsidRPr="00BB229F">
        <w:rPr>
          <w:spacing w:val="-3"/>
          <w:szCs w:val="22"/>
          <w:lang w:val="fr-FR"/>
        </w:rPr>
        <w:tab/>
      </w:r>
    </w:p>
    <w:p w:rsidR="00AA2862" w:rsidRPr="00BB229F" w:rsidRDefault="00AA2862" w:rsidP="00AA2862">
      <w:pPr>
        <w:tabs>
          <w:tab w:val="left" w:pos="-1440"/>
          <w:tab w:val="left" w:pos="-720"/>
          <w:tab w:val="left" w:pos="540"/>
          <w:tab w:val="left" w:pos="4590"/>
          <w:tab w:val="left" w:pos="6480"/>
        </w:tabs>
        <w:suppressAutoHyphens/>
        <w:jc w:val="both"/>
        <w:rPr>
          <w:spacing w:val="-3"/>
          <w:szCs w:val="22"/>
          <w:lang w:val="fr-FR"/>
        </w:rPr>
      </w:pPr>
      <w:r w:rsidRPr="00BB229F">
        <w:rPr>
          <w:spacing w:val="-3"/>
          <w:szCs w:val="22"/>
          <w:lang w:val="fr-FR"/>
        </w:rPr>
        <w:tab/>
        <w:t>75,001-150,000 population</w:t>
      </w:r>
      <w:r w:rsidRPr="00BB229F">
        <w:rPr>
          <w:spacing w:val="-3"/>
          <w:szCs w:val="22"/>
          <w:lang w:val="fr-FR"/>
        </w:rPr>
        <w:tab/>
        <w:t>$1,475</w:t>
      </w:r>
      <w:r w:rsidRPr="00BB229F">
        <w:rPr>
          <w:spacing w:val="-3"/>
          <w:szCs w:val="22"/>
          <w:lang w:val="fr-FR"/>
        </w:rPr>
        <w:tab/>
      </w:r>
    </w:p>
    <w:p w:rsidR="00AA2862" w:rsidRPr="00BB229F" w:rsidRDefault="00AA2862" w:rsidP="00AA2862">
      <w:pPr>
        <w:tabs>
          <w:tab w:val="left" w:pos="-1440"/>
          <w:tab w:val="left" w:pos="-720"/>
          <w:tab w:val="left" w:pos="540"/>
          <w:tab w:val="left" w:pos="4590"/>
          <w:tab w:val="left" w:pos="6480"/>
        </w:tabs>
        <w:suppressAutoHyphens/>
        <w:jc w:val="both"/>
        <w:rPr>
          <w:spacing w:val="-3"/>
          <w:szCs w:val="22"/>
          <w:lang w:val="fr-FR"/>
        </w:rPr>
      </w:pPr>
      <w:r w:rsidRPr="00BB229F">
        <w:rPr>
          <w:spacing w:val="-3"/>
          <w:szCs w:val="22"/>
          <w:lang w:val="fr-FR"/>
        </w:rPr>
        <w:tab/>
        <w:t>150,001-500,000 population</w:t>
      </w:r>
      <w:r w:rsidRPr="00BB229F">
        <w:rPr>
          <w:spacing w:val="-3"/>
          <w:szCs w:val="22"/>
          <w:lang w:val="fr-FR"/>
        </w:rPr>
        <w:tab/>
        <w:t>$2,200</w:t>
      </w:r>
      <w:r w:rsidRPr="00BB229F">
        <w:rPr>
          <w:spacing w:val="-3"/>
          <w:szCs w:val="22"/>
          <w:lang w:val="fr-FR"/>
        </w:rPr>
        <w:tab/>
      </w:r>
    </w:p>
    <w:p w:rsidR="00AA2862" w:rsidRPr="00BB229F" w:rsidRDefault="00AA2862" w:rsidP="00AA2862">
      <w:pPr>
        <w:tabs>
          <w:tab w:val="left" w:pos="-1440"/>
          <w:tab w:val="left" w:pos="-720"/>
          <w:tab w:val="left" w:pos="540"/>
          <w:tab w:val="left" w:pos="4590"/>
          <w:tab w:val="left" w:pos="6480"/>
        </w:tabs>
        <w:suppressAutoHyphens/>
        <w:jc w:val="both"/>
        <w:rPr>
          <w:spacing w:val="-3"/>
          <w:szCs w:val="22"/>
          <w:lang w:val="fr-FR"/>
        </w:rPr>
      </w:pPr>
      <w:r w:rsidRPr="00BB229F">
        <w:rPr>
          <w:spacing w:val="-3"/>
          <w:szCs w:val="22"/>
          <w:lang w:val="fr-FR"/>
        </w:rPr>
        <w:tab/>
        <w:t>500,001-1,200,000 population</w:t>
      </w:r>
      <w:r w:rsidRPr="00BB229F">
        <w:rPr>
          <w:spacing w:val="-3"/>
          <w:szCs w:val="22"/>
          <w:lang w:val="fr-FR"/>
        </w:rPr>
        <w:tab/>
        <w:t>$3,300</w:t>
      </w:r>
    </w:p>
    <w:p w:rsidR="00AA2862" w:rsidRPr="00BB229F" w:rsidRDefault="00AA2862" w:rsidP="00AA2862">
      <w:pPr>
        <w:tabs>
          <w:tab w:val="left" w:pos="-1440"/>
          <w:tab w:val="left" w:pos="-720"/>
          <w:tab w:val="left" w:pos="540"/>
          <w:tab w:val="left" w:pos="4590"/>
          <w:tab w:val="left" w:pos="6480"/>
        </w:tabs>
        <w:suppressAutoHyphens/>
        <w:jc w:val="both"/>
        <w:rPr>
          <w:spacing w:val="-3"/>
          <w:szCs w:val="22"/>
          <w:lang w:val="fr-FR"/>
        </w:rPr>
      </w:pPr>
      <w:r w:rsidRPr="00BB229F">
        <w:rPr>
          <w:spacing w:val="-3"/>
          <w:szCs w:val="22"/>
          <w:lang w:val="fr-FR"/>
        </w:rPr>
        <w:tab/>
        <w:t>1,200,001-3,000,000 population</w:t>
      </w:r>
      <w:r w:rsidRPr="00BB229F">
        <w:rPr>
          <w:spacing w:val="-3"/>
          <w:szCs w:val="22"/>
          <w:lang w:val="fr-FR"/>
        </w:rPr>
        <w:tab/>
        <w:t>$4,950</w:t>
      </w:r>
    </w:p>
    <w:p w:rsidR="00AA2862" w:rsidRPr="00BB229F" w:rsidRDefault="00AA2862" w:rsidP="00AA2862">
      <w:pPr>
        <w:tabs>
          <w:tab w:val="left" w:pos="-1440"/>
          <w:tab w:val="left" w:pos="-720"/>
          <w:tab w:val="left" w:pos="540"/>
          <w:tab w:val="left" w:pos="4590"/>
          <w:tab w:val="left" w:pos="6480"/>
        </w:tabs>
        <w:suppressAutoHyphens/>
        <w:jc w:val="both"/>
        <w:rPr>
          <w:spacing w:val="-3"/>
          <w:szCs w:val="22"/>
          <w:lang w:val="fr-FR"/>
        </w:rPr>
      </w:pPr>
      <w:r w:rsidRPr="00BB229F">
        <w:rPr>
          <w:spacing w:val="-3"/>
          <w:szCs w:val="22"/>
          <w:lang w:val="fr-FR"/>
        </w:rPr>
        <w:tab/>
        <w:t>3,000,001-6,000,000 population</w:t>
      </w:r>
      <w:r w:rsidRPr="00BB229F">
        <w:rPr>
          <w:spacing w:val="-3"/>
          <w:szCs w:val="22"/>
          <w:lang w:val="fr-FR"/>
        </w:rPr>
        <w:tab/>
        <w:t>$7,400</w:t>
      </w:r>
    </w:p>
    <w:p w:rsidR="00AA2862" w:rsidRPr="00BB229F" w:rsidRDefault="00AA2862" w:rsidP="00AA2862">
      <w:pPr>
        <w:tabs>
          <w:tab w:val="left" w:pos="-1440"/>
          <w:tab w:val="left" w:pos="-720"/>
          <w:tab w:val="left" w:pos="540"/>
          <w:tab w:val="left" w:pos="4590"/>
          <w:tab w:val="left" w:pos="6480"/>
        </w:tabs>
        <w:suppressAutoHyphens/>
        <w:jc w:val="both"/>
        <w:rPr>
          <w:spacing w:val="-3"/>
          <w:szCs w:val="22"/>
          <w:lang w:val="fr-FR"/>
        </w:rPr>
      </w:pPr>
      <w:r w:rsidRPr="00BB229F">
        <w:rPr>
          <w:spacing w:val="-3"/>
          <w:szCs w:val="22"/>
          <w:lang w:val="fr-FR"/>
        </w:rPr>
        <w:tab/>
        <w:t>&gt;6,000,000 population</w:t>
      </w:r>
      <w:r w:rsidRPr="00BB229F">
        <w:rPr>
          <w:spacing w:val="-3"/>
          <w:szCs w:val="22"/>
          <w:lang w:val="fr-FR"/>
        </w:rPr>
        <w:tab/>
        <w:t>$11,100</w:t>
      </w:r>
    </w:p>
    <w:p w:rsidR="00AA2862" w:rsidRPr="00BB229F" w:rsidRDefault="00AA2862" w:rsidP="00AA2862">
      <w:pPr>
        <w:tabs>
          <w:tab w:val="left" w:pos="-1440"/>
          <w:tab w:val="left" w:pos="-720"/>
          <w:tab w:val="left" w:pos="540"/>
          <w:tab w:val="left" w:pos="4590"/>
          <w:tab w:val="left" w:pos="6480"/>
        </w:tabs>
        <w:suppressAutoHyphens/>
        <w:jc w:val="both"/>
        <w:rPr>
          <w:spacing w:val="-3"/>
          <w:szCs w:val="22"/>
          <w:lang w:val="fr-FR"/>
        </w:rPr>
      </w:pPr>
    </w:p>
    <w:p w:rsidR="00AA2862" w:rsidRPr="00BB229F" w:rsidRDefault="00AA2862" w:rsidP="00AA2862">
      <w:pPr>
        <w:tabs>
          <w:tab w:val="left" w:pos="-1440"/>
          <w:tab w:val="left" w:pos="-720"/>
          <w:tab w:val="left" w:pos="540"/>
          <w:tab w:val="left" w:pos="4590"/>
          <w:tab w:val="left" w:pos="6480"/>
        </w:tabs>
        <w:suppressAutoHyphens/>
        <w:jc w:val="both"/>
        <w:outlineLvl w:val="0"/>
        <w:rPr>
          <w:spacing w:val="-3"/>
          <w:szCs w:val="22"/>
          <w:lang w:val="fr-FR"/>
        </w:rPr>
      </w:pPr>
      <w:bookmarkStart w:id="343" w:name="_Toc491865091"/>
      <w:bookmarkStart w:id="344" w:name="_Toc491865506"/>
      <w:r w:rsidRPr="00BB229F">
        <w:rPr>
          <w:spacing w:val="-3"/>
          <w:szCs w:val="22"/>
          <w:lang w:val="fr-FR"/>
        </w:rPr>
        <w:t>4.</w:t>
      </w:r>
      <w:r w:rsidRPr="00BB229F">
        <w:rPr>
          <w:spacing w:val="-3"/>
          <w:szCs w:val="22"/>
          <w:lang w:val="fr-FR"/>
        </w:rPr>
        <w:tab/>
      </w:r>
      <w:r w:rsidRPr="00BB229F">
        <w:rPr>
          <w:spacing w:val="-3"/>
          <w:szCs w:val="22"/>
          <w:u w:val="single"/>
          <w:lang w:val="fr-FR"/>
        </w:rPr>
        <w:t>AM Class D</w:t>
      </w:r>
      <w:bookmarkEnd w:id="343"/>
      <w:bookmarkEnd w:id="344"/>
    </w:p>
    <w:p w:rsidR="00AA2862" w:rsidRPr="00BB229F" w:rsidRDefault="00AA2862" w:rsidP="00AA2862">
      <w:pPr>
        <w:tabs>
          <w:tab w:val="left" w:pos="-1440"/>
          <w:tab w:val="left" w:pos="-720"/>
          <w:tab w:val="left" w:pos="540"/>
          <w:tab w:val="left" w:pos="4590"/>
          <w:tab w:val="left" w:pos="6480"/>
        </w:tabs>
        <w:suppressAutoHyphens/>
        <w:jc w:val="both"/>
        <w:rPr>
          <w:spacing w:val="-3"/>
          <w:szCs w:val="22"/>
          <w:lang w:val="fr-FR"/>
        </w:rPr>
      </w:pPr>
      <w:r w:rsidRPr="00BB229F">
        <w:rPr>
          <w:spacing w:val="-3"/>
          <w:szCs w:val="22"/>
          <w:lang w:val="fr-FR"/>
        </w:rPr>
        <w:tab/>
        <w:t>&lt;=25,000 population</w:t>
      </w:r>
      <w:r w:rsidRPr="00BB229F">
        <w:rPr>
          <w:spacing w:val="-3"/>
          <w:szCs w:val="22"/>
          <w:lang w:val="fr-FR"/>
        </w:rPr>
        <w:tab/>
        <w:t xml:space="preserve">   $610</w:t>
      </w:r>
      <w:r w:rsidRPr="00BB229F">
        <w:rPr>
          <w:spacing w:val="-3"/>
          <w:szCs w:val="22"/>
          <w:lang w:val="fr-FR"/>
        </w:rPr>
        <w:tab/>
      </w:r>
    </w:p>
    <w:p w:rsidR="00AA2862" w:rsidRPr="00BB229F" w:rsidRDefault="00AA2862" w:rsidP="00AA2862">
      <w:pPr>
        <w:tabs>
          <w:tab w:val="left" w:pos="-1440"/>
          <w:tab w:val="left" w:pos="-720"/>
          <w:tab w:val="left" w:pos="540"/>
          <w:tab w:val="left" w:pos="4590"/>
          <w:tab w:val="left" w:pos="6480"/>
        </w:tabs>
        <w:suppressAutoHyphens/>
        <w:jc w:val="both"/>
        <w:rPr>
          <w:spacing w:val="-3"/>
          <w:szCs w:val="22"/>
          <w:lang w:val="fr-FR"/>
        </w:rPr>
      </w:pPr>
      <w:r w:rsidRPr="00BB229F">
        <w:rPr>
          <w:spacing w:val="-3"/>
          <w:szCs w:val="22"/>
          <w:lang w:val="fr-FR"/>
        </w:rPr>
        <w:tab/>
        <w:t>25,001-75,000 population</w:t>
      </w:r>
      <w:r w:rsidRPr="00BB229F">
        <w:rPr>
          <w:spacing w:val="-3"/>
          <w:szCs w:val="22"/>
          <w:lang w:val="fr-FR"/>
        </w:rPr>
        <w:tab/>
        <w:t xml:space="preserve">   $915</w:t>
      </w:r>
      <w:r w:rsidRPr="00BB229F">
        <w:rPr>
          <w:spacing w:val="-3"/>
          <w:szCs w:val="22"/>
          <w:lang w:val="fr-FR"/>
        </w:rPr>
        <w:tab/>
      </w:r>
    </w:p>
    <w:p w:rsidR="00AA2862" w:rsidRPr="00BB229F" w:rsidRDefault="00AA2862" w:rsidP="00AA2862">
      <w:pPr>
        <w:tabs>
          <w:tab w:val="left" w:pos="-1440"/>
          <w:tab w:val="left" w:pos="-720"/>
          <w:tab w:val="left" w:pos="540"/>
          <w:tab w:val="left" w:pos="4590"/>
          <w:tab w:val="left" w:pos="6480"/>
        </w:tabs>
        <w:suppressAutoHyphens/>
        <w:jc w:val="both"/>
        <w:rPr>
          <w:spacing w:val="-3"/>
          <w:szCs w:val="22"/>
          <w:lang w:val="fr-FR"/>
        </w:rPr>
      </w:pPr>
      <w:r w:rsidRPr="00BB229F">
        <w:rPr>
          <w:spacing w:val="-3"/>
          <w:szCs w:val="22"/>
          <w:lang w:val="fr-FR"/>
        </w:rPr>
        <w:tab/>
        <w:t>75,001-150,000 population</w:t>
      </w:r>
      <w:r w:rsidRPr="00BB229F">
        <w:rPr>
          <w:spacing w:val="-3"/>
          <w:szCs w:val="22"/>
          <w:lang w:val="fr-FR"/>
        </w:rPr>
        <w:tab/>
        <w:t>$1,600</w:t>
      </w:r>
      <w:r w:rsidRPr="00BB229F">
        <w:rPr>
          <w:spacing w:val="-3"/>
          <w:szCs w:val="22"/>
          <w:lang w:val="fr-FR"/>
        </w:rPr>
        <w:tab/>
      </w:r>
    </w:p>
    <w:p w:rsidR="00AA2862" w:rsidRPr="00BB229F" w:rsidRDefault="00AA2862" w:rsidP="00AA2862">
      <w:pPr>
        <w:tabs>
          <w:tab w:val="left" w:pos="-1440"/>
          <w:tab w:val="left" w:pos="-720"/>
          <w:tab w:val="left" w:pos="540"/>
          <w:tab w:val="left" w:pos="4590"/>
          <w:tab w:val="left" w:pos="6480"/>
        </w:tabs>
        <w:suppressAutoHyphens/>
        <w:jc w:val="both"/>
        <w:rPr>
          <w:spacing w:val="-3"/>
          <w:szCs w:val="22"/>
          <w:lang w:val="fr-FR"/>
        </w:rPr>
      </w:pPr>
      <w:r w:rsidRPr="00BB229F">
        <w:rPr>
          <w:spacing w:val="-3"/>
          <w:szCs w:val="22"/>
          <w:lang w:val="fr-FR"/>
        </w:rPr>
        <w:tab/>
        <w:t>150,001-500,000 population</w:t>
      </w:r>
      <w:r w:rsidRPr="00BB229F">
        <w:rPr>
          <w:spacing w:val="-3"/>
          <w:szCs w:val="22"/>
          <w:lang w:val="fr-FR"/>
        </w:rPr>
        <w:tab/>
        <w:t>$2,425</w:t>
      </w:r>
      <w:r w:rsidRPr="00BB229F">
        <w:rPr>
          <w:spacing w:val="-3"/>
          <w:szCs w:val="22"/>
          <w:lang w:val="fr-FR"/>
        </w:rPr>
        <w:tab/>
      </w:r>
    </w:p>
    <w:p w:rsidR="00AA2862" w:rsidRPr="00BB229F" w:rsidRDefault="00AA2862" w:rsidP="00AA2862">
      <w:pPr>
        <w:tabs>
          <w:tab w:val="left" w:pos="-1440"/>
          <w:tab w:val="left" w:pos="-720"/>
          <w:tab w:val="left" w:pos="540"/>
          <w:tab w:val="left" w:pos="4590"/>
          <w:tab w:val="left" w:pos="6480"/>
        </w:tabs>
        <w:suppressAutoHyphens/>
        <w:jc w:val="both"/>
        <w:rPr>
          <w:spacing w:val="-3"/>
          <w:szCs w:val="22"/>
          <w:lang w:val="fr-FR"/>
        </w:rPr>
      </w:pPr>
      <w:r w:rsidRPr="00BB229F">
        <w:rPr>
          <w:spacing w:val="-3"/>
          <w:szCs w:val="22"/>
          <w:lang w:val="fr-FR"/>
        </w:rPr>
        <w:tab/>
        <w:t>500,001-1,200,000 population</w:t>
      </w:r>
      <w:r w:rsidRPr="00BB229F">
        <w:rPr>
          <w:spacing w:val="-3"/>
          <w:szCs w:val="22"/>
          <w:lang w:val="fr-FR"/>
        </w:rPr>
        <w:tab/>
        <w:t>$3,625</w:t>
      </w:r>
    </w:p>
    <w:p w:rsidR="00AA2862" w:rsidRPr="00BB229F" w:rsidRDefault="00AA2862" w:rsidP="00AA2862">
      <w:pPr>
        <w:tabs>
          <w:tab w:val="left" w:pos="-1440"/>
          <w:tab w:val="left" w:pos="-720"/>
          <w:tab w:val="left" w:pos="540"/>
          <w:tab w:val="left" w:pos="4590"/>
          <w:tab w:val="left" w:pos="6480"/>
        </w:tabs>
        <w:suppressAutoHyphens/>
        <w:jc w:val="both"/>
        <w:rPr>
          <w:spacing w:val="-3"/>
          <w:szCs w:val="22"/>
          <w:lang w:val="fr-FR"/>
        </w:rPr>
      </w:pPr>
      <w:r w:rsidRPr="00BB229F">
        <w:rPr>
          <w:spacing w:val="-3"/>
          <w:szCs w:val="22"/>
          <w:lang w:val="fr-FR"/>
        </w:rPr>
        <w:tab/>
        <w:t>1,200,001-3,000,000 population</w:t>
      </w:r>
      <w:r w:rsidRPr="00BB229F">
        <w:rPr>
          <w:spacing w:val="-3"/>
          <w:szCs w:val="22"/>
          <w:lang w:val="fr-FR"/>
        </w:rPr>
        <w:tab/>
        <w:t>$5,425</w:t>
      </w:r>
    </w:p>
    <w:p w:rsidR="00AA2862" w:rsidRPr="00BB229F" w:rsidRDefault="00AA2862" w:rsidP="00AA2862">
      <w:pPr>
        <w:tabs>
          <w:tab w:val="left" w:pos="-1440"/>
          <w:tab w:val="left" w:pos="-720"/>
          <w:tab w:val="left" w:pos="540"/>
          <w:tab w:val="left" w:pos="4590"/>
          <w:tab w:val="left" w:pos="6480"/>
        </w:tabs>
        <w:suppressAutoHyphens/>
        <w:jc w:val="both"/>
        <w:rPr>
          <w:spacing w:val="-3"/>
          <w:szCs w:val="22"/>
          <w:lang w:val="fr-FR"/>
        </w:rPr>
      </w:pPr>
      <w:r w:rsidRPr="00BB229F">
        <w:rPr>
          <w:spacing w:val="-3"/>
          <w:szCs w:val="22"/>
          <w:lang w:val="fr-FR"/>
        </w:rPr>
        <w:tab/>
        <w:t>3,000,001-6,000,000 population</w:t>
      </w:r>
      <w:r w:rsidRPr="00BB229F">
        <w:rPr>
          <w:spacing w:val="-3"/>
          <w:szCs w:val="22"/>
          <w:lang w:val="fr-FR"/>
        </w:rPr>
        <w:tab/>
        <w:t>$8,150</w:t>
      </w:r>
    </w:p>
    <w:p w:rsidR="00AA2862" w:rsidRPr="00BB229F" w:rsidRDefault="00AA2862" w:rsidP="00AA2862">
      <w:pPr>
        <w:tabs>
          <w:tab w:val="left" w:pos="-1440"/>
          <w:tab w:val="left" w:pos="-720"/>
          <w:tab w:val="left" w:pos="540"/>
          <w:tab w:val="left" w:pos="4590"/>
          <w:tab w:val="left" w:pos="6480"/>
        </w:tabs>
        <w:suppressAutoHyphens/>
        <w:jc w:val="both"/>
        <w:rPr>
          <w:spacing w:val="-3"/>
          <w:szCs w:val="22"/>
          <w:lang w:val="fr-FR"/>
        </w:rPr>
      </w:pPr>
      <w:r w:rsidRPr="00BB229F">
        <w:rPr>
          <w:spacing w:val="-3"/>
          <w:szCs w:val="22"/>
          <w:lang w:val="fr-FR"/>
        </w:rPr>
        <w:tab/>
        <w:t>&gt;6,000,000 population</w:t>
      </w:r>
      <w:r w:rsidRPr="00BB229F">
        <w:rPr>
          <w:spacing w:val="-3"/>
          <w:szCs w:val="22"/>
          <w:lang w:val="fr-FR"/>
        </w:rPr>
        <w:tab/>
        <w:t>$12,225</w:t>
      </w:r>
    </w:p>
    <w:p w:rsidR="00AA2862" w:rsidRPr="00BB229F" w:rsidRDefault="00AA2862" w:rsidP="00AA2862">
      <w:pPr>
        <w:tabs>
          <w:tab w:val="left" w:pos="-1440"/>
          <w:tab w:val="left" w:pos="-720"/>
          <w:tab w:val="left" w:pos="540"/>
          <w:tab w:val="left" w:pos="4590"/>
          <w:tab w:val="left" w:pos="6480"/>
        </w:tabs>
        <w:suppressAutoHyphens/>
        <w:jc w:val="both"/>
        <w:rPr>
          <w:spacing w:val="-3"/>
          <w:szCs w:val="22"/>
          <w:lang w:val="fr-FR"/>
        </w:rPr>
      </w:pPr>
    </w:p>
    <w:p w:rsidR="00AA2862" w:rsidRPr="00BB229F" w:rsidRDefault="00AA2862" w:rsidP="00AA2862">
      <w:pPr>
        <w:tabs>
          <w:tab w:val="left" w:pos="-1440"/>
          <w:tab w:val="left" w:pos="-720"/>
          <w:tab w:val="left" w:pos="540"/>
          <w:tab w:val="left" w:pos="4590"/>
          <w:tab w:val="left" w:pos="6480"/>
        </w:tabs>
        <w:suppressAutoHyphens/>
        <w:jc w:val="both"/>
        <w:rPr>
          <w:spacing w:val="-3"/>
          <w:szCs w:val="22"/>
          <w:lang w:val="fr-FR"/>
        </w:rPr>
      </w:pPr>
      <w:r w:rsidRPr="00BB229F">
        <w:rPr>
          <w:spacing w:val="-3"/>
          <w:szCs w:val="22"/>
          <w:lang w:val="fr-FR"/>
        </w:rPr>
        <w:t>5.</w:t>
      </w:r>
      <w:r w:rsidRPr="00BB229F">
        <w:rPr>
          <w:spacing w:val="-3"/>
          <w:szCs w:val="22"/>
          <w:lang w:val="fr-FR"/>
        </w:rPr>
        <w:tab/>
        <w:t>AM Construction Permit</w:t>
      </w:r>
      <w:r w:rsidRPr="00BB229F">
        <w:rPr>
          <w:spacing w:val="-3"/>
          <w:szCs w:val="22"/>
          <w:lang w:val="fr-FR"/>
        </w:rPr>
        <w:tab/>
        <w:t xml:space="preserve">   $555</w:t>
      </w:r>
      <w:r w:rsidRPr="00BB229F">
        <w:rPr>
          <w:spacing w:val="-3"/>
          <w:szCs w:val="22"/>
          <w:lang w:val="fr-FR"/>
        </w:rPr>
        <w:tab/>
      </w:r>
      <w:r w:rsidRPr="00BB229F">
        <w:rPr>
          <w:spacing w:val="-3"/>
          <w:szCs w:val="22"/>
          <w:lang w:val="fr-FR"/>
        </w:rPr>
        <w:tab/>
      </w:r>
      <w:r w:rsidRPr="00BB229F">
        <w:rPr>
          <w:spacing w:val="-3"/>
          <w:szCs w:val="22"/>
          <w:lang w:val="fr-FR"/>
        </w:rPr>
        <w:tab/>
      </w:r>
    </w:p>
    <w:p w:rsidR="00AA2862" w:rsidRPr="00BB229F" w:rsidRDefault="00AA2862" w:rsidP="00AA2862">
      <w:pPr>
        <w:tabs>
          <w:tab w:val="left" w:pos="-1440"/>
          <w:tab w:val="left" w:pos="-720"/>
          <w:tab w:val="left" w:pos="540"/>
          <w:tab w:val="left" w:pos="4590"/>
          <w:tab w:val="left" w:pos="6480"/>
        </w:tabs>
        <w:suppressAutoHyphens/>
        <w:jc w:val="both"/>
        <w:rPr>
          <w:spacing w:val="-3"/>
          <w:szCs w:val="22"/>
          <w:lang w:val="fr-FR"/>
        </w:rPr>
      </w:pPr>
      <w:r w:rsidRPr="00BB229F">
        <w:rPr>
          <w:spacing w:val="-3"/>
          <w:szCs w:val="22"/>
          <w:lang w:val="fr-FR"/>
        </w:rPr>
        <w:tab/>
      </w:r>
      <w:r w:rsidRPr="00BB229F">
        <w:rPr>
          <w:spacing w:val="-3"/>
          <w:szCs w:val="22"/>
          <w:lang w:val="fr-FR"/>
        </w:rPr>
        <w:tab/>
      </w:r>
      <w:r w:rsidRPr="00BB229F">
        <w:rPr>
          <w:spacing w:val="-3"/>
          <w:szCs w:val="22"/>
          <w:lang w:val="fr-FR"/>
        </w:rPr>
        <w:tab/>
      </w:r>
    </w:p>
    <w:p w:rsidR="00AA2862" w:rsidRPr="00BB229F" w:rsidRDefault="00AA2862" w:rsidP="00AA2862">
      <w:pPr>
        <w:tabs>
          <w:tab w:val="left" w:pos="-1440"/>
          <w:tab w:val="left" w:pos="-720"/>
          <w:tab w:val="left" w:pos="540"/>
          <w:tab w:val="left" w:pos="4590"/>
          <w:tab w:val="left" w:pos="6480"/>
        </w:tabs>
        <w:suppressAutoHyphens/>
        <w:jc w:val="both"/>
        <w:outlineLvl w:val="0"/>
        <w:rPr>
          <w:spacing w:val="-3"/>
          <w:szCs w:val="22"/>
          <w:lang w:val="fr-FR"/>
        </w:rPr>
      </w:pPr>
      <w:bookmarkStart w:id="345" w:name="_Toc491865092"/>
      <w:bookmarkStart w:id="346" w:name="_Toc491865507"/>
      <w:r w:rsidRPr="00BB229F">
        <w:rPr>
          <w:spacing w:val="-3"/>
          <w:szCs w:val="22"/>
          <w:lang w:val="fr-FR"/>
        </w:rPr>
        <w:t>6.</w:t>
      </w:r>
      <w:r w:rsidRPr="00BB229F">
        <w:rPr>
          <w:spacing w:val="-3"/>
          <w:szCs w:val="22"/>
          <w:lang w:val="fr-FR"/>
        </w:rPr>
        <w:tab/>
      </w:r>
      <w:r w:rsidRPr="00BB229F">
        <w:rPr>
          <w:spacing w:val="-3"/>
          <w:szCs w:val="22"/>
          <w:u w:val="single"/>
          <w:lang w:val="fr-FR"/>
        </w:rPr>
        <w:t>FM Classes A, B1 and C3</w:t>
      </w:r>
      <w:bookmarkEnd w:id="345"/>
      <w:bookmarkEnd w:id="346"/>
    </w:p>
    <w:p w:rsidR="00AA2862" w:rsidRPr="00BB229F" w:rsidRDefault="00AA2862" w:rsidP="00AA2862">
      <w:pPr>
        <w:tabs>
          <w:tab w:val="left" w:pos="-1440"/>
          <w:tab w:val="left" w:pos="-720"/>
          <w:tab w:val="left" w:pos="540"/>
          <w:tab w:val="left" w:pos="4590"/>
          <w:tab w:val="left" w:pos="6480"/>
        </w:tabs>
        <w:suppressAutoHyphens/>
        <w:jc w:val="both"/>
        <w:rPr>
          <w:spacing w:val="-3"/>
          <w:szCs w:val="22"/>
          <w:lang w:val="fr-FR"/>
        </w:rPr>
      </w:pPr>
      <w:r w:rsidRPr="00BB229F">
        <w:rPr>
          <w:spacing w:val="-3"/>
          <w:szCs w:val="22"/>
          <w:lang w:val="fr-FR"/>
        </w:rPr>
        <w:tab/>
        <w:t>&lt;=25,000 population</w:t>
      </w:r>
      <w:r w:rsidRPr="00BB229F">
        <w:rPr>
          <w:spacing w:val="-3"/>
          <w:szCs w:val="22"/>
          <w:lang w:val="fr-FR"/>
        </w:rPr>
        <w:tab/>
        <w:t xml:space="preserve">   $980</w:t>
      </w:r>
      <w:r w:rsidRPr="00BB229F">
        <w:rPr>
          <w:spacing w:val="-3"/>
          <w:szCs w:val="22"/>
          <w:lang w:val="fr-FR"/>
        </w:rPr>
        <w:tab/>
      </w:r>
    </w:p>
    <w:p w:rsidR="00AA2862" w:rsidRPr="00BB229F" w:rsidRDefault="00AA2862" w:rsidP="00AA2862">
      <w:pPr>
        <w:tabs>
          <w:tab w:val="left" w:pos="-1440"/>
          <w:tab w:val="left" w:pos="-720"/>
          <w:tab w:val="left" w:pos="540"/>
          <w:tab w:val="left" w:pos="4590"/>
          <w:tab w:val="left" w:pos="6480"/>
        </w:tabs>
        <w:suppressAutoHyphens/>
        <w:jc w:val="both"/>
        <w:rPr>
          <w:spacing w:val="-3"/>
          <w:szCs w:val="22"/>
          <w:lang w:val="fr-FR"/>
        </w:rPr>
      </w:pPr>
      <w:r w:rsidRPr="00BB229F">
        <w:rPr>
          <w:spacing w:val="-3"/>
          <w:szCs w:val="22"/>
          <w:lang w:val="fr-FR"/>
        </w:rPr>
        <w:tab/>
        <w:t>25,001-75,000 population</w:t>
      </w:r>
      <w:r w:rsidRPr="00BB229F">
        <w:rPr>
          <w:spacing w:val="-3"/>
          <w:szCs w:val="22"/>
          <w:lang w:val="fr-FR"/>
        </w:rPr>
        <w:tab/>
        <w:t>$1,475</w:t>
      </w:r>
      <w:r w:rsidRPr="00BB229F">
        <w:rPr>
          <w:spacing w:val="-3"/>
          <w:szCs w:val="22"/>
          <w:lang w:val="fr-FR"/>
        </w:rPr>
        <w:tab/>
      </w:r>
    </w:p>
    <w:p w:rsidR="00AA2862" w:rsidRPr="00BB229F" w:rsidRDefault="00AA2862" w:rsidP="00AA2862">
      <w:pPr>
        <w:tabs>
          <w:tab w:val="left" w:pos="-1440"/>
          <w:tab w:val="left" w:pos="-720"/>
          <w:tab w:val="left" w:pos="540"/>
          <w:tab w:val="left" w:pos="4590"/>
          <w:tab w:val="left" w:pos="6480"/>
        </w:tabs>
        <w:suppressAutoHyphens/>
        <w:jc w:val="both"/>
        <w:rPr>
          <w:spacing w:val="-3"/>
          <w:szCs w:val="22"/>
          <w:lang w:val="fr-FR"/>
        </w:rPr>
      </w:pPr>
      <w:r w:rsidRPr="00BB229F">
        <w:rPr>
          <w:spacing w:val="-3"/>
          <w:szCs w:val="22"/>
          <w:lang w:val="fr-FR"/>
        </w:rPr>
        <w:tab/>
        <w:t>75,001-150,000 population</w:t>
      </w:r>
      <w:r w:rsidRPr="00BB229F">
        <w:rPr>
          <w:spacing w:val="-3"/>
          <w:szCs w:val="22"/>
          <w:lang w:val="fr-FR"/>
        </w:rPr>
        <w:tab/>
        <w:t>$2,600</w:t>
      </w:r>
      <w:r w:rsidRPr="00BB229F">
        <w:rPr>
          <w:spacing w:val="-3"/>
          <w:szCs w:val="22"/>
          <w:lang w:val="fr-FR"/>
        </w:rPr>
        <w:tab/>
      </w:r>
    </w:p>
    <w:p w:rsidR="00AA2862" w:rsidRPr="00BB229F" w:rsidRDefault="00AA2862" w:rsidP="00AA2862">
      <w:pPr>
        <w:tabs>
          <w:tab w:val="left" w:pos="-1440"/>
          <w:tab w:val="left" w:pos="-720"/>
          <w:tab w:val="left" w:pos="540"/>
          <w:tab w:val="left" w:pos="4590"/>
          <w:tab w:val="left" w:pos="6480"/>
        </w:tabs>
        <w:suppressAutoHyphens/>
        <w:jc w:val="both"/>
        <w:rPr>
          <w:spacing w:val="-3"/>
          <w:szCs w:val="22"/>
          <w:lang w:val="fr-FR"/>
        </w:rPr>
      </w:pPr>
      <w:r w:rsidRPr="00BB229F">
        <w:rPr>
          <w:spacing w:val="-3"/>
          <w:szCs w:val="22"/>
          <w:lang w:val="fr-FR"/>
        </w:rPr>
        <w:tab/>
        <w:t>150,001-500,000 population</w:t>
      </w:r>
      <w:r w:rsidRPr="00BB229F">
        <w:rPr>
          <w:spacing w:val="-3"/>
          <w:szCs w:val="22"/>
          <w:lang w:val="fr-FR"/>
        </w:rPr>
        <w:tab/>
        <w:t>$3,875</w:t>
      </w:r>
      <w:r w:rsidRPr="00BB229F">
        <w:rPr>
          <w:spacing w:val="-3"/>
          <w:szCs w:val="22"/>
          <w:lang w:val="fr-FR"/>
        </w:rPr>
        <w:tab/>
      </w:r>
    </w:p>
    <w:p w:rsidR="00AA2862" w:rsidRPr="00BB229F" w:rsidRDefault="00AA2862" w:rsidP="00AA2862">
      <w:pPr>
        <w:tabs>
          <w:tab w:val="left" w:pos="-1440"/>
          <w:tab w:val="left" w:pos="-720"/>
          <w:tab w:val="left" w:pos="540"/>
          <w:tab w:val="left" w:pos="4590"/>
          <w:tab w:val="left" w:pos="6480"/>
        </w:tabs>
        <w:suppressAutoHyphens/>
        <w:jc w:val="both"/>
        <w:rPr>
          <w:spacing w:val="-3"/>
          <w:szCs w:val="22"/>
          <w:lang w:val="fr-FR"/>
        </w:rPr>
      </w:pPr>
      <w:r w:rsidRPr="00BB229F">
        <w:rPr>
          <w:spacing w:val="-3"/>
          <w:szCs w:val="22"/>
          <w:lang w:val="fr-FR"/>
        </w:rPr>
        <w:tab/>
        <w:t>500,001-1,200,000 population</w:t>
      </w:r>
      <w:r w:rsidRPr="00BB229F">
        <w:rPr>
          <w:spacing w:val="-3"/>
          <w:szCs w:val="22"/>
          <w:lang w:val="fr-FR"/>
        </w:rPr>
        <w:tab/>
        <w:t>$5,825</w:t>
      </w:r>
    </w:p>
    <w:p w:rsidR="00AA2862" w:rsidRPr="00BB229F" w:rsidRDefault="00AA2862" w:rsidP="00AA2862">
      <w:pPr>
        <w:tabs>
          <w:tab w:val="left" w:pos="-1440"/>
          <w:tab w:val="left" w:pos="-720"/>
          <w:tab w:val="left" w:pos="540"/>
          <w:tab w:val="left" w:pos="4590"/>
          <w:tab w:val="left" w:pos="6480"/>
        </w:tabs>
        <w:suppressAutoHyphens/>
        <w:jc w:val="both"/>
        <w:rPr>
          <w:spacing w:val="-3"/>
          <w:szCs w:val="22"/>
          <w:lang w:val="fr-FR"/>
        </w:rPr>
      </w:pPr>
      <w:r w:rsidRPr="00BB229F">
        <w:rPr>
          <w:spacing w:val="-3"/>
          <w:szCs w:val="22"/>
          <w:lang w:val="fr-FR"/>
        </w:rPr>
        <w:tab/>
        <w:t>1,200,001-3,000,000 population</w:t>
      </w:r>
      <w:r w:rsidRPr="00BB229F">
        <w:rPr>
          <w:spacing w:val="-3"/>
          <w:szCs w:val="22"/>
          <w:lang w:val="fr-FR"/>
        </w:rPr>
        <w:tab/>
        <w:t>$8,750</w:t>
      </w:r>
    </w:p>
    <w:p w:rsidR="00AA2862" w:rsidRPr="00BB229F" w:rsidRDefault="00AA2862" w:rsidP="00AA2862">
      <w:pPr>
        <w:tabs>
          <w:tab w:val="left" w:pos="-1440"/>
          <w:tab w:val="left" w:pos="-720"/>
          <w:tab w:val="left" w:pos="540"/>
          <w:tab w:val="left" w:pos="4590"/>
          <w:tab w:val="left" w:pos="6480"/>
        </w:tabs>
        <w:suppressAutoHyphens/>
        <w:jc w:val="both"/>
        <w:rPr>
          <w:spacing w:val="-3"/>
          <w:szCs w:val="22"/>
          <w:lang w:val="fr-FR"/>
        </w:rPr>
      </w:pPr>
      <w:r w:rsidRPr="00BB229F">
        <w:rPr>
          <w:spacing w:val="-3"/>
          <w:szCs w:val="22"/>
          <w:lang w:val="fr-FR"/>
        </w:rPr>
        <w:tab/>
        <w:t>3,000,001-6,000,000 population</w:t>
      </w:r>
      <w:r w:rsidRPr="00BB229F">
        <w:rPr>
          <w:spacing w:val="-3"/>
          <w:szCs w:val="22"/>
          <w:lang w:val="fr-FR"/>
        </w:rPr>
        <w:tab/>
        <w:t>$13,100</w:t>
      </w:r>
    </w:p>
    <w:p w:rsidR="00AA2862" w:rsidRPr="00BB229F" w:rsidRDefault="00AA2862" w:rsidP="00AA2862">
      <w:pPr>
        <w:tabs>
          <w:tab w:val="left" w:pos="-1440"/>
          <w:tab w:val="left" w:pos="-720"/>
          <w:tab w:val="left" w:pos="540"/>
          <w:tab w:val="left" w:pos="4590"/>
          <w:tab w:val="left" w:pos="6480"/>
        </w:tabs>
        <w:suppressAutoHyphens/>
        <w:jc w:val="both"/>
        <w:rPr>
          <w:spacing w:val="-3"/>
          <w:szCs w:val="22"/>
          <w:lang w:val="fr-FR"/>
        </w:rPr>
      </w:pPr>
      <w:r w:rsidRPr="00BB229F">
        <w:rPr>
          <w:spacing w:val="-3"/>
          <w:szCs w:val="22"/>
          <w:lang w:val="fr-FR"/>
        </w:rPr>
        <w:tab/>
        <w:t>&gt;6,000,000 population</w:t>
      </w:r>
      <w:r w:rsidRPr="00BB229F">
        <w:rPr>
          <w:spacing w:val="-3"/>
          <w:szCs w:val="22"/>
          <w:lang w:val="fr-FR"/>
        </w:rPr>
        <w:tab/>
        <w:t>$19,650</w:t>
      </w:r>
      <w:r w:rsidRPr="00BB229F">
        <w:rPr>
          <w:spacing w:val="-3"/>
          <w:szCs w:val="22"/>
          <w:lang w:val="fr-FR"/>
        </w:rPr>
        <w:tab/>
      </w:r>
      <w:r w:rsidRPr="00BB229F">
        <w:rPr>
          <w:spacing w:val="-3"/>
          <w:szCs w:val="22"/>
          <w:lang w:val="fr-FR"/>
        </w:rPr>
        <w:tab/>
      </w:r>
      <w:r w:rsidRPr="00BB229F">
        <w:rPr>
          <w:spacing w:val="-3"/>
          <w:szCs w:val="22"/>
          <w:lang w:val="fr-FR"/>
        </w:rPr>
        <w:tab/>
      </w:r>
    </w:p>
    <w:p w:rsidR="00AA2862" w:rsidRPr="00BB229F" w:rsidRDefault="00AA2862" w:rsidP="00AA2862">
      <w:pPr>
        <w:widowControl/>
        <w:rPr>
          <w:spacing w:val="-3"/>
          <w:szCs w:val="22"/>
          <w:lang w:val="fr-FR"/>
        </w:rPr>
      </w:pPr>
    </w:p>
    <w:p w:rsidR="00AA2862" w:rsidRPr="00BB229F" w:rsidRDefault="00AA2862" w:rsidP="00AA2862">
      <w:pPr>
        <w:tabs>
          <w:tab w:val="left" w:pos="-1440"/>
          <w:tab w:val="left" w:pos="-720"/>
          <w:tab w:val="left" w:pos="540"/>
          <w:tab w:val="left" w:pos="4590"/>
          <w:tab w:val="left" w:pos="6480"/>
        </w:tabs>
        <w:suppressAutoHyphens/>
        <w:jc w:val="both"/>
        <w:outlineLvl w:val="0"/>
        <w:rPr>
          <w:spacing w:val="-3"/>
          <w:szCs w:val="22"/>
        </w:rPr>
      </w:pPr>
      <w:bookmarkStart w:id="347" w:name="_Toc491865093"/>
      <w:bookmarkStart w:id="348" w:name="_Toc491865508"/>
      <w:r w:rsidRPr="00BB229F">
        <w:rPr>
          <w:spacing w:val="-3"/>
          <w:szCs w:val="22"/>
        </w:rPr>
        <w:t>7.</w:t>
      </w:r>
      <w:r w:rsidRPr="00BB229F">
        <w:rPr>
          <w:spacing w:val="-3"/>
          <w:szCs w:val="22"/>
        </w:rPr>
        <w:tab/>
      </w:r>
      <w:r w:rsidRPr="00BB229F">
        <w:rPr>
          <w:spacing w:val="-3"/>
          <w:szCs w:val="22"/>
          <w:u w:val="single"/>
        </w:rPr>
        <w:t>FM Classes B, C, C0, C1 and C2</w:t>
      </w:r>
      <w:bookmarkEnd w:id="347"/>
      <w:bookmarkEnd w:id="348"/>
    </w:p>
    <w:p w:rsidR="00AA2862" w:rsidRPr="00BB229F" w:rsidRDefault="00AA2862" w:rsidP="00AA2862">
      <w:pPr>
        <w:tabs>
          <w:tab w:val="left" w:pos="-1440"/>
          <w:tab w:val="left" w:pos="-720"/>
          <w:tab w:val="left" w:pos="540"/>
          <w:tab w:val="left" w:pos="4590"/>
          <w:tab w:val="left" w:pos="6480"/>
        </w:tabs>
        <w:suppressAutoHyphens/>
        <w:jc w:val="both"/>
        <w:rPr>
          <w:spacing w:val="-3"/>
          <w:szCs w:val="22"/>
          <w:lang w:val="fr-FR"/>
        </w:rPr>
      </w:pPr>
      <w:r w:rsidRPr="00BB229F">
        <w:rPr>
          <w:spacing w:val="-3"/>
          <w:szCs w:val="22"/>
        </w:rPr>
        <w:tab/>
      </w:r>
      <w:r w:rsidRPr="00BB229F">
        <w:rPr>
          <w:spacing w:val="-3"/>
          <w:szCs w:val="22"/>
          <w:lang w:val="fr-FR"/>
        </w:rPr>
        <w:t>&lt;=25,000 population</w:t>
      </w:r>
      <w:r w:rsidRPr="00BB229F">
        <w:rPr>
          <w:spacing w:val="-3"/>
          <w:szCs w:val="22"/>
          <w:lang w:val="fr-FR"/>
        </w:rPr>
        <w:tab/>
        <w:t>$1,100</w:t>
      </w:r>
      <w:r w:rsidRPr="00BB229F">
        <w:rPr>
          <w:spacing w:val="-3"/>
          <w:szCs w:val="22"/>
          <w:lang w:val="fr-FR"/>
        </w:rPr>
        <w:tab/>
      </w:r>
    </w:p>
    <w:p w:rsidR="00AA2862" w:rsidRPr="00BB229F" w:rsidRDefault="00AA2862" w:rsidP="00AA2862">
      <w:pPr>
        <w:tabs>
          <w:tab w:val="left" w:pos="-1440"/>
          <w:tab w:val="left" w:pos="-720"/>
          <w:tab w:val="left" w:pos="540"/>
          <w:tab w:val="left" w:pos="4590"/>
          <w:tab w:val="left" w:pos="6480"/>
        </w:tabs>
        <w:suppressAutoHyphens/>
        <w:jc w:val="both"/>
        <w:rPr>
          <w:spacing w:val="-3"/>
          <w:szCs w:val="22"/>
          <w:lang w:val="fr-FR"/>
        </w:rPr>
      </w:pPr>
      <w:r w:rsidRPr="00BB229F">
        <w:rPr>
          <w:spacing w:val="-3"/>
          <w:szCs w:val="22"/>
          <w:lang w:val="fr-FR"/>
        </w:rPr>
        <w:tab/>
        <w:t>25,001-75,000 population</w:t>
      </w:r>
      <w:r w:rsidRPr="00BB229F">
        <w:rPr>
          <w:spacing w:val="-3"/>
          <w:szCs w:val="22"/>
          <w:lang w:val="fr-FR"/>
        </w:rPr>
        <w:tab/>
        <w:t>$1,650</w:t>
      </w:r>
      <w:r w:rsidRPr="00BB229F">
        <w:rPr>
          <w:spacing w:val="-3"/>
          <w:szCs w:val="22"/>
          <w:lang w:val="fr-FR"/>
        </w:rPr>
        <w:tab/>
      </w:r>
    </w:p>
    <w:p w:rsidR="00AA2862" w:rsidRPr="00BB229F" w:rsidRDefault="00AA2862" w:rsidP="00AA2862">
      <w:pPr>
        <w:tabs>
          <w:tab w:val="left" w:pos="-1440"/>
          <w:tab w:val="left" w:pos="-720"/>
          <w:tab w:val="left" w:pos="540"/>
          <w:tab w:val="left" w:pos="4590"/>
          <w:tab w:val="left" w:pos="6480"/>
        </w:tabs>
        <w:suppressAutoHyphens/>
        <w:jc w:val="both"/>
        <w:rPr>
          <w:spacing w:val="-3"/>
          <w:szCs w:val="22"/>
          <w:lang w:val="fr-FR"/>
        </w:rPr>
      </w:pPr>
      <w:r w:rsidRPr="00BB229F">
        <w:rPr>
          <w:spacing w:val="-3"/>
          <w:szCs w:val="22"/>
          <w:lang w:val="fr-FR"/>
        </w:rPr>
        <w:tab/>
        <w:t>75,001-150,000 population</w:t>
      </w:r>
      <w:r w:rsidRPr="00BB229F">
        <w:rPr>
          <w:spacing w:val="-3"/>
          <w:szCs w:val="22"/>
          <w:lang w:val="fr-FR"/>
        </w:rPr>
        <w:tab/>
        <w:t>$2,925</w:t>
      </w:r>
      <w:r w:rsidRPr="00BB229F">
        <w:rPr>
          <w:spacing w:val="-3"/>
          <w:szCs w:val="22"/>
          <w:lang w:val="fr-FR"/>
        </w:rPr>
        <w:tab/>
      </w:r>
    </w:p>
    <w:p w:rsidR="00AA2862" w:rsidRPr="00BB229F" w:rsidRDefault="00AA2862" w:rsidP="00AA2862">
      <w:pPr>
        <w:tabs>
          <w:tab w:val="left" w:pos="-1440"/>
          <w:tab w:val="left" w:pos="-720"/>
          <w:tab w:val="left" w:pos="540"/>
          <w:tab w:val="left" w:pos="4590"/>
          <w:tab w:val="left" w:pos="6480"/>
        </w:tabs>
        <w:suppressAutoHyphens/>
        <w:jc w:val="both"/>
        <w:rPr>
          <w:spacing w:val="-3"/>
          <w:szCs w:val="22"/>
          <w:lang w:val="fr-FR"/>
        </w:rPr>
      </w:pPr>
      <w:r w:rsidRPr="00BB229F">
        <w:rPr>
          <w:spacing w:val="-3"/>
          <w:szCs w:val="22"/>
          <w:lang w:val="fr-FR"/>
        </w:rPr>
        <w:tab/>
        <w:t>150,001-500,000 population</w:t>
      </w:r>
      <w:r w:rsidRPr="00BB229F">
        <w:rPr>
          <w:spacing w:val="-3"/>
          <w:szCs w:val="22"/>
          <w:lang w:val="fr-FR"/>
        </w:rPr>
        <w:tab/>
        <w:t>$4,400</w:t>
      </w:r>
      <w:r w:rsidRPr="00BB229F">
        <w:rPr>
          <w:spacing w:val="-3"/>
          <w:szCs w:val="22"/>
          <w:lang w:val="fr-FR"/>
        </w:rPr>
        <w:tab/>
      </w:r>
    </w:p>
    <w:p w:rsidR="00AA2862" w:rsidRPr="00BB229F" w:rsidRDefault="00AA2862" w:rsidP="00AA2862">
      <w:pPr>
        <w:tabs>
          <w:tab w:val="left" w:pos="-1440"/>
          <w:tab w:val="left" w:pos="-720"/>
          <w:tab w:val="left" w:pos="540"/>
          <w:tab w:val="left" w:pos="4590"/>
          <w:tab w:val="left" w:pos="6480"/>
        </w:tabs>
        <w:suppressAutoHyphens/>
        <w:jc w:val="both"/>
        <w:rPr>
          <w:spacing w:val="-3"/>
          <w:szCs w:val="22"/>
          <w:lang w:val="fr-FR"/>
        </w:rPr>
      </w:pPr>
      <w:r w:rsidRPr="00BB229F">
        <w:rPr>
          <w:spacing w:val="-3"/>
          <w:szCs w:val="22"/>
          <w:lang w:val="fr-FR"/>
        </w:rPr>
        <w:tab/>
        <w:t>500,001-1,200,000 population</w:t>
      </w:r>
      <w:r w:rsidRPr="00BB229F">
        <w:rPr>
          <w:spacing w:val="-3"/>
          <w:szCs w:val="22"/>
          <w:lang w:val="fr-FR"/>
        </w:rPr>
        <w:tab/>
        <w:t>$6,575</w:t>
      </w:r>
    </w:p>
    <w:p w:rsidR="00AA2862" w:rsidRPr="00BB229F" w:rsidRDefault="00AA2862" w:rsidP="00AA2862">
      <w:pPr>
        <w:tabs>
          <w:tab w:val="left" w:pos="-1440"/>
          <w:tab w:val="left" w:pos="-720"/>
          <w:tab w:val="left" w:pos="540"/>
          <w:tab w:val="left" w:pos="4590"/>
          <w:tab w:val="left" w:pos="6480"/>
        </w:tabs>
        <w:suppressAutoHyphens/>
        <w:jc w:val="both"/>
        <w:rPr>
          <w:spacing w:val="-3"/>
          <w:szCs w:val="22"/>
          <w:lang w:val="fr-FR"/>
        </w:rPr>
      </w:pPr>
      <w:r w:rsidRPr="00BB229F">
        <w:rPr>
          <w:spacing w:val="-3"/>
          <w:szCs w:val="22"/>
          <w:lang w:val="fr-FR"/>
        </w:rPr>
        <w:tab/>
        <w:t>1,200,001-3,000,000 population</w:t>
      </w:r>
      <w:r w:rsidRPr="00BB229F">
        <w:rPr>
          <w:spacing w:val="-3"/>
          <w:szCs w:val="22"/>
          <w:lang w:val="fr-FR"/>
        </w:rPr>
        <w:tab/>
        <w:t>$9,875</w:t>
      </w:r>
    </w:p>
    <w:p w:rsidR="00AA2862" w:rsidRPr="00BB229F" w:rsidRDefault="00AA2862" w:rsidP="00AA2862">
      <w:pPr>
        <w:tabs>
          <w:tab w:val="left" w:pos="-1440"/>
          <w:tab w:val="left" w:pos="-720"/>
          <w:tab w:val="left" w:pos="540"/>
          <w:tab w:val="left" w:pos="4590"/>
          <w:tab w:val="left" w:pos="6480"/>
        </w:tabs>
        <w:suppressAutoHyphens/>
        <w:jc w:val="both"/>
        <w:rPr>
          <w:spacing w:val="-3"/>
          <w:szCs w:val="22"/>
          <w:lang w:val="fr-FR"/>
        </w:rPr>
      </w:pPr>
      <w:r w:rsidRPr="00BB229F">
        <w:rPr>
          <w:spacing w:val="-3"/>
          <w:szCs w:val="22"/>
          <w:lang w:val="fr-FR"/>
        </w:rPr>
        <w:tab/>
        <w:t>3,000,001-6,000,000 population</w:t>
      </w:r>
      <w:r w:rsidRPr="00BB229F">
        <w:rPr>
          <w:spacing w:val="-3"/>
          <w:szCs w:val="22"/>
          <w:lang w:val="fr-FR"/>
        </w:rPr>
        <w:tab/>
        <w:t>$14,800</w:t>
      </w:r>
    </w:p>
    <w:p w:rsidR="00AA2862" w:rsidRPr="00BB229F" w:rsidRDefault="00AA2862" w:rsidP="00AA2862">
      <w:pPr>
        <w:tabs>
          <w:tab w:val="left" w:pos="-1440"/>
          <w:tab w:val="left" w:pos="-720"/>
          <w:tab w:val="left" w:pos="540"/>
          <w:tab w:val="left" w:pos="4590"/>
          <w:tab w:val="left" w:pos="6480"/>
        </w:tabs>
        <w:suppressAutoHyphens/>
        <w:jc w:val="both"/>
        <w:rPr>
          <w:spacing w:val="-3"/>
          <w:szCs w:val="22"/>
          <w:lang w:val="fr-FR"/>
        </w:rPr>
      </w:pPr>
      <w:r w:rsidRPr="00BB229F">
        <w:rPr>
          <w:spacing w:val="-3"/>
          <w:szCs w:val="22"/>
          <w:lang w:val="fr-FR"/>
        </w:rPr>
        <w:tab/>
        <w:t>&gt;6,000,000 population</w:t>
      </w:r>
      <w:r w:rsidRPr="00BB229F">
        <w:rPr>
          <w:spacing w:val="-3"/>
          <w:szCs w:val="22"/>
          <w:lang w:val="fr-FR"/>
        </w:rPr>
        <w:tab/>
        <w:t>$22,225</w:t>
      </w:r>
    </w:p>
    <w:p w:rsidR="00AA2862" w:rsidRPr="00BB229F" w:rsidRDefault="00AA2862" w:rsidP="00AA2862">
      <w:pPr>
        <w:tabs>
          <w:tab w:val="left" w:pos="-1440"/>
          <w:tab w:val="left" w:pos="-720"/>
          <w:tab w:val="left" w:pos="540"/>
          <w:tab w:val="left" w:pos="4590"/>
          <w:tab w:val="left" w:pos="6480"/>
        </w:tabs>
        <w:suppressAutoHyphens/>
        <w:jc w:val="both"/>
        <w:rPr>
          <w:spacing w:val="-3"/>
          <w:szCs w:val="22"/>
          <w:lang w:val="fr-FR"/>
        </w:rPr>
      </w:pPr>
    </w:p>
    <w:p w:rsidR="00AA2862" w:rsidRPr="00BB229F" w:rsidRDefault="00AA2862" w:rsidP="00AA2862">
      <w:pPr>
        <w:tabs>
          <w:tab w:val="left" w:pos="-1440"/>
          <w:tab w:val="left" w:pos="-720"/>
          <w:tab w:val="left" w:pos="540"/>
          <w:tab w:val="left" w:pos="4590"/>
          <w:tab w:val="left" w:pos="6480"/>
        </w:tabs>
        <w:suppressAutoHyphens/>
        <w:jc w:val="both"/>
        <w:rPr>
          <w:spacing w:val="-3"/>
          <w:szCs w:val="22"/>
        </w:rPr>
      </w:pPr>
      <w:r w:rsidRPr="00BB229F">
        <w:rPr>
          <w:spacing w:val="-3"/>
          <w:szCs w:val="22"/>
          <w:lang w:val="fr-FR"/>
        </w:rPr>
        <w:t>8.</w:t>
      </w:r>
      <w:r w:rsidRPr="00BB229F">
        <w:rPr>
          <w:spacing w:val="-3"/>
          <w:szCs w:val="22"/>
          <w:lang w:val="fr-FR"/>
        </w:rPr>
        <w:tab/>
        <w:t>FM Construction Permits</w:t>
      </w:r>
      <w:r w:rsidRPr="00BB229F">
        <w:rPr>
          <w:spacing w:val="-3"/>
          <w:szCs w:val="22"/>
          <w:lang w:val="fr-FR"/>
        </w:rPr>
        <w:tab/>
        <w:t>$980</w:t>
      </w:r>
      <w:r w:rsidRPr="00BB229F">
        <w:rPr>
          <w:spacing w:val="-3"/>
          <w:szCs w:val="22"/>
          <w:lang w:val="fr-FR"/>
        </w:rPr>
        <w:tab/>
      </w:r>
    </w:p>
    <w:p w:rsidR="00AA2862" w:rsidRPr="00BB229F" w:rsidRDefault="00AA2862" w:rsidP="00AA2862">
      <w:pPr>
        <w:widowControl/>
        <w:rPr>
          <w:spacing w:val="-3"/>
          <w:szCs w:val="22"/>
          <w:lang w:val="fr-FR"/>
        </w:rPr>
      </w:pPr>
    </w:p>
    <w:p w:rsidR="00AA2862" w:rsidRPr="00BB229F" w:rsidRDefault="00AA2862" w:rsidP="00AA2862">
      <w:pPr>
        <w:widowControl/>
        <w:rPr>
          <w:spacing w:val="-3"/>
          <w:szCs w:val="22"/>
          <w:lang w:val="fr-FR"/>
        </w:rPr>
      </w:pPr>
    </w:p>
    <w:p w:rsidR="00AA2862" w:rsidRPr="00BB229F" w:rsidRDefault="00AA2862" w:rsidP="00AA2862">
      <w:pPr>
        <w:tabs>
          <w:tab w:val="left" w:pos="-1440"/>
          <w:tab w:val="left" w:pos="-720"/>
          <w:tab w:val="left" w:pos="540"/>
          <w:tab w:val="left" w:pos="4590"/>
          <w:tab w:val="left" w:pos="6480"/>
        </w:tabs>
        <w:suppressAutoHyphens/>
        <w:jc w:val="both"/>
        <w:outlineLvl w:val="0"/>
        <w:rPr>
          <w:b/>
          <w:spacing w:val="-3"/>
          <w:szCs w:val="22"/>
        </w:rPr>
      </w:pPr>
      <w:bookmarkStart w:id="349" w:name="_Toc491865094"/>
      <w:bookmarkStart w:id="350" w:name="_Toc491865509"/>
      <w:r w:rsidRPr="00BB229F">
        <w:rPr>
          <w:b/>
          <w:spacing w:val="-3"/>
          <w:szCs w:val="22"/>
        </w:rPr>
        <w:t>TV (47 CFR, part 73)</w:t>
      </w:r>
      <w:bookmarkEnd w:id="349"/>
      <w:bookmarkEnd w:id="350"/>
    </w:p>
    <w:p w:rsidR="00AA2862" w:rsidRPr="00BB229F" w:rsidRDefault="00AA2862" w:rsidP="00AA2862">
      <w:pPr>
        <w:tabs>
          <w:tab w:val="left" w:pos="-1440"/>
          <w:tab w:val="left" w:pos="-720"/>
          <w:tab w:val="left" w:pos="540"/>
          <w:tab w:val="left" w:pos="4590"/>
          <w:tab w:val="left" w:pos="6480"/>
        </w:tabs>
        <w:suppressAutoHyphens/>
        <w:jc w:val="both"/>
        <w:outlineLvl w:val="0"/>
        <w:rPr>
          <w:spacing w:val="-3"/>
          <w:szCs w:val="22"/>
        </w:rPr>
      </w:pPr>
      <w:bookmarkStart w:id="351" w:name="_Toc491865095"/>
      <w:bookmarkStart w:id="352" w:name="_Toc491865510"/>
      <w:r w:rsidRPr="00BB229F">
        <w:rPr>
          <w:b/>
          <w:spacing w:val="-3"/>
          <w:szCs w:val="22"/>
        </w:rPr>
        <w:t>Digital TV (UHF and VHF Commercial Stations)</w:t>
      </w:r>
      <w:bookmarkEnd w:id="351"/>
      <w:bookmarkEnd w:id="352"/>
    </w:p>
    <w:p w:rsidR="00AA2862" w:rsidRPr="00BB229F" w:rsidRDefault="00AA2862" w:rsidP="00AA2862">
      <w:pPr>
        <w:tabs>
          <w:tab w:val="left" w:pos="-1440"/>
          <w:tab w:val="left" w:pos="-720"/>
          <w:tab w:val="left" w:pos="540"/>
          <w:tab w:val="left" w:pos="4590"/>
          <w:tab w:val="left" w:pos="6480"/>
        </w:tabs>
        <w:suppressAutoHyphens/>
        <w:jc w:val="both"/>
        <w:rPr>
          <w:spacing w:val="-3"/>
          <w:szCs w:val="22"/>
        </w:rPr>
      </w:pPr>
    </w:p>
    <w:p w:rsidR="00AA2862" w:rsidRPr="00BB229F" w:rsidRDefault="00AA2862" w:rsidP="00AA2862">
      <w:pPr>
        <w:tabs>
          <w:tab w:val="left" w:pos="-1440"/>
          <w:tab w:val="left" w:pos="-720"/>
          <w:tab w:val="left" w:pos="540"/>
          <w:tab w:val="left" w:pos="4590"/>
          <w:tab w:val="left" w:pos="6480"/>
        </w:tabs>
        <w:suppressAutoHyphens/>
        <w:jc w:val="both"/>
        <w:rPr>
          <w:spacing w:val="-3"/>
          <w:szCs w:val="22"/>
        </w:rPr>
      </w:pPr>
      <w:r w:rsidRPr="00BB229F">
        <w:rPr>
          <w:spacing w:val="-3"/>
          <w:szCs w:val="22"/>
        </w:rPr>
        <w:t>1.</w:t>
      </w:r>
      <w:r w:rsidRPr="00BB229F">
        <w:rPr>
          <w:spacing w:val="-3"/>
          <w:szCs w:val="22"/>
        </w:rPr>
        <w:tab/>
        <w:t>Markets 1 thru 10</w:t>
      </w:r>
      <w:r w:rsidRPr="00BB229F">
        <w:rPr>
          <w:spacing w:val="-3"/>
          <w:szCs w:val="22"/>
        </w:rPr>
        <w:tab/>
        <w:t>$59,750</w:t>
      </w:r>
      <w:r w:rsidRPr="00BB229F">
        <w:rPr>
          <w:spacing w:val="-3"/>
          <w:szCs w:val="22"/>
        </w:rPr>
        <w:tab/>
      </w:r>
    </w:p>
    <w:p w:rsidR="00AA2862" w:rsidRPr="00BB229F" w:rsidRDefault="00AA2862" w:rsidP="00AA2862">
      <w:pPr>
        <w:tabs>
          <w:tab w:val="left" w:pos="-1440"/>
          <w:tab w:val="left" w:pos="-720"/>
          <w:tab w:val="left" w:pos="540"/>
          <w:tab w:val="left" w:pos="4590"/>
          <w:tab w:val="left" w:pos="6480"/>
        </w:tabs>
        <w:suppressAutoHyphens/>
        <w:jc w:val="both"/>
        <w:rPr>
          <w:spacing w:val="-3"/>
          <w:szCs w:val="22"/>
        </w:rPr>
      </w:pPr>
      <w:r w:rsidRPr="00BB229F">
        <w:rPr>
          <w:spacing w:val="-3"/>
          <w:szCs w:val="22"/>
        </w:rPr>
        <w:t>2.</w:t>
      </w:r>
      <w:r w:rsidRPr="00BB229F">
        <w:rPr>
          <w:spacing w:val="-3"/>
          <w:szCs w:val="22"/>
        </w:rPr>
        <w:tab/>
        <w:t>Markets 11 thru 25</w:t>
      </w:r>
      <w:r w:rsidRPr="00BB229F">
        <w:rPr>
          <w:spacing w:val="-3"/>
          <w:szCs w:val="22"/>
        </w:rPr>
        <w:tab/>
        <w:t>$45,025</w:t>
      </w:r>
      <w:r w:rsidRPr="00BB229F">
        <w:rPr>
          <w:spacing w:val="-3"/>
          <w:szCs w:val="22"/>
        </w:rPr>
        <w:tab/>
      </w:r>
    </w:p>
    <w:p w:rsidR="00AA2862" w:rsidRPr="00BB229F" w:rsidRDefault="00AA2862" w:rsidP="00AA2862">
      <w:pPr>
        <w:tabs>
          <w:tab w:val="left" w:pos="-1440"/>
          <w:tab w:val="left" w:pos="-720"/>
          <w:tab w:val="left" w:pos="540"/>
          <w:tab w:val="left" w:pos="4590"/>
          <w:tab w:val="left" w:pos="6480"/>
        </w:tabs>
        <w:suppressAutoHyphens/>
        <w:jc w:val="both"/>
        <w:rPr>
          <w:spacing w:val="-3"/>
          <w:szCs w:val="22"/>
        </w:rPr>
      </w:pPr>
      <w:r w:rsidRPr="00BB229F">
        <w:rPr>
          <w:spacing w:val="-3"/>
          <w:szCs w:val="22"/>
        </w:rPr>
        <w:t>3.</w:t>
      </w:r>
      <w:r w:rsidRPr="00BB229F">
        <w:rPr>
          <w:spacing w:val="-3"/>
          <w:szCs w:val="22"/>
        </w:rPr>
        <w:tab/>
        <w:t>Markets 26 thru 50</w:t>
      </w:r>
      <w:r w:rsidRPr="00BB229F">
        <w:rPr>
          <w:spacing w:val="-3"/>
          <w:szCs w:val="22"/>
        </w:rPr>
        <w:tab/>
        <w:t>$30,050</w:t>
      </w:r>
      <w:r w:rsidRPr="00BB229F">
        <w:rPr>
          <w:spacing w:val="-3"/>
          <w:szCs w:val="22"/>
        </w:rPr>
        <w:tab/>
      </w:r>
    </w:p>
    <w:p w:rsidR="00AA2862" w:rsidRPr="00BB229F" w:rsidRDefault="00AA2862" w:rsidP="00AA2862">
      <w:pPr>
        <w:tabs>
          <w:tab w:val="left" w:pos="-1440"/>
          <w:tab w:val="left" w:pos="-720"/>
          <w:tab w:val="left" w:pos="540"/>
          <w:tab w:val="left" w:pos="4590"/>
          <w:tab w:val="left" w:pos="6480"/>
        </w:tabs>
        <w:suppressAutoHyphens/>
        <w:jc w:val="both"/>
        <w:rPr>
          <w:spacing w:val="-3"/>
          <w:szCs w:val="22"/>
        </w:rPr>
      </w:pPr>
      <w:r w:rsidRPr="00BB229F">
        <w:rPr>
          <w:spacing w:val="-3"/>
          <w:szCs w:val="22"/>
        </w:rPr>
        <w:t>4.</w:t>
      </w:r>
      <w:r w:rsidRPr="00BB229F">
        <w:rPr>
          <w:spacing w:val="-3"/>
          <w:szCs w:val="22"/>
        </w:rPr>
        <w:tab/>
        <w:t>Markets 51 thru 100</w:t>
      </w:r>
      <w:r w:rsidRPr="00BB229F">
        <w:rPr>
          <w:spacing w:val="-3"/>
          <w:szCs w:val="22"/>
        </w:rPr>
        <w:tab/>
        <w:t xml:space="preserve">$14,975   </w:t>
      </w:r>
      <w:r w:rsidRPr="00BB229F">
        <w:rPr>
          <w:spacing w:val="-3"/>
          <w:szCs w:val="22"/>
        </w:rPr>
        <w:tab/>
      </w:r>
    </w:p>
    <w:p w:rsidR="00AA2862" w:rsidRPr="00BB229F" w:rsidRDefault="00AA2862" w:rsidP="00AA2862">
      <w:pPr>
        <w:tabs>
          <w:tab w:val="left" w:pos="-1440"/>
          <w:tab w:val="left" w:pos="-720"/>
          <w:tab w:val="left" w:pos="540"/>
          <w:tab w:val="left" w:pos="4590"/>
          <w:tab w:val="left" w:pos="6480"/>
        </w:tabs>
        <w:suppressAutoHyphens/>
        <w:jc w:val="both"/>
        <w:rPr>
          <w:spacing w:val="-3"/>
          <w:szCs w:val="22"/>
        </w:rPr>
      </w:pPr>
      <w:r w:rsidRPr="00BB229F">
        <w:rPr>
          <w:spacing w:val="-3"/>
          <w:szCs w:val="22"/>
        </w:rPr>
        <w:t>5.</w:t>
      </w:r>
      <w:r w:rsidRPr="00BB229F">
        <w:rPr>
          <w:spacing w:val="-3"/>
          <w:szCs w:val="22"/>
        </w:rPr>
        <w:tab/>
        <w:t>Remaining Markets</w:t>
      </w:r>
      <w:r w:rsidRPr="00BB229F">
        <w:rPr>
          <w:spacing w:val="-3"/>
          <w:szCs w:val="22"/>
        </w:rPr>
        <w:tab/>
        <w:t>$  4,925</w:t>
      </w:r>
    </w:p>
    <w:p w:rsidR="00AA2862" w:rsidRPr="00BB229F" w:rsidRDefault="00AA2862" w:rsidP="00AA2862">
      <w:pPr>
        <w:tabs>
          <w:tab w:val="left" w:pos="-1440"/>
          <w:tab w:val="left" w:pos="-720"/>
          <w:tab w:val="left" w:pos="540"/>
          <w:tab w:val="left" w:pos="4590"/>
          <w:tab w:val="left" w:pos="6480"/>
        </w:tabs>
        <w:suppressAutoHyphens/>
        <w:jc w:val="both"/>
        <w:rPr>
          <w:spacing w:val="-3"/>
          <w:szCs w:val="22"/>
        </w:rPr>
      </w:pPr>
      <w:r w:rsidRPr="00BB229F">
        <w:rPr>
          <w:spacing w:val="-3"/>
          <w:szCs w:val="22"/>
        </w:rPr>
        <w:t>6.</w:t>
      </w:r>
      <w:r w:rsidRPr="00BB229F">
        <w:rPr>
          <w:spacing w:val="-3"/>
          <w:szCs w:val="22"/>
        </w:rPr>
        <w:tab/>
        <w:t>Construction Permits</w:t>
      </w:r>
      <w:r w:rsidRPr="00BB229F">
        <w:rPr>
          <w:spacing w:val="-3"/>
          <w:szCs w:val="22"/>
        </w:rPr>
        <w:tab/>
        <w:t>$  4,925</w:t>
      </w:r>
    </w:p>
    <w:p w:rsidR="00AA2862" w:rsidRPr="00BB229F" w:rsidRDefault="00AA2862" w:rsidP="00AA2862">
      <w:pPr>
        <w:tabs>
          <w:tab w:val="left" w:pos="-1440"/>
          <w:tab w:val="left" w:pos="-720"/>
          <w:tab w:val="left" w:pos="540"/>
          <w:tab w:val="left" w:pos="4590"/>
          <w:tab w:val="left" w:pos="6480"/>
        </w:tabs>
        <w:suppressAutoHyphens/>
        <w:jc w:val="both"/>
        <w:rPr>
          <w:spacing w:val="-3"/>
          <w:szCs w:val="22"/>
        </w:rPr>
      </w:pPr>
    </w:p>
    <w:p w:rsidR="00AA2862" w:rsidRPr="00BB229F" w:rsidRDefault="00AA2862" w:rsidP="00AA2862">
      <w:pPr>
        <w:tabs>
          <w:tab w:val="left" w:pos="-1440"/>
          <w:tab w:val="left" w:pos="-720"/>
          <w:tab w:val="left" w:pos="540"/>
          <w:tab w:val="left" w:pos="4590"/>
          <w:tab w:val="left" w:pos="6480"/>
        </w:tabs>
        <w:suppressAutoHyphens/>
        <w:jc w:val="both"/>
        <w:outlineLvl w:val="0"/>
        <w:rPr>
          <w:spacing w:val="-3"/>
          <w:szCs w:val="22"/>
        </w:rPr>
      </w:pPr>
      <w:bookmarkStart w:id="353" w:name="_Toc491865096"/>
      <w:bookmarkStart w:id="354" w:name="_Toc491865511"/>
      <w:r w:rsidRPr="00BB229F">
        <w:rPr>
          <w:b/>
          <w:spacing w:val="-3"/>
          <w:szCs w:val="22"/>
        </w:rPr>
        <w:t>Satellite UHF/VHF Commercial</w:t>
      </w:r>
      <w:bookmarkEnd w:id="353"/>
      <w:bookmarkEnd w:id="354"/>
    </w:p>
    <w:p w:rsidR="00AA2862" w:rsidRPr="00BB229F" w:rsidRDefault="00AA2862" w:rsidP="00AA2862">
      <w:pPr>
        <w:tabs>
          <w:tab w:val="left" w:pos="-1440"/>
          <w:tab w:val="left" w:pos="-720"/>
          <w:tab w:val="left" w:pos="540"/>
          <w:tab w:val="left" w:pos="4590"/>
          <w:tab w:val="left" w:pos="6480"/>
        </w:tabs>
        <w:suppressAutoHyphens/>
        <w:jc w:val="both"/>
        <w:rPr>
          <w:spacing w:val="-3"/>
          <w:szCs w:val="22"/>
        </w:rPr>
      </w:pPr>
    </w:p>
    <w:p w:rsidR="00AA2862" w:rsidRPr="00BB229F" w:rsidRDefault="00AA2862" w:rsidP="00AA2862">
      <w:pPr>
        <w:tabs>
          <w:tab w:val="left" w:pos="-1440"/>
          <w:tab w:val="left" w:pos="-720"/>
          <w:tab w:val="left" w:pos="540"/>
          <w:tab w:val="left" w:pos="4590"/>
          <w:tab w:val="left" w:pos="6480"/>
        </w:tabs>
        <w:suppressAutoHyphens/>
        <w:jc w:val="both"/>
        <w:rPr>
          <w:spacing w:val="-3"/>
          <w:szCs w:val="22"/>
        </w:rPr>
      </w:pPr>
      <w:r w:rsidRPr="00BB229F">
        <w:rPr>
          <w:spacing w:val="-3"/>
          <w:szCs w:val="22"/>
        </w:rPr>
        <w:t>1.</w:t>
      </w:r>
      <w:r w:rsidRPr="00BB229F">
        <w:rPr>
          <w:spacing w:val="-3"/>
          <w:szCs w:val="22"/>
        </w:rPr>
        <w:tab/>
        <w:t>All Markets</w:t>
      </w:r>
      <w:r w:rsidRPr="00BB229F">
        <w:rPr>
          <w:spacing w:val="-3"/>
          <w:szCs w:val="22"/>
        </w:rPr>
        <w:tab/>
        <w:t>$1,725</w:t>
      </w:r>
      <w:r w:rsidRPr="00BB229F">
        <w:rPr>
          <w:spacing w:val="-3"/>
          <w:szCs w:val="22"/>
        </w:rPr>
        <w:tab/>
      </w:r>
    </w:p>
    <w:p w:rsidR="00AA2862" w:rsidRPr="00BB229F" w:rsidRDefault="00AA2862" w:rsidP="00AA2862">
      <w:pPr>
        <w:tabs>
          <w:tab w:val="left" w:pos="-1440"/>
          <w:tab w:val="left" w:pos="-720"/>
          <w:tab w:val="left" w:pos="540"/>
          <w:tab w:val="left" w:pos="4590"/>
          <w:tab w:val="left" w:pos="6480"/>
        </w:tabs>
        <w:suppressAutoHyphens/>
        <w:jc w:val="both"/>
        <w:rPr>
          <w:spacing w:val="-3"/>
          <w:szCs w:val="22"/>
        </w:rPr>
      </w:pPr>
      <w:r w:rsidRPr="00BB229F">
        <w:rPr>
          <w:spacing w:val="-3"/>
          <w:szCs w:val="22"/>
        </w:rPr>
        <w:tab/>
      </w:r>
      <w:r w:rsidRPr="00BB229F">
        <w:rPr>
          <w:spacing w:val="-3"/>
          <w:szCs w:val="22"/>
        </w:rPr>
        <w:tab/>
      </w:r>
      <w:r w:rsidRPr="00BB229F">
        <w:rPr>
          <w:spacing w:val="-3"/>
          <w:szCs w:val="22"/>
        </w:rPr>
        <w:tab/>
      </w:r>
      <w:r w:rsidRPr="00BB229F">
        <w:rPr>
          <w:spacing w:val="-3"/>
          <w:szCs w:val="22"/>
        </w:rPr>
        <w:tab/>
      </w:r>
      <w:r w:rsidRPr="00BB229F">
        <w:rPr>
          <w:spacing w:val="-3"/>
          <w:szCs w:val="22"/>
        </w:rPr>
        <w:tab/>
      </w:r>
    </w:p>
    <w:p w:rsidR="00AA2862" w:rsidRPr="00BB229F" w:rsidRDefault="00AA2862" w:rsidP="00AA2862">
      <w:pPr>
        <w:tabs>
          <w:tab w:val="left" w:pos="-1440"/>
          <w:tab w:val="left" w:pos="-720"/>
          <w:tab w:val="left" w:pos="540"/>
          <w:tab w:val="left" w:pos="4590"/>
          <w:tab w:val="left" w:pos="6480"/>
        </w:tabs>
        <w:suppressAutoHyphens/>
        <w:jc w:val="both"/>
        <w:rPr>
          <w:spacing w:val="-3"/>
          <w:szCs w:val="22"/>
        </w:rPr>
      </w:pPr>
    </w:p>
    <w:p w:rsidR="00AA2862" w:rsidRPr="00BB229F" w:rsidRDefault="00AA2862" w:rsidP="00AA2862">
      <w:pPr>
        <w:tabs>
          <w:tab w:val="left" w:pos="-1440"/>
          <w:tab w:val="left" w:pos="-720"/>
          <w:tab w:val="left" w:pos="540"/>
          <w:tab w:val="left" w:pos="4590"/>
          <w:tab w:val="left" w:pos="6480"/>
        </w:tabs>
        <w:suppressAutoHyphens/>
        <w:jc w:val="both"/>
        <w:rPr>
          <w:spacing w:val="-3"/>
          <w:szCs w:val="22"/>
        </w:rPr>
      </w:pPr>
      <w:r w:rsidRPr="00BB229F">
        <w:rPr>
          <w:b/>
          <w:spacing w:val="-3"/>
          <w:szCs w:val="22"/>
        </w:rPr>
        <w:t>Low Power TV,  Class A TV, TV/FM</w:t>
      </w:r>
      <w:r w:rsidRPr="00BB229F">
        <w:rPr>
          <w:spacing w:val="-3"/>
          <w:szCs w:val="22"/>
        </w:rPr>
        <w:tab/>
        <w:t>$  430</w:t>
      </w:r>
      <w:r w:rsidRPr="00BB229F">
        <w:rPr>
          <w:spacing w:val="-3"/>
          <w:szCs w:val="22"/>
        </w:rPr>
        <w:tab/>
      </w:r>
    </w:p>
    <w:p w:rsidR="00AA2862" w:rsidRPr="00BB229F" w:rsidRDefault="00AA2862" w:rsidP="00AA2862">
      <w:pPr>
        <w:tabs>
          <w:tab w:val="left" w:pos="-1440"/>
          <w:tab w:val="left" w:pos="-720"/>
          <w:tab w:val="left" w:pos="540"/>
          <w:tab w:val="left" w:pos="4590"/>
          <w:tab w:val="left" w:pos="6480"/>
        </w:tabs>
        <w:suppressAutoHyphens/>
        <w:jc w:val="both"/>
        <w:rPr>
          <w:spacing w:val="-3"/>
          <w:szCs w:val="22"/>
        </w:rPr>
      </w:pPr>
      <w:r w:rsidRPr="00BB229F">
        <w:rPr>
          <w:b/>
          <w:spacing w:val="-3"/>
          <w:szCs w:val="22"/>
        </w:rPr>
        <w:t>Translator, &amp; TV/FM Booster</w:t>
      </w:r>
      <w:r w:rsidRPr="00BB229F">
        <w:rPr>
          <w:spacing w:val="-3"/>
          <w:szCs w:val="22"/>
        </w:rPr>
        <w:t xml:space="preserve"> </w:t>
      </w:r>
      <w:r w:rsidRPr="00BB229F">
        <w:rPr>
          <w:spacing w:val="-3"/>
          <w:szCs w:val="22"/>
        </w:rPr>
        <w:tab/>
      </w:r>
      <w:r w:rsidRPr="00BB229F">
        <w:rPr>
          <w:spacing w:val="-3"/>
          <w:szCs w:val="22"/>
        </w:rPr>
        <w:tab/>
      </w:r>
    </w:p>
    <w:p w:rsidR="00AA2862" w:rsidRPr="00BB229F" w:rsidRDefault="00AA2862" w:rsidP="00AA2862">
      <w:pPr>
        <w:tabs>
          <w:tab w:val="left" w:pos="-1440"/>
          <w:tab w:val="left" w:pos="-720"/>
          <w:tab w:val="left" w:pos="540"/>
          <w:tab w:val="left" w:pos="4590"/>
          <w:tab w:val="left" w:pos="6480"/>
        </w:tabs>
        <w:suppressAutoHyphens/>
        <w:jc w:val="both"/>
        <w:rPr>
          <w:spacing w:val="-3"/>
          <w:szCs w:val="22"/>
        </w:rPr>
      </w:pPr>
      <w:r w:rsidRPr="00BB229F">
        <w:rPr>
          <w:b/>
          <w:spacing w:val="-3"/>
          <w:szCs w:val="22"/>
        </w:rPr>
        <w:t>(47 CFR part 74)</w:t>
      </w:r>
      <w:r w:rsidRPr="00BB229F">
        <w:rPr>
          <w:spacing w:val="-3"/>
          <w:szCs w:val="22"/>
        </w:rPr>
        <w:tab/>
      </w:r>
      <w:r w:rsidRPr="00BB229F">
        <w:rPr>
          <w:spacing w:val="-3"/>
          <w:szCs w:val="22"/>
        </w:rPr>
        <w:tab/>
      </w:r>
    </w:p>
    <w:p w:rsidR="00AA2862" w:rsidRPr="00BB229F" w:rsidRDefault="00AA2862" w:rsidP="00AA2862">
      <w:pPr>
        <w:tabs>
          <w:tab w:val="left" w:pos="-1440"/>
          <w:tab w:val="left" w:pos="-720"/>
          <w:tab w:val="left" w:pos="540"/>
          <w:tab w:val="left" w:pos="4590"/>
          <w:tab w:val="left" w:pos="6480"/>
        </w:tabs>
        <w:suppressAutoHyphens/>
        <w:jc w:val="both"/>
        <w:rPr>
          <w:spacing w:val="-3"/>
          <w:szCs w:val="22"/>
        </w:rPr>
      </w:pPr>
    </w:p>
    <w:p w:rsidR="00AA2862" w:rsidRPr="00BB229F" w:rsidRDefault="00AA2862" w:rsidP="00AA2862">
      <w:pPr>
        <w:tabs>
          <w:tab w:val="left" w:pos="-1440"/>
          <w:tab w:val="left" w:pos="-720"/>
          <w:tab w:val="left" w:pos="540"/>
          <w:tab w:val="left" w:pos="4590"/>
          <w:tab w:val="left" w:pos="6480"/>
        </w:tabs>
        <w:suppressAutoHyphens/>
        <w:jc w:val="both"/>
        <w:rPr>
          <w:spacing w:val="-3"/>
          <w:szCs w:val="22"/>
        </w:rPr>
      </w:pPr>
      <w:r w:rsidRPr="00BB229F">
        <w:rPr>
          <w:spacing w:val="-3"/>
          <w:szCs w:val="22"/>
        </w:rPr>
        <w:t xml:space="preserve">   </w:t>
      </w:r>
    </w:p>
    <w:p w:rsidR="00AA2862" w:rsidRPr="00BB229F" w:rsidRDefault="00AA2862" w:rsidP="00AA2862">
      <w:pPr>
        <w:tabs>
          <w:tab w:val="left" w:pos="-1440"/>
          <w:tab w:val="left" w:pos="-720"/>
          <w:tab w:val="left" w:pos="540"/>
          <w:tab w:val="left" w:pos="4590"/>
          <w:tab w:val="left" w:pos="6480"/>
        </w:tabs>
        <w:suppressAutoHyphens/>
        <w:jc w:val="both"/>
        <w:rPr>
          <w:spacing w:val="-3"/>
          <w:szCs w:val="22"/>
        </w:rPr>
      </w:pPr>
      <w:r w:rsidRPr="00BB229F">
        <w:rPr>
          <w:spacing w:val="-3"/>
          <w:szCs w:val="22"/>
        </w:rPr>
        <w:t>4</w:t>
      </w:r>
      <w:r w:rsidRPr="00BB229F">
        <w:rPr>
          <w:szCs w:val="22"/>
        </w:rPr>
        <w:t>.   Section 1.1154 is revised to read as follows:</w:t>
      </w:r>
    </w:p>
    <w:p w:rsidR="00AA2862" w:rsidRPr="00BB229F" w:rsidRDefault="00AA2862" w:rsidP="00AA2862">
      <w:pPr>
        <w:pStyle w:val="BodyText"/>
        <w:rPr>
          <w:sz w:val="22"/>
          <w:szCs w:val="22"/>
        </w:rPr>
      </w:pPr>
    </w:p>
    <w:p w:rsidR="00AA2862" w:rsidRPr="00BB229F" w:rsidRDefault="00AA2862" w:rsidP="00AA2862">
      <w:pPr>
        <w:pStyle w:val="BodyText"/>
        <w:rPr>
          <w:sz w:val="22"/>
          <w:szCs w:val="22"/>
        </w:rPr>
      </w:pPr>
      <w:r w:rsidRPr="00BB229F">
        <w:rPr>
          <w:sz w:val="22"/>
          <w:szCs w:val="22"/>
        </w:rPr>
        <w:t>§ 1.1154  Schedule of annual regulatory charges for common carrier services.</w:t>
      </w:r>
    </w:p>
    <w:p w:rsidR="00AA2862" w:rsidRPr="00BB229F" w:rsidRDefault="00AA2862" w:rsidP="00AA2862">
      <w:pPr>
        <w:tabs>
          <w:tab w:val="left" w:pos="-1440"/>
          <w:tab w:val="left" w:pos="-720"/>
          <w:tab w:val="left" w:pos="540"/>
          <w:tab w:val="left" w:pos="4590"/>
          <w:tab w:val="left" w:pos="6480"/>
        </w:tabs>
        <w:suppressAutoHyphens/>
        <w:jc w:val="both"/>
        <w:rPr>
          <w:spacing w:val="-3"/>
          <w:szCs w:val="22"/>
        </w:rPr>
      </w:pPr>
      <w:r w:rsidRPr="00BB229F">
        <w:rPr>
          <w:b/>
          <w:spacing w:val="-3"/>
          <w:szCs w:val="22"/>
        </w:rPr>
        <w:t>Radio Facilities</w:t>
      </w:r>
      <w:r w:rsidRPr="00BB229F">
        <w:rPr>
          <w:b/>
          <w:spacing w:val="-3"/>
          <w:szCs w:val="22"/>
        </w:rPr>
        <w:tab/>
        <w:t>Fee Amount</w:t>
      </w:r>
      <w:r w:rsidRPr="00BB229F">
        <w:rPr>
          <w:b/>
          <w:spacing w:val="-3"/>
          <w:szCs w:val="22"/>
        </w:rPr>
        <w:tab/>
      </w:r>
    </w:p>
    <w:p w:rsidR="00AA2862" w:rsidRPr="00BB229F" w:rsidRDefault="00AA2862" w:rsidP="00AA2862">
      <w:pPr>
        <w:tabs>
          <w:tab w:val="left" w:pos="-1440"/>
          <w:tab w:val="left" w:pos="-720"/>
          <w:tab w:val="left" w:pos="540"/>
          <w:tab w:val="left" w:pos="4590"/>
          <w:tab w:val="left" w:pos="6480"/>
        </w:tabs>
        <w:suppressAutoHyphens/>
        <w:jc w:val="both"/>
        <w:rPr>
          <w:spacing w:val="-3"/>
          <w:szCs w:val="22"/>
        </w:rPr>
      </w:pPr>
    </w:p>
    <w:p w:rsidR="00AA2862" w:rsidRPr="00BB229F" w:rsidRDefault="00AA2862" w:rsidP="00AA2862">
      <w:pPr>
        <w:tabs>
          <w:tab w:val="left" w:pos="-1440"/>
          <w:tab w:val="left" w:pos="-720"/>
          <w:tab w:val="left" w:pos="540"/>
          <w:tab w:val="left" w:pos="4590"/>
          <w:tab w:val="left" w:pos="6480"/>
        </w:tabs>
        <w:suppressAutoHyphens/>
        <w:jc w:val="both"/>
        <w:rPr>
          <w:spacing w:val="-3"/>
          <w:szCs w:val="22"/>
        </w:rPr>
      </w:pPr>
      <w:r w:rsidRPr="00BB229F">
        <w:rPr>
          <w:spacing w:val="-3"/>
          <w:szCs w:val="22"/>
        </w:rPr>
        <w:t>1.</w:t>
      </w:r>
      <w:r w:rsidRPr="00BB229F">
        <w:rPr>
          <w:spacing w:val="-3"/>
          <w:szCs w:val="22"/>
        </w:rPr>
        <w:tab/>
        <w:t>Microwave (Domestic Public Fixed)</w:t>
      </w:r>
      <w:r w:rsidRPr="00BB229F">
        <w:rPr>
          <w:spacing w:val="-3"/>
          <w:szCs w:val="22"/>
        </w:rPr>
        <w:tab/>
        <w:t>$25.00</w:t>
      </w:r>
      <w:r w:rsidRPr="00BB229F">
        <w:rPr>
          <w:spacing w:val="-3"/>
          <w:szCs w:val="22"/>
        </w:rPr>
        <w:tab/>
      </w:r>
    </w:p>
    <w:p w:rsidR="00AA2862" w:rsidRPr="00BB229F" w:rsidRDefault="00AA2862" w:rsidP="00AA2862">
      <w:pPr>
        <w:tabs>
          <w:tab w:val="left" w:pos="-1440"/>
          <w:tab w:val="left" w:pos="-720"/>
          <w:tab w:val="left" w:pos="540"/>
          <w:tab w:val="left" w:pos="4590"/>
          <w:tab w:val="left" w:pos="6480"/>
        </w:tabs>
        <w:suppressAutoHyphens/>
        <w:jc w:val="both"/>
        <w:rPr>
          <w:spacing w:val="-3"/>
          <w:szCs w:val="22"/>
        </w:rPr>
      </w:pPr>
      <w:r w:rsidRPr="00BB229F">
        <w:rPr>
          <w:spacing w:val="-3"/>
          <w:szCs w:val="22"/>
        </w:rPr>
        <w:tab/>
        <w:t>(Electronic Filing)</w:t>
      </w:r>
      <w:r w:rsidRPr="00BB229F">
        <w:rPr>
          <w:spacing w:val="-3"/>
          <w:szCs w:val="22"/>
        </w:rPr>
        <w:tab/>
      </w:r>
      <w:r w:rsidRPr="00BB229F">
        <w:rPr>
          <w:spacing w:val="-3"/>
          <w:szCs w:val="22"/>
        </w:rPr>
        <w:tab/>
      </w:r>
    </w:p>
    <w:p w:rsidR="004C5E6F" w:rsidRPr="00BB229F" w:rsidRDefault="00AA2862" w:rsidP="0013367E">
      <w:pPr>
        <w:tabs>
          <w:tab w:val="left" w:pos="-1440"/>
          <w:tab w:val="left" w:pos="-720"/>
          <w:tab w:val="left" w:pos="540"/>
          <w:tab w:val="left" w:pos="4590"/>
          <w:tab w:val="left" w:pos="6480"/>
        </w:tabs>
        <w:suppressAutoHyphens/>
        <w:jc w:val="both"/>
        <w:rPr>
          <w:spacing w:val="-3"/>
          <w:szCs w:val="22"/>
        </w:rPr>
      </w:pPr>
      <w:r w:rsidRPr="00BB229F">
        <w:rPr>
          <w:spacing w:val="-3"/>
          <w:szCs w:val="22"/>
        </w:rPr>
        <w:tab/>
        <w:t>(FCC Form 601 &amp; 159)</w:t>
      </w:r>
      <w:r w:rsidRPr="00BB229F">
        <w:rPr>
          <w:spacing w:val="-3"/>
          <w:szCs w:val="22"/>
        </w:rPr>
        <w:tab/>
      </w:r>
      <w:r w:rsidRPr="00BB229F">
        <w:rPr>
          <w:spacing w:val="-3"/>
          <w:szCs w:val="22"/>
        </w:rPr>
        <w:tab/>
      </w:r>
    </w:p>
    <w:p w:rsidR="00AA2862" w:rsidRPr="00BB229F" w:rsidRDefault="00AA2862" w:rsidP="00AA2862">
      <w:pPr>
        <w:tabs>
          <w:tab w:val="left" w:pos="-1440"/>
          <w:tab w:val="left" w:pos="-720"/>
          <w:tab w:val="left" w:pos="540"/>
          <w:tab w:val="left" w:pos="4590"/>
          <w:tab w:val="left" w:pos="6480"/>
        </w:tabs>
        <w:suppressAutoHyphens/>
        <w:jc w:val="both"/>
        <w:rPr>
          <w:spacing w:val="-3"/>
          <w:szCs w:val="22"/>
        </w:rPr>
      </w:pPr>
    </w:p>
    <w:p w:rsidR="00AA2862" w:rsidRPr="00BB229F" w:rsidRDefault="00AA2862" w:rsidP="00AA2862">
      <w:pPr>
        <w:tabs>
          <w:tab w:val="left" w:pos="-1440"/>
          <w:tab w:val="left" w:pos="-720"/>
          <w:tab w:val="left" w:pos="540"/>
          <w:tab w:val="left" w:pos="4590"/>
          <w:tab w:val="left" w:pos="6480"/>
        </w:tabs>
        <w:suppressAutoHyphens/>
        <w:jc w:val="both"/>
        <w:outlineLvl w:val="0"/>
        <w:rPr>
          <w:spacing w:val="-3"/>
          <w:szCs w:val="22"/>
        </w:rPr>
      </w:pPr>
      <w:bookmarkStart w:id="355" w:name="_Toc491865097"/>
      <w:bookmarkStart w:id="356" w:name="_Toc491865512"/>
      <w:r w:rsidRPr="00BB229F">
        <w:rPr>
          <w:b/>
          <w:spacing w:val="-3"/>
          <w:szCs w:val="22"/>
        </w:rPr>
        <w:t>Carriers</w:t>
      </w:r>
      <w:bookmarkEnd w:id="355"/>
      <w:bookmarkEnd w:id="356"/>
    </w:p>
    <w:p w:rsidR="00AA2862" w:rsidRPr="00BB229F" w:rsidRDefault="00AA2862" w:rsidP="00AA2862">
      <w:pPr>
        <w:tabs>
          <w:tab w:val="left" w:pos="-1440"/>
          <w:tab w:val="left" w:pos="-720"/>
          <w:tab w:val="left" w:pos="540"/>
          <w:tab w:val="left" w:pos="4590"/>
          <w:tab w:val="left" w:pos="6480"/>
        </w:tabs>
        <w:suppressAutoHyphens/>
        <w:jc w:val="both"/>
        <w:rPr>
          <w:spacing w:val="-3"/>
          <w:szCs w:val="22"/>
        </w:rPr>
      </w:pPr>
    </w:p>
    <w:p w:rsidR="00AA2862" w:rsidRPr="00BB229F" w:rsidRDefault="00AA2862" w:rsidP="00AA2862">
      <w:pPr>
        <w:tabs>
          <w:tab w:val="left" w:pos="-1440"/>
          <w:tab w:val="left" w:pos="-720"/>
          <w:tab w:val="left" w:pos="540"/>
          <w:tab w:val="left" w:pos="4590"/>
          <w:tab w:val="left" w:pos="6480"/>
        </w:tabs>
        <w:suppressAutoHyphens/>
        <w:jc w:val="both"/>
        <w:rPr>
          <w:spacing w:val="-3"/>
          <w:szCs w:val="22"/>
        </w:rPr>
      </w:pPr>
      <w:r w:rsidRPr="00BB229F">
        <w:rPr>
          <w:spacing w:val="-3"/>
          <w:szCs w:val="22"/>
        </w:rPr>
        <w:t>1.</w:t>
      </w:r>
      <w:r w:rsidRPr="00BB229F">
        <w:rPr>
          <w:spacing w:val="-3"/>
          <w:szCs w:val="22"/>
        </w:rPr>
        <w:tab/>
        <w:t>Interstate Telephone Service Providers</w:t>
      </w:r>
      <w:r w:rsidRPr="00BB229F">
        <w:rPr>
          <w:spacing w:val="-3"/>
          <w:szCs w:val="22"/>
        </w:rPr>
        <w:tab/>
        <w:t>$   .00302</w:t>
      </w:r>
      <w:r w:rsidRPr="00BB229F">
        <w:rPr>
          <w:spacing w:val="-3"/>
          <w:szCs w:val="22"/>
        </w:rPr>
        <w:tab/>
      </w:r>
    </w:p>
    <w:p w:rsidR="00AA2862" w:rsidRPr="00BB229F" w:rsidRDefault="00AA2862" w:rsidP="00AA2862">
      <w:pPr>
        <w:tabs>
          <w:tab w:val="left" w:pos="-1440"/>
          <w:tab w:val="left" w:pos="-720"/>
          <w:tab w:val="left" w:pos="540"/>
          <w:tab w:val="left" w:pos="4590"/>
          <w:tab w:val="left" w:pos="6480"/>
        </w:tabs>
        <w:suppressAutoHyphens/>
        <w:jc w:val="both"/>
        <w:rPr>
          <w:spacing w:val="-3"/>
          <w:szCs w:val="22"/>
        </w:rPr>
      </w:pPr>
      <w:r w:rsidRPr="00BB229F">
        <w:rPr>
          <w:spacing w:val="-3"/>
          <w:szCs w:val="22"/>
        </w:rPr>
        <w:tab/>
        <w:t xml:space="preserve">(per interstate and international end-user </w:t>
      </w:r>
      <w:r w:rsidRPr="00BB229F">
        <w:rPr>
          <w:spacing w:val="-3"/>
          <w:szCs w:val="22"/>
        </w:rPr>
        <w:tab/>
      </w:r>
      <w:r w:rsidRPr="00BB229F">
        <w:rPr>
          <w:spacing w:val="-3"/>
          <w:szCs w:val="22"/>
        </w:rPr>
        <w:tab/>
      </w:r>
      <w:r w:rsidRPr="00BB229F">
        <w:rPr>
          <w:spacing w:val="-3"/>
          <w:szCs w:val="22"/>
        </w:rPr>
        <w:tab/>
      </w:r>
    </w:p>
    <w:p w:rsidR="00AA2862" w:rsidRPr="00BB229F" w:rsidRDefault="00AA2862" w:rsidP="00AA2862">
      <w:pPr>
        <w:tabs>
          <w:tab w:val="left" w:pos="-1440"/>
          <w:tab w:val="left" w:pos="-720"/>
          <w:tab w:val="left" w:pos="540"/>
          <w:tab w:val="left" w:pos="4590"/>
          <w:tab w:val="left" w:pos="6480"/>
        </w:tabs>
        <w:suppressAutoHyphens/>
        <w:jc w:val="both"/>
        <w:rPr>
          <w:spacing w:val="-3"/>
          <w:szCs w:val="22"/>
        </w:rPr>
      </w:pPr>
      <w:r w:rsidRPr="00BB229F">
        <w:rPr>
          <w:spacing w:val="-3"/>
          <w:szCs w:val="22"/>
        </w:rPr>
        <w:tab/>
        <w:t>revenues (see FCC Form 499-A)</w:t>
      </w:r>
    </w:p>
    <w:p w:rsidR="00AA2862" w:rsidRPr="00BB229F" w:rsidRDefault="00AA2862" w:rsidP="00AA2862">
      <w:pPr>
        <w:tabs>
          <w:tab w:val="left" w:pos="-1440"/>
          <w:tab w:val="left" w:pos="-720"/>
          <w:tab w:val="left" w:pos="540"/>
          <w:tab w:val="left" w:pos="4590"/>
          <w:tab w:val="left" w:pos="6480"/>
        </w:tabs>
        <w:suppressAutoHyphens/>
        <w:jc w:val="both"/>
        <w:rPr>
          <w:spacing w:val="-3"/>
          <w:szCs w:val="22"/>
        </w:rPr>
      </w:pPr>
      <w:r w:rsidRPr="00BB229F">
        <w:rPr>
          <w:spacing w:val="-3"/>
          <w:szCs w:val="22"/>
        </w:rPr>
        <w:tab/>
      </w:r>
      <w:r w:rsidRPr="00BB229F">
        <w:rPr>
          <w:spacing w:val="-3"/>
          <w:szCs w:val="22"/>
        </w:rPr>
        <w:tab/>
      </w:r>
    </w:p>
    <w:p w:rsidR="00AA2862" w:rsidRPr="00BB229F" w:rsidRDefault="00AA2862" w:rsidP="00AA2862">
      <w:pPr>
        <w:tabs>
          <w:tab w:val="left" w:pos="-1440"/>
          <w:tab w:val="left" w:pos="-720"/>
          <w:tab w:val="left" w:pos="540"/>
          <w:tab w:val="left" w:pos="4590"/>
          <w:tab w:val="left" w:pos="6480"/>
        </w:tabs>
        <w:suppressAutoHyphens/>
        <w:jc w:val="both"/>
        <w:rPr>
          <w:spacing w:val="-3"/>
          <w:szCs w:val="22"/>
        </w:rPr>
      </w:pPr>
      <w:r w:rsidRPr="00BB229F">
        <w:rPr>
          <w:spacing w:val="-3"/>
          <w:szCs w:val="22"/>
        </w:rPr>
        <w:t>2.</w:t>
      </w:r>
      <w:r w:rsidRPr="00BB229F">
        <w:rPr>
          <w:spacing w:val="-3"/>
          <w:szCs w:val="22"/>
        </w:rPr>
        <w:tab/>
        <w:t>Toll Free Number Fee</w:t>
      </w:r>
      <w:r w:rsidRPr="00BB229F">
        <w:rPr>
          <w:spacing w:val="-3"/>
          <w:szCs w:val="22"/>
        </w:rPr>
        <w:tab/>
        <w:t>$.12 per Toll Free Number</w:t>
      </w:r>
    </w:p>
    <w:p w:rsidR="00AA2862" w:rsidRPr="00BB229F" w:rsidRDefault="00AA2862" w:rsidP="00AA2862">
      <w:pPr>
        <w:tabs>
          <w:tab w:val="left" w:pos="-1440"/>
          <w:tab w:val="left" w:pos="-720"/>
          <w:tab w:val="left" w:pos="540"/>
          <w:tab w:val="left" w:pos="4590"/>
          <w:tab w:val="left" w:pos="6480"/>
        </w:tabs>
        <w:suppressAutoHyphens/>
        <w:jc w:val="both"/>
        <w:rPr>
          <w:spacing w:val="-3"/>
          <w:szCs w:val="22"/>
        </w:rPr>
      </w:pPr>
    </w:p>
    <w:p w:rsidR="00AA2862" w:rsidRPr="00BB229F" w:rsidRDefault="00AA2862" w:rsidP="00AA2862">
      <w:pPr>
        <w:tabs>
          <w:tab w:val="left" w:pos="-1440"/>
          <w:tab w:val="left" w:pos="-720"/>
          <w:tab w:val="left" w:pos="720"/>
          <w:tab w:val="left" w:pos="4590"/>
          <w:tab w:val="left" w:pos="6480"/>
        </w:tabs>
        <w:suppressAutoHyphens/>
        <w:jc w:val="both"/>
        <w:outlineLvl w:val="0"/>
        <w:rPr>
          <w:spacing w:val="-3"/>
          <w:szCs w:val="22"/>
        </w:rPr>
      </w:pPr>
      <w:bookmarkStart w:id="357" w:name="_Toc491865098"/>
      <w:bookmarkStart w:id="358" w:name="_Toc491865513"/>
      <w:r w:rsidRPr="00BB229F">
        <w:rPr>
          <w:spacing w:val="-3"/>
          <w:szCs w:val="22"/>
        </w:rPr>
        <w:t>5.   Section 1.1155 is revised to read as follows:</w:t>
      </w:r>
      <w:bookmarkEnd w:id="357"/>
      <w:bookmarkEnd w:id="358"/>
    </w:p>
    <w:p w:rsidR="00AA2862" w:rsidRPr="00BB229F" w:rsidRDefault="00AA2862" w:rsidP="00AA2862">
      <w:pPr>
        <w:tabs>
          <w:tab w:val="left" w:pos="-1440"/>
          <w:tab w:val="left" w:pos="-720"/>
          <w:tab w:val="left" w:pos="540"/>
          <w:tab w:val="left" w:pos="4590"/>
          <w:tab w:val="left" w:pos="6480"/>
        </w:tabs>
        <w:suppressAutoHyphens/>
        <w:jc w:val="both"/>
        <w:rPr>
          <w:spacing w:val="-3"/>
          <w:szCs w:val="22"/>
        </w:rPr>
      </w:pPr>
    </w:p>
    <w:p w:rsidR="00AA2862" w:rsidRPr="00BB229F" w:rsidRDefault="00AA2862" w:rsidP="00AA2862">
      <w:pPr>
        <w:tabs>
          <w:tab w:val="left" w:pos="-1440"/>
          <w:tab w:val="left" w:pos="-720"/>
          <w:tab w:val="left" w:pos="540"/>
          <w:tab w:val="left" w:pos="4590"/>
          <w:tab w:val="left" w:pos="6480"/>
        </w:tabs>
        <w:suppressAutoHyphens/>
        <w:rPr>
          <w:szCs w:val="22"/>
        </w:rPr>
      </w:pPr>
      <w:r w:rsidRPr="00BB229F">
        <w:rPr>
          <w:szCs w:val="22"/>
        </w:rPr>
        <w:t>§ 1.1155  Schedule of regulatory fees for cable television services.</w:t>
      </w:r>
    </w:p>
    <w:p w:rsidR="00AA2862" w:rsidRPr="00BB229F" w:rsidRDefault="00AA2862" w:rsidP="00AA2862">
      <w:pPr>
        <w:tabs>
          <w:tab w:val="left" w:pos="-1440"/>
          <w:tab w:val="left" w:pos="-720"/>
          <w:tab w:val="left" w:pos="540"/>
          <w:tab w:val="left" w:pos="4590"/>
          <w:tab w:val="left" w:pos="6480"/>
        </w:tabs>
        <w:suppressAutoHyphens/>
        <w:jc w:val="both"/>
        <w:rPr>
          <w:b/>
          <w:spacing w:val="-3"/>
          <w:szCs w:val="22"/>
        </w:rPr>
      </w:pPr>
    </w:p>
    <w:p w:rsidR="00AA2862" w:rsidRPr="00BB229F" w:rsidRDefault="00AA2862" w:rsidP="00AA2862">
      <w:pPr>
        <w:tabs>
          <w:tab w:val="left" w:pos="-1440"/>
          <w:tab w:val="left" w:pos="-720"/>
          <w:tab w:val="left" w:pos="540"/>
          <w:tab w:val="left" w:pos="4590"/>
          <w:tab w:val="left" w:pos="6480"/>
        </w:tabs>
        <w:suppressAutoHyphens/>
        <w:jc w:val="both"/>
        <w:rPr>
          <w:spacing w:val="-3"/>
          <w:szCs w:val="22"/>
        </w:rPr>
      </w:pPr>
      <w:r w:rsidRPr="00BB229F">
        <w:rPr>
          <w:b/>
          <w:spacing w:val="-3"/>
          <w:szCs w:val="22"/>
        </w:rPr>
        <w:tab/>
      </w:r>
      <w:r w:rsidRPr="00BB229F">
        <w:rPr>
          <w:b/>
          <w:spacing w:val="-3"/>
          <w:szCs w:val="22"/>
        </w:rPr>
        <w:tab/>
        <w:t>Fee Amount</w:t>
      </w:r>
      <w:r w:rsidRPr="00BB229F">
        <w:rPr>
          <w:b/>
          <w:spacing w:val="-3"/>
          <w:szCs w:val="22"/>
        </w:rPr>
        <w:tab/>
      </w:r>
    </w:p>
    <w:p w:rsidR="00AA2862" w:rsidRPr="00BB229F" w:rsidRDefault="00AA2862" w:rsidP="00AA2862">
      <w:pPr>
        <w:tabs>
          <w:tab w:val="left" w:pos="-1440"/>
          <w:tab w:val="left" w:pos="-720"/>
          <w:tab w:val="left" w:pos="540"/>
          <w:tab w:val="left" w:pos="4590"/>
          <w:tab w:val="left" w:pos="6480"/>
        </w:tabs>
        <w:suppressAutoHyphens/>
        <w:jc w:val="both"/>
        <w:rPr>
          <w:spacing w:val="-3"/>
          <w:szCs w:val="22"/>
        </w:rPr>
      </w:pPr>
    </w:p>
    <w:p w:rsidR="00AA2862" w:rsidRPr="00BB229F" w:rsidRDefault="00AA2862" w:rsidP="00AA2862">
      <w:pPr>
        <w:tabs>
          <w:tab w:val="left" w:pos="-1440"/>
          <w:tab w:val="left" w:pos="-720"/>
          <w:tab w:val="left" w:pos="540"/>
          <w:tab w:val="left" w:pos="4590"/>
          <w:tab w:val="left" w:pos="6480"/>
        </w:tabs>
        <w:suppressAutoHyphens/>
        <w:jc w:val="both"/>
        <w:rPr>
          <w:spacing w:val="-3"/>
          <w:szCs w:val="22"/>
        </w:rPr>
      </w:pPr>
      <w:r w:rsidRPr="00BB229F">
        <w:rPr>
          <w:spacing w:val="-3"/>
          <w:szCs w:val="22"/>
        </w:rPr>
        <w:t>1.</w:t>
      </w:r>
      <w:r w:rsidRPr="00BB229F">
        <w:rPr>
          <w:spacing w:val="-3"/>
          <w:szCs w:val="22"/>
        </w:rPr>
        <w:tab/>
        <w:t>Cable Television Relay Service</w:t>
      </w:r>
      <w:r w:rsidRPr="00BB229F">
        <w:rPr>
          <w:spacing w:val="-3"/>
          <w:szCs w:val="22"/>
        </w:rPr>
        <w:tab/>
        <w:t>$935</w:t>
      </w:r>
    </w:p>
    <w:p w:rsidR="00AA2862" w:rsidRPr="00BB229F" w:rsidRDefault="00AA2862" w:rsidP="00AA2862">
      <w:pPr>
        <w:tabs>
          <w:tab w:val="left" w:pos="-1440"/>
          <w:tab w:val="left" w:pos="-720"/>
          <w:tab w:val="left" w:pos="540"/>
          <w:tab w:val="left" w:pos="4590"/>
          <w:tab w:val="left" w:pos="6480"/>
        </w:tabs>
        <w:suppressAutoHyphens/>
        <w:jc w:val="both"/>
        <w:rPr>
          <w:spacing w:val="-3"/>
          <w:szCs w:val="22"/>
        </w:rPr>
      </w:pPr>
      <w:r w:rsidRPr="00BB229F">
        <w:rPr>
          <w:spacing w:val="-3"/>
          <w:szCs w:val="22"/>
        </w:rPr>
        <w:tab/>
      </w:r>
    </w:p>
    <w:p w:rsidR="00AA2862" w:rsidRPr="00BB229F" w:rsidRDefault="00AA2862" w:rsidP="00AA2862">
      <w:pPr>
        <w:tabs>
          <w:tab w:val="left" w:pos="-1440"/>
          <w:tab w:val="left" w:pos="-720"/>
          <w:tab w:val="left" w:pos="540"/>
          <w:tab w:val="left" w:pos="4590"/>
          <w:tab w:val="left" w:pos="6480"/>
        </w:tabs>
        <w:suppressAutoHyphens/>
        <w:jc w:val="both"/>
        <w:rPr>
          <w:spacing w:val="-3"/>
          <w:szCs w:val="22"/>
        </w:rPr>
      </w:pPr>
      <w:r w:rsidRPr="00BB229F">
        <w:rPr>
          <w:spacing w:val="-3"/>
          <w:szCs w:val="22"/>
        </w:rPr>
        <w:t>2.</w:t>
      </w:r>
      <w:r w:rsidRPr="00BB229F">
        <w:rPr>
          <w:spacing w:val="-3"/>
          <w:szCs w:val="22"/>
        </w:rPr>
        <w:tab/>
        <w:t>Cable TV System, Including IPTV</w:t>
      </w:r>
      <w:r w:rsidRPr="00BB229F">
        <w:rPr>
          <w:spacing w:val="-3"/>
          <w:szCs w:val="22"/>
        </w:rPr>
        <w:tab/>
        <w:t>$   .9</w:t>
      </w:r>
      <w:r w:rsidR="00595F8B" w:rsidRPr="00BB229F">
        <w:rPr>
          <w:spacing w:val="-3"/>
          <w:szCs w:val="22"/>
        </w:rPr>
        <w:t>5</w:t>
      </w:r>
      <w:r w:rsidRPr="00BB229F">
        <w:rPr>
          <w:spacing w:val="-3"/>
          <w:szCs w:val="22"/>
        </w:rPr>
        <w:tab/>
      </w:r>
    </w:p>
    <w:p w:rsidR="00AA2862" w:rsidRPr="00BB229F" w:rsidRDefault="00AA2862" w:rsidP="00AA2862">
      <w:pPr>
        <w:tabs>
          <w:tab w:val="left" w:pos="-1440"/>
          <w:tab w:val="left" w:pos="-720"/>
          <w:tab w:val="left" w:pos="540"/>
          <w:tab w:val="left" w:pos="4590"/>
          <w:tab w:val="left" w:pos="6480"/>
        </w:tabs>
        <w:suppressAutoHyphens/>
        <w:jc w:val="both"/>
        <w:rPr>
          <w:spacing w:val="-3"/>
          <w:szCs w:val="22"/>
        </w:rPr>
      </w:pPr>
      <w:r w:rsidRPr="00BB229F">
        <w:rPr>
          <w:spacing w:val="-3"/>
          <w:szCs w:val="22"/>
        </w:rPr>
        <w:tab/>
        <w:t>(per subscriber)</w:t>
      </w:r>
    </w:p>
    <w:p w:rsidR="00AA2862" w:rsidRPr="00BB229F" w:rsidRDefault="00AA2862" w:rsidP="00AA2862">
      <w:pPr>
        <w:tabs>
          <w:tab w:val="left" w:pos="-1440"/>
          <w:tab w:val="left" w:pos="-720"/>
          <w:tab w:val="left" w:pos="540"/>
          <w:tab w:val="left" w:pos="4590"/>
          <w:tab w:val="left" w:pos="6480"/>
        </w:tabs>
        <w:suppressAutoHyphens/>
        <w:jc w:val="both"/>
        <w:rPr>
          <w:spacing w:val="-3"/>
          <w:szCs w:val="22"/>
        </w:rPr>
      </w:pPr>
      <w:r w:rsidRPr="00BB229F">
        <w:rPr>
          <w:spacing w:val="-3"/>
          <w:szCs w:val="22"/>
        </w:rPr>
        <w:tab/>
        <w:t xml:space="preserve">  </w:t>
      </w:r>
      <w:r w:rsidRPr="00BB229F">
        <w:rPr>
          <w:spacing w:val="-3"/>
          <w:szCs w:val="22"/>
        </w:rPr>
        <w:tab/>
      </w:r>
    </w:p>
    <w:p w:rsidR="00AA2862" w:rsidRPr="00BB229F" w:rsidRDefault="00AA2862" w:rsidP="00AA2862">
      <w:pPr>
        <w:tabs>
          <w:tab w:val="left" w:pos="-1440"/>
          <w:tab w:val="left" w:pos="-720"/>
          <w:tab w:val="left" w:pos="540"/>
          <w:tab w:val="left" w:pos="4590"/>
          <w:tab w:val="left" w:pos="6480"/>
        </w:tabs>
        <w:suppressAutoHyphens/>
        <w:jc w:val="both"/>
        <w:rPr>
          <w:spacing w:val="-3"/>
          <w:szCs w:val="22"/>
        </w:rPr>
      </w:pPr>
      <w:r w:rsidRPr="00BB229F">
        <w:rPr>
          <w:spacing w:val="-3"/>
          <w:szCs w:val="22"/>
        </w:rPr>
        <w:t>3.</w:t>
      </w:r>
      <w:r w:rsidRPr="00BB229F">
        <w:rPr>
          <w:spacing w:val="-3"/>
          <w:szCs w:val="22"/>
        </w:rPr>
        <w:tab/>
        <w:t>Direct Broadcast Satellite (DBS)</w:t>
      </w:r>
      <w:r w:rsidRPr="00BB229F">
        <w:rPr>
          <w:b/>
          <w:spacing w:val="-3"/>
          <w:szCs w:val="22"/>
        </w:rPr>
        <w:tab/>
      </w:r>
      <w:r w:rsidRPr="00BB229F">
        <w:rPr>
          <w:spacing w:val="-3"/>
          <w:szCs w:val="22"/>
        </w:rPr>
        <w:t>$.</w:t>
      </w:r>
      <w:r w:rsidR="00B256D6" w:rsidRPr="00BB229F">
        <w:rPr>
          <w:spacing w:val="-3"/>
          <w:szCs w:val="22"/>
        </w:rPr>
        <w:t>38</w:t>
      </w:r>
      <w:r w:rsidRPr="00BB229F">
        <w:rPr>
          <w:spacing w:val="-3"/>
          <w:szCs w:val="22"/>
        </w:rPr>
        <w:t xml:space="preserve"> per subscriber</w:t>
      </w:r>
    </w:p>
    <w:p w:rsidR="00AA2862" w:rsidRPr="00BB229F" w:rsidRDefault="00AA2862" w:rsidP="00AA2862">
      <w:pPr>
        <w:widowControl/>
        <w:rPr>
          <w:spacing w:val="-3"/>
          <w:szCs w:val="22"/>
        </w:rPr>
      </w:pPr>
    </w:p>
    <w:p w:rsidR="00AA2862" w:rsidRPr="00BB229F" w:rsidRDefault="00AA2862" w:rsidP="00AA2862">
      <w:pPr>
        <w:widowControl/>
        <w:rPr>
          <w:spacing w:val="-3"/>
          <w:szCs w:val="22"/>
        </w:rPr>
      </w:pPr>
    </w:p>
    <w:p w:rsidR="00AA2862" w:rsidRPr="00BB229F" w:rsidRDefault="00AA2862" w:rsidP="00AA2862">
      <w:pPr>
        <w:widowControl/>
        <w:rPr>
          <w:spacing w:val="-3"/>
          <w:szCs w:val="22"/>
        </w:rPr>
      </w:pPr>
    </w:p>
    <w:p w:rsidR="00AA2862" w:rsidRPr="00BB229F" w:rsidRDefault="00AA2862" w:rsidP="00AA2862">
      <w:pPr>
        <w:tabs>
          <w:tab w:val="left" w:pos="-1440"/>
          <w:tab w:val="left" w:pos="-720"/>
          <w:tab w:val="left" w:pos="720"/>
          <w:tab w:val="left" w:pos="4590"/>
          <w:tab w:val="left" w:pos="6480"/>
        </w:tabs>
        <w:suppressAutoHyphens/>
        <w:outlineLvl w:val="0"/>
        <w:rPr>
          <w:szCs w:val="22"/>
        </w:rPr>
      </w:pPr>
      <w:bookmarkStart w:id="359" w:name="_Toc491865099"/>
      <w:bookmarkStart w:id="360" w:name="_Toc491865514"/>
      <w:r w:rsidRPr="00BB229F">
        <w:rPr>
          <w:szCs w:val="22"/>
        </w:rPr>
        <w:t>6.   Section 1.1156 is revised to read as follows:</w:t>
      </w:r>
      <w:bookmarkEnd w:id="359"/>
      <w:bookmarkEnd w:id="360"/>
    </w:p>
    <w:p w:rsidR="00AA2862" w:rsidRPr="00BB229F" w:rsidRDefault="00AA2862" w:rsidP="00AA2862">
      <w:pPr>
        <w:tabs>
          <w:tab w:val="left" w:pos="-1440"/>
          <w:tab w:val="left" w:pos="-720"/>
          <w:tab w:val="left" w:pos="540"/>
          <w:tab w:val="left" w:pos="4590"/>
          <w:tab w:val="left" w:pos="6480"/>
        </w:tabs>
        <w:suppressAutoHyphens/>
        <w:rPr>
          <w:szCs w:val="22"/>
        </w:rPr>
      </w:pPr>
      <w:r w:rsidRPr="00BB229F">
        <w:rPr>
          <w:szCs w:val="22"/>
        </w:rPr>
        <w:t xml:space="preserve"> </w:t>
      </w:r>
      <w:r w:rsidRPr="00BB229F">
        <w:rPr>
          <w:szCs w:val="22"/>
        </w:rPr>
        <w:tab/>
      </w:r>
    </w:p>
    <w:p w:rsidR="00AA2862" w:rsidRPr="00BB229F" w:rsidRDefault="00AA2862" w:rsidP="00AA2862">
      <w:pPr>
        <w:tabs>
          <w:tab w:val="left" w:pos="-1440"/>
          <w:tab w:val="left" w:pos="-720"/>
          <w:tab w:val="left" w:pos="540"/>
          <w:tab w:val="left" w:pos="4590"/>
          <w:tab w:val="left" w:pos="6480"/>
        </w:tabs>
        <w:suppressAutoHyphens/>
        <w:rPr>
          <w:szCs w:val="22"/>
        </w:rPr>
      </w:pPr>
      <w:r w:rsidRPr="00BB229F">
        <w:rPr>
          <w:szCs w:val="22"/>
        </w:rPr>
        <w:t>§ 1.1156  Schedule of regulatory fees for international services.</w:t>
      </w:r>
    </w:p>
    <w:p w:rsidR="00AA2862" w:rsidRPr="00BB229F" w:rsidRDefault="00AA2862" w:rsidP="00AA2862">
      <w:pPr>
        <w:tabs>
          <w:tab w:val="left" w:pos="-1440"/>
          <w:tab w:val="left" w:pos="-720"/>
          <w:tab w:val="left" w:pos="540"/>
          <w:tab w:val="left" w:pos="4590"/>
          <w:tab w:val="left" w:pos="6480"/>
        </w:tabs>
        <w:suppressAutoHyphens/>
        <w:jc w:val="both"/>
        <w:rPr>
          <w:spacing w:val="-3"/>
          <w:szCs w:val="22"/>
        </w:rPr>
      </w:pPr>
    </w:p>
    <w:p w:rsidR="00AA2862" w:rsidRPr="00BB229F" w:rsidRDefault="00AA2862" w:rsidP="00AA2862">
      <w:pPr>
        <w:widowControl/>
        <w:jc w:val="both"/>
        <w:rPr>
          <w:spacing w:val="-3"/>
          <w:kern w:val="0"/>
          <w:sz w:val="24"/>
          <w:szCs w:val="24"/>
        </w:rPr>
      </w:pPr>
      <w:r w:rsidRPr="00BB229F">
        <w:rPr>
          <w:spacing w:val="-3"/>
          <w:kern w:val="0"/>
          <w:sz w:val="24"/>
          <w:szCs w:val="24"/>
        </w:rPr>
        <w:t>a.         The following schedule applies for the listed services:</w:t>
      </w:r>
    </w:p>
    <w:p w:rsidR="00AA2862" w:rsidRPr="00BB229F" w:rsidRDefault="00AA2862" w:rsidP="00AA2862">
      <w:pPr>
        <w:widowControl/>
        <w:jc w:val="both"/>
        <w:rPr>
          <w:spacing w:val="-3"/>
          <w:kern w:val="0"/>
          <w:sz w:val="24"/>
          <w:szCs w:val="24"/>
        </w:rPr>
      </w:pPr>
    </w:p>
    <w:tbl>
      <w:tblPr>
        <w:tblW w:w="0" w:type="auto"/>
        <w:tblCellMar>
          <w:left w:w="0" w:type="dxa"/>
          <w:right w:w="0" w:type="dxa"/>
        </w:tblCellMar>
        <w:tblLook w:val="0000" w:firstRow="0" w:lastRow="0" w:firstColumn="0" w:lastColumn="0" w:noHBand="0" w:noVBand="0"/>
      </w:tblPr>
      <w:tblGrid>
        <w:gridCol w:w="5047"/>
        <w:gridCol w:w="1597"/>
      </w:tblGrid>
      <w:tr w:rsidR="00BB229F" w:rsidRPr="00BB229F" w:rsidTr="00F30430">
        <w:tc>
          <w:tcPr>
            <w:tcW w:w="50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A2862" w:rsidRPr="00BB229F" w:rsidRDefault="00AA2862" w:rsidP="00F30430">
            <w:pPr>
              <w:widowControl/>
              <w:jc w:val="center"/>
              <w:rPr>
                <w:spacing w:val="-3"/>
                <w:kern w:val="0"/>
                <w:sz w:val="24"/>
                <w:szCs w:val="24"/>
              </w:rPr>
            </w:pPr>
            <w:r w:rsidRPr="00BB229F">
              <w:rPr>
                <w:spacing w:val="-3"/>
                <w:kern w:val="0"/>
                <w:sz w:val="24"/>
                <w:szCs w:val="24"/>
              </w:rPr>
              <w:t>Fee Category</w:t>
            </w:r>
          </w:p>
        </w:tc>
        <w:tc>
          <w:tcPr>
            <w:tcW w:w="159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A2862" w:rsidRPr="00BB229F" w:rsidRDefault="00AA2862" w:rsidP="00F30430">
            <w:pPr>
              <w:widowControl/>
              <w:jc w:val="center"/>
              <w:rPr>
                <w:spacing w:val="-3"/>
                <w:kern w:val="0"/>
                <w:sz w:val="24"/>
                <w:szCs w:val="24"/>
              </w:rPr>
            </w:pPr>
            <w:r w:rsidRPr="00BB229F">
              <w:rPr>
                <w:spacing w:val="-3"/>
                <w:kern w:val="0"/>
                <w:sz w:val="24"/>
                <w:szCs w:val="24"/>
              </w:rPr>
              <w:t>Fee Amount</w:t>
            </w:r>
          </w:p>
        </w:tc>
      </w:tr>
      <w:tr w:rsidR="00BB229F" w:rsidRPr="00BB229F" w:rsidTr="00F30430">
        <w:tc>
          <w:tcPr>
            <w:tcW w:w="50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2862" w:rsidRPr="00BB229F" w:rsidRDefault="00AA2862" w:rsidP="00F30430">
            <w:pPr>
              <w:widowControl/>
              <w:rPr>
                <w:spacing w:val="-3"/>
                <w:kern w:val="0"/>
                <w:sz w:val="24"/>
                <w:szCs w:val="24"/>
              </w:rPr>
            </w:pPr>
            <w:r w:rsidRPr="00BB229F">
              <w:rPr>
                <w:spacing w:val="-3"/>
                <w:kern w:val="0"/>
                <w:sz w:val="24"/>
                <w:szCs w:val="24"/>
              </w:rPr>
              <w:t>Space Stations (Geostationary Orbit)</w:t>
            </w:r>
          </w:p>
        </w:tc>
        <w:tc>
          <w:tcPr>
            <w:tcW w:w="1597" w:type="dxa"/>
            <w:tcBorders>
              <w:top w:val="nil"/>
              <w:left w:val="nil"/>
              <w:bottom w:val="single" w:sz="8" w:space="0" w:color="auto"/>
              <w:right w:val="single" w:sz="8" w:space="0" w:color="auto"/>
            </w:tcBorders>
            <w:tcMar>
              <w:top w:w="0" w:type="dxa"/>
              <w:left w:w="108" w:type="dxa"/>
              <w:bottom w:w="0" w:type="dxa"/>
              <w:right w:w="108" w:type="dxa"/>
            </w:tcMar>
          </w:tcPr>
          <w:p w:rsidR="00AA2862" w:rsidRPr="00BB229F" w:rsidRDefault="00AA2862" w:rsidP="00F30430">
            <w:pPr>
              <w:widowControl/>
              <w:jc w:val="center"/>
              <w:rPr>
                <w:spacing w:val="-3"/>
                <w:kern w:val="0"/>
                <w:sz w:val="24"/>
                <w:szCs w:val="24"/>
              </w:rPr>
            </w:pPr>
          </w:p>
          <w:p w:rsidR="00AA2862" w:rsidRPr="00BB229F" w:rsidRDefault="00AA2862" w:rsidP="00F30430">
            <w:pPr>
              <w:widowControl/>
              <w:jc w:val="center"/>
              <w:rPr>
                <w:spacing w:val="-3"/>
                <w:kern w:val="0"/>
                <w:sz w:val="24"/>
                <w:szCs w:val="24"/>
              </w:rPr>
            </w:pPr>
            <w:r w:rsidRPr="00BB229F">
              <w:rPr>
                <w:spacing w:val="-3"/>
                <w:kern w:val="0"/>
                <w:sz w:val="24"/>
                <w:szCs w:val="24"/>
              </w:rPr>
              <w:t>$14</w:t>
            </w:r>
            <w:r w:rsidR="003E1C13" w:rsidRPr="00BB229F">
              <w:rPr>
                <w:spacing w:val="-3"/>
                <w:kern w:val="0"/>
                <w:sz w:val="24"/>
                <w:szCs w:val="24"/>
              </w:rPr>
              <w:t>0</w:t>
            </w:r>
            <w:r w:rsidRPr="00BB229F">
              <w:rPr>
                <w:spacing w:val="-3"/>
                <w:kern w:val="0"/>
                <w:sz w:val="24"/>
                <w:szCs w:val="24"/>
              </w:rPr>
              <w:t>,9</w:t>
            </w:r>
            <w:r w:rsidR="003E1C13" w:rsidRPr="00BB229F">
              <w:rPr>
                <w:spacing w:val="-3"/>
                <w:kern w:val="0"/>
                <w:sz w:val="24"/>
                <w:szCs w:val="24"/>
              </w:rPr>
              <w:t>25</w:t>
            </w:r>
          </w:p>
          <w:p w:rsidR="00AA2862" w:rsidRPr="00BB229F" w:rsidRDefault="00AA2862" w:rsidP="00F30430">
            <w:pPr>
              <w:widowControl/>
              <w:jc w:val="center"/>
              <w:rPr>
                <w:spacing w:val="-3"/>
                <w:kern w:val="0"/>
                <w:sz w:val="24"/>
                <w:szCs w:val="24"/>
              </w:rPr>
            </w:pPr>
          </w:p>
        </w:tc>
      </w:tr>
      <w:tr w:rsidR="00BB229F" w:rsidRPr="00BB229F" w:rsidTr="00F30430">
        <w:tc>
          <w:tcPr>
            <w:tcW w:w="50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2862" w:rsidRPr="00BB229F" w:rsidRDefault="00AA2862" w:rsidP="00F30430">
            <w:pPr>
              <w:widowControl/>
              <w:rPr>
                <w:spacing w:val="-3"/>
                <w:kern w:val="0"/>
                <w:sz w:val="24"/>
                <w:szCs w:val="24"/>
              </w:rPr>
            </w:pPr>
            <w:r w:rsidRPr="00BB229F">
              <w:rPr>
                <w:spacing w:val="-3"/>
                <w:kern w:val="0"/>
                <w:sz w:val="24"/>
                <w:szCs w:val="24"/>
              </w:rPr>
              <w:t>Space Stations (Non-Geostationary Orbit)</w:t>
            </w:r>
          </w:p>
        </w:tc>
        <w:tc>
          <w:tcPr>
            <w:tcW w:w="1597" w:type="dxa"/>
            <w:tcBorders>
              <w:top w:val="nil"/>
              <w:left w:val="nil"/>
              <w:bottom w:val="single" w:sz="8" w:space="0" w:color="auto"/>
              <w:right w:val="single" w:sz="8" w:space="0" w:color="auto"/>
            </w:tcBorders>
            <w:tcMar>
              <w:top w:w="0" w:type="dxa"/>
              <w:left w:w="108" w:type="dxa"/>
              <w:bottom w:w="0" w:type="dxa"/>
              <w:right w:w="108" w:type="dxa"/>
            </w:tcMar>
          </w:tcPr>
          <w:p w:rsidR="00AA2862" w:rsidRPr="00BB229F" w:rsidRDefault="00AA2862" w:rsidP="00F30430">
            <w:pPr>
              <w:widowControl/>
              <w:jc w:val="center"/>
              <w:rPr>
                <w:spacing w:val="-3"/>
                <w:kern w:val="0"/>
                <w:sz w:val="24"/>
                <w:szCs w:val="24"/>
              </w:rPr>
            </w:pPr>
          </w:p>
          <w:p w:rsidR="00AA2862" w:rsidRPr="00BB229F" w:rsidRDefault="00AA2862">
            <w:pPr>
              <w:widowControl/>
              <w:jc w:val="center"/>
              <w:rPr>
                <w:spacing w:val="-3"/>
                <w:kern w:val="0"/>
                <w:sz w:val="24"/>
                <w:szCs w:val="24"/>
              </w:rPr>
            </w:pPr>
            <w:r w:rsidRPr="00BB229F">
              <w:rPr>
                <w:spacing w:val="-3"/>
                <w:kern w:val="0"/>
                <w:sz w:val="24"/>
                <w:szCs w:val="24"/>
              </w:rPr>
              <w:t>$1</w:t>
            </w:r>
            <w:r w:rsidR="003E1C13" w:rsidRPr="00BB229F">
              <w:rPr>
                <w:spacing w:val="-3"/>
                <w:kern w:val="0"/>
                <w:sz w:val="24"/>
                <w:szCs w:val="24"/>
              </w:rPr>
              <w:t>35</w:t>
            </w:r>
            <w:r w:rsidRPr="00BB229F">
              <w:rPr>
                <w:spacing w:val="-3"/>
                <w:kern w:val="0"/>
                <w:sz w:val="24"/>
                <w:szCs w:val="24"/>
              </w:rPr>
              <w:t>,</w:t>
            </w:r>
            <w:r w:rsidR="003E1C13" w:rsidRPr="00BB229F">
              <w:rPr>
                <w:spacing w:val="-3"/>
                <w:kern w:val="0"/>
                <w:sz w:val="24"/>
                <w:szCs w:val="24"/>
              </w:rPr>
              <w:t>350</w:t>
            </w:r>
          </w:p>
        </w:tc>
      </w:tr>
      <w:tr w:rsidR="00AA2862" w:rsidRPr="00BB229F" w:rsidTr="00F30430">
        <w:tc>
          <w:tcPr>
            <w:tcW w:w="50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2862" w:rsidRPr="00BB229F" w:rsidRDefault="00AA2862" w:rsidP="00F30430">
            <w:pPr>
              <w:widowControl/>
              <w:rPr>
                <w:spacing w:val="-3"/>
                <w:kern w:val="0"/>
                <w:sz w:val="24"/>
                <w:szCs w:val="24"/>
              </w:rPr>
            </w:pPr>
            <w:r w:rsidRPr="00BB229F">
              <w:rPr>
                <w:spacing w:val="-3"/>
                <w:kern w:val="0"/>
                <w:sz w:val="24"/>
                <w:szCs w:val="24"/>
              </w:rPr>
              <w:t>Earth Stations:  Transmit/Receive &amp; Transmit only (per authorization  or registration)</w:t>
            </w:r>
          </w:p>
        </w:tc>
        <w:tc>
          <w:tcPr>
            <w:tcW w:w="1597" w:type="dxa"/>
            <w:tcBorders>
              <w:top w:val="nil"/>
              <w:left w:val="nil"/>
              <w:bottom w:val="single" w:sz="8" w:space="0" w:color="auto"/>
              <w:right w:val="single" w:sz="8" w:space="0" w:color="auto"/>
            </w:tcBorders>
            <w:tcMar>
              <w:top w:w="0" w:type="dxa"/>
              <w:left w:w="108" w:type="dxa"/>
              <w:bottom w:w="0" w:type="dxa"/>
              <w:right w:w="108" w:type="dxa"/>
            </w:tcMar>
          </w:tcPr>
          <w:p w:rsidR="00AA2862" w:rsidRPr="00BB229F" w:rsidRDefault="00AA2862" w:rsidP="00F30430">
            <w:pPr>
              <w:widowControl/>
              <w:jc w:val="center"/>
              <w:rPr>
                <w:spacing w:val="-3"/>
                <w:kern w:val="0"/>
                <w:sz w:val="24"/>
                <w:szCs w:val="24"/>
              </w:rPr>
            </w:pPr>
          </w:p>
          <w:p w:rsidR="00AA2862" w:rsidRPr="00BB229F" w:rsidRDefault="00AA2862" w:rsidP="00F30430">
            <w:pPr>
              <w:widowControl/>
              <w:jc w:val="center"/>
              <w:rPr>
                <w:spacing w:val="-3"/>
                <w:kern w:val="0"/>
                <w:sz w:val="24"/>
                <w:szCs w:val="24"/>
              </w:rPr>
            </w:pPr>
            <w:r w:rsidRPr="00BB229F">
              <w:rPr>
                <w:spacing w:val="-3"/>
                <w:kern w:val="0"/>
                <w:sz w:val="24"/>
                <w:szCs w:val="24"/>
              </w:rPr>
              <w:t>$360</w:t>
            </w:r>
          </w:p>
        </w:tc>
      </w:tr>
    </w:tbl>
    <w:p w:rsidR="00AA2862" w:rsidRPr="00BB229F" w:rsidRDefault="00AA2862" w:rsidP="00AA2862">
      <w:pPr>
        <w:widowControl/>
        <w:rPr>
          <w:spacing w:val="-3"/>
          <w:kern w:val="0"/>
          <w:sz w:val="24"/>
          <w:szCs w:val="24"/>
        </w:rPr>
      </w:pPr>
    </w:p>
    <w:p w:rsidR="00AA2862" w:rsidRPr="00BB229F" w:rsidRDefault="00AA2862" w:rsidP="00AA2862">
      <w:pPr>
        <w:widowControl/>
        <w:rPr>
          <w:spacing w:val="-3"/>
          <w:kern w:val="0"/>
          <w:sz w:val="24"/>
          <w:szCs w:val="24"/>
        </w:rPr>
      </w:pPr>
      <w:r w:rsidRPr="00BB229F">
        <w:rPr>
          <w:spacing w:val="-3"/>
          <w:kern w:val="0"/>
          <w:sz w:val="24"/>
          <w:szCs w:val="24"/>
        </w:rPr>
        <w:t xml:space="preserve">b.         </w:t>
      </w:r>
      <w:r w:rsidRPr="00BB229F">
        <w:rPr>
          <w:i/>
          <w:iCs/>
          <w:kern w:val="0"/>
          <w:sz w:val="24"/>
          <w:szCs w:val="24"/>
        </w:rPr>
        <w:t>International Terrestrial and Satellite</w:t>
      </w:r>
      <w:r w:rsidRPr="00BB229F">
        <w:rPr>
          <w:kern w:val="0"/>
          <w:sz w:val="24"/>
          <w:szCs w:val="24"/>
        </w:rPr>
        <w:t>.  Regulatory fees for International Bearer Circuits are to be paid by facilities-based common carriers that have active (used or leased) international bearer circuits as of December 31 of the prior year in any terrestrial or satellite transmission facility for the provision of service to an end user or resale carrier, which includes active circuits to themselves or to their affiliates.   In addition, non-common carrier satellite operators must pay a fee for each circuit sold or leased to any customer, including themselves or their affiliates, other than an international common carrier authorized by the Commission to provide U.S. international common carrier services.  “Active circuits” for these purposes include backup and redundant circuits.  In addition, whether circuits are used specifically for voice or data is not relevant in determining that they are active circuits.</w:t>
      </w:r>
    </w:p>
    <w:p w:rsidR="00AA2862" w:rsidRPr="00BB229F" w:rsidRDefault="00AA2862" w:rsidP="00AA2862">
      <w:pPr>
        <w:widowControl/>
        <w:rPr>
          <w:spacing w:val="-3"/>
          <w:kern w:val="0"/>
          <w:sz w:val="24"/>
          <w:szCs w:val="24"/>
        </w:rPr>
      </w:pPr>
    </w:p>
    <w:p w:rsidR="00AA2862" w:rsidRPr="00BB229F" w:rsidRDefault="00AA2862" w:rsidP="00AA2862">
      <w:pPr>
        <w:widowControl/>
        <w:snapToGrid w:val="0"/>
        <w:rPr>
          <w:kern w:val="0"/>
          <w:sz w:val="24"/>
          <w:szCs w:val="24"/>
        </w:rPr>
      </w:pPr>
      <w:r w:rsidRPr="00BB229F">
        <w:rPr>
          <w:spacing w:val="-3"/>
          <w:kern w:val="0"/>
          <w:sz w:val="24"/>
          <w:szCs w:val="24"/>
        </w:rPr>
        <w:t>The fee amount, per active 64 KB circuit or equivalent will be determined for each fiscal year.</w:t>
      </w:r>
      <w:r w:rsidRPr="00BB229F">
        <w:rPr>
          <w:kern w:val="0"/>
          <w:sz w:val="24"/>
          <w:szCs w:val="24"/>
        </w:rPr>
        <w:t xml:space="preserve"> </w:t>
      </w:r>
    </w:p>
    <w:p w:rsidR="00AA2862" w:rsidRPr="00BB229F" w:rsidRDefault="00AA2862" w:rsidP="00AA2862">
      <w:pPr>
        <w:widowControl/>
        <w:snapToGrid w:val="0"/>
        <w:rPr>
          <w:kern w:val="0"/>
          <w:szCs w:val="22"/>
        </w:rPr>
      </w:pPr>
    </w:p>
    <w:tbl>
      <w:tblPr>
        <w:tblW w:w="0" w:type="auto"/>
        <w:tblCellMar>
          <w:left w:w="0" w:type="dxa"/>
          <w:right w:w="0" w:type="dxa"/>
        </w:tblCellMar>
        <w:tblLook w:val="0000" w:firstRow="0" w:lastRow="0" w:firstColumn="0" w:lastColumn="0" w:noHBand="0" w:noVBand="0"/>
      </w:tblPr>
      <w:tblGrid>
        <w:gridCol w:w="5199"/>
        <w:gridCol w:w="1659"/>
      </w:tblGrid>
      <w:tr w:rsidR="00BB229F" w:rsidRPr="00BB229F" w:rsidTr="00F30430">
        <w:trPr>
          <w:trHeight w:val="793"/>
        </w:trPr>
        <w:tc>
          <w:tcPr>
            <w:tcW w:w="51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A2862" w:rsidRPr="00BB229F" w:rsidRDefault="00AA2862" w:rsidP="00F30430">
            <w:pPr>
              <w:widowControl/>
              <w:jc w:val="both"/>
              <w:rPr>
                <w:spacing w:val="-3"/>
                <w:kern w:val="0"/>
                <w:sz w:val="24"/>
                <w:szCs w:val="24"/>
              </w:rPr>
            </w:pPr>
            <w:r w:rsidRPr="00BB229F">
              <w:rPr>
                <w:spacing w:val="-3"/>
                <w:kern w:val="0"/>
                <w:sz w:val="24"/>
                <w:szCs w:val="24"/>
              </w:rPr>
              <w:t xml:space="preserve">International Terrestrial and Satellite </w:t>
            </w:r>
            <w:r w:rsidRPr="00BB229F">
              <w:rPr>
                <w:kern w:val="0"/>
                <w:sz w:val="24"/>
                <w:szCs w:val="24"/>
              </w:rPr>
              <w:t>(capacity as of December 31, 2016)</w:t>
            </w:r>
          </w:p>
        </w:tc>
        <w:tc>
          <w:tcPr>
            <w:tcW w:w="16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A2862" w:rsidRPr="00BB229F" w:rsidRDefault="00AA2862" w:rsidP="00F30430">
            <w:pPr>
              <w:widowControl/>
              <w:jc w:val="center"/>
              <w:rPr>
                <w:spacing w:val="-3"/>
                <w:kern w:val="0"/>
                <w:sz w:val="24"/>
                <w:szCs w:val="24"/>
              </w:rPr>
            </w:pPr>
            <w:r w:rsidRPr="00BB229F">
              <w:rPr>
                <w:spacing w:val="-3"/>
                <w:kern w:val="0"/>
                <w:sz w:val="24"/>
                <w:szCs w:val="24"/>
              </w:rPr>
              <w:t>Fee Amount</w:t>
            </w:r>
          </w:p>
        </w:tc>
      </w:tr>
      <w:tr w:rsidR="00AA2862" w:rsidRPr="00BB229F" w:rsidTr="00F30430">
        <w:trPr>
          <w:trHeight w:val="1380"/>
        </w:trPr>
        <w:tc>
          <w:tcPr>
            <w:tcW w:w="519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2862" w:rsidRPr="00BB229F" w:rsidRDefault="00AA2862" w:rsidP="00F30430">
            <w:pPr>
              <w:widowControl/>
              <w:jc w:val="both"/>
              <w:rPr>
                <w:spacing w:val="-3"/>
                <w:kern w:val="0"/>
                <w:sz w:val="24"/>
                <w:szCs w:val="24"/>
              </w:rPr>
            </w:pPr>
          </w:p>
          <w:p w:rsidR="00AA2862" w:rsidRPr="00BB229F" w:rsidRDefault="00AA2862" w:rsidP="00F30430">
            <w:pPr>
              <w:widowControl/>
              <w:jc w:val="both"/>
              <w:rPr>
                <w:spacing w:val="-3"/>
                <w:kern w:val="0"/>
                <w:sz w:val="24"/>
                <w:szCs w:val="24"/>
              </w:rPr>
            </w:pPr>
            <w:r w:rsidRPr="00BB229F">
              <w:rPr>
                <w:spacing w:val="-3"/>
                <w:kern w:val="0"/>
                <w:sz w:val="24"/>
                <w:szCs w:val="24"/>
              </w:rPr>
              <w:t>Terrestrial Common Carrier</w:t>
            </w:r>
          </w:p>
          <w:p w:rsidR="00AA2862" w:rsidRPr="00BB229F" w:rsidRDefault="00AA2862" w:rsidP="00F30430">
            <w:pPr>
              <w:widowControl/>
              <w:jc w:val="both"/>
              <w:rPr>
                <w:spacing w:val="-3"/>
                <w:kern w:val="0"/>
                <w:sz w:val="24"/>
                <w:szCs w:val="24"/>
              </w:rPr>
            </w:pPr>
            <w:r w:rsidRPr="00BB229F">
              <w:rPr>
                <w:spacing w:val="-3"/>
                <w:kern w:val="0"/>
                <w:sz w:val="24"/>
                <w:szCs w:val="24"/>
              </w:rPr>
              <w:t>Satellite Common Carrier</w:t>
            </w:r>
          </w:p>
          <w:p w:rsidR="00AA2862" w:rsidRPr="00BB229F" w:rsidRDefault="00AA2862" w:rsidP="00F30430">
            <w:pPr>
              <w:widowControl/>
              <w:jc w:val="both"/>
              <w:rPr>
                <w:spacing w:val="-3"/>
                <w:kern w:val="0"/>
                <w:sz w:val="24"/>
                <w:szCs w:val="24"/>
              </w:rPr>
            </w:pPr>
            <w:r w:rsidRPr="00BB229F">
              <w:rPr>
                <w:spacing w:val="-3"/>
                <w:kern w:val="0"/>
                <w:sz w:val="24"/>
                <w:szCs w:val="24"/>
              </w:rPr>
              <w:t>Satellite Non-Common Carrier</w:t>
            </w:r>
          </w:p>
          <w:p w:rsidR="00AA2862" w:rsidRPr="00BB229F" w:rsidRDefault="00AA2862" w:rsidP="00F30430">
            <w:pPr>
              <w:widowControl/>
              <w:jc w:val="both"/>
              <w:rPr>
                <w:spacing w:val="-3"/>
                <w:kern w:val="0"/>
                <w:sz w:val="24"/>
                <w:szCs w:val="24"/>
              </w:rPr>
            </w:pPr>
          </w:p>
        </w:tc>
        <w:tc>
          <w:tcPr>
            <w:tcW w:w="1659" w:type="dxa"/>
            <w:tcBorders>
              <w:top w:val="nil"/>
              <w:left w:val="nil"/>
              <w:bottom w:val="single" w:sz="8" w:space="0" w:color="auto"/>
              <w:right w:val="single" w:sz="8" w:space="0" w:color="auto"/>
            </w:tcBorders>
            <w:tcMar>
              <w:top w:w="0" w:type="dxa"/>
              <w:left w:w="108" w:type="dxa"/>
              <w:bottom w:w="0" w:type="dxa"/>
              <w:right w:w="108" w:type="dxa"/>
            </w:tcMar>
            <w:vAlign w:val="center"/>
          </w:tcPr>
          <w:p w:rsidR="00AA2862" w:rsidRPr="00BB229F" w:rsidRDefault="00AA2862" w:rsidP="00F30430">
            <w:pPr>
              <w:widowControl/>
              <w:jc w:val="center"/>
              <w:rPr>
                <w:spacing w:val="-3"/>
                <w:kern w:val="0"/>
                <w:sz w:val="24"/>
                <w:szCs w:val="24"/>
              </w:rPr>
            </w:pPr>
            <w:r w:rsidRPr="00BB229F">
              <w:rPr>
                <w:kern w:val="0"/>
                <w:sz w:val="24"/>
                <w:szCs w:val="24"/>
              </w:rPr>
              <w:t>$0.03 per 64 KB Circuit</w:t>
            </w:r>
          </w:p>
        </w:tc>
      </w:tr>
    </w:tbl>
    <w:p w:rsidR="00AA2862" w:rsidRPr="00BB229F" w:rsidRDefault="00AA2862" w:rsidP="00AA2862">
      <w:pPr>
        <w:widowControl/>
        <w:spacing w:after="200" w:line="276" w:lineRule="auto"/>
        <w:rPr>
          <w:kern w:val="0"/>
          <w:szCs w:val="22"/>
        </w:rPr>
      </w:pPr>
    </w:p>
    <w:p w:rsidR="00AA2862" w:rsidRPr="00BB229F" w:rsidRDefault="00AA2862" w:rsidP="00AA2862">
      <w:pPr>
        <w:widowControl/>
        <w:rPr>
          <w:kern w:val="0"/>
          <w:sz w:val="24"/>
          <w:szCs w:val="24"/>
        </w:rPr>
      </w:pPr>
      <w:r w:rsidRPr="00BB229F">
        <w:rPr>
          <w:kern w:val="0"/>
          <w:sz w:val="24"/>
          <w:szCs w:val="24"/>
        </w:rPr>
        <w:t xml:space="preserve">c.         </w:t>
      </w:r>
      <w:r w:rsidRPr="00BB229F">
        <w:rPr>
          <w:i/>
          <w:iCs/>
          <w:kern w:val="0"/>
          <w:sz w:val="24"/>
          <w:szCs w:val="24"/>
        </w:rPr>
        <w:t xml:space="preserve">Submarine cable:  </w:t>
      </w:r>
      <w:r w:rsidRPr="00BB229F">
        <w:rPr>
          <w:kern w:val="0"/>
          <w:sz w:val="24"/>
          <w:szCs w:val="24"/>
        </w:rPr>
        <w:t xml:space="preserve">Regulatory fees for submarine cable systems will be paid annually, per cable landing license, for all submarine cable systems operating as of December 31 of the prior year.  The fee amount will be determined by the Commission for each fiscal year.  </w:t>
      </w:r>
    </w:p>
    <w:p w:rsidR="00AA2862" w:rsidRPr="00BB229F" w:rsidRDefault="00AA2862" w:rsidP="00AA2862">
      <w:pPr>
        <w:widowControl/>
        <w:rPr>
          <w:kern w:val="0"/>
          <w:sz w:val="24"/>
          <w:szCs w:val="24"/>
        </w:rPr>
      </w:pPr>
    </w:p>
    <w:tbl>
      <w:tblPr>
        <w:tblW w:w="6858" w:type="dxa"/>
        <w:tblCellMar>
          <w:left w:w="0" w:type="dxa"/>
          <w:right w:w="0" w:type="dxa"/>
        </w:tblCellMar>
        <w:tblLook w:val="0000" w:firstRow="0" w:lastRow="0" w:firstColumn="0" w:lastColumn="0" w:noHBand="0" w:noVBand="0"/>
      </w:tblPr>
      <w:tblGrid>
        <w:gridCol w:w="4608"/>
        <w:gridCol w:w="2250"/>
      </w:tblGrid>
      <w:tr w:rsidR="00BB229F" w:rsidRPr="00BB229F" w:rsidTr="00F30430">
        <w:trPr>
          <w:trHeight w:val="700"/>
        </w:trPr>
        <w:tc>
          <w:tcPr>
            <w:tcW w:w="46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A2862" w:rsidRPr="00BB229F" w:rsidRDefault="00AA2862" w:rsidP="00F30430">
            <w:pPr>
              <w:widowControl/>
              <w:jc w:val="both"/>
              <w:rPr>
                <w:spacing w:val="-3"/>
                <w:kern w:val="0"/>
                <w:sz w:val="24"/>
                <w:szCs w:val="24"/>
              </w:rPr>
            </w:pPr>
            <w:r w:rsidRPr="00BB229F">
              <w:rPr>
                <w:spacing w:val="-3"/>
                <w:kern w:val="0"/>
                <w:sz w:val="24"/>
                <w:szCs w:val="24"/>
              </w:rPr>
              <w:t>Submarine Cable Systems</w:t>
            </w:r>
          </w:p>
          <w:p w:rsidR="00AA2862" w:rsidRPr="00BB229F" w:rsidRDefault="00AA2862" w:rsidP="00F30430">
            <w:pPr>
              <w:widowControl/>
              <w:jc w:val="both"/>
              <w:rPr>
                <w:spacing w:val="-3"/>
                <w:kern w:val="0"/>
                <w:sz w:val="24"/>
                <w:szCs w:val="24"/>
              </w:rPr>
            </w:pPr>
            <w:r w:rsidRPr="00BB229F">
              <w:rPr>
                <w:kern w:val="0"/>
                <w:sz w:val="24"/>
                <w:szCs w:val="24"/>
              </w:rPr>
              <w:t>(capacity as of Dec. 31, 2016)</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A2862" w:rsidRPr="00BB229F" w:rsidRDefault="00AA2862" w:rsidP="00F30430">
            <w:pPr>
              <w:widowControl/>
              <w:jc w:val="center"/>
              <w:rPr>
                <w:spacing w:val="-3"/>
                <w:kern w:val="0"/>
                <w:sz w:val="24"/>
                <w:szCs w:val="24"/>
              </w:rPr>
            </w:pPr>
            <w:r w:rsidRPr="00BB229F">
              <w:rPr>
                <w:spacing w:val="-3"/>
                <w:kern w:val="0"/>
                <w:sz w:val="24"/>
                <w:szCs w:val="24"/>
              </w:rPr>
              <w:t>Fee Amount</w:t>
            </w:r>
          </w:p>
        </w:tc>
      </w:tr>
      <w:tr w:rsidR="00BB229F" w:rsidRPr="00BB229F" w:rsidTr="00F30430">
        <w:trPr>
          <w:trHeight w:val="1069"/>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2862" w:rsidRPr="00BB229F" w:rsidRDefault="00AA2862" w:rsidP="00F30430">
            <w:pPr>
              <w:widowControl/>
              <w:jc w:val="both"/>
              <w:rPr>
                <w:spacing w:val="-3"/>
                <w:kern w:val="0"/>
                <w:sz w:val="24"/>
                <w:szCs w:val="24"/>
              </w:rPr>
            </w:pPr>
            <w:r w:rsidRPr="00BB229F">
              <w:rPr>
                <w:kern w:val="0"/>
                <w:sz w:val="24"/>
                <w:szCs w:val="24"/>
              </w:rPr>
              <w:t>&lt; 2.5 Gbps</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tcPr>
          <w:p w:rsidR="00AA2862" w:rsidRPr="00BB229F" w:rsidRDefault="00AA2862">
            <w:pPr>
              <w:widowControl/>
              <w:jc w:val="center"/>
              <w:rPr>
                <w:spacing w:val="-3"/>
                <w:kern w:val="0"/>
                <w:sz w:val="24"/>
                <w:szCs w:val="24"/>
              </w:rPr>
            </w:pPr>
            <w:r w:rsidRPr="00BB229F">
              <w:rPr>
                <w:kern w:val="0"/>
                <w:sz w:val="24"/>
                <w:szCs w:val="24"/>
              </w:rPr>
              <w:t>$8,</w:t>
            </w:r>
            <w:r w:rsidR="00DD00A6" w:rsidRPr="00BB229F">
              <w:rPr>
                <w:kern w:val="0"/>
                <w:sz w:val="24"/>
                <w:szCs w:val="24"/>
              </w:rPr>
              <w:t>600</w:t>
            </w:r>
          </w:p>
        </w:tc>
      </w:tr>
      <w:tr w:rsidR="00BB229F" w:rsidRPr="00BB229F" w:rsidTr="00F30430">
        <w:trPr>
          <w:trHeight w:val="1195"/>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2862" w:rsidRPr="00BB229F" w:rsidRDefault="00AA2862" w:rsidP="00F30430">
            <w:pPr>
              <w:widowControl/>
              <w:rPr>
                <w:spacing w:val="-3"/>
                <w:kern w:val="0"/>
                <w:sz w:val="24"/>
                <w:szCs w:val="24"/>
              </w:rPr>
            </w:pPr>
            <w:r w:rsidRPr="00BB229F">
              <w:rPr>
                <w:kern w:val="0"/>
                <w:sz w:val="24"/>
                <w:szCs w:val="24"/>
              </w:rPr>
              <w:t>2.5 Gbps or greater, but less than 5 Gbps</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tcPr>
          <w:p w:rsidR="00AA2862" w:rsidRPr="00BB229F" w:rsidRDefault="00AA2862" w:rsidP="00F30430">
            <w:pPr>
              <w:widowControl/>
              <w:jc w:val="center"/>
              <w:rPr>
                <w:kern w:val="0"/>
                <w:sz w:val="24"/>
                <w:szCs w:val="24"/>
              </w:rPr>
            </w:pPr>
            <w:r w:rsidRPr="00BB229F">
              <w:rPr>
                <w:kern w:val="0"/>
                <w:sz w:val="24"/>
                <w:szCs w:val="24"/>
              </w:rPr>
              <w:t>$1</w:t>
            </w:r>
            <w:r w:rsidR="00DD00A6" w:rsidRPr="00BB229F">
              <w:rPr>
                <w:kern w:val="0"/>
                <w:sz w:val="24"/>
                <w:szCs w:val="24"/>
              </w:rPr>
              <w:t>7</w:t>
            </w:r>
            <w:r w:rsidRPr="00BB229F">
              <w:rPr>
                <w:kern w:val="0"/>
                <w:sz w:val="24"/>
                <w:szCs w:val="24"/>
              </w:rPr>
              <w:t>,</w:t>
            </w:r>
            <w:r w:rsidR="00DD00A6" w:rsidRPr="00BB229F">
              <w:rPr>
                <w:kern w:val="0"/>
                <w:sz w:val="24"/>
                <w:szCs w:val="24"/>
              </w:rPr>
              <w:t>175</w:t>
            </w:r>
          </w:p>
          <w:p w:rsidR="00AA2862" w:rsidRPr="00BB229F" w:rsidRDefault="00AA2862" w:rsidP="00F30430">
            <w:pPr>
              <w:widowControl/>
              <w:jc w:val="center"/>
              <w:rPr>
                <w:spacing w:val="-3"/>
                <w:kern w:val="0"/>
                <w:sz w:val="24"/>
                <w:szCs w:val="24"/>
              </w:rPr>
            </w:pPr>
          </w:p>
        </w:tc>
      </w:tr>
      <w:tr w:rsidR="00BB229F" w:rsidRPr="00BB229F" w:rsidTr="00F30430">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2862" w:rsidRPr="00BB229F" w:rsidRDefault="00AA2862" w:rsidP="00F30430">
            <w:pPr>
              <w:widowControl/>
              <w:rPr>
                <w:spacing w:val="-3"/>
                <w:kern w:val="0"/>
                <w:sz w:val="24"/>
                <w:szCs w:val="24"/>
              </w:rPr>
            </w:pPr>
            <w:r w:rsidRPr="00BB229F">
              <w:rPr>
                <w:kern w:val="0"/>
                <w:sz w:val="24"/>
                <w:szCs w:val="24"/>
              </w:rPr>
              <w:t>5 Gbps or greater, but less than 10 Gbps</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tcPr>
          <w:p w:rsidR="00AA2862" w:rsidRPr="00BB229F" w:rsidRDefault="00AA2862" w:rsidP="00F30430">
            <w:pPr>
              <w:widowControl/>
              <w:jc w:val="center"/>
              <w:rPr>
                <w:kern w:val="0"/>
                <w:sz w:val="24"/>
                <w:szCs w:val="24"/>
              </w:rPr>
            </w:pPr>
            <w:r w:rsidRPr="00BB229F">
              <w:rPr>
                <w:kern w:val="0"/>
                <w:sz w:val="24"/>
                <w:szCs w:val="24"/>
              </w:rPr>
              <w:t>$3</w:t>
            </w:r>
            <w:r w:rsidR="00DD00A6" w:rsidRPr="00BB229F">
              <w:rPr>
                <w:kern w:val="0"/>
                <w:sz w:val="24"/>
                <w:szCs w:val="24"/>
              </w:rPr>
              <w:t>4</w:t>
            </w:r>
            <w:r w:rsidRPr="00BB229F">
              <w:rPr>
                <w:kern w:val="0"/>
                <w:sz w:val="24"/>
                <w:szCs w:val="24"/>
              </w:rPr>
              <w:t>,</w:t>
            </w:r>
            <w:r w:rsidR="00DD00A6" w:rsidRPr="00BB229F">
              <w:rPr>
                <w:kern w:val="0"/>
                <w:sz w:val="24"/>
                <w:szCs w:val="24"/>
              </w:rPr>
              <w:t>350</w:t>
            </w:r>
            <w:r w:rsidRPr="00BB229F">
              <w:rPr>
                <w:kern w:val="0"/>
                <w:sz w:val="24"/>
                <w:szCs w:val="24"/>
              </w:rPr>
              <w:t xml:space="preserve"> </w:t>
            </w:r>
          </w:p>
          <w:p w:rsidR="00AA2862" w:rsidRPr="00BB229F" w:rsidRDefault="00AA2862" w:rsidP="00F30430">
            <w:pPr>
              <w:widowControl/>
              <w:jc w:val="center"/>
              <w:rPr>
                <w:spacing w:val="-3"/>
                <w:kern w:val="0"/>
                <w:sz w:val="24"/>
                <w:szCs w:val="24"/>
              </w:rPr>
            </w:pPr>
          </w:p>
        </w:tc>
      </w:tr>
      <w:tr w:rsidR="00BB229F" w:rsidRPr="00BB229F" w:rsidTr="00F30430">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2862" w:rsidRPr="00BB229F" w:rsidRDefault="00AA2862" w:rsidP="00F30430">
            <w:pPr>
              <w:widowControl/>
              <w:rPr>
                <w:spacing w:val="-3"/>
                <w:kern w:val="0"/>
                <w:sz w:val="24"/>
                <w:szCs w:val="24"/>
              </w:rPr>
            </w:pPr>
            <w:r w:rsidRPr="00BB229F">
              <w:rPr>
                <w:kern w:val="0"/>
                <w:sz w:val="24"/>
                <w:szCs w:val="24"/>
              </w:rPr>
              <w:t>10 Gbps or greater, but less than 20 Gbps</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tcPr>
          <w:p w:rsidR="00AA2862" w:rsidRPr="00BB229F" w:rsidRDefault="00AA2862" w:rsidP="00F30430">
            <w:pPr>
              <w:widowControl/>
              <w:jc w:val="center"/>
              <w:rPr>
                <w:kern w:val="0"/>
                <w:sz w:val="24"/>
                <w:szCs w:val="24"/>
              </w:rPr>
            </w:pPr>
            <w:r w:rsidRPr="00BB229F">
              <w:rPr>
                <w:kern w:val="0"/>
                <w:sz w:val="24"/>
                <w:szCs w:val="24"/>
              </w:rPr>
              <w:t>$6</w:t>
            </w:r>
            <w:r w:rsidR="00DD00A6" w:rsidRPr="00BB229F">
              <w:rPr>
                <w:kern w:val="0"/>
                <w:sz w:val="24"/>
                <w:szCs w:val="24"/>
              </w:rPr>
              <w:t>8</w:t>
            </w:r>
            <w:r w:rsidRPr="00BB229F">
              <w:rPr>
                <w:kern w:val="0"/>
                <w:sz w:val="24"/>
                <w:szCs w:val="24"/>
              </w:rPr>
              <w:t>,</w:t>
            </w:r>
            <w:r w:rsidR="00DD00A6" w:rsidRPr="00BB229F">
              <w:rPr>
                <w:kern w:val="0"/>
                <w:sz w:val="24"/>
                <w:szCs w:val="24"/>
              </w:rPr>
              <w:t>725</w:t>
            </w:r>
            <w:r w:rsidRPr="00BB229F">
              <w:rPr>
                <w:kern w:val="0"/>
                <w:sz w:val="24"/>
                <w:szCs w:val="24"/>
              </w:rPr>
              <w:t xml:space="preserve"> </w:t>
            </w:r>
          </w:p>
          <w:p w:rsidR="00AA2862" w:rsidRPr="00BB229F" w:rsidRDefault="00AA2862" w:rsidP="00F30430">
            <w:pPr>
              <w:widowControl/>
              <w:jc w:val="center"/>
              <w:rPr>
                <w:spacing w:val="-3"/>
                <w:kern w:val="0"/>
                <w:sz w:val="24"/>
                <w:szCs w:val="24"/>
              </w:rPr>
            </w:pPr>
          </w:p>
        </w:tc>
      </w:tr>
      <w:tr w:rsidR="00AA2862" w:rsidRPr="00BB229F" w:rsidTr="00F30430">
        <w:trPr>
          <w:trHeight w:val="682"/>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2862" w:rsidRPr="00BB229F" w:rsidRDefault="00AA2862" w:rsidP="00F30430">
            <w:pPr>
              <w:widowControl/>
              <w:rPr>
                <w:kern w:val="0"/>
                <w:sz w:val="24"/>
                <w:szCs w:val="24"/>
              </w:rPr>
            </w:pPr>
            <w:r w:rsidRPr="00BB229F">
              <w:rPr>
                <w:kern w:val="0"/>
                <w:sz w:val="24"/>
                <w:szCs w:val="24"/>
              </w:rPr>
              <w:t>20 Gbps or greater</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tcPr>
          <w:p w:rsidR="00AA2862" w:rsidRPr="00BB229F" w:rsidRDefault="00AA2862" w:rsidP="00F30430">
            <w:pPr>
              <w:widowControl/>
              <w:jc w:val="center"/>
              <w:rPr>
                <w:kern w:val="0"/>
                <w:sz w:val="24"/>
                <w:szCs w:val="24"/>
              </w:rPr>
            </w:pPr>
            <w:r w:rsidRPr="00BB229F">
              <w:rPr>
                <w:kern w:val="0"/>
                <w:sz w:val="24"/>
                <w:szCs w:val="24"/>
              </w:rPr>
              <w:t>$13</w:t>
            </w:r>
            <w:r w:rsidR="003E1C13" w:rsidRPr="00BB229F">
              <w:rPr>
                <w:kern w:val="0"/>
                <w:sz w:val="24"/>
                <w:szCs w:val="24"/>
              </w:rPr>
              <w:t>7</w:t>
            </w:r>
            <w:r w:rsidRPr="00BB229F">
              <w:rPr>
                <w:kern w:val="0"/>
                <w:sz w:val="24"/>
                <w:szCs w:val="24"/>
              </w:rPr>
              <w:t>,</w:t>
            </w:r>
            <w:r w:rsidR="003E1C13" w:rsidRPr="00BB229F">
              <w:rPr>
                <w:kern w:val="0"/>
                <w:sz w:val="24"/>
                <w:szCs w:val="24"/>
              </w:rPr>
              <w:t>425</w:t>
            </w:r>
            <w:r w:rsidRPr="00BB229F">
              <w:rPr>
                <w:kern w:val="0"/>
                <w:sz w:val="24"/>
                <w:szCs w:val="24"/>
              </w:rPr>
              <w:t xml:space="preserve"> </w:t>
            </w:r>
          </w:p>
          <w:p w:rsidR="00AA2862" w:rsidRPr="00BB229F" w:rsidRDefault="00AA2862" w:rsidP="00F30430">
            <w:pPr>
              <w:widowControl/>
              <w:jc w:val="center"/>
              <w:rPr>
                <w:spacing w:val="-3"/>
                <w:kern w:val="0"/>
                <w:sz w:val="24"/>
                <w:szCs w:val="24"/>
              </w:rPr>
            </w:pPr>
          </w:p>
        </w:tc>
      </w:tr>
    </w:tbl>
    <w:p w:rsidR="00AA2862" w:rsidRPr="00BB229F" w:rsidRDefault="00AA2862" w:rsidP="00AA2862"/>
    <w:p w:rsidR="00AA2862" w:rsidRPr="00BB229F" w:rsidRDefault="00AA2862" w:rsidP="00AA2862"/>
    <w:p w:rsidR="00BC457D" w:rsidRDefault="00797C13" w:rsidP="005367F8">
      <w:pPr>
        <w:widowControl/>
        <w:spacing w:after="160" w:line="259" w:lineRule="auto"/>
      </w:pPr>
      <w:r>
        <w:br w:type="page"/>
      </w:r>
    </w:p>
    <w:p w:rsidR="00797C13" w:rsidRPr="006D6074" w:rsidRDefault="00797C13" w:rsidP="00797C13">
      <w:pPr>
        <w:jc w:val="center"/>
        <w:rPr>
          <w:b/>
          <w:caps/>
        </w:rPr>
      </w:pPr>
      <w:r w:rsidRPr="006D6074">
        <w:rPr>
          <w:b/>
          <w:caps/>
        </w:rPr>
        <w:t>Statement of Commissioner Michael O’Rielly</w:t>
      </w:r>
    </w:p>
    <w:p w:rsidR="00797C13" w:rsidRPr="006D6074" w:rsidRDefault="00797C13" w:rsidP="00797C13">
      <w:pPr>
        <w:jc w:val="center"/>
        <w:rPr>
          <w:b/>
          <w:caps/>
        </w:rPr>
      </w:pPr>
      <w:r w:rsidRPr="006D6074">
        <w:rPr>
          <w:b/>
          <w:caps/>
        </w:rPr>
        <w:t>Approving in Part and Dissenting in Part</w:t>
      </w:r>
    </w:p>
    <w:p w:rsidR="00797C13" w:rsidRPr="006D6074" w:rsidRDefault="00797C13" w:rsidP="00797C13"/>
    <w:p w:rsidR="00797C13" w:rsidRPr="006D6074" w:rsidRDefault="00797C13" w:rsidP="00797C13">
      <w:pPr>
        <w:rPr>
          <w:i/>
          <w:spacing w:val="-2"/>
        </w:rPr>
      </w:pPr>
      <w:r w:rsidRPr="006D6074">
        <w:rPr>
          <w:i/>
        </w:rPr>
        <w:t>Re:</w:t>
      </w:r>
      <w:r w:rsidRPr="006D6074">
        <w:rPr>
          <w:i/>
        </w:rPr>
        <w:tab/>
        <w:t xml:space="preserve">Assessment and Collection of Regulatory Fees for Fiscal Year 2017, Report and Order and Further Notice of Proposed Rulemaking, </w:t>
      </w:r>
      <w:r w:rsidRPr="006D6074">
        <w:rPr>
          <w:i/>
          <w:spacing w:val="-2"/>
        </w:rPr>
        <w:t>MD Docket No. 17-134.</w:t>
      </w:r>
    </w:p>
    <w:p w:rsidR="00797C13" w:rsidRPr="006D6074" w:rsidRDefault="00797C13" w:rsidP="00797C13"/>
    <w:p w:rsidR="00797C13" w:rsidRPr="006D6074" w:rsidRDefault="00797C13" w:rsidP="00797C13">
      <w:pPr>
        <w:ind w:firstLine="720"/>
      </w:pPr>
      <w:r w:rsidRPr="006D6074">
        <w:t>It is my longstanding view that the Commission’s actions should be supported by facts and quantitative data (as well as the law).  Such information should provide the foundation for any decision, whether justifying the adoption or elimination of rules, adjudicatory outcomes, cost-benefit analyses, or other Commission findings.  The need also extends to the Commission’s imposition of regulatory fees.  As some of the decisions in today’s item are not adequately supported by sufficient data, I must respectfully dissent in part.</w:t>
      </w:r>
    </w:p>
    <w:p w:rsidR="00797C13" w:rsidRPr="006D6074" w:rsidRDefault="00797C13" w:rsidP="00797C13"/>
    <w:p w:rsidR="00797C13" w:rsidRPr="006D6074" w:rsidRDefault="00797C13" w:rsidP="00797C13">
      <w:pPr>
        <w:ind w:firstLine="720"/>
      </w:pPr>
      <w:r w:rsidRPr="006D6074">
        <w:t>The statute and Commission precedent states that the Commission shall recover the costs of its regulatory activities, and these fees should be derived by determining the full-time equivalent number of employees (FTEs) performing the various activities.</w:t>
      </w:r>
      <w:r w:rsidRPr="006D6074">
        <w:rPr>
          <w:rStyle w:val="FootnoteReference"/>
        </w:rPr>
        <w:footnoteReference w:id="399"/>
      </w:r>
      <w:r w:rsidRPr="006D6074">
        <w:t xml:space="preserve">  Under section 9, the Commission is required  “to take into account factors that are reasonably related to the benefits provided to the payor of the fee by the Commission</w:t>
      </w:r>
      <w:r>
        <w:t>’</w:t>
      </w:r>
      <w:r w:rsidRPr="006D6074">
        <w:t>s activities,”</w:t>
      </w:r>
      <w:r w:rsidRPr="006D6074">
        <w:rPr>
          <w:rStyle w:val="FootnoteReference"/>
        </w:rPr>
        <w:footnoteReference w:id="400"/>
      </w:r>
      <w:r w:rsidRPr="006D6074">
        <w:t xml:space="preserve"> and any changes to the fee schedule are supposed to be accompanied by substantial analysis demonstrating that the redistribution of fees is appropriate.</w:t>
      </w:r>
      <w:r w:rsidRPr="006D6074">
        <w:rPr>
          <w:rStyle w:val="FootnoteReference"/>
        </w:rPr>
        <w:footnoteReference w:id="401"/>
      </w:r>
    </w:p>
    <w:p w:rsidR="00797C13" w:rsidRPr="006D6074" w:rsidRDefault="00797C13" w:rsidP="00797C13"/>
    <w:p w:rsidR="00797C13" w:rsidRPr="006D6074" w:rsidRDefault="00797C13" w:rsidP="00797C13">
      <w:pPr>
        <w:ind w:firstLine="720"/>
      </w:pPr>
      <w:r w:rsidRPr="006D6074">
        <w:t xml:space="preserve">Today’s item, however, does not attempt to perform such a calculation or analysis to support the decision to reassign 38 FTEs for non-high-cost universal service fund (USF) regulatory activities from the Wireline Competition Bureau (WCB) to </w:t>
      </w:r>
      <w:r>
        <w:t>“</w:t>
      </w:r>
      <w:r w:rsidRPr="006D6074">
        <w:t>indirect,</w:t>
      </w:r>
      <w:r>
        <w:t>”</w:t>
      </w:r>
      <w:r w:rsidRPr="006D6074">
        <w:t xml:space="preserve"> meaning that the cost of these programs with be borne by all Commission licensees.  While I understand that these activities, such as E-Rate, Lifeline, and Rural Healthcare, may now affect more than just traditional wireline entities, there is no attempt to analyze how these costs should appropriately be partitioned.  For instance, it is hard to fathom why broadcasters or submarine cable authorization holders should pay these fees.  I also find it hard to believe that satellite licensees should bear an equal share of these costs.  While some reallocation of these FTEs may be justified, there is little support for the item’s assertion that these costs should be paid by all sectors and doesn’t attempt to compare the number of employees in WCB, the Wireless Telecommunications Bureau, Media Bureau, and International Bureau who are working on these issues.  I would hope that we will reconsider this decision in the future.  </w:t>
      </w:r>
    </w:p>
    <w:p w:rsidR="00797C13" w:rsidRPr="006D6074" w:rsidRDefault="00797C13" w:rsidP="00797C13"/>
    <w:p w:rsidR="00797C13" w:rsidRPr="006D6074" w:rsidRDefault="00797C13" w:rsidP="00797C13">
      <w:pPr>
        <w:ind w:firstLine="720"/>
      </w:pPr>
      <w:r w:rsidRPr="006D6074">
        <w:t xml:space="preserve">Similarly, there is insufficient analysis supporting the changes to the AM/FM broadcast fee schedule.  While I am very sympathetic to the challenges faced by small broadcasters, the statutory requirement is that the Commission generally allocate the costs of the regulations that we impose.  However, today’s item does not seek to determine the burdens of the past year’s regulations, but instead reduces the fees for small businesses, in a year when many proceedings were rightfully initiated to review (and reduce) their burdens, as a type of small business discount.  While perhaps well-intentioned, this is not consistent with the statute.  As an aside, had the justification been tied to the need to right size past inequities or errors in the fees charged these entities, I could see some merit but that isn’t contemplated here.  </w:t>
      </w:r>
    </w:p>
    <w:p w:rsidR="00797C13" w:rsidRPr="006D6074" w:rsidRDefault="00797C13" w:rsidP="00797C13"/>
    <w:p w:rsidR="00797C13" w:rsidRPr="006D6074" w:rsidRDefault="00797C13" w:rsidP="00797C13">
      <w:pPr>
        <w:ind w:firstLine="720"/>
      </w:pPr>
      <w:r w:rsidRPr="006D6074">
        <w:t xml:space="preserve">Finally, I will hesitantly support the increase in this year’s DBS regulatory fees to support the work that the Media Bureau performs on behalf of all multichannel video programming distributors (MVPDs).  The proceedings initiated over the last year did cover DBS activities and the amount that the DBS providers will pay this year seems in the ballpark.  Going forward, however, I expect far more analysis to support any additional increases.  Clearly, some believe that DBS providers should pay an equal share of the Media Bureau’s costs to regulate MVPDs.  The cable industry, however, is far more regulated than DBS (and more than necessary), so future increases should be accompanied by detailed analyses of all services the Media Bureau provides MVPDs and how these burdens affect both cable and DBS providers.  </w:t>
      </w:r>
    </w:p>
    <w:p w:rsidR="00AA2862" w:rsidRPr="00BB229F" w:rsidRDefault="00AA2862" w:rsidP="00B1305D">
      <w:pPr>
        <w:pStyle w:val="ParaNum"/>
        <w:numPr>
          <w:ilvl w:val="0"/>
          <w:numId w:val="0"/>
        </w:numPr>
        <w:tabs>
          <w:tab w:val="num" w:pos="1440"/>
        </w:tabs>
        <w:ind w:firstLine="720"/>
      </w:pPr>
    </w:p>
    <w:sectPr w:rsidR="00AA2862" w:rsidRPr="00BB229F" w:rsidSect="0055614C">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4E1" w:rsidRDefault="008234E1">
      <w:pPr>
        <w:spacing w:line="20" w:lineRule="exact"/>
      </w:pPr>
    </w:p>
  </w:endnote>
  <w:endnote w:type="continuationSeparator" w:id="0">
    <w:p w:rsidR="008234E1" w:rsidRDefault="008234E1">
      <w:r>
        <w:t xml:space="preserve"> </w:t>
      </w:r>
    </w:p>
  </w:endnote>
  <w:endnote w:type="continuationNotice" w:id="1">
    <w:p w:rsidR="008234E1" w:rsidRDefault="008234E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imes New Roman Italic">
    <w:panose1 w:val="02020503050405090304"/>
    <w:charset w:val="00"/>
    <w:family w:val="auto"/>
    <w:pitch w:val="variable"/>
    <w:sig w:usb0="E0000AFF" w:usb1="00007843" w:usb2="0000000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044" w:rsidRDefault="008E10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347183"/>
      <w:docPartObj>
        <w:docPartGallery w:val="Page Numbers (Bottom of Page)"/>
        <w:docPartUnique/>
      </w:docPartObj>
    </w:sdtPr>
    <w:sdtEndPr>
      <w:rPr>
        <w:noProof/>
      </w:rPr>
    </w:sdtEndPr>
    <w:sdtContent>
      <w:p w:rsidR="0031180A" w:rsidRDefault="0031180A" w:rsidP="00313B2D">
        <w:pPr>
          <w:pStyle w:val="Footer"/>
          <w:jc w:val="center"/>
        </w:pPr>
        <w:r>
          <w:fldChar w:fldCharType="begin"/>
        </w:r>
        <w:r>
          <w:instrText xml:space="preserve"> PAGE   \* MERGEFORMAT </w:instrText>
        </w:r>
        <w:r>
          <w:fldChar w:fldCharType="separate"/>
        </w:r>
        <w:r w:rsidR="002A22B8">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044" w:rsidRDefault="008E1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4E1" w:rsidRDefault="008234E1">
      <w:r>
        <w:separator/>
      </w:r>
    </w:p>
  </w:footnote>
  <w:footnote w:type="continuationSeparator" w:id="0">
    <w:p w:rsidR="008234E1" w:rsidRDefault="008234E1" w:rsidP="00C721AC">
      <w:pPr>
        <w:spacing w:before="120"/>
        <w:rPr>
          <w:sz w:val="20"/>
        </w:rPr>
      </w:pPr>
      <w:r>
        <w:rPr>
          <w:sz w:val="20"/>
        </w:rPr>
        <w:t xml:space="preserve">(Continued from previous page)  </w:t>
      </w:r>
      <w:r>
        <w:rPr>
          <w:sz w:val="20"/>
        </w:rPr>
        <w:separator/>
      </w:r>
    </w:p>
  </w:footnote>
  <w:footnote w:type="continuationNotice" w:id="1">
    <w:p w:rsidR="008234E1" w:rsidRDefault="008234E1" w:rsidP="00C721AC">
      <w:pPr>
        <w:jc w:val="right"/>
        <w:rPr>
          <w:sz w:val="20"/>
        </w:rPr>
      </w:pPr>
      <w:r>
        <w:rPr>
          <w:sz w:val="20"/>
        </w:rPr>
        <w:t>(continued….)</w:t>
      </w:r>
    </w:p>
  </w:footnote>
  <w:footnote w:id="2">
    <w:p w:rsidR="0031180A" w:rsidRDefault="0031180A" w:rsidP="00061880">
      <w:pPr>
        <w:pStyle w:val="FootnoteText"/>
      </w:pPr>
      <w:r>
        <w:rPr>
          <w:rStyle w:val="FootnoteReference"/>
        </w:rPr>
        <w:footnoteRef/>
      </w:r>
      <w:r>
        <w:t xml:space="preserve"> </w:t>
      </w:r>
      <w:r w:rsidRPr="00D14282">
        <w:t>47 U.S.C. § 159. Consolidated Appropriations Act, 201</w:t>
      </w:r>
      <w:r>
        <w:t xml:space="preserve">7, Division E – Financial Services and General Government Appropriations Act, 2017, Title V – Independent Agencies, Public Law 115-31 (May 5, 2017), available at </w:t>
      </w:r>
      <w:hyperlink r:id="rId1" w:history="1">
        <w:r w:rsidRPr="00A30E1B">
          <w:rPr>
            <w:rStyle w:val="Hyperlink"/>
          </w:rPr>
          <w:t>https://www.congress.gov/bill/115th-congress/house-bill/244/text</w:t>
        </w:r>
      </w:hyperlink>
      <w:r>
        <w:t xml:space="preserve">.  </w:t>
      </w:r>
      <w:r w:rsidRPr="00D14282">
        <w:rPr>
          <w:szCs w:val="22"/>
        </w:rPr>
        <w:t xml:space="preserve">  </w:t>
      </w:r>
    </w:p>
  </w:footnote>
  <w:footnote w:id="3">
    <w:p w:rsidR="0031180A" w:rsidRDefault="0031180A" w:rsidP="00061880">
      <w:pPr>
        <w:pStyle w:val="FootnoteText"/>
      </w:pPr>
      <w:r>
        <w:rPr>
          <w:rStyle w:val="FootnoteReference"/>
        </w:rPr>
        <w:footnoteRef/>
      </w:r>
      <w:r>
        <w:t xml:space="preserve"> </w:t>
      </w:r>
      <w:r w:rsidRPr="00140793">
        <w:rPr>
          <w:i/>
        </w:rPr>
        <w:t>Assessment and Collection of Regulatory Fees for Fiscal Year 201</w:t>
      </w:r>
      <w:r>
        <w:rPr>
          <w:i/>
        </w:rPr>
        <w:t>7</w:t>
      </w:r>
      <w:r>
        <w:t>, Notice of Proposed Rulemaking, 32</w:t>
      </w:r>
      <w:r w:rsidRPr="00C31D3A">
        <w:t xml:space="preserve"> </w:t>
      </w:r>
      <w:r>
        <w:t xml:space="preserve">FCC Rcd 4526 </w:t>
      </w:r>
      <w:r w:rsidRPr="00C31D3A">
        <w:t>(201</w:t>
      </w:r>
      <w:r>
        <w:t>7) (</w:t>
      </w:r>
      <w:r w:rsidRPr="00140793">
        <w:rPr>
          <w:i/>
        </w:rPr>
        <w:t>FY 201</w:t>
      </w:r>
      <w:r>
        <w:rPr>
          <w:i/>
        </w:rPr>
        <w:t>7</w:t>
      </w:r>
      <w:r w:rsidRPr="00140793">
        <w:rPr>
          <w:i/>
        </w:rPr>
        <w:t xml:space="preserve"> NPRM</w:t>
      </w:r>
      <w:r>
        <w:t>).</w:t>
      </w:r>
    </w:p>
  </w:footnote>
  <w:footnote w:id="4">
    <w:p w:rsidR="0031180A" w:rsidRPr="00790B92" w:rsidRDefault="0031180A" w:rsidP="00061880">
      <w:pPr>
        <w:pStyle w:val="FootnoteText"/>
      </w:pPr>
      <w:r w:rsidRPr="00790B92">
        <w:rPr>
          <w:rStyle w:val="FootnoteReference"/>
        </w:rPr>
        <w:footnoteRef/>
      </w:r>
      <w:r>
        <w:t xml:space="preserve"> 47 U.S.C. § 159</w:t>
      </w:r>
      <w:r w:rsidRPr="00790B92">
        <w:t>(g) (showing original fee schedule prior to Commission amendment).</w:t>
      </w:r>
    </w:p>
  </w:footnote>
  <w:footnote w:id="5">
    <w:p w:rsidR="0031180A" w:rsidRPr="00790B92" w:rsidRDefault="0031180A" w:rsidP="00061880">
      <w:pPr>
        <w:pStyle w:val="FootnoteText"/>
      </w:pPr>
      <w:r w:rsidRPr="00790B92">
        <w:rPr>
          <w:rStyle w:val="FootnoteReference"/>
        </w:rPr>
        <w:footnoteRef/>
      </w:r>
      <w:r w:rsidRPr="00790B92">
        <w:t xml:space="preserve"> 47 U.S.C. § 159</w:t>
      </w:r>
      <w:r>
        <w:t>.</w:t>
      </w:r>
    </w:p>
  </w:footnote>
  <w:footnote w:id="6">
    <w:p w:rsidR="0031180A" w:rsidRDefault="0031180A" w:rsidP="00061880">
      <w:pPr>
        <w:pStyle w:val="FootnoteText"/>
      </w:pPr>
      <w:r>
        <w:rPr>
          <w:rStyle w:val="FootnoteReference"/>
        </w:rPr>
        <w:footnoteRef/>
      </w:r>
      <w:r>
        <w:t xml:space="preserve"> 47 U.S.C. § 159(b)(1)(B).</w:t>
      </w:r>
      <w:r w:rsidRPr="00FE24D5">
        <w:t xml:space="preserve"> </w:t>
      </w:r>
      <w:r>
        <w:t xml:space="preserve"> </w:t>
      </w:r>
    </w:p>
  </w:footnote>
  <w:footnote w:id="7">
    <w:p w:rsidR="0031180A" w:rsidRPr="00790B92" w:rsidRDefault="0031180A" w:rsidP="00061880">
      <w:pPr>
        <w:pStyle w:val="FootnoteText"/>
      </w:pPr>
      <w:r w:rsidRPr="00790B92">
        <w:rPr>
          <w:rStyle w:val="FootnoteReference"/>
        </w:rPr>
        <w:footnoteRef/>
      </w:r>
      <w:r w:rsidRPr="00790B92">
        <w:t xml:space="preserve"> 47 U.S.C. § 159(b)(2).</w:t>
      </w:r>
    </w:p>
  </w:footnote>
  <w:footnote w:id="8">
    <w:p w:rsidR="0031180A" w:rsidRPr="00790B92" w:rsidRDefault="0031180A" w:rsidP="00061880">
      <w:pPr>
        <w:pStyle w:val="FootnoteText"/>
      </w:pPr>
      <w:r w:rsidRPr="00790B92">
        <w:rPr>
          <w:rStyle w:val="FootnoteReference"/>
        </w:rPr>
        <w:footnoteRef/>
      </w:r>
      <w:r w:rsidRPr="00790B92">
        <w:t xml:space="preserve"> 47 U.S.C. § 159(b)(1)(A).  </w:t>
      </w:r>
    </w:p>
  </w:footnote>
  <w:footnote w:id="9">
    <w:p w:rsidR="0031180A" w:rsidRPr="00A1103B" w:rsidRDefault="0031180A" w:rsidP="001A2363">
      <w:pPr>
        <w:pStyle w:val="FootnoteText"/>
      </w:pPr>
      <w:r w:rsidRPr="00A1103B">
        <w:rPr>
          <w:rStyle w:val="FootnoteReference"/>
        </w:rPr>
        <w:footnoteRef/>
      </w:r>
      <w:r>
        <w:t xml:space="preserve"> </w:t>
      </w:r>
      <w:r w:rsidRPr="00453F64">
        <w:rPr>
          <w:i/>
        </w:rPr>
        <w:t>Assessment and Collection of Regulatory Fees for Fiscal Year 2004</w:t>
      </w:r>
      <w:r>
        <w:t xml:space="preserve">, Report and Order, </w:t>
      </w:r>
      <w:r w:rsidRPr="00A1103B">
        <w:t xml:space="preserve">19 FCC Rcd </w:t>
      </w:r>
      <w:r>
        <w:t xml:space="preserve">11662, </w:t>
      </w:r>
      <w:r w:rsidRPr="00A1103B">
        <w:t>11666, para. 11</w:t>
      </w:r>
      <w:r>
        <w:t xml:space="preserve"> (2004) (</w:t>
      </w:r>
      <w:r w:rsidRPr="00A1103B">
        <w:rPr>
          <w:i/>
        </w:rPr>
        <w:t>FY 2004 Report and Order</w:t>
      </w:r>
      <w:r>
        <w:t>)</w:t>
      </w:r>
      <w:r w:rsidRPr="00A1103B">
        <w:t xml:space="preserve">.  For example, governmental and nonprofit entities are exempt from regulatory fees under section 9(h) </w:t>
      </w:r>
      <w:r>
        <w:t>of the Act.  47 U.S.C. § 159(h);</w:t>
      </w:r>
      <w:r w:rsidRPr="00F7118E">
        <w:t xml:space="preserve"> </w:t>
      </w:r>
      <w:r>
        <w:t xml:space="preserve">47 CFR </w:t>
      </w:r>
      <w:r w:rsidRPr="00A1103B">
        <w:t>§</w:t>
      </w:r>
      <w:r>
        <w:t xml:space="preserve"> 1.1162.</w:t>
      </w:r>
    </w:p>
  </w:footnote>
  <w:footnote w:id="10">
    <w:p w:rsidR="0031180A" w:rsidRDefault="0031180A" w:rsidP="001A2363">
      <w:pPr>
        <w:pStyle w:val="FootnoteText"/>
      </w:pPr>
      <w:r>
        <w:rPr>
          <w:rStyle w:val="FootnoteReference"/>
        </w:rPr>
        <w:footnoteRef/>
      </w:r>
      <w:r>
        <w:t xml:space="preserve"> 47 CFR </w:t>
      </w:r>
      <w:r w:rsidRPr="00A1103B">
        <w:t>§</w:t>
      </w:r>
      <w:r>
        <w:t xml:space="preserve"> 1.1166.</w:t>
      </w:r>
    </w:p>
  </w:footnote>
  <w:footnote w:id="11">
    <w:p w:rsidR="0031180A" w:rsidRDefault="0031180A" w:rsidP="00B30932">
      <w:pPr>
        <w:pStyle w:val="FootnoteText"/>
      </w:pPr>
      <w:r>
        <w:rPr>
          <w:rStyle w:val="FootnoteReference"/>
        </w:rPr>
        <w:footnoteRef/>
      </w:r>
      <w:r>
        <w:t xml:space="preserve"> O</w:t>
      </w:r>
      <w:r w:rsidRPr="006A303E">
        <w:t>ne FTE</w:t>
      </w:r>
      <w:r>
        <w:t>, a “Full Time Equivalent” or “Full Time Employee,”</w:t>
      </w:r>
      <w:r w:rsidRPr="006A303E">
        <w:t xml:space="preserve"> is a unit of measure equal to the wo</w:t>
      </w:r>
      <w:r>
        <w:t>rk performed annually by a full-</w:t>
      </w:r>
      <w:r w:rsidRPr="006A303E">
        <w:t>ti</w:t>
      </w:r>
      <w:r>
        <w:t>me</w:t>
      </w:r>
      <w:r w:rsidRPr="006A303E">
        <w:t xml:space="preserve"> person </w:t>
      </w:r>
      <w:r>
        <w:t xml:space="preserve">(working a 40 hour workweek for a full year) </w:t>
      </w:r>
      <w:r w:rsidRPr="006A303E">
        <w:t>assigned to the particular</w:t>
      </w:r>
      <w:r>
        <w:t xml:space="preserve"> job</w:t>
      </w:r>
      <w:r w:rsidRPr="006A303E">
        <w:t>, and subject to agency personnel staffing limitations established by the U.S. Office of Management and Budget</w:t>
      </w:r>
      <w:r>
        <w:t>.</w:t>
      </w:r>
    </w:p>
  </w:footnote>
  <w:footnote w:id="12">
    <w:p w:rsidR="0031180A" w:rsidRPr="00790B92" w:rsidRDefault="0031180A" w:rsidP="00061880">
      <w:pPr>
        <w:pStyle w:val="FootnoteText"/>
      </w:pPr>
      <w:r w:rsidRPr="00790B92">
        <w:rPr>
          <w:rStyle w:val="FootnoteReference"/>
        </w:rPr>
        <w:footnoteRef/>
      </w:r>
      <w:r w:rsidRPr="00790B92">
        <w:t xml:space="preserve"> Section 9(b)(2) discusses mandatory amendments to the fee schedule and Section 9(b)(3) discusses permissive amendments to the fee schedule.  Both mandatory and permissive amendments are not subject to judicial review. 47 U.S.C. §§ 159(b)(2) and (3).</w:t>
      </w:r>
    </w:p>
  </w:footnote>
  <w:footnote w:id="13">
    <w:p w:rsidR="0031180A" w:rsidRPr="00A1103B" w:rsidRDefault="0031180A" w:rsidP="00061880">
      <w:pPr>
        <w:pStyle w:val="FootnoteText"/>
      </w:pPr>
      <w:r w:rsidRPr="00A1103B">
        <w:rPr>
          <w:rStyle w:val="FootnoteReference"/>
        </w:rPr>
        <w:footnoteRef/>
      </w:r>
      <w:r w:rsidRPr="00A1103B">
        <w:t xml:space="preserve"> 47 U.S.C. § 159(b)(1)(A).</w:t>
      </w:r>
      <w:r w:rsidRPr="00905784">
        <w:rPr>
          <w:szCs w:val="22"/>
        </w:rPr>
        <w:t xml:space="preserve"> </w:t>
      </w:r>
      <w:r>
        <w:rPr>
          <w:szCs w:val="22"/>
        </w:rPr>
        <w:t xml:space="preserve"> </w:t>
      </w:r>
      <w:r w:rsidRPr="00754D4D">
        <w:rPr>
          <w:szCs w:val="22"/>
        </w:rPr>
        <w:t xml:space="preserve">When section 9 was adopted, the total FTEs were to be calculated based on the number of FTEs in the Private Radio Bureau, Mass Media Bureau, and Common Carrier Bureau.  </w:t>
      </w:r>
      <w:r>
        <w:rPr>
          <w:szCs w:val="22"/>
        </w:rPr>
        <w:t xml:space="preserve">(The names of these bureaus were subsequently changed.)  </w:t>
      </w:r>
      <w:r w:rsidRPr="00754D4D">
        <w:rPr>
          <w:szCs w:val="22"/>
        </w:rPr>
        <w:t>Satellites</w:t>
      </w:r>
      <w:r>
        <w:rPr>
          <w:szCs w:val="22"/>
        </w:rPr>
        <w:t xml:space="preserve">, earth stations, </w:t>
      </w:r>
      <w:r w:rsidRPr="00754D4D">
        <w:rPr>
          <w:szCs w:val="22"/>
        </w:rPr>
        <w:t xml:space="preserve">and </w:t>
      </w:r>
      <w:r>
        <w:rPr>
          <w:szCs w:val="22"/>
        </w:rPr>
        <w:t>international bearer circuits</w:t>
      </w:r>
      <w:r w:rsidRPr="00754D4D">
        <w:rPr>
          <w:szCs w:val="22"/>
        </w:rPr>
        <w:t xml:space="preserve"> were regulated through the Common Carrier Bureau before the International Bureau was created.  </w:t>
      </w:r>
    </w:p>
  </w:footnote>
  <w:footnote w:id="14">
    <w:p w:rsidR="0031180A" w:rsidRPr="00A1103B" w:rsidRDefault="0031180A" w:rsidP="00061880">
      <w:pPr>
        <w:pStyle w:val="FootnoteText"/>
      </w:pPr>
      <w:r w:rsidRPr="00A1103B">
        <w:rPr>
          <w:rStyle w:val="FootnoteReference"/>
        </w:rPr>
        <w:footnoteRef/>
      </w:r>
      <w:r w:rsidRPr="00A1103B">
        <w:t xml:space="preserve"> </w:t>
      </w:r>
      <w:r>
        <w:t xml:space="preserve">As of September 2016, for regulatory fee purposes, </w:t>
      </w:r>
      <w:r w:rsidRPr="009F43F9">
        <w:t>excluding auctions-funded FTEs</w:t>
      </w:r>
      <w:r>
        <w:t xml:space="preserve">, the direct FTEs are Wireline Bureau (167); Media Bureau (141); Wireless Bureau (92); and International Bureau (24), for a total of 424 direct FTEs.  </w:t>
      </w:r>
      <w:r w:rsidRPr="00A1103B">
        <w:t xml:space="preserve">The indirect </w:t>
      </w:r>
      <w:r>
        <w:t xml:space="preserve">FTEs, for regulatory fee purposes, non-auctions-funded, </w:t>
      </w:r>
      <w:r w:rsidRPr="00A1103B">
        <w:t xml:space="preserve">are from the </w:t>
      </w:r>
      <w:r>
        <w:t xml:space="preserve">International Bureau (81), </w:t>
      </w:r>
      <w:r w:rsidRPr="00A1103B">
        <w:t>Enforcement Bureau</w:t>
      </w:r>
      <w:r>
        <w:t xml:space="preserve"> (237)</w:t>
      </w:r>
      <w:r w:rsidRPr="00A1103B">
        <w:t xml:space="preserve">, Consumer </w:t>
      </w:r>
      <w:r>
        <w:t>&amp;</w:t>
      </w:r>
      <w:r w:rsidRPr="00A1103B">
        <w:t xml:space="preserve"> Governmental Affairs Bureau</w:t>
      </w:r>
      <w:r>
        <w:t xml:space="preserve"> (148)</w:t>
      </w:r>
      <w:r w:rsidRPr="00A1103B">
        <w:t xml:space="preserve">, Public Safety </w:t>
      </w:r>
      <w:r>
        <w:t>&amp;</w:t>
      </w:r>
      <w:r w:rsidRPr="00A1103B">
        <w:t xml:space="preserve"> Homeland Security Bureau</w:t>
      </w:r>
      <w:r>
        <w:t xml:space="preserve"> (101)</w:t>
      </w:r>
      <w:r w:rsidRPr="00A1103B">
        <w:t>, Chairman and Commissioners’ offices</w:t>
      </w:r>
      <w:r>
        <w:t xml:space="preserve"> (21)</w:t>
      </w:r>
      <w:r w:rsidRPr="00A1103B">
        <w:t xml:space="preserve">, Office of </w:t>
      </w:r>
      <w:r>
        <w:t xml:space="preserve">the </w:t>
      </w:r>
      <w:r w:rsidRPr="00A1103B">
        <w:t>Managing Director</w:t>
      </w:r>
      <w:r>
        <w:t xml:space="preserve"> (159)</w:t>
      </w:r>
      <w:r w:rsidRPr="00A1103B">
        <w:t>, Office of General Counsel</w:t>
      </w:r>
      <w:r>
        <w:t xml:space="preserve"> (77)</w:t>
      </w:r>
      <w:r w:rsidRPr="00A1103B">
        <w:t>, Office of the Inspector General</w:t>
      </w:r>
      <w:r>
        <w:t xml:space="preserve"> (43)</w:t>
      </w:r>
      <w:r w:rsidRPr="00A1103B">
        <w:t>, Office of Communications Business Opportunities</w:t>
      </w:r>
      <w:r>
        <w:t xml:space="preserve"> (9)</w:t>
      </w:r>
      <w:r w:rsidRPr="00A1103B">
        <w:t>, Office of Engineering and Technology</w:t>
      </w:r>
      <w:r>
        <w:t xml:space="preserve"> (78)</w:t>
      </w:r>
      <w:r w:rsidRPr="00A1103B">
        <w:t>, Office of Legislative Affairs</w:t>
      </w:r>
      <w:r>
        <w:t xml:space="preserve"> (11)</w:t>
      </w:r>
      <w:r w:rsidRPr="00A1103B">
        <w:t>, Office of Strategic Planning and Policy Analysis</w:t>
      </w:r>
      <w:r>
        <w:t xml:space="preserve"> (19)</w:t>
      </w:r>
      <w:r w:rsidRPr="00A1103B">
        <w:t xml:space="preserve">, </w:t>
      </w:r>
      <w:r>
        <w:t>O</w:t>
      </w:r>
      <w:r w:rsidRPr="00A1103B">
        <w:t>ffice of Workplace Diversity</w:t>
      </w:r>
      <w:r>
        <w:t xml:space="preserve"> (3)</w:t>
      </w:r>
      <w:r w:rsidRPr="00A1103B">
        <w:t xml:space="preserve">, </w:t>
      </w:r>
      <w:r>
        <w:t>Office of Media Relations (16), and Office of Administrative Law Judges (4), totaling 1,007</w:t>
      </w:r>
      <w:r w:rsidRPr="00246F55">
        <w:t xml:space="preserve"> indirect</w:t>
      </w:r>
      <w:r>
        <w:t xml:space="preserve"> F</w:t>
      </w:r>
      <w:r w:rsidRPr="00A1103B">
        <w:t>TEs.</w:t>
      </w:r>
      <w:r>
        <w:t xml:space="preserve">  The total direct and indirect FTEs number 1,431.</w:t>
      </w:r>
      <w:r w:rsidRPr="00A1103B">
        <w:t xml:space="preserve">  </w:t>
      </w:r>
    </w:p>
  </w:footnote>
  <w:footnote w:id="15">
    <w:p w:rsidR="0031180A" w:rsidRPr="00A1103B" w:rsidRDefault="0031180A" w:rsidP="00061880">
      <w:pPr>
        <w:pStyle w:val="FootnoteText"/>
      </w:pPr>
      <w:r w:rsidRPr="00A1103B">
        <w:rPr>
          <w:rStyle w:val="FootnoteReference"/>
        </w:rPr>
        <w:footnoteRef/>
      </w:r>
      <w:r w:rsidRPr="00A1103B">
        <w:t xml:space="preserve"> </w:t>
      </w:r>
      <w:r w:rsidRPr="00C82293">
        <w:rPr>
          <w:i/>
        </w:rPr>
        <w:t>S</w:t>
      </w:r>
      <w:r w:rsidRPr="0088462E">
        <w:rPr>
          <w:i/>
        </w:rPr>
        <w:t xml:space="preserve">ee </w:t>
      </w:r>
      <w:r>
        <w:rPr>
          <w:i/>
        </w:rPr>
        <w:t xml:space="preserve">Procedures for </w:t>
      </w:r>
      <w:r w:rsidRPr="00A1103B">
        <w:rPr>
          <w:i/>
        </w:rPr>
        <w:t>Assessment and Collection of Regulatory Fees</w:t>
      </w:r>
      <w:r w:rsidRPr="00A1103B">
        <w:t>, Notice of Proposed Rulemaking, 27 FCC Rcd 8458</w:t>
      </w:r>
      <w:r>
        <w:t>, 8461-62, paras. 8-11</w:t>
      </w:r>
      <w:r w:rsidRPr="00A1103B">
        <w:t xml:space="preserve"> (2012) (</w:t>
      </w:r>
      <w:r w:rsidRPr="00A1103B">
        <w:rPr>
          <w:i/>
        </w:rPr>
        <w:t>FY 2012 NPRM</w:t>
      </w:r>
      <w:r w:rsidRPr="00A1103B">
        <w:t>).</w:t>
      </w:r>
      <w:r w:rsidRPr="00B16900">
        <w:rPr>
          <w:i/>
        </w:rPr>
        <w:t xml:space="preserve"> </w:t>
      </w:r>
      <w:r>
        <w:t xml:space="preserve"> </w:t>
      </w:r>
    </w:p>
  </w:footnote>
  <w:footnote w:id="16">
    <w:p w:rsidR="0031180A" w:rsidRPr="00790B92" w:rsidRDefault="0031180A" w:rsidP="00061880">
      <w:pPr>
        <w:pStyle w:val="FootnoteText"/>
      </w:pPr>
      <w:r w:rsidRPr="00790B92">
        <w:rPr>
          <w:rStyle w:val="FootnoteReference"/>
        </w:rPr>
        <w:footnoteRef/>
      </w:r>
      <w:r w:rsidRPr="00790B92">
        <w:t xml:space="preserve"> </w:t>
      </w:r>
      <w:r w:rsidRPr="00790B92">
        <w:rPr>
          <w:i/>
        </w:rPr>
        <w:t>See Assessment and Collection of Regulatory Fees for Fiscal Year 2008</w:t>
      </w:r>
      <w:r w:rsidRPr="00790B92">
        <w:t>, MD Docket No. 08-65, Report and Order and Further Notice of Proposed Rulemaking, 24 FCC Rcd 6388 (2008) (</w:t>
      </w:r>
      <w:r w:rsidRPr="00790B92">
        <w:rPr>
          <w:i/>
        </w:rPr>
        <w:t>FY 2008 Further Notice</w:t>
      </w:r>
      <w:r w:rsidRPr="00790B92">
        <w:t>).</w:t>
      </w:r>
    </w:p>
  </w:footnote>
  <w:footnote w:id="17">
    <w:p w:rsidR="0031180A" w:rsidRDefault="0031180A" w:rsidP="00B158AA">
      <w:pPr>
        <w:pStyle w:val="FootnoteText"/>
      </w:pPr>
      <w:r>
        <w:rPr>
          <w:rStyle w:val="FootnoteReference"/>
        </w:rPr>
        <w:footnoteRef/>
      </w:r>
      <w:r>
        <w:t xml:space="preserve"> </w:t>
      </w:r>
      <w:r w:rsidRPr="0039251C">
        <w:rPr>
          <w:i/>
        </w:rPr>
        <w:t>Assessment and Collection of</w:t>
      </w:r>
      <w:r>
        <w:t xml:space="preserve"> </w:t>
      </w:r>
      <w:r w:rsidRPr="001163F6">
        <w:rPr>
          <w:i/>
        </w:rPr>
        <w:t>Regulatory Fees for Fiscal Year 201</w:t>
      </w:r>
      <w:r>
        <w:rPr>
          <w:i/>
        </w:rPr>
        <w:t>3</w:t>
      </w:r>
      <w:r w:rsidRPr="0039251C">
        <w:t>,</w:t>
      </w:r>
      <w:r>
        <w:rPr>
          <w:i/>
        </w:rPr>
        <w:t xml:space="preserve"> </w:t>
      </w:r>
      <w:r>
        <w:t>Report and Order, 28 FCC Rcd 12351, 12354-58, paras. 10-20 (2013) (</w:t>
      </w:r>
      <w:r w:rsidRPr="00290BC5">
        <w:rPr>
          <w:i/>
        </w:rPr>
        <w:t>FY 2013 Report and Order</w:t>
      </w:r>
      <w:r>
        <w:t>)</w:t>
      </w:r>
      <w:r w:rsidRPr="00A1103B">
        <w:t>.</w:t>
      </w:r>
      <w:r w:rsidRPr="003216AF">
        <w:rPr>
          <w:szCs w:val="22"/>
        </w:rPr>
        <w:t xml:space="preserve"> </w:t>
      </w:r>
      <w:r>
        <w:rPr>
          <w:szCs w:val="22"/>
        </w:rPr>
        <w:t xml:space="preserve"> The Commission now updates the FTE allocations annually.  This wa</w:t>
      </w:r>
      <w:r w:rsidRPr="00590524">
        <w:rPr>
          <w:szCs w:val="22"/>
        </w:rPr>
        <w:t>s recommended in a report issued by the Government Accountability Office (GAO) in 2012</w:t>
      </w:r>
      <w:r>
        <w:t xml:space="preserve">.  </w:t>
      </w:r>
      <w:r w:rsidRPr="003833AB">
        <w:rPr>
          <w:i/>
        </w:rPr>
        <w:t>See</w:t>
      </w:r>
      <w:r>
        <w:t xml:space="preserve"> </w:t>
      </w:r>
      <w:r w:rsidRPr="00DB334D">
        <w:t>GAO “Federal Communications Commission Regulatory Fee Process Needs to be Updated,” GAO-12-686</w:t>
      </w:r>
      <w:r>
        <w:t xml:space="preserve"> (Aug. 2012) (GAO Report) at 36</w:t>
      </w:r>
      <w:r w:rsidRPr="00DB334D">
        <w:t xml:space="preserve"> (</w:t>
      </w:r>
      <w:r w:rsidRPr="00940E2F">
        <w:t>available at</w:t>
      </w:r>
      <w:r w:rsidRPr="00DB334D">
        <w:t xml:space="preserve"> </w:t>
      </w:r>
      <w:hyperlink r:id="rId2" w:tgtFrame="_blank" w:history="1">
        <w:r w:rsidRPr="000761C8">
          <w:rPr>
            <w:snapToGrid w:val="0"/>
            <w:color w:val="0000FF"/>
            <w:kern w:val="28"/>
            <w:u w:val="single"/>
          </w:rPr>
          <w:t>http://www.gao.gov/products/GAO-12-686</w:t>
        </w:r>
      </w:hyperlink>
      <w:r w:rsidRPr="00CE7493">
        <w:rPr>
          <w:snapToGrid w:val="0"/>
          <w:color w:val="0000FF"/>
          <w:kern w:val="28"/>
        </w:rPr>
        <w:t>).</w:t>
      </w:r>
    </w:p>
  </w:footnote>
  <w:footnote w:id="18">
    <w:p w:rsidR="0031180A" w:rsidRPr="00195BC6" w:rsidRDefault="0031180A" w:rsidP="00B158AA">
      <w:pPr>
        <w:pStyle w:val="FootnoteText"/>
      </w:pPr>
      <w:r>
        <w:rPr>
          <w:rStyle w:val="FootnoteReference"/>
        </w:rPr>
        <w:footnoteRef/>
      </w:r>
      <w:r>
        <w:t xml:space="preserve"> </w:t>
      </w:r>
      <w:r w:rsidRPr="00DD64CF">
        <w:rPr>
          <w:i/>
        </w:rPr>
        <w:t>FY 201</w:t>
      </w:r>
      <w:r>
        <w:rPr>
          <w:i/>
        </w:rPr>
        <w:t>3</w:t>
      </w:r>
      <w:r w:rsidRPr="00DD64CF">
        <w:rPr>
          <w:i/>
        </w:rPr>
        <w:t xml:space="preserve"> Report and </w:t>
      </w:r>
      <w:r w:rsidRPr="00290BC5">
        <w:t>Order</w:t>
      </w:r>
      <w:r>
        <w:t xml:space="preserve">, </w:t>
      </w:r>
      <w:r w:rsidRPr="00290BC5">
        <w:t>28</w:t>
      </w:r>
      <w:r>
        <w:t xml:space="preserve"> FCC Rcd at 12355-58, paras. 13-20.</w:t>
      </w:r>
    </w:p>
  </w:footnote>
  <w:footnote w:id="19">
    <w:p w:rsidR="0031180A" w:rsidRPr="00E813B3" w:rsidRDefault="0031180A" w:rsidP="00061880">
      <w:pPr>
        <w:pStyle w:val="FootnoteText"/>
      </w:pPr>
      <w:r w:rsidRPr="00AE4531">
        <w:rPr>
          <w:vertAlign w:val="superscript"/>
        </w:rPr>
        <w:footnoteRef/>
      </w:r>
      <w:r>
        <w:t xml:space="preserve"> </w:t>
      </w:r>
      <w:r w:rsidRPr="00C662FD">
        <w:rPr>
          <w:i/>
        </w:rPr>
        <w:t>Id.</w:t>
      </w:r>
      <w:r>
        <w:t>, 28 FCC Rcd at 12361-62, paras. 29-31.</w:t>
      </w:r>
    </w:p>
  </w:footnote>
  <w:footnote w:id="20">
    <w:p w:rsidR="0031180A" w:rsidRPr="00E813B3" w:rsidRDefault="0031180A" w:rsidP="00061880">
      <w:pPr>
        <w:pStyle w:val="FootnoteText"/>
      </w:pPr>
      <w:r>
        <w:rPr>
          <w:rStyle w:val="FootnoteReference"/>
        </w:rPr>
        <w:footnoteRef/>
      </w:r>
      <w:r>
        <w:t xml:space="preserve"> </w:t>
      </w:r>
      <w:r>
        <w:rPr>
          <w:i/>
        </w:rPr>
        <w:t>Id.</w:t>
      </w:r>
      <w:r>
        <w:t>, 28 FCC Rcd at 12362-63, paras. 32-33.</w:t>
      </w:r>
    </w:p>
  </w:footnote>
  <w:footnote w:id="21">
    <w:p w:rsidR="0031180A" w:rsidRDefault="0031180A" w:rsidP="00B158AA">
      <w:pPr>
        <w:pStyle w:val="FootnoteText"/>
      </w:pPr>
      <w:r>
        <w:rPr>
          <w:rStyle w:val="FootnoteReference"/>
        </w:rPr>
        <w:footnoteRef/>
      </w:r>
      <w:r>
        <w:t xml:space="preserve"> The ITSP category includes interexchange carriers (IXCs), incumbent local exchange carriers, toll resellers, and other IXC service providers.</w:t>
      </w:r>
    </w:p>
  </w:footnote>
  <w:footnote w:id="22">
    <w:p w:rsidR="0031180A" w:rsidRDefault="0031180A" w:rsidP="00061880">
      <w:pPr>
        <w:pStyle w:val="FootnoteText"/>
      </w:pPr>
      <w:r>
        <w:rPr>
          <w:rStyle w:val="FootnoteReference"/>
        </w:rPr>
        <w:footnoteRef/>
      </w:r>
      <w:r>
        <w:t xml:space="preserve"> </w:t>
      </w:r>
      <w:r w:rsidRPr="001163F6">
        <w:rPr>
          <w:i/>
        </w:rPr>
        <w:t>Assessment and Collection of Regulatory Fees for Fiscal Year 201</w:t>
      </w:r>
      <w:r>
        <w:rPr>
          <w:i/>
        </w:rPr>
        <w:t>4</w:t>
      </w:r>
      <w:r>
        <w:t>, Report and Order and Further Notice of Proposed Rulemaking, 29 FCC Rcd 10767, 10777-79, paras. 25-28 (2014) (</w:t>
      </w:r>
      <w:r w:rsidRPr="004A18A6">
        <w:rPr>
          <w:i/>
        </w:rPr>
        <w:t>F</w:t>
      </w:r>
      <w:r>
        <w:rPr>
          <w:i/>
        </w:rPr>
        <w:t>Y 2014 Report and Order</w:t>
      </w:r>
      <w:r w:rsidRPr="008D4923">
        <w:t>)</w:t>
      </w:r>
      <w:r>
        <w:t>.</w:t>
      </w:r>
    </w:p>
  </w:footnote>
  <w:footnote w:id="23">
    <w:p w:rsidR="0031180A" w:rsidRPr="00654529" w:rsidRDefault="0031180A" w:rsidP="00061880">
      <w:pPr>
        <w:pStyle w:val="FootnoteText"/>
      </w:pPr>
      <w:r>
        <w:rPr>
          <w:rStyle w:val="FootnoteReference"/>
        </w:rPr>
        <w:footnoteRef/>
      </w:r>
      <w:r>
        <w:t xml:space="preserve"> </w:t>
      </w:r>
      <w:r w:rsidRPr="004A18A6">
        <w:rPr>
          <w:i/>
        </w:rPr>
        <w:t>F</w:t>
      </w:r>
      <w:r>
        <w:rPr>
          <w:i/>
        </w:rPr>
        <w:t>Y 2014 Report and Order</w:t>
      </w:r>
      <w:r>
        <w:t xml:space="preserve">, 29 FCC Rcd at 10774-76, paras. 18-21.  </w:t>
      </w:r>
    </w:p>
  </w:footnote>
  <w:footnote w:id="24">
    <w:p w:rsidR="0031180A" w:rsidRDefault="0031180A" w:rsidP="00061880">
      <w:pPr>
        <w:pStyle w:val="FootnoteText"/>
      </w:pPr>
      <w:r>
        <w:rPr>
          <w:rStyle w:val="FootnoteReference"/>
        </w:rPr>
        <w:footnoteRef/>
      </w:r>
      <w:r>
        <w:t xml:space="preserve"> </w:t>
      </w:r>
      <w:r w:rsidRPr="00F27781">
        <w:rPr>
          <w:i/>
        </w:rPr>
        <w:t>Id</w:t>
      </w:r>
      <w:r>
        <w:t xml:space="preserve">., 29 FCC Rcd at 10776-77, paras. 22-24.  </w:t>
      </w:r>
    </w:p>
  </w:footnote>
  <w:footnote w:id="25">
    <w:p w:rsidR="0031180A" w:rsidRPr="00B010F2" w:rsidRDefault="0031180A">
      <w:pPr>
        <w:pStyle w:val="FootnoteText"/>
      </w:pPr>
      <w:r>
        <w:rPr>
          <w:rStyle w:val="FootnoteReference"/>
        </w:rPr>
        <w:footnoteRef/>
      </w:r>
      <w:r>
        <w:t xml:space="preserve"> </w:t>
      </w:r>
      <w:r w:rsidRPr="001163F6">
        <w:rPr>
          <w:i/>
        </w:rPr>
        <w:t>Assessment and Collection of Regulatory Fees for Fiscal Year 201</w:t>
      </w:r>
      <w:r>
        <w:rPr>
          <w:i/>
        </w:rPr>
        <w:t>5</w:t>
      </w:r>
      <w:r>
        <w:t>, Report and Order and Further Notice of Proposed Rulemaking, 30 FCC Rcd 10268, 10273, para. 12 (2015) (</w:t>
      </w:r>
      <w:r w:rsidRPr="004A18A6">
        <w:rPr>
          <w:i/>
        </w:rPr>
        <w:t>F</w:t>
      </w:r>
      <w:r>
        <w:rPr>
          <w:i/>
        </w:rPr>
        <w:t>Y 2015 Report and Order</w:t>
      </w:r>
      <w:r>
        <w:t>).</w:t>
      </w:r>
    </w:p>
  </w:footnote>
  <w:footnote w:id="26">
    <w:p w:rsidR="0031180A" w:rsidRDefault="0031180A" w:rsidP="003B38FB">
      <w:pPr>
        <w:pStyle w:val="FootnoteText"/>
      </w:pPr>
      <w:r>
        <w:rPr>
          <w:rStyle w:val="FootnoteReference"/>
        </w:rPr>
        <w:footnoteRef/>
      </w:r>
      <w:r>
        <w:t xml:space="preserve"> </w:t>
      </w:r>
      <w:r w:rsidRPr="003B38FB">
        <w:rPr>
          <w:i/>
        </w:rPr>
        <w:t>FY 2015 Report and Order</w:t>
      </w:r>
      <w:r>
        <w:t>, 30 FCC Rcd at 10276-77, paras. 19-20.</w:t>
      </w:r>
    </w:p>
  </w:footnote>
  <w:footnote w:id="27">
    <w:p w:rsidR="0031180A" w:rsidRDefault="0031180A" w:rsidP="003B38FB">
      <w:pPr>
        <w:pStyle w:val="FootnoteText"/>
      </w:pPr>
      <w:r>
        <w:rPr>
          <w:rStyle w:val="FootnoteReference"/>
        </w:rPr>
        <w:footnoteRef/>
      </w:r>
      <w:r>
        <w:t xml:space="preserve"> </w:t>
      </w:r>
      <w:r w:rsidRPr="00EF5426">
        <w:rPr>
          <w:i/>
        </w:rPr>
        <w:t>Id.</w:t>
      </w:r>
      <w:r>
        <w:t>, 30 FCC Rcd at 10271-72, para. 9.</w:t>
      </w:r>
    </w:p>
  </w:footnote>
  <w:footnote w:id="28">
    <w:p w:rsidR="0031180A" w:rsidRDefault="0031180A" w:rsidP="003B38FB">
      <w:pPr>
        <w:pStyle w:val="FootnoteText"/>
      </w:pPr>
      <w:r>
        <w:rPr>
          <w:rStyle w:val="FootnoteReference"/>
        </w:rPr>
        <w:footnoteRef/>
      </w:r>
      <w:r>
        <w:t xml:space="preserve"> </w:t>
      </w:r>
      <w:r w:rsidRPr="005C7C00">
        <w:rPr>
          <w:i/>
        </w:rPr>
        <w:t>Id.</w:t>
      </w:r>
      <w:r>
        <w:t xml:space="preserve">, 30 FCC Rcd at 10278, para. 24.  The Commission also, in the </w:t>
      </w:r>
      <w:r w:rsidRPr="00E23F21">
        <w:rPr>
          <w:i/>
        </w:rPr>
        <w:t>FY 2015 NPRM and Report and Order</w:t>
      </w:r>
      <w:r>
        <w:t xml:space="preserve">, eliminated two fee categories.  </w:t>
      </w:r>
      <w:r w:rsidRPr="00E23F21">
        <w:rPr>
          <w:i/>
        </w:rPr>
        <w:t xml:space="preserve">See </w:t>
      </w:r>
      <w:r w:rsidRPr="001163F6">
        <w:rPr>
          <w:i/>
        </w:rPr>
        <w:t>Assessment and Collection of Regulatory Fees for Fiscal Year 201</w:t>
      </w:r>
      <w:r>
        <w:rPr>
          <w:i/>
        </w:rPr>
        <w:t>5</w:t>
      </w:r>
      <w:r>
        <w:t>, Notice of Proposed Rulemaking, Report and Order, and Order, 30 FCC Rcd 5354, 5361-62, paras. 19-22 (2015) (</w:t>
      </w:r>
      <w:r w:rsidRPr="004A18A6">
        <w:rPr>
          <w:i/>
        </w:rPr>
        <w:t>F</w:t>
      </w:r>
      <w:r>
        <w:rPr>
          <w:i/>
        </w:rPr>
        <w:t>Y 2015 NPRM and Report and Order</w:t>
      </w:r>
      <w:r w:rsidRPr="00901949">
        <w:t>)</w:t>
      </w:r>
      <w:r>
        <w:rPr>
          <w:i/>
        </w:rPr>
        <w:t>.</w:t>
      </w:r>
    </w:p>
  </w:footnote>
  <w:footnote w:id="29">
    <w:p w:rsidR="0031180A" w:rsidRPr="00565E15" w:rsidRDefault="0031180A" w:rsidP="00B158AA">
      <w:pPr>
        <w:pStyle w:val="FootnoteText"/>
      </w:pPr>
      <w:r w:rsidRPr="00565E15">
        <w:rPr>
          <w:rStyle w:val="FootnoteReference"/>
        </w:rPr>
        <w:footnoteRef/>
      </w:r>
      <w:r w:rsidRPr="00565E15">
        <w:t xml:space="preserve"> </w:t>
      </w:r>
      <w:r w:rsidRPr="00565E15">
        <w:rPr>
          <w:i/>
        </w:rPr>
        <w:t>Assessment and Collection of Regulatory Fees for Fiscal Year 2016</w:t>
      </w:r>
      <w:r w:rsidRPr="00565E15">
        <w:t>, Report and Order, 31 FCC Rcd 10339, 10350-51, paras. 31-33 (2016) (</w:t>
      </w:r>
      <w:r w:rsidRPr="00565E15">
        <w:rPr>
          <w:i/>
        </w:rPr>
        <w:t>FY 2016 Report and Order</w:t>
      </w:r>
      <w:r w:rsidRPr="00565E15">
        <w:t>).</w:t>
      </w:r>
    </w:p>
  </w:footnote>
  <w:footnote w:id="30">
    <w:p w:rsidR="0031180A" w:rsidRPr="00565E15" w:rsidRDefault="0031180A" w:rsidP="00B158AA">
      <w:pPr>
        <w:pStyle w:val="FootnoteText"/>
      </w:pPr>
      <w:r w:rsidRPr="00565E15">
        <w:rPr>
          <w:rStyle w:val="FootnoteReference"/>
        </w:rPr>
        <w:footnoteRef/>
      </w:r>
      <w:r w:rsidRPr="00565E15">
        <w:t xml:space="preserve"> </w:t>
      </w:r>
      <w:r w:rsidRPr="00565E15">
        <w:rPr>
          <w:i/>
        </w:rPr>
        <w:t xml:space="preserve">FY 2016 Report and Order, </w:t>
      </w:r>
      <w:r w:rsidRPr="00565E15">
        <w:t>31 FCC Rcd at 10347-350, paras. 25-30.</w:t>
      </w:r>
    </w:p>
  </w:footnote>
  <w:footnote w:id="31">
    <w:p w:rsidR="0031180A" w:rsidRPr="00565E15" w:rsidRDefault="0031180A" w:rsidP="00B158AA">
      <w:pPr>
        <w:pStyle w:val="FootnoteText"/>
      </w:pPr>
      <w:r w:rsidRPr="00565E15">
        <w:rPr>
          <w:rStyle w:val="FootnoteReference"/>
        </w:rPr>
        <w:footnoteRef/>
      </w:r>
      <w:r w:rsidRPr="00565E15">
        <w:t xml:space="preserve"> </w:t>
      </w:r>
      <w:r>
        <w:rPr>
          <w:i/>
        </w:rPr>
        <w:t>Id.</w:t>
      </w:r>
      <w:r w:rsidRPr="00565E15">
        <w:t>, 31 FCC Rcd at 10341, para. 7.</w:t>
      </w:r>
    </w:p>
  </w:footnote>
  <w:footnote w:id="32">
    <w:p w:rsidR="0031180A" w:rsidRDefault="0031180A" w:rsidP="00061880">
      <w:pPr>
        <w:pStyle w:val="FootnoteText"/>
      </w:pPr>
      <w:r>
        <w:rPr>
          <w:rStyle w:val="FootnoteReference"/>
        </w:rPr>
        <w:footnoteRef/>
      </w:r>
      <w:r>
        <w:t xml:space="preserve"> Commenters to the </w:t>
      </w:r>
      <w:r w:rsidRPr="00000661">
        <w:rPr>
          <w:i/>
        </w:rPr>
        <w:t>FY 201</w:t>
      </w:r>
      <w:r>
        <w:rPr>
          <w:i/>
        </w:rPr>
        <w:t>7</w:t>
      </w:r>
      <w:r w:rsidRPr="00000661">
        <w:rPr>
          <w:i/>
        </w:rPr>
        <w:t xml:space="preserve"> NPRM</w:t>
      </w:r>
      <w:r>
        <w:t xml:space="preserve"> are listed in Appendix </w:t>
      </w:r>
      <w:r w:rsidRPr="00AA2862">
        <w:t>A.</w:t>
      </w:r>
      <w:r w:rsidRPr="00601436">
        <w:t xml:space="preserve"> </w:t>
      </w:r>
      <w:r>
        <w:t xml:space="preserve"> </w:t>
      </w:r>
    </w:p>
  </w:footnote>
  <w:footnote w:id="33">
    <w:p w:rsidR="0031180A" w:rsidRDefault="0031180A" w:rsidP="00EE0EE9">
      <w:pPr>
        <w:pStyle w:val="FootnoteText"/>
      </w:pPr>
      <w:r>
        <w:rPr>
          <w:rStyle w:val="FootnoteReference"/>
        </w:rPr>
        <w:footnoteRef/>
      </w:r>
      <w:r>
        <w:t xml:space="preserve"> </w:t>
      </w:r>
      <w:r w:rsidRPr="00D14282">
        <w:t>47 U.S.C. § 159. Consolidated Appropriations Act, 201</w:t>
      </w:r>
      <w:r>
        <w:t xml:space="preserve">7, Division E – Financial Services and General Government Appropriations Act, 2017, Title V – Independent Agencies, Public Law 115-31 (May 5, 2017), available at </w:t>
      </w:r>
      <w:hyperlink r:id="rId3" w:history="1">
        <w:r w:rsidRPr="00A30E1B">
          <w:rPr>
            <w:rStyle w:val="Hyperlink"/>
          </w:rPr>
          <w:t>https://www.congress.gov/bill/115th-congress/house-bill/244/text</w:t>
        </w:r>
      </w:hyperlink>
      <w:r>
        <w:t xml:space="preserve">.  </w:t>
      </w:r>
      <w:r w:rsidRPr="00D14282">
        <w:rPr>
          <w:szCs w:val="22"/>
        </w:rPr>
        <w:t xml:space="preserve">  </w:t>
      </w:r>
    </w:p>
  </w:footnote>
  <w:footnote w:id="34">
    <w:p w:rsidR="0031180A" w:rsidRDefault="0031180A" w:rsidP="00061880">
      <w:pPr>
        <w:pStyle w:val="FootnoteText"/>
      </w:pPr>
      <w:r>
        <w:rPr>
          <w:rStyle w:val="FootnoteReference"/>
        </w:rPr>
        <w:footnoteRef/>
      </w:r>
      <w:r>
        <w:t xml:space="preserve"> </w:t>
      </w:r>
      <w:r w:rsidRPr="000842AE">
        <w:rPr>
          <w:szCs w:val="22"/>
        </w:rPr>
        <w:t>Section</w:t>
      </w:r>
      <w:r w:rsidRPr="001144AB">
        <w:rPr>
          <w:szCs w:val="22"/>
        </w:rPr>
        <w:t xml:space="preserve"> 9 regulatory fees are mandated by Congress and collected to recover the regulatory costs associated with the Commission’s enforcement, policy and rulemaking, user information, and international activities</w:t>
      </w:r>
      <w:r>
        <w:rPr>
          <w:szCs w:val="22"/>
        </w:rPr>
        <w:t>.</w:t>
      </w:r>
      <w:r w:rsidRPr="00745D9D">
        <w:rPr>
          <w:color w:val="000000"/>
        </w:rPr>
        <w:t xml:space="preserve"> </w:t>
      </w:r>
      <w:r w:rsidRPr="00A1103B">
        <w:rPr>
          <w:color w:val="000000"/>
        </w:rPr>
        <w:t>47 U.S.C. § 159(a).</w:t>
      </w:r>
      <w:r>
        <w:rPr>
          <w:color w:val="000000"/>
        </w:rPr>
        <w:t xml:space="preserve">    </w:t>
      </w:r>
    </w:p>
  </w:footnote>
  <w:footnote w:id="35">
    <w:p w:rsidR="0031180A" w:rsidRDefault="0031180A" w:rsidP="00061880">
      <w:pPr>
        <w:pStyle w:val="FootnoteText"/>
      </w:pPr>
      <w:r>
        <w:rPr>
          <w:rStyle w:val="FootnoteReference"/>
        </w:rPr>
        <w:footnoteRef/>
      </w:r>
      <w:r>
        <w:t xml:space="preserve"> Includes satellites, earth stations, and international bearer circuits (submarine cable systems and satellite and terrestrial bearer circuits).</w:t>
      </w:r>
    </w:p>
  </w:footnote>
  <w:footnote w:id="36">
    <w:p w:rsidR="0031180A" w:rsidRDefault="0031180A" w:rsidP="00061880">
      <w:pPr>
        <w:pStyle w:val="FootnoteText"/>
      </w:pPr>
      <w:r>
        <w:rPr>
          <w:rStyle w:val="FootnoteReference"/>
        </w:rPr>
        <w:footnoteRef/>
      </w:r>
      <w:r>
        <w:t xml:space="preserve"> Includes Commercial Mobile Radio Service (CMRS), CMRS messaging, Broadband Radio Service/Local Multipoint Distribution Service (BRS/LMDS), and multi-year wireless licensees.</w:t>
      </w:r>
    </w:p>
  </w:footnote>
  <w:footnote w:id="37">
    <w:p w:rsidR="0031180A" w:rsidRDefault="0031180A" w:rsidP="00061880">
      <w:pPr>
        <w:pStyle w:val="FootnoteText"/>
      </w:pPr>
      <w:r>
        <w:rPr>
          <w:rStyle w:val="FootnoteReference"/>
        </w:rPr>
        <w:footnoteRef/>
      </w:r>
      <w:r>
        <w:t xml:space="preserve"> Includes ITSP and toll free numbers.</w:t>
      </w:r>
    </w:p>
  </w:footnote>
  <w:footnote w:id="38">
    <w:p w:rsidR="0031180A" w:rsidRDefault="0031180A" w:rsidP="00061880">
      <w:pPr>
        <w:pStyle w:val="FootnoteText"/>
      </w:pPr>
      <w:r>
        <w:rPr>
          <w:rStyle w:val="FootnoteReference"/>
        </w:rPr>
        <w:footnoteRef/>
      </w:r>
      <w:r>
        <w:t xml:space="preserve"> Includes AM radio, FM radio, television (including low power and Class A), TV/FM translators and boosters, cable television and IPTV, DBS, and Cable Television Relay Service (CARS) licenses.  </w:t>
      </w:r>
    </w:p>
  </w:footnote>
  <w:footnote w:id="39">
    <w:p w:rsidR="0031180A" w:rsidRPr="00565E15" w:rsidRDefault="0031180A" w:rsidP="00B051D7">
      <w:pPr>
        <w:pStyle w:val="FootnoteText"/>
      </w:pPr>
      <w:r w:rsidRPr="00565E15">
        <w:rPr>
          <w:rStyle w:val="FootnoteReference"/>
        </w:rPr>
        <w:footnoteRef/>
      </w:r>
      <w:r w:rsidRPr="00565E15">
        <w:t xml:space="preserve"> 47 U.S.C. § 159(b)(1)(A).</w:t>
      </w:r>
    </w:p>
  </w:footnote>
  <w:footnote w:id="40">
    <w:p w:rsidR="0031180A" w:rsidRPr="00565E15" w:rsidRDefault="0031180A" w:rsidP="00B051D7">
      <w:pPr>
        <w:pStyle w:val="FootnoteText"/>
      </w:pPr>
      <w:r w:rsidRPr="00565E15">
        <w:rPr>
          <w:rStyle w:val="FootnoteReference"/>
        </w:rPr>
        <w:footnoteRef/>
      </w:r>
      <w:r w:rsidRPr="00565E15">
        <w:t xml:space="preserve"> </w:t>
      </w:r>
      <w:r w:rsidRPr="00565E15">
        <w:rPr>
          <w:i/>
        </w:rPr>
        <w:t>FY 2013 Report and Order</w:t>
      </w:r>
      <w:r w:rsidRPr="00565E15">
        <w:t xml:space="preserve">, 28 FCC Rcd at 12357, para. 19.  The Commission observed that the International Bureau was a “singular case” because the work of those FTEs “primarily benefits licensees regulated by other bureaus.”  </w:t>
      </w:r>
      <w:r w:rsidRPr="00565E15">
        <w:rPr>
          <w:i/>
        </w:rPr>
        <w:t>Id</w:t>
      </w:r>
      <w:r w:rsidRPr="00565E15">
        <w:t>., 28 FCC Rcd at 12355, para. 14.</w:t>
      </w:r>
    </w:p>
  </w:footnote>
  <w:footnote w:id="41">
    <w:p w:rsidR="0031180A" w:rsidRPr="00565E15" w:rsidRDefault="0031180A" w:rsidP="00E74218">
      <w:pPr>
        <w:pStyle w:val="FootnoteText"/>
      </w:pPr>
      <w:r w:rsidRPr="00565E15">
        <w:rPr>
          <w:rStyle w:val="FootnoteReference"/>
        </w:rPr>
        <w:footnoteRef/>
      </w:r>
      <w:r w:rsidRPr="00565E15">
        <w:t xml:space="preserve"> </w:t>
      </w:r>
      <w:r w:rsidRPr="00565E15">
        <w:rPr>
          <w:i/>
        </w:rPr>
        <w:t>See</w:t>
      </w:r>
      <w:r w:rsidRPr="00565E15">
        <w:t xml:space="preserve"> </w:t>
      </w:r>
      <w:r w:rsidRPr="00565E15">
        <w:rPr>
          <w:i/>
        </w:rPr>
        <w:t>Connect America Fund, et al</w:t>
      </w:r>
      <w:r w:rsidRPr="00565E15">
        <w:t>., Report and Order and Further Notice of Proposed Rulemaking, 26 FCC Rcd 17663 (2011).</w:t>
      </w:r>
    </w:p>
  </w:footnote>
  <w:footnote w:id="42">
    <w:p w:rsidR="0031180A" w:rsidRDefault="0031180A">
      <w:pPr>
        <w:pStyle w:val="FootnoteText"/>
      </w:pPr>
      <w:r>
        <w:rPr>
          <w:rStyle w:val="FootnoteReference"/>
        </w:rPr>
        <w:footnoteRef/>
      </w:r>
      <w:r>
        <w:t xml:space="preserve"> </w:t>
      </w:r>
      <w:r w:rsidRPr="00176466">
        <w:rPr>
          <w:i/>
        </w:rPr>
        <w:t>FY 2017 NPRM</w:t>
      </w:r>
      <w:r>
        <w:t>, 32 FCC Rcd at 4529-4530, para. 10.</w:t>
      </w:r>
    </w:p>
  </w:footnote>
  <w:footnote w:id="43">
    <w:p w:rsidR="0031180A" w:rsidRPr="0045073F" w:rsidRDefault="0031180A" w:rsidP="00BB229F">
      <w:pPr>
        <w:pStyle w:val="FootnoteText"/>
      </w:pPr>
      <w:r>
        <w:rPr>
          <w:rStyle w:val="FootnoteReference"/>
        </w:rPr>
        <w:footnoteRef/>
      </w:r>
      <w:r>
        <w:t xml:space="preserve"> </w:t>
      </w:r>
      <w:r w:rsidRPr="0045073F">
        <w:t>The FCC Time and Attendance system does not provide a breakdown of USF work by technology or bureau.</w:t>
      </w:r>
    </w:p>
  </w:footnote>
  <w:footnote w:id="44">
    <w:p w:rsidR="0031180A" w:rsidRPr="00565E15" w:rsidRDefault="0031180A" w:rsidP="00E74218">
      <w:pPr>
        <w:pStyle w:val="FootnoteText"/>
      </w:pPr>
      <w:r w:rsidRPr="00565E15">
        <w:rPr>
          <w:rStyle w:val="FootnoteReference"/>
        </w:rPr>
        <w:footnoteRef/>
      </w:r>
      <w:r>
        <w:t xml:space="preserve"> 47 CFR</w:t>
      </w:r>
      <w:r w:rsidRPr="00565E15">
        <w:t xml:space="preserve"> </w:t>
      </w:r>
      <w:r w:rsidRPr="00565E15">
        <w:rPr>
          <w:rFonts w:eastAsia="Calibri"/>
        </w:rPr>
        <w:t>§ 54.706(a).</w:t>
      </w:r>
    </w:p>
  </w:footnote>
  <w:footnote w:id="45">
    <w:p w:rsidR="0031180A" w:rsidRDefault="0031180A">
      <w:pPr>
        <w:pStyle w:val="FootnoteText"/>
      </w:pPr>
      <w:r>
        <w:rPr>
          <w:rStyle w:val="FootnoteReference"/>
        </w:rPr>
        <w:footnoteRef/>
      </w:r>
      <w:r>
        <w:t xml:space="preserve"> </w:t>
      </w:r>
      <w:r w:rsidRPr="00176466">
        <w:rPr>
          <w:i/>
        </w:rPr>
        <w:t>FY 2017 NPRM</w:t>
      </w:r>
      <w:r>
        <w:t>, 32 FCC Rcd at 4529, para. 9.</w:t>
      </w:r>
    </w:p>
  </w:footnote>
  <w:footnote w:id="46">
    <w:p w:rsidR="0031180A" w:rsidRDefault="0031180A" w:rsidP="00CF71DB">
      <w:pPr>
        <w:pStyle w:val="FootnoteText"/>
      </w:pPr>
      <w:r>
        <w:rPr>
          <w:rStyle w:val="FootnoteReference"/>
        </w:rPr>
        <w:footnoteRef/>
      </w:r>
      <w:r>
        <w:t xml:space="preserve"> “The schools and libraries universal service support program, commonly known as the E-rate program, helps schools and libraries to obtain affordable broadband. . . . Eligible schools, school districts and libraries may apply individually or as part of a consortium [for] . . . category one services to a school or library (telecommunications, telecommunications services and Internet access), and category two services that deliver Internet access within schools and libraries (internal connections, basic maintenance of internal connections, and managed internal broadband services).”  </w:t>
      </w:r>
      <w:r w:rsidRPr="009535AA">
        <w:rPr>
          <w:i/>
        </w:rPr>
        <w:t>See</w:t>
      </w:r>
      <w:r>
        <w:t xml:space="preserve"> FCC website, “E-Rate – Schools &amp; Libraries USF Program,” available at </w:t>
      </w:r>
      <w:hyperlink r:id="rId4" w:anchor="block-menu-block-4" w:history="1">
        <w:r w:rsidRPr="000D405F">
          <w:rPr>
            <w:rStyle w:val="Hyperlink"/>
          </w:rPr>
          <w:t>https://www.fcc.gov/general/e-rate-schools-libraries-usf-program#block-menu-block-4</w:t>
        </w:r>
      </w:hyperlink>
      <w:r>
        <w:t xml:space="preserve"> (last visited July 17, 2017).</w:t>
      </w:r>
    </w:p>
  </w:footnote>
  <w:footnote w:id="47">
    <w:p w:rsidR="0031180A" w:rsidRDefault="0031180A" w:rsidP="00CF71DB">
      <w:pPr>
        <w:pStyle w:val="FootnoteText"/>
      </w:pPr>
      <w:r>
        <w:rPr>
          <w:rStyle w:val="FootnoteReference"/>
        </w:rPr>
        <w:footnoteRef/>
      </w:r>
      <w:r>
        <w:t xml:space="preserve"> “</w:t>
      </w:r>
      <w:r w:rsidRPr="006143DA">
        <w:t>Since 1985, the Lifeline program has provided a discount on phone service for qualifying low-income consumers</w:t>
      </w:r>
      <w:r>
        <w:t>. . . .</w:t>
      </w:r>
      <w:r w:rsidRPr="006143DA">
        <w:t xml:space="preserve"> The Lifeline program is available to eligible low-income consumers in every state, territory, commonwealth, and on Tribal lands.</w:t>
      </w:r>
      <w:r>
        <w:t xml:space="preserve"> . . . </w:t>
      </w:r>
      <w:r w:rsidRPr="00E91904">
        <w:t xml:space="preserve">In </w:t>
      </w:r>
      <w:r>
        <w:t>. . .</w:t>
      </w:r>
      <w:r w:rsidRPr="00E91904">
        <w:t xml:space="preserve"> 2016 </w:t>
      </w:r>
      <w:r>
        <w:t xml:space="preserve">. . . </w:t>
      </w:r>
      <w:r w:rsidRPr="00E91904">
        <w:t xml:space="preserve"> the Commission included broadband as a support service in the Lifeline program.</w:t>
      </w:r>
      <w:r>
        <w:t xml:space="preserve">”  </w:t>
      </w:r>
      <w:r w:rsidRPr="00E91904">
        <w:rPr>
          <w:i/>
        </w:rPr>
        <w:t>See</w:t>
      </w:r>
      <w:r>
        <w:t xml:space="preserve"> FCC website, “Lifeline Program for Low-Income Consumers,” available at </w:t>
      </w:r>
      <w:hyperlink r:id="rId5" w:anchor="block-menu-block-4" w:history="1">
        <w:r w:rsidRPr="000D405F">
          <w:rPr>
            <w:rStyle w:val="Hyperlink"/>
          </w:rPr>
          <w:t>https://www.fcc.gov/general/lifeline-program-low-income-consumers#block-menu-block-4</w:t>
        </w:r>
      </w:hyperlink>
      <w:r>
        <w:t xml:space="preserve"> (last visited July 17, 2017).</w:t>
      </w:r>
    </w:p>
  </w:footnote>
  <w:footnote w:id="48">
    <w:p w:rsidR="0031180A" w:rsidRDefault="0031180A" w:rsidP="00CF71DB">
      <w:pPr>
        <w:pStyle w:val="FootnoteText"/>
      </w:pPr>
      <w:r>
        <w:rPr>
          <w:rStyle w:val="FootnoteReference"/>
        </w:rPr>
        <w:footnoteRef/>
      </w:r>
      <w:r>
        <w:t xml:space="preserve"> “</w:t>
      </w:r>
      <w:r w:rsidRPr="00CF71DB">
        <w:t>The Rural Health Care Program, which includes the new Healthcare Connect Fund, provides funding to eligible health care providers (HCPs) for telecommunications and broadband services necessary for the provision of health care. The goal of the program is to improve the quality of health care available to patients in rural communities by ensuring that eligible HCPs have access to telecommunications and broadband services.</w:t>
      </w:r>
      <w:r>
        <w:t xml:space="preserve">”  </w:t>
      </w:r>
      <w:r w:rsidRPr="00CF71DB">
        <w:rPr>
          <w:i/>
        </w:rPr>
        <w:t xml:space="preserve">See </w:t>
      </w:r>
      <w:r>
        <w:t xml:space="preserve">FCC website, “Rural Health Care Program,” available at </w:t>
      </w:r>
      <w:hyperlink r:id="rId6" w:anchor="block-menu-block-4" w:history="1">
        <w:r w:rsidRPr="000D405F">
          <w:rPr>
            <w:rStyle w:val="Hyperlink"/>
          </w:rPr>
          <w:t>https://www.fcc.gov/general/rural-health-care-program#block-menu-block-4</w:t>
        </w:r>
      </w:hyperlink>
      <w:r>
        <w:t xml:space="preserve"> (last visited July 17, 2017).</w:t>
      </w:r>
    </w:p>
  </w:footnote>
  <w:footnote w:id="49">
    <w:p w:rsidR="0031180A" w:rsidRDefault="0031180A" w:rsidP="00831D14">
      <w:pPr>
        <w:pStyle w:val="FootnoteText"/>
      </w:pPr>
      <w:r>
        <w:rPr>
          <w:rStyle w:val="FootnoteReference"/>
        </w:rPr>
        <w:footnoteRef/>
      </w:r>
      <w:r>
        <w:t xml:space="preserve"> </w:t>
      </w:r>
      <w:r w:rsidRPr="00176466">
        <w:rPr>
          <w:i/>
        </w:rPr>
        <w:t>FY 2017 NPRM</w:t>
      </w:r>
      <w:r>
        <w:t>, 32 FCC Rcd at 4530, para. 10.</w:t>
      </w:r>
    </w:p>
  </w:footnote>
  <w:footnote w:id="50">
    <w:p w:rsidR="0031180A" w:rsidRDefault="0031180A">
      <w:pPr>
        <w:pStyle w:val="FootnoteText"/>
      </w:pPr>
      <w:r>
        <w:rPr>
          <w:rStyle w:val="FootnoteReference"/>
        </w:rPr>
        <w:footnoteRef/>
      </w:r>
      <w:r>
        <w:t xml:space="preserve"> </w:t>
      </w:r>
      <w:r w:rsidRPr="00176466">
        <w:rPr>
          <w:i/>
        </w:rPr>
        <w:t>Id.</w:t>
      </w:r>
    </w:p>
  </w:footnote>
  <w:footnote w:id="51">
    <w:p w:rsidR="0031180A" w:rsidRDefault="0031180A" w:rsidP="00831D14">
      <w:pPr>
        <w:pStyle w:val="FootnoteText"/>
      </w:pPr>
      <w:r>
        <w:rPr>
          <w:rStyle w:val="FootnoteReference"/>
        </w:rPr>
        <w:footnoteRef/>
      </w:r>
      <w:r>
        <w:t xml:space="preserve"> </w:t>
      </w:r>
      <w:r w:rsidRPr="00176466">
        <w:rPr>
          <w:i/>
        </w:rPr>
        <w:t>Id.</w:t>
      </w:r>
    </w:p>
  </w:footnote>
  <w:footnote w:id="52">
    <w:p w:rsidR="0031180A" w:rsidRDefault="0031180A">
      <w:pPr>
        <w:pStyle w:val="FootnoteText"/>
      </w:pPr>
      <w:r>
        <w:rPr>
          <w:rStyle w:val="FootnoteReference"/>
        </w:rPr>
        <w:footnoteRef/>
      </w:r>
      <w:r>
        <w:t xml:space="preserve"> </w:t>
      </w:r>
      <w:r>
        <w:rPr>
          <w:i/>
        </w:rPr>
        <w:t xml:space="preserve">See </w:t>
      </w:r>
      <w:r>
        <w:t xml:space="preserve">USAC website, 2017 E-Rate Eligible Services List, </w:t>
      </w:r>
      <w:r w:rsidRPr="00907350">
        <w:rPr>
          <w:i/>
        </w:rPr>
        <w:t>available at</w:t>
      </w:r>
      <w:r>
        <w:t xml:space="preserve"> </w:t>
      </w:r>
      <w:hyperlink r:id="rId7" w:history="1">
        <w:r w:rsidRPr="00022F71">
          <w:rPr>
            <w:rStyle w:val="Hyperlink"/>
          </w:rPr>
          <w:t>http://www.usac.org/sl/applicants/beforeyoubegin/eligible-services-list.aspx</w:t>
        </w:r>
      </w:hyperlink>
      <w:r>
        <w:t xml:space="preserve"> (last visited July 28, 2017); USAC website Rural Healthcare Eligible Services, </w:t>
      </w:r>
      <w:r w:rsidRPr="00907350">
        <w:rPr>
          <w:i/>
        </w:rPr>
        <w:t>available at</w:t>
      </w:r>
      <w:r>
        <w:t xml:space="preserve"> </w:t>
      </w:r>
      <w:hyperlink r:id="rId8" w:history="1">
        <w:r w:rsidRPr="00022F71">
          <w:rPr>
            <w:rStyle w:val="Hyperlink"/>
          </w:rPr>
          <w:t>http://www.usac.org/rhc/telecommunications/health-care-providers/step01/eligible-services.aspx</w:t>
        </w:r>
      </w:hyperlink>
      <w:r>
        <w:t xml:space="preserve"> (last visited July 28, 2017).  </w:t>
      </w:r>
      <w:r w:rsidRPr="00907350">
        <w:rPr>
          <w:i/>
        </w:rPr>
        <w:t>See</w:t>
      </w:r>
      <w:r>
        <w:rPr>
          <w:i/>
        </w:rPr>
        <w:t xml:space="preserve"> also</w:t>
      </w:r>
      <w:r>
        <w:t xml:space="preserve"> Universal Service Administrative Company Third Quarter 2017 FCC Filings (E-rate and Rural Healthcare), </w:t>
      </w:r>
      <w:r w:rsidRPr="00907350">
        <w:rPr>
          <w:i/>
        </w:rPr>
        <w:t>available at</w:t>
      </w:r>
      <w:r>
        <w:t xml:space="preserve"> </w:t>
      </w:r>
      <w:hyperlink r:id="rId9" w:history="1">
        <w:r w:rsidRPr="00022F71">
          <w:rPr>
            <w:rStyle w:val="Hyperlink"/>
          </w:rPr>
          <w:t>http://www.usac.org/about/tools/fcc/filings/2017/q3.aspx</w:t>
        </w:r>
      </w:hyperlink>
      <w:r>
        <w:t xml:space="preserve"> (last visited July 28, 2017).</w:t>
      </w:r>
    </w:p>
  </w:footnote>
  <w:footnote w:id="53">
    <w:p w:rsidR="0031180A" w:rsidRDefault="0031180A" w:rsidP="00831D14">
      <w:pPr>
        <w:pStyle w:val="FootnoteText"/>
      </w:pPr>
      <w:r>
        <w:rPr>
          <w:rStyle w:val="FootnoteReference"/>
        </w:rPr>
        <w:footnoteRef/>
      </w:r>
      <w:r>
        <w:t xml:space="preserve"> </w:t>
      </w:r>
      <w:r w:rsidRPr="004A6F6D">
        <w:rPr>
          <w:i/>
        </w:rPr>
        <w:t>Id.</w:t>
      </w:r>
    </w:p>
  </w:footnote>
  <w:footnote w:id="54">
    <w:p w:rsidR="0031180A" w:rsidRDefault="0031180A" w:rsidP="00F028D2">
      <w:pPr>
        <w:pStyle w:val="FootnoteText"/>
      </w:pPr>
      <w:r>
        <w:rPr>
          <w:rStyle w:val="FootnoteReference"/>
        </w:rPr>
        <w:footnoteRef/>
      </w:r>
      <w:r>
        <w:t xml:space="preserve"> ITTA Comments at 5; Frontier Comments at 3; CTIA Reply Comments at 4-5.</w:t>
      </w:r>
    </w:p>
  </w:footnote>
  <w:footnote w:id="55">
    <w:p w:rsidR="0031180A" w:rsidRDefault="0031180A" w:rsidP="00F028D2">
      <w:pPr>
        <w:pStyle w:val="FootnoteText"/>
      </w:pPr>
      <w:r>
        <w:rPr>
          <w:rStyle w:val="FootnoteReference"/>
        </w:rPr>
        <w:footnoteRef/>
      </w:r>
      <w:r>
        <w:t xml:space="preserve"> CenturyLink Comments at 4.</w:t>
      </w:r>
    </w:p>
  </w:footnote>
  <w:footnote w:id="56">
    <w:p w:rsidR="0031180A" w:rsidRDefault="0031180A" w:rsidP="00B30932">
      <w:pPr>
        <w:pStyle w:val="FootnoteText"/>
      </w:pPr>
      <w:r>
        <w:rPr>
          <w:rStyle w:val="FootnoteReference"/>
        </w:rPr>
        <w:footnoteRef/>
      </w:r>
      <w:r>
        <w:t xml:space="preserve"> SIA Comments at 2-3; SIA Comments at 2 (observing that no satellite operator has yet been designated an eligible telecommunications carrier, or ETC, which is required for Lifeline funding).</w:t>
      </w:r>
    </w:p>
  </w:footnote>
  <w:footnote w:id="57">
    <w:p w:rsidR="0031180A" w:rsidRDefault="0031180A" w:rsidP="00E31384">
      <w:pPr>
        <w:pStyle w:val="FootnoteText"/>
      </w:pPr>
      <w:r>
        <w:rPr>
          <w:rStyle w:val="FootnoteReference"/>
        </w:rPr>
        <w:footnoteRef/>
      </w:r>
      <w:r>
        <w:t xml:space="preserve"> ITTA Comments at 6.  CenturyLink also supports allocating four Wireline Competition Bureau FTEs as Wireless Telecommunications Bureau FTEs for regulatory fee purposes because “wireless carriers now serve over 90% of Lifeline subscribers.”  CenturyLink Reply Comments at 4.  </w:t>
      </w:r>
    </w:p>
  </w:footnote>
  <w:footnote w:id="58">
    <w:p w:rsidR="0031180A" w:rsidRDefault="0031180A" w:rsidP="00E31384">
      <w:pPr>
        <w:pStyle w:val="FootnoteText"/>
      </w:pPr>
      <w:r>
        <w:rPr>
          <w:rStyle w:val="FootnoteReference"/>
        </w:rPr>
        <w:footnoteRef/>
      </w:r>
      <w:r>
        <w:t xml:space="preserve"> Frontier Comments at 3-4.  CenturyLink agrees with this proposal.  </w:t>
      </w:r>
      <w:r w:rsidRPr="005C601A">
        <w:rPr>
          <w:i/>
        </w:rPr>
        <w:t>See</w:t>
      </w:r>
      <w:r>
        <w:t xml:space="preserve"> CenturyLink Reply Comments at 3-4.</w:t>
      </w:r>
    </w:p>
  </w:footnote>
  <w:footnote w:id="59">
    <w:p w:rsidR="0031180A" w:rsidRDefault="0031180A">
      <w:pPr>
        <w:pStyle w:val="FootnoteText"/>
      </w:pPr>
      <w:r>
        <w:rPr>
          <w:rStyle w:val="FootnoteReference"/>
        </w:rPr>
        <w:footnoteRef/>
      </w:r>
      <w:r>
        <w:t xml:space="preserve"> CTIA Reply Comments at 6.</w:t>
      </w:r>
    </w:p>
  </w:footnote>
  <w:footnote w:id="60">
    <w:p w:rsidR="0031180A" w:rsidRDefault="0031180A">
      <w:pPr>
        <w:pStyle w:val="FootnoteText"/>
      </w:pPr>
      <w:r>
        <w:rPr>
          <w:rStyle w:val="FootnoteReference"/>
        </w:rPr>
        <w:footnoteRef/>
      </w:r>
      <w:r>
        <w:t xml:space="preserve"> ITTA Comments at 2.</w:t>
      </w:r>
    </w:p>
  </w:footnote>
  <w:footnote w:id="61">
    <w:p w:rsidR="0031180A" w:rsidRDefault="0031180A">
      <w:pPr>
        <w:pStyle w:val="FootnoteText"/>
      </w:pPr>
      <w:r>
        <w:rPr>
          <w:rStyle w:val="FootnoteReference"/>
        </w:rPr>
        <w:footnoteRef/>
      </w:r>
      <w:r>
        <w:t xml:space="preserve"> ITTA Comments at 3 (emphasis added).  </w:t>
      </w:r>
    </w:p>
  </w:footnote>
  <w:footnote w:id="62">
    <w:p w:rsidR="0031180A" w:rsidRPr="00565E15" w:rsidRDefault="0031180A" w:rsidP="00B974A0">
      <w:pPr>
        <w:pStyle w:val="FootnoteText"/>
      </w:pPr>
      <w:r w:rsidRPr="00565E15">
        <w:rPr>
          <w:rStyle w:val="FootnoteReference"/>
        </w:rPr>
        <w:footnoteRef/>
      </w:r>
      <w:r w:rsidRPr="00565E15">
        <w:t xml:space="preserve"> </w:t>
      </w:r>
      <w:r w:rsidRPr="00D9684E">
        <w:rPr>
          <w:i/>
        </w:rPr>
        <w:t>See</w:t>
      </w:r>
      <w:r>
        <w:t xml:space="preserve"> ITTA Comments at 10-11; Frontier Comments at 6-7; CenturyLink Reply Comments at 4-5.  </w:t>
      </w:r>
    </w:p>
  </w:footnote>
  <w:footnote w:id="63">
    <w:p w:rsidR="0031180A" w:rsidRDefault="0031180A">
      <w:pPr>
        <w:pStyle w:val="FootnoteText"/>
      </w:pPr>
      <w:r>
        <w:rPr>
          <w:rStyle w:val="FootnoteReference"/>
        </w:rPr>
        <w:footnoteRef/>
      </w:r>
      <w:r>
        <w:t xml:space="preserve"> </w:t>
      </w:r>
      <w:r w:rsidRPr="00176466">
        <w:rPr>
          <w:i/>
        </w:rPr>
        <w:t>FY 2017 NPRM</w:t>
      </w:r>
      <w:r>
        <w:t>, 32 FCC Rcd at 4530, para. 13.</w:t>
      </w:r>
    </w:p>
  </w:footnote>
  <w:footnote w:id="64">
    <w:p w:rsidR="0031180A" w:rsidRPr="00565E15" w:rsidRDefault="0031180A" w:rsidP="000D29E4">
      <w:pPr>
        <w:pStyle w:val="FootnoteText"/>
      </w:pPr>
      <w:r w:rsidRPr="00565E15">
        <w:rPr>
          <w:rStyle w:val="FootnoteReference"/>
        </w:rPr>
        <w:footnoteRef/>
      </w:r>
      <w:r w:rsidRPr="00565E15">
        <w:t xml:space="preserve"> </w:t>
      </w:r>
      <w:r w:rsidRPr="00565E15">
        <w:rPr>
          <w:rFonts w:eastAsia="Calibri"/>
        </w:rPr>
        <w:t>47 U.S.C. § 159(b)(1)(A).</w:t>
      </w:r>
    </w:p>
  </w:footnote>
  <w:footnote w:id="65">
    <w:p w:rsidR="0031180A" w:rsidRDefault="0031180A" w:rsidP="000D29E4">
      <w:pPr>
        <w:pStyle w:val="FootnoteText"/>
      </w:pPr>
      <w:r>
        <w:rPr>
          <w:rStyle w:val="FootnoteReference"/>
        </w:rPr>
        <w:footnoteRef/>
      </w:r>
      <w:r>
        <w:t xml:space="preserve"> </w:t>
      </w:r>
      <w:r w:rsidRPr="00ED19B3">
        <w:rPr>
          <w:i/>
        </w:rPr>
        <w:t>See</w:t>
      </w:r>
      <w:r>
        <w:t xml:space="preserve"> Industry Analysis and Technology Division, Wireline Competition Bureau, FCC, Voice Telephone Services: Status as of December 31, 2015, at 2 Figure 1 (2016). </w:t>
      </w:r>
    </w:p>
  </w:footnote>
  <w:footnote w:id="66">
    <w:p w:rsidR="0031180A" w:rsidRDefault="0031180A">
      <w:pPr>
        <w:pStyle w:val="FootnoteText"/>
      </w:pPr>
      <w:r>
        <w:rPr>
          <w:rStyle w:val="FootnoteReference"/>
        </w:rPr>
        <w:footnoteRef/>
      </w:r>
      <w:r>
        <w:t xml:space="preserve"> ITTA Comments at 9-10; CenturyLink Comments at 5 &amp; Reply Comments at 5; Frontier Comments at 5-6.</w:t>
      </w:r>
    </w:p>
  </w:footnote>
  <w:footnote w:id="67">
    <w:p w:rsidR="0031180A" w:rsidRPr="00565E15" w:rsidRDefault="0031180A" w:rsidP="00D31843">
      <w:pPr>
        <w:pStyle w:val="FootnoteText"/>
      </w:pPr>
      <w:r w:rsidRPr="00565E15">
        <w:rPr>
          <w:rStyle w:val="FootnoteReference"/>
        </w:rPr>
        <w:footnoteRef/>
      </w:r>
      <w:r w:rsidRPr="00565E15">
        <w:t xml:space="preserve"> </w:t>
      </w:r>
      <w:r w:rsidRPr="00565E15">
        <w:rPr>
          <w:rFonts w:eastAsia="Calibri"/>
        </w:rPr>
        <w:t>47 U.S.C. § 159(b)(1)(A).</w:t>
      </w:r>
    </w:p>
  </w:footnote>
  <w:footnote w:id="68">
    <w:p w:rsidR="0031180A" w:rsidRDefault="0031180A" w:rsidP="00D31843">
      <w:pPr>
        <w:pStyle w:val="FootnoteText"/>
      </w:pPr>
      <w:r>
        <w:rPr>
          <w:rStyle w:val="FootnoteReference"/>
        </w:rPr>
        <w:footnoteRef/>
      </w:r>
      <w:r>
        <w:t xml:space="preserve"> </w:t>
      </w:r>
      <w:r w:rsidRPr="00ED19B3">
        <w:rPr>
          <w:i/>
        </w:rPr>
        <w:t>See</w:t>
      </w:r>
      <w:r>
        <w:t xml:space="preserve"> Industry Analysis and Technology Division, Wireline Competition Bureau, FCC, Voice Telephone Services: Status as of December 31, 2015, at 2 Figure 1 (2016). </w:t>
      </w:r>
    </w:p>
  </w:footnote>
  <w:footnote w:id="69">
    <w:p w:rsidR="0031180A" w:rsidRDefault="0031180A">
      <w:pPr>
        <w:pStyle w:val="FootnoteText"/>
      </w:pPr>
      <w:r>
        <w:rPr>
          <w:rStyle w:val="FootnoteReference"/>
        </w:rPr>
        <w:footnoteRef/>
      </w:r>
      <w:r>
        <w:t xml:space="preserve"> AT&amp;T and DIRECTV merged in 2015.  </w:t>
      </w:r>
      <w:r w:rsidRPr="00296348">
        <w:rPr>
          <w:i/>
        </w:rPr>
        <w:t>See Applications of AT&amp;T and DIRECTV for Consent to Assign or Transfer Control of Licenses and Authorizations</w:t>
      </w:r>
      <w:r>
        <w:t>, Memorandum Opinion and Order, 30 FCC Rcd 9131 (2015).</w:t>
      </w:r>
    </w:p>
  </w:footnote>
  <w:footnote w:id="70">
    <w:p w:rsidR="0031180A" w:rsidRPr="00565E15" w:rsidRDefault="0031180A" w:rsidP="0036728A">
      <w:pPr>
        <w:pStyle w:val="FootnoteText"/>
      </w:pPr>
      <w:r w:rsidRPr="00565E15">
        <w:rPr>
          <w:rStyle w:val="FootnoteReference"/>
        </w:rPr>
        <w:footnoteRef/>
      </w:r>
      <w:r w:rsidRPr="00565E15">
        <w:t xml:space="preserve"> MVPD is defined in section 602(13) of the Act, 47 U.S.C. § 522(13).</w:t>
      </w:r>
      <w:r>
        <w:t xml:space="preserve">  DBS subscribers were 33.2 percent of all MVPD subscribers at the end of 2015.  </w:t>
      </w:r>
      <w:r w:rsidRPr="00633297">
        <w:rPr>
          <w:i/>
        </w:rPr>
        <w:t>See Annual Assessment of the Status of Competition in the Market for the Delivery of Video Programming</w:t>
      </w:r>
      <w:r>
        <w:t>, Eighteenth Report, 32 FCC Rcd 568, 575, para. 19 (2017) (</w:t>
      </w:r>
      <w:r w:rsidRPr="00531558">
        <w:rPr>
          <w:i/>
        </w:rPr>
        <w:t>Eighteenth Competition Report</w:t>
      </w:r>
      <w:r>
        <w:t>) (citing SNL Kagan, U.S. Multichannel Industry Benchmarks).</w:t>
      </w:r>
    </w:p>
  </w:footnote>
  <w:footnote w:id="71">
    <w:p w:rsidR="0031180A" w:rsidRPr="002053C6" w:rsidRDefault="0031180A" w:rsidP="004E0AD9">
      <w:pPr>
        <w:pStyle w:val="FootnoteText"/>
      </w:pPr>
      <w:r>
        <w:rPr>
          <w:rStyle w:val="FootnoteReference"/>
        </w:rPr>
        <w:footnoteRef/>
      </w:r>
      <w:r>
        <w:t xml:space="preserve"> GAO Report at 17-20. </w:t>
      </w:r>
    </w:p>
  </w:footnote>
  <w:footnote w:id="72">
    <w:p w:rsidR="0031180A" w:rsidRDefault="0031180A" w:rsidP="004E0AD9">
      <w:pPr>
        <w:pStyle w:val="FootnoteText"/>
      </w:pPr>
      <w:r>
        <w:rPr>
          <w:rStyle w:val="FootnoteReference"/>
        </w:rPr>
        <w:footnoteRef/>
      </w:r>
      <w:r>
        <w:t xml:space="preserve"> </w:t>
      </w:r>
      <w:r w:rsidRPr="00F77ABC">
        <w:rPr>
          <w:i/>
        </w:rPr>
        <w:t>FY 2015 NPRM</w:t>
      </w:r>
      <w:r>
        <w:t>, 30 FCC Rcd at 5368, para. 32.</w:t>
      </w:r>
    </w:p>
  </w:footnote>
  <w:footnote w:id="73">
    <w:p w:rsidR="0031180A" w:rsidRPr="00565E15" w:rsidRDefault="0031180A" w:rsidP="007E6CF4">
      <w:pPr>
        <w:pStyle w:val="FootnoteText"/>
      </w:pPr>
      <w:r w:rsidRPr="00565E15">
        <w:rPr>
          <w:rStyle w:val="FootnoteReference"/>
        </w:rPr>
        <w:footnoteRef/>
      </w:r>
      <w:r w:rsidRPr="00565E15">
        <w:t xml:space="preserve"> </w:t>
      </w:r>
      <w:r w:rsidRPr="00565E15">
        <w:rPr>
          <w:i/>
        </w:rPr>
        <w:t>FY 2015 Report and Order</w:t>
      </w:r>
      <w:r w:rsidRPr="00565E15">
        <w:t xml:space="preserve">, 30 FCC Rcd </w:t>
      </w:r>
      <w:r>
        <w:t>at</w:t>
      </w:r>
      <w:r w:rsidRPr="00565E15">
        <w:t xml:space="preserve"> 10276-77, paras. 19-20.</w:t>
      </w:r>
    </w:p>
  </w:footnote>
  <w:footnote w:id="74">
    <w:p w:rsidR="0031180A" w:rsidRPr="00565E15" w:rsidRDefault="0031180A" w:rsidP="00D414EE">
      <w:pPr>
        <w:pStyle w:val="FootnoteText"/>
      </w:pPr>
      <w:r w:rsidRPr="00565E15">
        <w:rPr>
          <w:rStyle w:val="FootnoteReference"/>
        </w:rPr>
        <w:footnoteRef/>
      </w:r>
      <w:r w:rsidRPr="00565E15">
        <w:t xml:space="preserve"> </w:t>
      </w:r>
      <w:r w:rsidRPr="00565E15">
        <w:rPr>
          <w:i/>
        </w:rPr>
        <w:t>FY 2015 NPRM</w:t>
      </w:r>
      <w:r w:rsidRPr="00565E15">
        <w:t xml:space="preserve">, 30 FCC Rcd at 5367-68, para. 31.  </w:t>
      </w:r>
    </w:p>
  </w:footnote>
  <w:footnote w:id="75">
    <w:p w:rsidR="0031180A" w:rsidRDefault="0031180A" w:rsidP="00AC1AA8">
      <w:pPr>
        <w:pStyle w:val="FootnoteText"/>
      </w:pPr>
      <w:r>
        <w:rPr>
          <w:rStyle w:val="FootnoteReference"/>
        </w:rPr>
        <w:footnoteRef/>
      </w:r>
      <w:r>
        <w:t xml:space="preserve"> </w:t>
      </w:r>
      <w:r>
        <w:rPr>
          <w:i/>
        </w:rPr>
        <w:t>Id.</w:t>
      </w:r>
      <w:r>
        <w:t>, 30 FCC Rcd at 5368, para. 32.</w:t>
      </w:r>
    </w:p>
  </w:footnote>
  <w:footnote w:id="76">
    <w:p w:rsidR="0031180A" w:rsidRPr="00565E15" w:rsidRDefault="0031180A" w:rsidP="004D07F9">
      <w:pPr>
        <w:pStyle w:val="FootnoteText"/>
      </w:pPr>
      <w:r w:rsidRPr="00565E15">
        <w:rPr>
          <w:rStyle w:val="FootnoteReference"/>
        </w:rPr>
        <w:footnoteRef/>
      </w:r>
      <w:r w:rsidRPr="00565E15">
        <w:t xml:space="preserve"> </w:t>
      </w:r>
      <w:r w:rsidRPr="00565E15">
        <w:rPr>
          <w:i/>
        </w:rPr>
        <w:t>FY 2016 Report and Order</w:t>
      </w:r>
      <w:r w:rsidRPr="00565E15">
        <w:t>, 31 FCC Rcd at 10348-49, para. 26.</w:t>
      </w:r>
    </w:p>
  </w:footnote>
  <w:footnote w:id="77">
    <w:p w:rsidR="0031180A" w:rsidRDefault="0031180A" w:rsidP="004D07F9">
      <w:pPr>
        <w:pStyle w:val="FootnoteText"/>
      </w:pPr>
      <w:r>
        <w:rPr>
          <w:rStyle w:val="FootnoteReference"/>
        </w:rPr>
        <w:footnoteRef/>
      </w:r>
      <w:r>
        <w:t xml:space="preserve"> </w:t>
      </w:r>
      <w:r w:rsidRPr="00A96697">
        <w:rPr>
          <w:i/>
        </w:rPr>
        <w:t>FY 2017 NPRM</w:t>
      </w:r>
      <w:r>
        <w:t>, 32 FCC Rcd at 4531-32, paras. 15-17.</w:t>
      </w:r>
    </w:p>
  </w:footnote>
  <w:footnote w:id="78">
    <w:p w:rsidR="0031180A" w:rsidRDefault="0031180A" w:rsidP="004D07F9">
      <w:pPr>
        <w:pStyle w:val="FootnoteText"/>
      </w:pPr>
      <w:r>
        <w:rPr>
          <w:rStyle w:val="FootnoteReference"/>
        </w:rPr>
        <w:footnoteRef/>
      </w:r>
      <w:r>
        <w:t xml:space="preserve"> </w:t>
      </w:r>
      <w:r w:rsidRPr="00A96697">
        <w:rPr>
          <w:i/>
        </w:rPr>
        <w:t>FY 2017 NPRM</w:t>
      </w:r>
      <w:r>
        <w:t>, 32 FCC Rcd at 4532, para. 17.</w:t>
      </w:r>
    </w:p>
  </w:footnote>
  <w:footnote w:id="79">
    <w:p w:rsidR="0031180A" w:rsidRDefault="0031180A" w:rsidP="007A7A99">
      <w:pPr>
        <w:pStyle w:val="FootnoteText"/>
      </w:pPr>
      <w:r>
        <w:rPr>
          <w:rStyle w:val="FootnoteReference"/>
        </w:rPr>
        <w:footnoteRef/>
      </w:r>
      <w:r>
        <w:t xml:space="preserve"> For example, as ACA observes, DBS providers have been actively involved in the Media Bureau’s proceeding implementing the </w:t>
      </w:r>
      <w:r w:rsidRPr="00D351CB">
        <w:t>Satellite Television Extension and Localism Act Reauthorization Act of 2014 (STELAR)</w:t>
      </w:r>
      <w:r>
        <w:t xml:space="preserve"> and in the market modification proceedings that STELAR directed the Commission to expand to satellite DBS carriage.</w:t>
      </w:r>
      <w:r w:rsidRPr="00BE63B7">
        <w:t xml:space="preserve"> </w:t>
      </w:r>
      <w:r w:rsidRPr="00FD7E3D">
        <w:t>The STELA Reauthorization Act of 2014 (STELAR), Pub. L. No. 113-200, 128 Stat. 2059 (2014)</w:t>
      </w:r>
      <w:r>
        <w:t xml:space="preserve">; </w:t>
      </w:r>
      <w:r w:rsidRPr="00FD7E3D">
        <w:rPr>
          <w:i/>
        </w:rPr>
        <w:t>Amendment to the Commission’s Rules Concerning Market Modification, Implementation of Section 102 of the STELA Reauthorization Act of 2014</w:t>
      </w:r>
      <w:r>
        <w:t xml:space="preserve">, Report and Order, 30 FCC Rcd 10406 (2015) (adopting satellite television market modification rules).  </w:t>
      </w:r>
      <w:r>
        <w:rPr>
          <w:i/>
        </w:rPr>
        <w:t>See</w:t>
      </w:r>
      <w:r>
        <w:t>,</w:t>
      </w:r>
      <w:r>
        <w:rPr>
          <w:i/>
        </w:rPr>
        <w:t xml:space="preserve"> e.g.</w:t>
      </w:r>
      <w:r>
        <w:t xml:space="preserve">, </w:t>
      </w:r>
      <w:r w:rsidRPr="00F31D98">
        <w:rPr>
          <w:i/>
        </w:rPr>
        <w:t>Gray Television Licensee, LLC, Petition for Modification of the Satellite Televisions Market for WSAW-TV, Wausau, Wisconsin</w:t>
      </w:r>
      <w:r>
        <w:t xml:space="preserve">, MB Docket No. 16-293, DirecTV, LLC Response to Petition for Special Relief (filed Oct. 6, 2016); </w:t>
      </w:r>
      <w:r w:rsidRPr="00F31D98">
        <w:rPr>
          <w:i/>
        </w:rPr>
        <w:t>Amendment to the Commission’s Rules Concerning Market Modification, Implementation of Section 102 of the STELA Reauthorization Act of 2014</w:t>
      </w:r>
      <w:r>
        <w:t>, MB Docket No. 15-71,</w:t>
      </w:r>
      <w:r>
        <w:rPr>
          <w:i/>
        </w:rPr>
        <w:t xml:space="preserve"> </w:t>
      </w:r>
      <w:r>
        <w:t>DISH Network LLC Market Modification Pre-Filing Coordination Letter for Monongalia County, West Virginia (filed May 23, 2017).</w:t>
      </w:r>
      <w:r w:rsidRPr="00BE63B7">
        <w:t xml:space="preserve"> </w:t>
      </w:r>
    </w:p>
    <w:p w:rsidR="0031180A" w:rsidRDefault="0031180A" w:rsidP="007A7A99">
      <w:pPr>
        <w:pStyle w:val="FootnoteText"/>
      </w:pPr>
      <w:r>
        <w:t xml:space="preserve">AT&amp;T and DISH have also been involved in the Commission’s ATSC 3.0 rulemaking.  </w:t>
      </w:r>
      <w:r>
        <w:rPr>
          <w:i/>
        </w:rPr>
        <w:t>See</w:t>
      </w:r>
      <w:r>
        <w:t>,</w:t>
      </w:r>
      <w:r>
        <w:rPr>
          <w:i/>
        </w:rPr>
        <w:t xml:space="preserve"> e.g.</w:t>
      </w:r>
      <w:r>
        <w:t>,</w:t>
      </w:r>
      <w:r>
        <w:rPr>
          <w:i/>
        </w:rPr>
        <w:t xml:space="preserve"> Authorizing Permissive Use of the “Next Generation” Broadcast Television Standard</w:t>
      </w:r>
      <w:r>
        <w:t xml:space="preserve">, GN Docket No. 16-142, Comments of DISH Network LLC (filed May 9, 2017); Reply Comments of AT&amp;T (filed June 8, 2017).  AT&amp;T and DISH Network were also active participants </w:t>
      </w:r>
      <w:r w:rsidRPr="00D15DC0">
        <w:t xml:space="preserve">in the Media Bureau’s </w:t>
      </w:r>
      <w:r>
        <w:t xml:space="preserve">2016 </w:t>
      </w:r>
      <w:r w:rsidRPr="00D15DC0">
        <w:t>public notice</w:t>
      </w:r>
      <w:r>
        <w:t xml:space="preserve"> proceeding.  </w:t>
      </w:r>
      <w:r w:rsidRPr="00D15DC0">
        <w:rPr>
          <w:i/>
        </w:rPr>
        <w:t>See</w:t>
      </w:r>
      <w:r>
        <w:t xml:space="preserve">, </w:t>
      </w:r>
      <w:r w:rsidRPr="00D15DC0">
        <w:rPr>
          <w:i/>
        </w:rPr>
        <w:t>e.g.</w:t>
      </w:r>
      <w:r>
        <w:t xml:space="preserve">, </w:t>
      </w:r>
      <w:r w:rsidRPr="00D15DC0">
        <w:rPr>
          <w:i/>
        </w:rPr>
        <w:t>Media Bureau Seeks Comment on Joint Petition for Rulemaking of America’s Public Television Stations, the AWARN Alliance, the Consumer Technology Association, and the National Association of Broadcasters Seeking to Authorize Permissive Use of the “Next Generation TV” Broadcast Television Standard</w:t>
      </w:r>
      <w:r w:rsidRPr="00D15DC0">
        <w:t>, GN Docket No. 16-142, Comments of DISH Network, LLC (filed May 26, 2016); Comments of AT&amp;T (filed May 26, 2016).</w:t>
      </w:r>
    </w:p>
  </w:footnote>
  <w:footnote w:id="80">
    <w:p w:rsidR="0031180A" w:rsidRDefault="0031180A" w:rsidP="007A7A99">
      <w:pPr>
        <w:pStyle w:val="FootnoteText"/>
      </w:pPr>
      <w:r>
        <w:rPr>
          <w:rStyle w:val="FootnoteReference"/>
        </w:rPr>
        <w:footnoteRef/>
      </w:r>
      <w:r>
        <w:t xml:space="preserve"> ACA Comments at 2 (quoting </w:t>
      </w:r>
      <w:r w:rsidRPr="00327BD9">
        <w:rPr>
          <w:i/>
        </w:rPr>
        <w:t>FY 2017 NPRM</w:t>
      </w:r>
      <w:r>
        <w:t>, 32 FCC Rcd at 4531, para. 15); NCTA Comments at 3.</w:t>
      </w:r>
    </w:p>
  </w:footnote>
  <w:footnote w:id="81">
    <w:p w:rsidR="0031180A" w:rsidRDefault="0031180A" w:rsidP="007A7A99">
      <w:pPr>
        <w:pStyle w:val="FootnoteText"/>
      </w:pPr>
      <w:r>
        <w:rPr>
          <w:rStyle w:val="FootnoteReference"/>
        </w:rPr>
        <w:footnoteRef/>
      </w:r>
      <w:r>
        <w:t xml:space="preserve"> ACA Comments at 3-6; NCTA Comments at 3-5.</w:t>
      </w:r>
    </w:p>
  </w:footnote>
  <w:footnote w:id="82">
    <w:p w:rsidR="0031180A" w:rsidRDefault="0031180A" w:rsidP="007A7A99">
      <w:pPr>
        <w:pStyle w:val="FootnoteText"/>
      </w:pPr>
      <w:r>
        <w:rPr>
          <w:rStyle w:val="FootnoteReference"/>
        </w:rPr>
        <w:footnoteRef/>
      </w:r>
      <w:r>
        <w:t xml:space="preserve"> NCTA Comments at 5-7.</w:t>
      </w:r>
    </w:p>
  </w:footnote>
  <w:footnote w:id="83">
    <w:p w:rsidR="0031180A" w:rsidRDefault="0031180A" w:rsidP="007A7A99">
      <w:pPr>
        <w:pStyle w:val="FootnoteText"/>
      </w:pPr>
      <w:r>
        <w:rPr>
          <w:rStyle w:val="FootnoteReference"/>
        </w:rPr>
        <w:footnoteRef/>
      </w:r>
      <w:r>
        <w:t xml:space="preserve"> NCTA Comments at 7-8.</w:t>
      </w:r>
    </w:p>
  </w:footnote>
  <w:footnote w:id="84">
    <w:p w:rsidR="0031180A" w:rsidRDefault="0031180A" w:rsidP="00812FCA">
      <w:pPr>
        <w:pStyle w:val="FootnoteText"/>
      </w:pPr>
      <w:r>
        <w:rPr>
          <w:rStyle w:val="FootnoteReference"/>
        </w:rPr>
        <w:footnoteRef/>
      </w:r>
      <w:r>
        <w:t xml:space="preserve"> DISH and AT&amp;T Comments at 3.</w:t>
      </w:r>
    </w:p>
  </w:footnote>
  <w:footnote w:id="85">
    <w:p w:rsidR="0031180A" w:rsidRDefault="0031180A">
      <w:pPr>
        <w:pStyle w:val="FootnoteText"/>
      </w:pPr>
      <w:r>
        <w:rPr>
          <w:rStyle w:val="FootnoteReference"/>
        </w:rPr>
        <w:footnoteRef/>
      </w:r>
      <w:r>
        <w:t xml:space="preserve"> The current least expensive promotional rate for new DBS subscribers is approximately $50 per month for 12 months (not including taxes or leasing charges).  Even if the regulatory fee were 72 cents per subscriber per year, approximately what it would be at parity with cable television/IPTV, it would equal 0.12% of the lowest introductory monthly fee for DBS ($600 x .0012 = $0.72).  </w:t>
      </w:r>
      <w:r w:rsidRPr="002769AA">
        <w:rPr>
          <w:i/>
        </w:rPr>
        <w:t>See</w:t>
      </w:r>
      <w:r>
        <w:t xml:space="preserve"> </w:t>
      </w:r>
      <w:hyperlink r:id="rId10" w:anchor="package-section" w:history="1">
        <w:r w:rsidRPr="0093263D">
          <w:rPr>
            <w:rStyle w:val="Hyperlink"/>
          </w:rPr>
          <w:t>https://www.directv.com/DTVAPP/pepod/configure.jsp#package-section</w:t>
        </w:r>
      </w:hyperlink>
      <w:r>
        <w:t xml:space="preserve"> (last visited June 29, 2017); </w:t>
      </w:r>
      <w:hyperlink r:id="rId11" w:history="1">
        <w:r w:rsidRPr="0093263D">
          <w:rPr>
            <w:rStyle w:val="Hyperlink"/>
          </w:rPr>
          <w:t>https://www.dish.com/programming/packages/</w:t>
        </w:r>
      </w:hyperlink>
      <w:r>
        <w:t xml:space="preserve"> (last visited June 29, 2017).  ACA observes that DISH’s reported average revenue per unit was $86.79 per month and AT&amp;T’s was $118.00 per month.  ACA Reply Comments at 2-3.</w:t>
      </w:r>
    </w:p>
  </w:footnote>
  <w:footnote w:id="86">
    <w:p w:rsidR="0031180A" w:rsidRDefault="0031180A" w:rsidP="008475A3">
      <w:pPr>
        <w:pStyle w:val="FootnoteText"/>
      </w:pPr>
      <w:r>
        <w:rPr>
          <w:rStyle w:val="FootnoteReference"/>
        </w:rPr>
        <w:footnoteRef/>
      </w:r>
      <w:r>
        <w:t xml:space="preserve"> DISH and AT&amp;T Comments at 4-5; AT&amp;T Reply Comments at 6-7.</w:t>
      </w:r>
    </w:p>
  </w:footnote>
  <w:footnote w:id="87">
    <w:p w:rsidR="0031180A" w:rsidRDefault="0031180A" w:rsidP="008475A3">
      <w:pPr>
        <w:pStyle w:val="FootnoteText"/>
      </w:pPr>
      <w:r>
        <w:rPr>
          <w:rStyle w:val="FootnoteReference"/>
        </w:rPr>
        <w:footnoteRef/>
      </w:r>
      <w:r>
        <w:t xml:space="preserve"> </w:t>
      </w:r>
      <w:r w:rsidRPr="00F77ABC">
        <w:rPr>
          <w:i/>
        </w:rPr>
        <w:t>FY 2015 NPRM</w:t>
      </w:r>
      <w:r>
        <w:t>, 30 FCC Rcd at 5369, para. 33.</w:t>
      </w:r>
    </w:p>
  </w:footnote>
  <w:footnote w:id="88">
    <w:p w:rsidR="0031180A" w:rsidRDefault="0031180A">
      <w:pPr>
        <w:pStyle w:val="FootnoteText"/>
      </w:pPr>
      <w:r>
        <w:rPr>
          <w:rStyle w:val="FootnoteReference"/>
        </w:rPr>
        <w:footnoteRef/>
      </w:r>
      <w:r>
        <w:t xml:space="preserve"> </w:t>
      </w:r>
      <w:r w:rsidRPr="00BC39AF">
        <w:rPr>
          <w:i/>
        </w:rPr>
        <w:t>See, e.g</w:t>
      </w:r>
      <w:r>
        <w:t xml:space="preserve">., </w:t>
      </w:r>
      <w:r w:rsidRPr="00565E15">
        <w:rPr>
          <w:i/>
        </w:rPr>
        <w:t>Video Description:  Implementation of the Twenty-First Century Communications and Video Accessibility Act of 2010</w:t>
      </w:r>
      <w:r w:rsidRPr="00565E15">
        <w:t xml:space="preserve">, Notice of Proposed Rulemaking, 31 FCC Rcd 2463 (2016); </w:t>
      </w:r>
      <w:r w:rsidRPr="00565E15">
        <w:rPr>
          <w:i/>
        </w:rPr>
        <w:t>Expanding Consumers’ Video Navigation Choices, Commercial Availability of Navigation Devices</w:t>
      </w:r>
      <w:r w:rsidRPr="00565E15">
        <w:t xml:space="preserve">, Notice of Proposed Rulemaking and Memorandum Opinion and Order, 31 FCC Rcd 1544 (2016); </w:t>
      </w:r>
      <w:r w:rsidRPr="00565E15">
        <w:rPr>
          <w:i/>
        </w:rPr>
        <w:t>Promoting the Availability of Diverse and Independent Sources of Video Programming</w:t>
      </w:r>
      <w:r w:rsidRPr="00565E15">
        <w:t>, Notice of Inquiry, 31 FCC Rcd 1610 (2016);</w:t>
      </w:r>
      <w:r w:rsidRPr="00565E15">
        <w:rPr>
          <w:i/>
        </w:rPr>
        <w:t xml:space="preserve"> Expansion of Online Public File Obligations to Cable and Satellite TV Operators and Broadcast and Satellite Radio Licensees</w:t>
      </w:r>
      <w:r w:rsidRPr="00565E15">
        <w:t xml:space="preserve">, Report and Order, 31 FCC Rcd 526 (2016); </w:t>
      </w:r>
      <w:r w:rsidRPr="00565E15">
        <w:rPr>
          <w:rStyle w:val="FootnoteTextChar"/>
          <w:i/>
        </w:rPr>
        <w:t>Amendment to the Commission’s Rules Concerning Market Modification, Implementation of Section 102 of the STELA Reauthorization Act of 2014</w:t>
      </w:r>
      <w:r w:rsidRPr="00565E15">
        <w:rPr>
          <w:rStyle w:val="FootnoteTextChar"/>
        </w:rPr>
        <w:t>, Report and</w:t>
      </w:r>
      <w:r>
        <w:rPr>
          <w:rStyle w:val="FootnoteTextChar"/>
        </w:rPr>
        <w:t xml:space="preserve"> Order, 30 FCC Rcd 10406 (2015)</w:t>
      </w:r>
      <w:r w:rsidRPr="00565E15">
        <w:t>.</w:t>
      </w:r>
    </w:p>
  </w:footnote>
  <w:footnote w:id="89">
    <w:p w:rsidR="0031180A" w:rsidRDefault="0031180A" w:rsidP="00503800">
      <w:pPr>
        <w:pStyle w:val="FootnoteText"/>
      </w:pPr>
      <w:r>
        <w:rPr>
          <w:rStyle w:val="FootnoteReference"/>
        </w:rPr>
        <w:footnoteRef/>
      </w:r>
      <w:r>
        <w:t xml:space="preserve"> DISH and AT&amp;T Comments at 5-6.  We also do not agree with AT&amp;T’s argument that we have ignored the other regulatory fees paid by the DBS providers.  AT&amp;T Reply Comments at 7.  The regulatory fee based on the Media Bureau FTEs is not related to the regulatory fee based on International Bureau FTEs.  While there is no other industry in the same situation as DBS, we note that the cable television industry pays regulatory fees for CARs licenses.  </w:t>
      </w:r>
    </w:p>
  </w:footnote>
  <w:footnote w:id="90">
    <w:p w:rsidR="0031180A" w:rsidRDefault="0031180A">
      <w:pPr>
        <w:pStyle w:val="FootnoteText"/>
      </w:pPr>
      <w:r>
        <w:rPr>
          <w:rStyle w:val="FootnoteReference"/>
        </w:rPr>
        <w:footnoteRef/>
      </w:r>
      <w:r>
        <w:t xml:space="preserve"> ACA observes, “the DBS providers misconceive the nature of the Commission’s fee setting exercise, as it is not required to calculate fee levels with scientific precision.”  </w:t>
      </w:r>
      <w:r w:rsidRPr="00162F5D">
        <w:rPr>
          <w:i/>
        </w:rPr>
        <w:t>See</w:t>
      </w:r>
      <w:r>
        <w:t xml:space="preserve"> ACA Reply Comments at 6.</w:t>
      </w:r>
    </w:p>
  </w:footnote>
  <w:footnote w:id="91">
    <w:p w:rsidR="0031180A" w:rsidRDefault="0031180A" w:rsidP="006C5BF1">
      <w:pPr>
        <w:pStyle w:val="FootnoteText"/>
      </w:pPr>
      <w:r>
        <w:rPr>
          <w:rStyle w:val="FootnoteReference"/>
        </w:rPr>
        <w:footnoteRef/>
      </w:r>
      <w:r>
        <w:t xml:space="preserve"> </w:t>
      </w:r>
      <w:r w:rsidRPr="00F77ABC">
        <w:rPr>
          <w:i/>
        </w:rPr>
        <w:t>FY 2015 NPRM</w:t>
      </w:r>
      <w:r>
        <w:t>, 30 FCC Rcd at 5369, para. 33.</w:t>
      </w:r>
    </w:p>
  </w:footnote>
  <w:footnote w:id="92">
    <w:p w:rsidR="0031180A" w:rsidRDefault="0031180A" w:rsidP="006C5BF1">
      <w:pPr>
        <w:pStyle w:val="FootnoteText"/>
      </w:pPr>
      <w:r>
        <w:rPr>
          <w:rStyle w:val="FootnoteReference"/>
        </w:rPr>
        <w:footnoteRef/>
      </w:r>
      <w:r>
        <w:t xml:space="preserve"> DISH and AT&amp;T Comments at 7-8.</w:t>
      </w:r>
    </w:p>
  </w:footnote>
  <w:footnote w:id="93">
    <w:p w:rsidR="0031180A" w:rsidRDefault="0031180A" w:rsidP="00AC1AA8">
      <w:pPr>
        <w:pStyle w:val="FootnoteText"/>
      </w:pPr>
      <w:r>
        <w:rPr>
          <w:rStyle w:val="FootnoteReference"/>
        </w:rPr>
        <w:footnoteRef/>
      </w:r>
      <w:r>
        <w:t xml:space="preserve"> ITSP, regulated by the Wireline Competition Bureau, includes </w:t>
      </w:r>
      <w:r w:rsidRPr="00C5052D">
        <w:rPr>
          <w:spacing w:val="-2"/>
          <w:szCs w:val="22"/>
        </w:rPr>
        <w:t xml:space="preserve">interexchange carriers (IXCs), incumbent local exchange carriers (LECs), toll resellers, </w:t>
      </w:r>
      <w:r>
        <w:rPr>
          <w:spacing w:val="-2"/>
          <w:szCs w:val="22"/>
        </w:rPr>
        <w:t xml:space="preserve">Voice over Internet Providers (VoIP), </w:t>
      </w:r>
      <w:r w:rsidRPr="00C5052D">
        <w:rPr>
          <w:spacing w:val="-2"/>
          <w:szCs w:val="22"/>
        </w:rPr>
        <w:t>and other</w:t>
      </w:r>
      <w:r>
        <w:rPr>
          <w:spacing w:val="-2"/>
          <w:szCs w:val="22"/>
        </w:rPr>
        <w:t xml:space="preserve"> </w:t>
      </w:r>
      <w:r w:rsidRPr="00C5052D">
        <w:rPr>
          <w:spacing w:val="-2"/>
          <w:szCs w:val="22"/>
        </w:rPr>
        <w:t>service providers</w:t>
      </w:r>
      <w:r>
        <w:rPr>
          <w:spacing w:val="-2"/>
          <w:szCs w:val="22"/>
        </w:rPr>
        <w:t>, all of which involve different degrees of regulatory oversight</w:t>
      </w:r>
      <w:r>
        <w:rPr>
          <w:szCs w:val="22"/>
        </w:rPr>
        <w:t>.</w:t>
      </w:r>
      <w:r>
        <w:t xml:space="preserve">  </w:t>
      </w:r>
    </w:p>
  </w:footnote>
  <w:footnote w:id="94">
    <w:p w:rsidR="0031180A" w:rsidRDefault="0031180A" w:rsidP="00AC1AA8">
      <w:pPr>
        <w:pStyle w:val="FootnoteText"/>
      </w:pPr>
      <w:r>
        <w:rPr>
          <w:rStyle w:val="FootnoteReference"/>
        </w:rPr>
        <w:footnoteRef/>
      </w:r>
      <w:r>
        <w:t xml:space="preserve"> </w:t>
      </w:r>
      <w:r w:rsidRPr="004F412B">
        <w:rPr>
          <w:i/>
        </w:rPr>
        <w:t>See Assessment and Collection of Regulatory Fees for Fiscal Year 2007</w:t>
      </w:r>
      <w:r>
        <w:t>, Report and Order and Further Notice of Proposed Rulemaking, 22 FCC Rcd 15712, 15719, para. 19 (2007) (</w:t>
      </w:r>
      <w:r w:rsidRPr="004F412B">
        <w:rPr>
          <w:i/>
        </w:rPr>
        <w:t>FY 2007 Report and Order</w:t>
      </w:r>
      <w:r>
        <w:t>).</w:t>
      </w:r>
    </w:p>
  </w:footnote>
  <w:footnote w:id="95">
    <w:p w:rsidR="0031180A" w:rsidRDefault="0031180A">
      <w:pPr>
        <w:pStyle w:val="FootnoteText"/>
      </w:pPr>
      <w:r>
        <w:rPr>
          <w:rStyle w:val="FootnoteReference"/>
        </w:rPr>
        <w:footnoteRef/>
      </w:r>
      <w:r>
        <w:t xml:space="preserve"> </w:t>
      </w:r>
      <w:r w:rsidRPr="00DD64CF">
        <w:rPr>
          <w:i/>
        </w:rPr>
        <w:t>FY 201</w:t>
      </w:r>
      <w:r>
        <w:rPr>
          <w:i/>
        </w:rPr>
        <w:t>3</w:t>
      </w:r>
      <w:r w:rsidRPr="00DD64CF">
        <w:rPr>
          <w:i/>
        </w:rPr>
        <w:t xml:space="preserve"> Report and </w:t>
      </w:r>
      <w:r w:rsidRPr="00290BC5">
        <w:t>Order</w:t>
      </w:r>
      <w:r>
        <w:t xml:space="preserve">, </w:t>
      </w:r>
      <w:r w:rsidRPr="00290BC5">
        <w:t>28</w:t>
      </w:r>
      <w:r>
        <w:t xml:space="preserve"> FCC Rcd at 12362, para. 32 (“IPTV providers should be subject to the same regulatory fee as cable providers.”).</w:t>
      </w:r>
    </w:p>
  </w:footnote>
  <w:footnote w:id="96">
    <w:p w:rsidR="0031180A" w:rsidRDefault="0031180A">
      <w:pPr>
        <w:pStyle w:val="FootnoteText"/>
      </w:pPr>
      <w:r>
        <w:rPr>
          <w:rStyle w:val="FootnoteReference"/>
        </w:rPr>
        <w:footnoteRef/>
      </w:r>
      <w:r>
        <w:t xml:space="preserve"> </w:t>
      </w:r>
      <w:r w:rsidRPr="00891346">
        <w:rPr>
          <w:i/>
        </w:rPr>
        <w:t>FY 2017 NPRM</w:t>
      </w:r>
      <w:r>
        <w:t>, 32 FCC Rcd at 4533, para. 19.</w:t>
      </w:r>
    </w:p>
  </w:footnote>
  <w:footnote w:id="97">
    <w:p w:rsidR="0031180A" w:rsidRDefault="0031180A">
      <w:pPr>
        <w:pStyle w:val="FootnoteText"/>
      </w:pPr>
      <w:r>
        <w:rPr>
          <w:rStyle w:val="FootnoteReference"/>
        </w:rPr>
        <w:footnoteRef/>
      </w:r>
      <w:r>
        <w:t xml:space="preserve"> CRC Comments at 1.</w:t>
      </w:r>
    </w:p>
  </w:footnote>
  <w:footnote w:id="98">
    <w:p w:rsidR="0031180A" w:rsidRDefault="0031180A" w:rsidP="002115C1">
      <w:pPr>
        <w:pStyle w:val="FootnoteText"/>
      </w:pPr>
      <w:r>
        <w:rPr>
          <w:rStyle w:val="FootnoteReference"/>
        </w:rPr>
        <w:footnoteRef/>
      </w:r>
      <w:r>
        <w:t xml:space="preserve"> CRC Comments at 1.</w:t>
      </w:r>
    </w:p>
  </w:footnote>
  <w:footnote w:id="99">
    <w:p w:rsidR="0031180A" w:rsidRDefault="0031180A" w:rsidP="002115C1">
      <w:pPr>
        <w:pStyle w:val="FootnoteText"/>
      </w:pPr>
      <w:r>
        <w:rPr>
          <w:rStyle w:val="FootnoteReference"/>
        </w:rPr>
        <w:footnoteRef/>
      </w:r>
      <w:r>
        <w:t xml:space="preserve"> CRC Comments at 2.</w:t>
      </w:r>
    </w:p>
  </w:footnote>
  <w:footnote w:id="100">
    <w:p w:rsidR="0031180A" w:rsidRDefault="0031180A">
      <w:pPr>
        <w:pStyle w:val="FootnoteText"/>
      </w:pPr>
      <w:r>
        <w:rPr>
          <w:rStyle w:val="FootnoteReference"/>
        </w:rPr>
        <w:footnoteRef/>
      </w:r>
      <w:r>
        <w:t xml:space="preserve"> Arso Comments at 1-2.</w:t>
      </w:r>
    </w:p>
  </w:footnote>
  <w:footnote w:id="101">
    <w:p w:rsidR="0031180A" w:rsidRDefault="0031180A">
      <w:pPr>
        <w:pStyle w:val="FootnoteText"/>
      </w:pPr>
      <w:r>
        <w:rPr>
          <w:rStyle w:val="FootnoteReference"/>
        </w:rPr>
        <w:footnoteRef/>
      </w:r>
      <w:r>
        <w:t xml:space="preserve"> </w:t>
      </w:r>
      <w:r w:rsidRPr="00E4682B">
        <w:rPr>
          <w:i/>
        </w:rPr>
        <w:t>FY 2016 Report and Order</w:t>
      </w:r>
      <w:r>
        <w:t>, 31 FCC Rcd at 10351, para. 33.</w:t>
      </w:r>
    </w:p>
  </w:footnote>
  <w:footnote w:id="102">
    <w:p w:rsidR="0031180A" w:rsidRDefault="0031180A" w:rsidP="00F570F5">
      <w:pPr>
        <w:pStyle w:val="FootnoteText"/>
      </w:pPr>
      <w:r>
        <w:rPr>
          <w:rStyle w:val="FootnoteReference"/>
        </w:rPr>
        <w:footnoteRef/>
      </w:r>
      <w:r>
        <w:t xml:space="preserve"> </w:t>
      </w:r>
      <w:r w:rsidRPr="00C03153">
        <w:rPr>
          <w:i/>
        </w:rPr>
        <w:t>FY 2017 NPRM</w:t>
      </w:r>
      <w:r>
        <w:t>, 31 FCC Rcd at 4534, para. 20.</w:t>
      </w:r>
    </w:p>
  </w:footnote>
  <w:footnote w:id="103">
    <w:p w:rsidR="0031180A" w:rsidRPr="00C03153" w:rsidRDefault="0031180A" w:rsidP="00F570F5">
      <w:pPr>
        <w:pStyle w:val="FootnoteText"/>
      </w:pPr>
      <w:r>
        <w:rPr>
          <w:rStyle w:val="FootnoteReference"/>
        </w:rPr>
        <w:footnoteRef/>
      </w:r>
      <w:r>
        <w:t xml:space="preserve"> </w:t>
      </w:r>
      <w:r w:rsidRPr="00C03153">
        <w:rPr>
          <w:i/>
        </w:rPr>
        <w:t>Id.</w:t>
      </w:r>
      <w:r>
        <w:t xml:space="preserve">, 31 FCC Rcd at 4535, para. 21.  </w:t>
      </w:r>
    </w:p>
  </w:footnote>
  <w:footnote w:id="104">
    <w:p w:rsidR="0031180A" w:rsidRDefault="0031180A" w:rsidP="00F570F5">
      <w:pPr>
        <w:pStyle w:val="FootnoteText"/>
      </w:pPr>
      <w:r>
        <w:rPr>
          <w:rStyle w:val="FootnoteReference"/>
        </w:rPr>
        <w:footnoteRef/>
      </w:r>
      <w:r>
        <w:t xml:space="preserve"> </w:t>
      </w:r>
      <w:r w:rsidRPr="00C03153">
        <w:rPr>
          <w:i/>
        </w:rPr>
        <w:t>Id.</w:t>
      </w:r>
      <w:r>
        <w:t>, 31 FCC Rcd at 4535, para. 20.</w:t>
      </w:r>
    </w:p>
  </w:footnote>
  <w:footnote w:id="105">
    <w:p w:rsidR="0031180A" w:rsidRDefault="0031180A" w:rsidP="00F570F5">
      <w:pPr>
        <w:pStyle w:val="FootnoteText"/>
      </w:pPr>
      <w:r>
        <w:rPr>
          <w:rStyle w:val="FootnoteReference"/>
        </w:rPr>
        <w:footnoteRef/>
      </w:r>
      <w:r>
        <w:t xml:space="preserve"> </w:t>
      </w:r>
      <w:r>
        <w:rPr>
          <w:szCs w:val="22"/>
        </w:rPr>
        <w:t>For purposes of determining whether a licensee qualifies as a satellite station for regulatory fee purposes, it must be so characterized in one of these sources as of the date of this Report and Order.</w:t>
      </w:r>
    </w:p>
  </w:footnote>
  <w:footnote w:id="106">
    <w:p w:rsidR="0031180A" w:rsidRDefault="0031180A" w:rsidP="00F570F5">
      <w:pPr>
        <w:pStyle w:val="FootnoteText"/>
      </w:pPr>
      <w:r>
        <w:rPr>
          <w:rStyle w:val="FootnoteReference"/>
        </w:rPr>
        <w:footnoteRef/>
      </w:r>
      <w:r>
        <w:t xml:space="preserve"> </w:t>
      </w:r>
      <w:r w:rsidRPr="00CA0510">
        <w:rPr>
          <w:rStyle w:val="FootnoteTextChar"/>
          <w:rFonts w:eastAsiaTheme="minorHAnsi"/>
          <w:i/>
        </w:rPr>
        <w:t xml:space="preserve">See </w:t>
      </w:r>
      <w:hyperlink r:id="rId12" w:anchor="co_pp_sp_4493_7798" w:history="1">
        <w:r w:rsidRPr="00CA0510">
          <w:rPr>
            <w:rStyle w:val="FootnoteTextChar"/>
            <w:rFonts w:eastAsiaTheme="minorHAnsi"/>
            <w:i/>
          </w:rPr>
          <w:t>FY 2013 NPRM</w:t>
        </w:r>
        <w:r w:rsidRPr="004E69AD">
          <w:rPr>
            <w:rStyle w:val="FootnoteTextChar"/>
            <w:rFonts w:eastAsiaTheme="minorHAnsi"/>
          </w:rPr>
          <w:t>, 28 FCC Rcd at 7798-7807,</w:t>
        </w:r>
      </w:hyperlink>
      <w:r w:rsidRPr="004E69AD">
        <w:rPr>
          <w:rStyle w:val="FootnoteTextChar"/>
          <w:rFonts w:eastAsiaTheme="minorHAnsi"/>
        </w:rPr>
        <w:t xml:space="preserve"> paras. 17-40</w:t>
      </w:r>
      <w:r>
        <w:rPr>
          <w:color w:val="000000"/>
        </w:rPr>
        <w:t>.</w:t>
      </w:r>
    </w:p>
  </w:footnote>
  <w:footnote w:id="107">
    <w:p w:rsidR="0031180A" w:rsidRDefault="0031180A">
      <w:pPr>
        <w:pStyle w:val="FootnoteText"/>
      </w:pPr>
      <w:r>
        <w:rPr>
          <w:rStyle w:val="FootnoteReference"/>
        </w:rPr>
        <w:footnoteRef/>
      </w:r>
      <w:r>
        <w:t xml:space="preserve"> Coalition Comments at 3.</w:t>
      </w:r>
    </w:p>
  </w:footnote>
  <w:footnote w:id="108">
    <w:p w:rsidR="0031180A" w:rsidRDefault="0031180A" w:rsidP="00CA784E">
      <w:pPr>
        <w:pStyle w:val="FootnoteText"/>
      </w:pPr>
      <w:r>
        <w:rPr>
          <w:rStyle w:val="FootnoteReference"/>
        </w:rPr>
        <w:footnoteRef/>
      </w:r>
      <w:r>
        <w:t xml:space="preserve"> Coalition Comments at 3.</w:t>
      </w:r>
    </w:p>
  </w:footnote>
  <w:footnote w:id="109">
    <w:p w:rsidR="0031180A" w:rsidRDefault="0031180A">
      <w:pPr>
        <w:pStyle w:val="FootnoteText"/>
      </w:pPr>
      <w:r>
        <w:rPr>
          <w:rStyle w:val="FootnoteReference"/>
        </w:rPr>
        <w:footnoteRef/>
      </w:r>
      <w:r>
        <w:t xml:space="preserve"> Coalition Comments at 5-6.</w:t>
      </w:r>
    </w:p>
  </w:footnote>
  <w:footnote w:id="110">
    <w:p w:rsidR="0031180A" w:rsidRDefault="0031180A">
      <w:pPr>
        <w:pStyle w:val="FootnoteText"/>
      </w:pPr>
      <w:r>
        <w:rPr>
          <w:rStyle w:val="FootnoteReference"/>
        </w:rPr>
        <w:footnoteRef/>
      </w:r>
      <w:r>
        <w:t xml:space="preserve"> Coalition Comments at 8.</w:t>
      </w:r>
    </w:p>
  </w:footnote>
  <w:footnote w:id="111">
    <w:p w:rsidR="0031180A" w:rsidRDefault="0031180A" w:rsidP="00BF280E">
      <w:pPr>
        <w:pStyle w:val="FootnoteText"/>
      </w:pPr>
      <w:r>
        <w:rPr>
          <w:rStyle w:val="FootnoteReference"/>
        </w:rPr>
        <w:footnoteRef/>
      </w:r>
      <w:r>
        <w:t xml:space="preserve"> </w:t>
      </w:r>
      <w:r w:rsidRPr="00BB19C5">
        <w:rPr>
          <w:i/>
        </w:rPr>
        <w:t>FY 2016 Report and Order</w:t>
      </w:r>
      <w:r>
        <w:t>, 31 FCC Rcd at 10347-350, para. 6.</w:t>
      </w:r>
    </w:p>
  </w:footnote>
  <w:footnote w:id="112">
    <w:p w:rsidR="0031180A" w:rsidRDefault="0031180A" w:rsidP="00BF280E">
      <w:pPr>
        <w:pStyle w:val="FootnoteText"/>
      </w:pPr>
      <w:r>
        <w:rPr>
          <w:rStyle w:val="FootnoteReference"/>
        </w:rPr>
        <w:footnoteRef/>
      </w:r>
      <w:r>
        <w:t xml:space="preserve"> </w:t>
      </w:r>
      <w:r w:rsidRPr="00BB19C5">
        <w:rPr>
          <w:i/>
        </w:rPr>
        <w:t>FY 2017 NPRM</w:t>
      </w:r>
      <w:r>
        <w:t>, 32 FCC Rcd at 4529, para. 8.</w:t>
      </w:r>
    </w:p>
  </w:footnote>
  <w:footnote w:id="113">
    <w:p w:rsidR="0031180A" w:rsidRDefault="0031180A" w:rsidP="004B51C1">
      <w:pPr>
        <w:pStyle w:val="FootnoteText"/>
      </w:pPr>
      <w:r>
        <w:rPr>
          <w:rStyle w:val="FootnoteReference"/>
        </w:rPr>
        <w:footnoteRef/>
      </w:r>
      <w:r>
        <w:t xml:space="preserve"> </w:t>
      </w:r>
      <w:r w:rsidRPr="009D63B2">
        <w:rPr>
          <w:i/>
        </w:rPr>
        <w:t>See FY 2015 Report and Order</w:t>
      </w:r>
      <w:r>
        <w:t>, 30 FCC Rcd 10273, para. 12.</w:t>
      </w:r>
    </w:p>
  </w:footnote>
  <w:footnote w:id="114">
    <w:p w:rsidR="0031180A" w:rsidRDefault="0031180A" w:rsidP="004B51C1">
      <w:pPr>
        <w:pStyle w:val="FootnoteText"/>
      </w:pPr>
      <w:r>
        <w:rPr>
          <w:rStyle w:val="FootnoteReference"/>
        </w:rPr>
        <w:footnoteRef/>
      </w:r>
      <w:r>
        <w:t xml:space="preserve"> </w:t>
      </w:r>
      <w:r w:rsidRPr="00E202EB">
        <w:rPr>
          <w:i/>
        </w:rPr>
        <w:t>See, e.g.</w:t>
      </w:r>
      <w:r>
        <w:t xml:space="preserve">, </w:t>
      </w:r>
      <w:r w:rsidRPr="00A7303C">
        <w:rPr>
          <w:i/>
        </w:rPr>
        <w:t>International Settlement Rates</w:t>
      </w:r>
      <w:r w:rsidRPr="00A7303C">
        <w:t>, IB Docket No. 96-261, Report and Order, 12 FCC Rcd 19806 (1997)</w:t>
      </w:r>
      <w:r>
        <w:t>,</w:t>
      </w:r>
      <w:r w:rsidRPr="00A7303C">
        <w:t xml:space="preserve"> Report and Order on Reconsideration and Order Lifting Stay, 14 FCC</w:t>
      </w:r>
      <w:r>
        <w:t xml:space="preserve"> Rcd 9256 (1999), </w:t>
      </w:r>
      <w:r w:rsidRPr="00A7303C">
        <w:rPr>
          <w:i/>
        </w:rPr>
        <w:t>aff’d sub nom. Cable &amp; Wireless</w:t>
      </w:r>
      <w:r w:rsidRPr="00A7303C">
        <w:t xml:space="preserve">, 166 F.3d 1224.  </w:t>
      </w:r>
    </w:p>
  </w:footnote>
  <w:footnote w:id="115">
    <w:p w:rsidR="0031180A" w:rsidRDefault="0031180A" w:rsidP="004B51C1">
      <w:pPr>
        <w:pStyle w:val="FootnoteText"/>
      </w:pPr>
      <w:r>
        <w:rPr>
          <w:rStyle w:val="FootnoteReference"/>
        </w:rPr>
        <w:footnoteRef/>
      </w:r>
      <w:r>
        <w:t xml:space="preserve"> </w:t>
      </w:r>
      <w:r w:rsidRPr="009D63B2">
        <w:rPr>
          <w:i/>
        </w:rPr>
        <w:t>See FY 2015 Report and Order</w:t>
      </w:r>
      <w:r>
        <w:t>, 30 FCC Rcd 10273, para. 12.</w:t>
      </w:r>
    </w:p>
  </w:footnote>
  <w:footnote w:id="116">
    <w:p w:rsidR="0031180A" w:rsidRDefault="0031180A" w:rsidP="00892719">
      <w:pPr>
        <w:pStyle w:val="FootnoteText"/>
      </w:pPr>
      <w:r>
        <w:rPr>
          <w:rStyle w:val="FootnoteReference"/>
        </w:rPr>
        <w:footnoteRef/>
      </w:r>
      <w:r>
        <w:t xml:space="preserve"> </w:t>
      </w:r>
      <w:r w:rsidRPr="00376B50">
        <w:rPr>
          <w:i/>
          <w:iCs/>
          <w:color w:val="000000"/>
        </w:rPr>
        <w:t xml:space="preserve">Assessment and Collection of </w:t>
      </w:r>
      <w:r>
        <w:rPr>
          <w:i/>
          <w:iCs/>
          <w:color w:val="000000"/>
        </w:rPr>
        <w:t>Regulatory Fees</w:t>
      </w:r>
      <w:r w:rsidRPr="00376B50">
        <w:rPr>
          <w:i/>
          <w:iCs/>
          <w:color w:val="000000"/>
        </w:rPr>
        <w:t xml:space="preserve"> for Fiscal Year 2008</w:t>
      </w:r>
      <w:r w:rsidRPr="00376B50">
        <w:rPr>
          <w:color w:val="000000"/>
        </w:rPr>
        <w:t>, Second Report</w:t>
      </w:r>
      <w:r>
        <w:rPr>
          <w:color w:val="000000"/>
        </w:rPr>
        <w:t xml:space="preserve"> and Order, 24 FCC Rcd 4208, 4214-16</w:t>
      </w:r>
      <w:r w:rsidRPr="00376B50">
        <w:rPr>
          <w:color w:val="000000"/>
        </w:rPr>
        <w:t>, para</w:t>
      </w:r>
      <w:r>
        <w:rPr>
          <w:color w:val="000000"/>
        </w:rPr>
        <w:t>s</w:t>
      </w:r>
      <w:r w:rsidRPr="00376B50">
        <w:rPr>
          <w:color w:val="000000"/>
        </w:rPr>
        <w:t xml:space="preserve">. </w:t>
      </w:r>
      <w:r>
        <w:rPr>
          <w:color w:val="000000"/>
        </w:rPr>
        <w:t>13-17</w:t>
      </w:r>
      <w:r w:rsidRPr="00376B50">
        <w:rPr>
          <w:color w:val="000000"/>
        </w:rPr>
        <w:t xml:space="preserve"> (2009) (</w:t>
      </w:r>
      <w:r w:rsidRPr="00376B50">
        <w:rPr>
          <w:i/>
          <w:iCs/>
          <w:color w:val="000000"/>
        </w:rPr>
        <w:t>Submarine Cable Order</w:t>
      </w:r>
      <w:r w:rsidRPr="00376B50">
        <w:rPr>
          <w:color w:val="000000"/>
        </w:rPr>
        <w:t>).</w:t>
      </w:r>
    </w:p>
  </w:footnote>
  <w:footnote w:id="117">
    <w:p w:rsidR="0031180A" w:rsidRDefault="0031180A" w:rsidP="00C00E24">
      <w:pPr>
        <w:pStyle w:val="FootnoteText"/>
      </w:pPr>
      <w:r>
        <w:rPr>
          <w:rStyle w:val="FootnoteReference"/>
        </w:rPr>
        <w:footnoteRef/>
      </w:r>
      <w:r>
        <w:t xml:space="preserve"> </w:t>
      </w:r>
      <w:r w:rsidRPr="005E4667">
        <w:rPr>
          <w:i/>
        </w:rPr>
        <w:t>Submarine Cable Order</w:t>
      </w:r>
      <w:r>
        <w:t>, 24 FCC Rcd at 4213, para. 9.</w:t>
      </w:r>
    </w:p>
  </w:footnote>
  <w:footnote w:id="118">
    <w:p w:rsidR="0031180A" w:rsidRDefault="0031180A" w:rsidP="00C00E24">
      <w:pPr>
        <w:pStyle w:val="FootnoteText"/>
      </w:pPr>
      <w:r>
        <w:rPr>
          <w:rStyle w:val="FootnoteReference"/>
        </w:rPr>
        <w:footnoteRef/>
      </w:r>
      <w:r>
        <w:t xml:space="preserve"> The prior rule assessed regulatory fees based on the number of active circuits on the previous December 31.</w:t>
      </w:r>
    </w:p>
  </w:footnote>
  <w:footnote w:id="119">
    <w:p w:rsidR="0031180A" w:rsidRPr="002006CF" w:rsidRDefault="0031180A" w:rsidP="00C00E24">
      <w:pPr>
        <w:pStyle w:val="FootnoteText"/>
      </w:pPr>
      <w:r>
        <w:rPr>
          <w:rStyle w:val="FootnoteReference"/>
        </w:rPr>
        <w:footnoteRef/>
      </w:r>
      <w:r>
        <w:t xml:space="preserve"> </w:t>
      </w:r>
      <w:r>
        <w:rPr>
          <w:i/>
        </w:rPr>
        <w:t>Submarine Cable Order</w:t>
      </w:r>
      <w:r>
        <w:t>, 24 FCC Rcd at 4214–16, paras. 13–17.</w:t>
      </w:r>
    </w:p>
  </w:footnote>
  <w:footnote w:id="120">
    <w:p w:rsidR="0031180A" w:rsidRDefault="0031180A" w:rsidP="00C00E24">
      <w:pPr>
        <w:pStyle w:val="FootnoteText"/>
      </w:pPr>
      <w:r>
        <w:rPr>
          <w:rStyle w:val="FootnoteReference"/>
        </w:rPr>
        <w:footnoteRef/>
      </w:r>
      <w:r>
        <w:t xml:space="preserve"> </w:t>
      </w:r>
      <w:r>
        <w:rPr>
          <w:i/>
        </w:rPr>
        <w:t>Id.</w:t>
      </w:r>
      <w:r>
        <w:t>, 24 FCC Rcd at 4208-4209, para. 1.</w:t>
      </w:r>
    </w:p>
  </w:footnote>
  <w:footnote w:id="121">
    <w:p w:rsidR="0031180A" w:rsidRDefault="0031180A" w:rsidP="00C00E24">
      <w:pPr>
        <w:pStyle w:val="FootnoteText"/>
      </w:pPr>
      <w:r>
        <w:rPr>
          <w:rStyle w:val="FootnoteReference"/>
        </w:rPr>
        <w:footnoteRef/>
      </w:r>
      <w:r>
        <w:t xml:space="preserve"> </w:t>
      </w:r>
      <w:r w:rsidRPr="002006CF">
        <w:rPr>
          <w:i/>
        </w:rPr>
        <w:t>Assessment and Collection of Regulatory Fees for Fiscal Year 2009</w:t>
      </w:r>
      <w:r w:rsidRPr="002006CF">
        <w:t>, Report and</w:t>
      </w:r>
      <w:r>
        <w:t xml:space="preserve"> Order, 24 FCC Rcd 10301, 10306–07, paras. 16–17 (2009)</w:t>
      </w:r>
      <w:r w:rsidRPr="002006CF">
        <w:t>.</w:t>
      </w:r>
    </w:p>
  </w:footnote>
  <w:footnote w:id="122">
    <w:p w:rsidR="0031180A" w:rsidRDefault="0031180A" w:rsidP="00C00E24">
      <w:pPr>
        <w:pStyle w:val="FootnoteText"/>
      </w:pPr>
      <w:r>
        <w:rPr>
          <w:rStyle w:val="FootnoteReference"/>
        </w:rPr>
        <w:footnoteRef/>
      </w:r>
      <w:r>
        <w:t xml:space="preserve"> </w:t>
      </w:r>
      <w:r w:rsidRPr="007A499F">
        <w:rPr>
          <w:i/>
        </w:rPr>
        <w:t>FY 2016 NPRM</w:t>
      </w:r>
      <w:r w:rsidRPr="00504ED9">
        <w:rPr>
          <w:spacing w:val="-2"/>
        </w:rPr>
        <w:t xml:space="preserve">, </w:t>
      </w:r>
      <w:r>
        <w:rPr>
          <w:spacing w:val="-2"/>
        </w:rPr>
        <w:t xml:space="preserve">31 </w:t>
      </w:r>
      <w:r w:rsidRPr="00504ED9">
        <w:rPr>
          <w:spacing w:val="-2"/>
        </w:rPr>
        <w:t xml:space="preserve">FCC </w:t>
      </w:r>
      <w:r>
        <w:rPr>
          <w:spacing w:val="-2"/>
        </w:rPr>
        <w:t>Rcd at 5764-65, paras. 15-16</w:t>
      </w:r>
      <w:r w:rsidRPr="00504ED9">
        <w:rPr>
          <w:spacing w:val="-2"/>
        </w:rPr>
        <w:t>.</w:t>
      </w:r>
      <w:r>
        <w:rPr>
          <w:spacing w:val="-2"/>
        </w:rPr>
        <w:t xml:space="preserve">  </w:t>
      </w:r>
    </w:p>
  </w:footnote>
  <w:footnote w:id="123">
    <w:p w:rsidR="0031180A" w:rsidRPr="001A5989" w:rsidRDefault="0031180A" w:rsidP="00C00E24">
      <w:pPr>
        <w:pStyle w:val="FootnoteText"/>
      </w:pPr>
      <w:r>
        <w:rPr>
          <w:rStyle w:val="FootnoteReference"/>
        </w:rPr>
        <w:footnoteRef/>
      </w:r>
      <w:r>
        <w:t xml:space="preserve"> </w:t>
      </w:r>
      <w:r w:rsidRPr="001A5989">
        <w:rPr>
          <w:i/>
          <w:spacing w:val="-2"/>
        </w:rPr>
        <w:t xml:space="preserve">FY 2016 </w:t>
      </w:r>
      <w:r>
        <w:rPr>
          <w:i/>
          <w:spacing w:val="-2"/>
        </w:rPr>
        <w:t>Report and</w:t>
      </w:r>
      <w:r w:rsidRPr="001A5989">
        <w:rPr>
          <w:i/>
          <w:spacing w:val="-2"/>
        </w:rPr>
        <w:t xml:space="preserve"> Order</w:t>
      </w:r>
      <w:r w:rsidRPr="00C0354B">
        <w:rPr>
          <w:spacing w:val="-2"/>
        </w:rPr>
        <w:t>,</w:t>
      </w:r>
      <w:r w:rsidRPr="00C0354B">
        <w:t xml:space="preserve"> </w:t>
      </w:r>
      <w:r>
        <w:t>31 FCC Rcd at 10343, para. 11</w:t>
      </w:r>
      <w:r w:rsidRPr="001A5989">
        <w:rPr>
          <w:spacing w:val="-2"/>
        </w:rPr>
        <w:t>.</w:t>
      </w:r>
      <w:r>
        <w:rPr>
          <w:spacing w:val="-2"/>
        </w:rPr>
        <w:t xml:space="preserve">  Level 3 had initially proposed the flat fee methodology, for common carrier and non-common carrier providers, assessed based on the total capacity in Gbps.  </w:t>
      </w:r>
      <w:r w:rsidRPr="000B4C37">
        <w:rPr>
          <w:i/>
          <w:spacing w:val="-2"/>
        </w:rPr>
        <w:t>See</w:t>
      </w:r>
      <w:r>
        <w:rPr>
          <w:spacing w:val="-2"/>
        </w:rPr>
        <w:t xml:space="preserve"> Level 3 Comments, filed in MD Docket No. 16-166 (filed June 23, 2016), at 3-5.</w:t>
      </w:r>
    </w:p>
  </w:footnote>
  <w:footnote w:id="124">
    <w:p w:rsidR="0031180A" w:rsidRDefault="0031180A">
      <w:pPr>
        <w:pStyle w:val="FootnoteText"/>
      </w:pPr>
      <w:r>
        <w:rPr>
          <w:rStyle w:val="FootnoteReference"/>
        </w:rPr>
        <w:footnoteRef/>
      </w:r>
      <w:r>
        <w:t xml:space="preserve"> Level 3 Comments, </w:t>
      </w:r>
      <w:r>
        <w:rPr>
          <w:spacing w:val="-2"/>
        </w:rPr>
        <w:t>filed in MD Docket No. 16-166 (filed June 23, 2016).</w:t>
      </w:r>
    </w:p>
  </w:footnote>
  <w:footnote w:id="125">
    <w:p w:rsidR="0031180A" w:rsidRDefault="0031180A">
      <w:pPr>
        <w:pStyle w:val="FootnoteText"/>
      </w:pPr>
      <w:r>
        <w:rPr>
          <w:rStyle w:val="FootnoteReference"/>
        </w:rPr>
        <w:footnoteRef/>
      </w:r>
      <w:r>
        <w:t xml:space="preserve"> The submarine cable fee is based on capacity per system; the proposed terrestrial and satellite fee would be based on overall capacity, but not on a per system basis.</w:t>
      </w:r>
    </w:p>
  </w:footnote>
  <w:footnote w:id="126">
    <w:p w:rsidR="0031180A" w:rsidRDefault="0031180A">
      <w:pPr>
        <w:pStyle w:val="FootnoteText"/>
      </w:pPr>
      <w:r>
        <w:rPr>
          <w:rStyle w:val="FootnoteReference"/>
        </w:rPr>
        <w:footnoteRef/>
      </w:r>
      <w:r>
        <w:t xml:space="preserve"> </w:t>
      </w:r>
      <w:r w:rsidRPr="00DB5199">
        <w:rPr>
          <w:i/>
        </w:rPr>
        <w:t>FY 2017 NPRM</w:t>
      </w:r>
      <w:r>
        <w:t>, 32 FCC Rcd at 4536-38, paras. 23-27.</w:t>
      </w:r>
    </w:p>
  </w:footnote>
  <w:footnote w:id="127">
    <w:p w:rsidR="0031180A" w:rsidRPr="006E27DD" w:rsidRDefault="0031180A" w:rsidP="00C00E24">
      <w:pPr>
        <w:pStyle w:val="FootnoteText"/>
      </w:pPr>
      <w:r>
        <w:rPr>
          <w:rStyle w:val="FootnoteReference"/>
        </w:rPr>
        <w:footnoteRef/>
      </w:r>
      <w:r>
        <w:t xml:space="preserve"> 47 CFR § 43.62(a)(1)</w:t>
      </w:r>
      <w:r>
        <w:rPr>
          <w:szCs w:val="22"/>
        </w:rPr>
        <w:t xml:space="preserve">.  Commenters support continuing to </w:t>
      </w:r>
      <w:r w:rsidRPr="00CE7FE6">
        <w:rPr>
          <w:rFonts w:eastAsiaTheme="minorEastAsia"/>
        </w:rPr>
        <w:t>assess regulatory fees based on IBCs that were active as of December 31 of the prior year</w:t>
      </w:r>
      <w:r>
        <w:rPr>
          <w:szCs w:val="22"/>
        </w:rPr>
        <w:t xml:space="preserve"> and we see no reason to change this methodology at this time.</w:t>
      </w:r>
    </w:p>
  </w:footnote>
  <w:footnote w:id="128">
    <w:p w:rsidR="0031180A" w:rsidRDefault="0031180A">
      <w:pPr>
        <w:pStyle w:val="FootnoteText"/>
      </w:pPr>
      <w:r>
        <w:rPr>
          <w:rStyle w:val="FootnoteReference"/>
        </w:rPr>
        <w:footnoteRef/>
      </w:r>
      <w:r>
        <w:t xml:space="preserve"> Level 3 June 29, 2017 ex parte at 1.</w:t>
      </w:r>
    </w:p>
  </w:footnote>
  <w:footnote w:id="129">
    <w:p w:rsidR="0031180A" w:rsidRDefault="0031180A" w:rsidP="00C00E24">
      <w:pPr>
        <w:pStyle w:val="FootnoteText"/>
      </w:pPr>
      <w:r>
        <w:rPr>
          <w:rStyle w:val="FootnoteReference"/>
        </w:rPr>
        <w:footnoteRef/>
      </w:r>
      <w:r>
        <w:t xml:space="preserve"> AT&amp;T Comments at 2 &amp; Reply Comments at 1.</w:t>
      </w:r>
    </w:p>
  </w:footnote>
  <w:footnote w:id="130">
    <w:p w:rsidR="0031180A" w:rsidRDefault="0031180A">
      <w:pPr>
        <w:pStyle w:val="FootnoteText"/>
      </w:pPr>
      <w:r>
        <w:rPr>
          <w:rStyle w:val="FootnoteReference"/>
        </w:rPr>
        <w:footnoteRef/>
      </w:r>
      <w:r>
        <w:t xml:space="preserve"> 47 U.S.C. § 159(b)(3).</w:t>
      </w:r>
    </w:p>
  </w:footnote>
  <w:footnote w:id="131">
    <w:p w:rsidR="0031180A" w:rsidRDefault="0031180A" w:rsidP="00E663DA">
      <w:pPr>
        <w:pStyle w:val="FootnoteText"/>
      </w:pPr>
      <w:r>
        <w:rPr>
          <w:rStyle w:val="FootnoteReference"/>
        </w:rPr>
        <w:footnoteRef/>
      </w:r>
      <w:r>
        <w:t xml:space="preserve"> 47 U.S.C. § 159(b)(4)(B).</w:t>
      </w:r>
    </w:p>
  </w:footnote>
  <w:footnote w:id="132">
    <w:p w:rsidR="0031180A" w:rsidRDefault="0031180A" w:rsidP="00C00E24">
      <w:pPr>
        <w:pStyle w:val="FootnoteText"/>
      </w:pPr>
      <w:r>
        <w:rPr>
          <w:rStyle w:val="FootnoteReference"/>
        </w:rPr>
        <w:footnoteRef/>
      </w:r>
      <w:r>
        <w:t xml:space="preserve"> </w:t>
      </w:r>
      <w:r w:rsidRPr="003F279F">
        <w:rPr>
          <w:i/>
        </w:rPr>
        <w:t>FY 2017 NPRM</w:t>
      </w:r>
      <w:r>
        <w:t>, 32 FCC Rcd at 4537-38, para. 26.</w:t>
      </w:r>
    </w:p>
  </w:footnote>
  <w:footnote w:id="133">
    <w:p w:rsidR="0031180A" w:rsidRDefault="0031180A" w:rsidP="00C00E24">
      <w:pPr>
        <w:pStyle w:val="FootnoteText"/>
      </w:pPr>
      <w:r>
        <w:rPr>
          <w:rStyle w:val="FootnoteReference"/>
        </w:rPr>
        <w:footnoteRef/>
      </w:r>
      <w:r>
        <w:t xml:space="preserve"> SIA Comments at 4-5.</w:t>
      </w:r>
    </w:p>
  </w:footnote>
  <w:footnote w:id="134">
    <w:p w:rsidR="0031180A" w:rsidRDefault="0031180A" w:rsidP="00C00E24">
      <w:pPr>
        <w:pStyle w:val="FootnoteText"/>
      </w:pPr>
      <w:r>
        <w:rPr>
          <w:rStyle w:val="FootnoteReference"/>
        </w:rPr>
        <w:footnoteRef/>
      </w:r>
      <w:r>
        <w:t xml:space="preserve"> SIA Comments at 5, note 18.</w:t>
      </w:r>
    </w:p>
  </w:footnote>
  <w:footnote w:id="135">
    <w:p w:rsidR="0031180A" w:rsidRDefault="0031180A" w:rsidP="00FF48BA">
      <w:pPr>
        <w:pStyle w:val="FootnoteText"/>
      </w:pPr>
      <w:r>
        <w:rPr>
          <w:rStyle w:val="FootnoteReference"/>
        </w:rPr>
        <w:footnoteRef/>
      </w:r>
      <w:r>
        <w:t xml:space="preserve"> </w:t>
      </w:r>
      <w:r w:rsidRPr="00DB5199">
        <w:rPr>
          <w:i/>
        </w:rPr>
        <w:t>FY 2017 NPRM</w:t>
      </w:r>
      <w:r>
        <w:t>, 32 FCC Rcd at 4538, para. 26.</w:t>
      </w:r>
    </w:p>
  </w:footnote>
  <w:footnote w:id="136">
    <w:p w:rsidR="0031180A" w:rsidRDefault="0031180A" w:rsidP="00FF48BA">
      <w:pPr>
        <w:pStyle w:val="FootnoteText"/>
      </w:pPr>
      <w:r>
        <w:rPr>
          <w:rStyle w:val="FootnoteReference"/>
        </w:rPr>
        <w:footnoteRef/>
      </w:r>
      <w:r>
        <w:t xml:space="preserve"> Level 3 Comments at 2; AT&amp;T Reply Comments at 5-6.</w:t>
      </w:r>
    </w:p>
  </w:footnote>
  <w:footnote w:id="137">
    <w:p w:rsidR="0031180A" w:rsidRPr="00565E15" w:rsidRDefault="0031180A" w:rsidP="006C38A0">
      <w:pPr>
        <w:pStyle w:val="FootnoteText"/>
      </w:pPr>
      <w:r w:rsidRPr="00565E15">
        <w:rPr>
          <w:rStyle w:val="FootnoteReference"/>
        </w:rPr>
        <w:footnoteRef/>
      </w:r>
      <w:r w:rsidRPr="00565E15">
        <w:t xml:space="preserve"> </w:t>
      </w:r>
      <w:r w:rsidRPr="00565E15">
        <w:rPr>
          <w:i/>
        </w:rPr>
        <w:t>FY 2014 Report and Order,</w:t>
      </w:r>
      <w:r w:rsidRPr="00565E15">
        <w:t xml:space="preserve"> 29 FCC Rcd at 10774-76, paras. 18-21.  </w:t>
      </w:r>
    </w:p>
  </w:footnote>
  <w:footnote w:id="138">
    <w:p w:rsidR="0031180A" w:rsidRPr="00565E15" w:rsidRDefault="0031180A" w:rsidP="006C38A0">
      <w:pPr>
        <w:pStyle w:val="FootnoteText"/>
      </w:pPr>
      <w:r w:rsidRPr="00565E15">
        <w:rPr>
          <w:rStyle w:val="FootnoteReference"/>
        </w:rPr>
        <w:footnoteRef/>
      </w:r>
      <w:r w:rsidRPr="00565E15">
        <w:t xml:space="preserve"> </w:t>
      </w:r>
      <w:r w:rsidRPr="004C002D">
        <w:rPr>
          <w:i/>
        </w:rPr>
        <w:t>Id</w:t>
      </w:r>
      <w:r w:rsidRPr="00565E15">
        <w:t>.</w:t>
      </w:r>
    </w:p>
  </w:footnote>
  <w:footnote w:id="139">
    <w:p w:rsidR="0031180A" w:rsidRPr="00565E15" w:rsidRDefault="0031180A" w:rsidP="006C38A0">
      <w:pPr>
        <w:pStyle w:val="FootnoteText"/>
      </w:pPr>
      <w:r w:rsidRPr="00565E15">
        <w:rPr>
          <w:rStyle w:val="FootnoteReference"/>
        </w:rPr>
        <w:footnoteRef/>
      </w:r>
      <w:r w:rsidRPr="00565E15">
        <w:t xml:space="preserve"> </w:t>
      </w:r>
      <w:r w:rsidRPr="004C002D">
        <w:rPr>
          <w:i/>
        </w:rPr>
        <w:t>Id.</w:t>
      </w:r>
      <w:r w:rsidRPr="00565E15">
        <w:t>, 29 FCC Rcd at 10775, para. 20 &amp; n. 62.</w:t>
      </w:r>
    </w:p>
  </w:footnote>
  <w:footnote w:id="140">
    <w:p w:rsidR="0031180A" w:rsidRPr="00565E15" w:rsidRDefault="0031180A" w:rsidP="006C38A0">
      <w:pPr>
        <w:pStyle w:val="FootnoteText"/>
      </w:pPr>
      <w:r w:rsidRPr="00565E15">
        <w:rPr>
          <w:rStyle w:val="FootnoteReference"/>
        </w:rPr>
        <w:footnoteRef/>
      </w:r>
      <w:r w:rsidRPr="00565E15">
        <w:t xml:space="preserve"> </w:t>
      </w:r>
      <w:r w:rsidRPr="00565E15">
        <w:rPr>
          <w:i/>
        </w:rPr>
        <w:t>Id</w:t>
      </w:r>
      <w:r w:rsidRPr="00565E15">
        <w:t>.</w:t>
      </w:r>
    </w:p>
  </w:footnote>
  <w:footnote w:id="141">
    <w:p w:rsidR="0031180A" w:rsidRPr="00565E15" w:rsidRDefault="0031180A" w:rsidP="006C38A0">
      <w:pPr>
        <w:pStyle w:val="FootnoteText"/>
      </w:pPr>
      <w:r w:rsidRPr="00565E15">
        <w:rPr>
          <w:rStyle w:val="FootnoteReference"/>
        </w:rPr>
        <w:footnoteRef/>
      </w:r>
      <w:r w:rsidRPr="00565E15">
        <w:t xml:space="preserve"> </w:t>
      </w:r>
      <w:r w:rsidRPr="00565E15">
        <w:rPr>
          <w:i/>
        </w:rPr>
        <w:t>Id</w:t>
      </w:r>
      <w:r w:rsidRPr="00565E15">
        <w:t>.</w:t>
      </w:r>
    </w:p>
  </w:footnote>
  <w:footnote w:id="142">
    <w:p w:rsidR="0031180A" w:rsidRPr="00565E15" w:rsidRDefault="0031180A" w:rsidP="006C38A0">
      <w:pPr>
        <w:pStyle w:val="FootnoteText"/>
      </w:pPr>
      <w:r w:rsidRPr="00565E15">
        <w:rPr>
          <w:rStyle w:val="FootnoteReference"/>
        </w:rPr>
        <w:footnoteRef/>
      </w:r>
      <w:r w:rsidRPr="00565E15">
        <w:t xml:space="preserve"> </w:t>
      </w:r>
      <w:r w:rsidRPr="00565E15">
        <w:rPr>
          <w:i/>
        </w:rPr>
        <w:t>Id</w:t>
      </w:r>
      <w:r w:rsidRPr="00565E15">
        <w:t>.,</w:t>
      </w:r>
      <w:r w:rsidRPr="004C002D">
        <w:t xml:space="preserve"> </w:t>
      </w:r>
      <w:r w:rsidRPr="00565E15">
        <w:t>29 FCC Rcd at 10775, para. 20.</w:t>
      </w:r>
    </w:p>
  </w:footnote>
  <w:footnote w:id="143">
    <w:p w:rsidR="0031180A" w:rsidRPr="00565E15" w:rsidRDefault="0031180A" w:rsidP="006C38A0">
      <w:pPr>
        <w:pStyle w:val="FootnoteText"/>
      </w:pPr>
      <w:r w:rsidRPr="00565E15">
        <w:rPr>
          <w:rStyle w:val="FootnoteReference"/>
        </w:rPr>
        <w:footnoteRef/>
      </w:r>
      <w:r w:rsidRPr="00565E15">
        <w:t xml:space="preserve"> </w:t>
      </w:r>
      <w:r w:rsidRPr="00565E15">
        <w:rPr>
          <w:i/>
        </w:rPr>
        <w:t>Id.</w:t>
      </w:r>
      <w:r w:rsidRPr="00565E15">
        <w:t xml:space="preserve"> (observing that many small entities “are subject to little Commission oversight and regulation which serves to further exacerbate this inequity [of the administrative burden].”).</w:t>
      </w:r>
    </w:p>
  </w:footnote>
  <w:footnote w:id="144">
    <w:p w:rsidR="0031180A" w:rsidRDefault="0031180A" w:rsidP="006C38A0">
      <w:pPr>
        <w:pStyle w:val="FootnoteText"/>
      </w:pPr>
      <w:r>
        <w:rPr>
          <w:rStyle w:val="FootnoteReference"/>
        </w:rPr>
        <w:footnoteRef/>
      </w:r>
      <w:r>
        <w:t xml:space="preserve"> ACA Comments at 7-10; CMA Comments at 4; EWA Comments at 2; NAB Comments at 1-2; Romar Reply Comments at 2-3.</w:t>
      </w:r>
    </w:p>
  </w:footnote>
  <w:footnote w:id="145">
    <w:p w:rsidR="0031180A" w:rsidRPr="00565E15" w:rsidRDefault="0031180A" w:rsidP="006C38A0">
      <w:pPr>
        <w:pStyle w:val="FootnoteText"/>
      </w:pPr>
      <w:r w:rsidRPr="00565E15">
        <w:rPr>
          <w:rStyle w:val="FootnoteReference"/>
        </w:rPr>
        <w:footnoteRef/>
      </w:r>
      <w:r>
        <w:t xml:space="preserve"> </w:t>
      </w:r>
      <w:r w:rsidRPr="004C002D">
        <w:rPr>
          <w:i/>
        </w:rPr>
        <w:t>Id</w:t>
      </w:r>
      <w:r w:rsidRPr="00565E15">
        <w:t>.</w:t>
      </w:r>
    </w:p>
  </w:footnote>
  <w:footnote w:id="146">
    <w:p w:rsidR="0031180A" w:rsidRPr="00565E15" w:rsidRDefault="0031180A" w:rsidP="006C38A0">
      <w:pPr>
        <w:pStyle w:val="FootnoteText"/>
      </w:pPr>
      <w:r w:rsidRPr="00565E15">
        <w:rPr>
          <w:rStyle w:val="FootnoteReference"/>
        </w:rPr>
        <w:footnoteRef/>
      </w:r>
      <w:r w:rsidRPr="00565E15">
        <w:t xml:space="preserve"> </w:t>
      </w:r>
      <w:r w:rsidRPr="00565E15">
        <w:rPr>
          <w:i/>
        </w:rPr>
        <w:t>Id</w:t>
      </w:r>
      <w:r w:rsidRPr="00565E15">
        <w:t>.</w:t>
      </w:r>
    </w:p>
  </w:footnote>
  <w:footnote w:id="147">
    <w:p w:rsidR="0031180A" w:rsidRDefault="0031180A" w:rsidP="006C38A0">
      <w:pPr>
        <w:pStyle w:val="FootnoteText"/>
      </w:pPr>
      <w:r>
        <w:rPr>
          <w:rStyle w:val="FootnoteReference"/>
        </w:rPr>
        <w:footnoteRef/>
      </w:r>
      <w:r>
        <w:t xml:space="preserve"> EWA Comments at 2-4.</w:t>
      </w:r>
    </w:p>
  </w:footnote>
  <w:footnote w:id="148">
    <w:p w:rsidR="0031180A" w:rsidRDefault="0031180A" w:rsidP="006C38A0">
      <w:pPr>
        <w:pStyle w:val="FootnoteText"/>
      </w:pPr>
      <w:r>
        <w:rPr>
          <w:rStyle w:val="FootnoteReference"/>
        </w:rPr>
        <w:footnoteRef/>
      </w:r>
      <w:r>
        <w:t xml:space="preserve"> ACA Comments at 9 (explaining that the small operators may also provide VoIP services and may not be de minimis under the $1000 threshold proposed).</w:t>
      </w:r>
    </w:p>
  </w:footnote>
  <w:footnote w:id="149">
    <w:p w:rsidR="0031180A" w:rsidRDefault="0031180A" w:rsidP="006C38A0">
      <w:pPr>
        <w:pStyle w:val="FootnoteText"/>
      </w:pPr>
      <w:r>
        <w:rPr>
          <w:rStyle w:val="FootnoteReference"/>
        </w:rPr>
        <w:footnoteRef/>
      </w:r>
      <w:r>
        <w:t xml:space="preserve"> </w:t>
      </w:r>
      <w:r w:rsidRPr="00AA5A1C">
        <w:rPr>
          <w:i/>
        </w:rPr>
        <w:t>See FY 2014 Report and Order</w:t>
      </w:r>
      <w:r>
        <w:t>, 29 FCC Rcd at 10775, para. 21 (explaining how to calculate the regulatory fee total to determine if it is below the de minimis threshold).</w:t>
      </w:r>
    </w:p>
  </w:footnote>
  <w:footnote w:id="150">
    <w:p w:rsidR="0031180A" w:rsidRDefault="0031180A">
      <w:pPr>
        <w:pStyle w:val="FootnoteText"/>
      </w:pPr>
      <w:r>
        <w:rPr>
          <w:rStyle w:val="FootnoteReference"/>
        </w:rPr>
        <w:footnoteRef/>
      </w:r>
      <w:r>
        <w:t xml:space="preserve"> </w:t>
      </w:r>
      <w:r w:rsidRPr="00C13985">
        <w:rPr>
          <w:i/>
        </w:rPr>
        <w:t>FY 2008 FNPRM</w:t>
      </w:r>
      <w:r>
        <w:t>, 24 FCC Rcd at 6407-6408, paras. 51-52.</w:t>
      </w:r>
    </w:p>
  </w:footnote>
  <w:footnote w:id="151">
    <w:p w:rsidR="0031180A" w:rsidRDefault="0031180A" w:rsidP="00C44ED0">
      <w:pPr>
        <w:pStyle w:val="FootnoteText"/>
      </w:pPr>
      <w:r>
        <w:rPr>
          <w:rStyle w:val="FootnoteReference"/>
        </w:rPr>
        <w:footnoteRef/>
      </w:r>
      <w:r>
        <w:t xml:space="preserve"> Sixty-four Kbps is the unit of measurement for voice grade circuits; submarine cable, terrestrial, and satellite international bearer circuits are now largely used for data.  </w:t>
      </w:r>
    </w:p>
  </w:footnote>
  <w:footnote w:id="152">
    <w:p w:rsidR="0031180A" w:rsidRDefault="0031180A" w:rsidP="00C44ED0">
      <w:pPr>
        <w:pStyle w:val="FootnoteText"/>
      </w:pPr>
      <w:r>
        <w:rPr>
          <w:rStyle w:val="FootnoteReference"/>
        </w:rPr>
        <w:footnoteRef/>
      </w:r>
      <w:r>
        <w:t xml:space="preserve"> </w:t>
      </w:r>
      <w:r w:rsidRPr="00970C60">
        <w:rPr>
          <w:i/>
        </w:rPr>
        <w:t>Submarine Cable Order</w:t>
      </w:r>
      <w:r>
        <w:t>, 24 FCC Rcd at 4215-16, para. 16.</w:t>
      </w:r>
    </w:p>
  </w:footnote>
  <w:footnote w:id="153">
    <w:p w:rsidR="0031180A" w:rsidRDefault="0031180A">
      <w:pPr>
        <w:pStyle w:val="FootnoteText"/>
      </w:pPr>
      <w:r>
        <w:rPr>
          <w:rStyle w:val="FootnoteReference"/>
        </w:rPr>
        <w:footnoteRef/>
      </w:r>
      <w:r>
        <w:t xml:space="preserve"> Level 3 June 29, 2017 ex parte at 1.</w:t>
      </w:r>
    </w:p>
  </w:footnote>
  <w:footnote w:id="154">
    <w:p w:rsidR="0031180A" w:rsidRDefault="0031180A">
      <w:pPr>
        <w:pStyle w:val="FootnoteText"/>
      </w:pPr>
      <w:r>
        <w:rPr>
          <w:rStyle w:val="FootnoteReference"/>
        </w:rPr>
        <w:footnoteRef/>
      </w:r>
      <w:r>
        <w:t xml:space="preserve"> AT&amp;T Reply Comments at 3.</w:t>
      </w:r>
    </w:p>
  </w:footnote>
  <w:footnote w:id="155">
    <w:p w:rsidR="0031180A" w:rsidRDefault="0031180A" w:rsidP="00E02EC0">
      <w:pPr>
        <w:pStyle w:val="FootnoteText"/>
      </w:pPr>
      <w:r>
        <w:rPr>
          <w:rStyle w:val="FootnoteReference"/>
        </w:rPr>
        <w:footnoteRef/>
      </w:r>
      <w:r>
        <w:t xml:space="preserve"> Coalition Comments at 8-10.</w:t>
      </w:r>
    </w:p>
  </w:footnote>
  <w:footnote w:id="156">
    <w:p w:rsidR="0031180A" w:rsidRDefault="0031180A" w:rsidP="00E02EC0">
      <w:pPr>
        <w:pStyle w:val="FootnoteText"/>
      </w:pPr>
      <w:r>
        <w:rPr>
          <w:rStyle w:val="FootnoteReference"/>
        </w:rPr>
        <w:footnoteRef/>
      </w:r>
      <w:r>
        <w:t xml:space="preserve"> Coalition Comments at 9.</w:t>
      </w:r>
    </w:p>
  </w:footnote>
  <w:footnote w:id="157">
    <w:p w:rsidR="0031180A" w:rsidRDefault="0031180A" w:rsidP="00E02EC0">
      <w:pPr>
        <w:pStyle w:val="FootnoteText"/>
      </w:pPr>
      <w:r>
        <w:rPr>
          <w:rStyle w:val="FootnoteReference"/>
        </w:rPr>
        <w:footnoteRef/>
      </w:r>
      <w:r>
        <w:t xml:space="preserve"> CTIA Reply at 8.</w:t>
      </w:r>
    </w:p>
  </w:footnote>
  <w:footnote w:id="158">
    <w:p w:rsidR="0031180A" w:rsidRDefault="0031180A" w:rsidP="00E02EC0">
      <w:pPr>
        <w:pStyle w:val="FootnoteText"/>
      </w:pPr>
      <w:r>
        <w:rPr>
          <w:rStyle w:val="FootnoteReference"/>
        </w:rPr>
        <w:footnoteRef/>
      </w:r>
      <w:r>
        <w:t xml:space="preserve"> CTIA Reply at 9.</w:t>
      </w:r>
    </w:p>
  </w:footnote>
  <w:footnote w:id="159">
    <w:p w:rsidR="0031180A" w:rsidRDefault="0031180A">
      <w:pPr>
        <w:pStyle w:val="FootnoteText"/>
      </w:pPr>
      <w:r>
        <w:rPr>
          <w:rStyle w:val="FootnoteReference"/>
        </w:rPr>
        <w:footnoteRef/>
      </w:r>
      <w:r>
        <w:t xml:space="preserve"> </w:t>
      </w:r>
      <w:r>
        <w:rPr>
          <w:i/>
        </w:rPr>
        <w:t>FY 2008 FNPRM</w:t>
      </w:r>
      <w:r>
        <w:t>, 24 FCC Rcd at 6407-6408, paras. 51-52.</w:t>
      </w:r>
    </w:p>
  </w:footnote>
  <w:footnote w:id="160">
    <w:p w:rsidR="0031180A" w:rsidRDefault="0031180A">
      <w:pPr>
        <w:pStyle w:val="FootnoteText"/>
      </w:pPr>
      <w:r>
        <w:rPr>
          <w:rStyle w:val="FootnoteReference"/>
        </w:rPr>
        <w:footnoteRef/>
      </w:r>
      <w:r>
        <w:t xml:space="preserve"> This is essentially the same methodology we sought comment on in the </w:t>
      </w:r>
      <w:r w:rsidRPr="00281A13">
        <w:rPr>
          <w:i/>
        </w:rPr>
        <w:t>FY 2008 FNPRM</w:t>
      </w:r>
      <w:r>
        <w:t>.</w:t>
      </w:r>
    </w:p>
  </w:footnote>
  <w:footnote w:id="161">
    <w:p w:rsidR="0031180A" w:rsidRDefault="0031180A" w:rsidP="003B7F57">
      <w:pPr>
        <w:pStyle w:val="FootnoteText"/>
      </w:pPr>
      <w:r>
        <w:rPr>
          <w:rStyle w:val="FootnoteReference"/>
        </w:rPr>
        <w:footnoteRef/>
      </w:r>
      <w:r>
        <w:t xml:space="preserve"> Office of Management and Budget (OMB) Memorandum M-10-06, Open Government Directive, Dec. 8, 2009; </w:t>
      </w:r>
      <w:r>
        <w:rPr>
          <w:i/>
          <w:iCs/>
        </w:rPr>
        <w:t>see also</w:t>
      </w:r>
      <w:r>
        <w:t xml:space="preserve"> </w:t>
      </w:r>
      <w:hyperlink r:id="rId13" w:history="1">
        <w:r>
          <w:rPr>
            <w:rStyle w:val="Hyperlink"/>
          </w:rPr>
          <w:t>http://www.whitehouse.gov/the-press-office/2011/06/13/executive-order-13576-delivering-efficient-effective-and-accountable-gov</w:t>
        </w:r>
      </w:hyperlink>
      <w:r>
        <w:t>.</w:t>
      </w:r>
    </w:p>
  </w:footnote>
  <w:footnote w:id="162">
    <w:p w:rsidR="0031180A" w:rsidRDefault="0031180A" w:rsidP="003B7F57">
      <w:pPr>
        <w:pStyle w:val="FootnoteText"/>
      </w:pPr>
      <w:r>
        <w:rPr>
          <w:rStyle w:val="FootnoteReference"/>
        </w:rPr>
        <w:footnoteRef/>
      </w:r>
      <w:r>
        <w:t xml:space="preserve"> </w:t>
      </w:r>
      <w:r>
        <w:rPr>
          <w:i/>
          <w:iCs/>
        </w:rPr>
        <w:t>See</w:t>
      </w:r>
      <w:r>
        <w:t xml:space="preserve"> U.S. Department of the Treasury, Open Government Plan 2.1, Sept. 2012.</w:t>
      </w:r>
    </w:p>
  </w:footnote>
  <w:footnote w:id="163">
    <w:p w:rsidR="0031180A" w:rsidRDefault="0031180A" w:rsidP="003B7F57">
      <w:pPr>
        <w:pStyle w:val="FootnoteText"/>
      </w:pPr>
      <w:r>
        <w:rPr>
          <w:rStyle w:val="FootnoteReference"/>
        </w:rPr>
        <w:footnoteRef/>
      </w:r>
      <w:r>
        <w:t xml:space="preserve"> </w:t>
      </w:r>
      <w:r w:rsidRPr="00AC5999">
        <w:rPr>
          <w:i/>
        </w:rPr>
        <w:t>FY 2015 Report and Order</w:t>
      </w:r>
      <w:r>
        <w:t>, 30 FCC Rcd at 10282-83, para. 35.</w:t>
      </w:r>
    </w:p>
  </w:footnote>
  <w:footnote w:id="164">
    <w:p w:rsidR="0031180A" w:rsidRDefault="0031180A" w:rsidP="003B7F57">
      <w:pPr>
        <w:pStyle w:val="FootnoteText"/>
      </w:pPr>
      <w:r>
        <w:rPr>
          <w:rStyle w:val="FootnoteReference"/>
        </w:rPr>
        <w:footnoteRef/>
      </w:r>
      <w:r>
        <w:t xml:space="preserve"> </w:t>
      </w:r>
      <w:r w:rsidRPr="00F12B45">
        <w:t>Customers who owe an amount on a bill, debt, or other obligation due to the federal government are prohibited from splitting the total amount due into multiple payments.  Splitting an amount owed into several payment transactions violates the credit card network and Fiscal Service rules.  An amount owed that exceeds the Fiscal Service maximum dollar amount, $24,999.99, may not be split into two or more payment transactions in the same day by using one or multiple cards.  Also, an amount owed that exceeds the Fiscal Service maximum dollar amount may not be split into two or more transactions over multiple days by using one or more cards</w:t>
      </w:r>
      <w:r>
        <w:t>.</w:t>
      </w:r>
    </w:p>
  </w:footnote>
  <w:footnote w:id="165">
    <w:p w:rsidR="0031180A" w:rsidRPr="00B60211" w:rsidRDefault="0031180A" w:rsidP="003B7F57">
      <w:pPr>
        <w:pStyle w:val="FootnoteText"/>
      </w:pPr>
      <w:r w:rsidRPr="00B60211">
        <w:rPr>
          <w:rStyle w:val="FootnoteReference"/>
        </w:rPr>
        <w:footnoteRef/>
      </w:r>
      <w:r w:rsidRPr="00B60211">
        <w:t xml:space="preserve"> In accordance with U.S. Treasury Financial Manual Announcement No. A-201</w:t>
      </w:r>
      <w:r>
        <w:t>4</w:t>
      </w:r>
      <w:r w:rsidRPr="00B60211">
        <w:t>-0</w:t>
      </w:r>
      <w:r>
        <w:t>4 (July 2014)</w:t>
      </w:r>
      <w:r w:rsidRPr="00B60211">
        <w:t xml:space="preserve">, the </w:t>
      </w:r>
      <w:r>
        <w:t>amount that may be charged on a credit card for transactions with federal agencies has been reduced to $24,999.99.</w:t>
      </w:r>
    </w:p>
  </w:footnote>
  <w:footnote w:id="166">
    <w:p w:rsidR="0031180A" w:rsidRPr="00B60211" w:rsidRDefault="0031180A" w:rsidP="003B7F57">
      <w:pPr>
        <w:pStyle w:val="FootnoteText"/>
      </w:pPr>
      <w:r w:rsidRPr="00B60211">
        <w:rPr>
          <w:rStyle w:val="FootnoteReference"/>
        </w:rPr>
        <w:footnoteRef/>
      </w:r>
      <w:r w:rsidRPr="00B60211">
        <w:t xml:space="preserve"> In accordance with U.S. Treasury Financial Manual Announcement No. A-2012-02, the maximum dollar-value limit for debit card transactions </w:t>
      </w:r>
      <w:r>
        <w:t>is eliminated.  O</w:t>
      </w:r>
      <w:r w:rsidRPr="00B60211">
        <w:t>nly Visa and MasterCard branded debit cards are accepted by Pay.gov.</w:t>
      </w:r>
    </w:p>
  </w:footnote>
  <w:footnote w:id="167">
    <w:p w:rsidR="0031180A" w:rsidRPr="00B60211" w:rsidRDefault="0031180A" w:rsidP="003B7F57">
      <w:pPr>
        <w:pStyle w:val="FootnoteText"/>
      </w:pPr>
      <w:r w:rsidRPr="00B60211">
        <w:rPr>
          <w:rStyle w:val="FootnoteReference"/>
        </w:rPr>
        <w:footnoteRef/>
      </w:r>
      <w:r w:rsidRPr="00B60211">
        <w:t xml:space="preserve"> Audio bridging services are </w:t>
      </w:r>
      <w:r>
        <w:t>toll teleconferencing services</w:t>
      </w:r>
      <w:r w:rsidRPr="00B60211">
        <w:t xml:space="preserve">. </w:t>
      </w:r>
    </w:p>
  </w:footnote>
  <w:footnote w:id="168">
    <w:p w:rsidR="0031180A" w:rsidRDefault="0031180A">
      <w:pPr>
        <w:pStyle w:val="FootnoteText"/>
      </w:pPr>
      <w:r>
        <w:rPr>
          <w:rStyle w:val="FootnoteReference"/>
        </w:rPr>
        <w:footnoteRef/>
      </w:r>
      <w:r>
        <w:t xml:space="preserve"> 47 CFR § 52.103.</w:t>
      </w:r>
    </w:p>
  </w:footnote>
  <w:footnote w:id="169">
    <w:p w:rsidR="0031180A" w:rsidRPr="00B60211" w:rsidRDefault="0031180A" w:rsidP="003B7F57">
      <w:pPr>
        <w:pStyle w:val="FootnoteText"/>
      </w:pPr>
      <w:r w:rsidRPr="00B60211">
        <w:rPr>
          <w:rStyle w:val="FootnoteReference"/>
          <w:color w:val="000000"/>
        </w:rPr>
        <w:footnoteRef/>
      </w:r>
      <w:r w:rsidRPr="00B60211">
        <w:rPr>
          <w:color w:val="000000"/>
        </w:rPr>
        <w:t xml:space="preserve"> Cable television system operators should compute their number of basic subscribers as follows: Number of single family dwellings + number of individual households in multiple dwelling unit (apartments, condominiums, mobile home parks, </w:t>
      </w:r>
      <w:r w:rsidRPr="006F6C54">
        <w:rPr>
          <w:color w:val="000000"/>
        </w:rPr>
        <w:t>etc.</w:t>
      </w:r>
      <w:r w:rsidRPr="00B60211">
        <w:rPr>
          <w:color w:val="000000"/>
        </w:rPr>
        <w:t>) paying at the basic subscriber rate + bulk rate customers + courtesy and free service.  Note: Bulk-Rate Customers = Total annual bulk-rate charge divided by basic annual subscription rate for individual households.  Operators may base their count on “a typical day in the last full week” of December 201</w:t>
      </w:r>
      <w:r>
        <w:rPr>
          <w:color w:val="000000"/>
        </w:rPr>
        <w:t>6</w:t>
      </w:r>
      <w:r w:rsidRPr="00B60211">
        <w:rPr>
          <w:color w:val="000000"/>
        </w:rPr>
        <w:t>, rather than on a count as of December 31, 201</w:t>
      </w:r>
      <w:r>
        <w:rPr>
          <w:color w:val="000000"/>
        </w:rPr>
        <w:t>6</w:t>
      </w:r>
      <w:r w:rsidRPr="00B60211">
        <w:rPr>
          <w:color w:val="000000"/>
        </w:rPr>
        <w:t xml:space="preserve">. </w:t>
      </w:r>
    </w:p>
  </w:footnote>
  <w:footnote w:id="170">
    <w:p w:rsidR="0031180A" w:rsidRDefault="0031180A" w:rsidP="003B7F57">
      <w:pPr>
        <w:pStyle w:val="FootnoteText"/>
      </w:pPr>
      <w:r>
        <w:rPr>
          <w:rStyle w:val="FootnoteReference"/>
        </w:rPr>
        <w:footnoteRef/>
      </w:r>
      <w:r>
        <w:t xml:space="preserve"> </w:t>
      </w:r>
      <w:r w:rsidRPr="0041294C">
        <w:t xml:space="preserve">We encourage terrestrial and satellite service providers to seek guidance from the International Bureau’s </w:t>
      </w:r>
      <w:r>
        <w:t>Telecommunications and Analysis</w:t>
      </w:r>
      <w:r w:rsidRPr="0041294C">
        <w:t xml:space="preserve"> Division to verify their IBC reporting processes to ensure that their </w:t>
      </w:r>
      <w:r>
        <w:t xml:space="preserve">calculation </w:t>
      </w:r>
      <w:r w:rsidRPr="0041294C">
        <w:t>methods comply with our rules.</w:t>
      </w:r>
    </w:p>
  </w:footnote>
  <w:footnote w:id="171">
    <w:p w:rsidR="0031180A" w:rsidRDefault="0031180A" w:rsidP="003B7F57">
      <w:pPr>
        <w:pStyle w:val="FootnoteText"/>
      </w:pPr>
      <w:r>
        <w:rPr>
          <w:rStyle w:val="FootnoteReference"/>
        </w:rPr>
        <w:footnoteRef/>
      </w:r>
      <w:r>
        <w:t xml:space="preserve"> </w:t>
      </w:r>
      <w:r w:rsidRPr="00B63CEE">
        <w:rPr>
          <w:szCs w:val="22"/>
        </w:rPr>
        <w:t>We remind facilities-based common carriers to review their reporting processes to ensure that they accurately calculate and report IBCs.</w:t>
      </w:r>
      <w:r w:rsidRPr="00635F72">
        <w:rPr>
          <w:snapToGrid w:val="0"/>
          <w:kern w:val="28"/>
          <w:sz w:val="22"/>
          <w:szCs w:val="22"/>
        </w:rPr>
        <w:t xml:space="preserve"> </w:t>
      </w:r>
      <w:r>
        <w:rPr>
          <w:snapToGrid w:val="0"/>
          <w:kern w:val="28"/>
          <w:sz w:val="22"/>
          <w:szCs w:val="22"/>
        </w:rPr>
        <w:t xml:space="preserve"> </w:t>
      </w:r>
    </w:p>
  </w:footnote>
  <w:footnote w:id="172">
    <w:p w:rsidR="0031180A" w:rsidRDefault="0031180A" w:rsidP="003B7F57">
      <w:pPr>
        <w:pStyle w:val="FootnoteText"/>
      </w:pPr>
      <w:r>
        <w:rPr>
          <w:rStyle w:val="FootnoteReference"/>
        </w:rPr>
        <w:footnoteRef/>
      </w:r>
      <w:r>
        <w:t xml:space="preserve"> </w:t>
      </w:r>
      <w:r>
        <w:rPr>
          <w:i/>
          <w:iCs/>
        </w:rPr>
        <w:t xml:space="preserve">See FY 2005 Report and Order, </w:t>
      </w:r>
      <w:r>
        <w:t>20 FCC Rcd at 12264, paras. 38-44.</w:t>
      </w:r>
    </w:p>
  </w:footnote>
  <w:footnote w:id="173">
    <w:p w:rsidR="0031180A" w:rsidRDefault="0031180A" w:rsidP="003B7F57">
      <w:pPr>
        <w:pStyle w:val="FootnoteText"/>
      </w:pPr>
      <w:r>
        <w:rPr>
          <w:rStyle w:val="FootnoteReference"/>
        </w:rPr>
        <w:footnoteRef/>
      </w:r>
      <w:r>
        <w:t xml:space="preserve"> In the supporting documentation, the provider will need to state a reason for the change, such as a purchase or sale of a subsidiary, the date of the transaction, and any other pertinent information that will help to justify a reason for the change.</w:t>
      </w:r>
    </w:p>
  </w:footnote>
  <w:footnote w:id="174">
    <w:p w:rsidR="0031180A" w:rsidRPr="00B60211" w:rsidRDefault="0031180A" w:rsidP="003B7F57">
      <w:pPr>
        <w:pStyle w:val="FootnoteText"/>
      </w:pPr>
      <w:r w:rsidRPr="00B60211">
        <w:rPr>
          <w:rStyle w:val="FootnoteReference"/>
        </w:rPr>
        <w:footnoteRef/>
      </w:r>
      <w:r w:rsidRPr="00B60211">
        <w:t xml:space="preserve"> 47 U.S.C. § 159(c).</w:t>
      </w:r>
    </w:p>
  </w:footnote>
  <w:footnote w:id="175">
    <w:p w:rsidR="0031180A" w:rsidRPr="00B60211" w:rsidRDefault="0031180A" w:rsidP="003B7F57">
      <w:pPr>
        <w:pStyle w:val="FootnoteText"/>
      </w:pPr>
      <w:r w:rsidRPr="00B60211">
        <w:rPr>
          <w:rStyle w:val="FootnoteReference"/>
        </w:rPr>
        <w:footnoteRef/>
      </w:r>
      <w:r w:rsidRPr="00B60211">
        <w:t xml:space="preserve"> </w:t>
      </w:r>
      <w:r w:rsidRPr="00B60211">
        <w:rPr>
          <w:i/>
        </w:rPr>
        <w:t>See</w:t>
      </w:r>
      <w:r w:rsidRPr="00B60211">
        <w:t xml:space="preserve"> 47 CFR § 1.1910.</w:t>
      </w:r>
    </w:p>
  </w:footnote>
  <w:footnote w:id="176">
    <w:p w:rsidR="0031180A" w:rsidRPr="00B60211" w:rsidRDefault="0031180A" w:rsidP="003B7F57">
      <w:pPr>
        <w:pStyle w:val="FootnoteText"/>
      </w:pPr>
      <w:r w:rsidRPr="00B60211">
        <w:rPr>
          <w:rStyle w:val="FootnoteReference"/>
        </w:rPr>
        <w:footnoteRef/>
      </w:r>
      <w:r w:rsidRPr="00B60211">
        <w:t xml:space="preserve"> </w:t>
      </w:r>
      <w:r>
        <w:rPr>
          <w:snapToGrid w:val="0"/>
        </w:rPr>
        <w:t>Delinquent debt owed to the Commission triggers the “red light rule,</w:t>
      </w:r>
      <w:r w:rsidRPr="00177232">
        <w:rPr>
          <w:snapToGrid w:val="0"/>
        </w:rPr>
        <w:t xml:space="preserve">” </w:t>
      </w:r>
      <w:r w:rsidRPr="00177232">
        <w:rPr>
          <w:bCs/>
          <w:snapToGrid w:val="0"/>
        </w:rPr>
        <w:t>which places a hold on the processing of pending applications, fee offsets, and pending disbursement payments.</w:t>
      </w:r>
      <w:r>
        <w:rPr>
          <w:snapToGrid w:val="0"/>
        </w:rPr>
        <w:t xml:space="preserve">  47 CFR §§ 1.1910, 1.1911, 1.1912.  </w:t>
      </w:r>
      <w:r w:rsidRPr="002463C3">
        <w:rPr>
          <w:snapToGrid w:val="0"/>
        </w:rPr>
        <w:t>In 2004, the Commission adopted rules implementing the requirements of the DCIA.</w:t>
      </w:r>
      <w:r>
        <w:rPr>
          <w:snapToGrid w:val="0"/>
        </w:rPr>
        <w:t xml:space="preserve">  </w:t>
      </w:r>
      <w:r w:rsidRPr="002463C3">
        <w:rPr>
          <w:i/>
          <w:iCs/>
          <w:snapToGrid w:val="0"/>
        </w:rPr>
        <w:t>See</w:t>
      </w:r>
      <w:r w:rsidRPr="002463C3">
        <w:rPr>
          <w:snapToGrid w:val="0"/>
        </w:rPr>
        <w:t xml:space="preserve"> </w:t>
      </w:r>
      <w:r w:rsidRPr="002463C3">
        <w:rPr>
          <w:i/>
          <w:iCs/>
          <w:snapToGrid w:val="0"/>
        </w:rPr>
        <w:t>Amendment</w:t>
      </w:r>
      <w:r>
        <w:rPr>
          <w:i/>
          <w:iCs/>
          <w:snapToGrid w:val="0"/>
        </w:rPr>
        <w:t xml:space="preserve"> of Parts 0 and 1 of the Commission’s Rules</w:t>
      </w:r>
      <w:r>
        <w:rPr>
          <w:snapToGrid w:val="0"/>
        </w:rPr>
        <w:t>, MD Docket No. 02-339, Report and Order, 19 FCC Rcd 6540 (2004); 47 CFR Part 1, Subpart O, Collection of Claims Owed the United States.</w:t>
      </w:r>
    </w:p>
  </w:footnote>
  <w:footnote w:id="177">
    <w:p w:rsidR="0031180A" w:rsidRPr="00B60211" w:rsidRDefault="0031180A" w:rsidP="003B7F57">
      <w:pPr>
        <w:pStyle w:val="FootnoteText"/>
      </w:pPr>
      <w:r w:rsidRPr="00B60211">
        <w:rPr>
          <w:rStyle w:val="FootnoteReference"/>
        </w:rPr>
        <w:footnoteRef/>
      </w:r>
      <w:r w:rsidRPr="00B60211">
        <w:t xml:space="preserve"> 47 CFR § 1.1940(d).</w:t>
      </w:r>
    </w:p>
  </w:footnote>
  <w:footnote w:id="178">
    <w:p w:rsidR="0031180A" w:rsidRPr="00B60211" w:rsidRDefault="0031180A" w:rsidP="003B7F57">
      <w:pPr>
        <w:pStyle w:val="FootnoteText"/>
      </w:pPr>
      <w:r w:rsidRPr="00B60211">
        <w:rPr>
          <w:rStyle w:val="FootnoteReference"/>
        </w:rPr>
        <w:footnoteRef/>
      </w:r>
      <w:r w:rsidRPr="00B60211">
        <w:t xml:space="preserve"> </w:t>
      </w:r>
      <w:r w:rsidRPr="00B60211">
        <w:rPr>
          <w:i/>
        </w:rPr>
        <w:t>See</w:t>
      </w:r>
      <w:r w:rsidRPr="00B60211">
        <w:t xml:space="preserve"> 47 CFR §§ 1.1161(c), 1.1164(f)(5), and 1.1910.  </w:t>
      </w:r>
    </w:p>
  </w:footnote>
  <w:footnote w:id="179">
    <w:p w:rsidR="0031180A" w:rsidRDefault="0031180A" w:rsidP="003B7F57">
      <w:pPr>
        <w:pStyle w:val="FootnoteText"/>
      </w:pPr>
      <w:r>
        <w:rPr>
          <w:rStyle w:val="FootnoteReference"/>
        </w:rPr>
        <w:footnoteRef/>
      </w:r>
      <w:r>
        <w:t xml:space="preserve"> 47 U.S.C. § 159.</w:t>
      </w:r>
    </w:p>
  </w:footnote>
  <w:footnote w:id="180">
    <w:p w:rsidR="0031180A" w:rsidRDefault="0031180A" w:rsidP="003B7F57">
      <w:pPr>
        <w:pStyle w:val="FootnoteText"/>
      </w:pPr>
      <w:r>
        <w:rPr>
          <w:rStyle w:val="FootnoteReference"/>
        </w:rPr>
        <w:footnoteRef/>
      </w:r>
      <w:r>
        <w:t xml:space="preserve"> </w:t>
      </w:r>
      <w:r>
        <w:rPr>
          <w:i/>
          <w:iCs/>
        </w:rPr>
        <w:t>See</w:t>
      </w:r>
      <w:r>
        <w:t xml:space="preserve"> 31 U.S.C. § 3711(g); 31 CFR § 285.12; 47 CFR § 1.1917.</w:t>
      </w:r>
    </w:p>
  </w:footnote>
  <w:footnote w:id="181">
    <w:p w:rsidR="0031180A" w:rsidRPr="00B60211" w:rsidRDefault="0031180A" w:rsidP="003B7F57">
      <w:pPr>
        <w:pStyle w:val="FootnoteText"/>
      </w:pPr>
      <w:r w:rsidRPr="00B60211">
        <w:rPr>
          <w:rStyle w:val="FootnoteReference"/>
        </w:rPr>
        <w:footnoteRef/>
      </w:r>
      <w:r w:rsidRPr="00B60211">
        <w:t xml:space="preserve"> </w:t>
      </w:r>
      <w:r w:rsidRPr="00B60211">
        <w:rPr>
          <w:i/>
        </w:rPr>
        <w:t>See</w:t>
      </w:r>
      <w:r w:rsidRPr="00B60211">
        <w:t xml:space="preserve"> 5 U.S.C. § 603.  The RFA, </w:t>
      </w:r>
      <w:r w:rsidRPr="00B60211">
        <w:rPr>
          <w:i/>
        </w:rPr>
        <w:t>see</w:t>
      </w:r>
      <w:r w:rsidRPr="00B60211">
        <w:t xml:space="preserve"> 5 U.S.C. §§ 601-612, has been amended by the Small Business Regulatory Enf</w:t>
      </w:r>
      <w:r>
        <w:t>orcement Fairness Act of 1996 (</w:t>
      </w:r>
      <w:r w:rsidRPr="00B60211">
        <w:t xml:space="preserve">SBREFA), Pub. L. No. 104-121, Title II, 110 Stat. 847 (1996).  The SBREFA was enacted as Title II of the Contract </w:t>
      </w:r>
      <w:r>
        <w:t>w</w:t>
      </w:r>
      <w:r w:rsidRPr="00B60211">
        <w:t>ith America Advancement Act of 1996 (CWAAA).</w:t>
      </w:r>
    </w:p>
  </w:footnote>
  <w:footnote w:id="182">
    <w:p w:rsidR="0031180A" w:rsidRDefault="0031180A" w:rsidP="009D2847">
      <w:pPr>
        <w:pStyle w:val="FootnoteText"/>
      </w:pPr>
      <w:r>
        <w:rPr>
          <w:rStyle w:val="FootnoteReference"/>
        </w:rPr>
        <w:footnoteRef/>
      </w:r>
      <w:r>
        <w:t xml:space="preserve"> </w:t>
      </w:r>
      <w:r>
        <w:rPr>
          <w:spacing w:val="-2"/>
          <w:lang w:val="fr-FR"/>
        </w:rPr>
        <w:t xml:space="preserve">5 U.S.C. § 603.  </w:t>
      </w:r>
      <w:r>
        <w:rPr>
          <w:spacing w:val="-2"/>
        </w:rPr>
        <w:t>The RFA, 5 U.S.C. §§ 601-612 has been amended by the Small Business Regulatory Enforcement Fairness Act of 1996 (SBREFA), Pub. L. No. 104-121, Title II, 110 Stat. 847 (1996).</w:t>
      </w:r>
    </w:p>
  </w:footnote>
  <w:footnote w:id="183">
    <w:p w:rsidR="0031180A" w:rsidRDefault="0031180A" w:rsidP="009D2847">
      <w:pPr>
        <w:pStyle w:val="FootnoteText"/>
      </w:pPr>
      <w:r>
        <w:rPr>
          <w:rStyle w:val="FootnoteReference"/>
        </w:rPr>
        <w:footnoteRef/>
      </w:r>
      <w:r>
        <w:t xml:space="preserve"> 5 U.S.C.</w:t>
      </w:r>
      <w:r>
        <w:rPr>
          <w:spacing w:val="-2"/>
        </w:rPr>
        <w:t xml:space="preserve"> §</w:t>
      </w:r>
      <w:r>
        <w:t xml:space="preserve"> 603(a).</w:t>
      </w:r>
    </w:p>
  </w:footnote>
  <w:footnote w:id="184">
    <w:p w:rsidR="0031180A" w:rsidRDefault="0031180A" w:rsidP="009D2847">
      <w:pPr>
        <w:pStyle w:val="FootnoteText"/>
      </w:pPr>
      <w:r>
        <w:rPr>
          <w:rStyle w:val="FootnoteReference"/>
        </w:rPr>
        <w:footnoteRef/>
      </w:r>
      <w:r>
        <w:t xml:space="preserve"> </w:t>
      </w:r>
      <w:r w:rsidRPr="00820DF8">
        <w:rPr>
          <w:i/>
        </w:rPr>
        <w:t>Id.</w:t>
      </w:r>
    </w:p>
  </w:footnote>
  <w:footnote w:id="185">
    <w:p w:rsidR="0031180A" w:rsidRDefault="0031180A" w:rsidP="009D2847">
      <w:pPr>
        <w:pStyle w:val="FootnoteText"/>
      </w:pPr>
      <w:r>
        <w:rPr>
          <w:rStyle w:val="FootnoteReference"/>
        </w:rPr>
        <w:footnoteRef/>
      </w:r>
      <w:r>
        <w:t xml:space="preserve"> 47 U.S.C. </w:t>
      </w:r>
      <w:r>
        <w:rPr>
          <w:rStyle w:val="Footnote"/>
        </w:rPr>
        <w:t xml:space="preserve">§§ </w:t>
      </w:r>
      <w:r>
        <w:t>154(i) and (j), 159, and 303(r).</w:t>
      </w:r>
    </w:p>
  </w:footnote>
  <w:footnote w:id="186">
    <w:p w:rsidR="0031180A" w:rsidRDefault="0031180A" w:rsidP="009D2847">
      <w:pPr>
        <w:pStyle w:val="FootnoteText"/>
      </w:pPr>
      <w:r>
        <w:rPr>
          <w:rStyle w:val="FootnoteReference"/>
        </w:rPr>
        <w:footnoteRef/>
      </w:r>
      <w:r>
        <w:t xml:space="preserve"> </w:t>
      </w:r>
      <w:r>
        <w:rPr>
          <w:rStyle w:val="Footnote"/>
        </w:rPr>
        <w:t>5 U.S.C. § 603(b)(3).</w:t>
      </w:r>
    </w:p>
  </w:footnote>
  <w:footnote w:id="187">
    <w:p w:rsidR="0031180A" w:rsidRDefault="0031180A" w:rsidP="009D2847">
      <w:pPr>
        <w:pStyle w:val="FootnoteText"/>
      </w:pPr>
      <w:r>
        <w:rPr>
          <w:rStyle w:val="FootnoteReference"/>
        </w:rPr>
        <w:footnoteRef/>
      </w:r>
      <w:r>
        <w:t xml:space="preserve"> </w:t>
      </w:r>
      <w:r>
        <w:rPr>
          <w:rStyle w:val="Footnote"/>
        </w:rPr>
        <w:t>5 U.S.C. § 601(6).</w:t>
      </w:r>
    </w:p>
  </w:footnote>
  <w:footnote w:id="188">
    <w:p w:rsidR="0031180A" w:rsidRDefault="0031180A" w:rsidP="009D2847">
      <w:pPr>
        <w:pStyle w:val="FootnoteText"/>
      </w:pPr>
      <w:r>
        <w:rPr>
          <w:rStyle w:val="FootnoteReference"/>
        </w:rPr>
        <w:footnoteRef/>
      </w:r>
      <w:r>
        <w:t xml:space="preserve"> </w:t>
      </w:r>
      <w:r>
        <w:rPr>
          <w:rStyle w:val="Footnote"/>
        </w:rPr>
        <w:t>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w:t>
      </w:r>
      <w:r w:rsidRPr="00357400">
        <w:t xml:space="preserve"> </w:t>
      </w:r>
      <w:r>
        <w:rPr>
          <w:rStyle w:val="Footnote"/>
        </w:rPr>
        <w:t>for public comment, establishes one or more definitions of such term which are appropriate to the activities of the agency and publishes such definition(s) in the Federal Register.”</w:t>
      </w:r>
    </w:p>
  </w:footnote>
  <w:footnote w:id="189">
    <w:p w:rsidR="0031180A" w:rsidRDefault="0031180A" w:rsidP="009D2847">
      <w:pPr>
        <w:pStyle w:val="FootnoteText"/>
      </w:pPr>
      <w:r>
        <w:rPr>
          <w:rStyle w:val="FootnoteReference"/>
        </w:rPr>
        <w:footnoteRef/>
      </w:r>
      <w:r>
        <w:t xml:space="preserve"> </w:t>
      </w:r>
      <w:r>
        <w:rPr>
          <w:rStyle w:val="Footnote"/>
        </w:rPr>
        <w:t>15 U.S.C. § 632.</w:t>
      </w:r>
    </w:p>
  </w:footnote>
  <w:footnote w:id="190">
    <w:p w:rsidR="0031180A" w:rsidRDefault="0031180A" w:rsidP="009D2847">
      <w:pPr>
        <w:pStyle w:val="FootnoteText"/>
      </w:pPr>
      <w:r>
        <w:rPr>
          <w:rStyle w:val="FootnoteReference"/>
        </w:rPr>
        <w:footnoteRef/>
      </w:r>
      <w:r>
        <w:t xml:space="preserve"> </w:t>
      </w:r>
      <w:r w:rsidRPr="00C84780">
        <w:rPr>
          <w:i/>
        </w:rPr>
        <w:t>See</w:t>
      </w:r>
      <w:r>
        <w:t xml:space="preserve"> 5 U.S.C. </w:t>
      </w:r>
      <w:r>
        <w:rPr>
          <w:rStyle w:val="Footnote"/>
        </w:rPr>
        <w:t xml:space="preserve">§ </w:t>
      </w:r>
      <w:r>
        <w:t>601(3)-(6).</w:t>
      </w:r>
    </w:p>
  </w:footnote>
  <w:footnote w:id="191">
    <w:p w:rsidR="0031180A" w:rsidRDefault="0031180A" w:rsidP="009D2847">
      <w:pPr>
        <w:pStyle w:val="FootnoteText"/>
      </w:pPr>
      <w:r>
        <w:rPr>
          <w:rStyle w:val="FootnoteReference"/>
        </w:rPr>
        <w:footnoteRef/>
      </w:r>
      <w:r>
        <w:t xml:space="preserve"> </w:t>
      </w:r>
      <w:r w:rsidRPr="00C84780">
        <w:rPr>
          <w:i/>
        </w:rPr>
        <w:t>See</w:t>
      </w:r>
      <w:r>
        <w:t xml:space="preserve"> SBA, Office of Advocacy, “Frequently Asked Questions,” </w:t>
      </w:r>
      <w:r w:rsidRPr="007F0772">
        <w:t>available at</w:t>
      </w:r>
      <w:r>
        <w:t xml:space="preserve"> </w:t>
      </w:r>
      <w:hyperlink r:id="rId14" w:history="1">
        <w:r w:rsidRPr="00783D14">
          <w:rPr>
            <w:rStyle w:val="Hyperlink"/>
          </w:rPr>
          <w:t>https://www.sba.gov/sites/default/files/advocacy/SB-FAQ-2016_WEB.</w:t>
        </w:r>
      </w:hyperlink>
      <w:r>
        <w:rPr>
          <w:rStyle w:val="Hyperlink"/>
        </w:rPr>
        <w:t>pdf.</w:t>
      </w:r>
    </w:p>
  </w:footnote>
  <w:footnote w:id="192">
    <w:p w:rsidR="0031180A" w:rsidRDefault="0031180A" w:rsidP="009D2847">
      <w:pPr>
        <w:pStyle w:val="FootnoteText"/>
      </w:pPr>
      <w:r>
        <w:rPr>
          <w:rStyle w:val="FootnoteReference"/>
        </w:rPr>
        <w:footnoteRef/>
      </w:r>
      <w:r>
        <w:t xml:space="preserve"> 5 U.S.C. </w:t>
      </w:r>
      <w:r>
        <w:rPr>
          <w:rStyle w:val="Footnote"/>
        </w:rPr>
        <w:t xml:space="preserve">§ </w:t>
      </w:r>
      <w:r>
        <w:t>601(4).</w:t>
      </w:r>
    </w:p>
  </w:footnote>
  <w:footnote w:id="193">
    <w:p w:rsidR="0031180A" w:rsidRDefault="0031180A" w:rsidP="009D2847">
      <w:pPr>
        <w:pStyle w:val="FootnoteText"/>
      </w:pPr>
      <w:r>
        <w:rPr>
          <w:rStyle w:val="FootnoteReference"/>
        </w:rPr>
        <w:footnoteRef/>
      </w:r>
      <w:r>
        <w:t xml:space="preserve"> 5 U.S.C. </w:t>
      </w:r>
      <w:r>
        <w:rPr>
          <w:rStyle w:val="Footnote"/>
        </w:rPr>
        <w:t xml:space="preserve">§ </w:t>
      </w:r>
      <w:r>
        <w:t>601(5).</w:t>
      </w:r>
    </w:p>
  </w:footnote>
  <w:footnote w:id="194">
    <w:p w:rsidR="0031180A" w:rsidRDefault="0031180A" w:rsidP="009D2847">
      <w:pPr>
        <w:pStyle w:val="FootnoteText"/>
      </w:pPr>
      <w:r>
        <w:rPr>
          <w:rStyle w:val="FootnoteReference"/>
        </w:rPr>
        <w:footnoteRef/>
      </w:r>
      <w:r>
        <w:t xml:space="preserve"> </w:t>
      </w:r>
      <w:r w:rsidRPr="00C84780">
        <w:rPr>
          <w:i/>
        </w:rPr>
        <w:t>See</w:t>
      </w:r>
      <w:r>
        <w:t xml:space="preserve"> SBA, Office of Advocacy, “Frequently Asked Questions,” </w:t>
      </w:r>
      <w:r w:rsidRPr="00840BF3">
        <w:t>available at</w:t>
      </w:r>
      <w:r>
        <w:t xml:space="preserve"> </w:t>
      </w:r>
      <w:hyperlink r:id="rId15" w:history="1">
        <w:r w:rsidRPr="00783D14">
          <w:rPr>
            <w:rStyle w:val="Hyperlink"/>
          </w:rPr>
          <w:t>https://www.sba.gov/sites/default/files/advocacy/SB-FAQ-2016_WEB.pdf</w:t>
        </w:r>
      </w:hyperlink>
      <w:r>
        <w:t>.</w:t>
      </w:r>
    </w:p>
  </w:footnote>
  <w:footnote w:id="195">
    <w:p w:rsidR="0031180A" w:rsidRDefault="0031180A" w:rsidP="009D2847">
      <w:pPr>
        <w:pStyle w:val="FootnoteText"/>
      </w:pPr>
      <w:r>
        <w:rPr>
          <w:rStyle w:val="FootnoteReference"/>
        </w:rPr>
        <w:footnoteRef/>
      </w:r>
      <w:r>
        <w:t xml:space="preserve"> The 2011 U.S. Census Data for small governmental organizations are not presented based on the size of the population in each organization.  As stated above, there were 90,056 local governmental organizations in 2011.  As a basis for estimating how many of these 90,056 local governmental organizations were small, we note that there were a total of 729 cities and towns (incorporated places and civil divisions) with populations over 50,000.  </w:t>
      </w:r>
      <w:r w:rsidRPr="00C84780">
        <w:rPr>
          <w:i/>
        </w:rPr>
        <w:t>See</w:t>
      </w:r>
      <w:r>
        <w:t xml:space="preserve"> </w:t>
      </w:r>
      <w:hyperlink r:id="rId16" w:history="1">
        <w:r w:rsidRPr="00783D14">
          <w:rPr>
            <w:rStyle w:val="Hyperlink"/>
          </w:rPr>
          <w:t>http://factfinder.census.gov/faces/tableservices/jsf/pages/productview.xhtml?pid=ECN_2012_US_51SSSZ5&amp;prodType=table</w:t>
        </w:r>
      </w:hyperlink>
      <w:r>
        <w:t xml:space="preserve">.  If we subtract the 729 cities and towns that exceed the 50,000 population threshold, we conclude that approximately 789,237 are small. </w:t>
      </w:r>
    </w:p>
  </w:footnote>
  <w:footnote w:id="196">
    <w:p w:rsidR="0031180A" w:rsidRDefault="0031180A" w:rsidP="009D2847">
      <w:pPr>
        <w:pStyle w:val="FootnoteText"/>
      </w:pPr>
      <w:r>
        <w:rPr>
          <w:rStyle w:val="FootnoteReference"/>
        </w:rPr>
        <w:footnoteRef/>
      </w:r>
      <w:r>
        <w:t xml:space="preserve"> </w:t>
      </w:r>
      <w:r w:rsidRPr="008A5A5E">
        <w:rPr>
          <w:i/>
        </w:rPr>
        <w:t>See</w:t>
      </w:r>
      <w:r>
        <w:t xml:space="preserve"> </w:t>
      </w:r>
      <w:hyperlink r:id="rId17" w:history="1">
        <w:r w:rsidRPr="008A5A5E">
          <w:rPr>
            <w:rStyle w:val="Hyperlink"/>
          </w:rPr>
          <w:t>http://www.census.gov/cgi-bin/sssd/naics/naicsrch</w:t>
        </w:r>
      </w:hyperlink>
      <w:r>
        <w:rPr>
          <w:rStyle w:val="Hyperlink"/>
        </w:rPr>
        <w:t>.</w:t>
      </w:r>
    </w:p>
  </w:footnote>
  <w:footnote w:id="197">
    <w:p w:rsidR="0031180A" w:rsidRDefault="0031180A" w:rsidP="009D2847">
      <w:pPr>
        <w:pStyle w:val="FootnoteText"/>
      </w:pPr>
      <w:r>
        <w:rPr>
          <w:rStyle w:val="FootnoteReference"/>
        </w:rPr>
        <w:footnoteRef/>
      </w:r>
      <w:r>
        <w:t xml:space="preserve"> </w:t>
      </w:r>
      <w:r w:rsidRPr="008A5A5E">
        <w:rPr>
          <w:i/>
        </w:rPr>
        <w:t>See</w:t>
      </w:r>
      <w:r>
        <w:t xml:space="preserve"> 13 CFR </w:t>
      </w:r>
      <w:r>
        <w:rPr>
          <w:rStyle w:val="Footnote"/>
        </w:rPr>
        <w:t xml:space="preserve">§ </w:t>
      </w:r>
      <w:r>
        <w:t>120.201, NAICS code 517110.</w:t>
      </w:r>
    </w:p>
  </w:footnote>
  <w:footnote w:id="198">
    <w:p w:rsidR="0031180A" w:rsidRPr="00783D14" w:rsidRDefault="0031180A" w:rsidP="009D2847">
      <w:pPr>
        <w:pStyle w:val="FootnoteText"/>
        <w:spacing w:after="0"/>
        <w:rPr>
          <w:rStyle w:val="Hyperlink"/>
        </w:rPr>
      </w:pPr>
      <w:r>
        <w:rPr>
          <w:rStyle w:val="FootnoteReference"/>
        </w:rPr>
        <w:footnoteRef/>
      </w:r>
      <w:r>
        <w:t xml:space="preserve"> </w:t>
      </w:r>
      <w:r>
        <w:fldChar w:fldCharType="begin"/>
      </w:r>
      <w:r w:rsidR="002A22B8">
        <w:instrText>HYPERLINK "http://factfinder.census.gov/faces/tableservices/jsf/pages/productview.xhtml?pid=ECN_2012_US_51SSSZ5 &amp;prodType= table"</w:instrText>
      </w:r>
      <w:r>
        <w:fldChar w:fldCharType="separate"/>
      </w:r>
      <w:r w:rsidRPr="00783D14">
        <w:rPr>
          <w:rStyle w:val="Hyperlink"/>
        </w:rPr>
        <w:t>http://factfinder.census.gov/faces/tableservices/jsf/pages/productview.xhtml?</w:t>
      </w:r>
    </w:p>
    <w:p w:rsidR="0031180A" w:rsidRDefault="0031180A" w:rsidP="009D2847">
      <w:pPr>
        <w:pStyle w:val="FootnoteText"/>
      </w:pPr>
      <w:r w:rsidRPr="00783D14">
        <w:rPr>
          <w:rStyle w:val="Hyperlink"/>
        </w:rPr>
        <w:t>pid=ECN_2012_US_51SSSZ5 &amp;prodType= table</w:t>
      </w:r>
      <w:r>
        <w:fldChar w:fldCharType="end"/>
      </w:r>
      <w:r>
        <w:t>.</w:t>
      </w:r>
    </w:p>
  </w:footnote>
  <w:footnote w:id="199">
    <w:p w:rsidR="0031180A" w:rsidRDefault="0031180A" w:rsidP="009D2847">
      <w:pPr>
        <w:pStyle w:val="FootnoteText"/>
      </w:pPr>
      <w:r>
        <w:rPr>
          <w:rStyle w:val="FootnoteReference"/>
        </w:rPr>
        <w:footnoteRef/>
      </w:r>
      <w:r>
        <w:t xml:space="preserve"> </w:t>
      </w:r>
      <w:r w:rsidRPr="00D15B65">
        <w:rPr>
          <w:rStyle w:val="Footnote"/>
        </w:rPr>
        <w:t>13 CFR § 121.201, NAICS code 517110</w:t>
      </w:r>
      <w:r>
        <w:rPr>
          <w:rStyle w:val="Footnote"/>
        </w:rPr>
        <w:t>.</w:t>
      </w:r>
    </w:p>
  </w:footnote>
  <w:footnote w:id="200">
    <w:p w:rsidR="0031180A" w:rsidRPr="00783D14" w:rsidRDefault="0031180A" w:rsidP="009D2847">
      <w:pPr>
        <w:pStyle w:val="FootnoteText"/>
        <w:spacing w:after="0"/>
        <w:rPr>
          <w:rStyle w:val="Hyperlink"/>
        </w:rPr>
      </w:pPr>
      <w:r>
        <w:rPr>
          <w:rStyle w:val="FootnoteReference"/>
        </w:rPr>
        <w:footnoteRef/>
      </w:r>
      <w:r>
        <w:t xml:space="preserve"> </w:t>
      </w:r>
      <w:r>
        <w:fldChar w:fldCharType="begin"/>
      </w:r>
      <w:r w:rsidR="002A22B8">
        <w:instrText>HYPERLINK "http://factfinder.census.gov/faces/tableservices/jsf/pages/productview.xhtml?pid=ECN_2012_US_51SSSZ5 &amp;prodType= table"</w:instrText>
      </w:r>
      <w:r>
        <w:fldChar w:fldCharType="separate"/>
      </w:r>
      <w:r w:rsidRPr="00783D14">
        <w:rPr>
          <w:rStyle w:val="Hyperlink"/>
        </w:rPr>
        <w:t>http://factfinder.census.gov/faces/tableservices/jsf/pages/productview.xhtml?</w:t>
      </w:r>
    </w:p>
    <w:p w:rsidR="0031180A" w:rsidRDefault="0031180A" w:rsidP="009D2847">
      <w:pPr>
        <w:pStyle w:val="FootnoteText"/>
      </w:pPr>
      <w:r w:rsidRPr="00783D14">
        <w:rPr>
          <w:rStyle w:val="Hyperlink"/>
        </w:rPr>
        <w:t>pid=ECN_2012_US_51SSSZ5 &amp;prodType= table</w:t>
      </w:r>
      <w:r>
        <w:fldChar w:fldCharType="end"/>
      </w:r>
      <w:r>
        <w:t>.</w:t>
      </w:r>
    </w:p>
  </w:footnote>
  <w:footnote w:id="201">
    <w:p w:rsidR="0031180A" w:rsidRDefault="0031180A" w:rsidP="009D2847">
      <w:pPr>
        <w:pStyle w:val="FootnoteText"/>
      </w:pPr>
      <w:r>
        <w:rPr>
          <w:rStyle w:val="FootnoteReference"/>
        </w:rPr>
        <w:footnoteRef/>
      </w:r>
      <w:r>
        <w:t xml:space="preserve"> </w:t>
      </w:r>
      <w:r w:rsidRPr="00D15B65">
        <w:rPr>
          <w:rStyle w:val="Footnote"/>
        </w:rPr>
        <w:t>13 CFR § 121.201, NAICS code 517110</w:t>
      </w:r>
      <w:r>
        <w:rPr>
          <w:rStyle w:val="Footnote"/>
        </w:rPr>
        <w:t>.</w:t>
      </w:r>
    </w:p>
  </w:footnote>
  <w:footnote w:id="202">
    <w:p w:rsidR="0031180A" w:rsidRPr="00783D14" w:rsidRDefault="0031180A" w:rsidP="009D2847">
      <w:pPr>
        <w:pStyle w:val="FootnoteText"/>
        <w:spacing w:after="0"/>
        <w:rPr>
          <w:rStyle w:val="Hyperlink"/>
        </w:rPr>
      </w:pPr>
      <w:r>
        <w:rPr>
          <w:rStyle w:val="FootnoteReference"/>
        </w:rPr>
        <w:footnoteRef/>
      </w:r>
      <w:r>
        <w:t xml:space="preserve"> </w:t>
      </w:r>
      <w:r>
        <w:fldChar w:fldCharType="begin"/>
      </w:r>
      <w:r w:rsidR="002A22B8">
        <w:instrText>HYPERLINK "http://factfinder.census.gov/faces/tableservices/jsf/pages/productview.xhtml?pid=ECN_2012_US_51SSSZ5 &amp;prodType= table"</w:instrText>
      </w:r>
      <w:r>
        <w:fldChar w:fldCharType="separate"/>
      </w:r>
      <w:r w:rsidRPr="00783D14">
        <w:rPr>
          <w:rStyle w:val="Hyperlink"/>
        </w:rPr>
        <w:t>http://factfinder.census.gov/faces/tableservices/jsf/pages/productview.xhtml?</w:t>
      </w:r>
    </w:p>
    <w:p w:rsidR="0031180A" w:rsidRDefault="0031180A" w:rsidP="009D2847">
      <w:pPr>
        <w:pStyle w:val="FootnoteText"/>
      </w:pPr>
      <w:r w:rsidRPr="00783D14">
        <w:rPr>
          <w:rStyle w:val="Hyperlink"/>
        </w:rPr>
        <w:t>pid=ECN_2012_US_51SSSZ5 &amp;prodType= table</w:t>
      </w:r>
      <w:r>
        <w:fldChar w:fldCharType="end"/>
      </w:r>
      <w:r>
        <w:t>.</w:t>
      </w:r>
    </w:p>
  </w:footnote>
  <w:footnote w:id="203">
    <w:p w:rsidR="0031180A" w:rsidRDefault="0031180A" w:rsidP="009D2847">
      <w:pPr>
        <w:pStyle w:val="FootnoteText"/>
      </w:pPr>
      <w:r>
        <w:rPr>
          <w:rStyle w:val="FootnoteReference"/>
        </w:rPr>
        <w:footnoteRef/>
      </w:r>
      <w:r>
        <w:t xml:space="preserve"> </w:t>
      </w:r>
      <w:r w:rsidRPr="00D15B65">
        <w:rPr>
          <w:i/>
        </w:rPr>
        <w:t>See Trends in Telephone Service</w:t>
      </w:r>
      <w:r w:rsidRPr="00D15B65">
        <w:t>, Federal Communications Commission, Wireline Competition Bureau, Industry Analysis and Technology Divis</w:t>
      </w:r>
      <w:r>
        <w:t>ion at Table 5.3 (Sept. 2010) (</w:t>
      </w:r>
      <w:r w:rsidRPr="00D15B65">
        <w:rPr>
          <w:i/>
        </w:rPr>
        <w:t>Trends in Telephone Service</w:t>
      </w:r>
      <w:r w:rsidRPr="00D15B65">
        <w:t>).</w:t>
      </w:r>
    </w:p>
  </w:footnote>
  <w:footnote w:id="204">
    <w:p w:rsidR="0031180A" w:rsidRDefault="0031180A" w:rsidP="009D2847">
      <w:pPr>
        <w:pStyle w:val="FootnoteText"/>
      </w:pPr>
      <w:r>
        <w:rPr>
          <w:rStyle w:val="FootnoteReference"/>
        </w:rPr>
        <w:footnoteRef/>
      </w:r>
      <w:r>
        <w:t xml:space="preserve"> </w:t>
      </w:r>
      <w:r w:rsidRPr="00280043">
        <w:rPr>
          <w:i/>
        </w:rPr>
        <w:t>See id.</w:t>
      </w:r>
    </w:p>
  </w:footnote>
  <w:footnote w:id="205">
    <w:p w:rsidR="0031180A" w:rsidRDefault="0031180A" w:rsidP="009D2847">
      <w:pPr>
        <w:pStyle w:val="FootnoteText"/>
      </w:pPr>
      <w:r>
        <w:rPr>
          <w:rStyle w:val="FootnoteReference"/>
        </w:rPr>
        <w:footnoteRef/>
      </w:r>
      <w:r>
        <w:t xml:space="preserve"> </w:t>
      </w:r>
      <w:r>
        <w:rPr>
          <w:rStyle w:val="FootnoteTextChar4"/>
        </w:rPr>
        <w:t>13 CFR § 121.201, NAICS code 517110.</w:t>
      </w:r>
    </w:p>
  </w:footnote>
  <w:footnote w:id="206">
    <w:p w:rsidR="0031180A" w:rsidRPr="00783D14" w:rsidRDefault="0031180A" w:rsidP="009D2847">
      <w:pPr>
        <w:pStyle w:val="FootnoteText"/>
        <w:spacing w:after="0"/>
        <w:rPr>
          <w:rStyle w:val="Hyperlink"/>
        </w:rPr>
      </w:pPr>
      <w:r>
        <w:rPr>
          <w:rStyle w:val="FootnoteReference"/>
        </w:rPr>
        <w:footnoteRef/>
      </w:r>
      <w:r>
        <w:t xml:space="preserve"> </w:t>
      </w:r>
      <w:r>
        <w:fldChar w:fldCharType="begin"/>
      </w:r>
      <w:r w:rsidR="002A22B8">
        <w:instrText>HYPERLINK "http://factfinder.census.gov/faces/tableservices/jsf/pages/productview.xhtml?pid=ECN_2012_US_51SSSZ5&amp;prodType=table"</w:instrText>
      </w:r>
      <w:r>
        <w:fldChar w:fldCharType="separate"/>
      </w:r>
      <w:r w:rsidRPr="00783D14">
        <w:rPr>
          <w:rStyle w:val="Hyperlink"/>
        </w:rPr>
        <w:t>http://factfinder.census.gov/faces/tableservices/jsf/pages/productview.xhtml?</w:t>
      </w:r>
    </w:p>
    <w:p w:rsidR="0031180A" w:rsidRDefault="0031180A" w:rsidP="009D2847">
      <w:pPr>
        <w:pStyle w:val="FootnoteText"/>
      </w:pPr>
      <w:r w:rsidRPr="00783D14">
        <w:rPr>
          <w:rStyle w:val="Hyperlink"/>
        </w:rPr>
        <w:t>pid=ECN_2012_US_51SSSZ5&amp;prodType=table</w:t>
      </w:r>
      <w:r>
        <w:fldChar w:fldCharType="end"/>
      </w:r>
      <w:r>
        <w:t>.</w:t>
      </w:r>
    </w:p>
  </w:footnote>
  <w:footnote w:id="207">
    <w:p w:rsidR="0031180A" w:rsidRDefault="0031180A" w:rsidP="009D2847">
      <w:pPr>
        <w:pStyle w:val="FootnoteText"/>
      </w:pPr>
      <w:r>
        <w:rPr>
          <w:rStyle w:val="FootnoteReference"/>
        </w:rPr>
        <w:footnoteRef/>
      </w:r>
      <w:r>
        <w:t xml:space="preserve"> </w:t>
      </w:r>
      <w:r>
        <w:rPr>
          <w:i/>
        </w:rPr>
        <w:t>See Trends in Telephone Service,</w:t>
      </w:r>
      <w:r>
        <w:t xml:space="preserve"> at tbl. 5.3.</w:t>
      </w:r>
    </w:p>
  </w:footnote>
  <w:footnote w:id="208">
    <w:p w:rsidR="0031180A" w:rsidRDefault="0031180A" w:rsidP="009D2847">
      <w:pPr>
        <w:pStyle w:val="FootnoteText"/>
      </w:pPr>
      <w:r>
        <w:rPr>
          <w:rStyle w:val="FootnoteReference"/>
        </w:rPr>
        <w:footnoteRef/>
      </w:r>
      <w:r>
        <w:t xml:space="preserve"> </w:t>
      </w:r>
      <w:r w:rsidRPr="00C71B0F">
        <w:rPr>
          <w:i/>
        </w:rPr>
        <w:t>Id.</w:t>
      </w:r>
    </w:p>
  </w:footnote>
  <w:footnote w:id="209">
    <w:p w:rsidR="0031180A" w:rsidRDefault="0031180A" w:rsidP="009D2847">
      <w:pPr>
        <w:pStyle w:val="FootnoteText"/>
      </w:pPr>
      <w:r>
        <w:rPr>
          <w:rStyle w:val="FootnoteReference"/>
        </w:rPr>
        <w:footnoteRef/>
      </w:r>
      <w:r>
        <w:t xml:space="preserve"> </w:t>
      </w:r>
      <w:r w:rsidRPr="00C71B0F">
        <w:rPr>
          <w:i/>
        </w:rPr>
        <w:t>Id.</w:t>
      </w:r>
    </w:p>
  </w:footnote>
  <w:footnote w:id="210">
    <w:p w:rsidR="0031180A" w:rsidRDefault="0031180A" w:rsidP="009D2847">
      <w:pPr>
        <w:pStyle w:val="FootnoteText"/>
      </w:pPr>
      <w:r>
        <w:rPr>
          <w:rStyle w:val="FootnoteReference"/>
        </w:rPr>
        <w:footnoteRef/>
      </w:r>
      <w:r>
        <w:t xml:space="preserve"> </w:t>
      </w:r>
      <w:r w:rsidRPr="00C71B0F">
        <w:rPr>
          <w:i/>
        </w:rPr>
        <w:t>Id.</w:t>
      </w:r>
    </w:p>
  </w:footnote>
  <w:footnote w:id="211">
    <w:p w:rsidR="0031180A" w:rsidRDefault="0031180A" w:rsidP="009D2847">
      <w:pPr>
        <w:pStyle w:val="FootnoteText"/>
      </w:pPr>
      <w:r>
        <w:rPr>
          <w:rStyle w:val="FootnoteReference"/>
        </w:rPr>
        <w:footnoteRef/>
      </w:r>
      <w:r>
        <w:t xml:space="preserve"> </w:t>
      </w:r>
      <w:r>
        <w:rPr>
          <w:color w:val="000000"/>
        </w:rPr>
        <w:t>13 CFR § 121.201, NAICS code 517110.</w:t>
      </w:r>
      <w:r w:rsidRPr="00432F1F">
        <w:t xml:space="preserve"> </w:t>
      </w:r>
    </w:p>
  </w:footnote>
  <w:footnote w:id="212">
    <w:p w:rsidR="0031180A" w:rsidRPr="00783D14" w:rsidRDefault="0031180A" w:rsidP="009D2847">
      <w:pPr>
        <w:pStyle w:val="FootnoteText"/>
        <w:spacing w:after="0"/>
        <w:rPr>
          <w:rStyle w:val="Hyperlink"/>
        </w:rPr>
      </w:pPr>
      <w:r>
        <w:rPr>
          <w:rStyle w:val="FootnoteReference"/>
        </w:rPr>
        <w:footnoteRef/>
      </w:r>
      <w:r>
        <w:t xml:space="preserve"> </w:t>
      </w:r>
      <w:r>
        <w:fldChar w:fldCharType="begin"/>
      </w:r>
      <w:r w:rsidR="002A22B8">
        <w:instrText>HYPERLINK "http://factfinder.census.gov/faces/tableservices/jsf/pages/productview.xhtml?pid=ECN_2012_US_51SSSZ5&amp;prodType=table"</w:instrText>
      </w:r>
      <w:r>
        <w:fldChar w:fldCharType="separate"/>
      </w:r>
      <w:r w:rsidRPr="00783D14">
        <w:rPr>
          <w:rStyle w:val="Hyperlink"/>
        </w:rPr>
        <w:t>http://factfinder.census.gov/faces/tableservices/jsf/pages/productview.xhtml?</w:t>
      </w:r>
    </w:p>
    <w:p w:rsidR="0031180A" w:rsidRDefault="0031180A" w:rsidP="009D2847">
      <w:pPr>
        <w:pStyle w:val="FootnoteText"/>
      </w:pPr>
      <w:r w:rsidRPr="00783D14">
        <w:rPr>
          <w:rStyle w:val="Hyperlink"/>
        </w:rPr>
        <w:t>pid=ECN_2012_US_51SSSZ5&amp;prodType=table</w:t>
      </w:r>
      <w:r>
        <w:fldChar w:fldCharType="end"/>
      </w:r>
      <w:r>
        <w:t>.</w:t>
      </w:r>
    </w:p>
  </w:footnote>
  <w:footnote w:id="213">
    <w:p w:rsidR="0031180A" w:rsidRDefault="0031180A" w:rsidP="009D2847">
      <w:pPr>
        <w:pStyle w:val="FootnoteText"/>
      </w:pPr>
      <w:r>
        <w:rPr>
          <w:rStyle w:val="FootnoteReference"/>
        </w:rPr>
        <w:footnoteRef/>
      </w:r>
      <w:r>
        <w:t xml:space="preserve"> </w:t>
      </w:r>
      <w:r>
        <w:rPr>
          <w:i/>
        </w:rPr>
        <w:t>See Trends in Telephone Service,</w:t>
      </w:r>
      <w:r>
        <w:t xml:space="preserve"> at tbl. 5.3.</w:t>
      </w:r>
    </w:p>
  </w:footnote>
  <w:footnote w:id="214">
    <w:p w:rsidR="0031180A" w:rsidRDefault="0031180A" w:rsidP="009D2847">
      <w:pPr>
        <w:pStyle w:val="FootnoteText"/>
      </w:pPr>
      <w:r>
        <w:rPr>
          <w:rStyle w:val="FootnoteReference"/>
        </w:rPr>
        <w:footnoteRef/>
      </w:r>
      <w:r>
        <w:t xml:space="preserve"> </w:t>
      </w:r>
      <w:hyperlink r:id="rId18" w:history="1">
        <w:r w:rsidRPr="0008354F">
          <w:rPr>
            <w:rStyle w:val="Hyperlink"/>
          </w:rPr>
          <w:t>http://www.census.gov/cgi-bin/ssd/naics/naicsrch</w:t>
        </w:r>
      </w:hyperlink>
      <w:r>
        <w:t>.</w:t>
      </w:r>
    </w:p>
  </w:footnote>
  <w:footnote w:id="215">
    <w:p w:rsidR="0031180A" w:rsidRDefault="0031180A" w:rsidP="009D2847">
      <w:pPr>
        <w:pStyle w:val="FootnoteText"/>
      </w:pPr>
      <w:r>
        <w:rPr>
          <w:rStyle w:val="FootnoteReference"/>
        </w:rPr>
        <w:footnoteRef/>
      </w:r>
      <w:r>
        <w:t xml:space="preserve"> </w:t>
      </w:r>
      <w:r>
        <w:rPr>
          <w:color w:val="000000"/>
        </w:rPr>
        <w:t>13 CFR § 121.201, NAICS code 517911.</w:t>
      </w:r>
    </w:p>
  </w:footnote>
  <w:footnote w:id="216">
    <w:p w:rsidR="0031180A" w:rsidRPr="00783D14" w:rsidRDefault="0031180A" w:rsidP="009D2847">
      <w:pPr>
        <w:pStyle w:val="FootnoteText"/>
        <w:spacing w:after="0"/>
        <w:rPr>
          <w:rStyle w:val="Hyperlink"/>
        </w:rPr>
      </w:pPr>
      <w:r>
        <w:rPr>
          <w:rStyle w:val="FootnoteReference"/>
        </w:rPr>
        <w:footnoteRef/>
      </w:r>
      <w:r>
        <w:t xml:space="preserve"> </w:t>
      </w:r>
      <w:r>
        <w:fldChar w:fldCharType="begin"/>
      </w:r>
      <w:r w:rsidR="002A22B8">
        <w:instrText>HYPERLINK "http://factfinder.census.gov/faces/tableservices/jsf/pages/productview.xhtml?pid=ECN_2012_US_51SSSZ5&amp;prodType=table"</w:instrText>
      </w:r>
      <w:r>
        <w:fldChar w:fldCharType="separate"/>
      </w:r>
      <w:r w:rsidRPr="00783D14">
        <w:rPr>
          <w:rStyle w:val="Hyperlink"/>
        </w:rPr>
        <w:t>http://factfinder.census.gov/faces/tableservices/jsf/pages/productview.xhtml?</w:t>
      </w:r>
    </w:p>
    <w:p w:rsidR="0031180A" w:rsidRPr="009975E0" w:rsidRDefault="0031180A" w:rsidP="009D2847">
      <w:pPr>
        <w:pStyle w:val="FootnoteText"/>
      </w:pPr>
      <w:r w:rsidRPr="00783D14">
        <w:rPr>
          <w:rStyle w:val="Hyperlink"/>
        </w:rPr>
        <w:t>pid=ECN_2012_US_51SSSZ5&amp;prodType=table</w:t>
      </w:r>
      <w:r>
        <w:fldChar w:fldCharType="end"/>
      </w:r>
      <w:r w:rsidRPr="009975E0">
        <w:t>.</w:t>
      </w:r>
    </w:p>
  </w:footnote>
  <w:footnote w:id="217">
    <w:p w:rsidR="0031180A" w:rsidRDefault="0031180A" w:rsidP="009D2847">
      <w:pPr>
        <w:pStyle w:val="FootnoteText"/>
      </w:pPr>
      <w:r>
        <w:rPr>
          <w:rStyle w:val="FootnoteReference"/>
        </w:rPr>
        <w:footnoteRef/>
      </w:r>
      <w:r>
        <w:t xml:space="preserve"> </w:t>
      </w:r>
      <w:r>
        <w:rPr>
          <w:i/>
        </w:rPr>
        <w:t>See Trends in Telephone Service,</w:t>
      </w:r>
      <w:r>
        <w:t xml:space="preserve"> at tbl. 5.3.</w:t>
      </w:r>
    </w:p>
  </w:footnote>
  <w:footnote w:id="218">
    <w:p w:rsidR="0031180A" w:rsidRDefault="0031180A" w:rsidP="009D2847">
      <w:pPr>
        <w:pStyle w:val="FootnoteText"/>
      </w:pPr>
      <w:r>
        <w:rPr>
          <w:rStyle w:val="FootnoteReference"/>
        </w:rPr>
        <w:footnoteRef/>
      </w:r>
      <w:r>
        <w:t xml:space="preserve"> </w:t>
      </w:r>
      <w:r w:rsidRPr="00860117">
        <w:rPr>
          <w:i/>
        </w:rPr>
        <w:t>Id.</w:t>
      </w:r>
    </w:p>
  </w:footnote>
  <w:footnote w:id="219">
    <w:p w:rsidR="0031180A" w:rsidRDefault="0031180A" w:rsidP="009D2847">
      <w:pPr>
        <w:pStyle w:val="FootnoteText"/>
      </w:pPr>
      <w:r>
        <w:rPr>
          <w:rStyle w:val="FootnoteReference"/>
        </w:rPr>
        <w:footnoteRef/>
      </w:r>
      <w:r>
        <w:t xml:space="preserve"> </w:t>
      </w:r>
      <w:r>
        <w:rPr>
          <w:color w:val="000000"/>
        </w:rPr>
        <w:t>13 CFR § 121.201, NAICS code 517911.</w:t>
      </w:r>
    </w:p>
  </w:footnote>
  <w:footnote w:id="220">
    <w:p w:rsidR="0031180A" w:rsidRPr="00783D14" w:rsidRDefault="0031180A" w:rsidP="009D2847">
      <w:pPr>
        <w:pStyle w:val="FootnoteText"/>
        <w:spacing w:after="0"/>
        <w:rPr>
          <w:rStyle w:val="Hyperlink"/>
        </w:rPr>
      </w:pPr>
      <w:r>
        <w:rPr>
          <w:rStyle w:val="FootnoteReference"/>
        </w:rPr>
        <w:footnoteRef/>
      </w:r>
      <w:r>
        <w:t xml:space="preserve"> </w:t>
      </w:r>
      <w:r>
        <w:fldChar w:fldCharType="begin"/>
      </w:r>
      <w:r w:rsidR="002A22B8">
        <w:instrText>HYPERLINK "http://factfinder.census.gov/faces/tableservices/jsf/pages/productview.xhtml?pid=ECN_2012_US_51SSSZ5&amp;prodType=table"</w:instrText>
      </w:r>
      <w:r>
        <w:fldChar w:fldCharType="separate"/>
      </w:r>
      <w:r w:rsidRPr="00783D14">
        <w:rPr>
          <w:rStyle w:val="Hyperlink"/>
        </w:rPr>
        <w:t>http://factfinder.census.gov/faces/tableservices/jsf/pages/productview.xhtml?</w:t>
      </w:r>
    </w:p>
    <w:p w:rsidR="0031180A" w:rsidRPr="009975E0" w:rsidRDefault="0031180A" w:rsidP="009D2847">
      <w:pPr>
        <w:pStyle w:val="FootnoteText"/>
      </w:pPr>
      <w:r w:rsidRPr="00783D14">
        <w:rPr>
          <w:rStyle w:val="Hyperlink"/>
        </w:rPr>
        <w:t>pid=ECN_2012_US_51SSSZ5&amp;prodType=table</w:t>
      </w:r>
      <w:r>
        <w:fldChar w:fldCharType="end"/>
      </w:r>
      <w:r w:rsidRPr="009975E0">
        <w:t>.</w:t>
      </w:r>
    </w:p>
  </w:footnote>
  <w:footnote w:id="221">
    <w:p w:rsidR="0031180A" w:rsidRPr="00783D14" w:rsidRDefault="0031180A" w:rsidP="009D2847">
      <w:pPr>
        <w:pStyle w:val="FootnoteText"/>
        <w:spacing w:after="0"/>
        <w:rPr>
          <w:rStyle w:val="Hyperlink"/>
        </w:rPr>
      </w:pPr>
      <w:r>
        <w:rPr>
          <w:rStyle w:val="FootnoteReference"/>
        </w:rPr>
        <w:footnoteRef/>
      </w:r>
      <w:r>
        <w:t xml:space="preserve"> </w:t>
      </w:r>
      <w:r>
        <w:fldChar w:fldCharType="begin"/>
      </w:r>
      <w:r w:rsidR="002A22B8">
        <w:instrText>HYPERLINK "http://factfinder.census.gov/faces/tableservices/jsf/pages/productview.xhtml?pid=ECN_2012_US_51SSSZ5&amp;prodType=table"</w:instrText>
      </w:r>
      <w:r>
        <w:fldChar w:fldCharType="separate"/>
      </w:r>
      <w:r w:rsidRPr="00783D14">
        <w:rPr>
          <w:rStyle w:val="Hyperlink"/>
        </w:rPr>
        <w:t>http://factfinder.census.gov/faces/tableservices/jsf/pages/productview.xhtml?</w:t>
      </w:r>
    </w:p>
    <w:p w:rsidR="0031180A" w:rsidRPr="009975E0" w:rsidRDefault="0031180A" w:rsidP="009D2847">
      <w:pPr>
        <w:pStyle w:val="FootnoteText"/>
      </w:pPr>
      <w:r w:rsidRPr="00783D14">
        <w:rPr>
          <w:rStyle w:val="Hyperlink"/>
        </w:rPr>
        <w:t>pid=ECN_2012_US_51SSSZ5&amp;prodType=table</w:t>
      </w:r>
      <w:r>
        <w:fldChar w:fldCharType="end"/>
      </w:r>
      <w:r w:rsidRPr="009975E0">
        <w:t>.</w:t>
      </w:r>
    </w:p>
  </w:footnote>
  <w:footnote w:id="222">
    <w:p w:rsidR="0031180A" w:rsidRDefault="0031180A" w:rsidP="009D2847">
      <w:pPr>
        <w:pStyle w:val="FootnoteText"/>
      </w:pPr>
      <w:r>
        <w:rPr>
          <w:rStyle w:val="FootnoteReference"/>
        </w:rPr>
        <w:footnoteRef/>
      </w:r>
      <w:r>
        <w:t xml:space="preserve"> </w:t>
      </w:r>
      <w:r>
        <w:rPr>
          <w:i/>
          <w:color w:val="000000"/>
        </w:rPr>
        <w:t>See Trends in Telephone Service,</w:t>
      </w:r>
      <w:r>
        <w:rPr>
          <w:color w:val="000000"/>
        </w:rPr>
        <w:t xml:space="preserve"> at tbl. 5.3.  </w:t>
      </w:r>
    </w:p>
  </w:footnote>
  <w:footnote w:id="223">
    <w:p w:rsidR="0031180A" w:rsidRDefault="0031180A" w:rsidP="009D2847">
      <w:pPr>
        <w:pStyle w:val="FootnoteText"/>
      </w:pPr>
      <w:r>
        <w:rPr>
          <w:rStyle w:val="FootnoteReference"/>
        </w:rPr>
        <w:footnoteRef/>
      </w:r>
      <w:r>
        <w:t xml:space="preserve"> </w:t>
      </w:r>
      <w:r w:rsidRPr="00E024DD">
        <w:rPr>
          <w:i/>
        </w:rPr>
        <w:t>Id.</w:t>
      </w:r>
    </w:p>
  </w:footnote>
  <w:footnote w:id="224">
    <w:p w:rsidR="0031180A" w:rsidRDefault="0031180A" w:rsidP="009D2847">
      <w:pPr>
        <w:pStyle w:val="FootnoteText"/>
      </w:pPr>
      <w:r>
        <w:rPr>
          <w:rStyle w:val="FootnoteReference"/>
        </w:rPr>
        <w:footnoteRef/>
      </w:r>
      <w:r>
        <w:t xml:space="preserve"> </w:t>
      </w:r>
      <w:r>
        <w:rPr>
          <w:color w:val="000000"/>
        </w:rPr>
        <w:t>13 CFR § 121.201, NAICS code 517911.</w:t>
      </w:r>
    </w:p>
  </w:footnote>
  <w:footnote w:id="225">
    <w:p w:rsidR="0031180A" w:rsidRDefault="0031180A" w:rsidP="009D2847">
      <w:pPr>
        <w:pStyle w:val="FootnoteText"/>
      </w:pPr>
      <w:r>
        <w:rPr>
          <w:rStyle w:val="FootnoteReference"/>
        </w:rPr>
        <w:footnoteRef/>
      </w:r>
      <w:r>
        <w:t xml:space="preserve"> </w:t>
      </w:r>
      <w:r w:rsidRPr="00CA69FC">
        <w:rPr>
          <w:i/>
        </w:rPr>
        <w:t>Id</w:t>
      </w:r>
      <w:r>
        <w:rPr>
          <w:color w:val="000000"/>
        </w:rPr>
        <w:t>.</w:t>
      </w:r>
    </w:p>
  </w:footnote>
  <w:footnote w:id="226">
    <w:p w:rsidR="0031180A" w:rsidRPr="00783D14" w:rsidRDefault="0031180A" w:rsidP="009D2847">
      <w:pPr>
        <w:pStyle w:val="FootnoteText"/>
        <w:spacing w:after="0"/>
        <w:rPr>
          <w:rStyle w:val="Hyperlink"/>
        </w:rPr>
      </w:pPr>
      <w:r>
        <w:rPr>
          <w:rStyle w:val="FootnoteReference"/>
        </w:rPr>
        <w:footnoteRef/>
      </w:r>
      <w:r>
        <w:t xml:space="preserve"> </w:t>
      </w:r>
      <w:r>
        <w:fldChar w:fldCharType="begin"/>
      </w:r>
      <w:r w:rsidR="002A22B8">
        <w:instrText>HYPERLINK "http://factfinder.census.gov/faces/tableservices/jsf/pages/productview.xhtml?pid=ECN_2012_US_51SSSZ5&amp;prodType=table"</w:instrText>
      </w:r>
      <w:r>
        <w:fldChar w:fldCharType="separate"/>
      </w:r>
      <w:r w:rsidRPr="00783D14">
        <w:rPr>
          <w:rStyle w:val="Hyperlink"/>
        </w:rPr>
        <w:t>http://factfinder.census.gov/faces/tableservices/jsf/pages/productview.xhtml?</w:t>
      </w:r>
    </w:p>
    <w:p w:rsidR="0031180A" w:rsidRPr="009975E0" w:rsidRDefault="0031180A" w:rsidP="009D2847">
      <w:pPr>
        <w:pStyle w:val="FootnoteText"/>
      </w:pPr>
      <w:r w:rsidRPr="00783D14">
        <w:rPr>
          <w:rStyle w:val="Hyperlink"/>
        </w:rPr>
        <w:t>pid=ECN_2012_US_51SSSZ5&amp;prodType=table</w:t>
      </w:r>
      <w:r>
        <w:fldChar w:fldCharType="end"/>
      </w:r>
      <w:r w:rsidRPr="009975E0">
        <w:t>.</w:t>
      </w:r>
    </w:p>
  </w:footnote>
  <w:footnote w:id="227">
    <w:p w:rsidR="0031180A" w:rsidRDefault="0031180A" w:rsidP="009D2847">
      <w:pPr>
        <w:pStyle w:val="FootnoteText"/>
      </w:pPr>
      <w:r>
        <w:rPr>
          <w:rStyle w:val="FootnoteReference"/>
        </w:rPr>
        <w:footnoteRef/>
      </w:r>
      <w:r>
        <w:t xml:space="preserve"> </w:t>
      </w:r>
      <w:r w:rsidRPr="004076C3">
        <w:rPr>
          <w:i/>
        </w:rPr>
        <w:t>Id.</w:t>
      </w:r>
    </w:p>
  </w:footnote>
  <w:footnote w:id="228">
    <w:p w:rsidR="0031180A" w:rsidRDefault="0031180A" w:rsidP="009D2847">
      <w:pPr>
        <w:pStyle w:val="FootnoteText"/>
      </w:pPr>
      <w:r>
        <w:rPr>
          <w:rStyle w:val="FootnoteReference"/>
        </w:rPr>
        <w:footnoteRef/>
      </w:r>
      <w:r>
        <w:t xml:space="preserve"> </w:t>
      </w:r>
      <w:r w:rsidRPr="00CB2DF4">
        <w:rPr>
          <w:rFonts w:ascii="Times New Roman Italic" w:hAnsi="Times New Roman Italic"/>
          <w:i/>
        </w:rPr>
        <w:t>Trends in Telephone Service</w:t>
      </w:r>
      <w:r>
        <w:t>, at tbl.</w:t>
      </w:r>
      <w:r>
        <w:rPr>
          <w:color w:val="000000"/>
        </w:rPr>
        <w:t xml:space="preserve"> 5.3.</w:t>
      </w:r>
    </w:p>
  </w:footnote>
  <w:footnote w:id="229">
    <w:p w:rsidR="0031180A" w:rsidRDefault="0031180A" w:rsidP="009D2847">
      <w:pPr>
        <w:pStyle w:val="FootnoteText"/>
      </w:pPr>
      <w:r>
        <w:rPr>
          <w:rStyle w:val="FootnoteReference"/>
        </w:rPr>
        <w:footnoteRef/>
      </w:r>
      <w:r>
        <w:t xml:space="preserve"> </w:t>
      </w:r>
      <w:r w:rsidRPr="00E52E8F">
        <w:rPr>
          <w:i/>
        </w:rPr>
        <w:t>Id.</w:t>
      </w:r>
    </w:p>
  </w:footnote>
  <w:footnote w:id="230">
    <w:p w:rsidR="0031180A" w:rsidRDefault="0031180A" w:rsidP="009D2847">
      <w:pPr>
        <w:pStyle w:val="FootnoteText"/>
      </w:pPr>
      <w:r>
        <w:rPr>
          <w:rStyle w:val="FootnoteReference"/>
        </w:rPr>
        <w:footnoteRef/>
      </w:r>
      <w:r>
        <w:t xml:space="preserve"> </w:t>
      </w:r>
      <w:r>
        <w:rPr>
          <w:color w:val="000000"/>
        </w:rPr>
        <w:t>13 CFR § 121.201, NAICS code 517110.</w:t>
      </w:r>
    </w:p>
  </w:footnote>
  <w:footnote w:id="231">
    <w:p w:rsidR="0031180A" w:rsidRPr="00783D14" w:rsidRDefault="0031180A" w:rsidP="009D2847">
      <w:pPr>
        <w:pStyle w:val="FootnoteText"/>
        <w:spacing w:after="0"/>
        <w:rPr>
          <w:rStyle w:val="Hyperlink"/>
        </w:rPr>
      </w:pPr>
      <w:r>
        <w:rPr>
          <w:rStyle w:val="FootnoteReference"/>
        </w:rPr>
        <w:footnoteRef/>
      </w:r>
      <w:r>
        <w:t xml:space="preserve"> </w:t>
      </w:r>
      <w:r>
        <w:fldChar w:fldCharType="begin"/>
      </w:r>
      <w:r w:rsidR="002A22B8">
        <w:instrText>HYPERLINK "http://factfinder.census.gov/faces/tableservices/jsf/pages/productview.xhtml?pid=ECN_2012_US_51SSSZ5&amp;prodType=table"</w:instrText>
      </w:r>
      <w:r>
        <w:fldChar w:fldCharType="separate"/>
      </w:r>
      <w:r w:rsidRPr="00783D14">
        <w:rPr>
          <w:rStyle w:val="Hyperlink"/>
        </w:rPr>
        <w:t>http://factfinder.census.gov/faces/tableservices/jsf/pages/productview.xhtml?</w:t>
      </w:r>
    </w:p>
    <w:p w:rsidR="0031180A" w:rsidRPr="009975E0" w:rsidRDefault="0031180A" w:rsidP="009D2847">
      <w:pPr>
        <w:pStyle w:val="FootnoteText"/>
      </w:pPr>
      <w:r w:rsidRPr="00783D14">
        <w:rPr>
          <w:rStyle w:val="Hyperlink"/>
        </w:rPr>
        <w:t>pid=ECN_2012_US_51SSSZ5&amp;prodType=table</w:t>
      </w:r>
      <w:r>
        <w:fldChar w:fldCharType="end"/>
      </w:r>
      <w:r w:rsidRPr="009975E0">
        <w:t>.</w:t>
      </w:r>
    </w:p>
  </w:footnote>
  <w:footnote w:id="232">
    <w:p w:rsidR="0031180A" w:rsidRDefault="0031180A" w:rsidP="009D2847">
      <w:pPr>
        <w:pStyle w:val="FootnoteText"/>
      </w:pPr>
      <w:r>
        <w:rPr>
          <w:rStyle w:val="FootnoteReference"/>
        </w:rPr>
        <w:footnoteRef/>
      </w:r>
      <w:r>
        <w:t xml:space="preserve"> </w:t>
      </w:r>
      <w:r w:rsidRPr="00235678">
        <w:rPr>
          <w:i/>
        </w:rPr>
        <w:t>Id.</w:t>
      </w:r>
    </w:p>
  </w:footnote>
  <w:footnote w:id="233">
    <w:p w:rsidR="0031180A" w:rsidRDefault="0031180A" w:rsidP="009D2847">
      <w:pPr>
        <w:pStyle w:val="FootnoteText"/>
      </w:pPr>
      <w:r>
        <w:rPr>
          <w:rStyle w:val="FootnoteReference"/>
        </w:rPr>
        <w:footnoteRef/>
      </w:r>
      <w:r>
        <w:t xml:space="preserve"> </w:t>
      </w:r>
      <w:r w:rsidRPr="00CB2DF4">
        <w:rPr>
          <w:rFonts w:ascii="Times New Roman Italic" w:hAnsi="Times New Roman Italic"/>
          <w:i/>
        </w:rPr>
        <w:t>Trends in Telephone Service</w:t>
      </w:r>
      <w:r>
        <w:t>, at tbl.</w:t>
      </w:r>
      <w:r>
        <w:rPr>
          <w:color w:val="000000"/>
        </w:rPr>
        <w:t xml:space="preserve"> 5.3.</w:t>
      </w:r>
    </w:p>
  </w:footnote>
  <w:footnote w:id="234">
    <w:p w:rsidR="0031180A" w:rsidRDefault="0031180A" w:rsidP="009D2847">
      <w:pPr>
        <w:pStyle w:val="FootnoteText"/>
      </w:pPr>
      <w:r>
        <w:rPr>
          <w:rStyle w:val="FootnoteReference"/>
        </w:rPr>
        <w:footnoteRef/>
      </w:r>
      <w:r>
        <w:t xml:space="preserve"> </w:t>
      </w:r>
      <w:r w:rsidRPr="00B605CD">
        <w:rPr>
          <w:i/>
        </w:rPr>
        <w:t>Id.</w:t>
      </w:r>
    </w:p>
  </w:footnote>
  <w:footnote w:id="235">
    <w:p w:rsidR="0031180A" w:rsidRDefault="0031180A" w:rsidP="009D2847">
      <w:pPr>
        <w:pStyle w:val="FootnoteText"/>
      </w:pPr>
      <w:r>
        <w:rPr>
          <w:rStyle w:val="FootnoteReference"/>
        </w:rPr>
        <w:footnoteRef/>
      </w:r>
      <w:r>
        <w:t xml:space="preserve"> NAICS code 517210.  </w:t>
      </w:r>
      <w:r w:rsidRPr="00C114BE">
        <w:rPr>
          <w:i/>
        </w:rPr>
        <w:t>See</w:t>
      </w:r>
      <w:r>
        <w:t xml:space="preserve"> </w:t>
      </w:r>
      <w:hyperlink r:id="rId19" w:history="1">
        <w:r w:rsidRPr="00C114BE">
          <w:rPr>
            <w:rStyle w:val="Hyperlink"/>
          </w:rPr>
          <w:t>http://www.census.gov/cgi-bin/ssd/naics/naiscsrch</w:t>
        </w:r>
      </w:hyperlink>
      <w:r>
        <w:t>.</w:t>
      </w:r>
    </w:p>
  </w:footnote>
  <w:footnote w:id="236">
    <w:p w:rsidR="0031180A" w:rsidRPr="00783D14" w:rsidRDefault="0031180A" w:rsidP="009D2847">
      <w:pPr>
        <w:pStyle w:val="FootnoteText"/>
        <w:spacing w:after="0"/>
        <w:rPr>
          <w:rStyle w:val="Hyperlink"/>
        </w:rPr>
      </w:pPr>
      <w:r>
        <w:rPr>
          <w:rStyle w:val="FootnoteReference"/>
        </w:rPr>
        <w:footnoteRef/>
      </w:r>
      <w:r>
        <w:t xml:space="preserve"> </w:t>
      </w:r>
      <w:r>
        <w:fldChar w:fldCharType="begin"/>
      </w:r>
      <w:r w:rsidR="002A22B8">
        <w:instrText>HYPERLINK "http://factfinder.census.gov/faces/tableservices/jsf/pages/productview.xhtml?pid=ECN_2012_US_51SSSZ5&amp;prodType=table"</w:instrText>
      </w:r>
      <w:r>
        <w:fldChar w:fldCharType="separate"/>
      </w:r>
      <w:r w:rsidRPr="00783D14">
        <w:rPr>
          <w:rStyle w:val="Hyperlink"/>
        </w:rPr>
        <w:t>http://factfinder.census.gov/faces/tableservices/jsf/pages/productview.xhtml?</w:t>
      </w:r>
    </w:p>
    <w:p w:rsidR="0031180A" w:rsidRPr="009975E0" w:rsidRDefault="0031180A" w:rsidP="009D2847">
      <w:pPr>
        <w:pStyle w:val="FootnoteText"/>
      </w:pPr>
      <w:r w:rsidRPr="00783D14">
        <w:rPr>
          <w:rStyle w:val="Hyperlink"/>
        </w:rPr>
        <w:t>pid=ECN_2012_US_51SSSZ5&amp;prodType=table</w:t>
      </w:r>
      <w:r>
        <w:fldChar w:fldCharType="end"/>
      </w:r>
      <w:r w:rsidRPr="009975E0">
        <w:t>.</w:t>
      </w:r>
    </w:p>
  </w:footnote>
  <w:footnote w:id="237">
    <w:p w:rsidR="0031180A" w:rsidRPr="00783D14" w:rsidRDefault="0031180A" w:rsidP="009D2847">
      <w:pPr>
        <w:pStyle w:val="FootnoteText"/>
        <w:spacing w:after="0"/>
        <w:rPr>
          <w:rStyle w:val="Hyperlink"/>
        </w:rPr>
      </w:pPr>
      <w:r>
        <w:rPr>
          <w:rStyle w:val="FootnoteReference"/>
        </w:rPr>
        <w:footnoteRef/>
      </w:r>
      <w:r>
        <w:t xml:space="preserve"> </w:t>
      </w:r>
      <w:r>
        <w:fldChar w:fldCharType="begin"/>
      </w:r>
      <w:r w:rsidR="002A22B8">
        <w:instrText>HYPERLINK "http://factfinder.census.gov/faces/tableservices/jsf/pages/productview.xhtml?pid=ECN_2012_US_51SSSZ5&amp;prodType=table"</w:instrText>
      </w:r>
      <w:r>
        <w:fldChar w:fldCharType="separate"/>
      </w:r>
      <w:r w:rsidRPr="00783D14">
        <w:rPr>
          <w:rStyle w:val="Hyperlink"/>
        </w:rPr>
        <w:t>http://factfinder.census.gov/faces/tableservices/jsf/pages/productview.xhtml?</w:t>
      </w:r>
    </w:p>
    <w:p w:rsidR="0031180A" w:rsidRPr="009975E0" w:rsidRDefault="0031180A" w:rsidP="009D2847">
      <w:pPr>
        <w:pStyle w:val="FootnoteText"/>
      </w:pPr>
      <w:r w:rsidRPr="00783D14">
        <w:rPr>
          <w:rStyle w:val="Hyperlink"/>
        </w:rPr>
        <w:t>pid=ECN_2012_US_51SSSZ5&amp;prodType=table</w:t>
      </w:r>
      <w:r>
        <w:fldChar w:fldCharType="end"/>
      </w:r>
      <w:r w:rsidRPr="009975E0">
        <w:t>.</w:t>
      </w:r>
    </w:p>
  </w:footnote>
  <w:footnote w:id="238">
    <w:p w:rsidR="0031180A" w:rsidRDefault="0031180A" w:rsidP="009D2847">
      <w:pPr>
        <w:pStyle w:val="FootnoteText"/>
      </w:pPr>
      <w:r>
        <w:rPr>
          <w:rStyle w:val="FootnoteReference"/>
        </w:rPr>
        <w:footnoteRef/>
      </w:r>
      <w:r>
        <w:t xml:space="preserve"> </w:t>
      </w:r>
      <w:r w:rsidRPr="00CB2DF4">
        <w:rPr>
          <w:rFonts w:ascii="Times New Roman Italic" w:hAnsi="Times New Roman Italic"/>
          <w:i/>
        </w:rPr>
        <w:t>Trends in Telephone Service</w:t>
      </w:r>
      <w:r>
        <w:t>, at tbl.</w:t>
      </w:r>
      <w:r>
        <w:rPr>
          <w:color w:val="000000"/>
        </w:rPr>
        <w:t xml:space="preserve"> 5.3.</w:t>
      </w:r>
    </w:p>
  </w:footnote>
  <w:footnote w:id="239">
    <w:p w:rsidR="0031180A" w:rsidRDefault="0031180A" w:rsidP="009D2847">
      <w:pPr>
        <w:pStyle w:val="FootnoteText"/>
      </w:pPr>
      <w:r>
        <w:rPr>
          <w:rStyle w:val="FootnoteReference"/>
        </w:rPr>
        <w:footnoteRef/>
      </w:r>
      <w:r>
        <w:t xml:space="preserve"> </w:t>
      </w:r>
      <w:r w:rsidRPr="00233E31">
        <w:rPr>
          <w:i/>
        </w:rPr>
        <w:t>Id.</w:t>
      </w:r>
    </w:p>
  </w:footnote>
  <w:footnote w:id="240">
    <w:p w:rsidR="0031180A" w:rsidRDefault="0031180A" w:rsidP="009D2847">
      <w:pPr>
        <w:pStyle w:val="FootnoteText"/>
      </w:pPr>
      <w:r>
        <w:rPr>
          <w:rStyle w:val="FootnoteReference"/>
          <w:szCs w:val="22"/>
        </w:rPr>
        <w:footnoteRef/>
      </w:r>
      <w:r>
        <w:rPr>
          <w:szCs w:val="22"/>
        </w:rPr>
        <w:t xml:space="preserve"> U.S. Census Bureau, 2012 NAICS code Economic Definitions,</w:t>
      </w:r>
      <w:r>
        <w:rPr>
          <w:bCs/>
          <w:szCs w:val="22"/>
        </w:rPr>
        <w:t xml:space="preserve"> </w:t>
      </w:r>
      <w:hyperlink r:id="rId20" w:history="1">
        <w:r w:rsidRPr="00783D14">
          <w:rPr>
            <w:rStyle w:val="Hyperlink"/>
            <w:bCs/>
            <w:szCs w:val="22"/>
          </w:rPr>
          <w:t>http://www.census.gov.cgi-bin/sssd/naics/naicsrch</w:t>
        </w:r>
      </w:hyperlink>
      <w:r>
        <w:rPr>
          <w:bCs/>
          <w:szCs w:val="22"/>
        </w:rPr>
        <w:t>.</w:t>
      </w:r>
    </w:p>
  </w:footnote>
  <w:footnote w:id="241">
    <w:p w:rsidR="0031180A" w:rsidRDefault="0031180A" w:rsidP="009D2847">
      <w:pPr>
        <w:pStyle w:val="FootnoteText"/>
      </w:pPr>
      <w:r>
        <w:rPr>
          <w:rStyle w:val="FootnoteReference"/>
        </w:rPr>
        <w:footnoteRef/>
      </w:r>
      <w:r>
        <w:t xml:space="preserve"> 13 CFR § 121.201, NAICS code 515120.</w:t>
      </w:r>
    </w:p>
  </w:footnote>
  <w:footnote w:id="242">
    <w:p w:rsidR="0031180A" w:rsidRDefault="0031180A" w:rsidP="009D2847">
      <w:pPr>
        <w:pStyle w:val="FootnoteText"/>
      </w:pPr>
      <w:r>
        <w:rPr>
          <w:rStyle w:val="FootnoteReference"/>
        </w:rPr>
        <w:footnoteRef/>
      </w:r>
      <w:r>
        <w:t xml:space="preserve"> </w:t>
      </w:r>
      <w:r>
        <w:rPr>
          <w:i/>
        </w:rPr>
        <w:t>See</w:t>
      </w:r>
      <w:r>
        <w:t xml:space="preserve"> </w:t>
      </w:r>
      <w:r>
        <w:rPr>
          <w:i/>
        </w:rPr>
        <w:t>FCC News Release</w:t>
      </w:r>
      <w:r>
        <w:t>, “Broadcast Station Totals as of March 31, 2017,” April 11, 2017;</w:t>
      </w:r>
      <w:r w:rsidRPr="003F41A2">
        <w:t xml:space="preserve"> </w:t>
      </w:r>
      <w:hyperlink r:id="rId21" w:history="1">
        <w:r w:rsidRPr="00EE3A67">
          <w:rPr>
            <w:rStyle w:val="Hyperlink"/>
          </w:rPr>
          <w:t>https://apps.fcc.gov/edocs_public/attachmatch/DOC-344256A1.pdf</w:t>
        </w:r>
      </w:hyperlink>
      <w:r>
        <w:t>.</w:t>
      </w:r>
    </w:p>
  </w:footnote>
  <w:footnote w:id="243">
    <w:p w:rsidR="0031180A" w:rsidRDefault="0031180A" w:rsidP="009D2847">
      <w:pPr>
        <w:pStyle w:val="FootnoteText"/>
      </w:pPr>
      <w:r>
        <w:rPr>
          <w:rStyle w:val="FootnoteReference"/>
        </w:rPr>
        <w:footnoteRef/>
      </w:r>
      <w:r>
        <w:t xml:space="preserve"> We recognize that BIA’s estimate differs slightly from the FCC total given </w:t>
      </w:r>
      <w:r>
        <w:rPr>
          <w:i/>
        </w:rPr>
        <w:t>supra</w:t>
      </w:r>
      <w:r>
        <w:t>.</w:t>
      </w:r>
    </w:p>
  </w:footnote>
  <w:footnote w:id="244">
    <w:p w:rsidR="0031180A" w:rsidRDefault="0031180A" w:rsidP="009D2847">
      <w:pPr>
        <w:pStyle w:val="FootnoteText"/>
      </w:pPr>
      <w:r>
        <w:rPr>
          <w:rStyle w:val="FootnoteReference"/>
          <w:szCs w:val="22"/>
        </w:rPr>
        <w:footnoteRef/>
      </w:r>
      <w:r>
        <w:rPr>
          <w:szCs w:val="22"/>
        </w:rPr>
        <w:t xml:space="preserve"> “[Business concerns] are affiliates of each other when one concern controls or has the power to control the other or a third party or parties controls or has to power to control both.”  13 CFR § 21.103(a)(1).</w:t>
      </w:r>
    </w:p>
  </w:footnote>
  <w:footnote w:id="245">
    <w:p w:rsidR="0031180A" w:rsidRDefault="0031180A" w:rsidP="009D2847">
      <w:pPr>
        <w:pStyle w:val="FootnoteText"/>
      </w:pPr>
      <w:r>
        <w:rPr>
          <w:rStyle w:val="FootnoteReference"/>
        </w:rPr>
        <w:footnoteRef/>
      </w:r>
      <w:r>
        <w:rPr>
          <w:i/>
        </w:rPr>
        <w:t>See</w:t>
      </w:r>
      <w:r>
        <w:t xml:space="preserve"> </w:t>
      </w:r>
      <w:r>
        <w:rPr>
          <w:i/>
        </w:rPr>
        <w:t>FCC News Release</w:t>
      </w:r>
      <w:r>
        <w:t>, “Broadcast Station Totals as of March 31, 2017,” April 11, 2017;</w:t>
      </w:r>
      <w:r w:rsidRPr="003F41A2">
        <w:t xml:space="preserve"> </w:t>
      </w:r>
      <w:hyperlink r:id="rId22" w:history="1">
        <w:r w:rsidRPr="00EE3A67">
          <w:rPr>
            <w:rStyle w:val="Hyperlink"/>
          </w:rPr>
          <w:t>https://apps.fcc.gov/edocs_public/attachmatch/DOC-344256A1.pdf</w:t>
        </w:r>
      </w:hyperlink>
      <w:r>
        <w:t>.</w:t>
      </w:r>
    </w:p>
  </w:footnote>
  <w:footnote w:id="246">
    <w:p w:rsidR="0031180A" w:rsidRDefault="0031180A" w:rsidP="009D2847">
      <w:pPr>
        <w:pStyle w:val="FootnoteText"/>
      </w:pPr>
      <w:r>
        <w:rPr>
          <w:rStyle w:val="FootnoteReference"/>
        </w:rPr>
        <w:footnoteRef/>
      </w:r>
      <w:r>
        <w:t xml:space="preserve"> </w:t>
      </w:r>
      <w:r>
        <w:rPr>
          <w:i/>
        </w:rPr>
        <w:t>See generally</w:t>
      </w:r>
      <w:r>
        <w:t xml:space="preserve"> 5 U.S.C. §§ 601(4), (6).</w:t>
      </w:r>
    </w:p>
  </w:footnote>
  <w:footnote w:id="247">
    <w:p w:rsidR="0031180A" w:rsidRDefault="0031180A" w:rsidP="009D2847">
      <w:pPr>
        <w:pStyle w:val="FootnoteText"/>
      </w:pPr>
      <w:r>
        <w:rPr>
          <w:rStyle w:val="FootnoteReference"/>
        </w:rPr>
        <w:footnoteRef/>
      </w:r>
      <w:r>
        <w:rPr>
          <w:i/>
        </w:rPr>
        <w:t>See</w:t>
      </w:r>
      <w:r>
        <w:t xml:space="preserve"> </w:t>
      </w:r>
      <w:r>
        <w:rPr>
          <w:i/>
        </w:rPr>
        <w:t>FCC News Release</w:t>
      </w:r>
      <w:r>
        <w:t>, “Broadcast Station Totals as of March 31, 2017,” April 11, 2017;</w:t>
      </w:r>
      <w:r w:rsidRPr="003F41A2">
        <w:t xml:space="preserve"> </w:t>
      </w:r>
      <w:hyperlink r:id="rId23" w:history="1">
        <w:r w:rsidRPr="00EE3A67">
          <w:rPr>
            <w:rStyle w:val="Hyperlink"/>
          </w:rPr>
          <w:t>https://apps.fcc.gov/edocs_public/attachmatch/DOC-344256A1.pdf</w:t>
        </w:r>
      </w:hyperlink>
      <w:r>
        <w:t>.</w:t>
      </w:r>
    </w:p>
  </w:footnote>
  <w:footnote w:id="248">
    <w:p w:rsidR="0031180A" w:rsidRDefault="0031180A" w:rsidP="009D2847">
      <w:pPr>
        <w:pStyle w:val="FootnoteText"/>
      </w:pPr>
      <w:r>
        <w:rPr>
          <w:rStyle w:val="FootnoteReference"/>
        </w:rPr>
        <w:footnoteRef/>
      </w:r>
      <w:r>
        <w:rPr>
          <w:bCs/>
          <w:szCs w:val="22"/>
        </w:rPr>
        <w:t xml:space="preserve"> </w:t>
      </w:r>
      <w:hyperlink r:id="rId24" w:history="1">
        <w:r w:rsidRPr="00783D14">
          <w:rPr>
            <w:rStyle w:val="Hyperlink"/>
            <w:szCs w:val="22"/>
          </w:rPr>
          <w:t>http://www.census.gov.cgi-bin/sssd/naics/naicsrch</w:t>
        </w:r>
      </w:hyperlink>
      <w:r>
        <w:rPr>
          <w:szCs w:val="22"/>
        </w:rPr>
        <w:t xml:space="preserve">. </w:t>
      </w:r>
    </w:p>
  </w:footnote>
  <w:footnote w:id="249">
    <w:p w:rsidR="0031180A" w:rsidRDefault="0031180A" w:rsidP="009D2847">
      <w:pPr>
        <w:pStyle w:val="FootnoteText"/>
      </w:pPr>
      <w:r>
        <w:rPr>
          <w:rStyle w:val="FootnoteReference"/>
        </w:rPr>
        <w:footnoteRef/>
      </w:r>
      <w:r>
        <w:t xml:space="preserve"> 13 CFR</w:t>
      </w:r>
      <w:r>
        <w:rPr>
          <w:szCs w:val="22"/>
        </w:rPr>
        <w:t xml:space="preserve"> § </w:t>
      </w:r>
      <w:r>
        <w:t>121.201, NAICS code 515112.</w:t>
      </w:r>
    </w:p>
  </w:footnote>
  <w:footnote w:id="250">
    <w:p w:rsidR="0031180A" w:rsidRPr="00783D14" w:rsidRDefault="0031180A" w:rsidP="009D2847">
      <w:pPr>
        <w:pStyle w:val="FootnoteText"/>
        <w:spacing w:after="0"/>
        <w:rPr>
          <w:rStyle w:val="Hyperlink"/>
        </w:rPr>
      </w:pPr>
      <w:r>
        <w:rPr>
          <w:rStyle w:val="FootnoteReference"/>
        </w:rPr>
        <w:footnoteRef/>
      </w:r>
      <w:r>
        <w:t xml:space="preserve"> </w:t>
      </w:r>
      <w:r>
        <w:fldChar w:fldCharType="begin"/>
      </w:r>
      <w:r w:rsidR="002A22B8">
        <w:instrText>HYPERLINK "http://factfinder.census.gov/faces/tableservices/jsf/pages/productview.xhtml?pid=ECN_2012_US_51SSSZ5&amp;prodType=table"</w:instrText>
      </w:r>
      <w:r>
        <w:fldChar w:fldCharType="separate"/>
      </w:r>
      <w:r w:rsidRPr="00783D14">
        <w:rPr>
          <w:rStyle w:val="Hyperlink"/>
        </w:rPr>
        <w:t>http://factfinder.census.gov/faces/tableservices/jsf/pages/productview.xhtml?</w:t>
      </w:r>
    </w:p>
    <w:p w:rsidR="0031180A" w:rsidRPr="009975E0" w:rsidRDefault="0031180A" w:rsidP="009D2847">
      <w:pPr>
        <w:pStyle w:val="FootnoteText"/>
      </w:pPr>
      <w:r w:rsidRPr="00783D14">
        <w:rPr>
          <w:rStyle w:val="Hyperlink"/>
        </w:rPr>
        <w:t>pid=ECN_2012_US_51SSSZ5&amp;prodType=table</w:t>
      </w:r>
      <w:r>
        <w:fldChar w:fldCharType="end"/>
      </w:r>
      <w:r w:rsidRPr="009975E0">
        <w:t>.</w:t>
      </w:r>
    </w:p>
  </w:footnote>
  <w:footnote w:id="251">
    <w:p w:rsidR="0031180A" w:rsidRPr="00A54FE6" w:rsidRDefault="0031180A" w:rsidP="009D2847">
      <w:pPr>
        <w:pStyle w:val="FootnoteText"/>
        <w:spacing w:after="0"/>
        <w:rPr>
          <w:rStyle w:val="Hyperlink"/>
        </w:rPr>
      </w:pPr>
      <w:r>
        <w:rPr>
          <w:rStyle w:val="FootnoteReference"/>
        </w:rPr>
        <w:footnoteRef/>
      </w:r>
      <w:r>
        <w:t xml:space="preserve"> </w:t>
      </w:r>
      <w:r>
        <w:fldChar w:fldCharType="begin"/>
      </w:r>
      <w:r w:rsidR="002A22B8">
        <w:instrText>HYPERLINK "http://factfinder.census.gov/faces/tableservices/jsf/pages/productview.xhtml?pid=ECN_2012_US_51SSSZ5&amp;prodType=table"</w:instrText>
      </w:r>
      <w:r>
        <w:fldChar w:fldCharType="separate"/>
      </w:r>
      <w:r w:rsidRPr="00A54FE6">
        <w:rPr>
          <w:rStyle w:val="Hyperlink"/>
        </w:rPr>
        <w:t>http://factfinder.census.gov/faces/tableservices/jsf/pages/productview.xhtml?</w:t>
      </w:r>
    </w:p>
    <w:p w:rsidR="0031180A" w:rsidRPr="00B013DC" w:rsidRDefault="0031180A" w:rsidP="009D2847">
      <w:pPr>
        <w:pStyle w:val="FootnoteText"/>
      </w:pPr>
      <w:r w:rsidRPr="00A54FE6">
        <w:rPr>
          <w:rStyle w:val="Hyperlink"/>
        </w:rPr>
        <w:t>pid=ECN_2012_US_51SSSZ5&amp;prodType=table</w:t>
      </w:r>
      <w:r>
        <w:fldChar w:fldCharType="end"/>
      </w:r>
      <w:r w:rsidRPr="00B013DC">
        <w:t>.</w:t>
      </w:r>
    </w:p>
  </w:footnote>
  <w:footnote w:id="252">
    <w:p w:rsidR="0031180A" w:rsidRDefault="0031180A" w:rsidP="009D2847">
      <w:pPr>
        <w:pStyle w:val="ParaNum"/>
        <w:numPr>
          <w:ilvl w:val="0"/>
          <w:numId w:val="0"/>
        </w:numPr>
        <w:tabs>
          <w:tab w:val="left" w:pos="720"/>
        </w:tabs>
      </w:pPr>
      <w:r>
        <w:rPr>
          <w:rStyle w:val="FootnoteReference"/>
          <w:szCs w:val="22"/>
        </w:rPr>
        <w:footnoteRef/>
      </w:r>
      <w:r>
        <w:rPr>
          <w:sz w:val="20"/>
          <w:szCs w:val="22"/>
        </w:rPr>
        <w:t xml:space="preserve"> “</w:t>
      </w:r>
      <w:r>
        <w:rPr>
          <w:sz w:val="20"/>
        </w:rPr>
        <w:t>Concerns and entities are affiliates of each other when one controls or has the power to control the other, or a third party or parties controls or has the power to control both. It does not matter whether control is exercised, so long as the power to control exists.</w:t>
      </w:r>
      <w:r>
        <w:rPr>
          <w:sz w:val="20"/>
          <w:szCs w:val="22"/>
        </w:rPr>
        <w:t>”  13 CFR § 121.103(a)(1) (an SBA regulation).</w:t>
      </w:r>
    </w:p>
  </w:footnote>
  <w:footnote w:id="253">
    <w:p w:rsidR="0031180A" w:rsidRDefault="0031180A" w:rsidP="009D2847">
      <w:pPr>
        <w:pStyle w:val="FootnoteText"/>
      </w:pPr>
      <w:r>
        <w:rPr>
          <w:rStyle w:val="FootnoteReference"/>
        </w:rPr>
        <w:footnoteRef/>
      </w:r>
      <w:r>
        <w:t xml:space="preserve"> 13 CFR </w:t>
      </w:r>
      <w:r>
        <w:rPr>
          <w:szCs w:val="22"/>
        </w:rPr>
        <w:t>§ 121.102(b) (an SBA regulation).</w:t>
      </w:r>
    </w:p>
  </w:footnote>
  <w:footnote w:id="254">
    <w:p w:rsidR="0031180A" w:rsidRDefault="0031180A" w:rsidP="009D2847">
      <w:pPr>
        <w:pStyle w:val="FootnoteText"/>
      </w:pPr>
      <w:r>
        <w:rPr>
          <w:rStyle w:val="FootnoteReference"/>
        </w:rPr>
        <w:footnoteRef/>
      </w:r>
      <w:r>
        <w:t xml:space="preserve"> </w:t>
      </w:r>
      <w:r w:rsidRPr="0092092E">
        <w:rPr>
          <w:rStyle w:val="Hyperlink"/>
        </w:rPr>
        <w:t>https://www.census.gov.cgi-bin/sssd/naics/naicsrch</w:t>
      </w:r>
      <w:r>
        <w:rPr>
          <w:szCs w:val="22"/>
        </w:rPr>
        <w:t xml:space="preserve">. </w:t>
      </w:r>
    </w:p>
  </w:footnote>
  <w:footnote w:id="255">
    <w:p w:rsidR="0031180A" w:rsidRPr="00783D14" w:rsidRDefault="0031180A" w:rsidP="009D2847">
      <w:pPr>
        <w:pStyle w:val="FootnoteText"/>
        <w:spacing w:after="0"/>
        <w:rPr>
          <w:rStyle w:val="Hyperlink"/>
        </w:rPr>
      </w:pPr>
      <w:r>
        <w:rPr>
          <w:rStyle w:val="FootnoteReference"/>
        </w:rPr>
        <w:footnoteRef/>
      </w:r>
      <w:r>
        <w:t xml:space="preserve"> </w:t>
      </w:r>
      <w:r>
        <w:fldChar w:fldCharType="begin"/>
      </w:r>
      <w:r w:rsidR="002A22B8">
        <w:instrText>HYPERLINK "http://factfinder.census.gov/faces/tableservices/jsf/pages/productview.xhtml?pid=ECN_2012_US_51SSSZ5&amp;prodType=table"</w:instrText>
      </w:r>
      <w:r>
        <w:fldChar w:fldCharType="separate"/>
      </w:r>
      <w:r w:rsidRPr="00783D14">
        <w:rPr>
          <w:rStyle w:val="Hyperlink"/>
        </w:rPr>
        <w:t>http://factfinder.census.gov/faces/tableservices/jsf/pages/productview.xhtml?</w:t>
      </w:r>
    </w:p>
    <w:p w:rsidR="0031180A" w:rsidRPr="009975E0" w:rsidRDefault="0031180A" w:rsidP="009D2847">
      <w:pPr>
        <w:pStyle w:val="FootnoteText"/>
      </w:pPr>
      <w:r w:rsidRPr="00783D14">
        <w:rPr>
          <w:rStyle w:val="Hyperlink"/>
        </w:rPr>
        <w:t>pid=ECN_2012_US_51SSSZ5&amp;prodType=table</w:t>
      </w:r>
      <w:r>
        <w:fldChar w:fldCharType="end"/>
      </w:r>
      <w:r w:rsidRPr="009975E0">
        <w:t>.</w:t>
      </w:r>
    </w:p>
  </w:footnote>
  <w:footnote w:id="256">
    <w:p w:rsidR="0031180A" w:rsidRDefault="0031180A" w:rsidP="009D2847">
      <w:pPr>
        <w:pStyle w:val="FootnoteText"/>
      </w:pPr>
      <w:r>
        <w:rPr>
          <w:rStyle w:val="FootnoteReference"/>
        </w:rPr>
        <w:footnoteRef/>
      </w:r>
      <w:r>
        <w:t xml:space="preserve"> </w:t>
      </w:r>
      <w:hyperlink r:id="rId25" w:history="1">
        <w:r w:rsidRPr="00A54FE6">
          <w:rPr>
            <w:rStyle w:val="Hyperlink"/>
          </w:rPr>
          <w:t>http://factfinder.census.gov/faces/tableservices/jsf/pages/productview.xhtml?pid=ECN_2012_US-51SSSZ5&amp;prodType=Table</w:t>
        </w:r>
      </w:hyperlink>
      <w:r>
        <w:t>.</w:t>
      </w:r>
    </w:p>
  </w:footnote>
  <w:footnote w:id="257">
    <w:p w:rsidR="0031180A" w:rsidRDefault="0031180A" w:rsidP="009D2847">
      <w:pPr>
        <w:pStyle w:val="FootnoteText"/>
      </w:pPr>
      <w:r>
        <w:rPr>
          <w:rStyle w:val="FootnoteReference"/>
        </w:rPr>
        <w:footnoteRef/>
      </w:r>
      <w:r>
        <w:t xml:space="preserve"> 47 CFR </w:t>
      </w:r>
      <w:r w:rsidRPr="00133697">
        <w:t>§</w:t>
      </w:r>
      <w:r>
        <w:t xml:space="preserve"> 76.901(e).</w:t>
      </w:r>
    </w:p>
  </w:footnote>
  <w:footnote w:id="258">
    <w:p w:rsidR="0031180A" w:rsidRDefault="0031180A" w:rsidP="009D2847">
      <w:pPr>
        <w:pStyle w:val="FootnoteText"/>
      </w:pPr>
      <w:r>
        <w:rPr>
          <w:rStyle w:val="FootnoteReference"/>
        </w:rPr>
        <w:footnoteRef/>
      </w:r>
      <w:r>
        <w:t xml:space="preserve"> </w:t>
      </w:r>
      <w:r w:rsidRPr="00960385">
        <w:rPr>
          <w:i/>
        </w:rPr>
        <w:t>See Eighteenth Competition Report</w:t>
      </w:r>
      <w:r>
        <w:t>, 32 FCC Rcd at 584, para. 39 (citing the Commission’s Cable Operations and Licensing Systems (COALS) database).</w:t>
      </w:r>
    </w:p>
  </w:footnote>
  <w:footnote w:id="259">
    <w:p w:rsidR="0031180A" w:rsidRDefault="0031180A" w:rsidP="009D2847">
      <w:pPr>
        <w:pStyle w:val="FootnoteText"/>
      </w:pPr>
      <w:r>
        <w:rPr>
          <w:rStyle w:val="FootnoteReference"/>
        </w:rPr>
        <w:footnoteRef/>
      </w:r>
      <w:r>
        <w:t xml:space="preserve"> </w:t>
      </w:r>
      <w:r w:rsidRPr="002B1B38">
        <w:rPr>
          <w:i/>
        </w:rPr>
        <w:t>See</w:t>
      </w:r>
      <w:r>
        <w:t xml:space="preserve"> </w:t>
      </w:r>
      <w:hyperlink r:id="rId26" w:anchor="industry/topCableMSOs" w:history="1">
        <w:r w:rsidRPr="000D405F">
          <w:rPr>
            <w:rStyle w:val="Hyperlink"/>
          </w:rPr>
          <w:t>https://www.snl.com/web/client?auth=inherit#industry/topCableMSOs</w:t>
        </w:r>
      </w:hyperlink>
      <w:r>
        <w:t xml:space="preserve"> (last visited July 18, 2017).</w:t>
      </w:r>
    </w:p>
  </w:footnote>
  <w:footnote w:id="260">
    <w:p w:rsidR="0031180A" w:rsidRDefault="0031180A" w:rsidP="009D2847">
      <w:pPr>
        <w:pStyle w:val="FootnoteText"/>
      </w:pPr>
      <w:r>
        <w:rPr>
          <w:rStyle w:val="FootnoteReference"/>
        </w:rPr>
        <w:footnoteRef/>
      </w:r>
      <w:r>
        <w:t xml:space="preserve"> 47 CFR </w:t>
      </w:r>
      <w:r w:rsidRPr="00133697">
        <w:t>§</w:t>
      </w:r>
      <w:r>
        <w:t xml:space="preserve"> 76.901(c).</w:t>
      </w:r>
    </w:p>
  </w:footnote>
  <w:footnote w:id="261">
    <w:p w:rsidR="0031180A" w:rsidRDefault="0031180A" w:rsidP="009D2847">
      <w:pPr>
        <w:pStyle w:val="FootnoteText"/>
      </w:pPr>
      <w:r>
        <w:rPr>
          <w:rStyle w:val="FootnoteReference"/>
        </w:rPr>
        <w:footnoteRef/>
      </w:r>
      <w:r>
        <w:t xml:space="preserve"> </w:t>
      </w:r>
      <w:r w:rsidRPr="002B1B38">
        <w:rPr>
          <w:i/>
        </w:rPr>
        <w:t xml:space="preserve">See </w:t>
      </w:r>
      <w:r>
        <w:t xml:space="preserve">footnote 2, </w:t>
      </w:r>
      <w:r w:rsidRPr="002B1B38">
        <w:rPr>
          <w:i/>
        </w:rPr>
        <w:t>supra</w:t>
      </w:r>
      <w:r>
        <w:t>.</w:t>
      </w:r>
    </w:p>
  </w:footnote>
  <w:footnote w:id="262">
    <w:p w:rsidR="0031180A" w:rsidRDefault="0031180A" w:rsidP="009D2847">
      <w:pPr>
        <w:pStyle w:val="FootnoteText"/>
      </w:pPr>
      <w:r>
        <w:rPr>
          <w:rStyle w:val="FootnoteReference"/>
        </w:rPr>
        <w:footnoteRef/>
      </w:r>
      <w:r>
        <w:t xml:space="preserve"> August 5, 2015 report from the Media Bureau based on its research in COALS.  </w:t>
      </w:r>
      <w:r w:rsidRPr="00AD3532">
        <w:rPr>
          <w:i/>
        </w:rPr>
        <w:t>See</w:t>
      </w:r>
      <w:r>
        <w:t xml:space="preserve"> </w:t>
      </w:r>
      <w:hyperlink r:id="rId27" w:history="1">
        <w:r w:rsidRPr="00AD3532">
          <w:rPr>
            <w:rStyle w:val="Hyperlink"/>
          </w:rPr>
          <w:t>www.fcc.gov</w:t>
        </w:r>
      </w:hyperlink>
      <w:r w:rsidRPr="00AD3532">
        <w:rPr>
          <w:rStyle w:val="Hyperlink"/>
        </w:rPr>
        <w:t>/coals</w:t>
      </w:r>
      <w:r>
        <w:rPr>
          <w:rStyle w:val="Hyperlink"/>
        </w:rPr>
        <w:t>.</w:t>
      </w:r>
    </w:p>
  </w:footnote>
  <w:footnote w:id="263">
    <w:p w:rsidR="0031180A" w:rsidRDefault="0031180A" w:rsidP="009D2847">
      <w:pPr>
        <w:pStyle w:val="FootnoteText"/>
      </w:pPr>
      <w:r>
        <w:rPr>
          <w:rStyle w:val="FootnoteReference"/>
        </w:rPr>
        <w:footnoteRef/>
      </w:r>
      <w:r>
        <w:t xml:space="preserve"> 47 CFR </w:t>
      </w:r>
      <w:r w:rsidRPr="00133697">
        <w:t>§</w:t>
      </w:r>
      <w:r>
        <w:t xml:space="preserve"> 76.901 (f) and notes ff. 1, 2, and 3.</w:t>
      </w:r>
    </w:p>
  </w:footnote>
  <w:footnote w:id="264">
    <w:p w:rsidR="0031180A" w:rsidRDefault="0031180A" w:rsidP="009D2847">
      <w:pPr>
        <w:pStyle w:val="FootnoteText"/>
      </w:pPr>
      <w:r>
        <w:rPr>
          <w:rStyle w:val="FootnoteReference"/>
        </w:rPr>
        <w:footnoteRef/>
      </w:r>
      <w:r>
        <w:t xml:space="preserve"> </w:t>
      </w:r>
      <w:r w:rsidRPr="002B1B38">
        <w:rPr>
          <w:i/>
        </w:rPr>
        <w:t>See</w:t>
      </w:r>
      <w:r>
        <w:t xml:space="preserve"> NCTA Industry Data, Cable’s Customer Base, available at </w:t>
      </w:r>
      <w:hyperlink r:id="rId28" w:history="1">
        <w:r w:rsidRPr="00EE3A67">
          <w:rPr>
            <w:rStyle w:val="Hyperlink"/>
          </w:rPr>
          <w:t>https://www.ncta.com/industry-data</w:t>
        </w:r>
      </w:hyperlink>
      <w:r>
        <w:t xml:space="preserve"> (last visited July 6, 2017).</w:t>
      </w:r>
    </w:p>
  </w:footnote>
  <w:footnote w:id="265">
    <w:p w:rsidR="0031180A" w:rsidRDefault="0031180A" w:rsidP="009D2847">
      <w:pPr>
        <w:pStyle w:val="FootnoteText"/>
      </w:pPr>
      <w:r>
        <w:rPr>
          <w:rStyle w:val="FootnoteReference"/>
        </w:rPr>
        <w:footnoteRef/>
      </w:r>
      <w:r>
        <w:t xml:space="preserve"> 47 CFR </w:t>
      </w:r>
      <w:r w:rsidRPr="00133697">
        <w:t>§</w:t>
      </w:r>
      <w:r>
        <w:t xml:space="preserve"> 76.901(f) and notes ff. 1, 2, and 3.</w:t>
      </w:r>
    </w:p>
  </w:footnote>
  <w:footnote w:id="266">
    <w:p w:rsidR="0031180A" w:rsidRDefault="0031180A" w:rsidP="009D2847">
      <w:pPr>
        <w:pStyle w:val="FootnoteText"/>
      </w:pPr>
      <w:r>
        <w:rPr>
          <w:rStyle w:val="FootnoteReference"/>
        </w:rPr>
        <w:footnoteRef/>
      </w:r>
      <w:r>
        <w:t xml:space="preserve"> </w:t>
      </w:r>
      <w:r w:rsidRPr="002B1B38">
        <w:rPr>
          <w:i/>
        </w:rPr>
        <w:t>See</w:t>
      </w:r>
      <w:r>
        <w:t xml:space="preserve"> </w:t>
      </w:r>
      <w:hyperlink r:id="rId29" w:anchor="industry/topCableMSOs" w:history="1">
        <w:r w:rsidRPr="000D405F">
          <w:rPr>
            <w:rStyle w:val="Hyperlink"/>
          </w:rPr>
          <w:t>https://www.snl.com/web/client?auth=inherit#industry/topCableMSOs</w:t>
        </w:r>
      </w:hyperlink>
      <w:r>
        <w:t xml:space="preserve"> (last visited July 18, 2017).</w:t>
      </w:r>
    </w:p>
  </w:footnote>
  <w:footnote w:id="267">
    <w:p w:rsidR="0031180A" w:rsidRDefault="0031180A" w:rsidP="009D2847">
      <w:pPr>
        <w:pStyle w:val="FootnoteText"/>
      </w:pPr>
      <w:r>
        <w:rPr>
          <w:rStyle w:val="FootnoteReference"/>
        </w:rPr>
        <w:footnoteRef/>
      </w:r>
      <w:r>
        <w:t xml:space="preserve"> </w:t>
      </w:r>
      <w:r w:rsidRPr="00133697">
        <w:t>The Commission does receive such information on a case-by-case basis if a cable operator appe</w:t>
      </w:r>
      <w:r>
        <w:t>als a local franchise authority’</w:t>
      </w:r>
      <w:r w:rsidRPr="00133697">
        <w:t xml:space="preserve">s finding that the operator does not qualify as a small cable operator pursuant to </w:t>
      </w:r>
      <w:r>
        <w:t xml:space="preserve">47 CFR </w:t>
      </w:r>
      <w:r w:rsidRPr="00133697">
        <w:t>§ 76.901(f) of the Commission</w:t>
      </w:r>
      <w:r>
        <w:t>’</w:t>
      </w:r>
      <w:r w:rsidRPr="00133697">
        <w:t>s rules</w:t>
      </w:r>
      <w:r w:rsidRPr="002B1B38">
        <w:rPr>
          <w:i/>
        </w:rPr>
        <w:t>.</w:t>
      </w:r>
      <w:r>
        <w:rPr>
          <w:i/>
        </w:rPr>
        <w:t xml:space="preserve"> </w:t>
      </w:r>
      <w:r w:rsidRPr="002B1B38">
        <w:rPr>
          <w:i/>
        </w:rPr>
        <w:t xml:space="preserve"> See</w:t>
      </w:r>
      <w:r w:rsidRPr="00133697">
        <w:t xml:space="preserve"> 47 CFR § 76.901(f).</w:t>
      </w:r>
    </w:p>
  </w:footnote>
  <w:footnote w:id="268">
    <w:p w:rsidR="0031180A" w:rsidRDefault="0031180A" w:rsidP="009D2847">
      <w:pPr>
        <w:pStyle w:val="FootnoteText"/>
      </w:pPr>
      <w:r>
        <w:rPr>
          <w:rStyle w:val="FootnoteReference"/>
        </w:rPr>
        <w:footnoteRef/>
      </w:r>
      <w:r>
        <w:t xml:space="preserve"> </w:t>
      </w:r>
      <w:hyperlink r:id="rId30" w:history="1">
        <w:r w:rsidRPr="00365B1A">
          <w:rPr>
            <w:rStyle w:val="Hyperlink"/>
          </w:rPr>
          <w:t>http://www.census.gov/cgi-bin/sssd/naics/naicsrch</w:t>
        </w:r>
      </w:hyperlink>
      <w:r>
        <w:t xml:space="preserve">. </w:t>
      </w:r>
    </w:p>
  </w:footnote>
  <w:footnote w:id="269">
    <w:p w:rsidR="0031180A" w:rsidRDefault="0031180A" w:rsidP="009D2847">
      <w:pPr>
        <w:pStyle w:val="FootnoteText"/>
      </w:pPr>
      <w:r>
        <w:rPr>
          <w:rStyle w:val="FootnoteReference"/>
        </w:rPr>
        <w:footnoteRef/>
      </w:r>
      <w:r>
        <w:t xml:space="preserve"> NAICs code 517110; 13 CFR</w:t>
      </w:r>
      <w:r w:rsidRPr="00A7270F">
        <w:t xml:space="preserve"> </w:t>
      </w:r>
      <w:r w:rsidRPr="00133697">
        <w:t>§</w:t>
      </w:r>
      <w:r>
        <w:t xml:space="preserve"> </w:t>
      </w:r>
      <w:r w:rsidRPr="00A7270F">
        <w:t>121.201.</w:t>
      </w:r>
    </w:p>
  </w:footnote>
  <w:footnote w:id="270">
    <w:p w:rsidR="0031180A" w:rsidRPr="00783D14" w:rsidRDefault="0031180A" w:rsidP="009D2847">
      <w:pPr>
        <w:pStyle w:val="FootnoteText"/>
        <w:spacing w:after="0"/>
        <w:rPr>
          <w:rStyle w:val="Hyperlink"/>
        </w:rPr>
      </w:pPr>
      <w:r>
        <w:rPr>
          <w:rStyle w:val="FootnoteReference"/>
        </w:rPr>
        <w:footnoteRef/>
      </w:r>
      <w:r>
        <w:t xml:space="preserve"> </w:t>
      </w:r>
      <w:r>
        <w:fldChar w:fldCharType="begin"/>
      </w:r>
      <w:r w:rsidR="002A22B8">
        <w:instrText>HYPERLINK "http://factfinder.census.gov/faces/tableservices.jasf/pages/productview.xhtml?pid+ECN_2012_US.51SSSZ4&amp;prodType=table"</w:instrText>
      </w:r>
      <w:r>
        <w:fldChar w:fldCharType="separate"/>
      </w:r>
      <w:r w:rsidRPr="00783D14">
        <w:rPr>
          <w:rStyle w:val="Hyperlink"/>
        </w:rPr>
        <w:t>http://factfinder.census.gov/faces/tableservices.jasf/pages/productview.xhtml?</w:t>
      </w:r>
    </w:p>
    <w:p w:rsidR="0031180A" w:rsidRDefault="0031180A" w:rsidP="009D2847">
      <w:pPr>
        <w:pStyle w:val="FootnoteText"/>
      </w:pPr>
      <w:r w:rsidRPr="00783D14">
        <w:rPr>
          <w:rStyle w:val="Hyperlink"/>
        </w:rPr>
        <w:t>pid+ECN_2012_US.51SSSZ4&amp;prodType=table</w:t>
      </w:r>
      <w:r>
        <w:fldChar w:fldCharType="end"/>
      </w:r>
      <w:r>
        <w:rPr>
          <w:sz w:val="16"/>
          <w:szCs w:val="16"/>
        </w:rPr>
        <w:t>.</w:t>
      </w:r>
      <w:r>
        <w:t xml:space="preserve"> </w:t>
      </w:r>
    </w:p>
  </w:footnote>
  <w:footnote w:id="271">
    <w:p w:rsidR="0031180A" w:rsidRDefault="0031180A" w:rsidP="009D2847">
      <w:pPr>
        <w:pStyle w:val="FootnoteText"/>
      </w:pPr>
      <w:r>
        <w:rPr>
          <w:rStyle w:val="FootnoteReference"/>
        </w:rPr>
        <w:footnoteRef/>
      </w:r>
      <w:r>
        <w:t xml:space="preserve"> </w:t>
      </w:r>
      <w:hyperlink r:id="rId31" w:history="1">
        <w:r w:rsidRPr="00900913">
          <w:rPr>
            <w:rStyle w:val="Hyperlink"/>
          </w:rPr>
          <w:t>http://www.census.gov/cgi-bin/ssssd/naics/naicsrch</w:t>
        </w:r>
      </w:hyperlink>
      <w:r>
        <w:t>.</w:t>
      </w:r>
    </w:p>
  </w:footnote>
  <w:footnote w:id="272">
    <w:p w:rsidR="0031180A" w:rsidRDefault="0031180A" w:rsidP="009D2847">
      <w:pPr>
        <w:pStyle w:val="FootnoteText"/>
      </w:pPr>
      <w:r>
        <w:rPr>
          <w:rStyle w:val="FootnoteReference"/>
        </w:rPr>
        <w:footnoteRef/>
      </w:r>
      <w:r>
        <w:t xml:space="preserve"> 13 CFR </w:t>
      </w:r>
      <w:r w:rsidRPr="00133697">
        <w:t>§</w:t>
      </w:r>
      <w:r>
        <w:t xml:space="preserve"> 121.201; NAICs code 517919.</w:t>
      </w:r>
    </w:p>
  </w:footnote>
  <w:footnote w:id="273">
    <w:p w:rsidR="0031180A" w:rsidRPr="00783D14" w:rsidRDefault="0031180A" w:rsidP="009D2847">
      <w:pPr>
        <w:pStyle w:val="FootnoteText"/>
        <w:spacing w:after="0"/>
        <w:rPr>
          <w:rStyle w:val="Hyperlink"/>
        </w:rPr>
      </w:pPr>
      <w:r>
        <w:rPr>
          <w:rStyle w:val="FootnoteReference"/>
        </w:rPr>
        <w:footnoteRef/>
      </w:r>
      <w:r>
        <w:t xml:space="preserve"> </w:t>
      </w:r>
      <w:r>
        <w:fldChar w:fldCharType="begin"/>
      </w:r>
      <w:r w:rsidR="002A22B8">
        <w:instrText>HYPERLINK "http://factfinder.census.gov/faces/tableservices.jasf/pages/productview.xhtml?pid+ECN_2012_US.51SSSZ4&amp;prodType=table"</w:instrText>
      </w:r>
      <w:r>
        <w:fldChar w:fldCharType="separate"/>
      </w:r>
      <w:r w:rsidRPr="00783D14">
        <w:rPr>
          <w:rStyle w:val="Hyperlink"/>
        </w:rPr>
        <w:t>http://factfinder.census.gov/faces/tableservices.jasf/pages/productview.xhtml?</w:t>
      </w:r>
    </w:p>
    <w:p w:rsidR="0031180A" w:rsidRDefault="0031180A" w:rsidP="009D2847">
      <w:pPr>
        <w:pStyle w:val="FootnoteText"/>
      </w:pPr>
      <w:r w:rsidRPr="00783D14">
        <w:rPr>
          <w:rStyle w:val="Hyperlink"/>
        </w:rPr>
        <w:t>pid+ECN_2012_US.51SSSZ4&amp;prodType=table</w:t>
      </w:r>
      <w:r>
        <w:fldChar w:fldCharType="end"/>
      </w:r>
      <w:r>
        <w:rPr>
          <w:sz w:val="16"/>
          <w:szCs w:val="16"/>
        </w:rPr>
        <w:t>.</w:t>
      </w:r>
    </w:p>
  </w:footnote>
  <w:footnote w:id="274">
    <w:p w:rsidR="0031180A" w:rsidRDefault="0031180A" w:rsidP="009D2847">
      <w:pPr>
        <w:pStyle w:val="FootnoteText"/>
      </w:pPr>
      <w:r>
        <w:rPr>
          <w:rStyle w:val="FootnoteReference"/>
        </w:rPr>
        <w:footnoteRef/>
      </w:r>
      <w:r>
        <w:t xml:space="preserve"> </w:t>
      </w:r>
      <w:r w:rsidRPr="00B80C6E">
        <w:rPr>
          <w:i/>
        </w:rPr>
        <w:t>See</w:t>
      </w:r>
      <w:r>
        <w:t xml:space="preserve"> 47 CFR </w:t>
      </w:r>
      <w:r w:rsidRPr="00133697">
        <w:t>§</w:t>
      </w:r>
      <w:r>
        <w:t xml:space="preserve"> 52.101(b).</w:t>
      </w:r>
    </w:p>
  </w:footnote>
  <w:footnote w:id="275">
    <w:p w:rsidR="0031180A" w:rsidRDefault="0031180A" w:rsidP="009D2847">
      <w:pPr>
        <w:pStyle w:val="FootnoteText"/>
      </w:pPr>
      <w:r>
        <w:rPr>
          <w:rStyle w:val="FootnoteReference"/>
        </w:rPr>
        <w:footnoteRef/>
      </w:r>
      <w:r>
        <w:t xml:space="preserve"> 13 CFR </w:t>
      </w:r>
      <w:r w:rsidRPr="00133697">
        <w:t>§</w:t>
      </w:r>
      <w:r>
        <w:t xml:space="preserve"> 121.201, NAICS code 517110.</w:t>
      </w:r>
    </w:p>
  </w:footnote>
  <w:footnote w:id="276">
    <w:p w:rsidR="0031180A" w:rsidRDefault="0031180A" w:rsidP="009D2847">
      <w:pPr>
        <w:pStyle w:val="FootnoteText"/>
      </w:pPr>
      <w:r>
        <w:rPr>
          <w:rStyle w:val="FootnoteReference"/>
        </w:rPr>
        <w:footnoteRef/>
      </w:r>
      <w:r>
        <w:t xml:space="preserve"> </w:t>
      </w:r>
      <w:r w:rsidRPr="007D381C">
        <w:rPr>
          <w:i/>
        </w:rPr>
        <w:t>Id</w:t>
      </w:r>
      <w:r>
        <w:t>.</w:t>
      </w:r>
    </w:p>
  </w:footnote>
  <w:footnote w:id="277">
    <w:p w:rsidR="0031180A" w:rsidRDefault="0031180A" w:rsidP="009D2847">
      <w:pPr>
        <w:pStyle w:val="FootnoteText"/>
      </w:pPr>
      <w:r>
        <w:rPr>
          <w:rStyle w:val="FootnoteReference"/>
        </w:rPr>
        <w:footnoteRef/>
      </w:r>
      <w:r>
        <w:t xml:space="preserve"> </w:t>
      </w:r>
      <w:r w:rsidRPr="00CD3CED">
        <w:rPr>
          <w:rStyle w:val="Hyperlink"/>
        </w:rPr>
        <w:t>http://www.census,gov/cgi-bin/sssd/naics.naicsrch</w:t>
      </w:r>
      <w:r>
        <w:rPr>
          <w:rStyle w:val="Hyperlink"/>
        </w:rPr>
        <w:t>.</w:t>
      </w:r>
    </w:p>
  </w:footnote>
  <w:footnote w:id="278">
    <w:p w:rsidR="0031180A" w:rsidRDefault="0031180A" w:rsidP="009D2847">
      <w:pPr>
        <w:pStyle w:val="FootnoteText"/>
      </w:pPr>
      <w:r>
        <w:rPr>
          <w:rStyle w:val="FootnoteReference"/>
        </w:rPr>
        <w:footnoteRef/>
      </w:r>
      <w:r>
        <w:t xml:space="preserve"> 13 CFR </w:t>
      </w:r>
      <w:r w:rsidRPr="00133697">
        <w:t>§</w:t>
      </w:r>
      <w:r>
        <w:t xml:space="preserve"> 120,201, NAICS code 517110.</w:t>
      </w:r>
    </w:p>
  </w:footnote>
  <w:footnote w:id="279">
    <w:p w:rsidR="0031180A" w:rsidRPr="00A54FE6" w:rsidRDefault="0031180A" w:rsidP="009D2847">
      <w:pPr>
        <w:pStyle w:val="FootnoteText"/>
        <w:spacing w:after="0"/>
        <w:rPr>
          <w:rStyle w:val="Hyperlink"/>
        </w:rPr>
      </w:pPr>
      <w:r>
        <w:rPr>
          <w:rStyle w:val="FootnoteReference"/>
        </w:rPr>
        <w:footnoteRef/>
      </w:r>
      <w:r>
        <w:t xml:space="preserve"> </w:t>
      </w:r>
      <w:r>
        <w:fldChar w:fldCharType="begin"/>
      </w:r>
      <w:r w:rsidR="002A22B8">
        <w:instrText>HYPERLINK "http://factfinder.census.gov/faces/tableservices/jsf/pages/productview.xhtml?pid=ECN_2012_US_51SSSZ4&amp;prodType=table"</w:instrText>
      </w:r>
      <w:r>
        <w:fldChar w:fldCharType="separate"/>
      </w:r>
      <w:r w:rsidRPr="00A54FE6">
        <w:rPr>
          <w:rStyle w:val="Hyperlink"/>
        </w:rPr>
        <w:t>http://factfinder.census.gov/faces/tableservices/jsf/pages/productview.xhtml?</w:t>
      </w:r>
    </w:p>
    <w:p w:rsidR="0031180A" w:rsidRPr="00B013DC" w:rsidRDefault="0031180A" w:rsidP="009D2847">
      <w:pPr>
        <w:pStyle w:val="FootnoteText"/>
      </w:pPr>
      <w:r w:rsidRPr="00A54FE6">
        <w:rPr>
          <w:rStyle w:val="Hyperlink"/>
        </w:rPr>
        <w:t>pid=ECN_2012_US_51SSSZ4&amp;prodType=table</w:t>
      </w:r>
      <w:r>
        <w:fldChar w:fldCharType="end"/>
      </w:r>
      <w:r w:rsidRPr="00B013DC">
        <w:t>.</w:t>
      </w:r>
    </w:p>
  </w:footnote>
  <w:footnote w:id="280">
    <w:p w:rsidR="0031180A" w:rsidRDefault="0031180A" w:rsidP="009D2847">
      <w:pPr>
        <w:pStyle w:val="FootnoteText"/>
      </w:pPr>
      <w:r>
        <w:rPr>
          <w:rStyle w:val="FootnoteReference"/>
        </w:rPr>
        <w:footnoteRef/>
      </w:r>
      <w:r>
        <w:t xml:space="preserve"> </w:t>
      </w:r>
      <w:r w:rsidRPr="00CD3CED">
        <w:rPr>
          <w:rStyle w:val="Hyperlink"/>
        </w:rPr>
        <w:t>http://www.census,gov/cgi-bin/sssd/naics.naicsrch</w:t>
      </w:r>
      <w:r>
        <w:t>.</w:t>
      </w:r>
    </w:p>
  </w:footnote>
  <w:footnote w:id="281">
    <w:p w:rsidR="0031180A" w:rsidRDefault="0031180A" w:rsidP="009D2847">
      <w:pPr>
        <w:pStyle w:val="FootnoteText"/>
      </w:pPr>
      <w:r>
        <w:rPr>
          <w:rStyle w:val="FootnoteReference"/>
        </w:rPr>
        <w:footnoteRef/>
      </w:r>
      <w:r>
        <w:t xml:space="preserve"> 13 CFR </w:t>
      </w:r>
      <w:r w:rsidRPr="00133697">
        <w:t>§</w:t>
      </w:r>
      <w:r>
        <w:t xml:space="preserve"> 120.201, NAICS code 517120.</w:t>
      </w:r>
    </w:p>
  </w:footnote>
  <w:footnote w:id="282">
    <w:p w:rsidR="0031180A" w:rsidRPr="00A54FE6" w:rsidRDefault="0031180A" w:rsidP="009D2847">
      <w:pPr>
        <w:pStyle w:val="FootnoteText"/>
        <w:spacing w:after="0"/>
        <w:rPr>
          <w:rStyle w:val="Hyperlink"/>
        </w:rPr>
      </w:pPr>
      <w:r>
        <w:rPr>
          <w:rStyle w:val="FootnoteReference"/>
        </w:rPr>
        <w:footnoteRef/>
      </w:r>
      <w:r>
        <w:t xml:space="preserve"> </w:t>
      </w:r>
      <w:r>
        <w:fldChar w:fldCharType="begin"/>
      </w:r>
      <w:r w:rsidR="002A22B8">
        <w:instrText>HYPERLINK "http://factfinder.census.gov/faces/tableservices/jsf/pages/productview.xhtml?pid=ECN_2012_US_51SSSZ4&amp;prodType=table"</w:instrText>
      </w:r>
      <w:r>
        <w:fldChar w:fldCharType="separate"/>
      </w:r>
      <w:r w:rsidRPr="00A54FE6">
        <w:rPr>
          <w:rStyle w:val="Hyperlink"/>
        </w:rPr>
        <w:t>http://factfinder.census.gov/faces/tableservices/jsf/pages/productview.xhtml?</w:t>
      </w:r>
    </w:p>
    <w:p w:rsidR="0031180A" w:rsidRPr="00B013DC" w:rsidRDefault="0031180A" w:rsidP="009D2847">
      <w:pPr>
        <w:pStyle w:val="FootnoteText"/>
      </w:pPr>
      <w:r w:rsidRPr="00A54FE6">
        <w:rPr>
          <w:rStyle w:val="Hyperlink"/>
        </w:rPr>
        <w:t>pid=ECN_2012_US_51SSSZ4&amp;prodType=table</w:t>
      </w:r>
      <w:r>
        <w:fldChar w:fldCharType="end"/>
      </w:r>
      <w:r w:rsidRPr="00B013DC">
        <w:t>.</w:t>
      </w:r>
    </w:p>
  </w:footnote>
  <w:footnote w:id="283">
    <w:p w:rsidR="0031180A" w:rsidRDefault="0031180A" w:rsidP="009D2847">
      <w:pPr>
        <w:pStyle w:val="FootnoteText"/>
      </w:pPr>
      <w:r>
        <w:rPr>
          <w:rStyle w:val="FootnoteReference"/>
        </w:rPr>
        <w:footnoteRef/>
      </w:r>
      <w:r>
        <w:t xml:space="preserve"> 13 CFR </w:t>
      </w:r>
      <w:r w:rsidRPr="00133697">
        <w:t>§</w:t>
      </w:r>
      <w:r>
        <w:t xml:space="preserve"> 120.201, NAICS code 541890.</w:t>
      </w:r>
    </w:p>
  </w:footnote>
  <w:footnote w:id="284">
    <w:p w:rsidR="0031180A" w:rsidRDefault="0031180A" w:rsidP="009D2847">
      <w:pPr>
        <w:pStyle w:val="FootnoteText"/>
      </w:pPr>
      <w:r>
        <w:rPr>
          <w:rStyle w:val="FootnoteReference"/>
        </w:rPr>
        <w:footnoteRef/>
      </w:r>
      <w:r>
        <w:t xml:space="preserve"> 13 CFR </w:t>
      </w:r>
      <w:r w:rsidRPr="00133697">
        <w:t>§</w:t>
      </w:r>
      <w:r>
        <w:t xml:space="preserve"> 120.201, NAICS code 541618.</w:t>
      </w:r>
    </w:p>
  </w:footnote>
  <w:footnote w:id="285">
    <w:p w:rsidR="0031180A" w:rsidRDefault="0031180A" w:rsidP="009D2847">
      <w:pPr>
        <w:pStyle w:val="FootnoteText"/>
      </w:pPr>
      <w:r>
        <w:rPr>
          <w:rStyle w:val="FootnoteReference"/>
        </w:rPr>
        <w:footnoteRef/>
      </w:r>
      <w:r>
        <w:t xml:space="preserve"> </w:t>
      </w:r>
      <w:r w:rsidRPr="00CD3CED">
        <w:rPr>
          <w:rStyle w:val="Hyperlink"/>
        </w:rPr>
        <w:t>http://www.census,gov/cgi-bin/sssd/naics.naicsrch</w:t>
      </w:r>
      <w:r>
        <w:rPr>
          <w:rStyle w:val="Hyperlink"/>
        </w:rPr>
        <w:t>.</w:t>
      </w:r>
    </w:p>
  </w:footnote>
  <w:footnote w:id="286">
    <w:p w:rsidR="0031180A" w:rsidRDefault="0031180A" w:rsidP="009D2847">
      <w:pPr>
        <w:pStyle w:val="FootnoteText"/>
      </w:pPr>
      <w:r>
        <w:rPr>
          <w:rStyle w:val="FootnoteReference"/>
        </w:rPr>
        <w:footnoteRef/>
      </w:r>
      <w:r>
        <w:t xml:space="preserve"> </w:t>
      </w:r>
      <w:r w:rsidRPr="00A017E4">
        <w:t xml:space="preserve">13 CFR </w:t>
      </w:r>
      <w:r w:rsidRPr="00133697">
        <w:t>§</w:t>
      </w:r>
      <w:r>
        <w:t xml:space="preserve"> 120.201, NAICS c</w:t>
      </w:r>
      <w:r w:rsidRPr="00A017E4">
        <w:t>ode 541890</w:t>
      </w:r>
      <w:r>
        <w:t>.</w:t>
      </w:r>
    </w:p>
  </w:footnote>
  <w:footnote w:id="287">
    <w:p w:rsidR="0031180A" w:rsidRPr="00A54FE6" w:rsidRDefault="0031180A" w:rsidP="009D2847">
      <w:pPr>
        <w:pStyle w:val="FootnoteText"/>
        <w:spacing w:after="0"/>
        <w:rPr>
          <w:rStyle w:val="Hyperlink"/>
        </w:rPr>
      </w:pPr>
      <w:r>
        <w:rPr>
          <w:rStyle w:val="FootnoteReference"/>
        </w:rPr>
        <w:footnoteRef/>
      </w:r>
      <w:r>
        <w:t xml:space="preserve"> </w:t>
      </w:r>
      <w:r>
        <w:fldChar w:fldCharType="begin"/>
      </w:r>
      <w:r w:rsidR="002A22B8">
        <w:instrText>HYPERLINK "http://factfinder.census.gov/faces/tableservices/jsf/pages/productview.xhtml?pid=ECN_2012_US_51SSSZ4&amp;prodType=table"</w:instrText>
      </w:r>
      <w:r>
        <w:fldChar w:fldCharType="separate"/>
      </w:r>
      <w:r w:rsidRPr="00A54FE6">
        <w:rPr>
          <w:rStyle w:val="Hyperlink"/>
        </w:rPr>
        <w:t>http://factfinder.census.gov/faces/tableservices/jsf/pages/productview.xhtml?</w:t>
      </w:r>
    </w:p>
    <w:p w:rsidR="0031180A" w:rsidRPr="00B013DC" w:rsidRDefault="0031180A" w:rsidP="009D2847">
      <w:pPr>
        <w:pStyle w:val="FootnoteText"/>
      </w:pPr>
      <w:r w:rsidRPr="00A54FE6">
        <w:rPr>
          <w:rStyle w:val="Hyperlink"/>
        </w:rPr>
        <w:t>pid=ECN_2012_US_51SSSZ4&amp;prodType=table</w:t>
      </w:r>
      <w:r>
        <w:fldChar w:fldCharType="end"/>
      </w:r>
      <w:r w:rsidRPr="00B013DC">
        <w:t>.</w:t>
      </w:r>
    </w:p>
  </w:footnote>
  <w:footnote w:id="288">
    <w:p w:rsidR="0031180A" w:rsidRDefault="0031180A" w:rsidP="009D2847">
      <w:pPr>
        <w:pStyle w:val="FootnoteText"/>
      </w:pPr>
      <w:r>
        <w:rPr>
          <w:rStyle w:val="FootnoteReference"/>
        </w:rPr>
        <w:footnoteRef/>
      </w:r>
      <w:r w:rsidRPr="00470358">
        <w:t xml:space="preserve"> </w:t>
      </w:r>
      <w:r w:rsidRPr="00B974AD">
        <w:rPr>
          <w:rStyle w:val="Hyperlink"/>
        </w:rPr>
        <w:t>http://www.census,gov/cgi-bin/sssd/naics.naicsrch</w:t>
      </w:r>
      <w:r>
        <w:t>.</w:t>
      </w:r>
    </w:p>
  </w:footnote>
  <w:footnote w:id="289">
    <w:p w:rsidR="0031180A" w:rsidRDefault="0031180A" w:rsidP="009D2847">
      <w:pPr>
        <w:pStyle w:val="FootnoteText"/>
      </w:pPr>
      <w:r>
        <w:rPr>
          <w:rStyle w:val="FootnoteReference"/>
        </w:rPr>
        <w:footnoteRef/>
      </w:r>
      <w:r>
        <w:t xml:space="preserve"> 13 CFR </w:t>
      </w:r>
      <w:r w:rsidRPr="00133697">
        <w:t>§</w:t>
      </w:r>
      <w:r>
        <w:t xml:space="preserve"> 120.201, NAICS code 514618.</w:t>
      </w:r>
    </w:p>
  </w:footnote>
  <w:footnote w:id="290">
    <w:p w:rsidR="0031180A" w:rsidRPr="00A54FE6" w:rsidRDefault="0031180A" w:rsidP="009D2847">
      <w:pPr>
        <w:pStyle w:val="FootnoteText"/>
        <w:spacing w:after="0"/>
        <w:rPr>
          <w:rStyle w:val="Hyperlink"/>
        </w:rPr>
      </w:pPr>
      <w:r>
        <w:rPr>
          <w:rStyle w:val="FootnoteReference"/>
        </w:rPr>
        <w:footnoteRef/>
      </w:r>
      <w:r>
        <w:t xml:space="preserve"> </w:t>
      </w:r>
      <w:r>
        <w:fldChar w:fldCharType="begin"/>
      </w:r>
      <w:r w:rsidR="002A22B8">
        <w:instrText>HYPERLINK "http://factfinder.census.gov/faces/tableservices/jsf/pages/productview.xhtml?pid=ECN_2012_US_51SSSZ4&amp;prodType=table"</w:instrText>
      </w:r>
      <w:r>
        <w:fldChar w:fldCharType="separate"/>
      </w:r>
      <w:r w:rsidRPr="00A54FE6">
        <w:rPr>
          <w:rStyle w:val="Hyperlink"/>
        </w:rPr>
        <w:t>http://factfinder.census.gov/faces/tableservices/jsf/pages/productview.xhtml?</w:t>
      </w:r>
    </w:p>
    <w:p w:rsidR="0031180A" w:rsidRPr="00B013DC" w:rsidRDefault="0031180A" w:rsidP="009D2847">
      <w:pPr>
        <w:pStyle w:val="FootnoteText"/>
      </w:pPr>
      <w:r w:rsidRPr="00A54FE6">
        <w:rPr>
          <w:rStyle w:val="Hyperlink"/>
        </w:rPr>
        <w:t>pid=ECN_2012_US_51SSSZ4&amp;prodType=table</w:t>
      </w:r>
      <w:r>
        <w:fldChar w:fldCharType="end"/>
      </w:r>
      <w:r w:rsidRPr="00B013DC">
        <w:t>.</w:t>
      </w:r>
    </w:p>
  </w:footnote>
  <w:footnote w:id="291">
    <w:p w:rsidR="0031180A" w:rsidRDefault="0031180A" w:rsidP="009D2847">
      <w:pPr>
        <w:pStyle w:val="FootnoteText"/>
      </w:pPr>
      <w:r>
        <w:rPr>
          <w:rStyle w:val="FootnoteReference"/>
        </w:rPr>
        <w:footnoteRef/>
      </w:r>
      <w:r>
        <w:t xml:space="preserve"> The four NAICS code-based categories selected above to provide definitions for Carrier and Non-Carrier RespOrgs were selected because as a group they refer generically and comprehensively to all RespOrgs.   </w:t>
      </w:r>
    </w:p>
  </w:footnote>
  <w:footnote w:id="292">
    <w:p w:rsidR="0031180A" w:rsidRDefault="0031180A" w:rsidP="009D2847">
      <w:pPr>
        <w:pStyle w:val="FootnoteText"/>
      </w:pPr>
      <w:r>
        <w:rPr>
          <w:rStyle w:val="FootnoteReference"/>
        </w:rPr>
        <w:footnoteRef/>
      </w:r>
      <w:r>
        <w:t xml:space="preserve"> </w:t>
      </w:r>
      <w:r w:rsidRPr="00185ED3">
        <w:t>5 U.S.C. § 603(c)(1)–(c)(4).</w:t>
      </w:r>
    </w:p>
  </w:footnote>
  <w:footnote w:id="293">
    <w:p w:rsidR="0031180A" w:rsidRDefault="0031180A" w:rsidP="00B85713">
      <w:pPr>
        <w:pStyle w:val="FootnoteText"/>
      </w:pPr>
      <w:r>
        <w:rPr>
          <w:rStyle w:val="FootnoteReference"/>
        </w:rPr>
        <w:footnoteRef/>
      </w:r>
      <w:r>
        <w:t xml:space="preserve"> </w:t>
      </w:r>
      <w:r>
        <w:rPr>
          <w:spacing w:val="-2"/>
          <w:lang w:val="fr-FR"/>
        </w:rPr>
        <w:t xml:space="preserve">5 U.S.C. § 603.  </w:t>
      </w:r>
      <w:r>
        <w:rPr>
          <w:spacing w:val="-2"/>
        </w:rPr>
        <w:t>The RFA, 5 U.S.C. §§ 601-612 has been amended by the Small Business Regulatory Enforcement Fairness Act of 1996 (SBREFA), Pub. L. No. 104-121, Title II, 110 Stat. 847 (1996).</w:t>
      </w:r>
    </w:p>
  </w:footnote>
  <w:footnote w:id="294">
    <w:p w:rsidR="0031180A" w:rsidRDefault="0031180A" w:rsidP="00B85713">
      <w:pPr>
        <w:pStyle w:val="FootnoteText"/>
      </w:pPr>
      <w:r>
        <w:rPr>
          <w:rStyle w:val="FootnoteReference"/>
        </w:rPr>
        <w:footnoteRef/>
      </w:r>
      <w:r>
        <w:t xml:space="preserve"> </w:t>
      </w:r>
      <w:r w:rsidRPr="006A75BE">
        <w:rPr>
          <w:i/>
        </w:rPr>
        <w:t>Assessment and Collection of Regulatory Fees for Fiscal Year 201</w:t>
      </w:r>
      <w:r>
        <w:rPr>
          <w:i/>
        </w:rPr>
        <w:t>7</w:t>
      </w:r>
      <w:r>
        <w:t>, Notice of Proposed Rulemaking, MD Docket No. 17-134, 32 FCC Rcd 4526 (2017) (</w:t>
      </w:r>
      <w:r>
        <w:rPr>
          <w:i/>
        </w:rPr>
        <w:t>FY 2017 NPRM</w:t>
      </w:r>
      <w:r>
        <w:t>).</w:t>
      </w:r>
    </w:p>
  </w:footnote>
  <w:footnote w:id="295">
    <w:p w:rsidR="0031180A" w:rsidRDefault="0031180A" w:rsidP="00B85713">
      <w:pPr>
        <w:pStyle w:val="FootnoteText"/>
      </w:pPr>
      <w:r>
        <w:rPr>
          <w:rStyle w:val="FootnoteReference"/>
        </w:rPr>
        <w:footnoteRef/>
      </w:r>
      <w:r>
        <w:t xml:space="preserve"> </w:t>
      </w:r>
      <w:r>
        <w:rPr>
          <w:spacing w:val="-2"/>
          <w:lang w:val="fr-FR"/>
        </w:rPr>
        <w:t>5 U.S.C. § 604.</w:t>
      </w:r>
    </w:p>
  </w:footnote>
  <w:footnote w:id="296">
    <w:p w:rsidR="0031180A" w:rsidRDefault="0031180A" w:rsidP="00B85713">
      <w:pPr>
        <w:pStyle w:val="FootnoteText"/>
      </w:pPr>
      <w:r>
        <w:rPr>
          <w:rStyle w:val="FootnoteReference"/>
        </w:rPr>
        <w:footnoteRef/>
      </w:r>
      <w:r>
        <w:t xml:space="preserve"> 47 U.S.C. </w:t>
      </w:r>
      <w:r>
        <w:rPr>
          <w:spacing w:val="-2"/>
          <w:lang w:val="fr-FR"/>
        </w:rPr>
        <w:t>§ 159.</w:t>
      </w:r>
    </w:p>
  </w:footnote>
  <w:footnote w:id="297">
    <w:p w:rsidR="0031180A" w:rsidRDefault="0031180A" w:rsidP="00B85713">
      <w:pPr>
        <w:pStyle w:val="FootnoteText"/>
      </w:pPr>
      <w:r>
        <w:rPr>
          <w:rStyle w:val="FootnoteReference"/>
        </w:rPr>
        <w:footnoteRef/>
      </w:r>
      <w:r>
        <w:t xml:space="preserve"> 47 U.S.C. </w:t>
      </w:r>
      <w:r>
        <w:rPr>
          <w:spacing w:val="-2"/>
          <w:lang w:val="fr-FR"/>
        </w:rPr>
        <w:t>§ 159(a).</w:t>
      </w:r>
    </w:p>
  </w:footnote>
  <w:footnote w:id="298">
    <w:p w:rsidR="0031180A" w:rsidRDefault="0031180A" w:rsidP="00B85713">
      <w:pPr>
        <w:pStyle w:val="FootnoteText"/>
      </w:pPr>
      <w:r>
        <w:rPr>
          <w:rStyle w:val="FootnoteReference"/>
        </w:rPr>
        <w:footnoteRef/>
      </w:r>
      <w:r>
        <w:t xml:space="preserve"> </w:t>
      </w:r>
      <w:r>
        <w:rPr>
          <w:rStyle w:val="Footnote"/>
        </w:rPr>
        <w:t>5 U.S.C. § 603(b)(3).</w:t>
      </w:r>
    </w:p>
  </w:footnote>
  <w:footnote w:id="299">
    <w:p w:rsidR="0031180A" w:rsidRDefault="0031180A" w:rsidP="00B85713">
      <w:pPr>
        <w:pStyle w:val="FootnoteText"/>
      </w:pPr>
      <w:r>
        <w:rPr>
          <w:rStyle w:val="FootnoteReference"/>
        </w:rPr>
        <w:footnoteRef/>
      </w:r>
      <w:r>
        <w:t xml:space="preserve"> </w:t>
      </w:r>
      <w:r>
        <w:rPr>
          <w:rStyle w:val="Footnote"/>
        </w:rPr>
        <w:t>5 U.S.C. § 601(6).</w:t>
      </w:r>
    </w:p>
  </w:footnote>
  <w:footnote w:id="300">
    <w:p w:rsidR="0031180A" w:rsidRDefault="0031180A" w:rsidP="00B85713">
      <w:pPr>
        <w:pStyle w:val="FootnoteText"/>
      </w:pPr>
      <w:r>
        <w:rPr>
          <w:rStyle w:val="FootnoteReference"/>
        </w:rPr>
        <w:footnoteRef/>
      </w:r>
      <w:r>
        <w:t xml:space="preserve"> </w:t>
      </w:r>
      <w:r>
        <w:rPr>
          <w:rStyle w:val="Footnote"/>
        </w:rPr>
        <w:t>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w:t>
      </w:r>
      <w:r w:rsidRPr="00357400">
        <w:t xml:space="preserve"> </w:t>
      </w:r>
      <w:r>
        <w:rPr>
          <w:rStyle w:val="Footnote"/>
        </w:rPr>
        <w:t>for public comment, establishes one or more definitions of such term which are appropriate to the activities of the agency and publishes such definition(s) in the Federal Register.”</w:t>
      </w:r>
    </w:p>
  </w:footnote>
  <w:footnote w:id="301">
    <w:p w:rsidR="0031180A" w:rsidRDefault="0031180A" w:rsidP="00B85713">
      <w:pPr>
        <w:pStyle w:val="FootnoteText"/>
      </w:pPr>
      <w:r>
        <w:rPr>
          <w:rStyle w:val="FootnoteReference"/>
        </w:rPr>
        <w:footnoteRef/>
      </w:r>
      <w:r>
        <w:t xml:space="preserve"> </w:t>
      </w:r>
      <w:r>
        <w:rPr>
          <w:rStyle w:val="Footnote"/>
        </w:rPr>
        <w:t>15 U.S.C. § 632.</w:t>
      </w:r>
    </w:p>
  </w:footnote>
  <w:footnote w:id="302">
    <w:p w:rsidR="0031180A" w:rsidRDefault="0031180A" w:rsidP="00B85713">
      <w:pPr>
        <w:pStyle w:val="FootnoteText"/>
      </w:pPr>
      <w:r>
        <w:rPr>
          <w:rStyle w:val="FootnoteReference"/>
        </w:rPr>
        <w:footnoteRef/>
      </w:r>
      <w:r>
        <w:t xml:space="preserve"> </w:t>
      </w:r>
      <w:r w:rsidRPr="005A3505">
        <w:rPr>
          <w:i/>
        </w:rPr>
        <w:t>See</w:t>
      </w:r>
      <w:r w:rsidRPr="005A3505">
        <w:t xml:space="preserve"> SBA, Office of Advocacy</w:t>
      </w:r>
      <w:r>
        <w:t xml:space="preserve">, “Frequently Asked Questions,” </w:t>
      </w:r>
      <w:hyperlink r:id="rId32" w:history="1">
        <w:r w:rsidRPr="00EE3A67">
          <w:rPr>
            <w:rStyle w:val="Hyperlink"/>
          </w:rPr>
          <w:t>https://www.sba.gov/sites/default/files/advocacy/SB-FAQ-2016_WEB.pdf</w:t>
        </w:r>
      </w:hyperlink>
      <w:r>
        <w:t>.</w:t>
      </w:r>
    </w:p>
  </w:footnote>
  <w:footnote w:id="303">
    <w:p w:rsidR="0031180A" w:rsidRDefault="0031180A" w:rsidP="00B85713">
      <w:pPr>
        <w:pStyle w:val="FootnoteText"/>
      </w:pPr>
      <w:r>
        <w:rPr>
          <w:rStyle w:val="FootnoteReference"/>
        </w:rPr>
        <w:footnoteRef/>
      </w:r>
      <w:r>
        <w:t xml:space="preserve"> </w:t>
      </w:r>
      <w:hyperlink r:id="rId33" w:history="1">
        <w:r w:rsidRPr="00C662B9">
          <w:rPr>
            <w:rStyle w:val="Hyperlink"/>
          </w:rPr>
          <w:t>http://www.census.gov/cgi-bin/sssd/naics/naicsrch</w:t>
        </w:r>
      </w:hyperlink>
      <w:r>
        <w:t>.</w:t>
      </w:r>
    </w:p>
  </w:footnote>
  <w:footnote w:id="304">
    <w:p w:rsidR="0031180A" w:rsidRDefault="0031180A" w:rsidP="00B85713">
      <w:pPr>
        <w:pStyle w:val="FootnoteText"/>
      </w:pPr>
      <w:r>
        <w:rPr>
          <w:rStyle w:val="FootnoteReference"/>
        </w:rPr>
        <w:footnoteRef/>
      </w:r>
      <w:r>
        <w:t xml:space="preserve"> </w:t>
      </w:r>
      <w:r w:rsidRPr="00C662B9">
        <w:rPr>
          <w:i/>
        </w:rPr>
        <w:t>See</w:t>
      </w:r>
      <w:r>
        <w:t xml:space="preserve"> 13 CFR </w:t>
      </w:r>
      <w:r w:rsidRPr="00D15B65">
        <w:rPr>
          <w:rStyle w:val="Footnote"/>
        </w:rPr>
        <w:t>§</w:t>
      </w:r>
      <w:r>
        <w:t xml:space="preserve"> 120.201, NAICS code 517110.</w:t>
      </w:r>
    </w:p>
  </w:footnote>
  <w:footnote w:id="305">
    <w:p w:rsidR="0031180A" w:rsidRPr="00A54FE6" w:rsidRDefault="0031180A" w:rsidP="00B85713">
      <w:pPr>
        <w:pStyle w:val="FootnoteText"/>
        <w:spacing w:after="0"/>
        <w:rPr>
          <w:rStyle w:val="Hyperlink"/>
        </w:rPr>
      </w:pPr>
      <w:r>
        <w:rPr>
          <w:rStyle w:val="FootnoteReference"/>
        </w:rPr>
        <w:footnoteRef/>
      </w:r>
      <w:r>
        <w:t xml:space="preserve"> </w:t>
      </w:r>
      <w:r>
        <w:fldChar w:fldCharType="begin"/>
      </w:r>
      <w:r w:rsidR="002A22B8">
        <w:instrText>HYPERLINK "http://factfinder.census.gov/faces/tableservices/jsf/pages/productview.xhtml?pid=ECN_2012_US_51SSSZ5&amp;prodType=table"</w:instrText>
      </w:r>
      <w:r>
        <w:fldChar w:fldCharType="separate"/>
      </w:r>
      <w:r w:rsidRPr="00A54FE6">
        <w:rPr>
          <w:rStyle w:val="Hyperlink"/>
        </w:rPr>
        <w:t>http://factfinder.census.gov/faces/tableservices/jsf/pages/productview.xhtml?</w:t>
      </w:r>
    </w:p>
    <w:p w:rsidR="0031180A" w:rsidRPr="00B013DC" w:rsidRDefault="0031180A" w:rsidP="00B85713">
      <w:pPr>
        <w:pStyle w:val="FootnoteText"/>
      </w:pPr>
      <w:r w:rsidRPr="00A54FE6">
        <w:rPr>
          <w:rStyle w:val="Hyperlink"/>
        </w:rPr>
        <w:t>pid=ECN_2012_US_51SSSZ5&amp;prodType=table</w:t>
      </w:r>
      <w:r>
        <w:fldChar w:fldCharType="end"/>
      </w:r>
      <w:r w:rsidRPr="00B013DC">
        <w:t>.</w:t>
      </w:r>
    </w:p>
  </w:footnote>
  <w:footnote w:id="306">
    <w:p w:rsidR="0031180A" w:rsidRDefault="0031180A" w:rsidP="00B85713">
      <w:pPr>
        <w:pStyle w:val="FootnoteText"/>
      </w:pPr>
      <w:r>
        <w:rPr>
          <w:rStyle w:val="FootnoteReference"/>
        </w:rPr>
        <w:footnoteRef/>
      </w:r>
      <w:r>
        <w:t xml:space="preserve"> </w:t>
      </w:r>
      <w:r w:rsidRPr="00D15B65">
        <w:rPr>
          <w:rStyle w:val="Footnote"/>
        </w:rPr>
        <w:t>13</w:t>
      </w:r>
      <w:r w:rsidRPr="0020482D">
        <w:t xml:space="preserve"> </w:t>
      </w:r>
      <w:r w:rsidRPr="00D15B65">
        <w:rPr>
          <w:rStyle w:val="Footnote"/>
        </w:rPr>
        <w:t>C</w:t>
      </w:r>
      <w:r>
        <w:rPr>
          <w:rStyle w:val="Footnote"/>
        </w:rPr>
        <w:t>F</w:t>
      </w:r>
      <w:r w:rsidRPr="00D15B65">
        <w:rPr>
          <w:rStyle w:val="Footnote"/>
        </w:rPr>
        <w:t>R § 121.201, NAICS code 517110</w:t>
      </w:r>
      <w:r>
        <w:rPr>
          <w:rStyle w:val="Footnote"/>
        </w:rPr>
        <w:t>.</w:t>
      </w:r>
    </w:p>
  </w:footnote>
  <w:footnote w:id="307">
    <w:p w:rsidR="0031180A" w:rsidRPr="00A54FE6" w:rsidRDefault="0031180A" w:rsidP="00B85713">
      <w:pPr>
        <w:pStyle w:val="FootnoteText"/>
        <w:spacing w:after="0"/>
        <w:rPr>
          <w:rStyle w:val="Hyperlink"/>
        </w:rPr>
      </w:pPr>
      <w:r>
        <w:rPr>
          <w:rStyle w:val="FootnoteReference"/>
        </w:rPr>
        <w:footnoteRef/>
      </w:r>
      <w:r>
        <w:t xml:space="preserve"> </w:t>
      </w:r>
      <w:r>
        <w:fldChar w:fldCharType="begin"/>
      </w:r>
      <w:r w:rsidR="002A22B8">
        <w:instrText>HYPERLINK "http://factfinder.census.gov/faces/tableservices/jsf/pages/productview.xhtml?pid=ECN_2012_US_51SSSZ5&amp;prodType=table"</w:instrText>
      </w:r>
      <w:r>
        <w:fldChar w:fldCharType="separate"/>
      </w:r>
      <w:r w:rsidRPr="00A54FE6">
        <w:rPr>
          <w:rStyle w:val="Hyperlink"/>
        </w:rPr>
        <w:t>http://factfinder.census.gov/faces/tableservices/jsf/pages/productview.xhtml?</w:t>
      </w:r>
    </w:p>
    <w:p w:rsidR="0031180A" w:rsidRPr="00B013DC" w:rsidRDefault="0031180A" w:rsidP="00B85713">
      <w:pPr>
        <w:pStyle w:val="FootnoteText"/>
      </w:pPr>
      <w:r w:rsidRPr="00A54FE6">
        <w:rPr>
          <w:rStyle w:val="Hyperlink"/>
        </w:rPr>
        <w:t>pid=ECN_2012_US_51SSSZ5&amp;prodType=table</w:t>
      </w:r>
      <w:r>
        <w:fldChar w:fldCharType="end"/>
      </w:r>
      <w:r w:rsidRPr="00B013DC">
        <w:t>.</w:t>
      </w:r>
    </w:p>
  </w:footnote>
  <w:footnote w:id="308">
    <w:p w:rsidR="0031180A" w:rsidRDefault="0031180A" w:rsidP="00B85713">
      <w:pPr>
        <w:pStyle w:val="FootnoteText"/>
      </w:pPr>
      <w:r>
        <w:rPr>
          <w:rStyle w:val="FootnoteReference"/>
        </w:rPr>
        <w:footnoteRef/>
      </w:r>
      <w:r>
        <w:t xml:space="preserve"> </w:t>
      </w:r>
      <w:r>
        <w:rPr>
          <w:rStyle w:val="Footnote"/>
        </w:rPr>
        <w:t>13 CFR</w:t>
      </w:r>
      <w:r w:rsidRPr="00D15B65">
        <w:rPr>
          <w:rStyle w:val="Footnote"/>
        </w:rPr>
        <w:t xml:space="preserve"> § 121.201, NAICS code 517110</w:t>
      </w:r>
      <w:r>
        <w:rPr>
          <w:rStyle w:val="Footnote"/>
        </w:rPr>
        <w:t>.</w:t>
      </w:r>
    </w:p>
  </w:footnote>
  <w:footnote w:id="309">
    <w:p w:rsidR="0031180A" w:rsidRPr="00A54FE6" w:rsidRDefault="0031180A" w:rsidP="00B85713">
      <w:pPr>
        <w:pStyle w:val="FootnoteText"/>
        <w:spacing w:after="0"/>
        <w:rPr>
          <w:rStyle w:val="Hyperlink"/>
        </w:rPr>
      </w:pPr>
      <w:r>
        <w:rPr>
          <w:rStyle w:val="FootnoteReference"/>
        </w:rPr>
        <w:footnoteRef/>
      </w:r>
      <w:r>
        <w:t xml:space="preserve"> </w:t>
      </w:r>
      <w:r>
        <w:fldChar w:fldCharType="begin"/>
      </w:r>
      <w:r w:rsidR="002A22B8">
        <w:instrText>HYPERLINK "http://factfinder.census.gov/faces/tableservices/jsf/pages/productview.xhtml?pid=ECN_2012_US_51SSSZ5&amp;prodType=table"</w:instrText>
      </w:r>
      <w:r>
        <w:fldChar w:fldCharType="separate"/>
      </w:r>
      <w:r w:rsidRPr="00A54FE6">
        <w:rPr>
          <w:rStyle w:val="Hyperlink"/>
        </w:rPr>
        <w:t>http://factfinder.census.gov/faces/tableservices/jsf/pages/productview.xhtml?</w:t>
      </w:r>
    </w:p>
    <w:p w:rsidR="0031180A" w:rsidRPr="00B013DC" w:rsidRDefault="0031180A" w:rsidP="00B85713">
      <w:pPr>
        <w:pStyle w:val="FootnoteText"/>
      </w:pPr>
      <w:r w:rsidRPr="00A54FE6">
        <w:rPr>
          <w:rStyle w:val="Hyperlink"/>
        </w:rPr>
        <w:t>pid=ECN_2012_US_51SSSZ5&amp;prodType=table</w:t>
      </w:r>
      <w:r>
        <w:fldChar w:fldCharType="end"/>
      </w:r>
      <w:r w:rsidRPr="00B013DC">
        <w:t>.</w:t>
      </w:r>
    </w:p>
  </w:footnote>
  <w:footnote w:id="310">
    <w:p w:rsidR="0031180A" w:rsidRDefault="0031180A" w:rsidP="00B85713">
      <w:pPr>
        <w:pStyle w:val="FootnoteText"/>
      </w:pPr>
      <w:r>
        <w:rPr>
          <w:rStyle w:val="FootnoteReference"/>
        </w:rPr>
        <w:footnoteRef/>
      </w:r>
      <w:r>
        <w:t xml:space="preserve"> </w:t>
      </w:r>
      <w:r w:rsidRPr="00D15B65">
        <w:rPr>
          <w:i/>
        </w:rPr>
        <w:t>See Trends in Telephone Service</w:t>
      </w:r>
      <w:r w:rsidRPr="00D15B65">
        <w:t>, Federal Communications Commission, Wireline Competition Bureau, Industry Analysis and Technology Divis</w:t>
      </w:r>
      <w:r>
        <w:t>ion at Table 5.3 (Sept. 2010) (</w:t>
      </w:r>
      <w:r w:rsidRPr="00D15B65">
        <w:rPr>
          <w:i/>
        </w:rPr>
        <w:t>Trends in Telephone Service</w:t>
      </w:r>
      <w:r w:rsidRPr="00D15B65">
        <w:t>).</w:t>
      </w:r>
    </w:p>
  </w:footnote>
  <w:footnote w:id="311">
    <w:p w:rsidR="0031180A" w:rsidRDefault="0031180A" w:rsidP="00B85713">
      <w:pPr>
        <w:pStyle w:val="FootnoteText"/>
      </w:pPr>
      <w:r>
        <w:rPr>
          <w:rStyle w:val="FootnoteReference"/>
        </w:rPr>
        <w:footnoteRef/>
      </w:r>
      <w:r>
        <w:t xml:space="preserve"> </w:t>
      </w:r>
      <w:r w:rsidRPr="00007763">
        <w:rPr>
          <w:i/>
        </w:rPr>
        <w:t>Id.</w:t>
      </w:r>
    </w:p>
  </w:footnote>
  <w:footnote w:id="312">
    <w:p w:rsidR="0031180A" w:rsidRDefault="0031180A" w:rsidP="00B85713">
      <w:pPr>
        <w:pStyle w:val="FootnoteText"/>
      </w:pPr>
      <w:r>
        <w:rPr>
          <w:rStyle w:val="FootnoteReference"/>
        </w:rPr>
        <w:footnoteRef/>
      </w:r>
      <w:r>
        <w:t xml:space="preserve"> </w:t>
      </w:r>
      <w:r>
        <w:rPr>
          <w:rStyle w:val="FootnoteTextChar4"/>
        </w:rPr>
        <w:t>13 CFR § 121.201, NAICS code 517110.</w:t>
      </w:r>
    </w:p>
  </w:footnote>
  <w:footnote w:id="313">
    <w:p w:rsidR="0031180A" w:rsidRPr="00A54FE6" w:rsidRDefault="0031180A" w:rsidP="00B85713">
      <w:pPr>
        <w:pStyle w:val="FootnoteText"/>
        <w:spacing w:after="0"/>
        <w:rPr>
          <w:rStyle w:val="Hyperlink"/>
        </w:rPr>
      </w:pPr>
      <w:r>
        <w:rPr>
          <w:rStyle w:val="FootnoteReference"/>
        </w:rPr>
        <w:footnoteRef/>
      </w:r>
      <w:r>
        <w:t xml:space="preserve"> </w:t>
      </w:r>
      <w:r>
        <w:fldChar w:fldCharType="begin"/>
      </w:r>
      <w:r w:rsidR="002A22B8">
        <w:instrText>HYPERLINK "http://factfinder.census.gov/faces/tableservices/jsf/pages/productview.xhtml?pid=ECN_2012_US_51SSSZ5&amp;prodType=table"</w:instrText>
      </w:r>
      <w:r>
        <w:fldChar w:fldCharType="separate"/>
      </w:r>
      <w:r w:rsidRPr="00A54FE6">
        <w:rPr>
          <w:rStyle w:val="Hyperlink"/>
        </w:rPr>
        <w:t>http://factfinder.census.gov/faces/tableservices/jsf/pages/productview.xhtml?</w:t>
      </w:r>
    </w:p>
    <w:p w:rsidR="0031180A" w:rsidRPr="00B013DC" w:rsidRDefault="0031180A" w:rsidP="00B85713">
      <w:pPr>
        <w:pStyle w:val="FootnoteText"/>
      </w:pPr>
      <w:r w:rsidRPr="00A54FE6">
        <w:rPr>
          <w:rStyle w:val="Hyperlink"/>
        </w:rPr>
        <w:t>pid=ECN_2012_US_51SSSZ5&amp;prodType=table</w:t>
      </w:r>
      <w:r>
        <w:fldChar w:fldCharType="end"/>
      </w:r>
      <w:r w:rsidRPr="00B013DC">
        <w:t>.</w:t>
      </w:r>
    </w:p>
  </w:footnote>
  <w:footnote w:id="314">
    <w:p w:rsidR="0031180A" w:rsidRDefault="0031180A" w:rsidP="00B85713">
      <w:pPr>
        <w:pStyle w:val="FootnoteText"/>
      </w:pPr>
      <w:r>
        <w:rPr>
          <w:rStyle w:val="FootnoteReference"/>
        </w:rPr>
        <w:footnoteRef/>
      </w:r>
      <w:r>
        <w:t xml:space="preserve"> </w:t>
      </w:r>
      <w:r>
        <w:rPr>
          <w:i/>
        </w:rPr>
        <w:t>See Trends in Telephone Service,</w:t>
      </w:r>
      <w:r>
        <w:t xml:space="preserve"> at tbl. 5.3.</w:t>
      </w:r>
    </w:p>
  </w:footnote>
  <w:footnote w:id="315">
    <w:p w:rsidR="0031180A" w:rsidRDefault="0031180A" w:rsidP="00B85713">
      <w:pPr>
        <w:pStyle w:val="FootnoteText"/>
      </w:pPr>
      <w:r>
        <w:rPr>
          <w:rStyle w:val="FootnoteReference"/>
        </w:rPr>
        <w:footnoteRef/>
      </w:r>
      <w:r>
        <w:t xml:space="preserve"> </w:t>
      </w:r>
      <w:r>
        <w:rPr>
          <w:i/>
        </w:rPr>
        <w:t>I</w:t>
      </w:r>
      <w:r w:rsidRPr="00F71FA2">
        <w:rPr>
          <w:i/>
        </w:rPr>
        <w:t>d.</w:t>
      </w:r>
    </w:p>
  </w:footnote>
  <w:footnote w:id="316">
    <w:p w:rsidR="0031180A" w:rsidRDefault="0031180A" w:rsidP="00B85713">
      <w:pPr>
        <w:pStyle w:val="FootnoteText"/>
      </w:pPr>
      <w:r>
        <w:rPr>
          <w:rStyle w:val="FootnoteReference"/>
        </w:rPr>
        <w:footnoteRef/>
      </w:r>
      <w:r>
        <w:t xml:space="preserve"> </w:t>
      </w:r>
      <w:r w:rsidRPr="00C71B0F">
        <w:rPr>
          <w:i/>
        </w:rPr>
        <w:t>Id.</w:t>
      </w:r>
    </w:p>
  </w:footnote>
  <w:footnote w:id="317">
    <w:p w:rsidR="0031180A" w:rsidRDefault="0031180A" w:rsidP="00B85713">
      <w:pPr>
        <w:pStyle w:val="FootnoteText"/>
      </w:pPr>
      <w:r>
        <w:rPr>
          <w:rStyle w:val="FootnoteReference"/>
        </w:rPr>
        <w:footnoteRef/>
      </w:r>
      <w:r>
        <w:t xml:space="preserve"> </w:t>
      </w:r>
      <w:r w:rsidRPr="00C71B0F">
        <w:rPr>
          <w:i/>
        </w:rPr>
        <w:t>Id.</w:t>
      </w:r>
    </w:p>
  </w:footnote>
  <w:footnote w:id="318">
    <w:p w:rsidR="0031180A" w:rsidRDefault="0031180A" w:rsidP="00B85713">
      <w:pPr>
        <w:pStyle w:val="FootnoteText"/>
      </w:pPr>
      <w:r>
        <w:rPr>
          <w:rStyle w:val="FootnoteReference"/>
        </w:rPr>
        <w:footnoteRef/>
      </w:r>
      <w:r>
        <w:t xml:space="preserve"> </w:t>
      </w:r>
      <w:r w:rsidRPr="00C71B0F">
        <w:rPr>
          <w:i/>
        </w:rPr>
        <w:t>Id.</w:t>
      </w:r>
    </w:p>
  </w:footnote>
  <w:footnote w:id="319">
    <w:p w:rsidR="0031180A" w:rsidRDefault="0031180A" w:rsidP="00B85713">
      <w:pPr>
        <w:pStyle w:val="FootnoteText"/>
      </w:pPr>
      <w:r>
        <w:rPr>
          <w:rStyle w:val="FootnoteReference"/>
        </w:rPr>
        <w:footnoteRef/>
      </w:r>
      <w:r>
        <w:t xml:space="preserve"> </w:t>
      </w:r>
      <w:r>
        <w:rPr>
          <w:color w:val="000000"/>
        </w:rPr>
        <w:t>13 CFR § 121.201, NAICS code 517110.</w:t>
      </w:r>
    </w:p>
  </w:footnote>
  <w:footnote w:id="320">
    <w:p w:rsidR="0031180A" w:rsidRPr="00A54FE6" w:rsidRDefault="0031180A" w:rsidP="00B85713">
      <w:pPr>
        <w:pStyle w:val="FootnoteText"/>
        <w:spacing w:after="0"/>
        <w:rPr>
          <w:rStyle w:val="Hyperlink"/>
        </w:rPr>
      </w:pPr>
      <w:r>
        <w:rPr>
          <w:rStyle w:val="FootnoteReference"/>
        </w:rPr>
        <w:footnoteRef/>
      </w:r>
      <w:r>
        <w:t xml:space="preserve"> </w:t>
      </w:r>
      <w:r>
        <w:fldChar w:fldCharType="begin"/>
      </w:r>
      <w:r w:rsidR="002A22B8">
        <w:instrText>HYPERLINK "http://factfinder.census.gov/faces/tableservices/jsf/pages/productview.xhtml?pid=ECN_2012_US_51SSSZ5&amp;prodType=table"</w:instrText>
      </w:r>
      <w:r>
        <w:fldChar w:fldCharType="separate"/>
      </w:r>
      <w:r w:rsidRPr="00A54FE6">
        <w:rPr>
          <w:rStyle w:val="Hyperlink"/>
        </w:rPr>
        <w:t>http://factfinder.census.gov/faces/tableservices/jsf/pages/productview.xhtml?</w:t>
      </w:r>
    </w:p>
    <w:p w:rsidR="0031180A" w:rsidRPr="00B013DC" w:rsidRDefault="0031180A" w:rsidP="00B85713">
      <w:pPr>
        <w:pStyle w:val="FootnoteText"/>
      </w:pPr>
      <w:r w:rsidRPr="00A54FE6">
        <w:rPr>
          <w:rStyle w:val="Hyperlink"/>
        </w:rPr>
        <w:t>pid=ECN_2012_US_51SSSZ5&amp;prodType=table</w:t>
      </w:r>
      <w:r>
        <w:fldChar w:fldCharType="end"/>
      </w:r>
      <w:r w:rsidRPr="00B013DC">
        <w:t>.</w:t>
      </w:r>
    </w:p>
  </w:footnote>
  <w:footnote w:id="321">
    <w:p w:rsidR="0031180A" w:rsidRDefault="0031180A" w:rsidP="00B85713">
      <w:pPr>
        <w:pStyle w:val="FootnoteText"/>
      </w:pPr>
      <w:r>
        <w:rPr>
          <w:rStyle w:val="FootnoteReference"/>
        </w:rPr>
        <w:footnoteRef/>
      </w:r>
      <w:r>
        <w:t xml:space="preserve"> </w:t>
      </w:r>
      <w:r>
        <w:rPr>
          <w:i/>
        </w:rPr>
        <w:t>See Trends in Telephone Service,</w:t>
      </w:r>
      <w:r>
        <w:t xml:space="preserve"> at tbl. 5.3.</w:t>
      </w:r>
    </w:p>
  </w:footnote>
  <w:footnote w:id="322">
    <w:p w:rsidR="0031180A" w:rsidRDefault="0031180A" w:rsidP="00B85713">
      <w:pPr>
        <w:pStyle w:val="FootnoteText"/>
      </w:pPr>
      <w:r>
        <w:rPr>
          <w:rStyle w:val="FootnoteReference"/>
        </w:rPr>
        <w:footnoteRef/>
      </w:r>
      <w:r>
        <w:t xml:space="preserve"> </w:t>
      </w:r>
      <w:r w:rsidRPr="0026657E">
        <w:rPr>
          <w:i/>
        </w:rPr>
        <w:t>Id.</w:t>
      </w:r>
    </w:p>
  </w:footnote>
  <w:footnote w:id="323">
    <w:p w:rsidR="0031180A" w:rsidRDefault="0031180A" w:rsidP="00B85713">
      <w:pPr>
        <w:pStyle w:val="FootnoteText"/>
      </w:pPr>
      <w:r>
        <w:rPr>
          <w:rStyle w:val="FootnoteReference"/>
        </w:rPr>
        <w:footnoteRef/>
      </w:r>
      <w:r>
        <w:t xml:space="preserve"> </w:t>
      </w:r>
      <w:hyperlink r:id="rId34" w:history="1">
        <w:r w:rsidRPr="00F7466E">
          <w:rPr>
            <w:rStyle w:val="Hyperlink"/>
          </w:rPr>
          <w:t>http://www.census.gov/cgi-bin/ssd/naics/naicsrch</w:t>
        </w:r>
      </w:hyperlink>
      <w:r>
        <w:t>.</w:t>
      </w:r>
    </w:p>
  </w:footnote>
  <w:footnote w:id="324">
    <w:p w:rsidR="0031180A" w:rsidRDefault="0031180A" w:rsidP="00B85713">
      <w:pPr>
        <w:pStyle w:val="FootnoteText"/>
      </w:pPr>
      <w:r>
        <w:rPr>
          <w:rStyle w:val="FootnoteReference"/>
        </w:rPr>
        <w:footnoteRef/>
      </w:r>
      <w:r>
        <w:t xml:space="preserve"> </w:t>
      </w:r>
      <w:r>
        <w:rPr>
          <w:color w:val="000000"/>
        </w:rPr>
        <w:t>13 CFR § 121.201, NAICS code 517911.</w:t>
      </w:r>
    </w:p>
  </w:footnote>
  <w:footnote w:id="325">
    <w:p w:rsidR="0031180A" w:rsidRPr="00A54FE6" w:rsidRDefault="0031180A" w:rsidP="00B85713">
      <w:pPr>
        <w:pStyle w:val="FootnoteText"/>
        <w:spacing w:after="0"/>
        <w:rPr>
          <w:rStyle w:val="Hyperlink"/>
        </w:rPr>
      </w:pPr>
      <w:r>
        <w:rPr>
          <w:rStyle w:val="FootnoteReference"/>
        </w:rPr>
        <w:footnoteRef/>
      </w:r>
      <w:r>
        <w:t xml:space="preserve"> </w:t>
      </w:r>
      <w:r>
        <w:fldChar w:fldCharType="begin"/>
      </w:r>
      <w:r w:rsidR="002A22B8">
        <w:instrText>HYPERLINK "http://factfinder.census.gov/faces/tableservices/jsf/pages/productview.xhtml?pid=ECN_2012_US_51SSSZ5&amp;prodType=table"</w:instrText>
      </w:r>
      <w:r>
        <w:fldChar w:fldCharType="separate"/>
      </w:r>
      <w:r w:rsidRPr="00A54FE6">
        <w:rPr>
          <w:rStyle w:val="Hyperlink"/>
        </w:rPr>
        <w:t>http://factfinder.census.gov/faces/tableservices/jsf/pages/productview.xhtml?</w:t>
      </w:r>
    </w:p>
    <w:p w:rsidR="0031180A" w:rsidRPr="008A1C84" w:rsidRDefault="0031180A" w:rsidP="00B85713">
      <w:pPr>
        <w:pStyle w:val="FootnoteText"/>
      </w:pPr>
      <w:r w:rsidRPr="00A54FE6">
        <w:rPr>
          <w:rStyle w:val="Hyperlink"/>
        </w:rPr>
        <w:t>pid=ECN_2012_US_51SSSZ5&amp;prodType=table</w:t>
      </w:r>
      <w:r>
        <w:fldChar w:fldCharType="end"/>
      </w:r>
      <w:r>
        <w:rPr>
          <w:sz w:val="16"/>
          <w:szCs w:val="16"/>
        </w:rPr>
        <w:t>.</w:t>
      </w:r>
    </w:p>
  </w:footnote>
  <w:footnote w:id="326">
    <w:p w:rsidR="0031180A" w:rsidRDefault="0031180A" w:rsidP="00B85713">
      <w:pPr>
        <w:pStyle w:val="FootnoteText"/>
      </w:pPr>
      <w:r>
        <w:rPr>
          <w:rStyle w:val="FootnoteReference"/>
        </w:rPr>
        <w:footnoteRef/>
      </w:r>
      <w:r>
        <w:t xml:space="preserve"> </w:t>
      </w:r>
      <w:r>
        <w:rPr>
          <w:i/>
        </w:rPr>
        <w:t>See Trends in Telephone Service,</w:t>
      </w:r>
      <w:r>
        <w:t xml:space="preserve"> at tbl. 5.3.</w:t>
      </w:r>
    </w:p>
  </w:footnote>
  <w:footnote w:id="327">
    <w:p w:rsidR="0031180A" w:rsidRDefault="0031180A" w:rsidP="00B85713">
      <w:pPr>
        <w:pStyle w:val="FootnoteText"/>
      </w:pPr>
      <w:r>
        <w:rPr>
          <w:rStyle w:val="FootnoteReference"/>
        </w:rPr>
        <w:footnoteRef/>
      </w:r>
      <w:r>
        <w:t xml:space="preserve"> </w:t>
      </w:r>
      <w:r w:rsidRPr="00860117">
        <w:rPr>
          <w:i/>
        </w:rPr>
        <w:t>Id.</w:t>
      </w:r>
    </w:p>
  </w:footnote>
  <w:footnote w:id="328">
    <w:p w:rsidR="0031180A" w:rsidRDefault="0031180A" w:rsidP="00B85713">
      <w:pPr>
        <w:pStyle w:val="FootnoteText"/>
      </w:pPr>
      <w:r>
        <w:rPr>
          <w:rStyle w:val="FootnoteReference"/>
        </w:rPr>
        <w:footnoteRef/>
      </w:r>
      <w:r>
        <w:t xml:space="preserve"> </w:t>
      </w:r>
      <w:r>
        <w:rPr>
          <w:color w:val="000000"/>
        </w:rPr>
        <w:t>13 CFR § 121.201, NAICS code 517911.</w:t>
      </w:r>
    </w:p>
  </w:footnote>
  <w:footnote w:id="329">
    <w:p w:rsidR="0031180A" w:rsidRPr="00A54FE6" w:rsidRDefault="0031180A" w:rsidP="00B85713">
      <w:pPr>
        <w:pStyle w:val="FootnoteText"/>
        <w:spacing w:after="0"/>
        <w:rPr>
          <w:rStyle w:val="Hyperlink"/>
        </w:rPr>
      </w:pPr>
      <w:r>
        <w:rPr>
          <w:rStyle w:val="FootnoteReference"/>
        </w:rPr>
        <w:footnoteRef/>
      </w:r>
      <w:r>
        <w:t xml:space="preserve"> </w:t>
      </w:r>
      <w:r>
        <w:fldChar w:fldCharType="begin"/>
      </w:r>
      <w:r w:rsidR="002A22B8">
        <w:instrText>HYPERLINK "http://factfinder.census.gov/faces/tableservices/jsf/pages/productview.xhtml?pid=ECN_2012_US_51SSSZ5&amp;prodType=table"</w:instrText>
      </w:r>
      <w:r>
        <w:fldChar w:fldCharType="separate"/>
      </w:r>
      <w:r w:rsidRPr="00A54FE6">
        <w:rPr>
          <w:rStyle w:val="Hyperlink"/>
        </w:rPr>
        <w:t>http://factfinder.census.gov/faces/tableservices/jsf/pages/productview.xhtml?</w:t>
      </w:r>
    </w:p>
    <w:p w:rsidR="0031180A" w:rsidRPr="00105D71" w:rsidRDefault="0031180A" w:rsidP="00B85713">
      <w:pPr>
        <w:pStyle w:val="FootnoteText"/>
      </w:pPr>
      <w:r w:rsidRPr="00A54FE6">
        <w:rPr>
          <w:rStyle w:val="Hyperlink"/>
        </w:rPr>
        <w:t>pid=ECN_2012_US_51SSSZ5&amp;prodType=table</w:t>
      </w:r>
      <w:r>
        <w:fldChar w:fldCharType="end"/>
      </w:r>
      <w:r>
        <w:rPr>
          <w:sz w:val="16"/>
          <w:szCs w:val="16"/>
        </w:rPr>
        <w:t>.</w:t>
      </w:r>
    </w:p>
  </w:footnote>
  <w:footnote w:id="330">
    <w:p w:rsidR="0031180A" w:rsidRDefault="0031180A" w:rsidP="00B85713">
      <w:pPr>
        <w:pStyle w:val="FootnoteText"/>
      </w:pPr>
      <w:r>
        <w:rPr>
          <w:rStyle w:val="FootnoteReference"/>
        </w:rPr>
        <w:footnoteRef/>
      </w:r>
      <w:r>
        <w:t xml:space="preserve"> </w:t>
      </w:r>
      <w:r>
        <w:rPr>
          <w:i/>
          <w:color w:val="000000"/>
        </w:rPr>
        <w:t>See Trends in Telephone Service,</w:t>
      </w:r>
      <w:r>
        <w:rPr>
          <w:color w:val="000000"/>
        </w:rPr>
        <w:t xml:space="preserve"> at tbl. 5.3.  </w:t>
      </w:r>
    </w:p>
  </w:footnote>
  <w:footnote w:id="331">
    <w:p w:rsidR="0031180A" w:rsidRDefault="0031180A" w:rsidP="00B85713">
      <w:pPr>
        <w:pStyle w:val="FootnoteText"/>
      </w:pPr>
      <w:r>
        <w:rPr>
          <w:rStyle w:val="FootnoteReference"/>
        </w:rPr>
        <w:footnoteRef/>
      </w:r>
      <w:r>
        <w:t xml:space="preserve"> </w:t>
      </w:r>
      <w:r w:rsidRPr="00E024DD">
        <w:rPr>
          <w:i/>
        </w:rPr>
        <w:t>Id.</w:t>
      </w:r>
    </w:p>
  </w:footnote>
  <w:footnote w:id="332">
    <w:p w:rsidR="0031180A" w:rsidRDefault="0031180A" w:rsidP="00B85713">
      <w:pPr>
        <w:pStyle w:val="FootnoteText"/>
      </w:pPr>
      <w:r>
        <w:rPr>
          <w:rStyle w:val="FootnoteReference"/>
        </w:rPr>
        <w:footnoteRef/>
      </w:r>
      <w:r>
        <w:t xml:space="preserve"> </w:t>
      </w:r>
      <w:r>
        <w:rPr>
          <w:color w:val="000000"/>
        </w:rPr>
        <w:t>13 CFR § 121.201, NAICS code 517911.</w:t>
      </w:r>
    </w:p>
  </w:footnote>
  <w:footnote w:id="333">
    <w:p w:rsidR="0031180A" w:rsidRPr="00A54FE6" w:rsidRDefault="0031180A" w:rsidP="00B85713">
      <w:pPr>
        <w:pStyle w:val="FootnoteText"/>
        <w:spacing w:after="0"/>
        <w:rPr>
          <w:rStyle w:val="Hyperlink"/>
        </w:rPr>
      </w:pPr>
      <w:r>
        <w:rPr>
          <w:rStyle w:val="FootnoteReference"/>
        </w:rPr>
        <w:footnoteRef/>
      </w:r>
      <w:r>
        <w:t xml:space="preserve"> </w:t>
      </w:r>
      <w:r>
        <w:fldChar w:fldCharType="begin"/>
      </w:r>
      <w:r w:rsidR="002A22B8">
        <w:instrText>HYPERLINK "http://factfinder.census.gov/faces/tableservices/jsf/pages/productview.xhtml?pid=ECN_2012_US_51SSSZ5&amp;prodType=table"</w:instrText>
      </w:r>
      <w:r>
        <w:fldChar w:fldCharType="separate"/>
      </w:r>
      <w:r w:rsidRPr="00A54FE6">
        <w:rPr>
          <w:rStyle w:val="Hyperlink"/>
        </w:rPr>
        <w:t>http://factfinder.census.gov/faces/tableservices/jsf/pages/productview.xhtml?</w:t>
      </w:r>
    </w:p>
    <w:p w:rsidR="0031180A" w:rsidRPr="00B013DC" w:rsidRDefault="0031180A" w:rsidP="00B85713">
      <w:pPr>
        <w:pStyle w:val="FootnoteText"/>
      </w:pPr>
      <w:r w:rsidRPr="00A54FE6">
        <w:rPr>
          <w:rStyle w:val="Hyperlink"/>
        </w:rPr>
        <w:t>pid=ECN_2012_US_51SSSZ5&amp;prodType=table</w:t>
      </w:r>
      <w:r>
        <w:fldChar w:fldCharType="end"/>
      </w:r>
      <w:r w:rsidRPr="00B013DC">
        <w:t>.</w:t>
      </w:r>
    </w:p>
  </w:footnote>
  <w:footnote w:id="334">
    <w:p w:rsidR="0031180A" w:rsidRDefault="0031180A" w:rsidP="00B85713">
      <w:pPr>
        <w:pStyle w:val="FootnoteText"/>
      </w:pPr>
      <w:r>
        <w:rPr>
          <w:rStyle w:val="FootnoteReference"/>
        </w:rPr>
        <w:footnoteRef/>
      </w:r>
      <w:r>
        <w:t xml:space="preserve"> </w:t>
      </w:r>
      <w:r w:rsidRPr="00F7466E">
        <w:rPr>
          <w:i/>
        </w:rPr>
        <w:t>Id</w:t>
      </w:r>
      <w:r>
        <w:t>.</w:t>
      </w:r>
    </w:p>
  </w:footnote>
  <w:footnote w:id="335">
    <w:p w:rsidR="0031180A" w:rsidRDefault="0031180A" w:rsidP="00B85713">
      <w:pPr>
        <w:pStyle w:val="FootnoteText"/>
      </w:pPr>
      <w:r>
        <w:rPr>
          <w:rStyle w:val="FootnoteReference"/>
        </w:rPr>
        <w:footnoteRef/>
      </w:r>
      <w:r>
        <w:t xml:space="preserve"> </w:t>
      </w:r>
      <w:r w:rsidRPr="00CB2DF4">
        <w:rPr>
          <w:rFonts w:ascii="Times New Roman Italic" w:hAnsi="Times New Roman Italic"/>
          <w:i/>
        </w:rPr>
        <w:t>Trends in Telephone Service</w:t>
      </w:r>
      <w:r>
        <w:t>, at tbl.</w:t>
      </w:r>
      <w:r>
        <w:rPr>
          <w:color w:val="000000"/>
        </w:rPr>
        <w:t xml:space="preserve"> 5.3.</w:t>
      </w:r>
    </w:p>
  </w:footnote>
  <w:footnote w:id="336">
    <w:p w:rsidR="0031180A" w:rsidRDefault="0031180A" w:rsidP="00B85713">
      <w:pPr>
        <w:pStyle w:val="FootnoteText"/>
      </w:pPr>
      <w:r>
        <w:rPr>
          <w:rStyle w:val="FootnoteReference"/>
        </w:rPr>
        <w:footnoteRef/>
      </w:r>
      <w:r>
        <w:t xml:space="preserve"> </w:t>
      </w:r>
      <w:r w:rsidRPr="00E52E8F">
        <w:rPr>
          <w:i/>
        </w:rPr>
        <w:t>Id.</w:t>
      </w:r>
    </w:p>
  </w:footnote>
  <w:footnote w:id="337">
    <w:p w:rsidR="0031180A" w:rsidRDefault="0031180A" w:rsidP="00B85713">
      <w:pPr>
        <w:pStyle w:val="FootnoteText"/>
      </w:pPr>
      <w:r>
        <w:rPr>
          <w:rStyle w:val="FootnoteReference"/>
        </w:rPr>
        <w:footnoteRef/>
      </w:r>
      <w:r>
        <w:t xml:space="preserve"> </w:t>
      </w:r>
      <w:r>
        <w:rPr>
          <w:color w:val="000000"/>
        </w:rPr>
        <w:t>13 CFR § 121.201, NAICS code 517110.</w:t>
      </w:r>
    </w:p>
  </w:footnote>
  <w:footnote w:id="338">
    <w:p w:rsidR="0031180A" w:rsidRPr="00A54FE6" w:rsidRDefault="0031180A" w:rsidP="00B85713">
      <w:pPr>
        <w:pStyle w:val="FootnoteText"/>
        <w:spacing w:after="0"/>
        <w:rPr>
          <w:rStyle w:val="Hyperlink"/>
        </w:rPr>
      </w:pPr>
      <w:r>
        <w:rPr>
          <w:rStyle w:val="FootnoteReference"/>
        </w:rPr>
        <w:footnoteRef/>
      </w:r>
      <w:r>
        <w:t xml:space="preserve"> </w:t>
      </w:r>
      <w:r>
        <w:fldChar w:fldCharType="begin"/>
      </w:r>
      <w:r w:rsidR="002A22B8">
        <w:instrText>HYPERLINK "http://factfinder.census.gov/faces/tableservices/jsf/pages/productview.xhtml?pid=ECN_2012_US_51SSSZ5&amp;prodType=table"</w:instrText>
      </w:r>
      <w:r>
        <w:fldChar w:fldCharType="separate"/>
      </w:r>
      <w:r w:rsidRPr="00A54FE6">
        <w:rPr>
          <w:rStyle w:val="Hyperlink"/>
        </w:rPr>
        <w:t>http://factfinder.census.gov/faces/tableservices/jsf/pages/productview.xhtml?</w:t>
      </w:r>
    </w:p>
    <w:p w:rsidR="0031180A" w:rsidRPr="00B013DC" w:rsidRDefault="0031180A" w:rsidP="00B85713">
      <w:pPr>
        <w:pStyle w:val="FootnoteText"/>
      </w:pPr>
      <w:r w:rsidRPr="00A54FE6">
        <w:rPr>
          <w:rStyle w:val="Hyperlink"/>
        </w:rPr>
        <w:t>pid=ECN_2012_US_51SSSZ5&amp;prodType=table</w:t>
      </w:r>
      <w:r>
        <w:fldChar w:fldCharType="end"/>
      </w:r>
      <w:r w:rsidRPr="00B013DC">
        <w:t>.</w:t>
      </w:r>
    </w:p>
  </w:footnote>
  <w:footnote w:id="339">
    <w:p w:rsidR="0031180A" w:rsidRDefault="0031180A" w:rsidP="00B85713">
      <w:pPr>
        <w:pStyle w:val="FootnoteText"/>
      </w:pPr>
      <w:r>
        <w:rPr>
          <w:rStyle w:val="FootnoteReference"/>
        </w:rPr>
        <w:footnoteRef/>
      </w:r>
      <w:r>
        <w:t xml:space="preserve"> </w:t>
      </w:r>
      <w:r w:rsidRPr="00CB2DF4">
        <w:rPr>
          <w:rFonts w:ascii="Times New Roman Italic" w:hAnsi="Times New Roman Italic"/>
          <w:i/>
        </w:rPr>
        <w:t>Trends in Telephone Service</w:t>
      </w:r>
      <w:r>
        <w:t>, at tbl.</w:t>
      </w:r>
      <w:r>
        <w:rPr>
          <w:color w:val="000000"/>
        </w:rPr>
        <w:t xml:space="preserve"> 5.3.</w:t>
      </w:r>
    </w:p>
  </w:footnote>
  <w:footnote w:id="340">
    <w:p w:rsidR="0031180A" w:rsidRDefault="0031180A" w:rsidP="00B85713">
      <w:pPr>
        <w:pStyle w:val="FootnoteText"/>
      </w:pPr>
      <w:r>
        <w:rPr>
          <w:rStyle w:val="FootnoteReference"/>
        </w:rPr>
        <w:footnoteRef/>
      </w:r>
      <w:r>
        <w:t xml:space="preserve"> </w:t>
      </w:r>
      <w:r w:rsidRPr="00B605CD">
        <w:rPr>
          <w:i/>
        </w:rPr>
        <w:t>Id.</w:t>
      </w:r>
    </w:p>
  </w:footnote>
  <w:footnote w:id="341">
    <w:p w:rsidR="0031180A" w:rsidRDefault="0031180A" w:rsidP="00B85713">
      <w:pPr>
        <w:pStyle w:val="FootnoteText"/>
      </w:pPr>
      <w:r>
        <w:rPr>
          <w:rStyle w:val="FootnoteReference"/>
        </w:rPr>
        <w:footnoteRef/>
      </w:r>
      <w:r>
        <w:t xml:space="preserve"> NAICS code 517210.  </w:t>
      </w:r>
      <w:r w:rsidRPr="00C114BE">
        <w:rPr>
          <w:i/>
        </w:rPr>
        <w:t>See</w:t>
      </w:r>
      <w:r>
        <w:t xml:space="preserve"> </w:t>
      </w:r>
      <w:hyperlink r:id="rId35" w:history="1">
        <w:r w:rsidRPr="00C114BE">
          <w:rPr>
            <w:rStyle w:val="Hyperlink"/>
          </w:rPr>
          <w:t>http://www.census.gov/cgi-bin/ssd/naics/naiscsrch</w:t>
        </w:r>
      </w:hyperlink>
      <w:r>
        <w:t>.</w:t>
      </w:r>
    </w:p>
  </w:footnote>
  <w:footnote w:id="342">
    <w:p w:rsidR="0031180A" w:rsidRDefault="0031180A" w:rsidP="00B85713">
      <w:pPr>
        <w:pStyle w:val="FootnoteText"/>
      </w:pPr>
      <w:r>
        <w:rPr>
          <w:rStyle w:val="FootnoteReference"/>
        </w:rPr>
        <w:footnoteRef/>
      </w:r>
      <w:r>
        <w:t xml:space="preserve"> </w:t>
      </w:r>
      <w:r w:rsidRPr="00CB2DF4">
        <w:rPr>
          <w:rFonts w:ascii="Times New Roman Italic" w:hAnsi="Times New Roman Italic"/>
          <w:i/>
        </w:rPr>
        <w:t>Trends in Telephone Service</w:t>
      </w:r>
      <w:r>
        <w:t>, at tbl.</w:t>
      </w:r>
      <w:r>
        <w:rPr>
          <w:color w:val="000000"/>
        </w:rPr>
        <w:t xml:space="preserve"> 5.3.</w:t>
      </w:r>
    </w:p>
  </w:footnote>
  <w:footnote w:id="343">
    <w:p w:rsidR="0031180A" w:rsidRDefault="0031180A" w:rsidP="00B85713">
      <w:pPr>
        <w:pStyle w:val="FootnoteText"/>
      </w:pPr>
      <w:r>
        <w:rPr>
          <w:rStyle w:val="FootnoteReference"/>
        </w:rPr>
        <w:footnoteRef/>
      </w:r>
      <w:r>
        <w:t xml:space="preserve"> </w:t>
      </w:r>
      <w:r w:rsidRPr="00233E31">
        <w:rPr>
          <w:i/>
        </w:rPr>
        <w:t>Id.</w:t>
      </w:r>
    </w:p>
  </w:footnote>
  <w:footnote w:id="344">
    <w:p w:rsidR="0031180A" w:rsidRDefault="0031180A" w:rsidP="00B85713">
      <w:pPr>
        <w:pStyle w:val="FootnoteText"/>
      </w:pPr>
      <w:r>
        <w:rPr>
          <w:rStyle w:val="FootnoteReference"/>
          <w:szCs w:val="22"/>
        </w:rPr>
        <w:footnoteRef/>
      </w:r>
      <w:r>
        <w:rPr>
          <w:szCs w:val="22"/>
        </w:rPr>
        <w:t xml:space="preserve"> U.S. Census Bureau, 2012 NAICS code Economic Census Definitions,</w:t>
      </w:r>
      <w:r>
        <w:rPr>
          <w:bCs/>
          <w:szCs w:val="22"/>
        </w:rPr>
        <w:t xml:space="preserve"> </w:t>
      </w:r>
      <w:hyperlink r:id="rId36" w:history="1">
        <w:r w:rsidRPr="00A54FE6">
          <w:rPr>
            <w:rStyle w:val="Hyperlink"/>
            <w:bCs/>
            <w:szCs w:val="22"/>
          </w:rPr>
          <w:t>http://www.census.gov.cgi-bin/sssd/naics/naicsrch</w:t>
        </w:r>
      </w:hyperlink>
      <w:r>
        <w:rPr>
          <w:bCs/>
          <w:szCs w:val="22"/>
        </w:rPr>
        <w:t>.</w:t>
      </w:r>
    </w:p>
  </w:footnote>
  <w:footnote w:id="345">
    <w:p w:rsidR="0031180A" w:rsidRDefault="0031180A" w:rsidP="00B85713">
      <w:pPr>
        <w:pStyle w:val="FootnoteText"/>
      </w:pPr>
      <w:r>
        <w:rPr>
          <w:rStyle w:val="FootnoteReference"/>
        </w:rPr>
        <w:footnoteRef/>
      </w:r>
      <w:r>
        <w:t xml:space="preserve"> 13 CFR § 121.201, NAICS code 515120.</w:t>
      </w:r>
    </w:p>
  </w:footnote>
  <w:footnote w:id="346">
    <w:p w:rsidR="0031180A" w:rsidRDefault="0031180A" w:rsidP="00B85713">
      <w:pPr>
        <w:pStyle w:val="FootnoteText"/>
      </w:pPr>
      <w:r>
        <w:rPr>
          <w:rStyle w:val="FootnoteReference"/>
        </w:rPr>
        <w:footnoteRef/>
      </w:r>
      <w:r>
        <w:t xml:space="preserve"> </w:t>
      </w:r>
      <w:r>
        <w:rPr>
          <w:i/>
        </w:rPr>
        <w:t>See</w:t>
      </w:r>
      <w:r>
        <w:t xml:space="preserve"> </w:t>
      </w:r>
      <w:r>
        <w:rPr>
          <w:i/>
        </w:rPr>
        <w:t>FCC News Release</w:t>
      </w:r>
      <w:r>
        <w:t>, “Broadcast Station Totals as of March 31, 2017,” April 11, 2017;</w:t>
      </w:r>
      <w:r w:rsidRPr="003F41A2">
        <w:t xml:space="preserve"> </w:t>
      </w:r>
      <w:hyperlink r:id="rId37" w:history="1">
        <w:r w:rsidRPr="00EE3A67">
          <w:rPr>
            <w:rStyle w:val="Hyperlink"/>
          </w:rPr>
          <w:t>https://apps.fcc.gov/edocs_public/attachmatch/DOC-344256A1.pdf</w:t>
        </w:r>
      </w:hyperlink>
      <w:r>
        <w:t>.</w:t>
      </w:r>
    </w:p>
  </w:footnote>
  <w:footnote w:id="347">
    <w:p w:rsidR="0031180A" w:rsidRDefault="0031180A" w:rsidP="00B85713">
      <w:pPr>
        <w:pStyle w:val="FootnoteText"/>
      </w:pPr>
      <w:r>
        <w:rPr>
          <w:rStyle w:val="FootnoteReference"/>
        </w:rPr>
        <w:footnoteRef/>
      </w:r>
      <w:r>
        <w:t xml:space="preserve"> We recognize that BIA’s estimate differs slightly from the FCC total.</w:t>
      </w:r>
    </w:p>
  </w:footnote>
  <w:footnote w:id="348">
    <w:p w:rsidR="0031180A" w:rsidRDefault="0031180A" w:rsidP="00B85713">
      <w:pPr>
        <w:pStyle w:val="FootnoteText"/>
      </w:pPr>
      <w:r>
        <w:rPr>
          <w:rStyle w:val="FootnoteReference"/>
          <w:szCs w:val="22"/>
        </w:rPr>
        <w:footnoteRef/>
      </w:r>
      <w:r>
        <w:rPr>
          <w:szCs w:val="22"/>
        </w:rPr>
        <w:t xml:space="preserve"> “[Business concerns] are affiliates of each other when one concern controls or has the power to control the other or a third party or parties controls or has to power to control both.”  13 CFR § 21.103(a)(1).</w:t>
      </w:r>
    </w:p>
  </w:footnote>
  <w:footnote w:id="349">
    <w:p w:rsidR="0031180A" w:rsidRDefault="0031180A" w:rsidP="00B85713">
      <w:pPr>
        <w:pStyle w:val="FootnoteText"/>
      </w:pPr>
      <w:r>
        <w:rPr>
          <w:rStyle w:val="FootnoteReference"/>
        </w:rPr>
        <w:footnoteRef/>
      </w:r>
      <w:r>
        <w:t xml:space="preserve"> </w:t>
      </w:r>
      <w:r>
        <w:rPr>
          <w:i/>
        </w:rPr>
        <w:t>See</w:t>
      </w:r>
      <w:r>
        <w:t xml:space="preserve"> </w:t>
      </w:r>
      <w:r>
        <w:rPr>
          <w:i/>
        </w:rPr>
        <w:t>FCC News Release</w:t>
      </w:r>
      <w:r>
        <w:t>, “Broadcast Station Totals as of March 31, 2017,” April 11, 2017;</w:t>
      </w:r>
      <w:r w:rsidRPr="003F41A2">
        <w:t xml:space="preserve"> </w:t>
      </w:r>
      <w:hyperlink r:id="rId38" w:history="1">
        <w:r w:rsidRPr="00EE3A67">
          <w:rPr>
            <w:rStyle w:val="Hyperlink"/>
          </w:rPr>
          <w:t>https://apps.fcc.gov/edocs_public/attachmatch/DOC-344256A1.pdf</w:t>
        </w:r>
      </w:hyperlink>
      <w:r>
        <w:t>.</w:t>
      </w:r>
    </w:p>
  </w:footnote>
  <w:footnote w:id="350">
    <w:p w:rsidR="0031180A" w:rsidRDefault="0031180A" w:rsidP="00B85713">
      <w:pPr>
        <w:pStyle w:val="FootnoteText"/>
      </w:pPr>
      <w:r>
        <w:rPr>
          <w:rStyle w:val="FootnoteReference"/>
        </w:rPr>
        <w:footnoteRef/>
      </w:r>
      <w:r>
        <w:t xml:space="preserve"> </w:t>
      </w:r>
      <w:r>
        <w:rPr>
          <w:i/>
        </w:rPr>
        <w:t>See generally</w:t>
      </w:r>
      <w:r>
        <w:t xml:space="preserve"> 5 U.S.C. §§ 601(4), (6).</w:t>
      </w:r>
    </w:p>
  </w:footnote>
  <w:footnote w:id="351">
    <w:p w:rsidR="0031180A" w:rsidRDefault="0031180A" w:rsidP="00B85713">
      <w:pPr>
        <w:pStyle w:val="FootnoteText"/>
      </w:pPr>
      <w:r>
        <w:rPr>
          <w:rStyle w:val="FootnoteReference"/>
        </w:rPr>
        <w:footnoteRef/>
      </w:r>
      <w:r>
        <w:rPr>
          <w:i/>
        </w:rPr>
        <w:t xml:space="preserve"> See</w:t>
      </w:r>
      <w:r>
        <w:t xml:space="preserve"> </w:t>
      </w:r>
      <w:r>
        <w:rPr>
          <w:i/>
        </w:rPr>
        <w:t>FCC News Release</w:t>
      </w:r>
      <w:r>
        <w:t>, “Broadcast Station Totals as of March 31, 2017,” April 11, 2017;</w:t>
      </w:r>
      <w:r w:rsidRPr="003F41A2">
        <w:t xml:space="preserve"> </w:t>
      </w:r>
      <w:hyperlink r:id="rId39" w:history="1">
        <w:r w:rsidRPr="00EE3A67">
          <w:rPr>
            <w:rStyle w:val="Hyperlink"/>
          </w:rPr>
          <w:t>https://apps.fcc.gov/edocs_public/attachmatch/DOC-344256A1.pdf</w:t>
        </w:r>
      </w:hyperlink>
      <w:r>
        <w:t>.</w:t>
      </w:r>
    </w:p>
  </w:footnote>
  <w:footnote w:id="352">
    <w:p w:rsidR="0031180A" w:rsidRDefault="0031180A" w:rsidP="00B85713">
      <w:pPr>
        <w:pStyle w:val="FootnoteText"/>
      </w:pPr>
      <w:r>
        <w:rPr>
          <w:rStyle w:val="FootnoteReference"/>
        </w:rPr>
        <w:footnoteRef/>
      </w:r>
      <w:r>
        <w:t xml:space="preserve"> </w:t>
      </w:r>
      <w:r w:rsidRPr="0092092E">
        <w:rPr>
          <w:rStyle w:val="Hyperlink"/>
        </w:rPr>
        <w:t>https://www.census.gov.cgi-bin/sssd/naics/naicsrch</w:t>
      </w:r>
      <w:r>
        <w:rPr>
          <w:szCs w:val="22"/>
        </w:rPr>
        <w:t xml:space="preserve">. </w:t>
      </w:r>
    </w:p>
  </w:footnote>
  <w:footnote w:id="353">
    <w:p w:rsidR="0031180A" w:rsidRDefault="0031180A" w:rsidP="00B85713">
      <w:pPr>
        <w:pStyle w:val="FootnoteText"/>
      </w:pPr>
      <w:r>
        <w:rPr>
          <w:rStyle w:val="FootnoteReference"/>
        </w:rPr>
        <w:footnoteRef/>
      </w:r>
      <w:r>
        <w:t xml:space="preserve"> 13 CFR</w:t>
      </w:r>
      <w:r>
        <w:rPr>
          <w:szCs w:val="22"/>
        </w:rPr>
        <w:t xml:space="preserve"> § </w:t>
      </w:r>
      <w:r>
        <w:t>121.201, NAICS code 515112.</w:t>
      </w:r>
    </w:p>
  </w:footnote>
  <w:footnote w:id="354">
    <w:p w:rsidR="0031180A" w:rsidRPr="00A54FE6" w:rsidRDefault="0031180A" w:rsidP="00B85713">
      <w:pPr>
        <w:pStyle w:val="FootnoteText"/>
        <w:spacing w:after="0"/>
        <w:rPr>
          <w:rStyle w:val="Hyperlink"/>
        </w:rPr>
      </w:pPr>
      <w:r>
        <w:rPr>
          <w:rStyle w:val="FootnoteReference"/>
        </w:rPr>
        <w:footnoteRef/>
      </w:r>
      <w:r>
        <w:t xml:space="preserve"> </w:t>
      </w:r>
      <w:r>
        <w:fldChar w:fldCharType="begin"/>
      </w:r>
      <w:r w:rsidR="002A22B8">
        <w:instrText>HYPERLINK "http://factfinder.census.gov/faces/tableservices/jsf/pages/productview.xhtml?pid=ECN_2012_US_51SSSZ5&amp;prodType=table"</w:instrText>
      </w:r>
      <w:r>
        <w:fldChar w:fldCharType="separate"/>
      </w:r>
      <w:r w:rsidRPr="00A54FE6">
        <w:rPr>
          <w:rStyle w:val="Hyperlink"/>
        </w:rPr>
        <w:t>http://factfinder.census.gov/faces/tableservices/jsf/pages/productview.xhtml?</w:t>
      </w:r>
    </w:p>
    <w:p w:rsidR="0031180A" w:rsidRPr="00B013DC" w:rsidRDefault="0031180A" w:rsidP="00B85713">
      <w:pPr>
        <w:pStyle w:val="FootnoteText"/>
      </w:pPr>
      <w:r w:rsidRPr="00A54FE6">
        <w:rPr>
          <w:rStyle w:val="Hyperlink"/>
        </w:rPr>
        <w:t>pid=ECN_2012_US_51SSSZ5&amp;prodType=table</w:t>
      </w:r>
      <w:r>
        <w:fldChar w:fldCharType="end"/>
      </w:r>
      <w:r w:rsidRPr="00B013DC">
        <w:t>.</w:t>
      </w:r>
    </w:p>
  </w:footnote>
  <w:footnote w:id="355">
    <w:p w:rsidR="0031180A" w:rsidRDefault="0031180A" w:rsidP="00B85713">
      <w:pPr>
        <w:pStyle w:val="FootnoteText"/>
      </w:pPr>
      <w:r>
        <w:rPr>
          <w:rStyle w:val="FootnoteReference"/>
          <w:szCs w:val="22"/>
        </w:rPr>
        <w:footnoteRef/>
      </w:r>
      <w:r>
        <w:rPr>
          <w:szCs w:val="22"/>
        </w:rPr>
        <w:t xml:space="preserve"> </w:t>
      </w:r>
      <w:r w:rsidRPr="00BF32AA">
        <w:t>“Concerns and entities are affiliates of each other when one controls or has the power to control the other, or a third party or parties controls or has the power to control both. It does not matter whether control is exercised, so long as the power to control exists.”  13 CFR § 121.103(a)(1) (an SBA regulation).</w:t>
      </w:r>
    </w:p>
  </w:footnote>
  <w:footnote w:id="356">
    <w:p w:rsidR="0031180A" w:rsidRDefault="0031180A" w:rsidP="00B85713">
      <w:pPr>
        <w:pStyle w:val="FootnoteText"/>
      </w:pPr>
      <w:r>
        <w:rPr>
          <w:rStyle w:val="FootnoteReference"/>
        </w:rPr>
        <w:footnoteRef/>
      </w:r>
      <w:r>
        <w:t xml:space="preserve"> 13 CFR </w:t>
      </w:r>
      <w:r>
        <w:rPr>
          <w:szCs w:val="22"/>
        </w:rPr>
        <w:t>§ 121.102(b) (an SBA regulation).</w:t>
      </w:r>
    </w:p>
  </w:footnote>
  <w:footnote w:id="357">
    <w:p w:rsidR="0031180A" w:rsidRDefault="0031180A" w:rsidP="00B85713">
      <w:pPr>
        <w:pStyle w:val="FootnoteText"/>
      </w:pPr>
      <w:r>
        <w:rPr>
          <w:rStyle w:val="FootnoteReference"/>
        </w:rPr>
        <w:footnoteRef/>
      </w:r>
      <w:r>
        <w:t xml:space="preserve"> </w:t>
      </w:r>
      <w:r w:rsidRPr="0092092E">
        <w:rPr>
          <w:rStyle w:val="Hyperlink"/>
        </w:rPr>
        <w:t>https://www.census.gov.cgi-bin/sssd/naics/naicsrch</w:t>
      </w:r>
      <w:r>
        <w:rPr>
          <w:szCs w:val="22"/>
        </w:rPr>
        <w:t xml:space="preserve">. </w:t>
      </w:r>
    </w:p>
  </w:footnote>
  <w:footnote w:id="358">
    <w:p w:rsidR="0031180A" w:rsidRDefault="0031180A" w:rsidP="00B85713">
      <w:pPr>
        <w:pStyle w:val="FootnoteText"/>
      </w:pPr>
      <w:r>
        <w:rPr>
          <w:rStyle w:val="FootnoteReference"/>
        </w:rPr>
        <w:footnoteRef/>
      </w:r>
      <w:r>
        <w:t xml:space="preserve"> </w:t>
      </w:r>
      <w:hyperlink r:id="rId40" w:history="1">
        <w:r w:rsidRPr="00A54FE6">
          <w:rPr>
            <w:rStyle w:val="Hyperlink"/>
          </w:rPr>
          <w:t>http://factfinder.census.gov/faces/tableservices/jsf/pages/productview.xhtml?pid=ECN_2012_US-51SSSZ5&amp;prodType=Table</w:t>
        </w:r>
      </w:hyperlink>
      <w:r>
        <w:t>.</w:t>
      </w:r>
    </w:p>
  </w:footnote>
  <w:footnote w:id="359">
    <w:p w:rsidR="0031180A" w:rsidRDefault="0031180A" w:rsidP="00B85713">
      <w:pPr>
        <w:pStyle w:val="FootnoteText"/>
      </w:pPr>
      <w:r>
        <w:rPr>
          <w:rStyle w:val="FootnoteReference"/>
        </w:rPr>
        <w:footnoteRef/>
      </w:r>
      <w:r>
        <w:t xml:space="preserve"> 47 CFR </w:t>
      </w:r>
      <w:r w:rsidRPr="00133697">
        <w:t>§</w:t>
      </w:r>
      <w:r>
        <w:t xml:space="preserve"> 76.901(e).</w:t>
      </w:r>
    </w:p>
  </w:footnote>
  <w:footnote w:id="360">
    <w:p w:rsidR="0031180A" w:rsidRDefault="0031180A" w:rsidP="00B85713">
      <w:pPr>
        <w:pStyle w:val="FootnoteText"/>
      </w:pPr>
      <w:r>
        <w:rPr>
          <w:rStyle w:val="FootnoteReference"/>
        </w:rPr>
        <w:footnoteRef/>
      </w:r>
      <w:r>
        <w:t xml:space="preserve"> </w:t>
      </w:r>
      <w:r w:rsidRPr="00960385">
        <w:rPr>
          <w:i/>
        </w:rPr>
        <w:t>See Eighteenth Competition Report</w:t>
      </w:r>
      <w:r>
        <w:t>, 32 FCC Rcd at 584, para. 39 (citing the Commission’s Cable Operations and Licensing Systems (COALS) database).</w:t>
      </w:r>
    </w:p>
  </w:footnote>
  <w:footnote w:id="361">
    <w:p w:rsidR="0031180A" w:rsidRDefault="0031180A" w:rsidP="00B85713">
      <w:pPr>
        <w:pStyle w:val="FootnoteText"/>
      </w:pPr>
      <w:r>
        <w:rPr>
          <w:rStyle w:val="FootnoteReference"/>
        </w:rPr>
        <w:footnoteRef/>
      </w:r>
      <w:r>
        <w:t xml:space="preserve"> </w:t>
      </w:r>
      <w:r w:rsidRPr="002936D4">
        <w:rPr>
          <w:i/>
        </w:rPr>
        <w:t>See</w:t>
      </w:r>
      <w:r>
        <w:t xml:space="preserve"> </w:t>
      </w:r>
      <w:hyperlink r:id="rId41" w:anchor="industry/topCableMSOs" w:history="1">
        <w:r w:rsidRPr="000D405F">
          <w:rPr>
            <w:rStyle w:val="Hyperlink"/>
          </w:rPr>
          <w:t>https://www.snl.com/web/client?auth=inherit#industry/topCableMSOs</w:t>
        </w:r>
      </w:hyperlink>
      <w:r>
        <w:t xml:space="preserve"> (last visited July 18, 2017).</w:t>
      </w:r>
    </w:p>
  </w:footnote>
  <w:footnote w:id="362">
    <w:p w:rsidR="0031180A" w:rsidRDefault="0031180A" w:rsidP="00B85713">
      <w:pPr>
        <w:pStyle w:val="FootnoteText"/>
      </w:pPr>
      <w:r>
        <w:rPr>
          <w:rStyle w:val="FootnoteReference"/>
        </w:rPr>
        <w:footnoteRef/>
      </w:r>
      <w:r>
        <w:t xml:space="preserve"> 47 CFR </w:t>
      </w:r>
      <w:r w:rsidRPr="00133697">
        <w:t>§</w:t>
      </w:r>
      <w:r>
        <w:t xml:space="preserve"> 76.901(c)</w:t>
      </w:r>
    </w:p>
  </w:footnote>
  <w:footnote w:id="363">
    <w:p w:rsidR="0031180A" w:rsidRDefault="0031180A" w:rsidP="00B85713">
      <w:pPr>
        <w:pStyle w:val="FootnoteText"/>
      </w:pPr>
      <w:r>
        <w:rPr>
          <w:rStyle w:val="FootnoteReference"/>
        </w:rPr>
        <w:footnoteRef/>
      </w:r>
      <w:r>
        <w:t xml:space="preserve"> </w:t>
      </w:r>
      <w:r w:rsidRPr="002B1B38">
        <w:rPr>
          <w:i/>
        </w:rPr>
        <w:t>See</w:t>
      </w:r>
      <w:r>
        <w:t xml:space="preserve"> footnote 2, </w:t>
      </w:r>
      <w:r w:rsidRPr="002B1B38">
        <w:rPr>
          <w:i/>
        </w:rPr>
        <w:t>supra</w:t>
      </w:r>
      <w:r>
        <w:t>.</w:t>
      </w:r>
    </w:p>
  </w:footnote>
  <w:footnote w:id="364">
    <w:p w:rsidR="0031180A" w:rsidRDefault="0031180A" w:rsidP="00B85713">
      <w:pPr>
        <w:pStyle w:val="FootnoteText"/>
      </w:pPr>
      <w:r>
        <w:rPr>
          <w:rStyle w:val="FootnoteReference"/>
        </w:rPr>
        <w:footnoteRef/>
      </w:r>
      <w:r>
        <w:t xml:space="preserve"> </w:t>
      </w:r>
      <w:r w:rsidRPr="002936D4">
        <w:t xml:space="preserve">August 5, 2015 report from the Media Bureau based on its research in COALS.  </w:t>
      </w:r>
      <w:r w:rsidRPr="002936D4">
        <w:rPr>
          <w:i/>
        </w:rPr>
        <w:t>See</w:t>
      </w:r>
      <w:r w:rsidRPr="002936D4">
        <w:t xml:space="preserve"> </w:t>
      </w:r>
      <w:hyperlink r:id="rId42" w:history="1">
        <w:r w:rsidRPr="002936D4">
          <w:rPr>
            <w:rStyle w:val="Hyperlink"/>
          </w:rPr>
          <w:t>www.fcc.gov</w:t>
        </w:r>
      </w:hyperlink>
      <w:r w:rsidRPr="002936D4">
        <w:rPr>
          <w:rStyle w:val="Hyperlink"/>
        </w:rPr>
        <w:t xml:space="preserve"> /coals.</w:t>
      </w:r>
    </w:p>
  </w:footnote>
  <w:footnote w:id="365">
    <w:p w:rsidR="0031180A" w:rsidRDefault="0031180A" w:rsidP="00B85713">
      <w:pPr>
        <w:pStyle w:val="FootnoteText"/>
      </w:pPr>
      <w:r>
        <w:rPr>
          <w:rStyle w:val="FootnoteReference"/>
        </w:rPr>
        <w:footnoteRef/>
      </w:r>
      <w:r>
        <w:t xml:space="preserve"> 47 CFR </w:t>
      </w:r>
      <w:r w:rsidRPr="00133697">
        <w:t>§</w:t>
      </w:r>
      <w:r>
        <w:t xml:space="preserve"> 76.901 (f) and notes ff. 1, 2, and 3.</w:t>
      </w:r>
    </w:p>
  </w:footnote>
  <w:footnote w:id="366">
    <w:p w:rsidR="0031180A" w:rsidRDefault="0031180A" w:rsidP="00B85713">
      <w:pPr>
        <w:pStyle w:val="FootnoteText"/>
      </w:pPr>
      <w:r>
        <w:rPr>
          <w:rStyle w:val="FootnoteReference"/>
        </w:rPr>
        <w:footnoteRef/>
      </w:r>
      <w:r>
        <w:t xml:space="preserve"> </w:t>
      </w:r>
      <w:r w:rsidRPr="002B1B38">
        <w:rPr>
          <w:i/>
        </w:rPr>
        <w:t>See</w:t>
      </w:r>
      <w:r>
        <w:t xml:space="preserve"> NCTA Industry Data, Cable’s Customer Base, available at </w:t>
      </w:r>
      <w:hyperlink r:id="rId43" w:history="1">
        <w:r w:rsidRPr="00EE3A67">
          <w:rPr>
            <w:rStyle w:val="Hyperlink"/>
          </w:rPr>
          <w:t>https://www.ncta.com/industry-data</w:t>
        </w:r>
      </w:hyperlink>
      <w:r>
        <w:t xml:space="preserve"> (last visited July 6, 2017).</w:t>
      </w:r>
    </w:p>
  </w:footnote>
  <w:footnote w:id="367">
    <w:p w:rsidR="0031180A" w:rsidRDefault="0031180A" w:rsidP="00B85713">
      <w:pPr>
        <w:pStyle w:val="FootnoteText"/>
      </w:pPr>
      <w:r>
        <w:rPr>
          <w:rStyle w:val="FootnoteReference"/>
        </w:rPr>
        <w:footnoteRef/>
      </w:r>
      <w:r>
        <w:t xml:space="preserve"> </w:t>
      </w:r>
      <w:r w:rsidRPr="00133697">
        <w:t xml:space="preserve">47 CFR § </w:t>
      </w:r>
      <w:r>
        <w:t>76.901(f) and notes ff. 1, 2, and 3.</w:t>
      </w:r>
    </w:p>
  </w:footnote>
  <w:footnote w:id="368">
    <w:p w:rsidR="0031180A" w:rsidRDefault="0031180A" w:rsidP="00B85713">
      <w:pPr>
        <w:pStyle w:val="FootnoteText"/>
      </w:pPr>
      <w:r>
        <w:rPr>
          <w:rStyle w:val="FootnoteReference"/>
        </w:rPr>
        <w:footnoteRef/>
      </w:r>
      <w:r>
        <w:t xml:space="preserve"> </w:t>
      </w:r>
      <w:r w:rsidRPr="002B1B38">
        <w:rPr>
          <w:i/>
        </w:rPr>
        <w:t>See</w:t>
      </w:r>
      <w:r>
        <w:rPr>
          <w:i/>
        </w:rPr>
        <w:t xml:space="preserve"> </w:t>
      </w:r>
      <w:hyperlink r:id="rId44" w:anchor="industry/topCableMSOs" w:history="1">
        <w:r w:rsidRPr="000D405F">
          <w:rPr>
            <w:rStyle w:val="Hyperlink"/>
          </w:rPr>
          <w:t>https://www.snl.com/web/client?auth=inherit#industry/topCableMSOs</w:t>
        </w:r>
      </w:hyperlink>
      <w:r>
        <w:t xml:space="preserve"> (last visited July 18, 2018).</w:t>
      </w:r>
    </w:p>
  </w:footnote>
  <w:footnote w:id="369">
    <w:p w:rsidR="0031180A" w:rsidRDefault="0031180A" w:rsidP="00B85713">
      <w:pPr>
        <w:pStyle w:val="FootnoteText"/>
      </w:pPr>
      <w:r>
        <w:rPr>
          <w:rStyle w:val="FootnoteReference"/>
        </w:rPr>
        <w:footnoteRef/>
      </w:r>
      <w:r>
        <w:t xml:space="preserve"> </w:t>
      </w:r>
      <w:r w:rsidRPr="00133697">
        <w:t>The Commission does receive such information on a case-by-case basis if a cable operator appeals a local franchise authority's finding that the operator does not qualify as a small cable operator pursuant to</w:t>
      </w:r>
      <w:r>
        <w:t xml:space="preserve"> section 76.901(f) of the Commission’</w:t>
      </w:r>
      <w:r w:rsidRPr="00133697">
        <w:t xml:space="preserve">s rules. </w:t>
      </w:r>
      <w:r>
        <w:t xml:space="preserve"> </w:t>
      </w:r>
      <w:r w:rsidRPr="002B1B38">
        <w:rPr>
          <w:i/>
        </w:rPr>
        <w:t>See</w:t>
      </w:r>
      <w:r w:rsidRPr="00133697">
        <w:t xml:space="preserve"> 47 CFR § 76.901(f).</w:t>
      </w:r>
    </w:p>
  </w:footnote>
  <w:footnote w:id="370">
    <w:p w:rsidR="0031180A" w:rsidRDefault="0031180A" w:rsidP="00B85713">
      <w:pPr>
        <w:pStyle w:val="FootnoteText"/>
      </w:pPr>
      <w:r>
        <w:rPr>
          <w:rStyle w:val="FootnoteReference"/>
        </w:rPr>
        <w:footnoteRef/>
      </w:r>
      <w:r>
        <w:t xml:space="preserve"> </w:t>
      </w:r>
      <w:hyperlink r:id="rId45" w:history="1">
        <w:r w:rsidRPr="00365B1A">
          <w:rPr>
            <w:rStyle w:val="Hyperlink"/>
          </w:rPr>
          <w:t>http://www.census.gov/cgi-bin/sssd/naics/naicsrch</w:t>
        </w:r>
      </w:hyperlink>
      <w:r>
        <w:t xml:space="preserve">. </w:t>
      </w:r>
    </w:p>
  </w:footnote>
  <w:footnote w:id="371">
    <w:p w:rsidR="0031180A" w:rsidRDefault="0031180A" w:rsidP="00B85713">
      <w:pPr>
        <w:pStyle w:val="FootnoteText"/>
      </w:pPr>
      <w:r>
        <w:rPr>
          <w:rStyle w:val="FootnoteReference"/>
        </w:rPr>
        <w:footnoteRef/>
      </w:r>
      <w:r>
        <w:t xml:space="preserve"> NAICS code 517110; 13 CFR</w:t>
      </w:r>
      <w:r w:rsidRPr="00A7270F">
        <w:t xml:space="preserve"> </w:t>
      </w:r>
      <w:r w:rsidRPr="00133697">
        <w:t>§</w:t>
      </w:r>
      <w:r>
        <w:t xml:space="preserve"> </w:t>
      </w:r>
      <w:r w:rsidRPr="00A7270F">
        <w:t>121.201.</w:t>
      </w:r>
    </w:p>
  </w:footnote>
  <w:footnote w:id="372">
    <w:p w:rsidR="0031180A" w:rsidRPr="00A54FE6" w:rsidRDefault="0031180A" w:rsidP="00B85713">
      <w:pPr>
        <w:pStyle w:val="FootnoteText"/>
        <w:spacing w:after="0"/>
        <w:rPr>
          <w:rStyle w:val="Hyperlink"/>
        </w:rPr>
      </w:pPr>
      <w:r>
        <w:rPr>
          <w:rStyle w:val="FootnoteReference"/>
        </w:rPr>
        <w:footnoteRef/>
      </w:r>
      <w:r>
        <w:t xml:space="preserve"> </w:t>
      </w:r>
      <w:r>
        <w:fldChar w:fldCharType="begin"/>
      </w:r>
      <w:r w:rsidR="002A22B8">
        <w:instrText>HYPERLINK "http://factfinder.census.gov/faces/tableservices.jasf/pages/productview.xhtml?pid+ECN_2012_US.51SSSZ4&amp;prodType=table"</w:instrText>
      </w:r>
      <w:r>
        <w:fldChar w:fldCharType="separate"/>
      </w:r>
      <w:r w:rsidRPr="00A54FE6">
        <w:rPr>
          <w:rStyle w:val="Hyperlink"/>
        </w:rPr>
        <w:t>http://factfinder.census.gov/faces/tableservices.jasf/pages/productview.xhtml?</w:t>
      </w:r>
    </w:p>
    <w:p w:rsidR="0031180A" w:rsidRDefault="0031180A" w:rsidP="00B85713">
      <w:pPr>
        <w:pStyle w:val="FootnoteText"/>
      </w:pPr>
      <w:r w:rsidRPr="00A54FE6">
        <w:rPr>
          <w:rStyle w:val="Hyperlink"/>
        </w:rPr>
        <w:t>pid+ECN_2012_US.51SSSZ4&amp;prodType=table</w:t>
      </w:r>
      <w:r>
        <w:fldChar w:fldCharType="end"/>
      </w:r>
      <w:r>
        <w:rPr>
          <w:sz w:val="16"/>
          <w:szCs w:val="16"/>
        </w:rPr>
        <w:t>.</w:t>
      </w:r>
      <w:r>
        <w:t xml:space="preserve"> </w:t>
      </w:r>
    </w:p>
  </w:footnote>
  <w:footnote w:id="373">
    <w:p w:rsidR="0031180A" w:rsidRDefault="0031180A" w:rsidP="00B85713">
      <w:pPr>
        <w:pStyle w:val="FootnoteText"/>
      </w:pPr>
      <w:r>
        <w:rPr>
          <w:rStyle w:val="FootnoteReference"/>
        </w:rPr>
        <w:footnoteRef/>
      </w:r>
      <w:r>
        <w:t xml:space="preserve"> </w:t>
      </w:r>
      <w:hyperlink r:id="rId46" w:history="1">
        <w:r w:rsidRPr="00080C31">
          <w:rPr>
            <w:rStyle w:val="Hyperlink"/>
          </w:rPr>
          <w:t>http://www.census.gov/cgi-bin/ssssd/naics/naicsrch</w:t>
        </w:r>
      </w:hyperlink>
      <w:r>
        <w:t>.</w:t>
      </w:r>
    </w:p>
  </w:footnote>
  <w:footnote w:id="374">
    <w:p w:rsidR="0031180A" w:rsidRDefault="0031180A" w:rsidP="00B85713">
      <w:pPr>
        <w:pStyle w:val="FootnoteText"/>
      </w:pPr>
      <w:r>
        <w:rPr>
          <w:rStyle w:val="FootnoteReference"/>
        </w:rPr>
        <w:footnoteRef/>
      </w:r>
      <w:r>
        <w:t xml:space="preserve"> 13 CFR </w:t>
      </w:r>
      <w:r w:rsidRPr="00133697">
        <w:t>§</w:t>
      </w:r>
      <w:r>
        <w:t xml:space="preserve"> 121.201; NAICS code 517919.</w:t>
      </w:r>
    </w:p>
  </w:footnote>
  <w:footnote w:id="375">
    <w:p w:rsidR="0031180A" w:rsidRPr="00A54FE6" w:rsidRDefault="0031180A" w:rsidP="00B85713">
      <w:pPr>
        <w:pStyle w:val="FootnoteText"/>
        <w:spacing w:after="0"/>
        <w:rPr>
          <w:rStyle w:val="Hyperlink"/>
        </w:rPr>
      </w:pPr>
      <w:r>
        <w:rPr>
          <w:rStyle w:val="FootnoteReference"/>
        </w:rPr>
        <w:footnoteRef/>
      </w:r>
      <w:r>
        <w:t xml:space="preserve"> </w:t>
      </w:r>
      <w:r>
        <w:fldChar w:fldCharType="begin"/>
      </w:r>
      <w:r w:rsidR="002A22B8">
        <w:instrText>HYPERLINK "http://factfinder.census.gov/faces/tableservices/jsf/pages/productview.xhtml?pid=ECN_2012_US_51SSSZ4&amp;prodType=table"</w:instrText>
      </w:r>
      <w:r>
        <w:fldChar w:fldCharType="separate"/>
      </w:r>
      <w:r w:rsidRPr="00A54FE6">
        <w:rPr>
          <w:rStyle w:val="Hyperlink"/>
        </w:rPr>
        <w:t>http://factfinder.census.gov/faces/tableservices/jsf/pages/productview.xhtml?</w:t>
      </w:r>
    </w:p>
    <w:p w:rsidR="0031180A" w:rsidRPr="00B013DC" w:rsidRDefault="0031180A" w:rsidP="00B85713">
      <w:pPr>
        <w:pStyle w:val="FootnoteText"/>
      </w:pPr>
      <w:r w:rsidRPr="00A54FE6">
        <w:rPr>
          <w:rStyle w:val="Hyperlink"/>
        </w:rPr>
        <w:t>pid=ECN_2012_US_51SSSZ4&amp;prodType=table</w:t>
      </w:r>
      <w:r>
        <w:fldChar w:fldCharType="end"/>
      </w:r>
      <w:r w:rsidRPr="00B013DC">
        <w:t>.</w:t>
      </w:r>
    </w:p>
  </w:footnote>
  <w:footnote w:id="376">
    <w:p w:rsidR="0031180A" w:rsidRDefault="0031180A" w:rsidP="00B85713">
      <w:pPr>
        <w:pStyle w:val="FootnoteText"/>
      </w:pPr>
      <w:r>
        <w:rPr>
          <w:rStyle w:val="FootnoteReference"/>
        </w:rPr>
        <w:footnoteRef/>
      </w:r>
      <w:r>
        <w:t xml:space="preserve"> </w:t>
      </w:r>
      <w:r w:rsidRPr="00B80C6E">
        <w:rPr>
          <w:i/>
        </w:rPr>
        <w:t>See</w:t>
      </w:r>
      <w:r>
        <w:t xml:space="preserve"> 47 CFR </w:t>
      </w:r>
      <w:r w:rsidRPr="00133697">
        <w:t>§</w:t>
      </w:r>
      <w:r>
        <w:t xml:space="preserve"> 52.101(b)</w:t>
      </w:r>
    </w:p>
  </w:footnote>
  <w:footnote w:id="377">
    <w:p w:rsidR="0031180A" w:rsidRDefault="0031180A" w:rsidP="00B85713">
      <w:pPr>
        <w:pStyle w:val="FootnoteText"/>
      </w:pPr>
      <w:r>
        <w:rPr>
          <w:rStyle w:val="FootnoteReference"/>
        </w:rPr>
        <w:footnoteRef/>
      </w:r>
      <w:r>
        <w:t xml:space="preserve"> 13 CFR </w:t>
      </w:r>
      <w:r w:rsidRPr="00133697">
        <w:t>§</w:t>
      </w:r>
      <w:r>
        <w:t xml:space="preserve"> 121.201, NAICS code 517110</w:t>
      </w:r>
    </w:p>
  </w:footnote>
  <w:footnote w:id="378">
    <w:p w:rsidR="0031180A" w:rsidRDefault="0031180A" w:rsidP="00B85713">
      <w:pPr>
        <w:pStyle w:val="FootnoteText"/>
      </w:pPr>
      <w:r>
        <w:rPr>
          <w:rStyle w:val="FootnoteReference"/>
        </w:rPr>
        <w:footnoteRef/>
      </w:r>
      <w:r>
        <w:t xml:space="preserve"> 13 CFR </w:t>
      </w:r>
      <w:r w:rsidRPr="00133697">
        <w:t>§</w:t>
      </w:r>
      <w:r>
        <w:t xml:space="preserve"> 121.201, NAICS code 517210.</w:t>
      </w:r>
    </w:p>
  </w:footnote>
  <w:footnote w:id="379">
    <w:p w:rsidR="0031180A" w:rsidRDefault="0031180A" w:rsidP="00B85713">
      <w:pPr>
        <w:pStyle w:val="FootnoteText"/>
      </w:pPr>
      <w:r>
        <w:rPr>
          <w:rStyle w:val="FootnoteReference"/>
        </w:rPr>
        <w:footnoteRef/>
      </w:r>
      <w:r>
        <w:t xml:space="preserve"> </w:t>
      </w:r>
      <w:r w:rsidRPr="00CD3CED">
        <w:rPr>
          <w:rStyle w:val="Hyperlink"/>
        </w:rPr>
        <w:t>http://www.census,gov/cgi-bin/sssd/naics.naicsrch</w:t>
      </w:r>
      <w:r>
        <w:rPr>
          <w:rStyle w:val="Hyperlink"/>
        </w:rPr>
        <w:t>.</w:t>
      </w:r>
    </w:p>
  </w:footnote>
  <w:footnote w:id="380">
    <w:p w:rsidR="0031180A" w:rsidRDefault="0031180A" w:rsidP="00B85713">
      <w:pPr>
        <w:pStyle w:val="FootnoteText"/>
      </w:pPr>
      <w:r>
        <w:rPr>
          <w:rStyle w:val="FootnoteReference"/>
        </w:rPr>
        <w:footnoteRef/>
      </w:r>
      <w:r>
        <w:t xml:space="preserve"> 13 CFR </w:t>
      </w:r>
      <w:r w:rsidRPr="00133697">
        <w:t>§</w:t>
      </w:r>
      <w:r>
        <w:t xml:space="preserve"> 120,201, NAICS code 517110.</w:t>
      </w:r>
    </w:p>
  </w:footnote>
  <w:footnote w:id="381">
    <w:p w:rsidR="0031180A" w:rsidRPr="00A54FE6" w:rsidRDefault="0031180A" w:rsidP="00B85713">
      <w:pPr>
        <w:pStyle w:val="FootnoteText"/>
        <w:spacing w:after="0"/>
        <w:rPr>
          <w:rStyle w:val="Hyperlink"/>
        </w:rPr>
      </w:pPr>
      <w:r>
        <w:rPr>
          <w:rStyle w:val="FootnoteReference"/>
        </w:rPr>
        <w:footnoteRef/>
      </w:r>
      <w:r>
        <w:t xml:space="preserve"> </w:t>
      </w:r>
      <w:r>
        <w:fldChar w:fldCharType="begin"/>
      </w:r>
      <w:r w:rsidR="002A22B8">
        <w:instrText>HYPERLINK "http://factfinder.census.gov/faces/tableservices/jsf/pages/productview.xhtml?pid=ECN_2012_US_51SSSZ4&amp;prodType=table"</w:instrText>
      </w:r>
      <w:r>
        <w:fldChar w:fldCharType="separate"/>
      </w:r>
      <w:r w:rsidRPr="00A54FE6">
        <w:rPr>
          <w:rStyle w:val="Hyperlink"/>
        </w:rPr>
        <w:t>http://factfinder.census.gov/faces/tableservices/jsf/pages/productview.xhtml?</w:t>
      </w:r>
    </w:p>
    <w:p w:rsidR="0031180A" w:rsidRPr="00B013DC" w:rsidRDefault="0031180A" w:rsidP="00B85713">
      <w:pPr>
        <w:pStyle w:val="FootnoteText"/>
      </w:pPr>
      <w:r w:rsidRPr="00A54FE6">
        <w:rPr>
          <w:rStyle w:val="Hyperlink"/>
        </w:rPr>
        <w:t>pid=ECN_2012_US_51SSSZ4&amp;prodType=table</w:t>
      </w:r>
      <w:r>
        <w:fldChar w:fldCharType="end"/>
      </w:r>
      <w:r w:rsidRPr="00B013DC">
        <w:t>.</w:t>
      </w:r>
    </w:p>
  </w:footnote>
  <w:footnote w:id="382">
    <w:p w:rsidR="0031180A" w:rsidRDefault="0031180A" w:rsidP="00B85713">
      <w:pPr>
        <w:pStyle w:val="FootnoteText"/>
      </w:pPr>
      <w:r>
        <w:rPr>
          <w:rStyle w:val="FootnoteReference"/>
        </w:rPr>
        <w:footnoteRef/>
      </w:r>
      <w:r>
        <w:t xml:space="preserve"> </w:t>
      </w:r>
      <w:r w:rsidRPr="00CD3CED">
        <w:rPr>
          <w:rStyle w:val="Hyperlink"/>
        </w:rPr>
        <w:t>http://www.census,gov/cgi-bin/sssd/naics.naicsrch</w:t>
      </w:r>
      <w:r>
        <w:t>.</w:t>
      </w:r>
    </w:p>
  </w:footnote>
  <w:footnote w:id="383">
    <w:p w:rsidR="0031180A" w:rsidRDefault="0031180A" w:rsidP="00B85713">
      <w:pPr>
        <w:pStyle w:val="FootnoteText"/>
      </w:pPr>
      <w:r>
        <w:rPr>
          <w:rStyle w:val="FootnoteReference"/>
        </w:rPr>
        <w:footnoteRef/>
      </w:r>
      <w:r>
        <w:t xml:space="preserve"> 13 CFR </w:t>
      </w:r>
      <w:r w:rsidRPr="00133697">
        <w:t>§</w:t>
      </w:r>
      <w:r>
        <w:t xml:space="preserve"> 120.201, NAICS code 517120.</w:t>
      </w:r>
    </w:p>
  </w:footnote>
  <w:footnote w:id="384">
    <w:p w:rsidR="0031180A" w:rsidRPr="00A54FE6" w:rsidRDefault="0031180A" w:rsidP="00B85713">
      <w:pPr>
        <w:pStyle w:val="FootnoteText"/>
        <w:spacing w:after="0"/>
        <w:rPr>
          <w:rStyle w:val="Hyperlink"/>
        </w:rPr>
      </w:pPr>
      <w:r>
        <w:rPr>
          <w:rStyle w:val="FootnoteReference"/>
        </w:rPr>
        <w:footnoteRef/>
      </w:r>
      <w:r>
        <w:t xml:space="preserve"> </w:t>
      </w:r>
      <w:r>
        <w:fldChar w:fldCharType="begin"/>
      </w:r>
      <w:r w:rsidR="002A22B8">
        <w:instrText>HYPERLINK "http://factfinder.census.gov/faces/tableservices/jsf/pages/productview.xhtml?pid=ECN_2012_US_51SSSZ4&amp;prodType=table"</w:instrText>
      </w:r>
      <w:r>
        <w:fldChar w:fldCharType="separate"/>
      </w:r>
      <w:r w:rsidRPr="00A54FE6">
        <w:rPr>
          <w:rStyle w:val="Hyperlink"/>
        </w:rPr>
        <w:t>http://factfinder.census.gov/faces/tableservices/jsf/pages/productview.xhtml?</w:t>
      </w:r>
    </w:p>
    <w:p w:rsidR="0031180A" w:rsidRPr="00B013DC" w:rsidRDefault="0031180A" w:rsidP="00B85713">
      <w:pPr>
        <w:pStyle w:val="FootnoteText"/>
      </w:pPr>
      <w:r w:rsidRPr="00A54FE6">
        <w:rPr>
          <w:rStyle w:val="Hyperlink"/>
        </w:rPr>
        <w:t>pid=ECN_2012_US_51SSSZ4&amp;prodType=table</w:t>
      </w:r>
      <w:r>
        <w:fldChar w:fldCharType="end"/>
      </w:r>
      <w:r w:rsidRPr="00B013DC">
        <w:t>.</w:t>
      </w:r>
    </w:p>
  </w:footnote>
  <w:footnote w:id="385">
    <w:p w:rsidR="0031180A" w:rsidRDefault="0031180A" w:rsidP="00B85713">
      <w:pPr>
        <w:pStyle w:val="FootnoteText"/>
      </w:pPr>
      <w:r>
        <w:rPr>
          <w:rStyle w:val="FootnoteReference"/>
        </w:rPr>
        <w:footnoteRef/>
      </w:r>
      <w:r>
        <w:t xml:space="preserve"> 13 CFR </w:t>
      </w:r>
      <w:r w:rsidRPr="00133697">
        <w:t>§</w:t>
      </w:r>
      <w:r>
        <w:t xml:space="preserve"> 120.201, NAICS code 541890.</w:t>
      </w:r>
    </w:p>
  </w:footnote>
  <w:footnote w:id="386">
    <w:p w:rsidR="0031180A" w:rsidRDefault="0031180A" w:rsidP="00B85713">
      <w:pPr>
        <w:pStyle w:val="FootnoteText"/>
      </w:pPr>
      <w:r>
        <w:rPr>
          <w:rStyle w:val="FootnoteReference"/>
        </w:rPr>
        <w:footnoteRef/>
      </w:r>
      <w:r>
        <w:t xml:space="preserve"> 13 CFR </w:t>
      </w:r>
      <w:r w:rsidRPr="00133697">
        <w:t>§</w:t>
      </w:r>
      <w:r>
        <w:t xml:space="preserve"> 120.201, NAICS code 541618.</w:t>
      </w:r>
    </w:p>
  </w:footnote>
  <w:footnote w:id="387">
    <w:p w:rsidR="0031180A" w:rsidRDefault="0031180A" w:rsidP="00B85713">
      <w:pPr>
        <w:pStyle w:val="FootnoteText"/>
      </w:pPr>
      <w:r>
        <w:rPr>
          <w:rStyle w:val="FootnoteReference"/>
        </w:rPr>
        <w:footnoteRef/>
      </w:r>
      <w:r>
        <w:t xml:space="preserve"> </w:t>
      </w:r>
      <w:r w:rsidRPr="005B51CD">
        <w:t xml:space="preserve"> </w:t>
      </w:r>
      <w:r w:rsidRPr="00CD3CED">
        <w:rPr>
          <w:rStyle w:val="Hyperlink"/>
        </w:rPr>
        <w:t>http://www.census,gov/cgi-bin/sssd/naics.naicsrch</w:t>
      </w:r>
      <w:r>
        <w:rPr>
          <w:rStyle w:val="Hyperlink"/>
        </w:rPr>
        <w:t>.</w:t>
      </w:r>
    </w:p>
  </w:footnote>
  <w:footnote w:id="388">
    <w:p w:rsidR="0031180A" w:rsidRDefault="0031180A" w:rsidP="00B85713">
      <w:pPr>
        <w:pStyle w:val="FootnoteText"/>
      </w:pPr>
      <w:r>
        <w:rPr>
          <w:rStyle w:val="FootnoteReference"/>
        </w:rPr>
        <w:footnoteRef/>
      </w:r>
      <w:r>
        <w:t xml:space="preserve"> </w:t>
      </w:r>
      <w:r w:rsidRPr="00A017E4">
        <w:t xml:space="preserve">13 CFR </w:t>
      </w:r>
      <w:r w:rsidRPr="00133697">
        <w:t>§</w:t>
      </w:r>
      <w:r>
        <w:t xml:space="preserve"> 120.201, NAICS c</w:t>
      </w:r>
      <w:r w:rsidRPr="00A017E4">
        <w:t>ode 541890</w:t>
      </w:r>
      <w:r>
        <w:t>.</w:t>
      </w:r>
    </w:p>
  </w:footnote>
  <w:footnote w:id="389">
    <w:p w:rsidR="0031180A" w:rsidRPr="00A54FE6" w:rsidRDefault="0031180A" w:rsidP="00B85713">
      <w:pPr>
        <w:pStyle w:val="FootnoteText"/>
        <w:spacing w:after="0"/>
        <w:rPr>
          <w:rStyle w:val="Hyperlink"/>
        </w:rPr>
      </w:pPr>
      <w:r>
        <w:rPr>
          <w:rStyle w:val="FootnoteReference"/>
        </w:rPr>
        <w:footnoteRef/>
      </w:r>
      <w:r>
        <w:t xml:space="preserve"> </w:t>
      </w:r>
      <w:r>
        <w:fldChar w:fldCharType="begin"/>
      </w:r>
      <w:r w:rsidR="002A22B8">
        <w:instrText>HYPERLINK "http://factfinder.census.gov/faces/tableservices/jsf/pages/productview.xhtml?pid=ECN_2012_US_51SSSZ4&amp;prodType=table"</w:instrText>
      </w:r>
      <w:r>
        <w:fldChar w:fldCharType="separate"/>
      </w:r>
      <w:r w:rsidRPr="00A54FE6">
        <w:rPr>
          <w:rStyle w:val="Hyperlink"/>
        </w:rPr>
        <w:t>http://factfinder.census.gov/faces/tableservices/jsf/pages/productview.xhtml?</w:t>
      </w:r>
    </w:p>
    <w:p w:rsidR="0031180A" w:rsidRPr="00B013DC" w:rsidRDefault="0031180A" w:rsidP="00B85713">
      <w:pPr>
        <w:pStyle w:val="FootnoteText"/>
      </w:pPr>
      <w:r w:rsidRPr="00A54FE6">
        <w:rPr>
          <w:rStyle w:val="Hyperlink"/>
        </w:rPr>
        <w:t>pid=ECN_2012_US_51SSSZ4&amp;prodType=table</w:t>
      </w:r>
      <w:r>
        <w:fldChar w:fldCharType="end"/>
      </w:r>
      <w:r w:rsidRPr="00B013DC">
        <w:t>.</w:t>
      </w:r>
    </w:p>
  </w:footnote>
  <w:footnote w:id="390">
    <w:p w:rsidR="0031180A" w:rsidRDefault="0031180A" w:rsidP="00B85713">
      <w:pPr>
        <w:pStyle w:val="FootnoteText"/>
      </w:pPr>
      <w:r>
        <w:rPr>
          <w:rStyle w:val="FootnoteReference"/>
        </w:rPr>
        <w:footnoteRef/>
      </w:r>
      <w:r w:rsidRPr="00470358">
        <w:t xml:space="preserve"> </w:t>
      </w:r>
      <w:r w:rsidRPr="00B974AD">
        <w:rPr>
          <w:rStyle w:val="Hyperlink"/>
        </w:rPr>
        <w:t>http://www.census,gov/cgi-bin/sssd/naics.naicsrch</w:t>
      </w:r>
      <w:r>
        <w:t>.</w:t>
      </w:r>
    </w:p>
  </w:footnote>
  <w:footnote w:id="391">
    <w:p w:rsidR="0031180A" w:rsidRDefault="0031180A" w:rsidP="00B85713">
      <w:pPr>
        <w:pStyle w:val="FootnoteText"/>
      </w:pPr>
      <w:r>
        <w:rPr>
          <w:rStyle w:val="FootnoteReference"/>
        </w:rPr>
        <w:footnoteRef/>
      </w:r>
      <w:r>
        <w:t xml:space="preserve"> 13 CFR </w:t>
      </w:r>
      <w:r w:rsidRPr="00133697">
        <w:t>§</w:t>
      </w:r>
      <w:r>
        <w:t xml:space="preserve"> 120.201, NAICS code 514618.</w:t>
      </w:r>
    </w:p>
  </w:footnote>
  <w:footnote w:id="392">
    <w:p w:rsidR="0031180A" w:rsidRPr="00A54FE6" w:rsidRDefault="0031180A" w:rsidP="00B85713">
      <w:pPr>
        <w:pStyle w:val="FootnoteText"/>
        <w:spacing w:after="0"/>
        <w:rPr>
          <w:rStyle w:val="Hyperlink"/>
        </w:rPr>
      </w:pPr>
      <w:r>
        <w:rPr>
          <w:rStyle w:val="FootnoteReference"/>
        </w:rPr>
        <w:footnoteRef/>
      </w:r>
      <w:r>
        <w:t xml:space="preserve"> </w:t>
      </w:r>
      <w:r>
        <w:fldChar w:fldCharType="begin"/>
      </w:r>
      <w:r w:rsidR="002A22B8">
        <w:instrText>HYPERLINK "http://factfinder.census.gov/faces/tableservices/jsf/pages/productview.xhtml?pid=ECN_2012_US_51SSSZ4&amp;prodType=table"</w:instrText>
      </w:r>
      <w:r>
        <w:fldChar w:fldCharType="separate"/>
      </w:r>
      <w:r w:rsidRPr="00A54FE6">
        <w:rPr>
          <w:rStyle w:val="Hyperlink"/>
        </w:rPr>
        <w:t>http://factfinder.census.gov/faces/tableservices/jsf/pages/productview.xhtml?</w:t>
      </w:r>
    </w:p>
    <w:p w:rsidR="0031180A" w:rsidRPr="00B013DC" w:rsidRDefault="0031180A" w:rsidP="00B85713">
      <w:pPr>
        <w:pStyle w:val="FootnoteText"/>
      </w:pPr>
      <w:r w:rsidRPr="00A54FE6">
        <w:rPr>
          <w:rStyle w:val="Hyperlink"/>
        </w:rPr>
        <w:t>pid=ECN_2012_US_51SSSZ4&amp;prodType=table</w:t>
      </w:r>
      <w:r>
        <w:fldChar w:fldCharType="end"/>
      </w:r>
      <w:r w:rsidRPr="00B013DC">
        <w:t>.</w:t>
      </w:r>
    </w:p>
  </w:footnote>
  <w:footnote w:id="393">
    <w:p w:rsidR="0031180A" w:rsidRDefault="0031180A" w:rsidP="00B85713">
      <w:pPr>
        <w:pStyle w:val="FootnoteText"/>
      </w:pPr>
      <w:r>
        <w:rPr>
          <w:rStyle w:val="FootnoteReference"/>
        </w:rPr>
        <w:footnoteRef/>
      </w:r>
      <w:r>
        <w:t xml:space="preserve"> The four NAICS code-based categories selected above to provide definitions for Carrier and Non-Carrier RespOrgs were selected because as a group they refer generically and comprehensively to all RespOrgs.  Therefore, all RespOrgs, including those not identified specifically or individually, must comply with the rules adopted in the Regulatory Fees Report and Order associated with this Final Regulatory Flexibility Analysis. </w:t>
      </w:r>
    </w:p>
  </w:footnote>
  <w:footnote w:id="394">
    <w:p w:rsidR="0031180A" w:rsidRDefault="0031180A" w:rsidP="00B85713">
      <w:pPr>
        <w:pStyle w:val="FootnoteText"/>
      </w:pPr>
      <w:r>
        <w:rPr>
          <w:rStyle w:val="FootnoteReference"/>
        </w:rPr>
        <w:footnoteRef/>
      </w:r>
      <w:r>
        <w:t xml:space="preserve"> Email from Jennifer Blanchard of Somos dated July 1, 2016.</w:t>
      </w:r>
    </w:p>
  </w:footnote>
  <w:footnote w:id="395">
    <w:p w:rsidR="0031180A" w:rsidRDefault="0031180A" w:rsidP="00B85713">
      <w:pPr>
        <w:pStyle w:val="FootnoteText"/>
      </w:pPr>
      <w:r>
        <w:rPr>
          <w:rStyle w:val="FootnoteReference"/>
        </w:rPr>
        <w:footnoteRef/>
      </w:r>
      <w:r>
        <w:t xml:space="preserve"> </w:t>
      </w:r>
      <w:r w:rsidRPr="00185ED3">
        <w:t>5 U.S.C. § 603(c)(1)–(c)(4).</w:t>
      </w:r>
    </w:p>
  </w:footnote>
  <w:footnote w:id="396">
    <w:p w:rsidR="0031180A" w:rsidRPr="00B60211" w:rsidRDefault="0031180A" w:rsidP="00AA2862">
      <w:pPr>
        <w:pStyle w:val="FootnoteText"/>
        <w:spacing w:after="240"/>
        <w:rPr>
          <w:spacing w:val="-2"/>
        </w:rPr>
      </w:pPr>
      <w:r w:rsidRPr="00B60211">
        <w:rPr>
          <w:rStyle w:val="FootnoteReference"/>
          <w:spacing w:val="-2"/>
        </w:rPr>
        <w:footnoteRef/>
      </w:r>
      <w:r w:rsidRPr="00B60211">
        <w:rPr>
          <w:spacing w:val="-2"/>
        </w:rPr>
        <w:t xml:space="preserve"> Note that </w:t>
      </w:r>
      <w:r>
        <w:rPr>
          <w:spacing w:val="-2"/>
        </w:rPr>
        <w:t>“</w:t>
      </w:r>
      <w:r w:rsidRPr="00B60211">
        <w:rPr>
          <w:spacing w:val="-2"/>
        </w:rPr>
        <w:t>small fees</w:t>
      </w:r>
      <w:r>
        <w:rPr>
          <w:spacing w:val="-2"/>
        </w:rPr>
        <w:t>”</w:t>
      </w:r>
      <w:r w:rsidRPr="00B60211">
        <w:rPr>
          <w:spacing w:val="-2"/>
        </w:rPr>
        <w:t xml:space="preserve"> are collected in advance for the entire license term.  Therefore, the annual fee amount shown in this table that is a small fee (categories 1 through 5) must be multiplied by the 5-or 10-year license term, as appropriate, to arrive at the total amount of regulatory fees owed.  </w:t>
      </w:r>
      <w:r>
        <w:rPr>
          <w:spacing w:val="-2"/>
        </w:rPr>
        <w:t xml:space="preserve">Also, </w:t>
      </w:r>
      <w:r w:rsidRPr="00B60211">
        <w:rPr>
          <w:spacing w:val="-2"/>
        </w:rPr>
        <w:t>application fees may apply as detailed in §1.1102 of this chapter.</w:t>
      </w:r>
    </w:p>
  </w:footnote>
  <w:footnote w:id="397">
    <w:p w:rsidR="0031180A" w:rsidRPr="00B60211" w:rsidRDefault="0031180A" w:rsidP="00AA2862">
      <w:pPr>
        <w:pStyle w:val="FootnoteText"/>
      </w:pPr>
      <w:r w:rsidRPr="00B60211">
        <w:rPr>
          <w:rStyle w:val="FootnoteReference"/>
        </w:rPr>
        <w:footnoteRef/>
      </w:r>
      <w:r w:rsidRPr="00B60211">
        <w:t xml:space="preserve"> These are standard fees that are to be paid in accordance with § 1.1157(b) of this chapter.</w:t>
      </w:r>
    </w:p>
  </w:footnote>
  <w:footnote w:id="398">
    <w:p w:rsidR="0031180A" w:rsidRPr="005A3505" w:rsidRDefault="0031180A" w:rsidP="00AA2862">
      <w:pPr>
        <w:pStyle w:val="FootnoteText"/>
      </w:pPr>
      <w:r w:rsidRPr="00B60211">
        <w:rPr>
          <w:rStyle w:val="FootnoteReference"/>
        </w:rPr>
        <w:footnoteRef/>
      </w:r>
      <w:r w:rsidRPr="00B60211">
        <w:t xml:space="preserve"> Th</w:t>
      </w:r>
      <w:r w:rsidRPr="005A3505">
        <w:t>ese are standard fees that are to be paid in accordance with § 1.1157(b) of this chapter.</w:t>
      </w:r>
    </w:p>
  </w:footnote>
  <w:footnote w:id="399">
    <w:p w:rsidR="0031180A" w:rsidRPr="006D6074" w:rsidRDefault="0031180A" w:rsidP="00797C13">
      <w:pPr>
        <w:pStyle w:val="FootnoteText"/>
      </w:pPr>
      <w:r w:rsidRPr="006D6074">
        <w:rPr>
          <w:rStyle w:val="FootnoteReference"/>
        </w:rPr>
        <w:footnoteRef/>
      </w:r>
      <w:r w:rsidRPr="006D6074">
        <w:t xml:space="preserve"> </w:t>
      </w:r>
      <w:r w:rsidRPr="006D6074">
        <w:rPr>
          <w:i/>
        </w:rPr>
        <w:t>See</w:t>
      </w:r>
      <w:r w:rsidRPr="006D6074">
        <w:t xml:space="preserve"> 47 U.S.C. § 9(a)(1), (b)(1)(A).</w:t>
      </w:r>
    </w:p>
  </w:footnote>
  <w:footnote w:id="400">
    <w:p w:rsidR="0031180A" w:rsidRPr="006D6074" w:rsidRDefault="0031180A" w:rsidP="00797C13">
      <w:pPr>
        <w:pStyle w:val="FootnoteText"/>
      </w:pPr>
      <w:r w:rsidRPr="006D6074">
        <w:rPr>
          <w:rStyle w:val="FootnoteReference"/>
        </w:rPr>
        <w:footnoteRef/>
      </w:r>
      <w:r w:rsidRPr="006D6074">
        <w:t xml:space="preserve"> </w:t>
      </w:r>
      <w:r w:rsidRPr="006D6074">
        <w:rPr>
          <w:i/>
        </w:rPr>
        <w:t>Id</w:t>
      </w:r>
      <w:r w:rsidRPr="006D6074">
        <w:t>. § 9(b)(1)(A).</w:t>
      </w:r>
    </w:p>
  </w:footnote>
  <w:footnote w:id="401">
    <w:p w:rsidR="0031180A" w:rsidRPr="006D6074" w:rsidRDefault="0031180A" w:rsidP="00797C13">
      <w:pPr>
        <w:pStyle w:val="FootnoteText"/>
      </w:pPr>
      <w:r w:rsidRPr="006D6074">
        <w:rPr>
          <w:rStyle w:val="FootnoteReference"/>
        </w:rPr>
        <w:footnoteRef/>
      </w:r>
      <w:r w:rsidRPr="006D6074">
        <w:t xml:space="preserve"> </w:t>
      </w:r>
      <w:r w:rsidRPr="006D6074">
        <w:rPr>
          <w:i/>
        </w:rPr>
        <w:t>See, e.g..,</w:t>
      </w:r>
      <w:r w:rsidRPr="006D6074">
        <w:t xml:space="preserve"> </w:t>
      </w:r>
      <w:r w:rsidRPr="006D6074">
        <w:rPr>
          <w:i/>
        </w:rPr>
        <w:t>Assessment and Collection of Regulatory Fees for Fiscal Year 2017, Report and Order and Further Notice of Proposed Rulemaking,</w:t>
      </w:r>
      <w:r w:rsidRPr="006D6074">
        <w:t xml:space="preserve"> MD Docket No. 16-166, Report and Order, 31 FCC Rcd 10339, 10346 ¶ 21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044" w:rsidRDefault="008E10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B2D" w:rsidRDefault="0031180A" w:rsidP="00B1305D">
    <w:pPr>
      <w:pStyle w:val="Header"/>
    </w:pPr>
    <w:r>
      <w:rPr>
        <w:noProof/>
      </w:rPr>
      <mc:AlternateContent>
        <mc:Choice Requires="wps">
          <w:drawing>
            <wp:anchor distT="0" distB="0" distL="114300" distR="114300" simplePos="0" relativeHeight="251669504" behindDoc="1" locked="0" layoutInCell="0" allowOverlap="1" wp14:anchorId="2A0245FE" wp14:editId="3443DB32">
              <wp:simplePos x="0" y="0"/>
              <wp:positionH relativeFrom="margin">
                <wp:posOffset>7620</wp:posOffset>
              </wp:positionH>
              <wp:positionV relativeFrom="paragraph">
                <wp:posOffset>160655</wp:posOffset>
              </wp:positionV>
              <wp:extent cx="5943600" cy="12065"/>
              <wp:effectExtent l="0" t="0" r="0"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1180A" w:rsidRDefault="0031180A" w:rsidP="00B130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6pt;margin-top:12.65pt;width:468pt;height:.9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" o:allowincell="f" fillcolor="black" stroked="f" strokeweight=".05pt">
              <v:textbox>
                <w:txbxContent>
                  <w:p w:rsidR="0031180A" w:rsidRDefault="0031180A" w:rsidP="00B1305D"/>
                </w:txbxContent>
              </v:textbox>
              <w10:wrap anchorx="margin"/>
            </v:rect>
          </w:pict>
        </mc:Fallback>
      </mc:AlternateContent>
    </w:r>
    <w:r>
      <w:tab/>
      <w:t>Federal Communications Commission</w:t>
    </w:r>
    <w:r>
      <w:tab/>
      <w:t>FCC 17-111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80A" w:rsidRDefault="0031180A">
    <w:pPr>
      <w:pStyle w:val="Header"/>
    </w:pPr>
    <w:r>
      <w:rPr>
        <w:noProof/>
      </w:rPr>
      <mc:AlternateContent>
        <mc:Choice Requires="wps">
          <w:drawing>
            <wp:anchor distT="0" distB="0" distL="114300" distR="114300" simplePos="0" relativeHeight="251670528" behindDoc="1" locked="0" layoutInCell="0" allowOverlap="1" wp14:anchorId="2A3CD04D" wp14:editId="7A0FEA38">
              <wp:simplePos x="0" y="0"/>
              <wp:positionH relativeFrom="margin">
                <wp:posOffset>7620</wp:posOffset>
              </wp:positionH>
              <wp:positionV relativeFrom="paragraph">
                <wp:posOffset>160655</wp:posOffset>
              </wp:positionV>
              <wp:extent cx="5943600" cy="12065"/>
              <wp:effectExtent l="0" t="0" r="0" b="698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1180A" w:rsidRDefault="0031180A" w:rsidP="00B130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margin-left:.6pt;margin-top:12.65pt;width:468pt;height:.9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" o:allowincell="f" fillcolor="black" stroked="f" strokeweight=".05pt">
              <v:textbox>
                <w:txbxContent>
                  <w:p w:rsidR="0031180A" w:rsidRDefault="0031180A" w:rsidP="00B1305D"/>
                </w:txbxContent>
              </v:textbox>
              <w10:wrap anchorx="margin"/>
            </v:rect>
          </w:pict>
        </mc:Fallback>
      </mc:AlternateContent>
    </w:r>
    <w:r>
      <w:tab/>
      <w:t>Federal Communications Commission</w:t>
    </w:r>
    <w:r>
      <w:tab/>
      <w:t>FCC 17-111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7680E"/>
    <w:multiLevelType w:val="hybridMultilevel"/>
    <w:tmpl w:val="96DE426A"/>
    <w:lvl w:ilvl="0" w:tplc="E3B88EBE">
      <w:start w:val="1"/>
      <w:numFmt w:val="bullet"/>
      <w:lvlText w:val=""/>
      <w:lvlJc w:val="left"/>
      <w:pPr>
        <w:ind w:left="1350" w:hanging="360"/>
      </w:pPr>
      <w:rPr>
        <w:rFonts w:ascii="Symbol" w:hAnsi="Symbol" w:hint="default"/>
      </w:rPr>
    </w:lvl>
    <w:lvl w:ilvl="1" w:tplc="906864D0">
      <w:start w:val="1"/>
      <w:numFmt w:val="bullet"/>
      <w:lvlText w:val="o"/>
      <w:lvlJc w:val="left"/>
      <w:pPr>
        <w:ind w:left="2070" w:hanging="360"/>
      </w:pPr>
      <w:rPr>
        <w:rFonts w:ascii="Courier New" w:hAnsi="Courier New" w:cs="Courier New" w:hint="default"/>
      </w:rPr>
    </w:lvl>
    <w:lvl w:ilvl="2" w:tplc="DE6C7718" w:tentative="1">
      <w:start w:val="1"/>
      <w:numFmt w:val="bullet"/>
      <w:lvlText w:val=""/>
      <w:lvlJc w:val="left"/>
      <w:pPr>
        <w:ind w:left="2790" w:hanging="360"/>
      </w:pPr>
      <w:rPr>
        <w:rFonts w:ascii="Wingdings" w:hAnsi="Wingdings" w:hint="default"/>
      </w:rPr>
    </w:lvl>
    <w:lvl w:ilvl="3" w:tplc="3D507CE4" w:tentative="1">
      <w:start w:val="1"/>
      <w:numFmt w:val="bullet"/>
      <w:lvlText w:val=""/>
      <w:lvlJc w:val="left"/>
      <w:pPr>
        <w:ind w:left="3510" w:hanging="360"/>
      </w:pPr>
      <w:rPr>
        <w:rFonts w:ascii="Symbol" w:hAnsi="Symbol" w:hint="default"/>
      </w:rPr>
    </w:lvl>
    <w:lvl w:ilvl="4" w:tplc="D3D64D16" w:tentative="1">
      <w:start w:val="1"/>
      <w:numFmt w:val="bullet"/>
      <w:lvlText w:val="o"/>
      <w:lvlJc w:val="left"/>
      <w:pPr>
        <w:ind w:left="4230" w:hanging="360"/>
      </w:pPr>
      <w:rPr>
        <w:rFonts w:ascii="Courier New" w:hAnsi="Courier New" w:cs="Courier New" w:hint="default"/>
      </w:rPr>
    </w:lvl>
    <w:lvl w:ilvl="5" w:tplc="C2A00612" w:tentative="1">
      <w:start w:val="1"/>
      <w:numFmt w:val="bullet"/>
      <w:lvlText w:val=""/>
      <w:lvlJc w:val="left"/>
      <w:pPr>
        <w:ind w:left="4950" w:hanging="360"/>
      </w:pPr>
      <w:rPr>
        <w:rFonts w:ascii="Wingdings" w:hAnsi="Wingdings" w:hint="default"/>
      </w:rPr>
    </w:lvl>
    <w:lvl w:ilvl="6" w:tplc="303CE5F4" w:tentative="1">
      <w:start w:val="1"/>
      <w:numFmt w:val="bullet"/>
      <w:lvlText w:val=""/>
      <w:lvlJc w:val="left"/>
      <w:pPr>
        <w:ind w:left="5670" w:hanging="360"/>
      </w:pPr>
      <w:rPr>
        <w:rFonts w:ascii="Symbol" w:hAnsi="Symbol" w:hint="default"/>
      </w:rPr>
    </w:lvl>
    <w:lvl w:ilvl="7" w:tplc="6C0EE500" w:tentative="1">
      <w:start w:val="1"/>
      <w:numFmt w:val="bullet"/>
      <w:lvlText w:val="o"/>
      <w:lvlJc w:val="left"/>
      <w:pPr>
        <w:ind w:left="6390" w:hanging="360"/>
      </w:pPr>
      <w:rPr>
        <w:rFonts w:ascii="Courier New" w:hAnsi="Courier New" w:cs="Courier New" w:hint="default"/>
      </w:rPr>
    </w:lvl>
    <w:lvl w:ilvl="8" w:tplc="BB76544E" w:tentative="1">
      <w:start w:val="1"/>
      <w:numFmt w:val="bullet"/>
      <w:lvlText w:val=""/>
      <w:lvlJc w:val="left"/>
      <w:pPr>
        <w:ind w:left="711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B81240C"/>
    <w:multiLevelType w:val="hybridMultilevel"/>
    <w:tmpl w:val="292E23E6"/>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6D4829EC"/>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7"/>
    <w:lvlOverride w:ilvl="0">
      <w:startOverride w:val="1"/>
    </w:lvlOverride>
  </w:num>
  <w:num w:numId="8">
    <w:abstractNumId w:val="6"/>
  </w:num>
  <w:num w:numId="9">
    <w:abstractNumId w:val="4"/>
  </w:num>
  <w:num w:numId="10">
    <w:abstractNumId w:val="8"/>
  </w:num>
  <w:num w:numId="11">
    <w:abstractNumId w:val="3"/>
    <w:lvlOverride w:ilvl="0">
      <w:startOverride w:val="1"/>
    </w:lvlOverride>
    <w:lvlOverride w:ilvl="1">
      <w:startOverride w:val="1"/>
    </w:lvlOverride>
  </w:num>
  <w:num w:numId="12">
    <w:abstractNumId w:val="7"/>
    <w:lvlOverride w:ilvl="0">
      <w:startOverride w:val="1"/>
    </w:lvlOverride>
  </w:num>
  <w:num w:numId="13">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92D"/>
    <w:rsid w:val="00003565"/>
    <w:rsid w:val="00005122"/>
    <w:rsid w:val="00007098"/>
    <w:rsid w:val="00010664"/>
    <w:rsid w:val="00011CCD"/>
    <w:rsid w:val="00015AAC"/>
    <w:rsid w:val="00020AE4"/>
    <w:rsid w:val="00021E9C"/>
    <w:rsid w:val="00021EEB"/>
    <w:rsid w:val="000244E7"/>
    <w:rsid w:val="00032676"/>
    <w:rsid w:val="00036039"/>
    <w:rsid w:val="000364EF"/>
    <w:rsid w:val="00036B87"/>
    <w:rsid w:val="00036C20"/>
    <w:rsid w:val="00037F90"/>
    <w:rsid w:val="00041A0D"/>
    <w:rsid w:val="000448BF"/>
    <w:rsid w:val="00044DE6"/>
    <w:rsid w:val="00045974"/>
    <w:rsid w:val="0004686E"/>
    <w:rsid w:val="00046D29"/>
    <w:rsid w:val="00050CD7"/>
    <w:rsid w:val="00050CEF"/>
    <w:rsid w:val="000513A3"/>
    <w:rsid w:val="00052393"/>
    <w:rsid w:val="00052683"/>
    <w:rsid w:val="000528FD"/>
    <w:rsid w:val="00052CBD"/>
    <w:rsid w:val="00056506"/>
    <w:rsid w:val="00061880"/>
    <w:rsid w:val="00061BFB"/>
    <w:rsid w:val="00061F82"/>
    <w:rsid w:val="000643A4"/>
    <w:rsid w:val="0006695E"/>
    <w:rsid w:val="00067ECE"/>
    <w:rsid w:val="000714EF"/>
    <w:rsid w:val="000763CF"/>
    <w:rsid w:val="000767BC"/>
    <w:rsid w:val="0007780D"/>
    <w:rsid w:val="00077B75"/>
    <w:rsid w:val="00077FF5"/>
    <w:rsid w:val="0008065C"/>
    <w:rsid w:val="0008383B"/>
    <w:rsid w:val="000875BF"/>
    <w:rsid w:val="00096D8C"/>
    <w:rsid w:val="000A0B96"/>
    <w:rsid w:val="000A7146"/>
    <w:rsid w:val="000B1B2C"/>
    <w:rsid w:val="000B2A02"/>
    <w:rsid w:val="000B4C37"/>
    <w:rsid w:val="000B789E"/>
    <w:rsid w:val="000C0B65"/>
    <w:rsid w:val="000C3882"/>
    <w:rsid w:val="000C542C"/>
    <w:rsid w:val="000D168E"/>
    <w:rsid w:val="000D1C5A"/>
    <w:rsid w:val="000D24B5"/>
    <w:rsid w:val="000D29E4"/>
    <w:rsid w:val="000D50EA"/>
    <w:rsid w:val="000D7E1D"/>
    <w:rsid w:val="000D7F3B"/>
    <w:rsid w:val="000D7F97"/>
    <w:rsid w:val="000E05FE"/>
    <w:rsid w:val="000E0E9B"/>
    <w:rsid w:val="000E2070"/>
    <w:rsid w:val="000E31B7"/>
    <w:rsid w:val="000E3D42"/>
    <w:rsid w:val="000E4A38"/>
    <w:rsid w:val="000E4BF6"/>
    <w:rsid w:val="000E534D"/>
    <w:rsid w:val="000E59FB"/>
    <w:rsid w:val="000E67AE"/>
    <w:rsid w:val="000F0EF2"/>
    <w:rsid w:val="000F28BC"/>
    <w:rsid w:val="000F4FB2"/>
    <w:rsid w:val="000F55AD"/>
    <w:rsid w:val="000F5F30"/>
    <w:rsid w:val="00101415"/>
    <w:rsid w:val="00103FEE"/>
    <w:rsid w:val="0010432A"/>
    <w:rsid w:val="00111B67"/>
    <w:rsid w:val="00111C09"/>
    <w:rsid w:val="001126F0"/>
    <w:rsid w:val="00112C9A"/>
    <w:rsid w:val="001130EF"/>
    <w:rsid w:val="001134E6"/>
    <w:rsid w:val="0011596C"/>
    <w:rsid w:val="00116520"/>
    <w:rsid w:val="0011735F"/>
    <w:rsid w:val="00117EBE"/>
    <w:rsid w:val="00122BD5"/>
    <w:rsid w:val="00123088"/>
    <w:rsid w:val="001230D9"/>
    <w:rsid w:val="00124C6C"/>
    <w:rsid w:val="00126CC5"/>
    <w:rsid w:val="00131BE9"/>
    <w:rsid w:val="00132AD9"/>
    <w:rsid w:val="001332AF"/>
    <w:rsid w:val="0013367E"/>
    <w:rsid w:val="00133F79"/>
    <w:rsid w:val="00135291"/>
    <w:rsid w:val="001361AA"/>
    <w:rsid w:val="001363DA"/>
    <w:rsid w:val="00141577"/>
    <w:rsid w:val="0014558F"/>
    <w:rsid w:val="00146E42"/>
    <w:rsid w:val="0015339F"/>
    <w:rsid w:val="00153822"/>
    <w:rsid w:val="00157EA2"/>
    <w:rsid w:val="001609CD"/>
    <w:rsid w:val="0016265D"/>
    <w:rsid w:val="00162F5D"/>
    <w:rsid w:val="00167CFC"/>
    <w:rsid w:val="00171F05"/>
    <w:rsid w:val="00172692"/>
    <w:rsid w:val="00174291"/>
    <w:rsid w:val="00174FAF"/>
    <w:rsid w:val="00175DA8"/>
    <w:rsid w:val="001762C7"/>
    <w:rsid w:val="00176466"/>
    <w:rsid w:val="00176C37"/>
    <w:rsid w:val="00180E65"/>
    <w:rsid w:val="0018108D"/>
    <w:rsid w:val="00183304"/>
    <w:rsid w:val="001874DC"/>
    <w:rsid w:val="001917CB"/>
    <w:rsid w:val="00194A66"/>
    <w:rsid w:val="00195670"/>
    <w:rsid w:val="00197AF6"/>
    <w:rsid w:val="001A0D91"/>
    <w:rsid w:val="001A2363"/>
    <w:rsid w:val="001A4C66"/>
    <w:rsid w:val="001A5556"/>
    <w:rsid w:val="001A68C7"/>
    <w:rsid w:val="001B2203"/>
    <w:rsid w:val="001C28DB"/>
    <w:rsid w:val="001C3595"/>
    <w:rsid w:val="001C46C1"/>
    <w:rsid w:val="001C4F17"/>
    <w:rsid w:val="001C58EE"/>
    <w:rsid w:val="001C5F60"/>
    <w:rsid w:val="001C7297"/>
    <w:rsid w:val="001D2625"/>
    <w:rsid w:val="001D6046"/>
    <w:rsid w:val="001D68E2"/>
    <w:rsid w:val="001D6BCF"/>
    <w:rsid w:val="001D6C47"/>
    <w:rsid w:val="001D71EA"/>
    <w:rsid w:val="001D7C5C"/>
    <w:rsid w:val="001E01CA"/>
    <w:rsid w:val="001E0353"/>
    <w:rsid w:val="001E0665"/>
    <w:rsid w:val="001E0FE3"/>
    <w:rsid w:val="001E1667"/>
    <w:rsid w:val="001E234E"/>
    <w:rsid w:val="001E2CD5"/>
    <w:rsid w:val="001E3246"/>
    <w:rsid w:val="001E5203"/>
    <w:rsid w:val="001E5706"/>
    <w:rsid w:val="001E6316"/>
    <w:rsid w:val="001E71C4"/>
    <w:rsid w:val="001F142F"/>
    <w:rsid w:val="001F520C"/>
    <w:rsid w:val="001F7010"/>
    <w:rsid w:val="001F7C93"/>
    <w:rsid w:val="0020261B"/>
    <w:rsid w:val="0020372B"/>
    <w:rsid w:val="00205D37"/>
    <w:rsid w:val="00207A2B"/>
    <w:rsid w:val="002100FE"/>
    <w:rsid w:val="00210836"/>
    <w:rsid w:val="00210DDE"/>
    <w:rsid w:val="002115C1"/>
    <w:rsid w:val="00212700"/>
    <w:rsid w:val="00212CCA"/>
    <w:rsid w:val="00213F4F"/>
    <w:rsid w:val="00213FDC"/>
    <w:rsid w:val="00214A0B"/>
    <w:rsid w:val="00214F77"/>
    <w:rsid w:val="00220250"/>
    <w:rsid w:val="00220A00"/>
    <w:rsid w:val="0022322A"/>
    <w:rsid w:val="002234BC"/>
    <w:rsid w:val="002241B4"/>
    <w:rsid w:val="00224855"/>
    <w:rsid w:val="00230F5F"/>
    <w:rsid w:val="0023153D"/>
    <w:rsid w:val="00235705"/>
    <w:rsid w:val="00235931"/>
    <w:rsid w:val="002362A6"/>
    <w:rsid w:val="00237A83"/>
    <w:rsid w:val="0024146D"/>
    <w:rsid w:val="00246F55"/>
    <w:rsid w:val="0024782E"/>
    <w:rsid w:val="00250261"/>
    <w:rsid w:val="00254FC7"/>
    <w:rsid w:val="00256286"/>
    <w:rsid w:val="00256C33"/>
    <w:rsid w:val="0026253D"/>
    <w:rsid w:val="00263AF5"/>
    <w:rsid w:val="002662A6"/>
    <w:rsid w:val="002662D9"/>
    <w:rsid w:val="00266CA1"/>
    <w:rsid w:val="00275CF5"/>
    <w:rsid w:val="00275CFB"/>
    <w:rsid w:val="002769AA"/>
    <w:rsid w:val="00280A1F"/>
    <w:rsid w:val="00281A13"/>
    <w:rsid w:val="0028301F"/>
    <w:rsid w:val="00283ECE"/>
    <w:rsid w:val="00283F32"/>
    <w:rsid w:val="00285017"/>
    <w:rsid w:val="00287628"/>
    <w:rsid w:val="00290014"/>
    <w:rsid w:val="00290BC5"/>
    <w:rsid w:val="00292D57"/>
    <w:rsid w:val="00293571"/>
    <w:rsid w:val="002936D4"/>
    <w:rsid w:val="00293BD5"/>
    <w:rsid w:val="00296348"/>
    <w:rsid w:val="002A070E"/>
    <w:rsid w:val="002A22B8"/>
    <w:rsid w:val="002A2D2E"/>
    <w:rsid w:val="002A4CA8"/>
    <w:rsid w:val="002A4CBB"/>
    <w:rsid w:val="002B03A0"/>
    <w:rsid w:val="002B1BFA"/>
    <w:rsid w:val="002B399F"/>
    <w:rsid w:val="002B59B3"/>
    <w:rsid w:val="002B79B7"/>
    <w:rsid w:val="002C00E8"/>
    <w:rsid w:val="002C0446"/>
    <w:rsid w:val="002C1E5C"/>
    <w:rsid w:val="002C54D9"/>
    <w:rsid w:val="002D2622"/>
    <w:rsid w:val="002D289A"/>
    <w:rsid w:val="002D5D3D"/>
    <w:rsid w:val="002D6DD1"/>
    <w:rsid w:val="002D7002"/>
    <w:rsid w:val="002D720C"/>
    <w:rsid w:val="002E0274"/>
    <w:rsid w:val="002E06F0"/>
    <w:rsid w:val="002E1C71"/>
    <w:rsid w:val="002E5D36"/>
    <w:rsid w:val="002E63AB"/>
    <w:rsid w:val="002E7310"/>
    <w:rsid w:val="002F0846"/>
    <w:rsid w:val="002F56D9"/>
    <w:rsid w:val="00303069"/>
    <w:rsid w:val="00304A3D"/>
    <w:rsid w:val="00306868"/>
    <w:rsid w:val="003107F5"/>
    <w:rsid w:val="0031180A"/>
    <w:rsid w:val="00313B2D"/>
    <w:rsid w:val="0031560A"/>
    <w:rsid w:val="003159E3"/>
    <w:rsid w:val="003175BB"/>
    <w:rsid w:val="00320261"/>
    <w:rsid w:val="003202F9"/>
    <w:rsid w:val="00321F0A"/>
    <w:rsid w:val="00322770"/>
    <w:rsid w:val="00324990"/>
    <w:rsid w:val="00325C70"/>
    <w:rsid w:val="00327BD9"/>
    <w:rsid w:val="00327C2D"/>
    <w:rsid w:val="00331399"/>
    <w:rsid w:val="00331C7B"/>
    <w:rsid w:val="00332A53"/>
    <w:rsid w:val="003349F6"/>
    <w:rsid w:val="00337314"/>
    <w:rsid w:val="00337B4F"/>
    <w:rsid w:val="00342DCD"/>
    <w:rsid w:val="00343749"/>
    <w:rsid w:val="003475F2"/>
    <w:rsid w:val="00347FAD"/>
    <w:rsid w:val="00352434"/>
    <w:rsid w:val="00353EE3"/>
    <w:rsid w:val="00354256"/>
    <w:rsid w:val="003615D0"/>
    <w:rsid w:val="00361691"/>
    <w:rsid w:val="00362D56"/>
    <w:rsid w:val="00365A92"/>
    <w:rsid w:val="003660ED"/>
    <w:rsid w:val="0036728A"/>
    <w:rsid w:val="00367979"/>
    <w:rsid w:val="00370541"/>
    <w:rsid w:val="00371368"/>
    <w:rsid w:val="0037141E"/>
    <w:rsid w:val="003717E7"/>
    <w:rsid w:val="00372AA2"/>
    <w:rsid w:val="00372C85"/>
    <w:rsid w:val="00372E89"/>
    <w:rsid w:val="00380633"/>
    <w:rsid w:val="003834D3"/>
    <w:rsid w:val="00384088"/>
    <w:rsid w:val="0038425C"/>
    <w:rsid w:val="0038788A"/>
    <w:rsid w:val="003878EE"/>
    <w:rsid w:val="0039145B"/>
    <w:rsid w:val="0039251C"/>
    <w:rsid w:val="00394980"/>
    <w:rsid w:val="0039501F"/>
    <w:rsid w:val="00397715"/>
    <w:rsid w:val="003A5EDB"/>
    <w:rsid w:val="003A624B"/>
    <w:rsid w:val="003A69E3"/>
    <w:rsid w:val="003B0550"/>
    <w:rsid w:val="003B11B5"/>
    <w:rsid w:val="003B1D4A"/>
    <w:rsid w:val="003B2500"/>
    <w:rsid w:val="003B2CA7"/>
    <w:rsid w:val="003B38FB"/>
    <w:rsid w:val="003B42CA"/>
    <w:rsid w:val="003B5F70"/>
    <w:rsid w:val="003B694F"/>
    <w:rsid w:val="003B6FE3"/>
    <w:rsid w:val="003B7DA9"/>
    <w:rsid w:val="003B7F57"/>
    <w:rsid w:val="003B7FF7"/>
    <w:rsid w:val="003C0FC3"/>
    <w:rsid w:val="003C1691"/>
    <w:rsid w:val="003C1DE1"/>
    <w:rsid w:val="003D1BD5"/>
    <w:rsid w:val="003D3536"/>
    <w:rsid w:val="003D64A7"/>
    <w:rsid w:val="003D780B"/>
    <w:rsid w:val="003E0908"/>
    <w:rsid w:val="003E1C13"/>
    <w:rsid w:val="003E20D5"/>
    <w:rsid w:val="003E2BF2"/>
    <w:rsid w:val="003E3AD8"/>
    <w:rsid w:val="003E44E4"/>
    <w:rsid w:val="003E4F44"/>
    <w:rsid w:val="003E53F8"/>
    <w:rsid w:val="003E65BF"/>
    <w:rsid w:val="003E7989"/>
    <w:rsid w:val="003E7F91"/>
    <w:rsid w:val="003F04A3"/>
    <w:rsid w:val="003F171C"/>
    <w:rsid w:val="003F219F"/>
    <w:rsid w:val="003F256B"/>
    <w:rsid w:val="003F279F"/>
    <w:rsid w:val="003F3AAC"/>
    <w:rsid w:val="003F45ED"/>
    <w:rsid w:val="004020F2"/>
    <w:rsid w:val="0040233D"/>
    <w:rsid w:val="0040262A"/>
    <w:rsid w:val="004067A8"/>
    <w:rsid w:val="00407F69"/>
    <w:rsid w:val="00412FC5"/>
    <w:rsid w:val="004136A2"/>
    <w:rsid w:val="00417FA6"/>
    <w:rsid w:val="00420D72"/>
    <w:rsid w:val="0042204C"/>
    <w:rsid w:val="00422276"/>
    <w:rsid w:val="004242F1"/>
    <w:rsid w:val="0042451B"/>
    <w:rsid w:val="0042461A"/>
    <w:rsid w:val="0042601C"/>
    <w:rsid w:val="00427969"/>
    <w:rsid w:val="004323B4"/>
    <w:rsid w:val="00432573"/>
    <w:rsid w:val="00432A40"/>
    <w:rsid w:val="00436C33"/>
    <w:rsid w:val="00437B77"/>
    <w:rsid w:val="00441672"/>
    <w:rsid w:val="004416C6"/>
    <w:rsid w:val="00443597"/>
    <w:rsid w:val="00445A00"/>
    <w:rsid w:val="00445C8A"/>
    <w:rsid w:val="00450145"/>
    <w:rsid w:val="0045073F"/>
    <w:rsid w:val="00451B0F"/>
    <w:rsid w:val="00452B4C"/>
    <w:rsid w:val="004532C1"/>
    <w:rsid w:val="00455298"/>
    <w:rsid w:val="004562C5"/>
    <w:rsid w:val="004563BA"/>
    <w:rsid w:val="00460E93"/>
    <w:rsid w:val="0046273B"/>
    <w:rsid w:val="004639B3"/>
    <w:rsid w:val="00464395"/>
    <w:rsid w:val="004648A1"/>
    <w:rsid w:val="00465862"/>
    <w:rsid w:val="0046735F"/>
    <w:rsid w:val="00471B17"/>
    <w:rsid w:val="004729AF"/>
    <w:rsid w:val="004736F0"/>
    <w:rsid w:val="00474349"/>
    <w:rsid w:val="0047647A"/>
    <w:rsid w:val="004800EB"/>
    <w:rsid w:val="00486390"/>
    <w:rsid w:val="00487228"/>
    <w:rsid w:val="004905A8"/>
    <w:rsid w:val="00492CA2"/>
    <w:rsid w:val="0049507D"/>
    <w:rsid w:val="004953D3"/>
    <w:rsid w:val="004A4F85"/>
    <w:rsid w:val="004A6F6D"/>
    <w:rsid w:val="004B0234"/>
    <w:rsid w:val="004B4850"/>
    <w:rsid w:val="004B51C1"/>
    <w:rsid w:val="004C00DB"/>
    <w:rsid w:val="004C107F"/>
    <w:rsid w:val="004C2C14"/>
    <w:rsid w:val="004C2EE3"/>
    <w:rsid w:val="004C3AE5"/>
    <w:rsid w:val="004C4B87"/>
    <w:rsid w:val="004C5E6F"/>
    <w:rsid w:val="004C6D39"/>
    <w:rsid w:val="004D07F9"/>
    <w:rsid w:val="004D09CD"/>
    <w:rsid w:val="004D2D01"/>
    <w:rsid w:val="004E0AD9"/>
    <w:rsid w:val="004E36F7"/>
    <w:rsid w:val="004E3916"/>
    <w:rsid w:val="004E4A22"/>
    <w:rsid w:val="004E58C6"/>
    <w:rsid w:val="004F06A2"/>
    <w:rsid w:val="004F160E"/>
    <w:rsid w:val="004F188D"/>
    <w:rsid w:val="004F2126"/>
    <w:rsid w:val="004F2660"/>
    <w:rsid w:val="004F3889"/>
    <w:rsid w:val="004F409A"/>
    <w:rsid w:val="004F6B6C"/>
    <w:rsid w:val="004F724A"/>
    <w:rsid w:val="00500A2E"/>
    <w:rsid w:val="00501255"/>
    <w:rsid w:val="00501C1F"/>
    <w:rsid w:val="005020FE"/>
    <w:rsid w:val="00502539"/>
    <w:rsid w:val="00503800"/>
    <w:rsid w:val="005039CA"/>
    <w:rsid w:val="00503EBB"/>
    <w:rsid w:val="00504D0A"/>
    <w:rsid w:val="00505BCB"/>
    <w:rsid w:val="00505C2A"/>
    <w:rsid w:val="00505D69"/>
    <w:rsid w:val="00507296"/>
    <w:rsid w:val="00507928"/>
    <w:rsid w:val="00507CA1"/>
    <w:rsid w:val="00511968"/>
    <w:rsid w:val="00511AED"/>
    <w:rsid w:val="005131C6"/>
    <w:rsid w:val="005147A6"/>
    <w:rsid w:val="0051530F"/>
    <w:rsid w:val="005156AD"/>
    <w:rsid w:val="0051776B"/>
    <w:rsid w:val="00520EED"/>
    <w:rsid w:val="00521793"/>
    <w:rsid w:val="005223AC"/>
    <w:rsid w:val="005229E5"/>
    <w:rsid w:val="00525795"/>
    <w:rsid w:val="00526276"/>
    <w:rsid w:val="00527C42"/>
    <w:rsid w:val="00531558"/>
    <w:rsid w:val="005319B1"/>
    <w:rsid w:val="00531E9D"/>
    <w:rsid w:val="00532F2D"/>
    <w:rsid w:val="005337D7"/>
    <w:rsid w:val="00533C43"/>
    <w:rsid w:val="00534711"/>
    <w:rsid w:val="005367F8"/>
    <w:rsid w:val="00540749"/>
    <w:rsid w:val="005413A7"/>
    <w:rsid w:val="00542898"/>
    <w:rsid w:val="00542E6D"/>
    <w:rsid w:val="0054562C"/>
    <w:rsid w:val="00546BE7"/>
    <w:rsid w:val="005506C5"/>
    <w:rsid w:val="00551E0F"/>
    <w:rsid w:val="0055614C"/>
    <w:rsid w:val="00557B46"/>
    <w:rsid w:val="00557CC1"/>
    <w:rsid w:val="00560B82"/>
    <w:rsid w:val="00561991"/>
    <w:rsid w:val="00561A5F"/>
    <w:rsid w:val="00561B5F"/>
    <w:rsid w:val="00562F19"/>
    <w:rsid w:val="00562F7E"/>
    <w:rsid w:val="00564AB4"/>
    <w:rsid w:val="00564B04"/>
    <w:rsid w:val="00564C47"/>
    <w:rsid w:val="00565ECF"/>
    <w:rsid w:val="00566241"/>
    <w:rsid w:val="00567220"/>
    <w:rsid w:val="00567CC0"/>
    <w:rsid w:val="00571694"/>
    <w:rsid w:val="00572855"/>
    <w:rsid w:val="005744ED"/>
    <w:rsid w:val="0057518D"/>
    <w:rsid w:val="005765B9"/>
    <w:rsid w:val="00576FF0"/>
    <w:rsid w:val="00583AB9"/>
    <w:rsid w:val="0058575D"/>
    <w:rsid w:val="005858D8"/>
    <w:rsid w:val="00586529"/>
    <w:rsid w:val="00590231"/>
    <w:rsid w:val="00591CEE"/>
    <w:rsid w:val="00594B70"/>
    <w:rsid w:val="00595F8B"/>
    <w:rsid w:val="00597CAF"/>
    <w:rsid w:val="00597DAC"/>
    <w:rsid w:val="005A0BC4"/>
    <w:rsid w:val="005A1457"/>
    <w:rsid w:val="005A475A"/>
    <w:rsid w:val="005B0387"/>
    <w:rsid w:val="005B0438"/>
    <w:rsid w:val="005B0BD8"/>
    <w:rsid w:val="005B3FAC"/>
    <w:rsid w:val="005B49CD"/>
    <w:rsid w:val="005B5E39"/>
    <w:rsid w:val="005B68FB"/>
    <w:rsid w:val="005C2067"/>
    <w:rsid w:val="005C2AD0"/>
    <w:rsid w:val="005C5D97"/>
    <w:rsid w:val="005C601A"/>
    <w:rsid w:val="005C7C00"/>
    <w:rsid w:val="005D1D65"/>
    <w:rsid w:val="005D2FB7"/>
    <w:rsid w:val="005D3F5C"/>
    <w:rsid w:val="005D45E9"/>
    <w:rsid w:val="005D6F02"/>
    <w:rsid w:val="005E00F7"/>
    <w:rsid w:val="005E0D8F"/>
    <w:rsid w:val="005E14C2"/>
    <w:rsid w:val="005E19E1"/>
    <w:rsid w:val="005E3353"/>
    <w:rsid w:val="005E4667"/>
    <w:rsid w:val="005F0664"/>
    <w:rsid w:val="005F108A"/>
    <w:rsid w:val="005F25D3"/>
    <w:rsid w:val="005F327C"/>
    <w:rsid w:val="005F4597"/>
    <w:rsid w:val="005F4973"/>
    <w:rsid w:val="006004F7"/>
    <w:rsid w:val="006006A6"/>
    <w:rsid w:val="00600C6B"/>
    <w:rsid w:val="006046CA"/>
    <w:rsid w:val="006048E7"/>
    <w:rsid w:val="00604FE2"/>
    <w:rsid w:val="0060598E"/>
    <w:rsid w:val="00605FFE"/>
    <w:rsid w:val="00606AB1"/>
    <w:rsid w:val="00607BA5"/>
    <w:rsid w:val="0061180A"/>
    <w:rsid w:val="006143DA"/>
    <w:rsid w:val="00615286"/>
    <w:rsid w:val="00615681"/>
    <w:rsid w:val="006164DF"/>
    <w:rsid w:val="00620CB7"/>
    <w:rsid w:val="0062283B"/>
    <w:rsid w:val="00624F0D"/>
    <w:rsid w:val="006266A9"/>
    <w:rsid w:val="00626EB6"/>
    <w:rsid w:val="00631820"/>
    <w:rsid w:val="00633297"/>
    <w:rsid w:val="006364CE"/>
    <w:rsid w:val="00640F33"/>
    <w:rsid w:val="006426FB"/>
    <w:rsid w:val="00643047"/>
    <w:rsid w:val="006436B0"/>
    <w:rsid w:val="00643853"/>
    <w:rsid w:val="00645705"/>
    <w:rsid w:val="00647E05"/>
    <w:rsid w:val="00650DA2"/>
    <w:rsid w:val="00650FFA"/>
    <w:rsid w:val="00655365"/>
    <w:rsid w:val="00655D03"/>
    <w:rsid w:val="00656C0B"/>
    <w:rsid w:val="00660C6F"/>
    <w:rsid w:val="00661427"/>
    <w:rsid w:val="00664041"/>
    <w:rsid w:val="006657DE"/>
    <w:rsid w:val="00670C97"/>
    <w:rsid w:val="00673E14"/>
    <w:rsid w:val="0067418E"/>
    <w:rsid w:val="00674EF7"/>
    <w:rsid w:val="00683388"/>
    <w:rsid w:val="00683D33"/>
    <w:rsid w:val="00683F84"/>
    <w:rsid w:val="00690BC0"/>
    <w:rsid w:val="00691B4C"/>
    <w:rsid w:val="006A27EF"/>
    <w:rsid w:val="006A3D7A"/>
    <w:rsid w:val="006A3DE5"/>
    <w:rsid w:val="006A4BFD"/>
    <w:rsid w:val="006A63BF"/>
    <w:rsid w:val="006A6A81"/>
    <w:rsid w:val="006B3304"/>
    <w:rsid w:val="006B3DF0"/>
    <w:rsid w:val="006B4494"/>
    <w:rsid w:val="006B4CE0"/>
    <w:rsid w:val="006B5648"/>
    <w:rsid w:val="006B565C"/>
    <w:rsid w:val="006B5791"/>
    <w:rsid w:val="006B7C1A"/>
    <w:rsid w:val="006C06DA"/>
    <w:rsid w:val="006C211C"/>
    <w:rsid w:val="006C2C64"/>
    <w:rsid w:val="006C36A9"/>
    <w:rsid w:val="006C38A0"/>
    <w:rsid w:val="006C4159"/>
    <w:rsid w:val="006C45CB"/>
    <w:rsid w:val="006C5012"/>
    <w:rsid w:val="006C574B"/>
    <w:rsid w:val="006C5BF1"/>
    <w:rsid w:val="006D230E"/>
    <w:rsid w:val="006D26DE"/>
    <w:rsid w:val="006E0FFF"/>
    <w:rsid w:val="006E58BE"/>
    <w:rsid w:val="006E5E64"/>
    <w:rsid w:val="006F0CE6"/>
    <w:rsid w:val="006F0F0B"/>
    <w:rsid w:val="006F67BE"/>
    <w:rsid w:val="006F6EA9"/>
    <w:rsid w:val="006F7393"/>
    <w:rsid w:val="006F7F04"/>
    <w:rsid w:val="007008B0"/>
    <w:rsid w:val="0070224F"/>
    <w:rsid w:val="007032C2"/>
    <w:rsid w:val="007058B4"/>
    <w:rsid w:val="007105EA"/>
    <w:rsid w:val="00710CA0"/>
    <w:rsid w:val="00710E99"/>
    <w:rsid w:val="007115F7"/>
    <w:rsid w:val="00713294"/>
    <w:rsid w:val="00713386"/>
    <w:rsid w:val="0071347D"/>
    <w:rsid w:val="00717401"/>
    <w:rsid w:val="00724B59"/>
    <w:rsid w:val="0072639E"/>
    <w:rsid w:val="00730908"/>
    <w:rsid w:val="007319FB"/>
    <w:rsid w:val="00731F09"/>
    <w:rsid w:val="00733D0E"/>
    <w:rsid w:val="007366F4"/>
    <w:rsid w:val="00742289"/>
    <w:rsid w:val="00742810"/>
    <w:rsid w:val="00742892"/>
    <w:rsid w:val="00744096"/>
    <w:rsid w:val="00744BCB"/>
    <w:rsid w:val="00745BD2"/>
    <w:rsid w:val="00746483"/>
    <w:rsid w:val="00746B0D"/>
    <w:rsid w:val="00750133"/>
    <w:rsid w:val="0075115E"/>
    <w:rsid w:val="00760B74"/>
    <w:rsid w:val="007618DA"/>
    <w:rsid w:val="0076621E"/>
    <w:rsid w:val="00773AF7"/>
    <w:rsid w:val="00773EA6"/>
    <w:rsid w:val="00776376"/>
    <w:rsid w:val="007811EE"/>
    <w:rsid w:val="00781A10"/>
    <w:rsid w:val="00783096"/>
    <w:rsid w:val="007831D9"/>
    <w:rsid w:val="00783CB3"/>
    <w:rsid w:val="00783F1B"/>
    <w:rsid w:val="00784EC7"/>
    <w:rsid w:val="00785689"/>
    <w:rsid w:val="0078573B"/>
    <w:rsid w:val="00786556"/>
    <w:rsid w:val="00790A09"/>
    <w:rsid w:val="007919D8"/>
    <w:rsid w:val="007928AC"/>
    <w:rsid w:val="00794E6D"/>
    <w:rsid w:val="00795412"/>
    <w:rsid w:val="007962AD"/>
    <w:rsid w:val="00796852"/>
    <w:rsid w:val="007972EE"/>
    <w:rsid w:val="0079754B"/>
    <w:rsid w:val="00797C13"/>
    <w:rsid w:val="007A1788"/>
    <w:rsid w:val="007A1E6D"/>
    <w:rsid w:val="007A3ADF"/>
    <w:rsid w:val="007A4FD4"/>
    <w:rsid w:val="007A6271"/>
    <w:rsid w:val="007A7A99"/>
    <w:rsid w:val="007B0146"/>
    <w:rsid w:val="007B0EB2"/>
    <w:rsid w:val="007B2E5D"/>
    <w:rsid w:val="007B527D"/>
    <w:rsid w:val="007B75E6"/>
    <w:rsid w:val="007C0049"/>
    <w:rsid w:val="007C0EAB"/>
    <w:rsid w:val="007C2BE4"/>
    <w:rsid w:val="007C2C4B"/>
    <w:rsid w:val="007C33AF"/>
    <w:rsid w:val="007C3504"/>
    <w:rsid w:val="007C6EB5"/>
    <w:rsid w:val="007C7A4B"/>
    <w:rsid w:val="007D0232"/>
    <w:rsid w:val="007D1176"/>
    <w:rsid w:val="007D28F0"/>
    <w:rsid w:val="007D2C12"/>
    <w:rsid w:val="007D52C4"/>
    <w:rsid w:val="007D72E7"/>
    <w:rsid w:val="007E0660"/>
    <w:rsid w:val="007E088A"/>
    <w:rsid w:val="007E0B55"/>
    <w:rsid w:val="007E13ED"/>
    <w:rsid w:val="007E39F5"/>
    <w:rsid w:val="007E6CF4"/>
    <w:rsid w:val="007F0474"/>
    <w:rsid w:val="007F5038"/>
    <w:rsid w:val="00804592"/>
    <w:rsid w:val="00806C1D"/>
    <w:rsid w:val="00810B6F"/>
    <w:rsid w:val="00810DA7"/>
    <w:rsid w:val="00811DD7"/>
    <w:rsid w:val="00812FCA"/>
    <w:rsid w:val="008141E7"/>
    <w:rsid w:val="00821B0D"/>
    <w:rsid w:val="00822341"/>
    <w:rsid w:val="00822CE0"/>
    <w:rsid w:val="00823399"/>
    <w:rsid w:val="008234E1"/>
    <w:rsid w:val="00823762"/>
    <w:rsid w:val="00824F91"/>
    <w:rsid w:val="008255BA"/>
    <w:rsid w:val="00827F27"/>
    <w:rsid w:val="008313C0"/>
    <w:rsid w:val="00831848"/>
    <w:rsid w:val="00831D14"/>
    <w:rsid w:val="0083530D"/>
    <w:rsid w:val="008414D0"/>
    <w:rsid w:val="00841AB1"/>
    <w:rsid w:val="00844AA3"/>
    <w:rsid w:val="008475A3"/>
    <w:rsid w:val="008510DE"/>
    <w:rsid w:val="00851D6E"/>
    <w:rsid w:val="00852D88"/>
    <w:rsid w:val="00856B10"/>
    <w:rsid w:val="0085761C"/>
    <w:rsid w:val="00862DF7"/>
    <w:rsid w:val="00863D6D"/>
    <w:rsid w:val="00864984"/>
    <w:rsid w:val="0086578F"/>
    <w:rsid w:val="00866B38"/>
    <w:rsid w:val="00870D56"/>
    <w:rsid w:val="0087152B"/>
    <w:rsid w:val="008723F6"/>
    <w:rsid w:val="00875ED5"/>
    <w:rsid w:val="00877A1B"/>
    <w:rsid w:val="00882F5A"/>
    <w:rsid w:val="0088474A"/>
    <w:rsid w:val="00885C61"/>
    <w:rsid w:val="0088799B"/>
    <w:rsid w:val="00887E02"/>
    <w:rsid w:val="00891346"/>
    <w:rsid w:val="00892719"/>
    <w:rsid w:val="008A1F62"/>
    <w:rsid w:val="008A65C5"/>
    <w:rsid w:val="008B06E4"/>
    <w:rsid w:val="008B0E3D"/>
    <w:rsid w:val="008B2E5A"/>
    <w:rsid w:val="008B3BCA"/>
    <w:rsid w:val="008B6DEB"/>
    <w:rsid w:val="008B6F1D"/>
    <w:rsid w:val="008B7BAA"/>
    <w:rsid w:val="008C4D0D"/>
    <w:rsid w:val="008C4EB7"/>
    <w:rsid w:val="008C520F"/>
    <w:rsid w:val="008C68F1"/>
    <w:rsid w:val="008C6A51"/>
    <w:rsid w:val="008C75A5"/>
    <w:rsid w:val="008D3452"/>
    <w:rsid w:val="008D3AE8"/>
    <w:rsid w:val="008D419B"/>
    <w:rsid w:val="008D4E6F"/>
    <w:rsid w:val="008D572A"/>
    <w:rsid w:val="008E1044"/>
    <w:rsid w:val="008E1F39"/>
    <w:rsid w:val="008E2E22"/>
    <w:rsid w:val="008F1BD2"/>
    <w:rsid w:val="008F275F"/>
    <w:rsid w:val="008F39F8"/>
    <w:rsid w:val="008F3D4E"/>
    <w:rsid w:val="00900326"/>
    <w:rsid w:val="009011F5"/>
    <w:rsid w:val="00901949"/>
    <w:rsid w:val="00901C4D"/>
    <w:rsid w:val="00902467"/>
    <w:rsid w:val="009042A1"/>
    <w:rsid w:val="00906222"/>
    <w:rsid w:val="009065AA"/>
    <w:rsid w:val="0090716F"/>
    <w:rsid w:val="00907350"/>
    <w:rsid w:val="00910CC6"/>
    <w:rsid w:val="009116AE"/>
    <w:rsid w:val="00913A1C"/>
    <w:rsid w:val="00913BFB"/>
    <w:rsid w:val="00913FF9"/>
    <w:rsid w:val="00914473"/>
    <w:rsid w:val="00920996"/>
    <w:rsid w:val="009214F6"/>
    <w:rsid w:val="00921803"/>
    <w:rsid w:val="00921CFD"/>
    <w:rsid w:val="00921E59"/>
    <w:rsid w:val="00922238"/>
    <w:rsid w:val="00922C29"/>
    <w:rsid w:val="00926503"/>
    <w:rsid w:val="009270B7"/>
    <w:rsid w:val="00937020"/>
    <w:rsid w:val="0094213A"/>
    <w:rsid w:val="00942164"/>
    <w:rsid w:val="009446DC"/>
    <w:rsid w:val="00944765"/>
    <w:rsid w:val="0094561A"/>
    <w:rsid w:val="00950A5C"/>
    <w:rsid w:val="00952C51"/>
    <w:rsid w:val="009535AA"/>
    <w:rsid w:val="00954ACF"/>
    <w:rsid w:val="0095652A"/>
    <w:rsid w:val="00956768"/>
    <w:rsid w:val="00960050"/>
    <w:rsid w:val="00960825"/>
    <w:rsid w:val="00961AA6"/>
    <w:rsid w:val="00964557"/>
    <w:rsid w:val="00964736"/>
    <w:rsid w:val="00966EBB"/>
    <w:rsid w:val="00967C34"/>
    <w:rsid w:val="00970A59"/>
    <w:rsid w:val="00970C60"/>
    <w:rsid w:val="009722B8"/>
    <w:rsid w:val="009726D8"/>
    <w:rsid w:val="0097344F"/>
    <w:rsid w:val="00974DB6"/>
    <w:rsid w:val="0097536D"/>
    <w:rsid w:val="00975E6E"/>
    <w:rsid w:val="00976475"/>
    <w:rsid w:val="0097728A"/>
    <w:rsid w:val="0097792D"/>
    <w:rsid w:val="00977E28"/>
    <w:rsid w:val="009815AF"/>
    <w:rsid w:val="00983FB8"/>
    <w:rsid w:val="00985F82"/>
    <w:rsid w:val="0099013A"/>
    <w:rsid w:val="00991230"/>
    <w:rsid w:val="009917FE"/>
    <w:rsid w:val="009926BA"/>
    <w:rsid w:val="00992A12"/>
    <w:rsid w:val="00993B38"/>
    <w:rsid w:val="00993BDC"/>
    <w:rsid w:val="0099572E"/>
    <w:rsid w:val="009A1296"/>
    <w:rsid w:val="009A152C"/>
    <w:rsid w:val="009A2F77"/>
    <w:rsid w:val="009A37FB"/>
    <w:rsid w:val="009A3FDE"/>
    <w:rsid w:val="009A5C12"/>
    <w:rsid w:val="009B6483"/>
    <w:rsid w:val="009C1457"/>
    <w:rsid w:val="009C5562"/>
    <w:rsid w:val="009C55A7"/>
    <w:rsid w:val="009C57BB"/>
    <w:rsid w:val="009C6A41"/>
    <w:rsid w:val="009C7285"/>
    <w:rsid w:val="009D1EA3"/>
    <w:rsid w:val="009D2847"/>
    <w:rsid w:val="009D2E62"/>
    <w:rsid w:val="009D61FD"/>
    <w:rsid w:val="009D63B2"/>
    <w:rsid w:val="009E25BE"/>
    <w:rsid w:val="009E3339"/>
    <w:rsid w:val="009E4131"/>
    <w:rsid w:val="009E4EB2"/>
    <w:rsid w:val="009E5DB1"/>
    <w:rsid w:val="009E643E"/>
    <w:rsid w:val="009E7A6D"/>
    <w:rsid w:val="009F126E"/>
    <w:rsid w:val="009F174A"/>
    <w:rsid w:val="009F43F9"/>
    <w:rsid w:val="009F572D"/>
    <w:rsid w:val="009F76DB"/>
    <w:rsid w:val="009F7AC1"/>
    <w:rsid w:val="00A0109C"/>
    <w:rsid w:val="00A07D17"/>
    <w:rsid w:val="00A10824"/>
    <w:rsid w:val="00A1213D"/>
    <w:rsid w:val="00A12EF0"/>
    <w:rsid w:val="00A17B98"/>
    <w:rsid w:val="00A20EEE"/>
    <w:rsid w:val="00A22202"/>
    <w:rsid w:val="00A24925"/>
    <w:rsid w:val="00A32557"/>
    <w:rsid w:val="00A32C3B"/>
    <w:rsid w:val="00A331C9"/>
    <w:rsid w:val="00A33904"/>
    <w:rsid w:val="00A359CE"/>
    <w:rsid w:val="00A401F1"/>
    <w:rsid w:val="00A43CC3"/>
    <w:rsid w:val="00A45F4F"/>
    <w:rsid w:val="00A46004"/>
    <w:rsid w:val="00A47AA8"/>
    <w:rsid w:val="00A5183B"/>
    <w:rsid w:val="00A53B0B"/>
    <w:rsid w:val="00A5601D"/>
    <w:rsid w:val="00A56C58"/>
    <w:rsid w:val="00A57055"/>
    <w:rsid w:val="00A600A9"/>
    <w:rsid w:val="00A60E52"/>
    <w:rsid w:val="00A62078"/>
    <w:rsid w:val="00A62551"/>
    <w:rsid w:val="00A65BC8"/>
    <w:rsid w:val="00A67999"/>
    <w:rsid w:val="00A67CE4"/>
    <w:rsid w:val="00A70E04"/>
    <w:rsid w:val="00A73152"/>
    <w:rsid w:val="00A735AF"/>
    <w:rsid w:val="00A754C4"/>
    <w:rsid w:val="00A759D1"/>
    <w:rsid w:val="00A75A38"/>
    <w:rsid w:val="00A75BF6"/>
    <w:rsid w:val="00A778B7"/>
    <w:rsid w:val="00A81E38"/>
    <w:rsid w:val="00A8261B"/>
    <w:rsid w:val="00A82F54"/>
    <w:rsid w:val="00A83881"/>
    <w:rsid w:val="00A83DB3"/>
    <w:rsid w:val="00A852D1"/>
    <w:rsid w:val="00A93A42"/>
    <w:rsid w:val="00A95B10"/>
    <w:rsid w:val="00A96697"/>
    <w:rsid w:val="00A97E1E"/>
    <w:rsid w:val="00AA171A"/>
    <w:rsid w:val="00AA2862"/>
    <w:rsid w:val="00AA478A"/>
    <w:rsid w:val="00AA55B7"/>
    <w:rsid w:val="00AA5724"/>
    <w:rsid w:val="00AA5A1C"/>
    <w:rsid w:val="00AA5B9E"/>
    <w:rsid w:val="00AA68BB"/>
    <w:rsid w:val="00AA71C2"/>
    <w:rsid w:val="00AA733B"/>
    <w:rsid w:val="00AA78E8"/>
    <w:rsid w:val="00AB167F"/>
    <w:rsid w:val="00AB22D0"/>
    <w:rsid w:val="00AB2407"/>
    <w:rsid w:val="00AB4E79"/>
    <w:rsid w:val="00AB53DF"/>
    <w:rsid w:val="00AB5AF0"/>
    <w:rsid w:val="00AB6D03"/>
    <w:rsid w:val="00AC0F15"/>
    <w:rsid w:val="00AC19C1"/>
    <w:rsid w:val="00AC1AA8"/>
    <w:rsid w:val="00AC1EB5"/>
    <w:rsid w:val="00AC32C4"/>
    <w:rsid w:val="00AC36B7"/>
    <w:rsid w:val="00AC494E"/>
    <w:rsid w:val="00AC4C0C"/>
    <w:rsid w:val="00AC591E"/>
    <w:rsid w:val="00AD0B4D"/>
    <w:rsid w:val="00AD1B47"/>
    <w:rsid w:val="00AD1EDA"/>
    <w:rsid w:val="00AD44C1"/>
    <w:rsid w:val="00AD53FE"/>
    <w:rsid w:val="00AD5F07"/>
    <w:rsid w:val="00AD712C"/>
    <w:rsid w:val="00AD7B2D"/>
    <w:rsid w:val="00AE0055"/>
    <w:rsid w:val="00AE2245"/>
    <w:rsid w:val="00AE312D"/>
    <w:rsid w:val="00AF1405"/>
    <w:rsid w:val="00AF2747"/>
    <w:rsid w:val="00AF2EAE"/>
    <w:rsid w:val="00AF3BF5"/>
    <w:rsid w:val="00AF3D53"/>
    <w:rsid w:val="00AF70E3"/>
    <w:rsid w:val="00B010F2"/>
    <w:rsid w:val="00B012DF"/>
    <w:rsid w:val="00B033F7"/>
    <w:rsid w:val="00B051D7"/>
    <w:rsid w:val="00B06607"/>
    <w:rsid w:val="00B0741B"/>
    <w:rsid w:val="00B07E5C"/>
    <w:rsid w:val="00B1188F"/>
    <w:rsid w:val="00B1305D"/>
    <w:rsid w:val="00B132D1"/>
    <w:rsid w:val="00B14015"/>
    <w:rsid w:val="00B14D67"/>
    <w:rsid w:val="00B158AA"/>
    <w:rsid w:val="00B22E9F"/>
    <w:rsid w:val="00B22FC9"/>
    <w:rsid w:val="00B23BCE"/>
    <w:rsid w:val="00B256D6"/>
    <w:rsid w:val="00B25C81"/>
    <w:rsid w:val="00B26EF4"/>
    <w:rsid w:val="00B30932"/>
    <w:rsid w:val="00B31EAA"/>
    <w:rsid w:val="00B33047"/>
    <w:rsid w:val="00B41AE5"/>
    <w:rsid w:val="00B43B40"/>
    <w:rsid w:val="00B43BB8"/>
    <w:rsid w:val="00B45857"/>
    <w:rsid w:val="00B506DC"/>
    <w:rsid w:val="00B53812"/>
    <w:rsid w:val="00B54EF9"/>
    <w:rsid w:val="00B57DCA"/>
    <w:rsid w:val="00B6219B"/>
    <w:rsid w:val="00B62B9A"/>
    <w:rsid w:val="00B64604"/>
    <w:rsid w:val="00B66878"/>
    <w:rsid w:val="00B6691D"/>
    <w:rsid w:val="00B66E0C"/>
    <w:rsid w:val="00B66F62"/>
    <w:rsid w:val="00B735AE"/>
    <w:rsid w:val="00B74C85"/>
    <w:rsid w:val="00B74DB3"/>
    <w:rsid w:val="00B75246"/>
    <w:rsid w:val="00B765E3"/>
    <w:rsid w:val="00B76E5C"/>
    <w:rsid w:val="00B76FD0"/>
    <w:rsid w:val="00B811F7"/>
    <w:rsid w:val="00B828B6"/>
    <w:rsid w:val="00B8452F"/>
    <w:rsid w:val="00B84C19"/>
    <w:rsid w:val="00B85713"/>
    <w:rsid w:val="00B865FB"/>
    <w:rsid w:val="00B90C8F"/>
    <w:rsid w:val="00B92EF5"/>
    <w:rsid w:val="00B940CD"/>
    <w:rsid w:val="00B95742"/>
    <w:rsid w:val="00B961E5"/>
    <w:rsid w:val="00B9695B"/>
    <w:rsid w:val="00B974A0"/>
    <w:rsid w:val="00B97BB5"/>
    <w:rsid w:val="00BA0899"/>
    <w:rsid w:val="00BA44C5"/>
    <w:rsid w:val="00BA45AA"/>
    <w:rsid w:val="00BA4FBC"/>
    <w:rsid w:val="00BA5747"/>
    <w:rsid w:val="00BA5DC6"/>
    <w:rsid w:val="00BA6196"/>
    <w:rsid w:val="00BA69EC"/>
    <w:rsid w:val="00BA6C30"/>
    <w:rsid w:val="00BB19C5"/>
    <w:rsid w:val="00BB229F"/>
    <w:rsid w:val="00BB292E"/>
    <w:rsid w:val="00BB3CA0"/>
    <w:rsid w:val="00BB43F4"/>
    <w:rsid w:val="00BB5A14"/>
    <w:rsid w:val="00BB7E77"/>
    <w:rsid w:val="00BC1F30"/>
    <w:rsid w:val="00BC39AF"/>
    <w:rsid w:val="00BC457D"/>
    <w:rsid w:val="00BC46A9"/>
    <w:rsid w:val="00BC5478"/>
    <w:rsid w:val="00BC6D8C"/>
    <w:rsid w:val="00BD11E1"/>
    <w:rsid w:val="00BD31F8"/>
    <w:rsid w:val="00BD394D"/>
    <w:rsid w:val="00BD7DC4"/>
    <w:rsid w:val="00BE0FC9"/>
    <w:rsid w:val="00BE1AB1"/>
    <w:rsid w:val="00BE63B7"/>
    <w:rsid w:val="00BE7ADD"/>
    <w:rsid w:val="00BF280E"/>
    <w:rsid w:val="00BF38B2"/>
    <w:rsid w:val="00C00E24"/>
    <w:rsid w:val="00C01426"/>
    <w:rsid w:val="00C073CE"/>
    <w:rsid w:val="00C07B76"/>
    <w:rsid w:val="00C10EE8"/>
    <w:rsid w:val="00C13985"/>
    <w:rsid w:val="00C160C3"/>
    <w:rsid w:val="00C16A43"/>
    <w:rsid w:val="00C20FEA"/>
    <w:rsid w:val="00C2145D"/>
    <w:rsid w:val="00C27264"/>
    <w:rsid w:val="00C300A9"/>
    <w:rsid w:val="00C32815"/>
    <w:rsid w:val="00C32B2A"/>
    <w:rsid w:val="00C34006"/>
    <w:rsid w:val="00C359E3"/>
    <w:rsid w:val="00C40508"/>
    <w:rsid w:val="00C426B1"/>
    <w:rsid w:val="00C449DE"/>
    <w:rsid w:val="00C44ED0"/>
    <w:rsid w:val="00C450FC"/>
    <w:rsid w:val="00C526B8"/>
    <w:rsid w:val="00C53EC4"/>
    <w:rsid w:val="00C54858"/>
    <w:rsid w:val="00C54991"/>
    <w:rsid w:val="00C60CE6"/>
    <w:rsid w:val="00C64458"/>
    <w:rsid w:val="00C6451D"/>
    <w:rsid w:val="00C66160"/>
    <w:rsid w:val="00C662FD"/>
    <w:rsid w:val="00C67B42"/>
    <w:rsid w:val="00C70E5C"/>
    <w:rsid w:val="00C721AC"/>
    <w:rsid w:val="00C74307"/>
    <w:rsid w:val="00C83799"/>
    <w:rsid w:val="00C837D7"/>
    <w:rsid w:val="00C878A0"/>
    <w:rsid w:val="00C90D6A"/>
    <w:rsid w:val="00C92700"/>
    <w:rsid w:val="00C92BD9"/>
    <w:rsid w:val="00CA247E"/>
    <w:rsid w:val="00CA2638"/>
    <w:rsid w:val="00CA3438"/>
    <w:rsid w:val="00CA6119"/>
    <w:rsid w:val="00CA784E"/>
    <w:rsid w:val="00CB11C3"/>
    <w:rsid w:val="00CB305F"/>
    <w:rsid w:val="00CB3AE4"/>
    <w:rsid w:val="00CB7D9F"/>
    <w:rsid w:val="00CC2DCF"/>
    <w:rsid w:val="00CC3E5D"/>
    <w:rsid w:val="00CC6E29"/>
    <w:rsid w:val="00CC72B6"/>
    <w:rsid w:val="00CD0856"/>
    <w:rsid w:val="00CD2A13"/>
    <w:rsid w:val="00CD3A03"/>
    <w:rsid w:val="00CD7254"/>
    <w:rsid w:val="00CE7FE6"/>
    <w:rsid w:val="00CF1E48"/>
    <w:rsid w:val="00CF1FDC"/>
    <w:rsid w:val="00CF71DB"/>
    <w:rsid w:val="00CF7424"/>
    <w:rsid w:val="00CF7725"/>
    <w:rsid w:val="00D0218D"/>
    <w:rsid w:val="00D06095"/>
    <w:rsid w:val="00D104E0"/>
    <w:rsid w:val="00D1085B"/>
    <w:rsid w:val="00D10A2E"/>
    <w:rsid w:val="00D12DE1"/>
    <w:rsid w:val="00D131E9"/>
    <w:rsid w:val="00D15B17"/>
    <w:rsid w:val="00D166CC"/>
    <w:rsid w:val="00D1676E"/>
    <w:rsid w:val="00D171A9"/>
    <w:rsid w:val="00D17373"/>
    <w:rsid w:val="00D203EA"/>
    <w:rsid w:val="00D20949"/>
    <w:rsid w:val="00D24BD2"/>
    <w:rsid w:val="00D24D5A"/>
    <w:rsid w:val="00D258A4"/>
    <w:rsid w:val="00D25FB5"/>
    <w:rsid w:val="00D2665B"/>
    <w:rsid w:val="00D26F73"/>
    <w:rsid w:val="00D30AB9"/>
    <w:rsid w:val="00D31843"/>
    <w:rsid w:val="00D324F4"/>
    <w:rsid w:val="00D32F28"/>
    <w:rsid w:val="00D34562"/>
    <w:rsid w:val="00D35428"/>
    <w:rsid w:val="00D414EE"/>
    <w:rsid w:val="00D43D3B"/>
    <w:rsid w:val="00D44223"/>
    <w:rsid w:val="00D452D7"/>
    <w:rsid w:val="00D4625D"/>
    <w:rsid w:val="00D50402"/>
    <w:rsid w:val="00D528B9"/>
    <w:rsid w:val="00D6037D"/>
    <w:rsid w:val="00D60A3A"/>
    <w:rsid w:val="00D63BEE"/>
    <w:rsid w:val="00D64494"/>
    <w:rsid w:val="00D6454B"/>
    <w:rsid w:val="00D67C38"/>
    <w:rsid w:val="00D67F5A"/>
    <w:rsid w:val="00D70073"/>
    <w:rsid w:val="00D734FC"/>
    <w:rsid w:val="00D74B65"/>
    <w:rsid w:val="00D77830"/>
    <w:rsid w:val="00D80A2F"/>
    <w:rsid w:val="00D814F7"/>
    <w:rsid w:val="00D81AC1"/>
    <w:rsid w:val="00D821D4"/>
    <w:rsid w:val="00D8273D"/>
    <w:rsid w:val="00D82AB8"/>
    <w:rsid w:val="00D86D94"/>
    <w:rsid w:val="00D86DA3"/>
    <w:rsid w:val="00D87C11"/>
    <w:rsid w:val="00D908EA"/>
    <w:rsid w:val="00D912B1"/>
    <w:rsid w:val="00D913ED"/>
    <w:rsid w:val="00D91462"/>
    <w:rsid w:val="00D92E5F"/>
    <w:rsid w:val="00D94F55"/>
    <w:rsid w:val="00D9684E"/>
    <w:rsid w:val="00DA0A0A"/>
    <w:rsid w:val="00DA148A"/>
    <w:rsid w:val="00DA1FD2"/>
    <w:rsid w:val="00DA2529"/>
    <w:rsid w:val="00DA60A2"/>
    <w:rsid w:val="00DA7F23"/>
    <w:rsid w:val="00DB130A"/>
    <w:rsid w:val="00DB137F"/>
    <w:rsid w:val="00DB171C"/>
    <w:rsid w:val="00DB2CB1"/>
    <w:rsid w:val="00DB2EBB"/>
    <w:rsid w:val="00DB4201"/>
    <w:rsid w:val="00DB5199"/>
    <w:rsid w:val="00DB7112"/>
    <w:rsid w:val="00DC0271"/>
    <w:rsid w:val="00DC10A1"/>
    <w:rsid w:val="00DC1273"/>
    <w:rsid w:val="00DC655F"/>
    <w:rsid w:val="00DC6AC0"/>
    <w:rsid w:val="00DC6B8A"/>
    <w:rsid w:val="00DC7402"/>
    <w:rsid w:val="00DD00A6"/>
    <w:rsid w:val="00DD0B59"/>
    <w:rsid w:val="00DD1D91"/>
    <w:rsid w:val="00DD22CC"/>
    <w:rsid w:val="00DD585B"/>
    <w:rsid w:val="00DD6DE4"/>
    <w:rsid w:val="00DD7EBD"/>
    <w:rsid w:val="00DE2E14"/>
    <w:rsid w:val="00DE30E9"/>
    <w:rsid w:val="00DE3905"/>
    <w:rsid w:val="00DE3E82"/>
    <w:rsid w:val="00DE7D2C"/>
    <w:rsid w:val="00DF0035"/>
    <w:rsid w:val="00DF1A28"/>
    <w:rsid w:val="00DF24E1"/>
    <w:rsid w:val="00DF3510"/>
    <w:rsid w:val="00DF3623"/>
    <w:rsid w:val="00DF6077"/>
    <w:rsid w:val="00DF62B6"/>
    <w:rsid w:val="00DF7568"/>
    <w:rsid w:val="00E00103"/>
    <w:rsid w:val="00E02BB6"/>
    <w:rsid w:val="00E02EC0"/>
    <w:rsid w:val="00E031AB"/>
    <w:rsid w:val="00E04275"/>
    <w:rsid w:val="00E04F16"/>
    <w:rsid w:val="00E07225"/>
    <w:rsid w:val="00E072CD"/>
    <w:rsid w:val="00E1405D"/>
    <w:rsid w:val="00E146A2"/>
    <w:rsid w:val="00E14C2A"/>
    <w:rsid w:val="00E22F5D"/>
    <w:rsid w:val="00E23C15"/>
    <w:rsid w:val="00E23F21"/>
    <w:rsid w:val="00E25AE8"/>
    <w:rsid w:val="00E3128E"/>
    <w:rsid w:val="00E31384"/>
    <w:rsid w:val="00E35DF4"/>
    <w:rsid w:val="00E43687"/>
    <w:rsid w:val="00E461B7"/>
    <w:rsid w:val="00E4682B"/>
    <w:rsid w:val="00E502EB"/>
    <w:rsid w:val="00E50504"/>
    <w:rsid w:val="00E5141D"/>
    <w:rsid w:val="00E51610"/>
    <w:rsid w:val="00E51F2E"/>
    <w:rsid w:val="00E52DEA"/>
    <w:rsid w:val="00E5409F"/>
    <w:rsid w:val="00E546F6"/>
    <w:rsid w:val="00E54AED"/>
    <w:rsid w:val="00E56208"/>
    <w:rsid w:val="00E61B44"/>
    <w:rsid w:val="00E663DA"/>
    <w:rsid w:val="00E671E0"/>
    <w:rsid w:val="00E67EA6"/>
    <w:rsid w:val="00E74218"/>
    <w:rsid w:val="00E74F23"/>
    <w:rsid w:val="00E75DC0"/>
    <w:rsid w:val="00E77657"/>
    <w:rsid w:val="00E82667"/>
    <w:rsid w:val="00E83E76"/>
    <w:rsid w:val="00E84A65"/>
    <w:rsid w:val="00E91904"/>
    <w:rsid w:val="00E933C5"/>
    <w:rsid w:val="00E93446"/>
    <w:rsid w:val="00E970B0"/>
    <w:rsid w:val="00EA103D"/>
    <w:rsid w:val="00EA1961"/>
    <w:rsid w:val="00EA30D2"/>
    <w:rsid w:val="00EA4F2D"/>
    <w:rsid w:val="00EA572E"/>
    <w:rsid w:val="00EA706F"/>
    <w:rsid w:val="00EB1861"/>
    <w:rsid w:val="00EB7792"/>
    <w:rsid w:val="00EB7BBF"/>
    <w:rsid w:val="00EC01B7"/>
    <w:rsid w:val="00EC1BEE"/>
    <w:rsid w:val="00ED0684"/>
    <w:rsid w:val="00ED122A"/>
    <w:rsid w:val="00ED19B3"/>
    <w:rsid w:val="00ED19BF"/>
    <w:rsid w:val="00ED3658"/>
    <w:rsid w:val="00ED377A"/>
    <w:rsid w:val="00ED3A5D"/>
    <w:rsid w:val="00ED406E"/>
    <w:rsid w:val="00ED4684"/>
    <w:rsid w:val="00ED6066"/>
    <w:rsid w:val="00ED6DE4"/>
    <w:rsid w:val="00ED717E"/>
    <w:rsid w:val="00EE048C"/>
    <w:rsid w:val="00EE0EE9"/>
    <w:rsid w:val="00EE10E4"/>
    <w:rsid w:val="00EE15A9"/>
    <w:rsid w:val="00EE2A2E"/>
    <w:rsid w:val="00EE34AE"/>
    <w:rsid w:val="00EE6488"/>
    <w:rsid w:val="00EE7716"/>
    <w:rsid w:val="00EF0DE3"/>
    <w:rsid w:val="00EF1CB4"/>
    <w:rsid w:val="00EF5426"/>
    <w:rsid w:val="00EF5C49"/>
    <w:rsid w:val="00F00702"/>
    <w:rsid w:val="00F021FA"/>
    <w:rsid w:val="00F028D2"/>
    <w:rsid w:val="00F03699"/>
    <w:rsid w:val="00F03704"/>
    <w:rsid w:val="00F04EFD"/>
    <w:rsid w:val="00F06C0F"/>
    <w:rsid w:val="00F06ED1"/>
    <w:rsid w:val="00F0773E"/>
    <w:rsid w:val="00F1071B"/>
    <w:rsid w:val="00F11CBD"/>
    <w:rsid w:val="00F13862"/>
    <w:rsid w:val="00F13AFF"/>
    <w:rsid w:val="00F13B8D"/>
    <w:rsid w:val="00F1411C"/>
    <w:rsid w:val="00F14402"/>
    <w:rsid w:val="00F14FB3"/>
    <w:rsid w:val="00F203B2"/>
    <w:rsid w:val="00F20704"/>
    <w:rsid w:val="00F21C82"/>
    <w:rsid w:val="00F23D34"/>
    <w:rsid w:val="00F27691"/>
    <w:rsid w:val="00F27F05"/>
    <w:rsid w:val="00F30430"/>
    <w:rsid w:val="00F30DFC"/>
    <w:rsid w:val="00F338B0"/>
    <w:rsid w:val="00F33DD2"/>
    <w:rsid w:val="00F34ECA"/>
    <w:rsid w:val="00F35A15"/>
    <w:rsid w:val="00F36ECA"/>
    <w:rsid w:val="00F414B5"/>
    <w:rsid w:val="00F42D3F"/>
    <w:rsid w:val="00F43150"/>
    <w:rsid w:val="00F5022C"/>
    <w:rsid w:val="00F521D5"/>
    <w:rsid w:val="00F525DF"/>
    <w:rsid w:val="00F5471B"/>
    <w:rsid w:val="00F54A90"/>
    <w:rsid w:val="00F56F1B"/>
    <w:rsid w:val="00F570F5"/>
    <w:rsid w:val="00F57EF7"/>
    <w:rsid w:val="00F60791"/>
    <w:rsid w:val="00F60AF2"/>
    <w:rsid w:val="00F62216"/>
    <w:rsid w:val="00F62E97"/>
    <w:rsid w:val="00F62F88"/>
    <w:rsid w:val="00F64209"/>
    <w:rsid w:val="00F70A75"/>
    <w:rsid w:val="00F72A50"/>
    <w:rsid w:val="00F72C2D"/>
    <w:rsid w:val="00F73B94"/>
    <w:rsid w:val="00F75044"/>
    <w:rsid w:val="00F75A4A"/>
    <w:rsid w:val="00F76C83"/>
    <w:rsid w:val="00F77ABC"/>
    <w:rsid w:val="00F803B1"/>
    <w:rsid w:val="00F8116C"/>
    <w:rsid w:val="00F8427D"/>
    <w:rsid w:val="00F901FE"/>
    <w:rsid w:val="00F91D28"/>
    <w:rsid w:val="00F92EE1"/>
    <w:rsid w:val="00F9337E"/>
    <w:rsid w:val="00F93BF5"/>
    <w:rsid w:val="00F94B6E"/>
    <w:rsid w:val="00F94CC1"/>
    <w:rsid w:val="00F96AA1"/>
    <w:rsid w:val="00F97215"/>
    <w:rsid w:val="00FA1622"/>
    <w:rsid w:val="00FA309A"/>
    <w:rsid w:val="00FA55B0"/>
    <w:rsid w:val="00FA585A"/>
    <w:rsid w:val="00FA5B6D"/>
    <w:rsid w:val="00FA6F21"/>
    <w:rsid w:val="00FB01E0"/>
    <w:rsid w:val="00FB203D"/>
    <w:rsid w:val="00FB2126"/>
    <w:rsid w:val="00FB2677"/>
    <w:rsid w:val="00FB4496"/>
    <w:rsid w:val="00FB5C83"/>
    <w:rsid w:val="00FC0C34"/>
    <w:rsid w:val="00FC16EA"/>
    <w:rsid w:val="00FC23E5"/>
    <w:rsid w:val="00FC2F00"/>
    <w:rsid w:val="00FC70AB"/>
    <w:rsid w:val="00FD42E1"/>
    <w:rsid w:val="00FD519C"/>
    <w:rsid w:val="00FD5BAE"/>
    <w:rsid w:val="00FD7748"/>
    <w:rsid w:val="00FE1B5D"/>
    <w:rsid w:val="00FE2C29"/>
    <w:rsid w:val="00FE3664"/>
    <w:rsid w:val="00FE39BA"/>
    <w:rsid w:val="00FE4797"/>
    <w:rsid w:val="00FE4D27"/>
    <w:rsid w:val="00FE511A"/>
    <w:rsid w:val="00FF11C4"/>
    <w:rsid w:val="00FF28E9"/>
    <w:rsid w:val="00FF3483"/>
    <w:rsid w:val="00FF4402"/>
    <w:rsid w:val="00FF48BA"/>
    <w:rsid w:val="00FF6416"/>
    <w:rsid w:val="00FF7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22B8"/>
    <w:pPr>
      <w:widowControl w:val="0"/>
    </w:pPr>
    <w:rPr>
      <w:snapToGrid w:val="0"/>
      <w:kern w:val="28"/>
      <w:sz w:val="22"/>
    </w:rPr>
  </w:style>
  <w:style w:type="paragraph" w:styleId="Heading1">
    <w:name w:val="heading 1"/>
    <w:basedOn w:val="Normal"/>
    <w:next w:val="ParaNum"/>
    <w:link w:val="Heading1Char"/>
    <w:qFormat/>
    <w:rsid w:val="002A22B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eading 2 Char1 Char Char,Heading 2 Char Char Char Char,Heading 2 Char1,Heading 2 Char1 Char Char1,Heading 2 Char1 Char Char Char Char1 Char,Heading 2 Char Char Char Char Char Char1 Char,Heading 2 Char1 Char Char1 Char Char"/>
    <w:basedOn w:val="Normal"/>
    <w:next w:val="ParaNum"/>
    <w:link w:val="Heading2Char2"/>
    <w:autoRedefine/>
    <w:qFormat/>
    <w:rsid w:val="002A22B8"/>
    <w:pPr>
      <w:keepNext/>
      <w:numPr>
        <w:ilvl w:val="1"/>
        <w:numId w:val="3"/>
      </w:numPr>
      <w:spacing w:after="120"/>
      <w:outlineLvl w:val="1"/>
    </w:pPr>
    <w:rPr>
      <w:b/>
    </w:rPr>
  </w:style>
  <w:style w:type="paragraph" w:styleId="Heading3">
    <w:name w:val="heading 3"/>
    <w:basedOn w:val="Normal"/>
    <w:next w:val="ParaNum"/>
    <w:link w:val="Heading3Char"/>
    <w:qFormat/>
    <w:rsid w:val="002A22B8"/>
    <w:pPr>
      <w:keepNext/>
      <w:numPr>
        <w:ilvl w:val="2"/>
        <w:numId w:val="3"/>
      </w:numPr>
      <w:tabs>
        <w:tab w:val="left" w:pos="2160"/>
      </w:tabs>
      <w:spacing w:after="120"/>
      <w:outlineLvl w:val="2"/>
    </w:pPr>
    <w:rPr>
      <w:b/>
    </w:rPr>
  </w:style>
  <w:style w:type="paragraph" w:styleId="Heading4">
    <w:name w:val="heading 4"/>
    <w:basedOn w:val="Normal"/>
    <w:next w:val="ParaNum"/>
    <w:qFormat/>
    <w:rsid w:val="002A22B8"/>
    <w:pPr>
      <w:keepNext/>
      <w:numPr>
        <w:ilvl w:val="3"/>
        <w:numId w:val="3"/>
      </w:numPr>
      <w:tabs>
        <w:tab w:val="left" w:pos="2880"/>
      </w:tabs>
      <w:spacing w:after="120"/>
      <w:outlineLvl w:val="3"/>
    </w:pPr>
    <w:rPr>
      <w:b/>
    </w:rPr>
  </w:style>
  <w:style w:type="paragraph" w:styleId="Heading5">
    <w:name w:val="heading 5"/>
    <w:basedOn w:val="Normal"/>
    <w:next w:val="ParaNum"/>
    <w:qFormat/>
    <w:rsid w:val="002A22B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2A22B8"/>
    <w:pPr>
      <w:numPr>
        <w:ilvl w:val="5"/>
        <w:numId w:val="3"/>
      </w:numPr>
      <w:tabs>
        <w:tab w:val="left" w:pos="4320"/>
      </w:tabs>
      <w:spacing w:after="120"/>
      <w:outlineLvl w:val="5"/>
    </w:pPr>
    <w:rPr>
      <w:b/>
    </w:rPr>
  </w:style>
  <w:style w:type="paragraph" w:styleId="Heading7">
    <w:name w:val="heading 7"/>
    <w:basedOn w:val="Normal"/>
    <w:next w:val="ParaNum"/>
    <w:qFormat/>
    <w:rsid w:val="002A22B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A22B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2A22B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A22B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A22B8"/>
  </w:style>
  <w:style w:type="paragraph" w:customStyle="1" w:styleId="ParaNum">
    <w:name w:val="ParaNum"/>
    <w:basedOn w:val="Normal"/>
    <w:link w:val="ParaNumChar1"/>
    <w:rsid w:val="002A22B8"/>
    <w:pPr>
      <w:numPr>
        <w:numId w:val="2"/>
      </w:numPr>
      <w:tabs>
        <w:tab w:val="clear" w:pos="1080"/>
        <w:tab w:val="num" w:pos="1440"/>
      </w:tabs>
      <w:spacing w:after="120"/>
    </w:pPr>
  </w:style>
  <w:style w:type="paragraph" w:styleId="EndnoteText">
    <w:name w:val="endnote text"/>
    <w:basedOn w:val="Normal"/>
    <w:link w:val="EndnoteTextChar"/>
    <w:semiHidden/>
    <w:rsid w:val="002A22B8"/>
    <w:rPr>
      <w:sz w:val="20"/>
    </w:rPr>
  </w:style>
  <w:style w:type="character" w:styleId="EndnoteReference">
    <w:name w:val="endnote reference"/>
    <w:semiHidden/>
    <w:rsid w:val="002A22B8"/>
    <w:rPr>
      <w:vertAlign w:val="superscript"/>
    </w:rPr>
  </w:style>
  <w:style w:type="paragraph" w:styleId="FootnoteText">
    <w:name w:val="footnote text"/>
    <w:aliases w:val="Footnote Text Char2,Footnote Text Char Char,Footnote Text Char1 Char Char1,Footnote Text Char Char1 Char Char,Footnote Text Char3 Char Char Char Char,Footnote Text Char Char Char1 Char Char Char,rrfootnote,ALTS FOOTNOTE,fn,Footnote Text Ch"/>
    <w:link w:val="FootnoteTextChar"/>
    <w:rsid w:val="002A22B8"/>
    <w:pPr>
      <w:spacing w:after="120"/>
    </w:pPr>
  </w:style>
  <w:style w:type="character" w:styleId="FootnoteReference">
    <w:name w:val="footnote reference"/>
    <w:aliases w:val="Style 12,(NECG) Footnote Reference,Appel note de bas de p,Style 124,Style 4,Style 13,o,fr,Style 3,FR,Style 17,Footnote Reference/,Style 6"/>
    <w:rsid w:val="002A22B8"/>
    <w:rPr>
      <w:rFonts w:ascii="Times New Roman" w:hAnsi="Times New Roman"/>
      <w:dstrike w:val="0"/>
      <w:color w:val="auto"/>
      <w:sz w:val="20"/>
      <w:vertAlign w:val="superscript"/>
    </w:rPr>
  </w:style>
  <w:style w:type="paragraph" w:styleId="TOC1">
    <w:name w:val="toc 1"/>
    <w:basedOn w:val="Normal"/>
    <w:next w:val="Normal"/>
    <w:rsid w:val="002A22B8"/>
    <w:pPr>
      <w:tabs>
        <w:tab w:val="left" w:pos="360"/>
        <w:tab w:val="right" w:leader="dot" w:pos="9360"/>
      </w:tabs>
      <w:suppressAutoHyphens/>
      <w:ind w:left="360" w:right="720" w:hanging="360"/>
    </w:pPr>
    <w:rPr>
      <w:caps/>
      <w:noProof/>
    </w:rPr>
  </w:style>
  <w:style w:type="paragraph" w:styleId="TOC2">
    <w:name w:val="toc 2"/>
    <w:basedOn w:val="Normal"/>
    <w:next w:val="Normal"/>
    <w:rsid w:val="002A22B8"/>
    <w:pPr>
      <w:tabs>
        <w:tab w:val="left" w:pos="720"/>
        <w:tab w:val="right" w:leader="dot" w:pos="9360"/>
      </w:tabs>
      <w:suppressAutoHyphens/>
      <w:ind w:left="720" w:right="720" w:hanging="360"/>
    </w:pPr>
    <w:rPr>
      <w:noProof/>
    </w:rPr>
  </w:style>
  <w:style w:type="paragraph" w:styleId="TOC3">
    <w:name w:val="toc 3"/>
    <w:basedOn w:val="Normal"/>
    <w:next w:val="Normal"/>
    <w:rsid w:val="002A22B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A22B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A22B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A22B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A22B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A22B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A22B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A22B8"/>
    <w:pPr>
      <w:tabs>
        <w:tab w:val="right" w:pos="9360"/>
      </w:tabs>
      <w:suppressAutoHyphens/>
    </w:pPr>
  </w:style>
  <w:style w:type="character" w:customStyle="1" w:styleId="EquationCaption">
    <w:name w:val="_Equation Caption"/>
    <w:rsid w:val="002A22B8"/>
  </w:style>
  <w:style w:type="paragraph" w:styleId="Header">
    <w:name w:val="header"/>
    <w:basedOn w:val="Normal"/>
    <w:link w:val="HeaderChar"/>
    <w:autoRedefine/>
    <w:rsid w:val="002A22B8"/>
    <w:pPr>
      <w:tabs>
        <w:tab w:val="center" w:pos="4680"/>
        <w:tab w:val="right" w:pos="9360"/>
      </w:tabs>
    </w:pPr>
    <w:rPr>
      <w:b/>
    </w:rPr>
  </w:style>
  <w:style w:type="paragraph" w:styleId="Footer">
    <w:name w:val="footer"/>
    <w:basedOn w:val="Normal"/>
    <w:link w:val="FooterChar"/>
    <w:rsid w:val="002A22B8"/>
    <w:pPr>
      <w:tabs>
        <w:tab w:val="center" w:pos="4320"/>
        <w:tab w:val="right" w:pos="8640"/>
      </w:tabs>
    </w:pPr>
  </w:style>
  <w:style w:type="character" w:styleId="PageNumber">
    <w:name w:val="page number"/>
    <w:basedOn w:val="DefaultParagraphFont"/>
    <w:rsid w:val="002A22B8"/>
  </w:style>
  <w:style w:type="paragraph" w:styleId="BlockText">
    <w:name w:val="Block Text"/>
    <w:basedOn w:val="Normal"/>
    <w:rsid w:val="002A22B8"/>
    <w:pPr>
      <w:spacing w:after="240"/>
      <w:ind w:left="1440" w:right="1440"/>
    </w:pPr>
  </w:style>
  <w:style w:type="paragraph" w:customStyle="1" w:styleId="Paratitle">
    <w:name w:val="Para title"/>
    <w:basedOn w:val="Normal"/>
    <w:rsid w:val="002A22B8"/>
    <w:pPr>
      <w:tabs>
        <w:tab w:val="center" w:pos="9270"/>
      </w:tabs>
      <w:spacing w:after="240"/>
    </w:pPr>
    <w:rPr>
      <w:spacing w:val="-2"/>
    </w:rPr>
  </w:style>
  <w:style w:type="paragraph" w:customStyle="1" w:styleId="Bullet">
    <w:name w:val="Bullet"/>
    <w:basedOn w:val="Normal"/>
    <w:rsid w:val="002A22B8"/>
    <w:pPr>
      <w:tabs>
        <w:tab w:val="left" w:pos="2160"/>
      </w:tabs>
      <w:spacing w:after="220"/>
      <w:ind w:left="2160" w:hanging="720"/>
    </w:pPr>
  </w:style>
  <w:style w:type="paragraph" w:customStyle="1" w:styleId="TableFormat">
    <w:name w:val="TableFormat"/>
    <w:basedOn w:val="Bullet"/>
    <w:rsid w:val="002A22B8"/>
    <w:pPr>
      <w:tabs>
        <w:tab w:val="clear" w:pos="2160"/>
        <w:tab w:val="left" w:pos="5040"/>
      </w:tabs>
      <w:ind w:left="5040" w:hanging="3600"/>
    </w:pPr>
  </w:style>
  <w:style w:type="paragraph" w:customStyle="1" w:styleId="TOCTitle">
    <w:name w:val="TOC Title"/>
    <w:basedOn w:val="Normal"/>
    <w:rsid w:val="002A22B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A22B8"/>
    <w:pPr>
      <w:jc w:val="center"/>
    </w:pPr>
    <w:rPr>
      <w:rFonts w:ascii="Times New Roman Bold" w:hAnsi="Times New Roman Bold"/>
      <w:b/>
      <w:bCs/>
      <w:caps/>
      <w:szCs w:val="22"/>
    </w:rPr>
  </w:style>
  <w:style w:type="character" w:styleId="Hyperlink">
    <w:name w:val="Hyperlink"/>
    <w:rsid w:val="002A22B8"/>
    <w:rPr>
      <w:color w:val="0000FF"/>
      <w:u w:val="single"/>
    </w:rPr>
  </w:style>
  <w:style w:type="character" w:customStyle="1" w:styleId="FootnoteTextChar">
    <w:name w:val="Footnote Text Char"/>
    <w:aliases w:val="Footnote Text Char2 Char,Footnote Text Char Char Char,Footnote Text Char1 Char Char1 Char,Footnote Text Char Char1 Char Char Char,Footnote Text Char3 Char Char Char Char Char,Footnote Text Char Char Char1 Char Char Char Char,fn Char"/>
    <w:link w:val="FootnoteText"/>
    <w:rsid w:val="00061880"/>
  </w:style>
  <w:style w:type="character" w:customStyle="1" w:styleId="ParaNumChar1">
    <w:name w:val="ParaNum Char1"/>
    <w:link w:val="ParaNum"/>
    <w:locked/>
    <w:rsid w:val="00061880"/>
    <w:rPr>
      <w:snapToGrid w:val="0"/>
      <w:kern w:val="28"/>
      <w:sz w:val="22"/>
    </w:rPr>
  </w:style>
  <w:style w:type="character" w:customStyle="1" w:styleId="Heading1Char">
    <w:name w:val="Heading 1 Char"/>
    <w:link w:val="Heading1"/>
    <w:rsid w:val="00061880"/>
    <w:rPr>
      <w:rFonts w:ascii="Times New Roman Bold" w:hAnsi="Times New Roman Bold"/>
      <w:b/>
      <w:caps/>
      <w:snapToGrid w:val="0"/>
      <w:kern w:val="28"/>
      <w:sz w:val="22"/>
    </w:rPr>
  </w:style>
  <w:style w:type="character" w:customStyle="1" w:styleId="documentbody">
    <w:name w:val="documentbody"/>
    <w:rsid w:val="00061880"/>
  </w:style>
  <w:style w:type="character" w:customStyle="1" w:styleId="Heading3Char">
    <w:name w:val="Heading 3 Char"/>
    <w:link w:val="Heading3"/>
    <w:rsid w:val="00E74218"/>
    <w:rPr>
      <w:b/>
      <w:snapToGrid w:val="0"/>
      <w:kern w:val="28"/>
      <w:sz w:val="22"/>
    </w:rPr>
  </w:style>
  <w:style w:type="character" w:customStyle="1" w:styleId="searchterm">
    <w:name w:val="searchterm"/>
    <w:rsid w:val="007E6CF4"/>
  </w:style>
  <w:style w:type="character" w:customStyle="1" w:styleId="Heading2Char2">
    <w:name w:val="Heading 2 Char2"/>
    <w:aliases w:val="Heading 2 Char Char,Heading 2 Char1 Char Char Char,Heading 2 Char Char Char Char Char,Heading 2 Char1 Char,Heading 2 Char1 Char Char1 Char,Heading 2 Char1 Char Char Char Char1 Char Char,Heading 2 Char Char Char Char Char Char1 Char Char"/>
    <w:basedOn w:val="DefaultParagraphFont"/>
    <w:link w:val="Heading2"/>
    <w:rsid w:val="007E6CF4"/>
    <w:rPr>
      <w:b/>
      <w:snapToGrid w:val="0"/>
      <w:kern w:val="28"/>
      <w:sz w:val="22"/>
    </w:rPr>
  </w:style>
  <w:style w:type="character" w:customStyle="1" w:styleId="apple-converted-space">
    <w:name w:val="apple-converted-space"/>
    <w:basedOn w:val="DefaultParagraphFont"/>
    <w:rsid w:val="00E51F2E"/>
  </w:style>
  <w:style w:type="paragraph" w:styleId="BalloonText">
    <w:name w:val="Balloon Text"/>
    <w:basedOn w:val="Normal"/>
    <w:link w:val="BalloonTextChar"/>
    <w:rsid w:val="00862DF7"/>
    <w:rPr>
      <w:rFonts w:ascii="Segoe UI" w:hAnsi="Segoe UI" w:cs="Segoe UI"/>
      <w:sz w:val="18"/>
      <w:szCs w:val="18"/>
    </w:rPr>
  </w:style>
  <w:style w:type="character" w:customStyle="1" w:styleId="BalloonTextChar">
    <w:name w:val="Balloon Text Char"/>
    <w:basedOn w:val="DefaultParagraphFont"/>
    <w:link w:val="BalloonText"/>
    <w:rsid w:val="00862DF7"/>
    <w:rPr>
      <w:rFonts w:ascii="Segoe UI" w:hAnsi="Segoe UI" w:cs="Segoe UI"/>
      <w:snapToGrid w:val="0"/>
      <w:kern w:val="28"/>
      <w:sz w:val="18"/>
      <w:szCs w:val="18"/>
    </w:rPr>
  </w:style>
  <w:style w:type="character" w:styleId="CommentReference">
    <w:name w:val="annotation reference"/>
    <w:uiPriority w:val="99"/>
    <w:rsid w:val="003B7F57"/>
    <w:rPr>
      <w:sz w:val="16"/>
      <w:szCs w:val="16"/>
    </w:rPr>
  </w:style>
  <w:style w:type="character" w:customStyle="1" w:styleId="FooterChar">
    <w:name w:val="Footer Char"/>
    <w:link w:val="Footer"/>
    <w:rsid w:val="003B7F57"/>
    <w:rPr>
      <w:snapToGrid w:val="0"/>
      <w:kern w:val="28"/>
      <w:sz w:val="22"/>
    </w:rPr>
  </w:style>
  <w:style w:type="character" w:customStyle="1" w:styleId="HeaderChar">
    <w:name w:val="Header Char"/>
    <w:link w:val="Header"/>
    <w:rsid w:val="003B7F57"/>
    <w:rPr>
      <w:b/>
      <w:snapToGrid w:val="0"/>
      <w:kern w:val="28"/>
      <w:sz w:val="22"/>
    </w:rPr>
  </w:style>
  <w:style w:type="table" w:styleId="TableGrid">
    <w:name w:val="Table Grid"/>
    <w:basedOn w:val="TableNormal"/>
    <w:rsid w:val="00E74F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0F28BC"/>
    <w:rPr>
      <w:color w:val="954F72" w:themeColor="followedHyperlink"/>
      <w:u w:val="single"/>
    </w:rPr>
  </w:style>
  <w:style w:type="character" w:customStyle="1" w:styleId="Mention1">
    <w:name w:val="Mention1"/>
    <w:basedOn w:val="DefaultParagraphFont"/>
    <w:uiPriority w:val="99"/>
    <w:semiHidden/>
    <w:unhideWhenUsed/>
    <w:rsid w:val="002769AA"/>
    <w:rPr>
      <w:color w:val="2B579A"/>
      <w:shd w:val="clear" w:color="auto" w:fill="E6E6E6"/>
    </w:rPr>
  </w:style>
  <w:style w:type="paragraph" w:styleId="Caption">
    <w:name w:val="caption"/>
    <w:basedOn w:val="Normal"/>
    <w:next w:val="Normal"/>
    <w:qFormat/>
    <w:rsid w:val="00822341"/>
    <w:pPr>
      <w:spacing w:before="120" w:after="120"/>
    </w:pPr>
    <w:rPr>
      <w:b/>
    </w:rPr>
  </w:style>
  <w:style w:type="numbering" w:customStyle="1" w:styleId="Style1">
    <w:name w:val="Style1"/>
    <w:uiPriority w:val="99"/>
    <w:rsid w:val="00822341"/>
    <w:pPr>
      <w:numPr>
        <w:numId w:val="10"/>
      </w:numPr>
    </w:pPr>
  </w:style>
  <w:style w:type="character" w:customStyle="1" w:styleId="Footnote">
    <w:name w:val="Footnote"/>
    <w:rsid w:val="009D2847"/>
  </w:style>
  <w:style w:type="character" w:customStyle="1" w:styleId="FootnoteTextChar4">
    <w:name w:val="Footnote Text Char4"/>
    <w:aliases w:val="Footnote Text Char2 Char3,Footnote Text Char Char4 Char3,Footnote Text Char2 Char Char Char3,Footnote Text Char1 Char1 Char Char Char4,Footnote Text Char Char Char Char Char Char4,Footnote Text Char1 Char Char Char Char Char Char1"/>
    <w:rsid w:val="009D2847"/>
    <w:rPr>
      <w:rFonts w:cs="Times New Roman"/>
      <w:lang w:val="en-US" w:eastAsia="en-US" w:bidi="ar-SA"/>
    </w:rPr>
  </w:style>
  <w:style w:type="character" w:customStyle="1" w:styleId="documentbody1">
    <w:name w:val="documentbody1"/>
    <w:rsid w:val="009D2847"/>
    <w:rPr>
      <w:rFonts w:ascii="Verdana" w:hAnsi="Verdana" w:cs="Times New Roman"/>
      <w:sz w:val="19"/>
      <w:szCs w:val="19"/>
    </w:rPr>
  </w:style>
  <w:style w:type="character" w:customStyle="1" w:styleId="EndnoteTextChar">
    <w:name w:val="Endnote Text Char"/>
    <w:basedOn w:val="DefaultParagraphFont"/>
    <w:link w:val="EndnoteText"/>
    <w:semiHidden/>
    <w:rsid w:val="00AA2862"/>
    <w:rPr>
      <w:snapToGrid w:val="0"/>
      <w:kern w:val="28"/>
    </w:rPr>
  </w:style>
  <w:style w:type="paragraph" w:styleId="BodyText">
    <w:name w:val="Body Text"/>
    <w:basedOn w:val="Normal"/>
    <w:link w:val="BodyTextChar"/>
    <w:rsid w:val="00AA2862"/>
    <w:pPr>
      <w:snapToGrid w:val="0"/>
      <w:spacing w:after="120"/>
    </w:pPr>
    <w:rPr>
      <w:snapToGrid/>
      <w:sz w:val="24"/>
    </w:rPr>
  </w:style>
  <w:style w:type="character" w:customStyle="1" w:styleId="BodyTextChar">
    <w:name w:val="Body Text Char"/>
    <w:basedOn w:val="DefaultParagraphFont"/>
    <w:link w:val="BodyText"/>
    <w:rsid w:val="00AA2862"/>
    <w:rPr>
      <w:kern w:val="28"/>
      <w:sz w:val="24"/>
    </w:rPr>
  </w:style>
  <w:style w:type="character" w:customStyle="1" w:styleId="Mention2">
    <w:name w:val="Mention2"/>
    <w:basedOn w:val="DefaultParagraphFont"/>
    <w:uiPriority w:val="99"/>
    <w:semiHidden/>
    <w:unhideWhenUsed/>
    <w:rsid w:val="006143DA"/>
    <w:rPr>
      <w:color w:val="2B579A"/>
      <w:shd w:val="clear" w:color="auto" w:fill="E6E6E6"/>
    </w:rPr>
  </w:style>
  <w:style w:type="paragraph" w:styleId="CommentText">
    <w:name w:val="annotation text"/>
    <w:basedOn w:val="Normal"/>
    <w:link w:val="CommentTextChar"/>
    <w:uiPriority w:val="99"/>
    <w:rsid w:val="00E67EA6"/>
    <w:rPr>
      <w:sz w:val="20"/>
    </w:rPr>
  </w:style>
  <w:style w:type="character" w:customStyle="1" w:styleId="CommentTextChar">
    <w:name w:val="Comment Text Char"/>
    <w:basedOn w:val="DefaultParagraphFont"/>
    <w:link w:val="CommentText"/>
    <w:uiPriority w:val="99"/>
    <w:rsid w:val="00E67EA6"/>
    <w:rPr>
      <w:snapToGrid w:val="0"/>
      <w:kern w:val="28"/>
    </w:rPr>
  </w:style>
  <w:style w:type="paragraph" w:styleId="CommentSubject">
    <w:name w:val="annotation subject"/>
    <w:basedOn w:val="CommentText"/>
    <w:next w:val="CommentText"/>
    <w:link w:val="CommentSubjectChar"/>
    <w:rsid w:val="00E67EA6"/>
    <w:rPr>
      <w:b/>
      <w:bCs/>
    </w:rPr>
  </w:style>
  <w:style w:type="character" w:customStyle="1" w:styleId="CommentSubjectChar">
    <w:name w:val="Comment Subject Char"/>
    <w:basedOn w:val="CommentTextChar"/>
    <w:link w:val="CommentSubject"/>
    <w:rsid w:val="00E67EA6"/>
    <w:rPr>
      <w:b/>
      <w:bCs/>
      <w:snapToGrid w:val="0"/>
      <w:kern w:val="28"/>
    </w:rPr>
  </w:style>
  <w:style w:type="paragraph" w:styleId="TOCHeading">
    <w:name w:val="TOC Heading"/>
    <w:basedOn w:val="Heading1"/>
    <w:next w:val="Normal"/>
    <w:uiPriority w:val="39"/>
    <w:unhideWhenUsed/>
    <w:qFormat/>
    <w:rsid w:val="00AD0B4D"/>
    <w:pPr>
      <w:keepLines/>
      <w:widowControl/>
      <w:numPr>
        <w:numId w:val="0"/>
      </w:numPr>
      <w:tabs>
        <w:tab w:val="left" w:pos="720"/>
      </w:tabs>
      <w:suppressAutoHyphens w:val="0"/>
      <w:spacing w:before="240" w:after="0" w:line="259" w:lineRule="auto"/>
      <w:outlineLvl w:val="9"/>
    </w:pPr>
    <w:rPr>
      <w:rFonts w:asciiTheme="majorHAnsi" w:eastAsiaTheme="majorEastAsia" w:hAnsiTheme="majorHAnsi" w:cstheme="majorBidi"/>
      <w:b w:val="0"/>
      <w:caps w:val="0"/>
      <w:snapToGrid/>
      <w:color w:val="2E74B5" w:themeColor="accent1" w:themeShade="BF"/>
      <w:kern w:val="0"/>
      <w:sz w:val="32"/>
      <w:szCs w:val="32"/>
    </w:rPr>
  </w:style>
  <w:style w:type="character" w:customStyle="1" w:styleId="value-inline1">
    <w:name w:val="value-inline1"/>
    <w:basedOn w:val="DefaultParagraphFont"/>
    <w:rsid w:val="00CB3AE4"/>
  </w:style>
  <w:style w:type="paragraph" w:styleId="NormalWeb">
    <w:name w:val="Normal (Web)"/>
    <w:basedOn w:val="Normal"/>
    <w:uiPriority w:val="99"/>
    <w:unhideWhenUsed/>
    <w:rsid w:val="00F570F5"/>
    <w:pPr>
      <w:widowControl/>
    </w:pPr>
    <w:rPr>
      <w:rFonts w:eastAsiaTheme="minorHAnsi"/>
      <w:snapToGrid/>
      <w:kern w:val="0"/>
      <w:sz w:val="24"/>
      <w:szCs w:val="24"/>
    </w:rPr>
  </w:style>
  <w:style w:type="character" w:customStyle="1" w:styleId="cosearchterm">
    <w:name w:val="co_searchterm"/>
    <w:basedOn w:val="DefaultParagraphFont"/>
    <w:rsid w:val="00F570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22B8"/>
    <w:pPr>
      <w:widowControl w:val="0"/>
    </w:pPr>
    <w:rPr>
      <w:snapToGrid w:val="0"/>
      <w:kern w:val="28"/>
      <w:sz w:val="22"/>
    </w:rPr>
  </w:style>
  <w:style w:type="paragraph" w:styleId="Heading1">
    <w:name w:val="heading 1"/>
    <w:basedOn w:val="Normal"/>
    <w:next w:val="ParaNum"/>
    <w:link w:val="Heading1Char"/>
    <w:qFormat/>
    <w:rsid w:val="002A22B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eading 2 Char1 Char Char,Heading 2 Char Char Char Char,Heading 2 Char1,Heading 2 Char1 Char Char1,Heading 2 Char1 Char Char Char Char1 Char,Heading 2 Char Char Char Char Char Char1 Char,Heading 2 Char1 Char Char1 Char Char"/>
    <w:basedOn w:val="Normal"/>
    <w:next w:val="ParaNum"/>
    <w:link w:val="Heading2Char2"/>
    <w:autoRedefine/>
    <w:qFormat/>
    <w:rsid w:val="002A22B8"/>
    <w:pPr>
      <w:keepNext/>
      <w:numPr>
        <w:ilvl w:val="1"/>
        <w:numId w:val="3"/>
      </w:numPr>
      <w:spacing w:after="120"/>
      <w:outlineLvl w:val="1"/>
    </w:pPr>
    <w:rPr>
      <w:b/>
    </w:rPr>
  </w:style>
  <w:style w:type="paragraph" w:styleId="Heading3">
    <w:name w:val="heading 3"/>
    <w:basedOn w:val="Normal"/>
    <w:next w:val="ParaNum"/>
    <w:link w:val="Heading3Char"/>
    <w:qFormat/>
    <w:rsid w:val="002A22B8"/>
    <w:pPr>
      <w:keepNext/>
      <w:numPr>
        <w:ilvl w:val="2"/>
        <w:numId w:val="3"/>
      </w:numPr>
      <w:tabs>
        <w:tab w:val="left" w:pos="2160"/>
      </w:tabs>
      <w:spacing w:after="120"/>
      <w:outlineLvl w:val="2"/>
    </w:pPr>
    <w:rPr>
      <w:b/>
    </w:rPr>
  </w:style>
  <w:style w:type="paragraph" w:styleId="Heading4">
    <w:name w:val="heading 4"/>
    <w:basedOn w:val="Normal"/>
    <w:next w:val="ParaNum"/>
    <w:qFormat/>
    <w:rsid w:val="002A22B8"/>
    <w:pPr>
      <w:keepNext/>
      <w:numPr>
        <w:ilvl w:val="3"/>
        <w:numId w:val="3"/>
      </w:numPr>
      <w:tabs>
        <w:tab w:val="left" w:pos="2880"/>
      </w:tabs>
      <w:spacing w:after="120"/>
      <w:outlineLvl w:val="3"/>
    </w:pPr>
    <w:rPr>
      <w:b/>
    </w:rPr>
  </w:style>
  <w:style w:type="paragraph" w:styleId="Heading5">
    <w:name w:val="heading 5"/>
    <w:basedOn w:val="Normal"/>
    <w:next w:val="ParaNum"/>
    <w:qFormat/>
    <w:rsid w:val="002A22B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2A22B8"/>
    <w:pPr>
      <w:numPr>
        <w:ilvl w:val="5"/>
        <w:numId w:val="3"/>
      </w:numPr>
      <w:tabs>
        <w:tab w:val="left" w:pos="4320"/>
      </w:tabs>
      <w:spacing w:after="120"/>
      <w:outlineLvl w:val="5"/>
    </w:pPr>
    <w:rPr>
      <w:b/>
    </w:rPr>
  </w:style>
  <w:style w:type="paragraph" w:styleId="Heading7">
    <w:name w:val="heading 7"/>
    <w:basedOn w:val="Normal"/>
    <w:next w:val="ParaNum"/>
    <w:qFormat/>
    <w:rsid w:val="002A22B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A22B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2A22B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A22B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A22B8"/>
  </w:style>
  <w:style w:type="paragraph" w:customStyle="1" w:styleId="ParaNum">
    <w:name w:val="ParaNum"/>
    <w:basedOn w:val="Normal"/>
    <w:link w:val="ParaNumChar1"/>
    <w:rsid w:val="002A22B8"/>
    <w:pPr>
      <w:numPr>
        <w:numId w:val="2"/>
      </w:numPr>
      <w:tabs>
        <w:tab w:val="clear" w:pos="1080"/>
        <w:tab w:val="num" w:pos="1440"/>
      </w:tabs>
      <w:spacing w:after="120"/>
    </w:pPr>
  </w:style>
  <w:style w:type="paragraph" w:styleId="EndnoteText">
    <w:name w:val="endnote text"/>
    <w:basedOn w:val="Normal"/>
    <w:link w:val="EndnoteTextChar"/>
    <w:semiHidden/>
    <w:rsid w:val="002A22B8"/>
    <w:rPr>
      <w:sz w:val="20"/>
    </w:rPr>
  </w:style>
  <w:style w:type="character" w:styleId="EndnoteReference">
    <w:name w:val="endnote reference"/>
    <w:semiHidden/>
    <w:rsid w:val="002A22B8"/>
    <w:rPr>
      <w:vertAlign w:val="superscript"/>
    </w:rPr>
  </w:style>
  <w:style w:type="paragraph" w:styleId="FootnoteText">
    <w:name w:val="footnote text"/>
    <w:aliases w:val="Footnote Text Char2,Footnote Text Char Char,Footnote Text Char1 Char Char1,Footnote Text Char Char1 Char Char,Footnote Text Char3 Char Char Char Char,Footnote Text Char Char Char1 Char Char Char,rrfootnote,ALTS FOOTNOTE,fn,Footnote Text Ch"/>
    <w:link w:val="FootnoteTextChar"/>
    <w:rsid w:val="002A22B8"/>
    <w:pPr>
      <w:spacing w:after="120"/>
    </w:pPr>
  </w:style>
  <w:style w:type="character" w:styleId="FootnoteReference">
    <w:name w:val="footnote reference"/>
    <w:aliases w:val="Style 12,(NECG) Footnote Reference,Appel note de bas de p,Style 124,Style 4,Style 13,o,fr,Style 3,FR,Style 17,Footnote Reference/,Style 6"/>
    <w:rsid w:val="002A22B8"/>
    <w:rPr>
      <w:rFonts w:ascii="Times New Roman" w:hAnsi="Times New Roman"/>
      <w:dstrike w:val="0"/>
      <w:color w:val="auto"/>
      <w:sz w:val="20"/>
      <w:vertAlign w:val="superscript"/>
    </w:rPr>
  </w:style>
  <w:style w:type="paragraph" w:styleId="TOC1">
    <w:name w:val="toc 1"/>
    <w:basedOn w:val="Normal"/>
    <w:next w:val="Normal"/>
    <w:rsid w:val="002A22B8"/>
    <w:pPr>
      <w:tabs>
        <w:tab w:val="left" w:pos="360"/>
        <w:tab w:val="right" w:leader="dot" w:pos="9360"/>
      </w:tabs>
      <w:suppressAutoHyphens/>
      <w:ind w:left="360" w:right="720" w:hanging="360"/>
    </w:pPr>
    <w:rPr>
      <w:caps/>
      <w:noProof/>
    </w:rPr>
  </w:style>
  <w:style w:type="paragraph" w:styleId="TOC2">
    <w:name w:val="toc 2"/>
    <w:basedOn w:val="Normal"/>
    <w:next w:val="Normal"/>
    <w:rsid w:val="002A22B8"/>
    <w:pPr>
      <w:tabs>
        <w:tab w:val="left" w:pos="720"/>
        <w:tab w:val="right" w:leader="dot" w:pos="9360"/>
      </w:tabs>
      <w:suppressAutoHyphens/>
      <w:ind w:left="720" w:right="720" w:hanging="360"/>
    </w:pPr>
    <w:rPr>
      <w:noProof/>
    </w:rPr>
  </w:style>
  <w:style w:type="paragraph" w:styleId="TOC3">
    <w:name w:val="toc 3"/>
    <w:basedOn w:val="Normal"/>
    <w:next w:val="Normal"/>
    <w:rsid w:val="002A22B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A22B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A22B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A22B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A22B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A22B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A22B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A22B8"/>
    <w:pPr>
      <w:tabs>
        <w:tab w:val="right" w:pos="9360"/>
      </w:tabs>
      <w:suppressAutoHyphens/>
    </w:pPr>
  </w:style>
  <w:style w:type="character" w:customStyle="1" w:styleId="EquationCaption">
    <w:name w:val="_Equation Caption"/>
    <w:rsid w:val="002A22B8"/>
  </w:style>
  <w:style w:type="paragraph" w:styleId="Header">
    <w:name w:val="header"/>
    <w:basedOn w:val="Normal"/>
    <w:link w:val="HeaderChar"/>
    <w:autoRedefine/>
    <w:rsid w:val="002A22B8"/>
    <w:pPr>
      <w:tabs>
        <w:tab w:val="center" w:pos="4680"/>
        <w:tab w:val="right" w:pos="9360"/>
      </w:tabs>
    </w:pPr>
    <w:rPr>
      <w:b/>
    </w:rPr>
  </w:style>
  <w:style w:type="paragraph" w:styleId="Footer">
    <w:name w:val="footer"/>
    <w:basedOn w:val="Normal"/>
    <w:link w:val="FooterChar"/>
    <w:rsid w:val="002A22B8"/>
    <w:pPr>
      <w:tabs>
        <w:tab w:val="center" w:pos="4320"/>
        <w:tab w:val="right" w:pos="8640"/>
      </w:tabs>
    </w:pPr>
  </w:style>
  <w:style w:type="character" w:styleId="PageNumber">
    <w:name w:val="page number"/>
    <w:basedOn w:val="DefaultParagraphFont"/>
    <w:rsid w:val="002A22B8"/>
  </w:style>
  <w:style w:type="paragraph" w:styleId="BlockText">
    <w:name w:val="Block Text"/>
    <w:basedOn w:val="Normal"/>
    <w:rsid w:val="002A22B8"/>
    <w:pPr>
      <w:spacing w:after="240"/>
      <w:ind w:left="1440" w:right="1440"/>
    </w:pPr>
  </w:style>
  <w:style w:type="paragraph" w:customStyle="1" w:styleId="Paratitle">
    <w:name w:val="Para title"/>
    <w:basedOn w:val="Normal"/>
    <w:rsid w:val="002A22B8"/>
    <w:pPr>
      <w:tabs>
        <w:tab w:val="center" w:pos="9270"/>
      </w:tabs>
      <w:spacing w:after="240"/>
    </w:pPr>
    <w:rPr>
      <w:spacing w:val="-2"/>
    </w:rPr>
  </w:style>
  <w:style w:type="paragraph" w:customStyle="1" w:styleId="Bullet">
    <w:name w:val="Bullet"/>
    <w:basedOn w:val="Normal"/>
    <w:rsid w:val="002A22B8"/>
    <w:pPr>
      <w:tabs>
        <w:tab w:val="left" w:pos="2160"/>
      </w:tabs>
      <w:spacing w:after="220"/>
      <w:ind w:left="2160" w:hanging="720"/>
    </w:pPr>
  </w:style>
  <w:style w:type="paragraph" w:customStyle="1" w:styleId="TableFormat">
    <w:name w:val="TableFormat"/>
    <w:basedOn w:val="Bullet"/>
    <w:rsid w:val="002A22B8"/>
    <w:pPr>
      <w:tabs>
        <w:tab w:val="clear" w:pos="2160"/>
        <w:tab w:val="left" w:pos="5040"/>
      </w:tabs>
      <w:ind w:left="5040" w:hanging="3600"/>
    </w:pPr>
  </w:style>
  <w:style w:type="paragraph" w:customStyle="1" w:styleId="TOCTitle">
    <w:name w:val="TOC Title"/>
    <w:basedOn w:val="Normal"/>
    <w:rsid w:val="002A22B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A22B8"/>
    <w:pPr>
      <w:jc w:val="center"/>
    </w:pPr>
    <w:rPr>
      <w:rFonts w:ascii="Times New Roman Bold" w:hAnsi="Times New Roman Bold"/>
      <w:b/>
      <w:bCs/>
      <w:caps/>
      <w:szCs w:val="22"/>
    </w:rPr>
  </w:style>
  <w:style w:type="character" w:styleId="Hyperlink">
    <w:name w:val="Hyperlink"/>
    <w:rsid w:val="002A22B8"/>
    <w:rPr>
      <w:color w:val="0000FF"/>
      <w:u w:val="single"/>
    </w:rPr>
  </w:style>
  <w:style w:type="character" w:customStyle="1" w:styleId="FootnoteTextChar">
    <w:name w:val="Footnote Text Char"/>
    <w:aliases w:val="Footnote Text Char2 Char,Footnote Text Char Char Char,Footnote Text Char1 Char Char1 Char,Footnote Text Char Char1 Char Char Char,Footnote Text Char3 Char Char Char Char Char,Footnote Text Char Char Char1 Char Char Char Char,fn Char"/>
    <w:link w:val="FootnoteText"/>
    <w:rsid w:val="00061880"/>
  </w:style>
  <w:style w:type="character" w:customStyle="1" w:styleId="ParaNumChar1">
    <w:name w:val="ParaNum Char1"/>
    <w:link w:val="ParaNum"/>
    <w:locked/>
    <w:rsid w:val="00061880"/>
    <w:rPr>
      <w:snapToGrid w:val="0"/>
      <w:kern w:val="28"/>
      <w:sz w:val="22"/>
    </w:rPr>
  </w:style>
  <w:style w:type="character" w:customStyle="1" w:styleId="Heading1Char">
    <w:name w:val="Heading 1 Char"/>
    <w:link w:val="Heading1"/>
    <w:rsid w:val="00061880"/>
    <w:rPr>
      <w:rFonts w:ascii="Times New Roman Bold" w:hAnsi="Times New Roman Bold"/>
      <w:b/>
      <w:caps/>
      <w:snapToGrid w:val="0"/>
      <w:kern w:val="28"/>
      <w:sz w:val="22"/>
    </w:rPr>
  </w:style>
  <w:style w:type="character" w:customStyle="1" w:styleId="documentbody">
    <w:name w:val="documentbody"/>
    <w:rsid w:val="00061880"/>
  </w:style>
  <w:style w:type="character" w:customStyle="1" w:styleId="Heading3Char">
    <w:name w:val="Heading 3 Char"/>
    <w:link w:val="Heading3"/>
    <w:rsid w:val="00E74218"/>
    <w:rPr>
      <w:b/>
      <w:snapToGrid w:val="0"/>
      <w:kern w:val="28"/>
      <w:sz w:val="22"/>
    </w:rPr>
  </w:style>
  <w:style w:type="character" w:customStyle="1" w:styleId="searchterm">
    <w:name w:val="searchterm"/>
    <w:rsid w:val="007E6CF4"/>
  </w:style>
  <w:style w:type="character" w:customStyle="1" w:styleId="Heading2Char2">
    <w:name w:val="Heading 2 Char2"/>
    <w:aliases w:val="Heading 2 Char Char,Heading 2 Char1 Char Char Char,Heading 2 Char Char Char Char Char,Heading 2 Char1 Char,Heading 2 Char1 Char Char1 Char,Heading 2 Char1 Char Char Char Char1 Char Char,Heading 2 Char Char Char Char Char Char1 Char Char"/>
    <w:basedOn w:val="DefaultParagraphFont"/>
    <w:link w:val="Heading2"/>
    <w:rsid w:val="007E6CF4"/>
    <w:rPr>
      <w:b/>
      <w:snapToGrid w:val="0"/>
      <w:kern w:val="28"/>
      <w:sz w:val="22"/>
    </w:rPr>
  </w:style>
  <w:style w:type="character" w:customStyle="1" w:styleId="apple-converted-space">
    <w:name w:val="apple-converted-space"/>
    <w:basedOn w:val="DefaultParagraphFont"/>
    <w:rsid w:val="00E51F2E"/>
  </w:style>
  <w:style w:type="paragraph" w:styleId="BalloonText">
    <w:name w:val="Balloon Text"/>
    <w:basedOn w:val="Normal"/>
    <w:link w:val="BalloonTextChar"/>
    <w:rsid w:val="00862DF7"/>
    <w:rPr>
      <w:rFonts w:ascii="Segoe UI" w:hAnsi="Segoe UI" w:cs="Segoe UI"/>
      <w:sz w:val="18"/>
      <w:szCs w:val="18"/>
    </w:rPr>
  </w:style>
  <w:style w:type="character" w:customStyle="1" w:styleId="BalloonTextChar">
    <w:name w:val="Balloon Text Char"/>
    <w:basedOn w:val="DefaultParagraphFont"/>
    <w:link w:val="BalloonText"/>
    <w:rsid w:val="00862DF7"/>
    <w:rPr>
      <w:rFonts w:ascii="Segoe UI" w:hAnsi="Segoe UI" w:cs="Segoe UI"/>
      <w:snapToGrid w:val="0"/>
      <w:kern w:val="28"/>
      <w:sz w:val="18"/>
      <w:szCs w:val="18"/>
    </w:rPr>
  </w:style>
  <w:style w:type="character" w:styleId="CommentReference">
    <w:name w:val="annotation reference"/>
    <w:uiPriority w:val="99"/>
    <w:rsid w:val="003B7F57"/>
    <w:rPr>
      <w:sz w:val="16"/>
      <w:szCs w:val="16"/>
    </w:rPr>
  </w:style>
  <w:style w:type="character" w:customStyle="1" w:styleId="FooterChar">
    <w:name w:val="Footer Char"/>
    <w:link w:val="Footer"/>
    <w:rsid w:val="003B7F57"/>
    <w:rPr>
      <w:snapToGrid w:val="0"/>
      <w:kern w:val="28"/>
      <w:sz w:val="22"/>
    </w:rPr>
  </w:style>
  <w:style w:type="character" w:customStyle="1" w:styleId="HeaderChar">
    <w:name w:val="Header Char"/>
    <w:link w:val="Header"/>
    <w:rsid w:val="003B7F57"/>
    <w:rPr>
      <w:b/>
      <w:snapToGrid w:val="0"/>
      <w:kern w:val="28"/>
      <w:sz w:val="22"/>
    </w:rPr>
  </w:style>
  <w:style w:type="table" w:styleId="TableGrid">
    <w:name w:val="Table Grid"/>
    <w:basedOn w:val="TableNormal"/>
    <w:rsid w:val="00E74F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0F28BC"/>
    <w:rPr>
      <w:color w:val="954F72" w:themeColor="followedHyperlink"/>
      <w:u w:val="single"/>
    </w:rPr>
  </w:style>
  <w:style w:type="character" w:customStyle="1" w:styleId="Mention1">
    <w:name w:val="Mention1"/>
    <w:basedOn w:val="DefaultParagraphFont"/>
    <w:uiPriority w:val="99"/>
    <w:semiHidden/>
    <w:unhideWhenUsed/>
    <w:rsid w:val="002769AA"/>
    <w:rPr>
      <w:color w:val="2B579A"/>
      <w:shd w:val="clear" w:color="auto" w:fill="E6E6E6"/>
    </w:rPr>
  </w:style>
  <w:style w:type="paragraph" w:styleId="Caption">
    <w:name w:val="caption"/>
    <w:basedOn w:val="Normal"/>
    <w:next w:val="Normal"/>
    <w:qFormat/>
    <w:rsid w:val="00822341"/>
    <w:pPr>
      <w:spacing w:before="120" w:after="120"/>
    </w:pPr>
    <w:rPr>
      <w:b/>
    </w:rPr>
  </w:style>
  <w:style w:type="numbering" w:customStyle="1" w:styleId="Style1">
    <w:name w:val="Style1"/>
    <w:uiPriority w:val="99"/>
    <w:rsid w:val="00822341"/>
    <w:pPr>
      <w:numPr>
        <w:numId w:val="10"/>
      </w:numPr>
    </w:pPr>
  </w:style>
  <w:style w:type="character" w:customStyle="1" w:styleId="Footnote">
    <w:name w:val="Footnote"/>
    <w:rsid w:val="009D2847"/>
  </w:style>
  <w:style w:type="character" w:customStyle="1" w:styleId="FootnoteTextChar4">
    <w:name w:val="Footnote Text Char4"/>
    <w:aliases w:val="Footnote Text Char2 Char3,Footnote Text Char Char4 Char3,Footnote Text Char2 Char Char Char3,Footnote Text Char1 Char1 Char Char Char4,Footnote Text Char Char Char Char Char Char4,Footnote Text Char1 Char Char Char Char Char Char1"/>
    <w:rsid w:val="009D2847"/>
    <w:rPr>
      <w:rFonts w:cs="Times New Roman"/>
      <w:lang w:val="en-US" w:eastAsia="en-US" w:bidi="ar-SA"/>
    </w:rPr>
  </w:style>
  <w:style w:type="character" w:customStyle="1" w:styleId="documentbody1">
    <w:name w:val="documentbody1"/>
    <w:rsid w:val="009D2847"/>
    <w:rPr>
      <w:rFonts w:ascii="Verdana" w:hAnsi="Verdana" w:cs="Times New Roman"/>
      <w:sz w:val="19"/>
      <w:szCs w:val="19"/>
    </w:rPr>
  </w:style>
  <w:style w:type="character" w:customStyle="1" w:styleId="EndnoteTextChar">
    <w:name w:val="Endnote Text Char"/>
    <w:basedOn w:val="DefaultParagraphFont"/>
    <w:link w:val="EndnoteText"/>
    <w:semiHidden/>
    <w:rsid w:val="00AA2862"/>
    <w:rPr>
      <w:snapToGrid w:val="0"/>
      <w:kern w:val="28"/>
    </w:rPr>
  </w:style>
  <w:style w:type="paragraph" w:styleId="BodyText">
    <w:name w:val="Body Text"/>
    <w:basedOn w:val="Normal"/>
    <w:link w:val="BodyTextChar"/>
    <w:rsid w:val="00AA2862"/>
    <w:pPr>
      <w:snapToGrid w:val="0"/>
      <w:spacing w:after="120"/>
    </w:pPr>
    <w:rPr>
      <w:snapToGrid/>
      <w:sz w:val="24"/>
    </w:rPr>
  </w:style>
  <w:style w:type="character" w:customStyle="1" w:styleId="BodyTextChar">
    <w:name w:val="Body Text Char"/>
    <w:basedOn w:val="DefaultParagraphFont"/>
    <w:link w:val="BodyText"/>
    <w:rsid w:val="00AA2862"/>
    <w:rPr>
      <w:kern w:val="28"/>
      <w:sz w:val="24"/>
    </w:rPr>
  </w:style>
  <w:style w:type="character" w:customStyle="1" w:styleId="Mention2">
    <w:name w:val="Mention2"/>
    <w:basedOn w:val="DefaultParagraphFont"/>
    <w:uiPriority w:val="99"/>
    <w:semiHidden/>
    <w:unhideWhenUsed/>
    <w:rsid w:val="006143DA"/>
    <w:rPr>
      <w:color w:val="2B579A"/>
      <w:shd w:val="clear" w:color="auto" w:fill="E6E6E6"/>
    </w:rPr>
  </w:style>
  <w:style w:type="paragraph" w:styleId="CommentText">
    <w:name w:val="annotation text"/>
    <w:basedOn w:val="Normal"/>
    <w:link w:val="CommentTextChar"/>
    <w:uiPriority w:val="99"/>
    <w:rsid w:val="00E67EA6"/>
    <w:rPr>
      <w:sz w:val="20"/>
    </w:rPr>
  </w:style>
  <w:style w:type="character" w:customStyle="1" w:styleId="CommentTextChar">
    <w:name w:val="Comment Text Char"/>
    <w:basedOn w:val="DefaultParagraphFont"/>
    <w:link w:val="CommentText"/>
    <w:uiPriority w:val="99"/>
    <w:rsid w:val="00E67EA6"/>
    <w:rPr>
      <w:snapToGrid w:val="0"/>
      <w:kern w:val="28"/>
    </w:rPr>
  </w:style>
  <w:style w:type="paragraph" w:styleId="CommentSubject">
    <w:name w:val="annotation subject"/>
    <w:basedOn w:val="CommentText"/>
    <w:next w:val="CommentText"/>
    <w:link w:val="CommentSubjectChar"/>
    <w:rsid w:val="00E67EA6"/>
    <w:rPr>
      <w:b/>
      <w:bCs/>
    </w:rPr>
  </w:style>
  <w:style w:type="character" w:customStyle="1" w:styleId="CommentSubjectChar">
    <w:name w:val="Comment Subject Char"/>
    <w:basedOn w:val="CommentTextChar"/>
    <w:link w:val="CommentSubject"/>
    <w:rsid w:val="00E67EA6"/>
    <w:rPr>
      <w:b/>
      <w:bCs/>
      <w:snapToGrid w:val="0"/>
      <w:kern w:val="28"/>
    </w:rPr>
  </w:style>
  <w:style w:type="paragraph" w:styleId="TOCHeading">
    <w:name w:val="TOC Heading"/>
    <w:basedOn w:val="Heading1"/>
    <w:next w:val="Normal"/>
    <w:uiPriority w:val="39"/>
    <w:unhideWhenUsed/>
    <w:qFormat/>
    <w:rsid w:val="00AD0B4D"/>
    <w:pPr>
      <w:keepLines/>
      <w:widowControl/>
      <w:numPr>
        <w:numId w:val="0"/>
      </w:numPr>
      <w:tabs>
        <w:tab w:val="left" w:pos="720"/>
      </w:tabs>
      <w:suppressAutoHyphens w:val="0"/>
      <w:spacing w:before="240" w:after="0" w:line="259" w:lineRule="auto"/>
      <w:outlineLvl w:val="9"/>
    </w:pPr>
    <w:rPr>
      <w:rFonts w:asciiTheme="majorHAnsi" w:eastAsiaTheme="majorEastAsia" w:hAnsiTheme="majorHAnsi" w:cstheme="majorBidi"/>
      <w:b w:val="0"/>
      <w:caps w:val="0"/>
      <w:snapToGrid/>
      <w:color w:val="2E74B5" w:themeColor="accent1" w:themeShade="BF"/>
      <w:kern w:val="0"/>
      <w:sz w:val="32"/>
      <w:szCs w:val="32"/>
    </w:rPr>
  </w:style>
  <w:style w:type="character" w:customStyle="1" w:styleId="value-inline1">
    <w:name w:val="value-inline1"/>
    <w:basedOn w:val="DefaultParagraphFont"/>
    <w:rsid w:val="00CB3AE4"/>
  </w:style>
  <w:style w:type="paragraph" w:styleId="NormalWeb">
    <w:name w:val="Normal (Web)"/>
    <w:basedOn w:val="Normal"/>
    <w:uiPriority w:val="99"/>
    <w:unhideWhenUsed/>
    <w:rsid w:val="00F570F5"/>
    <w:pPr>
      <w:widowControl/>
    </w:pPr>
    <w:rPr>
      <w:rFonts w:eastAsiaTheme="minorHAnsi"/>
      <w:snapToGrid/>
      <w:kern w:val="0"/>
      <w:sz w:val="24"/>
      <w:szCs w:val="24"/>
    </w:rPr>
  </w:style>
  <w:style w:type="character" w:customStyle="1" w:styleId="cosearchterm">
    <w:name w:val="co_searchterm"/>
    <w:basedOn w:val="DefaultParagraphFont"/>
    <w:rsid w:val="00F57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002733">
      <w:bodyDiv w:val="1"/>
      <w:marLeft w:val="0"/>
      <w:marRight w:val="0"/>
      <w:marTop w:val="0"/>
      <w:marBottom w:val="0"/>
      <w:divBdr>
        <w:top w:val="none" w:sz="0" w:space="0" w:color="auto"/>
        <w:left w:val="none" w:sz="0" w:space="0" w:color="auto"/>
        <w:bottom w:val="none" w:sz="0" w:space="0" w:color="auto"/>
        <w:right w:val="none" w:sz="0" w:space="0" w:color="auto"/>
      </w:divBdr>
    </w:div>
    <w:div w:id="113929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ition.fcc.gov/fees/regfees.html"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file://C:\Users\Thomas\AppData\Local\Microsoft\Windows\Temporary%20Internet%20Files\Content.IE5\AppData\Local\Microsoft\Windows\Temporary%20Internet%20Files\Content.IE5\Users\Mika.Savir\AppData\Local\Microsoft\Windows\Temporary%20Internet%20Files\AppData\Local\Microsoft\Windows\Temporary%20Internet%20Files\Content.IE5\Users\Roland.Helvajian\AppData\Local\Microsoft\Windows\Temporary%20Internet%20Files\Content.Outlook\Users\Mika.Savir\AppData\Local\Microsoft\Windows\Temporary%20Internet%20Files\Content.Outlook\Local%20Settings\Temporary%20Internet%20Files\Users\Mika.Savir\AppData\Local\Microsoft\Windows\Temporary%20Internet%20Files\AppData\Local\Microsoft\Windows\Temporary%20Internet%20Files\Content.IE5\Local%20Settings\Temporary%20Internet%20Files\AppData\Local\Microsoft\Windows\Temporary%20Internet%20Files\Content.IE5\Users\Mika.Savir\AppData\Local\Microsoft\Windows\Temporary%20Internet%20Files\Content.Outlook\204T2IWP\fcc504@fcc.gov" TargetMode="External"/><Relationship Id="rId4" Type="http://schemas.openxmlformats.org/officeDocument/2006/relationships/settings" Target="settings.xml"/><Relationship Id="rId9" Type="http://schemas.openxmlformats.org/officeDocument/2006/relationships/hyperlink" Target="http://transition.fcc.gov/fees/wiretran.html"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usac.org/rhc/telecommunications/health-care-providers/step01/eligible-services.aspx" TargetMode="External"/><Relationship Id="rId13" Type="http://schemas.openxmlformats.org/officeDocument/2006/relationships/hyperlink" Target="http://www.whitehouse.gov/the-press-office/2011/06/13/executive-order-13576-delivering-efficient-effective-and-accountable-gov" TargetMode="External"/><Relationship Id="rId18" Type="http://schemas.openxmlformats.org/officeDocument/2006/relationships/hyperlink" Target="http://www.census.gov/cgi-bin/ssd/naics/naicsrch" TargetMode="External"/><Relationship Id="rId26" Type="http://schemas.openxmlformats.org/officeDocument/2006/relationships/hyperlink" Target="https://www.snl.com/web/client?auth=inherit" TargetMode="External"/><Relationship Id="rId39" Type="http://schemas.openxmlformats.org/officeDocument/2006/relationships/hyperlink" Target="https://apps.fcc.gov/edocs_public/attachmatch/DOC-344256A1.pdf" TargetMode="External"/><Relationship Id="rId3" Type="http://schemas.openxmlformats.org/officeDocument/2006/relationships/hyperlink" Target="https://www.congress.gov/bill/115th-congress/house-bill/244/text" TargetMode="External"/><Relationship Id="rId21" Type="http://schemas.openxmlformats.org/officeDocument/2006/relationships/hyperlink" Target="https://apps.fcc.gov/edocs_public/attachmatch/DOC-344256A1.pdf" TargetMode="External"/><Relationship Id="rId34" Type="http://schemas.openxmlformats.org/officeDocument/2006/relationships/hyperlink" Target="http://www.census.gov/cgi-bin/ssd/naics/naicsrch" TargetMode="External"/><Relationship Id="rId42" Type="http://schemas.openxmlformats.org/officeDocument/2006/relationships/hyperlink" Target="http://www.fcc.gov/" TargetMode="External"/><Relationship Id="rId7" Type="http://schemas.openxmlformats.org/officeDocument/2006/relationships/hyperlink" Target="http://www.usac.org/sl/applicants/beforeyoubegin/eligible-services-list.aspx" TargetMode="External"/><Relationship Id="rId12" Type="http://schemas.openxmlformats.org/officeDocument/2006/relationships/hyperlink" Target="https://1.next.westlaw.com/Link/Document/FullText?findType=Y&amp;serNum=2030607935&amp;pubNum=4493&amp;originatingDoc=I919dcbb4086a11e38503bda794601919&amp;refType=CA&amp;fi=co_pp_sp_4493_7798&amp;originationContext=document&amp;transitionType=DocumentItem&amp;contextData=(sc.Search)" TargetMode="External"/><Relationship Id="rId17" Type="http://schemas.openxmlformats.org/officeDocument/2006/relationships/hyperlink" Target="http://www.census.gov/cgi-bin/sssd/naics/naicsrch" TargetMode="External"/><Relationship Id="rId25" Type="http://schemas.openxmlformats.org/officeDocument/2006/relationships/hyperlink" Target="http://factfinder.census.gov/faces/tableservices/jsf/pages/productview.xhtml?pid=ECN_2012_US-51SSSZ5&amp;prodType=Table" TargetMode="External"/><Relationship Id="rId33" Type="http://schemas.openxmlformats.org/officeDocument/2006/relationships/hyperlink" Target="http://www.census.gov/cgi-bin/sssd/naics/naicsrch" TargetMode="External"/><Relationship Id="rId38" Type="http://schemas.openxmlformats.org/officeDocument/2006/relationships/hyperlink" Target="https://apps.fcc.gov/edocs_public/attachmatch/DOC-344256A1.pdf" TargetMode="External"/><Relationship Id="rId46" Type="http://schemas.openxmlformats.org/officeDocument/2006/relationships/hyperlink" Target="http://www.census.gov/cgi-bin/ssssd/naics/naicsrch" TargetMode="External"/><Relationship Id="rId2" Type="http://schemas.openxmlformats.org/officeDocument/2006/relationships/hyperlink" Target="https://webmail.fcc.gov/owa/redir.aspx?C=wqnj8kn3oku5Fr9g5YIF5qjGXefZH9IIrV8Oe5mwtPTsM9Lo4smJDv0FGd5MSK8G8q8LbqaEf8M.&amp;URL=http%3a%2f%2fwww.gao.gov%2fproducts%2fGAO-12-686" TargetMode="External"/><Relationship Id="rId16" Type="http://schemas.openxmlformats.org/officeDocument/2006/relationships/hyperlink" Target="http://factfinder.census.gov/faces/tableservices/jsf/pages/productview.xhtml?pid=ECN_2012_US_51SSSZ5&amp;prodType=table" TargetMode="External"/><Relationship Id="rId20" Type="http://schemas.openxmlformats.org/officeDocument/2006/relationships/hyperlink" Target="http://www.census.gov.cgi-bin/sssd/naics/naicsrch" TargetMode="External"/><Relationship Id="rId29" Type="http://schemas.openxmlformats.org/officeDocument/2006/relationships/hyperlink" Target="https://www.snl.com/web/client?auth=inherit" TargetMode="External"/><Relationship Id="rId41" Type="http://schemas.openxmlformats.org/officeDocument/2006/relationships/hyperlink" Target="https://www.snl.com/web/client?auth=inherit" TargetMode="External"/><Relationship Id="rId1" Type="http://schemas.openxmlformats.org/officeDocument/2006/relationships/hyperlink" Target="https://www.congress.gov/bill/115th-congress/house-bill/244/text" TargetMode="External"/><Relationship Id="rId6" Type="http://schemas.openxmlformats.org/officeDocument/2006/relationships/hyperlink" Target="https://www.fcc.gov/general/rural-health-care-program" TargetMode="External"/><Relationship Id="rId11" Type="http://schemas.openxmlformats.org/officeDocument/2006/relationships/hyperlink" Target="https://www.dish.com/programming/packages/" TargetMode="External"/><Relationship Id="rId24" Type="http://schemas.openxmlformats.org/officeDocument/2006/relationships/hyperlink" Target="http://www.census.gov.cgi-bin/sssd/naics/naicsrch" TargetMode="External"/><Relationship Id="rId32" Type="http://schemas.openxmlformats.org/officeDocument/2006/relationships/hyperlink" Target="https://www.sba.gov/sites/default/files/advocacy/SB-FAQ-2016_WEB.pdf" TargetMode="External"/><Relationship Id="rId37" Type="http://schemas.openxmlformats.org/officeDocument/2006/relationships/hyperlink" Target="https://apps.fcc.gov/edocs_public/attachmatch/DOC-344256A1.pdf" TargetMode="External"/><Relationship Id="rId40" Type="http://schemas.openxmlformats.org/officeDocument/2006/relationships/hyperlink" Target="http://factfinder.census.gov/faces/tableservices/jsf/pages/productview.xhtml?pid=ECN_2012_US-51SSSZ5&amp;prodType=Table" TargetMode="External"/><Relationship Id="rId45" Type="http://schemas.openxmlformats.org/officeDocument/2006/relationships/hyperlink" Target="http://www.census.gov/cgi-bin/sssd/naics/naicsrch" TargetMode="External"/><Relationship Id="rId5" Type="http://schemas.openxmlformats.org/officeDocument/2006/relationships/hyperlink" Target="https://www.fcc.gov/general/lifeline-program-low-income-consumers" TargetMode="External"/><Relationship Id="rId15" Type="http://schemas.openxmlformats.org/officeDocument/2006/relationships/hyperlink" Target="https://www.sba.gov/sites/default/files/advocacy/SB-FAQ-2016_WEB.pdf" TargetMode="External"/><Relationship Id="rId23" Type="http://schemas.openxmlformats.org/officeDocument/2006/relationships/hyperlink" Target="https://apps.fcc.gov/edocs_public/attachmatch/DOC-344256A1.pdf" TargetMode="External"/><Relationship Id="rId28" Type="http://schemas.openxmlformats.org/officeDocument/2006/relationships/hyperlink" Target="https://www.ncta.com/industry-data" TargetMode="External"/><Relationship Id="rId36" Type="http://schemas.openxmlformats.org/officeDocument/2006/relationships/hyperlink" Target="http://www.census.gov.cgi-bin/sssd/naics/naicsrch" TargetMode="External"/><Relationship Id="rId10" Type="http://schemas.openxmlformats.org/officeDocument/2006/relationships/hyperlink" Target="https://www.directv.com/DTVAPP/pepod/configure.jsp" TargetMode="External"/><Relationship Id="rId19" Type="http://schemas.openxmlformats.org/officeDocument/2006/relationships/hyperlink" Target="http://www.census.gov/cgi-bin/ssd/naics/naiscsrch" TargetMode="External"/><Relationship Id="rId31" Type="http://schemas.openxmlformats.org/officeDocument/2006/relationships/hyperlink" Target="http://www.census.gov/cgi-bin/ssssd/naics/naicsrch" TargetMode="External"/><Relationship Id="rId44" Type="http://schemas.openxmlformats.org/officeDocument/2006/relationships/hyperlink" Target="https://www.snl.com/web/client?auth=inherit" TargetMode="External"/><Relationship Id="rId4" Type="http://schemas.openxmlformats.org/officeDocument/2006/relationships/hyperlink" Target="https://www.fcc.gov/general/e-rate-schools-libraries-usf-program" TargetMode="External"/><Relationship Id="rId9" Type="http://schemas.openxmlformats.org/officeDocument/2006/relationships/hyperlink" Target="http://www.usac.org/about/tools/fcc/filings/2017/q3.aspx" TargetMode="External"/><Relationship Id="rId14" Type="http://schemas.openxmlformats.org/officeDocument/2006/relationships/hyperlink" Target="https://www.sba.gov/sites/default/files/advocacy/SB-FAQ-2016_WEB." TargetMode="External"/><Relationship Id="rId22" Type="http://schemas.openxmlformats.org/officeDocument/2006/relationships/hyperlink" Target="https://apps.fcc.gov/edocs_public/attachmatch/DOC-344256A1.pdf" TargetMode="External"/><Relationship Id="rId27" Type="http://schemas.openxmlformats.org/officeDocument/2006/relationships/hyperlink" Target="http://www.fcc.gov/" TargetMode="External"/><Relationship Id="rId30" Type="http://schemas.openxmlformats.org/officeDocument/2006/relationships/hyperlink" Target="http://www.census.gov/cgi-bin/sssd/naics/naicsrch" TargetMode="External"/><Relationship Id="rId35" Type="http://schemas.openxmlformats.org/officeDocument/2006/relationships/hyperlink" Target="http://www.census.gov/cgi-bin/ssd/naics/naiscsrch" TargetMode="External"/><Relationship Id="rId43" Type="http://schemas.openxmlformats.org/officeDocument/2006/relationships/hyperlink" Target="https://www.ncta.com/industry-dat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25672</Words>
  <Characters>142427</Characters>
  <Application>Microsoft Office Word</Application>
  <DocSecurity>0</DocSecurity>
  <Lines>3061</Lines>
  <Paragraphs>1347</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168720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2017-09-05T13:08:00Z</cp:lastPrinted>
  <dcterms:created xsi:type="dcterms:W3CDTF">2017-09-06T13:46:00Z</dcterms:created>
  <dcterms:modified xsi:type="dcterms:W3CDTF">2017-09-06T13:46:00Z</dcterms:modified>
  <cp:category> </cp:category>
  <cp:contentStatus> </cp:contentStatus>
</cp:coreProperties>
</file>