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429F8" w14:textId="77777777" w:rsidR="004C2EE3" w:rsidRPr="00E31130" w:rsidRDefault="004C2EE3">
      <w:pPr>
        <w:jc w:val="center"/>
        <w:rPr>
          <w:b/>
        </w:rPr>
      </w:pPr>
      <w:bookmarkStart w:id="0" w:name="_GoBack"/>
      <w:bookmarkEnd w:id="0"/>
      <w:r w:rsidRPr="00B10571">
        <w:rPr>
          <w:b/>
        </w:rPr>
        <w:t>Before</w:t>
      </w:r>
      <w:r w:rsidRPr="00E31130">
        <w:rPr>
          <w:b/>
        </w:rPr>
        <w:t xml:space="preserve"> the</w:t>
      </w:r>
    </w:p>
    <w:p w14:paraId="235AF3A6" w14:textId="77777777" w:rsidR="00921803" w:rsidRPr="00B10571" w:rsidRDefault="00921803" w:rsidP="00921803">
      <w:pPr>
        <w:pStyle w:val="StyleBoldCentered"/>
        <w:rPr>
          <w:rFonts w:ascii="Times New Roman" w:hAnsi="Times New Roman"/>
        </w:rPr>
      </w:pPr>
      <w:r w:rsidRPr="00B10571">
        <w:rPr>
          <w:rFonts w:ascii="Times New Roman" w:hAnsi="Times New Roman"/>
        </w:rPr>
        <w:t>F</w:t>
      </w:r>
      <w:r w:rsidRPr="00B10571">
        <w:rPr>
          <w:rFonts w:ascii="Times New Roman" w:hAnsi="Times New Roman"/>
          <w:caps w:val="0"/>
        </w:rPr>
        <w:t>ederal Communications Commission</w:t>
      </w:r>
    </w:p>
    <w:p w14:paraId="7341F800" w14:textId="77777777" w:rsidR="004C2EE3" w:rsidRPr="00B10571" w:rsidRDefault="00810B6F" w:rsidP="00096D8C">
      <w:pPr>
        <w:pStyle w:val="StyleBoldCentered"/>
        <w:rPr>
          <w:rFonts w:ascii="Times New Roman" w:hAnsi="Times New Roman"/>
        </w:rPr>
      </w:pPr>
      <w:r w:rsidRPr="00B10571">
        <w:rPr>
          <w:rFonts w:ascii="Times New Roman" w:hAnsi="Times New Roman"/>
          <w:caps w:val="0"/>
        </w:rPr>
        <w:t>Washington, D.C. 20554</w:t>
      </w:r>
    </w:p>
    <w:p w14:paraId="44D409E4" w14:textId="77777777" w:rsidR="004C2EE3" w:rsidRPr="00E31130" w:rsidRDefault="004C2EE3" w:rsidP="0070224F"/>
    <w:p w14:paraId="158C4D44" w14:textId="77777777" w:rsidR="004C2EE3" w:rsidRPr="00AF6DA7" w:rsidRDefault="004C2EE3" w:rsidP="0070224F"/>
    <w:tbl>
      <w:tblPr>
        <w:tblW w:w="0" w:type="auto"/>
        <w:tblLayout w:type="fixed"/>
        <w:tblLook w:val="0000" w:firstRow="0" w:lastRow="0" w:firstColumn="0" w:lastColumn="0" w:noHBand="0" w:noVBand="0"/>
      </w:tblPr>
      <w:tblGrid>
        <w:gridCol w:w="4698"/>
        <w:gridCol w:w="630"/>
        <w:gridCol w:w="4248"/>
      </w:tblGrid>
      <w:tr w:rsidR="004C2EE3" w:rsidRPr="00AF6DA7" w14:paraId="1A6DDA7C" w14:textId="77777777" w:rsidTr="00E90896">
        <w:tc>
          <w:tcPr>
            <w:tcW w:w="4698" w:type="dxa"/>
          </w:tcPr>
          <w:p w14:paraId="427CF096" w14:textId="77777777" w:rsidR="004C2EE3" w:rsidRPr="00AF6DA7" w:rsidRDefault="004C2EE3">
            <w:pPr>
              <w:tabs>
                <w:tab w:val="center" w:pos="4680"/>
              </w:tabs>
              <w:suppressAutoHyphens/>
              <w:rPr>
                <w:spacing w:val="-2"/>
              </w:rPr>
            </w:pPr>
            <w:r w:rsidRPr="00AF6DA7">
              <w:rPr>
                <w:spacing w:val="-2"/>
              </w:rPr>
              <w:t>In the Matter of</w:t>
            </w:r>
          </w:p>
          <w:p w14:paraId="4E267DE3" w14:textId="77777777" w:rsidR="004C2EE3" w:rsidRPr="00AF6DA7" w:rsidRDefault="004C2EE3">
            <w:pPr>
              <w:tabs>
                <w:tab w:val="center" w:pos="4680"/>
              </w:tabs>
              <w:suppressAutoHyphens/>
              <w:rPr>
                <w:spacing w:val="-2"/>
              </w:rPr>
            </w:pPr>
          </w:p>
          <w:p w14:paraId="35B84DAC" w14:textId="77777777" w:rsidR="004C2EE3" w:rsidRPr="00AF6DA7" w:rsidRDefault="00526C64" w:rsidP="00526C64">
            <w:pPr>
              <w:tabs>
                <w:tab w:val="center" w:pos="4680"/>
              </w:tabs>
              <w:suppressAutoHyphens/>
              <w:rPr>
                <w:spacing w:val="-2"/>
              </w:rPr>
            </w:pPr>
            <w:r w:rsidRPr="00AF6DA7">
              <w:rPr>
                <w:spacing w:val="-2"/>
              </w:rPr>
              <w:t>Procedures for Commission Review of State Opt-Out Request</w:t>
            </w:r>
            <w:r w:rsidR="00AE1AE9" w:rsidRPr="00AF6DA7">
              <w:rPr>
                <w:spacing w:val="-2"/>
              </w:rPr>
              <w:t>s</w:t>
            </w:r>
            <w:r w:rsidRPr="00AF6DA7">
              <w:rPr>
                <w:spacing w:val="-2"/>
              </w:rPr>
              <w:t xml:space="preserve"> from the FirstNet Radio Access Network</w:t>
            </w:r>
          </w:p>
        </w:tc>
        <w:tc>
          <w:tcPr>
            <w:tcW w:w="630" w:type="dxa"/>
          </w:tcPr>
          <w:p w14:paraId="7A88A203" w14:textId="77777777" w:rsidR="004C2EE3" w:rsidRPr="00AF6DA7" w:rsidRDefault="004C2EE3">
            <w:pPr>
              <w:tabs>
                <w:tab w:val="center" w:pos="4680"/>
              </w:tabs>
              <w:suppressAutoHyphens/>
              <w:rPr>
                <w:b/>
                <w:spacing w:val="-2"/>
              </w:rPr>
            </w:pPr>
            <w:r w:rsidRPr="00AF6DA7">
              <w:rPr>
                <w:b/>
                <w:spacing w:val="-2"/>
              </w:rPr>
              <w:t>)</w:t>
            </w:r>
          </w:p>
          <w:p w14:paraId="66BC47D2" w14:textId="77777777" w:rsidR="004C2EE3" w:rsidRPr="00AF6DA7" w:rsidRDefault="004C2EE3">
            <w:pPr>
              <w:tabs>
                <w:tab w:val="center" w:pos="4680"/>
              </w:tabs>
              <w:suppressAutoHyphens/>
              <w:rPr>
                <w:b/>
                <w:spacing w:val="-2"/>
              </w:rPr>
            </w:pPr>
            <w:r w:rsidRPr="00AF6DA7">
              <w:rPr>
                <w:b/>
                <w:spacing w:val="-2"/>
              </w:rPr>
              <w:t>)</w:t>
            </w:r>
          </w:p>
          <w:p w14:paraId="601C3182" w14:textId="77777777" w:rsidR="004C2EE3" w:rsidRPr="00AF6DA7" w:rsidRDefault="004C2EE3">
            <w:pPr>
              <w:tabs>
                <w:tab w:val="center" w:pos="4680"/>
              </w:tabs>
              <w:suppressAutoHyphens/>
              <w:rPr>
                <w:b/>
                <w:spacing w:val="-2"/>
              </w:rPr>
            </w:pPr>
            <w:r w:rsidRPr="00AF6DA7">
              <w:rPr>
                <w:b/>
                <w:spacing w:val="-2"/>
              </w:rPr>
              <w:t>)</w:t>
            </w:r>
          </w:p>
          <w:p w14:paraId="34A4297C" w14:textId="77777777" w:rsidR="004C2EE3" w:rsidRPr="00AF6DA7" w:rsidRDefault="004C2EE3">
            <w:pPr>
              <w:tabs>
                <w:tab w:val="center" w:pos="4680"/>
              </w:tabs>
              <w:suppressAutoHyphens/>
              <w:rPr>
                <w:b/>
                <w:spacing w:val="-2"/>
              </w:rPr>
            </w:pPr>
            <w:r w:rsidRPr="00AF6DA7">
              <w:rPr>
                <w:b/>
                <w:spacing w:val="-2"/>
              </w:rPr>
              <w:t>)</w:t>
            </w:r>
          </w:p>
          <w:p w14:paraId="18D84B0C" w14:textId="77777777" w:rsidR="004C2EE3" w:rsidRPr="00AF6DA7" w:rsidRDefault="004C2EE3">
            <w:pPr>
              <w:tabs>
                <w:tab w:val="center" w:pos="4680"/>
              </w:tabs>
              <w:suppressAutoHyphens/>
              <w:rPr>
                <w:spacing w:val="-2"/>
              </w:rPr>
            </w:pPr>
            <w:r w:rsidRPr="00AF6DA7">
              <w:rPr>
                <w:b/>
                <w:spacing w:val="-2"/>
              </w:rPr>
              <w:t>)</w:t>
            </w:r>
          </w:p>
        </w:tc>
        <w:tc>
          <w:tcPr>
            <w:tcW w:w="4248" w:type="dxa"/>
          </w:tcPr>
          <w:p w14:paraId="3CC3CC66" w14:textId="77777777" w:rsidR="004C2EE3" w:rsidRPr="00AF6DA7" w:rsidRDefault="004C2EE3">
            <w:pPr>
              <w:tabs>
                <w:tab w:val="center" w:pos="4680"/>
              </w:tabs>
              <w:suppressAutoHyphens/>
              <w:rPr>
                <w:spacing w:val="-2"/>
              </w:rPr>
            </w:pPr>
          </w:p>
          <w:p w14:paraId="3E853202" w14:textId="77777777" w:rsidR="004C2EE3" w:rsidRPr="00AF6DA7" w:rsidRDefault="004C2EE3">
            <w:pPr>
              <w:pStyle w:val="TOAHeading"/>
              <w:tabs>
                <w:tab w:val="clear" w:pos="9360"/>
                <w:tab w:val="center" w:pos="4680"/>
              </w:tabs>
              <w:rPr>
                <w:spacing w:val="-2"/>
              </w:rPr>
            </w:pPr>
          </w:p>
          <w:p w14:paraId="16DC3F1C" w14:textId="77777777" w:rsidR="004C2EE3" w:rsidRPr="00AF6DA7" w:rsidRDefault="00526C64">
            <w:pPr>
              <w:tabs>
                <w:tab w:val="center" w:pos="4680"/>
              </w:tabs>
              <w:suppressAutoHyphens/>
              <w:rPr>
                <w:spacing w:val="-2"/>
              </w:rPr>
            </w:pPr>
            <w:r w:rsidRPr="00AF6DA7">
              <w:rPr>
                <w:spacing w:val="-2"/>
              </w:rPr>
              <w:t>PS Docket 16-269</w:t>
            </w:r>
          </w:p>
        </w:tc>
      </w:tr>
    </w:tbl>
    <w:p w14:paraId="03637B33" w14:textId="77777777" w:rsidR="004C2EE3" w:rsidRPr="00E31130" w:rsidRDefault="004C2EE3" w:rsidP="0070224F"/>
    <w:p w14:paraId="1A7A1731" w14:textId="77777777" w:rsidR="00841AB1" w:rsidRPr="00B10571" w:rsidRDefault="00526C64" w:rsidP="00F021FA">
      <w:pPr>
        <w:pStyle w:val="StyleBoldCentered"/>
        <w:rPr>
          <w:rFonts w:ascii="Times New Roman" w:hAnsi="Times New Roman"/>
        </w:rPr>
      </w:pPr>
      <w:r w:rsidRPr="00B10571">
        <w:rPr>
          <w:rFonts w:ascii="Times New Roman" w:hAnsi="Times New Roman"/>
        </w:rPr>
        <w:t>order</w:t>
      </w:r>
    </w:p>
    <w:p w14:paraId="58D86719" w14:textId="77777777" w:rsidR="004C2EE3" w:rsidRPr="00E31130" w:rsidRDefault="004C2EE3">
      <w:pPr>
        <w:tabs>
          <w:tab w:val="left" w:pos="-720"/>
        </w:tabs>
        <w:suppressAutoHyphens/>
        <w:spacing w:line="227" w:lineRule="auto"/>
        <w:rPr>
          <w:spacing w:val="-2"/>
        </w:rPr>
      </w:pPr>
    </w:p>
    <w:p w14:paraId="00F8220C" w14:textId="6DADF7D0" w:rsidR="004C2EE3" w:rsidRPr="00AF6DA7" w:rsidRDefault="004C2EE3" w:rsidP="00133F79">
      <w:pPr>
        <w:tabs>
          <w:tab w:val="left" w:pos="720"/>
          <w:tab w:val="right" w:pos="9360"/>
        </w:tabs>
        <w:suppressAutoHyphens/>
        <w:spacing w:line="227" w:lineRule="auto"/>
        <w:rPr>
          <w:spacing w:val="-2"/>
        </w:rPr>
      </w:pPr>
      <w:r w:rsidRPr="00AF6DA7">
        <w:rPr>
          <w:b/>
          <w:spacing w:val="-2"/>
        </w:rPr>
        <w:t xml:space="preserve">Adopted:  </w:t>
      </w:r>
      <w:r w:rsidR="001F771E">
        <w:rPr>
          <w:b/>
          <w:spacing w:val="-2"/>
        </w:rPr>
        <w:t>September 14, 2017</w:t>
      </w:r>
      <w:r w:rsidRPr="00AF6DA7">
        <w:rPr>
          <w:b/>
          <w:spacing w:val="-2"/>
        </w:rPr>
        <w:tab/>
      </w:r>
      <w:r w:rsidR="00822CE0" w:rsidRPr="00AF6DA7">
        <w:rPr>
          <w:b/>
          <w:spacing w:val="-2"/>
        </w:rPr>
        <w:t>Released</w:t>
      </w:r>
      <w:r w:rsidRPr="00AF6DA7">
        <w:rPr>
          <w:b/>
          <w:spacing w:val="-2"/>
        </w:rPr>
        <w:t>:</w:t>
      </w:r>
      <w:r w:rsidR="009E6F3F">
        <w:rPr>
          <w:b/>
          <w:spacing w:val="-2"/>
        </w:rPr>
        <w:t xml:space="preserve">  September 15, 2017</w:t>
      </w:r>
    </w:p>
    <w:p w14:paraId="4A3ED26B" w14:textId="77777777" w:rsidR="00822CE0" w:rsidRPr="00AF6DA7" w:rsidRDefault="00822CE0"/>
    <w:p w14:paraId="671B2537" w14:textId="0A340FE3" w:rsidR="004C2EE3" w:rsidRPr="00AF6DA7" w:rsidRDefault="004C2EE3">
      <w:pPr>
        <w:rPr>
          <w:spacing w:val="-2"/>
        </w:rPr>
      </w:pPr>
      <w:r w:rsidRPr="00AF6DA7">
        <w:t xml:space="preserve">By </w:t>
      </w:r>
      <w:r w:rsidR="004E4A22" w:rsidRPr="00AF6DA7">
        <w:t>the</w:t>
      </w:r>
      <w:r w:rsidR="002A2D2E" w:rsidRPr="00AF6DA7">
        <w:t xml:space="preserve"> </w:t>
      </w:r>
      <w:r w:rsidR="00240F98" w:rsidRPr="00AF6DA7">
        <w:rPr>
          <w:spacing w:val="-2"/>
        </w:rPr>
        <w:t>Commission:</w:t>
      </w:r>
      <w:r w:rsidR="001F771E">
        <w:rPr>
          <w:spacing w:val="-2"/>
        </w:rPr>
        <w:t xml:space="preserve">  </w:t>
      </w:r>
      <w:r w:rsidR="00F56263">
        <w:rPr>
          <w:spacing w:val="-2"/>
        </w:rPr>
        <w:t xml:space="preserve">Chairman Pai and </w:t>
      </w:r>
      <w:r w:rsidR="001F771E">
        <w:rPr>
          <w:spacing w:val="-2"/>
        </w:rPr>
        <w:t xml:space="preserve">Commissioner </w:t>
      </w:r>
      <w:r w:rsidR="001F771E" w:rsidRPr="001F771E">
        <w:rPr>
          <w:spacing w:val="-2"/>
        </w:rPr>
        <w:t xml:space="preserve">Rosenworcel </w:t>
      </w:r>
      <w:r w:rsidR="00F56263">
        <w:rPr>
          <w:spacing w:val="-2"/>
        </w:rPr>
        <w:t xml:space="preserve">issuing </w:t>
      </w:r>
      <w:r w:rsidR="001F771E">
        <w:rPr>
          <w:spacing w:val="-2"/>
        </w:rPr>
        <w:t>statement</w:t>
      </w:r>
      <w:r w:rsidR="00F56263">
        <w:rPr>
          <w:spacing w:val="-2"/>
        </w:rPr>
        <w:t>s</w:t>
      </w:r>
      <w:r w:rsidR="001F771E">
        <w:rPr>
          <w:spacing w:val="-2"/>
        </w:rPr>
        <w:t>.</w:t>
      </w:r>
    </w:p>
    <w:p w14:paraId="176FAC30" w14:textId="77777777" w:rsidR="00CF1735" w:rsidRPr="00AF6DA7" w:rsidRDefault="00CF1735">
      <w:pPr>
        <w:rPr>
          <w:spacing w:val="-2"/>
        </w:rPr>
      </w:pPr>
    </w:p>
    <w:p w14:paraId="322D74EC" w14:textId="77777777" w:rsidR="002C00E8" w:rsidRPr="00B10571" w:rsidRDefault="00526C64" w:rsidP="002C00E8">
      <w:pPr>
        <w:pStyle w:val="Heading1"/>
        <w:rPr>
          <w:rFonts w:ascii="Times New Roman" w:hAnsi="Times New Roman"/>
        </w:rPr>
      </w:pPr>
      <w:bookmarkStart w:id="1" w:name="_Toc482780145"/>
      <w:bookmarkStart w:id="2" w:name="_Toc482780362"/>
      <w:bookmarkStart w:id="3" w:name="_Toc483919381"/>
      <w:bookmarkStart w:id="4" w:name="_Toc485821084"/>
      <w:r w:rsidRPr="00B10571">
        <w:rPr>
          <w:rFonts w:ascii="Times New Roman" w:hAnsi="Times New Roman"/>
        </w:rPr>
        <w:t>introduction and background</w:t>
      </w:r>
      <w:bookmarkEnd w:id="1"/>
      <w:bookmarkEnd w:id="2"/>
      <w:bookmarkEnd w:id="3"/>
      <w:bookmarkEnd w:id="4"/>
    </w:p>
    <w:p w14:paraId="14EB4027" w14:textId="6D2BEC34" w:rsidR="00C359FF" w:rsidRPr="00E31130" w:rsidRDefault="00C359FF" w:rsidP="00534870">
      <w:pPr>
        <w:pStyle w:val="ParaNum"/>
      </w:pPr>
      <w:r w:rsidRPr="00E31130">
        <w:t xml:space="preserve">On June 22, 2017, the Federal Communications Commission (Commission) adopted a </w:t>
      </w:r>
      <w:r w:rsidRPr="00AF6DA7">
        <w:rPr>
          <w:i/>
        </w:rPr>
        <w:t>Report and Order</w:t>
      </w:r>
      <w:r w:rsidRPr="00AF6DA7">
        <w:t xml:space="preserve"> in this docket establishing Commission procedures for administering the state opt-out process as provided under the Public Safety Spectrum Act,</w:t>
      </w:r>
      <w:r w:rsidR="004D7B86" w:rsidRPr="008F239B">
        <w:rPr>
          <w:rStyle w:val="FootnoteReference"/>
          <w:sz w:val="22"/>
        </w:rPr>
        <w:footnoteReference w:id="2"/>
      </w:r>
      <w:r w:rsidRPr="00E31130">
        <w:t xml:space="preserve"> as well as delineating the two-prong statutory standard by which the Commission will evaluate state alternative plans.</w:t>
      </w:r>
      <w:r w:rsidRPr="008F239B">
        <w:rPr>
          <w:rStyle w:val="FootnoteReference"/>
          <w:sz w:val="22"/>
        </w:rPr>
        <w:footnoteReference w:id="3"/>
      </w:r>
      <w:r w:rsidRPr="00E31130">
        <w:t xml:space="preserve">  </w:t>
      </w:r>
      <w:r w:rsidR="00534870" w:rsidRPr="00E31130">
        <w:t xml:space="preserve">The </w:t>
      </w:r>
      <w:r w:rsidR="00534870" w:rsidRPr="00B10571">
        <w:rPr>
          <w:i/>
        </w:rPr>
        <w:t>Report and Order</w:t>
      </w:r>
      <w:r w:rsidR="00534870" w:rsidRPr="00E31130">
        <w:t xml:space="preserve"> resolved all issues, except the standard under which the FCC</w:t>
      </w:r>
      <w:r w:rsidR="00AE1A71" w:rsidRPr="00E31130">
        <w:t xml:space="preserve"> would review compliance with “P</w:t>
      </w:r>
      <w:r w:rsidR="00534870" w:rsidRPr="00E31130">
        <w:t>rong 2” of the statutory test.</w:t>
      </w:r>
      <w:r w:rsidR="00534870" w:rsidRPr="008F239B">
        <w:rPr>
          <w:rStyle w:val="FootnoteReference"/>
          <w:sz w:val="22"/>
        </w:rPr>
        <w:footnoteReference w:id="4"/>
      </w:r>
      <w:r w:rsidR="00534870" w:rsidRPr="00E31130">
        <w:t xml:space="preserve">  </w:t>
      </w:r>
      <w:r w:rsidRPr="00E31130">
        <w:t xml:space="preserve">The </w:t>
      </w:r>
      <w:r w:rsidRPr="00E31130">
        <w:rPr>
          <w:i/>
        </w:rPr>
        <w:t>Report and Order</w:t>
      </w:r>
      <w:r w:rsidRPr="00AF6DA7">
        <w:t xml:space="preserve"> directed the Public Safety and Homeland Security Bureau (Bureau) to issue a Public Notice establishing an expedited comment period for public comment on </w:t>
      </w:r>
      <w:r w:rsidRPr="00AF6DA7">
        <w:rPr>
          <w:i/>
        </w:rPr>
        <w:t>ex parte</w:t>
      </w:r>
      <w:r w:rsidRPr="00AF6DA7">
        <w:t xml:space="preserve"> filings submitted by the First Responder Network Authority (FirstNet)</w:t>
      </w:r>
      <w:r w:rsidR="00534870" w:rsidRPr="00AF6DA7">
        <w:t xml:space="preserve"> on this standard</w:t>
      </w:r>
      <w:r w:rsidRPr="00AF6DA7">
        <w:t>.</w:t>
      </w:r>
      <w:r w:rsidRPr="008F239B">
        <w:rPr>
          <w:rStyle w:val="FootnoteReference"/>
          <w:sz w:val="22"/>
        </w:rPr>
        <w:footnoteReference w:id="5"/>
      </w:r>
      <w:r w:rsidRPr="00E31130">
        <w:t xml:space="preserve">  </w:t>
      </w:r>
    </w:p>
    <w:p w14:paraId="2008D769" w14:textId="49116886" w:rsidR="00CF1735" w:rsidRPr="00AF6DA7" w:rsidRDefault="00CF1735" w:rsidP="00CF1735">
      <w:pPr>
        <w:pStyle w:val="ParaNum"/>
      </w:pPr>
      <w:r w:rsidRPr="00E31130">
        <w:t xml:space="preserve">In a June 5, 2017 </w:t>
      </w:r>
      <w:r w:rsidRPr="00AF6DA7">
        <w:rPr>
          <w:i/>
        </w:rPr>
        <w:t xml:space="preserve">ex parte </w:t>
      </w:r>
      <w:r w:rsidRPr="00AF6DA7">
        <w:t>filing, FirstNet filed a spreadsheet listing “FCC Evaluation Requirements” associated with specific elements of its anticipated state plan categories.</w:t>
      </w:r>
      <w:r w:rsidRPr="00AF6DA7">
        <w:rPr>
          <w:vertAlign w:val="superscript"/>
        </w:rPr>
        <w:footnoteReference w:id="6"/>
      </w:r>
      <w:r w:rsidRPr="00AF6DA7">
        <w:t xml:space="preserve">  FirstNet stated that the spreadsheet represents an “interoperability compliance matrix that documents the technical standards that will be necessary to ensure a state or territory’s </w:t>
      </w:r>
      <w:r w:rsidR="005F0FFB" w:rsidRPr="008F239B">
        <w:t>[Radio Access Network (RAN)]</w:t>
      </w:r>
      <w:r w:rsidR="005F0FFB" w:rsidRPr="00E31130">
        <w:t xml:space="preserve"> </w:t>
      </w:r>
      <w:r w:rsidRPr="00E31130">
        <w:t xml:space="preserve">is interoperable with the </w:t>
      </w:r>
      <w:r w:rsidR="005F0FFB" w:rsidRPr="008F239B">
        <w:t>[Nationwide Public Safety Broadband Network (</w:t>
      </w:r>
      <w:r w:rsidRPr="00E31130">
        <w:t>NPSBN</w:t>
      </w:r>
      <w:r w:rsidR="005F0FFB" w:rsidRPr="008F239B">
        <w:t>)]</w:t>
      </w:r>
      <w:r w:rsidRPr="00E31130">
        <w:t>.”</w:t>
      </w:r>
      <w:r w:rsidRPr="00E31130">
        <w:rPr>
          <w:vertAlign w:val="superscript"/>
        </w:rPr>
        <w:footnoteReference w:id="7"/>
      </w:r>
      <w:r w:rsidRPr="00AF6DA7">
        <w:t xml:space="preserve">  On June 16, 2017, FirstNet filed an additional </w:t>
      </w:r>
      <w:r w:rsidRPr="00AF6DA7">
        <w:rPr>
          <w:i/>
        </w:rPr>
        <w:t>ex parte</w:t>
      </w:r>
      <w:r w:rsidR="00EC5C0B" w:rsidRPr="00AF6DA7">
        <w:t xml:space="preserve"> letter in which it proffered</w:t>
      </w:r>
      <w:r w:rsidRPr="00AF6DA7">
        <w:t xml:space="preserve"> a revised interoperability compliance </w:t>
      </w:r>
      <w:r w:rsidRPr="00AF6DA7">
        <w:lastRenderedPageBreak/>
        <w:t>matrix.</w:t>
      </w:r>
      <w:r w:rsidRPr="00AF6DA7">
        <w:rPr>
          <w:vertAlign w:val="superscript"/>
        </w:rPr>
        <w:footnoteReference w:id="8"/>
      </w:r>
      <w:r w:rsidRPr="00AF6DA7">
        <w:t xml:space="preserve">  </w:t>
      </w:r>
    </w:p>
    <w:p w14:paraId="0E3C9650" w14:textId="64CDCCDD" w:rsidR="00534870" w:rsidRPr="00E31130" w:rsidRDefault="00CF1735" w:rsidP="00534870">
      <w:pPr>
        <w:pStyle w:val="ParaNum"/>
      </w:pPr>
      <w:r w:rsidRPr="00AF6DA7">
        <w:t>In the r</w:t>
      </w:r>
      <w:r w:rsidR="00EC5C0B" w:rsidRPr="00AF6DA7">
        <w:t>evised matrix, FirstNet proposed</w:t>
      </w:r>
      <w:r w:rsidRPr="00AF6DA7">
        <w:t xml:space="preserve"> that the Commission’s review under the second statutory prong be limited to whether alternative state plans comply with recommended requirements [4] and [5] from the Interoperability Board Report.</w:t>
      </w:r>
      <w:r w:rsidR="00021A81" w:rsidRPr="008F239B">
        <w:rPr>
          <w:rStyle w:val="FootnoteReference"/>
          <w:sz w:val="22"/>
        </w:rPr>
        <w:footnoteReference w:id="9"/>
      </w:r>
      <w:r w:rsidRPr="00E31130">
        <w:t xml:space="preserve">  </w:t>
      </w:r>
      <w:r w:rsidR="00BF054D" w:rsidRPr="00E31130">
        <w:t>These recommendations apply to the use of Access Point Names or APNs.</w:t>
      </w:r>
      <w:r w:rsidR="0026494B" w:rsidRPr="008F239B">
        <w:rPr>
          <w:rStyle w:val="FootnoteReference"/>
          <w:sz w:val="22"/>
        </w:rPr>
        <w:footnoteReference w:id="10"/>
      </w:r>
      <w:r w:rsidR="00BF054D" w:rsidRPr="00E31130">
        <w:t xml:space="preserve">  </w:t>
      </w:r>
      <w:r w:rsidR="00534870" w:rsidRPr="00E31130">
        <w:t>Recommended requiremen</w:t>
      </w:r>
      <w:r w:rsidR="00534870" w:rsidRPr="00AF6DA7">
        <w:t xml:space="preserve">t [4] states that </w:t>
      </w:r>
      <w:r w:rsidR="00523BAA" w:rsidRPr="00AF6DA7">
        <w:t>“[</w:t>
      </w:r>
      <w:r w:rsidR="00534870" w:rsidRPr="00AF6DA7">
        <w:t>h</w:t>
      </w:r>
      <w:r w:rsidR="00523BAA" w:rsidRPr="00AF6DA7">
        <w:t>]</w:t>
      </w:r>
      <w:r w:rsidR="00534870" w:rsidRPr="00AF6DA7">
        <w:t xml:space="preserve">ardware and software systems comprising the </w:t>
      </w:r>
      <w:r w:rsidR="00622FE0" w:rsidRPr="00AF6DA7">
        <w:t>NPSBN</w:t>
      </w:r>
      <w:r w:rsidR="00534870" w:rsidRPr="00AF6DA7">
        <w:t xml:space="preserve"> SHALL support APNs defined for PSAN </w:t>
      </w:r>
      <w:r w:rsidR="00A46FF8">
        <w:t xml:space="preserve">[Public Safety Application Network] </w:t>
      </w:r>
      <w:r w:rsidR="00534870" w:rsidRPr="00AF6DA7">
        <w:t>usage.”</w:t>
      </w:r>
      <w:r w:rsidR="00CE6DDD" w:rsidRPr="008F239B">
        <w:rPr>
          <w:rStyle w:val="FootnoteReference"/>
          <w:sz w:val="22"/>
        </w:rPr>
        <w:footnoteReference w:id="11"/>
      </w:r>
      <w:r w:rsidR="00534870" w:rsidRPr="00E31130">
        <w:t xml:space="preserve"> </w:t>
      </w:r>
      <w:r w:rsidR="000832C5" w:rsidRPr="00E31130">
        <w:t xml:space="preserve"> </w:t>
      </w:r>
      <w:r w:rsidR="00534870" w:rsidRPr="00AF6DA7">
        <w:t xml:space="preserve">Recommended requirement [5] states that </w:t>
      </w:r>
      <w:r w:rsidR="00523BAA" w:rsidRPr="00AF6DA7">
        <w:t>“[</w:t>
      </w:r>
      <w:r w:rsidR="00534870" w:rsidRPr="00AF6DA7">
        <w:t>h</w:t>
      </w:r>
      <w:r w:rsidR="00523BAA" w:rsidRPr="00AF6DA7">
        <w:t>]</w:t>
      </w:r>
      <w:r w:rsidR="00534870" w:rsidRPr="00AF6DA7">
        <w:t xml:space="preserve">ardware and software systems comprising the </w:t>
      </w:r>
      <w:r w:rsidR="00622FE0" w:rsidRPr="00AF6DA7">
        <w:t>NPSBN</w:t>
      </w:r>
      <w:r w:rsidR="00534870" w:rsidRPr="00AF6DA7">
        <w:t xml:space="preserve"> SHALL support nationwide APNs for interoperability.”</w:t>
      </w:r>
      <w:r w:rsidR="00021A81" w:rsidRPr="008F239B">
        <w:rPr>
          <w:rStyle w:val="FootnoteReference"/>
          <w:sz w:val="22"/>
        </w:rPr>
        <w:footnoteReference w:id="12"/>
      </w:r>
      <w:r w:rsidR="00534870" w:rsidRPr="00E31130">
        <w:t xml:space="preserve">  </w:t>
      </w:r>
    </w:p>
    <w:p w14:paraId="21360857" w14:textId="072C219B" w:rsidR="003155AD" w:rsidRPr="00E31130" w:rsidRDefault="0026494B" w:rsidP="0026494B">
      <w:pPr>
        <w:pStyle w:val="ParaNum"/>
      </w:pPr>
      <w:r w:rsidRPr="00AF6DA7">
        <w:t xml:space="preserve">On June 28, 2017, the Bureau released the requisite Public Notice seeking </w:t>
      </w:r>
      <w:r w:rsidR="00CF1735" w:rsidRPr="00AF6DA7">
        <w:t xml:space="preserve">comment </w:t>
      </w:r>
      <w:r w:rsidR="00C56127" w:rsidRPr="00AF6DA7">
        <w:t>“</w:t>
      </w:r>
      <w:r w:rsidR="00CF1735" w:rsidRPr="00AF6DA7">
        <w:t xml:space="preserve">on FirstNet’s proposal, as reflected in its June 5 and June 16 </w:t>
      </w:r>
      <w:r w:rsidR="00CF1735" w:rsidRPr="00AF6DA7">
        <w:rPr>
          <w:i/>
        </w:rPr>
        <w:t>ex parte</w:t>
      </w:r>
      <w:r w:rsidR="00CF1735" w:rsidRPr="00AF6DA7">
        <w:t xml:space="preserve"> filings and any related filings, and specifically on whether and to what extent the Commission should utilize the criteria proposed by FirstNet when evaluating the interoperability of a state’s proposed RAN with the NPSBN under the second prong of the Commission’s statutory interoperability analysis.</w:t>
      </w:r>
      <w:r w:rsidR="00C56127" w:rsidRPr="00AF6DA7">
        <w:t>”</w:t>
      </w:r>
      <w:r w:rsidR="00CF1735" w:rsidRPr="008F239B">
        <w:rPr>
          <w:rStyle w:val="FootnoteReference"/>
          <w:sz w:val="22"/>
        </w:rPr>
        <w:footnoteReference w:id="13"/>
      </w:r>
      <w:r w:rsidR="00CF1735" w:rsidRPr="00E31130">
        <w:t xml:space="preserve"> </w:t>
      </w:r>
      <w:r w:rsidR="00A70FB8" w:rsidRPr="00E31130">
        <w:t xml:space="preserve"> </w:t>
      </w:r>
      <w:r w:rsidR="00361BD7" w:rsidRPr="00AF6DA7">
        <w:t>Ten</w:t>
      </w:r>
      <w:r w:rsidR="005E245B" w:rsidRPr="00AF6DA7">
        <w:t xml:space="preserve"> parties filed comments</w:t>
      </w:r>
      <w:r w:rsidRPr="00AF6DA7">
        <w:t xml:space="preserve"> in response to the Public Notice</w:t>
      </w:r>
      <w:r w:rsidR="005E245B" w:rsidRPr="00AF6DA7">
        <w:t>.</w:t>
      </w:r>
      <w:r w:rsidR="0030672C" w:rsidRPr="008F239B">
        <w:rPr>
          <w:rStyle w:val="FootnoteReference"/>
          <w:sz w:val="22"/>
        </w:rPr>
        <w:footnoteReference w:id="14"/>
      </w:r>
    </w:p>
    <w:p w14:paraId="30EAB112" w14:textId="77777777" w:rsidR="00526C64" w:rsidRPr="00B10571" w:rsidRDefault="005E245B" w:rsidP="00526C64">
      <w:pPr>
        <w:pStyle w:val="Heading1"/>
        <w:rPr>
          <w:rFonts w:ascii="Times New Roman" w:hAnsi="Times New Roman"/>
        </w:rPr>
      </w:pPr>
      <w:bookmarkStart w:id="5" w:name="_Toc482780146"/>
      <w:bookmarkStart w:id="6" w:name="_Toc482780363"/>
      <w:bookmarkStart w:id="7" w:name="_Toc483919382"/>
      <w:bookmarkStart w:id="8" w:name="_Toc485821085"/>
      <w:r w:rsidRPr="00B10571">
        <w:rPr>
          <w:rFonts w:ascii="Times New Roman" w:hAnsi="Times New Roman"/>
        </w:rPr>
        <w:t>discussion</w:t>
      </w:r>
      <w:bookmarkEnd w:id="5"/>
      <w:bookmarkEnd w:id="6"/>
      <w:bookmarkEnd w:id="7"/>
      <w:bookmarkEnd w:id="8"/>
    </w:p>
    <w:p w14:paraId="3697D39C" w14:textId="77777777" w:rsidR="005E245B" w:rsidRPr="00E31130" w:rsidRDefault="00302B2A" w:rsidP="005E245B">
      <w:pPr>
        <w:pStyle w:val="Heading2"/>
      </w:pPr>
      <w:r w:rsidRPr="00E31130">
        <w:t>Scope of Prong 2 Review</w:t>
      </w:r>
    </w:p>
    <w:p w14:paraId="7BF9EEA4" w14:textId="176C99CC" w:rsidR="001B4361" w:rsidRPr="00AF6DA7" w:rsidRDefault="009B6C84" w:rsidP="001B4361">
      <w:pPr>
        <w:pStyle w:val="ParaNum"/>
      </w:pPr>
      <w:r w:rsidRPr="00AF6DA7">
        <w:t>In its Ju</w:t>
      </w:r>
      <w:r w:rsidR="00E8520A" w:rsidRPr="00AF6DA7">
        <w:t>ne 16</w:t>
      </w:r>
      <w:r w:rsidR="00E8520A" w:rsidRPr="00AF6DA7">
        <w:rPr>
          <w:vertAlign w:val="superscript"/>
        </w:rPr>
        <w:t>th</w:t>
      </w:r>
      <w:r w:rsidR="00E8520A" w:rsidRPr="00AF6DA7">
        <w:t xml:space="preserve"> </w:t>
      </w:r>
      <w:r w:rsidR="00E8520A" w:rsidRPr="00AF6DA7">
        <w:rPr>
          <w:i/>
        </w:rPr>
        <w:t>ex parte</w:t>
      </w:r>
      <w:r w:rsidR="001B4361" w:rsidRPr="00AF6DA7">
        <w:t xml:space="preserve">, FirstNet argues </w:t>
      </w:r>
      <w:r w:rsidR="00F81A42" w:rsidRPr="00AF6DA7">
        <w:t xml:space="preserve">that </w:t>
      </w:r>
      <w:r w:rsidR="0064242B" w:rsidRPr="00AF6DA7">
        <w:t xml:space="preserve">recommended </w:t>
      </w:r>
      <w:r w:rsidR="001B4361" w:rsidRPr="00AF6DA7">
        <w:t xml:space="preserve">requirements </w:t>
      </w:r>
      <w:r w:rsidR="003A2203" w:rsidRPr="00AF6DA7">
        <w:t>[4] and [5]</w:t>
      </w:r>
      <w:r w:rsidR="00F81A42" w:rsidRPr="00AF6DA7">
        <w:t xml:space="preserve"> </w:t>
      </w:r>
      <w:r w:rsidR="001B4361" w:rsidRPr="00AF6DA7">
        <w:t>are necessary to ensure the successful integration of the opt-out State’s RAN and the interworking of the RAN</w:t>
      </w:r>
      <w:r w:rsidR="001F61A6" w:rsidRPr="00AF6DA7">
        <w:t>-</w:t>
      </w:r>
      <w:r w:rsidR="001B4361" w:rsidRPr="00AF6DA7">
        <w:t>to</w:t>
      </w:r>
      <w:r w:rsidR="001F61A6" w:rsidRPr="00AF6DA7">
        <w:t>-</w:t>
      </w:r>
      <w:r w:rsidR="00A46FF8">
        <w:t>c</w:t>
      </w:r>
      <w:r w:rsidR="001B4361" w:rsidRPr="00AF6DA7">
        <w:t>ore interface.</w:t>
      </w:r>
      <w:r w:rsidR="001B4361" w:rsidRPr="008F239B">
        <w:rPr>
          <w:rStyle w:val="FootnoteReference"/>
          <w:sz w:val="22"/>
        </w:rPr>
        <w:footnoteReference w:id="15"/>
      </w:r>
      <w:r w:rsidR="001B4361" w:rsidRPr="00E31130">
        <w:t xml:space="preserve">  FirstNet seeks to </w:t>
      </w:r>
      <w:r w:rsidR="00EC115C" w:rsidRPr="008F239B">
        <w:t>have the Commission utilize</w:t>
      </w:r>
      <w:r w:rsidR="00EC115C" w:rsidRPr="00E31130">
        <w:t xml:space="preserve"> </w:t>
      </w:r>
      <w:r w:rsidR="001B4361" w:rsidRPr="00E31130">
        <w:t xml:space="preserve">these requirements </w:t>
      </w:r>
      <w:r w:rsidR="00EC115C" w:rsidRPr="008F239B">
        <w:t xml:space="preserve">under </w:t>
      </w:r>
      <w:r w:rsidR="00771707">
        <w:t>P</w:t>
      </w:r>
      <w:r w:rsidR="00EC115C" w:rsidRPr="008F239B">
        <w:t xml:space="preserve">rong 2 of its analysis </w:t>
      </w:r>
      <w:r w:rsidR="001B4361" w:rsidRPr="00E31130">
        <w:t xml:space="preserve">to highlight the need for an opt-out State’s RAN to support multiple APNs in order to </w:t>
      </w:r>
      <w:r w:rsidR="001B4361" w:rsidRPr="00E31130">
        <w:lastRenderedPageBreak/>
        <w:t>ensure both interoperability and Public Safety custom usage.</w:t>
      </w:r>
      <w:r w:rsidR="00446FB2" w:rsidRPr="008F239B">
        <w:rPr>
          <w:rStyle w:val="FootnoteReference"/>
          <w:sz w:val="22"/>
        </w:rPr>
        <w:footnoteReference w:id="16"/>
      </w:r>
      <w:r w:rsidR="001B4361" w:rsidRPr="00E31130">
        <w:t xml:space="preserve">  The FirstNet solution incorporates the use of general, specific, and custom APNs</w:t>
      </w:r>
      <w:r w:rsidR="00FF425B" w:rsidRPr="00E31130">
        <w:t>, among others</w:t>
      </w:r>
      <w:r w:rsidR="001B4361" w:rsidRPr="00AF6DA7">
        <w:t>.</w:t>
      </w:r>
      <w:r w:rsidR="001B4361" w:rsidRPr="008F239B">
        <w:rPr>
          <w:rStyle w:val="FootnoteReference"/>
          <w:sz w:val="22"/>
        </w:rPr>
        <w:footnoteReference w:id="17"/>
      </w:r>
      <w:r w:rsidR="001B4361" w:rsidRPr="00E31130">
        <w:t xml:space="preserve">  FirstNet concedes that APN interoperability is primarily between the User Equipment (UE) and the Core Network, but argues </w:t>
      </w:r>
      <w:r w:rsidR="00111F22">
        <w:t xml:space="preserve">that </w:t>
      </w:r>
      <w:r w:rsidR="001B4361" w:rsidRPr="00E31130">
        <w:t>support of multiple APNs in a device will also require the device to interoperate with the RAN in order to set up multiple default and dedicated bearers based on supp</w:t>
      </w:r>
      <w:r w:rsidR="001B4361" w:rsidRPr="00AF6DA7">
        <w:t>orted APNs.</w:t>
      </w:r>
      <w:r w:rsidR="001B4361" w:rsidRPr="008F239B">
        <w:rPr>
          <w:rStyle w:val="FootnoteReference"/>
          <w:sz w:val="22"/>
        </w:rPr>
        <w:footnoteReference w:id="18"/>
      </w:r>
      <w:r w:rsidR="001B4361" w:rsidRPr="00E31130">
        <w:t xml:space="preserve">  FirstNet believes </w:t>
      </w:r>
      <w:r w:rsidR="005154FA" w:rsidRPr="00E31130">
        <w:t xml:space="preserve">that </w:t>
      </w:r>
      <w:r w:rsidR="00EC115C" w:rsidRPr="008F239B">
        <w:t>utilizing</w:t>
      </w:r>
      <w:r w:rsidR="00EC115C" w:rsidRPr="00E31130">
        <w:t xml:space="preserve"> </w:t>
      </w:r>
      <w:r w:rsidR="001B4361" w:rsidRPr="00E31130">
        <w:t xml:space="preserve">these two requirements </w:t>
      </w:r>
      <w:r w:rsidR="00EC115C" w:rsidRPr="008F239B">
        <w:t>to meet</w:t>
      </w:r>
      <w:r w:rsidR="001B4361" w:rsidRPr="00E31130">
        <w:t xml:space="preserve"> the Prong 2 </w:t>
      </w:r>
      <w:r w:rsidR="003C67FC" w:rsidRPr="00AF6DA7">
        <w:t>showing</w:t>
      </w:r>
      <w:r w:rsidR="001B4361" w:rsidRPr="00AF6DA7">
        <w:t xml:space="preserve"> </w:t>
      </w:r>
      <w:r w:rsidR="00F81A42" w:rsidRPr="00AF6DA7">
        <w:t>is</w:t>
      </w:r>
      <w:r w:rsidR="001B4361" w:rsidRPr="00AF6DA7">
        <w:t xml:space="preserve"> necessary to ensure interoperability with the NPSBN.</w:t>
      </w:r>
      <w:r w:rsidR="001B4361" w:rsidRPr="008F239B">
        <w:rPr>
          <w:rStyle w:val="FootnoteReference"/>
          <w:sz w:val="22"/>
        </w:rPr>
        <w:footnoteReference w:id="19"/>
      </w:r>
      <w:r w:rsidR="001B4361" w:rsidRPr="00E31130">
        <w:t xml:space="preserve"> </w:t>
      </w:r>
      <w:r w:rsidR="001B4361" w:rsidRPr="00E31130">
        <w:rPr>
          <w:i/>
        </w:rPr>
        <w:t xml:space="preserve"> </w:t>
      </w:r>
    </w:p>
    <w:p w14:paraId="523AA708" w14:textId="7C248F65" w:rsidR="00D4164A" w:rsidRPr="00AF6DA7" w:rsidRDefault="00C85881" w:rsidP="008F239B">
      <w:pPr>
        <w:pStyle w:val="ParaNum"/>
      </w:pPr>
      <w:r w:rsidRPr="00AF6DA7">
        <w:t>We</w:t>
      </w:r>
      <w:r w:rsidR="00C5172E" w:rsidRPr="00AF6DA7">
        <w:t xml:space="preserve"> conclude that our review under Prong 2 </w:t>
      </w:r>
      <w:r w:rsidR="000F1FB1" w:rsidRPr="00AF6DA7">
        <w:t>should</w:t>
      </w:r>
      <w:r w:rsidR="001D24DC" w:rsidRPr="00AF6DA7">
        <w:t xml:space="preserve"> </w:t>
      </w:r>
      <w:r w:rsidR="00C5172E" w:rsidRPr="00AF6DA7">
        <w:t xml:space="preserve">be limited to determining whether </w:t>
      </w:r>
      <w:r w:rsidR="00A46FF8">
        <w:t xml:space="preserve">alternative </w:t>
      </w:r>
      <w:r w:rsidR="00C5172E" w:rsidRPr="00AF6DA7">
        <w:t>state plans comply with recommended requirements [4] and [5] from the Interoperability Board Report.</w:t>
      </w:r>
      <w:r w:rsidR="005526A7" w:rsidRPr="00771707">
        <w:rPr>
          <w:rStyle w:val="CommentReference"/>
          <w:sz w:val="22"/>
          <w:szCs w:val="22"/>
        </w:rPr>
        <w:t xml:space="preserve"> </w:t>
      </w:r>
      <w:r w:rsidR="008776D1">
        <w:rPr>
          <w:rStyle w:val="CommentReference"/>
          <w:sz w:val="22"/>
          <w:szCs w:val="22"/>
        </w:rPr>
        <w:t xml:space="preserve"> </w:t>
      </w:r>
      <w:r w:rsidR="00D4164A" w:rsidRPr="00AF6DA7">
        <w:t xml:space="preserve">Several commenters concur </w:t>
      </w:r>
      <w:r w:rsidR="00A46FF8">
        <w:t>t</w:t>
      </w:r>
      <w:r w:rsidR="00D4164A" w:rsidRPr="00AF6DA7">
        <w:t xml:space="preserve">hat utilizing these requirements will satisfy the Commission’s interoperability finding under </w:t>
      </w:r>
      <w:r w:rsidR="00E6366F">
        <w:t>P</w:t>
      </w:r>
      <w:r w:rsidR="00D4164A" w:rsidRPr="00AF6DA7">
        <w:t>rong 2.</w:t>
      </w:r>
      <w:r w:rsidR="00D4164A" w:rsidRPr="008F239B">
        <w:rPr>
          <w:rStyle w:val="FootnoteReference"/>
        </w:rPr>
        <w:footnoteReference w:id="20"/>
      </w:r>
      <w:r w:rsidR="00D4164A" w:rsidRPr="00E31130">
        <w:t xml:space="preserve">  </w:t>
      </w:r>
      <w:r w:rsidR="008F239B" w:rsidRPr="008F239B">
        <w:t>In this respect, we also find that these requirements are consistent with industry standards for LTE deployment, resulting in an understandable and achievable benchmark</w:t>
      </w:r>
      <w:r w:rsidR="008F239B">
        <w:t>.</w:t>
      </w:r>
      <w:r w:rsidR="008F239B">
        <w:rPr>
          <w:rStyle w:val="FootnoteReference"/>
        </w:rPr>
        <w:footnoteReference w:id="21"/>
      </w:r>
      <w:r w:rsidR="008F239B" w:rsidRPr="008F239B" w:rsidDel="009F2E03">
        <w:t xml:space="preserve"> </w:t>
      </w:r>
      <w:r w:rsidR="008714B9">
        <w:t xml:space="preserve"> </w:t>
      </w:r>
      <w:r w:rsidR="008F239B">
        <w:t>Moreover, n</w:t>
      </w:r>
      <w:r w:rsidR="00BF054D" w:rsidRPr="00AF6DA7">
        <w:t>o party disputes FirstNet’s arguments</w:t>
      </w:r>
      <w:r w:rsidR="009F2E03" w:rsidRPr="00AF6DA7">
        <w:t xml:space="preserve"> or proposes </w:t>
      </w:r>
      <w:r w:rsidR="00111F22">
        <w:t xml:space="preserve">a </w:t>
      </w:r>
      <w:r w:rsidR="009F2E03" w:rsidRPr="00AF6DA7">
        <w:t>viable alternative standard for use under this prong in response to FirstNet’s proposal</w:t>
      </w:r>
      <w:r w:rsidR="00BF054D" w:rsidRPr="00AF6DA7">
        <w:t xml:space="preserve">.  </w:t>
      </w:r>
    </w:p>
    <w:p w14:paraId="12ABB800" w14:textId="09F38DFA" w:rsidR="0087597F" w:rsidRPr="00AF6DA7" w:rsidRDefault="00BF054D" w:rsidP="0087597F">
      <w:pPr>
        <w:pStyle w:val="ParaNum"/>
      </w:pPr>
      <w:r w:rsidRPr="00AF6DA7">
        <w:t>We</w:t>
      </w:r>
      <w:r w:rsidR="008F239B">
        <w:t xml:space="preserve"> also</w:t>
      </w:r>
      <w:r w:rsidRPr="00E31130">
        <w:t xml:space="preserve"> agree with AT&amp;T that </w:t>
      </w:r>
      <w:r w:rsidR="00111F22">
        <w:t xml:space="preserve">operation of </w:t>
      </w:r>
      <w:r w:rsidRPr="00E31130">
        <w:t>FirstNet’s national network</w:t>
      </w:r>
      <w:r w:rsidR="000B0DFB" w:rsidRPr="00E31130">
        <w:t xml:space="preserve"> </w:t>
      </w:r>
      <w:r w:rsidR="00111F22">
        <w:t xml:space="preserve">will entail </w:t>
      </w:r>
      <w:r w:rsidRPr="00AF6DA7">
        <w:t xml:space="preserve">the use of several kinds of </w:t>
      </w:r>
      <w:r w:rsidR="000B0DFB" w:rsidRPr="00AF6DA7">
        <w:t>APNs</w:t>
      </w:r>
      <w:r w:rsidRPr="00AF6DA7">
        <w:t xml:space="preserve"> (</w:t>
      </w:r>
      <w:r w:rsidRPr="00B10571">
        <w:rPr>
          <w:i/>
        </w:rPr>
        <w:t>e.g.</w:t>
      </w:r>
      <w:r w:rsidRPr="00AF6DA7">
        <w:t>, general, specific,</w:t>
      </w:r>
      <w:r w:rsidR="000B0DFB" w:rsidRPr="00AF6DA7">
        <w:t xml:space="preserve"> </w:t>
      </w:r>
      <w:r w:rsidRPr="00AF6DA7">
        <w:t>custom, emergency) applicable</w:t>
      </w:r>
      <w:r w:rsidR="00E73A58" w:rsidRPr="00AF6DA7">
        <w:t xml:space="preserve"> to </w:t>
      </w:r>
      <w:r w:rsidRPr="00AF6DA7">
        <w:t>numerous kinds of functionalities (</w:t>
      </w:r>
      <w:r w:rsidRPr="00AF6DA7">
        <w:rPr>
          <w:i/>
        </w:rPr>
        <w:t>e.g.</w:t>
      </w:r>
      <w:r w:rsidRPr="00AF6DA7">
        <w:t>, network data services;</w:t>
      </w:r>
      <w:r w:rsidR="000B0DFB" w:rsidRPr="00AF6DA7">
        <w:t xml:space="preserve"> </w:t>
      </w:r>
      <w:r w:rsidRPr="00AF6DA7">
        <w:t xml:space="preserve">public internet access; IP Multimedia Subsystems (IMS) such as </w:t>
      </w:r>
      <w:r w:rsidR="003D3BB4">
        <w:t>Voice over LTE (</w:t>
      </w:r>
      <w:r w:rsidRPr="00AF6DA7">
        <w:t>VoLTE</w:t>
      </w:r>
      <w:r w:rsidR="003D3BB4">
        <w:t>)</w:t>
      </w:r>
      <w:r w:rsidR="00E73A58" w:rsidRPr="00AF6DA7">
        <w:t xml:space="preserve"> and </w:t>
      </w:r>
      <w:r w:rsidRPr="00AF6DA7">
        <w:t>IP messaging;</w:t>
      </w:r>
      <w:r w:rsidR="00FF5B12" w:rsidRPr="00AF6DA7">
        <w:t xml:space="preserve"> </w:t>
      </w:r>
      <w:r w:rsidRPr="00AF6DA7">
        <w:t>E911; access to enterprise intranets).</w:t>
      </w:r>
      <w:r w:rsidR="000B0DFB" w:rsidRPr="008F239B">
        <w:rPr>
          <w:rStyle w:val="FootnoteReference"/>
          <w:sz w:val="22"/>
        </w:rPr>
        <w:footnoteReference w:id="22"/>
      </w:r>
      <w:r w:rsidR="000B0DFB" w:rsidRPr="00E31130">
        <w:t xml:space="preserve"> </w:t>
      </w:r>
      <w:r w:rsidR="00AC61FA" w:rsidRPr="00E31130">
        <w:t xml:space="preserve"> </w:t>
      </w:r>
      <w:r w:rsidR="001F4083" w:rsidRPr="00AF6DA7">
        <w:t>However</w:t>
      </w:r>
      <w:r w:rsidR="00AC61FA" w:rsidRPr="00AF6DA7">
        <w:t>,</w:t>
      </w:r>
      <w:r w:rsidR="001F4083" w:rsidRPr="00AF6DA7">
        <w:t xml:space="preserve"> we disagree with </w:t>
      </w:r>
      <w:r w:rsidR="00F81A42" w:rsidRPr="00AF6DA7">
        <w:t xml:space="preserve">AT&amp;T’s </w:t>
      </w:r>
      <w:r w:rsidR="001F4083" w:rsidRPr="00AF6DA7">
        <w:t>contention</w:t>
      </w:r>
      <w:r w:rsidR="00FF5B12" w:rsidRPr="00AF6DA7">
        <w:t xml:space="preserve"> </w:t>
      </w:r>
      <w:r w:rsidR="001F4083" w:rsidRPr="00AF6DA7">
        <w:t>that opt-out state</w:t>
      </w:r>
      <w:r w:rsidR="00F81A42" w:rsidRPr="00AF6DA7">
        <w:t>s</w:t>
      </w:r>
      <w:r w:rsidR="001F4083" w:rsidRPr="00AF6DA7">
        <w:t xml:space="preserve"> </w:t>
      </w:r>
      <w:r w:rsidR="00111F22">
        <w:t xml:space="preserve">should be </w:t>
      </w:r>
      <w:r w:rsidR="00111F22" w:rsidRPr="009A151B">
        <w:t xml:space="preserve">limited </w:t>
      </w:r>
      <w:r w:rsidR="00111F22">
        <w:t xml:space="preserve">to using </w:t>
      </w:r>
      <w:r w:rsidR="001F4083" w:rsidRPr="00AF6DA7">
        <w:t xml:space="preserve">the </w:t>
      </w:r>
      <w:r w:rsidR="001F4083" w:rsidRPr="00B10571">
        <w:rPr>
          <w:i/>
        </w:rPr>
        <w:t>same</w:t>
      </w:r>
      <w:r w:rsidR="001F4083" w:rsidRPr="00AF6DA7">
        <w:t xml:space="preserve"> APNs </w:t>
      </w:r>
      <w:r w:rsidR="0024153B" w:rsidRPr="00AF6DA7">
        <w:t xml:space="preserve">as FirstNet </w:t>
      </w:r>
      <w:r w:rsidR="001F4083" w:rsidRPr="00AF6DA7">
        <w:t xml:space="preserve">to comply </w:t>
      </w:r>
      <w:r w:rsidR="0024153B" w:rsidRPr="00AF6DA7">
        <w:t xml:space="preserve">with </w:t>
      </w:r>
      <w:r w:rsidR="001F4083" w:rsidRPr="00AF6DA7">
        <w:t xml:space="preserve">Requirements </w:t>
      </w:r>
      <w:r w:rsidR="00023CE6" w:rsidRPr="00AF6DA7">
        <w:t>[</w:t>
      </w:r>
      <w:r w:rsidR="00C0756F" w:rsidRPr="00AF6DA7">
        <w:t>4</w:t>
      </w:r>
      <w:r w:rsidR="00023CE6" w:rsidRPr="00AF6DA7">
        <w:t>]</w:t>
      </w:r>
      <w:r w:rsidR="00C0756F" w:rsidRPr="00AF6DA7">
        <w:t xml:space="preserve"> </w:t>
      </w:r>
      <w:r w:rsidR="001F4083" w:rsidRPr="00AF6DA7">
        <w:t xml:space="preserve">and </w:t>
      </w:r>
      <w:r w:rsidR="00023CE6" w:rsidRPr="00AF6DA7">
        <w:t>[</w:t>
      </w:r>
      <w:r w:rsidR="001F4083" w:rsidRPr="00AF6DA7">
        <w:t>5</w:t>
      </w:r>
      <w:r w:rsidR="00023CE6" w:rsidRPr="00AF6DA7">
        <w:t>]</w:t>
      </w:r>
      <w:r w:rsidR="001F4083" w:rsidRPr="00AF6DA7">
        <w:t>.</w:t>
      </w:r>
      <w:r w:rsidR="00F736D7">
        <w:t xml:space="preserve"> </w:t>
      </w:r>
      <w:r w:rsidR="00AC5509">
        <w:t xml:space="preserve"> </w:t>
      </w:r>
      <w:r w:rsidR="0009150E">
        <w:t xml:space="preserve">We believe that </w:t>
      </w:r>
      <w:r w:rsidR="00E6366F">
        <w:t xml:space="preserve">such a requirement </w:t>
      </w:r>
      <w:r w:rsidR="00111F22">
        <w:t xml:space="preserve">would be </w:t>
      </w:r>
      <w:r w:rsidR="0009150E">
        <w:t xml:space="preserve">unnecessarily restrictive. </w:t>
      </w:r>
      <w:r w:rsidR="00AC5509">
        <w:t xml:space="preserve"> </w:t>
      </w:r>
      <w:r w:rsidR="0009150E">
        <w:t>W</w:t>
      </w:r>
      <w:r w:rsidR="00E6366F">
        <w:t>hile</w:t>
      </w:r>
      <w:r w:rsidR="0009150E">
        <w:t xml:space="preserve"> </w:t>
      </w:r>
      <w:r w:rsidR="009A151B">
        <w:t xml:space="preserve">we conclude that </w:t>
      </w:r>
      <w:r w:rsidR="0009150E">
        <w:t xml:space="preserve">an opt-out state must </w:t>
      </w:r>
      <w:r w:rsidR="0009150E">
        <w:rPr>
          <w:i/>
          <w:iCs/>
        </w:rPr>
        <w:t>include</w:t>
      </w:r>
      <w:r w:rsidR="0009150E">
        <w:t xml:space="preserve"> the set of APNs that FirstNet defines or requires</w:t>
      </w:r>
      <w:r w:rsidR="00E6366F">
        <w:t xml:space="preserve">, AT&amp;T fails to show how restricting the an opt-out state’s set of APNs to </w:t>
      </w:r>
      <w:r w:rsidR="0009150E">
        <w:t>the exact set of APN</w:t>
      </w:r>
      <w:r w:rsidR="00E6366F">
        <w:t>s</w:t>
      </w:r>
      <w:r w:rsidR="0009150E">
        <w:t xml:space="preserve"> that FirstNet </w:t>
      </w:r>
      <w:r w:rsidR="00E6366F">
        <w:t>employs</w:t>
      </w:r>
      <w:r w:rsidR="00111F22">
        <w:t>, and precluding the use of other APNs,</w:t>
      </w:r>
      <w:r w:rsidR="00E6366F">
        <w:t xml:space="preserve"> </w:t>
      </w:r>
      <w:r w:rsidR="008150B6">
        <w:t xml:space="preserve">is relevant to Prong 2 or would </w:t>
      </w:r>
      <w:r w:rsidR="00E6366F">
        <w:t>enhance interoperability.</w:t>
      </w:r>
      <w:r w:rsidR="00E6366F" w:rsidDel="00E6366F">
        <w:t xml:space="preserve"> </w:t>
      </w:r>
    </w:p>
    <w:p w14:paraId="799DD9DD" w14:textId="2A6592F2" w:rsidR="00302B2A" w:rsidRDefault="00FF5B12" w:rsidP="0087597F">
      <w:pPr>
        <w:pStyle w:val="ParaNum"/>
      </w:pPr>
      <w:r w:rsidRPr="00AF6DA7">
        <w:t xml:space="preserve">We also concur with Rivada that </w:t>
      </w:r>
      <w:r w:rsidR="00111F22">
        <w:t xml:space="preserve">our Prong 2 review should be limited to the criteria listed in </w:t>
      </w:r>
      <w:r w:rsidRPr="00AF6DA7">
        <w:t xml:space="preserve">the column </w:t>
      </w:r>
      <w:r w:rsidR="009A151B">
        <w:t xml:space="preserve">of FirstNet’s revised matrix </w:t>
      </w:r>
      <w:r w:rsidRPr="00AF6DA7">
        <w:t xml:space="preserve">labeled as “FCC Evaluation Requirements,” and that </w:t>
      </w:r>
      <w:r w:rsidR="00111F22">
        <w:t xml:space="preserve">information contained in </w:t>
      </w:r>
      <w:r w:rsidRPr="00AF6DA7">
        <w:t>the column labeled “NPSBN RFP J-4 Interface Reference” is reference</w:t>
      </w:r>
      <w:r w:rsidR="00995DFB">
        <w:t xml:space="preserve"> information only</w:t>
      </w:r>
      <w:r w:rsidR="003D3BB4">
        <w:t xml:space="preserve">, </w:t>
      </w:r>
      <w:r w:rsidRPr="00AF6DA7">
        <w:t>rather than a</w:t>
      </w:r>
      <w:r w:rsidR="00995DFB">
        <w:t>dditional criteria</w:t>
      </w:r>
      <w:r w:rsidRPr="00AF6DA7">
        <w:t xml:space="preserve"> for Commission evaluation.</w:t>
      </w:r>
      <w:r w:rsidRPr="008F239B">
        <w:rPr>
          <w:rStyle w:val="FootnoteReference"/>
          <w:sz w:val="22"/>
        </w:rPr>
        <w:footnoteReference w:id="23"/>
      </w:r>
      <w:r w:rsidR="0087597F" w:rsidRPr="00E31130">
        <w:t xml:space="preserve">  </w:t>
      </w:r>
      <w:r w:rsidR="000B0DFB" w:rsidRPr="00E31130">
        <w:t>We</w:t>
      </w:r>
      <w:r w:rsidR="00E73A58" w:rsidRPr="00AF6DA7">
        <w:t xml:space="preserve"> will </w:t>
      </w:r>
      <w:r w:rsidR="000B0DFB" w:rsidRPr="00AF6DA7">
        <w:t xml:space="preserve">therefore </w:t>
      </w:r>
      <w:r w:rsidR="0024153B" w:rsidRPr="00AF6DA7">
        <w:t xml:space="preserve">only </w:t>
      </w:r>
      <w:r w:rsidR="00161B77" w:rsidRPr="00AF6DA7">
        <w:t xml:space="preserve">adopt </w:t>
      </w:r>
      <w:r w:rsidR="00302B2A" w:rsidRPr="00AF6DA7">
        <w:t xml:space="preserve">Requirements </w:t>
      </w:r>
      <w:r w:rsidR="007F6C6B" w:rsidRPr="00AF6DA7">
        <w:t>[</w:t>
      </w:r>
      <w:r w:rsidR="00302B2A" w:rsidRPr="00AF6DA7">
        <w:t>4</w:t>
      </w:r>
      <w:r w:rsidR="007F6C6B" w:rsidRPr="00AF6DA7">
        <w:t>]</w:t>
      </w:r>
      <w:r w:rsidR="00302B2A" w:rsidRPr="00AF6DA7">
        <w:t xml:space="preserve"> and </w:t>
      </w:r>
      <w:r w:rsidR="007F6C6B" w:rsidRPr="00AF6DA7">
        <w:t>[</w:t>
      </w:r>
      <w:r w:rsidR="00302B2A" w:rsidRPr="00AF6DA7">
        <w:t>5</w:t>
      </w:r>
      <w:r w:rsidR="007F6C6B" w:rsidRPr="00AF6DA7">
        <w:t>]</w:t>
      </w:r>
      <w:r w:rsidR="000B0DFB" w:rsidRPr="00AF6DA7">
        <w:t xml:space="preserve"> </w:t>
      </w:r>
      <w:r w:rsidR="008D038A" w:rsidRPr="00AF6DA7">
        <w:t xml:space="preserve">as </w:t>
      </w:r>
      <w:r w:rsidR="000B0DFB" w:rsidRPr="00AF6DA7">
        <w:t xml:space="preserve">our Prong 2 </w:t>
      </w:r>
      <w:r w:rsidR="008F239B">
        <w:t xml:space="preserve">standard for </w:t>
      </w:r>
      <w:r w:rsidR="000B0DFB" w:rsidRPr="00E31130">
        <w:t>review</w:t>
      </w:r>
      <w:r w:rsidR="00995DFB">
        <w:t xml:space="preserve">, and our adoption extends only to </w:t>
      </w:r>
      <w:r w:rsidR="000B0DFB" w:rsidRPr="00AF6DA7">
        <w:t xml:space="preserve">the </w:t>
      </w:r>
      <w:r w:rsidR="003D660C" w:rsidRPr="00AF6DA7">
        <w:t>B</w:t>
      </w:r>
      <w:r w:rsidR="000B0DFB" w:rsidRPr="00AF6DA7">
        <w:t xml:space="preserve">oard requirements, </w:t>
      </w:r>
      <w:r w:rsidR="0087597F" w:rsidRPr="00AF6DA7">
        <w:t xml:space="preserve">as enumerated in each prong, </w:t>
      </w:r>
      <w:r w:rsidR="000B0DFB" w:rsidRPr="00AF6DA7">
        <w:t xml:space="preserve">not the </w:t>
      </w:r>
      <w:r w:rsidR="00302B2A" w:rsidRPr="00AF6DA7">
        <w:t>matrices</w:t>
      </w:r>
      <w:r w:rsidR="000B0DFB" w:rsidRPr="00AF6DA7">
        <w:t>, which</w:t>
      </w:r>
      <w:r w:rsidR="00302B2A" w:rsidRPr="00AF6DA7">
        <w:t xml:space="preserve"> are reference material</w:t>
      </w:r>
      <w:r w:rsidR="000B0DFB" w:rsidRPr="00AF6DA7">
        <w:t xml:space="preserve">.  </w:t>
      </w:r>
      <w:r w:rsidR="0087597F" w:rsidRPr="00AF6DA7">
        <w:t xml:space="preserve">In this respect, we anticipate that there are a variety of commercially standard and reasonable ways that a state alternative plan could satisfactorily demonstrate that it will meet the interoperability standard established for </w:t>
      </w:r>
      <w:r w:rsidR="0024153B" w:rsidRPr="00AF6DA7">
        <w:t>P</w:t>
      </w:r>
      <w:r w:rsidR="0087597F" w:rsidRPr="00AF6DA7">
        <w:t>rong 2.</w:t>
      </w:r>
    </w:p>
    <w:p w14:paraId="7B28261E" w14:textId="2C03B492" w:rsidR="00AF6DA7" w:rsidRPr="00D476C5" w:rsidRDefault="00AF6DA7" w:rsidP="00AF6DA7">
      <w:pPr>
        <w:pStyle w:val="ParaNum"/>
      </w:pPr>
      <w:r w:rsidRPr="00D476C5">
        <w:t>Lastly, we address the argument raised by SouthernLinc that the matrices filed by FirstNet</w:t>
      </w:r>
      <w:r w:rsidR="002C4D45">
        <w:t xml:space="preserve">, </w:t>
      </w:r>
      <w:r w:rsidRPr="00D476C5">
        <w:t>and the associated Public Notice issued by the Bureau</w:t>
      </w:r>
      <w:r w:rsidR="002C4D45">
        <w:t xml:space="preserve">, </w:t>
      </w:r>
      <w:r w:rsidRPr="00D476C5">
        <w:t>are so vague as to fail to provide adequate notice under the Administrative Procedure Act.</w:t>
      </w:r>
      <w:r w:rsidRPr="008F239B">
        <w:rPr>
          <w:rStyle w:val="FootnoteReference"/>
          <w:sz w:val="22"/>
        </w:rPr>
        <w:footnoteReference w:id="24"/>
      </w:r>
      <w:r w:rsidRPr="00D476C5">
        <w:t xml:space="preserve">  We find that SouthernLinc’s argument lacks merit.  </w:t>
      </w:r>
    </w:p>
    <w:p w14:paraId="4E4B3E44" w14:textId="1FA9CEBF" w:rsidR="00AF6DA7" w:rsidRPr="00D476C5" w:rsidRDefault="00AF6DA7" w:rsidP="00AF6DA7">
      <w:pPr>
        <w:pStyle w:val="ParaNum"/>
      </w:pPr>
      <w:r w:rsidRPr="00D476C5">
        <w:t>While some parties argue that the matrices FirstNet submitted are somewhat unclear or confusing,</w:t>
      </w:r>
      <w:r w:rsidRPr="00D476C5">
        <w:rPr>
          <w:vertAlign w:val="superscript"/>
        </w:rPr>
        <w:footnoteReference w:id="25"/>
      </w:r>
      <w:r>
        <w:t xml:space="preserve"> </w:t>
      </w:r>
      <w:r w:rsidRPr="00D476C5">
        <w:t xml:space="preserve">since </w:t>
      </w:r>
      <w:r>
        <w:t>issuance of</w:t>
      </w:r>
      <w:r w:rsidRPr="00D476C5">
        <w:t xml:space="preserve"> the </w:t>
      </w:r>
      <w:r>
        <w:rPr>
          <w:i/>
        </w:rPr>
        <w:t>NPRM</w:t>
      </w:r>
      <w:r w:rsidRPr="00D476C5">
        <w:rPr>
          <w:i/>
        </w:rPr>
        <w:t xml:space="preserve"> </w:t>
      </w:r>
      <w:r w:rsidRPr="00D476C5">
        <w:t>the Commission has sought comment on the inclusion of some or all of the requirements identified by the Interoperability Board as possible components of interoperability capabilities subject generally to the Commission’s opt-out review process.</w:t>
      </w:r>
      <w:r w:rsidRPr="008F239B">
        <w:rPr>
          <w:rStyle w:val="FootnoteReference"/>
          <w:sz w:val="22"/>
        </w:rPr>
        <w:footnoteReference w:id="26"/>
      </w:r>
      <w:r w:rsidRPr="00D476C5">
        <w:t xml:space="preserve"> </w:t>
      </w:r>
      <w:r w:rsidR="00BF7E35">
        <w:t xml:space="preserve"> </w:t>
      </w:r>
      <w:r w:rsidRPr="00D476C5">
        <w:t xml:space="preserve">While the </w:t>
      </w:r>
      <w:r w:rsidRPr="00D476C5">
        <w:rPr>
          <w:i/>
        </w:rPr>
        <w:t>NPRM</w:t>
      </w:r>
      <w:r w:rsidRPr="00D476C5">
        <w:t xml:space="preserve"> itself asked whether these requirements were among the minimum that a state plan must meet to pass the Commission’s Prong 1 review, the Commission did not preclude their consideration under Prong 2, which the Commission noted “require[d] a broader showing by the state than the first prong.”</w:t>
      </w:r>
      <w:r w:rsidRPr="008F239B">
        <w:rPr>
          <w:rStyle w:val="FootnoteReference"/>
          <w:sz w:val="22"/>
        </w:rPr>
        <w:footnoteReference w:id="27"/>
      </w:r>
      <w:r w:rsidRPr="00D476C5">
        <w:t xml:space="preserve">  Indeed, it would not have been reasonable to assume that the Commission would exclude a requirement that potentially qualified for Prong 1 review from consideration as a component of Prong 2 review, simply because the Commission ultimately determined that it was unnecessary for the Prong 1 review</w:t>
      </w:r>
      <w:r w:rsidR="00BF7E35">
        <w:t xml:space="preserve"> stage</w:t>
      </w:r>
      <w:r w:rsidRPr="00D476C5">
        <w:t xml:space="preserve">. </w:t>
      </w:r>
    </w:p>
    <w:p w14:paraId="605F4CC3" w14:textId="5C7D3F35" w:rsidR="00AF6DA7" w:rsidRPr="00E31130" w:rsidRDefault="00AF6DA7" w:rsidP="00AF6DA7">
      <w:pPr>
        <w:pStyle w:val="ParaNum"/>
      </w:pPr>
      <w:r w:rsidRPr="00D476C5">
        <w:t xml:space="preserve">Moreover, the </w:t>
      </w:r>
      <w:r w:rsidRPr="00D476C5">
        <w:rPr>
          <w:i/>
        </w:rPr>
        <w:t>Public Notice</w:t>
      </w:r>
      <w:r w:rsidRPr="00D476C5">
        <w:t xml:space="preserve"> specifically sought comment on FirstNet’s proposal that the Commission limit its review under Prong 2 to whether state plans comply with recommended requirements [4] and [5] from the Interoperability Board Report.</w:t>
      </w:r>
      <w:r w:rsidRPr="008F239B">
        <w:rPr>
          <w:rStyle w:val="FootnoteReference"/>
          <w:sz w:val="22"/>
        </w:rPr>
        <w:footnoteReference w:id="28"/>
      </w:r>
      <w:r w:rsidRPr="00D476C5">
        <w:t xml:space="preserve">  The matrix filings by FirstNet, and particularly the June 16 filing, specifically delineate recommended Prong 1 and Prong 2 considerations in </w:t>
      </w:r>
      <w:r w:rsidR="00422D5E">
        <w:t>the</w:t>
      </w:r>
      <w:r w:rsidRPr="00D476C5">
        <w:t xml:space="preserve"> column entitled “FCC Evaluation Requirements” and are consis</w:t>
      </w:r>
      <w:r w:rsidR="00422D5E">
        <w:t xml:space="preserve">tent with industry standards for </w:t>
      </w:r>
      <w:r w:rsidRPr="00D476C5">
        <w:t>developing and deploying LTE networks.</w:t>
      </w:r>
      <w:r w:rsidRPr="008F239B">
        <w:rPr>
          <w:rStyle w:val="FootnoteReference"/>
          <w:sz w:val="22"/>
        </w:rPr>
        <w:footnoteReference w:id="29"/>
      </w:r>
      <w:r w:rsidR="00BF7E35">
        <w:t xml:space="preserve">  The </w:t>
      </w:r>
      <w:r w:rsidRPr="00D476C5">
        <w:t>matrix must also be read in connection with the associated explanation filed by FirstNet, in which it explained why it recommended requirements [4] and [5] for inclusion in Prong 2, and its view that these requirements are necessary to ensure RAN interoperability with the FirstNet core.</w:t>
      </w:r>
      <w:r w:rsidRPr="008F239B">
        <w:rPr>
          <w:rStyle w:val="FootnoteReference"/>
          <w:sz w:val="22"/>
        </w:rPr>
        <w:footnoteReference w:id="30"/>
      </w:r>
      <w:r w:rsidRPr="00D476C5">
        <w:t xml:space="preserve">  To the extent SouthernLinc finds th</w:t>
      </w:r>
      <w:r w:rsidR="00422D5E">
        <w:t>e</w:t>
      </w:r>
      <w:r w:rsidRPr="00D476C5">
        <w:t xml:space="preserve"> matrix and associated explanation unclear or otherwise disagrees with it as reflective of what Prong 2 should require, it has had a full opportunity to amplify on that explanation or advance its own alternative version of a Prong 2 standard. </w:t>
      </w:r>
      <w:r w:rsidR="00BF7E35">
        <w:t xml:space="preserve"> </w:t>
      </w:r>
      <w:r w:rsidRPr="00D476C5">
        <w:t xml:space="preserve">As stated herein, </w:t>
      </w:r>
      <w:r w:rsidR="00BF7E35">
        <w:t xml:space="preserve">we find that </w:t>
      </w:r>
      <w:r w:rsidRPr="00D476C5">
        <w:t xml:space="preserve">our </w:t>
      </w:r>
      <w:r w:rsidR="00BF7E35">
        <w:t xml:space="preserve">decision </w:t>
      </w:r>
      <w:r w:rsidRPr="00D476C5">
        <w:t xml:space="preserve">to use these requirements in evaluating Prong 2 of the statutory test </w:t>
      </w:r>
      <w:r w:rsidR="00BF7E35">
        <w:t xml:space="preserve">is </w:t>
      </w:r>
      <w:r w:rsidRPr="00D476C5">
        <w:t>consistent with comments made in the record by FirstNet, AT&amp;T, CCA</w:t>
      </w:r>
      <w:r w:rsidR="00422D5E">
        <w:t>,</w:t>
      </w:r>
      <w:r w:rsidRPr="00D476C5">
        <w:t xml:space="preserve"> and Rivada,</w:t>
      </w:r>
      <w:r w:rsidRPr="008F239B">
        <w:rPr>
          <w:rStyle w:val="FootnoteReference"/>
          <w:sz w:val="22"/>
        </w:rPr>
        <w:footnoteReference w:id="31"/>
      </w:r>
      <w:r w:rsidRPr="00D476C5">
        <w:t xml:space="preserve"> and </w:t>
      </w:r>
      <w:r w:rsidR="00BF7E35">
        <w:t>is</w:t>
      </w:r>
      <w:r w:rsidRPr="00D476C5">
        <w:t xml:space="preserve"> reasonable, clear</w:t>
      </w:r>
      <w:r w:rsidR="00422D5E">
        <w:t>,</w:t>
      </w:r>
      <w:r w:rsidRPr="00D476C5">
        <w:t xml:space="preserve"> and consistent with the line of inquiry on this topic stemming back to the </w:t>
      </w:r>
      <w:r w:rsidRPr="00D476C5">
        <w:rPr>
          <w:i/>
        </w:rPr>
        <w:t>NPRM</w:t>
      </w:r>
      <w:r w:rsidRPr="00D476C5">
        <w:t>.</w:t>
      </w:r>
    </w:p>
    <w:p w14:paraId="37BBFD74" w14:textId="0E5EA0E9" w:rsidR="005C31A1" w:rsidRPr="00AF6DA7" w:rsidRDefault="003377B0" w:rsidP="00302B2A">
      <w:pPr>
        <w:pStyle w:val="Heading2"/>
      </w:pPr>
      <w:bookmarkStart w:id="9" w:name="_Toc482780149"/>
      <w:bookmarkStart w:id="10" w:name="_Toc482780366"/>
      <w:bookmarkStart w:id="11" w:name="_Toc483919385"/>
      <w:bookmarkStart w:id="12" w:name="_Toc485821088"/>
      <w:r w:rsidRPr="00AF6DA7">
        <w:t xml:space="preserve">Complementary </w:t>
      </w:r>
      <w:r w:rsidR="00302B2A" w:rsidRPr="00AF6DA7">
        <w:t xml:space="preserve">Review </w:t>
      </w:r>
      <w:bookmarkEnd w:id="9"/>
      <w:bookmarkEnd w:id="10"/>
      <w:bookmarkEnd w:id="11"/>
      <w:bookmarkEnd w:id="12"/>
    </w:p>
    <w:p w14:paraId="72162CEE" w14:textId="4BEEBDE7" w:rsidR="00B10571" w:rsidRDefault="009039FA" w:rsidP="00B10571">
      <w:pPr>
        <w:pStyle w:val="ParaNum"/>
      </w:pPr>
      <w:r w:rsidRPr="00AF6DA7">
        <w:t xml:space="preserve">As the Commission noted in the </w:t>
      </w:r>
      <w:r w:rsidRPr="00AF6DA7">
        <w:rPr>
          <w:i/>
        </w:rPr>
        <w:t>Report and Order</w:t>
      </w:r>
      <w:r w:rsidRPr="00AF6DA7">
        <w:t xml:space="preserve">, the Commission’s review of </w:t>
      </w:r>
      <w:r w:rsidR="00BF7E35">
        <w:t xml:space="preserve">state </w:t>
      </w:r>
      <w:r w:rsidRPr="00AF6DA7">
        <w:t>opt-out requests is only the first step in a multi-step process</w:t>
      </w:r>
      <w:r w:rsidR="00E97CBD" w:rsidRPr="00AF6DA7">
        <w:t>; the statute provides that</w:t>
      </w:r>
      <w:r w:rsidRPr="00AF6DA7">
        <w:t xml:space="preserve"> states whose </w:t>
      </w:r>
      <w:r w:rsidR="00E97CBD" w:rsidRPr="00AF6DA7">
        <w:t xml:space="preserve">alternative plans </w:t>
      </w:r>
      <w:r w:rsidRPr="00AF6DA7">
        <w:t xml:space="preserve">are approved by the Commission must go through additional review by </w:t>
      </w:r>
      <w:r w:rsidR="00771707">
        <w:t>the National Telecommunications and Information Administration (NTIA)</w:t>
      </w:r>
      <w:r w:rsidR="00771707" w:rsidRPr="00AF6DA7">
        <w:t xml:space="preserve"> </w:t>
      </w:r>
      <w:r w:rsidRPr="00AF6DA7">
        <w:t>and FirstNet.</w:t>
      </w:r>
      <w:r w:rsidRPr="008F239B">
        <w:rPr>
          <w:rStyle w:val="FootnoteReference"/>
          <w:sz w:val="22"/>
        </w:rPr>
        <w:footnoteReference w:id="32"/>
      </w:r>
      <w:r w:rsidRPr="00E31130">
        <w:t xml:space="preserve">  </w:t>
      </w:r>
      <w:r w:rsidR="003E636B" w:rsidRPr="00E31130">
        <w:t xml:space="preserve">C-Spire, Rivada, and CCA argue that </w:t>
      </w:r>
      <w:r w:rsidR="00422D5E" w:rsidRPr="00E31130">
        <w:t>neither NTIA nor FirstNet may impose new or different interoperability requirements</w:t>
      </w:r>
      <w:r w:rsidR="00422D5E">
        <w:t xml:space="preserve"> </w:t>
      </w:r>
      <w:r w:rsidR="003E636B" w:rsidRPr="00E31130">
        <w:t>in their subsequent reviews of state opt-out plans that the Commission has approved</w:t>
      </w:r>
      <w:r w:rsidR="00422D5E">
        <w:t>.</w:t>
      </w:r>
      <w:r w:rsidR="003E636B" w:rsidRPr="008F239B">
        <w:rPr>
          <w:rStyle w:val="FootnoteReference"/>
          <w:sz w:val="22"/>
        </w:rPr>
        <w:footnoteReference w:id="33"/>
      </w:r>
      <w:r w:rsidR="003E636B" w:rsidRPr="00E31130">
        <w:t xml:space="preserve">  These parties also argue that any review process used by NTIA must be subject to prior public comment.</w:t>
      </w:r>
      <w:r w:rsidR="003E636B" w:rsidRPr="008F239B">
        <w:rPr>
          <w:rStyle w:val="FootnoteReference"/>
          <w:sz w:val="22"/>
        </w:rPr>
        <w:footnoteReference w:id="34"/>
      </w:r>
      <w:r w:rsidR="003E636B" w:rsidRPr="00E31130">
        <w:t xml:space="preserve"> </w:t>
      </w:r>
    </w:p>
    <w:p w14:paraId="1378B403" w14:textId="46998857" w:rsidR="00FF5B12" w:rsidRPr="00AF6DA7" w:rsidRDefault="003E636B" w:rsidP="00B10571">
      <w:pPr>
        <w:pStyle w:val="ParaNum"/>
      </w:pPr>
      <w:r w:rsidRPr="00AF6DA7">
        <w:t xml:space="preserve">We decline to opine on the actions of other agencies with duties under the Act </w:t>
      </w:r>
      <w:r w:rsidR="00422D5E">
        <w:t xml:space="preserve">or </w:t>
      </w:r>
      <w:r w:rsidRPr="00AF6DA7">
        <w:t xml:space="preserve">their implementation of their </w:t>
      </w:r>
      <w:r w:rsidR="00422D5E">
        <w:t xml:space="preserve">statutory </w:t>
      </w:r>
      <w:r w:rsidRPr="00AF6DA7">
        <w:t>responsibilities.</w:t>
      </w:r>
      <w:r w:rsidR="00EF11A3" w:rsidRPr="00AF6DA7">
        <w:t xml:space="preserve"> </w:t>
      </w:r>
      <w:r w:rsidR="001F77EA">
        <w:t xml:space="preserve"> </w:t>
      </w:r>
      <w:r w:rsidR="009039FA" w:rsidRPr="00AF6DA7">
        <w:t>The Commission</w:t>
      </w:r>
      <w:r w:rsidR="00480988">
        <w:t xml:space="preserve"> previously</w:t>
      </w:r>
      <w:r w:rsidR="009039FA" w:rsidRPr="00AF6DA7">
        <w:t xml:space="preserve"> noted that NTIA will evaluate, </w:t>
      </w:r>
      <w:r w:rsidR="009039FA" w:rsidRPr="00B10571">
        <w:rPr>
          <w:i/>
        </w:rPr>
        <w:t>inter alia</w:t>
      </w:r>
      <w:r w:rsidR="009039FA" w:rsidRPr="00422D5E">
        <w:t>, a</w:t>
      </w:r>
      <w:r w:rsidR="009039FA" w:rsidRPr="00AF6DA7">
        <w:t xml:space="preserve"> state’s ability to maintain “ongoing” interoperability with the nationwide public safety broadband network.</w:t>
      </w:r>
      <w:r w:rsidR="009039FA" w:rsidRPr="008F239B">
        <w:rPr>
          <w:rStyle w:val="FootnoteReference"/>
          <w:sz w:val="22"/>
        </w:rPr>
        <w:footnoteReference w:id="35"/>
      </w:r>
      <w:r w:rsidR="009039FA" w:rsidRPr="00E31130">
        <w:t xml:space="preserve">  The </w:t>
      </w:r>
      <w:r w:rsidR="00E77FEE" w:rsidRPr="00B10571">
        <w:rPr>
          <w:i/>
        </w:rPr>
        <w:t xml:space="preserve">Report and Order </w:t>
      </w:r>
      <w:r w:rsidR="00E77FEE" w:rsidRPr="00AF6DA7">
        <w:t xml:space="preserve">also </w:t>
      </w:r>
      <w:r w:rsidRPr="00AF6DA7">
        <w:t xml:space="preserve">stated </w:t>
      </w:r>
      <w:r w:rsidR="00E77FEE" w:rsidRPr="00AF6DA7">
        <w:t xml:space="preserve">that the </w:t>
      </w:r>
      <w:r w:rsidR="009039FA" w:rsidRPr="00AF6DA7">
        <w:t xml:space="preserve">Commission </w:t>
      </w:r>
      <w:r w:rsidRPr="00AF6DA7">
        <w:t xml:space="preserve">would </w:t>
      </w:r>
      <w:r w:rsidR="009039FA" w:rsidRPr="00AF6DA7">
        <w:t>evaluate state opt-out plans based solely on whether they comply with the requirements for interoperability at the time the plan is submitted and that Commission approval of a state opt-out plan would not create a presumption that the state plan meets any of the criteria that NTIA is responsible for evaluating.</w:t>
      </w:r>
      <w:r w:rsidR="009039FA" w:rsidRPr="008F239B">
        <w:rPr>
          <w:rStyle w:val="FootnoteReference"/>
          <w:sz w:val="22"/>
        </w:rPr>
        <w:footnoteReference w:id="36"/>
      </w:r>
      <w:r w:rsidR="00E77FEE" w:rsidRPr="00E31130">
        <w:t xml:space="preserve">  We find no reason to alter this reasoning. </w:t>
      </w:r>
      <w:r w:rsidR="001F77EA">
        <w:t xml:space="preserve"> </w:t>
      </w:r>
      <w:r w:rsidR="00E77FEE" w:rsidRPr="00E31130">
        <w:t>Our focus in this proceeding is on the duties Congress imposed u</w:t>
      </w:r>
      <w:r w:rsidR="00B766CF" w:rsidRPr="00AF6DA7">
        <w:t xml:space="preserve">pon the Commission in the Act.  </w:t>
      </w:r>
      <w:r w:rsidR="00302DD6" w:rsidRPr="00AF6DA7">
        <w:t xml:space="preserve"> </w:t>
      </w:r>
    </w:p>
    <w:p w14:paraId="4102067A" w14:textId="77777777" w:rsidR="00A56DB7" w:rsidRPr="00AF6DA7" w:rsidRDefault="00A56DB7" w:rsidP="00A56DB7">
      <w:pPr>
        <w:pStyle w:val="Heading2"/>
      </w:pPr>
      <w:r w:rsidRPr="00AF6DA7">
        <w:t>Issues Outside of the Scope of this Order</w:t>
      </w:r>
    </w:p>
    <w:p w14:paraId="41082C1B" w14:textId="2F9E60C4" w:rsidR="00026870" w:rsidRPr="00AF6DA7" w:rsidRDefault="00026870" w:rsidP="00A56DB7">
      <w:pPr>
        <w:pStyle w:val="ParaNum"/>
      </w:pPr>
      <w:r w:rsidRPr="00AF6DA7">
        <w:t xml:space="preserve">In the Public Notice, the Bureau sought comment on the FirstNet </w:t>
      </w:r>
      <w:r w:rsidRPr="00AF6DA7">
        <w:rPr>
          <w:i/>
        </w:rPr>
        <w:t xml:space="preserve">ex parte </w:t>
      </w:r>
      <w:r w:rsidRPr="00AF6DA7">
        <w:t xml:space="preserve">filings described in paragraphs 2-3, </w:t>
      </w:r>
      <w:r w:rsidRPr="00AF6DA7">
        <w:rPr>
          <w:i/>
        </w:rPr>
        <w:t>supra.</w:t>
      </w:r>
      <w:r w:rsidRPr="00AF6DA7">
        <w:t xml:space="preserve">  Several parties filed comments raising issues that are not related to these filings</w:t>
      </w:r>
      <w:r w:rsidR="00D46812" w:rsidRPr="00AF6DA7">
        <w:t xml:space="preserve"> or to the application of </w:t>
      </w:r>
      <w:r w:rsidR="0024153B" w:rsidRPr="00AF6DA7">
        <w:t>P</w:t>
      </w:r>
      <w:r w:rsidR="00D46812" w:rsidRPr="00AF6DA7">
        <w:t>rong 2 of the statutory interoperability criteria for state alternative plans</w:t>
      </w:r>
      <w:r w:rsidR="00A23C81">
        <w:t xml:space="preserve">.  </w:t>
      </w:r>
      <w:r w:rsidRPr="00AF6DA7">
        <w:t xml:space="preserve">We </w:t>
      </w:r>
      <w:r w:rsidR="00012E1D" w:rsidRPr="00AF6DA7">
        <w:t xml:space="preserve">address these comments </w:t>
      </w:r>
      <w:r w:rsidRPr="00AF6DA7">
        <w:t>below.</w:t>
      </w:r>
    </w:p>
    <w:p w14:paraId="05BF5003" w14:textId="72794EC3" w:rsidR="00A56DB7" w:rsidRPr="00AF6DA7" w:rsidRDefault="004010F6" w:rsidP="000330F2">
      <w:pPr>
        <w:pStyle w:val="ParaNum"/>
      </w:pPr>
      <w:r w:rsidRPr="006F3B0F">
        <w:rPr>
          <w:i/>
        </w:rPr>
        <w:t xml:space="preserve">State-operated Core.  </w:t>
      </w:r>
      <w:r w:rsidR="00026870" w:rsidRPr="00AF6DA7">
        <w:t>C-Spire, Rivada, CCA</w:t>
      </w:r>
      <w:r w:rsidR="00012E1D" w:rsidRPr="00AF6DA7">
        <w:t>,</w:t>
      </w:r>
      <w:r w:rsidR="00026870" w:rsidRPr="00AF6DA7">
        <w:t xml:space="preserve"> and Verizon all argue that opt-out states should be allowed to construct their own </w:t>
      </w:r>
      <w:r w:rsidR="00012E1D" w:rsidRPr="00AF6DA7">
        <w:t xml:space="preserve">network </w:t>
      </w:r>
      <w:r w:rsidR="00026870" w:rsidRPr="00AF6DA7">
        <w:t>core</w:t>
      </w:r>
      <w:r w:rsidR="00012E1D" w:rsidRPr="00AF6DA7">
        <w:t>s</w:t>
      </w:r>
      <w:r w:rsidR="001E7149" w:rsidRPr="00AF6DA7">
        <w:t>,</w:t>
      </w:r>
      <w:r w:rsidR="00026870" w:rsidRPr="00AF6DA7">
        <w:t xml:space="preserve"> and that</w:t>
      </w:r>
      <w:r w:rsidR="001E7149" w:rsidRPr="00AF6DA7">
        <w:t>, technologically speaking</w:t>
      </w:r>
      <w:r w:rsidR="00026870" w:rsidRPr="00AF6DA7">
        <w:t xml:space="preserve"> </w:t>
      </w:r>
      <w:r w:rsidR="00012E1D" w:rsidRPr="00AF6DA7">
        <w:t xml:space="preserve">such </w:t>
      </w:r>
      <w:r w:rsidR="006246E7" w:rsidRPr="00AF6DA7">
        <w:t>core</w:t>
      </w:r>
      <w:r w:rsidR="00012E1D" w:rsidRPr="00AF6DA7">
        <w:t>s</w:t>
      </w:r>
      <w:r w:rsidR="006246E7" w:rsidRPr="00AF6DA7">
        <w:t xml:space="preserve"> </w:t>
      </w:r>
      <w:r w:rsidR="001E7149" w:rsidRPr="00AF6DA7">
        <w:t xml:space="preserve">are capable of </w:t>
      </w:r>
      <w:r w:rsidR="006246E7" w:rsidRPr="00AF6DA7">
        <w:t>directly connect</w:t>
      </w:r>
      <w:r w:rsidR="001E7149" w:rsidRPr="00AF6DA7">
        <w:t>ing</w:t>
      </w:r>
      <w:r w:rsidR="006246E7" w:rsidRPr="00AF6DA7">
        <w:t xml:space="preserve"> to FirstNet’s core.  They argue that </w:t>
      </w:r>
      <w:r w:rsidR="00F1407F" w:rsidRPr="00AF6DA7">
        <w:t xml:space="preserve">a direct </w:t>
      </w:r>
      <w:r w:rsidR="006246E7" w:rsidRPr="00AF6DA7">
        <w:t>state</w:t>
      </w:r>
      <w:r w:rsidR="00C03FBB" w:rsidRPr="00AF6DA7">
        <w:t xml:space="preserve"> </w:t>
      </w:r>
      <w:r w:rsidR="006246E7" w:rsidRPr="00AF6DA7">
        <w:t xml:space="preserve">RAN to FirstNet core </w:t>
      </w:r>
      <w:r w:rsidR="00F1407F" w:rsidRPr="00AF6DA7">
        <w:t xml:space="preserve">connection </w:t>
      </w:r>
      <w:r w:rsidR="006246E7" w:rsidRPr="00AF6DA7">
        <w:t>is not required</w:t>
      </w:r>
      <w:r w:rsidRPr="00AF6DA7">
        <w:t xml:space="preserve">, and ask the Commission </w:t>
      </w:r>
      <w:r w:rsidR="00012E1D" w:rsidRPr="00AF6DA7">
        <w:t xml:space="preserve">to </w:t>
      </w:r>
      <w:r w:rsidRPr="00AF6DA7">
        <w:t>endorse this view</w:t>
      </w:r>
      <w:r w:rsidR="006246E7" w:rsidRPr="00AF6DA7">
        <w:t>.</w:t>
      </w:r>
      <w:r w:rsidR="006246E7" w:rsidRPr="008F239B">
        <w:rPr>
          <w:rStyle w:val="FootnoteReference"/>
          <w:sz w:val="22"/>
        </w:rPr>
        <w:footnoteReference w:id="37"/>
      </w:r>
      <w:r w:rsidR="006246E7" w:rsidRPr="00E31130">
        <w:t xml:space="preserve">  In the </w:t>
      </w:r>
      <w:r w:rsidR="006246E7" w:rsidRPr="006F3B0F">
        <w:rPr>
          <w:i/>
        </w:rPr>
        <w:t>Report and Order</w:t>
      </w:r>
      <w:r w:rsidR="006246E7" w:rsidRPr="00AF6DA7">
        <w:t xml:space="preserve">, the Commission </w:t>
      </w:r>
      <w:r w:rsidR="00C03FBB" w:rsidRPr="00AF6DA7">
        <w:t xml:space="preserve">stated that while it would not reject an otherwise qualified alternative plan that includes a proposed state core, the issue of </w:t>
      </w:r>
      <w:r w:rsidR="00771707">
        <w:t xml:space="preserve">state use of a separate core </w:t>
      </w:r>
      <w:r w:rsidR="006246E7" w:rsidRPr="00AF6DA7">
        <w:t xml:space="preserve">falls outside the Commission’s statutory </w:t>
      </w:r>
      <w:r w:rsidRPr="00AF6DA7">
        <w:t xml:space="preserve">interoperability </w:t>
      </w:r>
      <w:r w:rsidR="006246E7" w:rsidRPr="00AF6DA7">
        <w:t>review responsibility.</w:t>
      </w:r>
      <w:r w:rsidR="006246E7" w:rsidRPr="008F239B">
        <w:rPr>
          <w:rStyle w:val="FootnoteReference"/>
          <w:sz w:val="22"/>
        </w:rPr>
        <w:footnoteReference w:id="38"/>
      </w:r>
      <w:r w:rsidR="006246E7" w:rsidRPr="00E31130">
        <w:t xml:space="preserve"> </w:t>
      </w:r>
      <w:r w:rsidR="001F77EA">
        <w:t xml:space="preserve"> </w:t>
      </w:r>
      <w:r w:rsidR="006F3B0F">
        <w:t xml:space="preserve">Similarly, the feasibility of </w:t>
      </w:r>
      <w:r w:rsidR="000330F2">
        <w:t xml:space="preserve">direct state </w:t>
      </w:r>
      <w:r w:rsidR="006F3B0F">
        <w:t>core</w:t>
      </w:r>
      <w:r w:rsidR="000330F2">
        <w:t xml:space="preserve"> </w:t>
      </w:r>
      <w:r w:rsidR="006F3B0F">
        <w:t>to</w:t>
      </w:r>
      <w:r w:rsidR="000330F2">
        <w:t xml:space="preserve"> FirstNet </w:t>
      </w:r>
      <w:r w:rsidR="006F3B0F">
        <w:t>core connection raised by the above parties lies outside the scope of our review.  Therefore, w</w:t>
      </w:r>
      <w:r w:rsidR="006246E7" w:rsidRPr="00E31130">
        <w:t xml:space="preserve">e </w:t>
      </w:r>
      <w:r w:rsidRPr="00AF6DA7">
        <w:t>decline</w:t>
      </w:r>
      <w:r w:rsidR="006246E7" w:rsidRPr="00AF6DA7">
        <w:t xml:space="preserve"> to revisit </w:t>
      </w:r>
      <w:r w:rsidR="00C03FBB" w:rsidRPr="00AF6DA7">
        <w:t>this issue</w:t>
      </w:r>
      <w:r w:rsidR="006246E7" w:rsidRPr="00AF6DA7">
        <w:t xml:space="preserve"> at this time.</w:t>
      </w:r>
      <w:r w:rsidRPr="00AF6DA7">
        <w:t xml:space="preserve">  We </w:t>
      </w:r>
      <w:r w:rsidR="00C26EC9" w:rsidRPr="00AF6DA7">
        <w:t xml:space="preserve">also </w:t>
      </w:r>
      <w:r w:rsidRPr="00AF6DA7">
        <w:t xml:space="preserve">emphasize again that </w:t>
      </w:r>
      <w:r w:rsidR="000330F2">
        <w:t xml:space="preserve">while issues relating to separate state cores are </w:t>
      </w:r>
      <w:r w:rsidR="00C26EC9" w:rsidRPr="00AF6DA7">
        <w:t>outside the scope of our authority</w:t>
      </w:r>
      <w:r w:rsidR="000330F2">
        <w:t>,</w:t>
      </w:r>
      <w:r w:rsidR="00CE6DDD" w:rsidRPr="008F239B">
        <w:rPr>
          <w:rStyle w:val="FootnoteReference"/>
          <w:sz w:val="22"/>
        </w:rPr>
        <w:footnoteReference w:id="39"/>
      </w:r>
      <w:r w:rsidR="00C26EC9" w:rsidRPr="00E31130">
        <w:t xml:space="preserve"> </w:t>
      </w:r>
      <w:r w:rsidR="000330F2">
        <w:t xml:space="preserve">this </w:t>
      </w:r>
      <w:r w:rsidRPr="00AF6DA7">
        <w:t xml:space="preserve">does not preclude the separate consideration of </w:t>
      </w:r>
      <w:r w:rsidR="000330F2">
        <w:t xml:space="preserve">such </w:t>
      </w:r>
      <w:r w:rsidRPr="00AF6DA7">
        <w:t>issue</w:t>
      </w:r>
      <w:r w:rsidR="000330F2">
        <w:t>s</w:t>
      </w:r>
      <w:r w:rsidRPr="00AF6DA7">
        <w:t xml:space="preserve"> by NTIA or FirstNet within the scope of their </w:t>
      </w:r>
      <w:r w:rsidR="00B766CF" w:rsidRPr="00AF6DA7">
        <w:t>respective authorities.</w:t>
      </w:r>
      <w:r w:rsidRPr="00AF6DA7">
        <w:t xml:space="preserve">  </w:t>
      </w:r>
    </w:p>
    <w:p w14:paraId="5088732C" w14:textId="09C5E67C" w:rsidR="006957D0" w:rsidRPr="00AF6DA7" w:rsidRDefault="004010F6" w:rsidP="00A8022B">
      <w:pPr>
        <w:pStyle w:val="ParaNum"/>
      </w:pPr>
      <w:r w:rsidRPr="00151F36">
        <w:rPr>
          <w:i/>
        </w:rPr>
        <w:t xml:space="preserve">Review of AT&amp;T Network.  </w:t>
      </w:r>
      <w:r w:rsidR="00151F36">
        <w:t xml:space="preserve">As AT&amp;T has been selected by FirstNet as its commercial partner to implement the buildout of the NPSBN, </w:t>
      </w:r>
      <w:r w:rsidR="00F736D7">
        <w:t>FNCGB</w:t>
      </w:r>
      <w:r w:rsidR="00F736D7" w:rsidRPr="00AF6DA7">
        <w:t xml:space="preserve"> </w:t>
      </w:r>
      <w:r w:rsidR="006246E7" w:rsidRPr="00AF6DA7">
        <w:t xml:space="preserve">argues that </w:t>
      </w:r>
      <w:r w:rsidR="00151F36">
        <w:t xml:space="preserve">as a condition precedent to making an interoperability determination regarding a state’s alternative plan, </w:t>
      </w:r>
      <w:r w:rsidR="006246E7" w:rsidRPr="00AF6DA7">
        <w:t xml:space="preserve">the Commission must </w:t>
      </w:r>
      <w:r w:rsidR="00151F36">
        <w:t xml:space="preserve">first </w:t>
      </w:r>
      <w:r w:rsidR="006246E7" w:rsidRPr="00AF6DA7">
        <w:t>make a determination that AT&amp;T meets the Interoperability Board</w:t>
      </w:r>
      <w:r w:rsidR="00480988">
        <w:t>’s</w:t>
      </w:r>
      <w:r w:rsidR="006246E7" w:rsidRPr="00AF6DA7">
        <w:t xml:space="preserve"> minimum technical requirements.</w:t>
      </w:r>
      <w:r w:rsidR="006246E7" w:rsidRPr="008F239B">
        <w:rPr>
          <w:rStyle w:val="FootnoteReference"/>
          <w:sz w:val="22"/>
        </w:rPr>
        <w:footnoteReference w:id="40"/>
      </w:r>
      <w:r w:rsidR="006957D0" w:rsidRPr="00E31130">
        <w:t xml:space="preserve">  </w:t>
      </w:r>
      <w:r w:rsidR="00151F36">
        <w:t>Specifically, FNCGB “requests that the Commission specify how it will ensure that AT&amp;T complies with the interoperability requirements so that it is held to the same standard as opt-out states.”</w:t>
      </w:r>
      <w:r w:rsidR="00151F36">
        <w:rPr>
          <w:rStyle w:val="FootnoteReference"/>
        </w:rPr>
        <w:footnoteReference w:id="41"/>
      </w:r>
      <w:r w:rsidR="00151F36">
        <w:t xml:space="preserve"> </w:t>
      </w:r>
      <w:r w:rsidR="00872BCD">
        <w:t xml:space="preserve"> </w:t>
      </w:r>
      <w:r w:rsidR="00151F36">
        <w:t>Because</w:t>
      </w:r>
      <w:r w:rsidR="00151F36" w:rsidRPr="00E31130">
        <w:t xml:space="preserve"> </w:t>
      </w:r>
      <w:r w:rsidR="006957D0" w:rsidRPr="00E31130">
        <w:t>the Act makes no provision for the Commission to undertake such an evaluation, we decline to adopt such a review</w:t>
      </w:r>
      <w:r w:rsidR="006957D0" w:rsidRPr="00151F36">
        <w:rPr>
          <w:i/>
        </w:rPr>
        <w:t>.</w:t>
      </w:r>
    </w:p>
    <w:p w14:paraId="5642EE48" w14:textId="5A3B5C4B" w:rsidR="00A56DB7" w:rsidRPr="00AF6DA7" w:rsidRDefault="004010F6" w:rsidP="00A8022B">
      <w:pPr>
        <w:pStyle w:val="ParaNum"/>
      </w:pPr>
      <w:r w:rsidRPr="00B10571">
        <w:rPr>
          <w:i/>
        </w:rPr>
        <w:t>D</w:t>
      </w:r>
      <w:r w:rsidR="007E341F" w:rsidRPr="00B10571">
        <w:rPr>
          <w:i/>
        </w:rPr>
        <w:t>evice Interoperability</w:t>
      </w:r>
      <w:r w:rsidRPr="00B10571">
        <w:rPr>
          <w:i/>
        </w:rPr>
        <w:t>.</w:t>
      </w:r>
      <w:r w:rsidRPr="00AF6DA7">
        <w:t xml:space="preserve">  </w:t>
      </w:r>
      <w:r w:rsidR="006957D0" w:rsidRPr="00AF6DA7">
        <w:t xml:space="preserve">CCA argues that </w:t>
      </w:r>
      <w:r w:rsidR="00436C9A">
        <w:t>AT&amp;T has the incentive and ability to enter into proprietary device arrangements that could prevent states from obtaining opt-out approval or could force states to agree to</w:t>
      </w:r>
      <w:r w:rsidR="00480988">
        <w:t xml:space="preserve"> </w:t>
      </w:r>
      <w:r w:rsidR="00436C9A">
        <w:t>unreasonable or discriminatory terms in contracts for equipment.</w:t>
      </w:r>
      <w:r w:rsidR="00436C9A">
        <w:rPr>
          <w:rStyle w:val="FootnoteReference"/>
        </w:rPr>
        <w:footnoteReference w:id="42"/>
      </w:r>
      <w:r w:rsidR="00480988">
        <w:t xml:space="preserve"> </w:t>
      </w:r>
      <w:r w:rsidR="00872BCD">
        <w:t xml:space="preserve"> </w:t>
      </w:r>
      <w:r w:rsidR="00436C9A">
        <w:t>CCA urges the Commission to act in this proceeding to prevent FirstNet, AT&amp;T</w:t>
      </w:r>
      <w:r w:rsidR="00872BCD">
        <w:t>,</w:t>
      </w:r>
      <w:r w:rsidR="00436C9A">
        <w:t xml:space="preserve"> and its equipment vendors from implementing proprietary device standards or otherwise limiting device operability in a manner that would create “an insurmountable opt-out condition based on states’ compliance with proprietary technical standards or equipment.”</w:t>
      </w:r>
      <w:r w:rsidR="00436C9A">
        <w:rPr>
          <w:rStyle w:val="FootnoteReference"/>
        </w:rPr>
        <w:footnoteReference w:id="43"/>
      </w:r>
      <w:r w:rsidR="00E77FEE" w:rsidRPr="00E31130">
        <w:t xml:space="preserve">  </w:t>
      </w:r>
      <w:r w:rsidR="006957D0" w:rsidRPr="00E31130">
        <w:t>We find that this iss</w:t>
      </w:r>
      <w:r w:rsidR="00765DE9" w:rsidRPr="00AF6DA7">
        <w:t xml:space="preserve">ue falls outside </w:t>
      </w:r>
      <w:r w:rsidR="00BE2CA0">
        <w:t xml:space="preserve">the scope of </w:t>
      </w:r>
      <w:r w:rsidR="00765DE9" w:rsidRPr="00AF6DA7">
        <w:t xml:space="preserve">our statutory </w:t>
      </w:r>
      <w:r w:rsidR="00BE2CA0">
        <w:t xml:space="preserve">duties regarding </w:t>
      </w:r>
      <w:r w:rsidR="00436C9A">
        <w:t>RAN interoperability,</w:t>
      </w:r>
      <w:r w:rsidR="00765DE9" w:rsidRPr="00AF6DA7">
        <w:t xml:space="preserve"> and so decline to address it</w:t>
      </w:r>
      <w:r w:rsidR="00436C9A">
        <w:t xml:space="preserve"> here</w:t>
      </w:r>
      <w:r w:rsidR="00765DE9" w:rsidRPr="00AF6DA7">
        <w:t>.</w:t>
      </w:r>
    </w:p>
    <w:p w14:paraId="60BC33FE" w14:textId="7A043143" w:rsidR="00A56DB7" w:rsidRPr="00AF6DA7" w:rsidRDefault="004010F6" w:rsidP="00765DE9">
      <w:pPr>
        <w:pStyle w:val="ParaNum"/>
      </w:pPr>
      <w:r w:rsidRPr="00AF6DA7">
        <w:rPr>
          <w:i/>
        </w:rPr>
        <w:t xml:space="preserve">Datacasting.  </w:t>
      </w:r>
      <w:r w:rsidR="00765DE9" w:rsidRPr="00AF6DA7">
        <w:t>AP</w:t>
      </w:r>
      <w:r w:rsidR="009A5205" w:rsidRPr="00AF6DA7">
        <w:t>TS argues that FirstNet</w:t>
      </w:r>
      <w:r w:rsidR="00765DE9" w:rsidRPr="00AF6DA7">
        <w:t xml:space="preserve"> should not ignore the utility of public broadcasting/datacasting as a part of the FirstNet Network.</w:t>
      </w:r>
      <w:r w:rsidR="00765DE9" w:rsidRPr="008F239B">
        <w:rPr>
          <w:rStyle w:val="FootnoteReference"/>
          <w:sz w:val="22"/>
        </w:rPr>
        <w:footnoteReference w:id="44"/>
      </w:r>
      <w:r w:rsidR="00765DE9" w:rsidRPr="00E31130">
        <w:t xml:space="preserve">  W</w:t>
      </w:r>
      <w:r w:rsidR="00BE2CA0">
        <w:t>hatever the merits of this suggestion, w</w:t>
      </w:r>
      <w:r w:rsidR="00765DE9" w:rsidRPr="00E31130">
        <w:t xml:space="preserve">e find that this comment falls outside of </w:t>
      </w:r>
      <w:r w:rsidR="00BE2CA0">
        <w:t xml:space="preserve">the </w:t>
      </w:r>
      <w:r w:rsidR="00765DE9" w:rsidRPr="00E31130">
        <w:t xml:space="preserve">scope </w:t>
      </w:r>
      <w:r w:rsidR="00BE2CA0">
        <w:t xml:space="preserve">of our authority </w:t>
      </w:r>
      <w:r w:rsidR="00012E1D" w:rsidRPr="00AF6DA7">
        <w:t xml:space="preserve">in </w:t>
      </w:r>
      <w:r w:rsidR="00765DE9" w:rsidRPr="00AF6DA7">
        <w:t>this proceeding and so decline to address it.</w:t>
      </w:r>
    </w:p>
    <w:p w14:paraId="512A71A7" w14:textId="5486E1BE" w:rsidR="00012E1D" w:rsidRPr="00AF6DA7" w:rsidRDefault="00012E1D" w:rsidP="00012E1D">
      <w:pPr>
        <w:pStyle w:val="Heading2"/>
      </w:pPr>
      <w:r w:rsidRPr="00AF6DA7">
        <w:t>Further Information</w:t>
      </w:r>
    </w:p>
    <w:p w14:paraId="2F23906F" w14:textId="77777777" w:rsidR="00B556EB" w:rsidRPr="00AF6DA7" w:rsidRDefault="00B556EB" w:rsidP="00B556EB">
      <w:pPr>
        <w:pStyle w:val="ParaNum"/>
        <w:snapToGrid w:val="0"/>
      </w:pPr>
      <w:r w:rsidRPr="00AF6DA7">
        <w:t>For further information, contact Roberto Mussenden of the Public Safety and Homeland Security Bureau, Policy and Licensing Division, at (202) 418-1428, or by e</w:t>
      </w:r>
      <w:r w:rsidR="00AE772A" w:rsidRPr="00AF6DA7">
        <w:t>-</w:t>
      </w:r>
      <w:r w:rsidRPr="00AF6DA7">
        <w:t xml:space="preserve">mail </w:t>
      </w:r>
      <w:r w:rsidR="00DF4D87" w:rsidRPr="00AF6DA7">
        <w:t>at</w:t>
      </w:r>
      <w:r w:rsidRPr="00AF6DA7">
        <w:t xml:space="preserve"> roberto.mussenden@fcc.gov.</w:t>
      </w:r>
    </w:p>
    <w:p w14:paraId="0268C127" w14:textId="3CC8F354" w:rsidR="00B556EB" w:rsidRPr="00B10571" w:rsidRDefault="00B556EB" w:rsidP="00B556EB">
      <w:pPr>
        <w:pStyle w:val="Heading1"/>
        <w:rPr>
          <w:rFonts w:ascii="Times New Roman" w:hAnsi="Times New Roman"/>
        </w:rPr>
      </w:pPr>
      <w:bookmarkStart w:id="13" w:name="_Toc459716604"/>
      <w:bookmarkStart w:id="14" w:name="_Toc459716905"/>
      <w:bookmarkStart w:id="15" w:name="_Toc482780166"/>
      <w:bookmarkStart w:id="16" w:name="_Toc482780383"/>
      <w:bookmarkStart w:id="17" w:name="_Toc483919401"/>
      <w:bookmarkStart w:id="18" w:name="_Toc485821104"/>
      <w:r w:rsidRPr="00B10571">
        <w:rPr>
          <w:rFonts w:ascii="Times New Roman" w:hAnsi="Times New Roman"/>
        </w:rPr>
        <w:t xml:space="preserve">Ordering </w:t>
      </w:r>
      <w:bookmarkEnd w:id="13"/>
      <w:bookmarkEnd w:id="14"/>
      <w:bookmarkEnd w:id="15"/>
      <w:bookmarkEnd w:id="16"/>
      <w:bookmarkEnd w:id="17"/>
      <w:bookmarkEnd w:id="18"/>
      <w:r w:rsidRPr="00B10571">
        <w:rPr>
          <w:rFonts w:ascii="Times New Roman" w:hAnsi="Times New Roman"/>
        </w:rPr>
        <w:t>Clause</w:t>
      </w:r>
    </w:p>
    <w:p w14:paraId="07C6ABF2" w14:textId="5DD7BC4D" w:rsidR="00B556EB" w:rsidRPr="00AF6DA7" w:rsidRDefault="00B556EB" w:rsidP="004F61E3">
      <w:pPr>
        <w:pStyle w:val="ParaNum"/>
      </w:pPr>
      <w:r w:rsidRPr="00E31130">
        <w:t xml:space="preserve">Accordingly, IT IS ORDERED, pursuant to Sections 4(i), 4(j), 301, </w:t>
      </w:r>
      <w:r w:rsidR="004F61E3" w:rsidRPr="00E31130">
        <w:t xml:space="preserve">and </w:t>
      </w:r>
      <w:r w:rsidRPr="00AF6DA7">
        <w:t>303</w:t>
      </w:r>
      <w:r w:rsidR="00DF4D87" w:rsidRPr="00AF6DA7">
        <w:t xml:space="preserve"> </w:t>
      </w:r>
      <w:r w:rsidRPr="00AF6DA7">
        <w:t>of the Communications Act of 1934, as amended, 47 U.S.C. §§ 154(i), 154(j), 301, 303, as well as Title VI</w:t>
      </w:r>
      <w:r w:rsidR="00DF4D87" w:rsidRPr="00AF6DA7">
        <w:t>,</w:t>
      </w:r>
      <w:r w:rsidRPr="00AF6DA7">
        <w:t xml:space="preserve"> </w:t>
      </w:r>
      <w:r w:rsidR="004F61E3" w:rsidRPr="00AF6DA7">
        <w:t xml:space="preserve">Sections </w:t>
      </w:r>
      <w:r w:rsidR="000159B9" w:rsidRPr="00AF6DA7">
        <w:t xml:space="preserve">6003, </w:t>
      </w:r>
      <w:r w:rsidR="004F61E3" w:rsidRPr="00AF6DA7">
        <w:t>6203</w:t>
      </w:r>
      <w:r w:rsidR="000159B9" w:rsidRPr="00AF6DA7">
        <w:t>,</w:t>
      </w:r>
      <w:r w:rsidR="004F61E3" w:rsidRPr="00AF6DA7">
        <w:t xml:space="preserve"> and 6302(e), </w:t>
      </w:r>
      <w:r w:rsidRPr="00AF6DA7">
        <w:t xml:space="preserve">of the Middle Class Tax Relief and Job Creation Act of 2012, Pub. L. No. 112-96, 126 Stat. 156, </w:t>
      </w:r>
      <w:r w:rsidR="004F61E3" w:rsidRPr="00AF6DA7">
        <w:t xml:space="preserve">§§ </w:t>
      </w:r>
      <w:r w:rsidR="000159B9" w:rsidRPr="00AF6DA7">
        <w:t xml:space="preserve">6003, </w:t>
      </w:r>
      <w:r w:rsidR="004F61E3" w:rsidRPr="00AF6DA7">
        <w:t>6203, 6302(e)</w:t>
      </w:r>
      <w:r w:rsidR="00F95E36" w:rsidRPr="00AF6DA7">
        <w:t xml:space="preserve">, </w:t>
      </w:r>
      <w:r w:rsidRPr="00AF6DA7">
        <w:t xml:space="preserve">that this </w:t>
      </w:r>
      <w:r w:rsidRPr="00AF6DA7">
        <w:rPr>
          <w:i/>
        </w:rPr>
        <w:t xml:space="preserve">Order </w:t>
      </w:r>
      <w:r w:rsidRPr="00AF6DA7">
        <w:t>is hereby ADOPTED.</w:t>
      </w:r>
    </w:p>
    <w:p w14:paraId="6BBF0DEC" w14:textId="77777777" w:rsidR="00B556EB" w:rsidRPr="00AF6DA7" w:rsidRDefault="00B556EB" w:rsidP="004D218A">
      <w:pPr>
        <w:pStyle w:val="ParaNum"/>
        <w:numPr>
          <w:ilvl w:val="0"/>
          <w:numId w:val="0"/>
        </w:numPr>
        <w:ind w:left="720"/>
      </w:pPr>
    </w:p>
    <w:p w14:paraId="1B86119C" w14:textId="77777777" w:rsidR="00B556EB" w:rsidRPr="00AF6DA7" w:rsidRDefault="00B556EB" w:rsidP="00B556EB">
      <w:r w:rsidRPr="00AF6DA7">
        <w:tab/>
      </w:r>
      <w:r w:rsidRPr="00AF6DA7">
        <w:tab/>
      </w:r>
      <w:r w:rsidRPr="00AF6DA7">
        <w:tab/>
      </w:r>
      <w:r w:rsidRPr="00AF6DA7">
        <w:tab/>
      </w:r>
      <w:r w:rsidRPr="00AF6DA7">
        <w:tab/>
      </w:r>
      <w:r w:rsidRPr="00AF6DA7">
        <w:tab/>
        <w:t>FEDERAL COMMUNICATIONS COMMISSION</w:t>
      </w:r>
    </w:p>
    <w:p w14:paraId="015E542F" w14:textId="77777777" w:rsidR="00B556EB" w:rsidRPr="00AF6DA7" w:rsidRDefault="00B556EB" w:rsidP="00B556EB"/>
    <w:p w14:paraId="1AD03FA1" w14:textId="77777777" w:rsidR="00B556EB" w:rsidRPr="00AF6DA7" w:rsidRDefault="00B556EB" w:rsidP="00B556EB"/>
    <w:p w14:paraId="4225D1F1" w14:textId="77777777" w:rsidR="00B556EB" w:rsidRPr="00AF6DA7" w:rsidRDefault="00B556EB" w:rsidP="00B556EB"/>
    <w:p w14:paraId="3FF3D059" w14:textId="77777777" w:rsidR="00B556EB" w:rsidRPr="00AF6DA7" w:rsidRDefault="00B556EB" w:rsidP="00B556EB"/>
    <w:p w14:paraId="078CB490" w14:textId="77777777" w:rsidR="00B556EB" w:rsidRPr="00AF6DA7" w:rsidRDefault="00B556EB" w:rsidP="00B556EB">
      <w:r w:rsidRPr="00AF6DA7">
        <w:tab/>
      </w:r>
      <w:r w:rsidRPr="00AF6DA7">
        <w:tab/>
      </w:r>
      <w:r w:rsidRPr="00AF6DA7">
        <w:tab/>
      </w:r>
      <w:r w:rsidRPr="00AF6DA7">
        <w:tab/>
      </w:r>
      <w:r w:rsidRPr="00AF6DA7">
        <w:tab/>
      </w:r>
      <w:r w:rsidRPr="00AF6DA7">
        <w:tab/>
        <w:t>Marlene H. Dortch</w:t>
      </w:r>
    </w:p>
    <w:p w14:paraId="3BF79DB4" w14:textId="77777777" w:rsidR="00B556EB" w:rsidRPr="00AF6DA7" w:rsidRDefault="00B556EB" w:rsidP="00B556EB">
      <w:r w:rsidRPr="00AF6DA7">
        <w:tab/>
      </w:r>
      <w:r w:rsidRPr="00AF6DA7">
        <w:tab/>
      </w:r>
      <w:r w:rsidRPr="00AF6DA7">
        <w:tab/>
      </w:r>
      <w:r w:rsidRPr="00AF6DA7">
        <w:tab/>
      </w:r>
      <w:r w:rsidRPr="00AF6DA7">
        <w:tab/>
      </w:r>
      <w:r w:rsidRPr="00AF6DA7">
        <w:tab/>
        <w:t>Secretary</w:t>
      </w:r>
    </w:p>
    <w:p w14:paraId="2569CE5F" w14:textId="77777777" w:rsidR="0009315E" w:rsidRPr="00AF6DA7" w:rsidRDefault="0009315E" w:rsidP="00F35E55">
      <w:pPr>
        <w:pStyle w:val="ParaNum"/>
        <w:keepLines/>
        <w:numPr>
          <w:ilvl w:val="0"/>
          <w:numId w:val="0"/>
        </w:numPr>
        <w:ind w:left="720"/>
      </w:pPr>
    </w:p>
    <w:p w14:paraId="671ECD07" w14:textId="77777777" w:rsidR="0009315E" w:rsidRPr="00AF6DA7" w:rsidRDefault="0009315E" w:rsidP="0009315E">
      <w:pPr>
        <w:pStyle w:val="ParaNum"/>
        <w:sectPr w:rsidR="0009315E" w:rsidRPr="00AF6DA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pPr>
    </w:p>
    <w:p w14:paraId="23AC806D" w14:textId="77777777" w:rsidR="0009315E" w:rsidRPr="00AF6DA7" w:rsidRDefault="00A56DB7" w:rsidP="0009315E">
      <w:pPr>
        <w:pStyle w:val="ParaNum"/>
        <w:numPr>
          <w:ilvl w:val="0"/>
          <w:numId w:val="0"/>
        </w:numPr>
        <w:jc w:val="center"/>
        <w:rPr>
          <w:b/>
        </w:rPr>
      </w:pPr>
      <w:r w:rsidRPr="00AF6DA7">
        <w:rPr>
          <w:b/>
        </w:rPr>
        <w:t xml:space="preserve">APPENDIX </w:t>
      </w:r>
    </w:p>
    <w:p w14:paraId="2BC7AB3E" w14:textId="77777777" w:rsidR="0009315E" w:rsidRPr="00AF6DA7" w:rsidRDefault="0009315E" w:rsidP="0009315E">
      <w:pPr>
        <w:pStyle w:val="ParaNum"/>
        <w:numPr>
          <w:ilvl w:val="0"/>
          <w:numId w:val="0"/>
        </w:numPr>
        <w:jc w:val="center"/>
        <w:rPr>
          <w:b/>
        </w:rPr>
      </w:pPr>
      <w:r w:rsidRPr="00AF6DA7">
        <w:rPr>
          <w:b/>
        </w:rPr>
        <w:t>List of Commenting Parties</w:t>
      </w:r>
    </w:p>
    <w:p w14:paraId="2601349A" w14:textId="77777777" w:rsidR="0009315E" w:rsidRPr="00AF6DA7" w:rsidRDefault="00E10E62" w:rsidP="0009315E">
      <w:r w:rsidRPr="00AF6DA7">
        <w:t xml:space="preserve">Southern Communications Services, Inc. d/b/a </w:t>
      </w:r>
      <w:r w:rsidR="0009315E" w:rsidRPr="00AF6DA7">
        <w:t>SouthernLinc</w:t>
      </w:r>
      <w:r w:rsidRPr="00AF6DA7">
        <w:t xml:space="preserve"> (SouthernLinc)</w:t>
      </w:r>
    </w:p>
    <w:p w14:paraId="174BD1F0" w14:textId="77777777" w:rsidR="0009315E" w:rsidRPr="00AF6DA7" w:rsidRDefault="0009315E" w:rsidP="0009315E">
      <w:r w:rsidRPr="00AF6DA7">
        <w:t>The FirstNet Colorado Governing Body (FNCGB)</w:t>
      </w:r>
    </w:p>
    <w:p w14:paraId="52C19D6F" w14:textId="77777777" w:rsidR="00A56DB7" w:rsidRPr="00AF6DA7" w:rsidRDefault="0009315E" w:rsidP="0009315E">
      <w:r w:rsidRPr="00AF6DA7">
        <w:t>Rivada Networks</w:t>
      </w:r>
      <w:r w:rsidR="00BC33B0" w:rsidRPr="00AF6DA7">
        <w:t>, LLC</w:t>
      </w:r>
      <w:r w:rsidRPr="00AF6DA7">
        <w:t xml:space="preserve"> (Rivada)</w:t>
      </w:r>
    </w:p>
    <w:p w14:paraId="68C17C78" w14:textId="77777777" w:rsidR="0009315E" w:rsidRPr="00AF6DA7" w:rsidRDefault="0009315E" w:rsidP="0009315E">
      <w:r w:rsidRPr="00AF6DA7">
        <w:t>NTIA on behalf of the First Responder Network Authority (FirstNet)</w:t>
      </w:r>
    </w:p>
    <w:p w14:paraId="61D0FCEE" w14:textId="0938C0E2" w:rsidR="0009315E" w:rsidRPr="00AF6DA7" w:rsidRDefault="0009315E" w:rsidP="0009315E">
      <w:r w:rsidRPr="00AF6DA7">
        <w:t>AT&amp;T</w:t>
      </w:r>
      <w:r w:rsidR="00BC33B0" w:rsidRPr="00AF6DA7">
        <w:t xml:space="preserve"> </w:t>
      </w:r>
      <w:r w:rsidR="004320A4" w:rsidRPr="00AF6DA7">
        <w:t>Services</w:t>
      </w:r>
      <w:r w:rsidR="00BC33B0" w:rsidRPr="00AF6DA7">
        <w:t>, Inc. (AT&amp;T)</w:t>
      </w:r>
    </w:p>
    <w:p w14:paraId="29842189" w14:textId="77777777" w:rsidR="008E08E4" w:rsidRPr="00AF6DA7" w:rsidRDefault="0009315E" w:rsidP="00BC33B0">
      <w:r w:rsidRPr="00AF6DA7">
        <w:t>National Regional Planning Council (NRPC</w:t>
      </w:r>
      <w:r w:rsidR="006437CB" w:rsidRPr="00AF6DA7">
        <w:t>)</w:t>
      </w:r>
      <w:r w:rsidR="008E08E4" w:rsidRPr="00AF6DA7">
        <w:t xml:space="preserve"> </w:t>
      </w:r>
    </w:p>
    <w:p w14:paraId="4D074DE6" w14:textId="1D728623" w:rsidR="00A56DB7" w:rsidRPr="00AF6DA7" w:rsidRDefault="00BC33B0" w:rsidP="00BC33B0">
      <w:r w:rsidRPr="00AF6DA7">
        <w:t xml:space="preserve">Cellular South, </w:t>
      </w:r>
      <w:r w:rsidR="004E19B7" w:rsidRPr="00AF6DA7">
        <w:t>Inc.</w:t>
      </w:r>
      <w:r w:rsidRPr="00AF6DA7">
        <w:t xml:space="preserve"> d/b/a </w:t>
      </w:r>
      <w:r w:rsidR="00A56DB7" w:rsidRPr="00AF6DA7">
        <w:t>C-Spire</w:t>
      </w:r>
      <w:r w:rsidRPr="00AF6DA7">
        <w:t xml:space="preserve"> (C-Spire)</w:t>
      </w:r>
    </w:p>
    <w:p w14:paraId="2C44552F" w14:textId="77777777" w:rsidR="00A56DB7" w:rsidRPr="00AF6DA7" w:rsidRDefault="00A56DB7" w:rsidP="00BC33B0">
      <w:r w:rsidRPr="00AF6DA7">
        <w:t>C</w:t>
      </w:r>
      <w:r w:rsidR="00BC33B0" w:rsidRPr="00AF6DA7">
        <w:t xml:space="preserve">ompetitive </w:t>
      </w:r>
      <w:r w:rsidRPr="00AF6DA7">
        <w:t>C</w:t>
      </w:r>
      <w:r w:rsidR="00BC33B0" w:rsidRPr="00AF6DA7">
        <w:t xml:space="preserve">arriers </w:t>
      </w:r>
      <w:r w:rsidRPr="00AF6DA7">
        <w:t>A</w:t>
      </w:r>
      <w:r w:rsidR="00BC33B0" w:rsidRPr="00AF6DA7">
        <w:t>ssociation (CCA)</w:t>
      </w:r>
    </w:p>
    <w:p w14:paraId="5484C3BD" w14:textId="4915FE99" w:rsidR="00A56DB7" w:rsidRPr="00AF6DA7" w:rsidRDefault="00DF4AC1" w:rsidP="00BC33B0">
      <w:r w:rsidRPr="00AF6DA7">
        <w:t xml:space="preserve">America’s </w:t>
      </w:r>
      <w:r w:rsidR="00A56DB7" w:rsidRPr="00AF6DA7">
        <w:t>P</w:t>
      </w:r>
      <w:r w:rsidR="00BC33B0" w:rsidRPr="00AF6DA7">
        <w:t>ublic Television Stations (AP</w:t>
      </w:r>
      <w:r w:rsidR="00A56DB7" w:rsidRPr="00AF6DA7">
        <w:t>TS</w:t>
      </w:r>
      <w:r w:rsidR="00BC33B0" w:rsidRPr="00AF6DA7">
        <w:t>)</w:t>
      </w:r>
    </w:p>
    <w:p w14:paraId="0456176F" w14:textId="77777777" w:rsidR="00BC33B0" w:rsidRPr="00AF6DA7" w:rsidRDefault="00BC33B0" w:rsidP="00BC33B0">
      <w:r w:rsidRPr="00AF6DA7">
        <w:t>Verizon</w:t>
      </w:r>
    </w:p>
    <w:p w14:paraId="7E0DD6E7" w14:textId="77777777" w:rsidR="001F771E" w:rsidRPr="00AF6DA7" w:rsidRDefault="001F771E" w:rsidP="001F771E"/>
    <w:p w14:paraId="73FA55D3" w14:textId="77777777" w:rsidR="001F771E" w:rsidRPr="00AF6DA7" w:rsidRDefault="001F771E" w:rsidP="001F771E">
      <w:pPr>
        <w:pStyle w:val="ParaNum"/>
        <w:keepLines/>
        <w:numPr>
          <w:ilvl w:val="0"/>
          <w:numId w:val="0"/>
        </w:numPr>
        <w:ind w:left="720"/>
      </w:pPr>
    </w:p>
    <w:p w14:paraId="65BB6DDF" w14:textId="77777777" w:rsidR="001F771E" w:rsidRPr="00AF6DA7" w:rsidRDefault="001F771E" w:rsidP="001F771E">
      <w:pPr>
        <w:pStyle w:val="ParaNum"/>
        <w:sectPr w:rsidR="001F771E" w:rsidRPr="00AF6DA7">
          <w:headerReference w:type="default" r:id="rId14"/>
          <w:footerReference w:type="even" r:id="rId15"/>
          <w:footerReference w:type="default" r:id="rId16"/>
          <w:head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pPr>
    </w:p>
    <w:p w14:paraId="686E0443" w14:textId="77777777" w:rsidR="00F56263" w:rsidRPr="005577AD" w:rsidRDefault="00F56263" w:rsidP="00D41BA0">
      <w:pPr>
        <w:jc w:val="center"/>
        <w:rPr>
          <w:b/>
          <w:bCs/>
          <w:caps/>
          <w:szCs w:val="22"/>
        </w:rPr>
      </w:pPr>
      <w:r w:rsidRPr="005577AD">
        <w:rPr>
          <w:b/>
          <w:bCs/>
          <w:caps/>
          <w:szCs w:val="22"/>
        </w:rPr>
        <w:t>Statement of</w:t>
      </w:r>
    </w:p>
    <w:p w14:paraId="5FA67673" w14:textId="7DD4478B" w:rsidR="00F56263" w:rsidRPr="005577AD" w:rsidRDefault="00F56263" w:rsidP="00D41BA0">
      <w:pPr>
        <w:jc w:val="center"/>
        <w:rPr>
          <w:b/>
          <w:bCs/>
          <w:caps/>
          <w:szCs w:val="22"/>
        </w:rPr>
      </w:pPr>
      <w:r>
        <w:rPr>
          <w:b/>
          <w:bCs/>
          <w:caps/>
          <w:szCs w:val="22"/>
        </w:rPr>
        <w:t>Chairman AJIT PAI</w:t>
      </w:r>
    </w:p>
    <w:p w14:paraId="101AFA23" w14:textId="77777777" w:rsidR="00F56263" w:rsidRPr="005577AD" w:rsidRDefault="00F56263" w:rsidP="00D41BA0">
      <w:pPr>
        <w:jc w:val="center"/>
        <w:rPr>
          <w:b/>
          <w:bCs/>
          <w:caps/>
          <w:szCs w:val="22"/>
        </w:rPr>
      </w:pPr>
    </w:p>
    <w:p w14:paraId="75FADAD1" w14:textId="768B98E7" w:rsidR="00F56263" w:rsidRPr="005577AD" w:rsidRDefault="00F56263" w:rsidP="00D41BA0">
      <w:pPr>
        <w:rPr>
          <w:i/>
          <w:iCs/>
          <w:szCs w:val="22"/>
        </w:rPr>
      </w:pPr>
      <w:r w:rsidRPr="005577AD">
        <w:rPr>
          <w:iCs/>
          <w:szCs w:val="22"/>
        </w:rPr>
        <w:t>Re:</w:t>
      </w:r>
      <w:r>
        <w:rPr>
          <w:szCs w:val="22"/>
        </w:rPr>
        <w:t xml:space="preserve"> </w:t>
      </w:r>
      <w:r w:rsidRPr="005577AD">
        <w:rPr>
          <w:szCs w:val="22"/>
        </w:rPr>
        <w:tab/>
      </w:r>
      <w:r w:rsidRPr="00D87554">
        <w:rPr>
          <w:i/>
        </w:rPr>
        <w:t>Procedures for Commission Review of State Opt-Out Requests from the FirstNet Radio Access Network</w:t>
      </w:r>
      <w:r w:rsidRPr="001223F9">
        <w:rPr>
          <w:i/>
        </w:rPr>
        <w:t xml:space="preserve">, </w:t>
      </w:r>
      <w:r>
        <w:rPr>
          <w:i/>
        </w:rPr>
        <w:t>Order</w:t>
      </w:r>
      <w:r w:rsidRPr="001223F9">
        <w:rPr>
          <w:i/>
        </w:rPr>
        <w:t xml:space="preserve">, </w:t>
      </w:r>
      <w:r w:rsidRPr="00D87554">
        <w:t>PS Docket 16-269</w:t>
      </w:r>
      <w:r w:rsidRPr="005577AD">
        <w:rPr>
          <w:iCs/>
          <w:szCs w:val="22"/>
        </w:rPr>
        <w:t>.</w:t>
      </w:r>
    </w:p>
    <w:p w14:paraId="33A9766B" w14:textId="77777777" w:rsidR="00F56263" w:rsidRPr="005577AD" w:rsidRDefault="00F56263" w:rsidP="00D41BA0">
      <w:pPr>
        <w:ind w:firstLine="720"/>
        <w:rPr>
          <w:szCs w:val="22"/>
        </w:rPr>
      </w:pPr>
    </w:p>
    <w:p w14:paraId="3773E3F8" w14:textId="77777777" w:rsidR="00F56263" w:rsidRPr="00F56263" w:rsidRDefault="00F56263" w:rsidP="00F56263">
      <w:pPr>
        <w:spacing w:after="120"/>
        <w:ind w:firstLine="720"/>
        <w:rPr>
          <w:szCs w:val="22"/>
        </w:rPr>
      </w:pPr>
      <w:r w:rsidRPr="00F56263">
        <w:rPr>
          <w:szCs w:val="22"/>
        </w:rPr>
        <w:t xml:space="preserve">As communities devastated by Hurricanes Harvey and Irma begin the hard work of rebuilding, our work at the Commission to promote public safety continues.  With today’s </w:t>
      </w:r>
      <w:r w:rsidRPr="00F56263">
        <w:rPr>
          <w:i/>
          <w:szCs w:val="22"/>
        </w:rPr>
        <w:t>Order</w:t>
      </w:r>
      <w:r w:rsidRPr="00F56263">
        <w:rPr>
          <w:szCs w:val="22"/>
        </w:rPr>
        <w:t xml:space="preserve">, we take another step towards the creation of a nationwide interoperable public safety broadband network.  Specifically, we finalize the technical criteria the Commission will use to evaluate plans from those states that elect to opt-out of the network that will be deployed by the First Responder Network Authority.   </w:t>
      </w:r>
    </w:p>
    <w:p w14:paraId="0730AF55" w14:textId="714B2251" w:rsidR="00F56263" w:rsidRPr="005577AD" w:rsidRDefault="00F56263" w:rsidP="00F56263">
      <w:pPr>
        <w:spacing w:after="120"/>
        <w:ind w:firstLine="720"/>
        <w:rPr>
          <w:szCs w:val="22"/>
        </w:rPr>
      </w:pPr>
      <w:r w:rsidRPr="00F56263">
        <w:rPr>
          <w:szCs w:val="22"/>
        </w:rPr>
        <w:t>During the recent storms, we have witnessed heroic acts by many first responders.  They put their lives on the line each and every day to keep us safe.  We owe it to them to give them the tools they need to do their jobs.  Effective and reliable communications service is one of those tools.  I’m proud that we’re doing what we can and must to help them communicate in times of trouble.</w:t>
      </w:r>
    </w:p>
    <w:p w14:paraId="71C2F5CA" w14:textId="77777777" w:rsidR="00F56263" w:rsidRPr="005577AD" w:rsidRDefault="00F56263" w:rsidP="00D41BA0">
      <w:pPr>
        <w:widowControl/>
        <w:ind w:firstLine="720"/>
        <w:rPr>
          <w:szCs w:val="22"/>
        </w:rPr>
      </w:pPr>
    </w:p>
    <w:p w14:paraId="5F5C4323" w14:textId="77777777" w:rsidR="00F56263" w:rsidRPr="00D41BA0" w:rsidRDefault="00F56263" w:rsidP="00D41BA0"/>
    <w:p w14:paraId="022AB289" w14:textId="77777777" w:rsidR="00F56263" w:rsidRPr="00AF6DA7" w:rsidRDefault="00F56263" w:rsidP="00F56263">
      <w:pPr>
        <w:pStyle w:val="ParaNum"/>
        <w:numPr>
          <w:ilvl w:val="0"/>
          <w:numId w:val="0"/>
        </w:numPr>
        <w:ind w:left="720"/>
        <w:sectPr w:rsidR="00F56263" w:rsidRPr="00AF6DA7">
          <w:headerReference w:type="default" r:id="rId18"/>
          <w:footerReference w:type="even" r:id="rId19"/>
          <w:footerReference w:type="default" r:id="rId20"/>
          <w:headerReference w:type="first" r:id="rId21"/>
          <w:footnotePr>
            <w:numRestart w:val="eachSect"/>
          </w:footnotePr>
          <w:endnotePr>
            <w:numFmt w:val="decimal"/>
          </w:endnotePr>
          <w:pgSz w:w="12240" w:h="15840"/>
          <w:pgMar w:top="1440" w:right="1440" w:bottom="720" w:left="1440" w:header="720" w:footer="720" w:gutter="0"/>
          <w:cols w:space="720"/>
          <w:noEndnote/>
          <w:docGrid w:linePitch="299"/>
        </w:sectPr>
      </w:pPr>
    </w:p>
    <w:p w14:paraId="2A2CB45F" w14:textId="77777777" w:rsidR="004D7C39" w:rsidRPr="005577AD" w:rsidRDefault="004D7C39" w:rsidP="00836745">
      <w:pPr>
        <w:tabs>
          <w:tab w:val="left" w:pos="5580"/>
        </w:tabs>
        <w:jc w:val="center"/>
        <w:rPr>
          <w:b/>
          <w:bCs/>
          <w:caps/>
          <w:szCs w:val="22"/>
        </w:rPr>
      </w:pPr>
      <w:r w:rsidRPr="005577AD">
        <w:rPr>
          <w:b/>
          <w:bCs/>
          <w:caps/>
          <w:szCs w:val="22"/>
        </w:rPr>
        <w:t>Statement of</w:t>
      </w:r>
    </w:p>
    <w:p w14:paraId="10107675" w14:textId="77777777" w:rsidR="004D7C39" w:rsidRPr="005577AD" w:rsidRDefault="004D7C39" w:rsidP="009023F8">
      <w:pPr>
        <w:jc w:val="center"/>
        <w:rPr>
          <w:b/>
          <w:bCs/>
          <w:caps/>
          <w:szCs w:val="22"/>
        </w:rPr>
      </w:pPr>
      <w:r>
        <w:rPr>
          <w:b/>
          <w:bCs/>
          <w:caps/>
          <w:szCs w:val="22"/>
        </w:rPr>
        <w:t>COMMISSIONER</w:t>
      </w:r>
      <w:r w:rsidRPr="005577AD">
        <w:rPr>
          <w:b/>
          <w:bCs/>
          <w:caps/>
          <w:szCs w:val="22"/>
        </w:rPr>
        <w:t xml:space="preserve"> </w:t>
      </w:r>
      <w:r>
        <w:rPr>
          <w:b/>
          <w:bCs/>
          <w:caps/>
          <w:szCs w:val="22"/>
        </w:rPr>
        <w:t>JESSICA ROSENWORCEL</w:t>
      </w:r>
    </w:p>
    <w:p w14:paraId="629D2717" w14:textId="77777777" w:rsidR="004D7C39" w:rsidRPr="005577AD" w:rsidRDefault="004D7C39" w:rsidP="009023F8">
      <w:pPr>
        <w:jc w:val="center"/>
        <w:rPr>
          <w:b/>
          <w:bCs/>
          <w:caps/>
          <w:szCs w:val="22"/>
        </w:rPr>
      </w:pPr>
    </w:p>
    <w:p w14:paraId="41F18D39" w14:textId="19B35A92" w:rsidR="004D7C39" w:rsidRPr="005577AD" w:rsidRDefault="004D7C39" w:rsidP="009023F8">
      <w:pPr>
        <w:rPr>
          <w:i/>
          <w:iCs/>
          <w:szCs w:val="22"/>
        </w:rPr>
      </w:pPr>
      <w:r w:rsidRPr="005577AD">
        <w:rPr>
          <w:iCs/>
          <w:szCs w:val="22"/>
        </w:rPr>
        <w:t>Re:</w:t>
      </w:r>
      <w:r w:rsidRPr="005577AD">
        <w:rPr>
          <w:szCs w:val="22"/>
        </w:rPr>
        <w:tab/>
      </w:r>
      <w:r w:rsidRPr="004D7C39">
        <w:rPr>
          <w:i/>
          <w:iCs/>
          <w:szCs w:val="22"/>
        </w:rPr>
        <w:t>Procedures for Commission Review of State Opt-Out Requests from the FirstNet Radio Access Network</w:t>
      </w:r>
      <w:r w:rsidRPr="005577AD">
        <w:rPr>
          <w:iCs/>
          <w:szCs w:val="22"/>
        </w:rPr>
        <w:t xml:space="preserve">, </w:t>
      </w:r>
      <w:r w:rsidR="004340D7">
        <w:rPr>
          <w:iCs/>
          <w:szCs w:val="22"/>
        </w:rPr>
        <w:t xml:space="preserve">Order, </w:t>
      </w:r>
      <w:r>
        <w:rPr>
          <w:iCs/>
          <w:szCs w:val="22"/>
        </w:rPr>
        <w:t>PS Docket</w:t>
      </w:r>
      <w:r w:rsidRPr="005577AD">
        <w:rPr>
          <w:iCs/>
          <w:szCs w:val="22"/>
        </w:rPr>
        <w:t xml:space="preserve"> No. </w:t>
      </w:r>
      <w:r>
        <w:rPr>
          <w:iCs/>
          <w:szCs w:val="22"/>
        </w:rPr>
        <w:t>16-269</w:t>
      </w:r>
      <w:r w:rsidRPr="005577AD">
        <w:rPr>
          <w:iCs/>
          <w:szCs w:val="22"/>
        </w:rPr>
        <w:t>.</w:t>
      </w:r>
    </w:p>
    <w:p w14:paraId="6AC3A4D0" w14:textId="77777777" w:rsidR="004D7C39" w:rsidRPr="005577AD" w:rsidRDefault="004D7C39" w:rsidP="009023F8">
      <w:pPr>
        <w:ind w:firstLine="720"/>
        <w:rPr>
          <w:szCs w:val="22"/>
        </w:rPr>
      </w:pPr>
    </w:p>
    <w:p w14:paraId="3F5A5B80" w14:textId="77777777" w:rsidR="00630B4B" w:rsidRDefault="00630B4B" w:rsidP="00630B4B">
      <w:pPr>
        <w:ind w:firstLine="720"/>
        <w:rPr>
          <w:szCs w:val="24"/>
        </w:rPr>
      </w:pPr>
      <w:r>
        <w:rPr>
          <w:szCs w:val="24"/>
        </w:rPr>
        <w:t xml:space="preserve">It is appropriate that this Order is adopted this week—the anniversary of one of our darkest days.  The events of September 11 sixteen years ago left an indelible mark on this country.  In my family that mark is personal—because we lost a relative in the Twin Towers.  </w:t>
      </w:r>
    </w:p>
    <w:p w14:paraId="087522BB" w14:textId="77777777" w:rsidR="00630B4B" w:rsidRDefault="00630B4B" w:rsidP="00630B4B">
      <w:pPr>
        <w:ind w:firstLine="720"/>
        <w:rPr>
          <w:szCs w:val="24"/>
        </w:rPr>
      </w:pPr>
    </w:p>
    <w:p w14:paraId="10C2229F" w14:textId="77777777" w:rsidR="00630B4B" w:rsidRDefault="00630B4B" w:rsidP="00630B4B">
      <w:pPr>
        <w:ind w:firstLine="720"/>
        <w:rPr>
          <w:szCs w:val="24"/>
        </w:rPr>
      </w:pPr>
      <w:r>
        <w:rPr>
          <w:szCs w:val="24"/>
        </w:rPr>
        <w:t xml:space="preserve">Compounding the tragedy of that day was a lack of interoperable communications among our first responders.  The absence of compatible radio systems meant that too many of the brave public safety officials who sought to respond to the emergency as it unfolded were unable to do their job because they could not communicate with one another.  Too many lost their lives as a result.  </w:t>
      </w:r>
    </w:p>
    <w:p w14:paraId="02B6FA91" w14:textId="77777777" w:rsidR="00630B4B" w:rsidRDefault="00630B4B" w:rsidP="00630B4B">
      <w:pPr>
        <w:ind w:firstLine="720"/>
        <w:rPr>
          <w:szCs w:val="24"/>
        </w:rPr>
      </w:pPr>
    </w:p>
    <w:p w14:paraId="40B7471F" w14:textId="77777777" w:rsidR="00630B4B" w:rsidRDefault="00630B4B" w:rsidP="00630B4B">
      <w:pPr>
        <w:ind w:firstLine="720"/>
        <w:rPr>
          <w:szCs w:val="24"/>
        </w:rPr>
      </w:pPr>
      <w:r>
        <w:rPr>
          <w:szCs w:val="24"/>
        </w:rPr>
        <w:t xml:space="preserve">Thankfully, Congress sought to do something about it.  More than five years ago in the Middle Class Tax Relief and Job Creation Act Congress built a framework for interoperable public safety communications by putting first responders on the same airwaves nationwide.  This effort, known as the First Responder Network Authority—or FirstNet—is at long last poised for deployment.  It is incumbent on this Commission to support this effort to ensure broader public safety communications interoperability—something that the weather events of the last few weeks demonstrate cannot come a moment too soon.  </w:t>
      </w:r>
    </w:p>
    <w:p w14:paraId="52303DD0" w14:textId="77777777" w:rsidR="00630B4B" w:rsidRDefault="00630B4B" w:rsidP="00630B4B">
      <w:pPr>
        <w:ind w:firstLine="720"/>
        <w:rPr>
          <w:szCs w:val="24"/>
        </w:rPr>
      </w:pPr>
    </w:p>
    <w:p w14:paraId="1FC04555" w14:textId="77777777" w:rsidR="00630B4B" w:rsidRDefault="00630B4B" w:rsidP="00630B4B">
      <w:pPr>
        <w:ind w:firstLine="720"/>
        <w:rPr>
          <w:szCs w:val="24"/>
        </w:rPr>
      </w:pPr>
      <w:r>
        <w:rPr>
          <w:szCs w:val="24"/>
        </w:rPr>
        <w:t xml:space="preserve">For this reason, I support today’s decision, which clarifies for those who exercise their right to opt-out of this system the standard that the Commission will employ to ensure that a state or territory’s radio access network is fully interoperable.  </w:t>
      </w:r>
    </w:p>
    <w:p w14:paraId="2E308F84" w14:textId="77777777" w:rsidR="00630B4B" w:rsidRDefault="00630B4B" w:rsidP="00630B4B">
      <w:pPr>
        <w:ind w:firstLine="720"/>
        <w:rPr>
          <w:szCs w:val="24"/>
        </w:rPr>
      </w:pPr>
    </w:p>
    <w:p w14:paraId="17FE994A" w14:textId="77777777" w:rsidR="00630B4B" w:rsidRDefault="00630B4B" w:rsidP="00630B4B">
      <w:pPr>
        <w:ind w:firstLine="720"/>
        <w:rPr>
          <w:szCs w:val="24"/>
        </w:rPr>
      </w:pPr>
      <w:r>
        <w:rPr>
          <w:szCs w:val="24"/>
        </w:rPr>
        <w:t xml:space="preserve">This Order represents my first recorded vote as a returning Commissioner and reflects my deeply rooted belief that the first duty of the public servant is the public safety.  </w:t>
      </w:r>
    </w:p>
    <w:p w14:paraId="75CDB4C5" w14:textId="77777777" w:rsidR="00A9728E" w:rsidRPr="00AF6DA7" w:rsidRDefault="00A9728E" w:rsidP="00BC33B0">
      <w:pPr>
        <w:spacing w:after="240"/>
      </w:pPr>
    </w:p>
    <w:sectPr w:rsidR="00A9728E" w:rsidRPr="00AF6DA7" w:rsidSect="00902E07">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A52B6" w14:textId="77777777" w:rsidR="00A8022B" w:rsidRDefault="00A8022B">
      <w:pPr>
        <w:spacing w:line="20" w:lineRule="exact"/>
      </w:pPr>
    </w:p>
  </w:endnote>
  <w:endnote w:type="continuationSeparator" w:id="0">
    <w:p w14:paraId="25BBBCE3" w14:textId="77777777" w:rsidR="00A8022B" w:rsidRDefault="00A8022B">
      <w:r>
        <w:t xml:space="preserve"> </w:t>
      </w:r>
    </w:p>
  </w:endnote>
  <w:endnote w:type="continuationNotice" w:id="1">
    <w:p w14:paraId="6A23F399" w14:textId="77777777" w:rsidR="00A8022B" w:rsidRDefault="00A802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54E94" w14:textId="77777777" w:rsidR="00A8022B" w:rsidRDefault="00A8022B">
    <w:pPr>
      <w:pStyle w:val="Footer"/>
      <w:framePr w:wrap="around" w:vAnchor="text" w:hAnchor="margin" w:xAlign="center" w:y="1"/>
    </w:pPr>
    <w:r>
      <w:fldChar w:fldCharType="begin"/>
    </w:r>
    <w:r>
      <w:instrText xml:space="preserve">PAGE  </w:instrText>
    </w:r>
    <w:r>
      <w:fldChar w:fldCharType="end"/>
    </w:r>
  </w:p>
  <w:p w14:paraId="46044C12" w14:textId="77777777" w:rsidR="00A8022B" w:rsidRDefault="00A8022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13C0C" w14:textId="77777777" w:rsidR="00D25FB5" w:rsidRDefault="00D25FB5">
    <w:pPr>
      <w:pStyle w:val="Footer"/>
      <w:tabs>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5B029" w14:textId="795A0144" w:rsidR="00A8022B" w:rsidRDefault="00A8022B">
    <w:pPr>
      <w:pStyle w:val="Footer"/>
      <w:jc w:val="center"/>
      <w:rPr>
        <w:noProof/>
      </w:rPr>
    </w:pPr>
    <w:r>
      <w:fldChar w:fldCharType="begin"/>
    </w:r>
    <w:r>
      <w:instrText xml:space="preserve"> PAGE   \* MERGEFORMAT </w:instrText>
    </w:r>
    <w:r>
      <w:fldChar w:fldCharType="separate"/>
    </w:r>
    <w:r w:rsidR="004E38BB">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036B0" w14:textId="77777777" w:rsidR="00B2260E" w:rsidRDefault="00B226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3535" w14:textId="77777777" w:rsidR="001F771E" w:rsidRDefault="001F771E">
    <w:pPr>
      <w:pStyle w:val="Footer"/>
      <w:framePr w:wrap="around" w:vAnchor="text" w:hAnchor="margin" w:xAlign="center" w:y="1"/>
    </w:pPr>
    <w:r>
      <w:fldChar w:fldCharType="begin"/>
    </w:r>
    <w:r>
      <w:instrText xml:space="preserve">PAGE  </w:instrText>
    </w:r>
    <w:r>
      <w:fldChar w:fldCharType="end"/>
    </w:r>
  </w:p>
  <w:p w14:paraId="66752471" w14:textId="77777777" w:rsidR="001F771E" w:rsidRDefault="001F77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322F" w14:textId="77777777" w:rsidR="001F771E" w:rsidRDefault="001F771E">
    <w:pPr>
      <w:pStyle w:val="Footer"/>
      <w:jc w:val="center"/>
      <w:rPr>
        <w:noProof/>
      </w:rPr>
    </w:pPr>
    <w:r>
      <w:fldChar w:fldCharType="begin"/>
    </w:r>
    <w:r>
      <w:instrText xml:space="preserve"> PAGE   \* MERGEFORMAT </w:instrText>
    </w:r>
    <w:r>
      <w:fldChar w:fldCharType="separate"/>
    </w:r>
    <w:r w:rsidR="00947106">
      <w:rPr>
        <w:noProof/>
      </w:rPr>
      <w:t>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2E881" w14:textId="77777777" w:rsidR="00F56263" w:rsidRDefault="00F56263">
    <w:pPr>
      <w:pStyle w:val="Footer"/>
      <w:framePr w:wrap="around" w:vAnchor="text" w:hAnchor="margin" w:xAlign="center" w:y="1"/>
    </w:pPr>
    <w:r>
      <w:fldChar w:fldCharType="begin"/>
    </w:r>
    <w:r>
      <w:instrText xml:space="preserve">PAGE  </w:instrText>
    </w:r>
    <w:r>
      <w:fldChar w:fldCharType="end"/>
    </w:r>
  </w:p>
  <w:p w14:paraId="57FE828A" w14:textId="77777777" w:rsidR="00F56263" w:rsidRDefault="00F5626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6DECB" w14:textId="77777777" w:rsidR="00F56263" w:rsidRDefault="00F56263">
    <w:pPr>
      <w:pStyle w:val="Footer"/>
      <w:jc w:val="center"/>
      <w:rPr>
        <w:noProof/>
      </w:rPr>
    </w:pPr>
    <w:r>
      <w:fldChar w:fldCharType="begin"/>
    </w:r>
    <w:r>
      <w:instrText xml:space="preserve"> PAGE   \* MERGEFORMAT </w:instrText>
    </w:r>
    <w:r>
      <w:fldChar w:fldCharType="separate"/>
    </w:r>
    <w:r w:rsidR="00947106">
      <w:rPr>
        <w:noProof/>
      </w:rPr>
      <w:t>8</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EE0B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C9F17F4" w14:textId="77777777" w:rsidR="00D25FB5" w:rsidRDefault="00D25FB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CC52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947106">
      <w:rPr>
        <w:noProof/>
      </w:rPr>
      <w:t>9</w:t>
    </w:r>
    <w:r>
      <w:fldChar w:fldCharType="end"/>
    </w:r>
  </w:p>
  <w:p w14:paraId="227409B0" w14:textId="77777777" w:rsidR="00D25FB5" w:rsidRDefault="00D25FB5">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E575A" w14:textId="77777777" w:rsidR="00A8022B" w:rsidRDefault="00A8022B">
      <w:r>
        <w:separator/>
      </w:r>
    </w:p>
  </w:footnote>
  <w:footnote w:type="continuationSeparator" w:id="0">
    <w:p w14:paraId="272881EB" w14:textId="77777777" w:rsidR="00A8022B" w:rsidRDefault="00A8022B" w:rsidP="00C721AC">
      <w:pPr>
        <w:spacing w:before="120"/>
        <w:rPr>
          <w:sz w:val="20"/>
        </w:rPr>
      </w:pPr>
      <w:r>
        <w:rPr>
          <w:sz w:val="20"/>
        </w:rPr>
        <w:t xml:space="preserve">(Continued from previous page)  </w:t>
      </w:r>
      <w:r>
        <w:rPr>
          <w:sz w:val="20"/>
        </w:rPr>
        <w:separator/>
      </w:r>
    </w:p>
  </w:footnote>
  <w:footnote w:type="continuationNotice" w:id="1">
    <w:p w14:paraId="7EABF25F" w14:textId="77777777" w:rsidR="00A8022B" w:rsidRDefault="00A8022B" w:rsidP="00C721AC">
      <w:pPr>
        <w:jc w:val="right"/>
        <w:rPr>
          <w:sz w:val="20"/>
        </w:rPr>
      </w:pPr>
      <w:r>
        <w:rPr>
          <w:sz w:val="20"/>
        </w:rPr>
        <w:t>(continued….)</w:t>
      </w:r>
    </w:p>
  </w:footnote>
  <w:footnote w:id="2">
    <w:p w14:paraId="2F39AE21" w14:textId="4ED06B25" w:rsidR="00A8022B" w:rsidRPr="0095093F" w:rsidRDefault="00A8022B" w:rsidP="004D7B86">
      <w:pPr>
        <w:pStyle w:val="FootnoteText"/>
      </w:pPr>
      <w:r w:rsidRPr="009A7B7E">
        <w:rPr>
          <w:rStyle w:val="FootnoteReference"/>
        </w:rPr>
        <w:footnoteRef/>
      </w:r>
      <w:r w:rsidRPr="0026005A">
        <w:t xml:space="preserve"> </w:t>
      </w:r>
      <w:r w:rsidRPr="0026005A">
        <w:rPr>
          <w:i/>
          <w:iCs/>
        </w:rPr>
        <w:t>See</w:t>
      </w:r>
      <w:r w:rsidRPr="0026005A">
        <w:t xml:space="preserve"> Middle Class Tax Relief and Job Creation Act of 2012, Pub. L. No. 112-96, 126 Stat. 156 §§ 6001-6303, 6413 (codified at 47 U.S.C. §§ 1401-1443, 1457) (“Public Safety Spectrum Act” or “Act”).  Specifically, Section 6302(e)(3)(C)(i) </w:t>
      </w:r>
      <w:r w:rsidRPr="0095093F">
        <w:t>provides that states making a timely opt-out decision shall “submit an alternative plan for the construction, maintenance, operation, and improvements of the radio access network within the State to the Commission, and such plan shall demonstrate—(I) that the State will be in com</w:t>
      </w:r>
      <w:r w:rsidRPr="00D4164A">
        <w:t>pliance with the minimum technical interoperability requirements developed under section 6203</w:t>
      </w:r>
      <w:r>
        <w:t xml:space="preserve"> [of the Act]</w:t>
      </w:r>
      <w:r w:rsidRPr="0095093F">
        <w:t>; and (II) interoperability with the nationwide public safety broadband network.</w:t>
      </w:r>
      <w:r>
        <w:t xml:space="preserve">”  We refer to these requirements herein as “Prong 1” and “Prong 2” respectively.  </w:t>
      </w:r>
    </w:p>
  </w:footnote>
  <w:footnote w:id="3">
    <w:p w14:paraId="2D9A6B94" w14:textId="01C7D63E" w:rsidR="00A8022B" w:rsidRPr="0095093F" w:rsidRDefault="00A8022B" w:rsidP="00C359FF">
      <w:pPr>
        <w:pStyle w:val="FootnoteText"/>
      </w:pPr>
      <w:r w:rsidRPr="0095093F">
        <w:rPr>
          <w:rStyle w:val="FootnoteReference"/>
        </w:rPr>
        <w:footnoteRef/>
      </w:r>
      <w:r w:rsidRPr="0095093F">
        <w:t xml:space="preserve"> </w:t>
      </w:r>
      <w:r w:rsidRPr="0095093F">
        <w:rPr>
          <w:i/>
          <w:iCs/>
        </w:rPr>
        <w:t>Procedures for Commission Review of State Opt-Out Requests from the FirstNet Radio Access Network</w:t>
      </w:r>
      <w:r w:rsidRPr="0095093F">
        <w:t>, PS Docket No. 16-269, Report and Order, 32 FCC Rcd 5311 (2017) (</w:t>
      </w:r>
      <w:r w:rsidRPr="0095093F">
        <w:rPr>
          <w:i/>
        </w:rPr>
        <w:t>Report and Order</w:t>
      </w:r>
      <w:r w:rsidRPr="0095093F">
        <w:t>).</w:t>
      </w:r>
    </w:p>
  </w:footnote>
  <w:footnote w:id="4">
    <w:p w14:paraId="181DDA78" w14:textId="094D1A9F" w:rsidR="00A8022B" w:rsidRPr="008F239B" w:rsidRDefault="00A8022B" w:rsidP="00534870">
      <w:pPr>
        <w:pStyle w:val="FootnoteText"/>
      </w:pPr>
      <w:r w:rsidRPr="0095093F">
        <w:rPr>
          <w:rStyle w:val="FootnoteReference"/>
        </w:rPr>
        <w:footnoteRef/>
      </w:r>
      <w:r w:rsidRPr="0095093F">
        <w:t xml:space="preserve"> </w:t>
      </w:r>
      <w:r w:rsidRPr="00D4164A">
        <w:rPr>
          <w:i/>
        </w:rPr>
        <w:t>Id.</w:t>
      </w:r>
      <w:r w:rsidRPr="00D4164A">
        <w:t xml:space="preserve"> at 5328, para. 63</w:t>
      </w:r>
      <w:r w:rsidRPr="008F239B">
        <w:t xml:space="preserve">. </w:t>
      </w:r>
    </w:p>
  </w:footnote>
  <w:footnote w:id="5">
    <w:p w14:paraId="4C52EEEE" w14:textId="6E02FA6F" w:rsidR="00A8022B" w:rsidRPr="007F4803" w:rsidRDefault="00A8022B" w:rsidP="00C359FF">
      <w:pPr>
        <w:pStyle w:val="FootnoteText"/>
      </w:pPr>
      <w:r w:rsidRPr="008F239B">
        <w:rPr>
          <w:rStyle w:val="FootnoteReference"/>
        </w:rPr>
        <w:footnoteRef/>
      </w:r>
      <w:r w:rsidRPr="00AF6DA7">
        <w:t xml:space="preserve"> </w:t>
      </w:r>
      <w:r w:rsidRPr="00AF6DA7">
        <w:rPr>
          <w:i/>
          <w:iCs/>
        </w:rPr>
        <w:t>Id.</w:t>
      </w:r>
      <w:r w:rsidRPr="007F4803">
        <w:t xml:space="preserve"> at 5328, para. 64.</w:t>
      </w:r>
    </w:p>
  </w:footnote>
  <w:footnote w:id="6">
    <w:p w14:paraId="24A5094A" w14:textId="4D0584C7" w:rsidR="00A8022B" w:rsidRPr="009A7B7E" w:rsidRDefault="00A8022B" w:rsidP="00CF1735">
      <w:pPr>
        <w:pStyle w:val="FootnoteText"/>
      </w:pPr>
      <w:r w:rsidRPr="007F4803">
        <w:rPr>
          <w:rStyle w:val="FootnoteReference"/>
        </w:rPr>
        <w:footnoteRef/>
      </w:r>
      <w:r w:rsidRPr="007F4803">
        <w:t xml:space="preserve"> Letter</w:t>
      </w:r>
      <w:r w:rsidRPr="009A7B7E">
        <w:t xml:space="preserve"> from Patrick Donovan, First Responder Network Authority, to Marlene H. Dortch, Secretary, Federal Communications Commission, and Spreadsheet entitled “State RAN Opt-Out RequirementsˍFCCˍv1.0.xlsx” (June 5, 2017) (PS Docket 16-269) (FirstNet June 5 </w:t>
      </w:r>
      <w:r w:rsidRPr="009A7B7E">
        <w:rPr>
          <w:i/>
        </w:rPr>
        <w:t>Ex Parte</w:t>
      </w:r>
      <w:r w:rsidRPr="009A7B7E">
        <w:t>).</w:t>
      </w:r>
    </w:p>
  </w:footnote>
  <w:footnote w:id="7">
    <w:p w14:paraId="6A6213C7" w14:textId="77777777" w:rsidR="00A8022B" w:rsidRPr="009A7B7E" w:rsidRDefault="00A8022B" w:rsidP="00CF1735">
      <w:pPr>
        <w:pStyle w:val="FootnoteText"/>
      </w:pPr>
      <w:r w:rsidRPr="009A7B7E">
        <w:rPr>
          <w:rStyle w:val="FootnoteReference"/>
        </w:rPr>
        <w:footnoteRef/>
      </w:r>
      <w:r w:rsidRPr="009A7B7E">
        <w:t xml:space="preserve"> </w:t>
      </w:r>
      <w:r w:rsidRPr="009A7B7E">
        <w:rPr>
          <w:i/>
        </w:rPr>
        <w:t>Id.</w:t>
      </w:r>
    </w:p>
  </w:footnote>
  <w:footnote w:id="8">
    <w:p w14:paraId="4F9DA676" w14:textId="589506BC" w:rsidR="00A8022B" w:rsidRPr="009A7B7E" w:rsidRDefault="00A8022B" w:rsidP="00CF1735">
      <w:pPr>
        <w:pStyle w:val="FootnoteText"/>
      </w:pPr>
      <w:r w:rsidRPr="009A7B7E">
        <w:rPr>
          <w:rStyle w:val="FootnoteReference"/>
        </w:rPr>
        <w:footnoteRef/>
      </w:r>
      <w:r w:rsidRPr="009A7B7E">
        <w:t xml:space="preserve"> Letter from Patrick Donovan, First Responder Network Authority, to Marlene H. Dortch, Secretary, Federal Communications Commission, and Spreadsheet entitled “State RAN Opt-Out Requirements_FCC_v2.0.xlsx” (June 16, 2017) (PS Docket 16-269) (FirstNet June 16 </w:t>
      </w:r>
      <w:r w:rsidRPr="009A7B7E">
        <w:rPr>
          <w:i/>
        </w:rPr>
        <w:t>Ex Parte</w:t>
      </w:r>
      <w:r w:rsidRPr="009A7B7E">
        <w:t xml:space="preserve">).  </w:t>
      </w:r>
    </w:p>
  </w:footnote>
  <w:footnote w:id="9">
    <w:p w14:paraId="07A1A0C6" w14:textId="7E730E9F" w:rsidR="00A8022B" w:rsidRPr="009A7B7E" w:rsidRDefault="00A8022B" w:rsidP="003F7879">
      <w:pPr>
        <w:pStyle w:val="FootnoteText"/>
      </w:pPr>
      <w:r w:rsidRPr="009A7B7E">
        <w:rPr>
          <w:rStyle w:val="FootnoteReference"/>
        </w:rPr>
        <w:footnoteRef/>
      </w:r>
      <w:r w:rsidRPr="00E31130">
        <w:t xml:space="preserve"> </w:t>
      </w:r>
      <w:r w:rsidRPr="00E31130">
        <w:rPr>
          <w:i/>
        </w:rPr>
        <w:t>See</w:t>
      </w:r>
      <w:r w:rsidRPr="009A7B7E">
        <w:t xml:space="preserve"> </w:t>
      </w:r>
      <w:r w:rsidRPr="009A7B7E">
        <w:rPr>
          <w:i/>
        </w:rPr>
        <w:t>id.</w:t>
      </w:r>
      <w:r w:rsidRPr="009A7B7E">
        <w:t xml:space="preserve"> at 5; </w:t>
      </w:r>
      <w:r w:rsidRPr="009A7B7E">
        <w:rPr>
          <w:i/>
        </w:rPr>
        <w:t>see also</w:t>
      </w:r>
      <w:r w:rsidRPr="009A7B7E">
        <w:t xml:space="preserve"> </w:t>
      </w:r>
      <w:r w:rsidRPr="00B10571">
        <w:t xml:space="preserve">Recommended Minimum Technical Requirements to Ensure Nationwide Interoperability for the Nationwide Public Safety Broadband Network, Final Report (May 22, 2012) </w:t>
      </w:r>
      <w:r w:rsidRPr="00E31130">
        <w:rPr>
          <w:i/>
        </w:rPr>
        <w:t>available at</w:t>
      </w:r>
      <w:r>
        <w:rPr>
          <w:i/>
          <w:iCs/>
        </w:rPr>
        <w:t xml:space="preserve"> </w:t>
      </w:r>
      <w:r w:rsidRPr="00B10571">
        <w:t>https://apps.fcc.gov/edocs_public/attachmatch/FCC-12-68A3.pdf (Interoperability Board Report).</w:t>
      </w:r>
    </w:p>
  </w:footnote>
  <w:footnote w:id="10">
    <w:p w14:paraId="499AE585" w14:textId="425722B5" w:rsidR="00A8022B" w:rsidRPr="009A7B7E" w:rsidRDefault="00A8022B">
      <w:pPr>
        <w:pStyle w:val="FootnoteText"/>
      </w:pPr>
      <w:r w:rsidRPr="009A7B7E">
        <w:rPr>
          <w:rStyle w:val="FootnoteReference"/>
        </w:rPr>
        <w:footnoteRef/>
      </w:r>
      <w:r w:rsidRPr="0026005A">
        <w:t xml:space="preserve"> </w:t>
      </w:r>
      <w:r w:rsidRPr="0026005A">
        <w:rPr>
          <w:i/>
        </w:rPr>
        <w:t>See</w:t>
      </w:r>
      <w:r w:rsidRPr="0026005A">
        <w:t xml:space="preserve"> Interoperability Board Report at 1.3.1.  </w:t>
      </w:r>
      <w:r w:rsidRPr="003619AF">
        <w:t>Access Point Name</w:t>
      </w:r>
      <w:r>
        <w:t xml:space="preserve">s are </w:t>
      </w:r>
      <w:r w:rsidRPr="003619AF">
        <w:t>network identifiers</w:t>
      </w:r>
      <w:r>
        <w:t xml:space="preserve"> that enable user equipment (UE) to connect with individual networks.  In Long Term Evolution (LTE) </w:t>
      </w:r>
      <w:r w:rsidRPr="003619AF">
        <w:t>network</w:t>
      </w:r>
      <w:r>
        <w:t xml:space="preserve">s, each network gateway that is used to connect UE to an individual network has an APN that translates into the IP address for the gateway to that network.  The use of </w:t>
      </w:r>
      <w:r w:rsidRPr="003619AF">
        <w:t>APN</w:t>
      </w:r>
      <w:r>
        <w:t xml:space="preserve">s in LTE </w:t>
      </w:r>
      <w:r w:rsidRPr="003619AF">
        <w:t xml:space="preserve">was initially defined by 3GPP in the context of UMTS and used </w:t>
      </w:r>
      <w:r>
        <w:t>for purposes of identifying</w:t>
      </w:r>
      <w:r w:rsidRPr="003619AF">
        <w:t xml:space="preserve"> Gateway GPRS Support Node</w:t>
      </w:r>
      <w:r>
        <w:t>s</w:t>
      </w:r>
      <w:r w:rsidRPr="003619AF">
        <w:t xml:space="preserve"> (GGSN).  APN</w:t>
      </w:r>
      <w:r>
        <w:t>s</w:t>
      </w:r>
      <w:r w:rsidRPr="003619AF">
        <w:t xml:space="preserve"> follow the naming syntax defined in RFC 2181, RFC 1035, and RFC 1123</w:t>
      </w:r>
      <w:r>
        <w:t>, and i</w:t>
      </w:r>
      <w:r w:rsidRPr="003619AF">
        <w:t xml:space="preserve">nternal LTE Domain Name Server (DNS) functionality is used to translate the APN into the IP address of the </w:t>
      </w:r>
      <w:r>
        <w:t>gateway</w:t>
      </w:r>
      <w:r w:rsidRPr="003619AF">
        <w:t>. See 3GPP TS 23.003 V14.4.0 (2017-07), Section 9;</w:t>
      </w:r>
      <w:r>
        <w:t xml:space="preserve"> </w:t>
      </w:r>
      <w:r w:rsidRPr="000C4111">
        <w:rPr>
          <w:i/>
        </w:rPr>
        <w:t>see also</w:t>
      </w:r>
      <w:r w:rsidRPr="003619AF">
        <w:t xml:space="preserve"> http://www.rcrwireless.com/20140509/evolved-packet-core-epc/apn-lte. </w:t>
      </w:r>
    </w:p>
  </w:footnote>
  <w:footnote w:id="11">
    <w:p w14:paraId="143E472F" w14:textId="1B34F2B5" w:rsidR="00A8022B" w:rsidRPr="009A7B7E" w:rsidRDefault="00A8022B">
      <w:pPr>
        <w:pStyle w:val="FootnoteText"/>
      </w:pPr>
      <w:r w:rsidRPr="0026005A">
        <w:rPr>
          <w:rStyle w:val="FootnoteReference"/>
        </w:rPr>
        <w:footnoteRef/>
      </w:r>
      <w:r w:rsidRPr="0026005A">
        <w:t xml:space="preserve"> </w:t>
      </w:r>
      <w:r w:rsidRPr="0026005A">
        <w:rPr>
          <w:i/>
        </w:rPr>
        <w:t>Id.</w:t>
      </w:r>
      <w:r w:rsidRPr="0026005A">
        <w:t xml:space="preserve">  </w:t>
      </w:r>
      <w:r>
        <w:t xml:space="preserve">The Interoperability Board Report defines PSANs as State, Regional, Local, Tribal, or Agency application networks which provide public safety services with local scope.  Examples of such services are Next Generation Public Safety Answering Points (PSAPs) and Computer Aided Dispatch (CAD).  Spectrum Act section 6206(b)(2)(C) directs FirstNet to promote integration of the NPSBN with PSAPs.  </w:t>
      </w:r>
      <w:r>
        <w:rPr>
          <w:i/>
        </w:rPr>
        <w:t>See</w:t>
      </w:r>
      <w:r>
        <w:t xml:space="preserve"> Interoperability Board Report Section 4.1.5.5.</w:t>
      </w:r>
      <w:r w:rsidRPr="0026005A" w:rsidDel="003619AF">
        <w:t xml:space="preserve"> </w:t>
      </w:r>
    </w:p>
  </w:footnote>
  <w:footnote w:id="12">
    <w:p w14:paraId="12688750" w14:textId="250B411B" w:rsidR="00A8022B" w:rsidRPr="0026005A" w:rsidRDefault="00A8022B">
      <w:pPr>
        <w:pStyle w:val="FootnoteText"/>
      </w:pPr>
      <w:r w:rsidRPr="0026005A">
        <w:rPr>
          <w:rStyle w:val="FootnoteReference"/>
        </w:rPr>
        <w:footnoteRef/>
      </w:r>
      <w:r w:rsidRPr="0026005A">
        <w:t xml:space="preserve"> </w:t>
      </w:r>
      <w:r w:rsidRPr="0026005A">
        <w:rPr>
          <w:i/>
        </w:rPr>
        <w:t>Id.</w:t>
      </w:r>
      <w:r w:rsidRPr="0026005A">
        <w:t xml:space="preserve">  </w:t>
      </w:r>
    </w:p>
  </w:footnote>
  <w:footnote w:id="13">
    <w:p w14:paraId="6E07EFA8" w14:textId="03D091CA" w:rsidR="00A8022B" w:rsidRPr="00D4164A" w:rsidRDefault="00A8022B" w:rsidP="00CF1735">
      <w:pPr>
        <w:pStyle w:val="FootnoteText"/>
      </w:pPr>
      <w:r w:rsidRPr="0095093F">
        <w:rPr>
          <w:rStyle w:val="FootnoteReference"/>
        </w:rPr>
        <w:footnoteRef/>
      </w:r>
      <w:r w:rsidRPr="0095093F">
        <w:t xml:space="preserve"> </w:t>
      </w:r>
      <w:r w:rsidRPr="0095093F">
        <w:rPr>
          <w:i/>
          <w:iCs/>
        </w:rPr>
        <w:t>Public Safety and Homeland Security Bureau Seeks Comment on FirstNet Ex Parte Submissions Proposing Interoperability Requirements For State Opt-Out Requests From The FirstNet Radio Access Network</w:t>
      </w:r>
      <w:r w:rsidRPr="00D4164A">
        <w:t>, PS Docket No. 16-269, Public Notice, 32 FCC Rcd 5104, 5104-05 (PSHSB June 28, 2017) (</w:t>
      </w:r>
      <w:r w:rsidRPr="00D4164A">
        <w:rPr>
          <w:i/>
        </w:rPr>
        <w:t>Public Notice</w:t>
      </w:r>
      <w:r w:rsidRPr="00D4164A">
        <w:t xml:space="preserve">).  </w:t>
      </w:r>
      <w:r w:rsidR="00BF1DE3">
        <w:t xml:space="preserve">On July 10, 2017, the </w:t>
      </w:r>
      <w:r w:rsidR="00BF1DE3" w:rsidRPr="00D4164A">
        <w:rPr>
          <w:i/>
        </w:rPr>
        <w:t>Public Notice</w:t>
      </w:r>
      <w:r w:rsidR="00BF1DE3">
        <w:rPr>
          <w:i/>
        </w:rPr>
        <w:t xml:space="preserve"> </w:t>
      </w:r>
      <w:r w:rsidR="00BF1DE3">
        <w:t xml:space="preserve">was published in the Federal Register.  </w:t>
      </w:r>
      <w:r w:rsidR="00BF1DE3">
        <w:rPr>
          <w:i/>
        </w:rPr>
        <w:t xml:space="preserve">See </w:t>
      </w:r>
      <w:r w:rsidR="00BF1DE3">
        <w:t>82 FR 31602.  This commenced a ten-day comment period that ended on July 17, 2017.</w:t>
      </w:r>
    </w:p>
  </w:footnote>
  <w:footnote w:id="14">
    <w:p w14:paraId="52BBFB3C" w14:textId="77777777" w:rsidR="00A8022B" w:rsidRPr="00D4164A" w:rsidRDefault="00A8022B">
      <w:pPr>
        <w:pStyle w:val="FootnoteText"/>
      </w:pPr>
      <w:r w:rsidRPr="00D4164A">
        <w:rPr>
          <w:rStyle w:val="FootnoteReference"/>
        </w:rPr>
        <w:footnoteRef/>
      </w:r>
      <w:r w:rsidRPr="00D4164A">
        <w:t xml:space="preserve"> We attach a list of commenting parties as an Appendix.</w:t>
      </w:r>
    </w:p>
  </w:footnote>
  <w:footnote w:id="15">
    <w:p w14:paraId="416469C5" w14:textId="78B58F5C" w:rsidR="00A8022B" w:rsidRPr="00D4164A" w:rsidRDefault="00A8022B">
      <w:pPr>
        <w:pStyle w:val="FootnoteText"/>
      </w:pPr>
      <w:r w:rsidRPr="00D4164A">
        <w:rPr>
          <w:rStyle w:val="FootnoteReference"/>
        </w:rPr>
        <w:footnoteRef/>
      </w:r>
      <w:r w:rsidRPr="00D4164A">
        <w:t xml:space="preserve"> FirstNet June 16 </w:t>
      </w:r>
      <w:r w:rsidRPr="00D4164A">
        <w:rPr>
          <w:i/>
        </w:rPr>
        <w:t xml:space="preserve">Ex Parte </w:t>
      </w:r>
      <w:r w:rsidRPr="00D4164A">
        <w:t>at 5.</w:t>
      </w:r>
    </w:p>
  </w:footnote>
  <w:footnote w:id="16">
    <w:p w14:paraId="305DD133" w14:textId="5C04BD57" w:rsidR="00A8022B" w:rsidRPr="009A7B7E" w:rsidRDefault="00A8022B">
      <w:pPr>
        <w:pStyle w:val="FootnoteText"/>
      </w:pPr>
      <w:r w:rsidRPr="00D4164A">
        <w:rPr>
          <w:rStyle w:val="FootnoteReference"/>
        </w:rPr>
        <w:footnoteRef/>
      </w:r>
      <w:r w:rsidRPr="00D4164A">
        <w:t xml:space="preserve"> </w:t>
      </w:r>
      <w:r w:rsidRPr="00B10571">
        <w:rPr>
          <w:i/>
        </w:rPr>
        <w:t>Id.</w:t>
      </w:r>
    </w:p>
  </w:footnote>
  <w:footnote w:id="17">
    <w:p w14:paraId="46EA54F0" w14:textId="2FE31C14" w:rsidR="00A8022B" w:rsidRPr="0095093F" w:rsidRDefault="00A8022B">
      <w:pPr>
        <w:pStyle w:val="FootnoteText"/>
        <w:rPr>
          <w:i/>
        </w:rPr>
      </w:pPr>
      <w:r w:rsidRPr="0026005A">
        <w:rPr>
          <w:rStyle w:val="FootnoteReference"/>
        </w:rPr>
        <w:footnoteRef/>
      </w:r>
      <w:r w:rsidRPr="0026005A">
        <w:t xml:space="preserve"> </w:t>
      </w:r>
      <w:r w:rsidRPr="0095093F">
        <w:rPr>
          <w:i/>
        </w:rPr>
        <w:t>Id.</w:t>
      </w:r>
    </w:p>
  </w:footnote>
  <w:footnote w:id="18">
    <w:p w14:paraId="7C53D564" w14:textId="122828A6" w:rsidR="00A8022B" w:rsidRPr="00D4164A" w:rsidRDefault="00A8022B">
      <w:pPr>
        <w:pStyle w:val="FootnoteText"/>
        <w:rPr>
          <w:i/>
        </w:rPr>
      </w:pPr>
      <w:r w:rsidRPr="0095093F">
        <w:rPr>
          <w:rStyle w:val="FootnoteReference"/>
        </w:rPr>
        <w:footnoteRef/>
      </w:r>
      <w:r w:rsidRPr="00D4164A">
        <w:t xml:space="preserve"> </w:t>
      </w:r>
      <w:r w:rsidRPr="00D4164A">
        <w:rPr>
          <w:i/>
        </w:rPr>
        <w:t>Id.</w:t>
      </w:r>
    </w:p>
  </w:footnote>
  <w:footnote w:id="19">
    <w:p w14:paraId="251694E1" w14:textId="638838DA" w:rsidR="00A8022B" w:rsidRPr="00D4164A" w:rsidRDefault="00A8022B">
      <w:pPr>
        <w:pStyle w:val="FootnoteText"/>
        <w:rPr>
          <w:i/>
        </w:rPr>
      </w:pPr>
      <w:r w:rsidRPr="00D4164A">
        <w:rPr>
          <w:rStyle w:val="FootnoteReference"/>
        </w:rPr>
        <w:footnoteRef/>
      </w:r>
      <w:r w:rsidRPr="00D4164A">
        <w:t xml:space="preserve"> </w:t>
      </w:r>
      <w:r w:rsidRPr="00D4164A">
        <w:rPr>
          <w:i/>
        </w:rPr>
        <w:t>Id.</w:t>
      </w:r>
    </w:p>
  </w:footnote>
  <w:footnote w:id="20">
    <w:p w14:paraId="221DDDE2" w14:textId="696C1999" w:rsidR="00A8022B" w:rsidRDefault="00A8022B">
      <w:pPr>
        <w:pStyle w:val="FootnoteText"/>
      </w:pPr>
      <w:r>
        <w:rPr>
          <w:rStyle w:val="FootnoteReference"/>
        </w:rPr>
        <w:footnoteRef/>
      </w:r>
      <w:r>
        <w:t xml:space="preserve"> </w:t>
      </w:r>
      <w:r w:rsidRPr="00D476C5">
        <w:t>Comments of the First Responder Network Authority at 2</w:t>
      </w:r>
      <w:r>
        <w:t>-3</w:t>
      </w:r>
      <w:r w:rsidRPr="00D476C5">
        <w:t xml:space="preserve"> (filed July 17, 2017) (FirstNet Comments)</w:t>
      </w:r>
      <w:r>
        <w:t xml:space="preserve">; </w:t>
      </w:r>
      <w:r w:rsidRPr="008F239B">
        <w:t xml:space="preserve">Comments of Rivada Networks, LLC at </w:t>
      </w:r>
      <w:r>
        <w:t>4</w:t>
      </w:r>
      <w:r w:rsidRPr="008F239B">
        <w:t xml:space="preserve"> (filed July 17, 2017) (Rivada Comments); </w:t>
      </w:r>
      <w:r w:rsidRPr="009A7B7E">
        <w:t xml:space="preserve">The FirstNet Colorado Governing Body’s Comments On FirstNet Ex Parte Submissions Proposing Interoperability Requirements For State Opt-Out Requests From The FirstNet Radio Access Network at </w:t>
      </w:r>
      <w:r>
        <w:t>6-8</w:t>
      </w:r>
      <w:r w:rsidRPr="009A7B7E">
        <w:t xml:space="preserve"> (filed July 17, 2017) (FNCGB Comments)</w:t>
      </w:r>
      <w:r w:rsidRPr="008F239B">
        <w:t xml:space="preserve">; </w:t>
      </w:r>
      <w:r w:rsidRPr="00D4164A">
        <w:t xml:space="preserve">Comments of AT&amp;T Services, Inc. </w:t>
      </w:r>
      <w:r>
        <w:t>at 5-7</w:t>
      </w:r>
      <w:r w:rsidRPr="00D4164A">
        <w:t xml:space="preserve"> (filed July 17, 2017) (AT&amp;T Comments</w:t>
      </w:r>
      <w:r>
        <w:t>)</w:t>
      </w:r>
      <w:r w:rsidRPr="008F239B">
        <w:t xml:space="preserve"> 5-7</w:t>
      </w:r>
      <w:r>
        <w:t>; Comments of Competitive Carriers Association at 3 (filed July 17, 2017) (CCA Comments).</w:t>
      </w:r>
    </w:p>
  </w:footnote>
  <w:footnote w:id="21">
    <w:p w14:paraId="0514A17E" w14:textId="69F31D16" w:rsidR="00A8022B" w:rsidRPr="008F239B" w:rsidRDefault="00A8022B">
      <w:pPr>
        <w:pStyle w:val="FootnoteText"/>
      </w:pPr>
      <w:r>
        <w:rPr>
          <w:rStyle w:val="FootnoteReference"/>
        </w:rPr>
        <w:footnoteRef/>
      </w:r>
      <w:r>
        <w:t xml:space="preserve"> </w:t>
      </w:r>
      <w:r>
        <w:rPr>
          <w:i/>
        </w:rPr>
        <w:t>See also</w:t>
      </w:r>
      <w:r>
        <w:t xml:space="preserve"> Rivada Comments at 4; CCA Comments at 3.  </w:t>
      </w:r>
    </w:p>
  </w:footnote>
  <w:footnote w:id="22">
    <w:p w14:paraId="2758197D" w14:textId="37A26BEC" w:rsidR="00A8022B" w:rsidRPr="00D4164A" w:rsidRDefault="00A8022B">
      <w:pPr>
        <w:pStyle w:val="FootnoteText"/>
        <w:rPr>
          <w:i/>
        </w:rPr>
      </w:pPr>
      <w:r w:rsidRPr="00D4164A">
        <w:rPr>
          <w:rStyle w:val="FootnoteReference"/>
        </w:rPr>
        <w:footnoteRef/>
      </w:r>
      <w:r w:rsidRPr="00D4164A">
        <w:t xml:space="preserve"> </w:t>
      </w:r>
      <w:r>
        <w:t xml:space="preserve">AT&amp;T </w:t>
      </w:r>
      <w:r w:rsidRPr="00D4164A">
        <w:t>Comments at 6</w:t>
      </w:r>
    </w:p>
  </w:footnote>
  <w:footnote w:id="23">
    <w:p w14:paraId="2E3C34F5" w14:textId="7DEA69B3" w:rsidR="00A8022B" w:rsidRPr="00D4164A" w:rsidRDefault="00A8022B">
      <w:pPr>
        <w:pStyle w:val="FootnoteText"/>
      </w:pPr>
      <w:r w:rsidRPr="00D4164A">
        <w:rPr>
          <w:rStyle w:val="FootnoteReference"/>
        </w:rPr>
        <w:footnoteRef/>
      </w:r>
      <w:r w:rsidRPr="00D4164A">
        <w:t xml:space="preserve"> Rivada Comments at 5-6.</w:t>
      </w:r>
    </w:p>
  </w:footnote>
  <w:footnote w:id="24">
    <w:p w14:paraId="5AF97411" w14:textId="1279E5A8" w:rsidR="00A8022B" w:rsidRPr="00D4164A" w:rsidRDefault="00A8022B" w:rsidP="00AF6DA7">
      <w:pPr>
        <w:pStyle w:val="FootnoteText"/>
      </w:pPr>
      <w:r w:rsidRPr="00D4164A">
        <w:rPr>
          <w:rStyle w:val="FootnoteReference"/>
        </w:rPr>
        <w:footnoteRef/>
      </w:r>
      <w:r w:rsidRPr="00D4164A">
        <w:t xml:space="preserve"> </w:t>
      </w:r>
      <w:r w:rsidRPr="00D476C5">
        <w:t>Comments of Southern Communications Services, Inc. d/b/a Southern Linc at 4-</w:t>
      </w:r>
      <w:r>
        <w:t xml:space="preserve">7 </w:t>
      </w:r>
      <w:r w:rsidRPr="00D476C5">
        <w:t>(filed July 17, 2017) (SouthernLinc Comments).</w:t>
      </w:r>
    </w:p>
  </w:footnote>
  <w:footnote w:id="25">
    <w:p w14:paraId="2EE685F8" w14:textId="6BC227B3" w:rsidR="00A8022B" w:rsidRPr="00D476C5" w:rsidRDefault="00A8022B" w:rsidP="00AF6DA7">
      <w:pPr>
        <w:pStyle w:val="FootnoteText"/>
      </w:pPr>
      <w:r w:rsidRPr="008F239B">
        <w:rPr>
          <w:rStyle w:val="FootnoteReference"/>
        </w:rPr>
        <w:footnoteRef/>
      </w:r>
      <w:r w:rsidRPr="008F239B">
        <w:t xml:space="preserve"> </w:t>
      </w:r>
      <w:r>
        <w:t>Rivada</w:t>
      </w:r>
      <w:r w:rsidRPr="008F239B">
        <w:t xml:space="preserve"> Comments at 2, 3-7; </w:t>
      </w:r>
      <w:r>
        <w:t xml:space="preserve">CCA </w:t>
      </w:r>
      <w:r w:rsidRPr="008F239B">
        <w:t>Comments at 3</w:t>
      </w:r>
      <w:r w:rsidRPr="00D476C5">
        <w:t xml:space="preserve">; </w:t>
      </w:r>
      <w:r>
        <w:t xml:space="preserve">SouthernLinc </w:t>
      </w:r>
      <w:r w:rsidRPr="00D476C5">
        <w:t>Comments at 4-5.</w:t>
      </w:r>
    </w:p>
  </w:footnote>
  <w:footnote w:id="26">
    <w:p w14:paraId="5CAE541B" w14:textId="77777777" w:rsidR="00A8022B" w:rsidRPr="00D476C5" w:rsidRDefault="00A8022B" w:rsidP="00AF6DA7">
      <w:pPr>
        <w:pStyle w:val="FootnoteText"/>
      </w:pPr>
      <w:r w:rsidRPr="00D476C5">
        <w:rPr>
          <w:rStyle w:val="FootnoteReference"/>
        </w:rPr>
        <w:footnoteRef/>
      </w:r>
      <w:r w:rsidRPr="00D476C5">
        <w:t xml:space="preserve"> </w:t>
      </w:r>
      <w:r w:rsidRPr="00D476C5">
        <w:rPr>
          <w:i/>
        </w:rPr>
        <w:t>NPRM</w:t>
      </w:r>
      <w:r w:rsidRPr="00D476C5">
        <w:t>, 31 FCC Rcd at 10276, para. 69.</w:t>
      </w:r>
    </w:p>
  </w:footnote>
  <w:footnote w:id="27">
    <w:p w14:paraId="26DD87EC" w14:textId="77777777" w:rsidR="00A8022B" w:rsidRPr="00D476C5" w:rsidRDefault="00A8022B" w:rsidP="00AF6DA7">
      <w:pPr>
        <w:pStyle w:val="FootnoteText"/>
      </w:pPr>
      <w:r w:rsidRPr="00D476C5">
        <w:rPr>
          <w:rStyle w:val="FootnoteReference"/>
        </w:rPr>
        <w:footnoteRef/>
      </w:r>
      <w:r w:rsidRPr="00D476C5">
        <w:t xml:space="preserve"> </w:t>
      </w:r>
      <w:r w:rsidRPr="00D476C5">
        <w:rPr>
          <w:i/>
        </w:rPr>
        <w:t>Id.</w:t>
      </w:r>
      <w:r w:rsidRPr="00D476C5">
        <w:t xml:space="preserve"> (“[W]e believe that [Prong 2] requires a broader showing by the state than the first prong, which refers only to demonstrating compliance with elements of the Interoperability Board Report.”).</w:t>
      </w:r>
    </w:p>
  </w:footnote>
  <w:footnote w:id="28">
    <w:p w14:paraId="1BB422BB" w14:textId="77777777" w:rsidR="00A8022B" w:rsidRPr="00D476C5" w:rsidRDefault="00A8022B" w:rsidP="00AF6DA7">
      <w:pPr>
        <w:pStyle w:val="FootnoteText"/>
      </w:pPr>
      <w:r w:rsidRPr="00D476C5">
        <w:rPr>
          <w:rStyle w:val="FootnoteReference"/>
        </w:rPr>
        <w:footnoteRef/>
      </w:r>
      <w:r w:rsidRPr="00D476C5">
        <w:t xml:space="preserve"> </w:t>
      </w:r>
      <w:r w:rsidRPr="00D476C5">
        <w:rPr>
          <w:i/>
        </w:rPr>
        <w:t>Public Notice</w:t>
      </w:r>
      <w:r w:rsidRPr="00D476C5">
        <w:t>, 32 FCC Rcd at 5105.</w:t>
      </w:r>
    </w:p>
  </w:footnote>
  <w:footnote w:id="29">
    <w:p w14:paraId="68A52A09" w14:textId="77777777" w:rsidR="00A8022B" w:rsidRPr="00D476C5" w:rsidRDefault="00A8022B" w:rsidP="00AF6DA7">
      <w:pPr>
        <w:pStyle w:val="FootnoteText"/>
      </w:pPr>
      <w:r w:rsidRPr="00D476C5">
        <w:rPr>
          <w:rStyle w:val="FootnoteReference"/>
        </w:rPr>
        <w:footnoteRef/>
      </w:r>
      <w:r w:rsidRPr="00D476C5">
        <w:t xml:space="preserve"> </w:t>
      </w:r>
      <w:r w:rsidRPr="00D476C5">
        <w:rPr>
          <w:i/>
        </w:rPr>
        <w:t xml:space="preserve">See generally </w:t>
      </w:r>
      <w:r w:rsidRPr="00D476C5">
        <w:t xml:space="preserve">FirstNet June 16 </w:t>
      </w:r>
      <w:r w:rsidRPr="00D476C5">
        <w:rPr>
          <w:i/>
        </w:rPr>
        <w:t>Ex Parte.</w:t>
      </w:r>
    </w:p>
  </w:footnote>
  <w:footnote w:id="30">
    <w:p w14:paraId="234A8DC3" w14:textId="77777777" w:rsidR="00A8022B" w:rsidRPr="00D476C5" w:rsidRDefault="00A8022B" w:rsidP="00AF6DA7">
      <w:pPr>
        <w:pStyle w:val="FootnoteText"/>
      </w:pPr>
      <w:r w:rsidRPr="00D476C5">
        <w:rPr>
          <w:rStyle w:val="FootnoteReference"/>
        </w:rPr>
        <w:footnoteRef/>
      </w:r>
      <w:r w:rsidRPr="00D476C5">
        <w:t xml:space="preserve"> FirstNet June 16 </w:t>
      </w:r>
      <w:r w:rsidRPr="00D476C5">
        <w:rPr>
          <w:i/>
        </w:rPr>
        <w:t>Ex Parte</w:t>
      </w:r>
      <w:r w:rsidRPr="00D476C5">
        <w:t xml:space="preserve"> at 5.</w:t>
      </w:r>
    </w:p>
  </w:footnote>
  <w:footnote w:id="31">
    <w:p w14:paraId="7E2D3A4B" w14:textId="01775D18" w:rsidR="00A8022B" w:rsidRPr="00D476C5" w:rsidRDefault="00A8022B" w:rsidP="00AF6DA7">
      <w:pPr>
        <w:pStyle w:val="FootnoteText"/>
      </w:pPr>
      <w:r w:rsidRPr="00D476C5">
        <w:rPr>
          <w:rStyle w:val="FootnoteReference"/>
        </w:rPr>
        <w:footnoteRef/>
      </w:r>
      <w:r w:rsidRPr="00D476C5">
        <w:t xml:space="preserve"> </w:t>
      </w:r>
      <w:r>
        <w:t xml:space="preserve">FirstNet </w:t>
      </w:r>
      <w:r w:rsidRPr="00D476C5">
        <w:t>Comments at 2; AT&amp;T Comments at 6; CCA Comments at 3; Rivada Comments at 2-3.</w:t>
      </w:r>
    </w:p>
  </w:footnote>
  <w:footnote w:id="32">
    <w:p w14:paraId="22F11EE1" w14:textId="3895A416" w:rsidR="00A8022B" w:rsidRPr="008F239B" w:rsidRDefault="00A8022B" w:rsidP="009039FA">
      <w:pPr>
        <w:pStyle w:val="FootnoteText"/>
      </w:pPr>
      <w:r w:rsidRPr="00D4164A">
        <w:rPr>
          <w:rStyle w:val="FootnoteReference"/>
        </w:rPr>
        <w:footnoteRef/>
      </w:r>
      <w:r w:rsidRPr="00D4164A">
        <w:t xml:space="preserve"> </w:t>
      </w:r>
      <w:r w:rsidRPr="00D4164A">
        <w:rPr>
          <w:i/>
        </w:rPr>
        <w:t>Report and Order</w:t>
      </w:r>
      <w:r w:rsidRPr="00D4164A">
        <w:t xml:space="preserve">, 32 FCC Rcd </w:t>
      </w:r>
      <w:r w:rsidRPr="008F239B">
        <w:t>at 5325, para. 50 (</w:t>
      </w:r>
      <w:r w:rsidRPr="008F239B">
        <w:rPr>
          <w:i/>
        </w:rPr>
        <w:t>citing</w:t>
      </w:r>
      <w:r w:rsidRPr="008F239B">
        <w:t xml:space="preserve"> </w:t>
      </w:r>
      <w:r w:rsidRPr="008F239B">
        <w:rPr>
          <w:i/>
        </w:rPr>
        <w:t>Procedures for Commission Review of State Opt-Out Request from the FirstNet Radio Access Network et al.</w:t>
      </w:r>
      <w:r w:rsidRPr="008F239B">
        <w:t>, PS Docket 16-269, Report and Order and Notice of Proposed Rulemaking, 31 FCC Rcd 10253, 10273, para. 60 (2016).</w:t>
      </w:r>
    </w:p>
  </w:footnote>
  <w:footnote w:id="33">
    <w:p w14:paraId="2FB43B6B" w14:textId="583482AB" w:rsidR="00A8022B" w:rsidRPr="008F239B" w:rsidRDefault="00A8022B" w:rsidP="003E636B">
      <w:pPr>
        <w:pStyle w:val="FootnoteText"/>
      </w:pPr>
      <w:r w:rsidRPr="008F239B">
        <w:rPr>
          <w:rStyle w:val="FootnoteReference"/>
        </w:rPr>
        <w:footnoteRef/>
      </w:r>
      <w:r w:rsidRPr="008F239B">
        <w:t xml:space="preserve"> Letter from Benjamin M. Moncrief, VP, Government Relations, C Spire, to Marlene H. Dortch, Secretary, Federal Communications Commission at 3 (July 17, 2017) (PS Docket 16-269) (C-Spire Comments); Rivada Comments at 2-3; CCA Comments at 3, 9.</w:t>
      </w:r>
    </w:p>
  </w:footnote>
  <w:footnote w:id="34">
    <w:p w14:paraId="1289B66C" w14:textId="3F5C22A2" w:rsidR="00A8022B" w:rsidRPr="008F239B" w:rsidRDefault="00A8022B">
      <w:pPr>
        <w:pStyle w:val="FootnoteText"/>
      </w:pPr>
      <w:r w:rsidRPr="008F239B">
        <w:rPr>
          <w:rStyle w:val="FootnoteReference"/>
        </w:rPr>
        <w:footnoteRef/>
      </w:r>
      <w:r>
        <w:t xml:space="preserve"> Rivada Comments at 3; CCA Comments at 9.</w:t>
      </w:r>
    </w:p>
  </w:footnote>
  <w:footnote w:id="35">
    <w:p w14:paraId="173A73AF" w14:textId="7185B143" w:rsidR="00A8022B" w:rsidRPr="00D4164A" w:rsidRDefault="00A8022B" w:rsidP="009039FA">
      <w:pPr>
        <w:pStyle w:val="FootnoteText"/>
      </w:pPr>
      <w:r w:rsidRPr="00AF6DA7">
        <w:rPr>
          <w:rStyle w:val="FootnoteReference"/>
        </w:rPr>
        <w:footnoteRef/>
      </w:r>
      <w:r w:rsidRPr="00AF6DA7">
        <w:t xml:space="preserve"> </w:t>
      </w:r>
      <w:r w:rsidRPr="00AF6DA7">
        <w:rPr>
          <w:i/>
        </w:rPr>
        <w:t>Report and Order</w:t>
      </w:r>
      <w:r w:rsidRPr="00AF6DA7">
        <w:t>, 32 FCC Rcd at 5325, para. 50 (</w:t>
      </w:r>
      <w:r w:rsidRPr="00B10571">
        <w:t>citing</w:t>
      </w:r>
      <w:r w:rsidRPr="0026005A">
        <w:rPr>
          <w:i/>
        </w:rPr>
        <w:t xml:space="preserve"> NPRM</w:t>
      </w:r>
      <w:r w:rsidRPr="0026005A">
        <w:t>, 31 FCC Rcd</w:t>
      </w:r>
      <w:r w:rsidRPr="0095093F">
        <w:rPr>
          <w:i/>
        </w:rPr>
        <w:t xml:space="preserve"> </w:t>
      </w:r>
      <w:r w:rsidRPr="0095093F">
        <w:t>at 10273, para. 61)</w:t>
      </w:r>
      <w:r w:rsidRPr="00D4164A">
        <w:t>.</w:t>
      </w:r>
    </w:p>
  </w:footnote>
  <w:footnote w:id="36">
    <w:p w14:paraId="3874C12A" w14:textId="7293A318" w:rsidR="00A8022B" w:rsidRPr="00D4164A" w:rsidRDefault="00A8022B" w:rsidP="009039FA">
      <w:pPr>
        <w:pStyle w:val="FootnoteText"/>
      </w:pPr>
      <w:r w:rsidRPr="00D4164A">
        <w:rPr>
          <w:rStyle w:val="FootnoteReference"/>
        </w:rPr>
        <w:footnoteRef/>
      </w:r>
      <w:r w:rsidRPr="00D4164A">
        <w:t xml:space="preserve"> </w:t>
      </w:r>
      <w:r w:rsidRPr="00D4164A">
        <w:rPr>
          <w:i/>
        </w:rPr>
        <w:t xml:space="preserve">Id. </w:t>
      </w:r>
      <w:r w:rsidRPr="00D4164A">
        <w:t>(</w:t>
      </w:r>
      <w:r w:rsidRPr="00D4164A">
        <w:rPr>
          <w:i/>
        </w:rPr>
        <w:t>citing NPRM</w:t>
      </w:r>
      <w:r w:rsidRPr="00D4164A">
        <w:t>, 31 FCC Rcd</w:t>
      </w:r>
      <w:r w:rsidRPr="00D4164A">
        <w:rPr>
          <w:i/>
        </w:rPr>
        <w:t xml:space="preserve"> </w:t>
      </w:r>
      <w:r w:rsidRPr="00D4164A">
        <w:t>at 10274, para. 62).</w:t>
      </w:r>
    </w:p>
  </w:footnote>
  <w:footnote w:id="37">
    <w:p w14:paraId="53665FDC" w14:textId="42C9424E" w:rsidR="00A8022B" w:rsidRPr="009A7B7E" w:rsidRDefault="00A8022B">
      <w:pPr>
        <w:pStyle w:val="FootnoteText"/>
      </w:pPr>
      <w:r w:rsidRPr="009A7B7E">
        <w:rPr>
          <w:rStyle w:val="FootnoteReference"/>
        </w:rPr>
        <w:footnoteRef/>
      </w:r>
      <w:r w:rsidRPr="009A7B7E">
        <w:t xml:space="preserve"> C-Spire Comments at 2-3; Rivada Comments at 4, 7-9;</w:t>
      </w:r>
      <w:r w:rsidRPr="009A7B7E">
        <w:rPr>
          <w:snapToGrid w:val="0"/>
          <w:kern w:val="28"/>
          <w:sz w:val="22"/>
        </w:rPr>
        <w:t xml:space="preserve"> </w:t>
      </w:r>
      <w:r w:rsidRPr="009A7B7E">
        <w:t>CCA Comments at 3, 5, 7; Letter from William H. Johnson, Senior Vice President, Federal Regulatory and Legal Affairs, Verizon, to Marlene H. Dortch, Secretary, Federal Communications Commission at 2 (July 24, 2017) (PS Docket 16-269).</w:t>
      </w:r>
    </w:p>
  </w:footnote>
  <w:footnote w:id="38">
    <w:p w14:paraId="695A5920" w14:textId="26946EB3" w:rsidR="00A8022B" w:rsidRPr="009A7B7E" w:rsidRDefault="00A8022B">
      <w:pPr>
        <w:pStyle w:val="FootnoteText"/>
      </w:pPr>
      <w:r w:rsidRPr="009A7B7E">
        <w:rPr>
          <w:rStyle w:val="FootnoteReference"/>
        </w:rPr>
        <w:footnoteRef/>
      </w:r>
      <w:r w:rsidRPr="009A7B7E">
        <w:t xml:space="preserve"> </w:t>
      </w:r>
      <w:r w:rsidRPr="009A7B7E">
        <w:rPr>
          <w:i/>
        </w:rPr>
        <w:t>Report and Order</w:t>
      </w:r>
      <w:r w:rsidRPr="009A7B7E">
        <w:t>, 32 FCC Rcd at 5329, para. 66.</w:t>
      </w:r>
    </w:p>
  </w:footnote>
  <w:footnote w:id="39">
    <w:p w14:paraId="6C0D7930" w14:textId="3E018227" w:rsidR="00A8022B" w:rsidRPr="009A7B7E" w:rsidRDefault="00A8022B">
      <w:pPr>
        <w:pStyle w:val="FootnoteText"/>
      </w:pPr>
      <w:r w:rsidRPr="009A7B7E">
        <w:rPr>
          <w:rStyle w:val="FootnoteReference"/>
        </w:rPr>
        <w:footnoteRef/>
      </w:r>
      <w:r w:rsidRPr="009A7B7E">
        <w:t xml:space="preserve"> </w:t>
      </w:r>
      <w:r w:rsidRPr="009A7B7E">
        <w:rPr>
          <w:i/>
        </w:rPr>
        <w:t>Id.</w:t>
      </w:r>
    </w:p>
  </w:footnote>
  <w:footnote w:id="40">
    <w:p w14:paraId="1E28F3E4" w14:textId="5EED9C49" w:rsidR="00A8022B" w:rsidRPr="009A7B7E" w:rsidRDefault="00A8022B">
      <w:pPr>
        <w:pStyle w:val="FootnoteText"/>
      </w:pPr>
      <w:r w:rsidRPr="009A7B7E">
        <w:rPr>
          <w:rStyle w:val="FootnoteReference"/>
        </w:rPr>
        <w:footnoteRef/>
      </w:r>
      <w:r w:rsidRPr="009A7B7E">
        <w:t xml:space="preserve"> FNCGB Comments at 4-5. </w:t>
      </w:r>
    </w:p>
  </w:footnote>
  <w:footnote w:id="41">
    <w:p w14:paraId="202D7919" w14:textId="234DEAE8" w:rsidR="00A8022B" w:rsidRPr="00151F36" w:rsidRDefault="00A8022B">
      <w:pPr>
        <w:pStyle w:val="FootnoteText"/>
      </w:pPr>
      <w:r>
        <w:rPr>
          <w:rStyle w:val="FootnoteReference"/>
        </w:rPr>
        <w:footnoteRef/>
      </w:r>
      <w:r>
        <w:t xml:space="preserve"> </w:t>
      </w:r>
      <w:r>
        <w:rPr>
          <w:i/>
        </w:rPr>
        <w:t>Id.</w:t>
      </w:r>
      <w:r>
        <w:t xml:space="preserve"> at 5.</w:t>
      </w:r>
    </w:p>
  </w:footnote>
  <w:footnote w:id="42">
    <w:p w14:paraId="0F6D7A41" w14:textId="5EEF05EE" w:rsidR="00A8022B" w:rsidRDefault="00A8022B">
      <w:pPr>
        <w:pStyle w:val="FootnoteText"/>
      </w:pPr>
      <w:r>
        <w:rPr>
          <w:rStyle w:val="FootnoteReference"/>
        </w:rPr>
        <w:footnoteRef/>
      </w:r>
      <w:r>
        <w:t xml:space="preserve"> CCA Comments at 11.  </w:t>
      </w:r>
    </w:p>
  </w:footnote>
  <w:footnote w:id="43">
    <w:p w14:paraId="09FC62B9" w14:textId="3987E604" w:rsidR="00A8022B" w:rsidRPr="00436C9A" w:rsidRDefault="00A8022B">
      <w:pPr>
        <w:pStyle w:val="FootnoteText"/>
      </w:pPr>
      <w:r>
        <w:rPr>
          <w:rStyle w:val="FootnoteReference"/>
        </w:rPr>
        <w:footnoteRef/>
      </w:r>
      <w:r>
        <w:t xml:space="preserve"> </w:t>
      </w:r>
      <w:r>
        <w:rPr>
          <w:i/>
        </w:rPr>
        <w:t xml:space="preserve">Id. </w:t>
      </w:r>
      <w:r>
        <w:t xml:space="preserve">at 13.  </w:t>
      </w:r>
    </w:p>
  </w:footnote>
  <w:footnote w:id="44">
    <w:p w14:paraId="515F32CB" w14:textId="385F1E83" w:rsidR="00A8022B" w:rsidRPr="009A7B7E" w:rsidRDefault="00A8022B">
      <w:pPr>
        <w:pStyle w:val="FootnoteText"/>
      </w:pPr>
      <w:r w:rsidRPr="009A7B7E">
        <w:rPr>
          <w:rStyle w:val="FootnoteReference"/>
        </w:rPr>
        <w:footnoteRef/>
      </w:r>
      <w:r w:rsidRPr="009A7B7E">
        <w:t xml:space="preserve"> Comments of America’s Public Television Stations (filed July 17,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5F52D" w14:textId="77777777" w:rsidR="00B2260E" w:rsidRDefault="00B22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056F8" w14:textId="36EDE673" w:rsidR="003F7879" w:rsidRDefault="003F7879" w:rsidP="003F7879">
    <w:pPr>
      <w:pStyle w:val="Header"/>
      <w:rPr>
        <w:b w:val="0"/>
      </w:rPr>
    </w:pPr>
    <w:r>
      <w:rPr>
        <w:noProof/>
      </w:rPr>
      <mc:AlternateContent>
        <mc:Choice Requires="wps">
          <w:drawing>
            <wp:anchor distT="0" distB="0" distL="114300" distR="114300" simplePos="0" relativeHeight="251660288" behindDoc="1" locked="0" layoutInCell="0" allowOverlap="1" wp14:anchorId="7D581D7E" wp14:editId="51A59B47">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12818F" id="Rectangle 1"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1F771E">
      <w:rPr>
        <w:spacing w:val="-2"/>
      </w:rPr>
      <w:t>FCC 17-116</w:t>
    </w:r>
  </w:p>
  <w:p w14:paraId="550CD697" w14:textId="77777777" w:rsidR="00A8022B" w:rsidRPr="003F7879" w:rsidRDefault="00A8022B" w:rsidP="003F78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54965" w14:textId="77777777" w:rsidR="00A8022B" w:rsidRDefault="00A8022B">
    <w:pPr>
      <w:pStyle w:val="Header"/>
      <w:pBdr>
        <w:bottom w:val="single" w:sz="12" w:space="1" w:color="auto"/>
      </w:pBdr>
      <w:rPr>
        <w:b w:val="0"/>
      </w:rPr>
    </w:pPr>
    <w:r>
      <w:rPr>
        <w:noProof/>
        <w:snapToGrid/>
      </w:rPr>
      <mc:AlternateContent>
        <mc:Choice Requires="wps">
          <w:drawing>
            <wp:anchor distT="0" distB="0" distL="114300" distR="114300" simplePos="0" relativeHeight="251658240" behindDoc="0" locked="0" layoutInCell="1" allowOverlap="1" wp14:anchorId="456354D8" wp14:editId="0EBAC168">
              <wp:simplePos x="0" y="0"/>
              <wp:positionH relativeFrom="column">
                <wp:posOffset>9525</wp:posOffset>
              </wp:positionH>
              <wp:positionV relativeFrom="paragraph">
                <wp:posOffset>180975</wp:posOffset>
              </wp:positionV>
              <wp:extent cx="5981700"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44F11A" id="_x0000_t32" coordsize="21600,21600" o:spt="32" o:oned="t" path="m,l21600,21600e" filled="f">
              <v:path arrowok="t" fillok="f" o:connecttype="none"/>
              <o:lock v:ext="edit" shapetype="t"/>
            </v:shapetype>
            <v:shape id="AutoShape 3" o:spid="_x0000_s1026" type="#_x0000_t32" style="position:absolute;margin-left:.75pt;margin-top:14.25pt;width:4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"/>
          </w:pict>
        </mc:Fallback>
      </mc:AlternateContent>
    </w:r>
    <w:r>
      <w:tab/>
      <w:t>Federal Communications Commission</w:t>
    </w:r>
    <w:r>
      <w:tab/>
      <w:t>FCC 17-75</w:t>
    </w:r>
  </w:p>
  <w:p w14:paraId="32DD783E" w14:textId="77777777" w:rsidR="00A8022B" w:rsidRDefault="00A8022B">
    <w:pPr>
      <w:tabs>
        <w:tab w:val="left" w:pos="-720"/>
      </w:tabs>
      <w:suppressAutoHyphens/>
      <w:spacing w:line="19" w:lineRule="exact"/>
      <w:rPr>
        <w:spacing w:val="-2"/>
      </w:rPr>
    </w:pPr>
  </w:p>
  <w:p w14:paraId="755AA01D" w14:textId="77777777" w:rsidR="00A8022B" w:rsidRDefault="00A802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2E557" w14:textId="77777777" w:rsidR="001F771E" w:rsidRDefault="001F771E" w:rsidP="003F7879">
    <w:pPr>
      <w:pStyle w:val="Header"/>
      <w:rPr>
        <w:b w:val="0"/>
      </w:rPr>
    </w:pPr>
    <w:r>
      <w:rPr>
        <w:noProof/>
      </w:rPr>
      <mc:AlternateContent>
        <mc:Choice Requires="wps">
          <w:drawing>
            <wp:anchor distT="0" distB="0" distL="114300" distR="114300" simplePos="0" relativeHeight="251663360" behindDoc="1" locked="0" layoutInCell="0" allowOverlap="1" wp14:anchorId="2A235BE4" wp14:editId="2988F2C6">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C303C3" id="Rectangle 2"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17-116</w:t>
    </w:r>
  </w:p>
  <w:p w14:paraId="6CD538EF" w14:textId="77777777" w:rsidR="001F771E" w:rsidRPr="003F7879" w:rsidRDefault="001F771E" w:rsidP="003F78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24138" w14:textId="77777777" w:rsidR="001F771E" w:rsidRDefault="001F771E">
    <w:pPr>
      <w:pStyle w:val="Header"/>
      <w:pBdr>
        <w:bottom w:val="single" w:sz="12" w:space="1" w:color="auto"/>
      </w:pBdr>
      <w:rPr>
        <w:b w:val="0"/>
      </w:rPr>
    </w:pPr>
    <w:r>
      <w:rPr>
        <w:noProof/>
        <w:snapToGrid/>
      </w:rPr>
      <mc:AlternateContent>
        <mc:Choice Requires="wps">
          <w:drawing>
            <wp:anchor distT="0" distB="0" distL="114300" distR="114300" simplePos="0" relativeHeight="251662336" behindDoc="0" locked="0" layoutInCell="1" allowOverlap="1" wp14:anchorId="05D67192" wp14:editId="0ECFA723">
              <wp:simplePos x="0" y="0"/>
              <wp:positionH relativeFrom="column">
                <wp:posOffset>9525</wp:posOffset>
              </wp:positionH>
              <wp:positionV relativeFrom="paragraph">
                <wp:posOffset>180975</wp:posOffset>
              </wp:positionV>
              <wp:extent cx="5981700" cy="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094E53" id="_x0000_t32" coordsize="21600,21600" o:spt="32" o:oned="t" path="m,l21600,21600e" filled="f">
              <v:path arrowok="t" fillok="f" o:connecttype="none"/>
              <o:lock v:ext="edit" shapetype="t"/>
            </v:shapetype>
            <v:shape id="AutoShape 3" o:spid="_x0000_s1026" type="#_x0000_t32" style="position:absolute;margin-left:.75pt;margin-top:14.25pt;width:47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"/>
          </w:pict>
        </mc:Fallback>
      </mc:AlternateContent>
    </w:r>
    <w:r>
      <w:tab/>
      <w:t>Federal Communications Commission</w:t>
    </w:r>
    <w:r>
      <w:tab/>
      <w:t>FCC 17-75</w:t>
    </w:r>
  </w:p>
  <w:p w14:paraId="66BCB7D1" w14:textId="77777777" w:rsidR="001F771E" w:rsidRDefault="001F771E">
    <w:pPr>
      <w:tabs>
        <w:tab w:val="left" w:pos="-720"/>
      </w:tabs>
      <w:suppressAutoHyphens/>
      <w:spacing w:line="19" w:lineRule="exact"/>
      <w:rPr>
        <w:spacing w:val="-2"/>
      </w:rPr>
    </w:pPr>
  </w:p>
  <w:p w14:paraId="70E4A8C9" w14:textId="77777777" w:rsidR="001F771E" w:rsidRDefault="001F77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FD463" w14:textId="77777777" w:rsidR="00F56263" w:rsidRDefault="00F56263" w:rsidP="003F7879">
    <w:pPr>
      <w:pStyle w:val="Header"/>
      <w:rPr>
        <w:b w:val="0"/>
      </w:rPr>
    </w:pPr>
    <w:r>
      <w:rPr>
        <w:noProof/>
      </w:rPr>
      <mc:AlternateContent>
        <mc:Choice Requires="wps">
          <w:drawing>
            <wp:anchor distT="0" distB="0" distL="114300" distR="114300" simplePos="0" relativeHeight="251669504" behindDoc="1" locked="0" layoutInCell="0" allowOverlap="1" wp14:anchorId="64D5A3F9" wp14:editId="73008662">
              <wp:simplePos x="0" y="0"/>
              <wp:positionH relativeFrom="margin">
                <wp:posOffset>7620</wp:posOffset>
              </wp:positionH>
              <wp:positionV relativeFrom="paragraph">
                <wp:posOffset>160655</wp:posOffset>
              </wp:positionV>
              <wp:extent cx="5943600" cy="12065"/>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E7BA45" id="Rectangle 7" o:spid="_x0000_s1026" style="position:absolute;margin-left:.6pt;margin-top:12.65pt;width:468pt;height:.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s9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mcYCdJBij6CaERsW4Yy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MTaz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17-116</w:t>
    </w:r>
  </w:p>
  <w:p w14:paraId="6953B0A8" w14:textId="77777777" w:rsidR="00F56263" w:rsidRPr="003F7879" w:rsidRDefault="00F56263" w:rsidP="003F78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E03C" w14:textId="77777777" w:rsidR="00F56263" w:rsidRDefault="00F56263">
    <w:pPr>
      <w:pStyle w:val="Header"/>
      <w:pBdr>
        <w:bottom w:val="single" w:sz="12" w:space="1" w:color="auto"/>
      </w:pBdr>
      <w:rPr>
        <w:b w:val="0"/>
      </w:rPr>
    </w:pPr>
    <w:r>
      <w:rPr>
        <w:noProof/>
        <w:snapToGrid/>
      </w:rPr>
      <mc:AlternateContent>
        <mc:Choice Requires="wps">
          <w:drawing>
            <wp:anchor distT="0" distB="0" distL="114300" distR="114300" simplePos="0" relativeHeight="251668480" behindDoc="0" locked="0" layoutInCell="1" allowOverlap="1" wp14:anchorId="76305243" wp14:editId="36D0CD80">
              <wp:simplePos x="0" y="0"/>
              <wp:positionH relativeFrom="column">
                <wp:posOffset>9525</wp:posOffset>
              </wp:positionH>
              <wp:positionV relativeFrom="paragraph">
                <wp:posOffset>180975</wp:posOffset>
              </wp:positionV>
              <wp:extent cx="5981700" cy="0"/>
              <wp:effectExtent l="9525" t="9525" r="9525"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E895D5" id="_x0000_t32" coordsize="21600,21600" o:spt="32" o:oned="t" path="m,l21600,21600e" filled="f">
              <v:path arrowok="t" fillok="f" o:connecttype="none"/>
              <o:lock v:ext="edit" shapetype="t"/>
            </v:shapetype>
            <v:shape id="AutoShape 3" o:spid="_x0000_s1026" type="#_x0000_t32" style="position:absolute;margin-left:.75pt;margin-top:14.25pt;width:47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"/>
          </w:pict>
        </mc:Fallback>
      </mc:AlternateContent>
    </w:r>
    <w:r>
      <w:tab/>
      <w:t>Federal Communications Commission</w:t>
    </w:r>
    <w:r>
      <w:tab/>
      <w:t>FCC 17-75</w:t>
    </w:r>
  </w:p>
  <w:p w14:paraId="4B350C1A" w14:textId="77777777" w:rsidR="00F56263" w:rsidRDefault="00F56263">
    <w:pPr>
      <w:tabs>
        <w:tab w:val="left" w:pos="-720"/>
      </w:tabs>
      <w:suppressAutoHyphens/>
      <w:spacing w:line="19" w:lineRule="exact"/>
      <w:rPr>
        <w:spacing w:val="-2"/>
      </w:rPr>
    </w:pPr>
  </w:p>
  <w:p w14:paraId="4D1E2506" w14:textId="77777777" w:rsidR="00F56263" w:rsidRDefault="00F5626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09A4F" w14:textId="2E67664B" w:rsidR="00D25FB5" w:rsidRDefault="00D25FB5" w:rsidP="00810B6F">
    <w:pPr>
      <w:pStyle w:val="Header"/>
      <w:rPr>
        <w:b w:val="0"/>
      </w:rPr>
    </w:pPr>
    <w:r>
      <w:tab/>
      <w:t>Federal Communications Commission</w:t>
    </w:r>
    <w:r>
      <w:tab/>
    </w:r>
    <w:r w:rsidR="009E6F3F">
      <w:rPr>
        <w:spacing w:val="-2"/>
      </w:rPr>
      <w:t>FCC 17-116</w:t>
    </w:r>
  </w:p>
  <w:p w14:paraId="29CC822C" w14:textId="77777777" w:rsidR="00D25FB5" w:rsidRDefault="004E38BB">
    <w:pPr>
      <w:tabs>
        <w:tab w:val="left" w:pos="-720"/>
      </w:tabs>
      <w:suppressAutoHyphens/>
      <w:spacing w:line="19" w:lineRule="exact"/>
      <w:rPr>
        <w:spacing w:val="-2"/>
      </w:rPr>
    </w:pPr>
    <w:r>
      <w:rPr>
        <w:noProof/>
      </w:rPr>
      <w:pict w14:anchorId="18E29C88">
        <v:rect id="Rectangle 1" o:spid="_x0000_s8193" style="position:absolute;margin-left:0;margin-top:0;width:468pt;height:.95pt;z-index:-2516510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25AA91AD" w14:textId="77777777" w:rsidR="00D25FB5" w:rsidRDefault="00D25FB5">
    <w:pPr>
      <w:spacing w:after="389" w:line="100" w:lineRule="exact"/>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93516" w14:textId="77777777" w:rsidR="00D25FB5" w:rsidRDefault="004E38BB" w:rsidP="00810B6F">
    <w:pPr>
      <w:pStyle w:val="Header"/>
      <w:rPr>
        <w:b w:val="0"/>
      </w:rPr>
    </w:pPr>
    <w:r>
      <w:rPr>
        <w:noProof/>
      </w:rPr>
      <w:pict w14:anchorId="489BCD52">
        <v:rect id="Rectangle 3" o:spid="_x0000_s8194" style="position:absolute;margin-left:.6pt;margin-top:12.65pt;width:468pt;height:.95pt;z-index:-2516500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0A8"/>
    <w:multiLevelType w:val="hybridMultilevel"/>
    <w:tmpl w:val="427E3586"/>
    <w:lvl w:ilvl="0" w:tplc="5E4E73A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DA7718"/>
    <w:multiLevelType w:val="hybridMultilevel"/>
    <w:tmpl w:val="306AA15A"/>
    <w:lvl w:ilvl="0" w:tplc="8BB66054">
      <w:start w:val="1"/>
      <w:numFmt w:val="decimal"/>
      <w:lvlText w:val="%1."/>
      <w:lvlJc w:val="left"/>
      <w:pPr>
        <w:ind w:left="720" w:hanging="360"/>
      </w:pPr>
    </w:lvl>
    <w:lvl w:ilvl="1" w:tplc="DCD20968">
      <w:start w:val="1"/>
      <w:numFmt w:val="lowerLetter"/>
      <w:lvlText w:val="%2."/>
      <w:lvlJc w:val="left"/>
      <w:pPr>
        <w:ind w:left="1440" w:hanging="360"/>
      </w:pPr>
    </w:lvl>
    <w:lvl w:ilvl="2" w:tplc="18829360">
      <w:start w:val="1"/>
      <w:numFmt w:val="lowerRoman"/>
      <w:lvlText w:val="%3."/>
      <w:lvlJc w:val="right"/>
      <w:pPr>
        <w:ind w:left="2160" w:hanging="180"/>
      </w:pPr>
    </w:lvl>
    <w:lvl w:ilvl="3" w:tplc="5404A360">
      <w:start w:val="1"/>
      <w:numFmt w:val="decimal"/>
      <w:lvlText w:val="%4."/>
      <w:lvlJc w:val="left"/>
      <w:pPr>
        <w:ind w:left="2880" w:hanging="360"/>
      </w:pPr>
    </w:lvl>
    <w:lvl w:ilvl="4" w:tplc="1F6CDE88">
      <w:start w:val="1"/>
      <w:numFmt w:val="lowerLetter"/>
      <w:lvlText w:val="%5."/>
      <w:lvlJc w:val="left"/>
      <w:pPr>
        <w:ind w:left="3600" w:hanging="360"/>
      </w:pPr>
    </w:lvl>
    <w:lvl w:ilvl="5" w:tplc="9D30D88E">
      <w:start w:val="1"/>
      <w:numFmt w:val="lowerRoman"/>
      <w:lvlText w:val="%6."/>
      <w:lvlJc w:val="right"/>
      <w:pPr>
        <w:ind w:left="4320" w:hanging="180"/>
      </w:pPr>
    </w:lvl>
    <w:lvl w:ilvl="6" w:tplc="563CD4CE">
      <w:start w:val="1"/>
      <w:numFmt w:val="decimal"/>
      <w:lvlText w:val="%7."/>
      <w:lvlJc w:val="left"/>
      <w:pPr>
        <w:ind w:left="5040" w:hanging="360"/>
      </w:pPr>
    </w:lvl>
    <w:lvl w:ilvl="7" w:tplc="5EF65AFC">
      <w:start w:val="1"/>
      <w:numFmt w:val="lowerLetter"/>
      <w:lvlText w:val="%8."/>
      <w:lvlJc w:val="left"/>
      <w:pPr>
        <w:ind w:left="5760" w:hanging="360"/>
      </w:pPr>
    </w:lvl>
    <w:lvl w:ilvl="8" w:tplc="EFC059C6">
      <w:start w:val="1"/>
      <w:numFmt w:val="lowerRoman"/>
      <w:lvlText w:val="%9."/>
      <w:lvlJc w:val="right"/>
      <w:pPr>
        <w:ind w:left="6480" w:hanging="180"/>
      </w:pPr>
    </w:lvl>
  </w:abstractNum>
  <w:abstractNum w:abstractNumId="4">
    <w:nsid w:val="109F6737"/>
    <w:multiLevelType w:val="hybridMultilevel"/>
    <w:tmpl w:val="5D3C36E6"/>
    <w:lvl w:ilvl="0" w:tplc="B254B1A4">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E264CC4"/>
    <w:multiLevelType w:val="hybridMultilevel"/>
    <w:tmpl w:val="DC64A0A4"/>
    <w:lvl w:ilvl="0" w:tplc="312E0F2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0740701"/>
    <w:multiLevelType w:val="hybridMultilevel"/>
    <w:tmpl w:val="B4F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06EF3"/>
    <w:multiLevelType w:val="hybridMultilevel"/>
    <w:tmpl w:val="77DE1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BAE47F9"/>
    <w:multiLevelType w:val="hybridMultilevel"/>
    <w:tmpl w:val="2918C26E"/>
    <w:lvl w:ilvl="0" w:tplc="42AC19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EE434D"/>
    <w:multiLevelType w:val="hybridMultilevel"/>
    <w:tmpl w:val="C7906EB2"/>
    <w:lvl w:ilvl="0" w:tplc="B33ECD8A">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D9B71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2A717B6"/>
    <w:multiLevelType w:val="hybridMultilevel"/>
    <w:tmpl w:val="5EF0A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244DBC"/>
    <w:multiLevelType w:val="hybridMultilevel"/>
    <w:tmpl w:val="0C7EBCCC"/>
    <w:lvl w:ilvl="0" w:tplc="C25A71F4">
      <w:start w:val="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CFF46CF"/>
    <w:multiLevelType w:val="hybridMultilevel"/>
    <w:tmpl w:val="6A3040B0"/>
    <w:lvl w:ilvl="0" w:tplc="F1444BD6">
      <w:start w:val="1"/>
      <w:numFmt w:val="decimal"/>
      <w:lvlText w:val="%1."/>
      <w:lvlJc w:val="left"/>
      <w:pPr>
        <w:ind w:left="720" w:hanging="360"/>
      </w:pPr>
    </w:lvl>
    <w:lvl w:ilvl="1" w:tplc="E9B680FE">
      <w:start w:val="1"/>
      <w:numFmt w:val="lowerLetter"/>
      <w:lvlText w:val="%2."/>
      <w:lvlJc w:val="left"/>
      <w:pPr>
        <w:ind w:left="1440" w:hanging="360"/>
      </w:pPr>
    </w:lvl>
    <w:lvl w:ilvl="2" w:tplc="387ECB86">
      <w:start w:val="1"/>
      <w:numFmt w:val="lowerRoman"/>
      <w:lvlText w:val="%3."/>
      <w:lvlJc w:val="right"/>
      <w:pPr>
        <w:ind w:left="2160" w:hanging="180"/>
      </w:pPr>
    </w:lvl>
    <w:lvl w:ilvl="3" w:tplc="51B4E6D0">
      <w:start w:val="1"/>
      <w:numFmt w:val="decimal"/>
      <w:lvlText w:val="%4."/>
      <w:lvlJc w:val="left"/>
      <w:pPr>
        <w:ind w:left="2880" w:hanging="360"/>
      </w:pPr>
    </w:lvl>
    <w:lvl w:ilvl="4" w:tplc="4A0AC2CC">
      <w:start w:val="1"/>
      <w:numFmt w:val="lowerLetter"/>
      <w:lvlText w:val="%5."/>
      <w:lvlJc w:val="left"/>
      <w:pPr>
        <w:ind w:left="3600" w:hanging="360"/>
      </w:pPr>
    </w:lvl>
    <w:lvl w:ilvl="5" w:tplc="81ECE366">
      <w:start w:val="1"/>
      <w:numFmt w:val="lowerRoman"/>
      <w:lvlText w:val="%6."/>
      <w:lvlJc w:val="right"/>
      <w:pPr>
        <w:ind w:left="4320" w:hanging="180"/>
      </w:pPr>
    </w:lvl>
    <w:lvl w:ilvl="6" w:tplc="4FD4C8FC">
      <w:start w:val="1"/>
      <w:numFmt w:val="decimal"/>
      <w:lvlText w:val="%7."/>
      <w:lvlJc w:val="left"/>
      <w:pPr>
        <w:ind w:left="5040" w:hanging="360"/>
      </w:pPr>
    </w:lvl>
    <w:lvl w:ilvl="7" w:tplc="0DC00046">
      <w:start w:val="1"/>
      <w:numFmt w:val="lowerLetter"/>
      <w:lvlText w:val="%8."/>
      <w:lvlJc w:val="left"/>
      <w:pPr>
        <w:ind w:left="5760" w:hanging="360"/>
      </w:pPr>
    </w:lvl>
    <w:lvl w:ilvl="8" w:tplc="D596783C">
      <w:start w:val="1"/>
      <w:numFmt w:val="lowerRoman"/>
      <w:lvlText w:val="%9."/>
      <w:lvlJc w:val="right"/>
      <w:pPr>
        <w:ind w:left="6480" w:hanging="180"/>
      </w:pPr>
    </w:lvl>
  </w:abstractNum>
  <w:abstractNum w:abstractNumId="20">
    <w:nsid w:val="6FE86FDC"/>
    <w:multiLevelType w:val="hybridMultilevel"/>
    <w:tmpl w:val="56BCF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18"/>
  </w:num>
  <w:num w:numId="3">
    <w:abstractNumId w:val="8"/>
  </w:num>
  <w:num w:numId="4">
    <w:abstractNumId w:val="15"/>
  </w:num>
  <w:num w:numId="5">
    <w:abstractNumId w:val="7"/>
  </w:num>
  <w:num w:numId="6">
    <w:abstractNumId w:val="2"/>
  </w:num>
  <w:num w:numId="7">
    <w:abstractNumId w:val="10"/>
  </w:num>
  <w:num w:numId="8">
    <w:abstractNumId w:val="9"/>
  </w:num>
  <w:num w:numId="9">
    <w:abstractNumId w:val="17"/>
  </w:num>
  <w:num w:numId="10">
    <w:abstractNumId w:val="20"/>
  </w:num>
  <w:num w:numId="11">
    <w:abstractNumId w:val="1"/>
  </w:num>
  <w:num w:numId="12">
    <w:abstractNumId w:val="21"/>
  </w:num>
  <w:num w:numId="13">
    <w:abstractNumId w:val="11"/>
  </w:num>
  <w:num w:numId="14">
    <w:abstractNumId w:val="18"/>
    <w:lvlOverride w:ilvl="0">
      <w:startOverride w:val="1"/>
    </w:lvlOverride>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16"/>
  </w:num>
  <w:num w:numId="19">
    <w:abstractNumId w:val="18"/>
  </w:num>
  <w:num w:numId="20">
    <w:abstractNumId w:val="12"/>
  </w:num>
  <w:num w:numId="21">
    <w:abstractNumId w:val="13"/>
  </w:num>
  <w:num w:numId="22">
    <w:abstractNumId w:val="0"/>
  </w:num>
  <w:num w:numId="23">
    <w:abstractNumId w:val="4"/>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5"/>
    <o:shapelayout v:ext="edit">
      <o:idmap v:ext="edit" data="8"/>
    </o:shapelayout>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64"/>
    <w:rsid w:val="00001798"/>
    <w:rsid w:val="00002FD6"/>
    <w:rsid w:val="00004CC4"/>
    <w:rsid w:val="000125CE"/>
    <w:rsid w:val="00012E1D"/>
    <w:rsid w:val="000159B9"/>
    <w:rsid w:val="00015E3B"/>
    <w:rsid w:val="00021A81"/>
    <w:rsid w:val="00023CE6"/>
    <w:rsid w:val="00026870"/>
    <w:rsid w:val="000308D7"/>
    <w:rsid w:val="000330F2"/>
    <w:rsid w:val="00034BA5"/>
    <w:rsid w:val="00036039"/>
    <w:rsid w:val="0003636D"/>
    <w:rsid w:val="00037F90"/>
    <w:rsid w:val="00041A9D"/>
    <w:rsid w:val="00043B55"/>
    <w:rsid w:val="00044A4D"/>
    <w:rsid w:val="00044AA3"/>
    <w:rsid w:val="00050C45"/>
    <w:rsid w:val="0005172A"/>
    <w:rsid w:val="000524E3"/>
    <w:rsid w:val="000620CB"/>
    <w:rsid w:val="0006551E"/>
    <w:rsid w:val="00066037"/>
    <w:rsid w:val="00073682"/>
    <w:rsid w:val="00076325"/>
    <w:rsid w:val="00081433"/>
    <w:rsid w:val="000832C5"/>
    <w:rsid w:val="00083FF8"/>
    <w:rsid w:val="00084EC3"/>
    <w:rsid w:val="00085198"/>
    <w:rsid w:val="000875BF"/>
    <w:rsid w:val="0009150E"/>
    <w:rsid w:val="0009315E"/>
    <w:rsid w:val="000955B0"/>
    <w:rsid w:val="00096D8C"/>
    <w:rsid w:val="000A3532"/>
    <w:rsid w:val="000A530F"/>
    <w:rsid w:val="000A5F98"/>
    <w:rsid w:val="000A673F"/>
    <w:rsid w:val="000B01BE"/>
    <w:rsid w:val="000B0DFB"/>
    <w:rsid w:val="000B1E86"/>
    <w:rsid w:val="000B291A"/>
    <w:rsid w:val="000B32D2"/>
    <w:rsid w:val="000B37B2"/>
    <w:rsid w:val="000B74A9"/>
    <w:rsid w:val="000B7D22"/>
    <w:rsid w:val="000C0159"/>
    <w:rsid w:val="000C0B65"/>
    <w:rsid w:val="000C4111"/>
    <w:rsid w:val="000C7636"/>
    <w:rsid w:val="000C7649"/>
    <w:rsid w:val="000D0AC9"/>
    <w:rsid w:val="000D40B0"/>
    <w:rsid w:val="000E05FE"/>
    <w:rsid w:val="000E0956"/>
    <w:rsid w:val="000E1144"/>
    <w:rsid w:val="000E27F0"/>
    <w:rsid w:val="000E3D42"/>
    <w:rsid w:val="000E53AA"/>
    <w:rsid w:val="000F1FB1"/>
    <w:rsid w:val="000F497B"/>
    <w:rsid w:val="000F4C77"/>
    <w:rsid w:val="000F579B"/>
    <w:rsid w:val="00103CAA"/>
    <w:rsid w:val="001058A4"/>
    <w:rsid w:val="001065AE"/>
    <w:rsid w:val="00107341"/>
    <w:rsid w:val="0011016F"/>
    <w:rsid w:val="0011151A"/>
    <w:rsid w:val="0011199E"/>
    <w:rsid w:val="00111F22"/>
    <w:rsid w:val="001121D9"/>
    <w:rsid w:val="001128CE"/>
    <w:rsid w:val="00122BD5"/>
    <w:rsid w:val="0012327A"/>
    <w:rsid w:val="00126357"/>
    <w:rsid w:val="0012696B"/>
    <w:rsid w:val="00126D47"/>
    <w:rsid w:val="001305C5"/>
    <w:rsid w:val="00133F79"/>
    <w:rsid w:val="00141C74"/>
    <w:rsid w:val="00151F36"/>
    <w:rsid w:val="00153B8A"/>
    <w:rsid w:val="001541CD"/>
    <w:rsid w:val="001541F5"/>
    <w:rsid w:val="001542EE"/>
    <w:rsid w:val="0015523C"/>
    <w:rsid w:val="00161B77"/>
    <w:rsid w:val="00162220"/>
    <w:rsid w:val="00162461"/>
    <w:rsid w:val="001708A1"/>
    <w:rsid w:val="0017105B"/>
    <w:rsid w:val="00181214"/>
    <w:rsid w:val="00181BBD"/>
    <w:rsid w:val="0018400E"/>
    <w:rsid w:val="00184658"/>
    <w:rsid w:val="001860C1"/>
    <w:rsid w:val="001867F8"/>
    <w:rsid w:val="001905F0"/>
    <w:rsid w:val="00191055"/>
    <w:rsid w:val="00191ADA"/>
    <w:rsid w:val="00192A18"/>
    <w:rsid w:val="001930BC"/>
    <w:rsid w:val="00194A66"/>
    <w:rsid w:val="00197339"/>
    <w:rsid w:val="00197705"/>
    <w:rsid w:val="001A0407"/>
    <w:rsid w:val="001A31E8"/>
    <w:rsid w:val="001A540E"/>
    <w:rsid w:val="001B131B"/>
    <w:rsid w:val="001B2DD8"/>
    <w:rsid w:val="001B2E5B"/>
    <w:rsid w:val="001B368B"/>
    <w:rsid w:val="001B3732"/>
    <w:rsid w:val="001B410C"/>
    <w:rsid w:val="001B4361"/>
    <w:rsid w:val="001B798F"/>
    <w:rsid w:val="001C10CF"/>
    <w:rsid w:val="001C1C37"/>
    <w:rsid w:val="001C2037"/>
    <w:rsid w:val="001C348A"/>
    <w:rsid w:val="001C36A0"/>
    <w:rsid w:val="001C4265"/>
    <w:rsid w:val="001C6E7F"/>
    <w:rsid w:val="001D060B"/>
    <w:rsid w:val="001D2456"/>
    <w:rsid w:val="001D24DC"/>
    <w:rsid w:val="001D3CB7"/>
    <w:rsid w:val="001D5383"/>
    <w:rsid w:val="001D58C8"/>
    <w:rsid w:val="001D6BCF"/>
    <w:rsid w:val="001E01CA"/>
    <w:rsid w:val="001E551A"/>
    <w:rsid w:val="001E7149"/>
    <w:rsid w:val="001F0B11"/>
    <w:rsid w:val="001F4083"/>
    <w:rsid w:val="001F4D3E"/>
    <w:rsid w:val="001F61A6"/>
    <w:rsid w:val="001F771E"/>
    <w:rsid w:val="001F77EA"/>
    <w:rsid w:val="001F78C6"/>
    <w:rsid w:val="002061AE"/>
    <w:rsid w:val="00211283"/>
    <w:rsid w:val="0021314C"/>
    <w:rsid w:val="00214B05"/>
    <w:rsid w:val="0021630A"/>
    <w:rsid w:val="002177E1"/>
    <w:rsid w:val="00220461"/>
    <w:rsid w:val="00220C27"/>
    <w:rsid w:val="00224AE8"/>
    <w:rsid w:val="00227733"/>
    <w:rsid w:val="002300CF"/>
    <w:rsid w:val="00231833"/>
    <w:rsid w:val="00232812"/>
    <w:rsid w:val="00237B42"/>
    <w:rsid w:val="00240F98"/>
    <w:rsid w:val="0024153B"/>
    <w:rsid w:val="00241EB5"/>
    <w:rsid w:val="00242812"/>
    <w:rsid w:val="00244746"/>
    <w:rsid w:val="00244826"/>
    <w:rsid w:val="0025124E"/>
    <w:rsid w:val="00251722"/>
    <w:rsid w:val="002526C1"/>
    <w:rsid w:val="00253403"/>
    <w:rsid w:val="00253C3A"/>
    <w:rsid w:val="00254DAB"/>
    <w:rsid w:val="002563F6"/>
    <w:rsid w:val="0026005A"/>
    <w:rsid w:val="002629AE"/>
    <w:rsid w:val="0026494B"/>
    <w:rsid w:val="00265277"/>
    <w:rsid w:val="00267A40"/>
    <w:rsid w:val="00270852"/>
    <w:rsid w:val="0027344D"/>
    <w:rsid w:val="00275CF5"/>
    <w:rsid w:val="00276787"/>
    <w:rsid w:val="00281CDA"/>
    <w:rsid w:val="0028301F"/>
    <w:rsid w:val="00283B97"/>
    <w:rsid w:val="00284BC0"/>
    <w:rsid w:val="00285017"/>
    <w:rsid w:val="0028675C"/>
    <w:rsid w:val="00287F57"/>
    <w:rsid w:val="0029216F"/>
    <w:rsid w:val="00292B18"/>
    <w:rsid w:val="00293ADD"/>
    <w:rsid w:val="00295292"/>
    <w:rsid w:val="0029639D"/>
    <w:rsid w:val="002A1F10"/>
    <w:rsid w:val="002A2D2E"/>
    <w:rsid w:val="002A4336"/>
    <w:rsid w:val="002A6ECD"/>
    <w:rsid w:val="002B41AA"/>
    <w:rsid w:val="002B4819"/>
    <w:rsid w:val="002B758F"/>
    <w:rsid w:val="002C00E8"/>
    <w:rsid w:val="002C1B22"/>
    <w:rsid w:val="002C1CC1"/>
    <w:rsid w:val="002C4D45"/>
    <w:rsid w:val="002C4EA2"/>
    <w:rsid w:val="002D437B"/>
    <w:rsid w:val="002D7F2F"/>
    <w:rsid w:val="002E2E81"/>
    <w:rsid w:val="002E3504"/>
    <w:rsid w:val="002F1C16"/>
    <w:rsid w:val="002F339B"/>
    <w:rsid w:val="002F5735"/>
    <w:rsid w:val="002F5792"/>
    <w:rsid w:val="00302B2A"/>
    <w:rsid w:val="00302DD6"/>
    <w:rsid w:val="0030672C"/>
    <w:rsid w:val="003069B8"/>
    <w:rsid w:val="00310A87"/>
    <w:rsid w:val="00311509"/>
    <w:rsid w:val="00312596"/>
    <w:rsid w:val="003155AD"/>
    <w:rsid w:val="0031639B"/>
    <w:rsid w:val="00317F99"/>
    <w:rsid w:val="00323505"/>
    <w:rsid w:val="00327750"/>
    <w:rsid w:val="00330BA9"/>
    <w:rsid w:val="003321D4"/>
    <w:rsid w:val="003366B7"/>
    <w:rsid w:val="00336B8E"/>
    <w:rsid w:val="003377B0"/>
    <w:rsid w:val="00341DDF"/>
    <w:rsid w:val="00343749"/>
    <w:rsid w:val="00345584"/>
    <w:rsid w:val="0034713A"/>
    <w:rsid w:val="00350C16"/>
    <w:rsid w:val="00353512"/>
    <w:rsid w:val="0035487B"/>
    <w:rsid w:val="00355BF7"/>
    <w:rsid w:val="003561EA"/>
    <w:rsid w:val="00360B14"/>
    <w:rsid w:val="00361855"/>
    <w:rsid w:val="003619AF"/>
    <w:rsid w:val="00361BD7"/>
    <w:rsid w:val="00362012"/>
    <w:rsid w:val="00363AF1"/>
    <w:rsid w:val="00365A0D"/>
    <w:rsid w:val="003660ED"/>
    <w:rsid w:val="003712E2"/>
    <w:rsid w:val="00372B6D"/>
    <w:rsid w:val="00372E05"/>
    <w:rsid w:val="00373AD0"/>
    <w:rsid w:val="003754AA"/>
    <w:rsid w:val="003802A1"/>
    <w:rsid w:val="00382053"/>
    <w:rsid w:val="00382638"/>
    <w:rsid w:val="003854E6"/>
    <w:rsid w:val="00386F4D"/>
    <w:rsid w:val="00391436"/>
    <w:rsid w:val="003946B8"/>
    <w:rsid w:val="00394ABA"/>
    <w:rsid w:val="00394E26"/>
    <w:rsid w:val="00395A2B"/>
    <w:rsid w:val="00396B95"/>
    <w:rsid w:val="003A2203"/>
    <w:rsid w:val="003A639D"/>
    <w:rsid w:val="003B0550"/>
    <w:rsid w:val="003B694F"/>
    <w:rsid w:val="003B6A72"/>
    <w:rsid w:val="003B6BC6"/>
    <w:rsid w:val="003B779C"/>
    <w:rsid w:val="003C24C8"/>
    <w:rsid w:val="003C3C7B"/>
    <w:rsid w:val="003C4C27"/>
    <w:rsid w:val="003C67FC"/>
    <w:rsid w:val="003D0251"/>
    <w:rsid w:val="003D3BB4"/>
    <w:rsid w:val="003D6558"/>
    <w:rsid w:val="003D660C"/>
    <w:rsid w:val="003D7973"/>
    <w:rsid w:val="003E636B"/>
    <w:rsid w:val="003F05DE"/>
    <w:rsid w:val="003F171C"/>
    <w:rsid w:val="003F626D"/>
    <w:rsid w:val="003F7693"/>
    <w:rsid w:val="003F7879"/>
    <w:rsid w:val="004010F6"/>
    <w:rsid w:val="0040427E"/>
    <w:rsid w:val="004057F5"/>
    <w:rsid w:val="0041145F"/>
    <w:rsid w:val="0041206C"/>
    <w:rsid w:val="00412FC5"/>
    <w:rsid w:val="00420B6E"/>
    <w:rsid w:val="00422276"/>
    <w:rsid w:val="0042241D"/>
    <w:rsid w:val="004226BB"/>
    <w:rsid w:val="00422D5E"/>
    <w:rsid w:val="004242F1"/>
    <w:rsid w:val="0043201B"/>
    <w:rsid w:val="004320A4"/>
    <w:rsid w:val="004333AF"/>
    <w:rsid w:val="004340D7"/>
    <w:rsid w:val="00435B49"/>
    <w:rsid w:val="00436C9A"/>
    <w:rsid w:val="004407D1"/>
    <w:rsid w:val="0044420D"/>
    <w:rsid w:val="004444A6"/>
    <w:rsid w:val="00444D5D"/>
    <w:rsid w:val="00445A00"/>
    <w:rsid w:val="00445A15"/>
    <w:rsid w:val="00446FB2"/>
    <w:rsid w:val="00451B0F"/>
    <w:rsid w:val="00452336"/>
    <w:rsid w:val="004530DA"/>
    <w:rsid w:val="004543AF"/>
    <w:rsid w:val="00454F47"/>
    <w:rsid w:val="00462FC3"/>
    <w:rsid w:val="00463A32"/>
    <w:rsid w:val="00463C38"/>
    <w:rsid w:val="0046460E"/>
    <w:rsid w:val="00465C09"/>
    <w:rsid w:val="00466830"/>
    <w:rsid w:val="00470ADF"/>
    <w:rsid w:val="00470D21"/>
    <w:rsid w:val="00471579"/>
    <w:rsid w:val="00471F28"/>
    <w:rsid w:val="00472A1E"/>
    <w:rsid w:val="0047498D"/>
    <w:rsid w:val="00477C33"/>
    <w:rsid w:val="00477D8B"/>
    <w:rsid w:val="00480833"/>
    <w:rsid w:val="00480988"/>
    <w:rsid w:val="00486958"/>
    <w:rsid w:val="00486C6A"/>
    <w:rsid w:val="00492101"/>
    <w:rsid w:val="004949A7"/>
    <w:rsid w:val="004960C4"/>
    <w:rsid w:val="004A3082"/>
    <w:rsid w:val="004A686D"/>
    <w:rsid w:val="004B4F37"/>
    <w:rsid w:val="004C0623"/>
    <w:rsid w:val="004C0ACA"/>
    <w:rsid w:val="004C10C8"/>
    <w:rsid w:val="004C166C"/>
    <w:rsid w:val="004C17A1"/>
    <w:rsid w:val="004C2EE3"/>
    <w:rsid w:val="004C56AA"/>
    <w:rsid w:val="004C7307"/>
    <w:rsid w:val="004D218A"/>
    <w:rsid w:val="004D272A"/>
    <w:rsid w:val="004D32DD"/>
    <w:rsid w:val="004D4F2A"/>
    <w:rsid w:val="004D7B86"/>
    <w:rsid w:val="004D7C39"/>
    <w:rsid w:val="004E05C2"/>
    <w:rsid w:val="004E12B1"/>
    <w:rsid w:val="004E19B7"/>
    <w:rsid w:val="004E38BB"/>
    <w:rsid w:val="004E4A22"/>
    <w:rsid w:val="004F517B"/>
    <w:rsid w:val="004F5363"/>
    <w:rsid w:val="004F61E3"/>
    <w:rsid w:val="004F64B5"/>
    <w:rsid w:val="00501ABD"/>
    <w:rsid w:val="00502286"/>
    <w:rsid w:val="005067AB"/>
    <w:rsid w:val="00506843"/>
    <w:rsid w:val="00507F7B"/>
    <w:rsid w:val="00511968"/>
    <w:rsid w:val="005121BE"/>
    <w:rsid w:val="00514593"/>
    <w:rsid w:val="00515341"/>
    <w:rsid w:val="005154FA"/>
    <w:rsid w:val="00521A2A"/>
    <w:rsid w:val="0052280A"/>
    <w:rsid w:val="0052298E"/>
    <w:rsid w:val="00523BAA"/>
    <w:rsid w:val="005257B8"/>
    <w:rsid w:val="00526C64"/>
    <w:rsid w:val="005324D6"/>
    <w:rsid w:val="00533C09"/>
    <w:rsid w:val="00534870"/>
    <w:rsid w:val="00535B24"/>
    <w:rsid w:val="005364CD"/>
    <w:rsid w:val="00545CEB"/>
    <w:rsid w:val="00552342"/>
    <w:rsid w:val="005526A7"/>
    <w:rsid w:val="0055614C"/>
    <w:rsid w:val="005607F1"/>
    <w:rsid w:val="00560BD9"/>
    <w:rsid w:val="005615CB"/>
    <w:rsid w:val="005620FA"/>
    <w:rsid w:val="0056232D"/>
    <w:rsid w:val="00564B0F"/>
    <w:rsid w:val="00565051"/>
    <w:rsid w:val="0056560A"/>
    <w:rsid w:val="005657CD"/>
    <w:rsid w:val="005657D5"/>
    <w:rsid w:val="00572B31"/>
    <w:rsid w:val="00576E3C"/>
    <w:rsid w:val="00581FC6"/>
    <w:rsid w:val="005825D3"/>
    <w:rsid w:val="005832B5"/>
    <w:rsid w:val="0059111C"/>
    <w:rsid w:val="005A13C5"/>
    <w:rsid w:val="005A1F67"/>
    <w:rsid w:val="005B224A"/>
    <w:rsid w:val="005C17B7"/>
    <w:rsid w:val="005C2D26"/>
    <w:rsid w:val="005C31A1"/>
    <w:rsid w:val="005C3DD0"/>
    <w:rsid w:val="005C5C86"/>
    <w:rsid w:val="005C6A87"/>
    <w:rsid w:val="005D1969"/>
    <w:rsid w:val="005D1C60"/>
    <w:rsid w:val="005D2701"/>
    <w:rsid w:val="005D579A"/>
    <w:rsid w:val="005E14C2"/>
    <w:rsid w:val="005E245B"/>
    <w:rsid w:val="005E3274"/>
    <w:rsid w:val="005E4890"/>
    <w:rsid w:val="005E4C6F"/>
    <w:rsid w:val="005E4E62"/>
    <w:rsid w:val="005E53D0"/>
    <w:rsid w:val="005E7888"/>
    <w:rsid w:val="005F089A"/>
    <w:rsid w:val="005F0FFB"/>
    <w:rsid w:val="005F4907"/>
    <w:rsid w:val="005F4BA0"/>
    <w:rsid w:val="005F70FC"/>
    <w:rsid w:val="0060197F"/>
    <w:rsid w:val="00602D5C"/>
    <w:rsid w:val="00603B25"/>
    <w:rsid w:val="00603F13"/>
    <w:rsid w:val="0060509D"/>
    <w:rsid w:val="00606D43"/>
    <w:rsid w:val="00606DDD"/>
    <w:rsid w:val="006072D0"/>
    <w:rsid w:val="00607BA5"/>
    <w:rsid w:val="0061180A"/>
    <w:rsid w:val="00612AB3"/>
    <w:rsid w:val="00612B41"/>
    <w:rsid w:val="006133FD"/>
    <w:rsid w:val="0061521F"/>
    <w:rsid w:val="006173F9"/>
    <w:rsid w:val="00620D8D"/>
    <w:rsid w:val="00622FE0"/>
    <w:rsid w:val="006246E7"/>
    <w:rsid w:val="00626908"/>
    <w:rsid w:val="00626EB6"/>
    <w:rsid w:val="00630B4B"/>
    <w:rsid w:val="00630DC0"/>
    <w:rsid w:val="006317D3"/>
    <w:rsid w:val="00631845"/>
    <w:rsid w:val="00632944"/>
    <w:rsid w:val="00634217"/>
    <w:rsid w:val="0063472F"/>
    <w:rsid w:val="00635814"/>
    <w:rsid w:val="00636C3B"/>
    <w:rsid w:val="00640174"/>
    <w:rsid w:val="0064242B"/>
    <w:rsid w:val="006437CB"/>
    <w:rsid w:val="00645809"/>
    <w:rsid w:val="0064763B"/>
    <w:rsid w:val="00650807"/>
    <w:rsid w:val="00651442"/>
    <w:rsid w:val="00652617"/>
    <w:rsid w:val="00655D03"/>
    <w:rsid w:val="006564D7"/>
    <w:rsid w:val="006575CC"/>
    <w:rsid w:val="00661E05"/>
    <w:rsid w:val="0066288B"/>
    <w:rsid w:val="00664B14"/>
    <w:rsid w:val="006656CC"/>
    <w:rsid w:val="00666B33"/>
    <w:rsid w:val="00666B6D"/>
    <w:rsid w:val="00680F31"/>
    <w:rsid w:val="00683388"/>
    <w:rsid w:val="00683F84"/>
    <w:rsid w:val="00686AB2"/>
    <w:rsid w:val="006918A4"/>
    <w:rsid w:val="00692B8C"/>
    <w:rsid w:val="00692E05"/>
    <w:rsid w:val="006930AE"/>
    <w:rsid w:val="00695364"/>
    <w:rsid w:val="006957D0"/>
    <w:rsid w:val="006979CE"/>
    <w:rsid w:val="006A0156"/>
    <w:rsid w:val="006A4BD8"/>
    <w:rsid w:val="006A6A81"/>
    <w:rsid w:val="006B2E66"/>
    <w:rsid w:val="006B5E1D"/>
    <w:rsid w:val="006B672A"/>
    <w:rsid w:val="006C2EA4"/>
    <w:rsid w:val="006D1C6A"/>
    <w:rsid w:val="006D31AA"/>
    <w:rsid w:val="006D3EAA"/>
    <w:rsid w:val="006D51F7"/>
    <w:rsid w:val="006D6DD8"/>
    <w:rsid w:val="006D6EA7"/>
    <w:rsid w:val="006E0EDE"/>
    <w:rsid w:val="006E1CF4"/>
    <w:rsid w:val="006E54E5"/>
    <w:rsid w:val="006E5F9B"/>
    <w:rsid w:val="006E6EFF"/>
    <w:rsid w:val="006F006C"/>
    <w:rsid w:val="006F1691"/>
    <w:rsid w:val="006F1C69"/>
    <w:rsid w:val="006F3B0F"/>
    <w:rsid w:val="006F4036"/>
    <w:rsid w:val="006F5048"/>
    <w:rsid w:val="006F7393"/>
    <w:rsid w:val="006F794F"/>
    <w:rsid w:val="0070224F"/>
    <w:rsid w:val="00704BA7"/>
    <w:rsid w:val="007115F7"/>
    <w:rsid w:val="00714D48"/>
    <w:rsid w:val="007207F6"/>
    <w:rsid w:val="007255C4"/>
    <w:rsid w:val="0072630A"/>
    <w:rsid w:val="0073091C"/>
    <w:rsid w:val="00741E69"/>
    <w:rsid w:val="00744773"/>
    <w:rsid w:val="00745229"/>
    <w:rsid w:val="0074687B"/>
    <w:rsid w:val="007517E1"/>
    <w:rsid w:val="00752DA9"/>
    <w:rsid w:val="00753EF3"/>
    <w:rsid w:val="00761558"/>
    <w:rsid w:val="00762C69"/>
    <w:rsid w:val="00763356"/>
    <w:rsid w:val="00765DE9"/>
    <w:rsid w:val="007661C1"/>
    <w:rsid w:val="00771707"/>
    <w:rsid w:val="00772BF4"/>
    <w:rsid w:val="00775D46"/>
    <w:rsid w:val="00777A1B"/>
    <w:rsid w:val="0078247B"/>
    <w:rsid w:val="00784E1C"/>
    <w:rsid w:val="00785689"/>
    <w:rsid w:val="00786327"/>
    <w:rsid w:val="00786E09"/>
    <w:rsid w:val="00790D3F"/>
    <w:rsid w:val="00793E36"/>
    <w:rsid w:val="0079754B"/>
    <w:rsid w:val="007A0B67"/>
    <w:rsid w:val="007A1E6D"/>
    <w:rsid w:val="007A34BF"/>
    <w:rsid w:val="007B0EB2"/>
    <w:rsid w:val="007B4788"/>
    <w:rsid w:val="007B54B8"/>
    <w:rsid w:val="007B7746"/>
    <w:rsid w:val="007B7845"/>
    <w:rsid w:val="007C4673"/>
    <w:rsid w:val="007D2FA0"/>
    <w:rsid w:val="007D2FCC"/>
    <w:rsid w:val="007D3E87"/>
    <w:rsid w:val="007E0694"/>
    <w:rsid w:val="007E18F4"/>
    <w:rsid w:val="007E341F"/>
    <w:rsid w:val="007E3CC6"/>
    <w:rsid w:val="007E3DD1"/>
    <w:rsid w:val="007F071C"/>
    <w:rsid w:val="007F18A0"/>
    <w:rsid w:val="007F4803"/>
    <w:rsid w:val="007F6C6B"/>
    <w:rsid w:val="00810591"/>
    <w:rsid w:val="00810B6F"/>
    <w:rsid w:val="00811A5D"/>
    <w:rsid w:val="008150B6"/>
    <w:rsid w:val="00817FE0"/>
    <w:rsid w:val="00822CE0"/>
    <w:rsid w:val="0082582D"/>
    <w:rsid w:val="0083088C"/>
    <w:rsid w:val="00831859"/>
    <w:rsid w:val="00832F34"/>
    <w:rsid w:val="00833B26"/>
    <w:rsid w:val="008356D4"/>
    <w:rsid w:val="00836745"/>
    <w:rsid w:val="0083760E"/>
    <w:rsid w:val="008404AB"/>
    <w:rsid w:val="0084064E"/>
    <w:rsid w:val="00841AB1"/>
    <w:rsid w:val="00841EFF"/>
    <w:rsid w:val="008440D5"/>
    <w:rsid w:val="0084594C"/>
    <w:rsid w:val="00847BC7"/>
    <w:rsid w:val="00850027"/>
    <w:rsid w:val="00851B5D"/>
    <w:rsid w:val="008542F1"/>
    <w:rsid w:val="00861BFD"/>
    <w:rsid w:val="00861E4E"/>
    <w:rsid w:val="00862F82"/>
    <w:rsid w:val="008637AF"/>
    <w:rsid w:val="00863879"/>
    <w:rsid w:val="008640CF"/>
    <w:rsid w:val="00864238"/>
    <w:rsid w:val="00866A05"/>
    <w:rsid w:val="008714B9"/>
    <w:rsid w:val="00872BCD"/>
    <w:rsid w:val="0087597F"/>
    <w:rsid w:val="008776D1"/>
    <w:rsid w:val="008777FF"/>
    <w:rsid w:val="00880625"/>
    <w:rsid w:val="00883502"/>
    <w:rsid w:val="0088418A"/>
    <w:rsid w:val="008849CD"/>
    <w:rsid w:val="00884FD5"/>
    <w:rsid w:val="008873B7"/>
    <w:rsid w:val="008875EA"/>
    <w:rsid w:val="008910E6"/>
    <w:rsid w:val="0089227C"/>
    <w:rsid w:val="008934D9"/>
    <w:rsid w:val="0089718B"/>
    <w:rsid w:val="008A2A26"/>
    <w:rsid w:val="008A444D"/>
    <w:rsid w:val="008A6A1F"/>
    <w:rsid w:val="008A78E7"/>
    <w:rsid w:val="008B1676"/>
    <w:rsid w:val="008B36BE"/>
    <w:rsid w:val="008B60DF"/>
    <w:rsid w:val="008B6405"/>
    <w:rsid w:val="008B7C6D"/>
    <w:rsid w:val="008C03C9"/>
    <w:rsid w:val="008C5222"/>
    <w:rsid w:val="008C68F1"/>
    <w:rsid w:val="008D038A"/>
    <w:rsid w:val="008D5924"/>
    <w:rsid w:val="008E02F8"/>
    <w:rsid w:val="008E08E4"/>
    <w:rsid w:val="008E1566"/>
    <w:rsid w:val="008E65BC"/>
    <w:rsid w:val="008F239B"/>
    <w:rsid w:val="008F2F8F"/>
    <w:rsid w:val="008F4EC9"/>
    <w:rsid w:val="009011DA"/>
    <w:rsid w:val="00901C39"/>
    <w:rsid w:val="009039FA"/>
    <w:rsid w:val="009055DE"/>
    <w:rsid w:val="0090562A"/>
    <w:rsid w:val="0090751B"/>
    <w:rsid w:val="00907703"/>
    <w:rsid w:val="00907DAF"/>
    <w:rsid w:val="009100D5"/>
    <w:rsid w:val="00911689"/>
    <w:rsid w:val="00912CF0"/>
    <w:rsid w:val="009174EE"/>
    <w:rsid w:val="00921803"/>
    <w:rsid w:val="00926503"/>
    <w:rsid w:val="00926DB0"/>
    <w:rsid w:val="00927EBB"/>
    <w:rsid w:val="00930017"/>
    <w:rsid w:val="00931611"/>
    <w:rsid w:val="00932388"/>
    <w:rsid w:val="00935270"/>
    <w:rsid w:val="00935900"/>
    <w:rsid w:val="00940020"/>
    <w:rsid w:val="00941B42"/>
    <w:rsid w:val="009440CE"/>
    <w:rsid w:val="009441FB"/>
    <w:rsid w:val="00944EEE"/>
    <w:rsid w:val="009465C9"/>
    <w:rsid w:val="009467EF"/>
    <w:rsid w:val="00947106"/>
    <w:rsid w:val="0095093F"/>
    <w:rsid w:val="009518AF"/>
    <w:rsid w:val="0095473D"/>
    <w:rsid w:val="00954F29"/>
    <w:rsid w:val="00956E31"/>
    <w:rsid w:val="00957B12"/>
    <w:rsid w:val="00957E05"/>
    <w:rsid w:val="00960970"/>
    <w:rsid w:val="009610F6"/>
    <w:rsid w:val="00962302"/>
    <w:rsid w:val="00962E7D"/>
    <w:rsid w:val="00963112"/>
    <w:rsid w:val="0096633F"/>
    <w:rsid w:val="009675CC"/>
    <w:rsid w:val="009717C3"/>
    <w:rsid w:val="00971992"/>
    <w:rsid w:val="0097260E"/>
    <w:rsid w:val="009726D8"/>
    <w:rsid w:val="009764F2"/>
    <w:rsid w:val="009819A5"/>
    <w:rsid w:val="0098205F"/>
    <w:rsid w:val="00987862"/>
    <w:rsid w:val="00991152"/>
    <w:rsid w:val="00991C33"/>
    <w:rsid w:val="00993D1B"/>
    <w:rsid w:val="0099463F"/>
    <w:rsid w:val="00995DFB"/>
    <w:rsid w:val="009A151B"/>
    <w:rsid w:val="009A1625"/>
    <w:rsid w:val="009A3819"/>
    <w:rsid w:val="009A5205"/>
    <w:rsid w:val="009A7031"/>
    <w:rsid w:val="009A7B7E"/>
    <w:rsid w:val="009B6C84"/>
    <w:rsid w:val="009C5051"/>
    <w:rsid w:val="009C6013"/>
    <w:rsid w:val="009D06AF"/>
    <w:rsid w:val="009D17AE"/>
    <w:rsid w:val="009D3561"/>
    <w:rsid w:val="009E6105"/>
    <w:rsid w:val="009E6F3F"/>
    <w:rsid w:val="009F0EC2"/>
    <w:rsid w:val="009F1B83"/>
    <w:rsid w:val="009F2E03"/>
    <w:rsid w:val="009F5BA6"/>
    <w:rsid w:val="009F71B5"/>
    <w:rsid w:val="009F76DB"/>
    <w:rsid w:val="00A01459"/>
    <w:rsid w:val="00A01CBE"/>
    <w:rsid w:val="00A01D2F"/>
    <w:rsid w:val="00A028E8"/>
    <w:rsid w:val="00A03E00"/>
    <w:rsid w:val="00A05180"/>
    <w:rsid w:val="00A1267B"/>
    <w:rsid w:val="00A14397"/>
    <w:rsid w:val="00A16078"/>
    <w:rsid w:val="00A162FE"/>
    <w:rsid w:val="00A16FDB"/>
    <w:rsid w:val="00A177A1"/>
    <w:rsid w:val="00A20990"/>
    <w:rsid w:val="00A23C81"/>
    <w:rsid w:val="00A27073"/>
    <w:rsid w:val="00A309A2"/>
    <w:rsid w:val="00A32C3B"/>
    <w:rsid w:val="00A402BE"/>
    <w:rsid w:val="00A41E70"/>
    <w:rsid w:val="00A42DBD"/>
    <w:rsid w:val="00A442CC"/>
    <w:rsid w:val="00A45F4F"/>
    <w:rsid w:val="00A46FF8"/>
    <w:rsid w:val="00A55AD0"/>
    <w:rsid w:val="00A55E1C"/>
    <w:rsid w:val="00A56DB7"/>
    <w:rsid w:val="00A56F52"/>
    <w:rsid w:val="00A5793B"/>
    <w:rsid w:val="00A600A9"/>
    <w:rsid w:val="00A603AC"/>
    <w:rsid w:val="00A61F27"/>
    <w:rsid w:val="00A628A1"/>
    <w:rsid w:val="00A62A7D"/>
    <w:rsid w:val="00A64E27"/>
    <w:rsid w:val="00A6671D"/>
    <w:rsid w:val="00A70FB8"/>
    <w:rsid w:val="00A73319"/>
    <w:rsid w:val="00A73A2F"/>
    <w:rsid w:val="00A8022B"/>
    <w:rsid w:val="00A80813"/>
    <w:rsid w:val="00A825B1"/>
    <w:rsid w:val="00A85AF2"/>
    <w:rsid w:val="00A861EE"/>
    <w:rsid w:val="00A92C1E"/>
    <w:rsid w:val="00A95396"/>
    <w:rsid w:val="00A9728E"/>
    <w:rsid w:val="00AA2D46"/>
    <w:rsid w:val="00AA2F1A"/>
    <w:rsid w:val="00AA3959"/>
    <w:rsid w:val="00AA4849"/>
    <w:rsid w:val="00AA4E8E"/>
    <w:rsid w:val="00AA55B7"/>
    <w:rsid w:val="00AA5B9E"/>
    <w:rsid w:val="00AB1EA9"/>
    <w:rsid w:val="00AB2407"/>
    <w:rsid w:val="00AB53DF"/>
    <w:rsid w:val="00AB58D9"/>
    <w:rsid w:val="00AB6830"/>
    <w:rsid w:val="00AC1B6E"/>
    <w:rsid w:val="00AC26D7"/>
    <w:rsid w:val="00AC2BD0"/>
    <w:rsid w:val="00AC3F0F"/>
    <w:rsid w:val="00AC40C9"/>
    <w:rsid w:val="00AC5509"/>
    <w:rsid w:val="00AC61FA"/>
    <w:rsid w:val="00AD2BC2"/>
    <w:rsid w:val="00AD3811"/>
    <w:rsid w:val="00AD7969"/>
    <w:rsid w:val="00AE1143"/>
    <w:rsid w:val="00AE1A71"/>
    <w:rsid w:val="00AE1AE9"/>
    <w:rsid w:val="00AE24E7"/>
    <w:rsid w:val="00AE3A50"/>
    <w:rsid w:val="00AE4511"/>
    <w:rsid w:val="00AE4B9E"/>
    <w:rsid w:val="00AE644C"/>
    <w:rsid w:val="00AE772A"/>
    <w:rsid w:val="00AF0ADC"/>
    <w:rsid w:val="00AF1FAA"/>
    <w:rsid w:val="00AF6DA7"/>
    <w:rsid w:val="00B01A74"/>
    <w:rsid w:val="00B0504E"/>
    <w:rsid w:val="00B05EE7"/>
    <w:rsid w:val="00B067E4"/>
    <w:rsid w:val="00B07E5C"/>
    <w:rsid w:val="00B10412"/>
    <w:rsid w:val="00B10571"/>
    <w:rsid w:val="00B1614F"/>
    <w:rsid w:val="00B2260E"/>
    <w:rsid w:val="00B263C2"/>
    <w:rsid w:val="00B31161"/>
    <w:rsid w:val="00B34E66"/>
    <w:rsid w:val="00B41B31"/>
    <w:rsid w:val="00B45B83"/>
    <w:rsid w:val="00B46573"/>
    <w:rsid w:val="00B52EF8"/>
    <w:rsid w:val="00B556EB"/>
    <w:rsid w:val="00B56BCC"/>
    <w:rsid w:val="00B57AEA"/>
    <w:rsid w:val="00B62CF3"/>
    <w:rsid w:val="00B640FD"/>
    <w:rsid w:val="00B74A8F"/>
    <w:rsid w:val="00B766CF"/>
    <w:rsid w:val="00B7720D"/>
    <w:rsid w:val="00B811F7"/>
    <w:rsid w:val="00B828DB"/>
    <w:rsid w:val="00B84863"/>
    <w:rsid w:val="00B86C48"/>
    <w:rsid w:val="00B95002"/>
    <w:rsid w:val="00B971DB"/>
    <w:rsid w:val="00BA0D31"/>
    <w:rsid w:val="00BA37E2"/>
    <w:rsid w:val="00BA42A5"/>
    <w:rsid w:val="00BA5DC6"/>
    <w:rsid w:val="00BA6196"/>
    <w:rsid w:val="00BA7D83"/>
    <w:rsid w:val="00BB226C"/>
    <w:rsid w:val="00BB34C6"/>
    <w:rsid w:val="00BB38A9"/>
    <w:rsid w:val="00BB4D37"/>
    <w:rsid w:val="00BB5E10"/>
    <w:rsid w:val="00BC0039"/>
    <w:rsid w:val="00BC151E"/>
    <w:rsid w:val="00BC1E76"/>
    <w:rsid w:val="00BC2EDC"/>
    <w:rsid w:val="00BC33B0"/>
    <w:rsid w:val="00BC3DD1"/>
    <w:rsid w:val="00BC6D8C"/>
    <w:rsid w:val="00BD4D08"/>
    <w:rsid w:val="00BD7CFF"/>
    <w:rsid w:val="00BE0456"/>
    <w:rsid w:val="00BE2CA0"/>
    <w:rsid w:val="00BE30AB"/>
    <w:rsid w:val="00BE5ADF"/>
    <w:rsid w:val="00BE7416"/>
    <w:rsid w:val="00BF054D"/>
    <w:rsid w:val="00BF1DE3"/>
    <w:rsid w:val="00BF47F1"/>
    <w:rsid w:val="00BF5C29"/>
    <w:rsid w:val="00BF7E35"/>
    <w:rsid w:val="00BF7EBE"/>
    <w:rsid w:val="00C0310A"/>
    <w:rsid w:val="00C03333"/>
    <w:rsid w:val="00C03FBB"/>
    <w:rsid w:val="00C0547D"/>
    <w:rsid w:val="00C05E15"/>
    <w:rsid w:val="00C0756F"/>
    <w:rsid w:val="00C12B79"/>
    <w:rsid w:val="00C14583"/>
    <w:rsid w:val="00C14C0F"/>
    <w:rsid w:val="00C150AF"/>
    <w:rsid w:val="00C20FDB"/>
    <w:rsid w:val="00C2230A"/>
    <w:rsid w:val="00C26EC9"/>
    <w:rsid w:val="00C32D27"/>
    <w:rsid w:val="00C32DB9"/>
    <w:rsid w:val="00C331E5"/>
    <w:rsid w:val="00C34006"/>
    <w:rsid w:val="00C359FF"/>
    <w:rsid w:val="00C36A7B"/>
    <w:rsid w:val="00C37469"/>
    <w:rsid w:val="00C426B1"/>
    <w:rsid w:val="00C435AF"/>
    <w:rsid w:val="00C43685"/>
    <w:rsid w:val="00C44E40"/>
    <w:rsid w:val="00C5172E"/>
    <w:rsid w:val="00C53C7C"/>
    <w:rsid w:val="00C56127"/>
    <w:rsid w:val="00C60D30"/>
    <w:rsid w:val="00C66160"/>
    <w:rsid w:val="00C67117"/>
    <w:rsid w:val="00C721AC"/>
    <w:rsid w:val="00C724E0"/>
    <w:rsid w:val="00C75F32"/>
    <w:rsid w:val="00C77D6B"/>
    <w:rsid w:val="00C80571"/>
    <w:rsid w:val="00C81CC6"/>
    <w:rsid w:val="00C83E44"/>
    <w:rsid w:val="00C84F1C"/>
    <w:rsid w:val="00C85881"/>
    <w:rsid w:val="00C85A1C"/>
    <w:rsid w:val="00C87AAF"/>
    <w:rsid w:val="00C87D3B"/>
    <w:rsid w:val="00C90319"/>
    <w:rsid w:val="00C90D6A"/>
    <w:rsid w:val="00C92DF6"/>
    <w:rsid w:val="00C94AD8"/>
    <w:rsid w:val="00CA247E"/>
    <w:rsid w:val="00CA394F"/>
    <w:rsid w:val="00CA4980"/>
    <w:rsid w:val="00CB1EA1"/>
    <w:rsid w:val="00CB438A"/>
    <w:rsid w:val="00CB5ADC"/>
    <w:rsid w:val="00CB75F0"/>
    <w:rsid w:val="00CC40BB"/>
    <w:rsid w:val="00CC65FD"/>
    <w:rsid w:val="00CC72B6"/>
    <w:rsid w:val="00CC7FA2"/>
    <w:rsid w:val="00CD0DBD"/>
    <w:rsid w:val="00CD338B"/>
    <w:rsid w:val="00CE1C9C"/>
    <w:rsid w:val="00CE4B46"/>
    <w:rsid w:val="00CE61BC"/>
    <w:rsid w:val="00CE61FB"/>
    <w:rsid w:val="00CE6DDD"/>
    <w:rsid w:val="00CE7592"/>
    <w:rsid w:val="00CF1735"/>
    <w:rsid w:val="00CF231D"/>
    <w:rsid w:val="00CF46F7"/>
    <w:rsid w:val="00D0218D"/>
    <w:rsid w:val="00D035D7"/>
    <w:rsid w:val="00D04056"/>
    <w:rsid w:val="00D0596A"/>
    <w:rsid w:val="00D067F8"/>
    <w:rsid w:val="00D11C05"/>
    <w:rsid w:val="00D12B1A"/>
    <w:rsid w:val="00D131F6"/>
    <w:rsid w:val="00D16A71"/>
    <w:rsid w:val="00D20CDE"/>
    <w:rsid w:val="00D23876"/>
    <w:rsid w:val="00D25474"/>
    <w:rsid w:val="00D25FB5"/>
    <w:rsid w:val="00D313BE"/>
    <w:rsid w:val="00D315D1"/>
    <w:rsid w:val="00D316E3"/>
    <w:rsid w:val="00D32E67"/>
    <w:rsid w:val="00D3322E"/>
    <w:rsid w:val="00D33597"/>
    <w:rsid w:val="00D351BC"/>
    <w:rsid w:val="00D35BD4"/>
    <w:rsid w:val="00D363AF"/>
    <w:rsid w:val="00D37014"/>
    <w:rsid w:val="00D4056F"/>
    <w:rsid w:val="00D4164A"/>
    <w:rsid w:val="00D419D6"/>
    <w:rsid w:val="00D43AEC"/>
    <w:rsid w:val="00D44223"/>
    <w:rsid w:val="00D4536B"/>
    <w:rsid w:val="00D46812"/>
    <w:rsid w:val="00D47238"/>
    <w:rsid w:val="00D52F53"/>
    <w:rsid w:val="00D56E9D"/>
    <w:rsid w:val="00D60D03"/>
    <w:rsid w:val="00D610F5"/>
    <w:rsid w:val="00D61D02"/>
    <w:rsid w:val="00D66244"/>
    <w:rsid w:val="00D666D9"/>
    <w:rsid w:val="00D70B07"/>
    <w:rsid w:val="00D70FE1"/>
    <w:rsid w:val="00D7132E"/>
    <w:rsid w:val="00D725F1"/>
    <w:rsid w:val="00D73643"/>
    <w:rsid w:val="00D73D6E"/>
    <w:rsid w:val="00D77330"/>
    <w:rsid w:val="00D80DF9"/>
    <w:rsid w:val="00D8112A"/>
    <w:rsid w:val="00D814CC"/>
    <w:rsid w:val="00D871E0"/>
    <w:rsid w:val="00D87B4F"/>
    <w:rsid w:val="00D90DB7"/>
    <w:rsid w:val="00D921A9"/>
    <w:rsid w:val="00D92D2B"/>
    <w:rsid w:val="00D9623F"/>
    <w:rsid w:val="00D978B4"/>
    <w:rsid w:val="00DA2529"/>
    <w:rsid w:val="00DA33FD"/>
    <w:rsid w:val="00DA5CE6"/>
    <w:rsid w:val="00DA703F"/>
    <w:rsid w:val="00DB0039"/>
    <w:rsid w:val="00DB130A"/>
    <w:rsid w:val="00DB2EBB"/>
    <w:rsid w:val="00DB432B"/>
    <w:rsid w:val="00DB6279"/>
    <w:rsid w:val="00DC0D98"/>
    <w:rsid w:val="00DC10A1"/>
    <w:rsid w:val="00DC478A"/>
    <w:rsid w:val="00DC54C8"/>
    <w:rsid w:val="00DC655F"/>
    <w:rsid w:val="00DD0AF7"/>
    <w:rsid w:val="00DD0B59"/>
    <w:rsid w:val="00DD5ADF"/>
    <w:rsid w:val="00DD5C9A"/>
    <w:rsid w:val="00DD6447"/>
    <w:rsid w:val="00DD7EBD"/>
    <w:rsid w:val="00DE00C9"/>
    <w:rsid w:val="00DE6DEE"/>
    <w:rsid w:val="00DF4AC1"/>
    <w:rsid w:val="00DF4D87"/>
    <w:rsid w:val="00DF4EAA"/>
    <w:rsid w:val="00DF5B38"/>
    <w:rsid w:val="00DF62B6"/>
    <w:rsid w:val="00E05820"/>
    <w:rsid w:val="00E070E6"/>
    <w:rsid w:val="00E07225"/>
    <w:rsid w:val="00E10E62"/>
    <w:rsid w:val="00E14711"/>
    <w:rsid w:val="00E154DF"/>
    <w:rsid w:val="00E1629D"/>
    <w:rsid w:val="00E17056"/>
    <w:rsid w:val="00E26A83"/>
    <w:rsid w:val="00E31130"/>
    <w:rsid w:val="00E35149"/>
    <w:rsid w:val="00E37390"/>
    <w:rsid w:val="00E45442"/>
    <w:rsid w:val="00E469CC"/>
    <w:rsid w:val="00E5033E"/>
    <w:rsid w:val="00E5114F"/>
    <w:rsid w:val="00E51158"/>
    <w:rsid w:val="00E525A0"/>
    <w:rsid w:val="00E5409F"/>
    <w:rsid w:val="00E5484A"/>
    <w:rsid w:val="00E55AAF"/>
    <w:rsid w:val="00E5635C"/>
    <w:rsid w:val="00E62276"/>
    <w:rsid w:val="00E6230E"/>
    <w:rsid w:val="00E6366F"/>
    <w:rsid w:val="00E65353"/>
    <w:rsid w:val="00E67550"/>
    <w:rsid w:val="00E67D54"/>
    <w:rsid w:val="00E7267D"/>
    <w:rsid w:val="00E72CFA"/>
    <w:rsid w:val="00E73A58"/>
    <w:rsid w:val="00E74944"/>
    <w:rsid w:val="00E77AB0"/>
    <w:rsid w:val="00E77FEE"/>
    <w:rsid w:val="00E810BD"/>
    <w:rsid w:val="00E828CD"/>
    <w:rsid w:val="00E8520A"/>
    <w:rsid w:val="00E90896"/>
    <w:rsid w:val="00E9226F"/>
    <w:rsid w:val="00E94877"/>
    <w:rsid w:val="00E97CBD"/>
    <w:rsid w:val="00EA2646"/>
    <w:rsid w:val="00EB46AE"/>
    <w:rsid w:val="00EB61C8"/>
    <w:rsid w:val="00EB657C"/>
    <w:rsid w:val="00EC115C"/>
    <w:rsid w:val="00EC1CD0"/>
    <w:rsid w:val="00EC1D38"/>
    <w:rsid w:val="00EC346A"/>
    <w:rsid w:val="00EC413B"/>
    <w:rsid w:val="00EC5C0B"/>
    <w:rsid w:val="00ED5113"/>
    <w:rsid w:val="00EE2FF9"/>
    <w:rsid w:val="00EE3B45"/>
    <w:rsid w:val="00EE6488"/>
    <w:rsid w:val="00EE6E57"/>
    <w:rsid w:val="00EF11A3"/>
    <w:rsid w:val="00EF1C59"/>
    <w:rsid w:val="00EF2509"/>
    <w:rsid w:val="00EF3296"/>
    <w:rsid w:val="00F01EB0"/>
    <w:rsid w:val="00F021FA"/>
    <w:rsid w:val="00F03E5D"/>
    <w:rsid w:val="00F06C32"/>
    <w:rsid w:val="00F11224"/>
    <w:rsid w:val="00F1407F"/>
    <w:rsid w:val="00F14E51"/>
    <w:rsid w:val="00F15C0C"/>
    <w:rsid w:val="00F15C27"/>
    <w:rsid w:val="00F168E3"/>
    <w:rsid w:val="00F213E4"/>
    <w:rsid w:val="00F23670"/>
    <w:rsid w:val="00F23B6F"/>
    <w:rsid w:val="00F27C3C"/>
    <w:rsid w:val="00F32E15"/>
    <w:rsid w:val="00F332C4"/>
    <w:rsid w:val="00F354B4"/>
    <w:rsid w:val="00F35E55"/>
    <w:rsid w:val="00F363B4"/>
    <w:rsid w:val="00F364F8"/>
    <w:rsid w:val="00F372B1"/>
    <w:rsid w:val="00F4015E"/>
    <w:rsid w:val="00F40666"/>
    <w:rsid w:val="00F40F33"/>
    <w:rsid w:val="00F42720"/>
    <w:rsid w:val="00F44F89"/>
    <w:rsid w:val="00F45F68"/>
    <w:rsid w:val="00F50A36"/>
    <w:rsid w:val="00F53CAF"/>
    <w:rsid w:val="00F54878"/>
    <w:rsid w:val="00F54F3D"/>
    <w:rsid w:val="00F56263"/>
    <w:rsid w:val="00F56B25"/>
    <w:rsid w:val="00F62E97"/>
    <w:rsid w:val="00F64209"/>
    <w:rsid w:val="00F70B30"/>
    <w:rsid w:val="00F71CCB"/>
    <w:rsid w:val="00F72BA5"/>
    <w:rsid w:val="00F736D7"/>
    <w:rsid w:val="00F74F57"/>
    <w:rsid w:val="00F76104"/>
    <w:rsid w:val="00F76269"/>
    <w:rsid w:val="00F80642"/>
    <w:rsid w:val="00F81A42"/>
    <w:rsid w:val="00F82FEA"/>
    <w:rsid w:val="00F83BEE"/>
    <w:rsid w:val="00F86D44"/>
    <w:rsid w:val="00F86E47"/>
    <w:rsid w:val="00F876E5"/>
    <w:rsid w:val="00F925A7"/>
    <w:rsid w:val="00F93BF5"/>
    <w:rsid w:val="00F95A57"/>
    <w:rsid w:val="00F95E36"/>
    <w:rsid w:val="00FA0CE1"/>
    <w:rsid w:val="00FA37F9"/>
    <w:rsid w:val="00FA74B1"/>
    <w:rsid w:val="00FA7EE6"/>
    <w:rsid w:val="00FB0B85"/>
    <w:rsid w:val="00FB168E"/>
    <w:rsid w:val="00FB51B8"/>
    <w:rsid w:val="00FC33D6"/>
    <w:rsid w:val="00FC3EB0"/>
    <w:rsid w:val="00FC6159"/>
    <w:rsid w:val="00FC7476"/>
    <w:rsid w:val="00FD025F"/>
    <w:rsid w:val="00FD29E8"/>
    <w:rsid w:val="00FD37E6"/>
    <w:rsid w:val="00FD60E0"/>
    <w:rsid w:val="00FE0CB9"/>
    <w:rsid w:val="00FE12B8"/>
    <w:rsid w:val="00FE1B66"/>
    <w:rsid w:val="00FE5A9C"/>
    <w:rsid w:val="00FF425B"/>
    <w:rsid w:val="00FF5B12"/>
    <w:rsid w:val="01006AF9"/>
    <w:rsid w:val="01A4B9C1"/>
    <w:rsid w:val="03064245"/>
    <w:rsid w:val="066D703F"/>
    <w:rsid w:val="06792703"/>
    <w:rsid w:val="06E48517"/>
    <w:rsid w:val="0AECD013"/>
    <w:rsid w:val="0B669469"/>
    <w:rsid w:val="0ED67A32"/>
    <w:rsid w:val="0F8E2EE0"/>
    <w:rsid w:val="1493FA5A"/>
    <w:rsid w:val="182C8787"/>
    <w:rsid w:val="19C11E80"/>
    <w:rsid w:val="1A1EBB84"/>
    <w:rsid w:val="1B32CA11"/>
    <w:rsid w:val="1ED93816"/>
    <w:rsid w:val="201D9196"/>
    <w:rsid w:val="20E05AF8"/>
    <w:rsid w:val="210147A7"/>
    <w:rsid w:val="24808539"/>
    <w:rsid w:val="24CA9B94"/>
    <w:rsid w:val="24E28A69"/>
    <w:rsid w:val="25444ABA"/>
    <w:rsid w:val="2553B491"/>
    <w:rsid w:val="2696CE0E"/>
    <w:rsid w:val="26995EBF"/>
    <w:rsid w:val="269EBB94"/>
    <w:rsid w:val="2870A4F2"/>
    <w:rsid w:val="2B412793"/>
    <w:rsid w:val="2C5B5C43"/>
    <w:rsid w:val="2D8AD36C"/>
    <w:rsid w:val="2E258BE7"/>
    <w:rsid w:val="348EEE4E"/>
    <w:rsid w:val="349B31F2"/>
    <w:rsid w:val="35F73568"/>
    <w:rsid w:val="36EE7998"/>
    <w:rsid w:val="379BEF6E"/>
    <w:rsid w:val="380816D0"/>
    <w:rsid w:val="381DBDF0"/>
    <w:rsid w:val="3C25AEDD"/>
    <w:rsid w:val="3DEA4EDB"/>
    <w:rsid w:val="3EDCE2DE"/>
    <w:rsid w:val="3FF08036"/>
    <w:rsid w:val="4774AEC5"/>
    <w:rsid w:val="487FBD82"/>
    <w:rsid w:val="496F67C0"/>
    <w:rsid w:val="4B413BEE"/>
    <w:rsid w:val="4BA0C698"/>
    <w:rsid w:val="4C83267B"/>
    <w:rsid w:val="4CDB1411"/>
    <w:rsid w:val="4F87FCAC"/>
    <w:rsid w:val="51A79F60"/>
    <w:rsid w:val="56191D61"/>
    <w:rsid w:val="56DA03B5"/>
    <w:rsid w:val="59B7813A"/>
    <w:rsid w:val="5A1B8A3B"/>
    <w:rsid w:val="5A2676B6"/>
    <w:rsid w:val="5A43F436"/>
    <w:rsid w:val="5D8975D0"/>
    <w:rsid w:val="5E6C6293"/>
    <w:rsid w:val="5F1C9058"/>
    <w:rsid w:val="6011E5E7"/>
    <w:rsid w:val="6141517D"/>
    <w:rsid w:val="62256D30"/>
    <w:rsid w:val="6265A95A"/>
    <w:rsid w:val="62A82C3E"/>
    <w:rsid w:val="639FF5D8"/>
    <w:rsid w:val="646F01E3"/>
    <w:rsid w:val="647CEE4E"/>
    <w:rsid w:val="65CD3BFB"/>
    <w:rsid w:val="66623D92"/>
    <w:rsid w:val="66D0D8FF"/>
    <w:rsid w:val="6707C6DD"/>
    <w:rsid w:val="6776888D"/>
    <w:rsid w:val="6A2F5ABD"/>
    <w:rsid w:val="6AE7CF1C"/>
    <w:rsid w:val="6B5EEE8C"/>
    <w:rsid w:val="6C13AEDD"/>
    <w:rsid w:val="6C938426"/>
    <w:rsid w:val="6D63BF21"/>
    <w:rsid w:val="6E3D202F"/>
    <w:rsid w:val="70DBC34B"/>
    <w:rsid w:val="717894C7"/>
    <w:rsid w:val="7266636D"/>
    <w:rsid w:val="726DEB51"/>
    <w:rsid w:val="7373432A"/>
    <w:rsid w:val="738627C3"/>
    <w:rsid w:val="7421DC5D"/>
    <w:rsid w:val="7478E304"/>
    <w:rsid w:val="74980A46"/>
    <w:rsid w:val="7571397E"/>
    <w:rsid w:val="7633432F"/>
    <w:rsid w:val="77441463"/>
    <w:rsid w:val="7A01E959"/>
    <w:rsid w:val="7AC3B69C"/>
    <w:rsid w:val="7B783984"/>
    <w:rsid w:val="7B8F7340"/>
    <w:rsid w:val="7C84C9CA"/>
    <w:rsid w:val="7DE2C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4:docId w14:val="0F20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BB"/>
    <w:pPr>
      <w:widowControl w:val="0"/>
    </w:pPr>
    <w:rPr>
      <w:snapToGrid w:val="0"/>
      <w:kern w:val="28"/>
      <w:sz w:val="22"/>
    </w:rPr>
  </w:style>
  <w:style w:type="paragraph" w:styleId="Heading1">
    <w:name w:val="heading 1"/>
    <w:basedOn w:val="Normal"/>
    <w:next w:val="ParaNum"/>
    <w:link w:val="Heading1Char"/>
    <w:qFormat/>
    <w:rsid w:val="004E38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E38BB"/>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4E38B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4E38BB"/>
    <w:pPr>
      <w:keepNext/>
      <w:numPr>
        <w:ilvl w:val="3"/>
        <w:numId w:val="3"/>
      </w:numPr>
      <w:tabs>
        <w:tab w:val="left" w:pos="2880"/>
      </w:tabs>
      <w:spacing w:after="120"/>
      <w:outlineLvl w:val="3"/>
    </w:pPr>
    <w:rPr>
      <w:b/>
    </w:rPr>
  </w:style>
  <w:style w:type="paragraph" w:styleId="Heading5">
    <w:name w:val="heading 5"/>
    <w:basedOn w:val="Normal"/>
    <w:next w:val="ParaNum"/>
    <w:qFormat/>
    <w:rsid w:val="004E38B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E38BB"/>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4E38B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E38B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4E38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38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38BB"/>
  </w:style>
  <w:style w:type="paragraph" w:customStyle="1" w:styleId="ParaNum">
    <w:name w:val="ParaNum"/>
    <w:basedOn w:val="Normal"/>
    <w:link w:val="ParaNumChar"/>
    <w:rsid w:val="004E38BB"/>
    <w:pPr>
      <w:numPr>
        <w:numId w:val="2"/>
      </w:numPr>
      <w:tabs>
        <w:tab w:val="clear" w:pos="1080"/>
        <w:tab w:val="num" w:pos="1440"/>
      </w:tabs>
      <w:spacing w:after="120"/>
    </w:pPr>
  </w:style>
  <w:style w:type="paragraph" w:styleId="EndnoteText">
    <w:name w:val="endnote text"/>
    <w:basedOn w:val="Normal"/>
    <w:semiHidden/>
    <w:rsid w:val="004E38BB"/>
    <w:rPr>
      <w:sz w:val="20"/>
    </w:rPr>
  </w:style>
  <w:style w:type="character" w:styleId="EndnoteReference">
    <w:name w:val="endnote reference"/>
    <w:semiHidden/>
    <w:rsid w:val="004E38BB"/>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4E38BB"/>
    <w:pPr>
      <w:spacing w:after="120"/>
    </w:pPr>
  </w:style>
  <w:style w:type="character" w:styleId="FootnoteReference">
    <w:name w:val="footnote reference"/>
    <w:aliases w:val="Appel note de bas de p,Style 12,(NECG) Footnote Reference,Style 124,o,fr,Style 3,Style 17,FR,Style 13,Style 6,Footnote Reference/,Footnote Reference1,Style 7"/>
    <w:rsid w:val="004E38BB"/>
    <w:rPr>
      <w:rFonts w:ascii="Times New Roman" w:hAnsi="Times New Roman"/>
      <w:dstrike w:val="0"/>
      <w:color w:val="auto"/>
      <w:sz w:val="20"/>
      <w:vertAlign w:val="superscript"/>
    </w:rPr>
  </w:style>
  <w:style w:type="paragraph" w:styleId="TOC1">
    <w:name w:val="toc 1"/>
    <w:basedOn w:val="Normal"/>
    <w:next w:val="Normal"/>
    <w:rsid w:val="004E38BB"/>
    <w:pPr>
      <w:tabs>
        <w:tab w:val="left" w:pos="360"/>
        <w:tab w:val="right" w:leader="dot" w:pos="9360"/>
      </w:tabs>
      <w:suppressAutoHyphens/>
      <w:ind w:left="360" w:right="720" w:hanging="360"/>
    </w:pPr>
    <w:rPr>
      <w:caps/>
      <w:noProof/>
    </w:rPr>
  </w:style>
  <w:style w:type="paragraph" w:styleId="TOC2">
    <w:name w:val="toc 2"/>
    <w:basedOn w:val="Normal"/>
    <w:next w:val="Normal"/>
    <w:rsid w:val="004E38BB"/>
    <w:pPr>
      <w:tabs>
        <w:tab w:val="left" w:pos="720"/>
        <w:tab w:val="right" w:leader="dot" w:pos="9360"/>
      </w:tabs>
      <w:suppressAutoHyphens/>
      <w:ind w:left="720" w:right="720" w:hanging="360"/>
    </w:pPr>
    <w:rPr>
      <w:noProof/>
    </w:rPr>
  </w:style>
  <w:style w:type="paragraph" w:styleId="TOC3">
    <w:name w:val="toc 3"/>
    <w:basedOn w:val="Normal"/>
    <w:next w:val="Normal"/>
    <w:rsid w:val="004E38B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38B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38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38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38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38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38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38BB"/>
    <w:pPr>
      <w:tabs>
        <w:tab w:val="right" w:pos="9360"/>
      </w:tabs>
      <w:suppressAutoHyphens/>
    </w:pPr>
  </w:style>
  <w:style w:type="character" w:customStyle="1" w:styleId="EquationCaption">
    <w:name w:val="_Equation Caption"/>
    <w:rsid w:val="004E38BB"/>
  </w:style>
  <w:style w:type="paragraph" w:styleId="Header">
    <w:name w:val="header"/>
    <w:basedOn w:val="Normal"/>
    <w:link w:val="HeaderChar"/>
    <w:autoRedefine/>
    <w:rsid w:val="004E38BB"/>
    <w:pPr>
      <w:tabs>
        <w:tab w:val="center" w:pos="4680"/>
        <w:tab w:val="right" w:pos="9360"/>
      </w:tabs>
    </w:pPr>
    <w:rPr>
      <w:b/>
    </w:rPr>
  </w:style>
  <w:style w:type="paragraph" w:styleId="Footer">
    <w:name w:val="footer"/>
    <w:basedOn w:val="Normal"/>
    <w:link w:val="FooterChar"/>
    <w:rsid w:val="004E38BB"/>
    <w:pPr>
      <w:tabs>
        <w:tab w:val="center" w:pos="4320"/>
        <w:tab w:val="right" w:pos="8640"/>
      </w:tabs>
    </w:pPr>
  </w:style>
  <w:style w:type="character" w:styleId="PageNumber">
    <w:name w:val="page number"/>
    <w:basedOn w:val="DefaultParagraphFont"/>
    <w:rsid w:val="004E38BB"/>
  </w:style>
  <w:style w:type="paragraph" w:styleId="BlockText">
    <w:name w:val="Block Text"/>
    <w:basedOn w:val="Normal"/>
    <w:rsid w:val="004E38BB"/>
    <w:pPr>
      <w:spacing w:after="240"/>
      <w:ind w:left="1440" w:right="1440"/>
    </w:pPr>
  </w:style>
  <w:style w:type="paragraph" w:customStyle="1" w:styleId="Paratitle">
    <w:name w:val="Para title"/>
    <w:basedOn w:val="Normal"/>
    <w:rsid w:val="004E38BB"/>
    <w:pPr>
      <w:tabs>
        <w:tab w:val="center" w:pos="9270"/>
      </w:tabs>
      <w:spacing w:after="240"/>
    </w:pPr>
    <w:rPr>
      <w:spacing w:val="-2"/>
    </w:rPr>
  </w:style>
  <w:style w:type="paragraph" w:customStyle="1" w:styleId="Bullet">
    <w:name w:val="Bullet"/>
    <w:basedOn w:val="Normal"/>
    <w:rsid w:val="004E38BB"/>
    <w:pPr>
      <w:tabs>
        <w:tab w:val="left" w:pos="2160"/>
      </w:tabs>
      <w:spacing w:after="220"/>
      <w:ind w:left="2160" w:hanging="720"/>
    </w:pPr>
  </w:style>
  <w:style w:type="paragraph" w:customStyle="1" w:styleId="TableFormat">
    <w:name w:val="TableFormat"/>
    <w:basedOn w:val="Bullet"/>
    <w:rsid w:val="004E38BB"/>
    <w:pPr>
      <w:tabs>
        <w:tab w:val="clear" w:pos="2160"/>
        <w:tab w:val="left" w:pos="5040"/>
      </w:tabs>
      <w:ind w:left="5040" w:hanging="3600"/>
    </w:pPr>
  </w:style>
  <w:style w:type="paragraph" w:customStyle="1" w:styleId="TOCTitle">
    <w:name w:val="TOC Title"/>
    <w:basedOn w:val="Normal"/>
    <w:rsid w:val="004E38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38BB"/>
    <w:pPr>
      <w:jc w:val="center"/>
    </w:pPr>
    <w:rPr>
      <w:rFonts w:ascii="Times New Roman Bold" w:hAnsi="Times New Roman Bold"/>
      <w:b/>
      <w:bCs/>
      <w:caps/>
      <w:szCs w:val="22"/>
    </w:rPr>
  </w:style>
  <w:style w:type="character" w:styleId="Hyperlink">
    <w:name w:val="Hyperlink"/>
    <w:rsid w:val="004E38BB"/>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526C64"/>
  </w:style>
  <w:style w:type="character" w:customStyle="1" w:styleId="ParaNumChar">
    <w:name w:val="ParaNum Char"/>
    <w:link w:val="ParaNum"/>
    <w:locked/>
    <w:rsid w:val="00526C64"/>
    <w:rPr>
      <w:snapToGrid w:val="0"/>
      <w:kern w:val="28"/>
      <w:sz w:val="22"/>
    </w:rPr>
  </w:style>
  <w:style w:type="character" w:customStyle="1" w:styleId="Heading1Char">
    <w:name w:val="Heading 1 Char"/>
    <w:basedOn w:val="DefaultParagraphFont"/>
    <w:link w:val="Heading1"/>
    <w:rsid w:val="003155AD"/>
    <w:rPr>
      <w:rFonts w:ascii="Times New Roman Bold" w:hAnsi="Times New Roman Bold"/>
      <w:b/>
      <w:caps/>
      <w:snapToGrid w:val="0"/>
      <w:kern w:val="28"/>
      <w:sz w:val="22"/>
    </w:rPr>
  </w:style>
  <w:style w:type="character" w:styleId="CommentReference">
    <w:name w:val="annotation reference"/>
    <w:basedOn w:val="DefaultParagraphFont"/>
    <w:rsid w:val="002F339B"/>
    <w:rPr>
      <w:sz w:val="16"/>
      <w:szCs w:val="16"/>
    </w:rPr>
  </w:style>
  <w:style w:type="paragraph" w:styleId="CommentText">
    <w:name w:val="annotation text"/>
    <w:basedOn w:val="Normal"/>
    <w:link w:val="CommentTextChar"/>
    <w:rsid w:val="002F339B"/>
    <w:rPr>
      <w:sz w:val="20"/>
    </w:rPr>
  </w:style>
  <w:style w:type="character" w:customStyle="1" w:styleId="CommentTextChar">
    <w:name w:val="Comment Text Char"/>
    <w:basedOn w:val="DefaultParagraphFont"/>
    <w:link w:val="CommentText"/>
    <w:rsid w:val="002F339B"/>
    <w:rPr>
      <w:snapToGrid w:val="0"/>
      <w:kern w:val="28"/>
    </w:rPr>
  </w:style>
  <w:style w:type="paragraph" w:styleId="CommentSubject">
    <w:name w:val="annotation subject"/>
    <w:basedOn w:val="CommentText"/>
    <w:next w:val="CommentText"/>
    <w:link w:val="CommentSubjectChar"/>
    <w:rsid w:val="002F339B"/>
    <w:rPr>
      <w:b/>
      <w:bCs/>
    </w:rPr>
  </w:style>
  <w:style w:type="character" w:customStyle="1" w:styleId="CommentSubjectChar">
    <w:name w:val="Comment Subject Char"/>
    <w:basedOn w:val="CommentTextChar"/>
    <w:link w:val="CommentSubject"/>
    <w:rsid w:val="002F339B"/>
    <w:rPr>
      <w:b/>
      <w:bCs/>
      <w:snapToGrid w:val="0"/>
      <w:kern w:val="28"/>
    </w:rPr>
  </w:style>
  <w:style w:type="paragraph" w:styleId="BalloonText">
    <w:name w:val="Balloon Text"/>
    <w:basedOn w:val="Normal"/>
    <w:link w:val="BalloonTextChar"/>
    <w:rsid w:val="002F339B"/>
    <w:rPr>
      <w:rFonts w:ascii="Segoe UI" w:hAnsi="Segoe UI" w:cs="Segoe UI"/>
      <w:sz w:val="18"/>
      <w:szCs w:val="18"/>
    </w:rPr>
  </w:style>
  <w:style w:type="character" w:customStyle="1" w:styleId="BalloonTextChar">
    <w:name w:val="Balloon Text Char"/>
    <w:basedOn w:val="DefaultParagraphFont"/>
    <w:link w:val="BalloonText"/>
    <w:rsid w:val="002F339B"/>
    <w:rPr>
      <w:rFonts w:ascii="Segoe UI" w:hAnsi="Segoe UI" w:cs="Segoe UI"/>
      <w:snapToGrid w:val="0"/>
      <w:kern w:val="28"/>
      <w:sz w:val="18"/>
      <w:szCs w:val="18"/>
    </w:rPr>
  </w:style>
  <w:style w:type="character" w:customStyle="1" w:styleId="Heading2Char">
    <w:name w:val="Heading 2 Char"/>
    <w:link w:val="Heading2"/>
    <w:rsid w:val="00B556EB"/>
    <w:rPr>
      <w:b/>
      <w:snapToGrid w:val="0"/>
      <w:kern w:val="28"/>
      <w:sz w:val="22"/>
    </w:rPr>
  </w:style>
  <w:style w:type="character" w:customStyle="1" w:styleId="FooterChar">
    <w:name w:val="Footer Char"/>
    <w:link w:val="Footer"/>
    <w:rsid w:val="00A9728E"/>
    <w:rPr>
      <w:snapToGrid w:val="0"/>
      <w:kern w:val="28"/>
      <w:sz w:val="22"/>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A9728E"/>
    <w:rPr>
      <w:snapToGrid w:val="0"/>
      <w:kern w:val="28"/>
      <w:lang w:val="en-US" w:eastAsia="en-US"/>
    </w:rPr>
  </w:style>
  <w:style w:type="paragraph" w:customStyle="1" w:styleId="StyleParaNumItalic">
    <w:name w:val="Style ParaNum + Italic"/>
    <w:basedOn w:val="ParaNum"/>
    <w:link w:val="StyleParaNumItalicChar"/>
    <w:rsid w:val="00A9728E"/>
    <w:pPr>
      <w:tabs>
        <w:tab w:val="left" w:pos="1440"/>
      </w:tabs>
      <w:spacing w:after="240"/>
    </w:pPr>
    <w:rPr>
      <w:i/>
      <w:iCs/>
      <w:snapToGrid/>
    </w:rPr>
  </w:style>
  <w:style w:type="character" w:customStyle="1" w:styleId="StyleParaNumItalicChar">
    <w:name w:val="Style ParaNum + Italic Char"/>
    <w:link w:val="StyleParaNumItalic"/>
    <w:locked/>
    <w:rsid w:val="00A9728E"/>
    <w:rPr>
      <w:i/>
      <w:iCs/>
      <w:kern w:val="28"/>
      <w:sz w:val="22"/>
    </w:rPr>
  </w:style>
  <w:style w:type="paragraph" w:styleId="Revision">
    <w:name w:val="Revision"/>
    <w:hidden/>
    <w:uiPriority w:val="99"/>
    <w:semiHidden/>
    <w:rsid w:val="001860C1"/>
    <w:rPr>
      <w:snapToGrid w:val="0"/>
      <w:kern w:val="28"/>
      <w:sz w:val="22"/>
    </w:rPr>
  </w:style>
  <w:style w:type="character" w:customStyle="1" w:styleId="HeaderChar">
    <w:name w:val="Header Char"/>
    <w:basedOn w:val="DefaultParagraphFont"/>
    <w:link w:val="Header"/>
    <w:rsid w:val="0009315E"/>
    <w:rPr>
      <w:b/>
      <w:snapToGrid w:val="0"/>
      <w:kern w:val="28"/>
      <w:sz w:val="22"/>
    </w:rPr>
  </w:style>
  <w:style w:type="paragraph" w:styleId="ListParagraph">
    <w:name w:val="List Paragraph"/>
    <w:basedOn w:val="Normal"/>
    <w:uiPriority w:val="34"/>
    <w:qFormat/>
    <w:rsid w:val="0009315E"/>
    <w:pPr>
      <w:ind w:left="720"/>
      <w:contextualSpacing/>
    </w:pPr>
  </w:style>
  <w:style w:type="character" w:customStyle="1" w:styleId="FootnoteTextCharChar4Char">
    <w:name w:val="Footnote Text Char Char4 Char"/>
    <w:aliases w:val="Footnote Text Char1 Char3 Char Char,Footnote Text Char Char4 Char Char Char,Footnote Text Char5 Char Char Char Char Char,Footnote Text Char4 Char Char Char2 Char Char Char"/>
    <w:basedOn w:val="DefaultParagraphFont"/>
    <w:semiHidden/>
    <w:rsid w:val="000A5F98"/>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A70FB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BB"/>
    <w:pPr>
      <w:widowControl w:val="0"/>
    </w:pPr>
    <w:rPr>
      <w:snapToGrid w:val="0"/>
      <w:kern w:val="28"/>
      <w:sz w:val="22"/>
    </w:rPr>
  </w:style>
  <w:style w:type="paragraph" w:styleId="Heading1">
    <w:name w:val="heading 1"/>
    <w:basedOn w:val="Normal"/>
    <w:next w:val="ParaNum"/>
    <w:link w:val="Heading1Char"/>
    <w:qFormat/>
    <w:rsid w:val="004E38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E38BB"/>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4E38B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4E38BB"/>
    <w:pPr>
      <w:keepNext/>
      <w:numPr>
        <w:ilvl w:val="3"/>
        <w:numId w:val="3"/>
      </w:numPr>
      <w:tabs>
        <w:tab w:val="left" w:pos="2880"/>
      </w:tabs>
      <w:spacing w:after="120"/>
      <w:outlineLvl w:val="3"/>
    </w:pPr>
    <w:rPr>
      <w:b/>
    </w:rPr>
  </w:style>
  <w:style w:type="paragraph" w:styleId="Heading5">
    <w:name w:val="heading 5"/>
    <w:basedOn w:val="Normal"/>
    <w:next w:val="ParaNum"/>
    <w:qFormat/>
    <w:rsid w:val="004E38B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E38BB"/>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4E38B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E38B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4E38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38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38BB"/>
  </w:style>
  <w:style w:type="paragraph" w:customStyle="1" w:styleId="ParaNum">
    <w:name w:val="ParaNum"/>
    <w:basedOn w:val="Normal"/>
    <w:link w:val="ParaNumChar"/>
    <w:rsid w:val="004E38BB"/>
    <w:pPr>
      <w:numPr>
        <w:numId w:val="2"/>
      </w:numPr>
      <w:tabs>
        <w:tab w:val="clear" w:pos="1080"/>
        <w:tab w:val="num" w:pos="1440"/>
      </w:tabs>
      <w:spacing w:after="120"/>
    </w:pPr>
  </w:style>
  <w:style w:type="paragraph" w:styleId="EndnoteText">
    <w:name w:val="endnote text"/>
    <w:basedOn w:val="Normal"/>
    <w:semiHidden/>
    <w:rsid w:val="004E38BB"/>
    <w:rPr>
      <w:sz w:val="20"/>
    </w:rPr>
  </w:style>
  <w:style w:type="character" w:styleId="EndnoteReference">
    <w:name w:val="endnote reference"/>
    <w:semiHidden/>
    <w:rsid w:val="004E38BB"/>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4E38BB"/>
    <w:pPr>
      <w:spacing w:after="120"/>
    </w:pPr>
  </w:style>
  <w:style w:type="character" w:styleId="FootnoteReference">
    <w:name w:val="footnote reference"/>
    <w:aliases w:val="Appel note de bas de p,Style 12,(NECG) Footnote Reference,Style 124,o,fr,Style 3,Style 17,FR,Style 13,Style 6,Footnote Reference/,Footnote Reference1,Style 7"/>
    <w:rsid w:val="004E38BB"/>
    <w:rPr>
      <w:rFonts w:ascii="Times New Roman" w:hAnsi="Times New Roman"/>
      <w:dstrike w:val="0"/>
      <w:color w:val="auto"/>
      <w:sz w:val="20"/>
      <w:vertAlign w:val="superscript"/>
    </w:rPr>
  </w:style>
  <w:style w:type="paragraph" w:styleId="TOC1">
    <w:name w:val="toc 1"/>
    <w:basedOn w:val="Normal"/>
    <w:next w:val="Normal"/>
    <w:rsid w:val="004E38BB"/>
    <w:pPr>
      <w:tabs>
        <w:tab w:val="left" w:pos="360"/>
        <w:tab w:val="right" w:leader="dot" w:pos="9360"/>
      </w:tabs>
      <w:suppressAutoHyphens/>
      <w:ind w:left="360" w:right="720" w:hanging="360"/>
    </w:pPr>
    <w:rPr>
      <w:caps/>
      <w:noProof/>
    </w:rPr>
  </w:style>
  <w:style w:type="paragraph" w:styleId="TOC2">
    <w:name w:val="toc 2"/>
    <w:basedOn w:val="Normal"/>
    <w:next w:val="Normal"/>
    <w:rsid w:val="004E38BB"/>
    <w:pPr>
      <w:tabs>
        <w:tab w:val="left" w:pos="720"/>
        <w:tab w:val="right" w:leader="dot" w:pos="9360"/>
      </w:tabs>
      <w:suppressAutoHyphens/>
      <w:ind w:left="720" w:right="720" w:hanging="360"/>
    </w:pPr>
    <w:rPr>
      <w:noProof/>
    </w:rPr>
  </w:style>
  <w:style w:type="paragraph" w:styleId="TOC3">
    <w:name w:val="toc 3"/>
    <w:basedOn w:val="Normal"/>
    <w:next w:val="Normal"/>
    <w:rsid w:val="004E38B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38B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38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38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38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38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38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38BB"/>
    <w:pPr>
      <w:tabs>
        <w:tab w:val="right" w:pos="9360"/>
      </w:tabs>
      <w:suppressAutoHyphens/>
    </w:pPr>
  </w:style>
  <w:style w:type="character" w:customStyle="1" w:styleId="EquationCaption">
    <w:name w:val="_Equation Caption"/>
    <w:rsid w:val="004E38BB"/>
  </w:style>
  <w:style w:type="paragraph" w:styleId="Header">
    <w:name w:val="header"/>
    <w:basedOn w:val="Normal"/>
    <w:link w:val="HeaderChar"/>
    <w:autoRedefine/>
    <w:rsid w:val="004E38BB"/>
    <w:pPr>
      <w:tabs>
        <w:tab w:val="center" w:pos="4680"/>
        <w:tab w:val="right" w:pos="9360"/>
      </w:tabs>
    </w:pPr>
    <w:rPr>
      <w:b/>
    </w:rPr>
  </w:style>
  <w:style w:type="paragraph" w:styleId="Footer">
    <w:name w:val="footer"/>
    <w:basedOn w:val="Normal"/>
    <w:link w:val="FooterChar"/>
    <w:rsid w:val="004E38BB"/>
    <w:pPr>
      <w:tabs>
        <w:tab w:val="center" w:pos="4320"/>
        <w:tab w:val="right" w:pos="8640"/>
      </w:tabs>
    </w:pPr>
  </w:style>
  <w:style w:type="character" w:styleId="PageNumber">
    <w:name w:val="page number"/>
    <w:basedOn w:val="DefaultParagraphFont"/>
    <w:rsid w:val="004E38BB"/>
  </w:style>
  <w:style w:type="paragraph" w:styleId="BlockText">
    <w:name w:val="Block Text"/>
    <w:basedOn w:val="Normal"/>
    <w:rsid w:val="004E38BB"/>
    <w:pPr>
      <w:spacing w:after="240"/>
      <w:ind w:left="1440" w:right="1440"/>
    </w:pPr>
  </w:style>
  <w:style w:type="paragraph" w:customStyle="1" w:styleId="Paratitle">
    <w:name w:val="Para title"/>
    <w:basedOn w:val="Normal"/>
    <w:rsid w:val="004E38BB"/>
    <w:pPr>
      <w:tabs>
        <w:tab w:val="center" w:pos="9270"/>
      </w:tabs>
      <w:spacing w:after="240"/>
    </w:pPr>
    <w:rPr>
      <w:spacing w:val="-2"/>
    </w:rPr>
  </w:style>
  <w:style w:type="paragraph" w:customStyle="1" w:styleId="Bullet">
    <w:name w:val="Bullet"/>
    <w:basedOn w:val="Normal"/>
    <w:rsid w:val="004E38BB"/>
    <w:pPr>
      <w:tabs>
        <w:tab w:val="left" w:pos="2160"/>
      </w:tabs>
      <w:spacing w:after="220"/>
      <w:ind w:left="2160" w:hanging="720"/>
    </w:pPr>
  </w:style>
  <w:style w:type="paragraph" w:customStyle="1" w:styleId="TableFormat">
    <w:name w:val="TableFormat"/>
    <w:basedOn w:val="Bullet"/>
    <w:rsid w:val="004E38BB"/>
    <w:pPr>
      <w:tabs>
        <w:tab w:val="clear" w:pos="2160"/>
        <w:tab w:val="left" w:pos="5040"/>
      </w:tabs>
      <w:ind w:left="5040" w:hanging="3600"/>
    </w:pPr>
  </w:style>
  <w:style w:type="paragraph" w:customStyle="1" w:styleId="TOCTitle">
    <w:name w:val="TOC Title"/>
    <w:basedOn w:val="Normal"/>
    <w:rsid w:val="004E38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38BB"/>
    <w:pPr>
      <w:jc w:val="center"/>
    </w:pPr>
    <w:rPr>
      <w:rFonts w:ascii="Times New Roman Bold" w:hAnsi="Times New Roman Bold"/>
      <w:b/>
      <w:bCs/>
      <w:caps/>
      <w:szCs w:val="22"/>
    </w:rPr>
  </w:style>
  <w:style w:type="character" w:styleId="Hyperlink">
    <w:name w:val="Hyperlink"/>
    <w:rsid w:val="004E38BB"/>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526C64"/>
  </w:style>
  <w:style w:type="character" w:customStyle="1" w:styleId="ParaNumChar">
    <w:name w:val="ParaNum Char"/>
    <w:link w:val="ParaNum"/>
    <w:locked/>
    <w:rsid w:val="00526C64"/>
    <w:rPr>
      <w:snapToGrid w:val="0"/>
      <w:kern w:val="28"/>
      <w:sz w:val="22"/>
    </w:rPr>
  </w:style>
  <w:style w:type="character" w:customStyle="1" w:styleId="Heading1Char">
    <w:name w:val="Heading 1 Char"/>
    <w:basedOn w:val="DefaultParagraphFont"/>
    <w:link w:val="Heading1"/>
    <w:rsid w:val="003155AD"/>
    <w:rPr>
      <w:rFonts w:ascii="Times New Roman Bold" w:hAnsi="Times New Roman Bold"/>
      <w:b/>
      <w:caps/>
      <w:snapToGrid w:val="0"/>
      <w:kern w:val="28"/>
      <w:sz w:val="22"/>
    </w:rPr>
  </w:style>
  <w:style w:type="character" w:styleId="CommentReference">
    <w:name w:val="annotation reference"/>
    <w:basedOn w:val="DefaultParagraphFont"/>
    <w:rsid w:val="002F339B"/>
    <w:rPr>
      <w:sz w:val="16"/>
      <w:szCs w:val="16"/>
    </w:rPr>
  </w:style>
  <w:style w:type="paragraph" w:styleId="CommentText">
    <w:name w:val="annotation text"/>
    <w:basedOn w:val="Normal"/>
    <w:link w:val="CommentTextChar"/>
    <w:rsid w:val="002F339B"/>
    <w:rPr>
      <w:sz w:val="20"/>
    </w:rPr>
  </w:style>
  <w:style w:type="character" w:customStyle="1" w:styleId="CommentTextChar">
    <w:name w:val="Comment Text Char"/>
    <w:basedOn w:val="DefaultParagraphFont"/>
    <w:link w:val="CommentText"/>
    <w:rsid w:val="002F339B"/>
    <w:rPr>
      <w:snapToGrid w:val="0"/>
      <w:kern w:val="28"/>
    </w:rPr>
  </w:style>
  <w:style w:type="paragraph" w:styleId="CommentSubject">
    <w:name w:val="annotation subject"/>
    <w:basedOn w:val="CommentText"/>
    <w:next w:val="CommentText"/>
    <w:link w:val="CommentSubjectChar"/>
    <w:rsid w:val="002F339B"/>
    <w:rPr>
      <w:b/>
      <w:bCs/>
    </w:rPr>
  </w:style>
  <w:style w:type="character" w:customStyle="1" w:styleId="CommentSubjectChar">
    <w:name w:val="Comment Subject Char"/>
    <w:basedOn w:val="CommentTextChar"/>
    <w:link w:val="CommentSubject"/>
    <w:rsid w:val="002F339B"/>
    <w:rPr>
      <w:b/>
      <w:bCs/>
      <w:snapToGrid w:val="0"/>
      <w:kern w:val="28"/>
    </w:rPr>
  </w:style>
  <w:style w:type="paragraph" w:styleId="BalloonText">
    <w:name w:val="Balloon Text"/>
    <w:basedOn w:val="Normal"/>
    <w:link w:val="BalloonTextChar"/>
    <w:rsid w:val="002F339B"/>
    <w:rPr>
      <w:rFonts w:ascii="Segoe UI" w:hAnsi="Segoe UI" w:cs="Segoe UI"/>
      <w:sz w:val="18"/>
      <w:szCs w:val="18"/>
    </w:rPr>
  </w:style>
  <w:style w:type="character" w:customStyle="1" w:styleId="BalloonTextChar">
    <w:name w:val="Balloon Text Char"/>
    <w:basedOn w:val="DefaultParagraphFont"/>
    <w:link w:val="BalloonText"/>
    <w:rsid w:val="002F339B"/>
    <w:rPr>
      <w:rFonts w:ascii="Segoe UI" w:hAnsi="Segoe UI" w:cs="Segoe UI"/>
      <w:snapToGrid w:val="0"/>
      <w:kern w:val="28"/>
      <w:sz w:val="18"/>
      <w:szCs w:val="18"/>
    </w:rPr>
  </w:style>
  <w:style w:type="character" w:customStyle="1" w:styleId="Heading2Char">
    <w:name w:val="Heading 2 Char"/>
    <w:link w:val="Heading2"/>
    <w:rsid w:val="00B556EB"/>
    <w:rPr>
      <w:b/>
      <w:snapToGrid w:val="0"/>
      <w:kern w:val="28"/>
      <w:sz w:val="22"/>
    </w:rPr>
  </w:style>
  <w:style w:type="character" w:customStyle="1" w:styleId="FooterChar">
    <w:name w:val="Footer Char"/>
    <w:link w:val="Footer"/>
    <w:rsid w:val="00A9728E"/>
    <w:rPr>
      <w:snapToGrid w:val="0"/>
      <w:kern w:val="28"/>
      <w:sz w:val="22"/>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A9728E"/>
    <w:rPr>
      <w:snapToGrid w:val="0"/>
      <w:kern w:val="28"/>
      <w:lang w:val="en-US" w:eastAsia="en-US"/>
    </w:rPr>
  </w:style>
  <w:style w:type="paragraph" w:customStyle="1" w:styleId="StyleParaNumItalic">
    <w:name w:val="Style ParaNum + Italic"/>
    <w:basedOn w:val="ParaNum"/>
    <w:link w:val="StyleParaNumItalicChar"/>
    <w:rsid w:val="00A9728E"/>
    <w:pPr>
      <w:tabs>
        <w:tab w:val="left" w:pos="1440"/>
      </w:tabs>
      <w:spacing w:after="240"/>
    </w:pPr>
    <w:rPr>
      <w:i/>
      <w:iCs/>
      <w:snapToGrid/>
    </w:rPr>
  </w:style>
  <w:style w:type="character" w:customStyle="1" w:styleId="StyleParaNumItalicChar">
    <w:name w:val="Style ParaNum + Italic Char"/>
    <w:link w:val="StyleParaNumItalic"/>
    <w:locked/>
    <w:rsid w:val="00A9728E"/>
    <w:rPr>
      <w:i/>
      <w:iCs/>
      <w:kern w:val="28"/>
      <w:sz w:val="22"/>
    </w:rPr>
  </w:style>
  <w:style w:type="paragraph" w:styleId="Revision">
    <w:name w:val="Revision"/>
    <w:hidden/>
    <w:uiPriority w:val="99"/>
    <w:semiHidden/>
    <w:rsid w:val="001860C1"/>
    <w:rPr>
      <w:snapToGrid w:val="0"/>
      <w:kern w:val="28"/>
      <w:sz w:val="22"/>
    </w:rPr>
  </w:style>
  <w:style w:type="character" w:customStyle="1" w:styleId="HeaderChar">
    <w:name w:val="Header Char"/>
    <w:basedOn w:val="DefaultParagraphFont"/>
    <w:link w:val="Header"/>
    <w:rsid w:val="0009315E"/>
    <w:rPr>
      <w:b/>
      <w:snapToGrid w:val="0"/>
      <w:kern w:val="28"/>
      <w:sz w:val="22"/>
    </w:rPr>
  </w:style>
  <w:style w:type="paragraph" w:styleId="ListParagraph">
    <w:name w:val="List Paragraph"/>
    <w:basedOn w:val="Normal"/>
    <w:uiPriority w:val="34"/>
    <w:qFormat/>
    <w:rsid w:val="0009315E"/>
    <w:pPr>
      <w:ind w:left="720"/>
      <w:contextualSpacing/>
    </w:pPr>
  </w:style>
  <w:style w:type="character" w:customStyle="1" w:styleId="FootnoteTextCharChar4Char">
    <w:name w:val="Footnote Text Char Char4 Char"/>
    <w:aliases w:val="Footnote Text Char1 Char3 Char Char,Footnote Text Char Char4 Char Char Char,Footnote Text Char5 Char Char Char Char Char,Footnote Text Char4 Char Char Char2 Char Char Char"/>
    <w:basedOn w:val="DefaultParagraphFont"/>
    <w:semiHidden/>
    <w:rsid w:val="000A5F98"/>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A70F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4290">
      <w:bodyDiv w:val="1"/>
      <w:marLeft w:val="0"/>
      <w:marRight w:val="0"/>
      <w:marTop w:val="0"/>
      <w:marBottom w:val="0"/>
      <w:divBdr>
        <w:top w:val="none" w:sz="0" w:space="0" w:color="auto"/>
        <w:left w:val="none" w:sz="0" w:space="0" w:color="auto"/>
        <w:bottom w:val="none" w:sz="0" w:space="0" w:color="auto"/>
        <w:right w:val="none" w:sz="0" w:space="0" w:color="auto"/>
      </w:divBdr>
    </w:div>
    <w:div w:id="19656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2758</Words>
  <Characters>15112</Characters>
  <Application>Microsoft Office Word</Application>
  <DocSecurity>0</DocSecurity>
  <Lines>254</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2017-09-15T15:52:00Z</dcterms:created>
  <dcterms:modified xsi:type="dcterms:W3CDTF">2017-09-15T15:52:00Z</dcterms:modified>
  <cp:category> </cp:category>
  <cp:contentStatus> </cp:contentStatus>
</cp:coreProperties>
</file>