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69970" w14:textId="77777777" w:rsidR="00C5312B" w:rsidRDefault="00C5312B" w:rsidP="00AE03C4">
      <w:pPr>
        <w:jc w:val="center"/>
        <w:rPr>
          <w:b/>
        </w:rPr>
      </w:pPr>
      <w:bookmarkStart w:id="0" w:name="_GoBack"/>
      <w:bookmarkEnd w:id="0"/>
      <w:r>
        <w:rPr>
          <w:b/>
        </w:rPr>
        <w:t>Before the</w:t>
      </w:r>
    </w:p>
    <w:p w14:paraId="102951C1" w14:textId="77777777" w:rsidR="00C5312B" w:rsidRDefault="00C5312B" w:rsidP="00AE03C4">
      <w:pPr>
        <w:jc w:val="center"/>
        <w:rPr>
          <w:b/>
        </w:rPr>
      </w:pPr>
      <w:r>
        <w:rPr>
          <w:b/>
        </w:rPr>
        <w:t>Federal Communications Commission</w:t>
      </w:r>
    </w:p>
    <w:p w14:paraId="1C321A87" w14:textId="77777777" w:rsidR="00C5312B" w:rsidRDefault="00C5312B" w:rsidP="00AE03C4">
      <w:pPr>
        <w:jc w:val="center"/>
        <w:rPr>
          <w:b/>
        </w:rPr>
      </w:pPr>
      <w:r>
        <w:rPr>
          <w:b/>
        </w:rPr>
        <w:t>Washington, D.C. 20554</w:t>
      </w:r>
    </w:p>
    <w:p w14:paraId="49307679" w14:textId="77777777" w:rsidR="00C5312B" w:rsidRDefault="00C5312B" w:rsidP="00AE03C4"/>
    <w:p w14:paraId="633DDA18" w14:textId="77777777" w:rsidR="00C5312B" w:rsidRDefault="00C5312B" w:rsidP="00AE03C4"/>
    <w:tbl>
      <w:tblPr>
        <w:tblW w:w="0" w:type="auto"/>
        <w:tblLayout w:type="fixed"/>
        <w:tblLook w:val="0000" w:firstRow="0" w:lastRow="0" w:firstColumn="0" w:lastColumn="0" w:noHBand="0" w:noVBand="0"/>
      </w:tblPr>
      <w:tblGrid>
        <w:gridCol w:w="4698"/>
        <w:gridCol w:w="720"/>
        <w:gridCol w:w="4230"/>
      </w:tblGrid>
      <w:tr w:rsidR="00C5312B" w14:paraId="09829377" w14:textId="77777777">
        <w:tc>
          <w:tcPr>
            <w:tcW w:w="4698" w:type="dxa"/>
          </w:tcPr>
          <w:p w14:paraId="28CAD0C4" w14:textId="77777777" w:rsidR="003B5321" w:rsidRDefault="003B5321" w:rsidP="00AE03C4">
            <w:pPr>
              <w:ind w:right="-18"/>
            </w:pPr>
          </w:p>
          <w:p w14:paraId="07B7C4A0" w14:textId="77777777" w:rsidR="003B5321" w:rsidRDefault="003B5321" w:rsidP="00AE03C4">
            <w:pPr>
              <w:ind w:right="-18"/>
            </w:pPr>
          </w:p>
          <w:p w14:paraId="56E4B843" w14:textId="77777777" w:rsidR="00C5312B" w:rsidRDefault="00C5312B" w:rsidP="00AE03C4">
            <w:pPr>
              <w:ind w:right="-18"/>
            </w:pPr>
            <w:r>
              <w:t>In the Matter of</w:t>
            </w:r>
          </w:p>
          <w:p w14:paraId="1F7DD19C" w14:textId="77777777" w:rsidR="00C5312B" w:rsidRDefault="00C5312B" w:rsidP="00AE03C4">
            <w:pPr>
              <w:ind w:right="-18"/>
            </w:pPr>
          </w:p>
          <w:p w14:paraId="38DF1D65" w14:textId="77777777" w:rsidR="00C5312B" w:rsidRDefault="00C5312B" w:rsidP="00AE03C4">
            <w:pPr>
              <w:ind w:right="-18"/>
            </w:pPr>
            <w:r>
              <w:t>Connect America Fund</w:t>
            </w:r>
          </w:p>
          <w:p w14:paraId="62778FB8" w14:textId="77777777" w:rsidR="00C5312B" w:rsidRDefault="00C5312B" w:rsidP="00AE03C4">
            <w:pPr>
              <w:ind w:right="-18"/>
            </w:pPr>
          </w:p>
        </w:tc>
        <w:tc>
          <w:tcPr>
            <w:tcW w:w="720" w:type="dxa"/>
          </w:tcPr>
          <w:p w14:paraId="1FD1727E" w14:textId="77777777" w:rsidR="00C5312B" w:rsidRDefault="00C5312B" w:rsidP="00AE03C4">
            <w:pPr>
              <w:rPr>
                <w:b/>
              </w:rPr>
            </w:pPr>
            <w:r>
              <w:rPr>
                <w:b/>
              </w:rPr>
              <w:t>)</w:t>
            </w:r>
          </w:p>
          <w:p w14:paraId="41220DC9" w14:textId="77777777" w:rsidR="00C5312B" w:rsidRDefault="00C5312B" w:rsidP="00AE03C4">
            <w:pPr>
              <w:rPr>
                <w:b/>
              </w:rPr>
            </w:pPr>
            <w:r>
              <w:rPr>
                <w:b/>
              </w:rPr>
              <w:t>)</w:t>
            </w:r>
          </w:p>
          <w:p w14:paraId="5277B2D5" w14:textId="77777777" w:rsidR="00C5312B" w:rsidRDefault="00C5312B" w:rsidP="00AE03C4">
            <w:pPr>
              <w:rPr>
                <w:b/>
              </w:rPr>
            </w:pPr>
            <w:r>
              <w:rPr>
                <w:b/>
              </w:rPr>
              <w:t>)</w:t>
            </w:r>
          </w:p>
          <w:p w14:paraId="074F44DB" w14:textId="77777777" w:rsidR="00C5312B" w:rsidRDefault="005E773A" w:rsidP="00AE03C4">
            <w:pPr>
              <w:rPr>
                <w:b/>
              </w:rPr>
            </w:pPr>
            <w:r>
              <w:rPr>
                <w:b/>
              </w:rPr>
              <w:t>)</w:t>
            </w:r>
          </w:p>
          <w:p w14:paraId="07113AE9" w14:textId="77777777" w:rsidR="003B5321" w:rsidRDefault="003B5321" w:rsidP="00AE03C4">
            <w:pPr>
              <w:rPr>
                <w:b/>
              </w:rPr>
            </w:pPr>
            <w:r>
              <w:rPr>
                <w:b/>
              </w:rPr>
              <w:t>)</w:t>
            </w:r>
          </w:p>
          <w:p w14:paraId="190D5136" w14:textId="77777777" w:rsidR="003B5321" w:rsidRDefault="003B5321" w:rsidP="00AE03C4">
            <w:pPr>
              <w:rPr>
                <w:b/>
              </w:rPr>
            </w:pPr>
            <w:r>
              <w:rPr>
                <w:b/>
              </w:rPr>
              <w:t>)</w:t>
            </w:r>
          </w:p>
          <w:p w14:paraId="63398450" w14:textId="77777777" w:rsidR="003B5321" w:rsidRDefault="003B5321" w:rsidP="00AE03C4">
            <w:pPr>
              <w:rPr>
                <w:b/>
              </w:rPr>
            </w:pPr>
            <w:r>
              <w:rPr>
                <w:b/>
              </w:rPr>
              <w:t>)</w:t>
            </w:r>
          </w:p>
          <w:p w14:paraId="551474E9" w14:textId="76AB8644" w:rsidR="00BC68BF" w:rsidRDefault="00BC68BF" w:rsidP="00AE03C4">
            <w:pPr>
              <w:rPr>
                <w:b/>
              </w:rPr>
            </w:pPr>
          </w:p>
        </w:tc>
        <w:tc>
          <w:tcPr>
            <w:tcW w:w="4230" w:type="dxa"/>
          </w:tcPr>
          <w:p w14:paraId="0CD5FF31" w14:textId="77777777" w:rsidR="00C5312B" w:rsidRDefault="00C5312B" w:rsidP="00AE03C4"/>
          <w:p w14:paraId="08ABA789" w14:textId="77777777" w:rsidR="00C5312B" w:rsidRDefault="00C5312B" w:rsidP="00AE03C4"/>
          <w:p w14:paraId="2FFEE44D" w14:textId="77777777" w:rsidR="003B5321" w:rsidRDefault="003B5321" w:rsidP="00AE03C4">
            <w:pPr>
              <w:rPr>
                <w:spacing w:val="-2"/>
              </w:rPr>
            </w:pPr>
          </w:p>
          <w:p w14:paraId="60891DF6" w14:textId="77777777" w:rsidR="003B5321" w:rsidRDefault="003B5321" w:rsidP="00AE03C4">
            <w:pPr>
              <w:rPr>
                <w:spacing w:val="-2"/>
              </w:rPr>
            </w:pPr>
          </w:p>
          <w:p w14:paraId="3C46F71B" w14:textId="77777777" w:rsidR="00C5312B" w:rsidRDefault="00C5312B" w:rsidP="00AE03C4">
            <w:r>
              <w:rPr>
                <w:spacing w:val="-2"/>
              </w:rPr>
              <w:t>WC Docket No. 10-90</w:t>
            </w:r>
          </w:p>
        </w:tc>
      </w:tr>
    </w:tbl>
    <w:p w14:paraId="715FE8BC" w14:textId="2EF135D9" w:rsidR="00C5312B" w:rsidRDefault="00C5312B" w:rsidP="009C4F29">
      <w:pPr>
        <w:spacing w:before="120"/>
        <w:jc w:val="center"/>
        <w:rPr>
          <w:b/>
        </w:rPr>
      </w:pPr>
      <w:r>
        <w:rPr>
          <w:b/>
          <w:spacing w:val="-2"/>
        </w:rPr>
        <w:t>ORDER</w:t>
      </w:r>
    </w:p>
    <w:p w14:paraId="07707075" w14:textId="77777777" w:rsidR="00C5312B" w:rsidRDefault="00C5312B" w:rsidP="00AE03C4"/>
    <w:p w14:paraId="7F96EB3A" w14:textId="67920A81" w:rsidR="00C5312B" w:rsidRDefault="00C5312B" w:rsidP="00AE03C4">
      <w:pPr>
        <w:tabs>
          <w:tab w:val="left" w:pos="5760"/>
        </w:tabs>
        <w:rPr>
          <w:b/>
        </w:rPr>
      </w:pPr>
      <w:r>
        <w:rPr>
          <w:b/>
        </w:rPr>
        <w:t xml:space="preserve">Adopted:  </w:t>
      </w:r>
      <w:r w:rsidR="00B75AA6">
        <w:rPr>
          <w:b/>
        </w:rPr>
        <w:t xml:space="preserve">October </w:t>
      </w:r>
      <w:r w:rsidR="002D7E1C">
        <w:rPr>
          <w:b/>
        </w:rPr>
        <w:t>3</w:t>
      </w:r>
      <w:r>
        <w:rPr>
          <w:b/>
        </w:rPr>
        <w:t>, 201</w:t>
      </w:r>
      <w:r w:rsidR="00295651">
        <w:rPr>
          <w:b/>
        </w:rPr>
        <w:t>7</w:t>
      </w:r>
      <w:r w:rsidR="00295651">
        <w:rPr>
          <w:b/>
        </w:rPr>
        <w:tab/>
      </w:r>
      <w:r w:rsidR="00295651">
        <w:rPr>
          <w:b/>
        </w:rPr>
        <w:tab/>
        <w:t xml:space="preserve"> Released: </w:t>
      </w:r>
      <w:r w:rsidR="005965A7">
        <w:rPr>
          <w:b/>
        </w:rPr>
        <w:t xml:space="preserve"> </w:t>
      </w:r>
      <w:r w:rsidR="00B75AA6">
        <w:rPr>
          <w:b/>
        </w:rPr>
        <w:t xml:space="preserve">October </w:t>
      </w:r>
      <w:r w:rsidR="004145E0">
        <w:rPr>
          <w:b/>
        </w:rPr>
        <w:t>4</w:t>
      </w:r>
      <w:r w:rsidR="00D65CEC">
        <w:rPr>
          <w:b/>
        </w:rPr>
        <w:t>, 2017</w:t>
      </w:r>
    </w:p>
    <w:p w14:paraId="5BCB0F26" w14:textId="77777777" w:rsidR="00C5312B" w:rsidRDefault="00C5312B" w:rsidP="00AE03C4">
      <w:pPr>
        <w:tabs>
          <w:tab w:val="left" w:pos="5760"/>
        </w:tabs>
        <w:rPr>
          <w:b/>
        </w:rPr>
      </w:pPr>
    </w:p>
    <w:p w14:paraId="1811010B" w14:textId="367B6B01" w:rsidR="00C5312B" w:rsidRDefault="00C5312B" w:rsidP="00AE03C4">
      <w:pPr>
        <w:tabs>
          <w:tab w:val="left" w:pos="5760"/>
        </w:tabs>
      </w:pPr>
      <w:r>
        <w:t xml:space="preserve">By the </w:t>
      </w:r>
      <w:r w:rsidR="00B75AA6">
        <w:t>Commission</w:t>
      </w:r>
      <w:r>
        <w:rPr>
          <w:spacing w:val="-2"/>
        </w:rPr>
        <w:t>:</w:t>
      </w:r>
      <w:r w:rsidR="00EB0501">
        <w:rPr>
          <w:spacing w:val="-2"/>
        </w:rPr>
        <w:t xml:space="preserve">  </w:t>
      </w:r>
      <w:r w:rsidR="00EB0501" w:rsidRPr="00EB0501">
        <w:rPr>
          <w:spacing w:val="-2"/>
        </w:rPr>
        <w:t>Chairman Pai and Commissioners Clyburn, O’Rielly, Carr and Rosenworcel issuing separate statements.</w:t>
      </w:r>
    </w:p>
    <w:p w14:paraId="5F61CD79" w14:textId="77777777" w:rsidR="00C5312B" w:rsidRDefault="00C5312B" w:rsidP="00AE03C4"/>
    <w:p w14:paraId="546BE857" w14:textId="77777777" w:rsidR="00F86D73" w:rsidRPr="00EF6824" w:rsidRDefault="00F86D73" w:rsidP="00151269">
      <w:pPr>
        <w:pStyle w:val="Heading1"/>
        <w:widowControl/>
      </w:pPr>
      <w:bookmarkStart w:id="1" w:name="_Toc487450645"/>
      <w:bookmarkStart w:id="2" w:name="_Toc487552678"/>
      <w:bookmarkStart w:id="3" w:name="_Toc487553963"/>
      <w:bookmarkStart w:id="4" w:name="_Toc487619794"/>
      <w:bookmarkStart w:id="5" w:name="_Toc489345725"/>
      <w:bookmarkStart w:id="6" w:name="_Toc484779499"/>
      <w:bookmarkStart w:id="7" w:name="_Toc485026097"/>
      <w:bookmarkStart w:id="8" w:name="_Toc485108655"/>
      <w:bookmarkStart w:id="9" w:name="_Toc485142644"/>
      <w:bookmarkStart w:id="10" w:name="_Toc485312842"/>
      <w:bookmarkStart w:id="11" w:name="_Toc485653028"/>
      <w:bookmarkStart w:id="12" w:name="_Toc485736902"/>
      <w:bookmarkStart w:id="13" w:name="_Toc485830539"/>
      <w:bookmarkStart w:id="14" w:name="_Toc485914094"/>
      <w:bookmarkStart w:id="15" w:name="_Toc486434284"/>
      <w:bookmarkStart w:id="16" w:name="_Toc486580243"/>
      <w:bookmarkStart w:id="17" w:name="_Toc486580488"/>
      <w:bookmarkStart w:id="18" w:name="_Toc486580613"/>
      <w:bookmarkStart w:id="19" w:name="_Toc486592709"/>
      <w:bookmarkStart w:id="20" w:name="_Toc487191737"/>
      <w:r w:rsidRPr="009D446F">
        <w:t>Introduction</w:t>
      </w:r>
      <w:bookmarkEnd w:id="1"/>
      <w:bookmarkEnd w:id="2"/>
      <w:bookmarkEnd w:id="3"/>
      <w:bookmarkEnd w:id="4"/>
      <w:bookmarkEnd w:id="5"/>
      <w:r w:rsidRPr="009D446F">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A9FA5F1" w14:textId="2D8CAE10" w:rsidR="00BB1024" w:rsidRPr="007E315A" w:rsidRDefault="00BB1024" w:rsidP="00151269">
      <w:pPr>
        <w:pStyle w:val="ParaNum"/>
        <w:widowControl/>
      </w:pPr>
      <w:r>
        <w:t xml:space="preserve">On September 20, 2017, Hurricane Maria “pounded Puerto Rico for hours as the </w:t>
      </w:r>
      <w:r w:rsidR="00CD45AC" w:rsidRPr="00AE03C4">
        <w:t>third-strongest</w:t>
      </w:r>
      <w:r>
        <w:t xml:space="preserve"> storm ever to hit a US territory.”</w:t>
      </w:r>
      <w:r w:rsidR="00EC7C25">
        <w:rPr>
          <w:rStyle w:val="FootnoteReference"/>
        </w:rPr>
        <w:footnoteReference w:id="2"/>
      </w:r>
      <w:r>
        <w:t xml:space="preserve">  Maria caused massive damage to Puerto Rico and the U.S. Virgin Islands</w:t>
      </w:r>
      <w:r w:rsidR="009F3E4E">
        <w:t xml:space="preserve"> and</w:t>
      </w:r>
      <w:r>
        <w:t xml:space="preserve"> “has had a catastrophic impact on Puerto Rico’s communications networks.”</w:t>
      </w:r>
      <w:r>
        <w:rPr>
          <w:rStyle w:val="FootnoteReference"/>
        </w:rPr>
        <w:footnoteReference w:id="3"/>
      </w:r>
      <w:r>
        <w:t xml:space="preserve">  The Commission’s Public Safety and Homeland Security Bureau reports that, as of</w:t>
      </w:r>
      <w:r w:rsidR="002C2657">
        <w:t xml:space="preserve"> October 1</w:t>
      </w:r>
      <w:r>
        <w:t xml:space="preserve">, </w:t>
      </w:r>
      <w:r w:rsidR="0038501A">
        <w:t>88.8</w:t>
      </w:r>
      <w:r>
        <w:t xml:space="preserve"> percent of cell sites were out of service in Puerto Rico and </w:t>
      </w:r>
      <w:r w:rsidR="0038501A">
        <w:t>68.9</w:t>
      </w:r>
      <w:r>
        <w:t xml:space="preserve"> percent were out of service in the U.S. Virgin Islands.</w:t>
      </w:r>
      <w:r>
        <w:rPr>
          <w:rStyle w:val="FootnoteReference"/>
        </w:rPr>
        <w:footnoteReference w:id="4"/>
      </w:r>
      <w:r>
        <w:t xml:space="preserve">  And </w:t>
      </w:r>
      <w:r w:rsidR="007543F9">
        <w:t xml:space="preserve">in both territories </w:t>
      </w:r>
      <w:r>
        <w:t xml:space="preserve">“the </w:t>
      </w:r>
      <w:r w:rsidR="00262087">
        <w:t>FCC has received reports that large percentages of consumers are without either cable services or wireline service</w:t>
      </w:r>
      <w:r w:rsidR="007543F9">
        <w:t>.”</w:t>
      </w:r>
      <w:r w:rsidR="007543F9" w:rsidRPr="007543F9">
        <w:rPr>
          <w:rStyle w:val="FootnoteReference"/>
        </w:rPr>
        <w:t xml:space="preserve"> </w:t>
      </w:r>
      <w:r w:rsidR="007543F9">
        <w:rPr>
          <w:rStyle w:val="FootnoteReference"/>
        </w:rPr>
        <w:footnoteReference w:id="5"/>
      </w:r>
    </w:p>
    <w:p w14:paraId="73D8EAE6" w14:textId="63C609CA" w:rsidR="00BB1024" w:rsidRDefault="00BB1024" w:rsidP="00151269">
      <w:pPr>
        <w:pStyle w:val="ParaNum"/>
        <w:widowControl/>
        <w:rPr>
          <w:szCs w:val="22"/>
        </w:rPr>
      </w:pPr>
      <w:r>
        <w:rPr>
          <w:szCs w:val="22"/>
        </w:rPr>
        <w:t>Restoring and repairing communications networks is critical to bringing much needed immediate relief to these heavily damaged areas</w:t>
      </w:r>
      <w:r w:rsidR="00071B25">
        <w:rPr>
          <w:szCs w:val="22"/>
        </w:rPr>
        <w:t>,</w:t>
      </w:r>
      <w:r>
        <w:rPr>
          <w:szCs w:val="22"/>
        </w:rPr>
        <w:t xml:space="preserve"> </w:t>
      </w:r>
      <w:r w:rsidR="00EC7C25">
        <w:rPr>
          <w:szCs w:val="22"/>
        </w:rPr>
        <w:t xml:space="preserve">and </w:t>
      </w:r>
      <w:r w:rsidR="00071B25">
        <w:rPr>
          <w:szCs w:val="22"/>
        </w:rPr>
        <w:t>to b</w:t>
      </w:r>
      <w:r>
        <w:rPr>
          <w:szCs w:val="22"/>
        </w:rPr>
        <w:t xml:space="preserve">eginning the long </w:t>
      </w:r>
      <w:r w:rsidR="00071B25">
        <w:rPr>
          <w:szCs w:val="22"/>
        </w:rPr>
        <w:t xml:space="preserve">road to </w:t>
      </w:r>
      <w:r>
        <w:rPr>
          <w:szCs w:val="22"/>
        </w:rPr>
        <w:t>restoring normalcy.</w:t>
      </w:r>
      <w:r w:rsidR="00EC7C25">
        <w:rPr>
          <w:szCs w:val="22"/>
        </w:rPr>
        <w:t xml:space="preserve">  We must do our part to assist in that effort.</w:t>
      </w:r>
    </w:p>
    <w:p w14:paraId="4ABD27C6" w14:textId="414E7EDD" w:rsidR="00F86D73" w:rsidRPr="009D446F" w:rsidRDefault="003373B9" w:rsidP="00151269">
      <w:pPr>
        <w:pStyle w:val="ParaNum"/>
        <w:widowControl/>
        <w:rPr>
          <w:szCs w:val="22"/>
        </w:rPr>
      </w:pPr>
      <w:r>
        <w:rPr>
          <w:szCs w:val="22"/>
        </w:rPr>
        <w:t>In this Order</w:t>
      </w:r>
      <w:r w:rsidR="00F86D73" w:rsidRPr="009D446F">
        <w:rPr>
          <w:szCs w:val="22"/>
        </w:rPr>
        <w:t xml:space="preserve">, we </w:t>
      </w:r>
      <w:r w:rsidR="00CB2FB3">
        <w:rPr>
          <w:szCs w:val="22"/>
        </w:rPr>
        <w:t xml:space="preserve">take action to make up to $76.9 million immediately available for the restoration of communications networks in Puerto Rico and the U.S. Virgin Islands.  Specifically, we </w:t>
      </w:r>
      <w:r w:rsidR="00F86D73">
        <w:rPr>
          <w:szCs w:val="22"/>
        </w:rPr>
        <w:t xml:space="preserve">clarify </w:t>
      </w:r>
      <w:r w:rsidR="007375A3">
        <w:rPr>
          <w:szCs w:val="22"/>
        </w:rPr>
        <w:t xml:space="preserve">on our own motion </w:t>
      </w:r>
      <w:r w:rsidR="00F86D73">
        <w:rPr>
          <w:szCs w:val="22"/>
        </w:rPr>
        <w:t xml:space="preserve">that </w:t>
      </w:r>
      <w:r>
        <w:rPr>
          <w:szCs w:val="22"/>
        </w:rPr>
        <w:t xml:space="preserve">eligible telecommunications </w:t>
      </w:r>
      <w:r w:rsidR="00F86D73">
        <w:rPr>
          <w:szCs w:val="22"/>
        </w:rPr>
        <w:t xml:space="preserve">carriers </w:t>
      </w:r>
      <w:r w:rsidR="00870DD0">
        <w:rPr>
          <w:szCs w:val="22"/>
        </w:rPr>
        <w:t xml:space="preserve">(ETCs) </w:t>
      </w:r>
      <w:r w:rsidR="00F86D73">
        <w:rPr>
          <w:szCs w:val="22"/>
        </w:rPr>
        <w:t>operating in Puerto Rico and the U.S. Virgin Islands may</w:t>
      </w:r>
      <w:r w:rsidR="007375A3">
        <w:rPr>
          <w:szCs w:val="22"/>
        </w:rPr>
        <w:t>, consistent with their statutory obligations,</w:t>
      </w:r>
      <w:r w:rsidR="00F86D73">
        <w:rPr>
          <w:szCs w:val="22"/>
        </w:rPr>
        <w:t xml:space="preserve"> use high-cost </w:t>
      </w:r>
      <w:r w:rsidR="00B12145">
        <w:rPr>
          <w:szCs w:val="22"/>
        </w:rPr>
        <w:t xml:space="preserve">universal service </w:t>
      </w:r>
      <w:r w:rsidR="00F86D73">
        <w:rPr>
          <w:szCs w:val="22"/>
        </w:rPr>
        <w:t>support</w:t>
      </w:r>
      <w:r w:rsidR="00EE1AE2">
        <w:rPr>
          <w:szCs w:val="22"/>
        </w:rPr>
        <w:t xml:space="preserve"> that they are currently receiving</w:t>
      </w:r>
      <w:r w:rsidR="00F86D73">
        <w:rPr>
          <w:szCs w:val="22"/>
        </w:rPr>
        <w:t xml:space="preserve"> </w:t>
      </w:r>
      <w:r w:rsidR="00D213A8">
        <w:rPr>
          <w:szCs w:val="22"/>
        </w:rPr>
        <w:t xml:space="preserve">in order to </w:t>
      </w:r>
      <w:r w:rsidR="00B3579D">
        <w:rPr>
          <w:szCs w:val="22"/>
        </w:rPr>
        <w:t xml:space="preserve">repair </w:t>
      </w:r>
      <w:r w:rsidR="009F3E4E">
        <w:rPr>
          <w:szCs w:val="22"/>
        </w:rPr>
        <w:t xml:space="preserve">and maintain </w:t>
      </w:r>
      <w:r w:rsidR="00B3579D">
        <w:rPr>
          <w:szCs w:val="22"/>
        </w:rPr>
        <w:t xml:space="preserve">telecommunications infrastructure damaged by Hurricane Maria </w:t>
      </w:r>
      <w:r w:rsidR="00417A5C">
        <w:rPr>
          <w:szCs w:val="22"/>
        </w:rPr>
        <w:t xml:space="preserve">and </w:t>
      </w:r>
      <w:r w:rsidR="00D213A8">
        <w:rPr>
          <w:szCs w:val="22"/>
        </w:rPr>
        <w:t>thus provide</w:t>
      </w:r>
      <w:r w:rsidR="007375A3">
        <w:rPr>
          <w:szCs w:val="22"/>
        </w:rPr>
        <w:t xml:space="preserve"> service to consumers</w:t>
      </w:r>
      <w:r>
        <w:rPr>
          <w:szCs w:val="22"/>
        </w:rPr>
        <w:t xml:space="preserve">, and </w:t>
      </w:r>
      <w:r w:rsidR="007375A3">
        <w:rPr>
          <w:szCs w:val="22"/>
        </w:rPr>
        <w:t xml:space="preserve">we </w:t>
      </w:r>
      <w:r>
        <w:rPr>
          <w:szCs w:val="22"/>
        </w:rPr>
        <w:t xml:space="preserve">waive </w:t>
      </w:r>
      <w:r w:rsidR="004816A0">
        <w:rPr>
          <w:szCs w:val="22"/>
        </w:rPr>
        <w:t xml:space="preserve">on our own motion </w:t>
      </w:r>
      <w:r>
        <w:rPr>
          <w:szCs w:val="22"/>
        </w:rPr>
        <w:t xml:space="preserve">certain programmatic </w:t>
      </w:r>
      <w:r w:rsidR="000B5FEE">
        <w:rPr>
          <w:szCs w:val="22"/>
        </w:rPr>
        <w:t>requirements</w:t>
      </w:r>
      <w:r>
        <w:rPr>
          <w:szCs w:val="22"/>
        </w:rPr>
        <w:t xml:space="preserve"> to the extent </w:t>
      </w:r>
      <w:r w:rsidR="0051590B">
        <w:rPr>
          <w:szCs w:val="22"/>
        </w:rPr>
        <w:t>described below</w:t>
      </w:r>
      <w:r w:rsidR="00F86D73">
        <w:rPr>
          <w:szCs w:val="22"/>
        </w:rPr>
        <w:t>.</w:t>
      </w:r>
      <w:r w:rsidR="001F088F">
        <w:rPr>
          <w:szCs w:val="22"/>
        </w:rPr>
        <w:t xml:space="preserve">  We also allow carriers to elect a single advance payment of up to seven months of high-cost support to assist with </w:t>
      </w:r>
      <w:r w:rsidR="00100767">
        <w:rPr>
          <w:szCs w:val="22"/>
        </w:rPr>
        <w:t xml:space="preserve">their </w:t>
      </w:r>
      <w:r w:rsidR="001F088F">
        <w:rPr>
          <w:szCs w:val="22"/>
        </w:rPr>
        <w:t>immediate needs and anticipated large repair costs</w:t>
      </w:r>
      <w:r w:rsidR="00100767">
        <w:rPr>
          <w:szCs w:val="22"/>
        </w:rPr>
        <w:t xml:space="preserve"> </w:t>
      </w:r>
      <w:r w:rsidR="00780FE3">
        <w:rPr>
          <w:szCs w:val="22"/>
        </w:rPr>
        <w:t xml:space="preserve">in restoring their </w:t>
      </w:r>
      <w:r w:rsidR="00100767">
        <w:rPr>
          <w:szCs w:val="22"/>
        </w:rPr>
        <w:t>communications networks.</w:t>
      </w:r>
    </w:p>
    <w:p w14:paraId="55ABAC6C" w14:textId="02D6828F" w:rsidR="00F86D73" w:rsidRPr="009D446F" w:rsidRDefault="00F86D73" w:rsidP="00151269">
      <w:pPr>
        <w:pStyle w:val="Heading1"/>
        <w:widowControl/>
      </w:pPr>
      <w:bookmarkStart w:id="21" w:name="_Toc487450646"/>
      <w:bookmarkStart w:id="22" w:name="_Toc487552679"/>
      <w:bookmarkStart w:id="23" w:name="_Toc487553964"/>
      <w:bookmarkStart w:id="24" w:name="_Toc487619795"/>
      <w:bookmarkStart w:id="25" w:name="_Toc489345726"/>
      <w:bookmarkStart w:id="26" w:name="_Toc484779500"/>
      <w:bookmarkStart w:id="27" w:name="_Toc485026098"/>
      <w:bookmarkStart w:id="28" w:name="_Toc485108656"/>
      <w:bookmarkStart w:id="29" w:name="_Toc485142645"/>
      <w:bookmarkStart w:id="30" w:name="_Toc485312843"/>
      <w:bookmarkStart w:id="31" w:name="_Toc485653029"/>
      <w:bookmarkStart w:id="32" w:name="_Toc485736903"/>
      <w:bookmarkStart w:id="33" w:name="_Toc485830540"/>
      <w:bookmarkStart w:id="34" w:name="_Toc485914095"/>
      <w:bookmarkStart w:id="35" w:name="_Toc486434285"/>
      <w:bookmarkStart w:id="36" w:name="_Toc486580244"/>
      <w:bookmarkStart w:id="37" w:name="_Toc486580489"/>
      <w:bookmarkStart w:id="38" w:name="_Toc486580614"/>
      <w:bookmarkStart w:id="39" w:name="_Toc486592710"/>
      <w:bookmarkStart w:id="40" w:name="_Toc487191738"/>
      <w:r>
        <w:lastRenderedPageBreak/>
        <w:t>Background</w:t>
      </w:r>
      <w:bookmarkEnd w:id="21"/>
      <w:bookmarkEnd w:id="22"/>
      <w:bookmarkEnd w:id="23"/>
      <w:bookmarkEnd w:id="24"/>
      <w:bookmarkEnd w:id="25"/>
      <w:r>
        <w:t xml:space="preserve">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6028EBD" w14:textId="278B76CA" w:rsidR="00F86D73" w:rsidRDefault="00F86D73" w:rsidP="00151269">
      <w:pPr>
        <w:pStyle w:val="ParaNum"/>
        <w:widowControl/>
      </w:pPr>
      <w:bookmarkStart w:id="41" w:name="_Ref370974314"/>
      <w:r>
        <w:t xml:space="preserve">In the </w:t>
      </w:r>
      <w:r w:rsidRPr="000172EB">
        <w:rPr>
          <w:i/>
        </w:rPr>
        <w:t>USF/ICC Transformation Order</w:t>
      </w:r>
      <w:r>
        <w:t>, the Commission adopted a two-phase Connect America Fund to provide support to high-cost areas served by price cap carriers</w:t>
      </w:r>
      <w:r w:rsidRPr="000172EB">
        <w:rPr>
          <w:color w:val="000000"/>
        </w:rPr>
        <w:t>.</w:t>
      </w:r>
      <w:r>
        <w:rPr>
          <w:rStyle w:val="FootnoteReference"/>
          <w:color w:val="000000"/>
          <w:szCs w:val="22"/>
        </w:rPr>
        <w:footnoteReference w:id="6"/>
      </w:r>
      <w:r>
        <w:t xml:space="preserve">  In Phase I, the Commission froze high-cost support for price cap carriers and their affiliates.</w:t>
      </w:r>
      <w:r>
        <w:rPr>
          <w:rStyle w:val="FootnoteReference"/>
        </w:rPr>
        <w:footnoteReference w:id="7"/>
      </w:r>
      <w:r>
        <w:t xml:space="preserve">  In Phase II, the Commission offered each price cap carrier the option to accept model-based support for a defined term in exchange for a state-level commitment to serve specified high-cost areas within the state that are not served by an unsubsidized competitor</w:t>
      </w:r>
      <w:r w:rsidR="003373B9">
        <w:t xml:space="preserve">, </w:t>
      </w:r>
      <w:bookmarkEnd w:id="41"/>
      <w:r>
        <w:t>subject to specific service obligations.</w:t>
      </w:r>
      <w:r>
        <w:rPr>
          <w:rStyle w:val="FootnoteReference"/>
          <w:szCs w:val="22"/>
        </w:rPr>
        <w:footnoteReference w:id="8"/>
      </w:r>
    </w:p>
    <w:p w14:paraId="53B66BB0" w14:textId="72228EC2" w:rsidR="00F86D73" w:rsidRDefault="00F86D73" w:rsidP="00151269">
      <w:pPr>
        <w:pStyle w:val="ParaNum"/>
        <w:widowControl/>
      </w:pPr>
      <w:r>
        <w:t xml:space="preserve">The Commission also recognized that price cap carriers serving specific non-contiguous areas of the United States – </w:t>
      </w:r>
      <w:r w:rsidR="003373B9">
        <w:t xml:space="preserve">including </w:t>
      </w:r>
      <w:r>
        <w:t>Puerto Rico</w:t>
      </w:r>
      <w:r w:rsidR="003373B9">
        <w:t xml:space="preserve"> and </w:t>
      </w:r>
      <w:r>
        <w:t>the U.S. Virgin Islands</w:t>
      </w:r>
      <w:r w:rsidR="003373B9">
        <w:t xml:space="preserve"> </w:t>
      </w:r>
      <w:r>
        <w:t>– face different operating conditions and challenges from those faced by carriers in the contiguous 48 states.</w:t>
      </w:r>
      <w:r>
        <w:rPr>
          <w:rStyle w:val="FootnoteReference"/>
          <w:szCs w:val="22"/>
        </w:rPr>
        <w:footnoteReference w:id="9"/>
      </w:r>
      <w:r>
        <w:t xml:space="preserve">  </w:t>
      </w:r>
      <w:r w:rsidR="003373B9">
        <w:t xml:space="preserve">The Commission granted the </w:t>
      </w:r>
      <w:r w:rsidR="00EC7C25">
        <w:t xml:space="preserve">Wireline Competition </w:t>
      </w:r>
      <w:r w:rsidR="003373B9">
        <w:t xml:space="preserve">Bureau </w:t>
      </w:r>
      <w:r w:rsidR="00D145DC">
        <w:t xml:space="preserve">(Bureau) </w:t>
      </w:r>
      <w:r w:rsidR="003373B9">
        <w:t>the discretion to maintain existing support levels for those carriers i</w:t>
      </w:r>
      <w:r>
        <w:t>f, in the Bureau’s determination, the model did not provide these areas with sufficient support.</w:t>
      </w:r>
      <w:r>
        <w:rPr>
          <w:rStyle w:val="FootnoteReference"/>
        </w:rPr>
        <w:footnoteReference w:id="10"/>
      </w:r>
      <w:r>
        <w:t xml:space="preserve">  Puerto Rico Telephone Company (PRTC), which operates in Puerto Rico, and </w:t>
      </w:r>
      <w:r w:rsidR="00694A9D">
        <w:t>Vitelco d/b/a VIYA (VIYA)</w:t>
      </w:r>
      <w:r>
        <w:t>, which operates in the U.S. Virgin Islands, both elected to continue receiving frozen support</w:t>
      </w:r>
      <w:r w:rsidR="00EE1AE2">
        <w:t xml:space="preserve"> instead of model-based support</w:t>
      </w:r>
      <w:r>
        <w:t>.</w:t>
      </w:r>
      <w:r>
        <w:rPr>
          <w:rStyle w:val="FootnoteReference"/>
          <w:szCs w:val="22"/>
        </w:rPr>
        <w:footnoteReference w:id="11"/>
      </w:r>
      <w:r>
        <w:t xml:space="preserve">  PRTC and </w:t>
      </w:r>
      <w:r w:rsidR="00694A9D">
        <w:t>VIYA</w:t>
      </w:r>
      <w:r>
        <w:t xml:space="preserve"> continue to receive annual high-cost support of approximately $36 million and approximately $16.3 million respectively</w:t>
      </w:r>
      <w:r w:rsidR="003373B9">
        <w:t>, pending the Commission’s adoption of specific service obligations tailored to the individual circumstances of each carrier</w:t>
      </w:r>
      <w:r>
        <w:t>.</w:t>
      </w:r>
      <w:r w:rsidR="003373B9">
        <w:rPr>
          <w:rStyle w:val="FootnoteReference"/>
        </w:rPr>
        <w:footnoteReference w:id="12"/>
      </w:r>
    </w:p>
    <w:p w14:paraId="04E60AD4" w14:textId="479B6A6E" w:rsidR="00E71ED1" w:rsidRDefault="00E71ED1" w:rsidP="00053C59">
      <w:pPr>
        <w:pStyle w:val="ParaNum"/>
        <w:widowControl/>
      </w:pPr>
      <w:r>
        <w:t xml:space="preserve">With respect to </w:t>
      </w:r>
      <w:r w:rsidR="00870DD0">
        <w:t xml:space="preserve">mobile </w:t>
      </w:r>
      <w:r>
        <w:t xml:space="preserve">services, the </w:t>
      </w:r>
      <w:r w:rsidRPr="000172EB">
        <w:rPr>
          <w:i/>
        </w:rPr>
        <w:t>USF/ICC Transformation Order</w:t>
      </w:r>
      <w:r>
        <w:t xml:space="preserve"> also initiated </w:t>
      </w:r>
      <w:r w:rsidR="00E1730A">
        <w:t>significant</w:t>
      </w:r>
      <w:r>
        <w:t xml:space="preserve"> changes.  The Commission sought to achieve the universal availability of “mobile networks capable of delivering mobile broadband and voice service” while minimizing the universal service fund contribution burden on businesses and consumers.</w:t>
      </w:r>
      <w:r>
        <w:rPr>
          <w:rStyle w:val="FootnoteReference"/>
        </w:rPr>
        <w:footnoteReference w:id="13"/>
      </w:r>
      <w:r>
        <w:t xml:space="preserve">  In furtherance of that aim, the Commission established the two-phase Mobility Fund.</w:t>
      </w:r>
      <w:r>
        <w:rPr>
          <w:rStyle w:val="FootnoteReference"/>
        </w:rPr>
        <w:footnoteReference w:id="14"/>
      </w:r>
      <w:r>
        <w:t xml:space="preserve">  </w:t>
      </w:r>
      <w:r w:rsidR="00D145DC">
        <w:t>The second phase (</w:t>
      </w:r>
      <w:r>
        <w:t>MF-II</w:t>
      </w:r>
      <w:r w:rsidR="00D145DC">
        <w:t>)</w:t>
      </w:r>
      <w:r>
        <w:t>, which is intended to allocate up to $</w:t>
      </w:r>
      <w:r w:rsidR="00262D27">
        <w:t>4.53</w:t>
      </w:r>
      <w:r>
        <w:t xml:space="preserve"> </w:t>
      </w:r>
      <w:r w:rsidR="00262D27">
        <w:t>b</w:t>
      </w:r>
      <w:r w:rsidR="0016167D">
        <w:t>illion ov</w:t>
      </w:r>
      <w:r>
        <w:t xml:space="preserve">er </w:t>
      </w:r>
      <w:r w:rsidR="00262D27">
        <w:t xml:space="preserve">ten </w:t>
      </w:r>
      <w:r>
        <w:t>year</w:t>
      </w:r>
      <w:r w:rsidR="00EC7C25">
        <w:t>s</w:t>
      </w:r>
      <w:r>
        <w:t xml:space="preserve"> in ongoing support, has not yet taken place.</w:t>
      </w:r>
      <w:r>
        <w:rPr>
          <w:rStyle w:val="FootnoteReference"/>
        </w:rPr>
        <w:footnoteReference w:id="15"/>
      </w:r>
      <w:r>
        <w:t xml:space="preserve">  In the </w:t>
      </w:r>
      <w:r w:rsidRPr="000172EB">
        <w:rPr>
          <w:i/>
        </w:rPr>
        <w:t>USF/ICC Transformation Order</w:t>
      </w:r>
      <w:r>
        <w:t xml:space="preserve">, the Commission decided to phase down legacy support </w:t>
      </w:r>
      <w:r w:rsidR="00870DD0">
        <w:t>to competitive ETCs</w:t>
      </w:r>
      <w:r w:rsidR="002B075D">
        <w:t xml:space="preserve"> (CETCs)</w:t>
      </w:r>
      <w:r w:rsidR="00870DD0">
        <w:t xml:space="preserve"> </w:t>
      </w:r>
      <w:r>
        <w:t>by 20 percent each year, but the process would pause after two years (with legacy support remaining at 60 percent) if MF-II were not operational by July 1, 2014.</w:t>
      </w:r>
      <w:r>
        <w:rPr>
          <w:rStyle w:val="FootnoteReference"/>
        </w:rPr>
        <w:footnoteReference w:id="16"/>
      </w:r>
      <w:r>
        <w:t xml:space="preserve">  Accordingly, like the price cap </w:t>
      </w:r>
      <w:r>
        <w:lastRenderedPageBreak/>
        <w:t>carriers discussed above, CET</w:t>
      </w:r>
      <w:r w:rsidR="002B075D">
        <w:t>Cs</w:t>
      </w:r>
      <w:r>
        <w:t xml:space="preserve"> continue to receive frozen legacy suppor</w:t>
      </w:r>
      <w:r w:rsidR="002B075D">
        <w:t>t for providing mobile services, and</w:t>
      </w:r>
      <w:r>
        <w:t xml:space="preserve"> they will continue to do so pending </w:t>
      </w:r>
      <w:r w:rsidR="00E1730A">
        <w:t xml:space="preserve">implementation of </w:t>
      </w:r>
      <w:r>
        <w:t>MF-II.</w:t>
      </w:r>
    </w:p>
    <w:p w14:paraId="3CD87D2C" w14:textId="086B08EF" w:rsidR="00CD45AC" w:rsidRDefault="00CD45AC" w:rsidP="001C0101">
      <w:pPr>
        <w:pStyle w:val="ParaNum"/>
        <w:widowControl/>
        <w:tabs>
          <w:tab w:val="clear" w:pos="1440"/>
          <w:tab w:val="num" w:pos="1080"/>
        </w:tabs>
      </w:pPr>
      <w:r w:rsidRPr="00EC7C25">
        <w:rPr>
          <w:rStyle w:val="Strong"/>
          <w:b w:val="0"/>
        </w:rPr>
        <w:t>Hurricane Maria ripped through Puerto Rico as a Category 4 storm with 155-mph winds, according to the National Hurricane Center.</w:t>
      </w:r>
      <w:r>
        <w:rPr>
          <w:rStyle w:val="FootnoteReference"/>
          <w:bCs/>
        </w:rPr>
        <w:footnoteReference w:id="17"/>
      </w:r>
      <w:r>
        <w:rPr>
          <w:rStyle w:val="Strong"/>
          <w:b w:val="0"/>
        </w:rPr>
        <w:t xml:space="preserve"> </w:t>
      </w:r>
      <w:r w:rsidRPr="00EC7C25">
        <w:rPr>
          <w:rStyle w:val="Strong"/>
          <w:b w:val="0"/>
        </w:rPr>
        <w:t xml:space="preserve"> </w:t>
      </w:r>
      <w:r w:rsidR="00AD27AE">
        <w:rPr>
          <w:rStyle w:val="Strong"/>
          <w:b w:val="0"/>
        </w:rPr>
        <w:t>Maria was the strongest storm to hit the island in almost a century.</w:t>
      </w:r>
      <w:r w:rsidR="00AD27AE">
        <w:rPr>
          <w:rStyle w:val="FootnoteReference"/>
          <w:bCs/>
        </w:rPr>
        <w:footnoteReference w:id="18"/>
      </w:r>
      <w:r w:rsidR="00AD27AE">
        <w:rPr>
          <w:rStyle w:val="Strong"/>
          <w:b w:val="0"/>
        </w:rPr>
        <w:t xml:space="preserve">  </w:t>
      </w:r>
      <w:r>
        <w:rPr>
          <w:rStyle w:val="Strong"/>
          <w:b w:val="0"/>
        </w:rPr>
        <w:t>Following on the heels of Hurricane Irma, its damage was</w:t>
      </w:r>
      <w:r w:rsidR="00AD27AE">
        <w:rPr>
          <w:rStyle w:val="Strong"/>
          <w:b w:val="0"/>
        </w:rPr>
        <w:t xml:space="preserve"> particularly</w:t>
      </w:r>
      <w:r>
        <w:rPr>
          <w:rStyle w:val="Strong"/>
          <w:b w:val="0"/>
        </w:rPr>
        <w:t xml:space="preserve"> devastating.  </w:t>
      </w:r>
      <w:r w:rsidR="00A83281">
        <w:rPr>
          <w:rStyle w:val="Strong"/>
          <w:b w:val="0"/>
        </w:rPr>
        <w:t xml:space="preserve">The </w:t>
      </w:r>
      <w:r w:rsidR="00E1730A">
        <w:rPr>
          <w:rStyle w:val="Strong"/>
          <w:b w:val="0"/>
        </w:rPr>
        <w:t>g</w:t>
      </w:r>
      <w:r w:rsidR="00A83281">
        <w:rPr>
          <w:rStyle w:val="Strong"/>
          <w:b w:val="0"/>
        </w:rPr>
        <w:t xml:space="preserve">overnor of Puerto Rico </w:t>
      </w:r>
      <w:r w:rsidR="00A9143F">
        <w:rPr>
          <w:rStyle w:val="Strong"/>
          <w:b w:val="0"/>
        </w:rPr>
        <w:t>noted that power could be out for months</w:t>
      </w:r>
      <w:r w:rsidR="00A83281">
        <w:rPr>
          <w:rStyle w:val="Strong"/>
          <w:b w:val="0"/>
        </w:rPr>
        <w:t>, explaining that the island’s power grid is “</w:t>
      </w:r>
      <w:r w:rsidR="00A83281" w:rsidRPr="00A83281">
        <w:rPr>
          <w:rStyle w:val="Strong"/>
          <w:b w:val="0"/>
        </w:rPr>
        <w:t>a littl</w:t>
      </w:r>
      <w:r w:rsidR="00A83281">
        <w:rPr>
          <w:rStyle w:val="Strong"/>
          <w:b w:val="0"/>
        </w:rPr>
        <w:t>e bit old, mishandled and weak.”</w:t>
      </w:r>
      <w:r w:rsidR="00A83281">
        <w:rPr>
          <w:rStyle w:val="FootnoteReference"/>
          <w:bCs/>
        </w:rPr>
        <w:footnoteReference w:id="19"/>
      </w:r>
      <w:r w:rsidR="00163425">
        <w:rPr>
          <w:rStyle w:val="Strong"/>
          <w:b w:val="0"/>
        </w:rPr>
        <w:t xml:space="preserve">  </w:t>
      </w:r>
      <w:r w:rsidR="001C0101">
        <w:rPr>
          <w:rStyle w:val="Strong"/>
          <w:b w:val="0"/>
        </w:rPr>
        <w:t xml:space="preserve">The situation in the U.S. Virgin Islands is similarly dire.  Hurricane </w:t>
      </w:r>
      <w:r w:rsidR="001C0101" w:rsidRPr="001C0101">
        <w:rPr>
          <w:rStyle w:val="Strong"/>
          <w:b w:val="0"/>
        </w:rPr>
        <w:t xml:space="preserve">Maria “unleashed powerful winds and heavy rainfall, tearing off roofs, downing trees and decimating the communications and power grid across” St. Croix, the largest of the U.S. Virgin </w:t>
      </w:r>
      <w:r w:rsidR="00B3579D" w:rsidRPr="001C0101">
        <w:rPr>
          <w:rStyle w:val="Strong"/>
          <w:b w:val="0"/>
        </w:rPr>
        <w:t>Islan</w:t>
      </w:r>
      <w:r w:rsidR="00B3579D">
        <w:t>ds</w:t>
      </w:r>
      <w:r w:rsidR="001C0101">
        <w:t>.</w:t>
      </w:r>
      <w:r w:rsidR="001C0101">
        <w:rPr>
          <w:rStyle w:val="FootnoteReference"/>
        </w:rPr>
        <w:footnoteReference w:id="20"/>
      </w:r>
      <w:r w:rsidR="001C0101">
        <w:t xml:space="preserve">  And the “[t]</w:t>
      </w:r>
      <w:r w:rsidR="001C0101" w:rsidRPr="001C0101">
        <w:t>wo other main islands, St. John and St. Thomas, were pummeled by Hurricane Irma just 14 days earlier.</w:t>
      </w:r>
      <w:r w:rsidR="001C0101">
        <w:t>”</w:t>
      </w:r>
      <w:r w:rsidR="001C0101">
        <w:rPr>
          <w:rStyle w:val="FootnoteReference"/>
        </w:rPr>
        <w:footnoteReference w:id="21"/>
      </w:r>
      <w:r w:rsidR="001C0101">
        <w:t xml:space="preserve">  </w:t>
      </w:r>
      <w:r>
        <w:rPr>
          <w:rStyle w:val="Strong"/>
          <w:b w:val="0"/>
        </w:rPr>
        <w:t xml:space="preserve">The challenges </w:t>
      </w:r>
      <w:r>
        <w:t>Puerto Rico and the U.S. Virgin Islands face in rebuilding will be enormous and the recovery process long.  Restoration of reliable communications networks will be critical to that effort</w:t>
      </w:r>
      <w:r w:rsidR="0051590B">
        <w:t xml:space="preserve"> </w:t>
      </w:r>
      <w:r w:rsidR="000455C8">
        <w:t>and to serving</w:t>
      </w:r>
      <w:r w:rsidR="0051590B">
        <w:t xml:space="preserve"> the public safety needs of these islands</w:t>
      </w:r>
      <w:r>
        <w:t xml:space="preserve">.   </w:t>
      </w:r>
    </w:p>
    <w:p w14:paraId="78DCD286" w14:textId="1F3F5C36" w:rsidR="00F86D73" w:rsidRPr="00CE23CC" w:rsidRDefault="00F86D73" w:rsidP="00151269">
      <w:pPr>
        <w:pStyle w:val="Heading1"/>
        <w:widowControl/>
        <w:tabs>
          <w:tab w:val="num" w:pos="1440"/>
        </w:tabs>
        <w:rPr>
          <w:szCs w:val="22"/>
        </w:rPr>
      </w:pPr>
      <w:r>
        <w:rPr>
          <w:szCs w:val="22"/>
        </w:rPr>
        <w:t>Discussion</w:t>
      </w:r>
    </w:p>
    <w:p w14:paraId="4A854B07" w14:textId="6CF38F49" w:rsidR="00F86D73" w:rsidRDefault="00F86D73" w:rsidP="00151269">
      <w:pPr>
        <w:pStyle w:val="ParaNum"/>
        <w:widowControl/>
      </w:pPr>
      <w:r w:rsidRPr="00CE23CC">
        <w:rPr>
          <w:rStyle w:val="highlight"/>
          <w:szCs w:val="22"/>
        </w:rPr>
        <w:t>Section 254(e)</w:t>
      </w:r>
      <w:r w:rsidRPr="00CE23CC">
        <w:t xml:space="preserve"> of the Act </w:t>
      </w:r>
      <w:r w:rsidR="009C0DD0">
        <w:t>and Section 54.7</w:t>
      </w:r>
      <w:r w:rsidR="009C4F29">
        <w:t>(a)</w:t>
      </w:r>
      <w:r w:rsidR="009C0DD0">
        <w:t xml:space="preserve"> of the Commission’s rules </w:t>
      </w:r>
      <w:r w:rsidRPr="00CE23CC">
        <w:t>provide that carriers receiving federal universal service support “shall use that support only for the provision, maintenance, and upgrading of facilities and services for which the support is intended.”</w:t>
      </w:r>
      <w:r>
        <w:rPr>
          <w:rStyle w:val="FootnoteReference"/>
          <w:szCs w:val="22"/>
        </w:rPr>
        <w:footnoteReference w:id="22"/>
      </w:r>
      <w:r w:rsidRPr="00391C90">
        <w:t xml:space="preserve">  </w:t>
      </w:r>
      <w:r>
        <w:t xml:space="preserve">We determine that, in the context of Hurricane Maria’s devastation of Puerto Rico and the U.S. Virgin Islands, high-cost support </w:t>
      </w:r>
      <w:r w:rsidR="0051590B">
        <w:t>may be used</w:t>
      </w:r>
      <w:r>
        <w:t xml:space="preserve"> to aid in the restoration of telecommunications capabilities in these areas.</w:t>
      </w:r>
      <w:r w:rsidR="00F6093C">
        <w:rPr>
          <w:rStyle w:val="FootnoteReference"/>
        </w:rPr>
        <w:footnoteReference w:id="23"/>
      </w:r>
      <w:r w:rsidR="00EE1AE2">
        <w:t xml:space="preserve">  While the full extent of the impact on communications facilities and capabilities remains unclear due to the extent of the hurricane’s devastation, we believe that immediate action on our part is necessary to enable carriers serving Puerto Rico and the U.S. Virgin Islands to plan and execute repair efforts as rapidly and widely as possible, so as to restore service as quickly as possible.  Rapid restoration of communications capability is also critical to other relief and reconstruction efforts across the islands.</w:t>
      </w:r>
    </w:p>
    <w:p w14:paraId="769C1831" w14:textId="0D426410" w:rsidR="00F86D73" w:rsidRPr="00C2208D" w:rsidRDefault="00F86D73" w:rsidP="00151269">
      <w:pPr>
        <w:pStyle w:val="ParaNum"/>
        <w:widowControl/>
        <w:rPr>
          <w:szCs w:val="22"/>
        </w:rPr>
      </w:pPr>
      <w:r w:rsidRPr="00C2208D">
        <w:rPr>
          <w:szCs w:val="22"/>
        </w:rPr>
        <w:t xml:space="preserve">We find that high-cost carriers operating in Puerto Rico and the U.S. Virgin Islands currently face tremendous challenges.  We are informed that commercial power remains out in most of Puerto Rico, rendering cable </w:t>
      </w:r>
      <w:r w:rsidR="009B3457">
        <w:rPr>
          <w:szCs w:val="22"/>
        </w:rPr>
        <w:t xml:space="preserve">and wireline </w:t>
      </w:r>
      <w:r w:rsidRPr="00C2208D">
        <w:rPr>
          <w:szCs w:val="22"/>
        </w:rPr>
        <w:t>services</w:t>
      </w:r>
      <w:r>
        <w:rPr>
          <w:szCs w:val="22"/>
        </w:rPr>
        <w:t xml:space="preserve"> </w:t>
      </w:r>
      <w:r w:rsidR="009B3457">
        <w:rPr>
          <w:szCs w:val="22"/>
        </w:rPr>
        <w:t>largely</w:t>
      </w:r>
      <w:r w:rsidRPr="00C2208D">
        <w:rPr>
          <w:szCs w:val="22"/>
        </w:rPr>
        <w:t xml:space="preserve"> unavailable.</w:t>
      </w:r>
      <w:r w:rsidR="009B3457">
        <w:rPr>
          <w:rStyle w:val="FootnoteReference"/>
          <w:szCs w:val="22"/>
        </w:rPr>
        <w:footnoteReference w:id="24"/>
      </w:r>
      <w:r w:rsidRPr="00C2208D">
        <w:rPr>
          <w:szCs w:val="22"/>
        </w:rPr>
        <w:t xml:space="preserve">  Further, we </w:t>
      </w:r>
      <w:r>
        <w:rPr>
          <w:szCs w:val="22"/>
        </w:rPr>
        <w:t>have learned</w:t>
      </w:r>
      <w:r w:rsidRPr="00C2208D">
        <w:rPr>
          <w:szCs w:val="22"/>
        </w:rPr>
        <w:t xml:space="preserve"> that </w:t>
      </w:r>
      <w:r w:rsidR="0038501A">
        <w:rPr>
          <w:szCs w:val="22"/>
        </w:rPr>
        <w:t>nearly</w:t>
      </w:r>
      <w:r w:rsidRPr="00C2208D">
        <w:rPr>
          <w:szCs w:val="22"/>
        </w:rPr>
        <w:t xml:space="preserve"> 90 percent of cell sites there remain out of service.</w:t>
      </w:r>
      <w:r w:rsidR="00BA5CB6">
        <w:rPr>
          <w:rStyle w:val="FootnoteReference"/>
          <w:szCs w:val="22"/>
        </w:rPr>
        <w:footnoteReference w:id="25"/>
      </w:r>
      <w:r w:rsidRPr="00C2208D">
        <w:rPr>
          <w:szCs w:val="22"/>
        </w:rPr>
        <w:t xml:space="preserve">  In the U.S. Virgin Islands, the situation is </w:t>
      </w:r>
      <w:r>
        <w:rPr>
          <w:szCs w:val="22"/>
        </w:rPr>
        <w:t>also</w:t>
      </w:r>
      <w:r w:rsidRPr="00C2208D">
        <w:rPr>
          <w:szCs w:val="22"/>
        </w:rPr>
        <w:t xml:space="preserve"> grim. </w:t>
      </w:r>
      <w:r w:rsidR="00B3579D">
        <w:rPr>
          <w:szCs w:val="22"/>
        </w:rPr>
        <w:t xml:space="preserve"> </w:t>
      </w:r>
      <w:r w:rsidR="009E2A73">
        <w:rPr>
          <w:szCs w:val="22"/>
        </w:rPr>
        <w:t>Nearly</w:t>
      </w:r>
      <w:r w:rsidRPr="00C2208D">
        <w:rPr>
          <w:szCs w:val="22"/>
        </w:rPr>
        <w:t xml:space="preserve"> </w:t>
      </w:r>
      <w:r w:rsidR="009E2A73">
        <w:rPr>
          <w:szCs w:val="22"/>
        </w:rPr>
        <w:t>7</w:t>
      </w:r>
      <w:r w:rsidRPr="00C2208D">
        <w:rPr>
          <w:szCs w:val="22"/>
        </w:rPr>
        <w:t xml:space="preserve">0 percent of cell sites remain out of service, and that figure rises to </w:t>
      </w:r>
      <w:r w:rsidR="009E2A73">
        <w:rPr>
          <w:szCs w:val="22"/>
        </w:rPr>
        <w:t>100</w:t>
      </w:r>
      <w:r w:rsidRPr="00C2208D">
        <w:rPr>
          <w:szCs w:val="22"/>
        </w:rPr>
        <w:t xml:space="preserve"> percent for the island of St. </w:t>
      </w:r>
      <w:r w:rsidR="009E2A73">
        <w:rPr>
          <w:szCs w:val="22"/>
        </w:rPr>
        <w:t>John</w:t>
      </w:r>
      <w:r w:rsidRPr="00C2208D">
        <w:rPr>
          <w:szCs w:val="22"/>
        </w:rPr>
        <w:t>.</w:t>
      </w:r>
      <w:r w:rsidR="00EB696E">
        <w:rPr>
          <w:rStyle w:val="FootnoteReference"/>
          <w:szCs w:val="22"/>
        </w:rPr>
        <w:footnoteReference w:id="26"/>
      </w:r>
    </w:p>
    <w:p w14:paraId="5D590909" w14:textId="0B6D2890" w:rsidR="00F86D73" w:rsidRDefault="00F86D73" w:rsidP="00151269">
      <w:pPr>
        <w:pStyle w:val="ParaNum"/>
        <w:widowControl/>
        <w:rPr>
          <w:szCs w:val="22"/>
        </w:rPr>
      </w:pPr>
      <w:r w:rsidRPr="00C2208D">
        <w:rPr>
          <w:szCs w:val="22"/>
        </w:rPr>
        <w:t>In the 1996 Act, Congress established the following guiding principle for universal service:  “Consumers in all regions of the Nation, including low-income consumers and those in rural, insular, and high cost areas, should have access to telecommunications and inf</w:t>
      </w:r>
      <w:r w:rsidR="002B075D">
        <w:rPr>
          <w:szCs w:val="22"/>
        </w:rPr>
        <w:t>ormation services” of reasonably</w:t>
      </w:r>
      <w:r w:rsidRPr="00C2208D">
        <w:rPr>
          <w:szCs w:val="22"/>
        </w:rPr>
        <w:t xml:space="preserve"> comparable quality and at reasonably comparable rates to services provided in urban areas.</w:t>
      </w:r>
      <w:r w:rsidRPr="00C2208D">
        <w:rPr>
          <w:rStyle w:val="FootnoteReference"/>
          <w:szCs w:val="22"/>
        </w:rPr>
        <w:footnoteReference w:id="27"/>
      </w:r>
      <w:r w:rsidRPr="00C2208D">
        <w:rPr>
          <w:szCs w:val="22"/>
        </w:rPr>
        <w:t xml:space="preserve">  Because </w:t>
      </w:r>
      <w:r w:rsidR="003373B9">
        <w:rPr>
          <w:szCs w:val="22"/>
        </w:rPr>
        <w:t xml:space="preserve">most </w:t>
      </w:r>
      <w:r w:rsidRPr="00C2208D">
        <w:rPr>
          <w:szCs w:val="22"/>
        </w:rPr>
        <w:t>consumers throughout Puerto Rico and the U.S. Virgin Islands currently lack access to</w:t>
      </w:r>
      <w:r>
        <w:rPr>
          <w:szCs w:val="22"/>
        </w:rPr>
        <w:t xml:space="preserve"> any</w:t>
      </w:r>
      <w:r w:rsidRPr="00C2208D">
        <w:rPr>
          <w:szCs w:val="22"/>
        </w:rPr>
        <w:t xml:space="preserve"> telecommunications serv</w:t>
      </w:r>
      <w:r>
        <w:rPr>
          <w:szCs w:val="22"/>
        </w:rPr>
        <w:t>ices</w:t>
      </w:r>
      <w:r w:rsidRPr="00C2208D">
        <w:rPr>
          <w:szCs w:val="22"/>
        </w:rPr>
        <w:t xml:space="preserve">, we clarify that high-cost support may be used to reestablish the level of service available before </w:t>
      </w:r>
      <w:r>
        <w:rPr>
          <w:szCs w:val="22"/>
        </w:rPr>
        <w:t>Hurricane Maria</w:t>
      </w:r>
      <w:r w:rsidR="00EE1AE2">
        <w:rPr>
          <w:szCs w:val="22"/>
        </w:rPr>
        <w:t xml:space="preserve"> consistent with Section 254(e) of the Act and the Commission’s rules</w:t>
      </w:r>
      <w:r w:rsidRPr="00C2208D">
        <w:rPr>
          <w:szCs w:val="22"/>
        </w:rPr>
        <w:t>.</w:t>
      </w:r>
      <w:r>
        <w:rPr>
          <w:szCs w:val="22"/>
        </w:rPr>
        <w:t xml:space="preserve">  </w:t>
      </w:r>
      <w:r w:rsidR="00EE1AE2">
        <w:rPr>
          <w:szCs w:val="22"/>
        </w:rPr>
        <w:t xml:space="preserve">Due to Hurricane Maria, those </w:t>
      </w:r>
      <w:r>
        <w:rPr>
          <w:szCs w:val="22"/>
        </w:rPr>
        <w:t>consumers</w:t>
      </w:r>
      <w:r w:rsidR="00EE1AE2">
        <w:rPr>
          <w:szCs w:val="22"/>
        </w:rPr>
        <w:t xml:space="preserve"> currently lack</w:t>
      </w:r>
      <w:r>
        <w:rPr>
          <w:szCs w:val="22"/>
        </w:rPr>
        <w:t xml:space="preserve"> access to services comparable to those available in urban areas on the mainland.</w:t>
      </w:r>
    </w:p>
    <w:p w14:paraId="3BBC7436" w14:textId="4689759F" w:rsidR="00F86D73" w:rsidRDefault="00F86D73" w:rsidP="00151269">
      <w:pPr>
        <w:pStyle w:val="ParaNum"/>
        <w:widowControl/>
        <w:rPr>
          <w:szCs w:val="22"/>
        </w:rPr>
      </w:pPr>
      <w:r>
        <w:rPr>
          <w:szCs w:val="22"/>
        </w:rPr>
        <w:t xml:space="preserve">We note further that, </w:t>
      </w:r>
      <w:r w:rsidR="003373B9">
        <w:rPr>
          <w:szCs w:val="22"/>
        </w:rPr>
        <w:t>unlike ca</w:t>
      </w:r>
      <w:r w:rsidR="00E1730A">
        <w:rPr>
          <w:szCs w:val="22"/>
        </w:rPr>
        <w:t>rriers that elected to receive</w:t>
      </w:r>
      <w:r w:rsidR="003373B9">
        <w:rPr>
          <w:szCs w:val="22"/>
        </w:rPr>
        <w:t xml:space="preserve"> model-based support</w:t>
      </w:r>
      <w:r>
        <w:rPr>
          <w:szCs w:val="22"/>
        </w:rPr>
        <w:t xml:space="preserve">, neither </w:t>
      </w:r>
      <w:r w:rsidR="003373B9">
        <w:rPr>
          <w:szCs w:val="22"/>
        </w:rPr>
        <w:t xml:space="preserve">PRTC nor </w:t>
      </w:r>
      <w:r w:rsidR="00694A9D">
        <w:rPr>
          <w:szCs w:val="22"/>
        </w:rPr>
        <w:t>VIYA</w:t>
      </w:r>
      <w:r w:rsidR="003373B9">
        <w:rPr>
          <w:szCs w:val="22"/>
        </w:rPr>
        <w:t xml:space="preserve"> currently </w:t>
      </w:r>
      <w:r>
        <w:rPr>
          <w:szCs w:val="22"/>
        </w:rPr>
        <w:t>has specific obligations to deploy broadband to a certain number of locations each year.  Instead, both carriers must annually certify that “</w:t>
      </w:r>
      <w:r>
        <w:t>all frozen-high cost support the company received in the previous year was used to build and operate broadband-capable networks used to offer the provider’s own retail broadband service in areas substantially unserved by an unsubsidized competitor.</w:t>
      </w:r>
      <w:r>
        <w:rPr>
          <w:szCs w:val="22"/>
        </w:rPr>
        <w:t>”</w:t>
      </w:r>
      <w:r>
        <w:rPr>
          <w:rStyle w:val="FootnoteReference"/>
          <w:szCs w:val="22"/>
        </w:rPr>
        <w:footnoteReference w:id="28"/>
      </w:r>
      <w:r>
        <w:rPr>
          <w:szCs w:val="22"/>
        </w:rPr>
        <w:t xml:space="preserve">  Use of high-cost support for hurricane relief thus will not impede the completion of required deployment obligations.  Indeed, bring</w:t>
      </w:r>
      <w:r w:rsidR="002B075D">
        <w:rPr>
          <w:szCs w:val="22"/>
        </w:rPr>
        <w:t>ing</w:t>
      </w:r>
      <w:r>
        <w:rPr>
          <w:szCs w:val="22"/>
        </w:rPr>
        <w:t xml:space="preserve"> broadband-capable networks online is precisely wh</w:t>
      </w:r>
      <w:r w:rsidR="002B075D">
        <w:rPr>
          <w:szCs w:val="22"/>
        </w:rPr>
        <w:t>y</w:t>
      </w:r>
      <w:r>
        <w:rPr>
          <w:szCs w:val="22"/>
        </w:rPr>
        <w:t xml:space="preserve"> </w:t>
      </w:r>
      <w:r w:rsidR="002B075D">
        <w:rPr>
          <w:szCs w:val="22"/>
        </w:rPr>
        <w:t xml:space="preserve">ETCs in Puerto Rico and the U.S. Virgin Islands receive </w:t>
      </w:r>
      <w:r>
        <w:rPr>
          <w:szCs w:val="22"/>
        </w:rPr>
        <w:t>high-cost support.</w:t>
      </w:r>
    </w:p>
    <w:p w14:paraId="2412048C" w14:textId="61F2C0EC" w:rsidR="00F86D73" w:rsidRPr="00D23BCD" w:rsidRDefault="00E1730A" w:rsidP="00151269">
      <w:pPr>
        <w:pStyle w:val="ParaNum"/>
        <w:widowControl/>
        <w:rPr>
          <w:szCs w:val="22"/>
        </w:rPr>
      </w:pPr>
      <w:r>
        <w:rPr>
          <w:szCs w:val="22"/>
        </w:rPr>
        <w:t xml:space="preserve">The Commission’s rules </w:t>
      </w:r>
      <w:r w:rsidR="00D23BCD">
        <w:rPr>
          <w:szCs w:val="22"/>
        </w:rPr>
        <w:t xml:space="preserve">direct PRTC and </w:t>
      </w:r>
      <w:r w:rsidR="00694A9D">
        <w:rPr>
          <w:szCs w:val="22"/>
        </w:rPr>
        <w:t>VIYA</w:t>
      </w:r>
      <w:r w:rsidR="00D23BCD">
        <w:rPr>
          <w:szCs w:val="22"/>
        </w:rPr>
        <w:t xml:space="preserve"> to use </w:t>
      </w:r>
      <w:r w:rsidR="00F86D73">
        <w:rPr>
          <w:szCs w:val="22"/>
        </w:rPr>
        <w:t xml:space="preserve">high-cost support </w:t>
      </w:r>
      <w:r w:rsidR="00D23BCD">
        <w:rPr>
          <w:szCs w:val="22"/>
        </w:rPr>
        <w:t xml:space="preserve">only in </w:t>
      </w:r>
      <w:r w:rsidR="00F86D73">
        <w:rPr>
          <w:szCs w:val="22"/>
        </w:rPr>
        <w:t xml:space="preserve">areas </w:t>
      </w:r>
      <w:r w:rsidR="00D23BCD">
        <w:rPr>
          <w:szCs w:val="22"/>
        </w:rPr>
        <w:t xml:space="preserve">substantially unserved by </w:t>
      </w:r>
      <w:r w:rsidR="00F86D73">
        <w:rPr>
          <w:szCs w:val="22"/>
        </w:rPr>
        <w:t>unsubsidized competitor</w:t>
      </w:r>
      <w:r w:rsidR="00D23BCD">
        <w:rPr>
          <w:szCs w:val="22"/>
        </w:rPr>
        <w:t>s</w:t>
      </w:r>
      <w:r w:rsidR="00F86D73">
        <w:rPr>
          <w:szCs w:val="22"/>
        </w:rPr>
        <w:t>.</w:t>
      </w:r>
      <w:r w:rsidR="00F86D73">
        <w:rPr>
          <w:rStyle w:val="FootnoteReference"/>
          <w:szCs w:val="22"/>
        </w:rPr>
        <w:footnoteReference w:id="29"/>
      </w:r>
      <w:r w:rsidR="00F86D73">
        <w:rPr>
          <w:szCs w:val="22"/>
        </w:rPr>
        <w:t xml:space="preserve">  </w:t>
      </w:r>
      <w:r w:rsidR="00D23BCD">
        <w:rPr>
          <w:szCs w:val="22"/>
        </w:rPr>
        <w:t>The Commission’s Form 477 data indicate that</w:t>
      </w:r>
      <w:r w:rsidR="007A0150">
        <w:rPr>
          <w:szCs w:val="22"/>
        </w:rPr>
        <w:t xml:space="preserve">, although there are no unsubsidized providers </w:t>
      </w:r>
      <w:r w:rsidR="00AE03C4">
        <w:rPr>
          <w:szCs w:val="22"/>
        </w:rPr>
        <w:t xml:space="preserve">reporting </w:t>
      </w:r>
      <w:r w:rsidR="007A0150">
        <w:rPr>
          <w:szCs w:val="22"/>
        </w:rPr>
        <w:t>qualifying service in the U.S. Virgin Islands,</w:t>
      </w:r>
      <w:r w:rsidR="00D23BCD">
        <w:rPr>
          <w:szCs w:val="22"/>
        </w:rPr>
        <w:t xml:space="preserve"> several unsubsidized competitors report</w:t>
      </w:r>
      <w:r>
        <w:rPr>
          <w:szCs w:val="22"/>
        </w:rPr>
        <w:t>ed</w:t>
      </w:r>
      <w:r w:rsidR="00D23BCD">
        <w:rPr>
          <w:szCs w:val="22"/>
        </w:rPr>
        <w:t xml:space="preserve"> qualifying service in Puerto Rico prior to </w:t>
      </w:r>
      <w:r w:rsidR="00F86D73">
        <w:rPr>
          <w:szCs w:val="22"/>
        </w:rPr>
        <w:t xml:space="preserve">Hurricane Maria.  However, we understand that the hurricane has </w:t>
      </w:r>
      <w:r w:rsidR="00D23BCD">
        <w:rPr>
          <w:szCs w:val="22"/>
        </w:rPr>
        <w:t xml:space="preserve">significantly impaired competitors’ ability </w:t>
      </w:r>
      <w:r w:rsidR="00F86D73">
        <w:rPr>
          <w:szCs w:val="22"/>
        </w:rPr>
        <w:t xml:space="preserve">to </w:t>
      </w:r>
      <w:r w:rsidR="00D23BCD">
        <w:rPr>
          <w:szCs w:val="22"/>
        </w:rPr>
        <w:t xml:space="preserve">provide </w:t>
      </w:r>
      <w:r w:rsidR="00F86D73">
        <w:rPr>
          <w:szCs w:val="22"/>
        </w:rPr>
        <w:t>service</w:t>
      </w:r>
      <w:r w:rsidR="006F16BD">
        <w:rPr>
          <w:szCs w:val="22"/>
        </w:rPr>
        <w:t>, and indeed has left Puerto Rico without power (</w:t>
      </w:r>
      <w:r w:rsidR="00EC614B">
        <w:rPr>
          <w:szCs w:val="22"/>
        </w:rPr>
        <w:t>probably</w:t>
      </w:r>
      <w:r w:rsidR="006F16BD">
        <w:rPr>
          <w:szCs w:val="22"/>
        </w:rPr>
        <w:t xml:space="preserve"> for at least several months</w:t>
      </w:r>
      <w:r w:rsidR="00B3579D">
        <w:rPr>
          <w:szCs w:val="22"/>
        </w:rPr>
        <w:t xml:space="preserve"> in some areas</w:t>
      </w:r>
      <w:r w:rsidR="006F16BD">
        <w:rPr>
          <w:szCs w:val="22"/>
        </w:rPr>
        <w:t>)</w:t>
      </w:r>
      <w:r w:rsidR="00F86D73">
        <w:rPr>
          <w:szCs w:val="22"/>
        </w:rPr>
        <w:t xml:space="preserve">.  </w:t>
      </w:r>
      <w:r w:rsidR="00B3579D">
        <w:rPr>
          <w:szCs w:val="22"/>
        </w:rPr>
        <w:t>Under these particular circumstances, we find that u</w:t>
      </w:r>
      <w:r w:rsidR="00F86D73">
        <w:rPr>
          <w:szCs w:val="22"/>
        </w:rPr>
        <w:t xml:space="preserve">ntil </w:t>
      </w:r>
      <w:r w:rsidR="00D23BCD">
        <w:rPr>
          <w:szCs w:val="22"/>
        </w:rPr>
        <w:t xml:space="preserve">an unsubsidized competitor </w:t>
      </w:r>
      <w:r w:rsidR="00F86D73">
        <w:rPr>
          <w:szCs w:val="22"/>
        </w:rPr>
        <w:t xml:space="preserve">can </w:t>
      </w:r>
      <w:r w:rsidR="00973595">
        <w:rPr>
          <w:szCs w:val="22"/>
        </w:rPr>
        <w:t>provide service</w:t>
      </w:r>
      <w:r w:rsidR="00F86D73">
        <w:rPr>
          <w:szCs w:val="22"/>
        </w:rPr>
        <w:t xml:space="preserve">, the rule does not </w:t>
      </w:r>
      <w:r w:rsidR="00D23BCD">
        <w:rPr>
          <w:szCs w:val="22"/>
        </w:rPr>
        <w:t xml:space="preserve">prohibit </w:t>
      </w:r>
      <w:r w:rsidR="00F86D73">
        <w:rPr>
          <w:szCs w:val="22"/>
        </w:rPr>
        <w:t xml:space="preserve">PRTC from using high-cost support in any part of Puerto Rico.  </w:t>
      </w:r>
      <w:r w:rsidR="00D23BCD">
        <w:rPr>
          <w:szCs w:val="22"/>
        </w:rPr>
        <w:t>In other words, we find that</w:t>
      </w:r>
      <w:r w:rsidR="006F16BD">
        <w:rPr>
          <w:szCs w:val="22"/>
        </w:rPr>
        <w:t>, at this time,</w:t>
      </w:r>
      <w:r w:rsidR="00D23BCD">
        <w:rPr>
          <w:szCs w:val="22"/>
        </w:rPr>
        <w:t xml:space="preserve"> all of Puerto Rico </w:t>
      </w:r>
      <w:r w:rsidR="007A0150">
        <w:rPr>
          <w:szCs w:val="22"/>
        </w:rPr>
        <w:t xml:space="preserve">is </w:t>
      </w:r>
      <w:r w:rsidR="00D23BCD">
        <w:rPr>
          <w:szCs w:val="22"/>
        </w:rPr>
        <w:t>presumptively unserved by unsubsidized competitors.</w:t>
      </w:r>
      <w:r w:rsidR="00B268D4">
        <w:rPr>
          <w:rStyle w:val="FootnoteReference"/>
          <w:szCs w:val="22"/>
        </w:rPr>
        <w:footnoteReference w:id="30"/>
      </w:r>
      <w:r w:rsidR="00D23BCD">
        <w:rPr>
          <w:szCs w:val="22"/>
        </w:rPr>
        <w:t xml:space="preserve">  </w:t>
      </w:r>
      <w:r>
        <w:rPr>
          <w:szCs w:val="22"/>
        </w:rPr>
        <w:t>T</w:t>
      </w:r>
      <w:r w:rsidR="007537F5">
        <w:rPr>
          <w:szCs w:val="22"/>
        </w:rPr>
        <w:t xml:space="preserve">hat presumption </w:t>
      </w:r>
      <w:r>
        <w:rPr>
          <w:szCs w:val="22"/>
        </w:rPr>
        <w:t>will end</w:t>
      </w:r>
      <w:r w:rsidR="007537F5">
        <w:rPr>
          <w:szCs w:val="22"/>
        </w:rPr>
        <w:t xml:space="preserve"> </w:t>
      </w:r>
      <w:r>
        <w:rPr>
          <w:szCs w:val="22"/>
        </w:rPr>
        <w:t>once</w:t>
      </w:r>
      <w:r w:rsidR="007537F5">
        <w:rPr>
          <w:szCs w:val="22"/>
        </w:rPr>
        <w:t xml:space="preserve"> </w:t>
      </w:r>
      <w:r w:rsidR="00973595">
        <w:rPr>
          <w:szCs w:val="22"/>
        </w:rPr>
        <w:t>an unsubsidized competitor of PRTC informs the Bureau</w:t>
      </w:r>
      <w:r w:rsidR="006D0CE3">
        <w:rPr>
          <w:szCs w:val="22"/>
        </w:rPr>
        <w:t xml:space="preserve"> and PRTC</w:t>
      </w:r>
      <w:r w:rsidR="006F16BD" w:rsidRPr="00D23BCD">
        <w:rPr>
          <w:szCs w:val="22"/>
        </w:rPr>
        <w:t xml:space="preserve"> </w:t>
      </w:r>
      <w:r w:rsidR="00F86D73" w:rsidRPr="00D23BCD">
        <w:rPr>
          <w:szCs w:val="22"/>
        </w:rPr>
        <w:t xml:space="preserve">that it has brought its </w:t>
      </w:r>
      <w:r w:rsidR="00D23BCD">
        <w:rPr>
          <w:szCs w:val="22"/>
        </w:rPr>
        <w:t>qualify</w:t>
      </w:r>
      <w:r w:rsidR="007A0150">
        <w:rPr>
          <w:szCs w:val="22"/>
        </w:rPr>
        <w:t>ing</w:t>
      </w:r>
      <w:r w:rsidR="00D23BCD">
        <w:rPr>
          <w:szCs w:val="22"/>
        </w:rPr>
        <w:t xml:space="preserve"> voice and broadband </w:t>
      </w:r>
      <w:r w:rsidR="00F86D73" w:rsidRPr="00D23BCD">
        <w:rPr>
          <w:szCs w:val="22"/>
        </w:rPr>
        <w:t>services back online in a given area</w:t>
      </w:r>
      <w:r w:rsidR="006F16BD">
        <w:rPr>
          <w:szCs w:val="22"/>
        </w:rPr>
        <w:t>.</w:t>
      </w:r>
      <w:r w:rsidR="00957764">
        <w:rPr>
          <w:rStyle w:val="FootnoteReference"/>
          <w:szCs w:val="22"/>
        </w:rPr>
        <w:footnoteReference w:id="31"/>
      </w:r>
      <w:r w:rsidR="00F86D73" w:rsidRPr="00D23BCD">
        <w:rPr>
          <w:szCs w:val="22"/>
        </w:rPr>
        <w:t xml:space="preserve"> </w:t>
      </w:r>
      <w:r w:rsidR="006F16BD">
        <w:rPr>
          <w:szCs w:val="22"/>
        </w:rPr>
        <w:t xml:space="preserve"> At that point, </w:t>
      </w:r>
      <w:r w:rsidR="00F86D73" w:rsidRPr="00D23BCD">
        <w:rPr>
          <w:szCs w:val="22"/>
        </w:rPr>
        <w:t xml:space="preserve">PRTC will have 60 days to wind down use of high-cost support </w:t>
      </w:r>
      <w:r w:rsidR="00A14BC7">
        <w:rPr>
          <w:szCs w:val="22"/>
        </w:rPr>
        <w:t>in the identified area</w:t>
      </w:r>
      <w:r w:rsidR="00F86D73" w:rsidRPr="00D23BCD">
        <w:rPr>
          <w:szCs w:val="22"/>
        </w:rPr>
        <w:t>.</w:t>
      </w:r>
      <w:r w:rsidR="00D23BCD">
        <w:rPr>
          <w:szCs w:val="22"/>
        </w:rPr>
        <w:t xml:space="preserve">  We provide this limited 60-day waiver </w:t>
      </w:r>
      <w:r w:rsidR="004816A0">
        <w:rPr>
          <w:szCs w:val="22"/>
        </w:rPr>
        <w:t xml:space="preserve">on our own motion </w:t>
      </w:r>
      <w:r w:rsidR="00D23BCD">
        <w:rPr>
          <w:szCs w:val="22"/>
        </w:rPr>
        <w:t>to PRTC due to the special circumstances of widespread service disruption to both the incumbent and competitors and the public interest of restoring service as soon as possible</w:t>
      </w:r>
      <w:r w:rsidR="00473CE6">
        <w:rPr>
          <w:szCs w:val="22"/>
        </w:rPr>
        <w:t xml:space="preserve"> to all parts of the island</w:t>
      </w:r>
      <w:r w:rsidR="00D23BCD">
        <w:rPr>
          <w:szCs w:val="22"/>
        </w:rPr>
        <w:t>.</w:t>
      </w:r>
      <w:r w:rsidR="00D23BCD">
        <w:rPr>
          <w:rStyle w:val="FootnoteReference"/>
          <w:szCs w:val="22"/>
        </w:rPr>
        <w:footnoteReference w:id="32"/>
      </w:r>
      <w:r w:rsidR="007A0150">
        <w:rPr>
          <w:szCs w:val="22"/>
        </w:rPr>
        <w:t xml:space="preserve">  </w:t>
      </w:r>
      <w:r w:rsidR="00C82602">
        <w:rPr>
          <w:szCs w:val="22"/>
        </w:rPr>
        <w:t xml:space="preserve">Moreover, we will independently review in six months whether this presumption should continue.  In light of the widespread destruction that has taken place in Puerto Rico, we believe that this is an appropriate timeframe for reassessment. </w:t>
      </w:r>
      <w:r w:rsidR="007537F5">
        <w:rPr>
          <w:szCs w:val="22"/>
        </w:rPr>
        <w:t xml:space="preserve"> </w:t>
      </w:r>
      <w:r w:rsidR="006D0CE3">
        <w:rPr>
          <w:szCs w:val="22"/>
        </w:rPr>
        <w:t xml:space="preserve">But, as explained above, should any unsubsidized competitor succeed </w:t>
      </w:r>
      <w:r w:rsidR="00C82602">
        <w:rPr>
          <w:szCs w:val="22"/>
        </w:rPr>
        <w:t>in restoring service</w:t>
      </w:r>
      <w:r w:rsidR="006D0CE3">
        <w:rPr>
          <w:szCs w:val="22"/>
        </w:rPr>
        <w:t xml:space="preserve"> within six months, PRTC’s 60-day window to wind down use of high-cost support will begin when the competitor </w:t>
      </w:r>
      <w:r w:rsidR="00A14BC7">
        <w:rPr>
          <w:szCs w:val="22"/>
        </w:rPr>
        <w:t xml:space="preserve">informs </w:t>
      </w:r>
      <w:r w:rsidR="006D0CE3">
        <w:rPr>
          <w:szCs w:val="22"/>
        </w:rPr>
        <w:t>the Bureau and PRTC</w:t>
      </w:r>
      <w:r w:rsidR="00B3579D">
        <w:rPr>
          <w:szCs w:val="22"/>
        </w:rPr>
        <w:t xml:space="preserve"> that qualifying voice and broadband service has been restored</w:t>
      </w:r>
      <w:r w:rsidR="006D0CE3">
        <w:rPr>
          <w:szCs w:val="22"/>
        </w:rPr>
        <w:t>.</w:t>
      </w:r>
    </w:p>
    <w:p w14:paraId="1A2FD7D4" w14:textId="2F99B7D3" w:rsidR="004816A0" w:rsidRDefault="00BA003F" w:rsidP="00151269">
      <w:pPr>
        <w:pStyle w:val="ParaNum"/>
        <w:widowControl/>
        <w:rPr>
          <w:szCs w:val="22"/>
        </w:rPr>
      </w:pPr>
      <w:bookmarkStart w:id="42" w:name="_Hlk494372027"/>
      <w:r>
        <w:rPr>
          <w:szCs w:val="22"/>
        </w:rPr>
        <w:t>Similarly, we clarify that</w:t>
      </w:r>
      <w:r w:rsidR="00EE1AE2">
        <w:rPr>
          <w:szCs w:val="22"/>
        </w:rPr>
        <w:t xml:space="preserve"> Section 254(e) of the Act and Section 54.7(a) of the Commission’s rules permit</w:t>
      </w:r>
      <w:r>
        <w:rPr>
          <w:szCs w:val="22"/>
        </w:rPr>
        <w:t xml:space="preserve"> CETCs receiving frozen high-cost support in Puerto Rico and the U.S. Virgin Islands </w:t>
      </w:r>
      <w:r w:rsidR="00EE1AE2">
        <w:rPr>
          <w:szCs w:val="22"/>
        </w:rPr>
        <w:t>to</w:t>
      </w:r>
      <w:r>
        <w:rPr>
          <w:szCs w:val="22"/>
        </w:rPr>
        <w:t xml:space="preserve"> use their </w:t>
      </w:r>
      <w:r w:rsidR="00870DD0">
        <w:rPr>
          <w:szCs w:val="22"/>
        </w:rPr>
        <w:t xml:space="preserve">frozen </w:t>
      </w:r>
      <w:r>
        <w:rPr>
          <w:szCs w:val="22"/>
        </w:rPr>
        <w:t xml:space="preserve">support </w:t>
      </w:r>
      <w:r w:rsidR="00C82602">
        <w:rPr>
          <w:szCs w:val="22"/>
        </w:rPr>
        <w:t xml:space="preserve">for restoration efforts </w:t>
      </w:r>
      <w:r>
        <w:rPr>
          <w:szCs w:val="22"/>
        </w:rPr>
        <w:t>to reestablish the level of service available throughout their respective designated service areas</w:t>
      </w:r>
      <w:r w:rsidR="00473CE6">
        <w:rPr>
          <w:szCs w:val="22"/>
        </w:rPr>
        <w:t xml:space="preserve"> prior to Hurricane Maria</w:t>
      </w:r>
      <w:r>
        <w:rPr>
          <w:szCs w:val="22"/>
        </w:rPr>
        <w:t>.</w:t>
      </w:r>
      <w:r w:rsidR="00EE1AE2">
        <w:rPr>
          <w:szCs w:val="22"/>
        </w:rPr>
        <w:t xml:space="preserve"> </w:t>
      </w:r>
    </w:p>
    <w:p w14:paraId="45188C52" w14:textId="7CB8832E" w:rsidR="00F86D73" w:rsidRDefault="00F86D73" w:rsidP="00151269">
      <w:pPr>
        <w:pStyle w:val="ParaNum"/>
        <w:widowControl/>
        <w:rPr>
          <w:szCs w:val="22"/>
        </w:rPr>
      </w:pPr>
      <w:bookmarkStart w:id="43" w:name="_Hlk494372177"/>
      <w:bookmarkEnd w:id="42"/>
      <w:r>
        <w:rPr>
          <w:szCs w:val="22"/>
        </w:rPr>
        <w:t xml:space="preserve">Finally, in order to assist with </w:t>
      </w:r>
      <w:r w:rsidR="006C0081">
        <w:rPr>
          <w:szCs w:val="22"/>
        </w:rPr>
        <w:t xml:space="preserve">carriers’ immediate needs and </w:t>
      </w:r>
      <w:r>
        <w:rPr>
          <w:szCs w:val="22"/>
        </w:rPr>
        <w:t xml:space="preserve">anticipated large repair costs, we direct the Universal Service Administrative Company (USAC) to </w:t>
      </w:r>
      <w:r w:rsidR="006C0081">
        <w:rPr>
          <w:szCs w:val="22"/>
        </w:rPr>
        <w:t xml:space="preserve">make available, at the carrier’s election, a </w:t>
      </w:r>
      <w:r w:rsidR="006C0081" w:rsidRPr="00C82602">
        <w:rPr>
          <w:szCs w:val="22"/>
        </w:rPr>
        <w:t xml:space="preserve">single advance payment of up to </w:t>
      </w:r>
      <w:r w:rsidR="00CA716D" w:rsidRPr="00C82602">
        <w:rPr>
          <w:szCs w:val="22"/>
        </w:rPr>
        <w:t xml:space="preserve">seven </w:t>
      </w:r>
      <w:r w:rsidRPr="00C82602">
        <w:rPr>
          <w:szCs w:val="22"/>
        </w:rPr>
        <w:t xml:space="preserve">months of </w:t>
      </w:r>
      <w:r w:rsidR="006C0081" w:rsidRPr="00C82602">
        <w:rPr>
          <w:szCs w:val="22"/>
        </w:rPr>
        <w:t>high-cost support.</w:t>
      </w:r>
      <w:r w:rsidR="006C0081" w:rsidRPr="00C82602">
        <w:rPr>
          <w:rStyle w:val="FootnoteReference"/>
          <w:szCs w:val="22"/>
        </w:rPr>
        <w:footnoteReference w:id="33"/>
      </w:r>
      <w:r w:rsidR="006C0081" w:rsidRPr="00C82602">
        <w:rPr>
          <w:szCs w:val="22"/>
        </w:rPr>
        <w:t xml:space="preserve">  </w:t>
      </w:r>
      <w:r w:rsidR="00774C76">
        <w:rPr>
          <w:szCs w:val="22"/>
        </w:rPr>
        <w:t xml:space="preserve">We note that, to the extent these funds are not used in accordance with </w:t>
      </w:r>
      <w:r w:rsidR="005A4B80">
        <w:rPr>
          <w:szCs w:val="22"/>
        </w:rPr>
        <w:t>the provisions set forth herein</w:t>
      </w:r>
      <w:r w:rsidR="00774C76">
        <w:rPr>
          <w:szCs w:val="22"/>
        </w:rPr>
        <w:t xml:space="preserve">, carriers may be subject to enforcement action.  </w:t>
      </w:r>
      <w:r w:rsidR="006C0081" w:rsidRPr="00C82602">
        <w:rPr>
          <w:szCs w:val="22"/>
        </w:rPr>
        <w:t>At this time, w</w:t>
      </w:r>
      <w:r w:rsidRPr="00C82602">
        <w:rPr>
          <w:szCs w:val="22"/>
        </w:rPr>
        <w:t xml:space="preserve">e do not authorize additional support but only </w:t>
      </w:r>
      <w:r w:rsidR="006C0081" w:rsidRPr="00C82602">
        <w:rPr>
          <w:szCs w:val="22"/>
        </w:rPr>
        <w:t xml:space="preserve">accelerate </w:t>
      </w:r>
      <w:r w:rsidRPr="00C82602">
        <w:rPr>
          <w:szCs w:val="22"/>
        </w:rPr>
        <w:t xml:space="preserve">the delivery date of </w:t>
      </w:r>
      <w:r w:rsidR="006C0081" w:rsidRPr="00C82602">
        <w:rPr>
          <w:szCs w:val="22"/>
        </w:rPr>
        <w:t xml:space="preserve">existing </w:t>
      </w:r>
      <w:r w:rsidRPr="00C82602">
        <w:rPr>
          <w:szCs w:val="22"/>
        </w:rPr>
        <w:t>fund</w:t>
      </w:r>
      <w:r w:rsidR="006C0081" w:rsidRPr="00C82602">
        <w:rPr>
          <w:szCs w:val="22"/>
        </w:rPr>
        <w:t>ing levels</w:t>
      </w:r>
      <w:r w:rsidRPr="00C82602">
        <w:rPr>
          <w:szCs w:val="22"/>
        </w:rPr>
        <w:t xml:space="preserve">.  </w:t>
      </w:r>
      <w:r w:rsidR="006C0081" w:rsidRPr="003B614A">
        <w:rPr>
          <w:szCs w:val="22"/>
        </w:rPr>
        <w:t xml:space="preserve">Carriers should notify USAC no later than </w:t>
      </w:r>
      <w:r w:rsidR="009C4F29">
        <w:rPr>
          <w:szCs w:val="22"/>
        </w:rPr>
        <w:t>October</w:t>
      </w:r>
      <w:r w:rsidR="009C4F29" w:rsidRPr="003B614A">
        <w:rPr>
          <w:szCs w:val="22"/>
        </w:rPr>
        <w:t xml:space="preserve"> </w:t>
      </w:r>
      <w:r w:rsidR="00CA716D" w:rsidRPr="003B614A">
        <w:rPr>
          <w:szCs w:val="22"/>
        </w:rPr>
        <w:t>1</w:t>
      </w:r>
      <w:r w:rsidR="003107C3">
        <w:rPr>
          <w:szCs w:val="22"/>
        </w:rPr>
        <w:t>3</w:t>
      </w:r>
      <w:r w:rsidR="006C0081" w:rsidRPr="003B614A">
        <w:rPr>
          <w:szCs w:val="22"/>
        </w:rPr>
        <w:t xml:space="preserve">, 2017 by sending an email to </w:t>
      </w:r>
      <w:hyperlink r:id="rId8" w:history="1">
        <w:r w:rsidR="00792E5A" w:rsidRPr="001F088F">
          <w:rPr>
            <w:rStyle w:val="Hyperlink"/>
            <w:szCs w:val="22"/>
          </w:rPr>
          <w:t>HCquestions@usac.org</w:t>
        </w:r>
      </w:hyperlink>
      <w:r w:rsidR="00792E5A" w:rsidRPr="001F088F">
        <w:rPr>
          <w:color w:val="1F497D"/>
          <w:szCs w:val="22"/>
        </w:rPr>
        <w:t xml:space="preserve"> </w:t>
      </w:r>
      <w:r w:rsidR="006C0081" w:rsidRPr="00C82602">
        <w:rPr>
          <w:szCs w:val="22"/>
        </w:rPr>
        <w:t>or calling</w:t>
      </w:r>
      <w:r w:rsidR="00792E5A" w:rsidRPr="00C82602">
        <w:rPr>
          <w:szCs w:val="22"/>
        </w:rPr>
        <w:t xml:space="preserve"> </w:t>
      </w:r>
      <w:r w:rsidR="009C4F29">
        <w:rPr>
          <w:szCs w:val="22"/>
        </w:rPr>
        <w:t>(</w:t>
      </w:r>
      <w:r w:rsidR="00792E5A" w:rsidRPr="00C82602">
        <w:rPr>
          <w:szCs w:val="22"/>
        </w:rPr>
        <w:t>202</w:t>
      </w:r>
      <w:r w:rsidR="009C4F29">
        <w:rPr>
          <w:szCs w:val="22"/>
        </w:rPr>
        <w:t xml:space="preserve">) </w:t>
      </w:r>
      <w:r w:rsidR="00792E5A" w:rsidRPr="00C82602">
        <w:rPr>
          <w:szCs w:val="22"/>
        </w:rPr>
        <w:t>772-4537</w:t>
      </w:r>
      <w:r w:rsidR="006C0081" w:rsidRPr="00C82602">
        <w:rPr>
          <w:szCs w:val="22"/>
        </w:rPr>
        <w:t>.</w:t>
      </w:r>
      <w:r w:rsidR="003F66A4" w:rsidRPr="00C82602">
        <w:rPr>
          <w:rStyle w:val="FootnoteReference"/>
          <w:szCs w:val="22"/>
        </w:rPr>
        <w:footnoteReference w:id="34"/>
      </w:r>
      <w:r w:rsidR="006C0081" w:rsidRPr="00C82602">
        <w:rPr>
          <w:szCs w:val="22"/>
        </w:rPr>
        <w:t xml:space="preserve">  Subsequent to the one-time advance payment</w:t>
      </w:r>
      <w:r w:rsidR="00E1730A" w:rsidRPr="00C82602">
        <w:rPr>
          <w:szCs w:val="22"/>
        </w:rPr>
        <w:t xml:space="preserve"> that carriers may elect</w:t>
      </w:r>
      <w:r w:rsidR="006C0081" w:rsidRPr="00C82602">
        <w:rPr>
          <w:szCs w:val="22"/>
        </w:rPr>
        <w:t>, monthly payments should continue at normal monthly amounts for five months.  We will revisit the support payment schedule</w:t>
      </w:r>
      <w:r w:rsidR="006C0081">
        <w:rPr>
          <w:szCs w:val="22"/>
        </w:rPr>
        <w:t xml:space="preserve"> prior to </w:t>
      </w:r>
      <w:r w:rsidR="00CA716D">
        <w:rPr>
          <w:szCs w:val="22"/>
        </w:rPr>
        <w:t xml:space="preserve">the </w:t>
      </w:r>
      <w:r w:rsidR="009C4F29">
        <w:rPr>
          <w:szCs w:val="22"/>
        </w:rPr>
        <w:t>April</w:t>
      </w:r>
      <w:r w:rsidR="00CA716D">
        <w:rPr>
          <w:szCs w:val="22"/>
        </w:rPr>
        <w:t xml:space="preserve"> </w:t>
      </w:r>
      <w:r w:rsidR="006C0081">
        <w:rPr>
          <w:szCs w:val="22"/>
        </w:rPr>
        <w:t>2018 payments</w:t>
      </w:r>
      <w:r w:rsidR="00CA716D">
        <w:rPr>
          <w:szCs w:val="22"/>
        </w:rPr>
        <w:t xml:space="preserve"> and will consider at that time a schedule for offsetting advanced funds against future payments due</w:t>
      </w:r>
      <w:r>
        <w:rPr>
          <w:szCs w:val="22"/>
        </w:rPr>
        <w:t>.</w:t>
      </w:r>
    </w:p>
    <w:p w14:paraId="51EE61EE" w14:textId="74B8E0AE" w:rsidR="00AE03C4" w:rsidRDefault="00AD16D8" w:rsidP="00151269">
      <w:pPr>
        <w:pStyle w:val="ParaNum"/>
        <w:widowControl/>
        <w:rPr>
          <w:szCs w:val="22"/>
        </w:rPr>
      </w:pPr>
      <w:r w:rsidRPr="00BC1212">
        <w:rPr>
          <w:szCs w:val="22"/>
        </w:rPr>
        <w:t xml:space="preserve">Advanced payment of high-cost support is intended to facilitate expeditious restoration of essential communications services across all affected areas subject to this Order.  </w:t>
      </w:r>
      <w:r w:rsidR="00B3579D" w:rsidRPr="00BC1212">
        <w:rPr>
          <w:szCs w:val="22"/>
        </w:rPr>
        <w:t xml:space="preserve">Carriers that choose to access accelerated high-cost support </w:t>
      </w:r>
      <w:r w:rsidR="009F3E4E">
        <w:rPr>
          <w:szCs w:val="22"/>
        </w:rPr>
        <w:t>should</w:t>
      </w:r>
      <w:r w:rsidR="003B5321">
        <w:rPr>
          <w:szCs w:val="22"/>
        </w:rPr>
        <w:t>,</w:t>
      </w:r>
      <w:r w:rsidR="00B3579D" w:rsidRPr="00BC1212">
        <w:rPr>
          <w:szCs w:val="22"/>
        </w:rPr>
        <w:t xml:space="preserve"> during the periods covered by the advanced payments, coordinate their network repair activities to ensure that the greatest coverage is available to the most people and to minimize duplicative coverage</w:t>
      </w:r>
      <w:r w:rsidRPr="00BC1212">
        <w:rPr>
          <w:szCs w:val="22"/>
        </w:rPr>
        <w:t xml:space="preserve">.  </w:t>
      </w:r>
      <w:r>
        <w:rPr>
          <w:szCs w:val="22"/>
        </w:rPr>
        <w:t>T</w:t>
      </w:r>
      <w:r w:rsidRPr="00BC1212">
        <w:rPr>
          <w:szCs w:val="22"/>
        </w:rPr>
        <w:t>o facilitate coordination of network restoration activities</w:t>
      </w:r>
      <w:r>
        <w:rPr>
          <w:szCs w:val="22"/>
        </w:rPr>
        <w:t>,</w:t>
      </w:r>
      <w:r w:rsidRPr="00BC1212">
        <w:rPr>
          <w:szCs w:val="22"/>
        </w:rPr>
        <w:t xml:space="preserve"> </w:t>
      </w:r>
      <w:r>
        <w:rPr>
          <w:szCs w:val="22"/>
        </w:rPr>
        <w:t>c</w:t>
      </w:r>
      <w:r w:rsidRPr="00BC1212">
        <w:rPr>
          <w:szCs w:val="22"/>
        </w:rPr>
        <w:t xml:space="preserve">arriers should contact </w:t>
      </w:r>
      <w:r w:rsidRPr="00BC1212">
        <w:t>Renee Roland, Special Counsel, Public Safety and Homeland Security Bureau, Federal Communications Commission, at (202) 418-2357</w:t>
      </w:r>
      <w:r>
        <w:t xml:space="preserve"> or </w:t>
      </w:r>
      <w:hyperlink r:id="rId9" w:history="1">
        <w:r w:rsidRPr="00BC1212">
          <w:rPr>
            <w:rStyle w:val="Hyperlink"/>
          </w:rPr>
          <w:t>renee.roland@fcc.gov</w:t>
        </w:r>
      </w:hyperlink>
      <w:r w:rsidRPr="00BC1212">
        <w:rPr>
          <w:szCs w:val="22"/>
        </w:rPr>
        <w:t xml:space="preserve">.  At a minimum, we expect carriers’ coordination activities to be consistent with the Wireless Resiliency Cooperative Framework Commitments set forth in the Commission’s </w:t>
      </w:r>
      <w:r w:rsidRPr="00BC1212">
        <w:rPr>
          <w:i/>
          <w:szCs w:val="22"/>
        </w:rPr>
        <w:t>Order on Improving the Resiliency of Mobile Wireless Communications Networks and on Reliability and Continuity of Communications Networks, including Broadband Technologies</w:t>
      </w:r>
      <w:r w:rsidRPr="00BC1212">
        <w:rPr>
          <w:szCs w:val="22"/>
        </w:rPr>
        <w:t>.</w:t>
      </w:r>
      <w:r w:rsidRPr="00BC1212">
        <w:rPr>
          <w:rStyle w:val="FootnoteReference"/>
          <w:szCs w:val="22"/>
        </w:rPr>
        <w:footnoteReference w:id="35"/>
      </w:r>
    </w:p>
    <w:bookmarkEnd w:id="43"/>
    <w:p w14:paraId="14D74E18" w14:textId="223710AB" w:rsidR="006C0081" w:rsidRPr="006C0081" w:rsidRDefault="006C0081" w:rsidP="00151269">
      <w:pPr>
        <w:pStyle w:val="Heading1"/>
        <w:widowControl/>
      </w:pPr>
      <w:r>
        <w:t>Ordering clauses</w:t>
      </w:r>
    </w:p>
    <w:p w14:paraId="096DE741" w14:textId="0C7EC852" w:rsidR="00F3272E" w:rsidRDefault="00C5312B" w:rsidP="00151269">
      <w:pPr>
        <w:pStyle w:val="ParaNum"/>
        <w:widowControl/>
      </w:pPr>
      <w:r>
        <w:t xml:space="preserve">Accordingly, IT IS ORDERED that, pursuant to </w:t>
      </w:r>
      <w:r w:rsidR="00B553D5">
        <w:t xml:space="preserve">Section </w:t>
      </w:r>
      <w:r>
        <w:t>1.3 of the Commission’s rules, 47 CFR §</w:t>
      </w:r>
      <w:r w:rsidR="00F65858">
        <w:t xml:space="preserve"> </w:t>
      </w:r>
      <w:r>
        <w:t xml:space="preserve">1.3, </w:t>
      </w:r>
      <w:r w:rsidR="00B3579D">
        <w:t>Section 54.313(c)(4)</w:t>
      </w:r>
      <w:r>
        <w:t xml:space="preserve"> of the </w:t>
      </w:r>
      <w:r w:rsidR="00451EC5">
        <w:t>Commission’s rules, 47 CFR §</w:t>
      </w:r>
      <w:r>
        <w:t xml:space="preserve"> 54.</w:t>
      </w:r>
      <w:r w:rsidR="00463705">
        <w:t>313</w:t>
      </w:r>
      <w:r w:rsidR="00F65858">
        <w:t>(c)(4</w:t>
      </w:r>
      <w:r w:rsidR="00451EC5">
        <w:t>), IS</w:t>
      </w:r>
      <w:r>
        <w:t xml:space="preserve"> WAIVED to the extent described above.</w:t>
      </w:r>
    </w:p>
    <w:p w14:paraId="7EB2FB4C" w14:textId="13D3E891" w:rsidR="00C5312B" w:rsidRDefault="00C5312B" w:rsidP="00151269">
      <w:pPr>
        <w:pStyle w:val="ParaNum"/>
        <w:widowControl/>
        <w:rPr>
          <w:szCs w:val="22"/>
        </w:rPr>
      </w:pPr>
      <w:r w:rsidRPr="00F86D73">
        <w:rPr>
          <w:szCs w:val="22"/>
        </w:rPr>
        <w:t xml:space="preserve">IT IS FURTHER ORDERED that, pursuant to </w:t>
      </w:r>
      <w:r w:rsidR="00FC4E67">
        <w:rPr>
          <w:szCs w:val="22"/>
        </w:rPr>
        <w:t>S</w:t>
      </w:r>
      <w:r w:rsidR="00FC4E67" w:rsidRPr="00F86D73">
        <w:rPr>
          <w:szCs w:val="22"/>
        </w:rPr>
        <w:t xml:space="preserve">ection </w:t>
      </w:r>
      <w:r w:rsidRPr="00F86D73">
        <w:rPr>
          <w:szCs w:val="22"/>
        </w:rPr>
        <w:t>1.102(b)(1) of the Commission’s rules, 47 CFR § 1.102(b)(1), this Order SHALL BE EFFECTIVE upon release.</w:t>
      </w:r>
    </w:p>
    <w:p w14:paraId="0A171095" w14:textId="77777777" w:rsidR="00053C59" w:rsidRPr="00F86D73" w:rsidRDefault="00053C59" w:rsidP="00053C59">
      <w:pPr>
        <w:pStyle w:val="ParaNum"/>
        <w:widowControl/>
        <w:numPr>
          <w:ilvl w:val="0"/>
          <w:numId w:val="0"/>
        </w:numPr>
        <w:rPr>
          <w:szCs w:val="22"/>
        </w:rPr>
      </w:pPr>
    </w:p>
    <w:p w14:paraId="655DB198" w14:textId="77777777" w:rsidR="00053C59" w:rsidRDefault="00053C59" w:rsidP="0017296B">
      <w:r>
        <w:tab/>
      </w:r>
      <w:r>
        <w:tab/>
      </w:r>
      <w:r>
        <w:tab/>
      </w:r>
      <w:r>
        <w:tab/>
      </w:r>
      <w:r>
        <w:tab/>
      </w:r>
      <w:r>
        <w:tab/>
        <w:t>FEDERAL COMMUNICATIONS COMMISSION</w:t>
      </w:r>
    </w:p>
    <w:p w14:paraId="567311DF" w14:textId="77777777" w:rsidR="00053C59" w:rsidRDefault="00053C59" w:rsidP="0017296B"/>
    <w:p w14:paraId="1781894E" w14:textId="77777777" w:rsidR="00053C59" w:rsidRDefault="00053C59" w:rsidP="0017296B"/>
    <w:p w14:paraId="5F7D4163" w14:textId="77777777" w:rsidR="00053C59" w:rsidRDefault="00053C59" w:rsidP="0017296B"/>
    <w:p w14:paraId="63425AD0" w14:textId="77777777" w:rsidR="00053C59" w:rsidRDefault="00053C59" w:rsidP="0017296B"/>
    <w:p w14:paraId="03A2D454" w14:textId="77777777" w:rsidR="00053C59" w:rsidRDefault="00053C59" w:rsidP="0017296B">
      <w:r>
        <w:tab/>
      </w:r>
      <w:r>
        <w:tab/>
      </w:r>
      <w:r>
        <w:tab/>
      </w:r>
      <w:r>
        <w:tab/>
      </w:r>
      <w:r>
        <w:tab/>
      </w:r>
      <w:r>
        <w:tab/>
        <w:t>Marlene H. Dortch</w:t>
      </w:r>
    </w:p>
    <w:p w14:paraId="18B84A2C" w14:textId="77777777" w:rsidR="00053C59" w:rsidRDefault="00053C59" w:rsidP="0017296B">
      <w:r>
        <w:tab/>
      </w:r>
      <w:r>
        <w:tab/>
      </w:r>
      <w:r>
        <w:tab/>
      </w:r>
      <w:r>
        <w:tab/>
      </w:r>
      <w:r>
        <w:tab/>
      </w:r>
      <w:r>
        <w:tab/>
        <w:t>Secretary</w:t>
      </w:r>
    </w:p>
    <w:p w14:paraId="757B9C1D" w14:textId="77777777" w:rsidR="00053C59" w:rsidRDefault="00053C59" w:rsidP="00347D1C">
      <w:pPr>
        <w:jc w:val="center"/>
        <w:rPr>
          <w:b/>
          <w:bCs/>
          <w:color w:val="000000"/>
        </w:rPr>
      </w:pPr>
    </w:p>
    <w:p w14:paraId="72045949" w14:textId="77777777" w:rsidR="00053C59" w:rsidRDefault="00053C59" w:rsidP="00347D1C">
      <w:pPr>
        <w:jc w:val="center"/>
        <w:rPr>
          <w:b/>
          <w:bCs/>
          <w:color w:val="000000"/>
        </w:rPr>
        <w:sectPr w:rsidR="00053C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pgNumType w:start="1"/>
          <w:cols w:space="720"/>
          <w:titlePg/>
        </w:sectPr>
      </w:pPr>
    </w:p>
    <w:p w14:paraId="42AC0513" w14:textId="421B106B" w:rsidR="00347D1C" w:rsidRPr="002C77DC" w:rsidRDefault="00347D1C" w:rsidP="00347D1C">
      <w:pPr>
        <w:jc w:val="center"/>
        <w:rPr>
          <w:b/>
          <w:bCs/>
          <w:color w:val="000000"/>
        </w:rPr>
      </w:pPr>
      <w:r w:rsidRPr="002C77DC">
        <w:rPr>
          <w:b/>
          <w:bCs/>
          <w:color w:val="000000"/>
        </w:rPr>
        <w:t>APPENDIX</w:t>
      </w:r>
    </w:p>
    <w:p w14:paraId="5C4B932D" w14:textId="77777777" w:rsidR="00347D1C" w:rsidRPr="002C77DC" w:rsidRDefault="00347D1C" w:rsidP="00347D1C">
      <w:pPr>
        <w:jc w:val="center"/>
        <w:rPr>
          <w:b/>
          <w:bCs/>
          <w:color w:val="000000"/>
        </w:rPr>
      </w:pPr>
    </w:p>
    <w:p w14:paraId="5A5A070E" w14:textId="77777777" w:rsidR="00347D1C" w:rsidRPr="002C77DC" w:rsidRDefault="00347D1C" w:rsidP="00347D1C">
      <w:pPr>
        <w:jc w:val="center"/>
        <w:rPr>
          <w:b/>
          <w:bCs/>
          <w:color w:val="000000"/>
        </w:rPr>
      </w:pPr>
      <w:r>
        <w:rPr>
          <w:b/>
          <w:bCs/>
          <w:color w:val="000000"/>
        </w:rPr>
        <w:t>Amounts of Seven Months of Advanced High-Cost Support</w:t>
      </w:r>
    </w:p>
    <w:p w14:paraId="4ACD7888" w14:textId="77777777" w:rsidR="00347D1C" w:rsidRDefault="00347D1C" w:rsidP="00347D1C"/>
    <w:tbl>
      <w:tblPr>
        <w:tblW w:w="9198" w:type="dxa"/>
        <w:jc w:val="center"/>
        <w:tblLook w:val="04A0" w:firstRow="1" w:lastRow="0" w:firstColumn="1" w:lastColumn="0" w:noHBand="0" w:noVBand="1"/>
      </w:tblPr>
      <w:tblGrid>
        <w:gridCol w:w="1108"/>
        <w:gridCol w:w="900"/>
        <w:gridCol w:w="5477"/>
        <w:gridCol w:w="1713"/>
      </w:tblGrid>
      <w:tr w:rsidR="00347D1C" w:rsidRPr="001D6786" w14:paraId="6D66C426" w14:textId="77777777" w:rsidTr="0062049B">
        <w:trPr>
          <w:trHeight w:val="525"/>
          <w:jc w:val="center"/>
        </w:trPr>
        <w:tc>
          <w:tcPr>
            <w:tcW w:w="1108"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4795C815" w14:textId="3B136780" w:rsidR="00347D1C" w:rsidRPr="001D6786" w:rsidRDefault="00347D1C" w:rsidP="0062049B">
            <w:pPr>
              <w:jc w:val="center"/>
              <w:rPr>
                <w:b/>
                <w:bCs/>
                <w:color w:val="000000"/>
              </w:rPr>
            </w:pPr>
          </w:p>
        </w:tc>
        <w:tc>
          <w:tcPr>
            <w:tcW w:w="900" w:type="dxa"/>
            <w:tcBorders>
              <w:top w:val="single" w:sz="8" w:space="0" w:color="auto"/>
              <w:left w:val="nil"/>
              <w:bottom w:val="single" w:sz="8" w:space="0" w:color="auto"/>
              <w:right w:val="single" w:sz="8" w:space="0" w:color="auto"/>
            </w:tcBorders>
            <w:shd w:val="clear" w:color="000000" w:fill="D0CECE"/>
            <w:noWrap/>
            <w:vAlign w:val="center"/>
            <w:hideMark/>
          </w:tcPr>
          <w:p w14:paraId="58299CD4" w14:textId="7276725D" w:rsidR="00347D1C" w:rsidRPr="001D6786" w:rsidRDefault="00347D1C" w:rsidP="0062049B">
            <w:pPr>
              <w:jc w:val="center"/>
              <w:rPr>
                <w:b/>
                <w:bCs/>
                <w:color w:val="000000"/>
              </w:rPr>
            </w:pPr>
          </w:p>
        </w:tc>
        <w:tc>
          <w:tcPr>
            <w:tcW w:w="5477" w:type="dxa"/>
            <w:tcBorders>
              <w:top w:val="single" w:sz="8" w:space="0" w:color="auto"/>
              <w:left w:val="nil"/>
              <w:bottom w:val="single" w:sz="8" w:space="0" w:color="auto"/>
              <w:right w:val="single" w:sz="8" w:space="0" w:color="auto"/>
            </w:tcBorders>
            <w:shd w:val="clear" w:color="000000" w:fill="D0CECE"/>
            <w:noWrap/>
            <w:vAlign w:val="center"/>
            <w:hideMark/>
          </w:tcPr>
          <w:p w14:paraId="4F724AA1" w14:textId="450E43F5" w:rsidR="00347D1C" w:rsidRPr="001D6786" w:rsidRDefault="00347D1C" w:rsidP="0062049B">
            <w:pPr>
              <w:jc w:val="center"/>
              <w:rPr>
                <w:b/>
                <w:bCs/>
                <w:color w:val="000000"/>
              </w:rPr>
            </w:pPr>
          </w:p>
        </w:tc>
        <w:tc>
          <w:tcPr>
            <w:tcW w:w="1713" w:type="dxa"/>
            <w:tcBorders>
              <w:top w:val="single" w:sz="8" w:space="0" w:color="auto"/>
              <w:left w:val="nil"/>
              <w:bottom w:val="single" w:sz="8" w:space="0" w:color="auto"/>
              <w:right w:val="single" w:sz="8" w:space="0" w:color="auto"/>
            </w:tcBorders>
            <w:shd w:val="clear" w:color="000000" w:fill="D0CECE"/>
            <w:vAlign w:val="center"/>
            <w:hideMark/>
          </w:tcPr>
          <w:p w14:paraId="6EA5E59E" w14:textId="4F51F6AE" w:rsidR="00347D1C" w:rsidRPr="001D6786" w:rsidRDefault="00347D1C" w:rsidP="0062049B">
            <w:pPr>
              <w:jc w:val="center"/>
              <w:rPr>
                <w:b/>
                <w:bCs/>
                <w:color w:val="000000"/>
              </w:rPr>
            </w:pPr>
          </w:p>
        </w:tc>
      </w:tr>
      <w:tr w:rsidR="00347D1C" w:rsidRPr="001D6786" w14:paraId="5348DE8B" w14:textId="77777777" w:rsidTr="0062049B">
        <w:trPr>
          <w:trHeight w:val="315"/>
          <w:jc w:val="center"/>
        </w:trPr>
        <w:tc>
          <w:tcPr>
            <w:tcW w:w="1108" w:type="dxa"/>
            <w:tcBorders>
              <w:top w:val="nil"/>
              <w:left w:val="single" w:sz="8" w:space="0" w:color="auto"/>
              <w:bottom w:val="single" w:sz="8" w:space="0" w:color="auto"/>
              <w:right w:val="single" w:sz="8" w:space="0" w:color="auto"/>
            </w:tcBorders>
            <w:shd w:val="clear" w:color="auto" w:fill="auto"/>
            <w:noWrap/>
            <w:vAlign w:val="center"/>
          </w:tcPr>
          <w:p w14:paraId="1A7FD96C" w14:textId="77777777" w:rsidR="00347D1C" w:rsidRPr="00B8307B" w:rsidRDefault="00347D1C" w:rsidP="0062049B">
            <w:pPr>
              <w:rPr>
                <w:color w:val="000000"/>
              </w:rPr>
            </w:pPr>
            <w:r w:rsidRPr="00B8307B">
              <w:rPr>
                <w:color w:val="000000"/>
              </w:rPr>
              <w:t>PR</w:t>
            </w:r>
          </w:p>
        </w:tc>
        <w:tc>
          <w:tcPr>
            <w:tcW w:w="900" w:type="dxa"/>
            <w:tcBorders>
              <w:top w:val="nil"/>
              <w:left w:val="nil"/>
              <w:bottom w:val="single" w:sz="8" w:space="0" w:color="auto"/>
              <w:right w:val="single" w:sz="8" w:space="0" w:color="auto"/>
            </w:tcBorders>
            <w:shd w:val="clear" w:color="auto" w:fill="auto"/>
            <w:noWrap/>
            <w:vAlign w:val="center"/>
          </w:tcPr>
          <w:p w14:paraId="35C4C233" w14:textId="77777777" w:rsidR="00347D1C" w:rsidRPr="00B8307B" w:rsidRDefault="00347D1C" w:rsidP="0062049B">
            <w:pPr>
              <w:rPr>
                <w:color w:val="000000"/>
              </w:rPr>
            </w:pPr>
            <w:r w:rsidRPr="00B8307B">
              <w:rPr>
                <w:color w:val="000000"/>
              </w:rPr>
              <w:t>633200</w:t>
            </w:r>
          </w:p>
        </w:tc>
        <w:tc>
          <w:tcPr>
            <w:tcW w:w="5477" w:type="dxa"/>
            <w:tcBorders>
              <w:top w:val="nil"/>
              <w:left w:val="nil"/>
              <w:bottom w:val="single" w:sz="8" w:space="0" w:color="auto"/>
              <w:right w:val="single" w:sz="8" w:space="0" w:color="auto"/>
            </w:tcBorders>
            <w:shd w:val="clear" w:color="auto" w:fill="auto"/>
            <w:noWrap/>
            <w:vAlign w:val="center"/>
          </w:tcPr>
          <w:p w14:paraId="585B00AF" w14:textId="77777777" w:rsidR="00347D1C" w:rsidRPr="00B8307B" w:rsidRDefault="00347D1C" w:rsidP="0062049B">
            <w:pPr>
              <w:rPr>
                <w:color w:val="000000"/>
              </w:rPr>
            </w:pPr>
            <w:r w:rsidRPr="00B8307B">
              <w:rPr>
                <w:color w:val="000000"/>
              </w:rPr>
              <w:t>P R T C - CENTRAL</w:t>
            </w:r>
          </w:p>
        </w:tc>
        <w:tc>
          <w:tcPr>
            <w:tcW w:w="1713" w:type="dxa"/>
            <w:tcBorders>
              <w:top w:val="nil"/>
              <w:left w:val="nil"/>
              <w:bottom w:val="single" w:sz="8" w:space="0" w:color="auto"/>
              <w:right w:val="single" w:sz="8" w:space="0" w:color="auto"/>
            </w:tcBorders>
            <w:shd w:val="clear" w:color="auto" w:fill="auto"/>
            <w:noWrap/>
            <w:vAlign w:val="center"/>
          </w:tcPr>
          <w:p w14:paraId="36361177" w14:textId="051D4810" w:rsidR="00347D1C" w:rsidRPr="00B8307B" w:rsidRDefault="00F3272E" w:rsidP="0062049B">
            <w:pPr>
              <w:jc w:val="right"/>
              <w:rPr>
                <w:color w:val="000000"/>
              </w:rPr>
            </w:pPr>
            <w:r>
              <w:rPr>
                <w:color w:val="000000"/>
              </w:rPr>
              <w:t>$</w:t>
            </w:r>
            <w:r w:rsidR="00347D1C" w:rsidRPr="00B8307B">
              <w:rPr>
                <w:color w:val="000000"/>
              </w:rPr>
              <w:t>3,621,002</w:t>
            </w:r>
          </w:p>
        </w:tc>
      </w:tr>
      <w:tr w:rsidR="00347D1C" w:rsidRPr="001D6786" w14:paraId="74D78994" w14:textId="77777777" w:rsidTr="0062049B">
        <w:trPr>
          <w:trHeight w:val="315"/>
          <w:jc w:val="center"/>
        </w:trPr>
        <w:tc>
          <w:tcPr>
            <w:tcW w:w="1108" w:type="dxa"/>
            <w:tcBorders>
              <w:top w:val="nil"/>
              <w:left w:val="single" w:sz="8" w:space="0" w:color="auto"/>
              <w:bottom w:val="single" w:sz="8" w:space="0" w:color="auto"/>
              <w:right w:val="single" w:sz="8" w:space="0" w:color="auto"/>
            </w:tcBorders>
            <w:shd w:val="clear" w:color="auto" w:fill="auto"/>
            <w:noWrap/>
            <w:vAlign w:val="center"/>
          </w:tcPr>
          <w:p w14:paraId="2D8E4BF2" w14:textId="77777777" w:rsidR="00347D1C" w:rsidRPr="00B8307B" w:rsidRDefault="00347D1C" w:rsidP="0062049B">
            <w:pPr>
              <w:rPr>
                <w:color w:val="000000"/>
              </w:rPr>
            </w:pPr>
            <w:r w:rsidRPr="00B8307B">
              <w:rPr>
                <w:color w:val="000000"/>
              </w:rPr>
              <w:t>PR</w:t>
            </w:r>
          </w:p>
        </w:tc>
        <w:tc>
          <w:tcPr>
            <w:tcW w:w="900" w:type="dxa"/>
            <w:tcBorders>
              <w:top w:val="nil"/>
              <w:left w:val="nil"/>
              <w:bottom w:val="single" w:sz="8" w:space="0" w:color="auto"/>
              <w:right w:val="single" w:sz="8" w:space="0" w:color="auto"/>
            </w:tcBorders>
            <w:shd w:val="clear" w:color="auto" w:fill="auto"/>
            <w:noWrap/>
            <w:vAlign w:val="center"/>
          </w:tcPr>
          <w:p w14:paraId="47044766" w14:textId="77777777" w:rsidR="00347D1C" w:rsidRPr="00B8307B" w:rsidRDefault="00347D1C" w:rsidP="0062049B">
            <w:pPr>
              <w:rPr>
                <w:color w:val="000000"/>
              </w:rPr>
            </w:pPr>
            <w:r w:rsidRPr="00B8307B">
              <w:rPr>
                <w:color w:val="000000"/>
              </w:rPr>
              <w:t>633201</w:t>
            </w:r>
          </w:p>
        </w:tc>
        <w:tc>
          <w:tcPr>
            <w:tcW w:w="5477" w:type="dxa"/>
            <w:tcBorders>
              <w:top w:val="nil"/>
              <w:left w:val="nil"/>
              <w:bottom w:val="single" w:sz="8" w:space="0" w:color="auto"/>
              <w:right w:val="single" w:sz="8" w:space="0" w:color="auto"/>
            </w:tcBorders>
            <w:shd w:val="clear" w:color="auto" w:fill="auto"/>
            <w:noWrap/>
            <w:vAlign w:val="center"/>
          </w:tcPr>
          <w:p w14:paraId="0A33EEA6" w14:textId="77777777" w:rsidR="00347D1C" w:rsidRPr="00B8307B" w:rsidRDefault="00347D1C" w:rsidP="0062049B">
            <w:pPr>
              <w:rPr>
                <w:color w:val="000000"/>
              </w:rPr>
            </w:pPr>
            <w:r w:rsidRPr="00B8307B">
              <w:rPr>
                <w:color w:val="000000"/>
              </w:rPr>
              <w:t>PUERTO RICO TEL CO</w:t>
            </w:r>
          </w:p>
        </w:tc>
        <w:tc>
          <w:tcPr>
            <w:tcW w:w="1713" w:type="dxa"/>
            <w:tcBorders>
              <w:top w:val="nil"/>
              <w:left w:val="nil"/>
              <w:bottom w:val="single" w:sz="8" w:space="0" w:color="auto"/>
              <w:right w:val="single" w:sz="8" w:space="0" w:color="auto"/>
            </w:tcBorders>
            <w:shd w:val="clear" w:color="auto" w:fill="auto"/>
            <w:noWrap/>
            <w:vAlign w:val="center"/>
          </w:tcPr>
          <w:p w14:paraId="0556FA93" w14:textId="3FB14D9C" w:rsidR="00347D1C" w:rsidRPr="00B8307B" w:rsidRDefault="00F3272E" w:rsidP="0062049B">
            <w:pPr>
              <w:jc w:val="right"/>
              <w:rPr>
                <w:color w:val="000000"/>
              </w:rPr>
            </w:pPr>
            <w:r>
              <w:rPr>
                <w:color w:val="000000"/>
              </w:rPr>
              <w:t>$</w:t>
            </w:r>
            <w:r w:rsidR="00347D1C" w:rsidRPr="00B8307B">
              <w:rPr>
                <w:color w:val="000000"/>
              </w:rPr>
              <w:t>17,410,414</w:t>
            </w:r>
          </w:p>
        </w:tc>
      </w:tr>
      <w:tr w:rsidR="00347D1C" w:rsidRPr="001D6786" w14:paraId="4B51BDD4" w14:textId="77777777" w:rsidTr="0062049B">
        <w:trPr>
          <w:trHeight w:val="315"/>
          <w:jc w:val="center"/>
        </w:trPr>
        <w:tc>
          <w:tcPr>
            <w:tcW w:w="1108" w:type="dxa"/>
            <w:tcBorders>
              <w:top w:val="nil"/>
              <w:left w:val="single" w:sz="8" w:space="0" w:color="auto"/>
              <w:bottom w:val="single" w:sz="8" w:space="0" w:color="auto"/>
              <w:right w:val="single" w:sz="8" w:space="0" w:color="auto"/>
            </w:tcBorders>
            <w:shd w:val="clear" w:color="auto" w:fill="auto"/>
            <w:noWrap/>
            <w:vAlign w:val="center"/>
            <w:hideMark/>
          </w:tcPr>
          <w:p w14:paraId="0BC5EB1B" w14:textId="77777777" w:rsidR="00347D1C" w:rsidRPr="00B8307B" w:rsidRDefault="00347D1C" w:rsidP="0062049B">
            <w:pPr>
              <w:rPr>
                <w:color w:val="000000"/>
              </w:rPr>
            </w:pPr>
            <w:r w:rsidRPr="00B8307B">
              <w:rPr>
                <w:color w:val="000000"/>
              </w:rPr>
              <w:t>PR</w:t>
            </w:r>
          </w:p>
        </w:tc>
        <w:tc>
          <w:tcPr>
            <w:tcW w:w="900" w:type="dxa"/>
            <w:tcBorders>
              <w:top w:val="nil"/>
              <w:left w:val="nil"/>
              <w:bottom w:val="single" w:sz="8" w:space="0" w:color="auto"/>
              <w:right w:val="single" w:sz="8" w:space="0" w:color="auto"/>
            </w:tcBorders>
            <w:shd w:val="clear" w:color="auto" w:fill="auto"/>
            <w:noWrap/>
            <w:vAlign w:val="center"/>
            <w:hideMark/>
          </w:tcPr>
          <w:p w14:paraId="42D9137F" w14:textId="77777777" w:rsidR="00347D1C" w:rsidRPr="00B8307B" w:rsidRDefault="00347D1C" w:rsidP="0062049B">
            <w:pPr>
              <w:rPr>
                <w:color w:val="000000"/>
              </w:rPr>
            </w:pPr>
            <w:r w:rsidRPr="00B8307B">
              <w:rPr>
                <w:color w:val="000000"/>
              </w:rPr>
              <w:t>639001</w:t>
            </w:r>
          </w:p>
        </w:tc>
        <w:tc>
          <w:tcPr>
            <w:tcW w:w="5477" w:type="dxa"/>
            <w:tcBorders>
              <w:top w:val="nil"/>
              <w:left w:val="nil"/>
              <w:bottom w:val="single" w:sz="8" w:space="0" w:color="auto"/>
              <w:right w:val="single" w:sz="8" w:space="0" w:color="auto"/>
            </w:tcBorders>
            <w:shd w:val="clear" w:color="auto" w:fill="auto"/>
            <w:noWrap/>
            <w:vAlign w:val="center"/>
            <w:hideMark/>
          </w:tcPr>
          <w:p w14:paraId="1CCDBAD1" w14:textId="77777777" w:rsidR="00347D1C" w:rsidRPr="00B8307B" w:rsidRDefault="00347D1C" w:rsidP="0062049B">
            <w:pPr>
              <w:rPr>
                <w:color w:val="000000"/>
              </w:rPr>
            </w:pPr>
            <w:r w:rsidRPr="00B8307B">
              <w:rPr>
                <w:color w:val="000000"/>
              </w:rPr>
              <w:t>CENTENNIAL PUERTO RICO OPERATIONS CORP.</w:t>
            </w:r>
          </w:p>
        </w:tc>
        <w:tc>
          <w:tcPr>
            <w:tcW w:w="1713" w:type="dxa"/>
            <w:tcBorders>
              <w:top w:val="nil"/>
              <w:left w:val="nil"/>
              <w:bottom w:val="single" w:sz="8" w:space="0" w:color="auto"/>
              <w:right w:val="single" w:sz="8" w:space="0" w:color="auto"/>
            </w:tcBorders>
            <w:shd w:val="clear" w:color="auto" w:fill="auto"/>
            <w:noWrap/>
            <w:vAlign w:val="center"/>
            <w:hideMark/>
          </w:tcPr>
          <w:p w14:paraId="1B84A8F0" w14:textId="737D1A4E" w:rsidR="00347D1C" w:rsidRPr="00B8307B" w:rsidRDefault="00F3272E" w:rsidP="0062049B">
            <w:pPr>
              <w:jc w:val="right"/>
              <w:rPr>
                <w:color w:val="000000"/>
              </w:rPr>
            </w:pPr>
            <w:r>
              <w:rPr>
                <w:color w:val="000000"/>
              </w:rPr>
              <w:t>$</w:t>
            </w:r>
            <w:r w:rsidR="00347D1C" w:rsidRPr="00B8307B">
              <w:rPr>
                <w:color w:val="000000"/>
              </w:rPr>
              <w:t>5,379,780</w:t>
            </w:r>
          </w:p>
        </w:tc>
      </w:tr>
      <w:tr w:rsidR="00347D1C" w:rsidRPr="001D6786" w14:paraId="54442572" w14:textId="77777777" w:rsidTr="0062049B">
        <w:trPr>
          <w:trHeight w:val="315"/>
          <w:jc w:val="center"/>
        </w:trPr>
        <w:tc>
          <w:tcPr>
            <w:tcW w:w="1108" w:type="dxa"/>
            <w:tcBorders>
              <w:top w:val="nil"/>
              <w:left w:val="single" w:sz="8" w:space="0" w:color="auto"/>
              <w:bottom w:val="single" w:sz="8" w:space="0" w:color="auto"/>
              <w:right w:val="single" w:sz="8" w:space="0" w:color="auto"/>
            </w:tcBorders>
            <w:shd w:val="clear" w:color="auto" w:fill="auto"/>
            <w:noWrap/>
            <w:vAlign w:val="center"/>
            <w:hideMark/>
          </w:tcPr>
          <w:p w14:paraId="19EC422A" w14:textId="77777777" w:rsidR="00347D1C" w:rsidRPr="00B8307B" w:rsidRDefault="00347D1C" w:rsidP="0062049B">
            <w:pPr>
              <w:rPr>
                <w:color w:val="000000"/>
              </w:rPr>
            </w:pPr>
            <w:r w:rsidRPr="00B8307B">
              <w:rPr>
                <w:color w:val="000000"/>
              </w:rPr>
              <w:t>PR</w:t>
            </w:r>
          </w:p>
        </w:tc>
        <w:tc>
          <w:tcPr>
            <w:tcW w:w="900" w:type="dxa"/>
            <w:tcBorders>
              <w:top w:val="nil"/>
              <w:left w:val="nil"/>
              <w:bottom w:val="single" w:sz="8" w:space="0" w:color="auto"/>
              <w:right w:val="single" w:sz="8" w:space="0" w:color="auto"/>
            </w:tcBorders>
            <w:shd w:val="clear" w:color="auto" w:fill="auto"/>
            <w:noWrap/>
            <w:vAlign w:val="center"/>
            <w:hideMark/>
          </w:tcPr>
          <w:p w14:paraId="17B2F810" w14:textId="77777777" w:rsidR="00347D1C" w:rsidRPr="00B8307B" w:rsidRDefault="00347D1C" w:rsidP="0062049B">
            <w:pPr>
              <w:rPr>
                <w:color w:val="000000"/>
              </w:rPr>
            </w:pPr>
            <w:r w:rsidRPr="00B8307B">
              <w:rPr>
                <w:color w:val="000000"/>
              </w:rPr>
              <w:t>639003</w:t>
            </w:r>
          </w:p>
        </w:tc>
        <w:tc>
          <w:tcPr>
            <w:tcW w:w="5477" w:type="dxa"/>
            <w:tcBorders>
              <w:top w:val="nil"/>
              <w:left w:val="nil"/>
              <w:bottom w:val="single" w:sz="8" w:space="0" w:color="auto"/>
              <w:right w:val="single" w:sz="8" w:space="0" w:color="auto"/>
            </w:tcBorders>
            <w:shd w:val="clear" w:color="auto" w:fill="auto"/>
            <w:noWrap/>
            <w:vAlign w:val="center"/>
            <w:hideMark/>
          </w:tcPr>
          <w:p w14:paraId="47E33722" w14:textId="77777777" w:rsidR="00347D1C" w:rsidRPr="00B8307B" w:rsidRDefault="00347D1C" w:rsidP="0062049B">
            <w:pPr>
              <w:rPr>
                <w:color w:val="000000"/>
              </w:rPr>
            </w:pPr>
            <w:r w:rsidRPr="00B8307B">
              <w:rPr>
                <w:color w:val="000000"/>
              </w:rPr>
              <w:t>SUNCOM WIRELESS PUERTO RICO OPERATING CO. LLC</w:t>
            </w:r>
          </w:p>
        </w:tc>
        <w:tc>
          <w:tcPr>
            <w:tcW w:w="1713" w:type="dxa"/>
            <w:tcBorders>
              <w:top w:val="nil"/>
              <w:left w:val="nil"/>
              <w:bottom w:val="single" w:sz="8" w:space="0" w:color="auto"/>
              <w:right w:val="single" w:sz="8" w:space="0" w:color="auto"/>
            </w:tcBorders>
            <w:shd w:val="clear" w:color="auto" w:fill="auto"/>
            <w:noWrap/>
            <w:vAlign w:val="center"/>
            <w:hideMark/>
          </w:tcPr>
          <w:p w14:paraId="72C6EB77" w14:textId="77A78396" w:rsidR="00347D1C" w:rsidRPr="00B8307B" w:rsidRDefault="00F3272E" w:rsidP="0062049B">
            <w:pPr>
              <w:jc w:val="right"/>
              <w:rPr>
                <w:color w:val="000000"/>
              </w:rPr>
            </w:pPr>
            <w:r>
              <w:rPr>
                <w:color w:val="000000"/>
              </w:rPr>
              <w:t>$</w:t>
            </w:r>
            <w:r w:rsidR="00347D1C" w:rsidRPr="00B8307B">
              <w:rPr>
                <w:color w:val="000000"/>
              </w:rPr>
              <w:t>8,205,890</w:t>
            </w:r>
          </w:p>
        </w:tc>
      </w:tr>
      <w:tr w:rsidR="00347D1C" w:rsidRPr="001D6786" w14:paraId="403375B8" w14:textId="77777777" w:rsidTr="0062049B">
        <w:trPr>
          <w:trHeight w:val="315"/>
          <w:jc w:val="center"/>
        </w:trPr>
        <w:tc>
          <w:tcPr>
            <w:tcW w:w="1108" w:type="dxa"/>
            <w:tcBorders>
              <w:top w:val="nil"/>
              <w:left w:val="single" w:sz="8" w:space="0" w:color="auto"/>
              <w:bottom w:val="single" w:sz="8" w:space="0" w:color="auto"/>
              <w:right w:val="single" w:sz="8" w:space="0" w:color="auto"/>
            </w:tcBorders>
            <w:shd w:val="clear" w:color="auto" w:fill="auto"/>
            <w:noWrap/>
            <w:vAlign w:val="center"/>
            <w:hideMark/>
          </w:tcPr>
          <w:p w14:paraId="555D71EF" w14:textId="77777777" w:rsidR="00347D1C" w:rsidRPr="00B8307B" w:rsidRDefault="00347D1C" w:rsidP="0062049B">
            <w:pPr>
              <w:rPr>
                <w:color w:val="000000"/>
              </w:rPr>
            </w:pPr>
            <w:r w:rsidRPr="00B8307B">
              <w:rPr>
                <w:color w:val="000000"/>
              </w:rPr>
              <w:t>PR</w:t>
            </w:r>
          </w:p>
        </w:tc>
        <w:tc>
          <w:tcPr>
            <w:tcW w:w="900" w:type="dxa"/>
            <w:tcBorders>
              <w:top w:val="nil"/>
              <w:left w:val="nil"/>
              <w:bottom w:val="single" w:sz="8" w:space="0" w:color="auto"/>
              <w:right w:val="single" w:sz="8" w:space="0" w:color="auto"/>
            </w:tcBorders>
            <w:shd w:val="clear" w:color="auto" w:fill="auto"/>
            <w:noWrap/>
            <w:vAlign w:val="center"/>
            <w:hideMark/>
          </w:tcPr>
          <w:p w14:paraId="7CE8D0C3" w14:textId="77777777" w:rsidR="00347D1C" w:rsidRPr="00B8307B" w:rsidRDefault="00347D1C" w:rsidP="0062049B">
            <w:pPr>
              <w:rPr>
                <w:color w:val="000000"/>
              </w:rPr>
            </w:pPr>
            <w:r w:rsidRPr="00B8307B">
              <w:rPr>
                <w:color w:val="000000"/>
              </w:rPr>
              <w:t>639005</w:t>
            </w:r>
          </w:p>
        </w:tc>
        <w:tc>
          <w:tcPr>
            <w:tcW w:w="5477" w:type="dxa"/>
            <w:tcBorders>
              <w:top w:val="nil"/>
              <w:left w:val="nil"/>
              <w:bottom w:val="single" w:sz="8" w:space="0" w:color="auto"/>
              <w:right w:val="single" w:sz="8" w:space="0" w:color="auto"/>
            </w:tcBorders>
            <w:shd w:val="clear" w:color="auto" w:fill="auto"/>
            <w:noWrap/>
            <w:vAlign w:val="center"/>
            <w:hideMark/>
          </w:tcPr>
          <w:p w14:paraId="0A9DBB1C" w14:textId="77777777" w:rsidR="00347D1C" w:rsidRPr="00B8307B" w:rsidRDefault="00347D1C" w:rsidP="0062049B">
            <w:pPr>
              <w:rPr>
                <w:color w:val="000000"/>
              </w:rPr>
            </w:pPr>
            <w:r w:rsidRPr="00B8307B">
              <w:rPr>
                <w:color w:val="000000"/>
              </w:rPr>
              <w:t>CINGULAR WIRELESS</w:t>
            </w:r>
          </w:p>
        </w:tc>
        <w:tc>
          <w:tcPr>
            <w:tcW w:w="1713" w:type="dxa"/>
            <w:tcBorders>
              <w:top w:val="nil"/>
              <w:left w:val="nil"/>
              <w:bottom w:val="single" w:sz="8" w:space="0" w:color="auto"/>
              <w:right w:val="single" w:sz="8" w:space="0" w:color="auto"/>
            </w:tcBorders>
            <w:shd w:val="clear" w:color="auto" w:fill="auto"/>
            <w:noWrap/>
            <w:vAlign w:val="center"/>
            <w:hideMark/>
          </w:tcPr>
          <w:p w14:paraId="601FD4CC" w14:textId="15400448" w:rsidR="00347D1C" w:rsidRPr="00B8307B" w:rsidRDefault="00F3272E" w:rsidP="0062049B">
            <w:pPr>
              <w:jc w:val="right"/>
              <w:rPr>
                <w:color w:val="000000"/>
              </w:rPr>
            </w:pPr>
            <w:r>
              <w:rPr>
                <w:color w:val="000000"/>
              </w:rPr>
              <w:t>$</w:t>
            </w:r>
            <w:r w:rsidR="00347D1C" w:rsidRPr="00B8307B">
              <w:rPr>
                <w:color w:val="000000"/>
              </w:rPr>
              <w:t>11,158,399</w:t>
            </w:r>
          </w:p>
        </w:tc>
      </w:tr>
      <w:tr w:rsidR="00347D1C" w:rsidRPr="001D6786" w14:paraId="241D2CC4" w14:textId="77777777" w:rsidTr="0062049B">
        <w:trPr>
          <w:trHeight w:val="315"/>
          <w:jc w:val="center"/>
        </w:trPr>
        <w:tc>
          <w:tcPr>
            <w:tcW w:w="1108" w:type="dxa"/>
            <w:tcBorders>
              <w:top w:val="nil"/>
              <w:left w:val="single" w:sz="8" w:space="0" w:color="auto"/>
              <w:bottom w:val="single" w:sz="8" w:space="0" w:color="auto"/>
              <w:right w:val="single" w:sz="8" w:space="0" w:color="auto"/>
            </w:tcBorders>
            <w:shd w:val="clear" w:color="auto" w:fill="auto"/>
            <w:noWrap/>
            <w:vAlign w:val="center"/>
            <w:hideMark/>
          </w:tcPr>
          <w:p w14:paraId="1137E4FF" w14:textId="77777777" w:rsidR="00347D1C" w:rsidRPr="00B8307B" w:rsidRDefault="00347D1C" w:rsidP="0062049B">
            <w:pPr>
              <w:rPr>
                <w:color w:val="000000"/>
              </w:rPr>
            </w:pPr>
            <w:r w:rsidRPr="00B8307B">
              <w:rPr>
                <w:color w:val="000000"/>
              </w:rPr>
              <w:t>PR</w:t>
            </w:r>
          </w:p>
        </w:tc>
        <w:tc>
          <w:tcPr>
            <w:tcW w:w="900" w:type="dxa"/>
            <w:tcBorders>
              <w:top w:val="nil"/>
              <w:left w:val="nil"/>
              <w:bottom w:val="single" w:sz="8" w:space="0" w:color="auto"/>
              <w:right w:val="single" w:sz="8" w:space="0" w:color="auto"/>
            </w:tcBorders>
            <w:shd w:val="clear" w:color="auto" w:fill="auto"/>
            <w:noWrap/>
            <w:vAlign w:val="center"/>
            <w:hideMark/>
          </w:tcPr>
          <w:p w14:paraId="2858B340" w14:textId="77777777" w:rsidR="00347D1C" w:rsidRPr="00B8307B" w:rsidRDefault="00347D1C" w:rsidP="0062049B">
            <w:pPr>
              <w:rPr>
                <w:color w:val="000000"/>
              </w:rPr>
            </w:pPr>
            <w:r w:rsidRPr="00B8307B">
              <w:rPr>
                <w:color w:val="000000"/>
              </w:rPr>
              <w:t>639006</w:t>
            </w:r>
          </w:p>
        </w:tc>
        <w:tc>
          <w:tcPr>
            <w:tcW w:w="5477" w:type="dxa"/>
            <w:tcBorders>
              <w:top w:val="nil"/>
              <w:left w:val="nil"/>
              <w:bottom w:val="single" w:sz="8" w:space="0" w:color="auto"/>
              <w:right w:val="single" w:sz="8" w:space="0" w:color="auto"/>
            </w:tcBorders>
            <w:shd w:val="clear" w:color="auto" w:fill="auto"/>
            <w:noWrap/>
            <w:vAlign w:val="center"/>
            <w:hideMark/>
          </w:tcPr>
          <w:p w14:paraId="6DE162F5" w14:textId="77777777" w:rsidR="00347D1C" w:rsidRPr="00B8307B" w:rsidRDefault="00347D1C" w:rsidP="0062049B">
            <w:pPr>
              <w:rPr>
                <w:color w:val="000000"/>
              </w:rPr>
            </w:pPr>
            <w:r w:rsidRPr="00B8307B">
              <w:rPr>
                <w:color w:val="000000"/>
              </w:rPr>
              <w:t>PUERTO RICO TELEPHONE COMPANY D/B/A VERIZON WIRELESS PU</w:t>
            </w:r>
          </w:p>
        </w:tc>
        <w:tc>
          <w:tcPr>
            <w:tcW w:w="1713" w:type="dxa"/>
            <w:tcBorders>
              <w:top w:val="nil"/>
              <w:left w:val="nil"/>
              <w:bottom w:val="single" w:sz="8" w:space="0" w:color="auto"/>
              <w:right w:val="single" w:sz="8" w:space="0" w:color="auto"/>
            </w:tcBorders>
            <w:shd w:val="clear" w:color="auto" w:fill="auto"/>
            <w:noWrap/>
            <w:vAlign w:val="center"/>
            <w:hideMark/>
          </w:tcPr>
          <w:p w14:paraId="7A9E407E" w14:textId="5F08718D" w:rsidR="00347D1C" w:rsidRPr="00B8307B" w:rsidRDefault="00F3272E" w:rsidP="0062049B">
            <w:pPr>
              <w:jc w:val="right"/>
              <w:rPr>
                <w:color w:val="000000"/>
              </w:rPr>
            </w:pPr>
            <w:r>
              <w:rPr>
                <w:color w:val="000000"/>
              </w:rPr>
              <w:t>$</w:t>
            </w:r>
            <w:r w:rsidR="00347D1C" w:rsidRPr="00B8307B">
              <w:rPr>
                <w:color w:val="000000"/>
              </w:rPr>
              <w:t>15,763,608</w:t>
            </w:r>
          </w:p>
        </w:tc>
      </w:tr>
      <w:tr w:rsidR="00347D1C" w:rsidRPr="001D6786" w14:paraId="035D5B39" w14:textId="77777777" w:rsidTr="0062049B">
        <w:trPr>
          <w:trHeight w:val="315"/>
          <w:jc w:val="center"/>
        </w:trPr>
        <w:tc>
          <w:tcPr>
            <w:tcW w:w="1108" w:type="dxa"/>
            <w:tcBorders>
              <w:top w:val="nil"/>
              <w:left w:val="single" w:sz="8" w:space="0" w:color="auto"/>
              <w:bottom w:val="single" w:sz="8" w:space="0" w:color="auto"/>
              <w:right w:val="single" w:sz="8" w:space="0" w:color="auto"/>
            </w:tcBorders>
            <w:shd w:val="clear" w:color="auto" w:fill="auto"/>
            <w:noWrap/>
            <w:vAlign w:val="center"/>
            <w:hideMark/>
          </w:tcPr>
          <w:p w14:paraId="0E4B32F3" w14:textId="77777777" w:rsidR="00347D1C" w:rsidRPr="00B8307B" w:rsidRDefault="00347D1C" w:rsidP="0062049B">
            <w:pPr>
              <w:rPr>
                <w:color w:val="000000"/>
              </w:rPr>
            </w:pPr>
            <w:r w:rsidRPr="00B8307B">
              <w:rPr>
                <w:color w:val="000000"/>
              </w:rPr>
              <w:t>PR</w:t>
            </w:r>
          </w:p>
        </w:tc>
        <w:tc>
          <w:tcPr>
            <w:tcW w:w="900" w:type="dxa"/>
            <w:tcBorders>
              <w:top w:val="nil"/>
              <w:left w:val="nil"/>
              <w:bottom w:val="single" w:sz="8" w:space="0" w:color="auto"/>
              <w:right w:val="single" w:sz="8" w:space="0" w:color="auto"/>
            </w:tcBorders>
            <w:shd w:val="clear" w:color="auto" w:fill="auto"/>
            <w:noWrap/>
            <w:vAlign w:val="center"/>
            <w:hideMark/>
          </w:tcPr>
          <w:p w14:paraId="75EE3C49" w14:textId="77777777" w:rsidR="00347D1C" w:rsidRPr="00B8307B" w:rsidRDefault="00347D1C" w:rsidP="0062049B">
            <w:pPr>
              <w:rPr>
                <w:color w:val="000000"/>
              </w:rPr>
            </w:pPr>
            <w:r w:rsidRPr="00B8307B">
              <w:rPr>
                <w:color w:val="000000"/>
              </w:rPr>
              <w:t>639007</w:t>
            </w:r>
          </w:p>
        </w:tc>
        <w:tc>
          <w:tcPr>
            <w:tcW w:w="5477" w:type="dxa"/>
            <w:tcBorders>
              <w:top w:val="nil"/>
              <w:left w:val="nil"/>
              <w:bottom w:val="single" w:sz="8" w:space="0" w:color="auto"/>
              <w:right w:val="single" w:sz="8" w:space="0" w:color="auto"/>
            </w:tcBorders>
            <w:shd w:val="clear" w:color="auto" w:fill="auto"/>
            <w:noWrap/>
            <w:vAlign w:val="center"/>
            <w:hideMark/>
          </w:tcPr>
          <w:p w14:paraId="4F8BBC92" w14:textId="48E749FD" w:rsidR="00347D1C" w:rsidRPr="00B8307B" w:rsidRDefault="00347D1C" w:rsidP="0062049B">
            <w:pPr>
              <w:rPr>
                <w:color w:val="000000"/>
              </w:rPr>
            </w:pPr>
            <w:r w:rsidRPr="00B8307B">
              <w:rPr>
                <w:color w:val="000000"/>
              </w:rPr>
              <w:t>PR WIRELESS INC.</w:t>
            </w:r>
          </w:p>
        </w:tc>
        <w:tc>
          <w:tcPr>
            <w:tcW w:w="1713" w:type="dxa"/>
            <w:tcBorders>
              <w:top w:val="nil"/>
              <w:left w:val="nil"/>
              <w:bottom w:val="single" w:sz="8" w:space="0" w:color="auto"/>
              <w:right w:val="single" w:sz="8" w:space="0" w:color="auto"/>
            </w:tcBorders>
            <w:shd w:val="clear" w:color="auto" w:fill="auto"/>
            <w:noWrap/>
            <w:vAlign w:val="center"/>
            <w:hideMark/>
          </w:tcPr>
          <w:p w14:paraId="3ECE1736" w14:textId="0B147885" w:rsidR="00347D1C" w:rsidRPr="00B8307B" w:rsidRDefault="00F3272E" w:rsidP="0062049B">
            <w:pPr>
              <w:jc w:val="right"/>
              <w:rPr>
                <w:color w:val="000000"/>
              </w:rPr>
            </w:pPr>
            <w:r>
              <w:rPr>
                <w:color w:val="000000"/>
              </w:rPr>
              <w:t>$</w:t>
            </w:r>
            <w:r w:rsidR="00347D1C" w:rsidRPr="00B8307B">
              <w:rPr>
                <w:color w:val="000000"/>
              </w:rPr>
              <w:t>5,510,645</w:t>
            </w:r>
          </w:p>
        </w:tc>
      </w:tr>
      <w:tr w:rsidR="00347D1C" w:rsidRPr="001D6786" w14:paraId="621925E3" w14:textId="77777777" w:rsidTr="0062049B">
        <w:trPr>
          <w:trHeight w:val="315"/>
          <w:jc w:val="center"/>
        </w:trPr>
        <w:tc>
          <w:tcPr>
            <w:tcW w:w="1108" w:type="dxa"/>
            <w:tcBorders>
              <w:top w:val="nil"/>
              <w:left w:val="single" w:sz="8" w:space="0" w:color="auto"/>
              <w:bottom w:val="single" w:sz="8" w:space="0" w:color="auto"/>
              <w:right w:val="single" w:sz="8" w:space="0" w:color="auto"/>
            </w:tcBorders>
            <w:shd w:val="clear" w:color="auto" w:fill="auto"/>
            <w:noWrap/>
            <w:vAlign w:val="center"/>
            <w:hideMark/>
          </w:tcPr>
          <w:p w14:paraId="2F813CB3" w14:textId="77777777" w:rsidR="00347D1C" w:rsidRPr="00B8307B" w:rsidRDefault="00347D1C" w:rsidP="0062049B">
            <w:pPr>
              <w:rPr>
                <w:color w:val="000000"/>
              </w:rPr>
            </w:pPr>
            <w:r w:rsidRPr="00B8307B">
              <w:rPr>
                <w:color w:val="000000"/>
              </w:rPr>
              <w:t>PR</w:t>
            </w:r>
          </w:p>
        </w:tc>
        <w:tc>
          <w:tcPr>
            <w:tcW w:w="900" w:type="dxa"/>
            <w:tcBorders>
              <w:top w:val="nil"/>
              <w:left w:val="nil"/>
              <w:bottom w:val="single" w:sz="8" w:space="0" w:color="auto"/>
              <w:right w:val="single" w:sz="8" w:space="0" w:color="auto"/>
            </w:tcBorders>
            <w:shd w:val="clear" w:color="auto" w:fill="auto"/>
            <w:noWrap/>
            <w:vAlign w:val="center"/>
            <w:hideMark/>
          </w:tcPr>
          <w:p w14:paraId="0C027234" w14:textId="77777777" w:rsidR="00347D1C" w:rsidRPr="00B8307B" w:rsidRDefault="00347D1C" w:rsidP="0062049B">
            <w:pPr>
              <w:rPr>
                <w:color w:val="000000"/>
              </w:rPr>
            </w:pPr>
            <w:r w:rsidRPr="00B8307B">
              <w:rPr>
                <w:color w:val="000000"/>
              </w:rPr>
              <w:t>639008</w:t>
            </w:r>
          </w:p>
        </w:tc>
        <w:tc>
          <w:tcPr>
            <w:tcW w:w="5477" w:type="dxa"/>
            <w:tcBorders>
              <w:top w:val="nil"/>
              <w:left w:val="nil"/>
              <w:bottom w:val="single" w:sz="8" w:space="0" w:color="auto"/>
              <w:right w:val="single" w:sz="8" w:space="0" w:color="auto"/>
            </w:tcBorders>
            <w:shd w:val="clear" w:color="auto" w:fill="auto"/>
            <w:noWrap/>
            <w:vAlign w:val="center"/>
            <w:hideMark/>
          </w:tcPr>
          <w:p w14:paraId="54E3D9D4" w14:textId="77777777" w:rsidR="00347D1C" w:rsidRPr="00B8307B" w:rsidRDefault="00347D1C" w:rsidP="0062049B">
            <w:pPr>
              <w:rPr>
                <w:color w:val="000000"/>
              </w:rPr>
            </w:pPr>
            <w:r w:rsidRPr="00B8307B">
              <w:rPr>
                <w:color w:val="000000"/>
              </w:rPr>
              <w:t>WORLDNET TELECOMMUNICATIONS, INC.</w:t>
            </w:r>
          </w:p>
        </w:tc>
        <w:tc>
          <w:tcPr>
            <w:tcW w:w="1713" w:type="dxa"/>
            <w:tcBorders>
              <w:top w:val="nil"/>
              <w:left w:val="nil"/>
              <w:bottom w:val="single" w:sz="8" w:space="0" w:color="auto"/>
              <w:right w:val="single" w:sz="8" w:space="0" w:color="auto"/>
            </w:tcBorders>
            <w:shd w:val="clear" w:color="auto" w:fill="auto"/>
            <w:noWrap/>
            <w:vAlign w:val="center"/>
            <w:hideMark/>
          </w:tcPr>
          <w:p w14:paraId="442888E9" w14:textId="392CC562" w:rsidR="00347D1C" w:rsidRPr="00B8307B" w:rsidRDefault="00F3272E" w:rsidP="0062049B">
            <w:pPr>
              <w:jc w:val="right"/>
              <w:rPr>
                <w:color w:val="000000"/>
              </w:rPr>
            </w:pPr>
            <w:r>
              <w:rPr>
                <w:color w:val="000000"/>
              </w:rPr>
              <w:t>$</w:t>
            </w:r>
            <w:r w:rsidR="00347D1C" w:rsidRPr="00B8307B">
              <w:rPr>
                <w:color w:val="000000"/>
              </w:rPr>
              <w:t>171,885</w:t>
            </w:r>
          </w:p>
        </w:tc>
      </w:tr>
      <w:tr w:rsidR="00347D1C" w:rsidRPr="001D6786" w14:paraId="6EBC9DEC" w14:textId="77777777" w:rsidTr="0062049B">
        <w:trPr>
          <w:trHeight w:val="315"/>
          <w:jc w:val="center"/>
        </w:trPr>
        <w:tc>
          <w:tcPr>
            <w:tcW w:w="1108" w:type="dxa"/>
            <w:tcBorders>
              <w:top w:val="nil"/>
              <w:left w:val="single" w:sz="8" w:space="0" w:color="auto"/>
              <w:bottom w:val="single" w:sz="8" w:space="0" w:color="auto"/>
              <w:right w:val="single" w:sz="8" w:space="0" w:color="auto"/>
            </w:tcBorders>
            <w:shd w:val="clear" w:color="auto" w:fill="auto"/>
            <w:noWrap/>
            <w:vAlign w:val="center"/>
          </w:tcPr>
          <w:p w14:paraId="79CF6E19" w14:textId="77777777" w:rsidR="00347D1C" w:rsidRPr="001D6786" w:rsidRDefault="00347D1C" w:rsidP="0062049B">
            <w:pPr>
              <w:rPr>
                <w:color w:val="000000"/>
              </w:rPr>
            </w:pPr>
            <w:r w:rsidRPr="00B8307B">
              <w:rPr>
                <w:color w:val="000000"/>
              </w:rPr>
              <w:t>VI</w:t>
            </w:r>
          </w:p>
        </w:tc>
        <w:tc>
          <w:tcPr>
            <w:tcW w:w="900" w:type="dxa"/>
            <w:tcBorders>
              <w:top w:val="nil"/>
              <w:left w:val="nil"/>
              <w:bottom w:val="single" w:sz="8" w:space="0" w:color="auto"/>
              <w:right w:val="single" w:sz="8" w:space="0" w:color="auto"/>
            </w:tcBorders>
            <w:shd w:val="clear" w:color="auto" w:fill="auto"/>
            <w:noWrap/>
            <w:vAlign w:val="center"/>
          </w:tcPr>
          <w:p w14:paraId="25BF9FDB" w14:textId="77777777" w:rsidR="00347D1C" w:rsidRPr="001D6786" w:rsidRDefault="00347D1C" w:rsidP="0062049B">
            <w:pPr>
              <w:rPr>
                <w:color w:val="000000"/>
              </w:rPr>
            </w:pPr>
            <w:r w:rsidRPr="00B8307B">
              <w:rPr>
                <w:color w:val="000000"/>
              </w:rPr>
              <w:t>643300</w:t>
            </w:r>
          </w:p>
        </w:tc>
        <w:tc>
          <w:tcPr>
            <w:tcW w:w="5477" w:type="dxa"/>
            <w:tcBorders>
              <w:top w:val="nil"/>
              <w:left w:val="nil"/>
              <w:bottom w:val="single" w:sz="8" w:space="0" w:color="auto"/>
              <w:right w:val="single" w:sz="8" w:space="0" w:color="auto"/>
            </w:tcBorders>
            <w:shd w:val="clear" w:color="auto" w:fill="auto"/>
            <w:noWrap/>
            <w:vAlign w:val="center"/>
          </w:tcPr>
          <w:p w14:paraId="43646841" w14:textId="72A17095" w:rsidR="00347D1C" w:rsidRPr="001D6786" w:rsidRDefault="00347D1C" w:rsidP="0062049B">
            <w:pPr>
              <w:rPr>
                <w:color w:val="000000"/>
              </w:rPr>
            </w:pPr>
            <w:r w:rsidRPr="00B8307B">
              <w:rPr>
                <w:color w:val="000000"/>
              </w:rPr>
              <w:t>VITELCO-INNOVATIVE</w:t>
            </w:r>
            <w:r w:rsidR="00694A9D">
              <w:rPr>
                <w:color w:val="000000"/>
              </w:rPr>
              <w:t xml:space="preserve"> D/B/A VIYA</w:t>
            </w:r>
          </w:p>
        </w:tc>
        <w:tc>
          <w:tcPr>
            <w:tcW w:w="1713" w:type="dxa"/>
            <w:tcBorders>
              <w:top w:val="nil"/>
              <w:left w:val="nil"/>
              <w:bottom w:val="single" w:sz="8" w:space="0" w:color="auto"/>
              <w:right w:val="single" w:sz="8" w:space="0" w:color="auto"/>
            </w:tcBorders>
            <w:shd w:val="clear" w:color="auto" w:fill="auto"/>
            <w:noWrap/>
            <w:vAlign w:val="center"/>
          </w:tcPr>
          <w:p w14:paraId="7E005B54" w14:textId="74C0133E" w:rsidR="00347D1C" w:rsidRPr="001D6786" w:rsidRDefault="00F3272E" w:rsidP="0062049B">
            <w:pPr>
              <w:jc w:val="right"/>
              <w:rPr>
                <w:color w:val="000000"/>
              </w:rPr>
            </w:pPr>
            <w:r>
              <w:rPr>
                <w:color w:val="000000"/>
              </w:rPr>
              <w:t>$</w:t>
            </w:r>
            <w:r w:rsidR="00347D1C" w:rsidRPr="00B8307B">
              <w:rPr>
                <w:color w:val="000000"/>
              </w:rPr>
              <w:t>9,651,894</w:t>
            </w:r>
          </w:p>
        </w:tc>
      </w:tr>
      <w:tr w:rsidR="00347D1C" w:rsidRPr="001D6786" w14:paraId="672C3964" w14:textId="77777777" w:rsidTr="0062049B">
        <w:trPr>
          <w:trHeight w:val="315"/>
          <w:jc w:val="center"/>
        </w:trPr>
        <w:tc>
          <w:tcPr>
            <w:tcW w:w="1108" w:type="dxa"/>
            <w:tcBorders>
              <w:top w:val="nil"/>
              <w:left w:val="single" w:sz="8" w:space="0" w:color="auto"/>
              <w:bottom w:val="single" w:sz="8" w:space="0" w:color="auto"/>
              <w:right w:val="single" w:sz="8" w:space="0" w:color="auto"/>
            </w:tcBorders>
            <w:shd w:val="clear" w:color="auto" w:fill="auto"/>
            <w:noWrap/>
            <w:vAlign w:val="center"/>
            <w:hideMark/>
          </w:tcPr>
          <w:p w14:paraId="5503630A" w14:textId="77777777" w:rsidR="00347D1C" w:rsidRPr="001D6786" w:rsidRDefault="00347D1C" w:rsidP="0062049B">
            <w:pPr>
              <w:rPr>
                <w:color w:val="000000"/>
              </w:rPr>
            </w:pPr>
            <w:r w:rsidRPr="001D6786">
              <w:rPr>
                <w:color w:val="000000"/>
              </w:rPr>
              <w:t>VI</w:t>
            </w:r>
          </w:p>
        </w:tc>
        <w:tc>
          <w:tcPr>
            <w:tcW w:w="900" w:type="dxa"/>
            <w:tcBorders>
              <w:top w:val="nil"/>
              <w:left w:val="nil"/>
              <w:bottom w:val="single" w:sz="8" w:space="0" w:color="auto"/>
              <w:right w:val="single" w:sz="8" w:space="0" w:color="auto"/>
            </w:tcBorders>
            <w:shd w:val="clear" w:color="auto" w:fill="auto"/>
            <w:noWrap/>
            <w:vAlign w:val="center"/>
            <w:hideMark/>
          </w:tcPr>
          <w:p w14:paraId="7DFB5DA8" w14:textId="77777777" w:rsidR="00347D1C" w:rsidRPr="001D6786" w:rsidRDefault="00347D1C" w:rsidP="0062049B">
            <w:pPr>
              <w:rPr>
                <w:color w:val="000000"/>
              </w:rPr>
            </w:pPr>
            <w:r w:rsidRPr="001D6786">
              <w:rPr>
                <w:color w:val="000000"/>
              </w:rPr>
              <w:t>649002</w:t>
            </w:r>
          </w:p>
        </w:tc>
        <w:tc>
          <w:tcPr>
            <w:tcW w:w="5477" w:type="dxa"/>
            <w:tcBorders>
              <w:top w:val="nil"/>
              <w:left w:val="nil"/>
              <w:bottom w:val="single" w:sz="8" w:space="0" w:color="auto"/>
              <w:right w:val="single" w:sz="8" w:space="0" w:color="auto"/>
            </w:tcBorders>
            <w:shd w:val="clear" w:color="auto" w:fill="auto"/>
            <w:noWrap/>
            <w:vAlign w:val="center"/>
            <w:hideMark/>
          </w:tcPr>
          <w:p w14:paraId="2F44ECDE" w14:textId="77777777" w:rsidR="00347D1C" w:rsidRPr="001D6786" w:rsidRDefault="00347D1C" w:rsidP="0062049B">
            <w:pPr>
              <w:rPr>
                <w:color w:val="000000"/>
              </w:rPr>
            </w:pPr>
            <w:r w:rsidRPr="001D6786">
              <w:rPr>
                <w:color w:val="000000"/>
              </w:rPr>
              <w:t>CHOICE COMMUNICATIONS, LLC</w:t>
            </w:r>
          </w:p>
        </w:tc>
        <w:tc>
          <w:tcPr>
            <w:tcW w:w="1713" w:type="dxa"/>
            <w:tcBorders>
              <w:top w:val="nil"/>
              <w:left w:val="nil"/>
              <w:bottom w:val="single" w:sz="8" w:space="0" w:color="auto"/>
              <w:right w:val="single" w:sz="8" w:space="0" w:color="auto"/>
            </w:tcBorders>
            <w:shd w:val="clear" w:color="auto" w:fill="auto"/>
            <w:noWrap/>
            <w:vAlign w:val="center"/>
            <w:hideMark/>
          </w:tcPr>
          <w:p w14:paraId="023FDDCA" w14:textId="006F0BDD" w:rsidR="00347D1C" w:rsidRPr="001D6786" w:rsidRDefault="00F3272E" w:rsidP="0062049B">
            <w:pPr>
              <w:jc w:val="right"/>
              <w:rPr>
                <w:color w:val="000000"/>
              </w:rPr>
            </w:pPr>
            <w:r>
              <w:rPr>
                <w:color w:val="000000"/>
              </w:rPr>
              <w:t>$</w:t>
            </w:r>
            <w:r w:rsidR="00347D1C" w:rsidRPr="001D6786">
              <w:rPr>
                <w:color w:val="000000"/>
              </w:rPr>
              <w:t>39,235</w:t>
            </w:r>
          </w:p>
        </w:tc>
      </w:tr>
      <w:tr w:rsidR="00347D1C" w:rsidRPr="001D6786" w14:paraId="009B2381" w14:textId="77777777" w:rsidTr="0062049B">
        <w:trPr>
          <w:trHeight w:val="315"/>
          <w:jc w:val="center"/>
        </w:trPr>
        <w:tc>
          <w:tcPr>
            <w:tcW w:w="1108" w:type="dxa"/>
            <w:tcBorders>
              <w:top w:val="nil"/>
              <w:left w:val="nil"/>
              <w:bottom w:val="double" w:sz="6" w:space="0" w:color="auto"/>
              <w:right w:val="nil"/>
            </w:tcBorders>
            <w:shd w:val="clear" w:color="auto" w:fill="auto"/>
            <w:noWrap/>
            <w:vAlign w:val="center"/>
            <w:hideMark/>
          </w:tcPr>
          <w:p w14:paraId="26A29536" w14:textId="6C0E4D8B" w:rsidR="00347D1C" w:rsidRPr="001D6786" w:rsidRDefault="00347D1C" w:rsidP="0062049B">
            <w:pPr>
              <w:rPr>
                <w:b/>
                <w:bCs/>
                <w:color w:val="000000"/>
              </w:rPr>
            </w:pPr>
            <w:r w:rsidRPr="001D6786">
              <w:rPr>
                <w:b/>
                <w:bCs/>
                <w:color w:val="000000"/>
              </w:rPr>
              <w:t>Total</w:t>
            </w:r>
          </w:p>
        </w:tc>
        <w:tc>
          <w:tcPr>
            <w:tcW w:w="900" w:type="dxa"/>
            <w:tcBorders>
              <w:top w:val="nil"/>
              <w:left w:val="nil"/>
              <w:bottom w:val="double" w:sz="6" w:space="0" w:color="auto"/>
              <w:right w:val="nil"/>
            </w:tcBorders>
            <w:shd w:val="clear" w:color="auto" w:fill="auto"/>
            <w:noWrap/>
            <w:vAlign w:val="center"/>
            <w:hideMark/>
          </w:tcPr>
          <w:p w14:paraId="464307F7" w14:textId="77777777" w:rsidR="00347D1C" w:rsidRPr="001D6786" w:rsidRDefault="00347D1C" w:rsidP="0062049B">
            <w:pPr>
              <w:rPr>
                <w:b/>
                <w:bCs/>
                <w:color w:val="000000"/>
              </w:rPr>
            </w:pPr>
          </w:p>
        </w:tc>
        <w:tc>
          <w:tcPr>
            <w:tcW w:w="5477" w:type="dxa"/>
            <w:tcBorders>
              <w:top w:val="nil"/>
              <w:left w:val="nil"/>
              <w:bottom w:val="double" w:sz="6" w:space="0" w:color="auto"/>
              <w:right w:val="nil"/>
            </w:tcBorders>
            <w:shd w:val="clear" w:color="auto" w:fill="auto"/>
            <w:noWrap/>
            <w:vAlign w:val="center"/>
            <w:hideMark/>
          </w:tcPr>
          <w:p w14:paraId="14957649" w14:textId="77777777" w:rsidR="00347D1C" w:rsidRPr="001D6786" w:rsidRDefault="00347D1C" w:rsidP="0062049B">
            <w:pPr>
              <w:rPr>
                <w:b/>
                <w:bCs/>
                <w:color w:val="000000"/>
              </w:rPr>
            </w:pPr>
          </w:p>
        </w:tc>
        <w:tc>
          <w:tcPr>
            <w:tcW w:w="1713" w:type="dxa"/>
            <w:tcBorders>
              <w:top w:val="nil"/>
              <w:left w:val="nil"/>
              <w:bottom w:val="double" w:sz="6" w:space="0" w:color="auto"/>
              <w:right w:val="nil"/>
            </w:tcBorders>
            <w:shd w:val="clear" w:color="auto" w:fill="auto"/>
            <w:noWrap/>
            <w:vAlign w:val="center"/>
            <w:hideMark/>
          </w:tcPr>
          <w:p w14:paraId="44E7830B" w14:textId="77777777" w:rsidR="00347D1C" w:rsidRPr="001D6786" w:rsidRDefault="00347D1C" w:rsidP="0062049B">
            <w:pPr>
              <w:jc w:val="right"/>
              <w:rPr>
                <w:b/>
                <w:bCs/>
                <w:color w:val="000000"/>
              </w:rPr>
            </w:pPr>
            <w:r w:rsidRPr="001D6786">
              <w:rPr>
                <w:b/>
                <w:bCs/>
                <w:color w:val="000000"/>
              </w:rPr>
              <w:t>$76,912,752</w:t>
            </w:r>
          </w:p>
        </w:tc>
      </w:tr>
    </w:tbl>
    <w:p w14:paraId="6F7A1712" w14:textId="479CA255" w:rsidR="00D10CDE" w:rsidRDefault="00D10CDE" w:rsidP="00D10CDE">
      <w:pPr>
        <w:jc w:val="center"/>
        <w:rPr>
          <w:b/>
        </w:rPr>
      </w:pPr>
    </w:p>
    <w:p w14:paraId="14255626" w14:textId="77777777" w:rsidR="00BE210D" w:rsidRDefault="00BE210D">
      <w:pPr>
        <w:rPr>
          <w:b/>
        </w:rPr>
        <w:sectPr w:rsidR="00BE210D" w:rsidSect="00593501">
          <w:pgSz w:w="12240" w:h="15840"/>
          <w:pgMar w:top="1440" w:right="1440" w:bottom="720" w:left="1440" w:header="720" w:footer="720" w:gutter="0"/>
          <w:cols w:space="720"/>
          <w:titlePg/>
        </w:sectPr>
      </w:pPr>
    </w:p>
    <w:p w14:paraId="7C2DD5F8" w14:textId="77777777" w:rsidR="00D10CDE" w:rsidRDefault="00D10CDE" w:rsidP="00D10CDE">
      <w:pPr>
        <w:jc w:val="center"/>
        <w:rPr>
          <w:b/>
        </w:rPr>
      </w:pPr>
      <w:r w:rsidRPr="00C13A9E">
        <w:rPr>
          <w:b/>
        </w:rPr>
        <w:t xml:space="preserve">STATEMENT OF </w:t>
      </w:r>
    </w:p>
    <w:p w14:paraId="057687D1" w14:textId="576CD644" w:rsidR="00D10CDE" w:rsidRPr="00D10CDE" w:rsidRDefault="00D10CDE" w:rsidP="00D10CDE">
      <w:pPr>
        <w:jc w:val="center"/>
        <w:rPr>
          <w:rFonts w:ascii="Times New Roman Bold" w:hAnsi="Times New Roman Bold"/>
          <w:b/>
          <w:caps/>
        </w:rPr>
      </w:pPr>
      <w:r w:rsidRPr="00D10CDE">
        <w:rPr>
          <w:rFonts w:ascii="Times New Roman Bold" w:hAnsi="Times New Roman Bold"/>
          <w:b/>
          <w:caps/>
        </w:rPr>
        <w:t>Chairman Ajit Pai</w:t>
      </w:r>
    </w:p>
    <w:p w14:paraId="2F450A69" w14:textId="77777777" w:rsidR="00D10CDE" w:rsidRDefault="00D10CDE" w:rsidP="00D10CDE"/>
    <w:p w14:paraId="06AD1B71" w14:textId="77777777" w:rsidR="00D10CDE" w:rsidRDefault="00D10CDE" w:rsidP="00D10CDE">
      <w:r w:rsidRPr="00C13A9E">
        <w:t xml:space="preserve">Re: </w:t>
      </w:r>
      <w:r>
        <w:tab/>
      </w:r>
      <w:r>
        <w:rPr>
          <w:i/>
        </w:rPr>
        <w:t>Connect America Fund</w:t>
      </w:r>
      <w:r>
        <w:t>, WC Docket No. 10-90</w:t>
      </w:r>
    </w:p>
    <w:p w14:paraId="0564DFD9" w14:textId="77777777" w:rsidR="00D10CDE" w:rsidRDefault="00D10CDE" w:rsidP="00D10CDE"/>
    <w:p w14:paraId="0A0CCCD9" w14:textId="77777777" w:rsidR="00593501" w:rsidRDefault="00593501" w:rsidP="00593501">
      <w:pPr>
        <w:spacing w:after="120"/>
        <w:ind w:firstLine="720"/>
      </w:pPr>
      <w:r>
        <w:t>Ever since Hurricane Maria devastated Puerto Rico and the U.S. Virgin Islands, we at the Commission have been doing what we can to help restore communications across the islands.  That ethos is reflected in today’s action.</w:t>
      </w:r>
    </w:p>
    <w:p w14:paraId="281B5881" w14:textId="77777777" w:rsidR="00593501" w:rsidRPr="00197751" w:rsidRDefault="00593501" w:rsidP="00593501">
      <w:pPr>
        <w:spacing w:after="120"/>
        <w:ind w:firstLine="720"/>
      </w:pPr>
      <w:r>
        <w:t xml:space="preserve">Going forward, service providers will have greater flexibility in how they use universal service funding to restore and rebuild their networks.  And since we’ve adopted this item so expeditiously, carriers will be able to elect to have accelerated payments begin flowing this month.  This should be a boost for both wireless and wireline providers who are trying to restore connectivity.   </w:t>
      </w:r>
    </w:p>
    <w:p w14:paraId="6913DCAA" w14:textId="3C1F2521" w:rsidR="00593501" w:rsidRDefault="00593501" w:rsidP="00593501">
      <w:pPr>
        <w:spacing w:after="120"/>
        <w:ind w:firstLine="720"/>
      </w:pPr>
      <w:r>
        <w:t>Thank you to my colleagues for agreeing to adopt this order so quickly.  I look forward to taking additional action in the near future to help those in Puerto Rico and the U.S. Virgin Islands recover from this terrible storm.  Because what’s needed to help the people of Puerto Rico and the U.S. Virgin Islands right now is action, not a hearing or a report.</w:t>
      </w:r>
    </w:p>
    <w:p w14:paraId="039234BA" w14:textId="77777777" w:rsidR="00593501" w:rsidRDefault="00593501" w:rsidP="00D10CDE"/>
    <w:p w14:paraId="7B175BB2" w14:textId="77777777" w:rsidR="00BE210D" w:rsidRDefault="00BE210D">
      <w:pPr>
        <w:rPr>
          <w:b/>
        </w:rPr>
        <w:sectPr w:rsidR="00BE210D" w:rsidSect="00423C32">
          <w:pgSz w:w="12240" w:h="15840"/>
          <w:pgMar w:top="1440" w:right="1440" w:bottom="720" w:left="1440" w:header="720" w:footer="720" w:gutter="0"/>
          <w:cols w:space="720"/>
          <w:titlePg/>
        </w:sectPr>
      </w:pPr>
    </w:p>
    <w:p w14:paraId="05E3DF02" w14:textId="5FEBD579" w:rsidR="006F05A2" w:rsidRDefault="006F05A2" w:rsidP="006F05A2">
      <w:pPr>
        <w:jc w:val="center"/>
        <w:rPr>
          <w:b/>
        </w:rPr>
      </w:pPr>
      <w:r w:rsidRPr="00C13A9E">
        <w:rPr>
          <w:b/>
        </w:rPr>
        <w:t xml:space="preserve">STATEMENT OF </w:t>
      </w:r>
    </w:p>
    <w:p w14:paraId="11EF0FA5" w14:textId="77777777" w:rsidR="006F05A2" w:rsidRDefault="006F05A2" w:rsidP="006F05A2">
      <w:pPr>
        <w:jc w:val="center"/>
        <w:rPr>
          <w:b/>
        </w:rPr>
      </w:pPr>
      <w:r w:rsidRPr="00C13A9E">
        <w:rPr>
          <w:b/>
        </w:rPr>
        <w:t>COMMISSIONER MIGNON L. CLYBURN</w:t>
      </w:r>
    </w:p>
    <w:p w14:paraId="1B37DE19" w14:textId="77777777" w:rsidR="006F05A2" w:rsidRDefault="006F05A2" w:rsidP="006F05A2"/>
    <w:p w14:paraId="49501E8D" w14:textId="77777777" w:rsidR="006F05A2" w:rsidRPr="001444DE" w:rsidRDefault="006F05A2" w:rsidP="006F05A2">
      <w:pPr>
        <w:rPr>
          <w:b/>
        </w:rPr>
      </w:pPr>
      <w:r w:rsidRPr="00C13A9E">
        <w:t xml:space="preserve">Re: </w:t>
      </w:r>
      <w:r>
        <w:tab/>
      </w:r>
      <w:r>
        <w:rPr>
          <w:i/>
        </w:rPr>
        <w:t>Connect America Fund</w:t>
      </w:r>
      <w:r>
        <w:t>, WC Docket No. 10-90</w:t>
      </w:r>
    </w:p>
    <w:p w14:paraId="07198C28" w14:textId="77777777" w:rsidR="006F05A2" w:rsidRDefault="006F05A2" w:rsidP="006F05A2">
      <w:pPr>
        <w:ind w:firstLine="720"/>
      </w:pPr>
    </w:p>
    <w:p w14:paraId="21B0ED47" w14:textId="77777777" w:rsidR="006F05A2" w:rsidRDefault="006F05A2" w:rsidP="006F05A2">
      <w:pPr>
        <w:spacing w:after="120"/>
        <w:ind w:firstLine="720"/>
      </w:pPr>
      <w:r>
        <w:t xml:space="preserve">When children’s television host Mr. Rogers was a child and saw scary things on the news, his mother would comfort him by saying: “Look for the helpers. You will always find people who are helping.” </w:t>
      </w:r>
    </w:p>
    <w:p w14:paraId="1B8B7F68" w14:textId="77777777" w:rsidR="006F05A2" w:rsidRPr="00C13A9E" w:rsidRDefault="006F05A2" w:rsidP="006F05A2">
      <w:pPr>
        <w:spacing w:after="120"/>
        <w:ind w:firstLine="720"/>
      </w:pPr>
      <w:r>
        <w:t xml:space="preserve">Puerto Rico and the Virgin Islands territories were hit devastatingly hard by Hurricane Maria last month. The destruction is truly unimaginable, but as regulators we have a responsibility in times of emergency to act quickly to restore vital communications services. Despite the heartbreak and loss, I am grateful for the fearless individuals who have risked their lives to help those in need. </w:t>
      </w:r>
    </w:p>
    <w:p w14:paraId="51A37E9D" w14:textId="77777777" w:rsidR="006F05A2" w:rsidRDefault="006F05A2" w:rsidP="006F05A2">
      <w:pPr>
        <w:spacing w:after="120"/>
        <w:ind w:firstLine="720"/>
      </w:pPr>
      <w:r>
        <w:t>Today the Commission does what it can to help rebuild networks in Puerto Rico and the Virgin Islands, by making advance universal service funding available and providing program tweaks to ensure that carriers serving those hard-hit areas are able to utilize this funding for rebuilding downed communications networks.</w:t>
      </w:r>
    </w:p>
    <w:p w14:paraId="083D31F8" w14:textId="77777777" w:rsidR="006F05A2" w:rsidRDefault="006F05A2" w:rsidP="006F05A2">
      <w:pPr>
        <w:spacing w:after="120"/>
        <w:ind w:firstLine="720"/>
      </w:pPr>
      <w:r>
        <w:t>When responding to a disaster, every lost minute, lost hour, or lost day can cost lives and livelihoods. Time is of the essence, and that is why I support today’s action.</w:t>
      </w:r>
    </w:p>
    <w:p w14:paraId="11E495B5" w14:textId="203F1317" w:rsidR="00C5312B" w:rsidRDefault="00C5312B">
      <w:pPr>
        <w:pStyle w:val="ParaNum"/>
        <w:widowControl/>
        <w:numPr>
          <w:ilvl w:val="0"/>
          <w:numId w:val="0"/>
        </w:numPr>
        <w:spacing w:after="0"/>
      </w:pPr>
    </w:p>
    <w:p w14:paraId="194423A3" w14:textId="77777777" w:rsidR="00BE210D" w:rsidRDefault="00BE210D">
      <w:pPr>
        <w:pStyle w:val="ParaNum"/>
        <w:widowControl/>
        <w:numPr>
          <w:ilvl w:val="0"/>
          <w:numId w:val="0"/>
        </w:numPr>
        <w:spacing w:after="0"/>
        <w:sectPr w:rsidR="00BE210D" w:rsidSect="00423C32">
          <w:pgSz w:w="12240" w:h="15840"/>
          <w:pgMar w:top="1440" w:right="1440" w:bottom="720" w:left="1440" w:header="720" w:footer="720" w:gutter="0"/>
          <w:cols w:space="720"/>
          <w:titlePg/>
        </w:sectPr>
      </w:pPr>
    </w:p>
    <w:p w14:paraId="14B08015" w14:textId="77777777" w:rsidR="00D10CDE" w:rsidRDefault="00D10CDE" w:rsidP="00D10CDE">
      <w:pPr>
        <w:jc w:val="center"/>
        <w:rPr>
          <w:b/>
        </w:rPr>
      </w:pPr>
      <w:r w:rsidRPr="00C13A9E">
        <w:rPr>
          <w:b/>
        </w:rPr>
        <w:t xml:space="preserve">STATEMENT OF </w:t>
      </w:r>
    </w:p>
    <w:p w14:paraId="522E73A1" w14:textId="1BA276AD" w:rsidR="00D10CDE" w:rsidRPr="00D10CDE" w:rsidRDefault="00D10CDE" w:rsidP="00D10CDE">
      <w:pPr>
        <w:jc w:val="center"/>
        <w:rPr>
          <w:rFonts w:ascii="Times New Roman Bold" w:hAnsi="Times New Roman Bold"/>
          <w:b/>
          <w:caps/>
        </w:rPr>
      </w:pPr>
      <w:r>
        <w:rPr>
          <w:rFonts w:ascii="Times New Roman Bold" w:hAnsi="Times New Roman Bold"/>
          <w:b/>
          <w:caps/>
        </w:rPr>
        <w:t>Commissioner Michael O’Rielly</w:t>
      </w:r>
    </w:p>
    <w:p w14:paraId="5B16C4B3" w14:textId="77777777" w:rsidR="00D10CDE" w:rsidRDefault="00D10CDE" w:rsidP="00D10CDE"/>
    <w:p w14:paraId="1384DF5F" w14:textId="77777777" w:rsidR="00D10CDE" w:rsidRDefault="00D10CDE" w:rsidP="00D10CDE">
      <w:r w:rsidRPr="00C13A9E">
        <w:t xml:space="preserve">Re: </w:t>
      </w:r>
      <w:r>
        <w:tab/>
      </w:r>
      <w:r>
        <w:rPr>
          <w:i/>
        </w:rPr>
        <w:t>Connect America Fund</w:t>
      </w:r>
      <w:r>
        <w:t>, WC Docket No. 10-90</w:t>
      </w:r>
    </w:p>
    <w:p w14:paraId="2DF1CC12" w14:textId="77777777" w:rsidR="000B0881" w:rsidRDefault="000B0881" w:rsidP="000B0881"/>
    <w:p w14:paraId="3E2D3A66" w14:textId="6465E6DE" w:rsidR="000B0881" w:rsidRPr="00142F27" w:rsidRDefault="000B0881" w:rsidP="000B0881">
      <w:pPr>
        <w:spacing w:after="120"/>
        <w:ind w:firstLine="720"/>
      </w:pPr>
      <w:r w:rsidRPr="00142F27">
        <w:t xml:space="preserve">My heart goes out to the people of Puerto Rico, the U.S. Virgin Islands, and all areas that have been impacted by the recent hurricanes.  The damage to infrastructure, including telecommunications networks, was profound.  I appreciate the efforts of providers who have been working around the clock to restore service under extremely difficult conditions.  Indeed, I have heard reports that bringing supplies to </w:t>
      </w:r>
      <w:r>
        <w:t xml:space="preserve">the </w:t>
      </w:r>
      <w:r w:rsidRPr="00142F27">
        <w:t>islands, not to mention reaching and repairing networks in areas that remain practically inaccessible and without power, have become herculean tasks.</w:t>
      </w:r>
    </w:p>
    <w:p w14:paraId="1A1EC584" w14:textId="7E78F713" w:rsidR="000B0881" w:rsidRPr="00142F27" w:rsidRDefault="000B0881" w:rsidP="000B0881">
      <w:pPr>
        <w:spacing w:after="120"/>
        <w:ind w:firstLine="720"/>
      </w:pPr>
      <w:r w:rsidRPr="00142F27">
        <w:t xml:space="preserve">I therefore support this order, which endeavors to speed the rebuilding of telecommunications networks in Puerto Rico and the U.S. Virgin Islands by providing necessary waivers and the opportunity </w:t>
      </w:r>
      <w:r>
        <w:t xml:space="preserve">for carriers in those areas </w:t>
      </w:r>
      <w:r w:rsidRPr="00142F27">
        <w:t xml:space="preserve">to </w:t>
      </w:r>
      <w:r>
        <w:t>receive advance payment of</w:t>
      </w:r>
      <w:r w:rsidRPr="00142F27">
        <w:t xml:space="preserve"> high-cost universal service support.  I hope these steps will aid providers in restoring important services to consumers on a faster timeframe than would otherwise have occurred.  I also appreciate the effort to target the funding where it is needed most.  The order requires recipients to coordinate their network repair activities to minimize duplicative coverage, reconnecting as many consumers as possible.  Once this has occurred, and I realize that may not be for some time, the Commission should complete its review of ongoing support in these areas and adopt a plan, building on the restoration efforts, to connect the remaining unserved consumers.</w:t>
      </w:r>
    </w:p>
    <w:p w14:paraId="7F57EC03" w14:textId="7DEB3DE2" w:rsidR="000B0881" w:rsidRPr="00142F27" w:rsidRDefault="000B0881" w:rsidP="000B0881">
      <w:pPr>
        <w:spacing w:after="120"/>
        <w:ind w:firstLine="720"/>
      </w:pPr>
      <w:r w:rsidRPr="00142F27">
        <w:t>Additionally, while it is critical to move forward with this item, I recognize that it will require the use of reserved high-cost funding, at least in the near term, at a time when other high-cost carriers have also requested reserved funding to connect unserved consumers and make broadband more affordable.  To provide certainty and stability for these other providers, the Commission should move expeditiously to adopt an interim extension of the high-cost budget and reserve policy.</w:t>
      </w:r>
    </w:p>
    <w:p w14:paraId="3E16B2A9" w14:textId="088911BB" w:rsidR="000B0881" w:rsidRDefault="000B0881" w:rsidP="000B0881">
      <w:pPr>
        <w:spacing w:after="120"/>
        <w:ind w:firstLine="720"/>
      </w:pPr>
      <w:r w:rsidRPr="00142F27">
        <w:t>Finally, I want to recognize the Chairman for his leadership.  He quickly pulled together the relevant stakeholders to report on the status of the communications networks, provide necessary waivers, and to facilitate restoration efforts.  He has also coordinated closely with our other governmental partners and the public safety community to do what this agency can to aid in the recovery.  I commend the Chairman, his team, and the hardworking staff of the agency for their tireless work to help those impacted by the</w:t>
      </w:r>
      <w:r>
        <w:t xml:space="preserve"> recent</w:t>
      </w:r>
      <w:r w:rsidRPr="00142F27">
        <w:t xml:space="preserve"> hurricanes.</w:t>
      </w:r>
    </w:p>
    <w:p w14:paraId="10D8E871" w14:textId="77777777" w:rsidR="000B0881" w:rsidRDefault="000B0881" w:rsidP="00D10CDE"/>
    <w:p w14:paraId="28B84C69" w14:textId="77777777" w:rsidR="00BE210D" w:rsidRDefault="00BE210D" w:rsidP="00D10CDE">
      <w:pPr>
        <w:sectPr w:rsidR="00BE210D" w:rsidSect="00423C32">
          <w:pgSz w:w="12240" w:h="15840"/>
          <w:pgMar w:top="1440" w:right="1440" w:bottom="720" w:left="1440" w:header="720" w:footer="720" w:gutter="0"/>
          <w:cols w:space="720"/>
          <w:titlePg/>
        </w:sectPr>
      </w:pPr>
    </w:p>
    <w:p w14:paraId="770B9918" w14:textId="77777777" w:rsidR="00D10CDE" w:rsidRDefault="00D10CDE" w:rsidP="00D10CDE">
      <w:pPr>
        <w:jc w:val="center"/>
        <w:rPr>
          <w:b/>
        </w:rPr>
      </w:pPr>
      <w:r w:rsidRPr="00C13A9E">
        <w:rPr>
          <w:b/>
        </w:rPr>
        <w:t xml:space="preserve">STATEMENT OF </w:t>
      </w:r>
    </w:p>
    <w:p w14:paraId="12FD27A1" w14:textId="3834BC98" w:rsidR="00D10CDE" w:rsidRPr="00D10CDE" w:rsidRDefault="00D10CDE" w:rsidP="00D10CDE">
      <w:pPr>
        <w:jc w:val="center"/>
        <w:rPr>
          <w:rFonts w:ascii="Times New Roman Bold" w:hAnsi="Times New Roman Bold"/>
          <w:b/>
          <w:caps/>
        </w:rPr>
      </w:pPr>
      <w:r>
        <w:rPr>
          <w:rFonts w:ascii="Times New Roman Bold" w:hAnsi="Times New Roman Bold"/>
          <w:b/>
          <w:caps/>
        </w:rPr>
        <w:t>Commissioner Brendan Carr</w:t>
      </w:r>
    </w:p>
    <w:p w14:paraId="14E61359" w14:textId="77777777" w:rsidR="00D10CDE" w:rsidRDefault="00D10CDE" w:rsidP="00D10CDE"/>
    <w:p w14:paraId="5980F839" w14:textId="77777777" w:rsidR="00D10CDE" w:rsidRDefault="00D10CDE" w:rsidP="00D10CDE">
      <w:r w:rsidRPr="00C13A9E">
        <w:t xml:space="preserve">Re: </w:t>
      </w:r>
      <w:r>
        <w:tab/>
      </w:r>
      <w:r>
        <w:rPr>
          <w:i/>
        </w:rPr>
        <w:t>Connect America Fund</w:t>
      </w:r>
      <w:r>
        <w:t>, WC Docket No. 10-90</w:t>
      </w:r>
    </w:p>
    <w:p w14:paraId="192127EC" w14:textId="2B643C75" w:rsidR="00593501" w:rsidRDefault="00593501" w:rsidP="00D10CDE"/>
    <w:p w14:paraId="3F6392EB" w14:textId="77777777" w:rsidR="00593501" w:rsidRDefault="00593501" w:rsidP="00593501">
      <w:pPr>
        <w:ind w:firstLine="720"/>
      </w:pPr>
      <w:r>
        <w:t xml:space="preserve">Even before the first hurricane struck the United States this year, the FCC’s dedicated staff have been focused on doing everything in their power to safeguard the communications networks in the areas impacted by these devastating storms.  The agency has deployed teams, issued emergency authorizations, waived rules, and helped facilitate access to fuel and other resources.  I am grateful that throughout Hurricanes Harvey, Irma, and Maria, the agency has maintained its focus on efforts to repair and restore communications networks.  Today’s Order is no exception.  We take immediate action to make nearly $77 million in funds available to help get the communications networks in Puerto Rico and the U.S. Virgin Islands back up and running after the devastation from Hurricane Maria.  </w:t>
      </w:r>
    </w:p>
    <w:p w14:paraId="6A080780" w14:textId="77777777" w:rsidR="00593501" w:rsidRDefault="00593501" w:rsidP="00593501"/>
    <w:p w14:paraId="798CD8C0" w14:textId="3667FDBD" w:rsidR="00593501" w:rsidRDefault="00593501" w:rsidP="00593501">
      <w:pPr>
        <w:ind w:firstLine="720"/>
      </w:pPr>
      <w:r>
        <w:t>I am glad that the Chairman has moved quickly and brought this item up for a vote.  And I want to acknowledge the staff in the FCC’s Wireline Competition Bureau for their diligent work on this item.</w:t>
      </w:r>
    </w:p>
    <w:p w14:paraId="43BF9A11" w14:textId="77777777" w:rsidR="00D10CDE" w:rsidRDefault="00D10CDE" w:rsidP="00D10CDE"/>
    <w:p w14:paraId="00B51859" w14:textId="77777777" w:rsidR="00BE210D" w:rsidRDefault="00BE210D">
      <w:pPr>
        <w:sectPr w:rsidR="00BE210D" w:rsidSect="00423C32">
          <w:pgSz w:w="12240" w:h="15840"/>
          <w:pgMar w:top="1440" w:right="1440" w:bottom="720" w:left="1440" w:header="720" w:footer="720" w:gutter="0"/>
          <w:cols w:space="720"/>
          <w:titlePg/>
        </w:sectPr>
      </w:pPr>
    </w:p>
    <w:p w14:paraId="741DF318" w14:textId="77777777" w:rsidR="00D10CDE" w:rsidRDefault="00D10CDE" w:rsidP="00D10CDE">
      <w:pPr>
        <w:jc w:val="center"/>
        <w:rPr>
          <w:b/>
        </w:rPr>
      </w:pPr>
      <w:r w:rsidRPr="00C13A9E">
        <w:rPr>
          <w:b/>
        </w:rPr>
        <w:t xml:space="preserve">STATEMENT OF </w:t>
      </w:r>
    </w:p>
    <w:p w14:paraId="3C03C519" w14:textId="2B6AD981" w:rsidR="00D10CDE" w:rsidRPr="00D10CDE" w:rsidRDefault="00D10CDE" w:rsidP="00D10CDE">
      <w:pPr>
        <w:jc w:val="center"/>
        <w:rPr>
          <w:rFonts w:ascii="Times New Roman Bold" w:hAnsi="Times New Roman Bold"/>
          <w:b/>
          <w:caps/>
        </w:rPr>
      </w:pPr>
      <w:r>
        <w:rPr>
          <w:rFonts w:ascii="Times New Roman Bold" w:hAnsi="Times New Roman Bold"/>
          <w:b/>
          <w:caps/>
        </w:rPr>
        <w:t>Commissioner Jessica Rosenworcel</w:t>
      </w:r>
    </w:p>
    <w:p w14:paraId="77AD20C7" w14:textId="77777777" w:rsidR="00D10CDE" w:rsidRDefault="00D10CDE" w:rsidP="00D10CDE"/>
    <w:p w14:paraId="47CF642F" w14:textId="77777777" w:rsidR="00D10CDE" w:rsidRDefault="00D10CDE" w:rsidP="00D10CDE">
      <w:r w:rsidRPr="00C13A9E">
        <w:t xml:space="preserve">Re: </w:t>
      </w:r>
      <w:r>
        <w:tab/>
      </w:r>
      <w:r>
        <w:rPr>
          <w:i/>
        </w:rPr>
        <w:t>Connect America Fund</w:t>
      </w:r>
      <w:r>
        <w:t>, WC Docket No. 10-90</w:t>
      </w:r>
    </w:p>
    <w:p w14:paraId="30DB16C7" w14:textId="77777777" w:rsidR="00593501" w:rsidRDefault="00593501" w:rsidP="00152D54">
      <w:pPr>
        <w:ind w:firstLine="720"/>
      </w:pPr>
    </w:p>
    <w:p w14:paraId="52A62881" w14:textId="600595FA" w:rsidR="00593501" w:rsidRPr="00593501" w:rsidRDefault="00593501" w:rsidP="00593501">
      <w:pPr>
        <w:spacing w:after="120"/>
        <w:ind w:firstLine="720"/>
      </w:pPr>
      <w:r w:rsidRPr="00593501">
        <w:t>We have a catastrophe in Puerto Rico and the U.S. Virgin Islands.  More than two weeks after Hurricane Maria made landfall, food and water remain in short supply.  Progress restoring basic communications and power systems that were decimated by the storm’s noxious mix of wind and rain has been painfully slow</w:t>
      </w:r>
      <w:r>
        <w:t>.</w:t>
      </w:r>
    </w:p>
    <w:p w14:paraId="4B6CB880" w14:textId="77777777" w:rsidR="00593501" w:rsidRPr="00593501" w:rsidRDefault="00593501" w:rsidP="00593501">
      <w:pPr>
        <w:spacing w:after="120"/>
        <w:ind w:firstLine="720"/>
      </w:pPr>
      <w:r w:rsidRPr="00593501">
        <w:t>This is shameful.  These are American citizens—who right now lack the ability to make a simple phone call, keep the lights on, or receive basic medical care.  These are difficulties most of us would find unimaginable.  Were they to happen to us, we would want our fellow citizens to make it a priority to assist with restoring essential infrastructure and study how to prevent this damage from ever happening again.</w:t>
      </w:r>
    </w:p>
    <w:p w14:paraId="24EEE5F6" w14:textId="77777777" w:rsidR="00593501" w:rsidRPr="00593501" w:rsidRDefault="00593501" w:rsidP="00593501">
      <w:pPr>
        <w:spacing w:after="120"/>
        <w:ind w:firstLine="720"/>
      </w:pPr>
      <w:r w:rsidRPr="00593501">
        <w:t xml:space="preserve">For this reason, I support this order, which takes a small step to jumpstart recovery by accelerating the availability of universal service funds for the restoration and repair of communications networks.  This is the right thing to do. </w:t>
      </w:r>
    </w:p>
    <w:p w14:paraId="7BF8D193" w14:textId="77777777" w:rsidR="00593501" w:rsidRPr="00593501" w:rsidRDefault="00593501" w:rsidP="00593501">
      <w:pPr>
        <w:spacing w:after="120"/>
        <w:ind w:firstLine="720"/>
      </w:pPr>
      <w:r w:rsidRPr="00593501">
        <w:t xml:space="preserve">But, let’s not kid ourselves, this is not enough.  The road to recovery is long.  That is why I have called on this Commission to commit to both hold hearings as soon as feasible and issue a full report on this hurricane season and its impact on communications.  The Commission took similar action following Hurricane Katrina and Hurricane Sandy.  It boggles my mind that we cannot commit to the same course here.  We owe this not only to the people who have been impacted by this season’s storms but to every one of us so we are better prepared for the next time that extreme weather puts our networks to the test.  Because one thing is for sure—Mother Nature’s wrath is sure to visit us again.   </w:t>
      </w:r>
    </w:p>
    <w:p w14:paraId="7A2F7836" w14:textId="5A33E4D0" w:rsidR="00D10CDE" w:rsidRDefault="00D10CDE">
      <w:pPr>
        <w:pStyle w:val="ParaNum"/>
        <w:widowControl/>
        <w:numPr>
          <w:ilvl w:val="0"/>
          <w:numId w:val="0"/>
        </w:numPr>
        <w:spacing w:after="0"/>
      </w:pPr>
    </w:p>
    <w:sectPr w:rsidR="00D10CDE" w:rsidSect="00423C32">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5624A" w14:textId="77777777" w:rsidR="00AE597F" w:rsidRDefault="00AE597F">
      <w:r>
        <w:separator/>
      </w:r>
    </w:p>
  </w:endnote>
  <w:endnote w:type="continuationSeparator" w:id="0">
    <w:p w14:paraId="340659E3" w14:textId="77777777" w:rsidR="00AE597F" w:rsidRDefault="00AE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F1B2" w14:textId="77777777" w:rsidR="00B7507D" w:rsidRDefault="00B75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6518" w14:textId="00B8CDCC" w:rsidR="00C5312B" w:rsidRDefault="00C5312B">
    <w:pPr>
      <w:pStyle w:val="Footer"/>
      <w:jc w:val="center"/>
    </w:pPr>
    <w:r>
      <w:rPr>
        <w:rStyle w:val="PageNumber"/>
      </w:rPr>
      <w:fldChar w:fldCharType="begin"/>
    </w:r>
    <w:r>
      <w:rPr>
        <w:rStyle w:val="PageNumber"/>
      </w:rPr>
      <w:instrText xml:space="preserve"> PAGE </w:instrText>
    </w:r>
    <w:r>
      <w:rPr>
        <w:rStyle w:val="PageNumber"/>
      </w:rPr>
      <w:fldChar w:fldCharType="separate"/>
    </w:r>
    <w:r w:rsidR="00D2246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254850"/>
      <w:docPartObj>
        <w:docPartGallery w:val="Page Numbers (Bottom of Page)"/>
        <w:docPartUnique/>
      </w:docPartObj>
    </w:sdtPr>
    <w:sdtEndPr>
      <w:rPr>
        <w:noProof/>
      </w:rPr>
    </w:sdtEndPr>
    <w:sdtContent>
      <w:p w14:paraId="1CC99429" w14:textId="5E6E36BA" w:rsidR="00423C32" w:rsidRDefault="00423C32">
        <w:pPr>
          <w:pStyle w:val="Footer"/>
          <w:jc w:val="center"/>
        </w:pPr>
        <w:r>
          <w:fldChar w:fldCharType="begin"/>
        </w:r>
        <w:r>
          <w:instrText xml:space="preserve"> PAGE   \* MERGEFORMAT </w:instrText>
        </w:r>
        <w:r>
          <w:fldChar w:fldCharType="separate"/>
        </w:r>
        <w:r w:rsidR="00D22462">
          <w:rPr>
            <w:noProof/>
          </w:rPr>
          <w:t>1</w:t>
        </w:r>
        <w:r>
          <w:rPr>
            <w:noProof/>
          </w:rPr>
          <w:fldChar w:fldCharType="end"/>
        </w:r>
      </w:p>
    </w:sdtContent>
  </w:sdt>
  <w:p w14:paraId="6C03FED9" w14:textId="77777777" w:rsidR="00BE210D" w:rsidRDefault="00BE2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7663" w14:textId="77777777" w:rsidR="00AE597F" w:rsidRDefault="00AE597F">
      <w:pPr>
        <w:rPr>
          <w:sz w:val="20"/>
        </w:rPr>
      </w:pPr>
      <w:r>
        <w:rPr>
          <w:sz w:val="20"/>
        </w:rPr>
        <w:separator/>
      </w:r>
    </w:p>
  </w:footnote>
  <w:footnote w:type="continuationSeparator" w:id="0">
    <w:p w14:paraId="7E4A7EA8" w14:textId="77777777" w:rsidR="00AE597F" w:rsidRDefault="00AE597F">
      <w:pPr>
        <w:rPr>
          <w:sz w:val="20"/>
        </w:rPr>
      </w:pPr>
      <w:r>
        <w:rPr>
          <w:sz w:val="20"/>
        </w:rPr>
        <w:separator/>
      </w:r>
    </w:p>
    <w:p w14:paraId="0AE9F88F" w14:textId="77777777" w:rsidR="00AE597F" w:rsidRDefault="00AE597F">
      <w:pPr>
        <w:rPr>
          <w:sz w:val="20"/>
        </w:rPr>
      </w:pPr>
      <w:r>
        <w:rPr>
          <w:sz w:val="20"/>
        </w:rPr>
        <w:t>(...continued from previous page)</w:t>
      </w:r>
    </w:p>
  </w:footnote>
  <w:footnote w:type="continuationNotice" w:id="1">
    <w:p w14:paraId="5B68F0F6" w14:textId="77777777" w:rsidR="00AE597F" w:rsidRDefault="00AE597F">
      <w:pPr>
        <w:jc w:val="right"/>
        <w:rPr>
          <w:sz w:val="20"/>
        </w:rPr>
      </w:pPr>
      <w:r>
        <w:rPr>
          <w:sz w:val="20"/>
        </w:rPr>
        <w:t>(continued....)</w:t>
      </w:r>
    </w:p>
  </w:footnote>
  <w:footnote w:id="2">
    <w:p w14:paraId="1FCDFB39" w14:textId="2B191807" w:rsidR="00EC7C25" w:rsidRDefault="00EC7C25" w:rsidP="00151269">
      <w:pPr>
        <w:pStyle w:val="FootnoteText"/>
      </w:pPr>
      <w:r>
        <w:rPr>
          <w:rStyle w:val="FootnoteReference"/>
        </w:rPr>
        <w:footnoteRef/>
      </w:r>
      <w:r>
        <w:t xml:space="preserve"> </w:t>
      </w:r>
      <w:r w:rsidR="00CD45AC">
        <w:t>Kevin Loria,</w:t>
      </w:r>
      <w:r w:rsidR="00CD45AC" w:rsidRPr="00CD45AC">
        <w:t xml:space="preserve"> </w:t>
      </w:r>
      <w:r w:rsidR="00CD45AC" w:rsidRPr="00AE03C4">
        <w:rPr>
          <w:i/>
        </w:rPr>
        <w:t xml:space="preserve">Hurricane Maria </w:t>
      </w:r>
      <w:r w:rsidR="00CD45AC">
        <w:rPr>
          <w:i/>
        </w:rPr>
        <w:t>I</w:t>
      </w:r>
      <w:r w:rsidR="00CD45AC" w:rsidRPr="00AE03C4">
        <w:rPr>
          <w:i/>
        </w:rPr>
        <w:t xml:space="preserve">s </w:t>
      </w:r>
      <w:r w:rsidR="00CD45AC">
        <w:rPr>
          <w:i/>
        </w:rPr>
        <w:t>T</w:t>
      </w:r>
      <w:r w:rsidR="00CD45AC" w:rsidRPr="00AE03C4">
        <w:rPr>
          <w:i/>
        </w:rPr>
        <w:t>hrashing the Caribbean</w:t>
      </w:r>
      <w:r w:rsidR="00CD45AC">
        <w:t xml:space="preserve"> (Sept. 22, 2017), </w:t>
      </w:r>
      <w:hyperlink r:id="rId1" w:history="1">
        <w:r w:rsidRPr="00C81722">
          <w:rPr>
            <w:rStyle w:val="Hyperlink"/>
          </w:rPr>
          <w:t>http://www.businessinsider.com/</w:t>
        </w:r>
        <w:r w:rsidR="00C27756">
          <w:rPr>
            <w:rStyle w:val="Hyperlink"/>
          </w:rPr>
          <w:br/>
        </w:r>
        <w:r w:rsidRPr="00C81722">
          <w:rPr>
            <w:rStyle w:val="Hyperlink"/>
          </w:rPr>
          <w:t>hurricane-maria-path-track-update-2017-9</w:t>
        </w:r>
      </w:hyperlink>
      <w:r>
        <w:t xml:space="preserve">. </w:t>
      </w:r>
    </w:p>
  </w:footnote>
  <w:footnote w:id="3">
    <w:p w14:paraId="2C5B152C" w14:textId="0CAB85B5" w:rsidR="00BB1024" w:rsidRDefault="00BB1024" w:rsidP="00957764">
      <w:pPr>
        <w:pStyle w:val="FootnoteText"/>
      </w:pPr>
      <w:r>
        <w:rPr>
          <w:rStyle w:val="FootnoteReference"/>
        </w:rPr>
        <w:footnoteRef/>
      </w:r>
      <w:r>
        <w:t xml:space="preserve"> </w:t>
      </w:r>
      <w:r w:rsidRPr="00970689">
        <w:t>Press Release, FCC, Chairman Pai Statement on Hurricane Maria (Sept. 21, 2017)</w:t>
      </w:r>
      <w:r>
        <w:t xml:space="preserve">, </w:t>
      </w:r>
      <w:hyperlink r:id="rId2" w:history="1">
        <w:r>
          <w:rPr>
            <w:rStyle w:val="Hyperlink"/>
          </w:rPr>
          <w:t>http://transition.fcc.gov/Daily_Releases/Daily_Business/2017/db0921/DOC-346833A1.pdf</w:t>
        </w:r>
      </w:hyperlink>
      <w:r>
        <w:rPr>
          <w:color w:val="1F497D"/>
        </w:rPr>
        <w:t>.</w:t>
      </w:r>
    </w:p>
  </w:footnote>
  <w:footnote w:id="4">
    <w:p w14:paraId="310485AE" w14:textId="33131B9B" w:rsidR="00B629A0" w:rsidRDefault="00BB1024" w:rsidP="00957764">
      <w:pPr>
        <w:pStyle w:val="FootnoteText"/>
      </w:pPr>
      <w:r>
        <w:rPr>
          <w:rStyle w:val="FootnoteReference"/>
        </w:rPr>
        <w:footnoteRef/>
      </w:r>
      <w:r>
        <w:t xml:space="preserve"> </w:t>
      </w:r>
      <w:r w:rsidRPr="00970689">
        <w:t xml:space="preserve">FCC, </w:t>
      </w:r>
      <w:r w:rsidR="009B3457">
        <w:t>Communications Status Report for Areas Impacted by Hurricane Maria</w:t>
      </w:r>
      <w:r w:rsidRPr="00970689">
        <w:t xml:space="preserve"> at </w:t>
      </w:r>
      <w:r w:rsidR="009B3457">
        <w:t>2-3</w:t>
      </w:r>
      <w:r w:rsidRPr="00970689">
        <w:t xml:space="preserve"> (</w:t>
      </w:r>
      <w:r w:rsidR="0038501A">
        <w:t>Oct.</w:t>
      </w:r>
      <w:r w:rsidR="009C4F29">
        <w:t xml:space="preserve"> </w:t>
      </w:r>
      <w:r w:rsidR="0038501A">
        <w:t>1</w:t>
      </w:r>
      <w:r w:rsidRPr="00970689">
        <w:t>, 2017)</w:t>
      </w:r>
      <w:r w:rsidR="009B3457">
        <w:t xml:space="preserve"> (</w:t>
      </w:r>
      <w:r w:rsidR="009B3457">
        <w:rPr>
          <w:i/>
        </w:rPr>
        <w:t>October 1 Communications Status Report</w:t>
      </w:r>
      <w:r w:rsidR="009B3457">
        <w:t>)</w:t>
      </w:r>
      <w:r>
        <w:t>,</w:t>
      </w:r>
      <w:r w:rsidRPr="00970689">
        <w:t xml:space="preserve"> </w:t>
      </w:r>
      <w:hyperlink r:id="rId3" w:history="1">
        <w:r w:rsidR="00B629A0" w:rsidRPr="00894E23">
          <w:rPr>
            <w:rStyle w:val="Hyperlink"/>
          </w:rPr>
          <w:t>http://fcc.gov/sites/default/files/fcc-outage-report-maria100117.pdf</w:t>
        </w:r>
      </w:hyperlink>
      <w:r w:rsidR="0038501A">
        <w:t>.</w:t>
      </w:r>
    </w:p>
  </w:footnote>
  <w:footnote w:id="5">
    <w:p w14:paraId="3C2CEDAF" w14:textId="09C204AC" w:rsidR="007543F9" w:rsidRPr="007543F9" w:rsidRDefault="007543F9" w:rsidP="007543F9">
      <w:pPr>
        <w:pStyle w:val="FootnoteText"/>
      </w:pPr>
      <w:r>
        <w:rPr>
          <w:rStyle w:val="FootnoteReference"/>
        </w:rPr>
        <w:footnoteRef/>
      </w:r>
      <w:r>
        <w:t xml:space="preserve"> </w:t>
      </w:r>
      <w:r>
        <w:rPr>
          <w:i/>
        </w:rPr>
        <w:t>Id.</w:t>
      </w:r>
      <w:r>
        <w:t xml:space="preserve"> at 7.</w:t>
      </w:r>
    </w:p>
  </w:footnote>
  <w:footnote w:id="6">
    <w:p w14:paraId="59267AF2" w14:textId="176ECB27" w:rsidR="00F86D73" w:rsidRDefault="00F86D73">
      <w:pPr>
        <w:pStyle w:val="FootnoteText"/>
      </w:pPr>
      <w:r>
        <w:rPr>
          <w:rStyle w:val="FootnoteReference"/>
        </w:rPr>
        <w:footnoteRef/>
      </w:r>
      <w:r w:rsidR="00477BE2">
        <w:rPr>
          <w:i/>
        </w:rPr>
        <w:t xml:space="preserve"> </w:t>
      </w:r>
      <w:r w:rsidR="00E71ED1">
        <w:rPr>
          <w:i/>
        </w:rPr>
        <w:t>Connect America Fund et al.</w:t>
      </w:r>
      <w:r w:rsidR="00E71ED1">
        <w:t>, Report and Order and Further Notice of Proposed Rulemaking, 26 FCC</w:t>
      </w:r>
      <w:r w:rsidR="009C4F29">
        <w:t xml:space="preserve"> Rcd</w:t>
      </w:r>
      <w:r w:rsidR="00E71ED1">
        <w:t xml:space="preserve"> 17663, 17725, para. 156 (2011) (</w:t>
      </w:r>
      <w:r w:rsidR="00E71ED1">
        <w:rPr>
          <w:i/>
        </w:rPr>
        <w:t>USF/ICC Transformation Order</w:t>
      </w:r>
      <w:r w:rsidR="00E71ED1">
        <w:t xml:space="preserve">), </w:t>
      </w:r>
      <w:r w:rsidR="00E71ED1">
        <w:rPr>
          <w:i/>
        </w:rPr>
        <w:t>aff’d</w:t>
      </w:r>
      <w:r w:rsidR="00E71ED1">
        <w:t xml:space="preserve"> </w:t>
      </w:r>
      <w:r w:rsidR="00E71ED1">
        <w:rPr>
          <w:i/>
          <w:iCs/>
        </w:rPr>
        <w:t xml:space="preserve">sub nom. </w:t>
      </w:r>
      <w:r w:rsidR="00E71ED1" w:rsidRPr="00921841">
        <w:rPr>
          <w:iCs/>
        </w:rPr>
        <w:t>In re: FCC 11-161</w:t>
      </w:r>
      <w:r w:rsidR="00E71ED1">
        <w:t>, 753 F.3d 1015 (10th Cir. 2014)</w:t>
      </w:r>
      <w:r>
        <w:t xml:space="preserve">. </w:t>
      </w:r>
    </w:p>
  </w:footnote>
  <w:footnote w:id="7">
    <w:p w14:paraId="34478BB4" w14:textId="77777777" w:rsidR="00F86D73" w:rsidRDefault="00F86D73">
      <w:pPr>
        <w:pStyle w:val="FootnoteText"/>
      </w:pPr>
      <w:r>
        <w:rPr>
          <w:rStyle w:val="FootnoteReference"/>
        </w:rPr>
        <w:footnoteRef/>
      </w:r>
      <w:r>
        <w:t xml:space="preserve"> </w:t>
      </w:r>
      <w:r>
        <w:rPr>
          <w:i/>
        </w:rPr>
        <w:t xml:space="preserve">Id. </w:t>
      </w:r>
      <w:r>
        <w:t>at 17712, para. 128.</w:t>
      </w:r>
    </w:p>
  </w:footnote>
  <w:footnote w:id="8">
    <w:p w14:paraId="37C7408C" w14:textId="77777777" w:rsidR="00F86D73" w:rsidRDefault="00F86D73">
      <w:pPr>
        <w:pStyle w:val="FootnoteText"/>
      </w:pPr>
      <w:r>
        <w:rPr>
          <w:rStyle w:val="FootnoteReference"/>
        </w:rPr>
        <w:footnoteRef/>
      </w:r>
      <w:r>
        <w:t xml:space="preserve"> </w:t>
      </w:r>
      <w:r>
        <w:rPr>
          <w:i/>
        </w:rPr>
        <w:t>See</w:t>
      </w:r>
      <w:r>
        <w:t xml:space="preserve"> 47 CFR § 54.309.  </w:t>
      </w:r>
    </w:p>
  </w:footnote>
  <w:footnote w:id="9">
    <w:p w14:paraId="720411A0" w14:textId="77777777" w:rsidR="00F86D73" w:rsidRDefault="00F86D73">
      <w:pPr>
        <w:pStyle w:val="FootnoteText"/>
      </w:pPr>
      <w:r>
        <w:rPr>
          <w:rStyle w:val="FootnoteReference"/>
        </w:rPr>
        <w:footnoteRef/>
      </w:r>
      <w:r>
        <w:t xml:space="preserve"> </w:t>
      </w:r>
      <w:r>
        <w:rPr>
          <w:i/>
        </w:rPr>
        <w:t>USF/ICC Transformation Order</w:t>
      </w:r>
      <w:r>
        <w:t>, 26 FCC Rcd at 17737-38, para. 193.</w:t>
      </w:r>
    </w:p>
  </w:footnote>
  <w:footnote w:id="10">
    <w:p w14:paraId="2596FEFA" w14:textId="77777777" w:rsidR="00F86D73" w:rsidRDefault="00F86D73">
      <w:pPr>
        <w:pStyle w:val="FootnoteText"/>
      </w:pPr>
      <w:r>
        <w:rPr>
          <w:rStyle w:val="FootnoteReference"/>
        </w:rPr>
        <w:footnoteRef/>
      </w:r>
      <w:r>
        <w:t xml:space="preserve"> </w:t>
      </w:r>
      <w:r>
        <w:rPr>
          <w:i/>
        </w:rPr>
        <w:t>Id.</w:t>
      </w:r>
    </w:p>
  </w:footnote>
  <w:footnote w:id="11">
    <w:p w14:paraId="54578EE9" w14:textId="77777777" w:rsidR="00F86D73" w:rsidRDefault="00F86D73">
      <w:pPr>
        <w:rPr>
          <w:sz w:val="20"/>
        </w:rPr>
      </w:pPr>
      <w:r>
        <w:rPr>
          <w:rStyle w:val="FootnoteReference"/>
        </w:rPr>
        <w:footnoteRef/>
      </w:r>
      <w:r>
        <w:t xml:space="preserve"> </w:t>
      </w:r>
      <w:r w:rsidRPr="004828FE">
        <w:rPr>
          <w:sz w:val="20"/>
        </w:rPr>
        <w:t>Letter from Russell M. Blau, Counsel to Virgin Islands Telephone Corporation d/b/a Innovative Communications, to Marlene H. Dortch, Secretary, FCC, WC Docket No. 10-90 (filed Dec. 29, 2014); Letter from Thomas J. Navin, Counsel to Puerto Rico Telephone Company, Inc., to Marlene H. Dortch, Secretary, FCC, WC Docket No. 10-90 (filed Dec. 22, 2014).</w:t>
      </w:r>
    </w:p>
    <w:p w14:paraId="3E126DE4" w14:textId="77777777" w:rsidR="00F86D73" w:rsidRPr="004828FE" w:rsidRDefault="00F86D73">
      <w:pPr>
        <w:rPr>
          <w:sz w:val="20"/>
        </w:rPr>
      </w:pPr>
    </w:p>
  </w:footnote>
  <w:footnote w:id="12">
    <w:p w14:paraId="7D2ECE4D" w14:textId="77777777" w:rsidR="003373B9" w:rsidRDefault="003373B9">
      <w:pPr>
        <w:pStyle w:val="FootnoteText"/>
      </w:pPr>
      <w:r>
        <w:rPr>
          <w:rStyle w:val="FootnoteReference"/>
        </w:rPr>
        <w:footnoteRef/>
      </w:r>
      <w:r>
        <w:t xml:space="preserve"> </w:t>
      </w:r>
      <w:r>
        <w:rPr>
          <w:i/>
        </w:rPr>
        <w:t>December 2014 Connect America Order</w:t>
      </w:r>
      <w:r>
        <w:t>, Report and Order, 29 FCC Rcd 15644, 15662, para. 46 (2014).</w:t>
      </w:r>
    </w:p>
  </w:footnote>
  <w:footnote w:id="13">
    <w:p w14:paraId="083A0777" w14:textId="77777777" w:rsidR="00E71ED1" w:rsidRPr="00767DFA" w:rsidRDefault="00E71ED1">
      <w:pPr>
        <w:pStyle w:val="FootnoteText"/>
      </w:pPr>
      <w:r>
        <w:rPr>
          <w:rStyle w:val="FootnoteReference"/>
        </w:rPr>
        <w:footnoteRef/>
      </w:r>
      <w:r>
        <w:t xml:space="preserve"> </w:t>
      </w:r>
      <w:r>
        <w:rPr>
          <w:i/>
        </w:rPr>
        <w:t>USF/ICC Transformation Order</w:t>
      </w:r>
      <w:r>
        <w:t>, 26 FCC Rcd at 17682, paras. 53, 57.</w:t>
      </w:r>
    </w:p>
  </w:footnote>
  <w:footnote w:id="14">
    <w:p w14:paraId="353D064C" w14:textId="77777777" w:rsidR="00E71ED1" w:rsidRPr="00AC5DE9" w:rsidRDefault="00E71ED1">
      <w:pPr>
        <w:pStyle w:val="FootnoteText"/>
      </w:pPr>
      <w:r>
        <w:rPr>
          <w:rStyle w:val="FootnoteReference"/>
        </w:rPr>
        <w:footnoteRef/>
      </w:r>
      <w:r>
        <w:t xml:space="preserve"> </w:t>
      </w:r>
      <w:r>
        <w:rPr>
          <w:i/>
        </w:rPr>
        <w:t>Id.</w:t>
      </w:r>
      <w:r>
        <w:t xml:space="preserve"> at 17773, para. 299.</w:t>
      </w:r>
    </w:p>
  </w:footnote>
  <w:footnote w:id="15">
    <w:p w14:paraId="5C249C8F" w14:textId="36CFF21B" w:rsidR="00E71ED1" w:rsidRPr="0094325B" w:rsidRDefault="00E71ED1">
      <w:pPr>
        <w:pStyle w:val="FootnoteText"/>
      </w:pPr>
      <w:r>
        <w:rPr>
          <w:rStyle w:val="FootnoteReference"/>
        </w:rPr>
        <w:footnoteRef/>
      </w:r>
      <w:r>
        <w:t xml:space="preserve"> </w:t>
      </w:r>
      <w:r w:rsidR="00262D27">
        <w:rPr>
          <w:i/>
        </w:rPr>
        <w:t>Connect America Fund</w:t>
      </w:r>
      <w:r w:rsidR="00262D27">
        <w:t xml:space="preserve">, Report and Order and Further Notice of Proposed Rulemaking, 32 FCC Rcd 2152, </w:t>
      </w:r>
      <w:r>
        <w:t>2154-55, para. 5</w:t>
      </w:r>
      <w:r w:rsidR="00262D27">
        <w:t>, 2160, para. 23</w:t>
      </w:r>
      <w:r w:rsidR="00EE50BD">
        <w:t xml:space="preserve"> (2017)</w:t>
      </w:r>
      <w:r>
        <w:t>.</w:t>
      </w:r>
    </w:p>
  </w:footnote>
  <w:footnote w:id="16">
    <w:p w14:paraId="0396F1D8" w14:textId="3FAF2EAB" w:rsidR="00E71ED1" w:rsidRPr="001757BA" w:rsidRDefault="00E71ED1">
      <w:pPr>
        <w:pStyle w:val="FootnoteText"/>
      </w:pPr>
      <w:r>
        <w:rPr>
          <w:rStyle w:val="FootnoteReference"/>
        </w:rPr>
        <w:footnoteRef/>
      </w:r>
      <w:r>
        <w:t xml:space="preserve"> 47 CFR </w:t>
      </w:r>
      <w:r w:rsidRPr="00805F1F">
        <w:t>§</w:t>
      </w:r>
      <w:r>
        <w:t xml:space="preserve"> 54.307(e)(5)</w:t>
      </w:r>
      <w:r w:rsidR="00262D27">
        <w:t xml:space="preserve">; </w:t>
      </w:r>
      <w:r w:rsidR="00262D27">
        <w:rPr>
          <w:i/>
        </w:rPr>
        <w:t>Connect America Fund</w:t>
      </w:r>
      <w:r w:rsidR="00262D27">
        <w:t>,</w:t>
      </w:r>
      <w:r w:rsidR="00BB17E7">
        <w:t xml:space="preserve"> </w:t>
      </w:r>
      <w:r w:rsidR="00BB17E7" w:rsidRPr="00BB17E7">
        <w:t xml:space="preserve">Report and Order, Declaratory Ruling, Order, Memorandum Opinion and Order, Seventh Order </w:t>
      </w:r>
      <w:r w:rsidR="00477BE2" w:rsidRPr="00BB17E7">
        <w:t>on</w:t>
      </w:r>
      <w:r w:rsidR="00BB17E7" w:rsidRPr="00BB17E7">
        <w:t xml:space="preserve"> Reconsideration, and Further Notice </w:t>
      </w:r>
      <w:r w:rsidR="00604AE6" w:rsidRPr="00BB17E7">
        <w:t>of</w:t>
      </w:r>
      <w:r w:rsidR="00BB17E7" w:rsidRPr="00BB17E7">
        <w:t xml:space="preserve"> Proposed Rulemaking</w:t>
      </w:r>
      <w:r w:rsidR="00BB17E7">
        <w:t>, 29 FCC Rcd 7051, 7132, para. 252 (2014).</w:t>
      </w:r>
    </w:p>
  </w:footnote>
  <w:footnote w:id="17">
    <w:p w14:paraId="17FA06DD" w14:textId="08BA7413" w:rsidR="00CD45AC" w:rsidRDefault="00CD45AC" w:rsidP="00151269">
      <w:pPr>
        <w:pStyle w:val="FootnoteText"/>
      </w:pPr>
      <w:r>
        <w:rPr>
          <w:rStyle w:val="FootnoteReference"/>
        </w:rPr>
        <w:footnoteRef/>
      </w:r>
      <w:r>
        <w:t xml:space="preserve"> Kevin Loria,</w:t>
      </w:r>
      <w:r w:rsidRPr="00CD45AC">
        <w:t xml:space="preserve"> </w:t>
      </w:r>
      <w:r w:rsidRPr="00622DDD">
        <w:rPr>
          <w:i/>
        </w:rPr>
        <w:t xml:space="preserve">Hurricane Maria </w:t>
      </w:r>
      <w:r>
        <w:rPr>
          <w:i/>
        </w:rPr>
        <w:t>I</w:t>
      </w:r>
      <w:r w:rsidRPr="00622DDD">
        <w:rPr>
          <w:i/>
        </w:rPr>
        <w:t xml:space="preserve">s </w:t>
      </w:r>
      <w:r>
        <w:rPr>
          <w:i/>
        </w:rPr>
        <w:t>T</w:t>
      </w:r>
      <w:r w:rsidRPr="00622DDD">
        <w:rPr>
          <w:i/>
        </w:rPr>
        <w:t>hrashing the Caribbean</w:t>
      </w:r>
      <w:r>
        <w:t xml:space="preserve"> (Sept. 22, 2017), </w:t>
      </w:r>
      <w:hyperlink r:id="rId4" w:history="1">
        <w:r w:rsidR="00455F9C" w:rsidRPr="00163425">
          <w:rPr>
            <w:rStyle w:val="Hyperlink"/>
          </w:rPr>
          <w:t>http://www.businessinsider.com/</w:t>
        </w:r>
        <w:r w:rsidR="00455F9C" w:rsidRPr="00163425">
          <w:rPr>
            <w:rStyle w:val="Hyperlink"/>
          </w:rPr>
          <w:br/>
        </w:r>
        <w:r w:rsidR="00455F9C" w:rsidRPr="00455F9C">
          <w:rPr>
            <w:rStyle w:val="Hyperlink"/>
          </w:rPr>
          <w:t>hurricane-maria-path-track-update-2017-9</w:t>
        </w:r>
      </w:hyperlink>
      <w:r w:rsidR="00AD27AE">
        <w:t>.</w:t>
      </w:r>
      <w:r>
        <w:t xml:space="preserve"> </w:t>
      </w:r>
    </w:p>
  </w:footnote>
  <w:footnote w:id="18">
    <w:p w14:paraId="5238AB60" w14:textId="6214BE70" w:rsidR="00AD27AE" w:rsidRDefault="00AD27AE" w:rsidP="00151269">
      <w:pPr>
        <w:pStyle w:val="FootnoteText"/>
      </w:pPr>
      <w:r>
        <w:rPr>
          <w:rStyle w:val="FootnoteReference"/>
        </w:rPr>
        <w:footnoteRef/>
      </w:r>
      <w:r>
        <w:t xml:space="preserve"> Gadi Schwartz et al., </w:t>
      </w:r>
      <w:r w:rsidRPr="00622DDD">
        <w:rPr>
          <w:i/>
        </w:rPr>
        <w:t>All Power Out as Hurricane Maria’s Winds, Floods Crush Puerto Rico</w:t>
      </w:r>
      <w:r>
        <w:t xml:space="preserve"> (Sept. 21, 2017), </w:t>
      </w:r>
      <w:hyperlink r:id="rId5" w:history="1">
        <w:r w:rsidRPr="00077D95">
          <w:rPr>
            <w:rStyle w:val="Hyperlink"/>
          </w:rPr>
          <w:t>https://www.nbcnews.com/news/weather/hurricane-maria-makes-landfall-puerto-rico-category-4-storm-n802911</w:t>
        </w:r>
      </w:hyperlink>
      <w:r>
        <w:t>.</w:t>
      </w:r>
    </w:p>
  </w:footnote>
  <w:footnote w:id="19">
    <w:p w14:paraId="31159FA7" w14:textId="1D0C2C40" w:rsidR="00455F9C" w:rsidRDefault="00A83281" w:rsidP="00151269">
      <w:pPr>
        <w:pStyle w:val="FootnoteText"/>
      </w:pPr>
      <w:r>
        <w:rPr>
          <w:rStyle w:val="FootnoteReference"/>
        </w:rPr>
        <w:footnoteRef/>
      </w:r>
      <w:r>
        <w:t xml:space="preserve"> CNN, </w:t>
      </w:r>
      <w:r w:rsidRPr="00AE03C4">
        <w:rPr>
          <w:i/>
        </w:rPr>
        <w:t>Puerto Rico Governor: Power Could Be Out for Months</w:t>
      </w:r>
      <w:r>
        <w:t xml:space="preserve"> (Sept. 20, 2017), </w:t>
      </w:r>
      <w:hyperlink r:id="rId6" w:history="1">
        <w:r w:rsidR="00455F9C" w:rsidRPr="00163425">
          <w:rPr>
            <w:rStyle w:val="Hyperlink"/>
          </w:rPr>
          <w:t>http://www.cnn.com/2017/09/20/</w:t>
        </w:r>
        <w:r w:rsidR="00455F9C" w:rsidRPr="00163425">
          <w:rPr>
            <w:rStyle w:val="Hyperlink"/>
          </w:rPr>
          <w:br/>
        </w:r>
        <w:r w:rsidR="00455F9C" w:rsidRPr="00455F9C">
          <w:rPr>
            <w:rStyle w:val="Hyperlink"/>
          </w:rPr>
          <w:t>americas/hurricane-maria-caribbean-islands/index.html</w:t>
        </w:r>
      </w:hyperlink>
      <w:r w:rsidR="00455F9C">
        <w:t>.</w:t>
      </w:r>
    </w:p>
  </w:footnote>
  <w:footnote w:id="20">
    <w:p w14:paraId="202A8ADD" w14:textId="37CCF16D" w:rsidR="001C0101" w:rsidRPr="001C0101" w:rsidRDefault="001C0101">
      <w:pPr>
        <w:pStyle w:val="FootnoteText"/>
      </w:pPr>
      <w:r>
        <w:rPr>
          <w:rStyle w:val="FootnoteReference"/>
        </w:rPr>
        <w:footnoteRef/>
      </w:r>
      <w:r>
        <w:t xml:space="preserve"> Morgan Winsor, </w:t>
      </w:r>
      <w:r>
        <w:rPr>
          <w:i/>
        </w:rPr>
        <w:t>US Virgin Islands in Ruins from Hurricane Maria</w:t>
      </w:r>
      <w:r>
        <w:t xml:space="preserve"> (Sept. 29, 2017), </w:t>
      </w:r>
      <w:hyperlink r:id="rId7" w:history="1">
        <w:r w:rsidRPr="0063681E">
          <w:rPr>
            <w:rStyle w:val="Hyperlink"/>
          </w:rPr>
          <w:t>http://abcnews.go.com/amp/</w:t>
        </w:r>
        <w:r w:rsidRPr="0063681E">
          <w:rPr>
            <w:rStyle w:val="Hyperlink"/>
          </w:rPr>
          <w:br/>
          <w:t>International/us-virgin-islands-ruins-hurricane-maria/story?id=50178300</w:t>
        </w:r>
      </w:hyperlink>
      <w:r>
        <w:t>.</w:t>
      </w:r>
    </w:p>
  </w:footnote>
  <w:footnote w:id="21">
    <w:p w14:paraId="2A1D8138" w14:textId="53E0FF7E" w:rsidR="001C0101" w:rsidRPr="001C0101" w:rsidRDefault="001C0101">
      <w:pPr>
        <w:pStyle w:val="FootnoteText"/>
      </w:pPr>
      <w:r>
        <w:rPr>
          <w:rStyle w:val="FootnoteReference"/>
        </w:rPr>
        <w:footnoteRef/>
      </w:r>
      <w:r>
        <w:t xml:space="preserve"> </w:t>
      </w:r>
      <w:r>
        <w:rPr>
          <w:i/>
        </w:rPr>
        <w:t>Id.</w:t>
      </w:r>
    </w:p>
  </w:footnote>
  <w:footnote w:id="22">
    <w:p w14:paraId="1DA3048A" w14:textId="3937298C" w:rsidR="00F86D73" w:rsidRPr="00805F1F" w:rsidRDefault="00F86D73" w:rsidP="00AE03C4">
      <w:pPr>
        <w:pStyle w:val="FootnoteText"/>
      </w:pPr>
      <w:r w:rsidRPr="00805F1F">
        <w:rPr>
          <w:rStyle w:val="FootnoteReference"/>
        </w:rPr>
        <w:footnoteRef/>
      </w:r>
      <w:r w:rsidRPr="00805F1F">
        <w:t xml:space="preserve"> </w:t>
      </w:r>
      <w:r>
        <w:t>47 U.S.C. § 254(e)</w:t>
      </w:r>
      <w:r w:rsidR="0051590B">
        <w:t>; 47 CFR § 54.7(a)</w:t>
      </w:r>
      <w:r>
        <w:t>.</w:t>
      </w:r>
    </w:p>
  </w:footnote>
  <w:footnote w:id="23">
    <w:p w14:paraId="4DDC98A0" w14:textId="32583E19" w:rsidR="00F6093C" w:rsidRDefault="00F6093C">
      <w:pPr>
        <w:pStyle w:val="FootnoteText"/>
      </w:pPr>
      <w:r>
        <w:rPr>
          <w:rStyle w:val="FootnoteReference"/>
        </w:rPr>
        <w:footnoteRef/>
      </w:r>
      <w:r>
        <w:t xml:space="preserve"> This </w:t>
      </w:r>
      <w:r w:rsidR="00780FE3">
        <w:t xml:space="preserve">approach </w:t>
      </w:r>
      <w:r>
        <w:t xml:space="preserve">is consistent with the approach the Commission took to facilitate restoration of communications facilities following Hurricane Katrina.  </w:t>
      </w:r>
      <w:r>
        <w:rPr>
          <w:i/>
        </w:rPr>
        <w:t>See</w:t>
      </w:r>
      <w:r>
        <w:t xml:space="preserve"> </w:t>
      </w:r>
      <w:r>
        <w:rPr>
          <w:i/>
        </w:rPr>
        <w:t>Federal-State Joint Board on Universal Service et al</w:t>
      </w:r>
      <w:r w:rsidR="009C4F29">
        <w:rPr>
          <w:i/>
        </w:rPr>
        <w:t>.</w:t>
      </w:r>
      <w:r>
        <w:t xml:space="preserve">, Order, 20 FCC Rcd 16883, </w:t>
      </w:r>
      <w:r w:rsidR="000D1AEF">
        <w:t xml:space="preserve">16911-12, </w:t>
      </w:r>
      <w:r>
        <w:t>paras. 54-56</w:t>
      </w:r>
      <w:r w:rsidR="00EE50BD">
        <w:t xml:space="preserve"> (2005)</w:t>
      </w:r>
      <w:r>
        <w:t xml:space="preserve">. </w:t>
      </w:r>
    </w:p>
  </w:footnote>
  <w:footnote w:id="24">
    <w:p w14:paraId="59E8ED96" w14:textId="47D7CC41" w:rsidR="009B3457" w:rsidRPr="009B3457" w:rsidRDefault="009B3457">
      <w:pPr>
        <w:pStyle w:val="FootnoteText"/>
      </w:pPr>
      <w:r>
        <w:rPr>
          <w:rStyle w:val="FootnoteReference"/>
        </w:rPr>
        <w:footnoteRef/>
      </w:r>
      <w:r>
        <w:t xml:space="preserve"> </w:t>
      </w:r>
      <w:r>
        <w:rPr>
          <w:i/>
        </w:rPr>
        <w:t>October 1 Communications Status Report</w:t>
      </w:r>
      <w:r>
        <w:t xml:space="preserve"> at </w:t>
      </w:r>
      <w:r w:rsidR="00EB696E">
        <w:t>7.</w:t>
      </w:r>
    </w:p>
  </w:footnote>
  <w:footnote w:id="25">
    <w:p w14:paraId="33E4797C" w14:textId="39FBC30B" w:rsidR="00BA5CB6" w:rsidRPr="00BA5CB6" w:rsidRDefault="00BA5CB6">
      <w:pPr>
        <w:pStyle w:val="FootnoteText"/>
      </w:pPr>
      <w:r>
        <w:rPr>
          <w:rStyle w:val="FootnoteReference"/>
        </w:rPr>
        <w:footnoteRef/>
      </w:r>
      <w:r>
        <w:t xml:space="preserve"> </w:t>
      </w:r>
      <w:r>
        <w:rPr>
          <w:i/>
        </w:rPr>
        <w:t>Id.</w:t>
      </w:r>
      <w:r>
        <w:t xml:space="preserve"> at 2.</w:t>
      </w:r>
    </w:p>
  </w:footnote>
  <w:footnote w:id="26">
    <w:p w14:paraId="05B8A843" w14:textId="3B55D0C5" w:rsidR="00EB696E" w:rsidRPr="00EB696E" w:rsidRDefault="00EB696E">
      <w:pPr>
        <w:pStyle w:val="FootnoteText"/>
      </w:pPr>
      <w:r>
        <w:rPr>
          <w:rStyle w:val="FootnoteReference"/>
        </w:rPr>
        <w:footnoteRef/>
      </w:r>
      <w:r>
        <w:t xml:space="preserve"> </w:t>
      </w:r>
      <w:r>
        <w:rPr>
          <w:i/>
        </w:rPr>
        <w:t>Id.</w:t>
      </w:r>
      <w:r>
        <w:t xml:space="preserve"> at 3.</w:t>
      </w:r>
    </w:p>
  </w:footnote>
  <w:footnote w:id="27">
    <w:p w14:paraId="11F1F681" w14:textId="7E531148" w:rsidR="00F86D73" w:rsidRDefault="00F86D73" w:rsidP="00477B9E">
      <w:pPr>
        <w:pStyle w:val="FootnoteText"/>
      </w:pPr>
      <w:r>
        <w:rPr>
          <w:rStyle w:val="FootnoteReference"/>
        </w:rPr>
        <w:footnoteRef/>
      </w:r>
      <w:r>
        <w:t xml:space="preserve"> </w:t>
      </w:r>
      <w:r w:rsidR="00EB696E">
        <w:t xml:space="preserve">47 U.S.C. </w:t>
      </w:r>
      <w:r w:rsidRPr="00805F1F">
        <w:t>§</w:t>
      </w:r>
      <w:r>
        <w:t xml:space="preserve"> 254(b)(3).</w:t>
      </w:r>
    </w:p>
  </w:footnote>
  <w:footnote w:id="28">
    <w:p w14:paraId="0A8A7A93" w14:textId="32369290" w:rsidR="00F86D73" w:rsidRDefault="00F86D73" w:rsidP="00957764">
      <w:pPr>
        <w:pStyle w:val="FootnoteText"/>
      </w:pPr>
      <w:r>
        <w:rPr>
          <w:rStyle w:val="FootnoteReference"/>
        </w:rPr>
        <w:footnoteRef/>
      </w:r>
      <w:r>
        <w:t xml:space="preserve"> 47 CFR </w:t>
      </w:r>
      <w:r w:rsidRPr="00805F1F">
        <w:t>§</w:t>
      </w:r>
      <w:r>
        <w:t xml:space="preserve"> 54.313(c)(4).</w:t>
      </w:r>
      <w:r w:rsidR="00BD0A49">
        <w:t xml:space="preserve">  This clarification also applies to the approximately $15,488 per month </w:t>
      </w:r>
      <w:r w:rsidR="00694A9D">
        <w:t>VIYA</w:t>
      </w:r>
      <w:r w:rsidR="00BD0A49">
        <w:t xml:space="preserve"> receives in CAF ICC </w:t>
      </w:r>
      <w:r w:rsidR="00BD0A49" w:rsidRPr="008E664E">
        <w:rPr>
          <w:color w:val="000000"/>
          <w:shd w:val="clear" w:color="auto" w:fill="FFFFFF"/>
        </w:rPr>
        <w:t>support to offset reductions in access charges</w:t>
      </w:r>
      <w:r w:rsidR="00BD0A49">
        <w:rPr>
          <w:color w:val="000000"/>
          <w:shd w:val="clear" w:color="auto" w:fill="FFFFFF"/>
        </w:rPr>
        <w:t>,</w:t>
      </w:r>
      <w:r w:rsidR="00BD0A49">
        <w:t xml:space="preserve"> for which it has similar obligations.  </w:t>
      </w:r>
      <w:r w:rsidR="00BD0A49">
        <w:rPr>
          <w:i/>
        </w:rPr>
        <w:t xml:space="preserve">See </w:t>
      </w:r>
      <w:r w:rsidR="00BD0A49">
        <w:t xml:space="preserve">47 CFR </w:t>
      </w:r>
      <w:r w:rsidR="00BD0A49" w:rsidRPr="00805F1F">
        <w:t>§</w:t>
      </w:r>
      <w:r w:rsidR="00BD0A49">
        <w:t xml:space="preserve"> 54.313(d).</w:t>
      </w:r>
    </w:p>
  </w:footnote>
  <w:footnote w:id="29">
    <w:p w14:paraId="7D8D065B" w14:textId="2AF0C812" w:rsidR="00F86D73" w:rsidRDefault="00F86D73" w:rsidP="00A14BC7">
      <w:pPr>
        <w:pStyle w:val="FootnoteText"/>
      </w:pPr>
      <w:r>
        <w:rPr>
          <w:rStyle w:val="FootnoteReference"/>
        </w:rPr>
        <w:footnoteRef/>
      </w:r>
      <w:r>
        <w:t xml:space="preserve"> </w:t>
      </w:r>
      <w:r w:rsidR="009C4F29">
        <w:rPr>
          <w:i/>
        </w:rPr>
        <w:t>Id.</w:t>
      </w:r>
      <w:r w:rsidR="009C4F29">
        <w:t xml:space="preserve"> </w:t>
      </w:r>
      <w:r w:rsidRPr="00805F1F">
        <w:t>§</w:t>
      </w:r>
      <w:r>
        <w:t xml:space="preserve"> 54.319(a), (d).  An unsubsidized competitor is “a facilities-based provider of residential fixed voice and broadband service that does not receive high-cost support.”  </w:t>
      </w:r>
      <w:r w:rsidRPr="00805F1F">
        <w:rPr>
          <w:i/>
        </w:rPr>
        <w:t>Id.</w:t>
      </w:r>
      <w:r w:rsidRPr="00805F1F">
        <w:t xml:space="preserve"> §</w:t>
      </w:r>
      <w:r>
        <w:t xml:space="preserve"> 54.</w:t>
      </w:r>
      <w:r w:rsidR="009C4F29">
        <w:t>5</w:t>
      </w:r>
      <w:r>
        <w:t>.</w:t>
      </w:r>
    </w:p>
  </w:footnote>
  <w:footnote w:id="30">
    <w:p w14:paraId="7897D17A" w14:textId="7238314E" w:rsidR="00B268D4" w:rsidRPr="00B268D4" w:rsidRDefault="00B268D4" w:rsidP="00151269">
      <w:pPr>
        <w:pStyle w:val="FootnoteText"/>
      </w:pPr>
      <w:r>
        <w:rPr>
          <w:rStyle w:val="FootnoteReference"/>
        </w:rPr>
        <w:footnoteRef/>
      </w:r>
      <w:r>
        <w:t xml:space="preserve"> Given that there are no unsubsidized providers offering qualifying service in the U.S. Virgin Islands, as noted </w:t>
      </w:r>
      <w:r w:rsidR="009C4F29">
        <w:rPr>
          <w:i/>
        </w:rPr>
        <w:t>supra</w:t>
      </w:r>
      <w:r>
        <w:t>, we similarly find that all of the U.S. Virgin Islands is presumptively entirely unserved by unsubsidized competitors.</w:t>
      </w:r>
    </w:p>
  </w:footnote>
  <w:footnote w:id="31">
    <w:p w14:paraId="61FB6451" w14:textId="389FBD73" w:rsidR="00957764" w:rsidRDefault="00957764" w:rsidP="00957764">
      <w:pPr>
        <w:pStyle w:val="FootnoteText"/>
      </w:pPr>
      <w:r>
        <w:rPr>
          <w:rStyle w:val="FootnoteReference"/>
        </w:rPr>
        <w:footnoteRef/>
      </w:r>
      <w:r>
        <w:t xml:space="preserve"> Competitors should provide notice directly to PRTC and to the Bureau by filing a letter certified by an officer of the company in WC Docket No. 10-90 in the Commission’s Electronic Comment Filing System (</w:t>
      </w:r>
      <w:hyperlink r:id="rId8" w:history="1">
        <w:r w:rsidRPr="00ED4056">
          <w:rPr>
            <w:rStyle w:val="Hyperlink"/>
          </w:rPr>
          <w:t>https://www.fcc.gov/ecfs/</w:t>
        </w:r>
      </w:hyperlink>
      <w:r>
        <w:t>) identifying the specific area where</w:t>
      </w:r>
      <w:r w:rsidR="00F3272E">
        <w:t xml:space="preserve"> qualifying voice and broadband</w:t>
      </w:r>
      <w:r>
        <w:t xml:space="preserve"> service has been restored by census block number(s). </w:t>
      </w:r>
    </w:p>
  </w:footnote>
  <w:footnote w:id="32">
    <w:p w14:paraId="54176CA7" w14:textId="53DE56F5" w:rsidR="00D23BCD" w:rsidRDefault="00D23BCD" w:rsidP="00AE03C4">
      <w:pPr>
        <w:pStyle w:val="FootnoteText"/>
      </w:pPr>
      <w:r>
        <w:rPr>
          <w:rStyle w:val="FootnoteReference"/>
        </w:rPr>
        <w:footnoteRef/>
      </w:r>
      <w:r>
        <w:t xml:space="preserve"> </w:t>
      </w:r>
      <w:r w:rsidR="004816A0" w:rsidRPr="009E02F6">
        <w:t>Generally, the Commission’s rules may be waived for good cause shown.</w:t>
      </w:r>
      <w:r w:rsidR="004816A0" w:rsidRPr="009E02F6">
        <w:rPr>
          <w:rStyle w:val="FootnoteReference"/>
        </w:rPr>
        <w:t xml:space="preserve"> </w:t>
      </w:r>
      <w:r w:rsidR="004816A0" w:rsidRPr="009E02F6">
        <w:t xml:space="preserve"> 47 CFR § 1.3.  The Commission may exercise its discretion to waive a rule where the particular facts make strict compliance inconsistent with the public interest.</w:t>
      </w:r>
      <w:r w:rsidR="004816A0" w:rsidRPr="009E02F6">
        <w:rPr>
          <w:rStyle w:val="FootnoteReference"/>
        </w:rPr>
        <w:t xml:space="preserve"> </w:t>
      </w:r>
      <w:r w:rsidR="004816A0" w:rsidRPr="009E02F6">
        <w:t xml:space="preserve"> </w:t>
      </w:r>
      <w:r w:rsidR="004816A0" w:rsidRPr="009E02F6">
        <w:rPr>
          <w:i/>
        </w:rPr>
        <w:t>Northeast Cellular Telephone Co. v. FCC</w:t>
      </w:r>
      <w:r w:rsidR="004816A0" w:rsidRPr="009E02F6">
        <w:t>, 897 F.2d 1164, 1166 (D.C. Cir. 1990) (</w:t>
      </w:r>
      <w:r w:rsidR="004816A0" w:rsidRPr="009E02F6">
        <w:rPr>
          <w:i/>
        </w:rPr>
        <w:t>Northeast Cellular</w:t>
      </w:r>
      <w:r w:rsidR="004816A0" w:rsidRPr="009E02F6">
        <w:t xml:space="preserve">).  In addition, the Commission may take into account considerations of hardship, equity, or more effective implementation of overall policy on an individual basis.  </w:t>
      </w:r>
      <w:r w:rsidR="009C4F29">
        <w:rPr>
          <w:i/>
        </w:rPr>
        <w:t xml:space="preserve">Id.; </w:t>
      </w:r>
      <w:r w:rsidR="004816A0" w:rsidRPr="009E02F6">
        <w:rPr>
          <w:i/>
        </w:rPr>
        <w:t>WAIT Radio v. FCC</w:t>
      </w:r>
      <w:r w:rsidR="004816A0" w:rsidRPr="009E02F6">
        <w:t xml:space="preserve">, 418 F.2d 1153, 1159 (D.C. Cir. 1969).  Waiver of the Commission’s rules is appropriate if special circumstances warrant a deviation from the general rule, and such deviation will serve the public interest.  </w:t>
      </w:r>
      <w:r w:rsidR="004816A0" w:rsidRPr="009E02F6">
        <w:rPr>
          <w:i/>
        </w:rPr>
        <w:t>Northeast Cellular</w:t>
      </w:r>
      <w:r w:rsidR="004816A0" w:rsidRPr="009E02F6">
        <w:t>, 897 F.2d at 1166.</w:t>
      </w:r>
    </w:p>
  </w:footnote>
  <w:footnote w:id="33">
    <w:p w14:paraId="661131D1" w14:textId="00EE8286" w:rsidR="006C0081" w:rsidRDefault="006C0081" w:rsidP="00477B9E">
      <w:pPr>
        <w:pStyle w:val="FootnoteText"/>
      </w:pPr>
      <w:r>
        <w:rPr>
          <w:rStyle w:val="FootnoteReference"/>
        </w:rPr>
        <w:footnoteRef/>
      </w:r>
      <w:r>
        <w:t xml:space="preserve"> See Appendix for available support amounts.  USAC should use available funds from the high-cost cash account when it disburses the advance payment.</w:t>
      </w:r>
      <w:r w:rsidR="006E364C">
        <w:t xml:space="preserve">  USAC shall continue to project </w:t>
      </w:r>
      <w:r w:rsidR="00574EB2">
        <w:t xml:space="preserve">existing funding levels </w:t>
      </w:r>
      <w:r w:rsidR="006E364C">
        <w:t>for affected carriers when it calculates demand for the high-cost program until further notice.</w:t>
      </w:r>
      <w:r w:rsidR="009F07CF">
        <w:t xml:space="preserve">  We note that the Paperwork Reduction Act does not apply because Form 477 data indicate that there would not be “ten or more persons” subject to the reporting requirement.  44 U.S.C.</w:t>
      </w:r>
      <w:r w:rsidR="009F07CF" w:rsidRPr="002C3F6A">
        <w:t xml:space="preserve"> </w:t>
      </w:r>
      <w:r w:rsidR="009F07CF" w:rsidRPr="00805F1F">
        <w:t>§</w:t>
      </w:r>
      <w:r w:rsidR="009F07CF">
        <w:t xml:space="preserve"> 3502(3)(A)(i).   </w:t>
      </w:r>
    </w:p>
  </w:footnote>
  <w:footnote w:id="34">
    <w:p w14:paraId="2B137B11" w14:textId="63D16A45" w:rsidR="003F66A4" w:rsidRDefault="003F66A4" w:rsidP="00151269">
      <w:pPr>
        <w:pStyle w:val="FootnoteText"/>
      </w:pPr>
      <w:r>
        <w:rPr>
          <w:rStyle w:val="FootnoteReference"/>
        </w:rPr>
        <w:footnoteRef/>
      </w:r>
      <w:r>
        <w:t xml:space="preserve"> </w:t>
      </w:r>
      <w:r w:rsidR="00451FF1">
        <w:t>This date is administratively necessary because USAC processes payments by a middle-of-the-month cycle.  Any ETC that does not notify USAC by this deadline may subsequently notify USAC to elect a single advance payment of the remainder of its seven-month amount.</w:t>
      </w:r>
    </w:p>
  </w:footnote>
  <w:footnote w:id="35">
    <w:p w14:paraId="4677B6BF" w14:textId="59120168" w:rsidR="00AD16D8" w:rsidRPr="006C11AA" w:rsidRDefault="00AD16D8" w:rsidP="00AD16D8">
      <w:pPr>
        <w:pStyle w:val="FootnoteText"/>
      </w:pPr>
      <w:r w:rsidRPr="009670A4">
        <w:rPr>
          <w:rStyle w:val="FootnoteReference"/>
        </w:rPr>
        <w:footnoteRef/>
      </w:r>
      <w:r w:rsidRPr="009670A4">
        <w:t xml:space="preserve"> </w:t>
      </w:r>
      <w:r w:rsidRPr="009670A4">
        <w:rPr>
          <w:i/>
        </w:rPr>
        <w:t>Improving the Resiliency of Mobile Wireless Communication Networks and Reliability and Continuity of Communications Networks, Including Broadband Technologies</w:t>
      </w:r>
      <w:r>
        <w:t>,</w:t>
      </w:r>
      <w:r w:rsidRPr="009670A4">
        <w:rPr>
          <w:i/>
        </w:rPr>
        <w:t xml:space="preserve"> </w:t>
      </w:r>
      <w:r>
        <w:t xml:space="preserve">PS Docket Nos. 11-60, 13-239, Order, </w:t>
      </w:r>
      <w:r w:rsidRPr="009670A4">
        <w:rPr>
          <w:iCs/>
          <w:shd w:val="clear" w:color="auto" w:fill="FFFFFF"/>
        </w:rPr>
        <w:t>31 FCC Rcd 13745</w:t>
      </w:r>
      <w:r w:rsidRPr="009670A4">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8C4FA" w14:textId="77777777" w:rsidR="00B7507D" w:rsidRDefault="00B75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C224" w14:textId="31290C0F" w:rsidR="00295651" w:rsidRDefault="00C5312B">
    <w:pPr>
      <w:pStyle w:val="Header"/>
      <w:rPr>
        <w:b w:val="0"/>
      </w:rPr>
    </w:pPr>
    <w:r>
      <w:tab/>
      <w:t xml:space="preserve">Federal </w:t>
    </w:r>
    <w:r w:rsidR="00B75AA6">
      <w:t>Communications Commission</w:t>
    </w:r>
    <w:r w:rsidR="00B75AA6">
      <w:tab/>
      <w:t xml:space="preserve"> FCC</w:t>
    </w:r>
    <w:r w:rsidR="00451EC5">
      <w:t xml:space="preserve"> </w:t>
    </w:r>
    <w:r w:rsidR="00451EC5" w:rsidRPr="00DE579F">
      <w:t>17</w:t>
    </w:r>
    <w:r w:rsidRPr="00DE579F">
      <w:t>-</w:t>
    </w:r>
    <w:r w:rsidR="00593501" w:rsidRPr="00DE579F">
      <w:t>129</w:t>
    </w:r>
  </w:p>
  <w:p w14:paraId="6376BF49" w14:textId="46DC471D" w:rsidR="00C5312B" w:rsidRPr="00295651" w:rsidRDefault="006E0A85" w:rsidP="00295651">
    <w:pPr>
      <w:pStyle w:val="Header"/>
      <w:rPr>
        <w:i/>
      </w:rPr>
    </w:pPr>
    <w:r>
      <w:rPr>
        <w:noProof/>
      </w:rPr>
      <mc:AlternateContent>
        <mc:Choice Requires="wps">
          <w:drawing>
            <wp:anchor distT="4294967294" distB="4294967294" distL="114300" distR="114300" simplePos="0" relativeHeight="251664384" behindDoc="0" locked="0" layoutInCell="0" allowOverlap="1" wp14:anchorId="7D46A507" wp14:editId="1A360BD6">
              <wp:simplePos x="0" y="0"/>
              <wp:positionH relativeFrom="column">
                <wp:posOffset>0</wp:posOffset>
              </wp:positionH>
              <wp:positionV relativeFrom="paragraph">
                <wp:posOffset>22224</wp:posOffset>
              </wp:positionV>
              <wp:extent cx="59436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B34D051" id="Line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d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KBtx0QSAgAA&#10;KQQAAA4AAAAAAAAAAAAAAAAALgIAAGRycy9lMm9Eb2MueG1sUEsBAi0AFAAGAAgAAAAhAO4pKK7Y&#10;AAAABAEAAA8AAAAAAAAAAAAAAAAAbAQAAGRycy9kb3ducmV2LnhtbFBLBQYAAAAABAAEAPMAAABx&#10;BQAAAAA=&#10;" o:allowincell="f" strokeweight="1.5pt"/>
          </w:pict>
        </mc:Fallback>
      </mc:AlternateContent>
    </w:r>
    <w:r>
      <w:rPr>
        <w:noProof/>
      </w:rPr>
      <mc:AlternateContent>
        <mc:Choice Requires="wps">
          <w:drawing>
            <wp:anchor distT="4294967294" distB="4294967294" distL="114300" distR="114300" simplePos="0" relativeHeight="251657216" behindDoc="0" locked="0" layoutInCell="0" allowOverlap="1" wp14:anchorId="2670C1D2" wp14:editId="4EC86E27">
              <wp:simplePos x="0" y="0"/>
              <wp:positionH relativeFrom="column">
                <wp:posOffset>0</wp:posOffset>
              </wp:positionH>
              <wp:positionV relativeFrom="paragraph">
                <wp:posOffset>22224</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259E59A" id="Line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F55EA" w14:textId="2B2B8164" w:rsidR="00C5312B" w:rsidRDefault="00C5312B">
    <w:pPr>
      <w:pStyle w:val="Header"/>
      <w:rPr>
        <w:b w:val="0"/>
      </w:rPr>
    </w:pPr>
    <w:r>
      <w:tab/>
      <w:t xml:space="preserve">Federal </w:t>
    </w:r>
    <w:r w:rsidR="00B75AA6">
      <w:t>Communications Commission</w:t>
    </w:r>
    <w:r w:rsidR="00B75AA6">
      <w:tab/>
      <w:t xml:space="preserve"> FCC</w:t>
    </w:r>
    <w:r w:rsidR="00451EC5">
      <w:t xml:space="preserve"> </w:t>
    </w:r>
    <w:r w:rsidR="00451EC5" w:rsidRPr="00DE579F">
      <w:t>17-</w:t>
    </w:r>
    <w:r w:rsidR="00593501" w:rsidRPr="00DE579F">
      <w:t>129</w:t>
    </w:r>
  </w:p>
  <w:p w14:paraId="06BFF19D" w14:textId="38AC8E7D" w:rsidR="00C5312B" w:rsidRDefault="006E0A85">
    <w:pPr>
      <w:pStyle w:val="Header"/>
      <w:rPr>
        <w:i/>
      </w:rPr>
    </w:pPr>
    <w:r>
      <w:rPr>
        <w:noProof/>
      </w:rPr>
      <mc:AlternateContent>
        <mc:Choice Requires="wps">
          <w:drawing>
            <wp:anchor distT="4294967294" distB="4294967294" distL="114300" distR="114300" simplePos="0" relativeHeight="251656704" behindDoc="0" locked="0" layoutInCell="0" allowOverlap="1" wp14:anchorId="7A36B857" wp14:editId="204ACA35">
              <wp:simplePos x="0" y="0"/>
              <wp:positionH relativeFrom="column">
                <wp:posOffset>0</wp:posOffset>
              </wp:positionH>
              <wp:positionV relativeFrom="paragraph">
                <wp:posOffset>22224</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436CD417"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3CA0722"/>
    <w:multiLevelType w:val="hybridMultilevel"/>
    <w:tmpl w:val="A4F83D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6"/>
  </w:num>
  <w:num w:numId="2">
    <w:abstractNumId w:val="27"/>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2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24"/>
  </w:num>
  <w:num w:numId="30">
    <w:abstractNumId w:val="18"/>
  </w:num>
  <w:num w:numId="31">
    <w:abstractNumId w:val="28"/>
  </w:num>
  <w:num w:numId="32">
    <w:abstractNumId w:val="15"/>
  </w:num>
  <w:num w:numId="33">
    <w:abstractNumId w:val="5"/>
  </w:num>
  <w:num w:numId="34">
    <w:abstractNumId w:val="7"/>
  </w:num>
  <w:num w:numId="35">
    <w:abstractNumId w:val="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0C"/>
    <w:rsid w:val="000369FF"/>
    <w:rsid w:val="000455C8"/>
    <w:rsid w:val="00053C59"/>
    <w:rsid w:val="00071B25"/>
    <w:rsid w:val="000B0881"/>
    <w:rsid w:val="000B3352"/>
    <w:rsid w:val="000B5FEE"/>
    <w:rsid w:val="000D1AEF"/>
    <w:rsid w:val="000E05DB"/>
    <w:rsid w:val="00100767"/>
    <w:rsid w:val="00112663"/>
    <w:rsid w:val="00112D75"/>
    <w:rsid w:val="00151269"/>
    <w:rsid w:val="00152D54"/>
    <w:rsid w:val="0016167D"/>
    <w:rsid w:val="00163425"/>
    <w:rsid w:val="001C0101"/>
    <w:rsid w:val="001C29CE"/>
    <w:rsid w:val="001F088F"/>
    <w:rsid w:val="002131E1"/>
    <w:rsid w:val="00214585"/>
    <w:rsid w:val="002415CF"/>
    <w:rsid w:val="0024265D"/>
    <w:rsid w:val="00262087"/>
    <w:rsid w:val="00262D27"/>
    <w:rsid w:val="00295651"/>
    <w:rsid w:val="002A28E4"/>
    <w:rsid w:val="002B075D"/>
    <w:rsid w:val="002B4C5B"/>
    <w:rsid w:val="002C2657"/>
    <w:rsid w:val="002D7E1C"/>
    <w:rsid w:val="002E5028"/>
    <w:rsid w:val="002F22D1"/>
    <w:rsid w:val="0030632B"/>
    <w:rsid w:val="003107C3"/>
    <w:rsid w:val="0032415D"/>
    <w:rsid w:val="003373B9"/>
    <w:rsid w:val="003465EC"/>
    <w:rsid w:val="00347D1C"/>
    <w:rsid w:val="00353F84"/>
    <w:rsid w:val="00365537"/>
    <w:rsid w:val="00383A18"/>
    <w:rsid w:val="0038501A"/>
    <w:rsid w:val="003B5321"/>
    <w:rsid w:val="003B614A"/>
    <w:rsid w:val="003C645E"/>
    <w:rsid w:val="003C72D4"/>
    <w:rsid w:val="003E5CCD"/>
    <w:rsid w:val="003F66A4"/>
    <w:rsid w:val="00401396"/>
    <w:rsid w:val="0040220F"/>
    <w:rsid w:val="00404ED4"/>
    <w:rsid w:val="004050F0"/>
    <w:rsid w:val="004145E0"/>
    <w:rsid w:val="004172E4"/>
    <w:rsid w:val="00417A5C"/>
    <w:rsid w:val="00423C32"/>
    <w:rsid w:val="00435284"/>
    <w:rsid w:val="00451EC5"/>
    <w:rsid w:val="00451FF1"/>
    <w:rsid w:val="00455F9C"/>
    <w:rsid w:val="00463705"/>
    <w:rsid w:val="00473CE6"/>
    <w:rsid w:val="00477B9E"/>
    <w:rsid w:val="00477BE2"/>
    <w:rsid w:val="004816A0"/>
    <w:rsid w:val="004B4D4A"/>
    <w:rsid w:val="004B7D2F"/>
    <w:rsid w:val="004F794C"/>
    <w:rsid w:val="0051590B"/>
    <w:rsid w:val="00542A07"/>
    <w:rsid w:val="00546218"/>
    <w:rsid w:val="00560D3E"/>
    <w:rsid w:val="00574EB2"/>
    <w:rsid w:val="00593501"/>
    <w:rsid w:val="005965A7"/>
    <w:rsid w:val="005A270E"/>
    <w:rsid w:val="005A4739"/>
    <w:rsid w:val="005A4B80"/>
    <w:rsid w:val="005E773A"/>
    <w:rsid w:val="005F573E"/>
    <w:rsid w:val="00604AE6"/>
    <w:rsid w:val="00645D77"/>
    <w:rsid w:val="00694A9D"/>
    <w:rsid w:val="006C0081"/>
    <w:rsid w:val="006C5B69"/>
    <w:rsid w:val="006D0CE3"/>
    <w:rsid w:val="006E0A85"/>
    <w:rsid w:val="006E364C"/>
    <w:rsid w:val="006E3A86"/>
    <w:rsid w:val="006F05A2"/>
    <w:rsid w:val="006F16BD"/>
    <w:rsid w:val="006F59C7"/>
    <w:rsid w:val="00735A2F"/>
    <w:rsid w:val="007375A3"/>
    <w:rsid w:val="007537F5"/>
    <w:rsid w:val="007543F9"/>
    <w:rsid w:val="00774C76"/>
    <w:rsid w:val="00780FE3"/>
    <w:rsid w:val="00792E5A"/>
    <w:rsid w:val="007A0150"/>
    <w:rsid w:val="007C27E7"/>
    <w:rsid w:val="007E3A14"/>
    <w:rsid w:val="00870DD0"/>
    <w:rsid w:val="00885725"/>
    <w:rsid w:val="008E7D88"/>
    <w:rsid w:val="009071E0"/>
    <w:rsid w:val="009245EA"/>
    <w:rsid w:val="0093232A"/>
    <w:rsid w:val="00957764"/>
    <w:rsid w:val="00973595"/>
    <w:rsid w:val="0098127C"/>
    <w:rsid w:val="009856ED"/>
    <w:rsid w:val="009B3457"/>
    <w:rsid w:val="009B7CEB"/>
    <w:rsid w:val="009C0DD0"/>
    <w:rsid w:val="009C3133"/>
    <w:rsid w:val="009C4F29"/>
    <w:rsid w:val="009D14FC"/>
    <w:rsid w:val="009E2A73"/>
    <w:rsid w:val="009F07CF"/>
    <w:rsid w:val="009F3E4E"/>
    <w:rsid w:val="00A14BC7"/>
    <w:rsid w:val="00A15C13"/>
    <w:rsid w:val="00A503D5"/>
    <w:rsid w:val="00A83052"/>
    <w:rsid w:val="00A83281"/>
    <w:rsid w:val="00A9143F"/>
    <w:rsid w:val="00AB6105"/>
    <w:rsid w:val="00AC4CED"/>
    <w:rsid w:val="00AD16D8"/>
    <w:rsid w:val="00AD1F1E"/>
    <w:rsid w:val="00AD27AE"/>
    <w:rsid w:val="00AE03C4"/>
    <w:rsid w:val="00AE597F"/>
    <w:rsid w:val="00B12145"/>
    <w:rsid w:val="00B268D4"/>
    <w:rsid w:val="00B3579D"/>
    <w:rsid w:val="00B42204"/>
    <w:rsid w:val="00B553D5"/>
    <w:rsid w:val="00B568CF"/>
    <w:rsid w:val="00B629A0"/>
    <w:rsid w:val="00B7507D"/>
    <w:rsid w:val="00B75AA6"/>
    <w:rsid w:val="00BA003F"/>
    <w:rsid w:val="00BA5CB6"/>
    <w:rsid w:val="00BA62E1"/>
    <w:rsid w:val="00BB1024"/>
    <w:rsid w:val="00BB17E7"/>
    <w:rsid w:val="00BC68BF"/>
    <w:rsid w:val="00BD0A49"/>
    <w:rsid w:val="00BE210D"/>
    <w:rsid w:val="00BF0189"/>
    <w:rsid w:val="00BF2636"/>
    <w:rsid w:val="00C068F3"/>
    <w:rsid w:val="00C27756"/>
    <w:rsid w:val="00C5312B"/>
    <w:rsid w:val="00C63832"/>
    <w:rsid w:val="00C82602"/>
    <w:rsid w:val="00C963EA"/>
    <w:rsid w:val="00CA716D"/>
    <w:rsid w:val="00CB2FB3"/>
    <w:rsid w:val="00CD45AC"/>
    <w:rsid w:val="00CD462D"/>
    <w:rsid w:val="00CE3E16"/>
    <w:rsid w:val="00CF6DC4"/>
    <w:rsid w:val="00D10CDE"/>
    <w:rsid w:val="00D145DC"/>
    <w:rsid w:val="00D213A8"/>
    <w:rsid w:val="00D22462"/>
    <w:rsid w:val="00D23BCD"/>
    <w:rsid w:val="00D65CEC"/>
    <w:rsid w:val="00D900C8"/>
    <w:rsid w:val="00D91FB0"/>
    <w:rsid w:val="00DC3F6C"/>
    <w:rsid w:val="00DE579F"/>
    <w:rsid w:val="00DF084A"/>
    <w:rsid w:val="00E047F8"/>
    <w:rsid w:val="00E04BAC"/>
    <w:rsid w:val="00E06BB9"/>
    <w:rsid w:val="00E113FE"/>
    <w:rsid w:val="00E1730A"/>
    <w:rsid w:val="00E261B8"/>
    <w:rsid w:val="00E455DE"/>
    <w:rsid w:val="00E71ED1"/>
    <w:rsid w:val="00E769CA"/>
    <w:rsid w:val="00E813CD"/>
    <w:rsid w:val="00EB0501"/>
    <w:rsid w:val="00EB696E"/>
    <w:rsid w:val="00EC1C89"/>
    <w:rsid w:val="00EC614B"/>
    <w:rsid w:val="00EC7C25"/>
    <w:rsid w:val="00EE1AE2"/>
    <w:rsid w:val="00EE50BD"/>
    <w:rsid w:val="00F255DA"/>
    <w:rsid w:val="00F3272E"/>
    <w:rsid w:val="00F6093C"/>
    <w:rsid w:val="00F6211E"/>
    <w:rsid w:val="00F63E35"/>
    <w:rsid w:val="00F65858"/>
    <w:rsid w:val="00F86D73"/>
    <w:rsid w:val="00FA18F8"/>
    <w:rsid w:val="00FB6671"/>
    <w:rsid w:val="00FC1790"/>
    <w:rsid w:val="00FC280C"/>
    <w:rsid w:val="00FC4A3E"/>
    <w:rsid w:val="00FC4E67"/>
    <w:rsid w:val="00FD09ED"/>
    <w:rsid w:val="00FF03E1"/>
    <w:rsid w:val="00F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9D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62"/>
    <w:pPr>
      <w:widowControl w:val="0"/>
    </w:pPr>
    <w:rPr>
      <w:snapToGrid w:val="0"/>
      <w:kern w:val="28"/>
      <w:sz w:val="22"/>
    </w:rPr>
  </w:style>
  <w:style w:type="paragraph" w:styleId="Heading1">
    <w:name w:val="heading 1"/>
    <w:basedOn w:val="Normal"/>
    <w:next w:val="ParaNum"/>
    <w:qFormat/>
    <w:rsid w:val="00D22462"/>
    <w:pPr>
      <w:keepNext/>
      <w:numPr>
        <w:numId w:val="3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2462"/>
    <w:pPr>
      <w:keepNext/>
      <w:numPr>
        <w:ilvl w:val="1"/>
        <w:numId w:val="34"/>
      </w:numPr>
      <w:spacing w:after="120"/>
      <w:outlineLvl w:val="1"/>
    </w:pPr>
    <w:rPr>
      <w:b/>
    </w:rPr>
  </w:style>
  <w:style w:type="paragraph" w:styleId="Heading3">
    <w:name w:val="heading 3"/>
    <w:basedOn w:val="Normal"/>
    <w:next w:val="ParaNum"/>
    <w:qFormat/>
    <w:rsid w:val="00D22462"/>
    <w:pPr>
      <w:keepNext/>
      <w:numPr>
        <w:ilvl w:val="2"/>
        <w:numId w:val="34"/>
      </w:numPr>
      <w:tabs>
        <w:tab w:val="left" w:pos="2160"/>
      </w:tabs>
      <w:spacing w:after="120"/>
      <w:outlineLvl w:val="2"/>
    </w:pPr>
    <w:rPr>
      <w:b/>
    </w:rPr>
  </w:style>
  <w:style w:type="paragraph" w:styleId="Heading4">
    <w:name w:val="heading 4"/>
    <w:basedOn w:val="Normal"/>
    <w:next w:val="ParaNum"/>
    <w:qFormat/>
    <w:rsid w:val="00D22462"/>
    <w:pPr>
      <w:keepNext/>
      <w:numPr>
        <w:ilvl w:val="3"/>
        <w:numId w:val="34"/>
      </w:numPr>
      <w:tabs>
        <w:tab w:val="left" w:pos="2880"/>
      </w:tabs>
      <w:spacing w:after="120"/>
      <w:outlineLvl w:val="3"/>
    </w:pPr>
    <w:rPr>
      <w:b/>
    </w:rPr>
  </w:style>
  <w:style w:type="paragraph" w:styleId="Heading5">
    <w:name w:val="heading 5"/>
    <w:basedOn w:val="Normal"/>
    <w:next w:val="ParaNum"/>
    <w:qFormat/>
    <w:rsid w:val="00D22462"/>
    <w:pPr>
      <w:keepNext/>
      <w:numPr>
        <w:ilvl w:val="4"/>
        <w:numId w:val="34"/>
      </w:numPr>
      <w:tabs>
        <w:tab w:val="left" w:pos="3600"/>
      </w:tabs>
      <w:suppressAutoHyphens/>
      <w:spacing w:after="120"/>
      <w:outlineLvl w:val="4"/>
    </w:pPr>
    <w:rPr>
      <w:b/>
    </w:rPr>
  </w:style>
  <w:style w:type="paragraph" w:styleId="Heading6">
    <w:name w:val="heading 6"/>
    <w:basedOn w:val="Normal"/>
    <w:next w:val="ParaNum"/>
    <w:qFormat/>
    <w:rsid w:val="00D22462"/>
    <w:pPr>
      <w:numPr>
        <w:ilvl w:val="5"/>
        <w:numId w:val="34"/>
      </w:numPr>
      <w:tabs>
        <w:tab w:val="left" w:pos="4320"/>
      </w:tabs>
      <w:spacing w:after="120"/>
      <w:outlineLvl w:val="5"/>
    </w:pPr>
    <w:rPr>
      <w:b/>
    </w:rPr>
  </w:style>
  <w:style w:type="paragraph" w:styleId="Heading7">
    <w:name w:val="heading 7"/>
    <w:basedOn w:val="Normal"/>
    <w:next w:val="ParaNum"/>
    <w:qFormat/>
    <w:rsid w:val="00D22462"/>
    <w:pPr>
      <w:numPr>
        <w:ilvl w:val="6"/>
        <w:numId w:val="34"/>
      </w:numPr>
      <w:tabs>
        <w:tab w:val="left" w:pos="5040"/>
      </w:tabs>
      <w:spacing w:after="120"/>
      <w:ind w:left="5040" w:hanging="720"/>
      <w:outlineLvl w:val="6"/>
    </w:pPr>
    <w:rPr>
      <w:b/>
    </w:rPr>
  </w:style>
  <w:style w:type="paragraph" w:styleId="Heading8">
    <w:name w:val="heading 8"/>
    <w:basedOn w:val="Normal"/>
    <w:next w:val="ParaNum"/>
    <w:qFormat/>
    <w:rsid w:val="00D22462"/>
    <w:pPr>
      <w:numPr>
        <w:ilvl w:val="7"/>
        <w:numId w:val="34"/>
      </w:numPr>
      <w:tabs>
        <w:tab w:val="clear" w:pos="5400"/>
        <w:tab w:val="left" w:pos="5760"/>
      </w:tabs>
      <w:spacing w:after="120"/>
      <w:ind w:left="5760" w:hanging="720"/>
      <w:outlineLvl w:val="7"/>
    </w:pPr>
    <w:rPr>
      <w:b/>
    </w:rPr>
  </w:style>
  <w:style w:type="paragraph" w:styleId="Heading9">
    <w:name w:val="heading 9"/>
    <w:basedOn w:val="Normal"/>
    <w:next w:val="ParaNum"/>
    <w:qFormat/>
    <w:rsid w:val="00D22462"/>
    <w:pPr>
      <w:numPr>
        <w:ilvl w:val="8"/>
        <w:numId w:val="3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24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2462"/>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D22462"/>
    <w:pPr>
      <w:numPr>
        <w:numId w:val="29"/>
      </w:numPr>
      <w:tabs>
        <w:tab w:val="clear" w:pos="1080"/>
        <w:tab w:val="num" w:pos="1440"/>
      </w:tabs>
      <w:spacing w:after="12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D22462"/>
    <w:pPr>
      <w:spacing w:after="120"/>
    </w:pPr>
  </w:style>
  <w:style w:type="paragraph" w:customStyle="1" w:styleId="Bullet">
    <w:name w:val="Bullet"/>
    <w:basedOn w:val="Normal"/>
    <w:rsid w:val="00D22462"/>
    <w:pPr>
      <w:tabs>
        <w:tab w:val="left" w:pos="2160"/>
      </w:tabs>
      <w:spacing w:after="220"/>
      <w:ind w:left="2160" w:hanging="720"/>
    </w:pPr>
  </w:style>
  <w:style w:type="paragraph" w:styleId="BlockText">
    <w:name w:val="Block Text"/>
    <w:basedOn w:val="Normal"/>
    <w:rsid w:val="00D22462"/>
    <w:pPr>
      <w:spacing w:after="240"/>
      <w:ind w:left="1440" w:right="1440"/>
    </w:pPr>
  </w:style>
  <w:style w:type="paragraph" w:customStyle="1" w:styleId="TableFormat">
    <w:name w:val="TableFormat"/>
    <w:basedOn w:val="Bullet"/>
    <w:rsid w:val="00D22462"/>
    <w:pPr>
      <w:tabs>
        <w:tab w:val="clear" w:pos="2160"/>
        <w:tab w:val="left" w:pos="5040"/>
      </w:tabs>
      <w:ind w:left="5040" w:hanging="3600"/>
    </w:pPr>
  </w:style>
  <w:style w:type="character" w:styleId="FootnoteReference">
    <w:name w:val="footnote reference"/>
    <w:aliases w:val="Appel note de bas de p,Style 12,(NECG) Footnote Reference,Style 124,Style 13,fr,o,Style 3,FR,Style 17,Footnote Reference/,Style 6,Style 7,Style 4,Footnote Reference1,Style 34,Style 9"/>
    <w:rsid w:val="00D22462"/>
    <w:rPr>
      <w:rFonts w:ascii="Times New Roman" w:hAnsi="Times New Roman"/>
      <w:dstrike w:val="0"/>
      <w:color w:val="auto"/>
      <w:sz w:val="20"/>
      <w:vertAlign w:val="superscript"/>
    </w:rPr>
  </w:style>
  <w:style w:type="paragraph" w:styleId="Header">
    <w:name w:val="header"/>
    <w:basedOn w:val="Normal"/>
    <w:autoRedefine/>
    <w:rsid w:val="00D22462"/>
    <w:pPr>
      <w:tabs>
        <w:tab w:val="center" w:pos="4680"/>
        <w:tab w:val="right" w:pos="9360"/>
      </w:tabs>
    </w:pPr>
    <w:rPr>
      <w:b/>
    </w:rPr>
  </w:style>
  <w:style w:type="paragraph" w:styleId="Footer">
    <w:name w:val="footer"/>
    <w:basedOn w:val="Normal"/>
    <w:link w:val="FooterChar"/>
    <w:rsid w:val="00D22462"/>
    <w:pPr>
      <w:tabs>
        <w:tab w:val="center" w:pos="4320"/>
        <w:tab w:val="right" w:pos="8640"/>
      </w:tabs>
    </w:pPr>
  </w:style>
  <w:style w:type="paragraph" w:styleId="TOC2">
    <w:name w:val="toc 2"/>
    <w:basedOn w:val="Normal"/>
    <w:next w:val="Normal"/>
    <w:semiHidden/>
    <w:rsid w:val="00D22462"/>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D22462"/>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2246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246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246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246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246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246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2462"/>
    <w:pPr>
      <w:tabs>
        <w:tab w:val="left" w:pos="3240"/>
        <w:tab w:val="right" w:leader="dot" w:pos="9360"/>
      </w:tabs>
      <w:suppressAutoHyphens/>
      <w:ind w:left="3240" w:hanging="360"/>
    </w:pPr>
    <w:rPr>
      <w:noProof/>
    </w:rPr>
  </w:style>
  <w:style w:type="character" w:styleId="PageNumber">
    <w:name w:val="page number"/>
    <w:basedOn w:val="DefaultParagraphFont"/>
    <w:rsid w:val="00D22462"/>
  </w:style>
  <w:style w:type="paragraph" w:styleId="Title">
    <w:name w:val="Title"/>
    <w:basedOn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tyleNumberedparagraphs11ptChar">
    <w:name w:val="Style Numbered paragraphs + 11 pt Char"/>
    <w:rPr>
      <w:noProof w:val="0"/>
      <w:sz w:val="22"/>
      <w:lang w:val="en-US" w:eastAsia="en-US" w:bidi="ar-SA"/>
    </w:rPr>
  </w:style>
  <w:style w:type="paragraph" w:customStyle="1" w:styleId="ColorfulShading-Accent11">
    <w:name w:val="Colorful Shading - Accent 11"/>
    <w:hidden/>
    <w:uiPriority w:val="99"/>
    <w:semiHidden/>
    <w:rPr>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style>
  <w:style w:type="character" w:styleId="Hyperlink">
    <w:name w:val="Hyperlink"/>
    <w:rsid w:val="00D22462"/>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BF2636"/>
    <w:pPr>
      <w:ind w:left="720"/>
    </w:pPr>
  </w:style>
  <w:style w:type="character" w:customStyle="1" w:styleId="ParaNumCharChar1">
    <w:name w:val="ParaNum Char Char1"/>
    <w:link w:val="ParaNum"/>
    <w:locked/>
    <w:rsid w:val="00F86D73"/>
    <w:rPr>
      <w:snapToGrid w:val="0"/>
      <w:kern w:val="28"/>
      <w:sz w:val="22"/>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rsid w:val="00F86D73"/>
  </w:style>
  <w:style w:type="character" w:customStyle="1" w:styleId="highlight">
    <w:name w:val="highlight"/>
    <w:rsid w:val="00F86D73"/>
  </w:style>
  <w:style w:type="character" w:customStyle="1" w:styleId="UnresolvedMention1">
    <w:name w:val="Unresolved Mention1"/>
    <w:basedOn w:val="DefaultParagraphFont"/>
    <w:uiPriority w:val="99"/>
    <w:semiHidden/>
    <w:unhideWhenUsed/>
    <w:rsid w:val="006C0081"/>
    <w:rPr>
      <w:color w:val="808080"/>
      <w:shd w:val="clear" w:color="auto" w:fill="E6E6E6"/>
    </w:rPr>
  </w:style>
  <w:style w:type="character" w:styleId="Strong">
    <w:name w:val="Strong"/>
    <w:basedOn w:val="DefaultParagraphFont"/>
    <w:uiPriority w:val="22"/>
    <w:qFormat/>
    <w:rsid w:val="00EC7C25"/>
    <w:rPr>
      <w:b/>
      <w:bCs/>
    </w:rPr>
  </w:style>
  <w:style w:type="character" w:customStyle="1" w:styleId="Mention1">
    <w:name w:val="Mention1"/>
    <w:basedOn w:val="DefaultParagraphFont"/>
    <w:uiPriority w:val="99"/>
    <w:semiHidden/>
    <w:unhideWhenUsed/>
    <w:rsid w:val="00CD45AC"/>
    <w:rPr>
      <w:color w:val="2B579A"/>
      <w:shd w:val="clear" w:color="auto" w:fill="E6E6E6"/>
    </w:rPr>
  </w:style>
  <w:style w:type="character" w:customStyle="1" w:styleId="UnresolvedMention2">
    <w:name w:val="Unresolved Mention2"/>
    <w:basedOn w:val="DefaultParagraphFont"/>
    <w:uiPriority w:val="99"/>
    <w:semiHidden/>
    <w:unhideWhenUsed/>
    <w:rsid w:val="00957764"/>
    <w:rPr>
      <w:color w:val="808080"/>
      <w:shd w:val="clear" w:color="auto" w:fill="E6E6E6"/>
    </w:rPr>
  </w:style>
  <w:style w:type="character" w:customStyle="1" w:styleId="UnresolvedMention3">
    <w:name w:val="Unresolved Mention3"/>
    <w:basedOn w:val="DefaultParagraphFont"/>
    <w:uiPriority w:val="99"/>
    <w:semiHidden/>
    <w:unhideWhenUsed/>
    <w:rsid w:val="00B629A0"/>
    <w:rPr>
      <w:color w:val="808080"/>
      <w:shd w:val="clear" w:color="auto" w:fill="E6E6E6"/>
    </w:rPr>
  </w:style>
  <w:style w:type="character" w:customStyle="1" w:styleId="FooterChar">
    <w:name w:val="Footer Char"/>
    <w:basedOn w:val="DefaultParagraphFont"/>
    <w:link w:val="Footer"/>
    <w:rsid w:val="006F05A2"/>
    <w:rPr>
      <w:snapToGrid w:val="0"/>
      <w:kern w:val="28"/>
      <w:sz w:val="22"/>
    </w:rPr>
  </w:style>
  <w:style w:type="paragraph" w:styleId="EndnoteText">
    <w:name w:val="endnote text"/>
    <w:basedOn w:val="Normal"/>
    <w:link w:val="EndnoteTextChar"/>
    <w:semiHidden/>
    <w:rsid w:val="00D22462"/>
    <w:rPr>
      <w:sz w:val="20"/>
    </w:rPr>
  </w:style>
  <w:style w:type="character" w:customStyle="1" w:styleId="EndnoteTextChar">
    <w:name w:val="Endnote Text Char"/>
    <w:basedOn w:val="DefaultParagraphFont"/>
    <w:link w:val="EndnoteText"/>
    <w:semiHidden/>
    <w:rsid w:val="00053C59"/>
    <w:rPr>
      <w:snapToGrid w:val="0"/>
      <w:kern w:val="28"/>
    </w:rPr>
  </w:style>
  <w:style w:type="character" w:styleId="EndnoteReference">
    <w:name w:val="endnote reference"/>
    <w:semiHidden/>
    <w:rsid w:val="00D22462"/>
    <w:rPr>
      <w:vertAlign w:val="superscript"/>
    </w:rPr>
  </w:style>
  <w:style w:type="paragraph" w:styleId="TOAHeading">
    <w:name w:val="toa heading"/>
    <w:basedOn w:val="Normal"/>
    <w:next w:val="Normal"/>
    <w:semiHidden/>
    <w:rsid w:val="00D22462"/>
    <w:pPr>
      <w:tabs>
        <w:tab w:val="right" w:pos="9360"/>
      </w:tabs>
      <w:suppressAutoHyphens/>
    </w:pPr>
  </w:style>
  <w:style w:type="character" w:customStyle="1" w:styleId="EquationCaption">
    <w:name w:val="_Equation Caption"/>
    <w:rsid w:val="00D22462"/>
  </w:style>
  <w:style w:type="paragraph" w:customStyle="1" w:styleId="Paratitle">
    <w:name w:val="Para title"/>
    <w:basedOn w:val="Normal"/>
    <w:rsid w:val="00D22462"/>
    <w:pPr>
      <w:tabs>
        <w:tab w:val="center" w:pos="9270"/>
      </w:tabs>
      <w:spacing w:after="240"/>
    </w:pPr>
    <w:rPr>
      <w:spacing w:val="-2"/>
    </w:rPr>
  </w:style>
  <w:style w:type="paragraph" w:customStyle="1" w:styleId="TOCTitle">
    <w:name w:val="TOC Title"/>
    <w:basedOn w:val="Normal"/>
    <w:rsid w:val="00D2246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2462"/>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62"/>
    <w:pPr>
      <w:widowControl w:val="0"/>
    </w:pPr>
    <w:rPr>
      <w:snapToGrid w:val="0"/>
      <w:kern w:val="28"/>
      <w:sz w:val="22"/>
    </w:rPr>
  </w:style>
  <w:style w:type="paragraph" w:styleId="Heading1">
    <w:name w:val="heading 1"/>
    <w:basedOn w:val="Normal"/>
    <w:next w:val="ParaNum"/>
    <w:qFormat/>
    <w:rsid w:val="00D22462"/>
    <w:pPr>
      <w:keepNext/>
      <w:numPr>
        <w:numId w:val="3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2462"/>
    <w:pPr>
      <w:keepNext/>
      <w:numPr>
        <w:ilvl w:val="1"/>
        <w:numId w:val="34"/>
      </w:numPr>
      <w:spacing w:after="120"/>
      <w:outlineLvl w:val="1"/>
    </w:pPr>
    <w:rPr>
      <w:b/>
    </w:rPr>
  </w:style>
  <w:style w:type="paragraph" w:styleId="Heading3">
    <w:name w:val="heading 3"/>
    <w:basedOn w:val="Normal"/>
    <w:next w:val="ParaNum"/>
    <w:qFormat/>
    <w:rsid w:val="00D22462"/>
    <w:pPr>
      <w:keepNext/>
      <w:numPr>
        <w:ilvl w:val="2"/>
        <w:numId w:val="34"/>
      </w:numPr>
      <w:tabs>
        <w:tab w:val="left" w:pos="2160"/>
      </w:tabs>
      <w:spacing w:after="120"/>
      <w:outlineLvl w:val="2"/>
    </w:pPr>
    <w:rPr>
      <w:b/>
    </w:rPr>
  </w:style>
  <w:style w:type="paragraph" w:styleId="Heading4">
    <w:name w:val="heading 4"/>
    <w:basedOn w:val="Normal"/>
    <w:next w:val="ParaNum"/>
    <w:qFormat/>
    <w:rsid w:val="00D22462"/>
    <w:pPr>
      <w:keepNext/>
      <w:numPr>
        <w:ilvl w:val="3"/>
        <w:numId w:val="34"/>
      </w:numPr>
      <w:tabs>
        <w:tab w:val="left" w:pos="2880"/>
      </w:tabs>
      <w:spacing w:after="120"/>
      <w:outlineLvl w:val="3"/>
    </w:pPr>
    <w:rPr>
      <w:b/>
    </w:rPr>
  </w:style>
  <w:style w:type="paragraph" w:styleId="Heading5">
    <w:name w:val="heading 5"/>
    <w:basedOn w:val="Normal"/>
    <w:next w:val="ParaNum"/>
    <w:qFormat/>
    <w:rsid w:val="00D22462"/>
    <w:pPr>
      <w:keepNext/>
      <w:numPr>
        <w:ilvl w:val="4"/>
        <w:numId w:val="34"/>
      </w:numPr>
      <w:tabs>
        <w:tab w:val="left" w:pos="3600"/>
      </w:tabs>
      <w:suppressAutoHyphens/>
      <w:spacing w:after="120"/>
      <w:outlineLvl w:val="4"/>
    </w:pPr>
    <w:rPr>
      <w:b/>
    </w:rPr>
  </w:style>
  <w:style w:type="paragraph" w:styleId="Heading6">
    <w:name w:val="heading 6"/>
    <w:basedOn w:val="Normal"/>
    <w:next w:val="ParaNum"/>
    <w:qFormat/>
    <w:rsid w:val="00D22462"/>
    <w:pPr>
      <w:numPr>
        <w:ilvl w:val="5"/>
        <w:numId w:val="34"/>
      </w:numPr>
      <w:tabs>
        <w:tab w:val="left" w:pos="4320"/>
      </w:tabs>
      <w:spacing w:after="120"/>
      <w:outlineLvl w:val="5"/>
    </w:pPr>
    <w:rPr>
      <w:b/>
    </w:rPr>
  </w:style>
  <w:style w:type="paragraph" w:styleId="Heading7">
    <w:name w:val="heading 7"/>
    <w:basedOn w:val="Normal"/>
    <w:next w:val="ParaNum"/>
    <w:qFormat/>
    <w:rsid w:val="00D22462"/>
    <w:pPr>
      <w:numPr>
        <w:ilvl w:val="6"/>
        <w:numId w:val="34"/>
      </w:numPr>
      <w:tabs>
        <w:tab w:val="left" w:pos="5040"/>
      </w:tabs>
      <w:spacing w:after="120"/>
      <w:ind w:left="5040" w:hanging="720"/>
      <w:outlineLvl w:val="6"/>
    </w:pPr>
    <w:rPr>
      <w:b/>
    </w:rPr>
  </w:style>
  <w:style w:type="paragraph" w:styleId="Heading8">
    <w:name w:val="heading 8"/>
    <w:basedOn w:val="Normal"/>
    <w:next w:val="ParaNum"/>
    <w:qFormat/>
    <w:rsid w:val="00D22462"/>
    <w:pPr>
      <w:numPr>
        <w:ilvl w:val="7"/>
        <w:numId w:val="34"/>
      </w:numPr>
      <w:tabs>
        <w:tab w:val="clear" w:pos="5400"/>
        <w:tab w:val="left" w:pos="5760"/>
      </w:tabs>
      <w:spacing w:after="120"/>
      <w:ind w:left="5760" w:hanging="720"/>
      <w:outlineLvl w:val="7"/>
    </w:pPr>
    <w:rPr>
      <w:b/>
    </w:rPr>
  </w:style>
  <w:style w:type="paragraph" w:styleId="Heading9">
    <w:name w:val="heading 9"/>
    <w:basedOn w:val="Normal"/>
    <w:next w:val="ParaNum"/>
    <w:qFormat/>
    <w:rsid w:val="00D22462"/>
    <w:pPr>
      <w:numPr>
        <w:ilvl w:val="8"/>
        <w:numId w:val="3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24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2462"/>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D22462"/>
    <w:pPr>
      <w:numPr>
        <w:numId w:val="29"/>
      </w:numPr>
      <w:tabs>
        <w:tab w:val="clear" w:pos="1080"/>
        <w:tab w:val="num" w:pos="1440"/>
      </w:tabs>
      <w:spacing w:after="12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D22462"/>
    <w:pPr>
      <w:spacing w:after="120"/>
    </w:pPr>
  </w:style>
  <w:style w:type="paragraph" w:customStyle="1" w:styleId="Bullet">
    <w:name w:val="Bullet"/>
    <w:basedOn w:val="Normal"/>
    <w:rsid w:val="00D22462"/>
    <w:pPr>
      <w:tabs>
        <w:tab w:val="left" w:pos="2160"/>
      </w:tabs>
      <w:spacing w:after="220"/>
      <w:ind w:left="2160" w:hanging="720"/>
    </w:pPr>
  </w:style>
  <w:style w:type="paragraph" w:styleId="BlockText">
    <w:name w:val="Block Text"/>
    <w:basedOn w:val="Normal"/>
    <w:rsid w:val="00D22462"/>
    <w:pPr>
      <w:spacing w:after="240"/>
      <w:ind w:left="1440" w:right="1440"/>
    </w:pPr>
  </w:style>
  <w:style w:type="paragraph" w:customStyle="1" w:styleId="TableFormat">
    <w:name w:val="TableFormat"/>
    <w:basedOn w:val="Bullet"/>
    <w:rsid w:val="00D22462"/>
    <w:pPr>
      <w:tabs>
        <w:tab w:val="clear" w:pos="2160"/>
        <w:tab w:val="left" w:pos="5040"/>
      </w:tabs>
      <w:ind w:left="5040" w:hanging="3600"/>
    </w:pPr>
  </w:style>
  <w:style w:type="character" w:styleId="FootnoteReference">
    <w:name w:val="footnote reference"/>
    <w:aliases w:val="Appel note de bas de p,Style 12,(NECG) Footnote Reference,Style 124,Style 13,fr,o,Style 3,FR,Style 17,Footnote Reference/,Style 6,Style 7,Style 4,Footnote Reference1,Style 34,Style 9"/>
    <w:rsid w:val="00D22462"/>
    <w:rPr>
      <w:rFonts w:ascii="Times New Roman" w:hAnsi="Times New Roman"/>
      <w:dstrike w:val="0"/>
      <w:color w:val="auto"/>
      <w:sz w:val="20"/>
      <w:vertAlign w:val="superscript"/>
    </w:rPr>
  </w:style>
  <w:style w:type="paragraph" w:styleId="Header">
    <w:name w:val="header"/>
    <w:basedOn w:val="Normal"/>
    <w:autoRedefine/>
    <w:rsid w:val="00D22462"/>
    <w:pPr>
      <w:tabs>
        <w:tab w:val="center" w:pos="4680"/>
        <w:tab w:val="right" w:pos="9360"/>
      </w:tabs>
    </w:pPr>
    <w:rPr>
      <w:b/>
    </w:rPr>
  </w:style>
  <w:style w:type="paragraph" w:styleId="Footer">
    <w:name w:val="footer"/>
    <w:basedOn w:val="Normal"/>
    <w:link w:val="FooterChar"/>
    <w:rsid w:val="00D22462"/>
    <w:pPr>
      <w:tabs>
        <w:tab w:val="center" w:pos="4320"/>
        <w:tab w:val="right" w:pos="8640"/>
      </w:tabs>
    </w:pPr>
  </w:style>
  <w:style w:type="paragraph" w:styleId="TOC2">
    <w:name w:val="toc 2"/>
    <w:basedOn w:val="Normal"/>
    <w:next w:val="Normal"/>
    <w:semiHidden/>
    <w:rsid w:val="00D22462"/>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D22462"/>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2246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246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246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246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246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246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2462"/>
    <w:pPr>
      <w:tabs>
        <w:tab w:val="left" w:pos="3240"/>
        <w:tab w:val="right" w:leader="dot" w:pos="9360"/>
      </w:tabs>
      <w:suppressAutoHyphens/>
      <w:ind w:left="3240" w:hanging="360"/>
    </w:pPr>
    <w:rPr>
      <w:noProof/>
    </w:rPr>
  </w:style>
  <w:style w:type="character" w:styleId="PageNumber">
    <w:name w:val="page number"/>
    <w:basedOn w:val="DefaultParagraphFont"/>
    <w:rsid w:val="00D22462"/>
  </w:style>
  <w:style w:type="paragraph" w:styleId="Title">
    <w:name w:val="Title"/>
    <w:basedOn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tyleNumberedparagraphs11ptChar">
    <w:name w:val="Style Numbered paragraphs + 11 pt Char"/>
    <w:rPr>
      <w:noProof w:val="0"/>
      <w:sz w:val="22"/>
      <w:lang w:val="en-US" w:eastAsia="en-US" w:bidi="ar-SA"/>
    </w:rPr>
  </w:style>
  <w:style w:type="paragraph" w:customStyle="1" w:styleId="ColorfulShading-Accent11">
    <w:name w:val="Colorful Shading - Accent 11"/>
    <w:hidden/>
    <w:uiPriority w:val="99"/>
    <w:semiHidden/>
    <w:rPr>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style>
  <w:style w:type="character" w:styleId="Hyperlink">
    <w:name w:val="Hyperlink"/>
    <w:rsid w:val="00D22462"/>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BF2636"/>
    <w:pPr>
      <w:ind w:left="720"/>
    </w:pPr>
  </w:style>
  <w:style w:type="character" w:customStyle="1" w:styleId="ParaNumCharChar1">
    <w:name w:val="ParaNum Char Char1"/>
    <w:link w:val="ParaNum"/>
    <w:locked/>
    <w:rsid w:val="00F86D73"/>
    <w:rPr>
      <w:snapToGrid w:val="0"/>
      <w:kern w:val="28"/>
      <w:sz w:val="22"/>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rsid w:val="00F86D73"/>
  </w:style>
  <w:style w:type="character" w:customStyle="1" w:styleId="highlight">
    <w:name w:val="highlight"/>
    <w:rsid w:val="00F86D73"/>
  </w:style>
  <w:style w:type="character" w:customStyle="1" w:styleId="UnresolvedMention1">
    <w:name w:val="Unresolved Mention1"/>
    <w:basedOn w:val="DefaultParagraphFont"/>
    <w:uiPriority w:val="99"/>
    <w:semiHidden/>
    <w:unhideWhenUsed/>
    <w:rsid w:val="006C0081"/>
    <w:rPr>
      <w:color w:val="808080"/>
      <w:shd w:val="clear" w:color="auto" w:fill="E6E6E6"/>
    </w:rPr>
  </w:style>
  <w:style w:type="character" w:styleId="Strong">
    <w:name w:val="Strong"/>
    <w:basedOn w:val="DefaultParagraphFont"/>
    <w:uiPriority w:val="22"/>
    <w:qFormat/>
    <w:rsid w:val="00EC7C25"/>
    <w:rPr>
      <w:b/>
      <w:bCs/>
    </w:rPr>
  </w:style>
  <w:style w:type="character" w:customStyle="1" w:styleId="Mention1">
    <w:name w:val="Mention1"/>
    <w:basedOn w:val="DefaultParagraphFont"/>
    <w:uiPriority w:val="99"/>
    <w:semiHidden/>
    <w:unhideWhenUsed/>
    <w:rsid w:val="00CD45AC"/>
    <w:rPr>
      <w:color w:val="2B579A"/>
      <w:shd w:val="clear" w:color="auto" w:fill="E6E6E6"/>
    </w:rPr>
  </w:style>
  <w:style w:type="character" w:customStyle="1" w:styleId="UnresolvedMention2">
    <w:name w:val="Unresolved Mention2"/>
    <w:basedOn w:val="DefaultParagraphFont"/>
    <w:uiPriority w:val="99"/>
    <w:semiHidden/>
    <w:unhideWhenUsed/>
    <w:rsid w:val="00957764"/>
    <w:rPr>
      <w:color w:val="808080"/>
      <w:shd w:val="clear" w:color="auto" w:fill="E6E6E6"/>
    </w:rPr>
  </w:style>
  <w:style w:type="character" w:customStyle="1" w:styleId="UnresolvedMention3">
    <w:name w:val="Unresolved Mention3"/>
    <w:basedOn w:val="DefaultParagraphFont"/>
    <w:uiPriority w:val="99"/>
    <w:semiHidden/>
    <w:unhideWhenUsed/>
    <w:rsid w:val="00B629A0"/>
    <w:rPr>
      <w:color w:val="808080"/>
      <w:shd w:val="clear" w:color="auto" w:fill="E6E6E6"/>
    </w:rPr>
  </w:style>
  <w:style w:type="character" w:customStyle="1" w:styleId="FooterChar">
    <w:name w:val="Footer Char"/>
    <w:basedOn w:val="DefaultParagraphFont"/>
    <w:link w:val="Footer"/>
    <w:rsid w:val="006F05A2"/>
    <w:rPr>
      <w:snapToGrid w:val="0"/>
      <w:kern w:val="28"/>
      <w:sz w:val="22"/>
    </w:rPr>
  </w:style>
  <w:style w:type="paragraph" w:styleId="EndnoteText">
    <w:name w:val="endnote text"/>
    <w:basedOn w:val="Normal"/>
    <w:link w:val="EndnoteTextChar"/>
    <w:semiHidden/>
    <w:rsid w:val="00D22462"/>
    <w:rPr>
      <w:sz w:val="20"/>
    </w:rPr>
  </w:style>
  <w:style w:type="character" w:customStyle="1" w:styleId="EndnoteTextChar">
    <w:name w:val="Endnote Text Char"/>
    <w:basedOn w:val="DefaultParagraphFont"/>
    <w:link w:val="EndnoteText"/>
    <w:semiHidden/>
    <w:rsid w:val="00053C59"/>
    <w:rPr>
      <w:snapToGrid w:val="0"/>
      <w:kern w:val="28"/>
    </w:rPr>
  </w:style>
  <w:style w:type="character" w:styleId="EndnoteReference">
    <w:name w:val="endnote reference"/>
    <w:semiHidden/>
    <w:rsid w:val="00D22462"/>
    <w:rPr>
      <w:vertAlign w:val="superscript"/>
    </w:rPr>
  </w:style>
  <w:style w:type="paragraph" w:styleId="TOAHeading">
    <w:name w:val="toa heading"/>
    <w:basedOn w:val="Normal"/>
    <w:next w:val="Normal"/>
    <w:semiHidden/>
    <w:rsid w:val="00D22462"/>
    <w:pPr>
      <w:tabs>
        <w:tab w:val="right" w:pos="9360"/>
      </w:tabs>
      <w:suppressAutoHyphens/>
    </w:pPr>
  </w:style>
  <w:style w:type="character" w:customStyle="1" w:styleId="EquationCaption">
    <w:name w:val="_Equation Caption"/>
    <w:rsid w:val="00D22462"/>
  </w:style>
  <w:style w:type="paragraph" w:customStyle="1" w:styleId="Paratitle">
    <w:name w:val="Para title"/>
    <w:basedOn w:val="Normal"/>
    <w:rsid w:val="00D22462"/>
    <w:pPr>
      <w:tabs>
        <w:tab w:val="center" w:pos="9270"/>
      </w:tabs>
      <w:spacing w:after="240"/>
    </w:pPr>
    <w:rPr>
      <w:spacing w:val="-2"/>
    </w:rPr>
  </w:style>
  <w:style w:type="paragraph" w:customStyle="1" w:styleId="TOCTitle">
    <w:name w:val="TOC Title"/>
    <w:basedOn w:val="Normal"/>
    <w:rsid w:val="00D2246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2462"/>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questions@usac.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ee.roland@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fcc.gov/ecfs/" TargetMode="External"/><Relationship Id="rId3" Type="http://schemas.openxmlformats.org/officeDocument/2006/relationships/hyperlink" Target="http://fcc.gov/sites/default/files/fcc-outage-report-maria100117.pdf" TargetMode="External"/><Relationship Id="rId7" Type="http://schemas.openxmlformats.org/officeDocument/2006/relationships/hyperlink" Target="http://abcnews.go.com/amp/International/us-virgin-islands-ruins-hurricane-maria/story?id=50178300" TargetMode="External"/><Relationship Id="rId2" Type="http://schemas.openxmlformats.org/officeDocument/2006/relationships/hyperlink" Target="http://transition.fcc.gov/Daily_Releases/Daily_Business/2017/db0921/DOC-346833A1.pdf" TargetMode="External"/><Relationship Id="rId1" Type="http://schemas.openxmlformats.org/officeDocument/2006/relationships/hyperlink" Target="http://www.businessinsider.com/hurricane-maria-path-track-update-2017-9" TargetMode="External"/><Relationship Id="rId6" Type="http://schemas.openxmlformats.org/officeDocument/2006/relationships/hyperlink" Target="http://www.cnn.com/2017/09/20/americas/hurricane-maria-caribbean-islands/index.html" TargetMode="External"/><Relationship Id="rId5" Type="http://schemas.openxmlformats.org/officeDocument/2006/relationships/hyperlink" Target="https://www.nbcnews.com/news/weather/hurricane-maria-makes-landfall-puerto-rico-category-4-storm-n802911" TargetMode="External"/><Relationship Id="rId4" Type="http://schemas.openxmlformats.org/officeDocument/2006/relationships/hyperlink" Target="http://www.businessinsider.com/hurricane-maria-path-track-update-201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3417</Words>
  <Characters>18611</Characters>
  <Application>Microsoft Office Word</Application>
  <DocSecurity>0</DocSecurity>
  <Lines>354</Lines>
  <Paragraphs>116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22045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2012-09-14T20:35:00Z</cp:lastPrinted>
  <dcterms:created xsi:type="dcterms:W3CDTF">2017-10-04T19:07:00Z</dcterms:created>
  <dcterms:modified xsi:type="dcterms:W3CDTF">2017-10-04T19:07:00Z</dcterms:modified>
  <cp:category> </cp:category>
  <cp:contentStatus> </cp:contentStatus>
</cp:coreProperties>
</file>