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971CEE" w:rsidRPr="00971CEE" w:rsidRDefault="00971CEE" w:rsidP="00971CEE">
            <w:pPr>
              <w:tabs>
                <w:tab w:val="center" w:pos="4680"/>
              </w:tabs>
              <w:suppressAutoHyphens/>
              <w:rPr>
                <w:spacing w:val="-2"/>
              </w:rPr>
            </w:pPr>
            <w:r w:rsidRPr="00971CEE">
              <w:rPr>
                <w:spacing w:val="-2"/>
              </w:rPr>
              <w:t xml:space="preserve">Jay Peralta, </w:t>
            </w:r>
          </w:p>
          <w:p w:rsidR="004C2EE3" w:rsidRPr="007115F7" w:rsidRDefault="00971CEE" w:rsidP="00971CEE">
            <w:pPr>
              <w:tabs>
                <w:tab w:val="center" w:pos="4680"/>
              </w:tabs>
              <w:suppressAutoHyphens/>
              <w:rPr>
                <w:spacing w:val="-2"/>
              </w:rPr>
            </w:pPr>
            <w:r w:rsidRPr="00971CEE">
              <w:rPr>
                <w:spacing w:val="-2"/>
              </w:rPr>
              <w:t>Corona, New York</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971CEE" w:rsidRPr="00971CEE" w:rsidRDefault="00971CEE" w:rsidP="00971CEE">
            <w:pPr>
              <w:pStyle w:val="TOAHeading"/>
              <w:tabs>
                <w:tab w:val="center" w:pos="4680"/>
              </w:tabs>
              <w:rPr>
                <w:spacing w:val="-2"/>
              </w:rPr>
            </w:pPr>
            <w:r w:rsidRPr="00971CEE">
              <w:rPr>
                <w:spacing w:val="-2"/>
              </w:rPr>
              <w:t>File No. EB-FIELDNER-16-00022343</w:t>
            </w:r>
          </w:p>
          <w:p w:rsidR="00971CEE" w:rsidRPr="00971CEE" w:rsidRDefault="00971CEE" w:rsidP="00971CEE">
            <w:pPr>
              <w:pStyle w:val="TOAHeading"/>
              <w:tabs>
                <w:tab w:val="center" w:pos="4680"/>
              </w:tabs>
              <w:rPr>
                <w:spacing w:val="-2"/>
              </w:rPr>
            </w:pPr>
            <w:r w:rsidRPr="00971CEE">
              <w:rPr>
                <w:spacing w:val="-2"/>
              </w:rPr>
              <w:t>NAL/Acct. No.: 201732380002</w:t>
            </w:r>
          </w:p>
          <w:p w:rsidR="004C2EE3" w:rsidRDefault="00971CEE" w:rsidP="00971CEE">
            <w:pPr>
              <w:tabs>
                <w:tab w:val="center" w:pos="4680"/>
              </w:tabs>
              <w:suppressAutoHyphens/>
              <w:rPr>
                <w:spacing w:val="-2"/>
              </w:rPr>
            </w:pPr>
            <w:r w:rsidRPr="00971CEE">
              <w:rPr>
                <w:spacing w:val="-2"/>
              </w:rPr>
              <w:t>FRN: 0026136218</w:t>
            </w:r>
          </w:p>
        </w:tc>
      </w:tr>
    </w:tbl>
    <w:p w:rsidR="00971CEE" w:rsidRPr="00971CEE" w:rsidRDefault="00971CEE" w:rsidP="00971CEE"/>
    <w:p w:rsidR="00971CEE" w:rsidRPr="00971CEE" w:rsidRDefault="00971CEE" w:rsidP="00971CEE">
      <w:pPr>
        <w:jc w:val="center"/>
        <w:rPr>
          <w:rFonts w:ascii="Times New Roman Bold" w:hAnsi="Times New Roman Bold"/>
          <w:b/>
          <w:bCs/>
          <w:caps/>
          <w:szCs w:val="22"/>
        </w:rPr>
      </w:pPr>
      <w:r w:rsidRPr="00971CEE">
        <w:rPr>
          <w:rFonts w:ascii="Times New Roman Bold" w:hAnsi="Times New Roman Bold"/>
          <w:b/>
          <w:bCs/>
          <w:caps/>
          <w:szCs w:val="22"/>
        </w:rPr>
        <w:t>Forfeiture Order</w:t>
      </w:r>
    </w:p>
    <w:p w:rsidR="00971CEE" w:rsidRPr="00971CEE" w:rsidRDefault="00971CEE" w:rsidP="00971CEE">
      <w:pPr>
        <w:tabs>
          <w:tab w:val="left" w:pos="-720"/>
        </w:tabs>
        <w:suppressAutoHyphens/>
        <w:spacing w:line="227" w:lineRule="auto"/>
        <w:rPr>
          <w:spacing w:val="-2"/>
        </w:rPr>
      </w:pPr>
    </w:p>
    <w:p w:rsidR="00971CEE" w:rsidRPr="00971CEE" w:rsidRDefault="00971CEE" w:rsidP="00971CEE">
      <w:pPr>
        <w:tabs>
          <w:tab w:val="left" w:pos="720"/>
          <w:tab w:val="right" w:pos="9360"/>
        </w:tabs>
        <w:suppressAutoHyphens/>
        <w:spacing w:line="227" w:lineRule="auto"/>
        <w:rPr>
          <w:spacing w:val="-2"/>
        </w:rPr>
      </w:pPr>
      <w:r w:rsidRPr="00971CEE">
        <w:rPr>
          <w:b/>
          <w:spacing w:val="-2"/>
        </w:rPr>
        <w:t>Adopted:  October 10, 2017</w:t>
      </w:r>
      <w:r w:rsidRPr="00971CEE">
        <w:rPr>
          <w:b/>
          <w:spacing w:val="-2"/>
        </w:rPr>
        <w:tab/>
        <w:t>Released:  October 11, 2017</w:t>
      </w:r>
    </w:p>
    <w:p w:rsidR="00971CEE" w:rsidRPr="00971CEE" w:rsidRDefault="00971CEE" w:rsidP="00971CEE"/>
    <w:p w:rsidR="00971CEE" w:rsidRPr="00971CEE" w:rsidRDefault="00971CEE" w:rsidP="00971CEE">
      <w:pPr>
        <w:rPr>
          <w:spacing w:val="-2"/>
        </w:rPr>
      </w:pPr>
      <w:r w:rsidRPr="00971CEE">
        <w:t>By the Commission</w:t>
      </w:r>
      <w:r w:rsidRPr="00971CEE">
        <w:rPr>
          <w:spacing w:val="-2"/>
        </w:rPr>
        <w:t>:</w:t>
      </w:r>
    </w:p>
    <w:p w:rsidR="00971CEE" w:rsidRPr="00971CEE" w:rsidRDefault="00971CEE" w:rsidP="00971CEE">
      <w:pPr>
        <w:rPr>
          <w:spacing w:val="-2"/>
        </w:rPr>
      </w:pPr>
    </w:p>
    <w:p w:rsidR="00971CEE" w:rsidRPr="00971CEE" w:rsidRDefault="00971CEE" w:rsidP="0067694C">
      <w:pPr>
        <w:pStyle w:val="ParaNum"/>
        <w:rPr>
          <w:snapToGrid/>
        </w:rPr>
      </w:pPr>
      <w:r w:rsidRPr="00971CEE">
        <w:rPr>
          <w:spacing w:val="-2"/>
        </w:rPr>
        <w:t xml:space="preserve">We impose a penalty of $404,166 against Jay Peralta for </w:t>
      </w:r>
      <w:r w:rsidRPr="00971CEE">
        <w:rPr>
          <w:snapToGrid/>
        </w:rPr>
        <w:t xml:space="preserve">operating a radio on frequencies licensed to the New York City Police </w:t>
      </w:r>
      <w:r w:rsidRPr="00971CEE">
        <w:rPr>
          <w:color w:val="000000"/>
        </w:rPr>
        <w:t>Department</w:t>
      </w:r>
      <w:r w:rsidRPr="00971CEE">
        <w:rPr>
          <w:snapToGrid/>
        </w:rPr>
        <w:t xml:space="preserve"> (NYPD)</w:t>
      </w:r>
      <w:r w:rsidRPr="00971CEE">
        <w:rPr>
          <w:snapToGrid/>
          <w:sz w:val="13"/>
          <w:szCs w:val="13"/>
        </w:rPr>
        <w:t xml:space="preserve"> </w:t>
      </w:r>
      <w:r w:rsidRPr="00971CEE">
        <w:rPr>
          <w:snapToGrid/>
        </w:rPr>
        <w:t>without authorization from the Commission, maliciously interfering with NYPD officers’ communications, and transmitting false distress calls. Through his actions, as he described them to the NYPD, Mr. Peralta has demonstrated not only a deliberate disregard for the Commission’s authority and rules, but for the safety of NYPD officers and the public that they are called to serve and protect.</w:t>
      </w:r>
      <w:r w:rsidRPr="00971CEE">
        <w:rPr>
          <w:spacing w:val="-2"/>
        </w:rPr>
        <w:t xml:space="preserve"> </w:t>
      </w:r>
    </w:p>
    <w:p w:rsidR="00971CEE" w:rsidRPr="00971CEE" w:rsidRDefault="00971CEE" w:rsidP="0067694C">
      <w:pPr>
        <w:pStyle w:val="ParaNum"/>
        <w:rPr>
          <w:rFonts w:ascii="TimesNewRoman" w:hAnsi="TimesNewRoman" w:cs="TimesNewRoman"/>
          <w:snapToGrid/>
          <w:kern w:val="0"/>
          <w:szCs w:val="22"/>
        </w:rPr>
      </w:pPr>
      <w:r w:rsidRPr="00971CEE">
        <w:t xml:space="preserve">On September 26, 2016, Mr. Peralta admitted to NYPD officers that, on nine different occasions in 2016, he made unauthorized transmissions on frequencies </w:t>
      </w:r>
      <w:r w:rsidRPr="00971CEE">
        <w:rPr>
          <w:rFonts w:ascii="TimesNewRoman" w:hAnsi="TimesNewRoman" w:cs="TimesNewRoman"/>
          <w:snapToGrid/>
          <w:kern w:val="0"/>
          <w:szCs w:val="22"/>
        </w:rPr>
        <w:t>that the Commission has licensed to the NYPD.</w:t>
      </w:r>
      <w:r w:rsidRPr="00971CEE">
        <w:rPr>
          <w:rFonts w:cs="TimesNewRoman"/>
          <w:snapToGrid/>
          <w:kern w:val="0"/>
          <w:sz w:val="20"/>
          <w:szCs w:val="22"/>
          <w:vertAlign w:val="superscript"/>
        </w:rPr>
        <w:footnoteReference w:id="2"/>
      </w:r>
      <w:r w:rsidRPr="00971CEE">
        <w:t xml:space="preserve">  On April 14, 2017, the Commission issued a Notice of Apparent Liability for Forfeiture (</w:t>
      </w:r>
      <w:r w:rsidRPr="00971CEE">
        <w:rPr>
          <w:i/>
        </w:rPr>
        <w:t>NAL</w:t>
      </w:r>
      <w:r w:rsidRPr="00971CEE">
        <w:t>) proposing a $404,166 forfeiture against Mr. Peralta for willful and repeated violations of Sections 301, 333, and 325(a) of the Communications Act of 1934, as amended (Act), by operating a radio transmitter without a license,</w:t>
      </w:r>
      <w:r w:rsidRPr="00971CEE">
        <w:rPr>
          <w:sz w:val="20"/>
          <w:vertAlign w:val="superscript"/>
        </w:rPr>
        <w:footnoteReference w:id="3"/>
      </w:r>
      <w:r w:rsidRPr="00971CEE">
        <w:t xml:space="preserve"> causing malicious interference to the NYPD’s licensed operations,</w:t>
      </w:r>
      <w:r w:rsidRPr="00971CEE">
        <w:rPr>
          <w:sz w:val="20"/>
          <w:vertAlign w:val="superscript"/>
        </w:rPr>
        <w:footnoteReference w:id="4"/>
      </w:r>
      <w:r w:rsidRPr="00971CEE">
        <w:t xml:space="preserve"> and transmitting false distress signals,</w:t>
      </w:r>
      <w:r w:rsidRPr="00971CEE">
        <w:rPr>
          <w:sz w:val="20"/>
          <w:vertAlign w:val="superscript"/>
        </w:rPr>
        <w:footnoteReference w:id="5"/>
      </w:r>
      <w:r w:rsidRPr="00971CEE">
        <w:t xml:space="preserve"> respectively.  Mr. Peralta has not filed a response to the </w:t>
      </w:r>
      <w:r w:rsidRPr="00971CEE">
        <w:rPr>
          <w:i/>
        </w:rPr>
        <w:t>NAL</w:t>
      </w:r>
      <w:r w:rsidRPr="00971CEE">
        <w:t>.  Based on the information before us, we find no reason to cancel, withdraw, or reduce the proposed penalty, and we therefore assess the $</w:t>
      </w:r>
      <w:r w:rsidRPr="00971CEE">
        <w:rPr>
          <w:spacing w:val="-2"/>
          <w:szCs w:val="22"/>
        </w:rPr>
        <w:t>404,166</w:t>
      </w:r>
      <w:r w:rsidRPr="00971CEE">
        <w:t xml:space="preserve"> forfeiture the Commission previously proposed in the </w:t>
      </w:r>
      <w:r w:rsidRPr="00971CEE">
        <w:rPr>
          <w:i/>
        </w:rPr>
        <w:t>NAL</w:t>
      </w:r>
      <w:r w:rsidRPr="00971CEE">
        <w:t>.</w:t>
      </w:r>
    </w:p>
    <w:p w:rsidR="00971CEE" w:rsidRPr="00971CEE" w:rsidRDefault="00971CEE" w:rsidP="0067694C">
      <w:pPr>
        <w:pStyle w:val="ParaNum"/>
        <w:widowControl/>
        <w:rPr>
          <w:rFonts w:ascii="TimesNewRoman" w:hAnsi="TimesNewRoman" w:cs="TimesNewRoman"/>
          <w:snapToGrid/>
          <w:kern w:val="0"/>
          <w:szCs w:val="22"/>
        </w:rPr>
      </w:pPr>
      <w:r w:rsidRPr="00971CEE">
        <w:rPr>
          <w:color w:val="000000"/>
          <w:spacing w:val="-2"/>
        </w:rPr>
        <w:t>Accordingly</w:t>
      </w:r>
      <w:r w:rsidRPr="00971CEE">
        <w:t xml:space="preserve">, </w:t>
      </w:r>
      <w:r w:rsidRPr="00971CEE">
        <w:rPr>
          <w:b/>
        </w:rPr>
        <w:t>IT IS ORDERED</w:t>
      </w:r>
      <w:r w:rsidRPr="00971CEE">
        <w:t xml:space="preserve"> that, pursuant to Section 503(b) of the Act,</w:t>
      </w:r>
      <w:r w:rsidRPr="00971CEE">
        <w:rPr>
          <w:sz w:val="20"/>
          <w:szCs w:val="22"/>
          <w:vertAlign w:val="superscript"/>
        </w:rPr>
        <w:footnoteReference w:id="6"/>
      </w:r>
      <w:r w:rsidRPr="00971CEE">
        <w:t xml:space="preserve"> and Sections 0.111, 0.204, 0.311, and 1.80 of the Commission’s rules,</w:t>
      </w:r>
      <w:r w:rsidRPr="00971CEE">
        <w:rPr>
          <w:sz w:val="20"/>
          <w:szCs w:val="22"/>
          <w:vertAlign w:val="superscript"/>
        </w:rPr>
        <w:footnoteReference w:id="7"/>
      </w:r>
      <w:r w:rsidRPr="00971CEE">
        <w:t xml:space="preserve"> Jay Peralta </w:t>
      </w:r>
      <w:r w:rsidRPr="00971CEE">
        <w:rPr>
          <w:b/>
        </w:rPr>
        <w:t xml:space="preserve">IS LIABLE FOR A MONETARY </w:t>
      </w:r>
      <w:r w:rsidRPr="00971CEE">
        <w:rPr>
          <w:b/>
        </w:rPr>
        <w:lastRenderedPageBreak/>
        <w:t>FORFEITURE</w:t>
      </w:r>
      <w:r w:rsidRPr="00971CEE">
        <w:t xml:space="preserve"> in the amount of Four Hundred Four Thousand, One Hundred Sixty-Six Dollars ($404,166) for willfully and repeatedly violating Sections 301, 333 and 325(a) of the Act.</w:t>
      </w:r>
      <w:r w:rsidRPr="00971CEE">
        <w:rPr>
          <w:sz w:val="20"/>
          <w:szCs w:val="22"/>
          <w:vertAlign w:val="superscript"/>
        </w:rPr>
        <w:footnoteReference w:id="8"/>
      </w:r>
      <w:r w:rsidRPr="00971CEE">
        <w:t xml:space="preserve"> </w:t>
      </w:r>
    </w:p>
    <w:p w:rsidR="00971CEE" w:rsidRPr="00971CEE" w:rsidRDefault="00971CEE" w:rsidP="0067694C">
      <w:pPr>
        <w:pStyle w:val="ParaNum"/>
        <w:rPr>
          <w:rFonts w:ascii="TimesNewRoman" w:hAnsi="TimesNewRoman" w:cs="TimesNewRoman"/>
          <w:snapToGrid/>
          <w:kern w:val="0"/>
          <w:szCs w:val="22"/>
        </w:rPr>
      </w:pPr>
      <w:r w:rsidRPr="00971CEE">
        <w:rPr>
          <w:color w:val="000000"/>
          <w:spacing w:val="-2"/>
        </w:rPr>
        <w:t>Payment</w:t>
      </w:r>
      <w:r w:rsidRPr="00971CEE">
        <w:t xml:space="preserve"> of the forfeiture shall be made in the manner provided for in Section 1.80 of the Commission’s rules within thirty (30) calendar days after the release date of this Forfeiture Order.</w:t>
      </w:r>
      <w:r w:rsidRPr="00971CEE">
        <w:rPr>
          <w:sz w:val="20"/>
          <w:szCs w:val="22"/>
          <w:vertAlign w:val="superscript"/>
        </w:rPr>
        <w:footnoteReference w:id="9"/>
      </w:r>
      <w:r w:rsidRPr="00971CEE">
        <w:t xml:space="preserve">  If the forfeiture is not paid within the period specified, the case may be referred to the U.S. Department of Justice for enforcement of the forfeiture pursuant to Section 504(a) of the Act.</w:t>
      </w:r>
      <w:r w:rsidRPr="00971CEE">
        <w:rPr>
          <w:sz w:val="20"/>
          <w:szCs w:val="22"/>
          <w:vertAlign w:val="superscript"/>
        </w:rPr>
        <w:footnoteReference w:id="10"/>
      </w:r>
      <w:r w:rsidRPr="00971CEE">
        <w:t xml:space="preserve">  </w:t>
      </w:r>
    </w:p>
    <w:p w:rsidR="00971CEE" w:rsidRPr="00971CEE" w:rsidRDefault="00971CEE" w:rsidP="0067694C">
      <w:pPr>
        <w:pStyle w:val="ParaNum"/>
        <w:rPr>
          <w:rFonts w:ascii="TimesNewRoman" w:hAnsi="TimesNewRoman" w:cs="TimesNewRoman"/>
          <w:snapToGrid/>
          <w:kern w:val="0"/>
          <w:szCs w:val="22"/>
        </w:rPr>
      </w:pPr>
      <w:r w:rsidRPr="00971CEE">
        <w:rPr>
          <w:color w:val="000000"/>
          <w:spacing w:val="-2"/>
        </w:rPr>
        <w:t>Payment</w:t>
      </w:r>
      <w:r w:rsidRPr="00971CEE">
        <w:t xml:space="preserve"> of the forfeiture must be made by check or similar instrument, or by wire transfer, and must include the NAL/Account Number and FRN referenced above.  Jay Peralta shall send electronic notification of payment to </w:t>
      </w:r>
      <w:hyperlink r:id="rId8" w:history="1">
        <w:r w:rsidRPr="00971CEE">
          <w:rPr>
            <w:color w:val="0000FF"/>
            <w:u w:val="single"/>
          </w:rPr>
          <w:t>NER-Response@fcc.gov</w:t>
        </w:r>
      </w:hyperlink>
      <w:r w:rsidRPr="00971CEE">
        <w:t xml:space="preserve"> on the date said payment is made.  Regardless of the form of payment, a completed FCC Form 159 (Remittance Advice) must be submitted.</w:t>
      </w:r>
      <w:r w:rsidRPr="00971CEE">
        <w:rPr>
          <w:sz w:val="20"/>
          <w:szCs w:val="22"/>
          <w:vertAlign w:val="superscript"/>
        </w:rPr>
        <w:footnoteReference w:id="11"/>
      </w:r>
      <w:r w:rsidRPr="00971CEE">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rsidR="00971CEE" w:rsidRPr="00971CEE" w:rsidRDefault="00971CEE" w:rsidP="00971CEE">
      <w:pPr>
        <w:numPr>
          <w:ilvl w:val="0"/>
          <w:numId w:val="7"/>
        </w:numPr>
        <w:spacing w:after="120"/>
        <w:rPr>
          <w:snapToGrid/>
          <w:szCs w:val="22"/>
        </w:rPr>
      </w:pPr>
      <w:r w:rsidRPr="00971CEE">
        <w:rPr>
          <w:snapToGrid/>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971CEE">
        <w:rPr>
          <w:snapToGrid/>
          <w:szCs w:val="22"/>
        </w:rPr>
        <w:noBreakHyphen/>
        <w:t>MO-C2-GL, 1005 Convention Plaza, St. Louis, MO 63101.</w:t>
      </w:r>
    </w:p>
    <w:p w:rsidR="00971CEE" w:rsidRPr="00971CEE" w:rsidRDefault="00971CEE" w:rsidP="00971CEE">
      <w:pPr>
        <w:numPr>
          <w:ilvl w:val="0"/>
          <w:numId w:val="7"/>
        </w:numPr>
        <w:spacing w:after="120"/>
        <w:rPr>
          <w:snapToGrid/>
          <w:szCs w:val="22"/>
        </w:rPr>
      </w:pPr>
      <w:r w:rsidRPr="00971CEE">
        <w:rPr>
          <w:snapToGrid/>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971CEE" w:rsidRPr="00971CEE" w:rsidRDefault="00971CEE" w:rsidP="0067694C">
      <w:pPr>
        <w:pStyle w:val="ParaNum"/>
      </w:pPr>
      <w:r w:rsidRPr="00971CEE">
        <w:t xml:space="preserve">Any </w:t>
      </w:r>
      <w:r w:rsidRPr="00971CEE">
        <w:rPr>
          <w:color w:val="000000"/>
          <w:spacing w:val="-2"/>
        </w:rPr>
        <w:t>request</w:t>
      </w:r>
      <w:r w:rsidRPr="00971CEE">
        <w:t xml:space="preserve"> for making full payment over time under an installment plan should be sent to:  Chief Financial Officer – Financial Operations, Federal Communications Commission, 445 12th Street, SW, Room 1</w:t>
      </w:r>
      <w:r w:rsidRPr="00971CEE">
        <w:noBreakHyphen/>
        <w:t>A625, Washington, DC 20554.</w:t>
      </w:r>
      <w:r w:rsidRPr="00971CEE">
        <w:rPr>
          <w:sz w:val="20"/>
          <w:szCs w:val="22"/>
          <w:vertAlign w:val="superscript"/>
        </w:rPr>
        <w:footnoteReference w:id="12"/>
      </w:r>
      <w:r w:rsidRPr="00971CEE">
        <w:t xml:space="preserve">  Questions regarding payment procedures should be directed to the Financial Operations Group Help Desk by telephone, 1-877-480-3201, or by e-mail, </w:t>
      </w:r>
      <w:hyperlink r:id="rId9" w:history="1">
        <w:r w:rsidRPr="00971CEE">
          <w:rPr>
            <w:color w:val="0000FF"/>
            <w:u w:val="single"/>
          </w:rPr>
          <w:t>ARINQUIRIES@fcc.gov</w:t>
        </w:r>
      </w:hyperlink>
      <w:r w:rsidRPr="00971CEE">
        <w:t>.</w:t>
      </w:r>
    </w:p>
    <w:p w:rsidR="00971CEE" w:rsidRPr="00971CEE" w:rsidRDefault="00971CEE" w:rsidP="0067694C">
      <w:pPr>
        <w:pStyle w:val="ParaNum"/>
      </w:pPr>
      <w:r w:rsidRPr="00971CEE">
        <w:rPr>
          <w:b/>
        </w:rPr>
        <w:t>IT IS FURTHER ORDERED</w:t>
      </w:r>
      <w:r w:rsidRPr="00971CEE">
        <w:t xml:space="preserve"> that a copy of this Forfeiture Order shall be sent by first class mail and certified </w:t>
      </w:r>
      <w:r w:rsidRPr="00971CEE">
        <w:rPr>
          <w:color w:val="000000"/>
          <w:spacing w:val="-2"/>
        </w:rPr>
        <w:t>mail</w:t>
      </w:r>
      <w:r w:rsidRPr="00971CEE">
        <w:t xml:space="preserve">, return receipt requested, </w:t>
      </w:r>
      <w:r w:rsidRPr="00971CEE">
        <w:rPr>
          <w:szCs w:val="22"/>
        </w:rPr>
        <w:t xml:space="preserve">to Jay Peralta at his address of record.   </w:t>
      </w:r>
    </w:p>
    <w:p w:rsidR="00971CEE" w:rsidRPr="00971CEE" w:rsidRDefault="00971CEE" w:rsidP="00971CEE"/>
    <w:p w:rsidR="00971CEE" w:rsidRPr="00971CEE" w:rsidRDefault="00971CEE" w:rsidP="00971CEE">
      <w:r w:rsidRPr="00971CEE">
        <w:tab/>
      </w:r>
      <w:r w:rsidRPr="00971CEE">
        <w:tab/>
      </w:r>
      <w:r w:rsidRPr="00971CEE">
        <w:tab/>
      </w:r>
      <w:r w:rsidRPr="00971CEE">
        <w:tab/>
      </w:r>
      <w:r w:rsidRPr="00971CEE">
        <w:tab/>
      </w:r>
      <w:r w:rsidRPr="00971CEE">
        <w:tab/>
        <w:t>FEDERAL COMMUNICATIONS COMMISSION</w:t>
      </w:r>
    </w:p>
    <w:p w:rsidR="00971CEE" w:rsidRPr="00971CEE" w:rsidRDefault="00971CEE" w:rsidP="00971CEE"/>
    <w:p w:rsidR="00971CEE" w:rsidRPr="00971CEE" w:rsidRDefault="00971CEE" w:rsidP="00971CEE"/>
    <w:p w:rsidR="00971CEE" w:rsidRPr="00971CEE" w:rsidRDefault="00971CEE" w:rsidP="00971CEE"/>
    <w:p w:rsidR="00971CEE" w:rsidRPr="00971CEE" w:rsidRDefault="00971CEE" w:rsidP="00971CEE"/>
    <w:p w:rsidR="00971CEE" w:rsidRPr="00971CEE" w:rsidRDefault="00971CEE" w:rsidP="00971CEE">
      <w:r w:rsidRPr="00971CEE">
        <w:tab/>
      </w:r>
      <w:r w:rsidRPr="00971CEE">
        <w:tab/>
      </w:r>
      <w:r w:rsidRPr="00971CEE">
        <w:tab/>
      </w:r>
      <w:r w:rsidRPr="00971CEE">
        <w:tab/>
      </w:r>
      <w:r w:rsidRPr="00971CEE">
        <w:tab/>
      </w:r>
      <w:r w:rsidRPr="00971CEE">
        <w:tab/>
        <w:t>Marlene H. Dortch</w:t>
      </w:r>
    </w:p>
    <w:p w:rsidR="00971CEE" w:rsidRPr="00971CEE" w:rsidRDefault="00971CEE" w:rsidP="00971CEE">
      <w:r w:rsidRPr="00971CEE">
        <w:tab/>
      </w:r>
      <w:r w:rsidRPr="00971CEE">
        <w:tab/>
      </w:r>
      <w:r w:rsidRPr="00971CEE">
        <w:tab/>
      </w:r>
      <w:r w:rsidRPr="00971CEE">
        <w:tab/>
      </w:r>
      <w:r w:rsidRPr="00971CEE">
        <w:tab/>
      </w:r>
      <w:r w:rsidRPr="00971CEE">
        <w:tab/>
        <w:t>Secretary</w:t>
      </w:r>
    </w:p>
    <w:p w:rsidR="00971CEE" w:rsidRPr="002C00E8" w:rsidRDefault="00971CEE" w:rsidP="00971CEE"/>
    <w:sectPr w:rsidR="00971CEE"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04" w:rsidRDefault="00AF2F04">
      <w:pPr>
        <w:spacing w:line="20" w:lineRule="exact"/>
      </w:pPr>
    </w:p>
  </w:endnote>
  <w:endnote w:type="continuationSeparator" w:id="0">
    <w:p w:rsidR="00AF2F04" w:rsidRDefault="00AF2F04">
      <w:r>
        <w:t xml:space="preserve"> </w:t>
      </w:r>
    </w:p>
  </w:endnote>
  <w:endnote w:type="continuationNotice" w:id="1">
    <w:p w:rsidR="00AF2F04" w:rsidRDefault="00AF2F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B155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04" w:rsidRDefault="00AF2F04">
      <w:r>
        <w:separator/>
      </w:r>
    </w:p>
  </w:footnote>
  <w:footnote w:type="continuationSeparator" w:id="0">
    <w:p w:rsidR="00AF2F04" w:rsidRDefault="00AF2F04" w:rsidP="00C721AC">
      <w:pPr>
        <w:spacing w:before="120"/>
        <w:rPr>
          <w:sz w:val="20"/>
        </w:rPr>
      </w:pPr>
      <w:r>
        <w:rPr>
          <w:sz w:val="20"/>
        </w:rPr>
        <w:t xml:space="preserve">(Continued from previous page)  </w:t>
      </w:r>
      <w:r>
        <w:rPr>
          <w:sz w:val="20"/>
        </w:rPr>
        <w:separator/>
      </w:r>
    </w:p>
  </w:footnote>
  <w:footnote w:type="continuationNotice" w:id="1">
    <w:p w:rsidR="00AF2F04" w:rsidRDefault="00AF2F04" w:rsidP="00C721AC">
      <w:pPr>
        <w:jc w:val="right"/>
        <w:rPr>
          <w:sz w:val="20"/>
        </w:rPr>
      </w:pPr>
      <w:r>
        <w:rPr>
          <w:sz w:val="20"/>
        </w:rPr>
        <w:t>(continued….)</w:t>
      </w:r>
    </w:p>
  </w:footnote>
  <w:footnote w:id="2">
    <w:p w:rsidR="00971CEE" w:rsidRPr="008154E5" w:rsidRDefault="00971CEE" w:rsidP="00971CEE">
      <w:pPr>
        <w:pStyle w:val="FootnoteText"/>
      </w:pPr>
      <w:r>
        <w:rPr>
          <w:rStyle w:val="FootnoteReference"/>
        </w:rPr>
        <w:footnoteRef/>
      </w:r>
      <w:r>
        <w:t xml:space="preserve"> The </w:t>
      </w:r>
      <w:r>
        <w:rPr>
          <w:i/>
        </w:rPr>
        <w:t xml:space="preserve">NAL </w:t>
      </w:r>
      <w:r>
        <w:t xml:space="preserve">includes a more complete discussion of the facts and history of this case and is incorporated herein by reference.  </w:t>
      </w:r>
      <w:r>
        <w:rPr>
          <w:i/>
        </w:rPr>
        <w:t>Jay Peralta</w:t>
      </w:r>
      <w:r>
        <w:t>, Notice of Apparent Liability for Forfeiture, 32 FCC Rcd 3246, 3246-47, paras. 2-4 (2017).</w:t>
      </w:r>
    </w:p>
  </w:footnote>
  <w:footnote w:id="3">
    <w:p w:rsidR="00971CEE" w:rsidRDefault="00971CEE" w:rsidP="00971CEE">
      <w:pPr>
        <w:pStyle w:val="FootnoteText"/>
      </w:pPr>
      <w:r>
        <w:rPr>
          <w:rStyle w:val="FootnoteReference"/>
        </w:rPr>
        <w:footnoteRef/>
      </w:r>
      <w:r>
        <w:t xml:space="preserve"> 47 U.S.C. § 301.</w:t>
      </w:r>
    </w:p>
  </w:footnote>
  <w:footnote w:id="4">
    <w:p w:rsidR="00971CEE" w:rsidRDefault="00971CEE" w:rsidP="00971CEE">
      <w:pPr>
        <w:pStyle w:val="FootnoteText"/>
      </w:pPr>
      <w:r>
        <w:rPr>
          <w:rStyle w:val="FootnoteReference"/>
        </w:rPr>
        <w:footnoteRef/>
      </w:r>
      <w:r>
        <w:t xml:space="preserve"> 47 U.S.C. § 333.</w:t>
      </w:r>
    </w:p>
  </w:footnote>
  <w:footnote w:id="5">
    <w:p w:rsidR="00971CEE" w:rsidRDefault="00971CEE" w:rsidP="00971CEE">
      <w:pPr>
        <w:pStyle w:val="FootnoteText"/>
      </w:pPr>
      <w:r>
        <w:rPr>
          <w:rStyle w:val="FootnoteReference"/>
        </w:rPr>
        <w:footnoteRef/>
      </w:r>
      <w:r>
        <w:t xml:space="preserve"> 47 U.S.C. § 325(a).</w:t>
      </w:r>
    </w:p>
  </w:footnote>
  <w:footnote w:id="6">
    <w:p w:rsidR="00971CEE" w:rsidRPr="00344C0B" w:rsidRDefault="00971CEE" w:rsidP="00971CEE">
      <w:pPr>
        <w:pStyle w:val="FootnoteText"/>
      </w:pPr>
      <w:r w:rsidRPr="00344C0B">
        <w:rPr>
          <w:rStyle w:val="FootnoteReference"/>
        </w:rPr>
        <w:footnoteRef/>
      </w:r>
      <w:r w:rsidRPr="00344C0B">
        <w:t xml:space="preserve"> 47 U.S.C. § 503(b).</w:t>
      </w:r>
    </w:p>
  </w:footnote>
  <w:footnote w:id="7">
    <w:p w:rsidR="00971CEE" w:rsidRDefault="00971CEE" w:rsidP="00971CEE">
      <w:pPr>
        <w:pStyle w:val="FootnoteText"/>
      </w:pPr>
      <w:r>
        <w:rPr>
          <w:rStyle w:val="FootnoteReference"/>
        </w:rPr>
        <w:footnoteRef/>
      </w:r>
      <w:r>
        <w:t xml:space="preserve"> 47 CFR </w:t>
      </w:r>
      <w:r w:rsidRPr="00344C0B">
        <w:t>§§</w:t>
      </w:r>
      <w:r>
        <w:t xml:space="preserve"> 0.111, 0.204, 0.311, 1.80. </w:t>
      </w:r>
    </w:p>
  </w:footnote>
  <w:footnote w:id="8">
    <w:p w:rsidR="00971CEE" w:rsidRDefault="00971CEE" w:rsidP="00971CEE">
      <w:pPr>
        <w:pStyle w:val="FootnoteText"/>
      </w:pPr>
      <w:r>
        <w:rPr>
          <w:rStyle w:val="FootnoteReference"/>
        </w:rPr>
        <w:footnoteRef/>
      </w:r>
      <w:r>
        <w:t xml:space="preserve"> </w:t>
      </w:r>
      <w:r w:rsidRPr="00344C0B">
        <w:t xml:space="preserve">47 U.S.C. </w:t>
      </w:r>
      <w:r>
        <w:t>§</w:t>
      </w:r>
      <w:r w:rsidRPr="00344C0B">
        <w:t xml:space="preserve">§ </w:t>
      </w:r>
      <w:r>
        <w:t xml:space="preserve">301, 333, 325(a).   </w:t>
      </w:r>
    </w:p>
  </w:footnote>
  <w:footnote w:id="9">
    <w:p w:rsidR="00971CEE" w:rsidRPr="007D40D2" w:rsidRDefault="00971CEE" w:rsidP="00971CEE">
      <w:pPr>
        <w:pStyle w:val="FootnoteText"/>
      </w:pPr>
      <w:r w:rsidRPr="00344C0B">
        <w:rPr>
          <w:rStyle w:val="FootnoteReference"/>
        </w:rPr>
        <w:footnoteRef/>
      </w:r>
      <w:r w:rsidRPr="00344C0B">
        <w:t xml:space="preserve"> 47 CFR § 1.80.</w:t>
      </w:r>
    </w:p>
  </w:footnote>
  <w:footnote w:id="10">
    <w:p w:rsidR="00971CEE" w:rsidRPr="00344C0B" w:rsidRDefault="00971CEE" w:rsidP="00971CEE">
      <w:pPr>
        <w:pStyle w:val="FootnoteText"/>
      </w:pPr>
      <w:r w:rsidRPr="00344C0B">
        <w:rPr>
          <w:rStyle w:val="FootnoteReference"/>
        </w:rPr>
        <w:footnoteRef/>
      </w:r>
      <w:r w:rsidRPr="00344C0B">
        <w:t xml:space="preserve"> 47 U.S.C. § 504(a).</w:t>
      </w:r>
    </w:p>
  </w:footnote>
  <w:footnote w:id="11">
    <w:p w:rsidR="00971CEE" w:rsidRPr="00344C0B" w:rsidRDefault="00971CEE" w:rsidP="00971CEE">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hyperlink r:id="rId1" w:history="1">
        <w:r w:rsidRPr="00D2402E">
          <w:rPr>
            <w:rStyle w:val="Hyperlink"/>
          </w:rPr>
          <w:t>http://www.fcc.gov/Forms/Form159/159.pdf</w:t>
        </w:r>
      </w:hyperlink>
      <w:r w:rsidRPr="00344C0B">
        <w:rPr>
          <w:rStyle w:val="FootnoteTextChar2"/>
        </w:rPr>
        <w:t>.</w:t>
      </w:r>
    </w:p>
  </w:footnote>
  <w:footnote w:id="12">
    <w:p w:rsidR="00971CEE" w:rsidRPr="0030738C" w:rsidRDefault="00971CEE" w:rsidP="00971CEE">
      <w:pPr>
        <w:pStyle w:val="FootnoteText"/>
      </w:pPr>
      <w:r w:rsidRPr="00344C0B">
        <w:rPr>
          <w:rStyle w:val="FootnoteReference"/>
        </w:rPr>
        <w:footnoteRef/>
      </w:r>
      <w:r w:rsidRPr="00344C0B">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D6" w:rsidRDefault="00421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71CEE">
      <w:t>FCC 17-130</w:t>
    </w:r>
  </w:p>
  <w:p w:rsidR="00D25FB5" w:rsidRDefault="00AB155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B155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71CEE">
      <w:rPr>
        <w:spacing w:val="-2"/>
      </w:rPr>
      <w:t>FCC 17-130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CEE"/>
    <w:rsid w:val="00036039"/>
    <w:rsid w:val="00037F90"/>
    <w:rsid w:val="000875BF"/>
    <w:rsid w:val="00096D8C"/>
    <w:rsid w:val="000C0B65"/>
    <w:rsid w:val="000E05FE"/>
    <w:rsid w:val="000E3D42"/>
    <w:rsid w:val="00122BD5"/>
    <w:rsid w:val="00133F79"/>
    <w:rsid w:val="00194912"/>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1DD6"/>
    <w:rsid w:val="00422276"/>
    <w:rsid w:val="004242F1"/>
    <w:rsid w:val="00445A00"/>
    <w:rsid w:val="00451B0F"/>
    <w:rsid w:val="004C2EE3"/>
    <w:rsid w:val="004E4A22"/>
    <w:rsid w:val="00511968"/>
    <w:rsid w:val="0055614C"/>
    <w:rsid w:val="005E14C2"/>
    <w:rsid w:val="00607BA5"/>
    <w:rsid w:val="0061180A"/>
    <w:rsid w:val="00626EB6"/>
    <w:rsid w:val="00655D03"/>
    <w:rsid w:val="0067694C"/>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20D3"/>
    <w:rsid w:val="00971CEE"/>
    <w:rsid w:val="009726D8"/>
    <w:rsid w:val="009F76DB"/>
    <w:rsid w:val="00A32C3B"/>
    <w:rsid w:val="00A45F4F"/>
    <w:rsid w:val="00A600A9"/>
    <w:rsid w:val="00AA55B7"/>
    <w:rsid w:val="00AA5B9E"/>
    <w:rsid w:val="00AB1551"/>
    <w:rsid w:val="00AB2407"/>
    <w:rsid w:val="00AB53DF"/>
    <w:rsid w:val="00AF2F0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551"/>
    <w:pPr>
      <w:widowControl w:val="0"/>
    </w:pPr>
    <w:rPr>
      <w:snapToGrid w:val="0"/>
      <w:kern w:val="28"/>
      <w:sz w:val="22"/>
    </w:rPr>
  </w:style>
  <w:style w:type="paragraph" w:styleId="Heading1">
    <w:name w:val="heading 1"/>
    <w:basedOn w:val="Normal"/>
    <w:next w:val="ParaNum"/>
    <w:qFormat/>
    <w:rsid w:val="00AB155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1551"/>
    <w:pPr>
      <w:keepNext/>
      <w:numPr>
        <w:ilvl w:val="1"/>
        <w:numId w:val="3"/>
      </w:numPr>
      <w:spacing w:after="120"/>
      <w:outlineLvl w:val="1"/>
    </w:pPr>
    <w:rPr>
      <w:b/>
    </w:rPr>
  </w:style>
  <w:style w:type="paragraph" w:styleId="Heading3">
    <w:name w:val="heading 3"/>
    <w:basedOn w:val="Normal"/>
    <w:next w:val="ParaNum"/>
    <w:qFormat/>
    <w:rsid w:val="00AB1551"/>
    <w:pPr>
      <w:keepNext/>
      <w:numPr>
        <w:ilvl w:val="2"/>
        <w:numId w:val="3"/>
      </w:numPr>
      <w:tabs>
        <w:tab w:val="left" w:pos="2160"/>
      </w:tabs>
      <w:spacing w:after="120"/>
      <w:outlineLvl w:val="2"/>
    </w:pPr>
    <w:rPr>
      <w:b/>
    </w:rPr>
  </w:style>
  <w:style w:type="paragraph" w:styleId="Heading4">
    <w:name w:val="heading 4"/>
    <w:basedOn w:val="Normal"/>
    <w:next w:val="ParaNum"/>
    <w:qFormat/>
    <w:rsid w:val="00AB1551"/>
    <w:pPr>
      <w:keepNext/>
      <w:numPr>
        <w:ilvl w:val="3"/>
        <w:numId w:val="3"/>
      </w:numPr>
      <w:tabs>
        <w:tab w:val="left" w:pos="2880"/>
      </w:tabs>
      <w:spacing w:after="120"/>
      <w:outlineLvl w:val="3"/>
    </w:pPr>
    <w:rPr>
      <w:b/>
    </w:rPr>
  </w:style>
  <w:style w:type="paragraph" w:styleId="Heading5">
    <w:name w:val="heading 5"/>
    <w:basedOn w:val="Normal"/>
    <w:next w:val="ParaNum"/>
    <w:qFormat/>
    <w:rsid w:val="00AB155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B1551"/>
    <w:pPr>
      <w:numPr>
        <w:ilvl w:val="5"/>
        <w:numId w:val="3"/>
      </w:numPr>
      <w:tabs>
        <w:tab w:val="left" w:pos="4320"/>
      </w:tabs>
      <w:spacing w:after="120"/>
      <w:outlineLvl w:val="5"/>
    </w:pPr>
    <w:rPr>
      <w:b/>
    </w:rPr>
  </w:style>
  <w:style w:type="paragraph" w:styleId="Heading7">
    <w:name w:val="heading 7"/>
    <w:basedOn w:val="Normal"/>
    <w:next w:val="ParaNum"/>
    <w:qFormat/>
    <w:rsid w:val="00AB155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155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B155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B15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551"/>
  </w:style>
  <w:style w:type="paragraph" w:customStyle="1" w:styleId="ParaNum">
    <w:name w:val="ParaNum"/>
    <w:basedOn w:val="Normal"/>
    <w:rsid w:val="00AB1551"/>
    <w:pPr>
      <w:numPr>
        <w:numId w:val="2"/>
      </w:numPr>
      <w:tabs>
        <w:tab w:val="clear" w:pos="1080"/>
        <w:tab w:val="num" w:pos="1440"/>
      </w:tabs>
      <w:spacing w:after="120"/>
    </w:pPr>
  </w:style>
  <w:style w:type="paragraph" w:styleId="EndnoteText">
    <w:name w:val="endnote text"/>
    <w:basedOn w:val="Normal"/>
    <w:semiHidden/>
    <w:rsid w:val="00AB1551"/>
    <w:rPr>
      <w:sz w:val="20"/>
    </w:rPr>
  </w:style>
  <w:style w:type="character" w:styleId="EndnoteReference">
    <w:name w:val="endnote reference"/>
    <w:semiHidden/>
    <w:rsid w:val="00AB1551"/>
    <w:rPr>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AB1551"/>
    <w:pPr>
      <w:spacing w:after="120"/>
    </w:pPr>
  </w:style>
  <w:style w:type="character" w:styleId="FootnoteReference">
    <w:name w:val="footnote reference"/>
    <w:aliases w:val="Style 12,(NECG) Footnote Reference,Appel note de bas de p,Style 124,Style 4,Style 13,o,fr,Style 3,FR,Style 17,Style 6,Footnote Reference/"/>
    <w:rsid w:val="00AB1551"/>
    <w:rPr>
      <w:rFonts w:ascii="Times New Roman" w:hAnsi="Times New Roman"/>
      <w:dstrike w:val="0"/>
      <w:color w:val="auto"/>
      <w:sz w:val="20"/>
      <w:vertAlign w:val="superscript"/>
    </w:rPr>
  </w:style>
  <w:style w:type="paragraph" w:styleId="TOC1">
    <w:name w:val="toc 1"/>
    <w:basedOn w:val="Normal"/>
    <w:next w:val="Normal"/>
    <w:semiHidden/>
    <w:rsid w:val="00AB155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1551"/>
    <w:pPr>
      <w:tabs>
        <w:tab w:val="left" w:pos="720"/>
        <w:tab w:val="right" w:leader="dot" w:pos="9360"/>
      </w:tabs>
      <w:suppressAutoHyphens/>
      <w:ind w:left="720" w:right="720" w:hanging="360"/>
    </w:pPr>
    <w:rPr>
      <w:noProof/>
    </w:rPr>
  </w:style>
  <w:style w:type="paragraph" w:styleId="TOC3">
    <w:name w:val="toc 3"/>
    <w:basedOn w:val="Normal"/>
    <w:next w:val="Normal"/>
    <w:semiHidden/>
    <w:rsid w:val="00AB155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155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155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155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155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155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155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1551"/>
    <w:pPr>
      <w:tabs>
        <w:tab w:val="right" w:pos="9360"/>
      </w:tabs>
      <w:suppressAutoHyphens/>
    </w:pPr>
  </w:style>
  <w:style w:type="character" w:customStyle="1" w:styleId="EquationCaption">
    <w:name w:val="_Equation Caption"/>
    <w:rsid w:val="00AB1551"/>
  </w:style>
  <w:style w:type="paragraph" w:styleId="Header">
    <w:name w:val="header"/>
    <w:basedOn w:val="Normal"/>
    <w:autoRedefine/>
    <w:rsid w:val="00AB1551"/>
    <w:pPr>
      <w:tabs>
        <w:tab w:val="center" w:pos="4680"/>
        <w:tab w:val="right" w:pos="9360"/>
      </w:tabs>
    </w:pPr>
    <w:rPr>
      <w:b/>
    </w:rPr>
  </w:style>
  <w:style w:type="paragraph" w:styleId="Footer">
    <w:name w:val="footer"/>
    <w:basedOn w:val="Normal"/>
    <w:rsid w:val="00AB1551"/>
    <w:pPr>
      <w:tabs>
        <w:tab w:val="center" w:pos="4320"/>
        <w:tab w:val="right" w:pos="8640"/>
      </w:tabs>
    </w:pPr>
  </w:style>
  <w:style w:type="character" w:styleId="PageNumber">
    <w:name w:val="page number"/>
    <w:basedOn w:val="DefaultParagraphFont"/>
    <w:rsid w:val="00AB1551"/>
  </w:style>
  <w:style w:type="paragraph" w:styleId="BlockText">
    <w:name w:val="Block Text"/>
    <w:basedOn w:val="Normal"/>
    <w:rsid w:val="00AB1551"/>
    <w:pPr>
      <w:spacing w:after="240"/>
      <w:ind w:left="1440" w:right="1440"/>
    </w:pPr>
  </w:style>
  <w:style w:type="paragraph" w:customStyle="1" w:styleId="Paratitle">
    <w:name w:val="Para title"/>
    <w:basedOn w:val="Normal"/>
    <w:rsid w:val="00AB1551"/>
    <w:pPr>
      <w:tabs>
        <w:tab w:val="center" w:pos="9270"/>
      </w:tabs>
      <w:spacing w:after="240"/>
    </w:pPr>
    <w:rPr>
      <w:spacing w:val="-2"/>
    </w:rPr>
  </w:style>
  <w:style w:type="paragraph" w:customStyle="1" w:styleId="Bullet">
    <w:name w:val="Bullet"/>
    <w:basedOn w:val="Normal"/>
    <w:rsid w:val="00AB1551"/>
    <w:pPr>
      <w:tabs>
        <w:tab w:val="left" w:pos="2160"/>
      </w:tabs>
      <w:spacing w:after="220"/>
      <w:ind w:left="2160" w:hanging="720"/>
    </w:pPr>
  </w:style>
  <w:style w:type="paragraph" w:customStyle="1" w:styleId="TableFormat">
    <w:name w:val="TableFormat"/>
    <w:basedOn w:val="Bullet"/>
    <w:rsid w:val="00AB1551"/>
    <w:pPr>
      <w:tabs>
        <w:tab w:val="clear" w:pos="2160"/>
        <w:tab w:val="left" w:pos="5040"/>
      </w:tabs>
      <w:ind w:left="5040" w:hanging="3600"/>
    </w:pPr>
  </w:style>
  <w:style w:type="paragraph" w:customStyle="1" w:styleId="TOCTitle">
    <w:name w:val="TOC Title"/>
    <w:basedOn w:val="Normal"/>
    <w:rsid w:val="00AB155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1551"/>
    <w:pPr>
      <w:jc w:val="center"/>
    </w:pPr>
    <w:rPr>
      <w:rFonts w:ascii="Times New Roman Bold" w:hAnsi="Times New Roman Bold"/>
      <w:b/>
      <w:bCs/>
      <w:caps/>
      <w:szCs w:val="22"/>
    </w:rPr>
  </w:style>
  <w:style w:type="character" w:styleId="Hyperlink">
    <w:name w:val="Hyperlink"/>
    <w:rsid w:val="00AB1551"/>
    <w:rPr>
      <w:color w:val="0000FF"/>
      <w:u w:val="single"/>
    </w:rPr>
  </w:style>
  <w:style w:type="character" w:customStyle="1" w:styleId="FootnoteTextChar2">
    <w:name w:val="Footnote Text Char2"/>
    <w:aliases w:val="rrfootnote Char,Footnote Text Char1 Char1,Footnote Text Char Char Char1,rrfootnote Char Char Char,rrfootnote Char1 Char,Footnote Text Char Char1,Footnote Text Char1 Char Char,Footnote Text Char Char Char Char,f Char"/>
    <w:link w:val="FootnoteText"/>
    <w:rsid w:val="00971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QUIRIES@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704</Words>
  <Characters>3774</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2017-10-11T13:49:00Z</dcterms:created>
  <dcterms:modified xsi:type="dcterms:W3CDTF">2017-10-11T13:49:00Z</dcterms:modified>
  <cp:category> </cp:category>
  <cp:contentStatus> </cp:contentStatus>
</cp:coreProperties>
</file>