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D5B8" w14:textId="7040C26C" w:rsidR="00B235B3" w:rsidRDefault="00B235B3" w:rsidP="00956BBC">
      <w:pPr>
        <w:jc w:val="center"/>
        <w:rPr>
          <w:b/>
          <w:bCs/>
          <w:caps/>
          <w:szCs w:val="22"/>
        </w:rPr>
      </w:pPr>
      <w:bookmarkStart w:id="0" w:name="_GoBack"/>
      <w:bookmarkEnd w:id="0"/>
      <w:r>
        <w:rPr>
          <w:b/>
          <w:bCs/>
          <w:caps/>
          <w:szCs w:val="22"/>
        </w:rPr>
        <w:t>Statement of</w:t>
      </w:r>
      <w:r w:rsidR="00C33DBC">
        <w:rPr>
          <w:b/>
          <w:bCs/>
          <w:caps/>
          <w:szCs w:val="22"/>
        </w:rPr>
        <w:br/>
      </w:r>
      <w:r>
        <w:rPr>
          <w:b/>
          <w:bCs/>
          <w:caps/>
          <w:szCs w:val="22"/>
        </w:rPr>
        <w:t>Chairman AJIT PAI</w:t>
      </w:r>
    </w:p>
    <w:p w14:paraId="256EBB02" w14:textId="77777777" w:rsidR="00956BBC" w:rsidRDefault="00956BBC" w:rsidP="00956BBC">
      <w:pPr>
        <w:jc w:val="center"/>
        <w:rPr>
          <w:b/>
          <w:bCs/>
          <w:caps/>
          <w:szCs w:val="22"/>
        </w:rPr>
      </w:pPr>
    </w:p>
    <w:p w14:paraId="3712096B" w14:textId="77777777" w:rsidR="00956BBC" w:rsidRPr="00494CF5" w:rsidRDefault="00956BBC" w:rsidP="00956BBC">
      <w:pPr>
        <w:ind w:left="720" w:hanging="720"/>
      </w:pPr>
      <w:r w:rsidRPr="00494CF5">
        <w:rPr>
          <w:lang w:val="en"/>
        </w:rPr>
        <w:t>Re:</w:t>
      </w:r>
      <w:r w:rsidRPr="00494CF5">
        <w:rPr>
          <w:b/>
          <w:i/>
          <w:lang w:val="en"/>
        </w:rPr>
        <w:t xml:space="preserve">  </w:t>
      </w:r>
      <w:r w:rsidRPr="00494CF5">
        <w:rPr>
          <w:b/>
          <w:i/>
          <w:lang w:val="en"/>
        </w:rPr>
        <w:tab/>
      </w:r>
      <w:r w:rsidRPr="00494CF5">
        <w:rPr>
          <w:i/>
        </w:rPr>
        <w:t xml:space="preserve">Use of Spectrum Bands Above 24 GHz for Mobile Radio Services, </w:t>
      </w:r>
      <w:r w:rsidRPr="00494CF5">
        <w:t>GN Docket No. 14- 177</w:t>
      </w:r>
      <w:r w:rsidRPr="00494CF5">
        <w:rPr>
          <w:i/>
        </w:rPr>
        <w:t>; Establishing a More Flexible Framework to Facilitate Satellite Operations in the 27.5-28.35 GHz and 37.5-40 GHz Bands</w:t>
      </w:r>
      <w:r w:rsidRPr="00494CF5">
        <w:t>, IB Docket No. 15-256</w:t>
      </w:r>
      <w:r w:rsidRPr="00494CF5">
        <w:rPr>
          <w:i/>
        </w:rPr>
        <w:t xml:space="preserve">; Petition for Rulemaking of the Fixed Wireless Communications Coalition to Create Service Rules for the 42-43.5 GHz Band, </w:t>
      </w:r>
      <w:r w:rsidRPr="00494CF5">
        <w:t>RM-11664</w:t>
      </w:r>
      <w:r w:rsidRPr="00494CF5">
        <w:rPr>
          <w:i/>
        </w:rPr>
        <w:t xml:space="preserve">; Amendment of Parts 1, 22, 24, 27, 74, 80, 90, 95, and 101 to Establish Uniform License Renewal, Discontinuance of Operation, and Geographic Partitioning and Spectrum Disaggregation Rules and Policies for Certain Wireless Radio Services, </w:t>
      </w:r>
      <w:r w:rsidRPr="00494CF5">
        <w:t>WT Docket No. 10-112</w:t>
      </w:r>
      <w:r w:rsidRPr="00494CF5">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494CF5">
        <w:t>IB Docket No. 97-95</w:t>
      </w:r>
    </w:p>
    <w:p w14:paraId="4A002E27" w14:textId="77777777" w:rsidR="00956BBC" w:rsidRDefault="00956BBC" w:rsidP="00956BBC">
      <w:pPr>
        <w:ind w:firstLine="720"/>
      </w:pPr>
    </w:p>
    <w:p w14:paraId="00E9EAD8" w14:textId="19E18981" w:rsidR="007E2DA7" w:rsidRDefault="008F7184" w:rsidP="00956BBC">
      <w:pPr>
        <w:ind w:firstLine="720"/>
      </w:pPr>
      <w:r>
        <w:t>I</w:t>
      </w:r>
      <w:r w:rsidR="007E2DA7">
        <w:t>’ve long</w:t>
      </w:r>
      <w:r>
        <w:t xml:space="preserve"> </w:t>
      </w:r>
      <w:r w:rsidR="007E2DA7">
        <w:t xml:space="preserve">been </w:t>
      </w:r>
      <w:r>
        <w:t xml:space="preserve">struck by the insight from Benedict Evans </w:t>
      </w:r>
      <w:r w:rsidR="00835622">
        <w:t xml:space="preserve">of </w:t>
      </w:r>
      <w:r w:rsidR="00E067A8">
        <w:t>Andreessen Horowitz</w:t>
      </w:r>
      <w:r w:rsidR="00835622" w:rsidRPr="00835622">
        <w:t xml:space="preserve"> </w:t>
      </w:r>
      <w:r>
        <w:t>that “mobile is eating the world.”</w:t>
      </w:r>
      <w:r w:rsidR="00A75BB8">
        <w:rPr>
          <w:rStyle w:val="FootnoteReference"/>
        </w:rPr>
        <w:footnoteReference w:id="1"/>
      </w:r>
      <w:r>
        <w:t xml:space="preserve">  </w:t>
      </w:r>
      <w:r w:rsidR="007E2DA7">
        <w:t xml:space="preserve">As he’s pointed out, mobile subscriptions have quickly </w:t>
      </w:r>
      <w:r w:rsidR="00A00F18">
        <w:t xml:space="preserve">grown </w:t>
      </w:r>
      <w:r w:rsidR="007E2DA7">
        <w:t xml:space="preserve">from a small fraction of the world’s </w:t>
      </w:r>
      <w:r w:rsidR="00A00F18">
        <w:t xml:space="preserve">adult </w:t>
      </w:r>
      <w:r w:rsidR="007E2DA7">
        <w:t xml:space="preserve">population to </w:t>
      </w:r>
      <w:r w:rsidR="00A00F18">
        <w:t xml:space="preserve">virtually </w:t>
      </w:r>
      <w:r w:rsidR="007E2DA7">
        <w:t xml:space="preserve">matching that population—leaving PCs in the </w:t>
      </w:r>
      <w:r w:rsidR="00A00F18">
        <w:t>far distance</w:t>
      </w:r>
      <w:r w:rsidR="007E2DA7">
        <w:t xml:space="preserve">. </w:t>
      </w:r>
      <w:r w:rsidR="00A00F18">
        <w:t xml:space="preserve"> </w:t>
      </w:r>
      <w:r w:rsidR="007E2DA7">
        <w:t xml:space="preserve">Smartphones have only accelerated that </w:t>
      </w:r>
      <w:r w:rsidR="00A00F18">
        <w:t>trend</w:t>
      </w:r>
      <w:r w:rsidR="007E2DA7">
        <w:t xml:space="preserve">, with over 2.5 billion </w:t>
      </w:r>
      <w:r w:rsidR="00A00F18">
        <w:t xml:space="preserve">now </w:t>
      </w:r>
      <w:r w:rsidR="007E2DA7">
        <w:t xml:space="preserve">in use.  As a result, the fundamental questions in </w:t>
      </w:r>
      <w:r w:rsidR="00A00F18">
        <w:t xml:space="preserve">wireless </w:t>
      </w:r>
      <w:r w:rsidR="007E2DA7">
        <w:t xml:space="preserve">have changed: </w:t>
      </w:r>
      <w:r w:rsidR="00C33DBC">
        <w:t xml:space="preserve"> I</w:t>
      </w:r>
      <w:r w:rsidR="007E2DA7">
        <w:t>nstead of debating over things like platform standards, we now contemplate what breakthroughs</w:t>
      </w:r>
      <w:r w:rsidR="00CD154A">
        <w:t xml:space="preserve">—the Internet of Things, machine learning, and the like—could take advantage of </w:t>
      </w:r>
      <w:r w:rsidR="007E2DA7">
        <w:t>tomorrow’s wireless networks.</w:t>
      </w:r>
    </w:p>
    <w:p w14:paraId="240907C8" w14:textId="77777777" w:rsidR="00956BBC" w:rsidRDefault="00956BBC" w:rsidP="00956BBC">
      <w:pPr>
        <w:ind w:firstLine="720"/>
      </w:pPr>
    </w:p>
    <w:p w14:paraId="04BA0D66" w14:textId="52000B00" w:rsidR="002252DA" w:rsidRDefault="007E2DA7" w:rsidP="00956BBC">
      <w:pPr>
        <w:ind w:firstLine="720"/>
      </w:pPr>
      <w:r>
        <w:t xml:space="preserve">That’s where the FCC comes in.  Those </w:t>
      </w:r>
      <w:r w:rsidR="00A00F18">
        <w:t xml:space="preserve">future </w:t>
      </w:r>
      <w:r>
        <w:t>networks</w:t>
      </w:r>
      <w:r w:rsidR="007467A0">
        <w:t xml:space="preserve"> will</w:t>
      </w:r>
      <w:r>
        <w:t xml:space="preserve"> use spectrum in ways unimaginable a generation ago.  </w:t>
      </w:r>
      <w:r w:rsidR="00CD154A">
        <w:t>And their architecture will be different, too, going from a few massive cell towers</w:t>
      </w:r>
      <w:r>
        <w:t xml:space="preserve"> </w:t>
      </w:r>
      <w:r w:rsidR="00CD154A">
        <w:t xml:space="preserve">to thousands of small cells, operating at lower power.  Each of those factors counsels in favor of forward-thinking spectrum policy.  We need to introduce more </w:t>
      </w:r>
      <w:r w:rsidR="00CA045F">
        <w:t>low</w:t>
      </w:r>
      <w:r w:rsidR="00CD154A">
        <w:t>-</w:t>
      </w:r>
      <w:r w:rsidR="00CA045F">
        <w:t>, mid</w:t>
      </w:r>
      <w:r w:rsidR="00CD154A">
        <w:t>-</w:t>
      </w:r>
      <w:r w:rsidR="00CA045F">
        <w:t>, and high</w:t>
      </w:r>
      <w:r w:rsidR="00CD154A">
        <w:t>-</w:t>
      </w:r>
      <w:r w:rsidR="00CA045F">
        <w:t xml:space="preserve">band spectrum </w:t>
      </w:r>
      <w:r w:rsidR="0063545F">
        <w:t xml:space="preserve">into the marketplace.  </w:t>
      </w:r>
      <w:r w:rsidR="00CD154A">
        <w:t xml:space="preserve">We need to include </w:t>
      </w:r>
      <w:r w:rsidR="00CA045F">
        <w:t>a mix of licensed</w:t>
      </w:r>
      <w:r w:rsidR="00CD154A">
        <w:t xml:space="preserve"> and</w:t>
      </w:r>
      <w:r w:rsidR="00CA045F">
        <w:t xml:space="preserve"> unlicensed</w:t>
      </w:r>
      <w:r w:rsidR="00CD154A">
        <w:t>, and terrestrial</w:t>
      </w:r>
      <w:r w:rsidR="00CA045F">
        <w:t xml:space="preserve"> and satellite spectrum.  </w:t>
      </w:r>
      <w:r w:rsidR="0063545F">
        <w:t>And</w:t>
      </w:r>
      <w:r w:rsidR="00CD154A">
        <w:t xml:space="preserve"> we need to encourage flexible use as we enter the </w:t>
      </w:r>
      <w:r w:rsidR="00CA045F">
        <w:t>5G</w:t>
      </w:r>
      <w:r w:rsidR="00CD154A">
        <w:t xml:space="preserve"> future</w:t>
      </w:r>
      <w:r w:rsidR="00CA045F">
        <w:t xml:space="preserve">. </w:t>
      </w:r>
      <w:r w:rsidR="00180859">
        <w:t xml:space="preserve"> (Infrastructure policy, of course, is another vital part of the equation.)</w:t>
      </w:r>
    </w:p>
    <w:p w14:paraId="097C4526" w14:textId="77777777" w:rsidR="00956BBC" w:rsidRDefault="00956BBC" w:rsidP="00956BBC">
      <w:pPr>
        <w:ind w:firstLine="720"/>
      </w:pPr>
    </w:p>
    <w:p w14:paraId="40C85096" w14:textId="619CD58B" w:rsidR="00772A91" w:rsidRDefault="00180859" w:rsidP="00956BBC">
      <w:pPr>
        <w:ind w:firstLine="720"/>
      </w:pPr>
      <w:r>
        <w:t xml:space="preserve">This Spectrum Frontiers </w:t>
      </w:r>
      <w:r w:rsidR="00CD154A">
        <w:t xml:space="preserve">decision reflects these goals, and in so doing, </w:t>
      </w:r>
      <w:r w:rsidR="004437AD">
        <w:t xml:space="preserve">further </w:t>
      </w:r>
      <w:r w:rsidR="00CD154A">
        <w:t>establishes American leadership in 5G.  W</w:t>
      </w:r>
      <w:r w:rsidR="00B7052F">
        <w:t xml:space="preserve">e </w:t>
      </w:r>
      <w:r w:rsidR="00CD154A">
        <w:t xml:space="preserve">encourage satellite entrepreneurship by preserving a </w:t>
      </w:r>
      <w:r w:rsidR="009A7CCD">
        <w:t>four</w:t>
      </w:r>
      <w:r w:rsidR="00CD154A">
        <w:t>-</w:t>
      </w:r>
      <w:r w:rsidR="009A7CCD">
        <w:t xml:space="preserve">gigahertz </w:t>
      </w:r>
      <w:r w:rsidR="00CD154A">
        <w:t xml:space="preserve">band </w:t>
      </w:r>
      <w:r w:rsidR="00B7052F">
        <w:t>for satellite services</w:t>
      </w:r>
      <w:r w:rsidR="00E021C2">
        <w:t xml:space="preserve"> and relax</w:t>
      </w:r>
      <w:r w:rsidR="00CD154A">
        <w:t>ing</w:t>
      </w:r>
      <w:r w:rsidR="00E021C2">
        <w:t xml:space="preserve"> </w:t>
      </w:r>
      <w:r w:rsidR="00CD154A">
        <w:t xml:space="preserve">certain </w:t>
      </w:r>
      <w:r w:rsidR="00E021C2">
        <w:t xml:space="preserve">rules for </w:t>
      </w:r>
      <w:r w:rsidR="00CD154A">
        <w:t xml:space="preserve">siting </w:t>
      </w:r>
      <w:r w:rsidR="00E021C2">
        <w:t>earth station</w:t>
      </w:r>
      <w:r w:rsidR="00CD154A">
        <w:t>s</w:t>
      </w:r>
      <w:r w:rsidR="00B7052F">
        <w:t xml:space="preserve">. </w:t>
      </w:r>
      <w:r w:rsidR="00CD154A">
        <w:t xml:space="preserve"> </w:t>
      </w:r>
      <w:r w:rsidR="00B7052F">
        <w:t xml:space="preserve">We also </w:t>
      </w:r>
      <w:r w:rsidR="00E021C2">
        <w:t>main</w:t>
      </w:r>
      <w:r w:rsidR="00B7052F">
        <w:t xml:space="preserve">tain the full 64-71 GHz band </w:t>
      </w:r>
      <w:r w:rsidR="00CD154A">
        <w:t xml:space="preserve">as a massive testbed </w:t>
      </w:r>
      <w:r w:rsidR="00B7052F">
        <w:t xml:space="preserve">for unlicensed </w:t>
      </w:r>
      <w:r w:rsidR="00CD154A">
        <w:t>innovation</w:t>
      </w:r>
      <w:r w:rsidR="00B7052F">
        <w:t xml:space="preserve">.  </w:t>
      </w:r>
      <w:r w:rsidR="00CD154A">
        <w:t xml:space="preserve">And we </w:t>
      </w:r>
      <w:r w:rsidR="00B7052F">
        <w:t>mak</w:t>
      </w:r>
      <w:r w:rsidR="00CD154A">
        <w:t>e</w:t>
      </w:r>
      <w:r w:rsidR="00B7052F">
        <w:t xml:space="preserve"> </w:t>
      </w:r>
      <w:r w:rsidR="00CD154A">
        <w:t xml:space="preserve">much more </w:t>
      </w:r>
      <w:r w:rsidR="00B7052F">
        <w:t xml:space="preserve">millimeter wave spectrum available for </w:t>
      </w:r>
      <w:r w:rsidR="00CD154A">
        <w:t xml:space="preserve">terrestrial </w:t>
      </w:r>
      <w:r w:rsidR="00B7052F">
        <w:t xml:space="preserve">wireless use.  </w:t>
      </w:r>
      <w:r w:rsidR="00CD154A">
        <w:t xml:space="preserve">In particular, we </w:t>
      </w:r>
      <w:r w:rsidR="00B7052F">
        <w:t>add</w:t>
      </w:r>
      <w:r w:rsidR="00C97F28">
        <w:t xml:space="preserve"> 1</w:t>
      </w:r>
      <w:r w:rsidR="00C33DBC">
        <w:t>,</w:t>
      </w:r>
      <w:r w:rsidR="00C97F28">
        <w:t>700 MHz of new spectrum</w:t>
      </w:r>
      <w:r w:rsidR="009A7CCD">
        <w:t xml:space="preserve"> in the 24 and 47 GHz bands</w:t>
      </w:r>
      <w:r w:rsidR="008C69D1">
        <w:t>,</w:t>
      </w:r>
      <w:r w:rsidR="00C97F28">
        <w:t xml:space="preserve"> </w:t>
      </w:r>
      <w:r w:rsidR="00772A91">
        <w:t>on top of the spectrum we freed up last year.</w:t>
      </w:r>
      <w:r w:rsidR="008C69D1">
        <w:t xml:space="preserve">  In short, we begin to set the table so that however mobile </w:t>
      </w:r>
      <w:r w:rsidR="00BF4B38">
        <w:t>continue</w:t>
      </w:r>
      <w:r w:rsidR="005C6288">
        <w:t>s</w:t>
      </w:r>
      <w:r w:rsidR="00BF4B38">
        <w:t xml:space="preserve"> eating </w:t>
      </w:r>
      <w:r w:rsidR="008C69D1">
        <w:t>the world—whether it’s a high-bandwidth virtual reality application or a narrowband industrial IoT use case—spectrum won’t be a limiting factor.</w:t>
      </w:r>
    </w:p>
    <w:p w14:paraId="7F756CD6" w14:textId="77777777" w:rsidR="00956BBC" w:rsidRDefault="00956BBC" w:rsidP="00956BBC">
      <w:pPr>
        <w:ind w:firstLine="720"/>
      </w:pPr>
    </w:p>
    <w:p w14:paraId="1ECE9497" w14:textId="4536DBA3" w:rsidR="0035090C" w:rsidRDefault="008C69D1" w:rsidP="00956BBC">
      <w:pPr>
        <w:ind w:firstLine="720"/>
      </w:pPr>
      <w:r>
        <w:t xml:space="preserve">That’s policy.  Two critical points on process.  First, </w:t>
      </w:r>
      <w:r w:rsidR="00CB0A4B">
        <w:t>this isn’</w:t>
      </w:r>
      <w:r>
        <w:t xml:space="preserve">t the end of our work in this field, but the beginning.  Accordingly, </w:t>
      </w:r>
      <w:r w:rsidR="00D81A59">
        <w:t xml:space="preserve">I plan to </w:t>
      </w:r>
      <w:r>
        <w:t xml:space="preserve">follow up on today’s achievement by </w:t>
      </w:r>
      <w:r w:rsidR="00D81A59">
        <w:t>present</w:t>
      </w:r>
      <w:r>
        <w:t>ing</w:t>
      </w:r>
      <w:r w:rsidR="00D81A59">
        <w:t xml:space="preserve"> the next</w:t>
      </w:r>
      <w:r w:rsidR="00CA045F">
        <w:t xml:space="preserve"> spectrum frontiers item in the first half of next year</w:t>
      </w:r>
      <w:r>
        <w:t>.  This will</w:t>
      </w:r>
      <w:r w:rsidR="00CA045F">
        <w:t xml:space="preserve"> continu</w:t>
      </w:r>
      <w:r>
        <w:t>e</w:t>
      </w:r>
      <w:r w:rsidR="00CA045F">
        <w:t xml:space="preserve"> our commitment to </w:t>
      </w:r>
      <w:r>
        <w:t xml:space="preserve">enabling </w:t>
      </w:r>
      <w:r w:rsidR="00CA045F">
        <w:lastRenderedPageBreak/>
        <w:t>access to these high</w:t>
      </w:r>
      <w:r>
        <w:t>-</w:t>
      </w:r>
      <w:r w:rsidR="00D414E9">
        <w:t xml:space="preserve">band </w:t>
      </w:r>
      <w:r w:rsidR="00CA045F">
        <w:t xml:space="preserve">frequencies. </w:t>
      </w:r>
    </w:p>
    <w:p w14:paraId="56DD4A1F" w14:textId="77777777" w:rsidR="00956BBC" w:rsidRDefault="00956BBC" w:rsidP="00956BBC">
      <w:pPr>
        <w:ind w:firstLine="720"/>
      </w:pPr>
    </w:p>
    <w:p w14:paraId="16568891" w14:textId="6B83888C" w:rsidR="009675F2" w:rsidRDefault="008C69D1" w:rsidP="00956BBC">
      <w:pPr>
        <w:ind w:firstLine="720"/>
      </w:pPr>
      <w:r>
        <w:t xml:space="preserve">Second, </w:t>
      </w:r>
      <w:r w:rsidR="00D137F8">
        <w:t>any future spectrum leaps</w:t>
      </w:r>
      <w:r w:rsidR="00D77AF9">
        <w:t xml:space="preserve"> to get these frequencies licensed</w:t>
      </w:r>
      <w:r w:rsidR="00D137F8">
        <w:t xml:space="preserve"> require legislation</w:t>
      </w:r>
      <w:r>
        <w:t xml:space="preserve">.  As much as anyone, </w:t>
      </w:r>
      <w:r w:rsidR="0035090C">
        <w:t xml:space="preserve">I </w:t>
      </w:r>
      <w:r w:rsidR="00D81A59">
        <w:t xml:space="preserve">want </w:t>
      </w:r>
      <w:r w:rsidR="009A7CCD">
        <w:t>to move forward with</w:t>
      </w:r>
      <w:r w:rsidR="0035090C">
        <w:t xml:space="preserve"> a</w:t>
      </w:r>
      <w:r w:rsidR="00D81A59">
        <w:t xml:space="preserve"> high</w:t>
      </w:r>
      <w:r>
        <w:t>-</w:t>
      </w:r>
      <w:r w:rsidR="00D81A59">
        <w:t xml:space="preserve">band </w:t>
      </w:r>
      <w:r>
        <w:t xml:space="preserve">spectrum </w:t>
      </w:r>
      <w:r w:rsidR="00D81A59">
        <w:t xml:space="preserve">auction in 2018.  </w:t>
      </w:r>
      <w:r w:rsidR="00D137F8">
        <w:t>But currently</w:t>
      </w:r>
      <w:r w:rsidR="00F84470">
        <w:t>, we</w:t>
      </w:r>
      <w:r w:rsidR="00D137F8">
        <w:t xml:space="preserve"> can’t.  </w:t>
      </w:r>
      <w:r w:rsidR="0035090C">
        <w:t xml:space="preserve">As I’ve </w:t>
      </w:r>
      <w:r w:rsidR="00D137F8">
        <w:t xml:space="preserve">recently and repeatedly </w:t>
      </w:r>
      <w:r w:rsidR="00F84470">
        <w:t>stated</w:t>
      </w:r>
      <w:r w:rsidR="00D137F8">
        <w:t xml:space="preserve">, we </w:t>
      </w:r>
      <w:r w:rsidR="00F84470">
        <w:t xml:space="preserve">can’t </w:t>
      </w:r>
      <w:r w:rsidR="0035090C">
        <w:t>hold any large spectrum auction</w:t>
      </w:r>
      <w:r w:rsidR="00F84470">
        <w:t xml:space="preserve"> unless and until Congress fixes the upfront-payments problem</w:t>
      </w:r>
      <w:r w:rsidR="0035090C">
        <w:t>.</w:t>
      </w:r>
      <w:r w:rsidR="00772A91">
        <w:t xml:space="preserve">  </w:t>
      </w:r>
      <w:r w:rsidR="00F84470">
        <w:t xml:space="preserve">I stand ready to assist any elected official interested in helping us solve this problem.  </w:t>
      </w:r>
      <w:r w:rsidR="00D137F8">
        <w:t>(We’ll certainly do any and all legwork i</w:t>
      </w:r>
      <w:r w:rsidR="00772A91">
        <w:t>n the meantime, study</w:t>
      </w:r>
      <w:r w:rsidR="00D137F8">
        <w:t>ing</w:t>
      </w:r>
      <w:r w:rsidR="00772A91">
        <w:t xml:space="preserve"> </w:t>
      </w:r>
      <w:r w:rsidR="00D137F8">
        <w:t xml:space="preserve">other </w:t>
      </w:r>
      <w:r w:rsidR="00772A91">
        <w:t>bands for potential wireless use and mov</w:t>
      </w:r>
      <w:r w:rsidR="00D137F8">
        <w:t>ing</w:t>
      </w:r>
      <w:r w:rsidR="00772A91">
        <w:t xml:space="preserve"> forward </w:t>
      </w:r>
      <w:r w:rsidR="00D137F8">
        <w:t xml:space="preserve">through </w:t>
      </w:r>
      <w:r w:rsidR="00772A91">
        <w:t>our rulemaking process to get them ready for auction.</w:t>
      </w:r>
      <w:r w:rsidR="00D137F8">
        <w:t>)</w:t>
      </w:r>
    </w:p>
    <w:p w14:paraId="02717530" w14:textId="77777777" w:rsidR="00956BBC" w:rsidRDefault="00956BBC" w:rsidP="00956BBC">
      <w:pPr>
        <w:ind w:firstLine="720"/>
      </w:pPr>
    </w:p>
    <w:p w14:paraId="13ADDA53" w14:textId="66B2DE62" w:rsidR="004C5119" w:rsidRPr="00855AEA" w:rsidRDefault="00D137F8" w:rsidP="00956BBC">
      <w:pPr>
        <w:ind w:firstLine="720"/>
      </w:pPr>
      <w:r>
        <w:t>P</w:t>
      </w:r>
      <w:r w:rsidR="001D1C0B">
        <w:t xml:space="preserve">romoting U.S. leadership </w:t>
      </w:r>
      <w:r w:rsidR="004437AD">
        <w:t>i</w:t>
      </w:r>
      <w:r w:rsidR="001D1C0B">
        <w:t>n 5G</w:t>
      </w:r>
      <w:r>
        <w:t xml:space="preserve"> is an all-FCC effort</w:t>
      </w:r>
      <w:r w:rsidR="001D1C0B">
        <w:t xml:space="preserve">.  </w:t>
      </w:r>
      <w:r>
        <w:t xml:space="preserve">So </w:t>
      </w:r>
      <w:r w:rsidR="00772A91">
        <w:t>thank</w:t>
      </w:r>
      <w:r>
        <w:t>s to</w:t>
      </w:r>
      <w:r w:rsidR="00772A91">
        <w:t xml:space="preserve"> the </w:t>
      </w:r>
      <w:r>
        <w:t xml:space="preserve">expert </w:t>
      </w:r>
      <w:r w:rsidR="00772A91">
        <w:t>staff who helped make this happen</w:t>
      </w:r>
      <w:r w:rsidR="00525427">
        <w:t xml:space="preserve">: </w:t>
      </w:r>
      <w:r w:rsidR="005D45E3" w:rsidRPr="005D45E3">
        <w:t xml:space="preserve">Simon Banyai, Kamila Benzina, Steve Buenzow, Monica DeLong, Tiare Faatea, Stephanie Goldberg, Tim Hilfiger, Catherine Matraves, Elizabeth McIntyre, Aalok Mehta, Charles Oliver, Matthew Pearl, John Schauble, Catherine Schroeder, Blaise Scinto, Dana Shaffer, Jiaming Shang, </w:t>
      </w:r>
      <w:r w:rsidR="005D45E3">
        <w:t xml:space="preserve">Don Stockdale, </w:t>
      </w:r>
      <w:r w:rsidR="005D45E3" w:rsidRPr="005D45E3">
        <w:t xml:space="preserve">Joel Taubenblatt, Jeffrey Tignor, Janet Young, and Nancy Zaczek from the Wireless Telecommunications Bureau; Bahman Badipour, Brian Butler, Martin Doczkat, Michael Ha, </w:t>
      </w:r>
      <w:r w:rsidR="005D45E3">
        <w:t xml:space="preserve">Julie Knapp, </w:t>
      </w:r>
      <w:r w:rsidR="005D45E3" w:rsidRPr="005D45E3">
        <w:t>Antonio Lavarello, Ed Mantiply, Tom Mooring, Nicholas Oros, Barbara Pavon, Jamison Prime, Karen Rackley, Ron Repasi, and Anh Wride from the Office of Engineering and Technology; Jose Albuquerque, Chip Fleming, Diane Garfield, Jennifer Gilsenan, Dante Ibarra, Kal Krautkramer, Michael Mullinix, Rob</w:t>
      </w:r>
      <w:r w:rsidR="005D45E3">
        <w:t xml:space="preserve">ert Nelson, Alyssa Roberts, </w:t>
      </w:r>
      <w:r w:rsidR="005D45E3" w:rsidRPr="005D45E3">
        <w:t>Jim Schlichting</w:t>
      </w:r>
      <w:r w:rsidR="005D45E3">
        <w:t>, and Tom Sullivan</w:t>
      </w:r>
      <w:r w:rsidR="005D45E3" w:rsidRPr="005D45E3">
        <w:t xml:space="preserve"> from the International Bureau; Greg Intoccia, Nicole McGinnis, David Plotinsky, and Brenda Vil</w:t>
      </w:r>
      <w:r w:rsidR="005D45E3">
        <w:t>lanueva from the Public Safety and</w:t>
      </w:r>
      <w:r w:rsidR="005D45E3" w:rsidRPr="005D45E3">
        <w:t xml:space="preserve"> Homeland Security Bureau; Charles Cooper, Jeremy Marcus, and Steve Spaeth from the En</w:t>
      </w:r>
      <w:r w:rsidR="005D45E3">
        <w:t>forcement Bureau; and</w:t>
      </w:r>
      <w:r w:rsidR="005D45E3" w:rsidRPr="005D45E3">
        <w:t xml:space="preserve"> David Horowitz, Linda Oliver, William Richardson, and Anjali Singh from the Office of the General Counsel.</w:t>
      </w:r>
    </w:p>
    <w:sectPr w:rsidR="004C5119" w:rsidRPr="00855AEA" w:rsidSect="00956B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11497" w14:textId="77777777" w:rsidR="00871FA4" w:rsidRDefault="00871FA4" w:rsidP="00A75BB8">
      <w:r>
        <w:separator/>
      </w:r>
    </w:p>
  </w:endnote>
  <w:endnote w:type="continuationSeparator" w:id="0">
    <w:p w14:paraId="2CADCF00" w14:textId="77777777" w:rsidR="00871FA4" w:rsidRDefault="00871FA4" w:rsidP="00A7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proxima-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4074" w14:textId="77777777" w:rsidR="001177E4" w:rsidRDefault="00117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32849"/>
      <w:docPartObj>
        <w:docPartGallery w:val="Page Numbers (Bottom of Page)"/>
        <w:docPartUnique/>
      </w:docPartObj>
    </w:sdtPr>
    <w:sdtEndPr>
      <w:rPr>
        <w:noProof/>
      </w:rPr>
    </w:sdtEndPr>
    <w:sdtContent>
      <w:p w14:paraId="1E9C2932" w14:textId="3586502B" w:rsidR="00956BBC" w:rsidRDefault="00956BBC">
        <w:pPr>
          <w:pStyle w:val="Footer"/>
          <w:jc w:val="center"/>
        </w:pPr>
        <w:r>
          <w:fldChar w:fldCharType="begin"/>
        </w:r>
        <w:r>
          <w:instrText xml:space="preserve"> PAGE   \* MERGEFORMAT </w:instrText>
        </w:r>
        <w:r>
          <w:fldChar w:fldCharType="separate"/>
        </w:r>
        <w:r w:rsidR="00C27BD5">
          <w:rPr>
            <w:noProof/>
          </w:rPr>
          <w:t>2</w:t>
        </w:r>
        <w:r>
          <w:rPr>
            <w:noProof/>
          </w:rPr>
          <w:fldChar w:fldCharType="end"/>
        </w:r>
      </w:p>
    </w:sdtContent>
  </w:sdt>
  <w:p w14:paraId="0857491D" w14:textId="77777777" w:rsidR="00956BBC" w:rsidRDefault="00956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6F3A" w14:textId="77777777" w:rsidR="001177E4" w:rsidRDefault="00117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4925" w14:textId="77777777" w:rsidR="00871FA4" w:rsidRDefault="00871FA4" w:rsidP="00A75BB8">
      <w:r>
        <w:separator/>
      </w:r>
    </w:p>
  </w:footnote>
  <w:footnote w:type="continuationSeparator" w:id="0">
    <w:p w14:paraId="1C3FAD4B" w14:textId="77777777" w:rsidR="00871FA4" w:rsidRDefault="00871FA4" w:rsidP="00A75BB8">
      <w:r>
        <w:continuationSeparator/>
      </w:r>
    </w:p>
  </w:footnote>
  <w:footnote w:id="1">
    <w:p w14:paraId="2AB4C68D" w14:textId="1B633BB6" w:rsidR="00C261E4" w:rsidRPr="005C6288" w:rsidRDefault="00C261E4" w:rsidP="00C33DBC">
      <w:r w:rsidRPr="00C33DBC">
        <w:rPr>
          <w:rStyle w:val="FootnoteReference"/>
          <w:sz w:val="20"/>
        </w:rPr>
        <w:footnoteRef/>
      </w:r>
      <w:r w:rsidRPr="00C33DBC">
        <w:rPr>
          <w:sz w:val="20"/>
        </w:rPr>
        <w:t xml:space="preserve"> </w:t>
      </w:r>
      <w:r w:rsidRPr="00C33DBC">
        <w:rPr>
          <w:i/>
          <w:sz w:val="20"/>
        </w:rPr>
        <w:t xml:space="preserve">See </w:t>
      </w:r>
      <w:r w:rsidRPr="00C33DBC">
        <w:rPr>
          <w:sz w:val="20"/>
        </w:rPr>
        <w:t xml:space="preserve">Benedict Evans, Presentation, “Mobile is eating the world” (Dec. 9, 2016), </w:t>
      </w:r>
      <w:r w:rsidRPr="00C33DBC">
        <w:rPr>
          <w:i/>
          <w:sz w:val="20"/>
        </w:rPr>
        <w:t xml:space="preserve">available at </w:t>
      </w:r>
      <w:r w:rsidRPr="00C33DBC">
        <w:rPr>
          <w:sz w:val="20"/>
        </w:rPr>
        <w:t>http://ben-evans.com/benedictevans/2016/12/8/mobile-is-eating-the-world</w:t>
      </w:r>
      <w:r w:rsidR="00C33DBC">
        <w:rPr>
          <w:sz w:val="20"/>
        </w:rPr>
        <w:t>;</w:t>
      </w:r>
      <w:r w:rsidRPr="00C33DBC">
        <w:rPr>
          <w:sz w:val="20"/>
        </w:rPr>
        <w:t xml:space="preserve"> </w:t>
      </w:r>
      <w:r w:rsidR="00C33DBC">
        <w:rPr>
          <w:i/>
          <w:sz w:val="20"/>
        </w:rPr>
        <w:t>s</w:t>
      </w:r>
      <w:r w:rsidRPr="00C33DBC">
        <w:rPr>
          <w:i/>
          <w:sz w:val="20"/>
        </w:rPr>
        <w:t xml:space="preserve">ee also </w:t>
      </w:r>
      <w:r w:rsidRPr="00C33DBC">
        <w:rPr>
          <w:sz w:val="20"/>
        </w:rPr>
        <w:t>Benedict Evans, Presentation, “16 mobile theses” (Dec. 18, 2015) (“</w:t>
      </w:r>
      <w:r w:rsidRPr="00C33DBC">
        <w:rPr>
          <w:rFonts w:ascii="proxima-nova" w:hAnsi="proxima-nova"/>
          <w:kern w:val="0"/>
          <w:sz w:val="20"/>
          <w:shd w:val="clear" w:color="auto" w:fill="FFFFFF"/>
        </w:rPr>
        <w:t>[I]t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s now perfectly clear that mobile is the future of technology and of the internet.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Benedict Evans, Presentation,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mobile is eating the world</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(Oct. 28, 2014), </w:t>
      </w:r>
      <w:r w:rsidRPr="00C33DBC">
        <w:rPr>
          <w:rFonts w:ascii="proxima-nova" w:hAnsi="proxima-nova"/>
          <w:i/>
          <w:kern w:val="0"/>
          <w:sz w:val="20"/>
          <w:shd w:val="clear" w:color="auto" w:fill="FFFFFF"/>
        </w:rPr>
        <w:t xml:space="preserve">available at </w:t>
      </w:r>
      <w:r w:rsidRPr="00C33DBC">
        <w:rPr>
          <w:sz w:val="20"/>
        </w:rPr>
        <w:t>http://ben-evans.com/benedictevans/2014/10/28/presentation-mobile-is-eating-the-world</w:t>
      </w:r>
      <w:r w:rsidRPr="00C33DBC">
        <w:rPr>
          <w:rFonts w:ascii="proxima-nova" w:hAnsi="proxima-nova"/>
          <w:kern w:val="0"/>
          <w:sz w:val="20"/>
          <w:shd w:val="clear" w:color="auto" w:fill="FFFFFF"/>
        </w:rPr>
        <w:t xml:space="preserve"> (when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everyone gets a pocket supercomputer,</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the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first thing that changes is the internet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CDA9" w14:textId="77777777" w:rsidR="001177E4" w:rsidRDefault="00117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DB32" w14:textId="77777777" w:rsidR="001177E4" w:rsidRDefault="00117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E6D9" w14:textId="77777777" w:rsidR="001177E4" w:rsidRDefault="00117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95"/>
    <w:rsid w:val="000670F9"/>
    <w:rsid w:val="000E059F"/>
    <w:rsid w:val="00103501"/>
    <w:rsid w:val="001177E4"/>
    <w:rsid w:val="001745F0"/>
    <w:rsid w:val="00180859"/>
    <w:rsid w:val="001C5A0D"/>
    <w:rsid w:val="001D1C0B"/>
    <w:rsid w:val="001D2236"/>
    <w:rsid w:val="001D71A2"/>
    <w:rsid w:val="002070EC"/>
    <w:rsid w:val="002252DA"/>
    <w:rsid w:val="00241677"/>
    <w:rsid w:val="0026012E"/>
    <w:rsid w:val="00270CD0"/>
    <w:rsid w:val="00272D2D"/>
    <w:rsid w:val="00272FEC"/>
    <w:rsid w:val="00296064"/>
    <w:rsid w:val="002C253D"/>
    <w:rsid w:val="002C77D6"/>
    <w:rsid w:val="0035090C"/>
    <w:rsid w:val="003762DD"/>
    <w:rsid w:val="003A05B6"/>
    <w:rsid w:val="003C7956"/>
    <w:rsid w:val="004030A6"/>
    <w:rsid w:val="004415C1"/>
    <w:rsid w:val="004437AD"/>
    <w:rsid w:val="00474599"/>
    <w:rsid w:val="00494D4F"/>
    <w:rsid w:val="004C4043"/>
    <w:rsid w:val="004C5119"/>
    <w:rsid w:val="00525427"/>
    <w:rsid w:val="0054001B"/>
    <w:rsid w:val="005438D9"/>
    <w:rsid w:val="0056298B"/>
    <w:rsid w:val="00567CE6"/>
    <w:rsid w:val="00597312"/>
    <w:rsid w:val="005C3CBF"/>
    <w:rsid w:val="005C6288"/>
    <w:rsid w:val="005D45E3"/>
    <w:rsid w:val="005F1C2E"/>
    <w:rsid w:val="0060113E"/>
    <w:rsid w:val="00630C10"/>
    <w:rsid w:val="0063545F"/>
    <w:rsid w:val="006427C0"/>
    <w:rsid w:val="0066056C"/>
    <w:rsid w:val="00667195"/>
    <w:rsid w:val="006C3825"/>
    <w:rsid w:val="006E1EFA"/>
    <w:rsid w:val="006F1422"/>
    <w:rsid w:val="007467A0"/>
    <w:rsid w:val="00753F75"/>
    <w:rsid w:val="00772A91"/>
    <w:rsid w:val="00776E7C"/>
    <w:rsid w:val="00790794"/>
    <w:rsid w:val="007B3CDC"/>
    <w:rsid w:val="007C04BF"/>
    <w:rsid w:val="007E2DA7"/>
    <w:rsid w:val="00835622"/>
    <w:rsid w:val="008433BA"/>
    <w:rsid w:val="00855AEA"/>
    <w:rsid w:val="00871FA4"/>
    <w:rsid w:val="008A26EE"/>
    <w:rsid w:val="008B1BCB"/>
    <w:rsid w:val="008C5B6F"/>
    <w:rsid w:val="008C69D1"/>
    <w:rsid w:val="008D4964"/>
    <w:rsid w:val="008E1F5F"/>
    <w:rsid w:val="008E5A12"/>
    <w:rsid w:val="008F7184"/>
    <w:rsid w:val="00900346"/>
    <w:rsid w:val="009224C5"/>
    <w:rsid w:val="00956BBC"/>
    <w:rsid w:val="009675F2"/>
    <w:rsid w:val="00976276"/>
    <w:rsid w:val="00991CBB"/>
    <w:rsid w:val="009A7CCD"/>
    <w:rsid w:val="009D20F0"/>
    <w:rsid w:val="00A00F18"/>
    <w:rsid w:val="00A3249D"/>
    <w:rsid w:val="00A75BB8"/>
    <w:rsid w:val="00AC47A0"/>
    <w:rsid w:val="00AC5BA7"/>
    <w:rsid w:val="00B01264"/>
    <w:rsid w:val="00B235B3"/>
    <w:rsid w:val="00B254B0"/>
    <w:rsid w:val="00B7052F"/>
    <w:rsid w:val="00B80ED3"/>
    <w:rsid w:val="00B85960"/>
    <w:rsid w:val="00BA2CC6"/>
    <w:rsid w:val="00BA412C"/>
    <w:rsid w:val="00BB4C71"/>
    <w:rsid w:val="00BC2CE7"/>
    <w:rsid w:val="00BF4B38"/>
    <w:rsid w:val="00C11DA5"/>
    <w:rsid w:val="00C261E4"/>
    <w:rsid w:val="00C27BD5"/>
    <w:rsid w:val="00C33DBC"/>
    <w:rsid w:val="00C40DAA"/>
    <w:rsid w:val="00C44707"/>
    <w:rsid w:val="00C44907"/>
    <w:rsid w:val="00C97F28"/>
    <w:rsid w:val="00CA045F"/>
    <w:rsid w:val="00CA4D41"/>
    <w:rsid w:val="00CA7243"/>
    <w:rsid w:val="00CB0A4B"/>
    <w:rsid w:val="00CB1D45"/>
    <w:rsid w:val="00CD154A"/>
    <w:rsid w:val="00CF3645"/>
    <w:rsid w:val="00D0168A"/>
    <w:rsid w:val="00D03F97"/>
    <w:rsid w:val="00D137F8"/>
    <w:rsid w:val="00D14924"/>
    <w:rsid w:val="00D414E9"/>
    <w:rsid w:val="00D641D3"/>
    <w:rsid w:val="00D77AF9"/>
    <w:rsid w:val="00D81A59"/>
    <w:rsid w:val="00DF0CE9"/>
    <w:rsid w:val="00DF2274"/>
    <w:rsid w:val="00E00835"/>
    <w:rsid w:val="00E021C2"/>
    <w:rsid w:val="00E067A8"/>
    <w:rsid w:val="00E17656"/>
    <w:rsid w:val="00E6214C"/>
    <w:rsid w:val="00E640B0"/>
    <w:rsid w:val="00E75578"/>
    <w:rsid w:val="00E75DB5"/>
    <w:rsid w:val="00E77680"/>
    <w:rsid w:val="00EF5C72"/>
    <w:rsid w:val="00F11715"/>
    <w:rsid w:val="00F25E2D"/>
    <w:rsid w:val="00F35492"/>
    <w:rsid w:val="00F7011B"/>
    <w:rsid w:val="00F84470"/>
    <w:rsid w:val="00F8506D"/>
    <w:rsid w:val="00FA4855"/>
    <w:rsid w:val="00FE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B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B3"/>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B0"/>
    <w:rPr>
      <w:rFonts w:ascii="Segoe UI" w:eastAsia="Times New Roman" w:hAnsi="Segoe UI" w:cs="Segoe UI"/>
      <w:kern w:val="28"/>
      <w:sz w:val="18"/>
      <w:szCs w:val="18"/>
    </w:rPr>
  </w:style>
  <w:style w:type="paragraph" w:styleId="FootnoteText">
    <w:name w:val="footnote text"/>
    <w:basedOn w:val="Normal"/>
    <w:link w:val="FootnoteTextChar"/>
    <w:uiPriority w:val="99"/>
    <w:unhideWhenUsed/>
    <w:rsid w:val="00A75BB8"/>
    <w:rPr>
      <w:sz w:val="24"/>
      <w:szCs w:val="24"/>
    </w:rPr>
  </w:style>
  <w:style w:type="character" w:customStyle="1" w:styleId="FootnoteTextChar">
    <w:name w:val="Footnote Text Char"/>
    <w:basedOn w:val="DefaultParagraphFont"/>
    <w:link w:val="FootnoteText"/>
    <w:uiPriority w:val="99"/>
    <w:rsid w:val="00A75BB8"/>
    <w:rPr>
      <w:rFonts w:ascii="Times New Roman" w:eastAsia="Times New Roman" w:hAnsi="Times New Roman" w:cs="Times New Roman"/>
      <w:kern w:val="28"/>
      <w:sz w:val="24"/>
      <w:szCs w:val="24"/>
    </w:rPr>
  </w:style>
  <w:style w:type="character" w:styleId="FootnoteReference">
    <w:name w:val="footnote reference"/>
    <w:basedOn w:val="DefaultParagraphFont"/>
    <w:uiPriority w:val="99"/>
    <w:unhideWhenUsed/>
    <w:rsid w:val="00A75BB8"/>
    <w:rPr>
      <w:vertAlign w:val="superscript"/>
    </w:rPr>
  </w:style>
  <w:style w:type="character" w:styleId="Hyperlink">
    <w:name w:val="Hyperlink"/>
    <w:basedOn w:val="DefaultParagraphFont"/>
    <w:uiPriority w:val="99"/>
    <w:unhideWhenUsed/>
    <w:rsid w:val="00A75BB8"/>
    <w:rPr>
      <w:color w:val="0563C1" w:themeColor="hyperlink"/>
      <w:u w:val="single"/>
    </w:rPr>
  </w:style>
  <w:style w:type="character" w:styleId="CommentReference">
    <w:name w:val="annotation reference"/>
    <w:basedOn w:val="DefaultParagraphFont"/>
    <w:uiPriority w:val="99"/>
    <w:semiHidden/>
    <w:unhideWhenUsed/>
    <w:rsid w:val="004437AD"/>
    <w:rPr>
      <w:sz w:val="16"/>
      <w:szCs w:val="16"/>
    </w:rPr>
  </w:style>
  <w:style w:type="paragraph" w:styleId="CommentText">
    <w:name w:val="annotation text"/>
    <w:basedOn w:val="Normal"/>
    <w:link w:val="CommentTextChar"/>
    <w:uiPriority w:val="99"/>
    <w:semiHidden/>
    <w:unhideWhenUsed/>
    <w:rsid w:val="004437AD"/>
    <w:rPr>
      <w:sz w:val="20"/>
    </w:rPr>
  </w:style>
  <w:style w:type="character" w:customStyle="1" w:styleId="CommentTextChar">
    <w:name w:val="Comment Text Char"/>
    <w:basedOn w:val="DefaultParagraphFont"/>
    <w:link w:val="CommentText"/>
    <w:uiPriority w:val="99"/>
    <w:semiHidden/>
    <w:rsid w:val="004437A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437AD"/>
    <w:rPr>
      <w:b/>
      <w:bCs/>
    </w:rPr>
  </w:style>
  <w:style w:type="character" w:customStyle="1" w:styleId="CommentSubjectChar">
    <w:name w:val="Comment Subject Char"/>
    <w:basedOn w:val="CommentTextChar"/>
    <w:link w:val="CommentSubject"/>
    <w:uiPriority w:val="99"/>
    <w:semiHidden/>
    <w:rsid w:val="004437AD"/>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597312"/>
    <w:pPr>
      <w:tabs>
        <w:tab w:val="center" w:pos="4680"/>
        <w:tab w:val="right" w:pos="9360"/>
      </w:tabs>
    </w:pPr>
  </w:style>
  <w:style w:type="character" w:customStyle="1" w:styleId="HeaderChar">
    <w:name w:val="Header Char"/>
    <w:basedOn w:val="DefaultParagraphFont"/>
    <w:link w:val="Header"/>
    <w:uiPriority w:val="99"/>
    <w:rsid w:val="00597312"/>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597312"/>
    <w:pPr>
      <w:tabs>
        <w:tab w:val="center" w:pos="4680"/>
        <w:tab w:val="right" w:pos="9360"/>
      </w:tabs>
    </w:pPr>
  </w:style>
  <w:style w:type="character" w:customStyle="1" w:styleId="FooterChar">
    <w:name w:val="Footer Char"/>
    <w:basedOn w:val="DefaultParagraphFont"/>
    <w:link w:val="Footer"/>
    <w:uiPriority w:val="99"/>
    <w:rsid w:val="00597312"/>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B3"/>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B0"/>
    <w:rPr>
      <w:rFonts w:ascii="Segoe UI" w:eastAsia="Times New Roman" w:hAnsi="Segoe UI" w:cs="Segoe UI"/>
      <w:kern w:val="28"/>
      <w:sz w:val="18"/>
      <w:szCs w:val="18"/>
    </w:rPr>
  </w:style>
  <w:style w:type="paragraph" w:styleId="FootnoteText">
    <w:name w:val="footnote text"/>
    <w:basedOn w:val="Normal"/>
    <w:link w:val="FootnoteTextChar"/>
    <w:uiPriority w:val="99"/>
    <w:unhideWhenUsed/>
    <w:rsid w:val="00A75BB8"/>
    <w:rPr>
      <w:sz w:val="24"/>
      <w:szCs w:val="24"/>
    </w:rPr>
  </w:style>
  <w:style w:type="character" w:customStyle="1" w:styleId="FootnoteTextChar">
    <w:name w:val="Footnote Text Char"/>
    <w:basedOn w:val="DefaultParagraphFont"/>
    <w:link w:val="FootnoteText"/>
    <w:uiPriority w:val="99"/>
    <w:rsid w:val="00A75BB8"/>
    <w:rPr>
      <w:rFonts w:ascii="Times New Roman" w:eastAsia="Times New Roman" w:hAnsi="Times New Roman" w:cs="Times New Roman"/>
      <w:kern w:val="28"/>
      <w:sz w:val="24"/>
      <w:szCs w:val="24"/>
    </w:rPr>
  </w:style>
  <w:style w:type="character" w:styleId="FootnoteReference">
    <w:name w:val="footnote reference"/>
    <w:basedOn w:val="DefaultParagraphFont"/>
    <w:uiPriority w:val="99"/>
    <w:unhideWhenUsed/>
    <w:rsid w:val="00A75BB8"/>
    <w:rPr>
      <w:vertAlign w:val="superscript"/>
    </w:rPr>
  </w:style>
  <w:style w:type="character" w:styleId="Hyperlink">
    <w:name w:val="Hyperlink"/>
    <w:basedOn w:val="DefaultParagraphFont"/>
    <w:uiPriority w:val="99"/>
    <w:unhideWhenUsed/>
    <w:rsid w:val="00A75BB8"/>
    <w:rPr>
      <w:color w:val="0563C1" w:themeColor="hyperlink"/>
      <w:u w:val="single"/>
    </w:rPr>
  </w:style>
  <w:style w:type="character" w:styleId="CommentReference">
    <w:name w:val="annotation reference"/>
    <w:basedOn w:val="DefaultParagraphFont"/>
    <w:uiPriority w:val="99"/>
    <w:semiHidden/>
    <w:unhideWhenUsed/>
    <w:rsid w:val="004437AD"/>
    <w:rPr>
      <w:sz w:val="16"/>
      <w:szCs w:val="16"/>
    </w:rPr>
  </w:style>
  <w:style w:type="paragraph" w:styleId="CommentText">
    <w:name w:val="annotation text"/>
    <w:basedOn w:val="Normal"/>
    <w:link w:val="CommentTextChar"/>
    <w:uiPriority w:val="99"/>
    <w:semiHidden/>
    <w:unhideWhenUsed/>
    <w:rsid w:val="004437AD"/>
    <w:rPr>
      <w:sz w:val="20"/>
    </w:rPr>
  </w:style>
  <w:style w:type="character" w:customStyle="1" w:styleId="CommentTextChar">
    <w:name w:val="Comment Text Char"/>
    <w:basedOn w:val="DefaultParagraphFont"/>
    <w:link w:val="CommentText"/>
    <w:uiPriority w:val="99"/>
    <w:semiHidden/>
    <w:rsid w:val="004437A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437AD"/>
    <w:rPr>
      <w:b/>
      <w:bCs/>
    </w:rPr>
  </w:style>
  <w:style w:type="character" w:customStyle="1" w:styleId="CommentSubjectChar">
    <w:name w:val="Comment Subject Char"/>
    <w:basedOn w:val="CommentTextChar"/>
    <w:link w:val="CommentSubject"/>
    <w:uiPriority w:val="99"/>
    <w:semiHidden/>
    <w:rsid w:val="004437AD"/>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597312"/>
    <w:pPr>
      <w:tabs>
        <w:tab w:val="center" w:pos="4680"/>
        <w:tab w:val="right" w:pos="9360"/>
      </w:tabs>
    </w:pPr>
  </w:style>
  <w:style w:type="character" w:customStyle="1" w:styleId="HeaderChar">
    <w:name w:val="Header Char"/>
    <w:basedOn w:val="DefaultParagraphFont"/>
    <w:link w:val="Header"/>
    <w:uiPriority w:val="99"/>
    <w:rsid w:val="00597312"/>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597312"/>
    <w:pPr>
      <w:tabs>
        <w:tab w:val="center" w:pos="4680"/>
        <w:tab w:val="right" w:pos="9360"/>
      </w:tabs>
    </w:pPr>
  </w:style>
  <w:style w:type="character" w:customStyle="1" w:styleId="FooterChar">
    <w:name w:val="Footer Char"/>
    <w:basedOn w:val="DefaultParagraphFont"/>
    <w:link w:val="Footer"/>
    <w:uiPriority w:val="99"/>
    <w:rsid w:val="00597312"/>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8547">
      <w:bodyDiv w:val="1"/>
      <w:marLeft w:val="0"/>
      <w:marRight w:val="0"/>
      <w:marTop w:val="0"/>
      <w:marBottom w:val="0"/>
      <w:divBdr>
        <w:top w:val="none" w:sz="0" w:space="0" w:color="auto"/>
        <w:left w:val="none" w:sz="0" w:space="0" w:color="auto"/>
        <w:bottom w:val="none" w:sz="0" w:space="0" w:color="auto"/>
        <w:right w:val="none" w:sz="0" w:space="0" w:color="auto"/>
      </w:divBdr>
    </w:div>
    <w:div w:id="1308047282">
      <w:bodyDiv w:val="1"/>
      <w:marLeft w:val="0"/>
      <w:marRight w:val="0"/>
      <w:marTop w:val="0"/>
      <w:marBottom w:val="0"/>
      <w:divBdr>
        <w:top w:val="none" w:sz="0" w:space="0" w:color="auto"/>
        <w:left w:val="none" w:sz="0" w:space="0" w:color="auto"/>
        <w:bottom w:val="none" w:sz="0" w:space="0" w:color="auto"/>
        <w:right w:val="none" w:sz="0" w:space="0" w:color="auto"/>
      </w:divBdr>
    </w:div>
    <w:div w:id="1404139360">
      <w:bodyDiv w:val="1"/>
      <w:marLeft w:val="0"/>
      <w:marRight w:val="0"/>
      <w:marTop w:val="0"/>
      <w:marBottom w:val="0"/>
      <w:divBdr>
        <w:top w:val="none" w:sz="0" w:space="0" w:color="auto"/>
        <w:left w:val="none" w:sz="0" w:space="0" w:color="auto"/>
        <w:bottom w:val="none" w:sz="0" w:space="0" w:color="auto"/>
        <w:right w:val="none" w:sz="0" w:space="0" w:color="auto"/>
      </w:divBdr>
    </w:div>
    <w:div w:id="17278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4587</Characters>
  <Application>Microsoft Office Word</Application>
  <DocSecurity>0</DocSecurity>
  <Lines>68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2017-11-22T15:08:00Z</dcterms:created>
  <dcterms:modified xsi:type="dcterms:W3CDTF">2017-11-22T15:08:00Z</dcterms:modified>
  <cp:category> </cp:category>
  <cp:contentStatus> </cp:contentStatus>
</cp:coreProperties>
</file>