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3760F" w:rsidRPr="00013C5D" w:rsidP="00AC73E3">
      <w:pPr>
        <w:spacing w:line="276" w:lineRule="auto"/>
        <w:jc w:val="center"/>
        <w:rPr>
          <w:b/>
          <w:szCs w:val="22"/>
        </w:rPr>
      </w:pPr>
      <w:bookmarkStart w:id="0" w:name="_GoBack"/>
      <w:bookmarkEnd w:id="0"/>
      <w:r w:rsidRPr="00013C5D">
        <w:rPr>
          <w:b/>
          <w:szCs w:val="22"/>
        </w:rPr>
        <w:t>Before the</w:t>
      </w:r>
    </w:p>
    <w:p w:rsidR="00D3760F" w:rsidRPr="00013C5D" w:rsidP="00AC73E3">
      <w:pPr>
        <w:pStyle w:val="StyleBoldCentered"/>
        <w:spacing w:line="276" w:lineRule="auto"/>
        <w:rPr>
          <w:rFonts w:ascii="Times New Roman" w:hAnsi="Times New Roman"/>
          <w:caps w:val="0"/>
        </w:rPr>
      </w:pPr>
      <w:r w:rsidRPr="00013C5D">
        <w:rPr>
          <w:rFonts w:ascii="Times New Roman" w:hAnsi="Times New Roman"/>
        </w:rPr>
        <w:t>F</w:t>
      </w:r>
      <w:r w:rsidRPr="00013C5D">
        <w:rPr>
          <w:rFonts w:ascii="Times New Roman" w:hAnsi="Times New Roman"/>
          <w:caps w:val="0"/>
        </w:rPr>
        <w:t>ederal Communications Commission</w:t>
      </w:r>
    </w:p>
    <w:p w:rsidR="00D3760F" w:rsidRPr="00013C5D" w:rsidP="00AC73E3">
      <w:pPr>
        <w:pStyle w:val="StyleBoldCentered"/>
        <w:spacing w:line="276" w:lineRule="auto"/>
        <w:rPr>
          <w:rFonts w:ascii="Times New Roman" w:hAnsi="Times New Roman"/>
        </w:rPr>
      </w:pPr>
      <w:r w:rsidRPr="00013C5D">
        <w:rPr>
          <w:rFonts w:ascii="Times New Roman" w:hAnsi="Times New Roman"/>
          <w:caps w:val="0"/>
        </w:rPr>
        <w:t>Washington, D.C. 20554</w:t>
      </w:r>
    </w:p>
    <w:p w:rsidR="00D3760F" w:rsidRPr="00013C5D" w:rsidP="00AC73E3">
      <w:pPr>
        <w:spacing w:line="276" w:lineRule="auto"/>
        <w:rPr>
          <w:szCs w:val="22"/>
        </w:rPr>
      </w:pPr>
    </w:p>
    <w:tbl>
      <w:tblPr>
        <w:tblW w:w="5000" w:type="pct"/>
        <w:tblInd w:w="0" w:type="dxa"/>
        <w:tblCellMar>
          <w:top w:w="0" w:type="dxa"/>
          <w:left w:w="108" w:type="dxa"/>
          <w:bottom w:w="0" w:type="dxa"/>
          <w:right w:w="108" w:type="dxa"/>
        </w:tblCellMar>
        <w:tblLook w:val="0000"/>
      </w:tblPr>
      <w:tblGrid>
        <w:gridCol w:w="4592"/>
        <w:gridCol w:w="616"/>
        <w:gridCol w:w="4152"/>
      </w:tblGrid>
      <w:tr w:rsidTr="000D4743">
        <w:tblPrEx>
          <w:tblW w:w="5000" w:type="pct"/>
          <w:tblInd w:w="0" w:type="dxa"/>
          <w:tblCellMar>
            <w:top w:w="0" w:type="dxa"/>
            <w:left w:w="108" w:type="dxa"/>
            <w:bottom w:w="0" w:type="dxa"/>
            <w:right w:w="108" w:type="dxa"/>
          </w:tblCellMar>
          <w:tblLook w:val="0000"/>
        </w:tblPrEx>
        <w:tc>
          <w:tcPr>
            <w:tcW w:w="2453" w:type="pct"/>
          </w:tcPr>
          <w:p w:rsidR="00D3760F" w:rsidRPr="00013C5D" w:rsidP="00AC73E3">
            <w:pPr>
              <w:widowControl w:val="0"/>
              <w:tabs>
                <w:tab w:val="center" w:pos="4680"/>
              </w:tabs>
              <w:suppressAutoHyphens/>
              <w:spacing w:line="276" w:lineRule="auto"/>
              <w:rPr>
                <w:rStyle w:val="DefaultParagraphFont"/>
                <w:snapToGrid w:val="0"/>
                <w:spacing w:val="-2"/>
                <w:kern w:val="28"/>
                <w:sz w:val="22"/>
                <w:szCs w:val="22"/>
                <w:lang w:val="en-US" w:eastAsia="en-US" w:bidi="ar-SA"/>
              </w:rPr>
            </w:pPr>
            <w:r w:rsidRPr="00013C5D">
              <w:rPr>
                <w:snapToGrid w:val="0"/>
                <w:spacing w:val="-2"/>
                <w:kern w:val="28"/>
                <w:sz w:val="22"/>
                <w:szCs w:val="22"/>
                <w:lang w:val="en-US" w:eastAsia="en-US" w:bidi="ar-SA"/>
              </w:rPr>
              <w:t>In the Matter of</w:t>
            </w:r>
          </w:p>
          <w:p w:rsidR="00D3760F" w:rsidRPr="00013C5D" w:rsidP="00AC73E3">
            <w:pPr>
              <w:widowControl w:val="0"/>
              <w:tabs>
                <w:tab w:val="center" w:pos="4680"/>
              </w:tabs>
              <w:suppressAutoHyphens/>
              <w:spacing w:line="276" w:lineRule="auto"/>
              <w:rPr>
                <w:rStyle w:val="DefaultParagraphFont"/>
                <w:snapToGrid w:val="0"/>
                <w:spacing w:val="-2"/>
                <w:kern w:val="28"/>
                <w:sz w:val="22"/>
                <w:szCs w:val="22"/>
                <w:lang w:val="en-US" w:eastAsia="en-US" w:bidi="ar-SA"/>
              </w:rPr>
            </w:pPr>
          </w:p>
          <w:p w:rsidR="00CE7790" w:rsidRPr="00013C5D" w:rsidP="00AC73E3">
            <w:pPr>
              <w:widowControl w:val="0"/>
              <w:tabs>
                <w:tab w:val="center" w:pos="4680"/>
              </w:tabs>
              <w:suppressAutoHyphens/>
              <w:spacing w:line="276" w:lineRule="auto"/>
              <w:rPr>
                <w:rStyle w:val="DefaultParagraphFont"/>
                <w:snapToGrid w:val="0"/>
                <w:kern w:val="28"/>
                <w:sz w:val="22"/>
                <w:szCs w:val="22"/>
                <w:lang w:val="en-US" w:eastAsia="en-US" w:bidi="ar-SA"/>
              </w:rPr>
            </w:pPr>
            <w:r w:rsidRPr="00013C5D">
              <w:rPr>
                <w:snapToGrid w:val="0"/>
                <w:kern w:val="28"/>
                <w:sz w:val="22"/>
                <w:szCs w:val="22"/>
                <w:lang w:val="en-US" w:eastAsia="en-US" w:bidi="ar-SA"/>
              </w:rPr>
              <w:t>Amendment of Part</w:t>
            </w:r>
            <w:r w:rsidR="004634BC">
              <w:rPr>
                <w:snapToGrid w:val="0"/>
                <w:kern w:val="28"/>
                <w:sz w:val="22"/>
                <w:szCs w:val="22"/>
                <w:lang w:val="en-US" w:eastAsia="en-US" w:bidi="ar-SA"/>
              </w:rPr>
              <w:t>s</w:t>
            </w:r>
            <w:r w:rsidRPr="00013C5D">
              <w:rPr>
                <w:snapToGrid w:val="0"/>
                <w:kern w:val="28"/>
                <w:sz w:val="22"/>
                <w:szCs w:val="22"/>
                <w:lang w:val="en-US" w:eastAsia="en-US" w:bidi="ar-SA"/>
              </w:rPr>
              <w:t xml:space="preserve"> </w:t>
            </w:r>
            <w:r w:rsidR="001F19B6">
              <w:rPr>
                <w:snapToGrid w:val="0"/>
                <w:kern w:val="28"/>
                <w:sz w:val="22"/>
                <w:szCs w:val="22"/>
                <w:lang w:val="en-US" w:eastAsia="en-US" w:bidi="ar-SA"/>
              </w:rPr>
              <w:t xml:space="preserve">0, </w:t>
            </w:r>
            <w:r w:rsidRPr="00013C5D">
              <w:rPr>
                <w:snapToGrid w:val="0"/>
                <w:kern w:val="28"/>
                <w:sz w:val="22"/>
                <w:szCs w:val="22"/>
                <w:lang w:val="en-US" w:eastAsia="en-US" w:bidi="ar-SA"/>
              </w:rPr>
              <w:t>1</w:t>
            </w:r>
            <w:r w:rsidR="004634BC">
              <w:rPr>
                <w:snapToGrid w:val="0"/>
                <w:kern w:val="28"/>
                <w:sz w:val="22"/>
                <w:szCs w:val="22"/>
                <w:lang w:val="en-US" w:eastAsia="en-US" w:bidi="ar-SA"/>
              </w:rPr>
              <w:t>, 51, and 61</w:t>
            </w:r>
            <w:r w:rsidRPr="00013C5D" w:rsidR="00AC73E3">
              <w:rPr>
                <w:snapToGrid w:val="0"/>
                <w:kern w:val="28"/>
                <w:sz w:val="22"/>
                <w:szCs w:val="22"/>
                <w:lang w:val="en-US" w:eastAsia="en-US" w:bidi="ar-SA"/>
              </w:rPr>
              <w:t xml:space="preserve"> of the</w:t>
            </w:r>
          </w:p>
          <w:p w:rsidR="00F20957" w:rsidRPr="00013C5D" w:rsidP="00AC73E3">
            <w:pPr>
              <w:widowControl w:val="0"/>
              <w:tabs>
                <w:tab w:val="center" w:pos="4680"/>
              </w:tabs>
              <w:suppressAutoHyphens/>
              <w:spacing w:line="276" w:lineRule="auto"/>
              <w:rPr>
                <w:rStyle w:val="DefaultParagraphFont"/>
                <w:snapToGrid w:val="0"/>
                <w:spacing w:val="-2"/>
                <w:kern w:val="28"/>
                <w:sz w:val="22"/>
                <w:szCs w:val="22"/>
                <w:lang w:val="en-US" w:eastAsia="en-US" w:bidi="ar-SA"/>
              </w:rPr>
            </w:pPr>
            <w:r w:rsidRPr="00013C5D">
              <w:rPr>
                <w:snapToGrid w:val="0"/>
                <w:spacing w:val="-2"/>
                <w:kern w:val="28"/>
                <w:sz w:val="22"/>
                <w:szCs w:val="22"/>
                <w:lang w:val="en-US" w:eastAsia="en-US" w:bidi="ar-SA"/>
              </w:rPr>
              <w:t>Commission’s Rules</w:t>
            </w:r>
          </w:p>
        </w:tc>
        <w:tc>
          <w:tcPr>
            <w:tcW w:w="329" w:type="pct"/>
          </w:tcPr>
          <w:p w:rsidR="00D3760F" w:rsidRPr="00013C5D" w:rsidP="00AC73E3">
            <w:pPr>
              <w:widowControl w:val="0"/>
              <w:tabs>
                <w:tab w:val="center" w:pos="4680"/>
              </w:tabs>
              <w:suppressAutoHyphens/>
              <w:spacing w:line="276" w:lineRule="auto"/>
              <w:rPr>
                <w:rStyle w:val="DefaultParagraphFont"/>
                <w:b/>
                <w:snapToGrid w:val="0"/>
                <w:spacing w:val="-2"/>
                <w:kern w:val="28"/>
                <w:sz w:val="22"/>
                <w:szCs w:val="22"/>
                <w:lang w:val="en-US" w:eastAsia="en-US" w:bidi="ar-SA"/>
              </w:rPr>
            </w:pPr>
            <w:r w:rsidRPr="00013C5D">
              <w:rPr>
                <w:b/>
                <w:snapToGrid w:val="0"/>
                <w:spacing w:val="-2"/>
                <w:kern w:val="28"/>
                <w:sz w:val="22"/>
                <w:szCs w:val="22"/>
                <w:lang w:val="en-US" w:eastAsia="en-US" w:bidi="ar-SA"/>
              </w:rPr>
              <w:t>)</w:t>
            </w:r>
          </w:p>
          <w:p w:rsidR="00D3760F" w:rsidRPr="00013C5D" w:rsidP="00AC73E3">
            <w:pPr>
              <w:widowControl w:val="0"/>
              <w:tabs>
                <w:tab w:val="center" w:pos="4680"/>
              </w:tabs>
              <w:suppressAutoHyphens/>
              <w:spacing w:line="276" w:lineRule="auto"/>
              <w:rPr>
                <w:rStyle w:val="DefaultParagraphFont"/>
                <w:b/>
                <w:snapToGrid w:val="0"/>
                <w:spacing w:val="-2"/>
                <w:kern w:val="28"/>
                <w:sz w:val="22"/>
                <w:szCs w:val="22"/>
                <w:lang w:val="en-US" w:eastAsia="en-US" w:bidi="ar-SA"/>
              </w:rPr>
            </w:pPr>
            <w:r w:rsidRPr="00013C5D">
              <w:rPr>
                <w:b/>
                <w:snapToGrid w:val="0"/>
                <w:spacing w:val="-2"/>
                <w:kern w:val="28"/>
                <w:sz w:val="22"/>
                <w:szCs w:val="22"/>
                <w:lang w:val="en-US" w:eastAsia="en-US" w:bidi="ar-SA"/>
              </w:rPr>
              <w:t>)</w:t>
            </w:r>
          </w:p>
          <w:p w:rsidR="00D3760F" w:rsidRPr="00013C5D" w:rsidP="00AC73E3">
            <w:pPr>
              <w:widowControl w:val="0"/>
              <w:tabs>
                <w:tab w:val="center" w:pos="4680"/>
              </w:tabs>
              <w:suppressAutoHyphens/>
              <w:spacing w:line="276" w:lineRule="auto"/>
              <w:rPr>
                <w:rStyle w:val="DefaultParagraphFont"/>
                <w:b/>
                <w:snapToGrid w:val="0"/>
                <w:spacing w:val="-2"/>
                <w:kern w:val="28"/>
                <w:sz w:val="22"/>
                <w:szCs w:val="22"/>
                <w:lang w:val="en-US" w:eastAsia="en-US" w:bidi="ar-SA"/>
              </w:rPr>
            </w:pPr>
            <w:r w:rsidRPr="00013C5D">
              <w:rPr>
                <w:b/>
                <w:snapToGrid w:val="0"/>
                <w:spacing w:val="-2"/>
                <w:kern w:val="28"/>
                <w:sz w:val="22"/>
                <w:szCs w:val="22"/>
                <w:lang w:val="en-US" w:eastAsia="en-US" w:bidi="ar-SA"/>
              </w:rPr>
              <w:t>)</w:t>
            </w:r>
          </w:p>
          <w:p w:rsidR="00AC73E3" w:rsidRPr="00013C5D" w:rsidP="00AC73E3">
            <w:pPr>
              <w:widowControl w:val="0"/>
              <w:tabs>
                <w:tab w:val="center" w:pos="4680"/>
              </w:tabs>
              <w:suppressAutoHyphens/>
              <w:spacing w:line="276" w:lineRule="auto"/>
              <w:rPr>
                <w:rStyle w:val="DefaultParagraphFont"/>
                <w:b/>
                <w:snapToGrid w:val="0"/>
                <w:spacing w:val="-2"/>
                <w:kern w:val="28"/>
                <w:sz w:val="22"/>
                <w:szCs w:val="22"/>
                <w:lang w:val="en-US" w:eastAsia="en-US" w:bidi="ar-SA"/>
              </w:rPr>
            </w:pPr>
            <w:r w:rsidRPr="00013C5D">
              <w:rPr>
                <w:b/>
                <w:snapToGrid w:val="0"/>
                <w:spacing w:val="-2"/>
                <w:kern w:val="28"/>
                <w:sz w:val="22"/>
                <w:szCs w:val="22"/>
                <w:lang w:val="en-US" w:eastAsia="en-US" w:bidi="ar-SA"/>
              </w:rPr>
              <w:t>)</w:t>
            </w:r>
          </w:p>
          <w:p w:rsidR="00D3760F" w:rsidRPr="00013C5D" w:rsidP="00AC73E3">
            <w:pPr>
              <w:widowControl w:val="0"/>
              <w:tabs>
                <w:tab w:val="center" w:pos="4680"/>
              </w:tabs>
              <w:suppressAutoHyphens/>
              <w:spacing w:line="276" w:lineRule="auto"/>
              <w:rPr>
                <w:rStyle w:val="DefaultParagraphFont"/>
                <w:snapToGrid w:val="0"/>
                <w:spacing w:val="-2"/>
                <w:kern w:val="28"/>
                <w:sz w:val="22"/>
                <w:szCs w:val="22"/>
                <w:lang w:val="en-US" w:eastAsia="en-US" w:bidi="ar-SA"/>
              </w:rPr>
            </w:pPr>
          </w:p>
        </w:tc>
        <w:tc>
          <w:tcPr>
            <w:tcW w:w="2218" w:type="pct"/>
          </w:tcPr>
          <w:p w:rsidR="005107A3" w:rsidRPr="00013C5D" w:rsidP="00AC73E3">
            <w:pPr>
              <w:widowControl w:val="0"/>
              <w:tabs>
                <w:tab w:val="center" w:pos="4680"/>
              </w:tabs>
              <w:suppressAutoHyphens/>
              <w:spacing w:line="276" w:lineRule="auto"/>
              <w:ind w:left="432"/>
              <w:rPr>
                <w:rStyle w:val="DefaultParagraphFont"/>
                <w:snapToGrid w:val="0"/>
                <w:spacing w:val="-2"/>
                <w:kern w:val="28"/>
                <w:sz w:val="22"/>
                <w:szCs w:val="22"/>
                <w:lang w:val="en-US" w:eastAsia="en-US" w:bidi="ar-SA"/>
              </w:rPr>
            </w:pPr>
          </w:p>
          <w:p w:rsidR="006B1BD9" w:rsidRPr="00013C5D" w:rsidP="00AC73E3">
            <w:pPr>
              <w:widowControl w:val="0"/>
              <w:tabs>
                <w:tab w:val="center" w:pos="4680"/>
              </w:tabs>
              <w:suppressAutoHyphens/>
              <w:spacing w:line="276" w:lineRule="auto"/>
              <w:ind w:left="432"/>
              <w:rPr>
                <w:rStyle w:val="DefaultParagraphFont"/>
                <w:snapToGrid w:val="0"/>
                <w:spacing w:val="-2"/>
                <w:kern w:val="28"/>
                <w:sz w:val="22"/>
                <w:szCs w:val="22"/>
                <w:lang w:val="en-US" w:eastAsia="en-US" w:bidi="ar-SA"/>
              </w:rPr>
            </w:pPr>
          </w:p>
          <w:p w:rsidR="00AC73E3" w:rsidRPr="00013C5D" w:rsidP="00AC73E3">
            <w:pPr>
              <w:keepNext/>
              <w:widowControl w:val="0"/>
              <w:rPr>
                <w:rStyle w:val="DefaultParagraphFont"/>
                <w:snapToGrid w:val="0"/>
                <w:kern w:val="28"/>
                <w:sz w:val="22"/>
                <w:szCs w:val="22"/>
                <w:lang w:val="en-US" w:eastAsia="en-US" w:bidi="ar-SA"/>
              </w:rPr>
            </w:pPr>
            <w:r w:rsidRPr="00013C5D">
              <w:rPr>
                <w:snapToGrid w:val="0"/>
                <w:kern w:val="28"/>
                <w:sz w:val="22"/>
                <w:szCs w:val="22"/>
                <w:lang w:val="en-US" w:eastAsia="en-US" w:bidi="ar-SA"/>
              </w:rPr>
              <w:t>MD Docket No. 1</w:t>
            </w:r>
            <w:r w:rsidR="00B4569C">
              <w:rPr>
                <w:snapToGrid w:val="0"/>
                <w:kern w:val="28"/>
                <w:sz w:val="22"/>
                <w:szCs w:val="22"/>
                <w:lang w:val="en-US" w:eastAsia="en-US" w:bidi="ar-SA"/>
              </w:rPr>
              <w:t>7</w:t>
            </w:r>
            <w:r w:rsidRPr="00013C5D">
              <w:rPr>
                <w:snapToGrid w:val="0"/>
                <w:kern w:val="28"/>
                <w:sz w:val="22"/>
                <w:szCs w:val="22"/>
                <w:lang w:val="en-US" w:eastAsia="en-US" w:bidi="ar-SA"/>
              </w:rPr>
              <w:t>-</w:t>
            </w:r>
            <w:r w:rsidR="00CE150F">
              <w:rPr>
                <w:snapToGrid w:val="0"/>
                <w:kern w:val="28"/>
                <w:sz w:val="22"/>
                <w:szCs w:val="22"/>
                <w:lang w:val="en-US" w:eastAsia="en-US" w:bidi="ar-SA"/>
              </w:rPr>
              <w:t>357</w:t>
            </w:r>
          </w:p>
          <w:p w:rsidR="006B1BD9" w:rsidRPr="00013C5D" w:rsidP="00AC73E3">
            <w:pPr>
              <w:widowControl w:val="0"/>
              <w:tabs>
                <w:tab w:val="center" w:pos="4680"/>
              </w:tabs>
              <w:suppressAutoHyphens/>
              <w:spacing w:line="276" w:lineRule="auto"/>
              <w:ind w:firstLine="432"/>
              <w:rPr>
                <w:rStyle w:val="DefaultParagraphFont"/>
                <w:snapToGrid w:val="0"/>
                <w:spacing w:val="-2"/>
                <w:kern w:val="28"/>
                <w:sz w:val="22"/>
                <w:szCs w:val="22"/>
                <w:lang w:val="en-US" w:eastAsia="en-US" w:bidi="ar-SA"/>
              </w:rPr>
            </w:pPr>
          </w:p>
        </w:tc>
      </w:tr>
    </w:tbl>
    <w:p w:rsidR="00D3760F" w:rsidRPr="00013C5D" w:rsidP="003476EE">
      <w:pPr>
        <w:pStyle w:val="StyleBoldCentered"/>
        <w:tabs>
          <w:tab w:val="center" w:pos="4680"/>
          <w:tab w:val="left" w:pos="8112"/>
        </w:tabs>
        <w:spacing w:line="276" w:lineRule="auto"/>
        <w:jc w:val="left"/>
        <w:rPr>
          <w:rFonts w:ascii="Times New Roman" w:hAnsi="Times New Roman"/>
        </w:rPr>
      </w:pPr>
      <w:r>
        <w:rPr>
          <w:rFonts w:ascii="Times New Roman" w:hAnsi="Times New Roman"/>
        </w:rPr>
        <w:tab/>
      </w:r>
      <w:r w:rsidRPr="00013C5D" w:rsidR="006603BF">
        <w:rPr>
          <w:rFonts w:ascii="Times New Roman" w:hAnsi="Times New Roman"/>
        </w:rPr>
        <w:t>ORDER</w:t>
      </w:r>
      <w:r>
        <w:rPr>
          <w:rFonts w:ascii="Times New Roman" w:hAnsi="Times New Roman"/>
        </w:rPr>
        <w:tab/>
      </w:r>
    </w:p>
    <w:p w:rsidR="00D3760F" w:rsidRPr="00013C5D" w:rsidP="00AC73E3">
      <w:pPr>
        <w:tabs>
          <w:tab w:val="left" w:pos="-720"/>
        </w:tabs>
        <w:suppressAutoHyphens/>
        <w:spacing w:line="276" w:lineRule="auto"/>
        <w:rPr>
          <w:spacing w:val="-2"/>
          <w:szCs w:val="22"/>
        </w:rPr>
      </w:pPr>
    </w:p>
    <w:p w:rsidR="00A97151" w:rsidRPr="00BB229F" w:rsidP="00A97151">
      <w:pPr>
        <w:tabs>
          <w:tab w:val="left" w:pos="720"/>
          <w:tab w:val="right" w:pos="9360"/>
        </w:tabs>
        <w:suppressAutoHyphens/>
        <w:spacing w:line="227" w:lineRule="auto"/>
        <w:rPr>
          <w:b/>
          <w:spacing w:val="-2"/>
        </w:rPr>
      </w:pPr>
      <w:r w:rsidRPr="00BB229F">
        <w:rPr>
          <w:b/>
          <w:spacing w:val="-2"/>
        </w:rPr>
        <w:t xml:space="preserve">Adopted:  </w:t>
      </w:r>
      <w:r>
        <w:rPr>
          <w:b/>
          <w:spacing w:val="-2"/>
        </w:rPr>
        <w:t xml:space="preserve">December </w:t>
      </w:r>
      <w:r w:rsidR="00600EA2">
        <w:rPr>
          <w:b/>
          <w:spacing w:val="-2"/>
        </w:rPr>
        <w:t>1, 2017</w:t>
      </w:r>
      <w:r w:rsidRPr="00BB229F">
        <w:rPr>
          <w:b/>
          <w:spacing w:val="-2"/>
        </w:rPr>
        <w:tab/>
        <w:t xml:space="preserve">Released:  </w:t>
      </w:r>
      <w:r>
        <w:rPr>
          <w:b/>
          <w:spacing w:val="-2"/>
        </w:rPr>
        <w:t xml:space="preserve">December </w:t>
      </w:r>
      <w:r w:rsidR="00CE150F">
        <w:rPr>
          <w:b/>
          <w:spacing w:val="-2"/>
        </w:rPr>
        <w:t>18</w:t>
      </w:r>
      <w:r w:rsidR="00600EA2">
        <w:rPr>
          <w:b/>
          <w:spacing w:val="-2"/>
        </w:rPr>
        <w:t>, 2017</w:t>
      </w:r>
    </w:p>
    <w:p w:rsidR="00D3760F" w:rsidRPr="00013C5D" w:rsidP="00AC73E3">
      <w:pPr>
        <w:spacing w:line="276" w:lineRule="auto"/>
        <w:jc w:val="center"/>
        <w:rPr>
          <w:szCs w:val="22"/>
        </w:rPr>
      </w:pPr>
    </w:p>
    <w:p w:rsidR="008A1FB7" w:rsidRPr="00013C5D" w:rsidP="002A3DEA">
      <w:pPr>
        <w:spacing w:after="240"/>
        <w:rPr>
          <w:szCs w:val="22"/>
        </w:rPr>
      </w:pPr>
      <w:r w:rsidRPr="00013C5D">
        <w:rPr>
          <w:szCs w:val="22"/>
        </w:rPr>
        <w:t>By the Commission</w:t>
      </w:r>
      <w:r w:rsidRPr="00013C5D" w:rsidR="002D62DA">
        <w:rPr>
          <w:szCs w:val="22"/>
        </w:rPr>
        <w:t>:</w:t>
      </w:r>
    </w:p>
    <w:p w:rsidR="00FA6540" w:rsidRPr="00944624" w:rsidP="002A3DEA">
      <w:pPr>
        <w:pStyle w:val="ParaNum"/>
        <w:rPr>
          <w:szCs w:val="22"/>
        </w:rPr>
      </w:pPr>
      <w:r w:rsidRPr="00944624">
        <w:rPr>
          <w:szCs w:val="22"/>
        </w:rPr>
        <w:t xml:space="preserve">In </w:t>
      </w:r>
      <w:r w:rsidRPr="00944624" w:rsidR="00AC73E3">
        <w:rPr>
          <w:szCs w:val="22"/>
        </w:rPr>
        <w:t xml:space="preserve">this Order, </w:t>
      </w:r>
      <w:r w:rsidRPr="00944624" w:rsidR="00972A3F">
        <w:rPr>
          <w:szCs w:val="22"/>
        </w:rPr>
        <w:t>we reduce expenditures</w:t>
      </w:r>
      <w:r w:rsidR="00B87606">
        <w:rPr>
          <w:szCs w:val="22"/>
        </w:rPr>
        <w:t xml:space="preserve"> by the </w:t>
      </w:r>
      <w:r w:rsidRPr="00944624" w:rsidR="00B87606">
        <w:rPr>
          <w:szCs w:val="22"/>
        </w:rPr>
        <w:t>Federal Communications Commission (</w:t>
      </w:r>
      <w:r w:rsidR="00B87606">
        <w:rPr>
          <w:szCs w:val="22"/>
        </w:rPr>
        <w:t>FCC or Commission)</w:t>
      </w:r>
      <w:r w:rsidRPr="00944624" w:rsidR="00972A3F">
        <w:rPr>
          <w:szCs w:val="22"/>
        </w:rPr>
        <w:t xml:space="preserve"> and modernize procedures by </w:t>
      </w:r>
      <w:r w:rsidRPr="00944624" w:rsidR="00AC73E3">
        <w:rPr>
          <w:szCs w:val="22"/>
        </w:rPr>
        <w:t>amend</w:t>
      </w:r>
      <w:r w:rsidRPr="00944624" w:rsidR="00972A3F">
        <w:rPr>
          <w:szCs w:val="22"/>
        </w:rPr>
        <w:t>ing</w:t>
      </w:r>
      <w:r w:rsidRPr="00944624" w:rsidR="00AC73E3">
        <w:rPr>
          <w:szCs w:val="22"/>
        </w:rPr>
        <w:t xml:space="preserve"> </w:t>
      </w:r>
      <w:r w:rsidRPr="00944624" w:rsidR="00972A3F">
        <w:rPr>
          <w:szCs w:val="22"/>
        </w:rPr>
        <w:t>S</w:t>
      </w:r>
      <w:r w:rsidRPr="00944624" w:rsidR="000E18AE">
        <w:rPr>
          <w:szCs w:val="22"/>
        </w:rPr>
        <w:t>ection 1.110</w:t>
      </w:r>
      <w:r w:rsidRPr="00944624" w:rsidR="004E69C2">
        <w:rPr>
          <w:szCs w:val="22"/>
        </w:rPr>
        <w:t>5</w:t>
      </w:r>
      <w:r>
        <w:rPr>
          <w:rStyle w:val="FootnoteReference"/>
          <w:sz w:val="22"/>
          <w:szCs w:val="22"/>
        </w:rPr>
        <w:footnoteReference w:id="3"/>
      </w:r>
      <w:r w:rsidRPr="00944624" w:rsidR="00972A3F">
        <w:rPr>
          <w:szCs w:val="22"/>
        </w:rPr>
        <w:t xml:space="preserve"> </w:t>
      </w:r>
      <w:r w:rsidRPr="00944624" w:rsidR="00B1677C">
        <w:rPr>
          <w:szCs w:val="22"/>
        </w:rPr>
        <w:t xml:space="preserve">of our rules, </w:t>
      </w:r>
      <w:r w:rsidRPr="00944624" w:rsidR="006F0124">
        <w:rPr>
          <w:szCs w:val="22"/>
        </w:rPr>
        <w:t xml:space="preserve">which sets forth the </w:t>
      </w:r>
      <w:r w:rsidRPr="00944624" w:rsidR="001B168C">
        <w:rPr>
          <w:szCs w:val="22"/>
        </w:rPr>
        <w:t xml:space="preserve">application </w:t>
      </w:r>
      <w:r w:rsidRPr="00944624" w:rsidR="006F0124">
        <w:rPr>
          <w:szCs w:val="22"/>
        </w:rPr>
        <w:t xml:space="preserve">fee </w:t>
      </w:r>
      <w:r w:rsidRPr="00944624" w:rsidR="006D7BEF">
        <w:rPr>
          <w:szCs w:val="22"/>
        </w:rPr>
        <w:t xml:space="preserve">for </w:t>
      </w:r>
      <w:r w:rsidRPr="00944624" w:rsidR="001B168C">
        <w:rPr>
          <w:szCs w:val="22"/>
        </w:rPr>
        <w:t>petitions filed with the</w:t>
      </w:r>
      <w:r w:rsidR="00B87606">
        <w:rPr>
          <w:szCs w:val="22"/>
        </w:rPr>
        <w:t xml:space="preserve"> FCC’s</w:t>
      </w:r>
      <w:r w:rsidRPr="00944624" w:rsidR="001B168C">
        <w:rPr>
          <w:szCs w:val="22"/>
        </w:rPr>
        <w:t xml:space="preserve"> </w:t>
      </w:r>
      <w:r w:rsidRPr="00944624" w:rsidR="004E69C2">
        <w:rPr>
          <w:szCs w:val="22"/>
        </w:rPr>
        <w:t>Wireline Competition Bureau</w:t>
      </w:r>
      <w:r w:rsidRPr="00944624" w:rsidR="00C57081">
        <w:rPr>
          <w:szCs w:val="22"/>
        </w:rPr>
        <w:t xml:space="preserve"> (WCB)</w:t>
      </w:r>
      <w:r w:rsidRPr="00944624" w:rsidR="00650A10">
        <w:rPr>
          <w:szCs w:val="22"/>
        </w:rPr>
        <w:t>, t</w:t>
      </w:r>
      <w:r w:rsidR="00417418">
        <w:rPr>
          <w:szCs w:val="22"/>
        </w:rPr>
        <w:t>o reflect the closure of the post</w:t>
      </w:r>
      <w:r w:rsidR="00064186">
        <w:rPr>
          <w:szCs w:val="22"/>
        </w:rPr>
        <w:t xml:space="preserve"> </w:t>
      </w:r>
      <w:r w:rsidR="00417418">
        <w:rPr>
          <w:szCs w:val="22"/>
        </w:rPr>
        <w:t>office</w:t>
      </w:r>
      <w:r w:rsidR="00064186">
        <w:rPr>
          <w:szCs w:val="22"/>
        </w:rPr>
        <w:t xml:space="preserve"> (P.O.)</w:t>
      </w:r>
      <w:r w:rsidR="00160AB9">
        <w:rPr>
          <w:szCs w:val="22"/>
        </w:rPr>
        <w:t xml:space="preserve"> B</w:t>
      </w:r>
      <w:r w:rsidRPr="00944624" w:rsidR="00650A10">
        <w:rPr>
          <w:szCs w:val="22"/>
        </w:rPr>
        <w:t>ox</w:t>
      </w:r>
      <w:r>
        <w:rPr>
          <w:rStyle w:val="FootnoteReference"/>
          <w:sz w:val="22"/>
          <w:szCs w:val="22"/>
        </w:rPr>
        <w:footnoteReference w:id="4"/>
      </w:r>
      <w:r w:rsidRPr="00944624" w:rsidR="00650A10">
        <w:rPr>
          <w:szCs w:val="22"/>
        </w:rPr>
        <w:t xml:space="preserve"> used for manual filings </w:t>
      </w:r>
      <w:r w:rsidRPr="00944624" w:rsidR="0068519E">
        <w:rPr>
          <w:szCs w:val="22"/>
        </w:rPr>
        <w:t xml:space="preserve">with </w:t>
      </w:r>
      <w:r w:rsidRPr="00944624" w:rsidR="00650A10">
        <w:rPr>
          <w:szCs w:val="22"/>
        </w:rPr>
        <w:t>WCB</w:t>
      </w:r>
      <w:r w:rsidR="00B87606">
        <w:rPr>
          <w:szCs w:val="22"/>
        </w:rPr>
        <w:t xml:space="preserve">.  We </w:t>
      </w:r>
      <w:r w:rsidRPr="00944624" w:rsidR="00574C96">
        <w:rPr>
          <w:szCs w:val="22"/>
        </w:rPr>
        <w:t>require</w:t>
      </w:r>
      <w:r w:rsidRPr="00944624" w:rsidR="00650A10">
        <w:rPr>
          <w:szCs w:val="22"/>
        </w:rPr>
        <w:t xml:space="preserve"> the use of </w:t>
      </w:r>
      <w:r w:rsidRPr="00944624" w:rsidR="0068519E">
        <w:rPr>
          <w:szCs w:val="22"/>
        </w:rPr>
        <w:t xml:space="preserve">an </w:t>
      </w:r>
      <w:r w:rsidRPr="00944624" w:rsidR="00650A10">
        <w:rPr>
          <w:szCs w:val="22"/>
        </w:rPr>
        <w:t>electronic payment</w:t>
      </w:r>
      <w:r w:rsidRPr="00944624" w:rsidR="0068519E">
        <w:rPr>
          <w:szCs w:val="22"/>
        </w:rPr>
        <w:t xml:space="preserve"> system</w:t>
      </w:r>
      <w:r w:rsidRPr="00944624" w:rsidR="003B5B9E">
        <w:rPr>
          <w:szCs w:val="22"/>
        </w:rPr>
        <w:t xml:space="preserve"> and</w:t>
      </w:r>
      <w:r w:rsidR="000C02CB">
        <w:rPr>
          <w:szCs w:val="22"/>
        </w:rPr>
        <w:t>, wherever possible,</w:t>
      </w:r>
      <w:r w:rsidRPr="00944624" w:rsidR="003B5B9E">
        <w:rPr>
          <w:szCs w:val="22"/>
        </w:rPr>
        <w:t xml:space="preserve"> electronic filing</w:t>
      </w:r>
      <w:r w:rsidRPr="00944624" w:rsidR="000E18AE">
        <w:rPr>
          <w:szCs w:val="22"/>
        </w:rPr>
        <w:t>.</w:t>
      </w:r>
      <w:r w:rsidRPr="00944624" w:rsidR="00B4569C">
        <w:rPr>
          <w:szCs w:val="22"/>
        </w:rPr>
        <w:t xml:space="preserve"> </w:t>
      </w:r>
      <w:r w:rsidRPr="00944624" w:rsidR="004634BC">
        <w:rPr>
          <w:szCs w:val="22"/>
        </w:rPr>
        <w:t xml:space="preserve"> </w:t>
      </w:r>
      <w:r w:rsidRPr="00944624" w:rsidR="00B62C64">
        <w:rPr>
          <w:szCs w:val="22"/>
        </w:rPr>
        <w:t>Consistent with this change, w</w:t>
      </w:r>
      <w:r w:rsidRPr="00944624" w:rsidR="004634BC">
        <w:rPr>
          <w:szCs w:val="22"/>
        </w:rPr>
        <w:t xml:space="preserve">e also </w:t>
      </w:r>
      <w:r w:rsidRPr="00944624" w:rsidR="00E13AF8">
        <w:rPr>
          <w:szCs w:val="22"/>
        </w:rPr>
        <w:t xml:space="preserve">make </w:t>
      </w:r>
      <w:r w:rsidRPr="00944624" w:rsidR="0068519E">
        <w:rPr>
          <w:szCs w:val="22"/>
        </w:rPr>
        <w:t xml:space="preserve">conforming </w:t>
      </w:r>
      <w:r w:rsidRPr="00944624" w:rsidR="004634BC">
        <w:rPr>
          <w:szCs w:val="22"/>
        </w:rPr>
        <w:t>revis</w:t>
      </w:r>
      <w:r w:rsidRPr="00944624" w:rsidR="00E13AF8">
        <w:rPr>
          <w:szCs w:val="22"/>
        </w:rPr>
        <w:t>ions to</w:t>
      </w:r>
      <w:r w:rsidRPr="00944624" w:rsidR="004634BC">
        <w:rPr>
          <w:szCs w:val="22"/>
        </w:rPr>
        <w:t xml:space="preserve"> </w:t>
      </w:r>
      <w:r w:rsidRPr="00944624" w:rsidR="00005F30">
        <w:rPr>
          <w:szCs w:val="22"/>
        </w:rPr>
        <w:t>S</w:t>
      </w:r>
      <w:r w:rsidRPr="00944624" w:rsidR="004634BC">
        <w:rPr>
          <w:szCs w:val="22"/>
        </w:rPr>
        <w:t xml:space="preserve">ections </w:t>
      </w:r>
      <w:r w:rsidRPr="00944624" w:rsidR="002A142E">
        <w:rPr>
          <w:szCs w:val="22"/>
        </w:rPr>
        <w:t>0.401,</w:t>
      </w:r>
      <w:r>
        <w:rPr>
          <w:rStyle w:val="FootnoteReference"/>
          <w:sz w:val="22"/>
          <w:szCs w:val="22"/>
        </w:rPr>
        <w:footnoteReference w:id="5"/>
      </w:r>
      <w:r w:rsidRPr="00944624" w:rsidR="002A142E">
        <w:rPr>
          <w:szCs w:val="22"/>
        </w:rPr>
        <w:t xml:space="preserve"> 1.49,</w:t>
      </w:r>
      <w:r>
        <w:rPr>
          <w:rStyle w:val="FootnoteReference"/>
          <w:sz w:val="22"/>
          <w:szCs w:val="22"/>
        </w:rPr>
        <w:footnoteReference w:id="6"/>
      </w:r>
      <w:r w:rsidRPr="00944624" w:rsidR="002A142E">
        <w:rPr>
          <w:szCs w:val="22"/>
        </w:rPr>
        <w:t xml:space="preserve"> 1.51,</w:t>
      </w:r>
      <w:r>
        <w:rPr>
          <w:rStyle w:val="FootnoteReference"/>
          <w:sz w:val="22"/>
          <w:szCs w:val="22"/>
        </w:rPr>
        <w:footnoteReference w:id="7"/>
      </w:r>
      <w:r w:rsidRPr="00944624" w:rsidR="002A142E">
        <w:rPr>
          <w:szCs w:val="22"/>
        </w:rPr>
        <w:t xml:space="preserve"> 1.52,</w:t>
      </w:r>
      <w:r>
        <w:rPr>
          <w:rStyle w:val="FootnoteReference"/>
          <w:sz w:val="22"/>
          <w:szCs w:val="22"/>
        </w:rPr>
        <w:footnoteReference w:id="8"/>
      </w:r>
      <w:r w:rsidRPr="00944624" w:rsidR="002A142E">
        <w:rPr>
          <w:szCs w:val="22"/>
        </w:rPr>
        <w:t xml:space="preserve"> </w:t>
      </w:r>
      <w:r w:rsidRPr="00944624" w:rsidR="004634BC">
        <w:rPr>
          <w:szCs w:val="22"/>
        </w:rPr>
        <w:t>1.742,</w:t>
      </w:r>
      <w:r>
        <w:rPr>
          <w:rStyle w:val="FootnoteReference"/>
          <w:sz w:val="22"/>
          <w:szCs w:val="22"/>
        </w:rPr>
        <w:footnoteReference w:id="9"/>
      </w:r>
      <w:r w:rsidRPr="00944624" w:rsidR="004634BC">
        <w:rPr>
          <w:szCs w:val="22"/>
        </w:rPr>
        <w:t xml:space="preserve"> </w:t>
      </w:r>
      <w:r w:rsidRPr="00944624" w:rsidR="002A142E">
        <w:rPr>
          <w:szCs w:val="22"/>
        </w:rPr>
        <w:t>1.1105,</w:t>
      </w:r>
      <w:r>
        <w:rPr>
          <w:rStyle w:val="FootnoteReference"/>
          <w:sz w:val="22"/>
          <w:szCs w:val="22"/>
        </w:rPr>
        <w:footnoteReference w:id="10"/>
      </w:r>
      <w:r w:rsidRPr="00944624" w:rsidR="002A142E">
        <w:rPr>
          <w:szCs w:val="22"/>
        </w:rPr>
        <w:t xml:space="preserve"> 1.1111-1.1113,</w:t>
      </w:r>
      <w:r>
        <w:rPr>
          <w:rStyle w:val="FootnoteReference"/>
          <w:sz w:val="22"/>
          <w:szCs w:val="22"/>
        </w:rPr>
        <w:footnoteReference w:id="11"/>
      </w:r>
      <w:r w:rsidRPr="00944624" w:rsidR="002A142E">
        <w:rPr>
          <w:szCs w:val="22"/>
        </w:rPr>
        <w:t xml:space="preserve"> 1.1119,</w:t>
      </w:r>
      <w:r>
        <w:rPr>
          <w:rStyle w:val="FootnoteReference"/>
          <w:sz w:val="22"/>
          <w:szCs w:val="22"/>
        </w:rPr>
        <w:footnoteReference w:id="12"/>
      </w:r>
      <w:r w:rsidRPr="00944624" w:rsidR="002A142E">
        <w:rPr>
          <w:szCs w:val="22"/>
        </w:rPr>
        <w:t xml:space="preserve"> </w:t>
      </w:r>
      <w:r w:rsidRPr="00944624" w:rsidR="004634BC">
        <w:rPr>
          <w:szCs w:val="22"/>
        </w:rPr>
        <w:t>51.329</w:t>
      </w:r>
      <w:r w:rsidRPr="00944624" w:rsidR="00AC4BAE">
        <w:rPr>
          <w:szCs w:val="22"/>
        </w:rPr>
        <w:t>(c)(2)</w:t>
      </w:r>
      <w:r w:rsidRPr="00944624" w:rsidR="004634BC">
        <w:rPr>
          <w:szCs w:val="22"/>
        </w:rPr>
        <w:t>,</w:t>
      </w:r>
      <w:r>
        <w:rPr>
          <w:rStyle w:val="FootnoteReference"/>
          <w:sz w:val="22"/>
          <w:szCs w:val="22"/>
        </w:rPr>
        <w:footnoteReference w:id="13"/>
      </w:r>
      <w:r w:rsidRPr="00944624" w:rsidR="004634BC">
        <w:rPr>
          <w:szCs w:val="22"/>
        </w:rPr>
        <w:t xml:space="preserve"> 61.13,</w:t>
      </w:r>
      <w:r>
        <w:rPr>
          <w:rStyle w:val="FootnoteReference"/>
          <w:sz w:val="22"/>
          <w:szCs w:val="22"/>
        </w:rPr>
        <w:footnoteReference w:id="14"/>
      </w:r>
      <w:r w:rsidRPr="00944624" w:rsidR="004634BC">
        <w:rPr>
          <w:szCs w:val="22"/>
        </w:rPr>
        <w:t xml:space="preserve"> 61.14,</w:t>
      </w:r>
      <w:r>
        <w:rPr>
          <w:rStyle w:val="FootnoteReference"/>
          <w:sz w:val="22"/>
          <w:szCs w:val="22"/>
        </w:rPr>
        <w:footnoteReference w:id="15"/>
      </w:r>
      <w:r w:rsidRPr="00944624" w:rsidR="004634BC">
        <w:rPr>
          <w:szCs w:val="22"/>
        </w:rPr>
        <w:t xml:space="preserve"> 61.17</w:t>
      </w:r>
      <w:r w:rsidRPr="00944624" w:rsidR="000546F9">
        <w:rPr>
          <w:szCs w:val="22"/>
        </w:rPr>
        <w:t>(d)</w:t>
      </w:r>
      <w:r w:rsidRPr="00944624" w:rsidR="004634BC">
        <w:rPr>
          <w:szCs w:val="22"/>
        </w:rPr>
        <w:t>,</w:t>
      </w:r>
      <w:r>
        <w:rPr>
          <w:rStyle w:val="FootnoteReference"/>
          <w:sz w:val="22"/>
          <w:szCs w:val="22"/>
        </w:rPr>
        <w:footnoteReference w:id="16"/>
      </w:r>
      <w:r w:rsidRPr="00944624" w:rsidR="004634BC">
        <w:rPr>
          <w:szCs w:val="22"/>
        </w:rPr>
        <w:t xml:space="preserve"> and 61.20</w:t>
      </w:r>
      <w:r w:rsidRPr="00944624">
        <w:rPr>
          <w:szCs w:val="22"/>
        </w:rPr>
        <w:t>(b)</w:t>
      </w:r>
      <w:r w:rsidRPr="00944624" w:rsidR="004634BC">
        <w:rPr>
          <w:szCs w:val="22"/>
        </w:rPr>
        <w:t>,</w:t>
      </w:r>
      <w:r>
        <w:rPr>
          <w:rStyle w:val="FootnoteReference"/>
          <w:sz w:val="22"/>
          <w:szCs w:val="22"/>
        </w:rPr>
        <w:footnoteReference w:id="17"/>
      </w:r>
      <w:r w:rsidRPr="00944624" w:rsidR="004634BC">
        <w:rPr>
          <w:szCs w:val="22"/>
        </w:rPr>
        <w:t xml:space="preserve"> </w:t>
      </w:r>
      <w:r w:rsidRPr="00944624" w:rsidR="002A142E">
        <w:rPr>
          <w:szCs w:val="22"/>
        </w:rPr>
        <w:t>to account for electronic filing of fees,</w:t>
      </w:r>
      <w:r w:rsidRPr="00944624" w:rsidR="004634BC">
        <w:rPr>
          <w:szCs w:val="22"/>
        </w:rPr>
        <w:t xml:space="preserve"> tariffs, petitions, and applications </w:t>
      </w:r>
      <w:r w:rsidRPr="00944624" w:rsidR="0068519E">
        <w:rPr>
          <w:szCs w:val="22"/>
        </w:rPr>
        <w:t xml:space="preserve">with </w:t>
      </w:r>
      <w:r w:rsidRPr="00944624" w:rsidR="004634BC">
        <w:rPr>
          <w:szCs w:val="22"/>
        </w:rPr>
        <w:t xml:space="preserve">the </w:t>
      </w:r>
      <w:r w:rsidRPr="00944624" w:rsidR="00C57081">
        <w:rPr>
          <w:szCs w:val="22"/>
        </w:rPr>
        <w:t>WCB</w:t>
      </w:r>
      <w:r w:rsidRPr="00944624" w:rsidR="00E13AF8">
        <w:rPr>
          <w:szCs w:val="22"/>
        </w:rPr>
        <w:t xml:space="preserve">, as described </w:t>
      </w:r>
      <w:r w:rsidRPr="00944624" w:rsidR="00B62C64">
        <w:rPr>
          <w:szCs w:val="22"/>
        </w:rPr>
        <w:t xml:space="preserve">more fully </w:t>
      </w:r>
      <w:r w:rsidRPr="00944624" w:rsidR="00E13AF8">
        <w:rPr>
          <w:szCs w:val="22"/>
        </w:rPr>
        <w:t>below</w:t>
      </w:r>
      <w:r w:rsidRPr="00944624" w:rsidR="004634BC">
        <w:rPr>
          <w:szCs w:val="22"/>
        </w:rPr>
        <w:t xml:space="preserve">. </w:t>
      </w:r>
    </w:p>
    <w:p w:rsidR="002A1C8D" w:rsidRPr="00944624" w:rsidP="002A3DEA">
      <w:pPr>
        <w:pStyle w:val="ParaNum"/>
        <w:rPr>
          <w:szCs w:val="22"/>
        </w:rPr>
      </w:pPr>
      <w:r w:rsidRPr="00944624">
        <w:rPr>
          <w:szCs w:val="22"/>
        </w:rPr>
        <w:t>S</w:t>
      </w:r>
      <w:r w:rsidRPr="00944624" w:rsidR="00732242">
        <w:rPr>
          <w:szCs w:val="22"/>
        </w:rPr>
        <w:t xml:space="preserve">ection </w:t>
      </w:r>
      <w:r w:rsidRPr="00944624" w:rsidR="00E35FDA">
        <w:rPr>
          <w:szCs w:val="22"/>
        </w:rPr>
        <w:t>1.110</w:t>
      </w:r>
      <w:r w:rsidRPr="00944624" w:rsidR="00732242">
        <w:rPr>
          <w:szCs w:val="22"/>
        </w:rPr>
        <w:t>5</w:t>
      </w:r>
      <w:r w:rsidRPr="00944624" w:rsidR="00E35FDA">
        <w:rPr>
          <w:szCs w:val="22"/>
        </w:rPr>
        <w:t xml:space="preserve"> of the Commission’s rules</w:t>
      </w:r>
      <w:r>
        <w:rPr>
          <w:rStyle w:val="FootnoteReference"/>
          <w:sz w:val="22"/>
          <w:szCs w:val="22"/>
        </w:rPr>
        <w:footnoteReference w:id="18"/>
      </w:r>
      <w:r w:rsidRPr="00944624" w:rsidR="00E35FDA">
        <w:rPr>
          <w:szCs w:val="22"/>
        </w:rPr>
        <w:t xml:space="preserve"> </w:t>
      </w:r>
      <w:r w:rsidR="00CB5450">
        <w:rPr>
          <w:szCs w:val="22"/>
        </w:rPr>
        <w:t xml:space="preserve">has </w:t>
      </w:r>
      <w:r w:rsidRPr="00944624" w:rsidR="00E35FDA">
        <w:rPr>
          <w:szCs w:val="22"/>
        </w:rPr>
        <w:t>provid</w:t>
      </w:r>
      <w:r w:rsidRPr="00944624" w:rsidR="00732242">
        <w:rPr>
          <w:szCs w:val="22"/>
        </w:rPr>
        <w:t>e</w:t>
      </w:r>
      <w:r w:rsidR="00CB5450">
        <w:rPr>
          <w:szCs w:val="22"/>
        </w:rPr>
        <w:t>d</w:t>
      </w:r>
      <w:r w:rsidRPr="00944624" w:rsidR="00E35FDA">
        <w:rPr>
          <w:szCs w:val="22"/>
        </w:rPr>
        <w:t xml:space="preserve"> </w:t>
      </w:r>
      <w:r w:rsidRPr="00944624" w:rsidR="00F606E1">
        <w:rPr>
          <w:szCs w:val="22"/>
        </w:rPr>
        <w:t xml:space="preserve">a schedule </w:t>
      </w:r>
      <w:r w:rsidRPr="00944624" w:rsidR="00CC7C5E">
        <w:rPr>
          <w:szCs w:val="22"/>
        </w:rPr>
        <w:t>of</w:t>
      </w:r>
      <w:r w:rsidRPr="00944624" w:rsidR="00F12FA6">
        <w:rPr>
          <w:szCs w:val="22"/>
        </w:rPr>
        <w:t xml:space="preserve"> processing</w:t>
      </w:r>
      <w:r w:rsidRPr="00944624" w:rsidR="00E35FDA">
        <w:rPr>
          <w:szCs w:val="22"/>
        </w:rPr>
        <w:t xml:space="preserve"> </w:t>
      </w:r>
      <w:r w:rsidRPr="00944624" w:rsidR="001C7DDF">
        <w:rPr>
          <w:szCs w:val="22"/>
        </w:rPr>
        <w:t>fees</w:t>
      </w:r>
      <w:r w:rsidRPr="00944624" w:rsidR="00F12FA6">
        <w:rPr>
          <w:szCs w:val="22"/>
        </w:rPr>
        <w:t xml:space="preserve"> for</w:t>
      </w:r>
      <w:r w:rsidRPr="00944624" w:rsidR="001C7DDF">
        <w:rPr>
          <w:szCs w:val="22"/>
        </w:rPr>
        <w:t xml:space="preserve"> </w:t>
      </w:r>
      <w:r w:rsidRPr="00944624" w:rsidR="00732242">
        <w:rPr>
          <w:szCs w:val="22"/>
        </w:rPr>
        <w:t xml:space="preserve">applications, </w:t>
      </w:r>
      <w:r w:rsidRPr="00944624" w:rsidR="00F12FA6">
        <w:rPr>
          <w:szCs w:val="22"/>
        </w:rPr>
        <w:t>tariffs</w:t>
      </w:r>
      <w:r w:rsidR="004671EB">
        <w:rPr>
          <w:szCs w:val="22"/>
        </w:rPr>
        <w:t>,</w:t>
      </w:r>
      <w:r w:rsidRPr="00944624" w:rsidR="00F12FA6">
        <w:rPr>
          <w:szCs w:val="22"/>
        </w:rPr>
        <w:t xml:space="preserve"> </w:t>
      </w:r>
      <w:r w:rsidRPr="00944624" w:rsidR="00732242">
        <w:rPr>
          <w:szCs w:val="22"/>
        </w:rPr>
        <w:t xml:space="preserve">and petitions processed by the </w:t>
      </w:r>
      <w:r w:rsidRPr="00944624" w:rsidR="00A7143E">
        <w:rPr>
          <w:szCs w:val="22"/>
        </w:rPr>
        <w:t>WCB</w:t>
      </w:r>
      <w:r w:rsidRPr="00944624" w:rsidR="00F606E1">
        <w:rPr>
          <w:szCs w:val="22"/>
        </w:rPr>
        <w:t xml:space="preserve">.  The rule </w:t>
      </w:r>
      <w:r w:rsidR="00CB5450">
        <w:rPr>
          <w:szCs w:val="22"/>
        </w:rPr>
        <w:t xml:space="preserve">had </w:t>
      </w:r>
      <w:r w:rsidRPr="00944624" w:rsidR="00F12FA6">
        <w:rPr>
          <w:szCs w:val="22"/>
        </w:rPr>
        <w:t xml:space="preserve">also </w:t>
      </w:r>
      <w:r w:rsidRPr="00944624" w:rsidR="00F606E1">
        <w:rPr>
          <w:szCs w:val="22"/>
        </w:rPr>
        <w:t>direct</w:t>
      </w:r>
      <w:r w:rsidR="00CB5450">
        <w:rPr>
          <w:szCs w:val="22"/>
        </w:rPr>
        <w:t>ed</w:t>
      </w:r>
      <w:r w:rsidRPr="00944624" w:rsidR="00F606E1">
        <w:rPr>
          <w:szCs w:val="22"/>
        </w:rPr>
        <w:t xml:space="preserve"> filers, who do not </w:t>
      </w:r>
      <w:r w:rsidRPr="00944624" w:rsidR="001C7DDF">
        <w:rPr>
          <w:szCs w:val="22"/>
        </w:rPr>
        <w:t>utilize the Commission’s</w:t>
      </w:r>
      <w:r w:rsidRPr="00944624" w:rsidR="00F606E1">
        <w:rPr>
          <w:szCs w:val="22"/>
        </w:rPr>
        <w:t xml:space="preserve"> on-line </w:t>
      </w:r>
      <w:r w:rsidRPr="00944624" w:rsidR="00F12FA6">
        <w:rPr>
          <w:szCs w:val="22"/>
        </w:rPr>
        <w:t xml:space="preserve">filing and fee payment </w:t>
      </w:r>
      <w:r w:rsidRPr="00944624" w:rsidR="00F606E1">
        <w:rPr>
          <w:szCs w:val="22"/>
        </w:rPr>
        <w:t>systems</w:t>
      </w:r>
      <w:r w:rsidRPr="00944624" w:rsidR="00F12FA6">
        <w:rPr>
          <w:szCs w:val="22"/>
        </w:rPr>
        <w:t>,</w:t>
      </w:r>
      <w:r w:rsidRPr="00944624" w:rsidR="001C7DDF">
        <w:rPr>
          <w:szCs w:val="22"/>
        </w:rPr>
        <w:t xml:space="preserve"> </w:t>
      </w:r>
      <w:r w:rsidRPr="00944624" w:rsidR="00F606E1">
        <w:rPr>
          <w:szCs w:val="22"/>
        </w:rPr>
        <w:t xml:space="preserve">to send </w:t>
      </w:r>
      <w:r w:rsidRPr="00944624" w:rsidR="00F12FA6">
        <w:rPr>
          <w:szCs w:val="22"/>
        </w:rPr>
        <w:t xml:space="preserve">manual </w:t>
      </w:r>
      <w:r w:rsidRPr="00944624" w:rsidR="00F606E1">
        <w:rPr>
          <w:szCs w:val="22"/>
        </w:rPr>
        <w:t>filings and payments</w:t>
      </w:r>
      <w:r w:rsidRPr="00944624" w:rsidR="00732242">
        <w:rPr>
          <w:szCs w:val="22"/>
        </w:rPr>
        <w:t xml:space="preserve"> to </w:t>
      </w:r>
      <w:r w:rsidRPr="00944624" w:rsidR="00E35FDA">
        <w:rPr>
          <w:szCs w:val="22"/>
        </w:rPr>
        <w:t>P.O. Box 97909</w:t>
      </w:r>
      <w:r w:rsidRPr="00944624" w:rsidR="00732242">
        <w:rPr>
          <w:szCs w:val="22"/>
        </w:rPr>
        <w:t>1</w:t>
      </w:r>
      <w:r w:rsidRPr="00944624" w:rsidR="00E35FDA">
        <w:rPr>
          <w:szCs w:val="22"/>
        </w:rPr>
        <w:t xml:space="preserve"> at U.S. Bank in St. Louis, Missouri.</w:t>
      </w:r>
      <w:r>
        <w:rPr>
          <w:rStyle w:val="FootnoteReference"/>
          <w:sz w:val="22"/>
          <w:szCs w:val="22"/>
        </w:rPr>
        <w:footnoteReference w:id="19"/>
      </w:r>
      <w:r w:rsidRPr="00944624" w:rsidR="000C0446">
        <w:rPr>
          <w:szCs w:val="22"/>
        </w:rPr>
        <w:t xml:space="preserve">  </w:t>
      </w:r>
    </w:p>
    <w:p w:rsidR="007F547C" w:rsidRPr="00944624" w:rsidP="002A3DEA">
      <w:pPr>
        <w:pStyle w:val="ParaNum"/>
        <w:rPr>
          <w:szCs w:val="22"/>
        </w:rPr>
      </w:pPr>
      <w:r w:rsidRPr="00944624">
        <w:rPr>
          <w:szCs w:val="22"/>
        </w:rPr>
        <w:t xml:space="preserve">The </w:t>
      </w:r>
      <w:r w:rsidRPr="00944624" w:rsidR="008B5BD1">
        <w:rPr>
          <w:szCs w:val="22"/>
        </w:rPr>
        <w:t xml:space="preserve">Commission </w:t>
      </w:r>
      <w:r w:rsidRPr="00944624">
        <w:rPr>
          <w:szCs w:val="22"/>
        </w:rPr>
        <w:t xml:space="preserve">has </w:t>
      </w:r>
      <w:r w:rsidRPr="00944624" w:rsidR="00FF580C">
        <w:rPr>
          <w:szCs w:val="22"/>
        </w:rPr>
        <w:t xml:space="preserve">reduced its use of </w:t>
      </w:r>
      <w:r w:rsidRPr="00944624" w:rsidR="008B5BD1">
        <w:rPr>
          <w:szCs w:val="22"/>
        </w:rPr>
        <w:t xml:space="preserve">P.O. Boxes </w:t>
      </w:r>
      <w:r w:rsidRPr="00944624" w:rsidR="00FF580C">
        <w:rPr>
          <w:szCs w:val="22"/>
        </w:rPr>
        <w:t xml:space="preserve">for the collection of fees and encouraged the use of </w:t>
      </w:r>
      <w:r w:rsidRPr="00944624" w:rsidR="008B5BD1">
        <w:rPr>
          <w:szCs w:val="22"/>
        </w:rPr>
        <w:t>electronic payment system</w:t>
      </w:r>
      <w:r w:rsidRPr="00944624" w:rsidR="00FF580C">
        <w:rPr>
          <w:szCs w:val="22"/>
        </w:rPr>
        <w:t xml:space="preserve">s </w:t>
      </w:r>
      <w:r w:rsidRPr="00944624" w:rsidR="008A1FB7">
        <w:rPr>
          <w:szCs w:val="22"/>
        </w:rPr>
        <w:t>for all application and regulatory fees</w:t>
      </w:r>
      <w:r w:rsidRPr="00944624" w:rsidR="008B5BD1">
        <w:rPr>
          <w:szCs w:val="22"/>
        </w:rPr>
        <w:t>.</w:t>
      </w:r>
      <w:r>
        <w:rPr>
          <w:rStyle w:val="FootnoteReference"/>
          <w:sz w:val="22"/>
          <w:szCs w:val="22"/>
        </w:rPr>
        <w:footnoteReference w:id="20"/>
      </w:r>
      <w:r w:rsidRPr="00944624" w:rsidR="006E5FE9">
        <w:rPr>
          <w:szCs w:val="22"/>
        </w:rPr>
        <w:t xml:space="preserve">  </w:t>
      </w:r>
      <w:r w:rsidR="004671EB">
        <w:rPr>
          <w:szCs w:val="22"/>
        </w:rPr>
        <w:t>We find that e</w:t>
      </w:r>
      <w:r w:rsidRPr="00944624" w:rsidR="008B5BD1">
        <w:rPr>
          <w:szCs w:val="22"/>
        </w:rPr>
        <w:t xml:space="preserve">lectronic payment </w:t>
      </w:r>
      <w:r w:rsidR="004671EB">
        <w:rPr>
          <w:szCs w:val="22"/>
        </w:rPr>
        <w:t xml:space="preserve">of fees for applications, tariffs, and petitions processed by the WCB </w:t>
      </w:r>
      <w:r w:rsidRPr="00944624" w:rsidR="00E27775">
        <w:rPr>
          <w:szCs w:val="22"/>
        </w:rPr>
        <w:t>increase</w:t>
      </w:r>
      <w:r w:rsidR="004671EB">
        <w:rPr>
          <w:szCs w:val="22"/>
        </w:rPr>
        <w:t>s</w:t>
      </w:r>
      <w:r w:rsidRPr="00944624" w:rsidR="00E27775">
        <w:rPr>
          <w:szCs w:val="22"/>
        </w:rPr>
        <w:t xml:space="preserve"> the agency’s financial efficiency by reducing expenditures, including the annual fee for utilizing the bank’s services as well as the cost to manually process each transaction</w:t>
      </w:r>
      <w:r w:rsidRPr="00944624" w:rsidR="00FF580C">
        <w:rPr>
          <w:szCs w:val="22"/>
        </w:rPr>
        <w:t>, with little or no inconvenience to our regulatees</w:t>
      </w:r>
      <w:r w:rsidRPr="00944624" w:rsidR="006E5FE9">
        <w:rPr>
          <w:szCs w:val="22"/>
        </w:rPr>
        <w:t>, applicants and the public</w:t>
      </w:r>
      <w:r w:rsidRPr="00944624" w:rsidR="000C0446">
        <w:rPr>
          <w:szCs w:val="22"/>
        </w:rPr>
        <w:t>.</w:t>
      </w:r>
      <w:r>
        <w:rPr>
          <w:rStyle w:val="FootnoteReference"/>
          <w:sz w:val="22"/>
          <w:szCs w:val="22"/>
        </w:rPr>
        <w:footnoteReference w:id="21"/>
      </w:r>
    </w:p>
    <w:p w:rsidR="004B6ECD" w:rsidP="004B6ECD">
      <w:pPr>
        <w:pStyle w:val="ParaNum"/>
        <w:rPr>
          <w:szCs w:val="22"/>
        </w:rPr>
      </w:pPr>
      <w:r w:rsidRPr="00944624">
        <w:rPr>
          <w:szCs w:val="22"/>
        </w:rPr>
        <w:t>As p</w:t>
      </w:r>
      <w:r w:rsidRPr="00944624" w:rsidR="00E27775">
        <w:rPr>
          <w:szCs w:val="22"/>
        </w:rPr>
        <w:t>a</w:t>
      </w:r>
      <w:r w:rsidRPr="00944624">
        <w:rPr>
          <w:szCs w:val="22"/>
        </w:rPr>
        <w:t xml:space="preserve">rt of this effort, </w:t>
      </w:r>
      <w:r w:rsidRPr="00944624" w:rsidR="00E27775">
        <w:rPr>
          <w:szCs w:val="22"/>
        </w:rPr>
        <w:t xml:space="preserve">we </w:t>
      </w:r>
      <w:r w:rsidRPr="00944624" w:rsidR="008536C8">
        <w:rPr>
          <w:szCs w:val="22"/>
        </w:rPr>
        <w:t xml:space="preserve">are </w:t>
      </w:r>
      <w:r w:rsidRPr="00944624" w:rsidR="00F606E1">
        <w:rPr>
          <w:szCs w:val="22"/>
        </w:rPr>
        <w:t xml:space="preserve">now </w:t>
      </w:r>
      <w:r w:rsidRPr="00944624" w:rsidR="00637EEC">
        <w:rPr>
          <w:szCs w:val="22"/>
        </w:rPr>
        <w:t>clos</w:t>
      </w:r>
      <w:r w:rsidRPr="00944624" w:rsidR="008536C8">
        <w:rPr>
          <w:szCs w:val="22"/>
        </w:rPr>
        <w:t>ing</w:t>
      </w:r>
      <w:r w:rsidRPr="00944624" w:rsidR="00637EEC">
        <w:rPr>
          <w:szCs w:val="22"/>
        </w:rPr>
        <w:t xml:space="preserve"> </w:t>
      </w:r>
      <w:r w:rsidRPr="00944624" w:rsidR="001E0FE8">
        <w:rPr>
          <w:szCs w:val="22"/>
        </w:rPr>
        <w:t>P.O. Box 979091</w:t>
      </w:r>
      <w:r w:rsidRPr="00944624" w:rsidR="000C0446">
        <w:rPr>
          <w:szCs w:val="22"/>
        </w:rPr>
        <w:t xml:space="preserve"> and </w:t>
      </w:r>
      <w:r w:rsidRPr="00944624" w:rsidR="00FF580C">
        <w:rPr>
          <w:szCs w:val="22"/>
        </w:rPr>
        <w:t xml:space="preserve">modifying </w:t>
      </w:r>
      <w:r w:rsidRPr="00944624" w:rsidR="000C0446">
        <w:rPr>
          <w:szCs w:val="22"/>
        </w:rPr>
        <w:t>the relevant rule provisions that require payment of fees and/or processing of filings via the closed P.O. Box</w:t>
      </w:r>
      <w:r w:rsidRPr="00944624" w:rsidR="008E3DAE">
        <w:rPr>
          <w:szCs w:val="22"/>
        </w:rPr>
        <w:t xml:space="preserve">.  </w:t>
      </w:r>
      <w:r w:rsidRPr="00944624" w:rsidR="003A048D">
        <w:rPr>
          <w:szCs w:val="22"/>
        </w:rPr>
        <w:t>Our action here to close this lockbox and require electronic payments for any WCB-related fees, as well as encouraging the electronic filing of WCB-related petitions and applications, has implications for existing Commission regulations other than Section 1.1105.  Thus</w:t>
      </w:r>
      <w:r w:rsidRPr="00944624" w:rsidR="00FF580C">
        <w:rPr>
          <w:szCs w:val="22"/>
        </w:rPr>
        <w:t>,</w:t>
      </w:r>
      <w:r w:rsidRPr="00944624" w:rsidR="003A048D">
        <w:rPr>
          <w:szCs w:val="22"/>
        </w:rPr>
        <w:t xml:space="preserve"> we also revis</w:t>
      </w:r>
      <w:r w:rsidRPr="00944624" w:rsidR="00FF580C">
        <w:rPr>
          <w:szCs w:val="22"/>
        </w:rPr>
        <w:t xml:space="preserve">e </w:t>
      </w:r>
      <w:r w:rsidRPr="00944624" w:rsidR="003A048D">
        <w:rPr>
          <w:szCs w:val="22"/>
        </w:rPr>
        <w:t xml:space="preserve">Sections </w:t>
      </w:r>
      <w:r w:rsidRPr="00944624" w:rsidR="002A142E">
        <w:rPr>
          <w:szCs w:val="22"/>
        </w:rPr>
        <w:t xml:space="preserve">0.401, 1.49, 1.51, 1.52, </w:t>
      </w:r>
      <w:r w:rsidRPr="00944624" w:rsidR="003A048D">
        <w:rPr>
          <w:szCs w:val="22"/>
        </w:rPr>
        <w:t xml:space="preserve">1.742, </w:t>
      </w:r>
      <w:r w:rsidRPr="00944624" w:rsidR="002A142E">
        <w:rPr>
          <w:szCs w:val="22"/>
        </w:rPr>
        <w:t xml:space="preserve">1.1111, 1.1112, 1.1113, 1.1119, </w:t>
      </w:r>
      <w:r w:rsidRPr="00944624" w:rsidR="003A048D">
        <w:rPr>
          <w:szCs w:val="22"/>
        </w:rPr>
        <w:t>51.329(c)(2), 61.13, 61.14, 61.17(d), and 61.20.</w:t>
      </w:r>
      <w:r>
        <w:rPr>
          <w:rStyle w:val="FootnoteReference"/>
          <w:sz w:val="22"/>
          <w:szCs w:val="22"/>
        </w:rPr>
        <w:footnoteReference w:id="22"/>
      </w:r>
      <w:r w:rsidRPr="00944624" w:rsidR="003A048D">
        <w:rPr>
          <w:szCs w:val="22"/>
        </w:rPr>
        <w:t xml:space="preserve">  </w:t>
      </w:r>
      <w:r w:rsidRPr="00944624" w:rsidR="002A142E">
        <w:rPr>
          <w:szCs w:val="22"/>
        </w:rPr>
        <w:t xml:space="preserve">These additional rules are modified to </w:t>
      </w:r>
      <w:r w:rsidRPr="00944624" w:rsidR="003A048D">
        <w:rPr>
          <w:szCs w:val="22"/>
        </w:rPr>
        <w:t>eliminate references to P.O. Box 979091</w:t>
      </w:r>
      <w:r w:rsidRPr="00944624" w:rsidR="002A142E">
        <w:rPr>
          <w:szCs w:val="22"/>
        </w:rPr>
        <w:t xml:space="preserve">, </w:t>
      </w:r>
      <w:r w:rsidRPr="00944624" w:rsidR="003A048D">
        <w:rPr>
          <w:szCs w:val="22"/>
        </w:rPr>
        <w:t>encourage electronic filing of WCB related applications when practicable</w:t>
      </w:r>
      <w:r w:rsidRPr="00944624" w:rsidR="002A142E">
        <w:rPr>
          <w:szCs w:val="22"/>
        </w:rPr>
        <w:t>, and clarify where other filing rules only apply to paper filings</w:t>
      </w:r>
      <w:r w:rsidRPr="00944624" w:rsidR="006B4428">
        <w:rPr>
          <w:szCs w:val="22"/>
        </w:rPr>
        <w:t xml:space="preserve"> to avoid confusion</w:t>
      </w:r>
      <w:r w:rsidRPr="00944624" w:rsidR="003A048D">
        <w:rPr>
          <w:szCs w:val="22"/>
        </w:rPr>
        <w:t xml:space="preserve">.  </w:t>
      </w:r>
      <w:r w:rsidRPr="00944624" w:rsidR="002A142E">
        <w:rPr>
          <w:szCs w:val="22"/>
        </w:rPr>
        <w:t xml:space="preserve">For instance, </w:t>
      </w:r>
      <w:r w:rsidRPr="00944624" w:rsidR="003A048D">
        <w:rPr>
          <w:szCs w:val="22"/>
        </w:rPr>
        <w:t>Sections 61.13, 61.14, 61.17(d) and 61.20(b) are revised to require carriers to utilize the electronic filing process for all tariff publications and related documents whenever practicable, and directs manual filers to the web page of the FCC’s Office of the Secretary for procedures for submitting hard copies.</w:t>
      </w:r>
      <w:r w:rsidRPr="00944624" w:rsidR="003B33E5">
        <w:rPr>
          <w:szCs w:val="22"/>
        </w:rPr>
        <w:t xml:space="preserve">  </w:t>
      </w:r>
      <w:r w:rsidRPr="00944624" w:rsidR="000C0446">
        <w:rPr>
          <w:szCs w:val="22"/>
        </w:rPr>
        <w:t xml:space="preserve">The </w:t>
      </w:r>
      <w:r w:rsidRPr="00944624" w:rsidR="00E27775">
        <w:rPr>
          <w:szCs w:val="22"/>
        </w:rPr>
        <w:t>rule</w:t>
      </w:r>
      <w:r w:rsidRPr="00944624" w:rsidR="000C0446">
        <w:rPr>
          <w:szCs w:val="22"/>
        </w:rPr>
        <w:t xml:space="preserve"> </w:t>
      </w:r>
      <w:r w:rsidRPr="00944624" w:rsidR="008A1FB7">
        <w:rPr>
          <w:szCs w:val="22"/>
        </w:rPr>
        <w:t>change</w:t>
      </w:r>
      <w:r w:rsidRPr="00944624" w:rsidR="008E7460">
        <w:rPr>
          <w:szCs w:val="22"/>
        </w:rPr>
        <w:t>s</w:t>
      </w:r>
      <w:r w:rsidRPr="00944624" w:rsidR="00E27775">
        <w:rPr>
          <w:szCs w:val="22"/>
        </w:rPr>
        <w:t xml:space="preserve"> </w:t>
      </w:r>
      <w:r w:rsidRPr="00944624" w:rsidR="000C0446">
        <w:rPr>
          <w:szCs w:val="22"/>
        </w:rPr>
        <w:t xml:space="preserve">are contained in the </w:t>
      </w:r>
      <w:r w:rsidR="00417418">
        <w:rPr>
          <w:szCs w:val="22"/>
        </w:rPr>
        <w:t xml:space="preserve">attached </w:t>
      </w:r>
      <w:r w:rsidRPr="00944624" w:rsidR="00E27775">
        <w:rPr>
          <w:szCs w:val="22"/>
        </w:rPr>
        <w:t xml:space="preserve">Appendix. </w:t>
      </w:r>
      <w:r w:rsidRPr="00944624" w:rsidR="00E35FDA">
        <w:rPr>
          <w:szCs w:val="22"/>
        </w:rPr>
        <w:t xml:space="preserve"> </w:t>
      </w:r>
      <w:r w:rsidRPr="00944624" w:rsidR="003B33E5">
        <w:rPr>
          <w:szCs w:val="22"/>
        </w:rPr>
        <w:t>We make these changes without notice and comment because they are rules of agency organization, procedure, or practice exempt from the general notice-and-comment requirements of the Administrative Procedure Act</w:t>
      </w:r>
      <w:r w:rsidRPr="00944624" w:rsidR="00FE081A">
        <w:rPr>
          <w:szCs w:val="22"/>
        </w:rPr>
        <w:t>.</w:t>
      </w:r>
      <w:r>
        <w:rPr>
          <w:rStyle w:val="FootnoteReference"/>
          <w:sz w:val="22"/>
          <w:szCs w:val="22"/>
        </w:rPr>
        <w:footnoteReference w:id="23"/>
      </w:r>
    </w:p>
    <w:p w:rsidR="00B4628C" w:rsidRPr="004B6ECD" w:rsidP="004B6ECD">
      <w:pPr>
        <w:pStyle w:val="ParaNum"/>
        <w:rPr>
          <w:szCs w:val="22"/>
        </w:rPr>
      </w:pPr>
      <w:r w:rsidRPr="004B6ECD">
        <w:rPr>
          <w:i/>
          <w:szCs w:val="22"/>
        </w:rPr>
        <w:t>Implementation</w:t>
      </w:r>
      <w:r w:rsidRPr="004B6ECD">
        <w:rPr>
          <w:szCs w:val="22"/>
        </w:rPr>
        <w:t xml:space="preserve">. </w:t>
      </w:r>
      <w:r w:rsidRPr="004B6ECD" w:rsidR="003C3C9E">
        <w:rPr>
          <w:szCs w:val="22"/>
        </w:rPr>
        <w:t xml:space="preserve"> As a temporary transition measure, for </w:t>
      </w:r>
      <w:r w:rsidRPr="004B6ECD" w:rsidR="006B4428">
        <w:rPr>
          <w:szCs w:val="22"/>
        </w:rPr>
        <w:t>90</w:t>
      </w:r>
      <w:r w:rsidRPr="004B6ECD" w:rsidR="003C3C9E">
        <w:rPr>
          <w:szCs w:val="22"/>
        </w:rPr>
        <w:t xml:space="preserve"> days after publication of this order in the Federal Register, payments and paper filings to P.O. Box 979091 will continue to be processed by U.S. Bank.  After that date, </w:t>
      </w:r>
      <w:r w:rsidRPr="004B6ECD">
        <w:rPr>
          <w:szCs w:val="22"/>
        </w:rPr>
        <w:t xml:space="preserve">payments for any WCB-related fee or service must be made in accordance with the procedures set forth on the Commission’s web site, </w:t>
      </w:r>
      <w:r>
        <w:fldChar w:fldCharType="begin"/>
      </w:r>
      <w:r>
        <w:instrText xml:space="preserve"> HYPERLINK "https://www.fcc.gov/licensing-databases/fees" </w:instrText>
      </w:r>
      <w:r>
        <w:fldChar w:fldCharType="separate"/>
      </w:r>
      <w:r w:rsidRPr="004B6ECD">
        <w:rPr>
          <w:rStyle w:val="Hyperlink"/>
          <w:szCs w:val="22"/>
        </w:rPr>
        <w:t>https://www.fcc.gov/licensing-databases/fees</w:t>
      </w:r>
      <w:r>
        <w:fldChar w:fldCharType="end"/>
      </w:r>
      <w:r w:rsidRPr="004B6ECD">
        <w:rPr>
          <w:szCs w:val="22"/>
        </w:rPr>
        <w:t xml:space="preserve">.  For now, such payments will be made through the Fee Filer Online System (Fee Filer), accessible at </w:t>
      </w:r>
      <w:r>
        <w:fldChar w:fldCharType="begin"/>
      </w:r>
      <w:r>
        <w:instrText xml:space="preserve"> HYPERLINK "https://www.fcc.gov/licensing-databases/fees/fee-filer" </w:instrText>
      </w:r>
      <w:r>
        <w:fldChar w:fldCharType="separate"/>
      </w:r>
      <w:r w:rsidRPr="004B6ECD">
        <w:rPr>
          <w:rStyle w:val="Hyperlink"/>
          <w:szCs w:val="22"/>
        </w:rPr>
        <w:t>https://www.fcc.gov/licensing-databases/fees/fee-filer</w:t>
      </w:r>
      <w:r>
        <w:fldChar w:fldCharType="end"/>
      </w:r>
      <w:r w:rsidRPr="004B6ECD">
        <w:rPr>
          <w:szCs w:val="22"/>
        </w:rPr>
        <w:t xml:space="preserve">.  As </w:t>
      </w:r>
      <w:r w:rsidRPr="004B6ECD">
        <w:rPr>
          <w:szCs w:val="22"/>
        </w:rPr>
        <w:t>we assess and implement U.S. Treasury initiatives toward an all-electronic payment system, we may transition to other secure payment systems with appropriate public notice and guidance.</w:t>
      </w:r>
      <w:r w:rsidRPr="004B6ECD">
        <w:rPr>
          <w:szCs w:val="22"/>
        </w:rPr>
        <w:t xml:space="preserve">  </w:t>
      </w:r>
      <w:r w:rsidRPr="004B6ECD">
        <w:rPr>
          <w:szCs w:val="22"/>
        </w:rPr>
        <w:t xml:space="preserve">To file applications, tariffs and petitions processed </w:t>
      </w:r>
      <w:r w:rsidRPr="004B6ECD">
        <w:rPr>
          <w:szCs w:val="22"/>
        </w:rPr>
        <w:t xml:space="preserve">by the WCB, parties should utilize, as applicable, the Commission’s Electronic Tariff Filing System for tariffs, which can be found at </w:t>
      </w:r>
      <w:r>
        <w:fldChar w:fldCharType="begin"/>
      </w:r>
      <w:r>
        <w:instrText xml:space="preserve"> HYPERLINK "https://apps.fcc.gov/etfs/etfsHome.action" </w:instrText>
      </w:r>
      <w:r>
        <w:fldChar w:fldCharType="separate"/>
      </w:r>
      <w:r w:rsidRPr="004B6ECD">
        <w:rPr>
          <w:rStyle w:val="Hyperlink"/>
          <w:szCs w:val="22"/>
        </w:rPr>
        <w:t>https://apps.fcc.gov/etfs/etfsHome.action</w:t>
      </w:r>
      <w:r>
        <w:fldChar w:fldCharType="end"/>
      </w:r>
      <w:r w:rsidRPr="004B6ECD">
        <w:rPr>
          <w:szCs w:val="22"/>
        </w:rPr>
        <w:t xml:space="preserve">, or the Electronic Comment Filing System (ECFS) for domestic 214 and other filings referenced in </w:t>
      </w:r>
      <w:r w:rsidRPr="004B6ECD" w:rsidR="0092315F">
        <w:rPr>
          <w:szCs w:val="22"/>
        </w:rPr>
        <w:t>Section</w:t>
      </w:r>
      <w:r w:rsidRPr="004B6ECD">
        <w:rPr>
          <w:szCs w:val="22"/>
        </w:rPr>
        <w:t xml:space="preserve"> 1.1105, which can be found at </w:t>
      </w:r>
      <w:r>
        <w:fldChar w:fldCharType="begin"/>
      </w:r>
      <w:r>
        <w:instrText xml:space="preserve"> HYPERLINK "http://apps.fcc.gov/ecfs/upload/display" </w:instrText>
      </w:r>
      <w:r>
        <w:fldChar w:fldCharType="separate"/>
      </w:r>
      <w:r w:rsidRPr="004B6ECD">
        <w:rPr>
          <w:rStyle w:val="Hyperlink"/>
          <w:szCs w:val="22"/>
        </w:rPr>
        <w:t>http://apps.fcc.gov/ecfs/upload/display</w:t>
      </w:r>
      <w:r>
        <w:fldChar w:fldCharType="end"/>
      </w:r>
      <w:r w:rsidRPr="004B6ECD">
        <w:rPr>
          <w:szCs w:val="22"/>
        </w:rPr>
        <w:t xml:space="preserve">.  Petitions filed in hard copy format should be submitted according to the procedures set forth on the web page of the FCC’s Office of the Secretary, </w:t>
      </w:r>
      <w:r>
        <w:fldChar w:fldCharType="begin"/>
      </w:r>
      <w:r>
        <w:instrText xml:space="preserve"> HYPERLINK "https://www.fcc.gov/secretary" </w:instrText>
      </w:r>
      <w:r>
        <w:fldChar w:fldCharType="separate"/>
      </w:r>
      <w:r w:rsidRPr="004B6ECD">
        <w:rPr>
          <w:rStyle w:val="Hyperlink"/>
          <w:szCs w:val="22"/>
        </w:rPr>
        <w:t>https://www.fcc.gov/secretary</w:t>
      </w:r>
      <w:r>
        <w:fldChar w:fldCharType="end"/>
      </w:r>
      <w:r w:rsidRPr="004B6ECD">
        <w:rPr>
          <w:szCs w:val="22"/>
        </w:rPr>
        <w:t xml:space="preserve">.  </w:t>
      </w:r>
    </w:p>
    <w:p w:rsidR="00D9647E" w:rsidRPr="00944624" w:rsidP="002A3DEA">
      <w:pPr>
        <w:pStyle w:val="ParaNum"/>
        <w:rPr>
          <w:szCs w:val="22"/>
        </w:rPr>
      </w:pPr>
      <w:r w:rsidRPr="00944624">
        <w:rPr>
          <w:i/>
          <w:szCs w:val="22"/>
        </w:rPr>
        <w:t>Regulatory Flexibility Act, Paperwork Reduction Act, and Congressional Review Act</w:t>
      </w:r>
      <w:r w:rsidRPr="00944624">
        <w:rPr>
          <w:szCs w:val="22"/>
        </w:rPr>
        <w:t>. Section 603 of the Regulatory Flexibility Act, as amended, requires a regulatory flexibility analysis in notice and comment rulemaking proceedings.</w:t>
      </w:r>
      <w:r>
        <w:rPr>
          <w:rStyle w:val="FootnoteReference"/>
          <w:sz w:val="22"/>
          <w:szCs w:val="22"/>
        </w:rPr>
        <w:footnoteReference w:id="24"/>
      </w:r>
      <w:r w:rsidRPr="00944624" w:rsidR="002B0795">
        <w:rPr>
          <w:szCs w:val="22"/>
        </w:rPr>
        <w:t xml:space="preserve"> </w:t>
      </w:r>
      <w:r w:rsidRPr="00944624" w:rsidR="00D200C6">
        <w:rPr>
          <w:szCs w:val="22"/>
        </w:rPr>
        <w:t xml:space="preserve"> </w:t>
      </w:r>
      <w:r w:rsidRPr="00944624">
        <w:rPr>
          <w:szCs w:val="22"/>
        </w:rPr>
        <w:t xml:space="preserve">As we are adopting these rules without notice and comment, no regulatory flexibility analysis is required. </w:t>
      </w:r>
      <w:r w:rsidRPr="00944624" w:rsidR="00D200C6">
        <w:rPr>
          <w:szCs w:val="22"/>
        </w:rPr>
        <w:t xml:space="preserve"> </w:t>
      </w:r>
      <w:r w:rsidRPr="00944624">
        <w:rPr>
          <w:szCs w:val="22"/>
        </w:rPr>
        <w:t>This document does not contain any new proposed information collection(s) subject to the Paperwork Reduction Act of 1995.</w:t>
      </w:r>
      <w:r>
        <w:rPr>
          <w:rStyle w:val="FootnoteReference"/>
          <w:sz w:val="22"/>
          <w:szCs w:val="22"/>
        </w:rPr>
        <w:footnoteReference w:id="25"/>
      </w:r>
      <w:r w:rsidRPr="00944624" w:rsidR="002B0795">
        <w:rPr>
          <w:szCs w:val="22"/>
        </w:rPr>
        <w:t xml:space="preserve">  </w:t>
      </w:r>
      <w:r w:rsidRPr="00944624">
        <w:rPr>
          <w:szCs w:val="22"/>
        </w:rPr>
        <w:t>In addition, therefore, it does not contain any new or modified “information collection burden for small business concerns with fewer than 25 employees,” pursuant to the Small Business Paperwork Relief Act of 2002.</w:t>
      </w:r>
      <w:r>
        <w:rPr>
          <w:rStyle w:val="FootnoteReference"/>
          <w:sz w:val="22"/>
          <w:szCs w:val="22"/>
        </w:rPr>
        <w:footnoteReference w:id="26"/>
      </w:r>
      <w:r w:rsidRPr="00944624" w:rsidR="002B0795">
        <w:rPr>
          <w:szCs w:val="22"/>
        </w:rPr>
        <w:t xml:space="preserve">  </w:t>
      </w:r>
      <w:r w:rsidRPr="00944624">
        <w:rPr>
          <w:szCs w:val="22"/>
        </w:rPr>
        <w:t>The Commission will not send a copy of this Order pursuant to the Congressional Review Act, see 5 U.S.C. § 801(a)(1)(A), because the adopted rules are rules of agency organization, procedure, or practice that do not “substantially affect the rights or obligations of non-agency parties.</w:t>
      </w:r>
      <w:r>
        <w:rPr>
          <w:rStyle w:val="FootnoteReference"/>
          <w:sz w:val="22"/>
          <w:szCs w:val="22"/>
        </w:rPr>
        <w:footnoteReference w:id="27"/>
      </w:r>
    </w:p>
    <w:p w:rsidR="00AC73E3" w:rsidRPr="00944624" w:rsidP="004B6ECD">
      <w:pPr>
        <w:pStyle w:val="ParaNum"/>
        <w:rPr>
          <w:szCs w:val="22"/>
        </w:rPr>
      </w:pPr>
      <w:r>
        <w:t>ACCORDINGLY, IT IS ORDERED, that pursuant to Sections 4(i) and 4(j) of the Communications Act of 1934, as amended, 47 U.S.C. §§ 154(i), 154(j), this ORDER is hereby ADOPTED and the rules set forth in the Appendix are hereby AMENDED effective 30 days after publication in the Federal Register.</w:t>
      </w:r>
      <w:r w:rsidRPr="00944624" w:rsidR="002B0795">
        <w:rPr>
          <w:szCs w:val="22"/>
        </w:rPr>
        <w:t xml:space="preserve"> </w:t>
      </w:r>
    </w:p>
    <w:p w:rsidR="00B1165B" w:rsidP="0017296B">
      <w:r w:rsidRPr="00944624">
        <w:rPr>
          <w:szCs w:val="22"/>
        </w:rPr>
        <w:tab/>
      </w:r>
      <w:r w:rsidRPr="00944624">
        <w:rPr>
          <w:szCs w:val="22"/>
        </w:rPr>
        <w:tab/>
      </w:r>
      <w:r w:rsidRPr="00944624">
        <w:rPr>
          <w:szCs w:val="22"/>
        </w:rPr>
        <w:tab/>
      </w:r>
      <w:r w:rsidRPr="00944624">
        <w:rPr>
          <w:szCs w:val="22"/>
        </w:rPr>
        <w:tab/>
      </w:r>
      <w:r w:rsidRPr="00944624">
        <w:rPr>
          <w:szCs w:val="22"/>
        </w:rPr>
        <w:tab/>
      </w:r>
      <w:r w:rsidRPr="00944624">
        <w:rPr>
          <w:szCs w:val="22"/>
        </w:rPr>
        <w:tab/>
      </w:r>
      <w:r>
        <w:tab/>
      </w:r>
      <w:r>
        <w:tab/>
      </w:r>
      <w:r>
        <w:tab/>
      </w:r>
      <w:r>
        <w:tab/>
      </w:r>
      <w:r>
        <w:tab/>
      </w:r>
      <w:r>
        <w:tab/>
      </w:r>
      <w:r>
        <w:tab/>
      </w:r>
      <w:r>
        <w:tab/>
      </w:r>
      <w:r>
        <w:tab/>
      </w:r>
      <w:r>
        <w:tab/>
      </w:r>
      <w:r>
        <w:tab/>
        <w:t>FEDERAL COMMUNICATIONS COMMISSION</w:t>
      </w:r>
    </w:p>
    <w:p w:rsidR="00B1165B" w:rsidP="0017296B"/>
    <w:p w:rsidR="00B1165B" w:rsidP="0017296B"/>
    <w:p w:rsidR="00B1165B" w:rsidP="0017296B"/>
    <w:p w:rsidR="00B1165B" w:rsidP="0017296B"/>
    <w:p w:rsidR="00B1165B" w:rsidP="0017296B">
      <w:r>
        <w:tab/>
      </w:r>
      <w:r>
        <w:tab/>
      </w:r>
      <w:r>
        <w:tab/>
      </w:r>
      <w:r>
        <w:tab/>
      </w:r>
      <w:r>
        <w:tab/>
      </w:r>
      <w:r>
        <w:tab/>
        <w:t>Marlene H. Dortch</w:t>
      </w:r>
    </w:p>
    <w:p w:rsidR="00B1165B" w:rsidP="0017296B">
      <w:r>
        <w:tab/>
      </w:r>
      <w:r>
        <w:tab/>
      </w:r>
      <w:r>
        <w:tab/>
      </w:r>
      <w:r>
        <w:tab/>
      </w:r>
      <w:r>
        <w:tab/>
      </w:r>
      <w:r>
        <w:tab/>
        <w:t>Secretary</w:t>
      </w:r>
    </w:p>
    <w:p w:rsidR="00B1165B" w:rsidP="00B1165B">
      <w:r>
        <w:tab/>
      </w:r>
    </w:p>
    <w:p w:rsidR="00AC73E3" w:rsidRPr="00944624" w:rsidP="002A3DEA">
      <w:pPr>
        <w:pStyle w:val="ParaNum"/>
        <w:numPr>
          <w:ilvl w:val="0"/>
          <w:numId w:val="0"/>
        </w:numPr>
        <w:spacing w:after="0"/>
        <w:rPr>
          <w:szCs w:val="22"/>
        </w:rPr>
      </w:pPr>
    </w:p>
    <w:p w:rsidR="00BA139C" w:rsidP="002A3DEA">
      <w:pPr>
        <w:autoSpaceDE w:val="0"/>
        <w:autoSpaceDN w:val="0"/>
        <w:adjustRightInd w:val="0"/>
        <w:spacing w:after="120"/>
        <w:jc w:val="center"/>
        <w:rPr>
          <w:b/>
          <w:caps/>
          <w:szCs w:val="22"/>
        </w:rPr>
        <w:sectPr w:rsidSect="0017214C">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rsidR="00AC73E3" w:rsidRPr="00944624" w:rsidP="002A3DEA">
      <w:pPr>
        <w:autoSpaceDE w:val="0"/>
        <w:autoSpaceDN w:val="0"/>
        <w:adjustRightInd w:val="0"/>
        <w:spacing w:after="120"/>
        <w:jc w:val="center"/>
        <w:rPr>
          <w:b/>
          <w:caps/>
          <w:szCs w:val="22"/>
        </w:rPr>
      </w:pPr>
      <w:r w:rsidRPr="00944624">
        <w:rPr>
          <w:b/>
          <w:caps/>
          <w:szCs w:val="22"/>
        </w:rPr>
        <w:t>Appendix</w:t>
      </w:r>
    </w:p>
    <w:p w:rsidR="00AC73E3" w:rsidRPr="00944624" w:rsidP="002A3DEA">
      <w:pPr>
        <w:autoSpaceDE w:val="0"/>
        <w:autoSpaceDN w:val="0"/>
        <w:adjustRightInd w:val="0"/>
        <w:jc w:val="center"/>
        <w:rPr>
          <w:b/>
          <w:szCs w:val="22"/>
        </w:rPr>
      </w:pPr>
      <w:r w:rsidRPr="00944624">
        <w:rPr>
          <w:b/>
          <w:szCs w:val="22"/>
        </w:rPr>
        <w:t>Final Rules</w:t>
      </w:r>
    </w:p>
    <w:p w:rsidR="00AC73E3" w:rsidRPr="00944624" w:rsidP="002A3DEA">
      <w:pPr>
        <w:pStyle w:val="ParaNum"/>
        <w:numPr>
          <w:ilvl w:val="0"/>
          <w:numId w:val="0"/>
        </w:numPr>
        <w:ind w:left="720"/>
        <w:rPr>
          <w:szCs w:val="22"/>
        </w:rPr>
      </w:pPr>
    </w:p>
    <w:p w:rsidR="00FA40F2" w:rsidRPr="00944624" w:rsidP="002A3DEA">
      <w:pPr>
        <w:autoSpaceDE w:val="0"/>
        <w:autoSpaceDN w:val="0"/>
        <w:adjustRightInd w:val="0"/>
        <w:rPr>
          <w:szCs w:val="22"/>
        </w:rPr>
      </w:pPr>
      <w:r w:rsidRPr="00944624">
        <w:rPr>
          <w:szCs w:val="22"/>
        </w:rPr>
        <w:t xml:space="preserve">Title 47 of the Code of Federal Regulations, Part </w:t>
      </w:r>
      <w:r w:rsidRPr="00944624" w:rsidR="00504021">
        <w:rPr>
          <w:szCs w:val="22"/>
        </w:rPr>
        <w:t>0</w:t>
      </w:r>
      <w:r w:rsidRPr="00944624">
        <w:rPr>
          <w:szCs w:val="22"/>
        </w:rPr>
        <w:t>, is amended as follows:</w:t>
      </w:r>
    </w:p>
    <w:p w:rsidR="00FA40F2"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PART 0 — COMMISSION AND ORGANIZATION</w:t>
      </w:r>
    </w:p>
    <w:p w:rsidR="00FA40F2" w:rsidRPr="00944624" w:rsidP="002A3DEA">
      <w:pPr>
        <w:pStyle w:val="ParaNum"/>
        <w:numPr>
          <w:ilvl w:val="0"/>
          <w:numId w:val="0"/>
        </w:numPr>
        <w:spacing w:after="0"/>
        <w:rPr>
          <w:szCs w:val="22"/>
        </w:rPr>
      </w:pPr>
    </w:p>
    <w:p w:rsidR="00FA40F2" w:rsidRPr="00944624" w:rsidP="004B6ECD">
      <w:pPr>
        <w:pStyle w:val="ParaNum"/>
        <w:numPr>
          <w:ilvl w:val="0"/>
          <w:numId w:val="13"/>
        </w:numPr>
        <w:spacing w:after="0"/>
        <w:rPr>
          <w:szCs w:val="22"/>
        </w:rPr>
      </w:pPr>
      <w:r w:rsidRPr="00944624">
        <w:rPr>
          <w:szCs w:val="22"/>
        </w:rPr>
        <w:t>The authority citation for Part 0 is revised to read as follows:</w:t>
      </w:r>
    </w:p>
    <w:p w:rsidR="00FA40F2"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 xml:space="preserve">Authority: </w:t>
      </w:r>
      <w:r w:rsidRPr="00944624" w:rsidR="00223CB3">
        <w:rPr>
          <w:szCs w:val="22"/>
        </w:rPr>
        <w:t>Sec. 5, 48 Stat. 1068, as amended; 47 U.S.C. 155, 225, unless otherwise noted.</w:t>
      </w:r>
    </w:p>
    <w:p w:rsidR="00FA40F2" w:rsidRPr="00944624" w:rsidP="002A3DEA">
      <w:pPr>
        <w:pStyle w:val="ParaNum"/>
        <w:numPr>
          <w:ilvl w:val="0"/>
          <w:numId w:val="0"/>
        </w:numPr>
        <w:spacing w:after="0"/>
        <w:rPr>
          <w:szCs w:val="22"/>
        </w:rPr>
      </w:pPr>
    </w:p>
    <w:p w:rsidR="00FA40F2" w:rsidRPr="00944624" w:rsidP="004B6ECD">
      <w:pPr>
        <w:pStyle w:val="ParaNum"/>
        <w:numPr>
          <w:ilvl w:val="0"/>
          <w:numId w:val="13"/>
        </w:numPr>
        <w:spacing w:after="0"/>
        <w:rPr>
          <w:szCs w:val="22"/>
        </w:rPr>
      </w:pPr>
      <w:r w:rsidRPr="00944624">
        <w:rPr>
          <w:szCs w:val="22"/>
        </w:rPr>
        <w:t>Amend § 0.401 as follows:</w:t>
      </w:r>
    </w:p>
    <w:p w:rsidR="00CE5E06"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 xml:space="preserve">§ 0.401 Location of Commission offices.  </w:t>
      </w:r>
    </w:p>
    <w:p w:rsidR="00FA40F2" w:rsidRPr="00944624" w:rsidP="002A3DEA">
      <w:pPr>
        <w:pStyle w:val="ParaNum"/>
        <w:numPr>
          <w:ilvl w:val="0"/>
          <w:numId w:val="0"/>
        </w:numPr>
        <w:spacing w:after="0"/>
        <w:rPr>
          <w:b/>
          <w:szCs w:val="22"/>
        </w:rPr>
      </w:pPr>
    </w:p>
    <w:p w:rsidR="00FA40F2" w:rsidRPr="00944624" w:rsidP="002A3DEA">
      <w:pPr>
        <w:pStyle w:val="ParaNum"/>
        <w:numPr>
          <w:ilvl w:val="0"/>
          <w:numId w:val="0"/>
        </w:numPr>
        <w:spacing w:after="0"/>
        <w:rPr>
          <w:szCs w:val="22"/>
        </w:rPr>
      </w:pPr>
      <w:r w:rsidRPr="00944624">
        <w:rPr>
          <w:szCs w:val="22"/>
        </w:rPr>
        <w:t>* * *</w:t>
      </w:r>
      <w:r w:rsidRPr="00944624" w:rsidR="00223CB3">
        <w:rPr>
          <w:szCs w:val="22"/>
        </w:rPr>
        <w:t xml:space="preserve"> * *</w:t>
      </w:r>
    </w:p>
    <w:p w:rsidR="00FA40F2"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 xml:space="preserve">(a) * * * </w:t>
      </w:r>
    </w:p>
    <w:p w:rsidR="00FA40F2"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 xml:space="preserve">(1) * * * </w:t>
      </w:r>
    </w:p>
    <w:p w:rsidR="00FA40F2"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 xml:space="preserve">(iii) Electronic filings, </w:t>
      </w:r>
      <w:r w:rsidRPr="00013A8A">
        <w:rPr>
          <w:szCs w:val="22"/>
        </w:rPr>
        <w:t xml:space="preserve">where </w:t>
      </w:r>
      <w:r w:rsidRPr="00013A8A" w:rsidR="0028120F">
        <w:rPr>
          <w:szCs w:val="22"/>
        </w:rPr>
        <w:t>required, recommended,</w:t>
      </w:r>
      <w:r w:rsidRPr="00013A8A">
        <w:rPr>
          <w:szCs w:val="22"/>
        </w:rPr>
        <w:t xml:space="preserve"> or permitted</w:t>
      </w:r>
      <w:r w:rsidRPr="00944624">
        <w:rPr>
          <w:szCs w:val="22"/>
        </w:rPr>
        <w:t>, must be transmitted as specified by the Commission or relevant Bureau or Office.</w:t>
      </w:r>
    </w:p>
    <w:p w:rsidR="00FA40F2"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 * *</w:t>
      </w:r>
      <w:r w:rsidRPr="00944624" w:rsidR="00223CB3">
        <w:rPr>
          <w:szCs w:val="22"/>
        </w:rPr>
        <w:t xml:space="preserve"> * *</w:t>
      </w:r>
    </w:p>
    <w:p w:rsidR="00223CB3"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 xml:space="preserve">(b) Applications or filings requiring the fees set forth at part 1, </w:t>
      </w:r>
      <w:r w:rsidRPr="00013A8A">
        <w:rPr>
          <w:szCs w:val="22"/>
        </w:rPr>
        <w:t xml:space="preserve">subpart G of the rules must be delivered </w:t>
      </w:r>
      <w:r w:rsidRPr="00013A8A" w:rsidR="00CE5E06">
        <w:rPr>
          <w:szCs w:val="22"/>
        </w:rPr>
        <w:t xml:space="preserve">through the appropriate electronic filing system </w:t>
      </w:r>
      <w:r w:rsidRPr="00013A8A">
        <w:rPr>
          <w:szCs w:val="22"/>
        </w:rPr>
        <w:t>with the correct</w:t>
      </w:r>
      <w:r w:rsidRPr="00944624">
        <w:rPr>
          <w:szCs w:val="22"/>
        </w:rPr>
        <w:t xml:space="preserve"> fee and completed Fee Form attached to the application or filing, unless otherwise directed by the Commission. In the case of any conflict between this rule subpart and other rules establishing filing locations for submissions subject to a fee, this subpart shall govern.</w:t>
      </w:r>
    </w:p>
    <w:p w:rsidR="00E55901"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Note:</w:t>
      </w:r>
      <w:r w:rsidRPr="00944624" w:rsidR="00223CB3">
        <w:rPr>
          <w:szCs w:val="22"/>
        </w:rPr>
        <w:t xml:space="preserve"> </w:t>
      </w:r>
      <w:r w:rsidRPr="00944624" w:rsidR="006B4428">
        <w:rPr>
          <w:szCs w:val="22"/>
        </w:rPr>
        <w:t>* * *</w:t>
      </w:r>
    </w:p>
    <w:p w:rsidR="00E55901"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 xml:space="preserve">(1) Applications and filings submitted by mail </w:t>
      </w:r>
      <w:r w:rsidRPr="00013A8A">
        <w:rPr>
          <w:szCs w:val="22"/>
        </w:rPr>
        <w:t xml:space="preserve">shall be </w:t>
      </w:r>
      <w:r w:rsidRPr="00013A8A" w:rsidR="0028120F">
        <w:rPr>
          <w:szCs w:val="22"/>
        </w:rPr>
        <w:t xml:space="preserve">submitted following the procedures </w:t>
      </w:r>
      <w:r w:rsidRPr="00013A8A" w:rsidR="00E55901">
        <w:rPr>
          <w:szCs w:val="22"/>
        </w:rPr>
        <w:t xml:space="preserve">set forth by the Commission </w:t>
      </w:r>
      <w:r w:rsidRPr="00013A8A">
        <w:rPr>
          <w:szCs w:val="22"/>
        </w:rPr>
        <w:t>in the appropriate</w:t>
      </w:r>
      <w:r w:rsidRPr="00944624">
        <w:rPr>
          <w:szCs w:val="22"/>
        </w:rPr>
        <w:t xml:space="preserve"> fee rules.</w:t>
      </w:r>
    </w:p>
    <w:p w:rsidR="00FA40F2" w:rsidRPr="00944624" w:rsidP="002A3DEA">
      <w:pPr>
        <w:pStyle w:val="ParaNum"/>
        <w:numPr>
          <w:ilvl w:val="0"/>
          <w:numId w:val="0"/>
        </w:numPr>
        <w:spacing w:after="0"/>
        <w:rPr>
          <w:szCs w:val="22"/>
        </w:rPr>
      </w:pPr>
    </w:p>
    <w:p w:rsidR="00FA40F2" w:rsidRPr="00944624" w:rsidP="002A3DEA">
      <w:pPr>
        <w:pStyle w:val="ParaNum"/>
        <w:numPr>
          <w:ilvl w:val="0"/>
          <w:numId w:val="0"/>
        </w:numPr>
        <w:spacing w:after="0"/>
        <w:rPr>
          <w:szCs w:val="22"/>
        </w:rPr>
      </w:pPr>
      <w:r w:rsidRPr="00944624">
        <w:rPr>
          <w:szCs w:val="22"/>
        </w:rPr>
        <w:t>Note:</w:t>
      </w:r>
      <w:r w:rsidRPr="00944624" w:rsidR="00223CB3">
        <w:rPr>
          <w:szCs w:val="22"/>
        </w:rPr>
        <w:t xml:space="preserve"> </w:t>
      </w:r>
      <w:r w:rsidRPr="00944624" w:rsidR="00E55901">
        <w:rPr>
          <w:szCs w:val="22"/>
        </w:rPr>
        <w:t xml:space="preserve">* * * </w:t>
      </w:r>
    </w:p>
    <w:p w:rsidR="00E55901" w:rsidRPr="00944624" w:rsidP="002A3DEA">
      <w:pPr>
        <w:pStyle w:val="ParaNum"/>
        <w:numPr>
          <w:ilvl w:val="0"/>
          <w:numId w:val="0"/>
        </w:numPr>
        <w:spacing w:after="0"/>
        <w:rPr>
          <w:szCs w:val="22"/>
        </w:rPr>
      </w:pPr>
    </w:p>
    <w:p w:rsidR="00223CB3" w:rsidRPr="00944624" w:rsidP="002A3DEA">
      <w:pPr>
        <w:pStyle w:val="ParaNum"/>
        <w:numPr>
          <w:ilvl w:val="0"/>
          <w:numId w:val="0"/>
        </w:numPr>
        <w:spacing w:after="0"/>
        <w:rPr>
          <w:szCs w:val="22"/>
        </w:rPr>
      </w:pPr>
      <w:r w:rsidRPr="00944624">
        <w:rPr>
          <w:szCs w:val="22"/>
        </w:rPr>
        <w:t xml:space="preserve">(2) </w:t>
      </w:r>
      <w:r w:rsidRPr="00944624">
        <w:rPr>
          <w:szCs w:val="22"/>
        </w:rPr>
        <w:t>[Removed]</w:t>
      </w:r>
    </w:p>
    <w:p w:rsidR="00223CB3" w:rsidRPr="00944624" w:rsidP="002A3DEA">
      <w:pPr>
        <w:pStyle w:val="ParaNum"/>
        <w:numPr>
          <w:ilvl w:val="0"/>
          <w:numId w:val="0"/>
        </w:numPr>
        <w:spacing w:after="0"/>
        <w:rPr>
          <w:szCs w:val="22"/>
        </w:rPr>
      </w:pPr>
    </w:p>
    <w:p w:rsidR="00223CB3" w:rsidRPr="00944624" w:rsidP="002A3DEA">
      <w:pPr>
        <w:pStyle w:val="ParaNum"/>
        <w:numPr>
          <w:ilvl w:val="0"/>
          <w:numId w:val="0"/>
        </w:numPr>
        <w:spacing w:after="0"/>
        <w:rPr>
          <w:szCs w:val="22"/>
        </w:rPr>
      </w:pPr>
      <w:r w:rsidRPr="00944624">
        <w:rPr>
          <w:szCs w:val="22"/>
        </w:rPr>
        <w:t>* * * * *</w:t>
      </w:r>
    </w:p>
    <w:p w:rsidR="00223CB3" w:rsidRPr="00944624" w:rsidP="002A3DEA">
      <w:pPr>
        <w:pStyle w:val="ParaNum"/>
        <w:numPr>
          <w:ilvl w:val="0"/>
          <w:numId w:val="0"/>
        </w:numPr>
        <w:spacing w:after="0"/>
        <w:rPr>
          <w:szCs w:val="22"/>
        </w:rPr>
      </w:pPr>
    </w:p>
    <w:p w:rsidR="00504021" w:rsidRPr="00944624" w:rsidP="002A3DEA">
      <w:pPr>
        <w:autoSpaceDE w:val="0"/>
        <w:autoSpaceDN w:val="0"/>
        <w:adjustRightInd w:val="0"/>
        <w:rPr>
          <w:szCs w:val="22"/>
        </w:rPr>
      </w:pPr>
      <w:r w:rsidRPr="00944624">
        <w:rPr>
          <w:szCs w:val="22"/>
        </w:rPr>
        <w:t>Title 47 of the Code of Federal Regulations, Part 1, is amended as follows:</w:t>
      </w:r>
    </w:p>
    <w:p w:rsidR="00504021" w:rsidRPr="00944624" w:rsidP="002A3DEA">
      <w:pPr>
        <w:pStyle w:val="ParaNum"/>
        <w:numPr>
          <w:ilvl w:val="0"/>
          <w:numId w:val="0"/>
        </w:numPr>
        <w:spacing w:after="0"/>
        <w:rPr>
          <w:szCs w:val="22"/>
        </w:rPr>
      </w:pPr>
    </w:p>
    <w:p w:rsidR="00504021" w:rsidRPr="00944624" w:rsidP="002A3DEA">
      <w:pPr>
        <w:pStyle w:val="ParaNum"/>
        <w:numPr>
          <w:ilvl w:val="0"/>
          <w:numId w:val="0"/>
        </w:numPr>
        <w:spacing w:after="0"/>
        <w:rPr>
          <w:szCs w:val="22"/>
        </w:rPr>
      </w:pPr>
      <w:r w:rsidRPr="00944624">
        <w:rPr>
          <w:szCs w:val="22"/>
        </w:rPr>
        <w:t>PART 1 — PRACTICE AND PROCEDURE</w:t>
      </w:r>
    </w:p>
    <w:p w:rsidR="00504021" w:rsidRPr="00944624" w:rsidP="002A3DEA">
      <w:pPr>
        <w:pStyle w:val="ParaNum"/>
        <w:numPr>
          <w:ilvl w:val="0"/>
          <w:numId w:val="0"/>
        </w:numPr>
        <w:spacing w:after="0"/>
        <w:rPr>
          <w:szCs w:val="22"/>
        </w:rPr>
      </w:pPr>
    </w:p>
    <w:p w:rsidR="00AC73E3" w:rsidRPr="00944624" w:rsidP="004B6ECD">
      <w:pPr>
        <w:pStyle w:val="ParaNum"/>
        <w:numPr>
          <w:ilvl w:val="0"/>
          <w:numId w:val="13"/>
        </w:numPr>
        <w:spacing w:after="0"/>
        <w:rPr>
          <w:szCs w:val="22"/>
        </w:rPr>
      </w:pPr>
      <w:r w:rsidRPr="00944624">
        <w:rPr>
          <w:szCs w:val="22"/>
        </w:rPr>
        <w:t>T</w:t>
      </w:r>
      <w:r w:rsidRPr="00944624" w:rsidR="00BD5808">
        <w:rPr>
          <w:szCs w:val="22"/>
        </w:rPr>
        <w:t>he authority citation for Part 1</w:t>
      </w:r>
      <w:r w:rsidRPr="00944624">
        <w:rPr>
          <w:szCs w:val="22"/>
        </w:rPr>
        <w:t xml:space="preserve"> </w:t>
      </w:r>
      <w:r w:rsidRPr="00944624" w:rsidR="00F0312A">
        <w:rPr>
          <w:szCs w:val="22"/>
        </w:rPr>
        <w:t xml:space="preserve">is revised </w:t>
      </w:r>
      <w:r w:rsidRPr="00944624">
        <w:rPr>
          <w:szCs w:val="22"/>
        </w:rPr>
        <w:t>to read as follows:</w:t>
      </w:r>
    </w:p>
    <w:p w:rsidR="00B53DC3" w:rsidRPr="00944624" w:rsidP="002A3DEA">
      <w:pPr>
        <w:pStyle w:val="ParaNum"/>
        <w:numPr>
          <w:ilvl w:val="0"/>
          <w:numId w:val="0"/>
        </w:numPr>
        <w:spacing w:after="0"/>
        <w:rPr>
          <w:szCs w:val="22"/>
        </w:rPr>
      </w:pPr>
    </w:p>
    <w:p w:rsidR="00AC73E3" w:rsidRPr="00944624" w:rsidP="002A3DEA">
      <w:pPr>
        <w:pStyle w:val="ParaNum"/>
        <w:numPr>
          <w:ilvl w:val="0"/>
          <w:numId w:val="0"/>
        </w:numPr>
        <w:spacing w:after="0"/>
        <w:rPr>
          <w:szCs w:val="22"/>
        </w:rPr>
      </w:pPr>
      <w:r w:rsidRPr="00944624">
        <w:rPr>
          <w:szCs w:val="22"/>
        </w:rPr>
        <w:t xml:space="preserve">Authority: 47 U.S.C. </w:t>
      </w:r>
      <w:r w:rsidR="00104BC2">
        <w:rPr>
          <w:szCs w:val="22"/>
        </w:rPr>
        <w:t xml:space="preserve">34-39, </w:t>
      </w:r>
      <w:r w:rsidRPr="00944624">
        <w:rPr>
          <w:szCs w:val="22"/>
        </w:rPr>
        <w:t>151, 154(i), 154(j), 155, 157, 160, 201, 225, 227, 303, 309, 332, 1403, 1404, 1451, 1452, and 1455.</w:t>
      </w:r>
    </w:p>
    <w:p w:rsidR="00B53DC3" w:rsidRPr="00944624" w:rsidP="002A3DEA">
      <w:pPr>
        <w:pStyle w:val="ParaNum"/>
        <w:numPr>
          <w:ilvl w:val="0"/>
          <w:numId w:val="0"/>
        </w:numPr>
        <w:spacing w:after="0"/>
        <w:rPr>
          <w:szCs w:val="22"/>
        </w:rPr>
      </w:pPr>
    </w:p>
    <w:p w:rsidR="00504021" w:rsidRPr="00944624" w:rsidP="004B6ECD">
      <w:pPr>
        <w:pStyle w:val="ParaNum"/>
        <w:numPr>
          <w:ilvl w:val="0"/>
          <w:numId w:val="13"/>
        </w:numPr>
        <w:spacing w:after="0"/>
        <w:rPr>
          <w:szCs w:val="22"/>
        </w:rPr>
      </w:pPr>
      <w:r w:rsidRPr="00944624">
        <w:rPr>
          <w:szCs w:val="22"/>
        </w:rPr>
        <w:t xml:space="preserve">Amend § 1.49 </w:t>
      </w:r>
      <w:r w:rsidRPr="00944624">
        <w:rPr>
          <w:szCs w:val="22"/>
        </w:rPr>
        <w:t>as follows:</w:t>
      </w:r>
    </w:p>
    <w:p w:rsidR="00504021" w:rsidRPr="00944624" w:rsidP="002A3DEA">
      <w:pPr>
        <w:autoSpaceDE w:val="0"/>
        <w:autoSpaceDN w:val="0"/>
        <w:adjustRightInd w:val="0"/>
        <w:rPr>
          <w:szCs w:val="22"/>
        </w:rPr>
      </w:pPr>
    </w:p>
    <w:p w:rsidR="00DE7B0F" w:rsidRPr="00944624" w:rsidP="002A3DEA">
      <w:pPr>
        <w:autoSpaceDE w:val="0"/>
        <w:autoSpaceDN w:val="0"/>
        <w:adjustRightInd w:val="0"/>
        <w:rPr>
          <w:szCs w:val="22"/>
        </w:rPr>
      </w:pPr>
      <w:r w:rsidRPr="00944624">
        <w:rPr>
          <w:szCs w:val="22"/>
        </w:rPr>
        <w:t xml:space="preserve">§ 1.49 </w:t>
      </w:r>
      <w:r w:rsidRPr="00944624">
        <w:rPr>
          <w:szCs w:val="22"/>
        </w:rPr>
        <w:t>Specifications as to pleadings and documents.</w:t>
      </w:r>
    </w:p>
    <w:p w:rsidR="00DE7B0F" w:rsidRPr="00944624" w:rsidP="002A3DEA">
      <w:pPr>
        <w:autoSpaceDE w:val="0"/>
        <w:autoSpaceDN w:val="0"/>
        <w:adjustRightInd w:val="0"/>
        <w:rPr>
          <w:szCs w:val="22"/>
        </w:rPr>
      </w:pPr>
    </w:p>
    <w:p w:rsidR="00DE7B0F" w:rsidRPr="00944624" w:rsidP="002A3DEA">
      <w:pPr>
        <w:autoSpaceDE w:val="0"/>
        <w:autoSpaceDN w:val="0"/>
        <w:adjustRightInd w:val="0"/>
        <w:rPr>
          <w:szCs w:val="22"/>
        </w:rPr>
      </w:pPr>
      <w:r w:rsidRPr="00944624">
        <w:rPr>
          <w:szCs w:val="22"/>
        </w:rPr>
        <w:t xml:space="preserve">(a) All pleadings and documents filed in paper </w:t>
      </w:r>
      <w:r w:rsidRPr="00013A8A">
        <w:rPr>
          <w:szCs w:val="22"/>
        </w:rPr>
        <w:t xml:space="preserve">form in any Commission proceeding shall be typewritten or prepared by mechanical processing methods, and shall be filed electronically or on paper </w:t>
      </w:r>
      <w:r w:rsidRPr="00013A8A" w:rsidR="0028120F">
        <w:rPr>
          <w:szCs w:val="22"/>
        </w:rPr>
        <w:t xml:space="preserve">with dimensions </w:t>
      </w:r>
      <w:r w:rsidRPr="00013A8A">
        <w:rPr>
          <w:szCs w:val="22"/>
        </w:rPr>
        <w:t xml:space="preserve">of A4 (21 cm. × 29.7 cm.) or on 8 1/2 × 11 inch (21.6 cm. × 27.9 cm.) with the margins set so that the printed material does not exceed 6 1/2 × 9 1/2 inches (16.5 cm. × 24.1 cm.). The printed material may be in any typeface of at least 12-point (0.42333 cm. or 12/72″) in height. The body of the text must be double spaced with a minimum distance of 7/32 of an inch (0.5556 cm.) between each line of text. Footnotes and long, indented quotations may be single spaced, but must be in type that is 12-point or larger in height, with at least 1/16 of an inch (0.158 cm.) between each line of text. Counsel are cautioned against employing extended single spaced passages or excessive footnotes to evade prescribed pleading lengths. If single-spaced passages or footnotes are used in this manner the pleading will, at the discretion of the Commission, either be rejected as unacceptable for filing or dismissed with leave to be refiled in proper form. Paper pleadings </w:t>
      </w:r>
      <w:r w:rsidRPr="00013A8A" w:rsidR="00013A8A">
        <w:rPr>
          <w:szCs w:val="22"/>
        </w:rPr>
        <w:t xml:space="preserve">and documents </w:t>
      </w:r>
      <w:r w:rsidRPr="00013A8A">
        <w:rPr>
          <w:szCs w:val="22"/>
        </w:rPr>
        <w:t>may be printed</w:t>
      </w:r>
      <w:r w:rsidRPr="00944624">
        <w:rPr>
          <w:szCs w:val="22"/>
        </w:rPr>
        <w:t xml:space="preserve"> on both </w:t>
      </w:r>
      <w:r w:rsidRPr="00013A8A">
        <w:rPr>
          <w:szCs w:val="22"/>
        </w:rPr>
        <w:t xml:space="preserve">sides. Paper pleadings </w:t>
      </w:r>
      <w:r w:rsidRPr="00013A8A" w:rsidR="00013A8A">
        <w:rPr>
          <w:szCs w:val="22"/>
        </w:rPr>
        <w:t xml:space="preserve">and documents </w:t>
      </w:r>
      <w:r w:rsidRPr="00013A8A">
        <w:rPr>
          <w:szCs w:val="22"/>
        </w:rPr>
        <w:t>that use only one side of the paper shall be stapled, or otherwise bound, in the upper left-hand corner; those using both sides of the paper shall be stapled twice, or otherwise</w:t>
      </w:r>
      <w:r w:rsidRPr="00944624">
        <w:rPr>
          <w:szCs w:val="22"/>
        </w:rPr>
        <w:t xml:space="preserve"> bound, along the left-hand margin so that it opens like a book. The foregoing shall not apply to printed briefs specifically requested by the Commission, official publications, charted or maps, original documents (or admissible copies thereof) offered as exhibits, specially prepared exhibits, or if otherwise specifically provided. All copies shall be clearly legible.</w:t>
      </w:r>
    </w:p>
    <w:p w:rsidR="00DE7B0F" w:rsidRPr="00944624" w:rsidP="002A3DEA">
      <w:pPr>
        <w:autoSpaceDE w:val="0"/>
        <w:autoSpaceDN w:val="0"/>
        <w:adjustRightInd w:val="0"/>
        <w:rPr>
          <w:szCs w:val="22"/>
        </w:rPr>
      </w:pPr>
    </w:p>
    <w:p w:rsidR="00DE7B0F" w:rsidRPr="00944624" w:rsidP="002A3DEA">
      <w:pPr>
        <w:autoSpaceDE w:val="0"/>
        <w:autoSpaceDN w:val="0"/>
        <w:adjustRightInd w:val="0"/>
        <w:rPr>
          <w:szCs w:val="22"/>
        </w:rPr>
      </w:pPr>
      <w:r w:rsidRPr="00944624">
        <w:rPr>
          <w:szCs w:val="22"/>
        </w:rPr>
        <w:t>* * *</w:t>
      </w:r>
      <w:r w:rsidRPr="00944624" w:rsidR="00BF6061">
        <w:rPr>
          <w:szCs w:val="22"/>
        </w:rPr>
        <w:t xml:space="preserve"> * *</w:t>
      </w:r>
    </w:p>
    <w:p w:rsidR="00DE7B0F" w:rsidRPr="00944624" w:rsidP="002A3DEA">
      <w:pPr>
        <w:autoSpaceDE w:val="0"/>
        <w:autoSpaceDN w:val="0"/>
        <w:adjustRightInd w:val="0"/>
        <w:rPr>
          <w:szCs w:val="22"/>
        </w:rPr>
      </w:pPr>
    </w:p>
    <w:p w:rsidR="00504021" w:rsidRPr="00944624" w:rsidP="004B6ECD">
      <w:pPr>
        <w:pStyle w:val="ParaNum"/>
        <w:numPr>
          <w:ilvl w:val="0"/>
          <w:numId w:val="13"/>
        </w:numPr>
        <w:spacing w:after="0"/>
        <w:rPr>
          <w:szCs w:val="22"/>
        </w:rPr>
      </w:pPr>
      <w:r w:rsidRPr="00944624">
        <w:rPr>
          <w:szCs w:val="22"/>
        </w:rPr>
        <w:t>Amend § 1.51 as follows:</w:t>
      </w:r>
    </w:p>
    <w:p w:rsidR="00504021" w:rsidRPr="00944624" w:rsidP="002A3DEA">
      <w:pPr>
        <w:autoSpaceDE w:val="0"/>
        <w:autoSpaceDN w:val="0"/>
        <w:adjustRightInd w:val="0"/>
        <w:rPr>
          <w:szCs w:val="22"/>
        </w:rPr>
      </w:pPr>
    </w:p>
    <w:p w:rsidR="004117A0" w:rsidRPr="00944624" w:rsidP="002A3DEA">
      <w:pPr>
        <w:autoSpaceDE w:val="0"/>
        <w:autoSpaceDN w:val="0"/>
        <w:adjustRightInd w:val="0"/>
        <w:rPr>
          <w:szCs w:val="22"/>
        </w:rPr>
      </w:pPr>
      <w:r w:rsidRPr="00944624">
        <w:rPr>
          <w:szCs w:val="22"/>
        </w:rPr>
        <w:t>§ 1.51 Number of copies of pleadings, briefs, and other papers.</w:t>
      </w:r>
    </w:p>
    <w:p w:rsidR="004117A0" w:rsidRPr="00944624" w:rsidP="002A3DEA">
      <w:pPr>
        <w:autoSpaceDE w:val="0"/>
        <w:autoSpaceDN w:val="0"/>
        <w:adjustRightInd w:val="0"/>
        <w:rPr>
          <w:szCs w:val="22"/>
        </w:rPr>
      </w:pPr>
    </w:p>
    <w:p w:rsidR="004117A0" w:rsidRPr="00013A8A" w:rsidP="002A3DEA">
      <w:pPr>
        <w:autoSpaceDE w:val="0"/>
        <w:autoSpaceDN w:val="0"/>
        <w:adjustRightInd w:val="0"/>
        <w:rPr>
          <w:szCs w:val="22"/>
        </w:rPr>
      </w:pPr>
      <w:r w:rsidRPr="00944624">
        <w:rPr>
          <w:szCs w:val="22"/>
        </w:rPr>
        <w:t xml:space="preserve">(a) In hearing </w:t>
      </w:r>
      <w:r w:rsidRPr="00013A8A">
        <w:rPr>
          <w:szCs w:val="22"/>
        </w:rPr>
        <w:t>proceedings, unless filed electronically or otherwise specified by Commission rules, an original and one copy shall be filed, along with-an additional copy for each additional presiding officer at the hearing, if more than one. If filed electronically, additional courtesy copies shall be e-mailed as directed by the Commission.</w:t>
      </w:r>
    </w:p>
    <w:p w:rsidR="00BE332B" w:rsidRPr="00944624" w:rsidP="002A3DEA">
      <w:pPr>
        <w:autoSpaceDE w:val="0"/>
        <w:autoSpaceDN w:val="0"/>
        <w:adjustRightInd w:val="0"/>
        <w:rPr>
          <w:b/>
          <w:szCs w:val="22"/>
        </w:rPr>
      </w:pPr>
    </w:p>
    <w:p w:rsidR="00BE332B" w:rsidRPr="00944624" w:rsidP="002A3DEA">
      <w:pPr>
        <w:autoSpaceDE w:val="0"/>
        <w:autoSpaceDN w:val="0"/>
        <w:adjustRightInd w:val="0"/>
        <w:rPr>
          <w:szCs w:val="22"/>
        </w:rPr>
      </w:pPr>
      <w:r w:rsidRPr="00944624">
        <w:rPr>
          <w:szCs w:val="22"/>
        </w:rPr>
        <w:t>* * *</w:t>
      </w:r>
      <w:r w:rsidRPr="00944624" w:rsidR="00BF6061">
        <w:rPr>
          <w:szCs w:val="22"/>
        </w:rPr>
        <w:t xml:space="preserve"> * *</w:t>
      </w:r>
    </w:p>
    <w:p w:rsidR="004117A0" w:rsidRPr="00944624" w:rsidP="002A3DEA">
      <w:pPr>
        <w:autoSpaceDE w:val="0"/>
        <w:autoSpaceDN w:val="0"/>
        <w:adjustRightInd w:val="0"/>
        <w:rPr>
          <w:szCs w:val="22"/>
        </w:rPr>
      </w:pPr>
    </w:p>
    <w:p w:rsidR="00504021" w:rsidRPr="00944624" w:rsidP="004B6ECD">
      <w:pPr>
        <w:pStyle w:val="ParaNum"/>
        <w:numPr>
          <w:ilvl w:val="0"/>
          <w:numId w:val="13"/>
        </w:numPr>
        <w:spacing w:after="0"/>
        <w:rPr>
          <w:szCs w:val="22"/>
        </w:rPr>
      </w:pPr>
      <w:r w:rsidRPr="00944624">
        <w:rPr>
          <w:szCs w:val="22"/>
        </w:rPr>
        <w:t xml:space="preserve">Amend § 1.52 </w:t>
      </w:r>
      <w:r w:rsidRPr="00944624" w:rsidR="00BF6061">
        <w:rPr>
          <w:szCs w:val="22"/>
        </w:rPr>
        <w:t xml:space="preserve">by revising the fifth sentence to read </w:t>
      </w:r>
      <w:r w:rsidRPr="00944624">
        <w:rPr>
          <w:szCs w:val="22"/>
        </w:rPr>
        <w:t>as follows:</w:t>
      </w:r>
    </w:p>
    <w:p w:rsidR="00504021" w:rsidRPr="00944624" w:rsidP="002A3DEA">
      <w:pPr>
        <w:autoSpaceDE w:val="0"/>
        <w:autoSpaceDN w:val="0"/>
        <w:adjustRightInd w:val="0"/>
        <w:rPr>
          <w:szCs w:val="22"/>
        </w:rPr>
      </w:pPr>
    </w:p>
    <w:p w:rsidR="004117A0" w:rsidRPr="00944624" w:rsidP="002A3DEA">
      <w:pPr>
        <w:autoSpaceDE w:val="0"/>
        <w:autoSpaceDN w:val="0"/>
        <w:adjustRightInd w:val="0"/>
        <w:rPr>
          <w:szCs w:val="22"/>
        </w:rPr>
      </w:pPr>
      <w:r w:rsidRPr="00944624">
        <w:rPr>
          <w:szCs w:val="22"/>
        </w:rPr>
        <w:t>§ 1.52 Subscription and verification.</w:t>
      </w:r>
    </w:p>
    <w:p w:rsidR="00BE332B" w:rsidRPr="00944624" w:rsidP="002A3DEA">
      <w:pPr>
        <w:autoSpaceDE w:val="0"/>
        <w:autoSpaceDN w:val="0"/>
        <w:adjustRightInd w:val="0"/>
        <w:rPr>
          <w:szCs w:val="22"/>
        </w:rPr>
      </w:pPr>
    </w:p>
    <w:p w:rsidR="00BF6061" w:rsidRPr="00944624" w:rsidP="002A3DEA">
      <w:pPr>
        <w:autoSpaceDE w:val="0"/>
        <w:autoSpaceDN w:val="0"/>
        <w:adjustRightInd w:val="0"/>
        <w:rPr>
          <w:szCs w:val="22"/>
        </w:rPr>
      </w:pPr>
      <w:r w:rsidRPr="00944624">
        <w:rPr>
          <w:szCs w:val="22"/>
        </w:rPr>
        <w:t>* * *</w:t>
      </w:r>
      <w:r w:rsidRPr="00944624" w:rsidR="004117A0">
        <w:rPr>
          <w:szCs w:val="22"/>
        </w:rPr>
        <w:t xml:space="preserve"> If filed electronically, a signature will be considered any symbol executed or adopted by the party with the intent that such symbol be a signature, including symbols formed by computer-generated electronic impulses.</w:t>
      </w:r>
      <w:r w:rsidRPr="00944624">
        <w:rPr>
          <w:szCs w:val="22"/>
        </w:rPr>
        <w:t xml:space="preserve"> * * *</w:t>
      </w:r>
    </w:p>
    <w:p w:rsidR="00DE7B0F" w:rsidRPr="00944624" w:rsidP="002A3DEA">
      <w:pPr>
        <w:autoSpaceDE w:val="0"/>
        <w:autoSpaceDN w:val="0"/>
        <w:adjustRightInd w:val="0"/>
        <w:rPr>
          <w:szCs w:val="22"/>
        </w:rPr>
      </w:pPr>
    </w:p>
    <w:p w:rsidR="00A92604" w:rsidRPr="00944624" w:rsidP="004B6ECD">
      <w:pPr>
        <w:pStyle w:val="ParaNum"/>
        <w:numPr>
          <w:ilvl w:val="0"/>
          <w:numId w:val="13"/>
        </w:numPr>
        <w:spacing w:after="0"/>
        <w:rPr>
          <w:szCs w:val="22"/>
        </w:rPr>
      </w:pPr>
      <w:r w:rsidRPr="00944624">
        <w:rPr>
          <w:szCs w:val="22"/>
        </w:rPr>
        <w:t>Amend § 1.742 as follows:</w:t>
      </w:r>
    </w:p>
    <w:p w:rsidR="00A92604" w:rsidRPr="00944624" w:rsidP="002A3DEA">
      <w:pPr>
        <w:autoSpaceDE w:val="0"/>
        <w:autoSpaceDN w:val="0"/>
        <w:adjustRightInd w:val="0"/>
        <w:rPr>
          <w:szCs w:val="22"/>
        </w:rPr>
      </w:pPr>
    </w:p>
    <w:p w:rsidR="00B53DC3" w:rsidRPr="00944624" w:rsidP="002A3DEA">
      <w:pPr>
        <w:autoSpaceDE w:val="0"/>
        <w:autoSpaceDN w:val="0"/>
        <w:adjustRightInd w:val="0"/>
        <w:rPr>
          <w:szCs w:val="22"/>
        </w:rPr>
      </w:pPr>
      <w:r w:rsidRPr="00944624">
        <w:rPr>
          <w:szCs w:val="22"/>
        </w:rPr>
        <w:t>§ 1.742 Place of filing, fees, and number of copies.</w:t>
      </w:r>
    </w:p>
    <w:p w:rsidR="00B53DC3" w:rsidRPr="00944624" w:rsidP="002A3DEA">
      <w:pPr>
        <w:autoSpaceDE w:val="0"/>
        <w:autoSpaceDN w:val="0"/>
        <w:adjustRightInd w:val="0"/>
        <w:rPr>
          <w:szCs w:val="22"/>
        </w:rPr>
      </w:pPr>
    </w:p>
    <w:p w:rsidR="00B53DC3" w:rsidRPr="00944624" w:rsidP="002A3DEA">
      <w:pPr>
        <w:pStyle w:val="ParaNum"/>
        <w:numPr>
          <w:ilvl w:val="0"/>
          <w:numId w:val="0"/>
        </w:numPr>
        <w:spacing w:after="0"/>
        <w:rPr>
          <w:szCs w:val="22"/>
        </w:rPr>
      </w:pPr>
      <w:r w:rsidRPr="00944624">
        <w:rPr>
          <w:szCs w:val="22"/>
        </w:rPr>
        <w:t xml:space="preserve">All applications which do not require a fee shall be filed electronically through the Commission’s Electronic Comment Filing System if </w:t>
      </w:r>
      <w:r w:rsidRPr="00944624" w:rsidR="004855BF">
        <w:rPr>
          <w:szCs w:val="22"/>
        </w:rPr>
        <w:t>practicable</w:t>
      </w:r>
      <w:r w:rsidRPr="00944624">
        <w:rPr>
          <w:szCs w:val="22"/>
        </w:rPr>
        <w:t xml:space="preserve">.  </w:t>
      </w:r>
      <w:r w:rsidRPr="00944624" w:rsidR="004855BF">
        <w:rPr>
          <w:szCs w:val="22"/>
        </w:rPr>
        <w:t xml:space="preserve">Applications which must be filed in hard copy format should be submitted according to the procedures set forth on the web page of the FCC’s Office of the Secretary, </w:t>
      </w:r>
      <w:r>
        <w:fldChar w:fldCharType="begin"/>
      </w:r>
      <w:r>
        <w:instrText xml:space="preserve"> HYPERLINK "https://www.fcc.gov/secretary" </w:instrText>
      </w:r>
      <w:r>
        <w:fldChar w:fldCharType="separate"/>
      </w:r>
      <w:r w:rsidRPr="00944624" w:rsidR="004855BF">
        <w:rPr>
          <w:rStyle w:val="Hyperlink"/>
          <w:szCs w:val="22"/>
        </w:rPr>
        <w:t>https://www.fcc.gov/secretary</w:t>
      </w:r>
      <w:r>
        <w:fldChar w:fldCharType="end"/>
      </w:r>
      <w:r w:rsidRPr="00944624" w:rsidR="004855BF">
        <w:rPr>
          <w:szCs w:val="22"/>
        </w:rPr>
        <w:t xml:space="preserve">.  </w:t>
      </w:r>
      <w:r w:rsidRPr="00944624">
        <w:rPr>
          <w:szCs w:val="22"/>
        </w:rPr>
        <w:t>Hand-delivered applications will be dated by the Secretary upon receipt (mailed applications will be dated by the Mail Branch) and then forwarded to the Wireline Competition Bureau.  All applications accompanied by a fee payment should be filed in accordance with § 1.1105, Schedule of</w:t>
      </w:r>
      <w:r w:rsidRPr="00944624" w:rsidR="00D61F95">
        <w:rPr>
          <w:szCs w:val="22"/>
        </w:rPr>
        <w:t xml:space="preserve"> charges for applications and other filings for the wireline competition services</w:t>
      </w:r>
      <w:r w:rsidRPr="00944624">
        <w:rPr>
          <w:szCs w:val="22"/>
        </w:rPr>
        <w:t xml:space="preserve">. </w:t>
      </w:r>
    </w:p>
    <w:p w:rsidR="00B53DC3" w:rsidRPr="00944624" w:rsidP="002A3DEA">
      <w:pPr>
        <w:pStyle w:val="ParaNum"/>
        <w:numPr>
          <w:ilvl w:val="0"/>
          <w:numId w:val="0"/>
        </w:numPr>
        <w:spacing w:after="0"/>
        <w:rPr>
          <w:szCs w:val="22"/>
        </w:rPr>
      </w:pPr>
    </w:p>
    <w:p w:rsidR="00AC73E3" w:rsidRPr="00944624" w:rsidP="004B6ECD">
      <w:pPr>
        <w:pStyle w:val="ParaNum"/>
        <w:numPr>
          <w:ilvl w:val="0"/>
          <w:numId w:val="13"/>
        </w:numPr>
        <w:spacing w:after="0"/>
      </w:pPr>
      <w:r w:rsidRPr="00944624">
        <w:t>Amend § 1</w:t>
      </w:r>
      <w:r w:rsidRPr="00944624">
        <w:t>.</w:t>
      </w:r>
      <w:r w:rsidRPr="00944624" w:rsidR="001E0FE8">
        <w:t>1105</w:t>
      </w:r>
      <w:r w:rsidRPr="00944624">
        <w:t xml:space="preserve"> as follows:</w:t>
      </w:r>
    </w:p>
    <w:p w:rsidR="00B53DC3" w:rsidRPr="00944624" w:rsidP="002A3DEA">
      <w:pPr>
        <w:pStyle w:val="ParaNum"/>
        <w:numPr>
          <w:ilvl w:val="0"/>
          <w:numId w:val="0"/>
        </w:numPr>
        <w:spacing w:after="0"/>
        <w:rPr>
          <w:b/>
          <w:szCs w:val="22"/>
        </w:rPr>
      </w:pPr>
    </w:p>
    <w:p w:rsidR="00C80CE0" w:rsidRPr="00944624" w:rsidP="002A3DEA">
      <w:pPr>
        <w:pStyle w:val="ParaNum"/>
        <w:numPr>
          <w:ilvl w:val="0"/>
          <w:numId w:val="0"/>
        </w:numPr>
        <w:spacing w:after="0"/>
        <w:rPr>
          <w:szCs w:val="22"/>
        </w:rPr>
      </w:pPr>
      <w:r w:rsidRPr="00944624">
        <w:rPr>
          <w:szCs w:val="22"/>
        </w:rPr>
        <w:t>§ 1.1105 Schedule of charges for applications and other filings for the wireline competition services.</w:t>
      </w:r>
    </w:p>
    <w:p w:rsidR="00B53DC3"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Remit payment for these services</w:t>
      </w:r>
      <w:r w:rsidR="003033EB">
        <w:rPr>
          <w:szCs w:val="22"/>
        </w:rPr>
        <w:t xml:space="preserve"> </w:t>
      </w:r>
      <w:r w:rsidRPr="00944624">
        <w:rPr>
          <w:color w:val="000000"/>
          <w:szCs w:val="22"/>
        </w:rPr>
        <w:t xml:space="preserve">electronically using the Commission’s electronic filing and payment system, </w:t>
      </w:r>
      <w:r w:rsidR="004671EB">
        <w:rPr>
          <w:szCs w:val="22"/>
        </w:rPr>
        <w:t>and, where practicable, applications and other substantive filings,</w:t>
      </w:r>
      <w:r w:rsidRPr="00944624" w:rsidR="004671EB">
        <w:rPr>
          <w:szCs w:val="22"/>
        </w:rPr>
        <w:t xml:space="preserve"> </w:t>
      </w:r>
      <w:r w:rsidRPr="00944624">
        <w:rPr>
          <w:color w:val="000000"/>
          <w:szCs w:val="22"/>
        </w:rPr>
        <w:t>in accordance with t</w:t>
      </w:r>
      <w:r w:rsidRPr="00944624">
        <w:rPr>
          <w:szCs w:val="22"/>
        </w:rPr>
        <w:t>he procedures set forth on the Commission’s web site,</w:t>
      </w:r>
      <w:r w:rsidRPr="00944624" w:rsidR="004855BF">
        <w:rPr>
          <w:szCs w:val="22"/>
        </w:rPr>
        <w:t xml:space="preserve"> </w:t>
      </w:r>
      <w:r>
        <w:fldChar w:fldCharType="begin"/>
      </w:r>
      <w:r>
        <w:instrText xml:space="preserve"> HYPERLINK "http://www.fcc.gov/licensing-databases/fees" </w:instrText>
      </w:r>
      <w:r>
        <w:fldChar w:fldCharType="separate"/>
      </w:r>
      <w:r w:rsidRPr="00944624" w:rsidR="004855BF">
        <w:rPr>
          <w:rStyle w:val="Hyperlink"/>
          <w:szCs w:val="22"/>
        </w:rPr>
        <w:t>www.fcc.gov/licensing-databases/fees</w:t>
      </w:r>
      <w:r>
        <w:fldChar w:fldCharType="end"/>
      </w:r>
      <w:r w:rsidRPr="00944624" w:rsidR="00346DAD">
        <w:rPr>
          <w:szCs w:val="22"/>
        </w:rPr>
        <w:t>.  Petitions</w:t>
      </w:r>
      <w:r w:rsidR="003033EB">
        <w:rPr>
          <w:szCs w:val="22"/>
        </w:rPr>
        <w:t>, applications, and other substantive filings</w:t>
      </w:r>
      <w:r w:rsidRPr="00944624" w:rsidR="00346DAD">
        <w:rPr>
          <w:szCs w:val="22"/>
        </w:rPr>
        <w:t xml:space="preserve"> in hard copy format are to be submitted according to the procedures set forth on the web page of the FCC</w:t>
      </w:r>
      <w:r w:rsidR="000C02CB">
        <w:rPr>
          <w:szCs w:val="22"/>
        </w:rPr>
        <w:t>’</w:t>
      </w:r>
      <w:r w:rsidRPr="00944624" w:rsidR="00346DAD">
        <w:rPr>
          <w:szCs w:val="22"/>
        </w:rPr>
        <w:t xml:space="preserve">s Office of the Secretary, </w:t>
      </w:r>
      <w:r>
        <w:fldChar w:fldCharType="begin"/>
      </w:r>
      <w:r>
        <w:instrText xml:space="preserve"> HYPERLINK "https://www.fcc.gov/secretary" </w:instrText>
      </w:r>
      <w:r>
        <w:fldChar w:fldCharType="separate"/>
      </w:r>
      <w:r w:rsidRPr="00944624" w:rsidR="00346DAD">
        <w:rPr>
          <w:rStyle w:val="Hyperlink"/>
          <w:szCs w:val="22"/>
        </w:rPr>
        <w:t>https://www.fcc.gov/secretary</w:t>
      </w:r>
      <w:r>
        <w:fldChar w:fldCharType="end"/>
      </w:r>
      <w:r w:rsidRPr="00944624" w:rsidR="00346DAD">
        <w:rPr>
          <w:szCs w:val="22"/>
        </w:rPr>
        <w:t>.</w:t>
      </w:r>
    </w:p>
    <w:p w:rsidR="00B53DC3"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 * * *</w:t>
      </w:r>
    </w:p>
    <w:p w:rsidR="00C80CE0" w:rsidRPr="00944624" w:rsidP="002A3DEA">
      <w:pPr>
        <w:autoSpaceDE w:val="0"/>
        <w:autoSpaceDN w:val="0"/>
        <w:adjustRightInd w:val="0"/>
        <w:rPr>
          <w:szCs w:val="22"/>
        </w:rPr>
      </w:pPr>
    </w:p>
    <w:p w:rsidR="00504021" w:rsidRPr="00944624" w:rsidP="004B6ECD">
      <w:pPr>
        <w:pStyle w:val="ParaNum"/>
        <w:numPr>
          <w:ilvl w:val="0"/>
          <w:numId w:val="13"/>
        </w:numPr>
        <w:spacing w:after="0"/>
        <w:rPr>
          <w:szCs w:val="22"/>
        </w:rPr>
      </w:pPr>
      <w:r w:rsidRPr="00944624">
        <w:rPr>
          <w:szCs w:val="22"/>
        </w:rPr>
        <w:t xml:space="preserve">Amend § 1.1111 </w:t>
      </w:r>
      <w:r w:rsidRPr="00944624" w:rsidR="0099445D">
        <w:rPr>
          <w:szCs w:val="22"/>
        </w:rPr>
        <w:t xml:space="preserve">by revising paragraph (d) </w:t>
      </w:r>
      <w:r w:rsidRPr="00944624">
        <w:rPr>
          <w:szCs w:val="22"/>
        </w:rPr>
        <w:t>as follows:</w:t>
      </w:r>
    </w:p>
    <w:p w:rsidR="00504021" w:rsidRPr="00944624" w:rsidP="002A3DEA">
      <w:pPr>
        <w:pStyle w:val="ParaNum"/>
        <w:numPr>
          <w:ilvl w:val="0"/>
          <w:numId w:val="0"/>
        </w:numPr>
        <w:spacing w:after="0"/>
        <w:rPr>
          <w:szCs w:val="22"/>
        </w:rPr>
      </w:pPr>
    </w:p>
    <w:p w:rsidR="00182B9A" w:rsidRPr="00944624" w:rsidP="002A3DEA">
      <w:pPr>
        <w:pStyle w:val="ParaNum"/>
        <w:numPr>
          <w:ilvl w:val="0"/>
          <w:numId w:val="0"/>
        </w:numPr>
        <w:spacing w:after="0"/>
        <w:rPr>
          <w:szCs w:val="22"/>
        </w:rPr>
      </w:pPr>
      <w:r w:rsidRPr="00944624">
        <w:rPr>
          <w:szCs w:val="22"/>
        </w:rPr>
        <w:t>§ 1.1111 Payment of charges.</w:t>
      </w:r>
    </w:p>
    <w:p w:rsidR="00182B9A" w:rsidRPr="00944624" w:rsidP="002A3DEA">
      <w:pPr>
        <w:pStyle w:val="ParaNum"/>
        <w:numPr>
          <w:ilvl w:val="0"/>
          <w:numId w:val="0"/>
        </w:numPr>
        <w:spacing w:after="0"/>
        <w:rPr>
          <w:szCs w:val="22"/>
        </w:rPr>
      </w:pPr>
    </w:p>
    <w:p w:rsidR="00182B9A" w:rsidRPr="00944624" w:rsidP="002A3DEA">
      <w:pPr>
        <w:pStyle w:val="ParaNum"/>
        <w:numPr>
          <w:ilvl w:val="0"/>
          <w:numId w:val="0"/>
        </w:numPr>
        <w:spacing w:after="0"/>
        <w:rPr>
          <w:szCs w:val="22"/>
        </w:rPr>
      </w:pPr>
      <w:r w:rsidRPr="00944624">
        <w:rPr>
          <w:szCs w:val="22"/>
        </w:rPr>
        <w:t>* * *</w:t>
      </w:r>
      <w:r w:rsidRPr="00944624" w:rsidR="0099445D">
        <w:rPr>
          <w:szCs w:val="22"/>
        </w:rPr>
        <w:t xml:space="preserve"> * *</w:t>
      </w:r>
    </w:p>
    <w:p w:rsidR="00182B9A" w:rsidRPr="00944624" w:rsidP="002A3DEA">
      <w:pPr>
        <w:pStyle w:val="ParaNum"/>
        <w:numPr>
          <w:ilvl w:val="0"/>
          <w:numId w:val="0"/>
        </w:numPr>
        <w:spacing w:after="0"/>
        <w:rPr>
          <w:szCs w:val="22"/>
        </w:rPr>
      </w:pPr>
    </w:p>
    <w:p w:rsidR="00182B9A" w:rsidRPr="00944624" w:rsidP="002A3DEA">
      <w:pPr>
        <w:pStyle w:val="ParaNum"/>
        <w:numPr>
          <w:ilvl w:val="0"/>
          <w:numId w:val="0"/>
        </w:numPr>
        <w:spacing w:after="0"/>
        <w:rPr>
          <w:szCs w:val="22"/>
        </w:rPr>
      </w:pPr>
      <w:r w:rsidRPr="00944624">
        <w:rPr>
          <w:szCs w:val="22"/>
        </w:rPr>
        <w:t xml:space="preserve">(d) Applications returned to applicants for additional information or corrections will not require an additional fee when resubmitted, unless the additional information results in an increase of the original fee amount. Those applications not requiring an additional fee should be </w:t>
      </w:r>
      <w:r w:rsidRPr="00013A8A">
        <w:rPr>
          <w:szCs w:val="22"/>
        </w:rPr>
        <w:t>resubmitted electronically or directly to the Bureau/Office requesting the additional information, as requested. The</w:t>
      </w:r>
      <w:r w:rsidRPr="00944624">
        <w:rPr>
          <w:szCs w:val="22"/>
        </w:rPr>
        <w:t xml:space="preserve"> original fee will be forfeited if the additional information or corrections are not resubmitted by the prescribed deadline. A forfeited application fee will not be refunded. If an additional fee is required, the original fee will be returned and the application must be resubmitted with a new remittance in the amount of the required fee. Applicants should attach a copy of the Commission's request for additional or corrected information to their resubmission.</w:t>
      </w:r>
    </w:p>
    <w:p w:rsidR="00182B9A" w:rsidRPr="00944624" w:rsidP="002A3DEA">
      <w:pPr>
        <w:pStyle w:val="ParaNum"/>
        <w:numPr>
          <w:ilvl w:val="0"/>
          <w:numId w:val="0"/>
        </w:numPr>
        <w:spacing w:after="0"/>
        <w:rPr>
          <w:szCs w:val="22"/>
        </w:rPr>
      </w:pPr>
    </w:p>
    <w:p w:rsidR="00182B9A" w:rsidRPr="00944624" w:rsidP="002A3DEA">
      <w:pPr>
        <w:pStyle w:val="ParaNum"/>
        <w:numPr>
          <w:ilvl w:val="0"/>
          <w:numId w:val="0"/>
        </w:numPr>
        <w:spacing w:after="0"/>
        <w:rPr>
          <w:szCs w:val="22"/>
        </w:rPr>
      </w:pPr>
      <w:r w:rsidRPr="00944624">
        <w:rPr>
          <w:szCs w:val="22"/>
        </w:rPr>
        <w:t>* * * * *</w:t>
      </w:r>
    </w:p>
    <w:p w:rsidR="00182B9A" w:rsidRPr="00944624" w:rsidP="002A3DEA">
      <w:pPr>
        <w:pStyle w:val="ParaNum"/>
        <w:numPr>
          <w:ilvl w:val="0"/>
          <w:numId w:val="0"/>
        </w:numPr>
        <w:spacing w:after="0"/>
        <w:rPr>
          <w:szCs w:val="22"/>
        </w:rPr>
      </w:pPr>
    </w:p>
    <w:p w:rsidR="00504021" w:rsidRPr="00944624" w:rsidP="004B6ECD">
      <w:pPr>
        <w:pStyle w:val="ParaNum"/>
        <w:numPr>
          <w:ilvl w:val="0"/>
          <w:numId w:val="13"/>
        </w:numPr>
        <w:spacing w:after="0"/>
        <w:rPr>
          <w:szCs w:val="22"/>
        </w:rPr>
      </w:pPr>
      <w:r w:rsidRPr="00944624">
        <w:rPr>
          <w:szCs w:val="22"/>
        </w:rPr>
        <w:t xml:space="preserve">Amend § 1.1112 </w:t>
      </w:r>
      <w:r w:rsidRPr="00944624" w:rsidR="0099445D">
        <w:rPr>
          <w:szCs w:val="22"/>
        </w:rPr>
        <w:t xml:space="preserve">by revising paragraph (g) </w:t>
      </w:r>
      <w:r w:rsidRPr="00944624">
        <w:rPr>
          <w:szCs w:val="22"/>
        </w:rPr>
        <w:t>as follows:</w:t>
      </w:r>
    </w:p>
    <w:p w:rsidR="00504021" w:rsidRPr="00944624" w:rsidP="002A3DEA">
      <w:pPr>
        <w:pStyle w:val="ParaNum"/>
        <w:numPr>
          <w:ilvl w:val="0"/>
          <w:numId w:val="0"/>
        </w:numPr>
        <w:spacing w:after="0"/>
        <w:rPr>
          <w:szCs w:val="22"/>
        </w:rPr>
      </w:pPr>
    </w:p>
    <w:p w:rsidR="00182B9A" w:rsidRPr="00944624" w:rsidP="002A3DEA">
      <w:pPr>
        <w:pStyle w:val="ParaNum"/>
        <w:numPr>
          <w:ilvl w:val="0"/>
          <w:numId w:val="0"/>
        </w:numPr>
        <w:spacing w:after="0"/>
        <w:rPr>
          <w:szCs w:val="22"/>
        </w:rPr>
      </w:pPr>
      <w:r w:rsidRPr="00944624">
        <w:rPr>
          <w:szCs w:val="22"/>
        </w:rPr>
        <w:t>§ 1.1112 Form of payment.</w:t>
      </w:r>
    </w:p>
    <w:p w:rsidR="00182B9A" w:rsidRPr="00944624" w:rsidP="002A3DEA">
      <w:pPr>
        <w:pStyle w:val="ParaNum"/>
        <w:numPr>
          <w:ilvl w:val="0"/>
          <w:numId w:val="0"/>
        </w:numPr>
        <w:spacing w:after="0"/>
        <w:rPr>
          <w:szCs w:val="22"/>
        </w:rPr>
      </w:pPr>
    </w:p>
    <w:p w:rsidR="00182B9A" w:rsidRPr="00944624" w:rsidP="002A3DEA">
      <w:pPr>
        <w:pStyle w:val="ParaNum"/>
        <w:numPr>
          <w:ilvl w:val="0"/>
          <w:numId w:val="0"/>
        </w:numPr>
        <w:spacing w:after="0"/>
        <w:rPr>
          <w:szCs w:val="22"/>
        </w:rPr>
      </w:pPr>
      <w:r w:rsidRPr="00944624">
        <w:rPr>
          <w:szCs w:val="22"/>
        </w:rPr>
        <w:t>* * *</w:t>
      </w:r>
      <w:r w:rsidRPr="00944624" w:rsidR="0099445D">
        <w:rPr>
          <w:szCs w:val="22"/>
        </w:rPr>
        <w:t xml:space="preserve"> * *</w:t>
      </w:r>
    </w:p>
    <w:p w:rsidR="00182B9A" w:rsidRPr="00944624" w:rsidP="002A3DEA">
      <w:pPr>
        <w:pStyle w:val="ParaNum"/>
        <w:numPr>
          <w:ilvl w:val="0"/>
          <w:numId w:val="0"/>
        </w:numPr>
        <w:spacing w:after="0"/>
        <w:rPr>
          <w:szCs w:val="22"/>
        </w:rPr>
      </w:pPr>
    </w:p>
    <w:p w:rsidR="00182B9A" w:rsidRPr="00013A8A" w:rsidP="002A3DEA">
      <w:pPr>
        <w:pStyle w:val="ParaNum"/>
        <w:numPr>
          <w:ilvl w:val="0"/>
          <w:numId w:val="0"/>
        </w:numPr>
        <w:spacing w:after="0"/>
        <w:rPr>
          <w:szCs w:val="22"/>
        </w:rPr>
      </w:pPr>
      <w:r w:rsidRPr="00944624">
        <w:rPr>
          <w:szCs w:val="22"/>
        </w:rPr>
        <w:t xml:space="preserve">(g) The Commission will furnish a stamped receipt of an </w:t>
      </w:r>
      <w:r w:rsidRPr="00013A8A">
        <w:rPr>
          <w:szCs w:val="22"/>
        </w:rPr>
        <w:t xml:space="preserve">application </w:t>
      </w:r>
      <w:r w:rsidRPr="00013A8A" w:rsidR="00E054C3">
        <w:rPr>
          <w:szCs w:val="22"/>
        </w:rPr>
        <w:t>filed by mail</w:t>
      </w:r>
      <w:r w:rsidRPr="00013A8A" w:rsidR="00DC7A03">
        <w:rPr>
          <w:szCs w:val="22"/>
        </w:rPr>
        <w:t xml:space="preserve"> or in person</w:t>
      </w:r>
      <w:r w:rsidRPr="00013A8A" w:rsidR="00E054C3">
        <w:rPr>
          <w:szCs w:val="22"/>
        </w:rPr>
        <w:t xml:space="preserve"> </w:t>
      </w:r>
      <w:r w:rsidRPr="00013A8A">
        <w:rPr>
          <w:szCs w:val="22"/>
        </w:rPr>
        <w:t xml:space="preserve">only upon request that complies with the following instructions. In order to obtain a stamped receipt for an application (or other filing), the application package must include a copy of the first page of the application, clearly marked “copy”, submitted expressly for the purpose of serving as a receipt of the filing. The copy should be the top document in the package. </w:t>
      </w:r>
      <w:r w:rsidRPr="00013A8A" w:rsidR="00DC7A03">
        <w:rPr>
          <w:szCs w:val="22"/>
        </w:rPr>
        <w:t>If hand delivered, t</w:t>
      </w:r>
      <w:r w:rsidRPr="00013A8A">
        <w:rPr>
          <w:szCs w:val="22"/>
        </w:rPr>
        <w:t>he copy will be date-stamped immediately and provided to the bearer of the submission. For submissions by mail, the receipt copy will be provided through return mail if the filer has attached to the receipt copy a stamped self-addressed envelope of sufficient size to contain the date stamped copy of the application. No remittance receipt copies will be furnished.</w:t>
      </w:r>
      <w:r w:rsidRPr="00013A8A" w:rsidR="00E054C3">
        <w:rPr>
          <w:szCs w:val="22"/>
        </w:rPr>
        <w:t xml:space="preserve"> Stamped receipts of electronically-filed applications will not be provided.</w:t>
      </w:r>
    </w:p>
    <w:p w:rsidR="00182B9A" w:rsidRPr="00944624" w:rsidP="002A3DEA">
      <w:pPr>
        <w:pStyle w:val="ParaNum"/>
        <w:numPr>
          <w:ilvl w:val="0"/>
          <w:numId w:val="0"/>
        </w:numPr>
        <w:spacing w:after="0"/>
        <w:rPr>
          <w:szCs w:val="22"/>
        </w:rPr>
      </w:pPr>
    </w:p>
    <w:p w:rsidR="00182B9A" w:rsidRPr="00944624" w:rsidP="002A3DEA">
      <w:pPr>
        <w:pStyle w:val="ParaNum"/>
        <w:numPr>
          <w:ilvl w:val="0"/>
          <w:numId w:val="0"/>
        </w:numPr>
        <w:spacing w:after="0"/>
        <w:rPr>
          <w:szCs w:val="22"/>
        </w:rPr>
      </w:pPr>
      <w:r w:rsidRPr="00944624">
        <w:rPr>
          <w:szCs w:val="22"/>
        </w:rPr>
        <w:t>* * * * *</w:t>
      </w:r>
    </w:p>
    <w:p w:rsidR="00E054C3" w:rsidRPr="00944624" w:rsidP="002A3DEA">
      <w:pPr>
        <w:pStyle w:val="ParaNum"/>
        <w:numPr>
          <w:ilvl w:val="0"/>
          <w:numId w:val="0"/>
        </w:numPr>
        <w:spacing w:after="0"/>
        <w:rPr>
          <w:szCs w:val="22"/>
        </w:rPr>
      </w:pPr>
    </w:p>
    <w:p w:rsidR="00504021" w:rsidRPr="00944624" w:rsidP="004B6ECD">
      <w:pPr>
        <w:pStyle w:val="ParaNum"/>
        <w:numPr>
          <w:ilvl w:val="0"/>
          <w:numId w:val="13"/>
        </w:numPr>
        <w:spacing w:after="0"/>
        <w:rPr>
          <w:szCs w:val="22"/>
        </w:rPr>
      </w:pPr>
      <w:r w:rsidRPr="00944624">
        <w:rPr>
          <w:szCs w:val="22"/>
        </w:rPr>
        <w:t xml:space="preserve">Amend § 1.1113 </w:t>
      </w:r>
      <w:r w:rsidRPr="00944624" w:rsidR="0099445D">
        <w:rPr>
          <w:szCs w:val="22"/>
        </w:rPr>
        <w:t xml:space="preserve">to read </w:t>
      </w:r>
      <w:r w:rsidRPr="00944624">
        <w:rPr>
          <w:szCs w:val="22"/>
        </w:rPr>
        <w:t>as follows:</w:t>
      </w:r>
    </w:p>
    <w:p w:rsidR="00504021" w:rsidRPr="00944624" w:rsidP="002A3DEA">
      <w:pPr>
        <w:pStyle w:val="ParaNum"/>
        <w:numPr>
          <w:ilvl w:val="0"/>
          <w:numId w:val="0"/>
        </w:numPr>
        <w:spacing w:after="0"/>
        <w:rPr>
          <w:szCs w:val="22"/>
        </w:rPr>
      </w:pPr>
    </w:p>
    <w:p w:rsidR="00E054C3" w:rsidRPr="00944624" w:rsidP="002A3DEA">
      <w:pPr>
        <w:pStyle w:val="ParaNum"/>
        <w:numPr>
          <w:ilvl w:val="0"/>
          <w:numId w:val="0"/>
        </w:numPr>
        <w:spacing w:after="0"/>
        <w:rPr>
          <w:szCs w:val="22"/>
        </w:rPr>
      </w:pPr>
      <w:r w:rsidRPr="00944624">
        <w:rPr>
          <w:szCs w:val="22"/>
        </w:rPr>
        <w:t>§ 1.1113 Filing locations.</w:t>
      </w:r>
    </w:p>
    <w:p w:rsidR="00E054C3" w:rsidRPr="00944624" w:rsidP="002A3DEA">
      <w:pPr>
        <w:pStyle w:val="ParaNum"/>
        <w:numPr>
          <w:ilvl w:val="0"/>
          <w:numId w:val="0"/>
        </w:numPr>
        <w:spacing w:after="0"/>
        <w:rPr>
          <w:szCs w:val="22"/>
        </w:rPr>
      </w:pPr>
    </w:p>
    <w:p w:rsidR="00E054C3" w:rsidRPr="00944624" w:rsidP="002A3DEA">
      <w:pPr>
        <w:pStyle w:val="ParaNum"/>
        <w:numPr>
          <w:ilvl w:val="0"/>
          <w:numId w:val="0"/>
        </w:numPr>
        <w:spacing w:after="0"/>
        <w:rPr>
          <w:szCs w:val="22"/>
        </w:rPr>
      </w:pPr>
      <w:r w:rsidRPr="00944624">
        <w:rPr>
          <w:szCs w:val="22"/>
        </w:rPr>
        <w:t>(a) Except as noted in this section, applications and other filings, with attached fees and FCC Form 159, must be submitted to the locations and addresses set forth in §§ 1.1102 through 1.1109.</w:t>
      </w:r>
    </w:p>
    <w:p w:rsidR="00E054C3" w:rsidRPr="00944624" w:rsidP="002A3DEA">
      <w:pPr>
        <w:pStyle w:val="ParaNum"/>
        <w:numPr>
          <w:ilvl w:val="0"/>
          <w:numId w:val="0"/>
        </w:numPr>
        <w:spacing w:after="0"/>
        <w:rPr>
          <w:szCs w:val="22"/>
        </w:rPr>
      </w:pPr>
    </w:p>
    <w:p w:rsidR="00E054C3" w:rsidRPr="00944624" w:rsidP="002A3DEA">
      <w:pPr>
        <w:pStyle w:val="ParaNum"/>
        <w:numPr>
          <w:ilvl w:val="0"/>
          <w:numId w:val="0"/>
        </w:numPr>
        <w:spacing w:after="0"/>
        <w:rPr>
          <w:szCs w:val="22"/>
        </w:rPr>
      </w:pPr>
      <w:r w:rsidRPr="00944624">
        <w:rPr>
          <w:szCs w:val="22"/>
        </w:rPr>
        <w:t>(1) Tariff filings shall be filed with the Secretary, Federal Communications Commission, Washington</w:t>
      </w:r>
      <w:r w:rsidRPr="00944624" w:rsidR="00F7102A">
        <w:rPr>
          <w:szCs w:val="22"/>
        </w:rPr>
        <w:t>,</w:t>
      </w:r>
      <w:r w:rsidRPr="00944624">
        <w:rPr>
          <w:szCs w:val="22"/>
        </w:rPr>
        <w:t xml:space="preserve"> DC 20554. On the same day, the filer should submit a copy of the cover letter, the FCC Form 159, and the </w:t>
      </w:r>
      <w:r w:rsidRPr="00013A8A">
        <w:rPr>
          <w:szCs w:val="22"/>
        </w:rPr>
        <w:t xml:space="preserve">appropriate fee </w:t>
      </w:r>
      <w:r w:rsidRPr="00013A8A" w:rsidR="00184C60">
        <w:rPr>
          <w:szCs w:val="22"/>
        </w:rPr>
        <w:t xml:space="preserve">in accordance with the procedures </w:t>
      </w:r>
      <w:r w:rsidRPr="00013A8A">
        <w:rPr>
          <w:szCs w:val="22"/>
        </w:rPr>
        <w:t>established</w:t>
      </w:r>
      <w:r w:rsidRPr="00944624">
        <w:rPr>
          <w:szCs w:val="22"/>
        </w:rPr>
        <w:t xml:space="preserve"> in § 1.1105.</w:t>
      </w:r>
    </w:p>
    <w:p w:rsidR="00E054C3" w:rsidRPr="00944624" w:rsidP="002A3DEA">
      <w:pPr>
        <w:pStyle w:val="ParaNum"/>
        <w:numPr>
          <w:ilvl w:val="0"/>
          <w:numId w:val="0"/>
        </w:numPr>
        <w:spacing w:after="0"/>
        <w:rPr>
          <w:szCs w:val="22"/>
        </w:rPr>
      </w:pPr>
    </w:p>
    <w:p w:rsidR="00E054C3" w:rsidRPr="00013A8A" w:rsidP="002A3DEA">
      <w:pPr>
        <w:pStyle w:val="ParaNum"/>
        <w:numPr>
          <w:ilvl w:val="0"/>
          <w:numId w:val="0"/>
        </w:numPr>
        <w:spacing w:after="0"/>
        <w:rPr>
          <w:szCs w:val="22"/>
        </w:rPr>
      </w:pPr>
      <w:r w:rsidRPr="00944624">
        <w:rPr>
          <w:szCs w:val="22"/>
        </w:rPr>
        <w:t xml:space="preserve">(2) Bills for collection will </w:t>
      </w:r>
      <w:r w:rsidRPr="00013A8A">
        <w:rPr>
          <w:szCs w:val="22"/>
        </w:rPr>
        <w:t xml:space="preserve">be paid </w:t>
      </w:r>
      <w:r w:rsidRPr="00013A8A" w:rsidR="00184C60">
        <w:rPr>
          <w:szCs w:val="22"/>
        </w:rPr>
        <w:t xml:space="preserve">electronically or </w:t>
      </w:r>
      <w:r w:rsidRPr="00013A8A">
        <w:rPr>
          <w:szCs w:val="22"/>
        </w:rPr>
        <w:t>at the Commission's lockbox bank at the address of the appropriate service as established in §§ 1.1102 through 1.1109, as set forth on the bill sent by the Commission. Payments must be accompanied by the bill sent by the Commission. Payments must be accompanied by the bill to ensure proper credit.</w:t>
      </w:r>
      <w:r w:rsidRPr="00013A8A" w:rsidR="00184C60">
        <w:rPr>
          <w:szCs w:val="22"/>
        </w:rPr>
        <w:t xml:space="preserve"> Electronic payments must include the reference number contained on the bill sent by the Commission.</w:t>
      </w:r>
    </w:p>
    <w:p w:rsidR="00E054C3" w:rsidRPr="00944624" w:rsidP="002A3DEA">
      <w:pPr>
        <w:pStyle w:val="ParaNum"/>
        <w:numPr>
          <w:ilvl w:val="0"/>
          <w:numId w:val="0"/>
        </w:numPr>
        <w:spacing w:after="0"/>
        <w:rPr>
          <w:szCs w:val="22"/>
        </w:rPr>
      </w:pPr>
    </w:p>
    <w:p w:rsidR="00E054C3" w:rsidRPr="00944624" w:rsidP="002A3DEA">
      <w:pPr>
        <w:pStyle w:val="ParaNum"/>
        <w:numPr>
          <w:ilvl w:val="0"/>
          <w:numId w:val="0"/>
        </w:numPr>
        <w:spacing w:after="0"/>
        <w:rPr>
          <w:szCs w:val="22"/>
        </w:rPr>
      </w:pPr>
      <w:r w:rsidRPr="00944624">
        <w:rPr>
          <w:szCs w:val="22"/>
        </w:rPr>
        <w:t>(3) Petitions for reconsideration or applications for review of fee decisions pursuant to § 1.1119(b) of this subpart must be accompanied by the required fee for the application or other filing being considered or reviewed.</w:t>
      </w:r>
    </w:p>
    <w:p w:rsidR="00E054C3" w:rsidRPr="00944624" w:rsidP="002A3DEA">
      <w:pPr>
        <w:pStyle w:val="ParaNum"/>
        <w:numPr>
          <w:ilvl w:val="0"/>
          <w:numId w:val="0"/>
        </w:numPr>
        <w:spacing w:after="0"/>
        <w:rPr>
          <w:szCs w:val="22"/>
        </w:rPr>
      </w:pPr>
    </w:p>
    <w:p w:rsidR="00E054C3" w:rsidRPr="00944624" w:rsidP="002A3DEA">
      <w:pPr>
        <w:pStyle w:val="ParaNum"/>
        <w:numPr>
          <w:ilvl w:val="0"/>
          <w:numId w:val="0"/>
        </w:numPr>
        <w:spacing w:after="0"/>
        <w:rPr>
          <w:szCs w:val="22"/>
        </w:rPr>
      </w:pPr>
      <w:r w:rsidRPr="00944624">
        <w:rPr>
          <w:szCs w:val="22"/>
        </w:rPr>
        <w:t xml:space="preserve">(4) Applicants claiming an exemption from a fee requirement for an application or other filing under 47 U.S.C. 158(d)(1) or § 1.1116 of this subpart shall file their applications in the appropriate location as set forth in the rules for the service for which they are applying, except that request for waiver accompanied by a tentative fee payment </w:t>
      </w:r>
      <w:r w:rsidRPr="00013A8A">
        <w:rPr>
          <w:szCs w:val="22"/>
        </w:rPr>
        <w:t>should be filed as set forth</w:t>
      </w:r>
      <w:r w:rsidRPr="00944624">
        <w:rPr>
          <w:szCs w:val="22"/>
        </w:rPr>
        <w:t xml:space="preserve"> in §§ 1.1102 through 1.1109.</w:t>
      </w:r>
    </w:p>
    <w:p w:rsidR="00E054C3" w:rsidRPr="00944624" w:rsidP="002A3DEA">
      <w:pPr>
        <w:pStyle w:val="ParaNum"/>
        <w:numPr>
          <w:ilvl w:val="0"/>
          <w:numId w:val="0"/>
        </w:numPr>
        <w:spacing w:after="0"/>
        <w:rPr>
          <w:szCs w:val="22"/>
        </w:rPr>
      </w:pPr>
    </w:p>
    <w:p w:rsidR="00504021" w:rsidRPr="00944624" w:rsidP="004B6ECD">
      <w:pPr>
        <w:pStyle w:val="ParaNum"/>
        <w:numPr>
          <w:ilvl w:val="0"/>
          <w:numId w:val="13"/>
        </w:numPr>
        <w:spacing w:after="0"/>
        <w:rPr>
          <w:szCs w:val="22"/>
        </w:rPr>
      </w:pPr>
      <w:r w:rsidRPr="00944624">
        <w:rPr>
          <w:szCs w:val="22"/>
        </w:rPr>
        <w:t xml:space="preserve">Amend § 1.1119 </w:t>
      </w:r>
      <w:r w:rsidRPr="00944624" w:rsidR="0099445D">
        <w:rPr>
          <w:szCs w:val="22"/>
        </w:rPr>
        <w:t xml:space="preserve">by revising paragraph (c) </w:t>
      </w:r>
      <w:r w:rsidRPr="00944624">
        <w:rPr>
          <w:szCs w:val="22"/>
        </w:rPr>
        <w:t>as follows:</w:t>
      </w:r>
    </w:p>
    <w:p w:rsidR="00504021" w:rsidRPr="00944624" w:rsidP="002A3DEA">
      <w:pPr>
        <w:pStyle w:val="ParaNum"/>
        <w:numPr>
          <w:ilvl w:val="0"/>
          <w:numId w:val="0"/>
        </w:numPr>
        <w:spacing w:after="0"/>
        <w:rPr>
          <w:szCs w:val="22"/>
        </w:rPr>
      </w:pPr>
    </w:p>
    <w:p w:rsidR="00184C60" w:rsidRPr="00944624" w:rsidP="002A3DEA">
      <w:pPr>
        <w:pStyle w:val="ParaNum"/>
        <w:numPr>
          <w:ilvl w:val="0"/>
          <w:numId w:val="0"/>
        </w:numPr>
        <w:spacing w:after="0"/>
        <w:rPr>
          <w:szCs w:val="22"/>
        </w:rPr>
      </w:pPr>
      <w:r w:rsidRPr="00944624">
        <w:rPr>
          <w:szCs w:val="22"/>
        </w:rPr>
        <w:t>§ 1.1119 Petitions and applications for review.</w:t>
      </w:r>
    </w:p>
    <w:p w:rsidR="00DF75B8" w:rsidRPr="00944624" w:rsidP="002A3DEA">
      <w:pPr>
        <w:pStyle w:val="ParaNum"/>
        <w:numPr>
          <w:ilvl w:val="0"/>
          <w:numId w:val="0"/>
        </w:numPr>
        <w:spacing w:after="0"/>
        <w:rPr>
          <w:szCs w:val="22"/>
        </w:rPr>
      </w:pPr>
    </w:p>
    <w:p w:rsidR="0099445D" w:rsidRPr="00944624" w:rsidP="002A3DEA">
      <w:pPr>
        <w:pStyle w:val="ParaNum"/>
        <w:numPr>
          <w:ilvl w:val="0"/>
          <w:numId w:val="0"/>
        </w:numPr>
        <w:spacing w:after="0"/>
        <w:rPr>
          <w:szCs w:val="22"/>
        </w:rPr>
      </w:pPr>
      <w:r w:rsidRPr="00944624">
        <w:rPr>
          <w:szCs w:val="22"/>
        </w:rPr>
        <w:t>* * *</w:t>
      </w:r>
      <w:r w:rsidRPr="00944624">
        <w:rPr>
          <w:szCs w:val="22"/>
        </w:rPr>
        <w:t xml:space="preserve"> * *</w:t>
      </w:r>
    </w:p>
    <w:p w:rsidR="00DF75B8" w:rsidRPr="00944624" w:rsidP="002A3DEA">
      <w:pPr>
        <w:pStyle w:val="ParaNum"/>
        <w:numPr>
          <w:ilvl w:val="0"/>
          <w:numId w:val="0"/>
        </w:numPr>
        <w:spacing w:after="0"/>
        <w:rPr>
          <w:szCs w:val="22"/>
        </w:rPr>
      </w:pPr>
    </w:p>
    <w:p w:rsidR="00DF75B8" w:rsidRPr="00944624" w:rsidP="002A3DEA">
      <w:pPr>
        <w:pStyle w:val="ParaNum"/>
        <w:numPr>
          <w:ilvl w:val="0"/>
          <w:numId w:val="0"/>
        </w:numPr>
        <w:spacing w:after="0"/>
        <w:rPr>
          <w:szCs w:val="22"/>
        </w:rPr>
      </w:pPr>
      <w:r w:rsidRPr="00944624">
        <w:rPr>
          <w:szCs w:val="22"/>
        </w:rPr>
        <w:t xml:space="preserve">(c) </w:t>
      </w:r>
      <w:r w:rsidRPr="00944624">
        <w:rPr>
          <w:szCs w:val="22"/>
        </w:rPr>
        <w:t xml:space="preserve">* * * </w:t>
      </w:r>
    </w:p>
    <w:p w:rsidR="00184C60" w:rsidRPr="00944624" w:rsidP="002A3DEA">
      <w:pPr>
        <w:pStyle w:val="ParaNum"/>
        <w:numPr>
          <w:ilvl w:val="0"/>
          <w:numId w:val="0"/>
        </w:numPr>
        <w:spacing w:after="0"/>
        <w:rPr>
          <w:szCs w:val="22"/>
        </w:rPr>
      </w:pPr>
    </w:p>
    <w:p w:rsidR="00184C60" w:rsidRPr="00944624" w:rsidP="002A3DEA">
      <w:pPr>
        <w:pStyle w:val="ParaNum"/>
        <w:numPr>
          <w:ilvl w:val="0"/>
          <w:numId w:val="0"/>
        </w:numPr>
        <w:spacing w:after="0"/>
        <w:rPr>
          <w:szCs w:val="22"/>
        </w:rPr>
      </w:pPr>
      <w:r w:rsidRPr="00944624">
        <w:rPr>
          <w:szCs w:val="22"/>
        </w:rPr>
        <w:t xml:space="preserve">(1) Petitions and applications for review submitted with a fee must be </w:t>
      </w:r>
      <w:r w:rsidRPr="00013A8A">
        <w:rPr>
          <w:szCs w:val="22"/>
        </w:rPr>
        <w:t xml:space="preserve">submitted </w:t>
      </w:r>
      <w:r w:rsidRPr="00013A8A" w:rsidR="00DF75B8">
        <w:rPr>
          <w:szCs w:val="22"/>
        </w:rPr>
        <w:t xml:space="preserve">electronically or </w:t>
      </w:r>
      <w:r w:rsidR="00213734">
        <w:rPr>
          <w:szCs w:val="22"/>
        </w:rPr>
        <w:t>to the Commission’</w:t>
      </w:r>
      <w:r w:rsidRPr="00013A8A">
        <w:rPr>
          <w:szCs w:val="22"/>
        </w:rPr>
        <w:t xml:space="preserve">s lock box bank at the address for the appropriate service </w:t>
      </w:r>
      <w:r w:rsidRPr="00013A8A" w:rsidR="00DF75B8">
        <w:rPr>
          <w:szCs w:val="22"/>
        </w:rPr>
        <w:t xml:space="preserve">as </w:t>
      </w:r>
      <w:r w:rsidRPr="00013A8A">
        <w:rPr>
          <w:szCs w:val="22"/>
        </w:rPr>
        <w:t>set forth</w:t>
      </w:r>
      <w:r w:rsidRPr="00944624">
        <w:rPr>
          <w:szCs w:val="22"/>
        </w:rPr>
        <w:t xml:space="preserve"> in §§ 1.1102 through 1.1107.</w:t>
      </w:r>
    </w:p>
    <w:p w:rsidR="00DF75B8" w:rsidRPr="00944624" w:rsidP="002A3DEA">
      <w:pPr>
        <w:pStyle w:val="ParaNum"/>
        <w:numPr>
          <w:ilvl w:val="0"/>
          <w:numId w:val="0"/>
        </w:numPr>
        <w:spacing w:after="0"/>
        <w:rPr>
          <w:szCs w:val="22"/>
        </w:rPr>
      </w:pPr>
    </w:p>
    <w:p w:rsidR="00184C60" w:rsidRPr="00944624" w:rsidP="002A3DEA">
      <w:pPr>
        <w:pStyle w:val="ParaNum"/>
        <w:numPr>
          <w:ilvl w:val="0"/>
          <w:numId w:val="0"/>
        </w:numPr>
        <w:spacing w:after="0"/>
        <w:rPr>
          <w:szCs w:val="22"/>
        </w:rPr>
      </w:pPr>
      <w:r w:rsidRPr="00944624">
        <w:rPr>
          <w:szCs w:val="22"/>
        </w:rPr>
        <w:t xml:space="preserve">(2) If no fee payment is submitted, the request </w:t>
      </w:r>
      <w:r w:rsidRPr="00013A8A">
        <w:rPr>
          <w:szCs w:val="22"/>
        </w:rPr>
        <w:t xml:space="preserve">should be filed </w:t>
      </w:r>
      <w:r w:rsidRPr="00013A8A" w:rsidR="00DF75B8">
        <w:rPr>
          <w:szCs w:val="22"/>
        </w:rPr>
        <w:t xml:space="preserve">electronically through the Commission’s Electronic Comment Filing System or </w:t>
      </w:r>
      <w:r w:rsidRPr="00013A8A">
        <w:rPr>
          <w:szCs w:val="22"/>
        </w:rPr>
        <w:t>with the Co</w:t>
      </w:r>
      <w:r w:rsidR="00213734">
        <w:rPr>
          <w:szCs w:val="22"/>
        </w:rPr>
        <w:t>mmission’</w:t>
      </w:r>
      <w:r w:rsidRPr="00944624">
        <w:rPr>
          <w:szCs w:val="22"/>
        </w:rPr>
        <w:t>s Secretary.</w:t>
      </w:r>
    </w:p>
    <w:p w:rsidR="00DF75B8" w:rsidRPr="00944624" w:rsidP="002A3DEA">
      <w:pPr>
        <w:pStyle w:val="ParaNum"/>
        <w:numPr>
          <w:ilvl w:val="0"/>
          <w:numId w:val="0"/>
        </w:numPr>
        <w:spacing w:after="0"/>
        <w:rPr>
          <w:szCs w:val="22"/>
        </w:rPr>
      </w:pPr>
    </w:p>
    <w:p w:rsidR="00DF75B8" w:rsidRPr="00944624" w:rsidP="002A3DEA">
      <w:pPr>
        <w:pStyle w:val="ParaNum"/>
        <w:numPr>
          <w:ilvl w:val="0"/>
          <w:numId w:val="0"/>
        </w:numPr>
        <w:spacing w:after="0"/>
        <w:rPr>
          <w:szCs w:val="22"/>
        </w:rPr>
      </w:pPr>
      <w:r w:rsidRPr="00944624">
        <w:rPr>
          <w:szCs w:val="22"/>
        </w:rPr>
        <w:t>* * * * *</w:t>
      </w:r>
    </w:p>
    <w:p w:rsidR="00182B9A" w:rsidRPr="00944624" w:rsidP="002A3DEA">
      <w:pPr>
        <w:pStyle w:val="ParaNum"/>
        <w:numPr>
          <w:ilvl w:val="0"/>
          <w:numId w:val="0"/>
        </w:numPr>
        <w:spacing w:after="0"/>
        <w:rPr>
          <w:szCs w:val="22"/>
        </w:rPr>
      </w:pPr>
    </w:p>
    <w:p w:rsidR="00504021" w:rsidRPr="00944624" w:rsidP="002A3DEA">
      <w:pPr>
        <w:autoSpaceDE w:val="0"/>
        <w:autoSpaceDN w:val="0"/>
        <w:adjustRightInd w:val="0"/>
        <w:rPr>
          <w:szCs w:val="22"/>
        </w:rPr>
      </w:pPr>
      <w:r w:rsidRPr="00944624">
        <w:rPr>
          <w:szCs w:val="22"/>
        </w:rPr>
        <w:t>Title 47 of the Code of Federal Regulations, Part 51, is amended as follows:</w:t>
      </w:r>
    </w:p>
    <w:p w:rsidR="00504021" w:rsidRPr="00944624" w:rsidP="002A3DEA">
      <w:pPr>
        <w:pStyle w:val="ParaNum"/>
        <w:numPr>
          <w:ilvl w:val="0"/>
          <w:numId w:val="0"/>
        </w:numPr>
        <w:spacing w:after="0"/>
        <w:rPr>
          <w:szCs w:val="22"/>
        </w:rPr>
      </w:pPr>
    </w:p>
    <w:p w:rsidR="00504021" w:rsidRPr="00944624" w:rsidP="002A3DEA">
      <w:pPr>
        <w:pStyle w:val="ParaNum"/>
        <w:numPr>
          <w:ilvl w:val="0"/>
          <w:numId w:val="0"/>
        </w:numPr>
        <w:spacing w:after="0"/>
        <w:rPr>
          <w:szCs w:val="22"/>
        </w:rPr>
      </w:pPr>
      <w:r w:rsidRPr="00944624">
        <w:rPr>
          <w:szCs w:val="22"/>
        </w:rPr>
        <w:t>PART 51</w:t>
      </w:r>
      <w:r w:rsidRPr="00944624" w:rsidR="00E71F10">
        <w:rPr>
          <w:szCs w:val="22"/>
        </w:rPr>
        <w:t xml:space="preserve"> </w:t>
      </w:r>
      <w:r w:rsidRPr="00944624">
        <w:rPr>
          <w:szCs w:val="22"/>
        </w:rPr>
        <w:t>— INTERCONNECTION</w:t>
      </w:r>
    </w:p>
    <w:p w:rsidR="00504021" w:rsidRPr="00944624" w:rsidP="002A3DEA">
      <w:pPr>
        <w:pStyle w:val="ParaNum"/>
        <w:numPr>
          <w:ilvl w:val="0"/>
          <w:numId w:val="0"/>
        </w:numPr>
        <w:spacing w:after="0"/>
        <w:rPr>
          <w:szCs w:val="22"/>
        </w:rPr>
      </w:pPr>
    </w:p>
    <w:p w:rsidR="0099445D" w:rsidRPr="00944624" w:rsidP="004B6ECD">
      <w:pPr>
        <w:pStyle w:val="ParaNum"/>
        <w:numPr>
          <w:ilvl w:val="0"/>
          <w:numId w:val="13"/>
        </w:numPr>
        <w:spacing w:after="0"/>
        <w:rPr>
          <w:szCs w:val="22"/>
        </w:rPr>
      </w:pPr>
      <w:r w:rsidRPr="00944624">
        <w:rPr>
          <w:szCs w:val="22"/>
        </w:rPr>
        <w:t>The authority citation for Part 51 is revised to read as follows:</w:t>
      </w:r>
    </w:p>
    <w:p w:rsidR="0099445D" w:rsidRPr="00944624" w:rsidP="002A3DEA">
      <w:pPr>
        <w:pStyle w:val="ParaNum"/>
        <w:numPr>
          <w:ilvl w:val="0"/>
          <w:numId w:val="0"/>
        </w:numPr>
        <w:spacing w:after="0"/>
        <w:rPr>
          <w:szCs w:val="22"/>
        </w:rPr>
      </w:pPr>
    </w:p>
    <w:p w:rsidR="0099445D" w:rsidRPr="00944624" w:rsidP="002A3DEA">
      <w:pPr>
        <w:pStyle w:val="ParaNum"/>
        <w:numPr>
          <w:ilvl w:val="0"/>
          <w:numId w:val="0"/>
        </w:numPr>
        <w:spacing w:after="0"/>
        <w:rPr>
          <w:szCs w:val="22"/>
        </w:rPr>
      </w:pPr>
      <w:r w:rsidRPr="00944624">
        <w:rPr>
          <w:szCs w:val="22"/>
        </w:rPr>
        <w:t>Authority: 47 U.S.C. 151-55, 201-05, 207-09, 218, 220, 225-27, 251-54, 256, 271, 303(r), 332, 1302.</w:t>
      </w:r>
    </w:p>
    <w:p w:rsidR="0099445D" w:rsidRPr="00944624" w:rsidP="002A3DEA">
      <w:pPr>
        <w:pStyle w:val="ParaNum"/>
        <w:numPr>
          <w:ilvl w:val="0"/>
          <w:numId w:val="0"/>
        </w:numPr>
        <w:spacing w:after="0"/>
        <w:rPr>
          <w:szCs w:val="22"/>
        </w:rPr>
      </w:pPr>
    </w:p>
    <w:p w:rsidR="00B53DC3" w:rsidRPr="00944624" w:rsidP="004B6ECD">
      <w:pPr>
        <w:pStyle w:val="ParaNum"/>
        <w:numPr>
          <w:ilvl w:val="0"/>
          <w:numId w:val="13"/>
        </w:numPr>
        <w:spacing w:after="0"/>
        <w:rPr>
          <w:szCs w:val="22"/>
        </w:rPr>
      </w:pPr>
      <w:r w:rsidRPr="00944624">
        <w:rPr>
          <w:szCs w:val="22"/>
        </w:rPr>
        <w:t xml:space="preserve">Amend § </w:t>
      </w:r>
      <w:r w:rsidRPr="00944624" w:rsidR="00C80CE0">
        <w:rPr>
          <w:szCs w:val="22"/>
        </w:rPr>
        <w:t>51.329</w:t>
      </w:r>
      <w:r w:rsidRPr="00944624">
        <w:rPr>
          <w:szCs w:val="22"/>
        </w:rPr>
        <w:t xml:space="preserve"> </w:t>
      </w:r>
      <w:r w:rsidRPr="00944624" w:rsidR="0099445D">
        <w:rPr>
          <w:szCs w:val="22"/>
        </w:rPr>
        <w:t xml:space="preserve">by revising paragraph (c)(2) </w:t>
      </w:r>
      <w:r w:rsidRPr="00944624">
        <w:rPr>
          <w:szCs w:val="22"/>
        </w:rPr>
        <w:t>as follows:</w:t>
      </w:r>
    </w:p>
    <w:p w:rsidR="00B53DC3"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xml:space="preserve">§51.329 </w:t>
      </w:r>
      <w:r w:rsidRPr="00944624">
        <w:rPr>
          <w:szCs w:val="22"/>
        </w:rPr>
        <w:t xml:space="preserve">   Notice of network changes: Methods for providing notice. </w:t>
      </w:r>
    </w:p>
    <w:p w:rsidR="00B53DC3"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 *</w:t>
      </w:r>
      <w:r w:rsidRPr="00944624" w:rsidR="0099445D">
        <w:rPr>
          <w:szCs w:val="22"/>
        </w:rPr>
        <w:t xml:space="preserve"> * *</w:t>
      </w:r>
    </w:p>
    <w:p w:rsidR="00B53DC3"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(c) * * *</w:t>
      </w:r>
    </w:p>
    <w:p w:rsidR="00B53DC3"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xml:space="preserve">(2) The incumbent LEC’s public notice and any associated certifications shall be filed through the Commission’s Electronic Comment Filing System (ECFS), using the “Submit a Non-Docketed Filing” module. All subsequent filings responsive to a notice may be filed using the Commission’s ECFS under the docket number set forth in the Commission’s public notice for the proceeding. </w:t>
      </w:r>
      <w:r w:rsidRPr="00944624" w:rsidR="00602624">
        <w:rPr>
          <w:szCs w:val="22"/>
        </w:rPr>
        <w:t>If necessary, s</w:t>
      </w:r>
      <w:r w:rsidRPr="00944624">
        <w:rPr>
          <w:szCs w:val="22"/>
        </w:rPr>
        <w:t>ubsequent filings responsive to a notice also may be filed by sending one paper copy of the filing to “Secretary, Federal Communications Commission, Washington, DC 20554” and one paper copy of the filing to “Federal Communications Commission, Wireline Competition Bureau, Competition Policy Division, Washington, DC 20554.” For notices filed using the Commission’s ECFS, the date on which the filing is received by that system will be considered the official filing date. For notices filed via paper copy, the date on which the filing is received by the Secretary or the FCC Mailroom is considered the official filing date. All subsequent filings responsive to a notice shall refer to the ECFS docket number assigned to the notice.</w:t>
      </w:r>
    </w:p>
    <w:p w:rsidR="00B53DC3" w:rsidRPr="00944624" w:rsidP="002A3DEA">
      <w:pPr>
        <w:pStyle w:val="ParaNum"/>
        <w:numPr>
          <w:ilvl w:val="0"/>
          <w:numId w:val="0"/>
        </w:numPr>
        <w:spacing w:after="0"/>
        <w:rPr>
          <w:szCs w:val="22"/>
        </w:rPr>
      </w:pPr>
    </w:p>
    <w:p w:rsidR="00504021" w:rsidRPr="00944624" w:rsidP="002A3DEA">
      <w:pPr>
        <w:autoSpaceDE w:val="0"/>
        <w:autoSpaceDN w:val="0"/>
        <w:adjustRightInd w:val="0"/>
        <w:rPr>
          <w:szCs w:val="22"/>
        </w:rPr>
      </w:pPr>
      <w:r w:rsidRPr="00944624">
        <w:rPr>
          <w:szCs w:val="22"/>
        </w:rPr>
        <w:t>Title 47 of the Code of Federal Regulations, Part 61, is amended as follows:</w:t>
      </w:r>
    </w:p>
    <w:p w:rsidR="00504021" w:rsidRPr="00944624" w:rsidP="002A3DEA">
      <w:pPr>
        <w:pStyle w:val="ParaNum"/>
        <w:numPr>
          <w:ilvl w:val="0"/>
          <w:numId w:val="0"/>
        </w:numPr>
        <w:spacing w:after="0"/>
        <w:rPr>
          <w:szCs w:val="22"/>
        </w:rPr>
      </w:pPr>
    </w:p>
    <w:p w:rsidR="00504021" w:rsidRPr="00944624" w:rsidP="002A3DEA">
      <w:pPr>
        <w:pStyle w:val="ParaNum"/>
        <w:numPr>
          <w:ilvl w:val="0"/>
          <w:numId w:val="0"/>
        </w:numPr>
        <w:spacing w:after="0"/>
        <w:rPr>
          <w:szCs w:val="22"/>
        </w:rPr>
      </w:pPr>
      <w:r w:rsidRPr="00944624">
        <w:rPr>
          <w:szCs w:val="22"/>
        </w:rPr>
        <w:t xml:space="preserve">PART </w:t>
      </w:r>
      <w:r w:rsidRPr="00944624" w:rsidR="00E71F10">
        <w:rPr>
          <w:szCs w:val="22"/>
        </w:rPr>
        <w:t>6</w:t>
      </w:r>
      <w:r w:rsidRPr="00944624">
        <w:rPr>
          <w:szCs w:val="22"/>
        </w:rPr>
        <w:t>1 — TARIFFS</w:t>
      </w:r>
    </w:p>
    <w:p w:rsidR="00504021" w:rsidRPr="00944624" w:rsidP="002A3DEA">
      <w:pPr>
        <w:pStyle w:val="ParaNum"/>
        <w:numPr>
          <w:ilvl w:val="0"/>
          <w:numId w:val="0"/>
        </w:numPr>
        <w:spacing w:after="0"/>
        <w:rPr>
          <w:szCs w:val="22"/>
        </w:rPr>
      </w:pPr>
    </w:p>
    <w:p w:rsidR="0099445D" w:rsidRPr="00944624" w:rsidP="004B6ECD">
      <w:pPr>
        <w:pStyle w:val="ParaNum"/>
        <w:numPr>
          <w:ilvl w:val="0"/>
          <w:numId w:val="13"/>
        </w:numPr>
        <w:spacing w:after="0"/>
        <w:rPr>
          <w:szCs w:val="22"/>
        </w:rPr>
      </w:pPr>
      <w:r w:rsidRPr="00944624">
        <w:rPr>
          <w:szCs w:val="22"/>
        </w:rPr>
        <w:t>The authority citation for Part 61 is revised to read as follows:</w:t>
      </w:r>
    </w:p>
    <w:p w:rsidR="0099445D" w:rsidRPr="00944624" w:rsidP="002A3DEA">
      <w:pPr>
        <w:pStyle w:val="ParaNum"/>
        <w:numPr>
          <w:ilvl w:val="0"/>
          <w:numId w:val="0"/>
        </w:numPr>
        <w:spacing w:after="0"/>
        <w:rPr>
          <w:szCs w:val="22"/>
        </w:rPr>
      </w:pPr>
    </w:p>
    <w:p w:rsidR="0099445D" w:rsidRPr="00944624" w:rsidP="002A3DEA">
      <w:pPr>
        <w:pStyle w:val="ParaNum"/>
        <w:numPr>
          <w:ilvl w:val="0"/>
          <w:numId w:val="0"/>
        </w:numPr>
        <w:spacing w:after="0"/>
        <w:rPr>
          <w:szCs w:val="22"/>
        </w:rPr>
      </w:pPr>
      <w:r w:rsidRPr="00944624">
        <w:rPr>
          <w:szCs w:val="22"/>
        </w:rPr>
        <w:t>Authority: Secs. 1, 4(i), 4(j), 201-205 and 403 of the Communications Act of 1934, as amended; 47 U.S.C. 151, 154(i), 154(j), 201-205 and 403, unless otherwise noted.</w:t>
      </w:r>
    </w:p>
    <w:p w:rsidR="0099445D" w:rsidRPr="00944624" w:rsidP="002A3DEA">
      <w:pPr>
        <w:pStyle w:val="ParaNum"/>
        <w:numPr>
          <w:ilvl w:val="0"/>
          <w:numId w:val="0"/>
        </w:numPr>
        <w:spacing w:after="0"/>
        <w:rPr>
          <w:szCs w:val="22"/>
        </w:rPr>
      </w:pPr>
    </w:p>
    <w:p w:rsidR="00C80CE0" w:rsidRPr="00944624" w:rsidP="004B6ECD">
      <w:pPr>
        <w:pStyle w:val="ParaNum"/>
        <w:numPr>
          <w:ilvl w:val="0"/>
          <w:numId w:val="13"/>
        </w:numPr>
        <w:spacing w:after="0"/>
        <w:rPr>
          <w:szCs w:val="22"/>
        </w:rPr>
      </w:pPr>
      <w:r w:rsidRPr="00944624">
        <w:rPr>
          <w:szCs w:val="22"/>
        </w:rPr>
        <w:t xml:space="preserve">Amend § 61.13 </w:t>
      </w:r>
      <w:r w:rsidRPr="00944624" w:rsidR="00944624">
        <w:rPr>
          <w:szCs w:val="22"/>
        </w:rPr>
        <w:t xml:space="preserve">to read </w:t>
      </w:r>
      <w:r w:rsidRPr="00944624">
        <w:rPr>
          <w:szCs w:val="22"/>
        </w:rPr>
        <w:t>as follows:</w:t>
      </w:r>
    </w:p>
    <w:p w:rsidR="00B53DC3"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xml:space="preserve">§ 61.13 Scope.  </w:t>
      </w:r>
    </w:p>
    <w:p w:rsidR="00602624"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xml:space="preserve">(a) All </w:t>
      </w:r>
      <w:r w:rsidRPr="00944624" w:rsidR="000252F7">
        <w:rPr>
          <w:szCs w:val="22"/>
        </w:rPr>
        <w:t xml:space="preserve">issuing </w:t>
      </w:r>
      <w:r w:rsidRPr="00944624">
        <w:rPr>
          <w:szCs w:val="22"/>
        </w:rPr>
        <w:t>carriers that file tariffs are required to file tariff publications electronically</w:t>
      </w:r>
      <w:r w:rsidRPr="00944624" w:rsidR="004855BF">
        <w:rPr>
          <w:szCs w:val="22"/>
        </w:rPr>
        <w:t>, if practicable</w:t>
      </w:r>
      <w:r w:rsidRPr="00944624">
        <w:rPr>
          <w:szCs w:val="22"/>
        </w:rPr>
        <w:t>.</w:t>
      </w:r>
    </w:p>
    <w:p w:rsidR="00C80CE0" w:rsidRPr="00944624" w:rsidP="002A3DEA">
      <w:pPr>
        <w:pStyle w:val="ParaNum"/>
        <w:numPr>
          <w:ilvl w:val="0"/>
          <w:numId w:val="0"/>
        </w:numPr>
        <w:spacing w:after="0"/>
        <w:rPr>
          <w:szCs w:val="22"/>
        </w:rPr>
      </w:pPr>
      <w:r w:rsidRPr="00944624">
        <w:rPr>
          <w:szCs w:val="22"/>
        </w:rPr>
        <w:t>(b</w:t>
      </w:r>
      <w:r w:rsidRPr="00944624">
        <w:rPr>
          <w:szCs w:val="22"/>
        </w:rPr>
        <w:t>) All tariff publications shall be filed in a manner that is compatible and consistent with the technical requirements of the Electronic Tariff Filing System.</w:t>
      </w:r>
    </w:p>
    <w:p w:rsidR="004855BF" w:rsidRPr="00944624" w:rsidP="002A3DEA">
      <w:pPr>
        <w:pStyle w:val="ParaNum"/>
        <w:numPr>
          <w:ilvl w:val="0"/>
          <w:numId w:val="0"/>
        </w:numPr>
        <w:spacing w:after="0"/>
        <w:rPr>
          <w:szCs w:val="22"/>
        </w:rPr>
      </w:pPr>
      <w:r w:rsidRPr="00944624">
        <w:rPr>
          <w:szCs w:val="22"/>
        </w:rPr>
        <w:t xml:space="preserve">(c) Tariff publications which must be filed in hard copy format should be submitted according to the procedures set forth on the web page of the FCC’s Office of the Secretary, </w:t>
      </w:r>
      <w:r>
        <w:fldChar w:fldCharType="begin"/>
      </w:r>
      <w:r>
        <w:instrText xml:space="preserve"> HYPERLINK "https://www.fcc.gov/secretary" </w:instrText>
      </w:r>
      <w:r>
        <w:fldChar w:fldCharType="separate"/>
      </w:r>
      <w:r w:rsidRPr="00944624">
        <w:rPr>
          <w:rStyle w:val="Hyperlink"/>
          <w:szCs w:val="22"/>
        </w:rPr>
        <w:t>https://www.fcc.gov/secretary</w:t>
      </w:r>
      <w:r>
        <w:fldChar w:fldCharType="end"/>
      </w:r>
      <w:r w:rsidRPr="00944624">
        <w:rPr>
          <w:szCs w:val="22"/>
        </w:rPr>
        <w:t>.</w:t>
      </w:r>
    </w:p>
    <w:p w:rsidR="004855BF" w:rsidRPr="00944624" w:rsidP="002A3DEA">
      <w:pPr>
        <w:pStyle w:val="ParaNum"/>
        <w:numPr>
          <w:ilvl w:val="0"/>
          <w:numId w:val="0"/>
        </w:numPr>
        <w:spacing w:after="0"/>
        <w:rPr>
          <w:szCs w:val="22"/>
        </w:rPr>
      </w:pPr>
    </w:p>
    <w:p w:rsidR="00C80CE0" w:rsidRPr="00944624" w:rsidP="004B6ECD">
      <w:pPr>
        <w:pStyle w:val="ParaNum"/>
        <w:numPr>
          <w:ilvl w:val="0"/>
          <w:numId w:val="13"/>
        </w:numPr>
        <w:spacing w:after="0"/>
        <w:rPr>
          <w:szCs w:val="22"/>
        </w:rPr>
      </w:pPr>
      <w:r w:rsidRPr="00944624">
        <w:rPr>
          <w:szCs w:val="22"/>
        </w:rPr>
        <w:t xml:space="preserve">Amend § 61.14 </w:t>
      </w:r>
      <w:r w:rsidR="009B1950">
        <w:rPr>
          <w:szCs w:val="22"/>
        </w:rPr>
        <w:t xml:space="preserve">to revise paragraphs (a) and (b) </w:t>
      </w:r>
      <w:r w:rsidRPr="00944624" w:rsidR="00944624">
        <w:rPr>
          <w:szCs w:val="22"/>
        </w:rPr>
        <w:t xml:space="preserve">to read </w:t>
      </w:r>
      <w:r w:rsidRPr="00944624">
        <w:rPr>
          <w:szCs w:val="22"/>
        </w:rPr>
        <w:t>as follows:</w:t>
      </w:r>
    </w:p>
    <w:p w:rsidR="00602624" w:rsidRPr="00944624" w:rsidP="002A3DEA">
      <w:pPr>
        <w:pStyle w:val="ParaNum"/>
        <w:numPr>
          <w:ilvl w:val="0"/>
          <w:numId w:val="0"/>
        </w:numPr>
        <w:spacing w:after="0"/>
        <w:rPr>
          <w:b/>
          <w:szCs w:val="22"/>
        </w:rPr>
      </w:pPr>
    </w:p>
    <w:p w:rsidR="00C80CE0" w:rsidRPr="00944624" w:rsidP="002A3DEA">
      <w:pPr>
        <w:pStyle w:val="ParaNum"/>
        <w:numPr>
          <w:ilvl w:val="0"/>
          <w:numId w:val="0"/>
        </w:numPr>
        <w:spacing w:after="0"/>
        <w:rPr>
          <w:szCs w:val="22"/>
        </w:rPr>
      </w:pPr>
      <w:r w:rsidRPr="00944624">
        <w:rPr>
          <w:szCs w:val="22"/>
        </w:rPr>
        <w:t>§</w:t>
      </w:r>
      <w:r w:rsidRPr="00944624" w:rsidR="00E71F10">
        <w:rPr>
          <w:szCs w:val="22"/>
        </w:rPr>
        <w:t xml:space="preserve"> </w:t>
      </w:r>
      <w:r w:rsidRPr="00944624">
        <w:rPr>
          <w:szCs w:val="22"/>
        </w:rPr>
        <w:t xml:space="preserve">61.14 Method of filing publications.  </w:t>
      </w:r>
    </w:p>
    <w:p w:rsidR="00602624" w:rsidRPr="00944624" w:rsidP="002A3DEA">
      <w:pPr>
        <w:pStyle w:val="ParaNum"/>
        <w:numPr>
          <w:ilvl w:val="0"/>
          <w:numId w:val="0"/>
        </w:numPr>
        <w:spacing w:after="0"/>
        <w:rPr>
          <w:szCs w:val="22"/>
        </w:rPr>
      </w:pPr>
    </w:p>
    <w:p w:rsidR="004C2B8E" w:rsidRPr="00944624" w:rsidP="002A3DEA">
      <w:pPr>
        <w:pStyle w:val="ParaNum"/>
        <w:numPr>
          <w:ilvl w:val="0"/>
          <w:numId w:val="0"/>
        </w:numPr>
        <w:spacing w:after="0"/>
        <w:rPr>
          <w:szCs w:val="22"/>
        </w:rPr>
      </w:pPr>
      <w:r w:rsidRPr="00944624">
        <w:rPr>
          <w:szCs w:val="22"/>
        </w:rPr>
        <w:t>(a) Publications filed electronically must be captioned to “Secretary, Federal Communications Commission, Washington, DC 20554.” The Electronic Tariff Filing System will accept filings 24 hours a day, seven days a week. The official filing date of a publication received by the Electronic Tariff Filing System will be determined by the date and time the transmission ends. If the transmission ends after the close of a business day, as that term is defined in § 1.4(e)(2) of this Chapter, the filing will be date and time stamped as of the opening of the next business day.</w:t>
      </w:r>
    </w:p>
    <w:p w:rsidR="004C2B8E" w:rsidRPr="00944624" w:rsidP="002A3DEA">
      <w:pPr>
        <w:pStyle w:val="ParaNum"/>
        <w:numPr>
          <w:ilvl w:val="0"/>
          <w:numId w:val="0"/>
        </w:numPr>
        <w:spacing w:after="0"/>
        <w:rPr>
          <w:szCs w:val="22"/>
        </w:rPr>
      </w:pPr>
    </w:p>
    <w:p w:rsidR="00B847BA" w:rsidRPr="00944624" w:rsidP="002A3DEA">
      <w:pPr>
        <w:pStyle w:val="ParaNum"/>
        <w:numPr>
          <w:ilvl w:val="0"/>
          <w:numId w:val="0"/>
        </w:numPr>
        <w:spacing w:after="0"/>
        <w:rPr>
          <w:szCs w:val="22"/>
        </w:rPr>
      </w:pPr>
      <w:r w:rsidRPr="00944624">
        <w:rPr>
          <w:szCs w:val="22"/>
        </w:rPr>
        <w:t xml:space="preserve">(b) Carriers </w:t>
      </w:r>
      <w:r w:rsidRPr="00944624">
        <w:rPr>
          <w:szCs w:val="22"/>
        </w:rPr>
        <w:t xml:space="preserve">are strongly encouraged to submit publications electronically if practicable.  Carriers </w:t>
      </w:r>
      <w:r w:rsidRPr="00944624">
        <w:rPr>
          <w:szCs w:val="22"/>
        </w:rPr>
        <w:t>need only transmit one set of files to the Commission. No other copies to any other party are required.</w:t>
      </w:r>
      <w:r w:rsidRPr="00944624">
        <w:rPr>
          <w:szCs w:val="22"/>
        </w:rPr>
        <w:t xml:space="preserve">  </w:t>
      </w:r>
      <w:r w:rsidRPr="00944624" w:rsidR="004855BF">
        <w:rPr>
          <w:szCs w:val="22"/>
        </w:rPr>
        <w:t>Publications</w:t>
      </w:r>
      <w:r w:rsidRPr="00944624">
        <w:rPr>
          <w:szCs w:val="22"/>
        </w:rPr>
        <w:t xml:space="preserve"> which must be filed in hard copy format should be submitted according to the procedures set forth on the web page of the FCC’s Office of the Secretary, </w:t>
      </w:r>
      <w:r>
        <w:fldChar w:fldCharType="begin"/>
      </w:r>
      <w:r>
        <w:instrText xml:space="preserve"> HYPERLINK "https://www.fcc.gov/secretary" </w:instrText>
      </w:r>
      <w:r>
        <w:fldChar w:fldCharType="separate"/>
      </w:r>
      <w:r w:rsidRPr="00944624">
        <w:rPr>
          <w:rStyle w:val="Hyperlink"/>
          <w:szCs w:val="22"/>
        </w:rPr>
        <w:t>https://www.fcc.gov/secretary</w:t>
      </w:r>
      <w:r>
        <w:fldChar w:fldCharType="end"/>
      </w:r>
      <w:r w:rsidRPr="00944624">
        <w:rPr>
          <w:szCs w:val="22"/>
        </w:rPr>
        <w:t>.</w:t>
      </w:r>
    </w:p>
    <w:p w:rsidR="004C2B8E" w:rsidRPr="00944624" w:rsidP="002A3DEA">
      <w:pPr>
        <w:pStyle w:val="ParaNum"/>
        <w:numPr>
          <w:ilvl w:val="0"/>
          <w:numId w:val="0"/>
        </w:numPr>
        <w:spacing w:after="0"/>
        <w:rPr>
          <w:szCs w:val="22"/>
        </w:rPr>
      </w:pPr>
    </w:p>
    <w:p w:rsidR="004855BF" w:rsidRPr="00944624" w:rsidP="002A3DEA">
      <w:pPr>
        <w:pStyle w:val="ParaNum"/>
        <w:numPr>
          <w:ilvl w:val="0"/>
          <w:numId w:val="0"/>
        </w:numPr>
        <w:spacing w:after="0"/>
        <w:rPr>
          <w:szCs w:val="22"/>
        </w:rPr>
      </w:pPr>
      <w:r>
        <w:rPr>
          <w:szCs w:val="22"/>
        </w:rPr>
        <w:t>* * * * *</w:t>
      </w:r>
    </w:p>
    <w:p w:rsidR="00602624" w:rsidRPr="00944624" w:rsidP="002A3DEA">
      <w:pPr>
        <w:pStyle w:val="ParaNum"/>
        <w:numPr>
          <w:ilvl w:val="0"/>
          <w:numId w:val="0"/>
        </w:numPr>
        <w:spacing w:after="0"/>
        <w:rPr>
          <w:szCs w:val="22"/>
        </w:rPr>
      </w:pPr>
    </w:p>
    <w:p w:rsidR="00C80CE0" w:rsidRPr="00944624" w:rsidP="004B6ECD">
      <w:pPr>
        <w:pStyle w:val="ParaNum"/>
        <w:numPr>
          <w:ilvl w:val="0"/>
          <w:numId w:val="13"/>
        </w:numPr>
        <w:spacing w:after="0"/>
        <w:rPr>
          <w:szCs w:val="22"/>
        </w:rPr>
      </w:pPr>
      <w:r w:rsidRPr="00944624">
        <w:rPr>
          <w:szCs w:val="22"/>
        </w:rPr>
        <w:t>Amend § 61.17</w:t>
      </w:r>
      <w:r w:rsidRPr="00944624" w:rsidR="00944624">
        <w:rPr>
          <w:szCs w:val="22"/>
        </w:rPr>
        <w:t xml:space="preserve"> by revising paragraph (d) to read</w:t>
      </w:r>
      <w:r w:rsidRPr="00944624">
        <w:rPr>
          <w:szCs w:val="22"/>
        </w:rPr>
        <w:t xml:space="preserve"> as follows:</w:t>
      </w:r>
    </w:p>
    <w:p w:rsidR="00602624" w:rsidRPr="00944624" w:rsidP="002A3DEA">
      <w:pPr>
        <w:pStyle w:val="ParaNum"/>
        <w:numPr>
          <w:ilvl w:val="0"/>
          <w:numId w:val="0"/>
        </w:numPr>
        <w:spacing w:after="0"/>
        <w:rPr>
          <w:b/>
          <w:szCs w:val="22"/>
        </w:rPr>
      </w:pPr>
    </w:p>
    <w:p w:rsidR="00602624" w:rsidRPr="00944624" w:rsidP="002A3DEA">
      <w:pPr>
        <w:pStyle w:val="ParaNum"/>
        <w:numPr>
          <w:ilvl w:val="0"/>
          <w:numId w:val="0"/>
        </w:numPr>
        <w:spacing w:after="0"/>
        <w:rPr>
          <w:szCs w:val="22"/>
        </w:rPr>
      </w:pPr>
      <w:r w:rsidRPr="00944624">
        <w:rPr>
          <w:szCs w:val="22"/>
        </w:rPr>
        <w:t xml:space="preserve">§ 61.17 Applications for special permission.  </w:t>
      </w:r>
    </w:p>
    <w:p w:rsidR="004C2B8E"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 *</w:t>
      </w:r>
      <w:r w:rsidRPr="00944624" w:rsidR="00944624">
        <w:rPr>
          <w:szCs w:val="22"/>
        </w:rPr>
        <w:t xml:space="preserve"> * *</w:t>
      </w:r>
    </w:p>
    <w:p w:rsidR="00602624"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xml:space="preserve">(d) In addition, for special permission applications requiring fees as set forth in part 1, subpart G of this chapter, carriers </w:t>
      </w:r>
      <w:r w:rsidRPr="00944624" w:rsidR="00B847BA">
        <w:rPr>
          <w:szCs w:val="22"/>
        </w:rPr>
        <w:t>shall</w:t>
      </w:r>
      <w:r w:rsidRPr="00944624">
        <w:rPr>
          <w:szCs w:val="22"/>
        </w:rPr>
        <w:t xml:space="preserve"> submit </w:t>
      </w:r>
      <w:r w:rsidRPr="00944624" w:rsidR="003033EB">
        <w:rPr>
          <w:szCs w:val="22"/>
        </w:rPr>
        <w:t xml:space="preserve">the appropriate fee </w:t>
      </w:r>
      <w:r w:rsidR="003033EB">
        <w:rPr>
          <w:szCs w:val="22"/>
        </w:rPr>
        <w:t xml:space="preserve">and associated payment form electronically </w:t>
      </w:r>
      <w:r w:rsidRPr="00944624" w:rsidR="003033EB">
        <w:rPr>
          <w:szCs w:val="22"/>
        </w:rPr>
        <w:t>through the process set forth in § 1.1105 of this chapter</w:t>
      </w:r>
      <w:r w:rsidR="003033EB">
        <w:rPr>
          <w:szCs w:val="22"/>
        </w:rPr>
        <w:t xml:space="preserve"> and,</w:t>
      </w:r>
      <w:r w:rsidRPr="00944624" w:rsidR="003033EB">
        <w:rPr>
          <w:szCs w:val="22"/>
        </w:rPr>
        <w:t xml:space="preserve"> if practicabl</w:t>
      </w:r>
      <w:r w:rsidR="003033EB">
        <w:rPr>
          <w:szCs w:val="22"/>
        </w:rPr>
        <w:t xml:space="preserve">e, </w:t>
      </w:r>
      <w:r w:rsidRPr="00944624">
        <w:rPr>
          <w:szCs w:val="22"/>
        </w:rPr>
        <w:t xml:space="preserve">the </w:t>
      </w:r>
      <w:r w:rsidR="003033EB">
        <w:rPr>
          <w:szCs w:val="22"/>
        </w:rPr>
        <w:t xml:space="preserve">application </w:t>
      </w:r>
      <w:r w:rsidR="00CE1394">
        <w:rPr>
          <w:szCs w:val="22"/>
        </w:rPr>
        <w:t xml:space="preserve">and associated documents </w:t>
      </w:r>
      <w:r w:rsidR="003033EB">
        <w:rPr>
          <w:szCs w:val="22"/>
        </w:rPr>
        <w:t xml:space="preserve">electronically </w:t>
      </w:r>
      <w:r w:rsidRPr="00944624" w:rsidR="003033EB">
        <w:rPr>
          <w:color w:val="000000"/>
          <w:szCs w:val="22"/>
        </w:rPr>
        <w:t>in accordance with t</w:t>
      </w:r>
      <w:r w:rsidRPr="00944624" w:rsidR="003033EB">
        <w:rPr>
          <w:szCs w:val="22"/>
        </w:rPr>
        <w:t xml:space="preserve">he procedures set forth on the Commission’s web site, </w:t>
      </w:r>
      <w:r>
        <w:fldChar w:fldCharType="begin"/>
      </w:r>
      <w:r>
        <w:instrText xml:space="preserve"> HYPERLINK "http://www.fcc.gov/licensing-databases/fees" </w:instrText>
      </w:r>
      <w:r>
        <w:fldChar w:fldCharType="separate"/>
      </w:r>
      <w:r w:rsidRPr="00944624" w:rsidR="003033EB">
        <w:rPr>
          <w:rStyle w:val="Hyperlink"/>
          <w:szCs w:val="22"/>
        </w:rPr>
        <w:t>www.fcc.gov/licensing-databases/fees</w:t>
      </w:r>
      <w:r>
        <w:fldChar w:fldCharType="end"/>
      </w:r>
      <w:r w:rsidRPr="00944624" w:rsidR="003033EB">
        <w:rPr>
          <w:szCs w:val="22"/>
        </w:rPr>
        <w:t>.</w:t>
      </w:r>
      <w:r w:rsidRPr="00944624" w:rsidR="00B847BA">
        <w:rPr>
          <w:szCs w:val="22"/>
        </w:rPr>
        <w:t xml:space="preserve">  </w:t>
      </w:r>
      <w:r w:rsidRPr="00944624" w:rsidR="004855BF">
        <w:rPr>
          <w:szCs w:val="22"/>
        </w:rPr>
        <w:t>Applications</w:t>
      </w:r>
      <w:r w:rsidRPr="00944624" w:rsidR="00B847BA">
        <w:rPr>
          <w:szCs w:val="22"/>
        </w:rPr>
        <w:t xml:space="preserve"> which must be filed in hard copy format should be submitted according to the procedures set forth on the web page of the FCC’s Office of the Secretary, </w:t>
      </w:r>
      <w:r>
        <w:fldChar w:fldCharType="begin"/>
      </w:r>
      <w:r>
        <w:instrText xml:space="preserve"> HYPERLINK "https://www.fcc.gov/secretary" </w:instrText>
      </w:r>
      <w:r>
        <w:fldChar w:fldCharType="separate"/>
      </w:r>
      <w:r w:rsidRPr="00944624" w:rsidR="00B847BA">
        <w:rPr>
          <w:rStyle w:val="Hyperlink"/>
          <w:szCs w:val="22"/>
        </w:rPr>
        <w:t>https://www.fcc.gov/secretary</w:t>
      </w:r>
      <w:r>
        <w:fldChar w:fldCharType="end"/>
      </w:r>
      <w:r w:rsidRPr="00944624" w:rsidR="00B847BA">
        <w:rPr>
          <w:szCs w:val="22"/>
        </w:rPr>
        <w:t>.</w:t>
      </w:r>
    </w:p>
    <w:p w:rsidR="004C2B8E"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 * * *</w:t>
      </w:r>
    </w:p>
    <w:p w:rsidR="004C2B8E" w:rsidRPr="00944624" w:rsidP="002A3DEA">
      <w:pPr>
        <w:pStyle w:val="ParaNum"/>
        <w:numPr>
          <w:ilvl w:val="0"/>
          <w:numId w:val="0"/>
        </w:numPr>
        <w:spacing w:after="0"/>
        <w:rPr>
          <w:szCs w:val="22"/>
        </w:rPr>
      </w:pPr>
    </w:p>
    <w:p w:rsidR="00C80CE0" w:rsidRPr="00944624" w:rsidP="004B6ECD">
      <w:pPr>
        <w:pStyle w:val="ParaNum"/>
        <w:numPr>
          <w:ilvl w:val="0"/>
          <w:numId w:val="13"/>
        </w:numPr>
        <w:spacing w:after="0"/>
        <w:rPr>
          <w:szCs w:val="22"/>
        </w:rPr>
      </w:pPr>
      <w:r w:rsidRPr="00944624">
        <w:rPr>
          <w:szCs w:val="22"/>
        </w:rPr>
        <w:t xml:space="preserve">Amend § 61.20 </w:t>
      </w:r>
      <w:r w:rsidRPr="00944624" w:rsidR="00944624">
        <w:rPr>
          <w:szCs w:val="22"/>
        </w:rPr>
        <w:t xml:space="preserve">by revising paragraph (b) to read </w:t>
      </w:r>
      <w:r w:rsidRPr="00944624">
        <w:rPr>
          <w:szCs w:val="22"/>
        </w:rPr>
        <w:t>as follows:</w:t>
      </w:r>
    </w:p>
    <w:p w:rsidR="00400D7B" w:rsidRPr="00944624" w:rsidP="002A3DEA">
      <w:pPr>
        <w:pStyle w:val="ParaNum"/>
        <w:numPr>
          <w:ilvl w:val="0"/>
          <w:numId w:val="0"/>
        </w:numPr>
        <w:spacing w:after="0"/>
        <w:rPr>
          <w:b/>
          <w:szCs w:val="22"/>
        </w:rPr>
      </w:pPr>
    </w:p>
    <w:p w:rsidR="00C80CE0" w:rsidRPr="00944624" w:rsidP="002A3DEA">
      <w:pPr>
        <w:pStyle w:val="ParaNum"/>
        <w:numPr>
          <w:ilvl w:val="0"/>
          <w:numId w:val="0"/>
        </w:numPr>
        <w:spacing w:after="0"/>
        <w:rPr>
          <w:szCs w:val="22"/>
        </w:rPr>
      </w:pPr>
      <w:r w:rsidRPr="00944624">
        <w:rPr>
          <w:szCs w:val="22"/>
        </w:rPr>
        <w:t>§ 61.20 Method of filing publications.</w:t>
      </w:r>
    </w:p>
    <w:p w:rsidR="00400D7B" w:rsidRPr="00944624" w:rsidP="002A3DEA">
      <w:pPr>
        <w:pStyle w:val="ParaNum"/>
        <w:numPr>
          <w:ilvl w:val="0"/>
          <w:numId w:val="0"/>
        </w:numPr>
        <w:spacing w:after="0"/>
        <w:rPr>
          <w:b/>
          <w:szCs w:val="22"/>
        </w:rPr>
      </w:pPr>
    </w:p>
    <w:p w:rsidR="00C80CE0" w:rsidRPr="00944624" w:rsidP="002A3DEA">
      <w:pPr>
        <w:pStyle w:val="ParaNum"/>
        <w:numPr>
          <w:ilvl w:val="0"/>
          <w:numId w:val="0"/>
        </w:numPr>
        <w:spacing w:after="0"/>
        <w:rPr>
          <w:szCs w:val="22"/>
        </w:rPr>
      </w:pPr>
      <w:r w:rsidRPr="00944624">
        <w:rPr>
          <w:szCs w:val="22"/>
        </w:rPr>
        <w:t>* * *</w:t>
      </w:r>
      <w:r w:rsidRPr="00944624" w:rsidR="00944624">
        <w:rPr>
          <w:szCs w:val="22"/>
        </w:rPr>
        <w:t xml:space="preserve"> * *</w:t>
      </w:r>
    </w:p>
    <w:p w:rsidR="00944624" w:rsidRPr="00944624" w:rsidP="002A3DEA">
      <w:pPr>
        <w:pStyle w:val="ParaNum"/>
        <w:numPr>
          <w:ilvl w:val="0"/>
          <w:numId w:val="0"/>
        </w:numPr>
        <w:spacing w:after="0"/>
        <w:rPr>
          <w:szCs w:val="22"/>
        </w:rPr>
      </w:pPr>
    </w:p>
    <w:p w:rsidR="00C80CE0" w:rsidRPr="00944624" w:rsidP="002A3DEA">
      <w:pPr>
        <w:pStyle w:val="ParaNum"/>
        <w:numPr>
          <w:ilvl w:val="0"/>
          <w:numId w:val="0"/>
        </w:numPr>
        <w:spacing w:after="0"/>
        <w:rPr>
          <w:szCs w:val="22"/>
        </w:rPr>
      </w:pPr>
      <w:r w:rsidRPr="00944624">
        <w:rPr>
          <w:szCs w:val="22"/>
        </w:rPr>
        <w:t xml:space="preserve">(b) In addition, all tariff publications requiring fees as set forth in part 1, subpart G of this chapter, </w:t>
      </w:r>
      <w:r w:rsidRPr="00944624" w:rsidR="00B847BA">
        <w:rPr>
          <w:szCs w:val="22"/>
        </w:rPr>
        <w:t>shall</w:t>
      </w:r>
      <w:r w:rsidRPr="00944624">
        <w:rPr>
          <w:szCs w:val="22"/>
        </w:rPr>
        <w:t xml:space="preserve"> be submitted electronically </w:t>
      </w:r>
      <w:r w:rsidRPr="00944624" w:rsidR="00B847BA">
        <w:rPr>
          <w:szCs w:val="22"/>
        </w:rPr>
        <w:t xml:space="preserve">if practicable </w:t>
      </w:r>
      <w:r w:rsidRPr="00944624">
        <w:rPr>
          <w:szCs w:val="22"/>
        </w:rPr>
        <w:t xml:space="preserve">in accordance with § 1.1105 of this chapter along with the electronic submission of </w:t>
      </w:r>
      <w:r w:rsidRPr="00944624" w:rsidR="00400D7B">
        <w:rPr>
          <w:szCs w:val="22"/>
        </w:rPr>
        <w:t xml:space="preserve">the </w:t>
      </w:r>
      <w:r w:rsidRPr="00944624">
        <w:rPr>
          <w:szCs w:val="22"/>
        </w:rPr>
        <w:t>payment online form.</w:t>
      </w:r>
      <w:r w:rsidRPr="00944624" w:rsidR="00B847BA">
        <w:rPr>
          <w:szCs w:val="22"/>
        </w:rPr>
        <w:t xml:space="preserve">  Petitions which must be filed in hard copy format should be submitted according to the procedures set forth on the web page of the FCC’s Office of the Secretary, </w:t>
      </w:r>
      <w:r>
        <w:fldChar w:fldCharType="begin"/>
      </w:r>
      <w:r>
        <w:instrText xml:space="preserve"> HYPERLINK "https://www.fcc.gov/secretary" </w:instrText>
      </w:r>
      <w:r>
        <w:fldChar w:fldCharType="separate"/>
      </w:r>
      <w:r w:rsidRPr="0092315F" w:rsidR="00B847BA">
        <w:rPr>
          <w:rStyle w:val="Hyperlink"/>
          <w:szCs w:val="22"/>
        </w:rPr>
        <w:t>https://www.fcc.gov/secretary</w:t>
      </w:r>
      <w:r>
        <w:fldChar w:fldCharType="end"/>
      </w:r>
      <w:r w:rsidRPr="00944624" w:rsidR="00B847BA">
        <w:rPr>
          <w:szCs w:val="22"/>
        </w:rPr>
        <w:t xml:space="preserve">.  </w:t>
      </w:r>
    </w:p>
    <w:sectPr w:rsidSect="007B587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604562"/>
      <w:docPartObj>
        <w:docPartGallery w:val="Page Numbers (Bottom of Page)"/>
        <w:docPartUnique/>
      </w:docPartObj>
    </w:sdtPr>
    <w:sdtEndPr>
      <w:rPr>
        <w:noProof/>
      </w:rPr>
    </w:sdtEndPr>
    <w:sdtContent>
      <w:p w:rsidR="00707EF7" w:rsidP="007B587F">
        <w:pPr>
          <w:pStyle w:val="Footer"/>
          <w:jc w:val="center"/>
          <w:rPr>
            <w:noProof/>
          </w:rPr>
        </w:pPr>
        <w:r>
          <w:fldChar w:fldCharType="begin"/>
        </w:r>
        <w:r>
          <w:instrText xml:space="preserve"> PAGE   \* MERGEFORMAT </w:instrText>
        </w:r>
        <w:r>
          <w:fldChar w:fldCharType="separate"/>
        </w:r>
        <w:r w:rsidR="00A77DB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2984315"/>
      <w:docPartObj>
        <w:docPartGallery w:val="Page Numbers (Bottom of Page)"/>
        <w:docPartUnique/>
      </w:docPartObj>
    </w:sdtPr>
    <w:sdtEndPr>
      <w:rPr>
        <w:noProof/>
      </w:rPr>
    </w:sdtEndPr>
    <w:sdtContent>
      <w:p w:rsidR="00B1165B">
        <w:pPr>
          <w:pStyle w:val="Footer"/>
          <w:jc w:val="center"/>
        </w:pPr>
      </w:p>
      <w:p w:rsidR="00B1165B">
        <w:pPr>
          <w:pStyle w:val="Footer"/>
          <w:jc w:val="center"/>
        </w:pPr>
      </w:p>
    </w:sdtContent>
  </w:sdt>
  <w:p w:rsidR="00E94BB4">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6C19" w:rsidP="00A362CD">
      <w:r>
        <w:separator/>
      </w:r>
    </w:p>
  </w:footnote>
  <w:footnote w:type="continuationSeparator" w:id="1">
    <w:p w:rsidR="00746C19">
      <w:pPr>
        <w:rPr>
          <w:sz w:val="20"/>
        </w:rPr>
      </w:pPr>
      <w:r>
        <w:rPr>
          <w:sz w:val="20"/>
        </w:rPr>
        <w:t xml:space="preserve">(Continued from previous page)  </w:t>
      </w:r>
      <w:r>
        <w:rPr>
          <w:sz w:val="20"/>
        </w:rPr>
        <w:separator/>
      </w:r>
    </w:p>
  </w:footnote>
  <w:footnote w:type="continuationNotice" w:id="2">
    <w:p w:rsidR="00746C19">
      <w:pPr>
        <w:rPr>
          <w:sz w:val="20"/>
        </w:rPr>
      </w:pPr>
      <w:r>
        <w:rPr>
          <w:sz w:val="20"/>
        </w:rPr>
        <w:t>(continued….)</w:t>
      </w:r>
    </w:p>
  </w:footnote>
  <w:footnote w:id="3">
    <w:p w:rsidR="002409CE">
      <w:pPr>
        <w:pStyle w:val="FootnoteText"/>
      </w:pPr>
      <w:r>
        <w:rPr>
          <w:rStyle w:val="FootnoteReference"/>
        </w:rPr>
        <w:footnoteRef/>
      </w:r>
      <w:r>
        <w:t xml:space="preserve"> 47 CFR</w:t>
      </w:r>
      <w:r w:rsidR="0058563F">
        <w:t xml:space="preserve"> </w:t>
      </w:r>
      <w:r w:rsidR="004E69C2">
        <w:t>§ 1.1105</w:t>
      </w:r>
      <w:r w:rsidRPr="00F05DBD" w:rsidR="001C0A2B">
        <w:t>.</w:t>
      </w:r>
    </w:p>
  </w:footnote>
  <w:footnote w:id="4">
    <w:p w:rsidR="0068519E">
      <w:pPr>
        <w:pStyle w:val="FootnoteText"/>
      </w:pPr>
      <w:r>
        <w:rPr>
          <w:rStyle w:val="FootnoteReference"/>
        </w:rPr>
        <w:footnoteRef/>
      </w:r>
      <w:r>
        <w:t xml:space="preserve"> A </w:t>
      </w:r>
      <w:r w:rsidRPr="0068519E">
        <w:t xml:space="preserve">P.O. Box used for the collection of fees </w:t>
      </w:r>
      <w:r>
        <w:t xml:space="preserve">is </w:t>
      </w:r>
      <w:r w:rsidRPr="0068519E">
        <w:t>referred to a</w:t>
      </w:r>
      <w:r>
        <w:t>s</w:t>
      </w:r>
      <w:r w:rsidRPr="0068519E">
        <w:t xml:space="preserve"> </w:t>
      </w:r>
      <w:r>
        <w:t xml:space="preserve">a </w:t>
      </w:r>
      <w:r w:rsidRPr="0068519E">
        <w:t xml:space="preserve">“lockbox” in our rules </w:t>
      </w:r>
      <w:r w:rsidR="002A142E">
        <w:t xml:space="preserve">and </w:t>
      </w:r>
      <w:r w:rsidRPr="0068519E">
        <w:t>other Commission documents. The FCC collects application processing fees using a series of P.O. Boxes located at U.S. Bank in St. Louis, Missouri.  See 47 CFR §§ 1.1101-1.1109 (setting forth the fee schedule for each type of application remittable to the Commission along with the correct lockbox).</w:t>
      </w:r>
    </w:p>
  </w:footnote>
  <w:footnote w:id="5">
    <w:p w:rsidR="002A142E">
      <w:pPr>
        <w:pStyle w:val="FootnoteText"/>
      </w:pPr>
      <w:r>
        <w:rPr>
          <w:rStyle w:val="FootnoteReference"/>
        </w:rPr>
        <w:footnoteRef/>
      </w:r>
      <w:r>
        <w:t xml:space="preserve"> 47 CFR § 0.401</w:t>
      </w:r>
      <w:r w:rsidRPr="00F05DBD">
        <w:t>.</w:t>
      </w:r>
    </w:p>
  </w:footnote>
  <w:footnote w:id="6">
    <w:p w:rsidR="002A142E">
      <w:pPr>
        <w:pStyle w:val="FootnoteText"/>
      </w:pPr>
      <w:r>
        <w:rPr>
          <w:rStyle w:val="FootnoteReference"/>
        </w:rPr>
        <w:footnoteRef/>
      </w:r>
      <w:r>
        <w:t xml:space="preserve"> 47 CFR § 1.49</w:t>
      </w:r>
      <w:r w:rsidRPr="00F05DBD">
        <w:t>.</w:t>
      </w:r>
    </w:p>
  </w:footnote>
  <w:footnote w:id="7">
    <w:p w:rsidR="002A142E">
      <w:pPr>
        <w:pStyle w:val="FootnoteText"/>
      </w:pPr>
      <w:r>
        <w:rPr>
          <w:rStyle w:val="FootnoteReference"/>
        </w:rPr>
        <w:footnoteRef/>
      </w:r>
      <w:r>
        <w:t xml:space="preserve"> 47 CFR § 1.51</w:t>
      </w:r>
      <w:r w:rsidRPr="00F05DBD">
        <w:t>.</w:t>
      </w:r>
    </w:p>
  </w:footnote>
  <w:footnote w:id="8">
    <w:p w:rsidR="002A142E">
      <w:pPr>
        <w:pStyle w:val="FootnoteText"/>
      </w:pPr>
      <w:r>
        <w:rPr>
          <w:rStyle w:val="FootnoteReference"/>
        </w:rPr>
        <w:footnoteRef/>
      </w:r>
      <w:r>
        <w:t xml:space="preserve"> 47 CFR § 1.52</w:t>
      </w:r>
      <w:r w:rsidRPr="00F05DBD">
        <w:t>.</w:t>
      </w:r>
    </w:p>
  </w:footnote>
  <w:footnote w:id="9">
    <w:p w:rsidR="004634BC">
      <w:pPr>
        <w:pStyle w:val="FootnoteText"/>
      </w:pPr>
      <w:r>
        <w:rPr>
          <w:rStyle w:val="FootnoteReference"/>
        </w:rPr>
        <w:footnoteRef/>
      </w:r>
      <w:r>
        <w:t xml:space="preserve"> 47 CFR § 1.</w:t>
      </w:r>
      <w:r w:rsidR="00732242">
        <w:t>742</w:t>
      </w:r>
      <w:r w:rsidRPr="00F05DBD">
        <w:t>.</w:t>
      </w:r>
    </w:p>
  </w:footnote>
  <w:footnote w:id="10">
    <w:p w:rsidR="002A142E">
      <w:pPr>
        <w:pStyle w:val="FootnoteText"/>
      </w:pPr>
      <w:r>
        <w:rPr>
          <w:rStyle w:val="FootnoteReference"/>
        </w:rPr>
        <w:footnoteRef/>
      </w:r>
      <w:r>
        <w:t xml:space="preserve"> 47 CFR § 1.1105</w:t>
      </w:r>
      <w:r w:rsidRPr="00F05DBD">
        <w:t>.</w:t>
      </w:r>
    </w:p>
  </w:footnote>
  <w:footnote w:id="11">
    <w:p w:rsidR="002A142E">
      <w:pPr>
        <w:pStyle w:val="FootnoteText"/>
      </w:pPr>
      <w:r>
        <w:rPr>
          <w:rStyle w:val="FootnoteReference"/>
        </w:rPr>
        <w:footnoteRef/>
      </w:r>
      <w:r>
        <w:t xml:space="preserve"> 47 CFR § 1.1111-1.1113</w:t>
      </w:r>
      <w:r w:rsidRPr="00F05DBD">
        <w:t>.</w:t>
      </w:r>
    </w:p>
  </w:footnote>
  <w:footnote w:id="12">
    <w:p w:rsidR="002A142E">
      <w:pPr>
        <w:pStyle w:val="FootnoteText"/>
      </w:pPr>
      <w:r>
        <w:rPr>
          <w:rStyle w:val="FootnoteReference"/>
        </w:rPr>
        <w:footnoteRef/>
      </w:r>
      <w:r>
        <w:t xml:space="preserve"> 47 CFR § 1.1119</w:t>
      </w:r>
      <w:r w:rsidRPr="00F05DBD">
        <w:t>.</w:t>
      </w:r>
    </w:p>
  </w:footnote>
  <w:footnote w:id="13">
    <w:p w:rsidR="004634BC">
      <w:pPr>
        <w:pStyle w:val="FootnoteText"/>
      </w:pPr>
      <w:r>
        <w:rPr>
          <w:rStyle w:val="FootnoteReference"/>
        </w:rPr>
        <w:footnoteRef/>
      </w:r>
      <w:r>
        <w:t xml:space="preserve"> 47 CFR § </w:t>
      </w:r>
      <w:r w:rsidR="00732242">
        <w:t>5</w:t>
      </w:r>
      <w:r>
        <w:t>1.</w:t>
      </w:r>
      <w:r w:rsidR="00732242">
        <w:t>329</w:t>
      </w:r>
      <w:r w:rsidRPr="00F05DBD">
        <w:t>.</w:t>
      </w:r>
    </w:p>
  </w:footnote>
  <w:footnote w:id="14">
    <w:p w:rsidR="00732242">
      <w:pPr>
        <w:pStyle w:val="FootnoteText"/>
      </w:pPr>
      <w:r>
        <w:rPr>
          <w:rStyle w:val="FootnoteReference"/>
        </w:rPr>
        <w:footnoteRef/>
      </w:r>
      <w:r>
        <w:t xml:space="preserve"> 47 CFR § 61.13</w:t>
      </w:r>
      <w:r w:rsidRPr="00F05DBD">
        <w:t>.</w:t>
      </w:r>
    </w:p>
  </w:footnote>
  <w:footnote w:id="15">
    <w:p w:rsidR="00732242">
      <w:pPr>
        <w:pStyle w:val="FootnoteText"/>
      </w:pPr>
      <w:r>
        <w:rPr>
          <w:rStyle w:val="FootnoteReference"/>
        </w:rPr>
        <w:footnoteRef/>
      </w:r>
      <w:r>
        <w:t xml:space="preserve"> 47 CFR § 61.14</w:t>
      </w:r>
      <w:r w:rsidRPr="00F05DBD">
        <w:t>.</w:t>
      </w:r>
    </w:p>
  </w:footnote>
  <w:footnote w:id="16">
    <w:p w:rsidR="00732242">
      <w:pPr>
        <w:pStyle w:val="FootnoteText"/>
      </w:pPr>
      <w:r>
        <w:rPr>
          <w:rStyle w:val="FootnoteReference"/>
        </w:rPr>
        <w:footnoteRef/>
      </w:r>
      <w:r>
        <w:t xml:space="preserve"> 47 CFR § 61.17</w:t>
      </w:r>
      <w:r w:rsidRPr="00F05DBD">
        <w:t>.</w:t>
      </w:r>
    </w:p>
  </w:footnote>
  <w:footnote w:id="17">
    <w:p w:rsidR="00732242">
      <w:pPr>
        <w:pStyle w:val="FootnoteText"/>
      </w:pPr>
      <w:r>
        <w:rPr>
          <w:rStyle w:val="FootnoteReference"/>
        </w:rPr>
        <w:footnoteRef/>
      </w:r>
      <w:r>
        <w:t xml:space="preserve"> 47 CFR § 61.20</w:t>
      </w:r>
      <w:r w:rsidRPr="00F05DBD">
        <w:t>.</w:t>
      </w:r>
    </w:p>
  </w:footnote>
  <w:footnote w:id="18">
    <w:p w:rsidR="00E35FDA" w:rsidRPr="00F05DBD" w:rsidP="00E35FDA">
      <w:pPr>
        <w:pStyle w:val="FootnoteText"/>
      </w:pPr>
      <w:r w:rsidRPr="00F05DBD">
        <w:rPr>
          <w:rStyle w:val="FootnoteReference"/>
        </w:rPr>
        <w:footnoteRef/>
      </w:r>
      <w:r w:rsidR="0058563F">
        <w:t xml:space="preserve"> 47 C</w:t>
      </w:r>
      <w:r w:rsidR="00732242">
        <w:t>FR § 1.1105</w:t>
      </w:r>
      <w:r w:rsidRPr="00F05DBD">
        <w:t>.</w:t>
      </w:r>
    </w:p>
  </w:footnote>
  <w:footnote w:id="19">
    <w:p w:rsidR="00E35FDA" w:rsidRPr="001C5D45" w:rsidP="00E35FDA">
      <w:pPr>
        <w:pStyle w:val="FootnoteText"/>
        <w:rPr>
          <w:i/>
        </w:rPr>
      </w:pPr>
      <w:r>
        <w:rPr>
          <w:rStyle w:val="FootnoteReference"/>
        </w:rPr>
        <w:footnoteRef/>
      </w:r>
      <w:r>
        <w:t xml:space="preserve"> </w:t>
      </w:r>
      <w:r>
        <w:rPr>
          <w:i/>
        </w:rPr>
        <w:t>Id.</w:t>
      </w:r>
      <w:r w:rsidR="008A1FB7">
        <w:rPr>
          <w:i/>
        </w:rPr>
        <w:t xml:space="preserve"> </w:t>
      </w:r>
    </w:p>
  </w:footnote>
  <w:footnote w:id="20">
    <w:p w:rsidR="008B5BD1" w:rsidRPr="00F805EE" w:rsidP="008B5BD1">
      <w:pPr>
        <w:pStyle w:val="FootnoteText"/>
        <w:rPr>
          <w:b/>
        </w:rPr>
      </w:pPr>
      <w:r>
        <w:rPr>
          <w:rStyle w:val="FootnoteReference"/>
        </w:rPr>
        <w:footnoteRef/>
      </w:r>
      <w:r>
        <w:t xml:space="preserve"> </w:t>
      </w:r>
      <w:r w:rsidRPr="000C0446" w:rsidR="000C0446">
        <w:t xml:space="preserve">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r w:rsidR="00E1604A">
        <w:t xml:space="preserve">More recently, </w:t>
      </w:r>
      <w:r w:rsidRPr="00E1604A" w:rsidR="00E1604A">
        <w:t xml:space="preserve">in 2017, we closed a lockbox account and modified the relevant rule provision that required payment of fees via the closed P.O. Box.  </w:t>
      </w:r>
      <w:r w:rsidRPr="00BC0168" w:rsidR="004F432F">
        <w:rPr>
          <w:i/>
        </w:rPr>
        <w:t>Amendment of Part 1 of the Commission’s Rules</w:t>
      </w:r>
      <w:r w:rsidRPr="004F432F" w:rsidR="004F432F">
        <w:t xml:space="preserve">, </w:t>
      </w:r>
      <w:r w:rsidRPr="00BC0168" w:rsidR="00BC0168">
        <w:t>MD Docket No. 17–123</w:t>
      </w:r>
      <w:r w:rsidR="00BC0168">
        <w:t xml:space="preserve">, </w:t>
      </w:r>
      <w:r w:rsidRPr="004F432F" w:rsidR="004F432F">
        <w:t xml:space="preserve">Order, </w:t>
      </w:r>
      <w:r w:rsidR="00BC0168">
        <w:t>32 FCC Rcd 4203 (2017)</w:t>
      </w:r>
      <w:r w:rsidRPr="004F432F" w:rsidR="004F432F">
        <w:t xml:space="preserve">, </w:t>
      </w:r>
      <w:r w:rsidR="00BC0168">
        <w:t xml:space="preserve">82 FR 24560 </w:t>
      </w:r>
      <w:r w:rsidRPr="004F432F" w:rsidR="004F432F">
        <w:t>(rel. May 9, 2017) (modifying Section 1.1109 of the Commission’s rules to delete reference to P.O. Box 979092 at U.S. Bank in St. Louis, Missouri).</w:t>
      </w:r>
      <w:r w:rsidRPr="00F805EE" w:rsidR="00906AB3">
        <w:rPr>
          <w:b/>
        </w:rPr>
        <w:t xml:space="preserve"> </w:t>
      </w:r>
      <w:r w:rsidRPr="00F805EE" w:rsidR="008E3DAE">
        <w:rPr>
          <w:b/>
        </w:rPr>
        <w:t xml:space="preserve"> </w:t>
      </w:r>
      <w:r w:rsidRPr="00F805EE" w:rsidR="00906AB3">
        <w:rPr>
          <w:b/>
        </w:rPr>
        <w:t xml:space="preserve"> </w:t>
      </w:r>
    </w:p>
  </w:footnote>
  <w:footnote w:id="21">
    <w:p w:rsidR="00577E60">
      <w:pPr>
        <w:pStyle w:val="FootnoteText"/>
      </w:pPr>
      <w:r>
        <w:rPr>
          <w:rStyle w:val="FootnoteReference"/>
        </w:rPr>
        <w:footnoteRef/>
      </w:r>
      <w:r>
        <w:t xml:space="preserve"> </w:t>
      </w:r>
      <w:r w:rsidRPr="00F805EE">
        <w:rPr>
          <w:i/>
        </w:rPr>
        <w:t>See</w:t>
      </w:r>
      <w:r w:rsidRPr="00577E60">
        <w:t xml:space="preserve"> Treasury Financial Manual, Bulletin No. 201</w:t>
      </w:r>
      <w:r w:rsidR="005B03BC">
        <w:t>7</w:t>
      </w:r>
      <w:r w:rsidRPr="00577E60">
        <w:t>-</w:t>
      </w:r>
      <w:r w:rsidR="005B03BC">
        <w:t>12</w:t>
      </w:r>
      <w:r w:rsidRPr="00577E60">
        <w:t xml:space="preserve">, “Agency No-Cash or No-Check Policies,” released on </w:t>
      </w:r>
      <w:r w:rsidR="005B03BC">
        <w:t>September</w:t>
      </w:r>
      <w:r w:rsidRPr="00577E60" w:rsidR="005B03BC">
        <w:t xml:space="preserve"> </w:t>
      </w:r>
      <w:r w:rsidR="005B03BC">
        <w:t>18</w:t>
      </w:r>
      <w:r w:rsidRPr="00577E60">
        <w:t>, 201</w:t>
      </w:r>
      <w:r w:rsidR="005B03BC">
        <w:t xml:space="preserve">7 </w:t>
      </w:r>
      <w:r w:rsidRPr="00577E60">
        <w:t>(explaining the circumstances under which agencies may decide not to accept payments made in cash or by check</w:t>
      </w:r>
      <w:r w:rsidRPr="00160AB9">
        <w:t>)</w:t>
      </w:r>
      <w:r w:rsidR="00160AB9">
        <w:t xml:space="preserve">, </w:t>
      </w:r>
      <w:r w:rsidRPr="00F3346F" w:rsidR="00160AB9">
        <w:t>a</w:t>
      </w:r>
      <w:r w:rsidRPr="004671EB">
        <w:t xml:space="preserve">vailable at </w:t>
      </w:r>
      <w:r>
        <w:fldChar w:fldCharType="begin"/>
      </w:r>
      <w:r>
        <w:instrText xml:space="preserve"> HYPERLINK "https://tfm.fiscal.treasury.gov/v1/bull/17-12.pdf" </w:instrText>
      </w:r>
      <w:r>
        <w:fldChar w:fldCharType="separate"/>
      </w:r>
      <w:r w:rsidRPr="0092315F" w:rsidR="005B03BC">
        <w:rPr>
          <w:rStyle w:val="Hyperlink"/>
        </w:rPr>
        <w:t>https://tfm.fiscal.treasury.gov/v1/bull/17-12.pdf</w:t>
      </w:r>
      <w:r>
        <w:fldChar w:fldCharType="end"/>
      </w:r>
      <w:r w:rsidRPr="00577E60">
        <w:t xml:space="preserve">  (last visited </w:t>
      </w:r>
      <w:r w:rsidR="005B03BC">
        <w:t>October</w:t>
      </w:r>
      <w:r w:rsidRPr="00577E60" w:rsidR="005B03BC">
        <w:t xml:space="preserve"> </w:t>
      </w:r>
      <w:r w:rsidRPr="00577E60">
        <w:t>1</w:t>
      </w:r>
      <w:r w:rsidR="005B03BC">
        <w:t>8</w:t>
      </w:r>
      <w:r w:rsidRPr="00577E60">
        <w:t xml:space="preserve">, 2017); </w:t>
      </w:r>
      <w:r w:rsidRPr="0092315F">
        <w:rPr>
          <w:i/>
        </w:rPr>
        <w:t>see also</w:t>
      </w:r>
      <w:r w:rsidRPr="00577E60">
        <w:t xml:space="preserve"> </w:t>
      </w:r>
      <w:r>
        <w:fldChar w:fldCharType="begin"/>
      </w:r>
      <w:r>
        <w:instrText xml:space="preserve"> HYPERLINK "https://www.gpo.gov/fdsys/pkg/FR-2011-06-16/pdf/2011-15181.pdf" </w:instrText>
      </w:r>
      <w:r>
        <w:fldChar w:fldCharType="separate"/>
      </w:r>
      <w:r w:rsidRPr="0092315F" w:rsidR="004671EB">
        <w:rPr>
          <w:rStyle w:val="Hyperlink"/>
        </w:rPr>
        <w:t>https://www.gpo.gov/fdsys/pkg/FR-2011-06-16/pdf/2011-15181.pdf</w:t>
      </w:r>
      <w:r>
        <w:fldChar w:fldCharType="end"/>
      </w:r>
      <w:r w:rsidR="00FE081A">
        <w:t>.</w:t>
      </w:r>
    </w:p>
  </w:footnote>
  <w:footnote w:id="22">
    <w:p w:rsidR="008E7460">
      <w:pPr>
        <w:pStyle w:val="FootnoteText"/>
      </w:pPr>
      <w:r>
        <w:rPr>
          <w:rStyle w:val="FootnoteReference"/>
        </w:rPr>
        <w:footnoteRef/>
      </w:r>
      <w:r>
        <w:t xml:space="preserve"> </w:t>
      </w:r>
      <w:r w:rsidRPr="00D200C6">
        <w:rPr>
          <w:i/>
        </w:rPr>
        <w:t>See</w:t>
      </w:r>
      <w:r>
        <w:t xml:space="preserve"> footnotes 3-15</w:t>
      </w:r>
      <w:r w:rsidR="00D200C6">
        <w:t xml:space="preserve">, </w:t>
      </w:r>
      <w:r w:rsidRPr="00D200C6" w:rsidR="00D200C6">
        <w:rPr>
          <w:i/>
        </w:rPr>
        <w:t>supra</w:t>
      </w:r>
      <w:r>
        <w:t xml:space="preserve">. </w:t>
      </w:r>
    </w:p>
  </w:footnote>
  <w:footnote w:id="23">
    <w:p w:rsidR="00FE081A" w:rsidP="00FE081A">
      <w:pPr>
        <w:pStyle w:val="FootnoteText"/>
      </w:pPr>
      <w:r>
        <w:rPr>
          <w:rStyle w:val="FootnoteReference"/>
        </w:rPr>
        <w:footnoteRef/>
      </w:r>
      <w:r>
        <w:t xml:space="preserve"> </w:t>
      </w:r>
      <w:r>
        <w:rPr>
          <w:shd w:val="clear" w:color="auto" w:fill="FFFFFF"/>
        </w:rPr>
        <w:t xml:space="preserve">5 U.S.C. </w:t>
      </w:r>
      <w:r w:rsidRPr="00F05DBD">
        <w:t>§</w:t>
      </w:r>
      <w:r>
        <w:t xml:space="preserve"> </w:t>
      </w:r>
      <w:r>
        <w:rPr>
          <w:shd w:val="clear" w:color="auto" w:fill="FFFFFF"/>
        </w:rPr>
        <w:t>553(b)(A).</w:t>
      </w:r>
    </w:p>
  </w:footnote>
  <w:footnote w:id="24">
    <w:p w:rsidR="002B0795" w:rsidP="002B0795">
      <w:pPr>
        <w:pStyle w:val="FootnoteText"/>
      </w:pPr>
      <w:r>
        <w:rPr>
          <w:rStyle w:val="FootnoteReference"/>
        </w:rPr>
        <w:footnoteRef/>
      </w:r>
      <w:r>
        <w:t xml:space="preserve"> 5 U.S.C. § 603(a).</w:t>
      </w:r>
    </w:p>
  </w:footnote>
  <w:footnote w:id="25">
    <w:p w:rsidR="002B0795" w:rsidP="002B0795">
      <w:pPr>
        <w:pStyle w:val="FootnoteText"/>
      </w:pPr>
      <w:r>
        <w:rPr>
          <w:rStyle w:val="FootnoteReference"/>
        </w:rPr>
        <w:footnoteRef/>
      </w:r>
      <w:r>
        <w:t xml:space="preserve"> 44 U.S.C. §§ 3501-3520.</w:t>
      </w:r>
    </w:p>
  </w:footnote>
  <w:footnote w:id="26">
    <w:p w:rsidR="002B0795">
      <w:pPr>
        <w:pStyle w:val="FootnoteText"/>
      </w:pPr>
      <w:r>
        <w:rPr>
          <w:rStyle w:val="FootnoteReference"/>
        </w:rPr>
        <w:footnoteRef/>
      </w:r>
      <w:r>
        <w:t xml:space="preserve"> </w:t>
      </w:r>
      <w:r w:rsidRPr="004F2E95">
        <w:rPr>
          <w:i/>
        </w:rPr>
        <w:t xml:space="preserve">See </w:t>
      </w:r>
      <w:r w:rsidRPr="002B0795">
        <w:t>44 U.S.C. § 3506(c)(4).</w:t>
      </w:r>
    </w:p>
  </w:footnote>
  <w:footnote w:id="27">
    <w:p w:rsidR="002B0795" w:rsidP="002B0795">
      <w:pPr>
        <w:pStyle w:val="FootnoteText"/>
      </w:pPr>
      <w:r>
        <w:rPr>
          <w:rStyle w:val="FootnoteReference"/>
        </w:rPr>
        <w:footnoteRef/>
      </w:r>
      <w:r>
        <w:t xml:space="preserve"> 5 U.S.C. § 804(3)(C) (rules subject to the Congressional Review Act do not include “any rule of agency organization, procedure, or practice that does not substantially affect the rights or obligations of non-agency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14C" w:rsidRPr="00BF73D1" w:rsidP="0017214C">
    <w:pPr>
      <w:tabs>
        <w:tab w:val="center" w:pos="4680"/>
        <w:tab w:val="right" w:pos="9360"/>
      </w:tabs>
    </w:pPr>
    <w:r w:rsidRPr="00A362CD">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FCC 1</w:t>
    </w:r>
    <w:r>
      <w:rPr>
        <w:b/>
        <w:spacing w:val="-2"/>
      </w:rPr>
      <w:t>7</w:t>
    </w:r>
    <w:r w:rsidRPr="00497EA8">
      <w:rPr>
        <w:b/>
        <w:spacing w:val="-2"/>
      </w:rPr>
      <w:t>-</w:t>
    </w:r>
    <w:r w:rsidR="00CE150F">
      <w:rPr>
        <w:b/>
        <w:spacing w:val="-2"/>
      </w:rPr>
      <w:t>159</w:t>
    </w:r>
  </w:p>
  <w:p w:rsidR="0017214C" w:rsidP="0017214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62DA" w:rsidRPr="00BF73D1" w:rsidP="002D62DA">
    <w:pPr>
      <w:tabs>
        <w:tab w:val="center" w:pos="4680"/>
        <w:tab w:val="right" w:pos="9360"/>
      </w:tabs>
    </w:pPr>
    <w:r w:rsidRPr="00A362CD">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FCC 1</w:t>
    </w:r>
    <w:r w:rsidR="001F19B6">
      <w:rPr>
        <w:b/>
        <w:spacing w:val="-2"/>
      </w:rPr>
      <w:t>7</w:t>
    </w:r>
    <w:r w:rsidRPr="00497EA8">
      <w:rPr>
        <w:b/>
        <w:spacing w:val="-2"/>
      </w:rPr>
      <w:t>-</w:t>
    </w:r>
    <w:r w:rsidR="00CE150F">
      <w:rPr>
        <w:b/>
        <w:spacing w:val="-2"/>
      </w:rPr>
      <w:t>159</w:t>
    </w:r>
  </w:p>
  <w:p w:rsidR="002D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1F40FF"/>
    <w:multiLevelType w:val="hybridMultilevel"/>
    <w:tmpl w:val="F65A9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CF05E3"/>
    <w:multiLevelType w:val="hybridMultilevel"/>
    <w:tmpl w:val="0E926A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7"/>
  </w:num>
  <w:num w:numId="2">
    <w:abstractNumId w:val="5"/>
  </w:num>
  <w:num w:numId="3">
    <w:abstractNumId w:val="8"/>
  </w:num>
  <w:num w:numId="4">
    <w:abstractNumId w:val="3"/>
  </w:num>
  <w:num w:numId="5">
    <w:abstractNumId w:val="6"/>
  </w:num>
  <w:num w:numId="6">
    <w:abstractNumId w:val="4"/>
  </w:num>
  <w:num w:numId="7">
    <w:abstractNumId w:val="0"/>
  </w:num>
  <w:num w:numId="8">
    <w:abstractNumId w:val="7"/>
  </w:num>
  <w:num w:numId="9">
    <w:abstractNumId w:val="7"/>
  </w:num>
  <w:num w:numId="10">
    <w:abstractNumId w:val="7"/>
  </w:num>
  <w:num w:numId="11">
    <w:abstractNumId w:val="7"/>
  </w:num>
  <w:num w:numId="12">
    <w:abstractNumId w:val="7"/>
  </w:num>
  <w:num w:numId="13">
    <w:abstractNumId w:val="2"/>
  </w:num>
  <w:num w:numId="14">
    <w:abstractNumId w:val="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0A"/>
    <w:rsid w:val="00001EE3"/>
    <w:rsid w:val="00002018"/>
    <w:rsid w:val="00002895"/>
    <w:rsid w:val="00002B96"/>
    <w:rsid w:val="00005518"/>
    <w:rsid w:val="00005F30"/>
    <w:rsid w:val="0000697D"/>
    <w:rsid w:val="00011BB1"/>
    <w:rsid w:val="00013186"/>
    <w:rsid w:val="00013A8A"/>
    <w:rsid w:val="00013C5D"/>
    <w:rsid w:val="000200B6"/>
    <w:rsid w:val="00020C65"/>
    <w:rsid w:val="0002101E"/>
    <w:rsid w:val="000215D6"/>
    <w:rsid w:val="00021656"/>
    <w:rsid w:val="00022F28"/>
    <w:rsid w:val="000252F7"/>
    <w:rsid w:val="000256AD"/>
    <w:rsid w:val="000259A5"/>
    <w:rsid w:val="00026BE5"/>
    <w:rsid w:val="000300AE"/>
    <w:rsid w:val="000303C1"/>
    <w:rsid w:val="000332CB"/>
    <w:rsid w:val="00033EB7"/>
    <w:rsid w:val="00034CE0"/>
    <w:rsid w:val="000369EB"/>
    <w:rsid w:val="00040A44"/>
    <w:rsid w:val="00045240"/>
    <w:rsid w:val="0004710B"/>
    <w:rsid w:val="00050044"/>
    <w:rsid w:val="00053398"/>
    <w:rsid w:val="00053E54"/>
    <w:rsid w:val="000546F9"/>
    <w:rsid w:val="000549A9"/>
    <w:rsid w:val="00055084"/>
    <w:rsid w:val="00056935"/>
    <w:rsid w:val="000614E3"/>
    <w:rsid w:val="00061E49"/>
    <w:rsid w:val="00062077"/>
    <w:rsid w:val="00063293"/>
    <w:rsid w:val="00064186"/>
    <w:rsid w:val="00065EA6"/>
    <w:rsid w:val="00072E09"/>
    <w:rsid w:val="00073897"/>
    <w:rsid w:val="00073ABE"/>
    <w:rsid w:val="0007453B"/>
    <w:rsid w:val="00077164"/>
    <w:rsid w:val="0008368E"/>
    <w:rsid w:val="0008377C"/>
    <w:rsid w:val="000852D3"/>
    <w:rsid w:val="000862DA"/>
    <w:rsid w:val="00086EB3"/>
    <w:rsid w:val="0008743D"/>
    <w:rsid w:val="00087748"/>
    <w:rsid w:val="00087B46"/>
    <w:rsid w:val="000908EC"/>
    <w:rsid w:val="00090A21"/>
    <w:rsid w:val="00090B6C"/>
    <w:rsid w:val="00092576"/>
    <w:rsid w:val="000927BE"/>
    <w:rsid w:val="0009421C"/>
    <w:rsid w:val="000947AC"/>
    <w:rsid w:val="00097657"/>
    <w:rsid w:val="000A0E43"/>
    <w:rsid w:val="000A22D3"/>
    <w:rsid w:val="000A2C67"/>
    <w:rsid w:val="000A6D1C"/>
    <w:rsid w:val="000B32FA"/>
    <w:rsid w:val="000B3584"/>
    <w:rsid w:val="000B3A00"/>
    <w:rsid w:val="000B3E17"/>
    <w:rsid w:val="000B3FF7"/>
    <w:rsid w:val="000B451D"/>
    <w:rsid w:val="000B45F3"/>
    <w:rsid w:val="000B4A18"/>
    <w:rsid w:val="000B5654"/>
    <w:rsid w:val="000B70BA"/>
    <w:rsid w:val="000C02CB"/>
    <w:rsid w:val="000C0446"/>
    <w:rsid w:val="000C174E"/>
    <w:rsid w:val="000C1BDE"/>
    <w:rsid w:val="000C31C7"/>
    <w:rsid w:val="000C577B"/>
    <w:rsid w:val="000C6AD0"/>
    <w:rsid w:val="000C7058"/>
    <w:rsid w:val="000C7492"/>
    <w:rsid w:val="000C7E0A"/>
    <w:rsid w:val="000D0AA5"/>
    <w:rsid w:val="000D1C33"/>
    <w:rsid w:val="000D424F"/>
    <w:rsid w:val="000D45E3"/>
    <w:rsid w:val="000D4743"/>
    <w:rsid w:val="000D4DC7"/>
    <w:rsid w:val="000D4EDF"/>
    <w:rsid w:val="000D661B"/>
    <w:rsid w:val="000D707C"/>
    <w:rsid w:val="000E0CF3"/>
    <w:rsid w:val="000E18AE"/>
    <w:rsid w:val="000E46B3"/>
    <w:rsid w:val="000E4B59"/>
    <w:rsid w:val="000E6E5E"/>
    <w:rsid w:val="000E7CEB"/>
    <w:rsid w:val="000F4334"/>
    <w:rsid w:val="000F5478"/>
    <w:rsid w:val="000F6ACD"/>
    <w:rsid w:val="000F6F8D"/>
    <w:rsid w:val="001003CF"/>
    <w:rsid w:val="0010184C"/>
    <w:rsid w:val="0010298F"/>
    <w:rsid w:val="00104BC2"/>
    <w:rsid w:val="001062F8"/>
    <w:rsid w:val="00106EE9"/>
    <w:rsid w:val="0010798F"/>
    <w:rsid w:val="00110942"/>
    <w:rsid w:val="00111615"/>
    <w:rsid w:val="00111B93"/>
    <w:rsid w:val="00112570"/>
    <w:rsid w:val="00112BD9"/>
    <w:rsid w:val="00113273"/>
    <w:rsid w:val="001148DE"/>
    <w:rsid w:val="00114B94"/>
    <w:rsid w:val="0011535E"/>
    <w:rsid w:val="00115943"/>
    <w:rsid w:val="00117605"/>
    <w:rsid w:val="0011766E"/>
    <w:rsid w:val="00120760"/>
    <w:rsid w:val="0012206B"/>
    <w:rsid w:val="0012315C"/>
    <w:rsid w:val="001243E6"/>
    <w:rsid w:val="001264DA"/>
    <w:rsid w:val="00127A98"/>
    <w:rsid w:val="0013154A"/>
    <w:rsid w:val="00132314"/>
    <w:rsid w:val="0013238E"/>
    <w:rsid w:val="00134FA2"/>
    <w:rsid w:val="001351A5"/>
    <w:rsid w:val="00142AC7"/>
    <w:rsid w:val="00144319"/>
    <w:rsid w:val="0014445F"/>
    <w:rsid w:val="00144EE8"/>
    <w:rsid w:val="001455F1"/>
    <w:rsid w:val="00145B5C"/>
    <w:rsid w:val="0014641D"/>
    <w:rsid w:val="00146B55"/>
    <w:rsid w:val="0015011B"/>
    <w:rsid w:val="00150958"/>
    <w:rsid w:val="00152297"/>
    <w:rsid w:val="00152664"/>
    <w:rsid w:val="00152C61"/>
    <w:rsid w:val="00152EB9"/>
    <w:rsid w:val="00153AA4"/>
    <w:rsid w:val="00155768"/>
    <w:rsid w:val="001564F2"/>
    <w:rsid w:val="0016015C"/>
    <w:rsid w:val="00160AB9"/>
    <w:rsid w:val="00161ECE"/>
    <w:rsid w:val="00163041"/>
    <w:rsid w:val="001635FF"/>
    <w:rsid w:val="001636EF"/>
    <w:rsid w:val="00163C97"/>
    <w:rsid w:val="00163E67"/>
    <w:rsid w:val="00163F49"/>
    <w:rsid w:val="0016605A"/>
    <w:rsid w:val="00166A8F"/>
    <w:rsid w:val="00166B49"/>
    <w:rsid w:val="00166F29"/>
    <w:rsid w:val="00170656"/>
    <w:rsid w:val="0017214C"/>
    <w:rsid w:val="0017296B"/>
    <w:rsid w:val="001803AB"/>
    <w:rsid w:val="00180A8B"/>
    <w:rsid w:val="00182B9A"/>
    <w:rsid w:val="00182D23"/>
    <w:rsid w:val="0018476D"/>
    <w:rsid w:val="00184C60"/>
    <w:rsid w:val="00186AD3"/>
    <w:rsid w:val="00187613"/>
    <w:rsid w:val="001877CF"/>
    <w:rsid w:val="00187C56"/>
    <w:rsid w:val="00190165"/>
    <w:rsid w:val="001910B7"/>
    <w:rsid w:val="001922CC"/>
    <w:rsid w:val="00193633"/>
    <w:rsid w:val="0019524B"/>
    <w:rsid w:val="001A1B9E"/>
    <w:rsid w:val="001A2123"/>
    <w:rsid w:val="001A26D0"/>
    <w:rsid w:val="001A3D01"/>
    <w:rsid w:val="001A5864"/>
    <w:rsid w:val="001A68E4"/>
    <w:rsid w:val="001A6E12"/>
    <w:rsid w:val="001A74C5"/>
    <w:rsid w:val="001B168C"/>
    <w:rsid w:val="001B4668"/>
    <w:rsid w:val="001B48F3"/>
    <w:rsid w:val="001B510C"/>
    <w:rsid w:val="001B67D1"/>
    <w:rsid w:val="001B6BA1"/>
    <w:rsid w:val="001C09BC"/>
    <w:rsid w:val="001C0A2B"/>
    <w:rsid w:val="001C0BD6"/>
    <w:rsid w:val="001C11BF"/>
    <w:rsid w:val="001C1264"/>
    <w:rsid w:val="001C25C3"/>
    <w:rsid w:val="001C2CF4"/>
    <w:rsid w:val="001C42B3"/>
    <w:rsid w:val="001C5D45"/>
    <w:rsid w:val="001C7C81"/>
    <w:rsid w:val="001C7DDF"/>
    <w:rsid w:val="001C7F2D"/>
    <w:rsid w:val="001D0C2B"/>
    <w:rsid w:val="001D0D9E"/>
    <w:rsid w:val="001D1A87"/>
    <w:rsid w:val="001D2F54"/>
    <w:rsid w:val="001D361C"/>
    <w:rsid w:val="001D4F07"/>
    <w:rsid w:val="001E0228"/>
    <w:rsid w:val="001E0B6C"/>
    <w:rsid w:val="001E0FE8"/>
    <w:rsid w:val="001E17B9"/>
    <w:rsid w:val="001E471A"/>
    <w:rsid w:val="001E58D9"/>
    <w:rsid w:val="001E6A7C"/>
    <w:rsid w:val="001E7118"/>
    <w:rsid w:val="001F0284"/>
    <w:rsid w:val="001F05C8"/>
    <w:rsid w:val="001F19B6"/>
    <w:rsid w:val="001F1F8C"/>
    <w:rsid w:val="001F352B"/>
    <w:rsid w:val="001F4AF5"/>
    <w:rsid w:val="001F7974"/>
    <w:rsid w:val="00200023"/>
    <w:rsid w:val="00200752"/>
    <w:rsid w:val="002024C2"/>
    <w:rsid w:val="0020267C"/>
    <w:rsid w:val="00204618"/>
    <w:rsid w:val="00204ECE"/>
    <w:rsid w:val="00205477"/>
    <w:rsid w:val="00205CF4"/>
    <w:rsid w:val="0020609A"/>
    <w:rsid w:val="00207895"/>
    <w:rsid w:val="00211133"/>
    <w:rsid w:val="002114A7"/>
    <w:rsid w:val="00211B15"/>
    <w:rsid w:val="00213734"/>
    <w:rsid w:val="00215D9A"/>
    <w:rsid w:val="00217480"/>
    <w:rsid w:val="00217FF9"/>
    <w:rsid w:val="00220662"/>
    <w:rsid w:val="00220E36"/>
    <w:rsid w:val="00221CE4"/>
    <w:rsid w:val="00222753"/>
    <w:rsid w:val="0022355F"/>
    <w:rsid w:val="00223684"/>
    <w:rsid w:val="00223CB3"/>
    <w:rsid w:val="0022758E"/>
    <w:rsid w:val="00230672"/>
    <w:rsid w:val="002309D8"/>
    <w:rsid w:val="002311B4"/>
    <w:rsid w:val="002314D6"/>
    <w:rsid w:val="00231517"/>
    <w:rsid w:val="0023302F"/>
    <w:rsid w:val="0023357B"/>
    <w:rsid w:val="002364D1"/>
    <w:rsid w:val="002409CE"/>
    <w:rsid w:val="00243E60"/>
    <w:rsid w:val="002442FE"/>
    <w:rsid w:val="00245B3F"/>
    <w:rsid w:val="00247F7A"/>
    <w:rsid w:val="00251AD3"/>
    <w:rsid w:val="00251B0D"/>
    <w:rsid w:val="00254B3B"/>
    <w:rsid w:val="00255603"/>
    <w:rsid w:val="00256304"/>
    <w:rsid w:val="002567C5"/>
    <w:rsid w:val="0025792D"/>
    <w:rsid w:val="0026263C"/>
    <w:rsid w:val="00263366"/>
    <w:rsid w:val="00265106"/>
    <w:rsid w:val="00265631"/>
    <w:rsid w:val="00265835"/>
    <w:rsid w:val="00266152"/>
    <w:rsid w:val="00267512"/>
    <w:rsid w:val="002712E2"/>
    <w:rsid w:val="00271E1D"/>
    <w:rsid w:val="00276A0A"/>
    <w:rsid w:val="00276F42"/>
    <w:rsid w:val="00280BDE"/>
    <w:rsid w:val="0028120F"/>
    <w:rsid w:val="00282D03"/>
    <w:rsid w:val="00282FAA"/>
    <w:rsid w:val="00284A73"/>
    <w:rsid w:val="0028533A"/>
    <w:rsid w:val="00286953"/>
    <w:rsid w:val="00287D36"/>
    <w:rsid w:val="00287DB6"/>
    <w:rsid w:val="00293AFA"/>
    <w:rsid w:val="00293D1D"/>
    <w:rsid w:val="00294F94"/>
    <w:rsid w:val="00296A52"/>
    <w:rsid w:val="00297134"/>
    <w:rsid w:val="00297446"/>
    <w:rsid w:val="002A02C4"/>
    <w:rsid w:val="002A142E"/>
    <w:rsid w:val="002A1AEA"/>
    <w:rsid w:val="002A1C8D"/>
    <w:rsid w:val="002A1F92"/>
    <w:rsid w:val="002A3DEA"/>
    <w:rsid w:val="002A533C"/>
    <w:rsid w:val="002A598B"/>
    <w:rsid w:val="002A5FF0"/>
    <w:rsid w:val="002B0795"/>
    <w:rsid w:val="002B1039"/>
    <w:rsid w:val="002B1B6C"/>
    <w:rsid w:val="002B2505"/>
    <w:rsid w:val="002B37EC"/>
    <w:rsid w:val="002B4558"/>
    <w:rsid w:val="002B715D"/>
    <w:rsid w:val="002B788E"/>
    <w:rsid w:val="002B7AA0"/>
    <w:rsid w:val="002C021E"/>
    <w:rsid w:val="002C1F4B"/>
    <w:rsid w:val="002C2024"/>
    <w:rsid w:val="002C2645"/>
    <w:rsid w:val="002C2B5F"/>
    <w:rsid w:val="002C47EF"/>
    <w:rsid w:val="002C4F91"/>
    <w:rsid w:val="002C6D0A"/>
    <w:rsid w:val="002D1D6F"/>
    <w:rsid w:val="002D4B92"/>
    <w:rsid w:val="002D4C3D"/>
    <w:rsid w:val="002D57F7"/>
    <w:rsid w:val="002D62DA"/>
    <w:rsid w:val="002D68C8"/>
    <w:rsid w:val="002D6BE6"/>
    <w:rsid w:val="002D6F16"/>
    <w:rsid w:val="002E2000"/>
    <w:rsid w:val="002E2831"/>
    <w:rsid w:val="002E4B8E"/>
    <w:rsid w:val="002F1783"/>
    <w:rsid w:val="002F1BEB"/>
    <w:rsid w:val="002F36A5"/>
    <w:rsid w:val="002F4E26"/>
    <w:rsid w:val="002F5A8B"/>
    <w:rsid w:val="002F7A6F"/>
    <w:rsid w:val="00300039"/>
    <w:rsid w:val="00300476"/>
    <w:rsid w:val="003007DB"/>
    <w:rsid w:val="00301B65"/>
    <w:rsid w:val="00302CEA"/>
    <w:rsid w:val="003033EB"/>
    <w:rsid w:val="00303528"/>
    <w:rsid w:val="00303CA2"/>
    <w:rsid w:val="00304CBA"/>
    <w:rsid w:val="003105B2"/>
    <w:rsid w:val="0031090B"/>
    <w:rsid w:val="003119B7"/>
    <w:rsid w:val="00312007"/>
    <w:rsid w:val="00313091"/>
    <w:rsid w:val="00315E2C"/>
    <w:rsid w:val="003177FD"/>
    <w:rsid w:val="00317A33"/>
    <w:rsid w:val="00320316"/>
    <w:rsid w:val="00324D8B"/>
    <w:rsid w:val="00325201"/>
    <w:rsid w:val="003262A5"/>
    <w:rsid w:val="003264F0"/>
    <w:rsid w:val="003268B0"/>
    <w:rsid w:val="00326D80"/>
    <w:rsid w:val="0033033F"/>
    <w:rsid w:val="003329FA"/>
    <w:rsid w:val="00335BA8"/>
    <w:rsid w:val="0033740A"/>
    <w:rsid w:val="00337F4C"/>
    <w:rsid w:val="00340441"/>
    <w:rsid w:val="003405A9"/>
    <w:rsid w:val="00341079"/>
    <w:rsid w:val="0034120C"/>
    <w:rsid w:val="00342097"/>
    <w:rsid w:val="0034231B"/>
    <w:rsid w:val="00342902"/>
    <w:rsid w:val="0034480D"/>
    <w:rsid w:val="00344FE6"/>
    <w:rsid w:val="00345059"/>
    <w:rsid w:val="00346DAD"/>
    <w:rsid w:val="003476EE"/>
    <w:rsid w:val="00347D7A"/>
    <w:rsid w:val="0035001B"/>
    <w:rsid w:val="00352354"/>
    <w:rsid w:val="00352C1E"/>
    <w:rsid w:val="00353076"/>
    <w:rsid w:val="0035338F"/>
    <w:rsid w:val="00353430"/>
    <w:rsid w:val="0035396C"/>
    <w:rsid w:val="00353C48"/>
    <w:rsid w:val="00357D4B"/>
    <w:rsid w:val="0036073C"/>
    <w:rsid w:val="003614A6"/>
    <w:rsid w:val="00361FE3"/>
    <w:rsid w:val="00363A2B"/>
    <w:rsid w:val="00363C9A"/>
    <w:rsid w:val="003653B0"/>
    <w:rsid w:val="003667D2"/>
    <w:rsid w:val="003671D5"/>
    <w:rsid w:val="00367345"/>
    <w:rsid w:val="00367C39"/>
    <w:rsid w:val="00370922"/>
    <w:rsid w:val="00372820"/>
    <w:rsid w:val="00373067"/>
    <w:rsid w:val="003743A2"/>
    <w:rsid w:val="00374B5E"/>
    <w:rsid w:val="00376A01"/>
    <w:rsid w:val="003770BD"/>
    <w:rsid w:val="00377319"/>
    <w:rsid w:val="003808B6"/>
    <w:rsid w:val="00380FDC"/>
    <w:rsid w:val="003810DC"/>
    <w:rsid w:val="003824D6"/>
    <w:rsid w:val="00383522"/>
    <w:rsid w:val="003855CD"/>
    <w:rsid w:val="003871EF"/>
    <w:rsid w:val="003879B8"/>
    <w:rsid w:val="00390441"/>
    <w:rsid w:val="00390679"/>
    <w:rsid w:val="00390A11"/>
    <w:rsid w:val="0039116B"/>
    <w:rsid w:val="0039165A"/>
    <w:rsid w:val="00391F9A"/>
    <w:rsid w:val="00394486"/>
    <w:rsid w:val="003955B0"/>
    <w:rsid w:val="00395695"/>
    <w:rsid w:val="00397B21"/>
    <w:rsid w:val="00397BDE"/>
    <w:rsid w:val="003A048D"/>
    <w:rsid w:val="003A04F6"/>
    <w:rsid w:val="003A3F23"/>
    <w:rsid w:val="003A4D2C"/>
    <w:rsid w:val="003A6622"/>
    <w:rsid w:val="003A7FD0"/>
    <w:rsid w:val="003B1018"/>
    <w:rsid w:val="003B33E5"/>
    <w:rsid w:val="003B3C81"/>
    <w:rsid w:val="003B44DD"/>
    <w:rsid w:val="003B48BE"/>
    <w:rsid w:val="003B56DA"/>
    <w:rsid w:val="003B588E"/>
    <w:rsid w:val="003B5B9E"/>
    <w:rsid w:val="003B5F1C"/>
    <w:rsid w:val="003B6144"/>
    <w:rsid w:val="003B7EE8"/>
    <w:rsid w:val="003C1608"/>
    <w:rsid w:val="003C3C9E"/>
    <w:rsid w:val="003C4932"/>
    <w:rsid w:val="003C52FA"/>
    <w:rsid w:val="003C656E"/>
    <w:rsid w:val="003C73DF"/>
    <w:rsid w:val="003D32B9"/>
    <w:rsid w:val="003D32CC"/>
    <w:rsid w:val="003D49D9"/>
    <w:rsid w:val="003D6EE9"/>
    <w:rsid w:val="003E1247"/>
    <w:rsid w:val="003E1B56"/>
    <w:rsid w:val="003E4736"/>
    <w:rsid w:val="003F5080"/>
    <w:rsid w:val="004004AF"/>
    <w:rsid w:val="00400713"/>
    <w:rsid w:val="00400D7B"/>
    <w:rsid w:val="00400E84"/>
    <w:rsid w:val="00402F74"/>
    <w:rsid w:val="0040386D"/>
    <w:rsid w:val="00404394"/>
    <w:rsid w:val="00404DF2"/>
    <w:rsid w:val="00406A60"/>
    <w:rsid w:val="00407A30"/>
    <w:rsid w:val="004115E7"/>
    <w:rsid w:val="004117A0"/>
    <w:rsid w:val="00411AC6"/>
    <w:rsid w:val="00413288"/>
    <w:rsid w:val="004132EB"/>
    <w:rsid w:val="00413A72"/>
    <w:rsid w:val="004147CE"/>
    <w:rsid w:val="0041497D"/>
    <w:rsid w:val="0041531F"/>
    <w:rsid w:val="0041575D"/>
    <w:rsid w:val="00416DDC"/>
    <w:rsid w:val="004171C2"/>
    <w:rsid w:val="004172B4"/>
    <w:rsid w:val="00417418"/>
    <w:rsid w:val="0041780E"/>
    <w:rsid w:val="0042029D"/>
    <w:rsid w:val="00420D95"/>
    <w:rsid w:val="004210A9"/>
    <w:rsid w:val="00422755"/>
    <w:rsid w:val="00423466"/>
    <w:rsid w:val="004246C8"/>
    <w:rsid w:val="00424AE1"/>
    <w:rsid w:val="00424DD5"/>
    <w:rsid w:val="00426BBD"/>
    <w:rsid w:val="004300AD"/>
    <w:rsid w:val="00432B94"/>
    <w:rsid w:val="004335AA"/>
    <w:rsid w:val="00433A7F"/>
    <w:rsid w:val="00433F0D"/>
    <w:rsid w:val="00435690"/>
    <w:rsid w:val="00435C8D"/>
    <w:rsid w:val="0044102A"/>
    <w:rsid w:val="00441383"/>
    <w:rsid w:val="00441702"/>
    <w:rsid w:val="00444CA1"/>
    <w:rsid w:val="0044521F"/>
    <w:rsid w:val="00445310"/>
    <w:rsid w:val="0044639B"/>
    <w:rsid w:val="00446C54"/>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34BC"/>
    <w:rsid w:val="00464F31"/>
    <w:rsid w:val="00465134"/>
    <w:rsid w:val="00466022"/>
    <w:rsid w:val="004671EB"/>
    <w:rsid w:val="00467DF0"/>
    <w:rsid w:val="004733F1"/>
    <w:rsid w:val="00474A7D"/>
    <w:rsid w:val="004834BC"/>
    <w:rsid w:val="004855BF"/>
    <w:rsid w:val="00485DC6"/>
    <w:rsid w:val="00487BCD"/>
    <w:rsid w:val="004910D7"/>
    <w:rsid w:val="004918C2"/>
    <w:rsid w:val="004925EE"/>
    <w:rsid w:val="0049368D"/>
    <w:rsid w:val="00494130"/>
    <w:rsid w:val="0049433A"/>
    <w:rsid w:val="0049505A"/>
    <w:rsid w:val="0049563A"/>
    <w:rsid w:val="00495FE8"/>
    <w:rsid w:val="00497E32"/>
    <w:rsid w:val="00497EA8"/>
    <w:rsid w:val="004A0A88"/>
    <w:rsid w:val="004A0EB3"/>
    <w:rsid w:val="004A1764"/>
    <w:rsid w:val="004A2BB3"/>
    <w:rsid w:val="004A35AF"/>
    <w:rsid w:val="004A4263"/>
    <w:rsid w:val="004A6DEC"/>
    <w:rsid w:val="004A7E41"/>
    <w:rsid w:val="004A7E7E"/>
    <w:rsid w:val="004B01EB"/>
    <w:rsid w:val="004B021A"/>
    <w:rsid w:val="004B0E4A"/>
    <w:rsid w:val="004B22DB"/>
    <w:rsid w:val="004B370A"/>
    <w:rsid w:val="004B3719"/>
    <w:rsid w:val="004B37F7"/>
    <w:rsid w:val="004B49A4"/>
    <w:rsid w:val="004B6ECD"/>
    <w:rsid w:val="004C1181"/>
    <w:rsid w:val="004C1D60"/>
    <w:rsid w:val="004C2B8E"/>
    <w:rsid w:val="004C33EC"/>
    <w:rsid w:val="004C7B90"/>
    <w:rsid w:val="004D034A"/>
    <w:rsid w:val="004D1009"/>
    <w:rsid w:val="004D1652"/>
    <w:rsid w:val="004D189B"/>
    <w:rsid w:val="004D26B0"/>
    <w:rsid w:val="004D42D6"/>
    <w:rsid w:val="004D478D"/>
    <w:rsid w:val="004D50F4"/>
    <w:rsid w:val="004D647D"/>
    <w:rsid w:val="004D698A"/>
    <w:rsid w:val="004E07DB"/>
    <w:rsid w:val="004E2738"/>
    <w:rsid w:val="004E33C3"/>
    <w:rsid w:val="004E46FE"/>
    <w:rsid w:val="004E54D5"/>
    <w:rsid w:val="004E599C"/>
    <w:rsid w:val="004E69C2"/>
    <w:rsid w:val="004E701D"/>
    <w:rsid w:val="004F2BDD"/>
    <w:rsid w:val="004F2E95"/>
    <w:rsid w:val="004F432F"/>
    <w:rsid w:val="004F46B8"/>
    <w:rsid w:val="004F5F28"/>
    <w:rsid w:val="004F60A8"/>
    <w:rsid w:val="004F7518"/>
    <w:rsid w:val="004F79FB"/>
    <w:rsid w:val="004F7E13"/>
    <w:rsid w:val="00503758"/>
    <w:rsid w:val="00504021"/>
    <w:rsid w:val="005045B5"/>
    <w:rsid w:val="00506F9E"/>
    <w:rsid w:val="00507651"/>
    <w:rsid w:val="0051007C"/>
    <w:rsid w:val="005107A3"/>
    <w:rsid w:val="005112EE"/>
    <w:rsid w:val="0051488A"/>
    <w:rsid w:val="00515F53"/>
    <w:rsid w:val="00516426"/>
    <w:rsid w:val="00516989"/>
    <w:rsid w:val="005172C6"/>
    <w:rsid w:val="00517750"/>
    <w:rsid w:val="00522E98"/>
    <w:rsid w:val="00524328"/>
    <w:rsid w:val="00524681"/>
    <w:rsid w:val="005247A9"/>
    <w:rsid w:val="00524AC7"/>
    <w:rsid w:val="00524CC3"/>
    <w:rsid w:val="00525619"/>
    <w:rsid w:val="00525B82"/>
    <w:rsid w:val="005268F1"/>
    <w:rsid w:val="00526A5D"/>
    <w:rsid w:val="00526BC1"/>
    <w:rsid w:val="005300ED"/>
    <w:rsid w:val="005304DB"/>
    <w:rsid w:val="00530DDA"/>
    <w:rsid w:val="0053123F"/>
    <w:rsid w:val="00533607"/>
    <w:rsid w:val="005336F0"/>
    <w:rsid w:val="00533745"/>
    <w:rsid w:val="00533CB9"/>
    <w:rsid w:val="005375C7"/>
    <w:rsid w:val="005405AB"/>
    <w:rsid w:val="00541001"/>
    <w:rsid w:val="0054154F"/>
    <w:rsid w:val="00543380"/>
    <w:rsid w:val="0054387A"/>
    <w:rsid w:val="00543DA2"/>
    <w:rsid w:val="00546653"/>
    <w:rsid w:val="00550049"/>
    <w:rsid w:val="005505E4"/>
    <w:rsid w:val="00551420"/>
    <w:rsid w:val="00551AD4"/>
    <w:rsid w:val="00551BAB"/>
    <w:rsid w:val="005539FE"/>
    <w:rsid w:val="00555FE3"/>
    <w:rsid w:val="00556FFF"/>
    <w:rsid w:val="00557083"/>
    <w:rsid w:val="00560A38"/>
    <w:rsid w:val="005619BC"/>
    <w:rsid w:val="00562DCB"/>
    <w:rsid w:val="00562F1F"/>
    <w:rsid w:val="0056477A"/>
    <w:rsid w:val="00564E08"/>
    <w:rsid w:val="00564F59"/>
    <w:rsid w:val="00565C67"/>
    <w:rsid w:val="00565E50"/>
    <w:rsid w:val="00566709"/>
    <w:rsid w:val="00570178"/>
    <w:rsid w:val="00570F3C"/>
    <w:rsid w:val="005712FE"/>
    <w:rsid w:val="00571BF1"/>
    <w:rsid w:val="005723A7"/>
    <w:rsid w:val="00572C7C"/>
    <w:rsid w:val="00573496"/>
    <w:rsid w:val="00573BA7"/>
    <w:rsid w:val="00573DEB"/>
    <w:rsid w:val="005749BD"/>
    <w:rsid w:val="00574C96"/>
    <w:rsid w:val="00575B3A"/>
    <w:rsid w:val="00575C18"/>
    <w:rsid w:val="00575FA9"/>
    <w:rsid w:val="00576358"/>
    <w:rsid w:val="00577E60"/>
    <w:rsid w:val="00580608"/>
    <w:rsid w:val="00581E32"/>
    <w:rsid w:val="00584088"/>
    <w:rsid w:val="0058563F"/>
    <w:rsid w:val="005856E4"/>
    <w:rsid w:val="005864BE"/>
    <w:rsid w:val="00586733"/>
    <w:rsid w:val="005871DA"/>
    <w:rsid w:val="00587F8A"/>
    <w:rsid w:val="00590F09"/>
    <w:rsid w:val="00591577"/>
    <w:rsid w:val="00591B28"/>
    <w:rsid w:val="00594118"/>
    <w:rsid w:val="00595225"/>
    <w:rsid w:val="00596126"/>
    <w:rsid w:val="00596E11"/>
    <w:rsid w:val="005974A2"/>
    <w:rsid w:val="005A057C"/>
    <w:rsid w:val="005A0C50"/>
    <w:rsid w:val="005A1244"/>
    <w:rsid w:val="005A1B70"/>
    <w:rsid w:val="005A2769"/>
    <w:rsid w:val="005A2C2D"/>
    <w:rsid w:val="005B03BC"/>
    <w:rsid w:val="005B0A32"/>
    <w:rsid w:val="005B1506"/>
    <w:rsid w:val="005B2F9F"/>
    <w:rsid w:val="005B54D6"/>
    <w:rsid w:val="005B686A"/>
    <w:rsid w:val="005C0295"/>
    <w:rsid w:val="005C0349"/>
    <w:rsid w:val="005C0437"/>
    <w:rsid w:val="005C2234"/>
    <w:rsid w:val="005C2D6B"/>
    <w:rsid w:val="005C34DE"/>
    <w:rsid w:val="005C3D22"/>
    <w:rsid w:val="005C603A"/>
    <w:rsid w:val="005C6109"/>
    <w:rsid w:val="005C70D2"/>
    <w:rsid w:val="005D0EDC"/>
    <w:rsid w:val="005D11E5"/>
    <w:rsid w:val="005D1AFD"/>
    <w:rsid w:val="005D23A1"/>
    <w:rsid w:val="005D37A5"/>
    <w:rsid w:val="005D3DD1"/>
    <w:rsid w:val="005D6161"/>
    <w:rsid w:val="005E17FD"/>
    <w:rsid w:val="005E214C"/>
    <w:rsid w:val="005E266E"/>
    <w:rsid w:val="005E3604"/>
    <w:rsid w:val="005E4E7A"/>
    <w:rsid w:val="005E536C"/>
    <w:rsid w:val="005E5A35"/>
    <w:rsid w:val="005E7AFA"/>
    <w:rsid w:val="005F3617"/>
    <w:rsid w:val="005F39A8"/>
    <w:rsid w:val="005F4388"/>
    <w:rsid w:val="005F553C"/>
    <w:rsid w:val="005F5CB5"/>
    <w:rsid w:val="005F5E53"/>
    <w:rsid w:val="005F5E69"/>
    <w:rsid w:val="005F6230"/>
    <w:rsid w:val="005F66F2"/>
    <w:rsid w:val="00600EA2"/>
    <w:rsid w:val="00601769"/>
    <w:rsid w:val="00601A51"/>
    <w:rsid w:val="00602624"/>
    <w:rsid w:val="006028DB"/>
    <w:rsid w:val="006057B0"/>
    <w:rsid w:val="00606758"/>
    <w:rsid w:val="00606C48"/>
    <w:rsid w:val="00607CEC"/>
    <w:rsid w:val="00611AE0"/>
    <w:rsid w:val="0061240F"/>
    <w:rsid w:val="00613FEC"/>
    <w:rsid w:val="006146A6"/>
    <w:rsid w:val="0061580E"/>
    <w:rsid w:val="00615EB2"/>
    <w:rsid w:val="0062014B"/>
    <w:rsid w:val="006210DB"/>
    <w:rsid w:val="00621F3D"/>
    <w:rsid w:val="006229C5"/>
    <w:rsid w:val="00625234"/>
    <w:rsid w:val="006253BB"/>
    <w:rsid w:val="006253CE"/>
    <w:rsid w:val="00625FE8"/>
    <w:rsid w:val="006268C7"/>
    <w:rsid w:val="00627E46"/>
    <w:rsid w:val="00630431"/>
    <w:rsid w:val="00630AB8"/>
    <w:rsid w:val="00630E8D"/>
    <w:rsid w:val="006310B2"/>
    <w:rsid w:val="00631BC2"/>
    <w:rsid w:val="00631E86"/>
    <w:rsid w:val="00633C43"/>
    <w:rsid w:val="00635DD5"/>
    <w:rsid w:val="00636335"/>
    <w:rsid w:val="00637337"/>
    <w:rsid w:val="00637CC5"/>
    <w:rsid w:val="00637EEC"/>
    <w:rsid w:val="00640CB5"/>
    <w:rsid w:val="00641289"/>
    <w:rsid w:val="0064233F"/>
    <w:rsid w:val="00643A6A"/>
    <w:rsid w:val="00644504"/>
    <w:rsid w:val="0064730E"/>
    <w:rsid w:val="006473F8"/>
    <w:rsid w:val="00650014"/>
    <w:rsid w:val="00650A10"/>
    <w:rsid w:val="0065198A"/>
    <w:rsid w:val="006557C2"/>
    <w:rsid w:val="0065638E"/>
    <w:rsid w:val="0065704B"/>
    <w:rsid w:val="00657B64"/>
    <w:rsid w:val="00657BFC"/>
    <w:rsid w:val="006603BF"/>
    <w:rsid w:val="00660D9A"/>
    <w:rsid w:val="00661851"/>
    <w:rsid w:val="00662277"/>
    <w:rsid w:val="00663E56"/>
    <w:rsid w:val="00666061"/>
    <w:rsid w:val="00672B5D"/>
    <w:rsid w:val="00673EEE"/>
    <w:rsid w:val="00675ABA"/>
    <w:rsid w:val="00676C00"/>
    <w:rsid w:val="00677189"/>
    <w:rsid w:val="0067782B"/>
    <w:rsid w:val="00682056"/>
    <w:rsid w:val="00682992"/>
    <w:rsid w:val="00683A50"/>
    <w:rsid w:val="00683D87"/>
    <w:rsid w:val="006850F4"/>
    <w:rsid w:val="0068519E"/>
    <w:rsid w:val="006856CD"/>
    <w:rsid w:val="00685B8E"/>
    <w:rsid w:val="006869A3"/>
    <w:rsid w:val="006877FF"/>
    <w:rsid w:val="00687C1D"/>
    <w:rsid w:val="006908B5"/>
    <w:rsid w:val="0069103C"/>
    <w:rsid w:val="00693056"/>
    <w:rsid w:val="00696116"/>
    <w:rsid w:val="00696E16"/>
    <w:rsid w:val="006A020C"/>
    <w:rsid w:val="006A058C"/>
    <w:rsid w:val="006A374B"/>
    <w:rsid w:val="006A3C9A"/>
    <w:rsid w:val="006A3E33"/>
    <w:rsid w:val="006A4D7E"/>
    <w:rsid w:val="006A4FF1"/>
    <w:rsid w:val="006A76B5"/>
    <w:rsid w:val="006B008F"/>
    <w:rsid w:val="006B06A6"/>
    <w:rsid w:val="006B0CAE"/>
    <w:rsid w:val="006B1466"/>
    <w:rsid w:val="006B1835"/>
    <w:rsid w:val="006B1BD9"/>
    <w:rsid w:val="006B3317"/>
    <w:rsid w:val="006B3F31"/>
    <w:rsid w:val="006B4428"/>
    <w:rsid w:val="006B4689"/>
    <w:rsid w:val="006B4C29"/>
    <w:rsid w:val="006B69E8"/>
    <w:rsid w:val="006B715D"/>
    <w:rsid w:val="006B7D86"/>
    <w:rsid w:val="006C1F37"/>
    <w:rsid w:val="006C2010"/>
    <w:rsid w:val="006C2D01"/>
    <w:rsid w:val="006C39A1"/>
    <w:rsid w:val="006C444E"/>
    <w:rsid w:val="006C5084"/>
    <w:rsid w:val="006C7D82"/>
    <w:rsid w:val="006C7EC6"/>
    <w:rsid w:val="006D2F89"/>
    <w:rsid w:val="006D30FD"/>
    <w:rsid w:val="006D58B2"/>
    <w:rsid w:val="006D7BEF"/>
    <w:rsid w:val="006E2260"/>
    <w:rsid w:val="006E3360"/>
    <w:rsid w:val="006E39B6"/>
    <w:rsid w:val="006E5114"/>
    <w:rsid w:val="006E5FE9"/>
    <w:rsid w:val="006E60DE"/>
    <w:rsid w:val="006E7BBE"/>
    <w:rsid w:val="006F0124"/>
    <w:rsid w:val="006F07DA"/>
    <w:rsid w:val="006F1044"/>
    <w:rsid w:val="006F284F"/>
    <w:rsid w:val="006F2A54"/>
    <w:rsid w:val="006F3640"/>
    <w:rsid w:val="006F374E"/>
    <w:rsid w:val="006F3863"/>
    <w:rsid w:val="006F7003"/>
    <w:rsid w:val="00702206"/>
    <w:rsid w:val="00703248"/>
    <w:rsid w:val="007035B0"/>
    <w:rsid w:val="00703DD5"/>
    <w:rsid w:val="007041EC"/>
    <w:rsid w:val="007050D3"/>
    <w:rsid w:val="0070722B"/>
    <w:rsid w:val="0070742A"/>
    <w:rsid w:val="00707EF7"/>
    <w:rsid w:val="0071198B"/>
    <w:rsid w:val="00713A5E"/>
    <w:rsid w:val="00713FA5"/>
    <w:rsid w:val="0071468E"/>
    <w:rsid w:val="007161A8"/>
    <w:rsid w:val="00716727"/>
    <w:rsid w:val="00717650"/>
    <w:rsid w:val="007201C5"/>
    <w:rsid w:val="0072198C"/>
    <w:rsid w:val="00722111"/>
    <w:rsid w:val="00723D9F"/>
    <w:rsid w:val="00723F94"/>
    <w:rsid w:val="00724859"/>
    <w:rsid w:val="007257A2"/>
    <w:rsid w:val="00726111"/>
    <w:rsid w:val="00726588"/>
    <w:rsid w:val="00727F5A"/>
    <w:rsid w:val="00732242"/>
    <w:rsid w:val="007334D4"/>
    <w:rsid w:val="00734D7C"/>
    <w:rsid w:val="00734DDA"/>
    <w:rsid w:val="00735B4A"/>
    <w:rsid w:val="0073626E"/>
    <w:rsid w:val="00736C13"/>
    <w:rsid w:val="0073797C"/>
    <w:rsid w:val="00737EC5"/>
    <w:rsid w:val="00740BAB"/>
    <w:rsid w:val="007417F0"/>
    <w:rsid w:val="00741901"/>
    <w:rsid w:val="00743157"/>
    <w:rsid w:val="007439E7"/>
    <w:rsid w:val="00746C19"/>
    <w:rsid w:val="00746D5A"/>
    <w:rsid w:val="007474CD"/>
    <w:rsid w:val="00751955"/>
    <w:rsid w:val="007520F2"/>
    <w:rsid w:val="007527A2"/>
    <w:rsid w:val="00753D19"/>
    <w:rsid w:val="0075569F"/>
    <w:rsid w:val="00755E39"/>
    <w:rsid w:val="0075636A"/>
    <w:rsid w:val="007565A7"/>
    <w:rsid w:val="0076064B"/>
    <w:rsid w:val="00760988"/>
    <w:rsid w:val="00760BAA"/>
    <w:rsid w:val="00761432"/>
    <w:rsid w:val="007614EB"/>
    <w:rsid w:val="00762097"/>
    <w:rsid w:val="007678C0"/>
    <w:rsid w:val="00767B2D"/>
    <w:rsid w:val="0077035E"/>
    <w:rsid w:val="00770CC9"/>
    <w:rsid w:val="00771862"/>
    <w:rsid w:val="00777000"/>
    <w:rsid w:val="007777B2"/>
    <w:rsid w:val="00777A62"/>
    <w:rsid w:val="00777DA4"/>
    <w:rsid w:val="0078163D"/>
    <w:rsid w:val="00782147"/>
    <w:rsid w:val="007838D3"/>
    <w:rsid w:val="00783B06"/>
    <w:rsid w:val="0078446A"/>
    <w:rsid w:val="0078533C"/>
    <w:rsid w:val="0079037D"/>
    <w:rsid w:val="0079098B"/>
    <w:rsid w:val="007922B7"/>
    <w:rsid w:val="00792883"/>
    <w:rsid w:val="00792AC7"/>
    <w:rsid w:val="00794F86"/>
    <w:rsid w:val="007961BB"/>
    <w:rsid w:val="00797481"/>
    <w:rsid w:val="007977E5"/>
    <w:rsid w:val="00797D60"/>
    <w:rsid w:val="00797D7A"/>
    <w:rsid w:val="007A03BD"/>
    <w:rsid w:val="007A0FF5"/>
    <w:rsid w:val="007A1175"/>
    <w:rsid w:val="007A1F7F"/>
    <w:rsid w:val="007A2D12"/>
    <w:rsid w:val="007A4411"/>
    <w:rsid w:val="007A4AC5"/>
    <w:rsid w:val="007A531C"/>
    <w:rsid w:val="007A63BD"/>
    <w:rsid w:val="007A6CD8"/>
    <w:rsid w:val="007A73AA"/>
    <w:rsid w:val="007A7729"/>
    <w:rsid w:val="007A795D"/>
    <w:rsid w:val="007B39DA"/>
    <w:rsid w:val="007B587F"/>
    <w:rsid w:val="007B6765"/>
    <w:rsid w:val="007B6AFE"/>
    <w:rsid w:val="007B7268"/>
    <w:rsid w:val="007C085A"/>
    <w:rsid w:val="007C0A74"/>
    <w:rsid w:val="007C2A20"/>
    <w:rsid w:val="007C4586"/>
    <w:rsid w:val="007C4A08"/>
    <w:rsid w:val="007C550D"/>
    <w:rsid w:val="007C5ABF"/>
    <w:rsid w:val="007C5E69"/>
    <w:rsid w:val="007D05F7"/>
    <w:rsid w:val="007D0F41"/>
    <w:rsid w:val="007D11E6"/>
    <w:rsid w:val="007D23CB"/>
    <w:rsid w:val="007D33D5"/>
    <w:rsid w:val="007D3D4E"/>
    <w:rsid w:val="007D57AE"/>
    <w:rsid w:val="007D63CF"/>
    <w:rsid w:val="007D6B77"/>
    <w:rsid w:val="007E0E76"/>
    <w:rsid w:val="007E182F"/>
    <w:rsid w:val="007E2AB3"/>
    <w:rsid w:val="007E4EAA"/>
    <w:rsid w:val="007E524A"/>
    <w:rsid w:val="007F0417"/>
    <w:rsid w:val="007F2D82"/>
    <w:rsid w:val="007F325D"/>
    <w:rsid w:val="007F3438"/>
    <w:rsid w:val="007F4217"/>
    <w:rsid w:val="007F4B07"/>
    <w:rsid w:val="007F4D8C"/>
    <w:rsid w:val="007F547C"/>
    <w:rsid w:val="007F5FE3"/>
    <w:rsid w:val="007F66DD"/>
    <w:rsid w:val="007F67DB"/>
    <w:rsid w:val="007F792D"/>
    <w:rsid w:val="008016C8"/>
    <w:rsid w:val="008040C6"/>
    <w:rsid w:val="008056B4"/>
    <w:rsid w:val="0080660B"/>
    <w:rsid w:val="008067A7"/>
    <w:rsid w:val="008117A2"/>
    <w:rsid w:val="0081406A"/>
    <w:rsid w:val="0081406B"/>
    <w:rsid w:val="008142D6"/>
    <w:rsid w:val="00814308"/>
    <w:rsid w:val="008147A1"/>
    <w:rsid w:val="00814E86"/>
    <w:rsid w:val="00817852"/>
    <w:rsid w:val="00817D1F"/>
    <w:rsid w:val="008211C5"/>
    <w:rsid w:val="008217C9"/>
    <w:rsid w:val="00821F5E"/>
    <w:rsid w:val="0082312C"/>
    <w:rsid w:val="0082356E"/>
    <w:rsid w:val="00823BCE"/>
    <w:rsid w:val="00825039"/>
    <w:rsid w:val="00825070"/>
    <w:rsid w:val="00825724"/>
    <w:rsid w:val="00827001"/>
    <w:rsid w:val="00827848"/>
    <w:rsid w:val="00830674"/>
    <w:rsid w:val="00830DDA"/>
    <w:rsid w:val="00831B21"/>
    <w:rsid w:val="0083256F"/>
    <w:rsid w:val="00833DDF"/>
    <w:rsid w:val="00834392"/>
    <w:rsid w:val="008366CC"/>
    <w:rsid w:val="00844370"/>
    <w:rsid w:val="00844E4D"/>
    <w:rsid w:val="008455E9"/>
    <w:rsid w:val="008509CF"/>
    <w:rsid w:val="008512D7"/>
    <w:rsid w:val="008536C8"/>
    <w:rsid w:val="00854AB3"/>
    <w:rsid w:val="008573AA"/>
    <w:rsid w:val="00860EDB"/>
    <w:rsid w:val="00861522"/>
    <w:rsid w:val="008616B2"/>
    <w:rsid w:val="0086208B"/>
    <w:rsid w:val="008629ED"/>
    <w:rsid w:val="00864E6E"/>
    <w:rsid w:val="00865943"/>
    <w:rsid w:val="00865DAD"/>
    <w:rsid w:val="0087337C"/>
    <w:rsid w:val="00873E14"/>
    <w:rsid w:val="00874C4C"/>
    <w:rsid w:val="00874CFC"/>
    <w:rsid w:val="00874F33"/>
    <w:rsid w:val="008754AA"/>
    <w:rsid w:val="00875C37"/>
    <w:rsid w:val="00875D63"/>
    <w:rsid w:val="00875F31"/>
    <w:rsid w:val="008761A9"/>
    <w:rsid w:val="008769E5"/>
    <w:rsid w:val="00876D17"/>
    <w:rsid w:val="00877FCC"/>
    <w:rsid w:val="00881022"/>
    <w:rsid w:val="008825D0"/>
    <w:rsid w:val="00882B00"/>
    <w:rsid w:val="00882DB9"/>
    <w:rsid w:val="00882EF6"/>
    <w:rsid w:val="008832AF"/>
    <w:rsid w:val="00885C35"/>
    <w:rsid w:val="00886976"/>
    <w:rsid w:val="0088702E"/>
    <w:rsid w:val="008912E2"/>
    <w:rsid w:val="00891353"/>
    <w:rsid w:val="00894067"/>
    <w:rsid w:val="008A1FB7"/>
    <w:rsid w:val="008A2EBD"/>
    <w:rsid w:val="008A3068"/>
    <w:rsid w:val="008A5225"/>
    <w:rsid w:val="008A744A"/>
    <w:rsid w:val="008B06D1"/>
    <w:rsid w:val="008B098B"/>
    <w:rsid w:val="008B180A"/>
    <w:rsid w:val="008B3A60"/>
    <w:rsid w:val="008B476B"/>
    <w:rsid w:val="008B4CE4"/>
    <w:rsid w:val="008B54F6"/>
    <w:rsid w:val="008B5BD1"/>
    <w:rsid w:val="008B6A72"/>
    <w:rsid w:val="008C08A4"/>
    <w:rsid w:val="008C1EF0"/>
    <w:rsid w:val="008C2F8E"/>
    <w:rsid w:val="008C51C4"/>
    <w:rsid w:val="008C56EC"/>
    <w:rsid w:val="008C7224"/>
    <w:rsid w:val="008C770D"/>
    <w:rsid w:val="008D3329"/>
    <w:rsid w:val="008D356F"/>
    <w:rsid w:val="008D36FF"/>
    <w:rsid w:val="008D49CD"/>
    <w:rsid w:val="008E1DAB"/>
    <w:rsid w:val="008E3DAE"/>
    <w:rsid w:val="008E49B7"/>
    <w:rsid w:val="008E4D9E"/>
    <w:rsid w:val="008E6887"/>
    <w:rsid w:val="008E7460"/>
    <w:rsid w:val="008F04C3"/>
    <w:rsid w:val="008F0C60"/>
    <w:rsid w:val="008F1209"/>
    <w:rsid w:val="008F1EBF"/>
    <w:rsid w:val="008F29D6"/>
    <w:rsid w:val="008F2C30"/>
    <w:rsid w:val="008F3060"/>
    <w:rsid w:val="008F31D5"/>
    <w:rsid w:val="008F33F7"/>
    <w:rsid w:val="008F47EA"/>
    <w:rsid w:val="008F59F3"/>
    <w:rsid w:val="008F5D7B"/>
    <w:rsid w:val="008F6CDF"/>
    <w:rsid w:val="00900656"/>
    <w:rsid w:val="00900F1A"/>
    <w:rsid w:val="00901467"/>
    <w:rsid w:val="00901AC8"/>
    <w:rsid w:val="00901FCB"/>
    <w:rsid w:val="009024F0"/>
    <w:rsid w:val="00903078"/>
    <w:rsid w:val="00906AB3"/>
    <w:rsid w:val="009072A6"/>
    <w:rsid w:val="00907E6B"/>
    <w:rsid w:val="009105FA"/>
    <w:rsid w:val="009110CD"/>
    <w:rsid w:val="009112E0"/>
    <w:rsid w:val="009118B6"/>
    <w:rsid w:val="0091402B"/>
    <w:rsid w:val="00914D57"/>
    <w:rsid w:val="0091609A"/>
    <w:rsid w:val="009167FE"/>
    <w:rsid w:val="00920258"/>
    <w:rsid w:val="009220D1"/>
    <w:rsid w:val="00922506"/>
    <w:rsid w:val="0092315F"/>
    <w:rsid w:val="00924273"/>
    <w:rsid w:val="00926420"/>
    <w:rsid w:val="00927625"/>
    <w:rsid w:val="00927CC0"/>
    <w:rsid w:val="00927D2C"/>
    <w:rsid w:val="00930414"/>
    <w:rsid w:val="009305E2"/>
    <w:rsid w:val="00932E72"/>
    <w:rsid w:val="00934300"/>
    <w:rsid w:val="00937F53"/>
    <w:rsid w:val="009407CF"/>
    <w:rsid w:val="009409C6"/>
    <w:rsid w:val="00940D01"/>
    <w:rsid w:val="00941679"/>
    <w:rsid w:val="009435AB"/>
    <w:rsid w:val="009440B0"/>
    <w:rsid w:val="00944624"/>
    <w:rsid w:val="00944BFD"/>
    <w:rsid w:val="00953FD5"/>
    <w:rsid w:val="00954051"/>
    <w:rsid w:val="009540E2"/>
    <w:rsid w:val="00954830"/>
    <w:rsid w:val="0095571D"/>
    <w:rsid w:val="00956123"/>
    <w:rsid w:val="00956D8C"/>
    <w:rsid w:val="00960465"/>
    <w:rsid w:val="0096214F"/>
    <w:rsid w:val="00963A39"/>
    <w:rsid w:val="00963D94"/>
    <w:rsid w:val="00963E0B"/>
    <w:rsid w:val="00965FCB"/>
    <w:rsid w:val="00966327"/>
    <w:rsid w:val="00966F14"/>
    <w:rsid w:val="00967C41"/>
    <w:rsid w:val="00971B29"/>
    <w:rsid w:val="009727B1"/>
    <w:rsid w:val="00972A3F"/>
    <w:rsid w:val="00973678"/>
    <w:rsid w:val="00973938"/>
    <w:rsid w:val="00973A39"/>
    <w:rsid w:val="00973EFE"/>
    <w:rsid w:val="00974D20"/>
    <w:rsid w:val="0097763B"/>
    <w:rsid w:val="00981C4D"/>
    <w:rsid w:val="00982337"/>
    <w:rsid w:val="00983442"/>
    <w:rsid w:val="009848DA"/>
    <w:rsid w:val="00985EB9"/>
    <w:rsid w:val="009876C1"/>
    <w:rsid w:val="00987C98"/>
    <w:rsid w:val="00987D50"/>
    <w:rsid w:val="00990BEF"/>
    <w:rsid w:val="0099146C"/>
    <w:rsid w:val="00991F58"/>
    <w:rsid w:val="00993636"/>
    <w:rsid w:val="0099445D"/>
    <w:rsid w:val="00994974"/>
    <w:rsid w:val="009963B6"/>
    <w:rsid w:val="0099698F"/>
    <w:rsid w:val="0099700A"/>
    <w:rsid w:val="009A0259"/>
    <w:rsid w:val="009A0331"/>
    <w:rsid w:val="009A0819"/>
    <w:rsid w:val="009A3344"/>
    <w:rsid w:val="009A3359"/>
    <w:rsid w:val="009A3D68"/>
    <w:rsid w:val="009A5CE3"/>
    <w:rsid w:val="009A642D"/>
    <w:rsid w:val="009A6776"/>
    <w:rsid w:val="009A7548"/>
    <w:rsid w:val="009A79BA"/>
    <w:rsid w:val="009A7D8C"/>
    <w:rsid w:val="009A7ED5"/>
    <w:rsid w:val="009B160C"/>
    <w:rsid w:val="009B1950"/>
    <w:rsid w:val="009B3E75"/>
    <w:rsid w:val="009B3F98"/>
    <w:rsid w:val="009B63F7"/>
    <w:rsid w:val="009B747C"/>
    <w:rsid w:val="009C0FC7"/>
    <w:rsid w:val="009C6E79"/>
    <w:rsid w:val="009D0799"/>
    <w:rsid w:val="009D0FD7"/>
    <w:rsid w:val="009D14A5"/>
    <w:rsid w:val="009D1800"/>
    <w:rsid w:val="009D1B0B"/>
    <w:rsid w:val="009D24B4"/>
    <w:rsid w:val="009D2D85"/>
    <w:rsid w:val="009D3652"/>
    <w:rsid w:val="009D3DFC"/>
    <w:rsid w:val="009D3FF2"/>
    <w:rsid w:val="009D4A7E"/>
    <w:rsid w:val="009D5322"/>
    <w:rsid w:val="009D658A"/>
    <w:rsid w:val="009D6FA0"/>
    <w:rsid w:val="009D7758"/>
    <w:rsid w:val="009E090A"/>
    <w:rsid w:val="009E2FCC"/>
    <w:rsid w:val="009E3086"/>
    <w:rsid w:val="009E355D"/>
    <w:rsid w:val="009E5647"/>
    <w:rsid w:val="009E7CE7"/>
    <w:rsid w:val="009F07E1"/>
    <w:rsid w:val="009F2F6C"/>
    <w:rsid w:val="009F3425"/>
    <w:rsid w:val="009F5915"/>
    <w:rsid w:val="009F5F02"/>
    <w:rsid w:val="009F678B"/>
    <w:rsid w:val="009F6BC3"/>
    <w:rsid w:val="009F70A1"/>
    <w:rsid w:val="00A0030C"/>
    <w:rsid w:val="00A011BF"/>
    <w:rsid w:val="00A047D3"/>
    <w:rsid w:val="00A05CAF"/>
    <w:rsid w:val="00A05CE4"/>
    <w:rsid w:val="00A065DD"/>
    <w:rsid w:val="00A06D68"/>
    <w:rsid w:val="00A06F1B"/>
    <w:rsid w:val="00A07391"/>
    <w:rsid w:val="00A10204"/>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40080"/>
    <w:rsid w:val="00A44695"/>
    <w:rsid w:val="00A458D2"/>
    <w:rsid w:val="00A47A1C"/>
    <w:rsid w:val="00A5204C"/>
    <w:rsid w:val="00A53832"/>
    <w:rsid w:val="00A557D5"/>
    <w:rsid w:val="00A5739D"/>
    <w:rsid w:val="00A6036D"/>
    <w:rsid w:val="00A617C4"/>
    <w:rsid w:val="00A62F04"/>
    <w:rsid w:val="00A635B2"/>
    <w:rsid w:val="00A63760"/>
    <w:rsid w:val="00A647B6"/>
    <w:rsid w:val="00A64B5A"/>
    <w:rsid w:val="00A64BC1"/>
    <w:rsid w:val="00A65DD2"/>
    <w:rsid w:val="00A7143E"/>
    <w:rsid w:val="00A71F58"/>
    <w:rsid w:val="00A737F8"/>
    <w:rsid w:val="00A73AE4"/>
    <w:rsid w:val="00A74386"/>
    <w:rsid w:val="00A769F0"/>
    <w:rsid w:val="00A77DB4"/>
    <w:rsid w:val="00A77F89"/>
    <w:rsid w:val="00A8041C"/>
    <w:rsid w:val="00A81965"/>
    <w:rsid w:val="00A81AEE"/>
    <w:rsid w:val="00A81F0E"/>
    <w:rsid w:val="00A8334F"/>
    <w:rsid w:val="00A862FE"/>
    <w:rsid w:val="00A86DD7"/>
    <w:rsid w:val="00A86E6E"/>
    <w:rsid w:val="00A87F24"/>
    <w:rsid w:val="00A90786"/>
    <w:rsid w:val="00A91F20"/>
    <w:rsid w:val="00A92604"/>
    <w:rsid w:val="00A94A67"/>
    <w:rsid w:val="00A9642F"/>
    <w:rsid w:val="00A97151"/>
    <w:rsid w:val="00AA0A8A"/>
    <w:rsid w:val="00AA0B23"/>
    <w:rsid w:val="00AA1775"/>
    <w:rsid w:val="00AA2313"/>
    <w:rsid w:val="00AA2A9F"/>
    <w:rsid w:val="00AA3EBD"/>
    <w:rsid w:val="00AA58DB"/>
    <w:rsid w:val="00AA5EAC"/>
    <w:rsid w:val="00AA7CF8"/>
    <w:rsid w:val="00AB02BE"/>
    <w:rsid w:val="00AB0863"/>
    <w:rsid w:val="00AB2DA6"/>
    <w:rsid w:val="00AB3DD9"/>
    <w:rsid w:val="00AC0357"/>
    <w:rsid w:val="00AC106F"/>
    <w:rsid w:val="00AC2397"/>
    <w:rsid w:val="00AC2F63"/>
    <w:rsid w:val="00AC3569"/>
    <w:rsid w:val="00AC4BAE"/>
    <w:rsid w:val="00AC4C54"/>
    <w:rsid w:val="00AC6683"/>
    <w:rsid w:val="00AC6858"/>
    <w:rsid w:val="00AC73E3"/>
    <w:rsid w:val="00AC78C9"/>
    <w:rsid w:val="00AD3942"/>
    <w:rsid w:val="00AD4308"/>
    <w:rsid w:val="00AD5D31"/>
    <w:rsid w:val="00AD6711"/>
    <w:rsid w:val="00AD6A7C"/>
    <w:rsid w:val="00AE0793"/>
    <w:rsid w:val="00AE18EF"/>
    <w:rsid w:val="00AE27F9"/>
    <w:rsid w:val="00AE2FEF"/>
    <w:rsid w:val="00AE4A40"/>
    <w:rsid w:val="00AE5263"/>
    <w:rsid w:val="00AE6BC1"/>
    <w:rsid w:val="00AE6BEF"/>
    <w:rsid w:val="00AE75CE"/>
    <w:rsid w:val="00AF08E4"/>
    <w:rsid w:val="00AF1526"/>
    <w:rsid w:val="00AF2FB3"/>
    <w:rsid w:val="00AF364E"/>
    <w:rsid w:val="00AF3775"/>
    <w:rsid w:val="00AF5300"/>
    <w:rsid w:val="00AF7B6E"/>
    <w:rsid w:val="00AF7B9B"/>
    <w:rsid w:val="00B0127D"/>
    <w:rsid w:val="00B01E60"/>
    <w:rsid w:val="00B0206C"/>
    <w:rsid w:val="00B04F98"/>
    <w:rsid w:val="00B06B50"/>
    <w:rsid w:val="00B07F8D"/>
    <w:rsid w:val="00B1040B"/>
    <w:rsid w:val="00B1165B"/>
    <w:rsid w:val="00B11FDF"/>
    <w:rsid w:val="00B13BEA"/>
    <w:rsid w:val="00B14428"/>
    <w:rsid w:val="00B148C4"/>
    <w:rsid w:val="00B151BE"/>
    <w:rsid w:val="00B15DFD"/>
    <w:rsid w:val="00B1620E"/>
    <w:rsid w:val="00B1677C"/>
    <w:rsid w:val="00B16AF8"/>
    <w:rsid w:val="00B16EAF"/>
    <w:rsid w:val="00B174F5"/>
    <w:rsid w:val="00B206C9"/>
    <w:rsid w:val="00B218FF"/>
    <w:rsid w:val="00B21CA3"/>
    <w:rsid w:val="00B23725"/>
    <w:rsid w:val="00B2500E"/>
    <w:rsid w:val="00B25031"/>
    <w:rsid w:val="00B25C0C"/>
    <w:rsid w:val="00B27682"/>
    <w:rsid w:val="00B279CF"/>
    <w:rsid w:val="00B32B03"/>
    <w:rsid w:val="00B42FB4"/>
    <w:rsid w:val="00B447D3"/>
    <w:rsid w:val="00B45335"/>
    <w:rsid w:val="00B45620"/>
    <w:rsid w:val="00B4569C"/>
    <w:rsid w:val="00B4628C"/>
    <w:rsid w:val="00B463FE"/>
    <w:rsid w:val="00B46F7B"/>
    <w:rsid w:val="00B476A3"/>
    <w:rsid w:val="00B50420"/>
    <w:rsid w:val="00B5066E"/>
    <w:rsid w:val="00B52AB5"/>
    <w:rsid w:val="00B53DC3"/>
    <w:rsid w:val="00B54F6D"/>
    <w:rsid w:val="00B55230"/>
    <w:rsid w:val="00B55F93"/>
    <w:rsid w:val="00B60734"/>
    <w:rsid w:val="00B62C64"/>
    <w:rsid w:val="00B62D3A"/>
    <w:rsid w:val="00B63700"/>
    <w:rsid w:val="00B637B3"/>
    <w:rsid w:val="00B638E2"/>
    <w:rsid w:val="00B64126"/>
    <w:rsid w:val="00B66A50"/>
    <w:rsid w:val="00B66A73"/>
    <w:rsid w:val="00B702BE"/>
    <w:rsid w:val="00B718EB"/>
    <w:rsid w:val="00B736C3"/>
    <w:rsid w:val="00B76770"/>
    <w:rsid w:val="00B7749B"/>
    <w:rsid w:val="00B7769F"/>
    <w:rsid w:val="00B8280E"/>
    <w:rsid w:val="00B82BAF"/>
    <w:rsid w:val="00B847BA"/>
    <w:rsid w:val="00B84D25"/>
    <w:rsid w:val="00B84F93"/>
    <w:rsid w:val="00B8585C"/>
    <w:rsid w:val="00B85A0F"/>
    <w:rsid w:val="00B873EC"/>
    <w:rsid w:val="00B87606"/>
    <w:rsid w:val="00B87EA3"/>
    <w:rsid w:val="00B904DA"/>
    <w:rsid w:val="00B949C5"/>
    <w:rsid w:val="00B958A7"/>
    <w:rsid w:val="00B9625F"/>
    <w:rsid w:val="00B96515"/>
    <w:rsid w:val="00B96FB3"/>
    <w:rsid w:val="00B97377"/>
    <w:rsid w:val="00B973BA"/>
    <w:rsid w:val="00B974A2"/>
    <w:rsid w:val="00BA0077"/>
    <w:rsid w:val="00BA139C"/>
    <w:rsid w:val="00BA24FA"/>
    <w:rsid w:val="00BA350A"/>
    <w:rsid w:val="00BA38AD"/>
    <w:rsid w:val="00BA726E"/>
    <w:rsid w:val="00BA751E"/>
    <w:rsid w:val="00BB031A"/>
    <w:rsid w:val="00BB06AD"/>
    <w:rsid w:val="00BB203A"/>
    <w:rsid w:val="00BB225B"/>
    <w:rsid w:val="00BB229F"/>
    <w:rsid w:val="00BB2CE2"/>
    <w:rsid w:val="00BB66D9"/>
    <w:rsid w:val="00BB6BF1"/>
    <w:rsid w:val="00BC0168"/>
    <w:rsid w:val="00BC563F"/>
    <w:rsid w:val="00BC6674"/>
    <w:rsid w:val="00BC6C2C"/>
    <w:rsid w:val="00BC7096"/>
    <w:rsid w:val="00BC7690"/>
    <w:rsid w:val="00BD04A4"/>
    <w:rsid w:val="00BD263E"/>
    <w:rsid w:val="00BD32EA"/>
    <w:rsid w:val="00BD3708"/>
    <w:rsid w:val="00BD4225"/>
    <w:rsid w:val="00BD4A4F"/>
    <w:rsid w:val="00BD5159"/>
    <w:rsid w:val="00BD5808"/>
    <w:rsid w:val="00BD6253"/>
    <w:rsid w:val="00BD63D6"/>
    <w:rsid w:val="00BD6AFA"/>
    <w:rsid w:val="00BE00B7"/>
    <w:rsid w:val="00BE015A"/>
    <w:rsid w:val="00BE04CC"/>
    <w:rsid w:val="00BE07AC"/>
    <w:rsid w:val="00BE25E7"/>
    <w:rsid w:val="00BE30F3"/>
    <w:rsid w:val="00BE332B"/>
    <w:rsid w:val="00BE52CF"/>
    <w:rsid w:val="00BE621C"/>
    <w:rsid w:val="00BE6977"/>
    <w:rsid w:val="00BE6A8B"/>
    <w:rsid w:val="00BF0FBD"/>
    <w:rsid w:val="00BF557C"/>
    <w:rsid w:val="00BF5B46"/>
    <w:rsid w:val="00BF6061"/>
    <w:rsid w:val="00BF6216"/>
    <w:rsid w:val="00BF65AA"/>
    <w:rsid w:val="00BF6B2B"/>
    <w:rsid w:val="00BF73D1"/>
    <w:rsid w:val="00BF7FFA"/>
    <w:rsid w:val="00C01128"/>
    <w:rsid w:val="00C019EA"/>
    <w:rsid w:val="00C01C9F"/>
    <w:rsid w:val="00C033EA"/>
    <w:rsid w:val="00C03D35"/>
    <w:rsid w:val="00C03FAF"/>
    <w:rsid w:val="00C05131"/>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2755B"/>
    <w:rsid w:val="00C318A7"/>
    <w:rsid w:val="00C32A2B"/>
    <w:rsid w:val="00C3363D"/>
    <w:rsid w:val="00C33F4E"/>
    <w:rsid w:val="00C342E2"/>
    <w:rsid w:val="00C36CD1"/>
    <w:rsid w:val="00C36CFF"/>
    <w:rsid w:val="00C41D4A"/>
    <w:rsid w:val="00C42518"/>
    <w:rsid w:val="00C432E1"/>
    <w:rsid w:val="00C447F0"/>
    <w:rsid w:val="00C4563C"/>
    <w:rsid w:val="00C45BEC"/>
    <w:rsid w:val="00C4747F"/>
    <w:rsid w:val="00C521EC"/>
    <w:rsid w:val="00C53141"/>
    <w:rsid w:val="00C534B4"/>
    <w:rsid w:val="00C57081"/>
    <w:rsid w:val="00C57DAD"/>
    <w:rsid w:val="00C60D40"/>
    <w:rsid w:val="00C61AEC"/>
    <w:rsid w:val="00C63831"/>
    <w:rsid w:val="00C63BE6"/>
    <w:rsid w:val="00C64179"/>
    <w:rsid w:val="00C6470B"/>
    <w:rsid w:val="00C658C2"/>
    <w:rsid w:val="00C6683C"/>
    <w:rsid w:val="00C72918"/>
    <w:rsid w:val="00C72CC6"/>
    <w:rsid w:val="00C72D65"/>
    <w:rsid w:val="00C73DDC"/>
    <w:rsid w:val="00C747DE"/>
    <w:rsid w:val="00C75A48"/>
    <w:rsid w:val="00C76138"/>
    <w:rsid w:val="00C76495"/>
    <w:rsid w:val="00C7696C"/>
    <w:rsid w:val="00C77519"/>
    <w:rsid w:val="00C8011A"/>
    <w:rsid w:val="00C80CC5"/>
    <w:rsid w:val="00C80CE0"/>
    <w:rsid w:val="00C815C1"/>
    <w:rsid w:val="00C82B25"/>
    <w:rsid w:val="00C83972"/>
    <w:rsid w:val="00C84650"/>
    <w:rsid w:val="00C85F9E"/>
    <w:rsid w:val="00C87E90"/>
    <w:rsid w:val="00C90694"/>
    <w:rsid w:val="00C95546"/>
    <w:rsid w:val="00C96019"/>
    <w:rsid w:val="00C965E2"/>
    <w:rsid w:val="00C966A4"/>
    <w:rsid w:val="00C97255"/>
    <w:rsid w:val="00C9739F"/>
    <w:rsid w:val="00C97DE1"/>
    <w:rsid w:val="00CA1075"/>
    <w:rsid w:val="00CA1EEC"/>
    <w:rsid w:val="00CA1FFC"/>
    <w:rsid w:val="00CA33B0"/>
    <w:rsid w:val="00CA49C3"/>
    <w:rsid w:val="00CA4C51"/>
    <w:rsid w:val="00CA550D"/>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450"/>
    <w:rsid w:val="00CB5DBC"/>
    <w:rsid w:val="00CB5F68"/>
    <w:rsid w:val="00CB685E"/>
    <w:rsid w:val="00CC10D9"/>
    <w:rsid w:val="00CC265B"/>
    <w:rsid w:val="00CC2CBD"/>
    <w:rsid w:val="00CC35DB"/>
    <w:rsid w:val="00CC49E6"/>
    <w:rsid w:val="00CC6BBD"/>
    <w:rsid w:val="00CC7299"/>
    <w:rsid w:val="00CC7467"/>
    <w:rsid w:val="00CC7C5E"/>
    <w:rsid w:val="00CD00AA"/>
    <w:rsid w:val="00CD030F"/>
    <w:rsid w:val="00CD34CC"/>
    <w:rsid w:val="00CD4E90"/>
    <w:rsid w:val="00CD4FB9"/>
    <w:rsid w:val="00CD5FC6"/>
    <w:rsid w:val="00CD6394"/>
    <w:rsid w:val="00CD6CD3"/>
    <w:rsid w:val="00CD744F"/>
    <w:rsid w:val="00CE1394"/>
    <w:rsid w:val="00CE150F"/>
    <w:rsid w:val="00CE1BCC"/>
    <w:rsid w:val="00CE22E0"/>
    <w:rsid w:val="00CE23CA"/>
    <w:rsid w:val="00CE2D25"/>
    <w:rsid w:val="00CE4D5C"/>
    <w:rsid w:val="00CE58EE"/>
    <w:rsid w:val="00CE5E06"/>
    <w:rsid w:val="00CE61B8"/>
    <w:rsid w:val="00CE7790"/>
    <w:rsid w:val="00CE7B88"/>
    <w:rsid w:val="00CF02C6"/>
    <w:rsid w:val="00CF0959"/>
    <w:rsid w:val="00CF0D18"/>
    <w:rsid w:val="00CF0DA0"/>
    <w:rsid w:val="00CF0EAC"/>
    <w:rsid w:val="00CF3568"/>
    <w:rsid w:val="00CF6820"/>
    <w:rsid w:val="00CF755D"/>
    <w:rsid w:val="00D00836"/>
    <w:rsid w:val="00D0223B"/>
    <w:rsid w:val="00D0258F"/>
    <w:rsid w:val="00D02787"/>
    <w:rsid w:val="00D03505"/>
    <w:rsid w:val="00D03509"/>
    <w:rsid w:val="00D05197"/>
    <w:rsid w:val="00D10C70"/>
    <w:rsid w:val="00D1112D"/>
    <w:rsid w:val="00D11DB2"/>
    <w:rsid w:val="00D121DE"/>
    <w:rsid w:val="00D12553"/>
    <w:rsid w:val="00D14FF4"/>
    <w:rsid w:val="00D150E2"/>
    <w:rsid w:val="00D15348"/>
    <w:rsid w:val="00D15E2E"/>
    <w:rsid w:val="00D17B74"/>
    <w:rsid w:val="00D200C6"/>
    <w:rsid w:val="00D20E9A"/>
    <w:rsid w:val="00D21D5A"/>
    <w:rsid w:val="00D23547"/>
    <w:rsid w:val="00D23D9D"/>
    <w:rsid w:val="00D24AD1"/>
    <w:rsid w:val="00D25949"/>
    <w:rsid w:val="00D25DC9"/>
    <w:rsid w:val="00D2627C"/>
    <w:rsid w:val="00D26EA3"/>
    <w:rsid w:val="00D27F55"/>
    <w:rsid w:val="00D33416"/>
    <w:rsid w:val="00D3344A"/>
    <w:rsid w:val="00D33D85"/>
    <w:rsid w:val="00D35285"/>
    <w:rsid w:val="00D3760F"/>
    <w:rsid w:val="00D378B3"/>
    <w:rsid w:val="00D42C38"/>
    <w:rsid w:val="00D4377B"/>
    <w:rsid w:val="00D445A8"/>
    <w:rsid w:val="00D46233"/>
    <w:rsid w:val="00D53F7B"/>
    <w:rsid w:val="00D54474"/>
    <w:rsid w:val="00D5687D"/>
    <w:rsid w:val="00D578E7"/>
    <w:rsid w:val="00D606F2"/>
    <w:rsid w:val="00D61E11"/>
    <w:rsid w:val="00D61F95"/>
    <w:rsid w:val="00D63F52"/>
    <w:rsid w:val="00D651C4"/>
    <w:rsid w:val="00D67A95"/>
    <w:rsid w:val="00D705D8"/>
    <w:rsid w:val="00D72FE3"/>
    <w:rsid w:val="00D739AD"/>
    <w:rsid w:val="00D73E66"/>
    <w:rsid w:val="00D75365"/>
    <w:rsid w:val="00D764A7"/>
    <w:rsid w:val="00D76886"/>
    <w:rsid w:val="00D7776D"/>
    <w:rsid w:val="00D80970"/>
    <w:rsid w:val="00D811B5"/>
    <w:rsid w:val="00D81407"/>
    <w:rsid w:val="00D816DF"/>
    <w:rsid w:val="00D81B68"/>
    <w:rsid w:val="00D8267C"/>
    <w:rsid w:val="00D82F13"/>
    <w:rsid w:val="00D83CA6"/>
    <w:rsid w:val="00D844F5"/>
    <w:rsid w:val="00D8585F"/>
    <w:rsid w:val="00D86C56"/>
    <w:rsid w:val="00D870C8"/>
    <w:rsid w:val="00D87B3F"/>
    <w:rsid w:val="00D90536"/>
    <w:rsid w:val="00D926DB"/>
    <w:rsid w:val="00D949C3"/>
    <w:rsid w:val="00D962F9"/>
    <w:rsid w:val="00D9647E"/>
    <w:rsid w:val="00D974E8"/>
    <w:rsid w:val="00DA047D"/>
    <w:rsid w:val="00DA1C85"/>
    <w:rsid w:val="00DA259D"/>
    <w:rsid w:val="00DA3383"/>
    <w:rsid w:val="00DA3A12"/>
    <w:rsid w:val="00DA403E"/>
    <w:rsid w:val="00DA4FDD"/>
    <w:rsid w:val="00DA5B81"/>
    <w:rsid w:val="00DA629B"/>
    <w:rsid w:val="00DA681A"/>
    <w:rsid w:val="00DB0853"/>
    <w:rsid w:val="00DB1F6D"/>
    <w:rsid w:val="00DB266C"/>
    <w:rsid w:val="00DB3722"/>
    <w:rsid w:val="00DB3DCB"/>
    <w:rsid w:val="00DB3EB0"/>
    <w:rsid w:val="00DB447A"/>
    <w:rsid w:val="00DB47C8"/>
    <w:rsid w:val="00DC0A25"/>
    <w:rsid w:val="00DC1218"/>
    <w:rsid w:val="00DC1A71"/>
    <w:rsid w:val="00DC26B7"/>
    <w:rsid w:val="00DC39B8"/>
    <w:rsid w:val="00DC3E16"/>
    <w:rsid w:val="00DC497C"/>
    <w:rsid w:val="00DC56AC"/>
    <w:rsid w:val="00DC5F75"/>
    <w:rsid w:val="00DC72BB"/>
    <w:rsid w:val="00DC7382"/>
    <w:rsid w:val="00DC7A03"/>
    <w:rsid w:val="00DD37DF"/>
    <w:rsid w:val="00DD37E8"/>
    <w:rsid w:val="00DD410B"/>
    <w:rsid w:val="00DD52FA"/>
    <w:rsid w:val="00DD72D1"/>
    <w:rsid w:val="00DE00A2"/>
    <w:rsid w:val="00DE026D"/>
    <w:rsid w:val="00DE0331"/>
    <w:rsid w:val="00DE0704"/>
    <w:rsid w:val="00DE28FA"/>
    <w:rsid w:val="00DE4521"/>
    <w:rsid w:val="00DE49CB"/>
    <w:rsid w:val="00DE4AD2"/>
    <w:rsid w:val="00DE69EC"/>
    <w:rsid w:val="00DE7B0F"/>
    <w:rsid w:val="00DF089C"/>
    <w:rsid w:val="00DF09ED"/>
    <w:rsid w:val="00DF26A7"/>
    <w:rsid w:val="00DF308D"/>
    <w:rsid w:val="00DF3B98"/>
    <w:rsid w:val="00DF6932"/>
    <w:rsid w:val="00DF75B8"/>
    <w:rsid w:val="00E01CA9"/>
    <w:rsid w:val="00E050EA"/>
    <w:rsid w:val="00E054C3"/>
    <w:rsid w:val="00E07AF5"/>
    <w:rsid w:val="00E1009D"/>
    <w:rsid w:val="00E11485"/>
    <w:rsid w:val="00E125F3"/>
    <w:rsid w:val="00E1265A"/>
    <w:rsid w:val="00E12B47"/>
    <w:rsid w:val="00E13AF8"/>
    <w:rsid w:val="00E15E03"/>
    <w:rsid w:val="00E1604A"/>
    <w:rsid w:val="00E17C8E"/>
    <w:rsid w:val="00E20210"/>
    <w:rsid w:val="00E20AC2"/>
    <w:rsid w:val="00E212B8"/>
    <w:rsid w:val="00E246E7"/>
    <w:rsid w:val="00E2539D"/>
    <w:rsid w:val="00E25E06"/>
    <w:rsid w:val="00E26528"/>
    <w:rsid w:val="00E27775"/>
    <w:rsid w:val="00E27F9E"/>
    <w:rsid w:val="00E32857"/>
    <w:rsid w:val="00E3351E"/>
    <w:rsid w:val="00E33928"/>
    <w:rsid w:val="00E35FDA"/>
    <w:rsid w:val="00E36435"/>
    <w:rsid w:val="00E374F7"/>
    <w:rsid w:val="00E41741"/>
    <w:rsid w:val="00E41973"/>
    <w:rsid w:val="00E4217E"/>
    <w:rsid w:val="00E4524B"/>
    <w:rsid w:val="00E454CC"/>
    <w:rsid w:val="00E46BED"/>
    <w:rsid w:val="00E46F23"/>
    <w:rsid w:val="00E47334"/>
    <w:rsid w:val="00E47A83"/>
    <w:rsid w:val="00E519A3"/>
    <w:rsid w:val="00E52568"/>
    <w:rsid w:val="00E54F02"/>
    <w:rsid w:val="00E55672"/>
    <w:rsid w:val="00E55901"/>
    <w:rsid w:val="00E57919"/>
    <w:rsid w:val="00E57A5F"/>
    <w:rsid w:val="00E57C44"/>
    <w:rsid w:val="00E612F9"/>
    <w:rsid w:val="00E63848"/>
    <w:rsid w:val="00E6480E"/>
    <w:rsid w:val="00E64BE8"/>
    <w:rsid w:val="00E6581D"/>
    <w:rsid w:val="00E66E86"/>
    <w:rsid w:val="00E67431"/>
    <w:rsid w:val="00E71F10"/>
    <w:rsid w:val="00E7302A"/>
    <w:rsid w:val="00E73E57"/>
    <w:rsid w:val="00E74B61"/>
    <w:rsid w:val="00E756B0"/>
    <w:rsid w:val="00E75837"/>
    <w:rsid w:val="00E80692"/>
    <w:rsid w:val="00E81A92"/>
    <w:rsid w:val="00E81AC8"/>
    <w:rsid w:val="00E81FF2"/>
    <w:rsid w:val="00E8324B"/>
    <w:rsid w:val="00E84A2B"/>
    <w:rsid w:val="00E86360"/>
    <w:rsid w:val="00E91214"/>
    <w:rsid w:val="00E91A1F"/>
    <w:rsid w:val="00E9356A"/>
    <w:rsid w:val="00E94BB4"/>
    <w:rsid w:val="00E97183"/>
    <w:rsid w:val="00EA471F"/>
    <w:rsid w:val="00EA49AE"/>
    <w:rsid w:val="00EA6F7B"/>
    <w:rsid w:val="00EB2C30"/>
    <w:rsid w:val="00EB324A"/>
    <w:rsid w:val="00EB40BF"/>
    <w:rsid w:val="00EB509A"/>
    <w:rsid w:val="00EB56CD"/>
    <w:rsid w:val="00EC006F"/>
    <w:rsid w:val="00EC178D"/>
    <w:rsid w:val="00EC1BD5"/>
    <w:rsid w:val="00EC41B7"/>
    <w:rsid w:val="00EC436B"/>
    <w:rsid w:val="00EC4A67"/>
    <w:rsid w:val="00EC5942"/>
    <w:rsid w:val="00EC7846"/>
    <w:rsid w:val="00EC79FB"/>
    <w:rsid w:val="00EC7CE0"/>
    <w:rsid w:val="00ED00F4"/>
    <w:rsid w:val="00ED0CB0"/>
    <w:rsid w:val="00ED1FBB"/>
    <w:rsid w:val="00ED37A1"/>
    <w:rsid w:val="00ED4666"/>
    <w:rsid w:val="00ED4B01"/>
    <w:rsid w:val="00ED4C70"/>
    <w:rsid w:val="00ED6966"/>
    <w:rsid w:val="00EE40ED"/>
    <w:rsid w:val="00EE6641"/>
    <w:rsid w:val="00EF2255"/>
    <w:rsid w:val="00EF3D69"/>
    <w:rsid w:val="00EF525C"/>
    <w:rsid w:val="00EF5982"/>
    <w:rsid w:val="00EF5C98"/>
    <w:rsid w:val="00EF6256"/>
    <w:rsid w:val="00EF6E4C"/>
    <w:rsid w:val="00EF70C9"/>
    <w:rsid w:val="00EF735E"/>
    <w:rsid w:val="00EF7922"/>
    <w:rsid w:val="00F0312A"/>
    <w:rsid w:val="00F03397"/>
    <w:rsid w:val="00F03B3D"/>
    <w:rsid w:val="00F03B41"/>
    <w:rsid w:val="00F042F8"/>
    <w:rsid w:val="00F04332"/>
    <w:rsid w:val="00F05686"/>
    <w:rsid w:val="00F05DBD"/>
    <w:rsid w:val="00F05E57"/>
    <w:rsid w:val="00F11635"/>
    <w:rsid w:val="00F12A86"/>
    <w:rsid w:val="00F12FA6"/>
    <w:rsid w:val="00F130CC"/>
    <w:rsid w:val="00F13514"/>
    <w:rsid w:val="00F138AD"/>
    <w:rsid w:val="00F13CB3"/>
    <w:rsid w:val="00F15BF7"/>
    <w:rsid w:val="00F169F4"/>
    <w:rsid w:val="00F20957"/>
    <w:rsid w:val="00F2129D"/>
    <w:rsid w:val="00F21BB8"/>
    <w:rsid w:val="00F23238"/>
    <w:rsid w:val="00F2511C"/>
    <w:rsid w:val="00F256AB"/>
    <w:rsid w:val="00F2786B"/>
    <w:rsid w:val="00F30AD5"/>
    <w:rsid w:val="00F3346F"/>
    <w:rsid w:val="00F34181"/>
    <w:rsid w:val="00F36141"/>
    <w:rsid w:val="00F37378"/>
    <w:rsid w:val="00F3769B"/>
    <w:rsid w:val="00F37F5C"/>
    <w:rsid w:val="00F40532"/>
    <w:rsid w:val="00F41743"/>
    <w:rsid w:val="00F43AC0"/>
    <w:rsid w:val="00F4464F"/>
    <w:rsid w:val="00F45F31"/>
    <w:rsid w:val="00F47101"/>
    <w:rsid w:val="00F4752A"/>
    <w:rsid w:val="00F52258"/>
    <w:rsid w:val="00F567D1"/>
    <w:rsid w:val="00F56993"/>
    <w:rsid w:val="00F56F3A"/>
    <w:rsid w:val="00F5728D"/>
    <w:rsid w:val="00F606E1"/>
    <w:rsid w:val="00F62DAC"/>
    <w:rsid w:val="00F63988"/>
    <w:rsid w:val="00F6750F"/>
    <w:rsid w:val="00F6764D"/>
    <w:rsid w:val="00F7102A"/>
    <w:rsid w:val="00F712F0"/>
    <w:rsid w:val="00F73E93"/>
    <w:rsid w:val="00F74194"/>
    <w:rsid w:val="00F742D3"/>
    <w:rsid w:val="00F762EA"/>
    <w:rsid w:val="00F76961"/>
    <w:rsid w:val="00F76CDC"/>
    <w:rsid w:val="00F80020"/>
    <w:rsid w:val="00F803AD"/>
    <w:rsid w:val="00F803FC"/>
    <w:rsid w:val="00F805EE"/>
    <w:rsid w:val="00F80FF3"/>
    <w:rsid w:val="00F81244"/>
    <w:rsid w:val="00F81CD2"/>
    <w:rsid w:val="00F82D45"/>
    <w:rsid w:val="00F83326"/>
    <w:rsid w:val="00F83642"/>
    <w:rsid w:val="00F86636"/>
    <w:rsid w:val="00F86C33"/>
    <w:rsid w:val="00F901E4"/>
    <w:rsid w:val="00F91C99"/>
    <w:rsid w:val="00F91F6F"/>
    <w:rsid w:val="00F921DF"/>
    <w:rsid w:val="00F924AA"/>
    <w:rsid w:val="00F94105"/>
    <w:rsid w:val="00F94867"/>
    <w:rsid w:val="00FA06F5"/>
    <w:rsid w:val="00FA2F3A"/>
    <w:rsid w:val="00FA2F8C"/>
    <w:rsid w:val="00FA3C85"/>
    <w:rsid w:val="00FA40F2"/>
    <w:rsid w:val="00FA4706"/>
    <w:rsid w:val="00FA480C"/>
    <w:rsid w:val="00FA5147"/>
    <w:rsid w:val="00FA55FC"/>
    <w:rsid w:val="00FA6540"/>
    <w:rsid w:val="00FA70B0"/>
    <w:rsid w:val="00FA73A4"/>
    <w:rsid w:val="00FA74CC"/>
    <w:rsid w:val="00FA78A7"/>
    <w:rsid w:val="00FB099C"/>
    <w:rsid w:val="00FB108F"/>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E081A"/>
    <w:rsid w:val="00FE1DC9"/>
    <w:rsid w:val="00FE3E22"/>
    <w:rsid w:val="00FE50B0"/>
    <w:rsid w:val="00FE7663"/>
    <w:rsid w:val="00FF0BC9"/>
    <w:rsid w:val="00FF2E96"/>
    <w:rsid w:val="00FF323F"/>
    <w:rsid w:val="00FF5426"/>
    <w:rsid w:val="00FF580C"/>
    <w:rsid w:val="00FF5D2B"/>
    <w:rsid w:val="00FF654D"/>
    <w:rsid w:val="00FF71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15"/>
    <w:pPr>
      <w:widowControl w:val="0"/>
    </w:pPr>
    <w:rPr>
      <w:snapToGrid w:val="0"/>
      <w:kern w:val="28"/>
      <w:szCs w:val="20"/>
    </w:rPr>
  </w:style>
  <w:style w:type="paragraph" w:styleId="Heading1">
    <w:name w:val="heading 1"/>
    <w:basedOn w:val="Normal"/>
    <w:next w:val="ParaNum"/>
    <w:link w:val="Heading1Char"/>
    <w:qFormat/>
    <w:rsid w:val="00B9651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96515"/>
    <w:pPr>
      <w:keepNext/>
      <w:numPr>
        <w:ilvl w:val="1"/>
        <w:numId w:val="2"/>
      </w:numPr>
      <w:spacing w:after="120"/>
      <w:outlineLvl w:val="1"/>
    </w:pPr>
    <w:rPr>
      <w:b/>
    </w:rPr>
  </w:style>
  <w:style w:type="paragraph" w:styleId="Heading3">
    <w:name w:val="heading 3"/>
    <w:basedOn w:val="Normal"/>
    <w:next w:val="ParaNum"/>
    <w:link w:val="Heading3Char"/>
    <w:qFormat/>
    <w:rsid w:val="00B9651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9651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9651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9651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9651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9651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9651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B96515"/>
    <w:pPr>
      <w:numPr>
        <w:numId w:val="1"/>
      </w:numPr>
      <w:tabs>
        <w:tab w:val="clear" w:pos="1080"/>
        <w:tab w:val="num" w:pos="1440"/>
      </w:tabs>
      <w:spacing w:after="120"/>
    </w:pPr>
  </w:style>
  <w:style w:type="paragraph" w:styleId="EndnoteText">
    <w:name w:val="endnote text"/>
    <w:basedOn w:val="Normal"/>
    <w:link w:val="EndnoteTextChar"/>
    <w:semiHidden/>
    <w:rsid w:val="00B96515"/>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B96515"/>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B96515"/>
    <w:pPr>
      <w:spacing w:after="120"/>
    </w:pPr>
    <w:rPr>
      <w:sz w:val="20"/>
      <w:szCs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locked/>
    <w:rsid w:val="009D2D85"/>
    <w:rPr>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B96515"/>
    <w:rPr>
      <w:rFonts w:ascii="Times New Roman" w:hAnsi="Times New Roman"/>
      <w:dstrike w:val="0"/>
      <w:color w:val="auto"/>
      <w:sz w:val="20"/>
      <w:vertAlign w:val="superscript"/>
    </w:rPr>
  </w:style>
  <w:style w:type="paragraph" w:styleId="TOC1">
    <w:name w:val="toc 1"/>
    <w:basedOn w:val="Normal"/>
    <w:next w:val="Normal"/>
    <w:semiHidden/>
    <w:rsid w:val="00B9651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96515"/>
    <w:pPr>
      <w:tabs>
        <w:tab w:val="left" w:pos="720"/>
        <w:tab w:val="right" w:leader="dot" w:pos="9360"/>
      </w:tabs>
      <w:suppressAutoHyphens/>
      <w:ind w:left="720" w:right="720" w:hanging="360"/>
    </w:pPr>
    <w:rPr>
      <w:noProof/>
    </w:rPr>
  </w:style>
  <w:style w:type="paragraph" w:styleId="TOC3">
    <w:name w:val="toc 3"/>
    <w:basedOn w:val="Normal"/>
    <w:next w:val="Normal"/>
    <w:semiHidden/>
    <w:rsid w:val="00B9651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651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651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651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651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651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651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96515"/>
    <w:pPr>
      <w:tabs>
        <w:tab w:val="right" w:pos="9360"/>
      </w:tabs>
      <w:suppressAutoHyphens/>
    </w:pPr>
  </w:style>
  <w:style w:type="character" w:customStyle="1" w:styleId="EquationCaption">
    <w:name w:val="_Equation Caption"/>
    <w:rsid w:val="00B96515"/>
  </w:style>
  <w:style w:type="paragraph" w:styleId="Header">
    <w:name w:val="header"/>
    <w:basedOn w:val="Normal"/>
    <w:link w:val="HeaderChar"/>
    <w:autoRedefine/>
    <w:rsid w:val="00B96515"/>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rsid w:val="00B96515"/>
    <w:pPr>
      <w:tabs>
        <w:tab w:val="center" w:pos="4320"/>
        <w:tab w:val="right" w:pos="8640"/>
      </w:tabs>
    </w:pPr>
  </w:style>
  <w:style w:type="character" w:customStyle="1" w:styleId="FooterChar">
    <w:name w:val="Footer Char"/>
    <w:basedOn w:val="DefaultParagraphFont"/>
    <w:link w:val="Footer"/>
    <w:locked/>
    <w:rsid w:val="00907E6B"/>
    <w:rPr>
      <w:snapToGrid w:val="0"/>
      <w:kern w:val="28"/>
      <w:szCs w:val="20"/>
    </w:rPr>
  </w:style>
  <w:style w:type="character" w:styleId="PageNumber">
    <w:name w:val="page number"/>
    <w:basedOn w:val="DefaultParagraphFont"/>
    <w:rsid w:val="00B96515"/>
  </w:style>
  <w:style w:type="paragraph" w:styleId="BlockText">
    <w:name w:val="Block Text"/>
    <w:basedOn w:val="Normal"/>
    <w:rsid w:val="00B96515"/>
    <w:pPr>
      <w:spacing w:after="240"/>
      <w:ind w:left="1440" w:right="1440"/>
    </w:pPr>
  </w:style>
  <w:style w:type="paragraph" w:customStyle="1" w:styleId="Paratitle">
    <w:name w:val="Para title"/>
    <w:basedOn w:val="Normal"/>
    <w:rsid w:val="00B96515"/>
    <w:pPr>
      <w:tabs>
        <w:tab w:val="center" w:pos="9270"/>
      </w:tabs>
      <w:spacing w:after="240"/>
    </w:pPr>
    <w:rPr>
      <w:spacing w:val="-2"/>
    </w:rPr>
  </w:style>
  <w:style w:type="paragraph" w:customStyle="1" w:styleId="Bullet">
    <w:name w:val="Bullet"/>
    <w:basedOn w:val="Normal"/>
    <w:rsid w:val="00B96515"/>
    <w:pPr>
      <w:tabs>
        <w:tab w:val="left" w:pos="2160"/>
      </w:tabs>
      <w:spacing w:after="220"/>
      <w:ind w:left="2160" w:hanging="720"/>
    </w:pPr>
  </w:style>
  <w:style w:type="paragraph" w:customStyle="1" w:styleId="TableFormat">
    <w:name w:val="TableFormat"/>
    <w:basedOn w:val="Bullet"/>
    <w:rsid w:val="00B96515"/>
    <w:pPr>
      <w:tabs>
        <w:tab w:val="clear" w:pos="2160"/>
        <w:tab w:val="left" w:pos="5040"/>
      </w:tabs>
      <w:ind w:left="5040" w:hanging="3600"/>
    </w:pPr>
  </w:style>
  <w:style w:type="paragraph" w:customStyle="1" w:styleId="TOCTitle">
    <w:name w:val="TOC Title"/>
    <w:basedOn w:val="Normal"/>
    <w:rsid w:val="00B9651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6515"/>
    <w:pPr>
      <w:jc w:val="center"/>
    </w:pPr>
    <w:rPr>
      <w:rFonts w:ascii="Times New Roman Bold" w:hAnsi="Times New Roman Bold"/>
      <w:b/>
      <w:bCs/>
      <w:caps/>
      <w:szCs w:val="22"/>
    </w:rPr>
  </w:style>
  <w:style w:type="character" w:styleId="Hyperlink">
    <w:name w:val="Hyperlink"/>
    <w:rsid w:val="00B96515"/>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
      </w:numPr>
    </w:pPr>
    <w:rPr>
      <w:sz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 w:type="character" w:customStyle="1" w:styleId="apple-converted-space">
    <w:name w:val="apple-converted-space"/>
    <w:basedOn w:val="DefaultParagraphFont"/>
    <w:rsid w:val="002409CE"/>
  </w:style>
  <w:style w:type="character" w:customStyle="1" w:styleId="cosearchterm">
    <w:name w:val="co_searchterm"/>
    <w:basedOn w:val="DefaultParagraphFont"/>
    <w:rsid w:val="002409CE"/>
  </w:style>
  <w:style w:type="character" w:customStyle="1" w:styleId="contents">
    <w:name w:val="contents"/>
    <w:basedOn w:val="DefaultParagraphFont"/>
    <w:rsid w:val="004246C8"/>
  </w:style>
  <w:style w:type="character" w:customStyle="1" w:styleId="sectno">
    <w:name w:val="sectno"/>
    <w:basedOn w:val="DefaultParagraphFont"/>
    <w:rsid w:val="004246C8"/>
  </w:style>
  <w:style w:type="character" w:customStyle="1" w:styleId="subject">
    <w:name w:val="subject"/>
    <w:basedOn w:val="DefaultParagraphFont"/>
    <w:rsid w:val="004246C8"/>
  </w:style>
  <w:style w:type="character" w:styleId="FollowedHyperlink">
    <w:name w:val="FollowedHyperlink"/>
    <w:basedOn w:val="DefaultParagraphFont"/>
    <w:uiPriority w:val="99"/>
    <w:semiHidden/>
    <w:unhideWhenUsed/>
    <w:locked/>
    <w:rsid w:val="00E74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165C-55A7-40B9-9DC3-A03FB3FD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2017-12-18T20:23:28Z</dcterms:created>
  <dcterms:modified xsi:type="dcterms:W3CDTF">2017-12-18T20:23:28Z</dcterms:modified>
</cp:coreProperties>
</file>