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E72D3" w:rsidP="00DE72D3">
      <w:pPr>
        <w:jc w:val="center"/>
        <w:rPr>
          <w:b/>
        </w:rPr>
      </w:pPr>
      <w:r w:rsidRPr="00057CE7">
        <w:rPr>
          <w:b/>
        </w:rPr>
        <w:t>CHAIRMAN AJIT PAI</w:t>
      </w:r>
    </w:p>
    <w:p w:rsidR="00457F42" w:rsidRPr="005577AD" w:rsidP="00DE72D3">
      <w:pPr>
        <w:jc w:val="center"/>
        <w:rPr>
          <w:b/>
          <w:bCs/>
          <w:caps/>
          <w:szCs w:val="22"/>
        </w:rPr>
      </w:pPr>
    </w:p>
    <w:p w:rsidR="0026798E" w:rsidRPr="00E70E3F" w:rsidP="0026798E">
      <w:pPr>
        <w:rPr>
          <w:i/>
          <w:szCs w:val="22"/>
        </w:rPr>
      </w:pPr>
      <w:r w:rsidRPr="00457F42">
        <w:rPr>
          <w:rFonts w:eastAsia="Calibri"/>
          <w:snapToGrid/>
          <w:kern w:val="0"/>
          <w:szCs w:val="22"/>
        </w:rPr>
        <w:t>Re:</w:t>
      </w:r>
      <w:r w:rsidRPr="00457F42">
        <w:rPr>
          <w:rFonts w:eastAsia="Calibri"/>
          <w:snapToGrid/>
          <w:kern w:val="0"/>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26798E" w:rsidP="0026798E">
      <w:pPr>
        <w:ind w:firstLine="720"/>
        <w:rPr>
          <w:szCs w:val="22"/>
        </w:rPr>
      </w:pPr>
      <w:r w:rsidRPr="00E70E3F">
        <w:rPr>
          <w:i/>
          <w:szCs w:val="22"/>
        </w:rPr>
        <w:t>of Media Regulation Initiative</w:t>
      </w:r>
      <w:r w:rsidRPr="00E70E3F">
        <w:rPr>
          <w:szCs w:val="22"/>
        </w:rPr>
        <w:t>, MB Docket No. 17-105</w:t>
      </w:r>
    </w:p>
    <w:p w:rsidR="0026798E" w:rsidP="0026798E">
      <w:pPr>
        <w:ind w:firstLine="720"/>
        <w:rPr>
          <w:szCs w:val="22"/>
        </w:rPr>
      </w:pPr>
    </w:p>
    <w:p w:rsidR="00457F42" w:rsidRPr="0026798E" w:rsidP="0026798E">
      <w:pPr>
        <w:ind w:firstLine="720"/>
        <w:rPr>
          <w:szCs w:val="22"/>
        </w:rPr>
      </w:pPr>
      <w:r w:rsidRPr="00457F42">
        <w:rPr>
          <w:rFonts w:eastAsia="Calibri"/>
          <w:snapToGrid/>
          <w:kern w:val="0"/>
          <w:szCs w:val="22"/>
        </w:rPr>
        <w:t xml:space="preserve">Even in the digital age, many of us remain all too familiar with paper.  One example is “bill inserts”—the extra sheets of paper that are stuck in the envelope along with your bill for a particular service.  Other than those who struggle to decipher them, most consumers simply ignore them.  And these days, we tend to prefer electronic communications over pulp. </w:t>
      </w:r>
    </w:p>
    <w:p w:rsidR="00457F42" w:rsidRPr="00457F42" w:rsidP="00457F42">
      <w:pPr>
        <w:widowControl/>
        <w:spacing w:after="120"/>
        <w:ind w:firstLine="720"/>
        <w:rPr>
          <w:rFonts w:eastAsia="Calibri"/>
          <w:snapToGrid/>
          <w:kern w:val="0"/>
          <w:szCs w:val="22"/>
        </w:rPr>
      </w:pPr>
      <w:r w:rsidRPr="00457F42">
        <w:rPr>
          <w:rFonts w:eastAsia="Calibri"/>
          <w:snapToGrid/>
          <w:kern w:val="0"/>
          <w:szCs w:val="22"/>
        </w:rPr>
        <w:t xml:space="preserve">The FCC too shares that preference.  We’re working to reduce our use of paper.  And we’re also aiming to modernize rules that unnecessarily require the private sector to stuff paper into your mailbox.  This </w:t>
      </w:r>
      <w:r w:rsidRPr="00457F42">
        <w:rPr>
          <w:rFonts w:eastAsia="Calibri"/>
          <w:i/>
          <w:snapToGrid/>
          <w:kern w:val="0"/>
          <w:szCs w:val="22"/>
        </w:rPr>
        <w:t>Notice</w:t>
      </w:r>
      <w:r w:rsidRPr="00457F42">
        <w:rPr>
          <w:rFonts w:eastAsia="Calibri"/>
          <w:snapToGrid/>
          <w:kern w:val="0"/>
          <w:szCs w:val="22"/>
        </w:rPr>
        <w:t xml:space="preserve"> is another step down that path.  We propose to take the consumer-friendly step of allowing video companies—multichannel video programming distributors (MVPDs), as they’re called around here—to send certain notices to subscribers electronically.  </w:t>
      </w:r>
    </w:p>
    <w:p w:rsidR="00457F42" w:rsidRPr="00457F42" w:rsidP="00457F42">
      <w:pPr>
        <w:widowControl/>
        <w:tabs>
          <w:tab w:val="num" w:pos="1440"/>
        </w:tabs>
        <w:spacing w:after="120"/>
        <w:ind w:firstLine="720"/>
        <w:rPr>
          <w:rFonts w:eastAsia="Calibri"/>
          <w:snapToGrid/>
          <w:kern w:val="0"/>
          <w:szCs w:val="22"/>
        </w:rPr>
      </w:pPr>
      <w:r w:rsidRPr="00457F42">
        <w:rPr>
          <w:rFonts w:eastAsia="Calibri"/>
          <w:snapToGrid/>
          <w:kern w:val="0"/>
          <w:szCs w:val="22"/>
        </w:rPr>
        <w:t xml:space="preserve">If it’s finalized, this proposal could allow consumers to more readily access information about their service in the form they find most convenient.  And it would get rid of a lot of environmental waste and reduce unnecessary regulatory costs, too.  </w:t>
      </w:r>
    </w:p>
    <w:p w:rsidR="00457F42" w:rsidRPr="00457F42" w:rsidP="00457F42">
      <w:pPr>
        <w:widowControl/>
        <w:spacing w:after="120"/>
        <w:ind w:firstLine="720"/>
        <w:rPr>
          <w:rFonts w:eastAsia="Calibri"/>
          <w:snapToGrid/>
          <w:kern w:val="0"/>
          <w:szCs w:val="22"/>
        </w:rPr>
      </w:pPr>
      <w:r w:rsidRPr="00457F42">
        <w:rPr>
          <w:rFonts w:eastAsia="Calibri"/>
          <w:snapToGrid/>
          <w:kern w:val="0"/>
          <w:szCs w:val="22"/>
        </w:rPr>
        <w:t xml:space="preserve">There’s a similar issue lurking about in one of our rules, and we seek public input in this </w:t>
      </w:r>
      <w:r w:rsidRPr="00457F42">
        <w:rPr>
          <w:rFonts w:eastAsia="Calibri"/>
          <w:i/>
          <w:snapToGrid/>
          <w:kern w:val="0"/>
          <w:szCs w:val="22"/>
        </w:rPr>
        <w:t xml:space="preserve">Notice </w:t>
      </w:r>
      <w:r w:rsidRPr="00457F42">
        <w:rPr>
          <w:rFonts w:eastAsia="Calibri"/>
          <w:snapToGrid/>
          <w:kern w:val="0"/>
          <w:szCs w:val="22"/>
        </w:rPr>
        <w:t xml:space="preserve">on it too.  Today, broadcast television stations have to send MVPDs a notice telling them whether they’re opting for must-carry of their content or retransmission consent.  They have to send a separate election notice to each cable system or satellite carrier individually, by certified mail.  This doesn’t seem to be necessary or efficient, so we’re looking into how to streamline this notice requirement while still ensuring that MVPDs get the information they need.  </w:t>
      </w:r>
    </w:p>
    <w:p w:rsidR="00457F42" w:rsidRPr="00457F42" w:rsidP="00457F42">
      <w:pPr>
        <w:widowControl/>
        <w:spacing w:after="120"/>
        <w:ind w:firstLine="720"/>
        <w:rPr>
          <w:rFonts w:eastAsia="Calibri"/>
          <w:snapToGrid/>
          <w:kern w:val="0"/>
          <w:szCs w:val="22"/>
        </w:rPr>
      </w:pPr>
      <w:r w:rsidRPr="00457F42">
        <w:rPr>
          <w:rFonts w:eastAsia="Calibri"/>
          <w:snapToGrid/>
          <w:kern w:val="0"/>
          <w:szCs w:val="22"/>
        </w:rPr>
        <w:t xml:space="preserve">I’d like to thank Steve Broeckaert, Michelle Carey, Katie Costello, Martha Heller, Maria Mullarkey, and Mary Beth Murphy of the Media Bureau, and Susan Aaron and Dave Konczal from the Office of General Counsel, for your efforts on this </w:t>
      </w:r>
      <w:r w:rsidRPr="00457F42">
        <w:rPr>
          <w:rFonts w:eastAsia="Calibri"/>
          <w:i/>
          <w:snapToGrid/>
          <w:kern w:val="0"/>
          <w:szCs w:val="22"/>
        </w:rPr>
        <w:t>Notice</w:t>
      </w:r>
      <w:r w:rsidRPr="00457F42">
        <w:rPr>
          <w:rFonts w:eastAsia="Calibri"/>
          <w:snapToGrid/>
          <w:kern w:val="0"/>
          <w:szCs w:val="22"/>
        </w:rPr>
        <w:t xml:space="preserve">.  </w:t>
      </w:r>
    </w:p>
    <w:p w:rsidR="00DE72D3" w:rsidRPr="005577AD" w:rsidP="00DE72D3">
      <w:pPr>
        <w:widowControl/>
        <w:ind w:firstLine="720"/>
        <w:rPr>
          <w:szCs w:val="22"/>
        </w:rPr>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10E11"/>
    <w:rsid w:val="00036039"/>
    <w:rsid w:val="00037F90"/>
    <w:rsid w:val="00057CE7"/>
    <w:rsid w:val="000875BF"/>
    <w:rsid w:val="00096D8C"/>
    <w:rsid w:val="000C0B65"/>
    <w:rsid w:val="000E05FE"/>
    <w:rsid w:val="000E3D42"/>
    <w:rsid w:val="00122BD5"/>
    <w:rsid w:val="00133F79"/>
    <w:rsid w:val="00194A66"/>
    <w:rsid w:val="00195834"/>
    <w:rsid w:val="001C776A"/>
    <w:rsid w:val="001D6BCF"/>
    <w:rsid w:val="001E01CA"/>
    <w:rsid w:val="00202CCF"/>
    <w:rsid w:val="00242BD4"/>
    <w:rsid w:val="0026798E"/>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57F42"/>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57B30"/>
    <w:rsid w:val="00A600A9"/>
    <w:rsid w:val="00AA55B7"/>
    <w:rsid w:val="00AA5B9E"/>
    <w:rsid w:val="00AB2407"/>
    <w:rsid w:val="00AB53DF"/>
    <w:rsid w:val="00B07E5C"/>
    <w:rsid w:val="00B33C3A"/>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3A"/>
    <w:pPr>
      <w:widowControl w:val="0"/>
    </w:pPr>
    <w:rPr>
      <w:snapToGrid w:val="0"/>
      <w:kern w:val="28"/>
      <w:sz w:val="22"/>
    </w:rPr>
  </w:style>
  <w:style w:type="paragraph" w:styleId="Heading1">
    <w:name w:val="heading 1"/>
    <w:basedOn w:val="Normal"/>
    <w:next w:val="ParaNum"/>
    <w:qFormat/>
    <w:rsid w:val="00B33C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33C3A"/>
    <w:pPr>
      <w:keepNext/>
      <w:numPr>
        <w:ilvl w:val="1"/>
        <w:numId w:val="3"/>
      </w:numPr>
      <w:spacing w:after="120"/>
      <w:outlineLvl w:val="1"/>
    </w:pPr>
    <w:rPr>
      <w:b/>
    </w:rPr>
  </w:style>
  <w:style w:type="paragraph" w:styleId="Heading3">
    <w:name w:val="heading 3"/>
    <w:basedOn w:val="Normal"/>
    <w:next w:val="ParaNum"/>
    <w:qFormat/>
    <w:rsid w:val="00B33C3A"/>
    <w:pPr>
      <w:keepNext/>
      <w:numPr>
        <w:ilvl w:val="2"/>
        <w:numId w:val="3"/>
      </w:numPr>
      <w:tabs>
        <w:tab w:val="left" w:pos="2160"/>
      </w:tabs>
      <w:spacing w:after="120"/>
      <w:outlineLvl w:val="2"/>
    </w:pPr>
    <w:rPr>
      <w:b/>
    </w:rPr>
  </w:style>
  <w:style w:type="paragraph" w:styleId="Heading4">
    <w:name w:val="heading 4"/>
    <w:basedOn w:val="Normal"/>
    <w:next w:val="ParaNum"/>
    <w:qFormat/>
    <w:rsid w:val="00B33C3A"/>
    <w:pPr>
      <w:keepNext/>
      <w:numPr>
        <w:ilvl w:val="3"/>
        <w:numId w:val="3"/>
      </w:numPr>
      <w:tabs>
        <w:tab w:val="left" w:pos="2880"/>
      </w:tabs>
      <w:spacing w:after="120"/>
      <w:outlineLvl w:val="3"/>
    </w:pPr>
    <w:rPr>
      <w:b/>
    </w:rPr>
  </w:style>
  <w:style w:type="paragraph" w:styleId="Heading5">
    <w:name w:val="heading 5"/>
    <w:basedOn w:val="Normal"/>
    <w:next w:val="ParaNum"/>
    <w:qFormat/>
    <w:rsid w:val="00B33C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3C3A"/>
    <w:pPr>
      <w:numPr>
        <w:ilvl w:val="5"/>
        <w:numId w:val="3"/>
      </w:numPr>
      <w:tabs>
        <w:tab w:val="left" w:pos="4320"/>
      </w:tabs>
      <w:spacing w:after="120"/>
      <w:outlineLvl w:val="5"/>
    </w:pPr>
    <w:rPr>
      <w:b/>
    </w:rPr>
  </w:style>
  <w:style w:type="paragraph" w:styleId="Heading7">
    <w:name w:val="heading 7"/>
    <w:basedOn w:val="Normal"/>
    <w:next w:val="ParaNum"/>
    <w:qFormat/>
    <w:rsid w:val="00B33C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3C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3C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B33C3A"/>
    <w:pPr>
      <w:numPr>
        <w:numId w:val="2"/>
      </w:numPr>
      <w:tabs>
        <w:tab w:val="clear" w:pos="1080"/>
        <w:tab w:val="num" w:pos="1440"/>
      </w:tabs>
      <w:spacing w:after="120"/>
    </w:pPr>
  </w:style>
  <w:style w:type="paragraph" w:styleId="EndnoteText">
    <w:name w:val="endnote text"/>
    <w:basedOn w:val="Normal"/>
    <w:semiHidden/>
    <w:rsid w:val="00B33C3A"/>
    <w:rPr>
      <w:sz w:val="20"/>
    </w:rPr>
  </w:style>
  <w:style w:type="character" w:styleId="EndnoteReference">
    <w:name w:val="endnote reference"/>
    <w:semiHidden/>
    <w:rsid w:val="00B33C3A"/>
    <w:rPr>
      <w:vertAlign w:val="superscript"/>
    </w:rPr>
  </w:style>
  <w:style w:type="paragraph" w:styleId="FootnoteText">
    <w:name w:val="footnote text"/>
    <w:rsid w:val="00B33C3A"/>
    <w:pPr>
      <w:spacing w:after="120"/>
    </w:pPr>
  </w:style>
  <w:style w:type="character" w:styleId="FootnoteReference">
    <w:name w:val="footnote reference"/>
    <w:rsid w:val="00B33C3A"/>
    <w:rPr>
      <w:rFonts w:ascii="Times New Roman" w:hAnsi="Times New Roman"/>
      <w:dstrike w:val="0"/>
      <w:color w:val="auto"/>
      <w:sz w:val="20"/>
      <w:vertAlign w:val="superscript"/>
    </w:rPr>
  </w:style>
  <w:style w:type="paragraph" w:styleId="TOC1">
    <w:name w:val="toc 1"/>
    <w:basedOn w:val="Normal"/>
    <w:next w:val="Normal"/>
    <w:semiHidden/>
    <w:rsid w:val="00B33C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3C3A"/>
    <w:pPr>
      <w:tabs>
        <w:tab w:val="left" w:pos="720"/>
        <w:tab w:val="right" w:leader="dot" w:pos="9360"/>
      </w:tabs>
      <w:suppressAutoHyphens/>
      <w:ind w:left="720" w:right="720" w:hanging="360"/>
    </w:pPr>
    <w:rPr>
      <w:noProof/>
    </w:rPr>
  </w:style>
  <w:style w:type="paragraph" w:styleId="TOC3">
    <w:name w:val="toc 3"/>
    <w:basedOn w:val="Normal"/>
    <w:next w:val="Normal"/>
    <w:semiHidden/>
    <w:rsid w:val="00B33C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3C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3C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3C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3C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3C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3C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3C3A"/>
    <w:pPr>
      <w:tabs>
        <w:tab w:val="right" w:pos="9360"/>
      </w:tabs>
      <w:suppressAutoHyphens/>
    </w:pPr>
  </w:style>
  <w:style w:type="character" w:customStyle="1" w:styleId="EquationCaption">
    <w:name w:val="_Equation Caption"/>
    <w:rsid w:val="00B33C3A"/>
  </w:style>
  <w:style w:type="paragraph" w:styleId="Header">
    <w:name w:val="header"/>
    <w:basedOn w:val="Normal"/>
    <w:autoRedefine/>
    <w:rsid w:val="00B33C3A"/>
    <w:pPr>
      <w:tabs>
        <w:tab w:val="center" w:pos="4680"/>
        <w:tab w:val="right" w:pos="9360"/>
      </w:tabs>
    </w:pPr>
    <w:rPr>
      <w:b/>
    </w:rPr>
  </w:style>
  <w:style w:type="paragraph" w:styleId="Footer">
    <w:name w:val="footer"/>
    <w:basedOn w:val="Normal"/>
    <w:rsid w:val="00B33C3A"/>
    <w:pPr>
      <w:tabs>
        <w:tab w:val="center" w:pos="4320"/>
        <w:tab w:val="right" w:pos="8640"/>
      </w:tabs>
    </w:pPr>
  </w:style>
  <w:style w:type="character" w:styleId="PageNumber">
    <w:name w:val="page number"/>
    <w:basedOn w:val="DefaultParagraphFont"/>
    <w:rsid w:val="00B33C3A"/>
  </w:style>
  <w:style w:type="paragraph" w:styleId="BlockText">
    <w:name w:val="Block Text"/>
    <w:basedOn w:val="Normal"/>
    <w:rsid w:val="00B33C3A"/>
    <w:pPr>
      <w:spacing w:after="240"/>
      <w:ind w:left="1440" w:right="1440"/>
    </w:pPr>
  </w:style>
  <w:style w:type="paragraph" w:customStyle="1" w:styleId="Paratitle">
    <w:name w:val="Para title"/>
    <w:basedOn w:val="Normal"/>
    <w:rsid w:val="00B33C3A"/>
    <w:pPr>
      <w:tabs>
        <w:tab w:val="center" w:pos="9270"/>
      </w:tabs>
      <w:spacing w:after="240"/>
    </w:pPr>
    <w:rPr>
      <w:spacing w:val="-2"/>
    </w:rPr>
  </w:style>
  <w:style w:type="paragraph" w:customStyle="1" w:styleId="Bullet">
    <w:name w:val="Bullet"/>
    <w:basedOn w:val="Normal"/>
    <w:rsid w:val="00B33C3A"/>
    <w:pPr>
      <w:tabs>
        <w:tab w:val="left" w:pos="2160"/>
      </w:tabs>
      <w:spacing w:after="220"/>
      <w:ind w:left="2160" w:hanging="720"/>
    </w:pPr>
  </w:style>
  <w:style w:type="paragraph" w:customStyle="1" w:styleId="TableFormat">
    <w:name w:val="TableFormat"/>
    <w:basedOn w:val="Bullet"/>
    <w:rsid w:val="00B33C3A"/>
    <w:pPr>
      <w:tabs>
        <w:tab w:val="clear" w:pos="2160"/>
        <w:tab w:val="left" w:pos="5040"/>
      </w:tabs>
      <w:ind w:left="5040" w:hanging="3600"/>
    </w:pPr>
  </w:style>
  <w:style w:type="paragraph" w:customStyle="1" w:styleId="TOCTitle">
    <w:name w:val="TOC Title"/>
    <w:basedOn w:val="Normal"/>
    <w:rsid w:val="00B33C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3C3A"/>
    <w:pPr>
      <w:jc w:val="center"/>
    </w:pPr>
    <w:rPr>
      <w:rFonts w:ascii="Times New Roman Bold" w:hAnsi="Times New Roman Bold"/>
      <w:b/>
      <w:bCs/>
      <w:caps/>
      <w:szCs w:val="22"/>
    </w:rPr>
  </w:style>
  <w:style w:type="character" w:styleId="Hyperlink">
    <w:name w:val="Hyperlink"/>
    <w:rsid w:val="00B33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CB25-5ADB-446C-A504-AF05AE2E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2017-12-14T21:10:20Z</dcterms:created>
  <dcterms:modified xsi:type="dcterms:W3CDTF">2017-12-14T21:10:20Z</dcterms:modified>
</cp:coreProperties>
</file>