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C06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8C6C4ED" w14:textId="77777777" w:rsidR="00921803" w:rsidRDefault="00921803" w:rsidP="00921803">
      <w:pPr>
        <w:pStyle w:val="StyleBoldCentered"/>
      </w:pPr>
      <w:r>
        <w:t>F</w:t>
      </w:r>
      <w:r>
        <w:rPr>
          <w:caps w:val="0"/>
        </w:rPr>
        <w:t>ederal Communications Commission</w:t>
      </w:r>
    </w:p>
    <w:p w14:paraId="1C7D70AC" w14:textId="77777777" w:rsidR="004C2EE3" w:rsidRDefault="00810B6F" w:rsidP="00096D8C">
      <w:pPr>
        <w:pStyle w:val="StyleBoldCentered"/>
      </w:pPr>
      <w:r>
        <w:rPr>
          <w:caps w:val="0"/>
        </w:rPr>
        <w:t>Washington, D.C. 20554</w:t>
      </w:r>
    </w:p>
    <w:p w14:paraId="13582F4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2B1CC3" w:rsidRPr="00580941" w14:paraId="23CC3F2E" w14:textId="77777777" w:rsidTr="00827110">
        <w:tc>
          <w:tcPr>
            <w:tcW w:w="4698" w:type="dxa"/>
          </w:tcPr>
          <w:p w14:paraId="391AAADC" w14:textId="77777777" w:rsidR="002B1CC3" w:rsidRPr="00580941" w:rsidRDefault="002B1CC3" w:rsidP="00827110">
            <w:pPr>
              <w:ind w:right="-18"/>
            </w:pPr>
            <w:r w:rsidRPr="00580941">
              <w:t xml:space="preserve">In the Matter of  </w:t>
            </w:r>
          </w:p>
          <w:p w14:paraId="4F197B42" w14:textId="77777777" w:rsidR="002B1CC3" w:rsidRPr="00580941" w:rsidRDefault="002B1CC3" w:rsidP="00827110">
            <w:pPr>
              <w:ind w:right="-18"/>
            </w:pPr>
          </w:p>
          <w:p w14:paraId="1F9A7BCE" w14:textId="77777777" w:rsidR="002B1CC3" w:rsidRDefault="002B1CC3" w:rsidP="00827110">
            <w:pPr>
              <w:ind w:right="-18"/>
            </w:pPr>
            <w:r>
              <w:t>Delta Radio Network, LLC</w:t>
            </w:r>
          </w:p>
          <w:p w14:paraId="048C45BD" w14:textId="77777777" w:rsidR="002B1CC3" w:rsidRDefault="002B1CC3" w:rsidP="00827110">
            <w:pPr>
              <w:ind w:right="-18"/>
            </w:pPr>
          </w:p>
          <w:p w14:paraId="145C041B" w14:textId="77777777" w:rsidR="002B1CC3" w:rsidRDefault="002B1CC3" w:rsidP="00827110">
            <w:pPr>
              <w:ind w:right="-18"/>
            </w:pPr>
            <w:r w:rsidRPr="00580941">
              <w:t xml:space="preserve">Application for </w:t>
            </w:r>
            <w:r>
              <w:t>Minor Modification of Licensed Facilities of WNLA(AM), Indianola, MS</w:t>
            </w:r>
          </w:p>
          <w:p w14:paraId="29164C3D" w14:textId="77777777" w:rsidR="002B1CC3" w:rsidRDefault="002B1CC3" w:rsidP="00827110">
            <w:pPr>
              <w:ind w:right="-18"/>
            </w:pPr>
          </w:p>
          <w:p w14:paraId="57777E20" w14:textId="77777777" w:rsidR="002B1CC3" w:rsidRPr="00580941" w:rsidRDefault="002B1CC3" w:rsidP="00827110">
            <w:pPr>
              <w:ind w:right="-18"/>
              <w:rPr>
                <w:b/>
              </w:rPr>
            </w:pPr>
            <w:r w:rsidRPr="00580941">
              <w:t xml:space="preserve"> </w:t>
            </w:r>
          </w:p>
        </w:tc>
        <w:tc>
          <w:tcPr>
            <w:tcW w:w="630" w:type="dxa"/>
          </w:tcPr>
          <w:p w14:paraId="1E2E73C9" w14:textId="77777777" w:rsidR="002B1CC3" w:rsidRPr="00580941" w:rsidRDefault="002B1CC3" w:rsidP="00827110">
            <w:pPr>
              <w:rPr>
                <w:b/>
              </w:rPr>
            </w:pPr>
            <w:r w:rsidRPr="00580941">
              <w:rPr>
                <w:b/>
              </w:rPr>
              <w:t>)</w:t>
            </w:r>
          </w:p>
          <w:p w14:paraId="771C978B" w14:textId="77777777" w:rsidR="002B1CC3" w:rsidRPr="00580941" w:rsidRDefault="002B1CC3" w:rsidP="00827110">
            <w:pPr>
              <w:rPr>
                <w:b/>
              </w:rPr>
            </w:pPr>
            <w:r w:rsidRPr="00580941">
              <w:rPr>
                <w:b/>
              </w:rPr>
              <w:t>)</w:t>
            </w:r>
          </w:p>
          <w:p w14:paraId="1EEEB22C" w14:textId="77777777" w:rsidR="002B1CC3" w:rsidRPr="00580941" w:rsidRDefault="002B1CC3" w:rsidP="00827110">
            <w:pPr>
              <w:rPr>
                <w:b/>
              </w:rPr>
            </w:pPr>
            <w:r w:rsidRPr="00580941">
              <w:rPr>
                <w:b/>
              </w:rPr>
              <w:t>)</w:t>
            </w:r>
          </w:p>
          <w:p w14:paraId="4636136E" w14:textId="77777777" w:rsidR="002B1CC3" w:rsidRPr="00580941" w:rsidRDefault="002B1CC3" w:rsidP="00827110">
            <w:pPr>
              <w:rPr>
                <w:b/>
              </w:rPr>
            </w:pPr>
            <w:r w:rsidRPr="00580941">
              <w:rPr>
                <w:b/>
              </w:rPr>
              <w:t>)</w:t>
            </w:r>
          </w:p>
          <w:p w14:paraId="23944DD0" w14:textId="77777777" w:rsidR="002B1CC3" w:rsidRPr="00580941" w:rsidRDefault="002B1CC3" w:rsidP="00827110">
            <w:pPr>
              <w:rPr>
                <w:b/>
              </w:rPr>
            </w:pPr>
            <w:r w:rsidRPr="00580941">
              <w:rPr>
                <w:b/>
              </w:rPr>
              <w:t>)</w:t>
            </w:r>
          </w:p>
          <w:p w14:paraId="0B79D8CB" w14:textId="77777777" w:rsidR="002B1CC3" w:rsidRDefault="002B1CC3" w:rsidP="00827110">
            <w:pPr>
              <w:rPr>
                <w:b/>
              </w:rPr>
            </w:pPr>
            <w:r w:rsidRPr="00580941">
              <w:rPr>
                <w:b/>
              </w:rPr>
              <w:t>)</w:t>
            </w:r>
          </w:p>
          <w:p w14:paraId="5C7E8803" w14:textId="77777777" w:rsidR="002B1CC3" w:rsidRPr="00580941" w:rsidRDefault="002B1CC3" w:rsidP="00827110">
            <w:pPr>
              <w:rPr>
                <w:b/>
              </w:rPr>
            </w:pPr>
          </w:p>
        </w:tc>
        <w:tc>
          <w:tcPr>
            <w:tcW w:w="4248" w:type="dxa"/>
          </w:tcPr>
          <w:p w14:paraId="7D34B1A1" w14:textId="77777777" w:rsidR="002B1CC3" w:rsidRPr="00580941" w:rsidRDefault="002B1CC3" w:rsidP="00827110"/>
          <w:p w14:paraId="698F65D2" w14:textId="77777777" w:rsidR="002B1CC3" w:rsidRPr="00580941" w:rsidRDefault="002B1CC3" w:rsidP="00827110"/>
          <w:p w14:paraId="3D421EB4" w14:textId="77777777" w:rsidR="002B1CC3" w:rsidRDefault="002B1CC3" w:rsidP="00827110"/>
          <w:p w14:paraId="2CA0AB12" w14:textId="77777777" w:rsidR="002B1CC3" w:rsidRDefault="002B1CC3" w:rsidP="00827110"/>
          <w:p w14:paraId="2ACF968D" w14:textId="77777777" w:rsidR="002B1CC3" w:rsidRDefault="002B1CC3" w:rsidP="00827110">
            <w:r>
              <w:t>Facility ID No. 59971</w:t>
            </w:r>
          </w:p>
          <w:p w14:paraId="78CF5DDC" w14:textId="77777777" w:rsidR="002B1CC3" w:rsidRDefault="002B1CC3" w:rsidP="00827110">
            <w:r>
              <w:t>File No. BP-20140507AEB</w:t>
            </w:r>
          </w:p>
          <w:p w14:paraId="22334434" w14:textId="17C7A396" w:rsidR="002B1CC3" w:rsidRPr="00580941" w:rsidRDefault="002B1CC3" w:rsidP="00827110"/>
        </w:tc>
      </w:tr>
    </w:tbl>
    <w:p w14:paraId="6DA09BB4" w14:textId="77777777" w:rsidR="002B1CC3" w:rsidRDefault="002B1CC3" w:rsidP="002B1CC3">
      <w:pPr>
        <w:jc w:val="center"/>
        <w:rPr>
          <w:rFonts w:ascii="Times New Roman Bold" w:hAnsi="Times New Roman Bold"/>
          <w:b/>
          <w:bCs/>
          <w:caps/>
        </w:rPr>
      </w:pPr>
      <w:r w:rsidRPr="00580941">
        <w:rPr>
          <w:rFonts w:ascii="Times New Roman Bold" w:hAnsi="Times New Roman Bold"/>
          <w:b/>
          <w:bCs/>
          <w:caps/>
        </w:rPr>
        <w:t>MEMORANDUM OPINION AND ORDER</w:t>
      </w:r>
    </w:p>
    <w:p w14:paraId="458239FB" w14:textId="77777777" w:rsidR="002B1CC3" w:rsidRPr="00580941" w:rsidRDefault="002B1CC3" w:rsidP="002B1CC3">
      <w:pPr>
        <w:tabs>
          <w:tab w:val="left" w:pos="-720"/>
        </w:tabs>
        <w:suppressAutoHyphens/>
        <w:spacing w:line="227" w:lineRule="auto"/>
        <w:rPr>
          <w:spacing w:val="-2"/>
        </w:rPr>
      </w:pPr>
    </w:p>
    <w:p w14:paraId="2FF73A1C" w14:textId="3F0955F7" w:rsidR="002B1CC3" w:rsidRPr="003422B8" w:rsidRDefault="002B1CC3" w:rsidP="002B1CC3">
      <w:pPr>
        <w:tabs>
          <w:tab w:val="left" w:pos="720"/>
          <w:tab w:val="right" w:pos="9360"/>
        </w:tabs>
        <w:suppressAutoHyphens/>
        <w:spacing w:line="227" w:lineRule="auto"/>
        <w:rPr>
          <w:spacing w:val="-2"/>
        </w:rPr>
      </w:pPr>
      <w:r w:rsidRPr="003422B8">
        <w:rPr>
          <w:b/>
          <w:spacing w:val="-2"/>
        </w:rPr>
        <w:t xml:space="preserve">Adopted:  </w:t>
      </w:r>
      <w:r w:rsidR="00CE091C">
        <w:rPr>
          <w:b/>
          <w:spacing w:val="-2"/>
        </w:rPr>
        <w:t>February 22, 2017</w:t>
      </w:r>
      <w:r w:rsidRPr="003422B8">
        <w:rPr>
          <w:b/>
          <w:spacing w:val="-2"/>
        </w:rPr>
        <w:tab/>
        <w:t xml:space="preserve">Released:  </w:t>
      </w:r>
      <w:r w:rsidR="00CE091C">
        <w:rPr>
          <w:b/>
          <w:spacing w:val="-2"/>
        </w:rPr>
        <w:t>February 2</w:t>
      </w:r>
      <w:r w:rsidR="00A565C1">
        <w:rPr>
          <w:b/>
          <w:spacing w:val="-2"/>
        </w:rPr>
        <w:t>3</w:t>
      </w:r>
      <w:r w:rsidR="00CE091C">
        <w:rPr>
          <w:b/>
          <w:spacing w:val="-2"/>
        </w:rPr>
        <w:t>, 2017</w:t>
      </w:r>
    </w:p>
    <w:p w14:paraId="3A7D1B8A" w14:textId="77777777" w:rsidR="002B1CC3" w:rsidRPr="00580941" w:rsidRDefault="002B1CC3" w:rsidP="002B1CC3"/>
    <w:p w14:paraId="6C964F07" w14:textId="77777777" w:rsidR="002B1CC3" w:rsidRPr="00580941" w:rsidRDefault="002B1CC3" w:rsidP="002B1CC3">
      <w:pPr>
        <w:rPr>
          <w:spacing w:val="-2"/>
        </w:rPr>
      </w:pPr>
      <w:r w:rsidRPr="00580941">
        <w:t xml:space="preserve">By the </w:t>
      </w:r>
      <w:r w:rsidRPr="00580941">
        <w:rPr>
          <w:spacing w:val="-2"/>
        </w:rPr>
        <w:t>Commission:</w:t>
      </w:r>
      <w:r>
        <w:rPr>
          <w:spacing w:val="-2"/>
        </w:rPr>
        <w:t xml:space="preserve">  </w:t>
      </w:r>
    </w:p>
    <w:p w14:paraId="5D62ADD6" w14:textId="77777777" w:rsidR="002B1CC3" w:rsidRPr="00580941" w:rsidRDefault="002B1CC3" w:rsidP="002B1CC3"/>
    <w:p w14:paraId="2DB3D2F8" w14:textId="0F382EE1" w:rsidR="002B1CC3" w:rsidRPr="00C555DA" w:rsidRDefault="002B1CC3" w:rsidP="002B1CC3">
      <w:pPr>
        <w:pStyle w:val="ParaNum"/>
      </w:pPr>
      <w:r>
        <w:t>The Commission has before it an application for review (AFR) filed by Delta Radio Network, LLC (DRN) on December 15, 2016.</w:t>
      </w:r>
      <w:r>
        <w:rPr>
          <w:rStyle w:val="FootnoteReference"/>
        </w:rPr>
        <w:footnoteReference w:id="2"/>
      </w:r>
      <w:r>
        <w:t xml:space="preserve">  DRN seeks review of a Media Bureau (Bureau) decision that upheld the dismissal of the captioned facilities modification application (Application) based on DRN’s failure to have the “red light” status of the Application removed.</w:t>
      </w:r>
      <w:r>
        <w:rPr>
          <w:rStyle w:val="FootnoteReference"/>
        </w:rPr>
        <w:footnoteReference w:id="3"/>
      </w:r>
      <w:r>
        <w:t xml:space="preserve">  For the reasons stated below, we dismiss the AFR. </w:t>
      </w:r>
    </w:p>
    <w:p w14:paraId="66B140F8" w14:textId="56FFA8F6" w:rsidR="002B1CC3" w:rsidRDefault="002B1CC3" w:rsidP="002B1CC3">
      <w:pPr>
        <w:pStyle w:val="ParaNum"/>
      </w:pPr>
      <w:r>
        <w:t xml:space="preserve">After the Bureau’s initial dismissal of the Application, DRN filed a Petition for Reconsideration of that action.  The Petition for Reconsideration argued that the dismissal of the Application based on its longstanding “red light” status violated the automatic stay provisions of the United States Bankruptcy Code because DRN was a debtor in possession pursuant to the Bankruptcy Code.  In response, the </w:t>
      </w:r>
      <w:r w:rsidRPr="00C555DA">
        <w:rPr>
          <w:i/>
        </w:rPr>
        <w:t>Order</w:t>
      </w:r>
      <w:r>
        <w:t xml:space="preserve"> stated that DRN’s bankruptcy petition had been dismissed and therefore the Petition for Reconsideration was moot.</w:t>
      </w:r>
      <w:r>
        <w:rPr>
          <w:rStyle w:val="FootnoteReference"/>
        </w:rPr>
        <w:footnoteReference w:id="4"/>
      </w:r>
    </w:p>
    <w:p w14:paraId="391651DF" w14:textId="651F7167" w:rsidR="002B1CC3" w:rsidRDefault="002B1CC3" w:rsidP="002B1CC3">
      <w:pPr>
        <w:pStyle w:val="ParaNum"/>
      </w:pPr>
      <w:r>
        <w:t>In its AFR, DRN first argues that the Commission should grant waivers of the “red light” rules when “a broadcast station is losing money in its operations and therefore lacks the resources to pay [regulatory] fees.”</w:t>
      </w:r>
      <w:r>
        <w:rPr>
          <w:rStyle w:val="FootnoteReference"/>
        </w:rPr>
        <w:footnoteReference w:id="5"/>
      </w:r>
      <w:r>
        <w:t xml:space="preserve">  This is a new legal argument that was not presented to the Bureau.  Under Section 1.115(c) of the Commission’s rules (Rules), an application for review may not present new questions of </w:t>
      </w:r>
      <w:r>
        <w:lastRenderedPageBreak/>
        <w:t xml:space="preserve">fact or law </w:t>
      </w:r>
      <w:r w:rsidR="00D94BAB">
        <w:t>up</w:t>
      </w:r>
      <w:r w:rsidR="00057586">
        <w:t>on</w:t>
      </w:r>
      <w:r w:rsidR="006234A4">
        <w:t xml:space="preserve"> which the Bureau has</w:t>
      </w:r>
      <w:r w:rsidR="00105D95">
        <w:t xml:space="preserve"> not had an opportunity to pass</w:t>
      </w:r>
      <w:r>
        <w:t>.</w:t>
      </w:r>
      <w:r>
        <w:rPr>
          <w:rStyle w:val="FootnoteReference"/>
        </w:rPr>
        <w:footnoteReference w:id="6"/>
      </w:r>
      <w:r>
        <w:t xml:space="preserve">  We therefore dismiss this portion of the AFR.</w:t>
      </w:r>
    </w:p>
    <w:p w14:paraId="284FA171" w14:textId="6190F076" w:rsidR="002B1CC3" w:rsidRPr="00443776" w:rsidRDefault="002B1CC3" w:rsidP="002B1CC3">
      <w:pPr>
        <w:pStyle w:val="ParaNum"/>
      </w:pPr>
      <w:r>
        <w:t>DRN next reprises its argument</w:t>
      </w:r>
      <w:r w:rsidR="003313D1">
        <w:t xml:space="preserve"> to</w:t>
      </w:r>
      <w:r>
        <w:t xml:space="preserve"> the Bureau concerning </w:t>
      </w:r>
      <w:r w:rsidR="00D94BAB">
        <w:t xml:space="preserve">the propriety of Commission </w:t>
      </w:r>
      <w:r>
        <w:t>debt enforcement actions against a debtor in possession.  DRN argues that “the Commission should make clear to the staff that where a licensee is a debtor in possession [under the Bankruptcy Code] subject to the automatic stay, debt enforcement actions—including the dismissal of needed facilities modification applications—should be suspended</w:t>
      </w:r>
      <w:r w:rsidR="00ED02A0">
        <w:t>.”</w:t>
      </w:r>
      <w:r w:rsidR="00ED02A0">
        <w:rPr>
          <w:rStyle w:val="FootnoteReference"/>
        </w:rPr>
        <w:footnoteReference w:id="7"/>
      </w:r>
      <w:r w:rsidR="00ED02A0">
        <w:t xml:space="preserve">  </w:t>
      </w:r>
      <w:r w:rsidR="00D94BAB">
        <w:t>W</w:t>
      </w:r>
      <w:r w:rsidR="00992B44">
        <w:t>ith</w:t>
      </w:r>
      <w:r w:rsidR="00105D95">
        <w:t xml:space="preserve"> the dismissal of its bankruptcy petition</w:t>
      </w:r>
      <w:r w:rsidR="004463BD">
        <w:t xml:space="preserve"> on September 24, 2016</w:t>
      </w:r>
      <w:r w:rsidR="00105D95">
        <w:t xml:space="preserve">, </w:t>
      </w:r>
      <w:r>
        <w:t>DRN is no longer a debtor in possession</w:t>
      </w:r>
      <w:r w:rsidR="00E74076">
        <w:t>.</w:t>
      </w:r>
      <w:r>
        <w:t xml:space="preserve"> </w:t>
      </w:r>
      <w:r w:rsidR="00ED02A0">
        <w:t xml:space="preserve"> </w:t>
      </w:r>
      <w:r w:rsidR="00B67889">
        <w:t xml:space="preserve">Accordingly, </w:t>
      </w:r>
      <w:r w:rsidR="00057586">
        <w:t xml:space="preserve">we dismiss </w:t>
      </w:r>
      <w:r w:rsidR="00D94BAB">
        <w:t xml:space="preserve">this argument in </w:t>
      </w:r>
      <w:r w:rsidR="00057586">
        <w:t>the AFR</w:t>
      </w:r>
      <w:r w:rsidR="00E74076">
        <w:t xml:space="preserve"> as moot.</w:t>
      </w:r>
    </w:p>
    <w:p w14:paraId="11F14631" w14:textId="77777777" w:rsidR="002B1CC3" w:rsidRPr="00580941" w:rsidRDefault="002B1CC3" w:rsidP="002B1CC3">
      <w:pPr>
        <w:pStyle w:val="ParaNum"/>
      </w:pPr>
      <w:r w:rsidRPr="00580941">
        <w:t>ACCORDINGLY, IT IS ORDERED that</w:t>
      </w:r>
      <w:r>
        <w:t xml:space="preserve"> the </w:t>
      </w:r>
      <w:r w:rsidRPr="00580941">
        <w:t xml:space="preserve">Application for Review filed by </w:t>
      </w:r>
      <w:r>
        <w:t xml:space="preserve">Delta Radio Network, LLC </w:t>
      </w:r>
      <w:r w:rsidRPr="00580941">
        <w:t xml:space="preserve">on </w:t>
      </w:r>
      <w:r>
        <w:t>December 15, 2016</w:t>
      </w:r>
      <w:r w:rsidRPr="00580941">
        <w:t xml:space="preserve">, </w:t>
      </w:r>
      <w:r>
        <w:t xml:space="preserve">IS </w:t>
      </w:r>
      <w:r w:rsidRPr="00D46DE1">
        <w:t>D</w:t>
      </w:r>
      <w:r>
        <w:t xml:space="preserve">ISMISSED </w:t>
      </w:r>
      <w:r w:rsidRPr="00D46DE1">
        <w:t>pursuant to Section 5(c)(</w:t>
      </w:r>
      <w:r>
        <w:t>4</w:t>
      </w:r>
      <w:r w:rsidRPr="00D46DE1">
        <w:t>) of the Communications Act of 1934, as amended, and Section</w:t>
      </w:r>
      <w:r>
        <w:t>s</w:t>
      </w:r>
      <w:r w:rsidRPr="00D46DE1">
        <w:t xml:space="preserve"> 1.115(</w:t>
      </w:r>
      <w:r>
        <w:t>a</w:t>
      </w:r>
      <w:r w:rsidRPr="00D46DE1">
        <w:t>)</w:t>
      </w:r>
      <w:r>
        <w:t xml:space="preserve"> and (c)</w:t>
      </w:r>
      <w:r w:rsidRPr="00D46DE1">
        <w:t xml:space="preserve"> of the </w:t>
      </w:r>
      <w:r>
        <w:t>FCC’s rules</w:t>
      </w:r>
      <w:r w:rsidRPr="00D46DE1">
        <w:t>.</w:t>
      </w:r>
      <w:r w:rsidRPr="00D46DE1">
        <w:rPr>
          <w:sz w:val="20"/>
          <w:vertAlign w:val="superscript"/>
        </w:rPr>
        <w:footnoteReference w:id="8"/>
      </w:r>
    </w:p>
    <w:p w14:paraId="701E8CFB" w14:textId="77777777" w:rsidR="002B1CC3" w:rsidRPr="00580941" w:rsidRDefault="002B1CC3" w:rsidP="002B1CC3">
      <w:r w:rsidRPr="00580941">
        <w:tab/>
      </w:r>
      <w:r w:rsidRPr="00580941">
        <w:tab/>
      </w:r>
      <w:r w:rsidRPr="00580941">
        <w:tab/>
      </w:r>
      <w:r w:rsidRPr="00580941">
        <w:tab/>
      </w:r>
      <w:r w:rsidRPr="00580941">
        <w:tab/>
      </w:r>
      <w:r w:rsidRPr="00580941">
        <w:tab/>
        <w:t>FEDERAL COMMUNICATIONS COMMISSION</w:t>
      </w:r>
    </w:p>
    <w:p w14:paraId="5F136873" w14:textId="77777777" w:rsidR="002B1CC3" w:rsidRPr="00580941" w:rsidRDefault="002B1CC3" w:rsidP="002B1CC3"/>
    <w:p w14:paraId="069AF9F1" w14:textId="77777777" w:rsidR="002B1CC3" w:rsidRPr="00580941" w:rsidRDefault="002B1CC3" w:rsidP="002B1CC3"/>
    <w:p w14:paraId="02735730" w14:textId="77777777" w:rsidR="002B1CC3" w:rsidRPr="00580941" w:rsidRDefault="002B1CC3" w:rsidP="002B1CC3"/>
    <w:p w14:paraId="1DE48E9A" w14:textId="77777777" w:rsidR="002B1CC3" w:rsidRPr="00580941" w:rsidRDefault="002B1CC3" w:rsidP="002B1CC3"/>
    <w:p w14:paraId="643F6C55" w14:textId="77777777" w:rsidR="002B1CC3" w:rsidRPr="00580941" w:rsidRDefault="002B1CC3" w:rsidP="002B1CC3">
      <w:r w:rsidRPr="00580941">
        <w:t xml:space="preserve"> </w:t>
      </w:r>
      <w:r w:rsidRPr="00580941">
        <w:tab/>
      </w:r>
      <w:r w:rsidRPr="00580941">
        <w:tab/>
      </w:r>
      <w:r w:rsidRPr="00580941">
        <w:tab/>
      </w:r>
      <w:r w:rsidRPr="00580941">
        <w:tab/>
      </w:r>
      <w:r w:rsidRPr="00580941">
        <w:tab/>
      </w:r>
      <w:r w:rsidRPr="00580941">
        <w:tab/>
        <w:t>Marlene H. Dortch</w:t>
      </w:r>
    </w:p>
    <w:p w14:paraId="702BE72C" w14:textId="77777777" w:rsidR="002C00E8" w:rsidRPr="002C00E8" w:rsidRDefault="002B1CC3" w:rsidP="002B1CC3">
      <w:r w:rsidRPr="00580941">
        <w:t xml:space="preserve"> </w:t>
      </w:r>
      <w:r w:rsidRPr="00580941">
        <w:tab/>
      </w:r>
      <w:r w:rsidRPr="00580941">
        <w:tab/>
      </w:r>
      <w:r w:rsidRPr="00580941">
        <w:tab/>
      </w:r>
      <w:r w:rsidRPr="00580941">
        <w:tab/>
      </w:r>
      <w:r w:rsidRPr="00580941">
        <w:tab/>
      </w:r>
      <w:r w:rsidRPr="00580941">
        <w:tab/>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C50E" w14:textId="77777777" w:rsidR="00E21F33" w:rsidRDefault="00E21F33">
      <w:pPr>
        <w:spacing w:line="20" w:lineRule="exact"/>
      </w:pPr>
    </w:p>
  </w:endnote>
  <w:endnote w:type="continuationSeparator" w:id="0">
    <w:p w14:paraId="31788D5C" w14:textId="77777777" w:rsidR="00E21F33" w:rsidRDefault="00E21F33">
      <w:r>
        <w:t xml:space="preserve"> </w:t>
      </w:r>
    </w:p>
  </w:endnote>
  <w:endnote w:type="continuationNotice" w:id="1">
    <w:p w14:paraId="7311C3DF" w14:textId="77777777" w:rsidR="00E21F33" w:rsidRDefault="00E21F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113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4FC176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F60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85A10">
      <w:rPr>
        <w:noProof/>
      </w:rPr>
      <w:t>2</w:t>
    </w:r>
    <w:r>
      <w:fldChar w:fldCharType="end"/>
    </w:r>
  </w:p>
  <w:p w14:paraId="174EC8D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E9A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659B" w14:textId="77777777" w:rsidR="00E21F33" w:rsidRDefault="00E21F33">
      <w:r>
        <w:separator/>
      </w:r>
    </w:p>
  </w:footnote>
  <w:footnote w:type="continuationSeparator" w:id="0">
    <w:p w14:paraId="4233834B" w14:textId="77777777" w:rsidR="00E21F33" w:rsidRDefault="00E21F33" w:rsidP="00C721AC">
      <w:pPr>
        <w:spacing w:before="120"/>
        <w:rPr>
          <w:sz w:val="20"/>
        </w:rPr>
      </w:pPr>
      <w:r>
        <w:rPr>
          <w:sz w:val="20"/>
        </w:rPr>
        <w:t xml:space="preserve">(Continued from previous page)  </w:t>
      </w:r>
      <w:r>
        <w:rPr>
          <w:sz w:val="20"/>
        </w:rPr>
        <w:separator/>
      </w:r>
    </w:p>
  </w:footnote>
  <w:footnote w:type="continuationNotice" w:id="1">
    <w:p w14:paraId="44AB5BF1" w14:textId="77777777" w:rsidR="00E21F33" w:rsidRDefault="00E21F33" w:rsidP="00C721AC">
      <w:pPr>
        <w:jc w:val="right"/>
        <w:rPr>
          <w:sz w:val="20"/>
        </w:rPr>
      </w:pPr>
      <w:r>
        <w:rPr>
          <w:sz w:val="20"/>
        </w:rPr>
        <w:t>(continued….)</w:t>
      </w:r>
    </w:p>
  </w:footnote>
  <w:footnote w:id="2">
    <w:p w14:paraId="0312815B" w14:textId="77777777" w:rsidR="002B1CC3" w:rsidRDefault="002B1CC3" w:rsidP="002B1CC3">
      <w:pPr>
        <w:pStyle w:val="FootnoteText"/>
      </w:pPr>
      <w:r>
        <w:rPr>
          <w:rStyle w:val="FootnoteReference"/>
        </w:rPr>
        <w:footnoteRef/>
      </w:r>
      <w:r>
        <w:t xml:space="preserve"> The AFR was entitled “Petition for Reconsideration” but was filed pursuant to 47 CFR §1.115 and in response to a staff-level decision denying reconsideration of a staff dismissal letter.  Accordingly, we are treating it as an application for review.</w:t>
      </w:r>
    </w:p>
  </w:footnote>
  <w:footnote w:id="3">
    <w:p w14:paraId="77F932B5" w14:textId="6C8E0BF8" w:rsidR="002B1CC3" w:rsidRDefault="002B1CC3" w:rsidP="002B1CC3">
      <w:pPr>
        <w:pStyle w:val="FootnoteText"/>
      </w:pPr>
      <w:r>
        <w:rPr>
          <w:rStyle w:val="FootnoteReference"/>
        </w:rPr>
        <w:footnoteRef/>
      </w:r>
      <w:r>
        <w:t xml:space="preserve"> </w:t>
      </w:r>
      <w:r w:rsidRPr="00552D86">
        <w:rPr>
          <w:i/>
        </w:rPr>
        <w:t>Delta Radio Network, LLC</w:t>
      </w:r>
      <w:r>
        <w:t>, Letter Order (MB Nov. 9, 2016) (</w:t>
      </w:r>
      <w:r w:rsidRPr="00D55A4A">
        <w:rPr>
          <w:i/>
        </w:rPr>
        <w:t>Order</w:t>
      </w:r>
      <w:r>
        <w:t xml:space="preserve">), dismissing as moot DRN’s Petition for Reconsideration of </w:t>
      </w:r>
      <w:r w:rsidRPr="00552D86">
        <w:rPr>
          <w:i/>
        </w:rPr>
        <w:t>Delta Radio Network, LLC</w:t>
      </w:r>
      <w:r>
        <w:t xml:space="preserve">, Letter Order (MB Mar. 7, 2016). </w:t>
      </w:r>
      <w:r w:rsidR="00ED02A0">
        <w:t xml:space="preserve"> </w:t>
      </w:r>
      <w:r w:rsidR="00ED02A0" w:rsidRPr="00AD55F5">
        <w:t>Under its “red light” policy, the Commission examines each application to determine if the applicant is delinquent in a debt owed to the Commission (including but not limited to the payment of regulatory fees), withholds action on the application if there is such a delinquency, and dismisses the application if the delinquency is not cured</w:t>
      </w:r>
      <w:r w:rsidR="007F4973" w:rsidRPr="00AD55F5">
        <w:t xml:space="preserve"> after notice is given to the applicant</w:t>
      </w:r>
      <w:r w:rsidR="00ED02A0" w:rsidRPr="00AD55F5">
        <w:t xml:space="preserve">.  </w:t>
      </w:r>
      <w:r w:rsidR="00ED02A0" w:rsidRPr="00AD55F5">
        <w:rPr>
          <w:i/>
        </w:rPr>
        <w:t>See</w:t>
      </w:r>
      <w:r w:rsidR="00ED02A0" w:rsidRPr="00AD55F5">
        <w:t xml:space="preserve"> 47 CFR § 1.1910(b).</w:t>
      </w:r>
    </w:p>
  </w:footnote>
  <w:footnote w:id="4">
    <w:p w14:paraId="66BAB2A5" w14:textId="77777777" w:rsidR="002B1CC3" w:rsidRDefault="002B1CC3" w:rsidP="002B1CC3">
      <w:pPr>
        <w:pStyle w:val="FootnoteText"/>
      </w:pPr>
      <w:r>
        <w:rPr>
          <w:rStyle w:val="FootnoteReference"/>
        </w:rPr>
        <w:footnoteRef/>
      </w:r>
      <w:r>
        <w:t xml:space="preserve"> </w:t>
      </w:r>
      <w:r>
        <w:rPr>
          <w:i/>
        </w:rPr>
        <w:t xml:space="preserve">See </w:t>
      </w:r>
      <w:r w:rsidRPr="00F562DD">
        <w:rPr>
          <w:i/>
        </w:rPr>
        <w:t>Broadcast Actions</w:t>
      </w:r>
      <w:r w:rsidRPr="00F562DD">
        <w:t>, Public Notice, Rep</w:t>
      </w:r>
      <w:r>
        <w:t>ort No. 48861 at 10-11 (MB Nov. 15, 2016) (noting the Bureau’s dismissal, on November 9, 2016, of an involuntary assignment of license application to assign WNLA and co-owned stations to Delta Radio Network, LLC, Debtor-in-Possession “due to termination of bankruptcy proceeding”).  That action was not appealed and is now final.</w:t>
      </w:r>
    </w:p>
  </w:footnote>
  <w:footnote w:id="5">
    <w:p w14:paraId="23644B58" w14:textId="77777777" w:rsidR="002B1CC3" w:rsidRDefault="002B1CC3" w:rsidP="002B1CC3">
      <w:pPr>
        <w:pStyle w:val="FootnoteText"/>
      </w:pPr>
      <w:r>
        <w:rPr>
          <w:rStyle w:val="FootnoteReference"/>
        </w:rPr>
        <w:footnoteRef/>
      </w:r>
      <w:r>
        <w:t xml:space="preserve"> AFR at 3.  DRN analogizes the Commission’s policy on “red light” holds and dismissals of applications to the abandoned practice of “debtor’s prison.”  AFR at 3-5.</w:t>
      </w:r>
    </w:p>
  </w:footnote>
  <w:footnote w:id="6">
    <w:p w14:paraId="59AB3BEB" w14:textId="77777777" w:rsidR="002B1CC3" w:rsidRDefault="002B1CC3" w:rsidP="002B1CC3">
      <w:pPr>
        <w:pStyle w:val="FootnoteText"/>
      </w:pPr>
      <w:r>
        <w:rPr>
          <w:rStyle w:val="FootnoteReference"/>
        </w:rPr>
        <w:footnoteRef/>
      </w:r>
      <w:r>
        <w:t xml:space="preserve"> 47 CFR §1.115(c).  The AFR seeks to incorporate by reference “related requests for waiver of regulatory fees” (AFR at 1), but at no point in this proceeding did DRN present to the Bureau an argument concerning waivers of regulatory fees, nor did it amend the Application or otherwise file any information as to any action taken by the Office of the Managing Director involving any waiver request related to the Application.  </w:t>
      </w:r>
      <w:r w:rsidRPr="006F53E7">
        <w:rPr>
          <w:i/>
        </w:rPr>
        <w:t>See</w:t>
      </w:r>
      <w:r>
        <w:t xml:space="preserve"> 47 CFR §</w:t>
      </w:r>
      <w:r w:rsidR="00B2246D">
        <w:t xml:space="preserve"> </w:t>
      </w:r>
      <w:r>
        <w:t>1.65 (obligation to report substantial changes in information that may be of decisional significance).</w:t>
      </w:r>
    </w:p>
  </w:footnote>
  <w:footnote w:id="7">
    <w:p w14:paraId="3C4D21E2" w14:textId="0223C42A" w:rsidR="00ED02A0" w:rsidRDefault="00ED02A0">
      <w:pPr>
        <w:pStyle w:val="FootnoteText"/>
      </w:pPr>
      <w:r>
        <w:rPr>
          <w:rStyle w:val="FootnoteReference"/>
        </w:rPr>
        <w:footnoteRef/>
      </w:r>
      <w:r>
        <w:t xml:space="preserve"> AFR at 5-6.</w:t>
      </w:r>
    </w:p>
  </w:footnote>
  <w:footnote w:id="8">
    <w:p w14:paraId="306CD89D" w14:textId="77777777" w:rsidR="002B1CC3" w:rsidRPr="00CC27E2" w:rsidRDefault="002B1CC3" w:rsidP="002B1CC3">
      <w:pPr>
        <w:pStyle w:val="FootnoteText"/>
      </w:pPr>
      <w:r w:rsidRPr="00CC27E2">
        <w:rPr>
          <w:rStyle w:val="FootnoteReference"/>
        </w:rPr>
        <w:footnoteRef/>
      </w:r>
      <w:r>
        <w:t xml:space="preserve"> 47 U.S.C. § 155(c)(4); 47 CF</w:t>
      </w:r>
      <w:r w:rsidRPr="00CC27E2">
        <w:t xml:space="preserve">R </w:t>
      </w:r>
      <w:r>
        <w:t>§</w:t>
      </w:r>
      <w:r w:rsidRPr="00CC27E2">
        <w:t>§ 1.115(</w:t>
      </w:r>
      <w:r>
        <w:t>a</w:t>
      </w:r>
      <w:r w:rsidRPr="00CC27E2">
        <w:t>)</w:t>
      </w:r>
      <w:r>
        <w:t xml:space="preserve"> and (c)</w:t>
      </w:r>
      <w:r w:rsidRPr="00CC27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3225" w14:textId="77777777" w:rsidR="00F61D3F" w:rsidRDefault="00F61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378B" w14:textId="2CFCCCFD" w:rsidR="00D25FB5" w:rsidRDefault="00D25FB5" w:rsidP="00810B6F">
    <w:pPr>
      <w:pStyle w:val="Header"/>
      <w:rPr>
        <w:b w:val="0"/>
      </w:rPr>
    </w:pPr>
    <w:r>
      <w:tab/>
      <w:t>Federal Communications Commission</w:t>
    </w:r>
    <w:r>
      <w:tab/>
    </w:r>
    <w:r w:rsidR="00CE091C">
      <w:t>FCC 17-16</w:t>
    </w:r>
  </w:p>
  <w:p w14:paraId="73ADA01E" w14:textId="77777777" w:rsidR="00D25FB5" w:rsidRDefault="009506A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2BBA98F" wp14:editId="4464974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60B5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41DB" w14:textId="53306EB9" w:rsidR="00D25FB5" w:rsidRDefault="009506A8" w:rsidP="00810B6F">
    <w:pPr>
      <w:pStyle w:val="Header"/>
      <w:rPr>
        <w:b w:val="0"/>
      </w:rPr>
    </w:pPr>
    <w:r>
      <w:rPr>
        <w:noProof/>
      </w:rPr>
      <mc:AlternateContent>
        <mc:Choice Requires="wps">
          <w:drawing>
            <wp:anchor distT="0" distB="0" distL="114300" distR="114300" simplePos="0" relativeHeight="251658240" behindDoc="1" locked="0" layoutInCell="0" allowOverlap="1" wp14:anchorId="620C982B" wp14:editId="1836A2D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4BC05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E091C">
      <w:rPr>
        <w:spacing w:val="-2"/>
      </w:rPr>
      <w:t>FCC 17-16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C3"/>
    <w:rsid w:val="00036039"/>
    <w:rsid w:val="00037F90"/>
    <w:rsid w:val="00057586"/>
    <w:rsid w:val="000875BF"/>
    <w:rsid w:val="00096D8C"/>
    <w:rsid w:val="000C0B65"/>
    <w:rsid w:val="000C6801"/>
    <w:rsid w:val="000E05FE"/>
    <w:rsid w:val="000E2916"/>
    <w:rsid w:val="000E3D42"/>
    <w:rsid w:val="00105D95"/>
    <w:rsid w:val="00122BD5"/>
    <w:rsid w:val="00133F79"/>
    <w:rsid w:val="001361EF"/>
    <w:rsid w:val="00194A66"/>
    <w:rsid w:val="00195CD7"/>
    <w:rsid w:val="001D46E7"/>
    <w:rsid w:val="001D6BCF"/>
    <w:rsid w:val="001E01CA"/>
    <w:rsid w:val="001F49AB"/>
    <w:rsid w:val="002242F4"/>
    <w:rsid w:val="00275CF5"/>
    <w:rsid w:val="0028301F"/>
    <w:rsid w:val="00285017"/>
    <w:rsid w:val="002A2D2E"/>
    <w:rsid w:val="002B1CC3"/>
    <w:rsid w:val="002C00E8"/>
    <w:rsid w:val="002D226E"/>
    <w:rsid w:val="00326546"/>
    <w:rsid w:val="003313D1"/>
    <w:rsid w:val="00343749"/>
    <w:rsid w:val="003660ED"/>
    <w:rsid w:val="00395032"/>
    <w:rsid w:val="003B0550"/>
    <w:rsid w:val="003B694F"/>
    <w:rsid w:val="003C4112"/>
    <w:rsid w:val="003D1384"/>
    <w:rsid w:val="003F171C"/>
    <w:rsid w:val="00412FC5"/>
    <w:rsid w:val="00422276"/>
    <w:rsid w:val="004242F1"/>
    <w:rsid w:val="00443776"/>
    <w:rsid w:val="00445A00"/>
    <w:rsid w:val="004463BD"/>
    <w:rsid w:val="00451B0F"/>
    <w:rsid w:val="004C2EE3"/>
    <w:rsid w:val="004E4A22"/>
    <w:rsid w:val="00511968"/>
    <w:rsid w:val="0055614C"/>
    <w:rsid w:val="00585A10"/>
    <w:rsid w:val="005B04A7"/>
    <w:rsid w:val="005E14C2"/>
    <w:rsid w:val="005E5D04"/>
    <w:rsid w:val="00607BA5"/>
    <w:rsid w:val="0061180A"/>
    <w:rsid w:val="006234A4"/>
    <w:rsid w:val="00626EB6"/>
    <w:rsid w:val="00640A09"/>
    <w:rsid w:val="00655D03"/>
    <w:rsid w:val="00683388"/>
    <w:rsid w:val="00683F84"/>
    <w:rsid w:val="006A6A81"/>
    <w:rsid w:val="006F7393"/>
    <w:rsid w:val="0070224F"/>
    <w:rsid w:val="007115F7"/>
    <w:rsid w:val="00785689"/>
    <w:rsid w:val="0079754B"/>
    <w:rsid w:val="007A1E6D"/>
    <w:rsid w:val="007B0EB2"/>
    <w:rsid w:val="007D1680"/>
    <w:rsid w:val="007F4973"/>
    <w:rsid w:val="00810B6F"/>
    <w:rsid w:val="00814EA2"/>
    <w:rsid w:val="00822CE0"/>
    <w:rsid w:val="00841AB1"/>
    <w:rsid w:val="008A5339"/>
    <w:rsid w:val="008C45A8"/>
    <w:rsid w:val="008C68F1"/>
    <w:rsid w:val="00921803"/>
    <w:rsid w:val="00926503"/>
    <w:rsid w:val="009506A8"/>
    <w:rsid w:val="009726D8"/>
    <w:rsid w:val="00992B44"/>
    <w:rsid w:val="009C43FC"/>
    <w:rsid w:val="009F76DB"/>
    <w:rsid w:val="00A07132"/>
    <w:rsid w:val="00A32C3B"/>
    <w:rsid w:val="00A45F4F"/>
    <w:rsid w:val="00A565C1"/>
    <w:rsid w:val="00A600A9"/>
    <w:rsid w:val="00AA55B7"/>
    <w:rsid w:val="00AA5B9E"/>
    <w:rsid w:val="00AB2407"/>
    <w:rsid w:val="00AB53DF"/>
    <w:rsid w:val="00AD55F5"/>
    <w:rsid w:val="00AF6ED2"/>
    <w:rsid w:val="00B07E5C"/>
    <w:rsid w:val="00B2246D"/>
    <w:rsid w:val="00B47BCA"/>
    <w:rsid w:val="00B67889"/>
    <w:rsid w:val="00B811F7"/>
    <w:rsid w:val="00BA1DFD"/>
    <w:rsid w:val="00BA5DC6"/>
    <w:rsid w:val="00BA6196"/>
    <w:rsid w:val="00BC6D8C"/>
    <w:rsid w:val="00BF7B84"/>
    <w:rsid w:val="00C27544"/>
    <w:rsid w:val="00C34006"/>
    <w:rsid w:val="00C426B1"/>
    <w:rsid w:val="00C66160"/>
    <w:rsid w:val="00C721AC"/>
    <w:rsid w:val="00C90D6A"/>
    <w:rsid w:val="00CA247E"/>
    <w:rsid w:val="00CC72B6"/>
    <w:rsid w:val="00CE091C"/>
    <w:rsid w:val="00D0218D"/>
    <w:rsid w:val="00D25FB5"/>
    <w:rsid w:val="00D44223"/>
    <w:rsid w:val="00D73491"/>
    <w:rsid w:val="00D94BAB"/>
    <w:rsid w:val="00DA2529"/>
    <w:rsid w:val="00DB130A"/>
    <w:rsid w:val="00DB2EBB"/>
    <w:rsid w:val="00DC10A1"/>
    <w:rsid w:val="00DC655F"/>
    <w:rsid w:val="00DD0B59"/>
    <w:rsid w:val="00DD7EBD"/>
    <w:rsid w:val="00DE2D7E"/>
    <w:rsid w:val="00DF62B6"/>
    <w:rsid w:val="00E07225"/>
    <w:rsid w:val="00E21A04"/>
    <w:rsid w:val="00E21F33"/>
    <w:rsid w:val="00E5409F"/>
    <w:rsid w:val="00E74076"/>
    <w:rsid w:val="00ED02A0"/>
    <w:rsid w:val="00EE6488"/>
    <w:rsid w:val="00F021FA"/>
    <w:rsid w:val="00F61D3F"/>
    <w:rsid w:val="00F62E97"/>
    <w:rsid w:val="00F64209"/>
    <w:rsid w:val="00F93BF5"/>
    <w:rsid w:val="00FA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F2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A10"/>
    <w:pPr>
      <w:widowControl w:val="0"/>
    </w:pPr>
    <w:rPr>
      <w:snapToGrid w:val="0"/>
      <w:kern w:val="28"/>
      <w:sz w:val="22"/>
    </w:rPr>
  </w:style>
  <w:style w:type="paragraph" w:styleId="Heading1">
    <w:name w:val="heading 1"/>
    <w:basedOn w:val="Normal"/>
    <w:next w:val="ParaNum"/>
    <w:qFormat/>
    <w:rsid w:val="00585A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5A10"/>
    <w:pPr>
      <w:keepNext/>
      <w:numPr>
        <w:ilvl w:val="1"/>
        <w:numId w:val="3"/>
      </w:numPr>
      <w:spacing w:after="120"/>
      <w:outlineLvl w:val="1"/>
    </w:pPr>
    <w:rPr>
      <w:b/>
    </w:rPr>
  </w:style>
  <w:style w:type="paragraph" w:styleId="Heading3">
    <w:name w:val="heading 3"/>
    <w:basedOn w:val="Normal"/>
    <w:next w:val="ParaNum"/>
    <w:qFormat/>
    <w:rsid w:val="00585A10"/>
    <w:pPr>
      <w:keepNext/>
      <w:numPr>
        <w:ilvl w:val="2"/>
        <w:numId w:val="3"/>
      </w:numPr>
      <w:tabs>
        <w:tab w:val="left" w:pos="2160"/>
      </w:tabs>
      <w:spacing w:after="120"/>
      <w:outlineLvl w:val="2"/>
    </w:pPr>
    <w:rPr>
      <w:b/>
    </w:rPr>
  </w:style>
  <w:style w:type="paragraph" w:styleId="Heading4">
    <w:name w:val="heading 4"/>
    <w:basedOn w:val="Normal"/>
    <w:next w:val="ParaNum"/>
    <w:qFormat/>
    <w:rsid w:val="00585A10"/>
    <w:pPr>
      <w:keepNext/>
      <w:numPr>
        <w:ilvl w:val="3"/>
        <w:numId w:val="3"/>
      </w:numPr>
      <w:tabs>
        <w:tab w:val="left" w:pos="2880"/>
      </w:tabs>
      <w:spacing w:after="120"/>
      <w:outlineLvl w:val="3"/>
    </w:pPr>
    <w:rPr>
      <w:b/>
    </w:rPr>
  </w:style>
  <w:style w:type="paragraph" w:styleId="Heading5">
    <w:name w:val="heading 5"/>
    <w:basedOn w:val="Normal"/>
    <w:next w:val="ParaNum"/>
    <w:qFormat/>
    <w:rsid w:val="00585A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5A10"/>
    <w:pPr>
      <w:numPr>
        <w:ilvl w:val="5"/>
        <w:numId w:val="3"/>
      </w:numPr>
      <w:tabs>
        <w:tab w:val="left" w:pos="4320"/>
      </w:tabs>
      <w:spacing w:after="120"/>
      <w:outlineLvl w:val="5"/>
    </w:pPr>
    <w:rPr>
      <w:b/>
    </w:rPr>
  </w:style>
  <w:style w:type="paragraph" w:styleId="Heading7">
    <w:name w:val="heading 7"/>
    <w:basedOn w:val="Normal"/>
    <w:next w:val="ParaNum"/>
    <w:qFormat/>
    <w:rsid w:val="00585A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5A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5A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5A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A10"/>
  </w:style>
  <w:style w:type="paragraph" w:customStyle="1" w:styleId="ParaNum">
    <w:name w:val="ParaNum"/>
    <w:basedOn w:val="Normal"/>
    <w:rsid w:val="00585A10"/>
    <w:pPr>
      <w:numPr>
        <w:numId w:val="2"/>
      </w:numPr>
      <w:tabs>
        <w:tab w:val="clear" w:pos="1080"/>
        <w:tab w:val="num" w:pos="1440"/>
      </w:tabs>
      <w:spacing w:after="120"/>
    </w:pPr>
  </w:style>
  <w:style w:type="paragraph" w:styleId="EndnoteText">
    <w:name w:val="endnote text"/>
    <w:basedOn w:val="Normal"/>
    <w:semiHidden/>
    <w:rsid w:val="00585A10"/>
    <w:rPr>
      <w:sz w:val="20"/>
    </w:rPr>
  </w:style>
  <w:style w:type="character" w:styleId="EndnoteReference">
    <w:name w:val="endnote reference"/>
    <w:semiHidden/>
    <w:rsid w:val="00585A10"/>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585A10"/>
    <w:pPr>
      <w:spacing w:after="120"/>
    </w:pPr>
  </w:style>
  <w:style w:type="character" w:styleId="FootnoteReference">
    <w:name w:val="footnote reference"/>
    <w:aliases w:val="Style 12,(NECG) Footnote Reference,Appel note de bas de p,Style 124,o,fr,Style 3,Style 13,Style 17,FR,Style 4,Footnote Reference/,Style 6"/>
    <w:rsid w:val="00585A10"/>
    <w:rPr>
      <w:rFonts w:ascii="Times New Roman" w:hAnsi="Times New Roman"/>
      <w:dstrike w:val="0"/>
      <w:color w:val="auto"/>
      <w:sz w:val="20"/>
      <w:vertAlign w:val="superscript"/>
    </w:rPr>
  </w:style>
  <w:style w:type="paragraph" w:styleId="TOC1">
    <w:name w:val="toc 1"/>
    <w:basedOn w:val="Normal"/>
    <w:next w:val="Normal"/>
    <w:semiHidden/>
    <w:rsid w:val="00585A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5A10"/>
    <w:pPr>
      <w:tabs>
        <w:tab w:val="left" w:pos="720"/>
        <w:tab w:val="right" w:leader="dot" w:pos="9360"/>
      </w:tabs>
      <w:suppressAutoHyphens/>
      <w:ind w:left="720" w:right="720" w:hanging="360"/>
    </w:pPr>
    <w:rPr>
      <w:noProof/>
    </w:rPr>
  </w:style>
  <w:style w:type="paragraph" w:styleId="TOC3">
    <w:name w:val="toc 3"/>
    <w:basedOn w:val="Normal"/>
    <w:next w:val="Normal"/>
    <w:semiHidden/>
    <w:rsid w:val="00585A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5A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5A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5A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5A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5A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5A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5A10"/>
    <w:pPr>
      <w:tabs>
        <w:tab w:val="right" w:pos="9360"/>
      </w:tabs>
      <w:suppressAutoHyphens/>
    </w:pPr>
  </w:style>
  <w:style w:type="character" w:customStyle="1" w:styleId="EquationCaption">
    <w:name w:val="_Equation Caption"/>
    <w:rsid w:val="00585A10"/>
  </w:style>
  <w:style w:type="paragraph" w:styleId="Header">
    <w:name w:val="header"/>
    <w:basedOn w:val="Normal"/>
    <w:autoRedefine/>
    <w:rsid w:val="00585A10"/>
    <w:pPr>
      <w:tabs>
        <w:tab w:val="center" w:pos="4680"/>
        <w:tab w:val="right" w:pos="9360"/>
      </w:tabs>
    </w:pPr>
    <w:rPr>
      <w:b/>
    </w:rPr>
  </w:style>
  <w:style w:type="paragraph" w:styleId="Footer">
    <w:name w:val="footer"/>
    <w:basedOn w:val="Normal"/>
    <w:rsid w:val="00585A10"/>
    <w:pPr>
      <w:tabs>
        <w:tab w:val="center" w:pos="4320"/>
        <w:tab w:val="right" w:pos="8640"/>
      </w:tabs>
    </w:pPr>
  </w:style>
  <w:style w:type="character" w:styleId="PageNumber">
    <w:name w:val="page number"/>
    <w:basedOn w:val="DefaultParagraphFont"/>
    <w:rsid w:val="00585A10"/>
  </w:style>
  <w:style w:type="paragraph" w:styleId="BlockText">
    <w:name w:val="Block Text"/>
    <w:basedOn w:val="Normal"/>
    <w:rsid w:val="00585A10"/>
    <w:pPr>
      <w:spacing w:after="240"/>
      <w:ind w:left="1440" w:right="1440"/>
    </w:pPr>
  </w:style>
  <w:style w:type="paragraph" w:customStyle="1" w:styleId="Paratitle">
    <w:name w:val="Para title"/>
    <w:basedOn w:val="Normal"/>
    <w:rsid w:val="00585A10"/>
    <w:pPr>
      <w:tabs>
        <w:tab w:val="center" w:pos="9270"/>
      </w:tabs>
      <w:spacing w:after="240"/>
    </w:pPr>
    <w:rPr>
      <w:spacing w:val="-2"/>
    </w:rPr>
  </w:style>
  <w:style w:type="paragraph" w:customStyle="1" w:styleId="Bullet">
    <w:name w:val="Bullet"/>
    <w:basedOn w:val="Normal"/>
    <w:rsid w:val="00585A10"/>
    <w:pPr>
      <w:tabs>
        <w:tab w:val="left" w:pos="2160"/>
      </w:tabs>
      <w:spacing w:after="220"/>
      <w:ind w:left="2160" w:hanging="720"/>
    </w:pPr>
  </w:style>
  <w:style w:type="paragraph" w:customStyle="1" w:styleId="TableFormat">
    <w:name w:val="TableFormat"/>
    <w:basedOn w:val="Bullet"/>
    <w:rsid w:val="00585A10"/>
    <w:pPr>
      <w:tabs>
        <w:tab w:val="clear" w:pos="2160"/>
        <w:tab w:val="left" w:pos="5040"/>
      </w:tabs>
      <w:ind w:left="5040" w:hanging="3600"/>
    </w:pPr>
  </w:style>
  <w:style w:type="paragraph" w:customStyle="1" w:styleId="TOCTitle">
    <w:name w:val="TOC Title"/>
    <w:basedOn w:val="Normal"/>
    <w:rsid w:val="00585A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5A10"/>
    <w:pPr>
      <w:jc w:val="center"/>
    </w:pPr>
    <w:rPr>
      <w:rFonts w:ascii="Times New Roman Bold" w:hAnsi="Times New Roman Bold"/>
      <w:b/>
      <w:bCs/>
      <w:caps/>
      <w:szCs w:val="22"/>
    </w:rPr>
  </w:style>
  <w:style w:type="character" w:styleId="Hyperlink">
    <w:name w:val="Hyperlink"/>
    <w:rsid w:val="00585A10"/>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2B1CC3"/>
  </w:style>
  <w:style w:type="paragraph" w:styleId="BalloonText">
    <w:name w:val="Balloon Text"/>
    <w:basedOn w:val="Normal"/>
    <w:link w:val="BalloonTextChar"/>
    <w:rsid w:val="00105D95"/>
    <w:rPr>
      <w:rFonts w:ascii="Segoe UI" w:hAnsi="Segoe UI" w:cs="Segoe UI"/>
      <w:sz w:val="18"/>
      <w:szCs w:val="18"/>
    </w:rPr>
  </w:style>
  <w:style w:type="character" w:customStyle="1" w:styleId="BalloonTextChar">
    <w:name w:val="Balloon Text Char"/>
    <w:basedOn w:val="DefaultParagraphFont"/>
    <w:link w:val="BalloonText"/>
    <w:rsid w:val="00105D95"/>
    <w:rPr>
      <w:rFonts w:ascii="Segoe UI" w:hAnsi="Segoe UI" w:cs="Segoe UI"/>
      <w:snapToGrid w:val="0"/>
      <w:kern w:val="28"/>
      <w:sz w:val="18"/>
      <w:szCs w:val="18"/>
    </w:rPr>
  </w:style>
  <w:style w:type="character" w:styleId="CommentReference">
    <w:name w:val="annotation reference"/>
    <w:basedOn w:val="DefaultParagraphFont"/>
    <w:rsid w:val="00105D95"/>
    <w:rPr>
      <w:sz w:val="16"/>
      <w:szCs w:val="16"/>
    </w:rPr>
  </w:style>
  <w:style w:type="paragraph" w:styleId="CommentText">
    <w:name w:val="annotation text"/>
    <w:basedOn w:val="Normal"/>
    <w:link w:val="CommentTextChar"/>
    <w:rsid w:val="00105D95"/>
    <w:rPr>
      <w:sz w:val="20"/>
    </w:rPr>
  </w:style>
  <w:style w:type="character" w:customStyle="1" w:styleId="CommentTextChar">
    <w:name w:val="Comment Text Char"/>
    <w:basedOn w:val="DefaultParagraphFont"/>
    <w:link w:val="CommentText"/>
    <w:rsid w:val="00105D95"/>
    <w:rPr>
      <w:snapToGrid w:val="0"/>
      <w:kern w:val="28"/>
    </w:rPr>
  </w:style>
  <w:style w:type="paragraph" w:styleId="CommentSubject">
    <w:name w:val="annotation subject"/>
    <w:basedOn w:val="CommentText"/>
    <w:next w:val="CommentText"/>
    <w:link w:val="CommentSubjectChar"/>
    <w:rsid w:val="00105D95"/>
    <w:rPr>
      <w:b/>
      <w:bCs/>
    </w:rPr>
  </w:style>
  <w:style w:type="character" w:customStyle="1" w:styleId="CommentSubjectChar">
    <w:name w:val="Comment Subject Char"/>
    <w:basedOn w:val="CommentTextChar"/>
    <w:link w:val="CommentSubject"/>
    <w:rsid w:val="00105D9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A10"/>
    <w:pPr>
      <w:widowControl w:val="0"/>
    </w:pPr>
    <w:rPr>
      <w:snapToGrid w:val="0"/>
      <w:kern w:val="28"/>
      <w:sz w:val="22"/>
    </w:rPr>
  </w:style>
  <w:style w:type="paragraph" w:styleId="Heading1">
    <w:name w:val="heading 1"/>
    <w:basedOn w:val="Normal"/>
    <w:next w:val="ParaNum"/>
    <w:qFormat/>
    <w:rsid w:val="00585A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5A10"/>
    <w:pPr>
      <w:keepNext/>
      <w:numPr>
        <w:ilvl w:val="1"/>
        <w:numId w:val="3"/>
      </w:numPr>
      <w:spacing w:after="120"/>
      <w:outlineLvl w:val="1"/>
    </w:pPr>
    <w:rPr>
      <w:b/>
    </w:rPr>
  </w:style>
  <w:style w:type="paragraph" w:styleId="Heading3">
    <w:name w:val="heading 3"/>
    <w:basedOn w:val="Normal"/>
    <w:next w:val="ParaNum"/>
    <w:qFormat/>
    <w:rsid w:val="00585A10"/>
    <w:pPr>
      <w:keepNext/>
      <w:numPr>
        <w:ilvl w:val="2"/>
        <w:numId w:val="3"/>
      </w:numPr>
      <w:tabs>
        <w:tab w:val="left" w:pos="2160"/>
      </w:tabs>
      <w:spacing w:after="120"/>
      <w:outlineLvl w:val="2"/>
    </w:pPr>
    <w:rPr>
      <w:b/>
    </w:rPr>
  </w:style>
  <w:style w:type="paragraph" w:styleId="Heading4">
    <w:name w:val="heading 4"/>
    <w:basedOn w:val="Normal"/>
    <w:next w:val="ParaNum"/>
    <w:qFormat/>
    <w:rsid w:val="00585A10"/>
    <w:pPr>
      <w:keepNext/>
      <w:numPr>
        <w:ilvl w:val="3"/>
        <w:numId w:val="3"/>
      </w:numPr>
      <w:tabs>
        <w:tab w:val="left" w:pos="2880"/>
      </w:tabs>
      <w:spacing w:after="120"/>
      <w:outlineLvl w:val="3"/>
    </w:pPr>
    <w:rPr>
      <w:b/>
    </w:rPr>
  </w:style>
  <w:style w:type="paragraph" w:styleId="Heading5">
    <w:name w:val="heading 5"/>
    <w:basedOn w:val="Normal"/>
    <w:next w:val="ParaNum"/>
    <w:qFormat/>
    <w:rsid w:val="00585A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5A10"/>
    <w:pPr>
      <w:numPr>
        <w:ilvl w:val="5"/>
        <w:numId w:val="3"/>
      </w:numPr>
      <w:tabs>
        <w:tab w:val="left" w:pos="4320"/>
      </w:tabs>
      <w:spacing w:after="120"/>
      <w:outlineLvl w:val="5"/>
    </w:pPr>
    <w:rPr>
      <w:b/>
    </w:rPr>
  </w:style>
  <w:style w:type="paragraph" w:styleId="Heading7">
    <w:name w:val="heading 7"/>
    <w:basedOn w:val="Normal"/>
    <w:next w:val="ParaNum"/>
    <w:qFormat/>
    <w:rsid w:val="00585A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5A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5A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5A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A10"/>
  </w:style>
  <w:style w:type="paragraph" w:customStyle="1" w:styleId="ParaNum">
    <w:name w:val="ParaNum"/>
    <w:basedOn w:val="Normal"/>
    <w:rsid w:val="00585A10"/>
    <w:pPr>
      <w:numPr>
        <w:numId w:val="2"/>
      </w:numPr>
      <w:tabs>
        <w:tab w:val="clear" w:pos="1080"/>
        <w:tab w:val="num" w:pos="1440"/>
      </w:tabs>
      <w:spacing w:after="120"/>
    </w:pPr>
  </w:style>
  <w:style w:type="paragraph" w:styleId="EndnoteText">
    <w:name w:val="endnote text"/>
    <w:basedOn w:val="Normal"/>
    <w:semiHidden/>
    <w:rsid w:val="00585A10"/>
    <w:rPr>
      <w:sz w:val="20"/>
    </w:rPr>
  </w:style>
  <w:style w:type="character" w:styleId="EndnoteReference">
    <w:name w:val="endnote reference"/>
    <w:semiHidden/>
    <w:rsid w:val="00585A10"/>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585A10"/>
    <w:pPr>
      <w:spacing w:after="120"/>
    </w:pPr>
  </w:style>
  <w:style w:type="character" w:styleId="FootnoteReference">
    <w:name w:val="footnote reference"/>
    <w:aliases w:val="Style 12,(NECG) Footnote Reference,Appel note de bas de p,Style 124,o,fr,Style 3,Style 13,Style 17,FR,Style 4,Footnote Reference/,Style 6"/>
    <w:rsid w:val="00585A10"/>
    <w:rPr>
      <w:rFonts w:ascii="Times New Roman" w:hAnsi="Times New Roman"/>
      <w:dstrike w:val="0"/>
      <w:color w:val="auto"/>
      <w:sz w:val="20"/>
      <w:vertAlign w:val="superscript"/>
    </w:rPr>
  </w:style>
  <w:style w:type="paragraph" w:styleId="TOC1">
    <w:name w:val="toc 1"/>
    <w:basedOn w:val="Normal"/>
    <w:next w:val="Normal"/>
    <w:semiHidden/>
    <w:rsid w:val="00585A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5A10"/>
    <w:pPr>
      <w:tabs>
        <w:tab w:val="left" w:pos="720"/>
        <w:tab w:val="right" w:leader="dot" w:pos="9360"/>
      </w:tabs>
      <w:suppressAutoHyphens/>
      <w:ind w:left="720" w:right="720" w:hanging="360"/>
    </w:pPr>
    <w:rPr>
      <w:noProof/>
    </w:rPr>
  </w:style>
  <w:style w:type="paragraph" w:styleId="TOC3">
    <w:name w:val="toc 3"/>
    <w:basedOn w:val="Normal"/>
    <w:next w:val="Normal"/>
    <w:semiHidden/>
    <w:rsid w:val="00585A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5A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5A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5A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5A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5A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5A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5A10"/>
    <w:pPr>
      <w:tabs>
        <w:tab w:val="right" w:pos="9360"/>
      </w:tabs>
      <w:suppressAutoHyphens/>
    </w:pPr>
  </w:style>
  <w:style w:type="character" w:customStyle="1" w:styleId="EquationCaption">
    <w:name w:val="_Equation Caption"/>
    <w:rsid w:val="00585A10"/>
  </w:style>
  <w:style w:type="paragraph" w:styleId="Header">
    <w:name w:val="header"/>
    <w:basedOn w:val="Normal"/>
    <w:autoRedefine/>
    <w:rsid w:val="00585A10"/>
    <w:pPr>
      <w:tabs>
        <w:tab w:val="center" w:pos="4680"/>
        <w:tab w:val="right" w:pos="9360"/>
      </w:tabs>
    </w:pPr>
    <w:rPr>
      <w:b/>
    </w:rPr>
  </w:style>
  <w:style w:type="paragraph" w:styleId="Footer">
    <w:name w:val="footer"/>
    <w:basedOn w:val="Normal"/>
    <w:rsid w:val="00585A10"/>
    <w:pPr>
      <w:tabs>
        <w:tab w:val="center" w:pos="4320"/>
        <w:tab w:val="right" w:pos="8640"/>
      </w:tabs>
    </w:pPr>
  </w:style>
  <w:style w:type="character" w:styleId="PageNumber">
    <w:name w:val="page number"/>
    <w:basedOn w:val="DefaultParagraphFont"/>
    <w:rsid w:val="00585A10"/>
  </w:style>
  <w:style w:type="paragraph" w:styleId="BlockText">
    <w:name w:val="Block Text"/>
    <w:basedOn w:val="Normal"/>
    <w:rsid w:val="00585A10"/>
    <w:pPr>
      <w:spacing w:after="240"/>
      <w:ind w:left="1440" w:right="1440"/>
    </w:pPr>
  </w:style>
  <w:style w:type="paragraph" w:customStyle="1" w:styleId="Paratitle">
    <w:name w:val="Para title"/>
    <w:basedOn w:val="Normal"/>
    <w:rsid w:val="00585A10"/>
    <w:pPr>
      <w:tabs>
        <w:tab w:val="center" w:pos="9270"/>
      </w:tabs>
      <w:spacing w:after="240"/>
    </w:pPr>
    <w:rPr>
      <w:spacing w:val="-2"/>
    </w:rPr>
  </w:style>
  <w:style w:type="paragraph" w:customStyle="1" w:styleId="Bullet">
    <w:name w:val="Bullet"/>
    <w:basedOn w:val="Normal"/>
    <w:rsid w:val="00585A10"/>
    <w:pPr>
      <w:tabs>
        <w:tab w:val="left" w:pos="2160"/>
      </w:tabs>
      <w:spacing w:after="220"/>
      <w:ind w:left="2160" w:hanging="720"/>
    </w:pPr>
  </w:style>
  <w:style w:type="paragraph" w:customStyle="1" w:styleId="TableFormat">
    <w:name w:val="TableFormat"/>
    <w:basedOn w:val="Bullet"/>
    <w:rsid w:val="00585A10"/>
    <w:pPr>
      <w:tabs>
        <w:tab w:val="clear" w:pos="2160"/>
        <w:tab w:val="left" w:pos="5040"/>
      </w:tabs>
      <w:ind w:left="5040" w:hanging="3600"/>
    </w:pPr>
  </w:style>
  <w:style w:type="paragraph" w:customStyle="1" w:styleId="TOCTitle">
    <w:name w:val="TOC Title"/>
    <w:basedOn w:val="Normal"/>
    <w:rsid w:val="00585A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5A10"/>
    <w:pPr>
      <w:jc w:val="center"/>
    </w:pPr>
    <w:rPr>
      <w:rFonts w:ascii="Times New Roman Bold" w:hAnsi="Times New Roman Bold"/>
      <w:b/>
      <w:bCs/>
      <w:caps/>
      <w:szCs w:val="22"/>
    </w:rPr>
  </w:style>
  <w:style w:type="character" w:styleId="Hyperlink">
    <w:name w:val="Hyperlink"/>
    <w:rsid w:val="00585A10"/>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2B1CC3"/>
  </w:style>
  <w:style w:type="paragraph" w:styleId="BalloonText">
    <w:name w:val="Balloon Text"/>
    <w:basedOn w:val="Normal"/>
    <w:link w:val="BalloonTextChar"/>
    <w:rsid w:val="00105D95"/>
    <w:rPr>
      <w:rFonts w:ascii="Segoe UI" w:hAnsi="Segoe UI" w:cs="Segoe UI"/>
      <w:sz w:val="18"/>
      <w:szCs w:val="18"/>
    </w:rPr>
  </w:style>
  <w:style w:type="character" w:customStyle="1" w:styleId="BalloonTextChar">
    <w:name w:val="Balloon Text Char"/>
    <w:basedOn w:val="DefaultParagraphFont"/>
    <w:link w:val="BalloonText"/>
    <w:rsid w:val="00105D95"/>
    <w:rPr>
      <w:rFonts w:ascii="Segoe UI" w:hAnsi="Segoe UI" w:cs="Segoe UI"/>
      <w:snapToGrid w:val="0"/>
      <w:kern w:val="28"/>
      <w:sz w:val="18"/>
      <w:szCs w:val="18"/>
    </w:rPr>
  </w:style>
  <w:style w:type="character" w:styleId="CommentReference">
    <w:name w:val="annotation reference"/>
    <w:basedOn w:val="DefaultParagraphFont"/>
    <w:rsid w:val="00105D95"/>
    <w:rPr>
      <w:sz w:val="16"/>
      <w:szCs w:val="16"/>
    </w:rPr>
  </w:style>
  <w:style w:type="paragraph" w:styleId="CommentText">
    <w:name w:val="annotation text"/>
    <w:basedOn w:val="Normal"/>
    <w:link w:val="CommentTextChar"/>
    <w:rsid w:val="00105D95"/>
    <w:rPr>
      <w:sz w:val="20"/>
    </w:rPr>
  </w:style>
  <w:style w:type="character" w:customStyle="1" w:styleId="CommentTextChar">
    <w:name w:val="Comment Text Char"/>
    <w:basedOn w:val="DefaultParagraphFont"/>
    <w:link w:val="CommentText"/>
    <w:rsid w:val="00105D95"/>
    <w:rPr>
      <w:snapToGrid w:val="0"/>
      <w:kern w:val="28"/>
    </w:rPr>
  </w:style>
  <w:style w:type="paragraph" w:styleId="CommentSubject">
    <w:name w:val="annotation subject"/>
    <w:basedOn w:val="CommentText"/>
    <w:next w:val="CommentText"/>
    <w:link w:val="CommentSubjectChar"/>
    <w:rsid w:val="00105D95"/>
    <w:rPr>
      <w:b/>
      <w:bCs/>
    </w:rPr>
  </w:style>
  <w:style w:type="character" w:customStyle="1" w:styleId="CommentSubjectChar">
    <w:name w:val="Comment Subject Char"/>
    <w:basedOn w:val="CommentTextChar"/>
    <w:link w:val="CommentSubject"/>
    <w:rsid w:val="00105D9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433</Words>
  <Characters>2298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2017-02-23T14:32:00Z</dcterms:created>
  <dcterms:modified xsi:type="dcterms:W3CDTF">2017-02-23T14:32:00Z</dcterms:modified>
  <cp:category> </cp:category>
  <cp:contentStatus> </cp:contentStatus>
</cp:coreProperties>
</file>