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rPr>
          <w:caps w:val="0"/>
        </w:rPr>
      </w:pPr>
      <w:r>
        <w:rPr>
          <w:caps w:val="0"/>
        </w:rPr>
        <w:t>Washington, D.C. 20554</w:t>
      </w:r>
    </w:p>
    <w:p w:rsidR="00210443" w:rsidRDefault="00210443" w:rsidP="00096D8C">
      <w:pPr>
        <w:pStyle w:val="StyleBoldCentered"/>
      </w:pP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B06D5C" w:rsidRDefault="00F27663" w:rsidP="00F27663">
            <w:pPr>
              <w:autoSpaceDE w:val="0"/>
              <w:autoSpaceDN w:val="0"/>
              <w:adjustRightInd w:val="0"/>
              <w:rPr>
                <w:szCs w:val="22"/>
              </w:rPr>
            </w:pPr>
            <w:r w:rsidRPr="00B06D5C">
              <w:rPr>
                <w:szCs w:val="22"/>
              </w:rPr>
              <w:t>Section 43.62 Reporting Requirements for U.S. Providers of International Services</w:t>
            </w:r>
          </w:p>
          <w:p w:rsidR="00F27663" w:rsidRDefault="00F27663" w:rsidP="00F27663">
            <w:pPr>
              <w:autoSpaceDE w:val="0"/>
              <w:autoSpaceDN w:val="0"/>
              <w:adjustRightInd w:val="0"/>
              <w:rPr>
                <w:spacing w:val="-2"/>
              </w:rPr>
            </w:pPr>
          </w:p>
          <w:p w:rsidR="00101496" w:rsidRPr="007115F7" w:rsidRDefault="000A1232" w:rsidP="00F27663">
            <w:pPr>
              <w:autoSpaceDE w:val="0"/>
              <w:autoSpaceDN w:val="0"/>
              <w:adjustRightInd w:val="0"/>
              <w:rPr>
                <w:spacing w:val="-2"/>
              </w:rPr>
            </w:pPr>
            <w:r>
              <w:t>2016 Biennial Review of Telecommunications Regulations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0A1232" w:rsidP="00793700">
            <w:pPr>
              <w:tabs>
                <w:tab w:val="center" w:pos="4680"/>
              </w:tabs>
              <w:suppressAutoHyphens/>
              <w:rPr>
                <w:spacing w:val="-2"/>
              </w:rPr>
            </w:pPr>
            <w:r>
              <w:rPr>
                <w:spacing w:val="-2"/>
              </w:rPr>
              <w:t>)</w:t>
            </w:r>
          </w:p>
          <w:p w:rsidR="000A1232" w:rsidRDefault="000A1232" w:rsidP="00793700">
            <w:pPr>
              <w:tabs>
                <w:tab w:val="center" w:pos="4680"/>
              </w:tabs>
              <w:suppressAutoHyphens/>
              <w:rPr>
                <w:spacing w:val="-2"/>
              </w:rPr>
            </w:pPr>
            <w:r>
              <w:rPr>
                <w:spacing w:val="-2"/>
              </w:rPr>
              <w:t>)</w:t>
            </w:r>
          </w:p>
          <w:p w:rsidR="000A1232" w:rsidRDefault="000A1232" w:rsidP="00793700">
            <w:pPr>
              <w:tabs>
                <w:tab w:val="center" w:pos="4680"/>
              </w:tabs>
              <w:suppressAutoHyphens/>
              <w:rPr>
                <w:spacing w:val="-2"/>
              </w:rPr>
            </w:pPr>
            <w:r>
              <w:rPr>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8F47A1">
            <w:pPr>
              <w:tabs>
                <w:tab w:val="center" w:pos="4680"/>
              </w:tabs>
              <w:suppressAutoHyphens/>
              <w:rPr>
                <w:spacing w:val="-2"/>
              </w:rPr>
            </w:pPr>
            <w:r>
              <w:rPr>
                <w:spacing w:val="-2"/>
              </w:rPr>
              <w:t>IB Docket No. 1</w:t>
            </w:r>
            <w:r w:rsidR="00E87E1C">
              <w:rPr>
                <w:spacing w:val="-2"/>
              </w:rPr>
              <w:t>7</w:t>
            </w:r>
            <w:r w:rsidR="00210443">
              <w:rPr>
                <w:spacing w:val="-2"/>
              </w:rPr>
              <w:t>-55</w:t>
            </w:r>
          </w:p>
          <w:p w:rsidR="00101496" w:rsidRDefault="00101496">
            <w:pPr>
              <w:tabs>
                <w:tab w:val="center" w:pos="4680"/>
              </w:tabs>
              <w:suppressAutoHyphens/>
              <w:rPr>
                <w:spacing w:val="-2"/>
              </w:rPr>
            </w:pPr>
          </w:p>
          <w:p w:rsidR="00101496" w:rsidRDefault="00101496">
            <w:pPr>
              <w:tabs>
                <w:tab w:val="center" w:pos="4680"/>
              </w:tabs>
              <w:suppressAutoHyphens/>
              <w:rPr>
                <w:spacing w:val="-2"/>
              </w:rPr>
            </w:pPr>
          </w:p>
          <w:p w:rsidR="008F47A1" w:rsidRDefault="000A1232">
            <w:pPr>
              <w:tabs>
                <w:tab w:val="center" w:pos="4680"/>
              </w:tabs>
              <w:suppressAutoHyphens/>
              <w:rPr>
                <w:spacing w:val="-2"/>
              </w:rPr>
            </w:pPr>
            <w:r>
              <w:rPr>
                <w:spacing w:val="-2"/>
              </w:rPr>
              <w:t>IB Docket No. 16-131</w:t>
            </w:r>
          </w:p>
          <w:p w:rsidR="008F47A1" w:rsidRDefault="008F47A1">
            <w:pPr>
              <w:tabs>
                <w:tab w:val="center" w:pos="4680"/>
              </w:tabs>
              <w:suppressAutoHyphens/>
              <w:rPr>
                <w:spacing w:val="-2"/>
              </w:rPr>
            </w:pPr>
          </w:p>
        </w:tc>
      </w:tr>
    </w:tbl>
    <w:p w:rsidR="00855304" w:rsidRDefault="00855304" w:rsidP="00F021FA">
      <w:pPr>
        <w:pStyle w:val="StyleBoldCentered"/>
      </w:pPr>
    </w:p>
    <w:p w:rsidR="00855304" w:rsidRDefault="00855304" w:rsidP="00F021FA">
      <w:pPr>
        <w:pStyle w:val="StyleBoldCentered"/>
      </w:pPr>
    </w:p>
    <w:p w:rsidR="00841AB1" w:rsidRDefault="00F27663" w:rsidP="00F021FA">
      <w:pPr>
        <w:pStyle w:val="StyleBoldCentered"/>
      </w:pPr>
      <w:r>
        <w:t>notice of proposed rulemaking</w:t>
      </w:r>
    </w:p>
    <w:p w:rsidR="00210443" w:rsidRDefault="00210443" w:rsidP="00F021FA">
      <w:pPr>
        <w:pStyle w:val="StyleBoldCentered"/>
      </w:pP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E0CD8">
        <w:rPr>
          <w:b/>
          <w:spacing w:val="-2"/>
        </w:rPr>
        <w:t xml:space="preserve">March </w:t>
      </w:r>
      <w:r w:rsidR="00CF6E96">
        <w:rPr>
          <w:b/>
          <w:spacing w:val="-2"/>
        </w:rPr>
        <w:t>23</w:t>
      </w:r>
      <w:r w:rsidR="008E0CD8">
        <w:rPr>
          <w:b/>
          <w:spacing w:val="-2"/>
        </w:rPr>
        <w:t>, 20</w:t>
      </w:r>
      <w:r w:rsidR="00924722">
        <w:rPr>
          <w:b/>
          <w:spacing w:val="-2"/>
        </w:rPr>
        <w:t>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E0CD8">
        <w:rPr>
          <w:b/>
          <w:spacing w:val="-2"/>
        </w:rPr>
        <w:t xml:space="preserve">March </w:t>
      </w:r>
      <w:r w:rsidR="00CF6E96">
        <w:rPr>
          <w:b/>
          <w:spacing w:val="-2"/>
        </w:rPr>
        <w:t>23</w:t>
      </w:r>
      <w:r w:rsidR="008E0CD8">
        <w:rPr>
          <w:b/>
          <w:spacing w:val="-2"/>
        </w:rPr>
        <w:t>, 2017</w:t>
      </w:r>
    </w:p>
    <w:p w:rsidR="00822CE0" w:rsidRDefault="00822CE0"/>
    <w:p w:rsidR="00210443" w:rsidRDefault="00210443" w:rsidP="00430134">
      <w:pPr>
        <w:tabs>
          <w:tab w:val="left" w:pos="720"/>
          <w:tab w:val="left" w:pos="5760"/>
        </w:tabs>
        <w:suppressAutoHyphens/>
        <w:spacing w:line="227" w:lineRule="auto"/>
        <w:rPr>
          <w:b/>
          <w:spacing w:val="-2"/>
        </w:rPr>
      </w:pPr>
    </w:p>
    <w:p w:rsidR="00430134" w:rsidRPr="00F00C68" w:rsidRDefault="00D77B45" w:rsidP="00430134">
      <w:pPr>
        <w:tabs>
          <w:tab w:val="left" w:pos="720"/>
          <w:tab w:val="left" w:pos="5760"/>
        </w:tabs>
        <w:suppressAutoHyphens/>
        <w:spacing w:line="227" w:lineRule="auto"/>
        <w:rPr>
          <w:b/>
          <w:spacing w:val="-2"/>
        </w:rPr>
      </w:pPr>
      <w:r>
        <w:rPr>
          <w:b/>
          <w:spacing w:val="-2"/>
        </w:rPr>
        <w:t>Comment Date:  (30</w:t>
      </w:r>
      <w:r w:rsidR="00430134">
        <w:rPr>
          <w:b/>
          <w:spacing w:val="-2"/>
        </w:rPr>
        <w:t xml:space="preserve"> </w:t>
      </w:r>
      <w:r w:rsidR="00430134" w:rsidRPr="00F00C68">
        <w:rPr>
          <w:b/>
          <w:spacing w:val="-2"/>
        </w:rPr>
        <w:t>days after publication in the Federal Register)</w:t>
      </w:r>
    </w:p>
    <w:p w:rsidR="00430134" w:rsidRDefault="00D77B45" w:rsidP="00430134">
      <w:pPr>
        <w:tabs>
          <w:tab w:val="left" w:pos="720"/>
          <w:tab w:val="left" w:pos="5760"/>
        </w:tabs>
        <w:suppressAutoHyphens/>
        <w:spacing w:line="227" w:lineRule="auto"/>
        <w:rPr>
          <w:b/>
          <w:spacing w:val="-2"/>
        </w:rPr>
      </w:pPr>
      <w:r>
        <w:rPr>
          <w:b/>
          <w:spacing w:val="-2"/>
        </w:rPr>
        <w:t>Reply Comment Date:  (45</w:t>
      </w:r>
      <w:r w:rsidR="00430134" w:rsidRPr="00F00C68">
        <w:rPr>
          <w:b/>
          <w:spacing w:val="-2"/>
        </w:rPr>
        <w:t xml:space="preserve"> days after publication in the Federal Register)</w:t>
      </w:r>
    </w:p>
    <w:p w:rsidR="00430134" w:rsidRDefault="00430134"/>
    <w:p w:rsidR="004C2EE3" w:rsidRDefault="004C2EE3">
      <w:pPr>
        <w:rPr>
          <w:spacing w:val="-2"/>
        </w:rPr>
      </w:pPr>
      <w:r>
        <w:t xml:space="preserve">By </w:t>
      </w:r>
      <w:r w:rsidR="004E4A22">
        <w:t>the</w:t>
      </w:r>
      <w:r w:rsidR="008F47A1">
        <w:rPr>
          <w:spacing w:val="-2"/>
        </w:rPr>
        <w:t xml:space="preserve"> Commission</w:t>
      </w:r>
      <w:r>
        <w:rPr>
          <w:spacing w:val="-2"/>
        </w:rPr>
        <w:t>:</w:t>
      </w:r>
      <w:r w:rsidR="00A76883">
        <w:rPr>
          <w:spacing w:val="-2"/>
        </w:rPr>
        <w:t xml:space="preserve"> </w:t>
      </w:r>
      <w:r w:rsidR="00A76883" w:rsidRPr="00A76883">
        <w:rPr>
          <w:spacing w:val="-2"/>
        </w:rPr>
        <w:t>Chairman Pai and Commissioners Clyburn and O’Rielly issuing separate statements.</w:t>
      </w:r>
    </w:p>
    <w:p w:rsidR="00822CE0" w:rsidRDefault="00822CE0">
      <w:pPr>
        <w:rPr>
          <w:spacing w:val="-2"/>
        </w:rPr>
      </w:pPr>
    </w:p>
    <w:p w:rsidR="0081436D" w:rsidRDefault="0081436D">
      <w:pPr>
        <w:rPr>
          <w:spacing w:val="-2"/>
        </w:rPr>
      </w:pPr>
    </w:p>
    <w:p w:rsidR="002C00E8" w:rsidRDefault="008E0CD8" w:rsidP="002C00E8">
      <w:pPr>
        <w:pStyle w:val="Heading1"/>
      </w:pPr>
      <w:r>
        <w:t>introduction</w:t>
      </w:r>
    </w:p>
    <w:p w:rsidR="009609F5" w:rsidRDefault="009609F5" w:rsidP="00827F15">
      <w:pPr>
        <w:pStyle w:val="ParaNum"/>
      </w:pPr>
      <w:r w:rsidRPr="009609F5">
        <w:t xml:space="preserve">In this Notice of Proposed Rulemaking (NPRM), we seek comment on </w:t>
      </w:r>
      <w:r w:rsidR="00F36ED0">
        <w:t>the federal need for</w:t>
      </w:r>
      <w:r w:rsidRPr="009609F5">
        <w:t xml:space="preserve"> the international services reporting requirements set forth in Section 43.62 of the Commission’s rules.</w:t>
      </w:r>
      <w:r w:rsidRPr="009609F5">
        <w:rPr>
          <w:vertAlign w:val="superscript"/>
        </w:rPr>
        <w:footnoteReference w:id="2"/>
      </w:r>
      <w:r w:rsidRPr="009609F5">
        <w:t xml:space="preserve">  Those reporting requirements fall into two categories.  First, the Traffic and Revenue Reports require providers of international telecommunicat</w:t>
      </w:r>
      <w:r w:rsidR="009E3CBB">
        <w:t xml:space="preserve">ions services to </w:t>
      </w:r>
      <w:r w:rsidR="00D7146E">
        <w:t xml:space="preserve">report </w:t>
      </w:r>
      <w:r w:rsidR="009E3CBB">
        <w:t>annually</w:t>
      </w:r>
      <w:r w:rsidRPr="009609F5">
        <w:t xml:space="preserve"> their traffic and revenue for international voice services, international miscellaneous services, and international common carrier private lines.</w:t>
      </w:r>
      <w:r w:rsidRPr="009609F5">
        <w:rPr>
          <w:vertAlign w:val="superscript"/>
        </w:rPr>
        <w:footnoteReference w:id="3"/>
      </w:r>
      <w:r w:rsidRPr="009609F5">
        <w:t xml:space="preserve">  Second, the Circuit Capacity Report</w:t>
      </w:r>
      <w:r w:rsidR="00DF4FA5">
        <w:t>s</w:t>
      </w:r>
      <w:r w:rsidRPr="009609F5">
        <w:t xml:space="preserve"> require providers of international telecommunications services to file annual reports identifying the submarine cable, satellite, and terrestrial capacity between the United States and foreign points.</w:t>
      </w:r>
      <w:r w:rsidRPr="009609F5">
        <w:rPr>
          <w:vertAlign w:val="superscript"/>
        </w:rPr>
        <w:footnoteReference w:id="4"/>
      </w:r>
      <w:r w:rsidRPr="009609F5">
        <w:t xml:space="preserve">  We believe these reports are no longer necessary in their current form.  We propose to eliminate the annual Traffic and Revenue Reports altogether, and seek comment on whether there are ways to further streamline the Circuit Capacity Reports.</w:t>
      </w:r>
    </w:p>
    <w:p w:rsidR="00C37231" w:rsidRDefault="00C37231" w:rsidP="008C6E85">
      <w:pPr>
        <w:pStyle w:val="Heading1"/>
      </w:pPr>
      <w:r>
        <w:lastRenderedPageBreak/>
        <w:t>Background</w:t>
      </w:r>
    </w:p>
    <w:p w:rsidR="009079B2" w:rsidRDefault="00C37231" w:rsidP="00BE1DAE">
      <w:pPr>
        <w:pStyle w:val="ParaNum"/>
        <w:widowControl/>
      </w:pPr>
      <w:r>
        <w:t xml:space="preserve">The Commission has collected information on international traffic and </w:t>
      </w:r>
      <w:r w:rsidR="0085239A">
        <w:t xml:space="preserve">revenue </w:t>
      </w:r>
      <w:r>
        <w:t xml:space="preserve">since </w:t>
      </w:r>
      <w:r w:rsidR="007212EA">
        <w:t>1941</w:t>
      </w:r>
      <w:r>
        <w:t>.</w:t>
      </w:r>
      <w:r w:rsidR="007212EA">
        <w:rPr>
          <w:rStyle w:val="FootnoteReference"/>
        </w:rPr>
        <w:footnoteReference w:id="5"/>
      </w:r>
      <w:r w:rsidR="00DB4CC0">
        <w:t xml:space="preserve">  </w:t>
      </w:r>
      <w:r w:rsidR="00DB4CC0" w:rsidRPr="00DB4CC0">
        <w:t>The Commission most recently revised these reporting requirements, set out in Section 43.62 of the Commission’s rules,</w:t>
      </w:r>
      <w:r w:rsidR="00D34230">
        <w:t xml:space="preserve"> </w:t>
      </w:r>
      <w:r w:rsidR="00DB4CC0" w:rsidRPr="00DB4CC0">
        <w:t>in 2013.</w:t>
      </w:r>
      <w:r w:rsidR="00DB4CC0" w:rsidRPr="00DB4CC0">
        <w:rPr>
          <w:vertAlign w:val="superscript"/>
        </w:rPr>
        <w:footnoteReference w:id="6"/>
      </w:r>
    </w:p>
    <w:p w:rsidR="009079B2" w:rsidRDefault="009079B2" w:rsidP="009079B2">
      <w:pPr>
        <w:pStyle w:val="Heading2"/>
      </w:pPr>
      <w:r>
        <w:t>Traffic and Revenue Reports</w:t>
      </w:r>
    </w:p>
    <w:p w:rsidR="00C37231" w:rsidRDefault="00C37231" w:rsidP="00C37231">
      <w:pPr>
        <w:pStyle w:val="ParaNum"/>
      </w:pPr>
      <w:r>
        <w:t xml:space="preserve">Currently, </w:t>
      </w:r>
      <w:r w:rsidRPr="00883B4D">
        <w:t xml:space="preserve">any person or entity that holds an </w:t>
      </w:r>
      <w:r>
        <w:t xml:space="preserve">international Section 214 </w:t>
      </w:r>
      <w:r w:rsidRPr="00883B4D">
        <w:t>authorization to provide International Telecommunications Services (ITS)</w:t>
      </w:r>
      <w:r w:rsidRPr="00883B4D">
        <w:rPr>
          <w:vertAlign w:val="superscript"/>
        </w:rPr>
        <w:footnoteReference w:id="7"/>
      </w:r>
      <w:r w:rsidRPr="00883B4D">
        <w:t xml:space="preserve"> </w:t>
      </w:r>
      <w:r w:rsidR="00F36ED0">
        <w:t>and/or any person or entity that is</w:t>
      </w:r>
      <w:r w:rsidRPr="00883B4D">
        <w:t xml:space="preserve"> engaged in the provision of Interconnected </w:t>
      </w:r>
      <w:r w:rsidR="0098546E">
        <w:t>Voice over Internet Protocol (</w:t>
      </w:r>
      <w:r w:rsidRPr="00883B4D">
        <w:t>VoIP</w:t>
      </w:r>
      <w:r w:rsidR="0098546E">
        <w:t>)</w:t>
      </w:r>
      <w:r w:rsidRPr="00883B4D">
        <w:t xml:space="preserve"> Services </w:t>
      </w:r>
      <w:r w:rsidR="007D57C0">
        <w:t>C</w:t>
      </w:r>
      <w:r w:rsidR="0067046A">
        <w:t xml:space="preserve">onnected to the Public Switched Telephone Network (PSTN) </w:t>
      </w:r>
      <w:r w:rsidRPr="00883B4D">
        <w:t>between the United States and any foreign point</w:t>
      </w:r>
      <w:r w:rsidR="006B5AA2">
        <w:rPr>
          <w:rStyle w:val="FootnoteReference"/>
        </w:rPr>
        <w:footnoteReference w:id="8"/>
      </w:r>
      <w:r w:rsidRPr="00883B4D">
        <w:t xml:space="preserve"> (together, Filing Entities)</w:t>
      </w:r>
      <w:r>
        <w:t xml:space="preserve"> must file an annual Traffic and Revenue Report</w:t>
      </w:r>
      <w:r w:rsidRPr="00883B4D">
        <w:t>.</w:t>
      </w:r>
      <w:r w:rsidRPr="00883B4D">
        <w:rPr>
          <w:vertAlign w:val="superscript"/>
        </w:rPr>
        <w:footnoteReference w:id="9"/>
      </w:r>
      <w:r w:rsidRPr="00883B4D">
        <w:t xml:space="preserve">  The information submitted for this</w:t>
      </w:r>
      <w:r w:rsidR="00591862">
        <w:t xml:space="preserve"> annual</w:t>
      </w:r>
      <w:r w:rsidRPr="00883B4D">
        <w:t xml:space="preserve"> report covers:  (1) International Calling Service (ICS)</w:t>
      </w:r>
      <w:r w:rsidR="00CF006E">
        <w:t>;</w:t>
      </w:r>
      <w:r w:rsidRPr="00883B4D">
        <w:rPr>
          <w:vertAlign w:val="superscript"/>
        </w:rPr>
        <w:footnoteReference w:id="10"/>
      </w:r>
      <w:r w:rsidRPr="00883B4D">
        <w:t xml:space="preserve"> (2) International Private Line Service</w:t>
      </w:r>
      <w:r w:rsidR="00CF006E">
        <w:t>;</w:t>
      </w:r>
      <w:r w:rsidRPr="00883B4D">
        <w:rPr>
          <w:vertAlign w:val="superscript"/>
        </w:rPr>
        <w:footnoteReference w:id="11"/>
      </w:r>
      <w:r w:rsidRPr="00883B4D">
        <w:t xml:space="preserve"> and (3)</w:t>
      </w:r>
      <w:r w:rsidR="000A1232">
        <w:t> </w:t>
      </w:r>
      <w:r w:rsidRPr="00883B4D">
        <w:t>International Miscellaneous Services.</w:t>
      </w:r>
      <w:r w:rsidRPr="00883B4D">
        <w:rPr>
          <w:vertAlign w:val="superscript"/>
        </w:rPr>
        <w:footnoteReference w:id="12"/>
      </w:r>
      <w:r w:rsidRPr="00883B4D">
        <w:t xml:space="preserve">  Each person or entity that holds a</w:t>
      </w:r>
      <w:r>
        <w:t xml:space="preserve">n international </w:t>
      </w:r>
      <w:r w:rsidRPr="00883B4D">
        <w:t>Section 214 authorization, whether or not it provided any ITS during the prece</w:t>
      </w:r>
      <w:r>
        <w:t xml:space="preserve">ding calendar year, must file at least a registration form </w:t>
      </w:r>
      <w:r w:rsidR="006B5AA2">
        <w:t xml:space="preserve">and services checklist </w:t>
      </w:r>
      <w:r>
        <w:t>indicating whether it provided international service the previous year.</w:t>
      </w:r>
      <w:r w:rsidR="006B5AA2">
        <w:t xml:space="preserve">  Filing Entities that only </w:t>
      </w:r>
      <w:r w:rsidR="00884618">
        <w:t>had $</w:t>
      </w:r>
      <w:r>
        <w:t xml:space="preserve">5 million </w:t>
      </w:r>
      <w:r w:rsidR="006B5AA2">
        <w:t xml:space="preserve">or less </w:t>
      </w:r>
      <w:r>
        <w:t xml:space="preserve">in ICS resale </w:t>
      </w:r>
      <w:r w:rsidR="00C97D48">
        <w:t xml:space="preserve">revenues </w:t>
      </w:r>
      <w:r w:rsidR="006B5AA2">
        <w:t xml:space="preserve">need </w:t>
      </w:r>
      <w:r>
        <w:t>only file the registration form</w:t>
      </w:r>
      <w:r w:rsidR="006B5AA2">
        <w:t xml:space="preserve"> and services checklist</w:t>
      </w:r>
      <w:r>
        <w:t xml:space="preserve">. </w:t>
      </w:r>
      <w:r w:rsidR="000A1232">
        <w:t xml:space="preserve"> </w:t>
      </w:r>
      <w:r>
        <w:t xml:space="preserve">Filing Entities report information on </w:t>
      </w:r>
      <w:r w:rsidRPr="00365A59">
        <w:t xml:space="preserve">International Miscellaneous Services </w:t>
      </w:r>
      <w:r>
        <w:t xml:space="preserve">for which they had $5 million </w:t>
      </w:r>
      <w:r w:rsidR="006B5AA2">
        <w:t xml:space="preserve">or more </w:t>
      </w:r>
      <w:r>
        <w:t xml:space="preserve">in revenue.  </w:t>
      </w:r>
      <w:r w:rsidRPr="00883B4D">
        <w:t xml:space="preserve">The </w:t>
      </w:r>
      <w:r>
        <w:t>International Bureau has delegated author</w:t>
      </w:r>
      <w:r w:rsidR="0067046A">
        <w:t xml:space="preserve">ity to draft a </w:t>
      </w:r>
      <w:r>
        <w:t xml:space="preserve">Filing Manual with the </w:t>
      </w:r>
      <w:r w:rsidRPr="00365A59">
        <w:t xml:space="preserve">instructions </w:t>
      </w:r>
      <w:r>
        <w:t xml:space="preserve">for preparing and filing </w:t>
      </w:r>
      <w:r w:rsidRPr="00365A59">
        <w:t>these reports.</w:t>
      </w:r>
      <w:r w:rsidRPr="00883B4D">
        <w:rPr>
          <w:vertAlign w:val="superscript"/>
        </w:rPr>
        <w:footnoteReference w:id="13"/>
      </w:r>
      <w:r w:rsidRPr="00883B4D">
        <w:t xml:space="preserve"> </w:t>
      </w:r>
    </w:p>
    <w:p w:rsidR="00C97D48" w:rsidRDefault="00912009" w:rsidP="00265174">
      <w:pPr>
        <w:pStyle w:val="ParaNum"/>
        <w:widowControl/>
      </w:pPr>
      <w:r w:rsidRPr="00A63E30">
        <w:t xml:space="preserve">Historically, the primary role of the international Traffic and Revenue Reports was </w:t>
      </w:r>
      <w:r w:rsidR="0067046A">
        <w:t>to monitor settlement rates.  The reports we</w:t>
      </w:r>
      <w:r w:rsidR="006F7604">
        <w:t>re</w:t>
      </w:r>
      <w:r w:rsidR="0067046A">
        <w:t xml:space="preserve"> important in </w:t>
      </w:r>
      <w:r w:rsidRPr="00A63E30">
        <w:t xml:space="preserve">the development and enforcement of the Commission’s benchmark policy, requiring international settlement rates on particular routes to fall below </w:t>
      </w:r>
      <w:r w:rsidRPr="00A63E30">
        <w:lastRenderedPageBreak/>
        <w:t>competitive benchmarks.</w:t>
      </w:r>
      <w:r w:rsidRPr="00A63E30">
        <w:rPr>
          <w:rStyle w:val="FootnoteReference"/>
          <w:sz w:val="22"/>
        </w:rPr>
        <w:footnoteReference w:id="14"/>
      </w:r>
      <w:r w:rsidRPr="00A63E30">
        <w:t xml:space="preserve">  As the international telecommunications</w:t>
      </w:r>
      <w:r w:rsidR="00011FA1">
        <w:t xml:space="preserve"> sector</w:t>
      </w:r>
      <w:r w:rsidRPr="00A63E30">
        <w:t xml:space="preserve"> has liberalized and competition has grown, the Commission has determined that most routes were competitive based, in large part, on the Traffic and Revenue Reports; data from these reports </w:t>
      </w:r>
      <w:r w:rsidR="00104464">
        <w:t>thus allowed the Commission</w:t>
      </w:r>
      <w:r w:rsidRPr="00A63E30">
        <w:t xml:space="preserve"> to </w:t>
      </w:r>
      <w:r w:rsidR="006F59A6">
        <w:t>end</w:t>
      </w:r>
      <w:r w:rsidRPr="00A63E30">
        <w:t xml:space="preserve"> its International Settlements Policy.</w:t>
      </w:r>
      <w:r w:rsidRPr="00A63E30">
        <w:rPr>
          <w:vertAlign w:val="superscript"/>
        </w:rPr>
        <w:footnoteReference w:id="15"/>
      </w:r>
    </w:p>
    <w:p w:rsidR="00C37231" w:rsidRDefault="00C37231" w:rsidP="00C37231">
      <w:pPr>
        <w:pStyle w:val="Heading2"/>
      </w:pPr>
      <w:r>
        <w:t>Circuit Capacity Reports</w:t>
      </w:r>
    </w:p>
    <w:p w:rsidR="0019539E" w:rsidRDefault="00591862" w:rsidP="00F10E25">
      <w:pPr>
        <w:pStyle w:val="ParaNum"/>
      </w:pPr>
      <w:r>
        <w:t xml:space="preserve">The Circuit Capacity Reports help </w:t>
      </w:r>
      <w:r w:rsidR="00AF4E5B">
        <w:t>the Commission</w:t>
      </w:r>
      <w:r>
        <w:t xml:space="preserve"> understand the U.S.-international transport markets.</w:t>
      </w:r>
      <w:r>
        <w:rPr>
          <w:rStyle w:val="FootnoteReference"/>
        </w:rPr>
        <w:footnoteReference w:id="16"/>
      </w:r>
      <w:r>
        <w:t xml:space="preserve">  We receive two types of data regarding submarine cables: (1) submarine cable operators report the available and planned capacity of their submarine cable systems</w:t>
      </w:r>
      <w:r>
        <w:rPr>
          <w:rStyle w:val="FootnoteReference"/>
        </w:rPr>
        <w:footnoteReference w:id="17"/>
      </w:r>
      <w:r>
        <w:t xml:space="preserve"> and (2) common carriers and submarine cable licensees report the capacity that they own or lease on a submarine cable.</w:t>
      </w:r>
      <w:r>
        <w:rPr>
          <w:rStyle w:val="FootnoteReference"/>
        </w:rPr>
        <w:footnoteReference w:id="18"/>
      </w:r>
      <w:r>
        <w:t xml:space="preserve">  The Commission also receives world total circuit data for terrestrial and satellite facilities.</w:t>
      </w:r>
      <w:r>
        <w:rPr>
          <w:rStyle w:val="FootnoteReference"/>
        </w:rPr>
        <w:footnoteReference w:id="19"/>
      </w:r>
      <w:r>
        <w:t xml:space="preserve">  </w:t>
      </w:r>
    </w:p>
    <w:p w:rsidR="00591862" w:rsidRDefault="00AF4E5B" w:rsidP="00591862">
      <w:pPr>
        <w:pStyle w:val="ParaNum"/>
      </w:pPr>
      <w:r>
        <w:t>The Circuit Capacity Reports show the level of facilities-based competition for the major U.S.-international routes, and can help policy-makers and industry determine whether there is and will be sufficient capacity to handle demand for telecommunications on a specific U.S.-international route.</w:t>
      </w:r>
      <w:r w:rsidRPr="00B60AA6">
        <w:t xml:space="preserve"> </w:t>
      </w:r>
      <w:r>
        <w:t xml:space="preserve"> </w:t>
      </w:r>
      <w:r w:rsidR="009B0CB9">
        <w:t>The Commission has used the data in analyzing pr</w:t>
      </w:r>
      <w:r w:rsidR="003E4E84">
        <w:t>oposed transactions in the U.S.-</w:t>
      </w:r>
      <w:r w:rsidR="009B0CB9">
        <w:t>international services markets, particularly with respect to whether a transaction would affect facilities-based competition</w:t>
      </w:r>
      <w:r w:rsidR="00591862">
        <w:t xml:space="preserve"> on any particular U.S.-international route(s).  </w:t>
      </w:r>
      <w:r w:rsidR="00591862" w:rsidRPr="00AE49BD">
        <w:t xml:space="preserve">The data </w:t>
      </w:r>
      <w:r w:rsidR="00591862">
        <w:t>are</w:t>
      </w:r>
      <w:r w:rsidR="00591862" w:rsidRPr="00AE49BD">
        <w:t xml:space="preserve"> used to </w:t>
      </w:r>
      <w:r w:rsidR="00F36ED0">
        <w:t>determine whether</w:t>
      </w:r>
      <w:r w:rsidR="00591862" w:rsidRPr="00AE49BD">
        <w:t xml:space="preserve"> entry by foreign companies will </w:t>
      </w:r>
      <w:r w:rsidR="00F36ED0">
        <w:t xml:space="preserve">benefit or </w:t>
      </w:r>
      <w:r w:rsidR="00591862" w:rsidRPr="00AE49BD">
        <w:t>adversely affect competition.</w:t>
      </w:r>
    </w:p>
    <w:p w:rsidR="00591862" w:rsidRDefault="00591862" w:rsidP="00BE1DAE">
      <w:pPr>
        <w:pStyle w:val="ParaNum"/>
        <w:widowControl/>
      </w:pPr>
      <w:r>
        <w:t xml:space="preserve">The Commission also uses the data for national security and public safety purposes, to ensure that U.S. international telecommunications </w:t>
      </w:r>
      <w:r w:rsidR="000A6E6F">
        <w:t xml:space="preserve">are </w:t>
      </w:r>
      <w:r>
        <w:t xml:space="preserve">safe from disruption, and to provide information about key routes and whether there are alternative cables or satellite facilities available to provide communications to specific locations.  The data provide </w:t>
      </w:r>
      <w:r w:rsidR="00A2680D">
        <w:t xml:space="preserve">information on </w:t>
      </w:r>
      <w:r>
        <w:t xml:space="preserve">ownership and control </w:t>
      </w:r>
      <w:r w:rsidR="00A2680D">
        <w:t>of submarine cable capacity</w:t>
      </w:r>
      <w:r w:rsidR="00977588">
        <w:t>,</w:t>
      </w:r>
      <w:r>
        <w:t xml:space="preserve"> to help national security agencies assess the safety and integrity </w:t>
      </w:r>
      <w:r w:rsidR="009B0CB9">
        <w:t xml:space="preserve">of </w:t>
      </w:r>
      <w:r w:rsidR="003E4E84">
        <w:t>U.S.-international telecommunications infrastructure</w:t>
      </w:r>
      <w:r w:rsidR="009B0CB9">
        <w:t>.</w:t>
      </w:r>
    </w:p>
    <w:p w:rsidR="003D105B" w:rsidRPr="00101496" w:rsidRDefault="003D105B" w:rsidP="00CF6E96">
      <w:pPr>
        <w:pStyle w:val="ParaNum"/>
        <w:widowControl/>
      </w:pPr>
      <w:r w:rsidRPr="00CA6B96">
        <w:t xml:space="preserve">The </w:t>
      </w:r>
      <w:r w:rsidR="009079B2">
        <w:t xml:space="preserve">Commission also uses the </w:t>
      </w:r>
      <w:r w:rsidRPr="00CA6B96">
        <w:t>terrestrial, satellite, and submar</w:t>
      </w:r>
      <w:r w:rsidR="009079B2">
        <w:t>ine cable capacity data</w:t>
      </w:r>
      <w:r w:rsidRPr="00CA6B96">
        <w:t xml:space="preserve"> to administer the annual regulatory fees established in </w:t>
      </w:r>
      <w:r>
        <w:t>S</w:t>
      </w:r>
      <w:r w:rsidRPr="00CA6B96">
        <w:t>ection 9 of the Communications Act</w:t>
      </w:r>
      <w:r w:rsidR="003E3FB0">
        <w:t xml:space="preserve"> of 1934, as amended (the Act)</w:t>
      </w:r>
      <w:r w:rsidRPr="00CA6B96">
        <w:t>.</w:t>
      </w:r>
      <w:r>
        <w:rPr>
          <w:rStyle w:val="FootnoteReference"/>
        </w:rPr>
        <w:footnoteReference w:id="20"/>
      </w:r>
    </w:p>
    <w:p w:rsidR="00C37231" w:rsidRDefault="00C37231" w:rsidP="00F10E25">
      <w:pPr>
        <w:pStyle w:val="Heading2"/>
      </w:pPr>
      <w:r>
        <w:t>Biennial Review</w:t>
      </w:r>
    </w:p>
    <w:p w:rsidR="00497263" w:rsidRPr="00A63E30" w:rsidRDefault="00497263" w:rsidP="008F6F9C">
      <w:pPr>
        <w:pStyle w:val="ParaNum"/>
        <w:widowControl/>
      </w:pPr>
      <w:r w:rsidRPr="00A63E30">
        <w:t>On November 3, 2016, the Commission released a Public Notice seeking comment on the 2016 biennial review of our telecommunications regulations pursuant to Section 11 of the Act.</w:t>
      </w:r>
      <w:r w:rsidRPr="00A63E30">
        <w:rPr>
          <w:rStyle w:val="FootnoteReference"/>
          <w:sz w:val="22"/>
        </w:rPr>
        <w:footnoteReference w:id="21"/>
      </w:r>
      <w:r w:rsidRPr="00A63E30">
        <w:t xml:space="preserve">  Several parties recommend that we furth</w:t>
      </w:r>
      <w:r w:rsidR="008F6F9C">
        <w:t>er streamline or eliminate the S</w:t>
      </w:r>
      <w:r w:rsidRPr="00A63E30">
        <w:t>ection 43.62 reporting requirements, and no party wrote in support of retaining these requirements.</w:t>
      </w:r>
      <w:r w:rsidRPr="00A63E30">
        <w:rPr>
          <w:rStyle w:val="FootnoteReference"/>
          <w:sz w:val="22"/>
        </w:rPr>
        <w:footnoteReference w:id="22"/>
      </w:r>
    </w:p>
    <w:p w:rsidR="009079B2" w:rsidRPr="009079B2" w:rsidRDefault="00C37231" w:rsidP="00497263">
      <w:pPr>
        <w:pStyle w:val="ParaNum"/>
      </w:pPr>
      <w:r>
        <w:t>The United States Telecom Association (</w:t>
      </w:r>
      <w:r w:rsidRPr="00367281">
        <w:t>UST</w:t>
      </w:r>
      <w:r>
        <w:t>elecom)</w:t>
      </w:r>
      <w:r w:rsidRPr="00367281">
        <w:t xml:space="preserve"> not</w:t>
      </w:r>
      <w:r>
        <w:t>es</w:t>
      </w:r>
      <w:r w:rsidRPr="00367281">
        <w:t xml:space="preserve"> that the</w:t>
      </w:r>
      <w:r>
        <w:t xml:space="preserve"> reporting requirements</w:t>
      </w:r>
      <w:r w:rsidRPr="00367281">
        <w:t xml:space="preserve"> date back to the time of </w:t>
      </w:r>
      <w:r>
        <w:t>“</w:t>
      </w:r>
      <w:r w:rsidRPr="00367281">
        <w:t>the highly-regulated monopoly circuit-switche</w:t>
      </w:r>
      <w:r>
        <w:t>d industry of many decades ago.”</w:t>
      </w:r>
      <w:r>
        <w:rPr>
          <w:rStyle w:val="FootnoteReference"/>
        </w:rPr>
        <w:footnoteReference w:id="23"/>
      </w:r>
      <w:r>
        <w:t xml:space="preserve">  USTelecom argues that “[i]</w:t>
      </w:r>
      <w:r w:rsidRPr="00497263">
        <w:rPr>
          <w:szCs w:val="22"/>
        </w:rPr>
        <w:t xml:space="preserve">n contrast, today’s [U.S.] international market is highly competitive and almost completely deregulated, with almost </w:t>
      </w:r>
      <w:r w:rsidRPr="00497263">
        <w:rPr>
          <w:i/>
          <w:iCs/>
          <w:szCs w:val="22"/>
        </w:rPr>
        <w:t xml:space="preserve">two thousand </w:t>
      </w:r>
      <w:r w:rsidRPr="00497263">
        <w:rPr>
          <w:iCs/>
          <w:szCs w:val="22"/>
        </w:rPr>
        <w:t>[U.S.]</w:t>
      </w:r>
      <w:r w:rsidRPr="00497263">
        <w:rPr>
          <w:szCs w:val="22"/>
        </w:rPr>
        <w:t xml:space="preserve"> providers of international calling services, including many unregulated (and some very substantial) [U.S.] providers of international VoIP services.”</w:t>
      </w:r>
      <w:r>
        <w:rPr>
          <w:rStyle w:val="FootnoteReference"/>
          <w:szCs w:val="22"/>
        </w:rPr>
        <w:footnoteReference w:id="24"/>
      </w:r>
    </w:p>
    <w:p w:rsidR="00C37231" w:rsidRDefault="00C37231" w:rsidP="00C37231">
      <w:pPr>
        <w:pStyle w:val="ParaNum"/>
      </w:pPr>
      <w:r w:rsidRPr="00367281">
        <w:t>T-Mobile suggests the traffic and revenue reporting requirements for holders of international section 214 authority are outdated, impose “unnecessary compliance costs,” and should be eliminated</w:t>
      </w:r>
      <w:r>
        <w:t>.</w:t>
      </w:r>
      <w:r>
        <w:rPr>
          <w:rStyle w:val="FootnoteReference"/>
        </w:rPr>
        <w:footnoteReference w:id="25"/>
      </w:r>
      <w:r w:rsidRPr="00367281">
        <w:t xml:space="preserve">  CTIA recommends </w:t>
      </w:r>
      <w:r>
        <w:t>eliminating</w:t>
      </w:r>
      <w:r w:rsidRPr="00367281">
        <w:t xml:space="preserve"> </w:t>
      </w:r>
      <w:r>
        <w:t xml:space="preserve">the Section </w:t>
      </w:r>
      <w:r w:rsidRPr="00367281">
        <w:t xml:space="preserve">43.62(b) </w:t>
      </w:r>
      <w:r>
        <w:t>T</w:t>
      </w:r>
      <w:r w:rsidRPr="00367281">
        <w:t xml:space="preserve">raffic and </w:t>
      </w:r>
      <w:r>
        <w:t>R</w:t>
      </w:r>
      <w:r w:rsidRPr="00367281">
        <w:t xml:space="preserve">evenue </w:t>
      </w:r>
      <w:r>
        <w:t>R</w:t>
      </w:r>
      <w:r w:rsidRPr="00367281">
        <w:t>eports</w:t>
      </w:r>
      <w:r>
        <w:t>, stating that today the market is “robustly competitive” and “these reports serve no apparent purpose, but impose costs on CMRS carriers by requiring them to maintain extensive network systems to track and record international revenue and traffic data</w:t>
      </w:r>
      <w:r w:rsidRPr="00367281">
        <w:t>.</w:t>
      </w:r>
      <w:r>
        <w:t>”</w:t>
      </w:r>
      <w:r>
        <w:rPr>
          <w:rStyle w:val="FootnoteReference"/>
        </w:rPr>
        <w:footnoteReference w:id="26"/>
      </w:r>
      <w:r w:rsidRPr="00367281">
        <w:t xml:space="preserve"> </w:t>
      </w:r>
    </w:p>
    <w:p w:rsidR="00C37231" w:rsidRDefault="00C37231" w:rsidP="00C37231">
      <w:pPr>
        <w:pStyle w:val="ParaNum"/>
      </w:pPr>
      <w:r>
        <w:t>AT&amp;T supports USTelecom</w:t>
      </w:r>
      <w:r w:rsidRPr="00367281">
        <w:t>’s comments and suggests that the Commission review Section 43.62 traffic and revenue as well as circuit capacity data collections.</w:t>
      </w:r>
      <w:r>
        <w:rPr>
          <w:rStyle w:val="FootnoteReference"/>
        </w:rPr>
        <w:footnoteReference w:id="27"/>
      </w:r>
      <w:r w:rsidRPr="00367281">
        <w:t xml:space="preserve">  AT&amp;T asks the Commission to determine: (1) whether the international traffic and circuit reports required by those rules continue to perform a necessary public interest function in today</w:t>
      </w:r>
      <w:r>
        <w:t>’</w:t>
      </w:r>
      <w:r w:rsidRPr="00367281">
        <w:t>s highly competitive U.S. international marketplace; and (2) whether any remaining public interest benefits may be obtained more efficiently and effectiv</w:t>
      </w:r>
      <w:r w:rsidR="009E3CBB">
        <w:t xml:space="preserve">ely in other more targeted ways, </w:t>
      </w:r>
      <w:r w:rsidRPr="00367281">
        <w:t>such</w:t>
      </w:r>
      <w:r>
        <w:t xml:space="preserve"> </w:t>
      </w:r>
      <w:r w:rsidRPr="00367281">
        <w:t>as by requiring the provision of route-specific international traffic information only when any issues requiring such detailed information may occur, rather than by imposing a significant annual reporting burden on all facilities-based international carriers and interconnected VoIP providers.</w:t>
      </w:r>
      <w:r>
        <w:rPr>
          <w:rStyle w:val="FootnoteReference"/>
        </w:rPr>
        <w:footnoteReference w:id="28"/>
      </w:r>
      <w:r w:rsidRPr="00367281">
        <w:t xml:space="preserve">  AT</w:t>
      </w:r>
      <w:r w:rsidR="00F36ED0">
        <w:t>&amp;T notes that nearly 300 person-</w:t>
      </w:r>
      <w:r w:rsidRPr="00367281">
        <w:t>hou</w:t>
      </w:r>
      <w:r>
        <w:t>rs are required to prepare its T</w:t>
      </w:r>
      <w:r w:rsidRPr="00367281">
        <w:t>raffic</w:t>
      </w:r>
      <w:r>
        <w:t xml:space="preserve"> and Revenue R</w:t>
      </w:r>
      <w:r w:rsidRPr="00367281">
        <w:t>eport.</w:t>
      </w:r>
      <w:r>
        <w:rPr>
          <w:rStyle w:val="FootnoteReference"/>
        </w:rPr>
        <w:footnoteReference w:id="29"/>
      </w:r>
    </w:p>
    <w:p w:rsidR="00C37231" w:rsidRPr="00C37231" w:rsidRDefault="00C37231" w:rsidP="00F10E25">
      <w:pPr>
        <w:pStyle w:val="Heading1"/>
      </w:pPr>
      <w:r>
        <w:t>Discussion</w:t>
      </w:r>
    </w:p>
    <w:p w:rsidR="009079B2" w:rsidRDefault="009079B2" w:rsidP="009079B2">
      <w:pPr>
        <w:pStyle w:val="ParaNum"/>
      </w:pPr>
      <w:r>
        <w:t xml:space="preserve">After reviewing the record in this biennial review proceeding, and based on our own understanding of the competitive nature of the international services sector, we believe that the international traffic and revenue data collection is no longer necessary, and we propose to </w:t>
      </w:r>
      <w:r w:rsidRPr="00986F60">
        <w:t>eliminate</w:t>
      </w:r>
      <w:r>
        <w:t xml:space="preserve"> this reporting requirement</w:t>
      </w:r>
      <w:r w:rsidRPr="00986F60">
        <w:t>.</w:t>
      </w:r>
      <w:r>
        <w:t xml:space="preserve">  We instead believe that more targeted collections</w:t>
      </w:r>
      <w:r w:rsidR="00FB5449">
        <w:t>, in response to actual U.S. carrier complaints,</w:t>
      </w:r>
      <w:r>
        <w:t xml:space="preserve"> may provide the Commission with all the information it needs.</w:t>
      </w:r>
    </w:p>
    <w:p w:rsidR="00621A94" w:rsidRDefault="00621A94" w:rsidP="00621A94">
      <w:pPr>
        <w:pStyle w:val="ParaNum"/>
      </w:pPr>
      <w:r>
        <w:t xml:space="preserve">In contrast, we believe that it might serve the public interest to retain the Circuit Capacity Reports.  We thus explore whether, instead of eliminating these reports, there are ways we could </w:t>
      </w:r>
      <w:r w:rsidRPr="00986F60">
        <w:t xml:space="preserve">streamline or modify </w:t>
      </w:r>
      <w:r>
        <w:t xml:space="preserve">this </w:t>
      </w:r>
      <w:r w:rsidRPr="00986F60">
        <w:t>data collection</w:t>
      </w:r>
      <w:r>
        <w:t xml:space="preserve"> while continuing to m</w:t>
      </w:r>
      <w:r w:rsidR="00F36ED0">
        <w:t>eet our statutory obligations.</w:t>
      </w:r>
    </w:p>
    <w:p w:rsidR="00617B05" w:rsidRDefault="00617B05" w:rsidP="00101496">
      <w:pPr>
        <w:pStyle w:val="Heading2"/>
      </w:pPr>
      <w:r>
        <w:t>Traffic and Revenue Report</w:t>
      </w:r>
      <w:r w:rsidR="00AC31B6">
        <w:t>s</w:t>
      </w:r>
    </w:p>
    <w:p w:rsidR="000C41DF" w:rsidRDefault="000C41DF" w:rsidP="00DF3566">
      <w:pPr>
        <w:pStyle w:val="ParaNum"/>
      </w:pPr>
      <w:r>
        <w:t xml:space="preserve">We propose to eliminate the current international </w:t>
      </w:r>
      <w:r w:rsidR="00827F15">
        <w:t>Traffic and Revenue Report</w:t>
      </w:r>
      <w:r w:rsidR="00AC31B6">
        <w:t>s</w:t>
      </w:r>
      <w:r w:rsidR="00DF3566">
        <w:t xml:space="preserve"> requirement</w:t>
      </w:r>
      <w:r w:rsidR="00A94FC9">
        <w:t xml:space="preserve">.  </w:t>
      </w:r>
      <w:r>
        <w:t>We believe that the costs of this data collection</w:t>
      </w:r>
      <w:r w:rsidR="00DF1441">
        <w:t>—which are s</w:t>
      </w:r>
      <w:r w:rsidR="00DF3566">
        <w:t xml:space="preserve">ignificant </w:t>
      </w:r>
      <w:r w:rsidR="00DF1441">
        <w:t>both for filers and for the Commission—</w:t>
      </w:r>
      <w:r w:rsidR="00DF78EC">
        <w:t xml:space="preserve">now </w:t>
      </w:r>
      <w:r>
        <w:t xml:space="preserve">exceed the benefits of the information.  We seek comment on what </w:t>
      </w:r>
      <w:r w:rsidR="00AC31B6">
        <w:t>e</w:t>
      </w:r>
      <w:r>
        <w:t>ffect elimination of this reporting requirement will have on U.S</w:t>
      </w:r>
      <w:r w:rsidR="00DF3566">
        <w:t>.</w:t>
      </w:r>
      <w:r>
        <w:t xml:space="preserve"> consumers and U.S. carriers</w:t>
      </w:r>
      <w:r w:rsidR="00042969">
        <w:t>,</w:t>
      </w:r>
      <w:r>
        <w:t xml:space="preserve"> and whether there may be </w:t>
      </w:r>
      <w:r w:rsidR="00042969">
        <w:t xml:space="preserve">less burdensome ways </w:t>
      </w:r>
      <w:r>
        <w:t xml:space="preserve">for the Commission to obtain data </w:t>
      </w:r>
      <w:r w:rsidR="00042969">
        <w:t xml:space="preserve">in order to fulfill its statutory obligations and </w:t>
      </w:r>
      <w:r>
        <w:t xml:space="preserve">protect </w:t>
      </w:r>
      <w:r w:rsidR="00042969">
        <w:t xml:space="preserve">U.S. interests. </w:t>
      </w:r>
    </w:p>
    <w:p w:rsidR="000C41DF" w:rsidRPr="009B0FE3" w:rsidRDefault="00DF1441" w:rsidP="000C41DF">
      <w:pPr>
        <w:pStyle w:val="ParaNum"/>
      </w:pPr>
      <w:r>
        <w:t>T</w:t>
      </w:r>
      <w:r w:rsidR="000C41DF">
        <w:t xml:space="preserve">he international traffic and revenue reporting requirement </w:t>
      </w:r>
      <w:r w:rsidR="00DF3566">
        <w:t xml:space="preserve">appears to </w:t>
      </w:r>
      <w:r w:rsidR="000C41DF">
        <w:t xml:space="preserve">place a </w:t>
      </w:r>
      <w:r w:rsidR="00DF3566">
        <w:t xml:space="preserve">significant </w:t>
      </w:r>
      <w:r w:rsidR="000C41DF">
        <w:t>burden on the filing entities and the Commission</w:t>
      </w:r>
      <w:r w:rsidR="006222C4">
        <w:t>.</w:t>
      </w:r>
      <w:r w:rsidR="000C41DF">
        <w:t xml:space="preserve"> </w:t>
      </w:r>
      <w:r w:rsidR="006222C4">
        <w:t xml:space="preserve"> </w:t>
      </w:r>
      <w:r>
        <w:t xml:space="preserve">Although </w:t>
      </w:r>
      <w:r w:rsidR="000C41DF" w:rsidRPr="006C3200">
        <w:t>the Commission does not have firm numbers on the costs to industry to prepare and submit the reports, we have developed estimates of the burdens.</w:t>
      </w:r>
      <w:r w:rsidR="000C41DF" w:rsidRPr="006C3200">
        <w:rPr>
          <w:vertAlign w:val="superscript"/>
        </w:rPr>
        <w:footnoteReference w:id="30"/>
      </w:r>
      <w:r w:rsidR="000C41DF" w:rsidRPr="006C3200">
        <w:t xml:space="preserve">  In 2016, 1</w:t>
      </w:r>
      <w:r>
        <w:t>,</w:t>
      </w:r>
      <w:r w:rsidR="000C41DF" w:rsidRPr="006C3200">
        <w:t xml:space="preserve">888 entities filed </w:t>
      </w:r>
      <w:r w:rsidR="006222C4">
        <w:t>information</w:t>
      </w:r>
      <w:r w:rsidR="006222C4" w:rsidRPr="006C3200">
        <w:t xml:space="preserve"> </w:t>
      </w:r>
      <w:r w:rsidR="000C41DF" w:rsidRPr="006C3200">
        <w:t>regarding their 2015 inter</w:t>
      </w:r>
      <w:r w:rsidR="00A94FC9">
        <w:t xml:space="preserve">national traffic and revenue.  </w:t>
      </w:r>
      <w:r w:rsidR="000C41DF" w:rsidRPr="006C3200">
        <w:t>Of those</w:t>
      </w:r>
      <w:r w:rsidR="00827F15">
        <w:t>,</w:t>
      </w:r>
      <w:r w:rsidR="000C41DF" w:rsidRPr="006C3200">
        <w:t xml:space="preserve"> 1</w:t>
      </w:r>
      <w:r>
        <w:t>,</w:t>
      </w:r>
      <w:r w:rsidR="000C41DF" w:rsidRPr="006C3200">
        <w:t>82</w:t>
      </w:r>
      <w:r w:rsidR="009B0FE3">
        <w:t>2</w:t>
      </w:r>
      <w:r w:rsidR="000C41DF" w:rsidRPr="006C3200">
        <w:t xml:space="preserve"> filed </w:t>
      </w:r>
      <w:r w:rsidR="006222C4">
        <w:t xml:space="preserve">only </w:t>
      </w:r>
      <w:r w:rsidR="000C41DF" w:rsidRPr="006C3200">
        <w:t>a registration form and did not file any data because they either did not have any international revenues in 2015</w:t>
      </w:r>
      <w:r w:rsidR="00827F15">
        <w:t>,</w:t>
      </w:r>
      <w:r w:rsidR="000C41DF" w:rsidRPr="006C3200">
        <w:t xml:space="preserve"> or only had less than $5 million in ICS resale revenue.  Sixty-six filed data for ICS facilities-based services, </w:t>
      </w:r>
      <w:r w:rsidR="00827F15">
        <w:t>I</w:t>
      </w:r>
      <w:r w:rsidR="000C41DF" w:rsidRPr="006C3200">
        <w:t xml:space="preserve">nternational </w:t>
      </w:r>
      <w:r w:rsidR="00827F15">
        <w:t>P</w:t>
      </w:r>
      <w:r w:rsidR="000C41DF" w:rsidRPr="006C3200">
        <w:t xml:space="preserve">rivate </w:t>
      </w:r>
      <w:r w:rsidR="00827F15">
        <w:t>L</w:t>
      </w:r>
      <w:r w:rsidR="000C41DF" w:rsidRPr="006C3200">
        <w:t xml:space="preserve">ine </w:t>
      </w:r>
      <w:r w:rsidR="00827F15">
        <w:t>S</w:t>
      </w:r>
      <w:r w:rsidR="000C41DF" w:rsidRPr="006C3200">
        <w:t xml:space="preserve">ervices and/or </w:t>
      </w:r>
      <w:r w:rsidR="00827F15">
        <w:t>I</w:t>
      </w:r>
      <w:r w:rsidR="000C41DF" w:rsidRPr="006C3200">
        <w:t xml:space="preserve">nternational </w:t>
      </w:r>
      <w:r w:rsidR="00827F15">
        <w:t>M</w:t>
      </w:r>
      <w:r w:rsidR="000C41DF" w:rsidRPr="006C3200">
        <w:t xml:space="preserve">iscellaneous </w:t>
      </w:r>
      <w:r w:rsidR="00827F15">
        <w:t>S</w:t>
      </w:r>
      <w:r w:rsidR="000C41DF" w:rsidRPr="006C3200">
        <w:t xml:space="preserve">ervices, and 47 </w:t>
      </w:r>
      <w:r w:rsidR="006222C4">
        <w:t xml:space="preserve">of the 66 </w:t>
      </w:r>
      <w:r w:rsidR="000C41DF" w:rsidRPr="006C3200">
        <w:t xml:space="preserve">filed revisions.  </w:t>
      </w:r>
      <w:r w:rsidR="006222C4">
        <w:t>In 2014, t</w:t>
      </w:r>
      <w:r w:rsidR="000C41DF" w:rsidRPr="006C3200">
        <w:t>he Commission estimate</w:t>
      </w:r>
      <w:r w:rsidR="006222C4">
        <w:t>d</w:t>
      </w:r>
      <w:r w:rsidR="000C41DF" w:rsidRPr="006C3200">
        <w:t xml:space="preserve"> that filers spen</w:t>
      </w:r>
      <w:r w:rsidR="006222C4">
        <w:t>d</w:t>
      </w:r>
      <w:r w:rsidR="000C41DF" w:rsidRPr="006C3200">
        <w:t xml:space="preserve"> one hour preparing and filing the registration form; two hours preparing and filing world total ICS resale data; 150 hours preparing and submitting route-by-route data for facilities-based ICS and or international private lines; and 50 hours preparing and filing revised data.  In total, we estimate that industry spent 14,770 hours preparing and submitting the data for the 2015 annual </w:t>
      </w:r>
      <w:r w:rsidR="009D3B00">
        <w:t>T</w:t>
      </w:r>
      <w:r w:rsidR="000C41DF" w:rsidRPr="006C3200">
        <w:t xml:space="preserve">raffic and </w:t>
      </w:r>
      <w:r w:rsidR="009D3B00">
        <w:t>R</w:t>
      </w:r>
      <w:r w:rsidR="000C41DF" w:rsidRPr="006C3200">
        <w:t xml:space="preserve">evenue </w:t>
      </w:r>
      <w:r w:rsidR="009D3B00">
        <w:t>R</w:t>
      </w:r>
      <w:r w:rsidR="000C41DF" w:rsidRPr="006C3200">
        <w:t xml:space="preserve">eports.  </w:t>
      </w:r>
      <w:r w:rsidR="00FF3BFB">
        <w:t>W</w:t>
      </w:r>
      <w:r w:rsidR="000C41DF" w:rsidRPr="006C3200">
        <w:t>e estimate that Commission staff will spend 2</w:t>
      </w:r>
      <w:r>
        <w:t>,</w:t>
      </w:r>
      <w:r w:rsidR="000C41DF" w:rsidRPr="006C3200">
        <w:t>218 hours reviewing and publishing the data at a total cost of</w:t>
      </w:r>
      <w:r w:rsidR="009B0FE3">
        <w:t xml:space="preserve"> at least</w:t>
      </w:r>
      <w:r w:rsidR="000C41DF" w:rsidRPr="006C3200">
        <w:t xml:space="preserve"> $112,076.</w:t>
      </w:r>
      <w:r w:rsidR="00926716">
        <w:rPr>
          <w:rStyle w:val="FootnoteReference"/>
        </w:rPr>
        <w:footnoteReference w:id="31"/>
      </w:r>
      <w:r w:rsidR="000C41DF" w:rsidRPr="006C3200">
        <w:t xml:space="preserve">  We seek comment on these estimat</w:t>
      </w:r>
      <w:r w:rsidR="00F36ED0">
        <w:t>e</w:t>
      </w:r>
      <w:r w:rsidR="000C41DF" w:rsidRPr="006C3200">
        <w:t xml:space="preserve">s and ask commenters to provide us with the cost of preparing and submitting the </w:t>
      </w:r>
      <w:r w:rsidR="009D3B00">
        <w:t>T</w:t>
      </w:r>
      <w:r w:rsidR="000C41DF" w:rsidRPr="006C3200">
        <w:t xml:space="preserve">raffic and </w:t>
      </w:r>
      <w:r w:rsidR="009D3B00">
        <w:t>R</w:t>
      </w:r>
      <w:r w:rsidR="000C41DF" w:rsidRPr="006C3200">
        <w:t xml:space="preserve">evenue </w:t>
      </w:r>
      <w:r w:rsidR="009D3B00">
        <w:t>R</w:t>
      </w:r>
      <w:r w:rsidR="000C41DF" w:rsidRPr="006C3200">
        <w:t>eports.  In particular, we seek comment on the actual time spent to produce the data and ask commenters to provide us with an average wage rate.</w:t>
      </w:r>
      <w:r w:rsidR="009B0FE3">
        <w:rPr>
          <w:rStyle w:val="FootnoteReference"/>
        </w:rPr>
        <w:footnoteReference w:id="32"/>
      </w:r>
      <w:r w:rsidR="006222C4">
        <w:t xml:space="preserve"> </w:t>
      </w:r>
      <w:r>
        <w:t xml:space="preserve"> </w:t>
      </w:r>
      <w:r w:rsidR="009D295B">
        <w:t xml:space="preserve">We also seek comment on the complexity </w:t>
      </w:r>
      <w:r w:rsidR="009B0FE3">
        <w:t xml:space="preserve">involved </w:t>
      </w:r>
      <w:r w:rsidR="009D295B">
        <w:t xml:space="preserve">in providing data to the Commission.  Do commenters have the information required for filing readily available from their internal systems?  Do commenters need to maintain redundant systems or perform complex analysis on their internal data in order to submit their reports?  What impact, if any, does the complexity of analysis required have on the reliability of the data submitted? </w:t>
      </w:r>
    </w:p>
    <w:p w:rsidR="000C41DF" w:rsidRPr="00BC4B0B" w:rsidRDefault="000C41DF" w:rsidP="00EE594C">
      <w:pPr>
        <w:pStyle w:val="ParaNum"/>
        <w:rPr>
          <w:szCs w:val="22"/>
        </w:rPr>
      </w:pPr>
      <w:r>
        <w:t>Given the increasing level of competition on most U.S-international routes</w:t>
      </w:r>
      <w:r w:rsidR="00DF1441">
        <w:t xml:space="preserve">, </w:t>
      </w:r>
      <w:r>
        <w:t>we</w:t>
      </w:r>
      <w:r w:rsidR="00AA6638">
        <w:t xml:space="preserve"> believe</w:t>
      </w:r>
      <w:r>
        <w:t xml:space="preserve"> that the benefits of the </w:t>
      </w:r>
      <w:r w:rsidR="009D3B00">
        <w:t>T</w:t>
      </w:r>
      <w:r>
        <w:t xml:space="preserve">raffic and </w:t>
      </w:r>
      <w:r w:rsidR="009D3B00">
        <w:t>R</w:t>
      </w:r>
      <w:r>
        <w:t xml:space="preserve">evenue </w:t>
      </w:r>
      <w:r w:rsidR="009D3B00">
        <w:t>R</w:t>
      </w:r>
      <w:r>
        <w:t>eport</w:t>
      </w:r>
      <w:r w:rsidR="008B1133">
        <w:t>s</w:t>
      </w:r>
      <w:r>
        <w:t xml:space="preserve"> ha</w:t>
      </w:r>
      <w:r w:rsidR="006222C4">
        <w:t>ve</w:t>
      </w:r>
      <w:r>
        <w:t xml:space="preserve"> </w:t>
      </w:r>
      <w:r w:rsidR="00F36ED0">
        <w:t xml:space="preserve">so </w:t>
      </w:r>
      <w:r>
        <w:t>diminished</w:t>
      </w:r>
      <w:r w:rsidR="00323F6C">
        <w:t xml:space="preserve"> </w:t>
      </w:r>
      <w:r w:rsidR="00F36ED0">
        <w:t>that they</w:t>
      </w:r>
      <w:r>
        <w:t xml:space="preserve"> no longer outweigh the costs.  </w:t>
      </w:r>
      <w:r w:rsidRPr="00946745">
        <w:rPr>
          <w:szCs w:val="22"/>
        </w:rPr>
        <w:t>In the last 20 years, since the impl</w:t>
      </w:r>
      <w:r>
        <w:rPr>
          <w:szCs w:val="22"/>
        </w:rPr>
        <w:t>emen</w:t>
      </w:r>
      <w:r w:rsidRPr="00946745">
        <w:rPr>
          <w:szCs w:val="22"/>
        </w:rPr>
        <w:t>tation of the World Trade Organization (WTO) Basic Telecom Agreement</w:t>
      </w:r>
      <w:r w:rsidR="00827F15">
        <w:rPr>
          <w:rStyle w:val="FootnoteReference"/>
          <w:szCs w:val="22"/>
        </w:rPr>
        <w:footnoteReference w:id="33"/>
      </w:r>
      <w:r>
        <w:rPr>
          <w:szCs w:val="22"/>
        </w:rPr>
        <w:t xml:space="preserve"> and the establishment of the Commission’s benchmarks settlements policy</w:t>
      </w:r>
      <w:r w:rsidR="00DF1441">
        <w:rPr>
          <w:szCs w:val="22"/>
        </w:rPr>
        <w:t>,</w:t>
      </w:r>
      <w:r w:rsidR="00827F15">
        <w:rPr>
          <w:rStyle w:val="FootnoteReference"/>
          <w:szCs w:val="22"/>
        </w:rPr>
        <w:footnoteReference w:id="34"/>
      </w:r>
      <w:r w:rsidRPr="00946745">
        <w:rPr>
          <w:szCs w:val="22"/>
        </w:rPr>
        <w:t xml:space="preserve"> the international telecommunications </w:t>
      </w:r>
      <w:r w:rsidR="007D1243">
        <w:rPr>
          <w:szCs w:val="22"/>
        </w:rPr>
        <w:t>sector</w:t>
      </w:r>
      <w:r w:rsidRPr="00946745">
        <w:rPr>
          <w:szCs w:val="22"/>
        </w:rPr>
        <w:t xml:space="preserve"> h</w:t>
      </w:r>
      <w:r w:rsidR="00F36ED0">
        <w:rPr>
          <w:szCs w:val="22"/>
        </w:rPr>
        <w:t>as become much more competitive</w:t>
      </w:r>
      <w:r w:rsidRPr="00946745">
        <w:rPr>
          <w:szCs w:val="22"/>
        </w:rPr>
        <w:t xml:space="preserve"> on both the U.S. and foreign </w:t>
      </w:r>
      <w:r w:rsidR="006222C4">
        <w:rPr>
          <w:szCs w:val="22"/>
        </w:rPr>
        <w:t>ends</w:t>
      </w:r>
      <w:r w:rsidRPr="00946745">
        <w:rPr>
          <w:szCs w:val="22"/>
        </w:rPr>
        <w:t xml:space="preserve">, as government regulations in the United States and abroad were relaxed, and </w:t>
      </w:r>
      <w:r w:rsidR="00F36ED0">
        <w:rPr>
          <w:szCs w:val="22"/>
        </w:rPr>
        <w:t xml:space="preserve">enabled </w:t>
      </w:r>
      <w:r w:rsidRPr="00946745">
        <w:rPr>
          <w:szCs w:val="22"/>
        </w:rPr>
        <w:t xml:space="preserve">entry.  </w:t>
      </w:r>
      <w:r>
        <w:t xml:space="preserve">As a result, </w:t>
      </w:r>
      <w:r w:rsidRPr="008833D4">
        <w:t>both U.S.-international average settlement rates and average IMTS</w:t>
      </w:r>
      <w:r w:rsidRPr="008833D4">
        <w:rPr>
          <w:rStyle w:val="FootnoteReference"/>
          <w:szCs w:val="22"/>
        </w:rPr>
        <w:footnoteReference w:id="35"/>
      </w:r>
      <w:r w:rsidRPr="008833D4">
        <w:t xml:space="preserve"> revenue per minute have dropped dramatically. </w:t>
      </w:r>
      <w:r w:rsidRPr="001479D9">
        <w:t xml:space="preserve"> </w:t>
      </w:r>
      <w:r w:rsidRPr="008833D4">
        <w:t xml:space="preserve">Average settlement rates </w:t>
      </w:r>
      <w:r>
        <w:t xml:space="preserve">paid out by U.S. carriers </w:t>
      </w:r>
      <w:r w:rsidRPr="008833D4">
        <w:t>ha</w:t>
      </w:r>
      <w:r>
        <w:t>ve</w:t>
      </w:r>
      <w:r w:rsidRPr="008833D4">
        <w:t xml:space="preserve"> decreased from </w:t>
      </w:r>
      <w:r w:rsidR="009E3CBB">
        <w:t>$0</w:t>
      </w:r>
      <w:r>
        <w:t xml:space="preserve">.18 </w:t>
      </w:r>
      <w:r w:rsidRPr="008833D4">
        <w:t xml:space="preserve">per minute </w:t>
      </w:r>
      <w:r>
        <w:t xml:space="preserve">in 2000 </w:t>
      </w:r>
      <w:r w:rsidRPr="008833D4">
        <w:t>to $0.0</w:t>
      </w:r>
      <w:r>
        <w:t>3</w:t>
      </w:r>
      <w:r w:rsidRPr="008833D4">
        <w:t xml:space="preserve"> per minute </w:t>
      </w:r>
      <w:r w:rsidR="003A7E19">
        <w:t>in 2014, an 83</w:t>
      </w:r>
      <w:r>
        <w:t xml:space="preserve"> percent drop.</w:t>
      </w:r>
      <w:r>
        <w:rPr>
          <w:rStyle w:val="FootnoteReference"/>
        </w:rPr>
        <w:footnoteReference w:id="36"/>
      </w:r>
      <w:r>
        <w:t xml:space="preserve">  A</w:t>
      </w:r>
      <w:r w:rsidRPr="008833D4">
        <w:t xml:space="preserve">verage </w:t>
      </w:r>
      <w:r>
        <w:t xml:space="preserve">facilities ICS </w:t>
      </w:r>
      <w:r w:rsidRPr="008833D4">
        <w:t>revenue per minute</w:t>
      </w:r>
      <w:r>
        <w:t>, which is a general measure of international calling prices,</w:t>
      </w:r>
      <w:r w:rsidRPr="008833D4">
        <w:t xml:space="preserve"> has decreased from $0.</w:t>
      </w:r>
      <w:r>
        <w:t>4</w:t>
      </w:r>
      <w:r w:rsidRPr="008833D4">
        <w:t xml:space="preserve">7 per minute </w:t>
      </w:r>
      <w:r>
        <w:t>in 2000</w:t>
      </w:r>
      <w:r w:rsidRPr="008833D4">
        <w:t xml:space="preserve"> to $0.0</w:t>
      </w:r>
      <w:r>
        <w:t>4</w:t>
      </w:r>
      <w:r w:rsidRPr="008833D4">
        <w:t xml:space="preserve"> per minute </w:t>
      </w:r>
      <w:r>
        <w:t>in 2014, indicating a drop of 85 percent in the price to consumers for international calling</w:t>
      </w:r>
      <w:r w:rsidRPr="008833D4">
        <w:t>.</w:t>
      </w:r>
      <w:r>
        <w:rPr>
          <w:rStyle w:val="FootnoteReference"/>
        </w:rPr>
        <w:footnoteReference w:id="37"/>
      </w:r>
    </w:p>
    <w:p w:rsidR="000C41DF" w:rsidRPr="00946745" w:rsidRDefault="000C41DF" w:rsidP="00EE594C">
      <w:pPr>
        <w:pStyle w:val="ParaNum"/>
        <w:rPr>
          <w:szCs w:val="22"/>
        </w:rPr>
      </w:pPr>
      <w:r>
        <w:t xml:space="preserve">Additionally, </w:t>
      </w:r>
      <w:r w:rsidR="008B1133">
        <w:t xml:space="preserve">the data we collect may actually </w:t>
      </w:r>
      <w:r w:rsidR="00FF3BFB">
        <w:t xml:space="preserve">understate the competitiveness of the international market.  Although we collect </w:t>
      </w:r>
      <w:r w:rsidRPr="00572222">
        <w:t>data from interconnected VoIP providers,</w:t>
      </w:r>
      <w:r w:rsidRPr="00572222">
        <w:rPr>
          <w:vertAlign w:val="superscript"/>
        </w:rPr>
        <w:footnoteReference w:id="38"/>
      </w:r>
      <w:r w:rsidRPr="00572222">
        <w:t xml:space="preserve"> we do not </w:t>
      </w:r>
      <w:r w:rsidR="00FB5449">
        <w:t xml:space="preserve">mandate reporting </w:t>
      </w:r>
      <w:r w:rsidRPr="00572222">
        <w:t xml:space="preserve">from non-interconnected VoIP providers, </w:t>
      </w:r>
      <w:r>
        <w:t>many of whose services are free to the customer</w:t>
      </w:r>
      <w:r w:rsidR="00F36ED0">
        <w:t>.  This</w:t>
      </w:r>
      <w:r>
        <w:t xml:space="preserve"> indicates that overall consumer rates for international voice traffic may be below those indicated by the reports.  As use of those services continue</w:t>
      </w:r>
      <w:r w:rsidR="00021203">
        <w:t>s</w:t>
      </w:r>
      <w:r>
        <w:t xml:space="preserve"> to increase, it calls into </w:t>
      </w:r>
      <w:r w:rsidRPr="00572222">
        <w:t xml:space="preserve">question </w:t>
      </w:r>
      <w:r>
        <w:t xml:space="preserve">the continuing </w:t>
      </w:r>
      <w:r w:rsidRPr="00572222">
        <w:t xml:space="preserve">value of the overall traffic and revenue data, since </w:t>
      </w:r>
      <w:r w:rsidR="008B1133">
        <w:t>such data r</w:t>
      </w:r>
      <w:r w:rsidRPr="00572222">
        <w:t xml:space="preserve">eveal only a </w:t>
      </w:r>
      <w:r w:rsidR="009D295B">
        <w:t xml:space="preserve">fraction </w:t>
      </w:r>
      <w:r w:rsidRPr="00572222">
        <w:t xml:space="preserve">of the overall picture of international communications, a </w:t>
      </w:r>
      <w:r w:rsidR="009D295B">
        <w:t xml:space="preserve">fraction </w:t>
      </w:r>
      <w:r w:rsidRPr="00572222">
        <w:t>that is likely to grow smaller over time.</w:t>
      </w:r>
      <w:r>
        <w:t xml:space="preserve">  </w:t>
      </w:r>
      <w:r w:rsidR="00FB5449">
        <w:t>To the extent information is available,</w:t>
      </w:r>
      <w:r>
        <w:t xml:space="preserve"> </w:t>
      </w:r>
      <w:r w:rsidR="00FB5449">
        <w:t xml:space="preserve">we </w:t>
      </w:r>
      <w:r>
        <w:t>see</w:t>
      </w:r>
      <w:r w:rsidR="00B82DD9">
        <w:t>k comment on what portion of</w:t>
      </w:r>
      <w:r>
        <w:t xml:space="preserve"> international te</w:t>
      </w:r>
      <w:r w:rsidR="00B82DD9">
        <w:t>lecommunications services</w:t>
      </w:r>
      <w:r>
        <w:t xml:space="preserve"> is provided by </w:t>
      </w:r>
      <w:r w:rsidRPr="00946745">
        <w:t>n</w:t>
      </w:r>
      <w:r>
        <w:t xml:space="preserve">on-interconnected VoIP services, the </w:t>
      </w:r>
      <w:r w:rsidR="008B1133">
        <w:t xml:space="preserve">projected </w:t>
      </w:r>
      <w:r>
        <w:t xml:space="preserve">future growth of those services, and their impact on the relevance </w:t>
      </w:r>
      <w:r w:rsidR="008B1133">
        <w:t xml:space="preserve">and accuracy </w:t>
      </w:r>
      <w:r>
        <w:t xml:space="preserve">of our current </w:t>
      </w:r>
      <w:r w:rsidR="00827F15">
        <w:t>Traffic and Revenue Report</w:t>
      </w:r>
      <w:r w:rsidR="00926716">
        <w:t>s</w:t>
      </w:r>
      <w:r>
        <w:t>.</w:t>
      </w:r>
    </w:p>
    <w:p w:rsidR="000C41DF" w:rsidRPr="00524A81" w:rsidRDefault="000C41DF" w:rsidP="00EE594C">
      <w:pPr>
        <w:pStyle w:val="ParaNum"/>
        <w:rPr>
          <w:szCs w:val="22"/>
        </w:rPr>
      </w:pPr>
      <w:r>
        <w:t xml:space="preserve">Settlement rates to most foreign points are also well below the benchmark rate established for that country, indicating that competition has driven the rate closer </w:t>
      </w:r>
      <w:r w:rsidR="006222C4">
        <w:t xml:space="preserve">to </w:t>
      </w:r>
      <w:r>
        <w:t xml:space="preserve">cost-based levels.  </w:t>
      </w:r>
      <w:r w:rsidRPr="008833D4">
        <w:t xml:space="preserve">Though some routes are still subject to </w:t>
      </w:r>
      <w:r>
        <w:t xml:space="preserve">the </w:t>
      </w:r>
      <w:r w:rsidRPr="008833D4">
        <w:t xml:space="preserve">anti-competitive effects of </w:t>
      </w:r>
      <w:r>
        <w:t xml:space="preserve">foreign </w:t>
      </w:r>
      <w:r w:rsidRPr="008833D4">
        <w:t>monopolist providers</w:t>
      </w:r>
      <w:r>
        <w:t xml:space="preserve"> and government regulation</w:t>
      </w:r>
      <w:r w:rsidRPr="008833D4">
        <w:t xml:space="preserve">, for the most part </w:t>
      </w:r>
      <w:r>
        <w:t>U.S.-</w:t>
      </w:r>
      <w:r w:rsidRPr="008833D4">
        <w:t>international routes are competitive.</w:t>
      </w:r>
      <w:r>
        <w:rPr>
          <w:rStyle w:val="FootnoteReference"/>
        </w:rPr>
        <w:footnoteReference w:id="39"/>
      </w:r>
      <w:r>
        <w:t xml:space="preserve">  This is due to relaxed government regulations, entry by new carriers, entry by existing incumbents into other countries’ markets, technological developments that have enhanced ease of entry, and, perhaps most significantly for the future, the development of VoIP-based alternatives to traditional international switched services, such as Skype</w:t>
      </w:r>
      <w:r w:rsidR="006F59A6">
        <w:t>,</w:t>
      </w:r>
      <w:r>
        <w:t xml:space="preserve"> FaceTime</w:t>
      </w:r>
      <w:r w:rsidR="006F59A6">
        <w:t>, Viber, or WhatsApp</w:t>
      </w:r>
      <w:r>
        <w:t xml:space="preserve">.  </w:t>
      </w:r>
      <w:r w:rsidRPr="00572222">
        <w:t>Attempt</w:t>
      </w:r>
      <w:r w:rsidR="002C29DE">
        <w:t>s</w:t>
      </w:r>
      <w:r w:rsidRPr="00572222">
        <w:t xml:space="preserve"> to raise settlement rates by a foreign carrier</w:t>
      </w:r>
      <w:r>
        <w:t>, cartel,</w:t>
      </w:r>
      <w:r w:rsidRPr="00572222">
        <w:t xml:space="preserve"> or government can be countered by carriers using our benchmark complaint process, or by consumers switching to VoIP-based calling services, many of which are free.  Although the traffic and revenue data ha</w:t>
      </w:r>
      <w:r w:rsidR="00F65825">
        <w:t>ve</w:t>
      </w:r>
      <w:r w:rsidRPr="00572222">
        <w:t xml:space="preserve"> been useful for those times when we have investigated anticompetitive behavior on certain routes, these have been relatively infrequent</w:t>
      </w:r>
      <w:r w:rsidR="00D85E4B">
        <w:t xml:space="preserve"> in recent years</w:t>
      </w:r>
      <w:r w:rsidRPr="00572222">
        <w:t>.</w:t>
      </w:r>
      <w:r w:rsidR="00926716">
        <w:rPr>
          <w:rStyle w:val="FootnoteReference"/>
        </w:rPr>
        <w:footnoteReference w:id="40"/>
      </w:r>
      <w:r w:rsidRPr="00572222">
        <w:t xml:space="preserve">  </w:t>
      </w:r>
      <w:r w:rsidR="00FB5449" w:rsidRPr="00572222">
        <w:t xml:space="preserve">Moreover, we can and do request traffic and revenue information from carriers when a carrier complains of anticompetitive conduct </w:t>
      </w:r>
      <w:r w:rsidR="00FB5449">
        <w:t xml:space="preserve">by a foreign carrier or government </w:t>
      </w:r>
      <w:r w:rsidR="00FB5449" w:rsidRPr="00572222">
        <w:t>on a specific route.</w:t>
      </w:r>
      <w:r w:rsidR="00FB5449">
        <w:rPr>
          <w:rStyle w:val="FootnoteReference"/>
        </w:rPr>
        <w:footnoteReference w:id="41"/>
      </w:r>
      <w:r>
        <w:t xml:space="preserve"> </w:t>
      </w:r>
    </w:p>
    <w:p w:rsidR="00FB5449" w:rsidRDefault="00FB5449" w:rsidP="00FB5449">
      <w:pPr>
        <w:pStyle w:val="ParaNum"/>
      </w:pPr>
      <w:r w:rsidRPr="00617A76">
        <w:t xml:space="preserve">In eliminating the Traffic and Revenue Reports, is there data and information that </w:t>
      </w:r>
      <w:r w:rsidRPr="00F418DA">
        <w:t xml:space="preserve">the Commission would not be able to obtain to address instances of anticompetitive conduct on a U.S.-international route that adversely affects U.S. consumers or U.S. carriers? </w:t>
      </w:r>
      <w:r w:rsidRPr="00617A76">
        <w:rPr>
          <w:rStyle w:val="s1"/>
        </w:rPr>
        <w:t xml:space="preserve"> </w:t>
      </w:r>
      <w:r w:rsidRPr="00617A76">
        <w:t>How could the Commission ascertain which facilities-based carriers have termination arrangements on a particular U.S.-international route in the absence of reported traffic and revenue data?  We seek c</w:t>
      </w:r>
      <w:r w:rsidRPr="00F418DA">
        <w:t xml:space="preserve">omment on whether there are less burdensome alternatives for carriers to provide the Commission with information it needs to protect U.S. consumers and carriers.  </w:t>
      </w:r>
      <w:r>
        <w:t>There are also international routes which are not fully competitive and on which the settlement rate is still above the benchmark rate.</w:t>
      </w:r>
      <w:r>
        <w:rPr>
          <w:rStyle w:val="FootnoteReference"/>
          <w:szCs w:val="22"/>
        </w:rPr>
        <w:footnoteReference w:id="42"/>
      </w:r>
      <w:r>
        <w:t xml:space="preserve">  We seek comment on whether the Commission should continue to obtain information regarding above-benchmark rates.  If so, what information should the Commission continue to require?  In addition, for those commenters opposed to eliminating these reporting requirements, we seek comment on how they can be further streamlined</w:t>
      </w:r>
      <w:r>
        <w:rPr>
          <w:rStyle w:val="FootnoteReference"/>
          <w:szCs w:val="22"/>
        </w:rPr>
        <w:footnoteReference w:id="43"/>
      </w:r>
      <w:r w:rsidRPr="0076232E">
        <w:rPr>
          <w:szCs w:val="22"/>
        </w:rPr>
        <w:t xml:space="preserve"> and whether the Commission should sunset some or all of the provisions.  </w:t>
      </w:r>
      <w:r w:rsidRPr="005E43E4">
        <w:t>We</w:t>
      </w:r>
      <w:r>
        <w:t xml:space="preserve"> seek comment on all the issues raised and solicit additional feedback on any issues we should consider with regard to eliminating the Traffic and Revenue Reports.</w:t>
      </w:r>
    </w:p>
    <w:p w:rsidR="000C41DF" w:rsidRDefault="00B16359" w:rsidP="00101496">
      <w:pPr>
        <w:pStyle w:val="Heading2"/>
      </w:pPr>
      <w:r>
        <w:t>Circuit Capacity Reports</w:t>
      </w:r>
    </w:p>
    <w:p w:rsidR="00591448" w:rsidRDefault="00591448" w:rsidP="00591448">
      <w:pPr>
        <w:pStyle w:val="ParaNum"/>
      </w:pPr>
      <w:r>
        <w:t xml:space="preserve">At this time, we believe that retaining the Circuit Capacity Reports might be warranted because the benefits </w:t>
      </w:r>
      <w:r w:rsidR="008B1133">
        <w:t xml:space="preserve">appear to </w:t>
      </w:r>
      <w:r>
        <w:t>exceed the costs of collecting this data.  We seek comment on our analysis and on ways to further streamline our requirements to minimize the burden on filers while ensuring the Commission receives the information it needs to meet its statutory responsibilities.</w:t>
      </w:r>
      <w:r>
        <w:rPr>
          <w:rStyle w:val="FootnoteReference"/>
        </w:rPr>
        <w:footnoteReference w:id="44"/>
      </w:r>
    </w:p>
    <w:p w:rsidR="001D428E" w:rsidRDefault="00305BFF" w:rsidP="00591448">
      <w:pPr>
        <w:pStyle w:val="ParaNum"/>
      </w:pPr>
      <w:r w:rsidRPr="00591448">
        <w:rPr>
          <w:szCs w:val="22"/>
        </w:rPr>
        <w:t>We seek comment on the burden imposed by our circuit capacity reporting</w:t>
      </w:r>
      <w:r w:rsidR="001D428E" w:rsidRPr="00591448">
        <w:rPr>
          <w:szCs w:val="22"/>
        </w:rPr>
        <w:t xml:space="preserve"> requirements</w:t>
      </w:r>
      <w:r w:rsidRPr="00591448">
        <w:rPr>
          <w:szCs w:val="22"/>
        </w:rPr>
        <w:t xml:space="preserve">.  </w:t>
      </w:r>
      <w:r>
        <w:t>While the Commission does not have firm numbers on the costs to industry to prepare and submit the reports, we have developed estimates of the burdens.</w:t>
      </w:r>
      <w:r>
        <w:rPr>
          <w:rStyle w:val="FootnoteReference"/>
        </w:rPr>
        <w:footnoteReference w:id="45"/>
      </w:r>
      <w:r>
        <w:t xml:space="preserve">  In 2016, 91 entities filed data regarding their circuits as of December 31, 2015.  Thirty-five reports were filed for terrestrial and satellite world total circuits; 30 cable operator reports were filed; and 72 capacity holder reports were filed. </w:t>
      </w:r>
      <w:r w:rsidR="002E48EF">
        <w:t xml:space="preserve"> </w:t>
      </w:r>
      <w:r w:rsidR="00611FCB">
        <w:t>In 2014, t</w:t>
      </w:r>
      <w:r>
        <w:t>he Commission estimate</w:t>
      </w:r>
      <w:r w:rsidR="00611FCB">
        <w:t>d</w:t>
      </w:r>
      <w:r>
        <w:t xml:space="preserve"> that filers spen</w:t>
      </w:r>
      <w:r w:rsidR="00611FCB">
        <w:t>d</w:t>
      </w:r>
      <w:r>
        <w:t xml:space="preserve"> one hour preparing and filing the registration form; one hour preparing and filing world total terrestr</w:t>
      </w:r>
      <w:r w:rsidR="00C12CFA">
        <w:t>ial and/or satellite circuits; two</w:t>
      </w:r>
      <w:r>
        <w:t xml:space="preserve"> hours preparing and submitting the c</w:t>
      </w:r>
      <w:r w:rsidR="00FF3BFB">
        <w:t>able operators report; and</w:t>
      </w:r>
      <w:r>
        <w:t xml:space="preserve"> 10 hours preparing and filing the cable capacity holders report.  In total, we estimate that industry spent 906 hours preparing and submitting the data for the 2015 annual </w:t>
      </w:r>
      <w:r w:rsidR="009F25A4">
        <w:t>C</w:t>
      </w:r>
      <w:r>
        <w:t xml:space="preserve">ircuit </w:t>
      </w:r>
      <w:r w:rsidR="009F25A4">
        <w:t>C</w:t>
      </w:r>
      <w:r>
        <w:t xml:space="preserve">apacity </w:t>
      </w:r>
      <w:r w:rsidR="009F25A4">
        <w:t>R</w:t>
      </w:r>
      <w:r>
        <w:t>eports.  We estimate that Commission staff will spend 372 hours reviewing and publishing the data at a total cost of $22</w:t>
      </w:r>
      <w:r w:rsidR="00611FCB">
        <w:t>,</w:t>
      </w:r>
      <w:r>
        <w:t xml:space="preserve">280.  We seek comment on these estimations and ask commenters to provide us with the cost of preparing and submitting the </w:t>
      </w:r>
      <w:r w:rsidR="009F25A4">
        <w:t>C</w:t>
      </w:r>
      <w:r>
        <w:t xml:space="preserve">ircuit </w:t>
      </w:r>
      <w:r w:rsidR="009F25A4">
        <w:t>C</w:t>
      </w:r>
      <w:r>
        <w:t xml:space="preserve">apacity </w:t>
      </w:r>
      <w:r w:rsidR="009F25A4">
        <w:t>R</w:t>
      </w:r>
      <w:r>
        <w:t xml:space="preserve">eports.  In particular, we seek comment on the actual time spent to produce the data and ask commenters to provide us with an average wage rate.  </w:t>
      </w:r>
    </w:p>
    <w:p w:rsidR="001D428E" w:rsidRDefault="001D428E" w:rsidP="00CF6E96">
      <w:pPr>
        <w:pStyle w:val="ParaNum"/>
        <w:widowControl/>
      </w:pPr>
      <w:r>
        <w:t xml:space="preserve">Although the value of the Circuit Capacity Reports is less than it once was with the advent of competition throughout the international marketplace, we believe </w:t>
      </w:r>
      <w:r w:rsidR="00021203">
        <w:t xml:space="preserve">the reports </w:t>
      </w:r>
      <w:r>
        <w:t xml:space="preserve">still retain significant value.  For one, the Circuit Capacity Reports give the agency a clear understanding of which operators have deployed what facilities where—the prime information needed for any analysis of facilities-based competition.  For another, the Circuit Capacity Reports are used by the Commission and the national security agencies to understand how to protect and secure this critical international infrastructure.  </w:t>
      </w:r>
      <w:r w:rsidR="00DC27FD">
        <w:t>For yet another, the Commission relies on these reports to carry out its statutory obligation to assess regulatory fees on international bearer circuits.</w:t>
      </w:r>
      <w:r w:rsidR="00DC27FD">
        <w:rPr>
          <w:rStyle w:val="FootnoteReference"/>
        </w:rPr>
        <w:footnoteReference w:id="46"/>
      </w:r>
      <w:r w:rsidR="00DC27FD">
        <w:t xml:space="preserve">   </w:t>
      </w:r>
      <w:r w:rsidR="00534626">
        <w:t>We believe that these benefits outweigh the costs of this information collection. We seek comment on this analysis, and how the benefits of the Circuit Capacity Reports can best be quantified</w:t>
      </w:r>
      <w:r>
        <w:t>.</w:t>
      </w:r>
    </w:p>
    <w:p w:rsidR="00305BFF" w:rsidRDefault="001D428E" w:rsidP="00305BFF">
      <w:pPr>
        <w:pStyle w:val="ParaNum"/>
        <w:rPr>
          <w:szCs w:val="22"/>
        </w:rPr>
      </w:pPr>
      <w:r>
        <w:t xml:space="preserve">We </w:t>
      </w:r>
      <w:r w:rsidR="00534626">
        <w:t xml:space="preserve">also </w:t>
      </w:r>
      <w:r w:rsidR="00305BFF">
        <w:t>seek comment on ways to streamline or improve our reporting requirements.  Have there</w:t>
      </w:r>
      <w:r w:rsidR="00305BFF" w:rsidRPr="00A86491">
        <w:rPr>
          <w:szCs w:val="22"/>
        </w:rPr>
        <w:t xml:space="preserve"> </w:t>
      </w:r>
      <w:r w:rsidR="00305BFF">
        <w:t xml:space="preserve">have been changes in the international transport markets over the past few years that necessitate a reexamination of the type of information we collect, especially any changes in the submarine cable markets?  How should we modify the collection in a manner that would still allow the Commission to meet its obligations?  How would the cost benefit analysis change with the proposed modifications?  </w:t>
      </w:r>
      <w:r w:rsidR="00305BFF" w:rsidRPr="00A86491">
        <w:rPr>
          <w:szCs w:val="22"/>
        </w:rPr>
        <w:t>Should we collect different information that would minimize burdens on filers while still providing value to the public, industry</w:t>
      </w:r>
      <w:r w:rsidR="0085239A">
        <w:rPr>
          <w:szCs w:val="22"/>
        </w:rPr>
        <w:t>,</w:t>
      </w:r>
      <w:r w:rsidR="00305BFF" w:rsidRPr="00A86491">
        <w:rPr>
          <w:szCs w:val="22"/>
        </w:rPr>
        <w:t xml:space="preserve"> and the Commission?  We recognize that the data are</w:t>
      </w:r>
      <w:r w:rsidR="00305BFF" w:rsidRPr="00424CFF">
        <w:rPr>
          <w:szCs w:val="22"/>
        </w:rPr>
        <w:t xml:space="preserve"> used to assess regulatory fees</w:t>
      </w:r>
      <w:r w:rsidR="00611FCB">
        <w:rPr>
          <w:szCs w:val="22"/>
        </w:rPr>
        <w:t>,</w:t>
      </w:r>
      <w:r w:rsidR="00305BFF" w:rsidRPr="00424CFF">
        <w:rPr>
          <w:szCs w:val="22"/>
        </w:rPr>
        <w:t xml:space="preserve"> and seek comment </w:t>
      </w:r>
      <w:r w:rsidR="00611FCB">
        <w:rPr>
          <w:szCs w:val="22"/>
        </w:rPr>
        <w:t>on w</w:t>
      </w:r>
      <w:r w:rsidR="00AA6638">
        <w:rPr>
          <w:szCs w:val="22"/>
        </w:rPr>
        <w:t>h</w:t>
      </w:r>
      <w:r w:rsidR="00611FCB">
        <w:rPr>
          <w:szCs w:val="22"/>
        </w:rPr>
        <w:t>ether</w:t>
      </w:r>
      <w:r w:rsidR="00611FCB" w:rsidRPr="00424CFF">
        <w:rPr>
          <w:szCs w:val="22"/>
        </w:rPr>
        <w:t xml:space="preserve"> </w:t>
      </w:r>
      <w:r w:rsidR="00305BFF" w:rsidRPr="00424CFF">
        <w:rPr>
          <w:szCs w:val="22"/>
        </w:rPr>
        <w:t>we should require filers to su</w:t>
      </w:r>
      <w:r w:rsidR="00305BFF" w:rsidRPr="00275058">
        <w:rPr>
          <w:szCs w:val="22"/>
        </w:rPr>
        <w:t>bmit</w:t>
      </w:r>
      <w:r w:rsidR="002E48EF">
        <w:rPr>
          <w:szCs w:val="22"/>
        </w:rPr>
        <w:t xml:space="preserve">, </w:t>
      </w:r>
      <w:r w:rsidR="002E48EF" w:rsidRPr="00424CFF">
        <w:rPr>
          <w:szCs w:val="22"/>
        </w:rPr>
        <w:t>for example</w:t>
      </w:r>
      <w:r w:rsidR="002E48EF">
        <w:rPr>
          <w:szCs w:val="22"/>
        </w:rPr>
        <w:t>,</w:t>
      </w:r>
      <w:r w:rsidR="00305BFF" w:rsidRPr="00275058">
        <w:rPr>
          <w:szCs w:val="22"/>
        </w:rPr>
        <w:t xml:space="preserve"> the data at the same time as the fee, rather than as a prelude to the fee.  What other ways can the Commission minimize burdens on filers?  What, if any, alternative or substitutes for the circuit capacity data, in particular the submarine cable data, are available </w:t>
      </w:r>
      <w:r w:rsidR="00305BFF" w:rsidRPr="00E844A8">
        <w:rPr>
          <w:szCs w:val="22"/>
        </w:rPr>
        <w:t xml:space="preserve">from commercial sources?  If data are available from commercial sources, are there limitations on the Commission’s use of that data?  </w:t>
      </w:r>
      <w:r w:rsidR="00305BFF">
        <w:t>We seek comment on this and whether there are alternative lower cost means of acquiring circuit capacity data.</w:t>
      </w:r>
      <w:r w:rsidR="00071331">
        <w:t xml:space="preserve">  We also seek comment on whether we </w:t>
      </w:r>
      <w:r w:rsidR="00AC3993">
        <w:t>could</w:t>
      </w:r>
      <w:r w:rsidR="00071331">
        <w:t xml:space="preserve"> eliminate the Circuit Capacity Reports, and if so how the Commission could continue to perform the functions that the circuit data </w:t>
      </w:r>
      <w:r w:rsidR="00AF3B8B">
        <w:t>enable</w:t>
      </w:r>
      <w:r w:rsidR="00071331">
        <w:t>.</w:t>
      </w:r>
      <w:r w:rsidR="00305BFF">
        <w:t xml:space="preserve">  </w:t>
      </w:r>
    </w:p>
    <w:p w:rsidR="001D428E" w:rsidRPr="001D428E" w:rsidRDefault="00305BFF" w:rsidP="00722E16">
      <w:pPr>
        <w:pStyle w:val="ParaNum"/>
        <w:rPr>
          <w:szCs w:val="22"/>
        </w:rPr>
      </w:pPr>
      <w:r>
        <w:t xml:space="preserve">We also seek </w:t>
      </w:r>
      <w:r w:rsidR="00534626">
        <w:t xml:space="preserve">input </w:t>
      </w:r>
      <w:r>
        <w:t>on two issues that have become apparent with the most recent filing of Circuit Capacity Reports.  First, for certain individual cables, we have observed</w:t>
      </w:r>
      <w:r w:rsidR="006F59A6">
        <w:t xml:space="preserve"> a discrepancy between </w:t>
      </w:r>
      <w:r>
        <w:t>the capacity reported on the cable operators report and the capacity reported on the cable capacity holders report.</w:t>
      </w:r>
      <w:r w:rsidR="00722E16">
        <w:t xml:space="preserve">  </w:t>
      </w:r>
      <w:r w:rsidR="00EA6D92" w:rsidRPr="00EA6D92">
        <w:rPr>
          <w:color w:val="000000" w:themeColor="text1"/>
        </w:rPr>
        <w:t>For example, occasionally, we find that the cable capacity holders report</w:t>
      </w:r>
      <w:r w:rsidR="00FA5D59">
        <w:rPr>
          <w:color w:val="000000" w:themeColor="text1"/>
        </w:rPr>
        <w:t xml:space="preserve"> has higher capacity numbers than the cable operator report for the same cable</w:t>
      </w:r>
      <w:r w:rsidR="00EA6D92" w:rsidRPr="00EA6D92">
        <w:rPr>
          <w:color w:val="000000" w:themeColor="text1"/>
        </w:rPr>
        <w:t>.</w:t>
      </w:r>
      <w:r w:rsidR="00EA6D92">
        <w:rPr>
          <w:rStyle w:val="FootnoteReference"/>
        </w:rPr>
        <w:footnoteReference w:id="47"/>
      </w:r>
      <w:r w:rsidR="006F59A6" w:rsidRPr="006F59A6">
        <w:t xml:space="preserve">  </w:t>
      </w:r>
      <w:r w:rsidR="006F59A6">
        <w:t>What is the cause of</w:t>
      </w:r>
      <w:r w:rsidR="001D428E">
        <w:t xml:space="preserve"> such inconsistencies</w:t>
      </w:r>
      <w:r w:rsidR="006F59A6">
        <w:t>, and how can we best address them</w:t>
      </w:r>
      <w:r w:rsidR="001D428E">
        <w:t>?</w:t>
      </w:r>
    </w:p>
    <w:p w:rsidR="00305BFF" w:rsidRPr="005B5BD7" w:rsidRDefault="00305BFF" w:rsidP="009B07DE">
      <w:pPr>
        <w:pStyle w:val="ParaNum"/>
        <w:widowControl/>
        <w:rPr>
          <w:szCs w:val="22"/>
        </w:rPr>
      </w:pPr>
      <w:r>
        <w:t xml:space="preserve">Second, on the cable capacity holders report, filers are asked to report capacity acquired and relinquished via </w:t>
      </w:r>
      <w:r w:rsidR="00F746A0" w:rsidRPr="00F746A0">
        <w:t xml:space="preserve">indefeasible rights-of-use </w:t>
      </w:r>
      <w:r w:rsidR="00F746A0">
        <w:t>(</w:t>
      </w:r>
      <w:r>
        <w:t>IRUs</w:t>
      </w:r>
      <w:r w:rsidR="00F746A0">
        <w:t>)</w:t>
      </w:r>
      <w:r>
        <w:t xml:space="preserve"> or </w:t>
      </w:r>
      <w:r w:rsidR="00F746A0" w:rsidRPr="00F746A0">
        <w:t>inter-carrier leaseholds (ICLs)</w:t>
      </w:r>
      <w:r>
        <w:t xml:space="preserve"> </w:t>
      </w:r>
      <w:r w:rsidRPr="005B5BD7">
        <w:rPr>
          <w:i/>
        </w:rPr>
        <w:t>only</w:t>
      </w:r>
      <w:r>
        <w:t xml:space="preserve"> in those cases where such transactions are with another reporting entity.</w:t>
      </w:r>
      <w:r>
        <w:rPr>
          <w:rStyle w:val="FootnoteReference"/>
        </w:rPr>
        <w:footnoteReference w:id="48"/>
      </w:r>
      <w:r>
        <w:t xml:space="preserve">  Thus, for each entry of capacity acquired by IRU or ICL, there should be a corresponding entry of capacity relinquished</w:t>
      </w:r>
      <w:r w:rsidR="00584D8B">
        <w:t>;</w:t>
      </w:r>
      <w:r>
        <w:t xml:space="preserve"> however</w:t>
      </w:r>
      <w:r w:rsidR="00CB7F7F">
        <w:t>,</w:t>
      </w:r>
      <w:r>
        <w:t xml:space="preserve"> this has generally not been the case.  Should we address this by clarifying the filing instructions?  Or should we change the instructions so that all IRU and ICL transactions </w:t>
      </w:r>
      <w:r w:rsidR="004371B5">
        <w:t xml:space="preserve">must be </w:t>
      </w:r>
      <w:r>
        <w:t xml:space="preserve">reported, regardless of </w:t>
      </w:r>
      <w:r w:rsidR="004371B5">
        <w:t xml:space="preserve">whether </w:t>
      </w:r>
      <w:r>
        <w:t>the other party</w:t>
      </w:r>
      <w:r w:rsidR="004371B5">
        <w:t xml:space="preserve"> is also a reporting party</w:t>
      </w:r>
      <w:r>
        <w:t>?</w:t>
      </w:r>
    </w:p>
    <w:p w:rsidR="00F42FAC" w:rsidRPr="00A63E30" w:rsidRDefault="00F42FAC" w:rsidP="00265174">
      <w:pPr>
        <w:pStyle w:val="ParaNum"/>
        <w:widowControl/>
      </w:pPr>
      <w:r w:rsidRPr="00A63E30">
        <w:t>As part of the changes adopted in 2013, filers are allowed to check a box on the registration form to request confidentiality for their data.  In the past, the Commission has published information on the current and planned capacity of individual U.S.-international submarine cables.</w:t>
      </w:r>
      <w:r w:rsidRPr="00A63E30">
        <w:rPr>
          <w:rStyle w:val="FootnoteReference"/>
          <w:sz w:val="22"/>
        </w:rPr>
        <w:footnoteReference w:id="49"/>
      </w:r>
      <w:r w:rsidRPr="00A63E30">
        <w:t xml:space="preserve">  Several cable operators have recently requested confidential treatment for their cable operator data.  To minimize burdens, we seek comment on whether, for example, in the future the Commission should publish such data on a consolidated regional (and not cable-specific) basis.  We seek comment on whether releasing only regional data to the public, without identifying individual cable operators, will affect the usefulness of the Circuit Capacity Reports, and whether this practice would address concerns operators have regarding the confidentiality of data submitted in such reports.</w:t>
      </w:r>
      <w:r w:rsidRPr="00A63E30">
        <w:rPr>
          <w:rStyle w:val="FootnoteReference"/>
          <w:sz w:val="22"/>
        </w:rPr>
        <w:footnoteReference w:id="50"/>
      </w:r>
    </w:p>
    <w:p w:rsidR="00B16359" w:rsidRDefault="00305BFF" w:rsidP="00CF6E96">
      <w:pPr>
        <w:pStyle w:val="ParaNum"/>
        <w:widowControl/>
      </w:pPr>
      <w:r>
        <w:t>Finally, we propose a change to the confidential</w:t>
      </w:r>
      <w:r w:rsidR="001D428E">
        <w:t>ity</w:t>
      </w:r>
      <w:r>
        <w:t xml:space="preserve"> rule for circuit capacity to clarify that requests for confidential treatment will be consistent with </w:t>
      </w:r>
      <w:r w:rsidR="00584D8B">
        <w:t>S</w:t>
      </w:r>
      <w:r>
        <w:t>ection 0.459 of the Commission’s rules</w:t>
      </w:r>
      <w:r w:rsidR="00F42FAC">
        <w:t>,</w:t>
      </w:r>
      <w:r w:rsidR="00F42FAC" w:rsidRPr="00F42FAC">
        <w:rPr>
          <w:sz w:val="20"/>
          <w:vertAlign w:val="superscript"/>
        </w:rPr>
        <w:t xml:space="preserve"> </w:t>
      </w:r>
      <w:r w:rsidR="00F42FAC" w:rsidRPr="00F42FAC">
        <w:rPr>
          <w:vertAlign w:val="superscript"/>
        </w:rPr>
        <w:footnoteReference w:id="51"/>
      </w:r>
      <w:r w:rsidR="00F42FAC" w:rsidRPr="00F42FAC">
        <w:t xml:space="preserve"> </w:t>
      </w:r>
      <w:r w:rsidR="00F42FAC">
        <w:t>and seek comment on this proposal</w:t>
      </w:r>
      <w:r>
        <w:t xml:space="preserve">. </w:t>
      </w:r>
    </w:p>
    <w:p w:rsidR="004E1DF0" w:rsidRDefault="004E1DF0" w:rsidP="004E1DF0">
      <w:pPr>
        <w:pStyle w:val="Heading1"/>
      </w:pPr>
      <w:r>
        <w:t>administrative matter</w:t>
      </w:r>
      <w:r w:rsidR="009E3CBB">
        <w:t>s</w:t>
      </w:r>
    </w:p>
    <w:p w:rsidR="004E1DF0" w:rsidRDefault="004E1DF0" w:rsidP="00101496">
      <w:pPr>
        <w:pStyle w:val="Heading2"/>
      </w:pPr>
      <w:r w:rsidRPr="009E3CBB">
        <w:rPr>
          <w:i/>
        </w:rPr>
        <w:t>Ex Parte</w:t>
      </w:r>
      <w:r>
        <w:t xml:space="preserve"> Rules</w:t>
      </w:r>
    </w:p>
    <w:p w:rsidR="00F42FAC" w:rsidRDefault="00F42FAC" w:rsidP="00265174">
      <w:pPr>
        <w:pStyle w:val="ParaNum"/>
        <w:widowControl/>
      </w:pPr>
      <w:r w:rsidRPr="00A63E30">
        <w:t xml:space="preserve">The proceeding this NPRM initiates shall be treated as a “permit-but-disclose” proceeding in accordance with the Commission’s </w:t>
      </w:r>
      <w:r w:rsidRPr="00A63E30">
        <w:rPr>
          <w:i/>
        </w:rPr>
        <w:t>ex parte</w:t>
      </w:r>
      <w:r w:rsidRPr="00A63E30">
        <w:t xml:space="preserve"> rules.</w:t>
      </w:r>
      <w:r w:rsidRPr="00A63E30">
        <w:rPr>
          <w:rStyle w:val="FootnoteReference"/>
          <w:sz w:val="22"/>
        </w:rPr>
        <w:footnoteReference w:id="52"/>
      </w:r>
      <w:r w:rsidRPr="00A63E30">
        <w:t xml:space="preserve">  Persons making </w:t>
      </w:r>
      <w:r w:rsidRPr="00A63E30">
        <w:rPr>
          <w:i/>
        </w:rPr>
        <w:t xml:space="preserve">ex parte </w:t>
      </w:r>
      <w:r w:rsidRPr="00A63E3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63E30">
        <w:rPr>
          <w:i/>
        </w:rPr>
        <w:t>ex parte</w:t>
      </w:r>
      <w:r w:rsidRPr="00A63E30">
        <w:t xml:space="preserve"> presentations are reminded that memoranda summarizing the presentation must (1) list all persons attending or otherwise participating in the meeting at which the </w:t>
      </w:r>
      <w:r w:rsidRPr="00A63E30">
        <w:rPr>
          <w:i/>
        </w:rPr>
        <w:t>ex parte</w:t>
      </w:r>
      <w:r w:rsidRPr="00A63E3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63E30">
        <w:rPr>
          <w:i/>
        </w:rPr>
        <w:t>ex parte</w:t>
      </w:r>
      <w:r w:rsidRPr="00A63E30">
        <w:t xml:space="preserve"> meetings are deemed to be written </w:t>
      </w:r>
      <w:r w:rsidRPr="00A63E30">
        <w:rPr>
          <w:i/>
        </w:rPr>
        <w:t>ex parte</w:t>
      </w:r>
      <w:r w:rsidRPr="00A63E30">
        <w:t xml:space="preserve"> presentations and must be filed consistent with rule 1.1206(b).  In proceedings governed by rule 1.49(f) or for which the Commission has made available a method of electronic filing, written </w:t>
      </w:r>
      <w:r w:rsidRPr="00A63E30">
        <w:rPr>
          <w:i/>
        </w:rPr>
        <w:t>ex parte</w:t>
      </w:r>
      <w:r w:rsidRPr="00A63E30">
        <w:t xml:space="preserve"> presentations and memoranda summarizing oral </w:t>
      </w:r>
      <w:r w:rsidRPr="00A63E30">
        <w:rPr>
          <w:i/>
        </w:rPr>
        <w:t>ex parte</w:t>
      </w:r>
      <w:r w:rsidRPr="00A63E30">
        <w:t xml:space="preserve"> presentations, and all attachments thereto, must be filed through the electronic comment filing system available for that proceeding, and must be filed in their native format (</w:t>
      </w:r>
      <w:r w:rsidRPr="00AB63B3">
        <w:rPr>
          <w:i/>
        </w:rPr>
        <w:t>e.g.</w:t>
      </w:r>
      <w:r w:rsidRPr="00A63E30">
        <w:t xml:space="preserve">, .doc, .xml, .ppt, searchable .pdf).  Participants in this proceeding should familiarize themselves with the Commission’s </w:t>
      </w:r>
      <w:r w:rsidRPr="00A63E30">
        <w:rPr>
          <w:i/>
        </w:rPr>
        <w:t>ex parte</w:t>
      </w:r>
      <w:r w:rsidRPr="00A63E30">
        <w:t xml:space="preserve"> rules.</w:t>
      </w:r>
    </w:p>
    <w:p w:rsidR="00034E1D" w:rsidRPr="00034E1D" w:rsidRDefault="00034E1D" w:rsidP="00101496">
      <w:pPr>
        <w:pStyle w:val="Heading2"/>
      </w:pPr>
      <w:r w:rsidRPr="00034E1D">
        <w:t>Initial Regulatory Flexibility Analysis</w:t>
      </w:r>
    </w:p>
    <w:p w:rsidR="00F42FAC" w:rsidRDefault="000836AD" w:rsidP="00265174">
      <w:pPr>
        <w:pStyle w:val="ParaNum"/>
        <w:widowControl/>
      </w:pPr>
      <w:r w:rsidRPr="00A63E30">
        <w:t>Pursuant to the Regulatory Flexibility Act (RFA),</w:t>
      </w:r>
      <w:r w:rsidRPr="00A63E30">
        <w:rPr>
          <w:vertAlign w:val="superscript"/>
        </w:rPr>
        <w:footnoteReference w:id="53"/>
      </w:r>
      <w:r w:rsidRPr="00A63E30">
        <w:t xml:space="preserve"> the Commission has prepared an Initial Regulatory Flexibility Analysis (IRFA) of the possible significant economic impact on small entities by the policies and actions considered in this NPRM.  The text of the IRFA is set forth in Appendix B.  Written public comments are requested on this IRFA.  Comments must be identified as responses to the IRFA and must be filed by the deadlines for comments on the NPRM.  The Commission’s Consumer and Governmental Affairs Burea</w:t>
      </w:r>
      <w:r w:rsidR="008F6F9C">
        <w:t>u, Reference Information Center,</w:t>
      </w:r>
      <w:r w:rsidRPr="00A63E30">
        <w:t xml:space="preserve"> will send a copy of the NPRM, including the IRFA, to the Chief Counsel for Advocacy of the Small Business Administration.</w:t>
      </w:r>
      <w:r w:rsidRPr="00A63E30">
        <w:rPr>
          <w:vertAlign w:val="superscript"/>
        </w:rPr>
        <w:footnoteReference w:id="54"/>
      </w:r>
    </w:p>
    <w:p w:rsidR="00034E1D" w:rsidRPr="00034E1D" w:rsidRDefault="00034E1D" w:rsidP="00101496">
      <w:pPr>
        <w:pStyle w:val="Heading2"/>
      </w:pPr>
      <w:r w:rsidRPr="00034E1D">
        <w:t xml:space="preserve">Paperwork Reduction Act </w:t>
      </w:r>
    </w:p>
    <w:p w:rsidR="00034E1D" w:rsidRPr="00034E1D" w:rsidRDefault="00034E1D" w:rsidP="00CF6E96">
      <w:pPr>
        <w:pStyle w:val="ParaNum"/>
        <w:widowControl/>
      </w:pPr>
      <w:r w:rsidRPr="00034E1D">
        <w:t xml:space="preserve">This document contains proposed new and modified information collection requirements.  The Commission, as a part of its continuing effort to reduce paperwork burdens, invites the general public and the Office of Management and Budget to comment on the information collection requirements contained in this document, as required by the Paperwork Reduction Act of 1995, Public Law 104-13.  In addition, pursuant to the Small Business Paperwork Relief Act of 2002, Public Law 107-198, </w:t>
      </w:r>
      <w:r w:rsidRPr="00034E1D">
        <w:rPr>
          <w:i/>
        </w:rPr>
        <w:t xml:space="preserve">see </w:t>
      </w:r>
      <w:r w:rsidRPr="00034E1D">
        <w:t>44 U.S.C. 3506(c)(4), we seek specific comment on how we might “further reduce the information collection burden for small business concerns with fewer than 25 employees.”</w:t>
      </w:r>
    </w:p>
    <w:p w:rsidR="00034E1D" w:rsidRPr="00034E1D" w:rsidRDefault="00034E1D" w:rsidP="00101496">
      <w:pPr>
        <w:pStyle w:val="Heading2"/>
      </w:pPr>
      <w:r w:rsidRPr="00034E1D">
        <w:t>Filing of Comments and Reply Comments</w:t>
      </w:r>
    </w:p>
    <w:p w:rsidR="00034E1D" w:rsidRPr="00034E1D" w:rsidRDefault="00034E1D" w:rsidP="00034E1D">
      <w:pPr>
        <w:pStyle w:val="ParaNum"/>
      </w:pPr>
      <w:r w:rsidRPr="00034E1D">
        <w:t>Pursu</w:t>
      </w:r>
      <w:r w:rsidR="00021203">
        <w:t>ant to S</w:t>
      </w:r>
      <w:r w:rsidRPr="00034E1D">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34E1D">
        <w:rPr>
          <w:i/>
        </w:rPr>
        <w:t>See Electronic Filing of Documents in Rulemaking Proceedings</w:t>
      </w:r>
      <w:r w:rsidRPr="00034E1D">
        <w:t xml:space="preserve">, 63 </w:t>
      </w:r>
      <w:r w:rsidR="00545762">
        <w:t>Fed. Reg.</w:t>
      </w:r>
      <w:r w:rsidR="00545762" w:rsidRPr="00034E1D">
        <w:t xml:space="preserve"> </w:t>
      </w:r>
      <w:r w:rsidRPr="00034E1D">
        <w:t>24121 (1998).</w:t>
      </w:r>
    </w:p>
    <w:p w:rsidR="00034E1D" w:rsidRPr="00034E1D" w:rsidRDefault="00034E1D" w:rsidP="00034E1D">
      <w:pPr>
        <w:pStyle w:val="ParaNum"/>
        <w:numPr>
          <w:ilvl w:val="0"/>
          <w:numId w:val="29"/>
        </w:numPr>
      </w:pPr>
      <w:r w:rsidRPr="00034E1D">
        <w:t xml:space="preserve">Electronic Filers:  Comments may be filed electronically using the Internet by accessing the ECFS:  </w:t>
      </w:r>
      <w:hyperlink r:id="rId8" w:history="1">
        <w:r w:rsidRPr="00034E1D">
          <w:rPr>
            <w:rStyle w:val="Hyperlink"/>
          </w:rPr>
          <w:t>http://apps.fcc.gov/ecfs/</w:t>
        </w:r>
      </w:hyperlink>
      <w:r w:rsidRPr="00034E1D">
        <w:t xml:space="preserve">.  </w:t>
      </w:r>
    </w:p>
    <w:p w:rsidR="00034E1D" w:rsidRPr="00034E1D" w:rsidRDefault="00034E1D" w:rsidP="00034E1D">
      <w:pPr>
        <w:pStyle w:val="ParaNum"/>
        <w:numPr>
          <w:ilvl w:val="0"/>
          <w:numId w:val="29"/>
        </w:numPr>
      </w:pPr>
      <w:r w:rsidRPr="00034E1D">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34E1D" w:rsidRPr="00034E1D" w:rsidRDefault="00034E1D" w:rsidP="00034E1D">
      <w:pPr>
        <w:pStyle w:val="ParaNum"/>
        <w:numPr>
          <w:ilvl w:val="0"/>
          <w:numId w:val="29"/>
        </w:numPr>
      </w:pPr>
      <w:r w:rsidRPr="00034E1D">
        <w:t>Filings can be sent by hand or messenger delivery, by commercial overnight courier, or by first-class or overnight U.S. Postal Service mail.  All filings must be addressed to the Commission’s Secretary, Office of the Secretary, Federal Communications Commission.</w:t>
      </w:r>
    </w:p>
    <w:p w:rsidR="00034E1D" w:rsidRPr="00034E1D" w:rsidRDefault="00034E1D" w:rsidP="001D4071">
      <w:pPr>
        <w:pStyle w:val="ParaNum"/>
        <w:numPr>
          <w:ilvl w:val="0"/>
          <w:numId w:val="0"/>
        </w:numPr>
      </w:pPr>
      <w:r w:rsidRPr="00034E1D">
        <w:t>All hand-delivered or messenger-delivered paper filings for the Commission’s Secretary must be delivered to FCC Headquarters at 445 12</w:t>
      </w:r>
      <w:r w:rsidRPr="00034E1D">
        <w:rPr>
          <w:vertAlign w:val="superscript"/>
        </w:rPr>
        <w:t>th</w:t>
      </w:r>
      <w:r w:rsidRPr="00034E1D">
        <w:t xml:space="preserve"> St., SW, Room TW-A325, Washington, DC 20554.  The filing hours are 8:00 a.m. to 7:00 p.m.  All hand deliveries must be held together with rubber bands or fasteners.  Any envelopes and boxes must be disposed of </w:t>
      </w:r>
      <w:r w:rsidRPr="00034E1D">
        <w:rPr>
          <w:u w:val="single"/>
        </w:rPr>
        <w:t>before</w:t>
      </w:r>
      <w:r w:rsidRPr="00034E1D">
        <w:t xml:space="preserve"> entering the building.  </w:t>
      </w:r>
    </w:p>
    <w:p w:rsidR="00034E1D" w:rsidRPr="00034E1D" w:rsidRDefault="00034E1D" w:rsidP="001D4071">
      <w:pPr>
        <w:pStyle w:val="ParaNum"/>
        <w:numPr>
          <w:ilvl w:val="0"/>
          <w:numId w:val="0"/>
        </w:numPr>
      </w:pPr>
      <w:r w:rsidRPr="00034E1D">
        <w:t>Commercial overnight mail (other than U.S. Postal Service Express Mail and Priority Mail) must be sent to 9300 East Hampton Drive, Capitol Heights, MD 20743.</w:t>
      </w:r>
    </w:p>
    <w:p w:rsidR="00034E1D" w:rsidRPr="00034E1D" w:rsidRDefault="00034E1D" w:rsidP="001D4071">
      <w:pPr>
        <w:pStyle w:val="ParaNum"/>
        <w:numPr>
          <w:ilvl w:val="0"/>
          <w:numId w:val="0"/>
        </w:numPr>
      </w:pPr>
      <w:r w:rsidRPr="00034E1D">
        <w:t>U.S. Postal Service first-class, Express, and Priority mail must be addressed to 445 12</w:t>
      </w:r>
      <w:r w:rsidRPr="00034E1D">
        <w:rPr>
          <w:vertAlign w:val="superscript"/>
        </w:rPr>
        <w:t>th</w:t>
      </w:r>
      <w:r w:rsidRPr="00034E1D">
        <w:t xml:space="preserve"> Street, SW, Washington DC  20554.</w:t>
      </w:r>
    </w:p>
    <w:p w:rsidR="00034E1D" w:rsidRPr="00034E1D" w:rsidRDefault="00034E1D" w:rsidP="00034E1D">
      <w:pPr>
        <w:pStyle w:val="ParaNum"/>
      </w:pPr>
      <w:r w:rsidRPr="00034E1D">
        <w:t xml:space="preserve">People with Disabilities:  To request materials in accessible formats for people with disabilities (braille, large print, electronic files, audio format), send an e-mail to </w:t>
      </w:r>
      <w:hyperlink r:id="rId9" w:history="1">
        <w:r w:rsidRPr="00034E1D">
          <w:rPr>
            <w:rStyle w:val="Hyperlink"/>
          </w:rPr>
          <w:t>fcc504@fcc.gov</w:t>
        </w:r>
      </w:hyperlink>
      <w:r w:rsidRPr="00034E1D">
        <w:t xml:space="preserve"> or call the Consumer &amp; Governmental Affairs Bureau at 202-418-0530 (voice), 202-418-0432 (tty).</w:t>
      </w:r>
    </w:p>
    <w:p w:rsidR="00034E1D" w:rsidRPr="00034E1D" w:rsidRDefault="00034E1D" w:rsidP="00034E1D">
      <w:pPr>
        <w:pStyle w:val="ParaNum"/>
      </w:pPr>
      <w:r w:rsidRPr="00034E1D">
        <w:t xml:space="preserve">All parties may </w:t>
      </w:r>
      <w:r w:rsidR="007F11FB">
        <w:t xml:space="preserve">additionally </w:t>
      </w:r>
      <w:r w:rsidRPr="00034E1D">
        <w:t>provide one copy of each pleading electronically or by paper to each of the following:</w:t>
      </w:r>
    </w:p>
    <w:p w:rsidR="00034E1D" w:rsidRPr="00034E1D" w:rsidRDefault="00034E1D" w:rsidP="0064418C">
      <w:pPr>
        <w:pStyle w:val="ParaNum"/>
        <w:numPr>
          <w:ilvl w:val="0"/>
          <w:numId w:val="0"/>
        </w:numPr>
        <w:ind w:left="720"/>
      </w:pPr>
      <w:r w:rsidRPr="00034E1D">
        <w:t>(1)</w:t>
      </w:r>
      <w:r w:rsidRPr="00034E1D">
        <w:tab/>
      </w:r>
      <w:r w:rsidR="005527BB" w:rsidRPr="005527BB">
        <w:t>David Krech, Associate Chief, Telecommunications and Analysis Division, International Bureau, 445 12</w:t>
      </w:r>
      <w:r w:rsidR="005527BB" w:rsidRPr="005527BB">
        <w:rPr>
          <w:vertAlign w:val="superscript"/>
        </w:rPr>
        <w:t>th</w:t>
      </w:r>
      <w:r w:rsidR="005527BB" w:rsidRPr="005527BB">
        <w:t xml:space="preserve"> Street, S.W., Washington, D.C. 20554; e-mail </w:t>
      </w:r>
      <w:hyperlink r:id="rId10" w:history="1">
        <w:r w:rsidR="005527BB" w:rsidRPr="005527BB">
          <w:rPr>
            <w:rStyle w:val="Hyperlink"/>
          </w:rPr>
          <w:t>David.Krech@fcc.gov</w:t>
        </w:r>
      </w:hyperlink>
      <w:r w:rsidRPr="00034E1D">
        <w:t>.</w:t>
      </w:r>
    </w:p>
    <w:p w:rsidR="00034E1D" w:rsidRPr="00034E1D" w:rsidRDefault="00034E1D" w:rsidP="0064418C">
      <w:pPr>
        <w:pStyle w:val="ParaNum"/>
        <w:numPr>
          <w:ilvl w:val="0"/>
          <w:numId w:val="0"/>
        </w:numPr>
        <w:ind w:left="720"/>
      </w:pPr>
      <w:r w:rsidRPr="00034E1D">
        <w:t>(2)</w:t>
      </w:r>
      <w:r w:rsidRPr="00034E1D">
        <w:tab/>
      </w:r>
      <w:r w:rsidR="005527BB">
        <w:t>Arthur Lechtman, Attorney</w:t>
      </w:r>
      <w:r w:rsidRPr="00034E1D">
        <w:t>, Telecommunications and Analysis Division, International Bureau, 445 12</w:t>
      </w:r>
      <w:r w:rsidRPr="00034E1D">
        <w:rPr>
          <w:vertAlign w:val="superscript"/>
        </w:rPr>
        <w:t>th</w:t>
      </w:r>
      <w:r w:rsidRPr="00034E1D">
        <w:t xml:space="preserve"> Street, S.W., Washington, D.C. 20554; e-mail</w:t>
      </w:r>
      <w:r w:rsidR="005527BB" w:rsidRPr="005527BB">
        <w:t xml:space="preserve"> </w:t>
      </w:r>
      <w:hyperlink r:id="rId11" w:history="1">
        <w:r w:rsidR="005527BB" w:rsidRPr="004E50AF">
          <w:rPr>
            <w:rStyle w:val="Hyperlink"/>
          </w:rPr>
          <w:t>Arthur.Lechtman@fcc.gov</w:t>
        </w:r>
      </w:hyperlink>
      <w:r w:rsidR="005527BB">
        <w:t xml:space="preserve">. </w:t>
      </w:r>
      <w:r w:rsidRPr="00034E1D">
        <w:t xml:space="preserve"> </w:t>
      </w:r>
    </w:p>
    <w:p w:rsidR="00034E1D" w:rsidRPr="00034E1D" w:rsidRDefault="00034E1D" w:rsidP="0064418C">
      <w:pPr>
        <w:pStyle w:val="Heading1"/>
      </w:pPr>
      <w:r w:rsidRPr="00034E1D">
        <w:t>Ordering clauses</w:t>
      </w:r>
    </w:p>
    <w:p w:rsidR="00034E1D" w:rsidRPr="00034E1D" w:rsidRDefault="00034E1D" w:rsidP="00034E1D">
      <w:pPr>
        <w:pStyle w:val="ParaNum"/>
      </w:pPr>
      <w:r w:rsidRPr="00034E1D">
        <w:t xml:space="preserve">IT IS ORDERED that, pursuant to </w:t>
      </w:r>
      <w:r w:rsidR="00021203">
        <w:t>S</w:t>
      </w:r>
      <w:r w:rsidRPr="00034E1D">
        <w:t>ections 1, 4(i), 4(j), 11, 201-205, 214, 219</w:t>
      </w:r>
      <w:r w:rsidR="008758C5">
        <w:t>-</w:t>
      </w:r>
      <w:r w:rsidRPr="00034E1D">
        <w:t>220, 303(r), 309, and 403 of the Communications Act as amended, 47 U.S.C. §§ 151, 154(i), 154(j), 161, 201-205, 214, 219</w:t>
      </w:r>
      <w:r w:rsidR="008758C5">
        <w:t>-</w:t>
      </w:r>
      <w:r w:rsidRPr="00034E1D">
        <w:t xml:space="preserve">220, 303(r), 309, and 403, </w:t>
      </w:r>
      <w:r w:rsidR="007B183C">
        <w:t xml:space="preserve">and the Cable Landing License Act of 1921, </w:t>
      </w:r>
      <w:r w:rsidR="007B183C" w:rsidRPr="007B183C">
        <w:t xml:space="preserve">47 U.S.C. §§ </w:t>
      </w:r>
      <w:r w:rsidR="007B183C">
        <w:t>34-39, and 3</w:t>
      </w:r>
      <w:r w:rsidR="007B183C" w:rsidRPr="007B183C">
        <w:t xml:space="preserve"> U.S.C. §</w:t>
      </w:r>
      <w:r w:rsidR="007B183C">
        <w:t xml:space="preserve"> 301, </w:t>
      </w:r>
      <w:r w:rsidRPr="00034E1D">
        <w:t xml:space="preserve">this Notice of Proposed Rulemaking is ADOPTED. </w:t>
      </w:r>
    </w:p>
    <w:p w:rsidR="00CF6E96" w:rsidRDefault="00CF6E96">
      <w:pPr>
        <w:widowControl/>
      </w:pPr>
      <w:r>
        <w:br w:type="page"/>
      </w:r>
    </w:p>
    <w:p w:rsidR="00034E1D" w:rsidRPr="00034E1D" w:rsidRDefault="00034E1D" w:rsidP="00034E1D">
      <w:pPr>
        <w:pStyle w:val="ParaNum"/>
      </w:pPr>
      <w:r w:rsidRPr="00034E1D">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034E1D" w:rsidRDefault="00034E1D" w:rsidP="0038751D"/>
    <w:p w:rsidR="003728E5" w:rsidRDefault="003728E5" w:rsidP="00FB5449">
      <w:r>
        <w:tab/>
      </w:r>
      <w:r>
        <w:tab/>
      </w:r>
      <w:r>
        <w:tab/>
      </w:r>
      <w:r>
        <w:tab/>
      </w:r>
      <w:r>
        <w:tab/>
      </w:r>
      <w:r>
        <w:tab/>
        <w:t>FEDERAL COMMUNICATIONS COMMISSION</w:t>
      </w:r>
    </w:p>
    <w:p w:rsidR="003728E5" w:rsidRDefault="003728E5" w:rsidP="00FB5449"/>
    <w:p w:rsidR="003728E5" w:rsidRDefault="003728E5" w:rsidP="00FB5449"/>
    <w:p w:rsidR="003728E5" w:rsidRDefault="003728E5" w:rsidP="00FB5449"/>
    <w:p w:rsidR="003728E5" w:rsidRDefault="003728E5" w:rsidP="00FB5449"/>
    <w:p w:rsidR="003728E5" w:rsidRDefault="003728E5" w:rsidP="00FB5449">
      <w:r>
        <w:tab/>
      </w:r>
      <w:r>
        <w:tab/>
      </w:r>
      <w:r>
        <w:tab/>
      </w:r>
      <w:r>
        <w:tab/>
      </w:r>
      <w:r>
        <w:tab/>
      </w:r>
      <w:r>
        <w:tab/>
        <w:t>Marlene H. Dortch</w:t>
      </w:r>
    </w:p>
    <w:p w:rsidR="003728E5" w:rsidRDefault="003728E5" w:rsidP="00FB5449">
      <w:r>
        <w:tab/>
      </w:r>
      <w:r>
        <w:tab/>
      </w:r>
      <w:r>
        <w:tab/>
      </w:r>
      <w:r>
        <w:tab/>
      </w:r>
      <w:r>
        <w:tab/>
      </w:r>
      <w:r>
        <w:tab/>
        <w:t>Secretary</w:t>
      </w:r>
    </w:p>
    <w:p w:rsidR="003728E5" w:rsidRPr="00034E1D" w:rsidRDefault="003728E5" w:rsidP="0038751D"/>
    <w:p w:rsidR="003728E5" w:rsidRDefault="003728E5" w:rsidP="004C6C01">
      <w:pPr>
        <w:pStyle w:val="ParaNum"/>
        <w:numPr>
          <w:ilvl w:val="0"/>
          <w:numId w:val="0"/>
        </w:numPr>
        <w:ind w:left="720"/>
        <w:jc w:val="center"/>
        <w:rPr>
          <w:b/>
        </w:rPr>
        <w:sectPr w:rsidR="003728E5" w:rsidSect="00FB787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pPr>
    </w:p>
    <w:p w:rsidR="004C6C01" w:rsidRPr="00D56B9D" w:rsidRDefault="004C6C01" w:rsidP="004C6C01">
      <w:pPr>
        <w:pStyle w:val="ParaNum"/>
        <w:numPr>
          <w:ilvl w:val="0"/>
          <w:numId w:val="0"/>
        </w:numPr>
        <w:ind w:left="720"/>
        <w:jc w:val="center"/>
        <w:rPr>
          <w:b/>
        </w:rPr>
      </w:pPr>
      <w:r w:rsidRPr="00D56B9D">
        <w:rPr>
          <w:b/>
        </w:rPr>
        <w:t>APPENDIX A</w:t>
      </w:r>
    </w:p>
    <w:p w:rsidR="004C6C01" w:rsidRDefault="004C6C01" w:rsidP="004C6C01">
      <w:pPr>
        <w:pStyle w:val="ParaNum"/>
        <w:numPr>
          <w:ilvl w:val="0"/>
          <w:numId w:val="0"/>
        </w:numPr>
        <w:ind w:left="720"/>
        <w:jc w:val="center"/>
        <w:rPr>
          <w:b/>
        </w:rPr>
      </w:pPr>
      <w:r w:rsidRPr="00D56B9D">
        <w:rPr>
          <w:b/>
        </w:rPr>
        <w:t>Proposed Rules</w:t>
      </w:r>
    </w:p>
    <w:p w:rsidR="004C6C01" w:rsidRDefault="004C6C01" w:rsidP="004C6C01">
      <w:pPr>
        <w:pStyle w:val="ParaNum"/>
        <w:numPr>
          <w:ilvl w:val="0"/>
          <w:numId w:val="0"/>
        </w:numPr>
        <w:ind w:left="720"/>
        <w:jc w:val="center"/>
        <w:rPr>
          <w:b/>
        </w:rPr>
      </w:pPr>
    </w:p>
    <w:p w:rsidR="004C6C01" w:rsidRDefault="004C6C01" w:rsidP="004C6C01">
      <w:pPr>
        <w:rPr>
          <w:color w:val="000000"/>
          <w:szCs w:val="22"/>
        </w:rPr>
      </w:pPr>
      <w:r w:rsidRPr="00C71D11">
        <w:rPr>
          <w:color w:val="000000"/>
          <w:szCs w:val="22"/>
        </w:rPr>
        <w:t>Part</w:t>
      </w:r>
      <w:r>
        <w:rPr>
          <w:color w:val="000000"/>
          <w:szCs w:val="22"/>
        </w:rPr>
        <w:t>s 43 and 6</w:t>
      </w:r>
      <w:r w:rsidRPr="00C71D11">
        <w:rPr>
          <w:color w:val="000000"/>
          <w:szCs w:val="22"/>
        </w:rPr>
        <w:t xml:space="preserve">3 of the Commission’s rules </w:t>
      </w:r>
      <w:r>
        <w:rPr>
          <w:color w:val="000000"/>
          <w:szCs w:val="22"/>
        </w:rPr>
        <w:t>are</w:t>
      </w:r>
      <w:r w:rsidRPr="00C71D11">
        <w:rPr>
          <w:color w:val="000000"/>
          <w:szCs w:val="22"/>
        </w:rPr>
        <w:t xml:space="preserve"> amended as follows:</w:t>
      </w:r>
    </w:p>
    <w:p w:rsidR="004C6C01" w:rsidRDefault="004C6C01" w:rsidP="004C6C01">
      <w:pPr>
        <w:rPr>
          <w:color w:val="000000"/>
          <w:szCs w:val="22"/>
        </w:rPr>
      </w:pPr>
    </w:p>
    <w:p w:rsidR="004C6C01" w:rsidRDefault="004C6C01" w:rsidP="004C6C01">
      <w:pPr>
        <w:rPr>
          <w:color w:val="000000"/>
          <w:szCs w:val="22"/>
        </w:rPr>
      </w:pPr>
      <w:r w:rsidRPr="00C71D11">
        <w:rPr>
          <w:color w:val="000000"/>
          <w:szCs w:val="22"/>
        </w:rPr>
        <w:t xml:space="preserve">PART 43 – REPORTS OF COMMUNICATION </w:t>
      </w:r>
      <w:r>
        <w:rPr>
          <w:color w:val="000000"/>
          <w:szCs w:val="22"/>
        </w:rPr>
        <w:t>COMMON CARRIERS</w:t>
      </w:r>
      <w:r w:rsidRPr="00C71D11">
        <w:rPr>
          <w:color w:val="000000"/>
          <w:szCs w:val="22"/>
        </w:rPr>
        <w:t>, PROVIDERS OF INTERNATIONA</w:t>
      </w:r>
      <w:r>
        <w:rPr>
          <w:color w:val="000000"/>
          <w:szCs w:val="22"/>
        </w:rPr>
        <w:t xml:space="preserve">L </w:t>
      </w:r>
      <w:r w:rsidRPr="00C71D11">
        <w:rPr>
          <w:color w:val="000000"/>
          <w:szCs w:val="22"/>
        </w:rPr>
        <w:t xml:space="preserve">SERVICES AND CERTAIN </w:t>
      </w:r>
      <w:r>
        <w:rPr>
          <w:color w:val="000000"/>
          <w:szCs w:val="22"/>
        </w:rPr>
        <w:t>AFFILIATES</w:t>
      </w:r>
    </w:p>
    <w:p w:rsidR="004C6C01" w:rsidRDefault="004C6C01" w:rsidP="004C6C01">
      <w:pPr>
        <w:rPr>
          <w:color w:val="000000"/>
          <w:szCs w:val="22"/>
        </w:rPr>
      </w:pPr>
    </w:p>
    <w:p w:rsidR="004C6C01" w:rsidRPr="00C71D11" w:rsidRDefault="004C6C01" w:rsidP="004C6C01">
      <w:pPr>
        <w:ind w:firstLine="720"/>
        <w:rPr>
          <w:color w:val="000000"/>
          <w:szCs w:val="22"/>
        </w:rPr>
      </w:pPr>
      <w:r>
        <w:rPr>
          <w:color w:val="000000"/>
          <w:szCs w:val="22"/>
        </w:rPr>
        <w:t>1.</w:t>
      </w:r>
      <w:r>
        <w:rPr>
          <w:color w:val="000000"/>
          <w:szCs w:val="22"/>
        </w:rPr>
        <w:tab/>
      </w:r>
      <w:r w:rsidRPr="00C71D11">
        <w:rPr>
          <w:color w:val="000000"/>
          <w:szCs w:val="22"/>
        </w:rPr>
        <w:t xml:space="preserve">The authority citation for Part 43 </w:t>
      </w:r>
      <w:r>
        <w:rPr>
          <w:color w:val="000000"/>
          <w:szCs w:val="22"/>
        </w:rPr>
        <w:t xml:space="preserve">is amended </w:t>
      </w:r>
      <w:r w:rsidRPr="00C71D11">
        <w:rPr>
          <w:color w:val="000000"/>
          <w:szCs w:val="22"/>
        </w:rPr>
        <w:t>to read as follows:</w:t>
      </w:r>
    </w:p>
    <w:p w:rsidR="004C6C01" w:rsidRPr="00C71D11" w:rsidRDefault="004C6C01" w:rsidP="004C6C01">
      <w:pPr>
        <w:rPr>
          <w:color w:val="000000"/>
          <w:szCs w:val="22"/>
        </w:rPr>
      </w:pPr>
    </w:p>
    <w:p w:rsidR="004C6C01" w:rsidRPr="00C71D11" w:rsidRDefault="004C6C01" w:rsidP="004C6C01">
      <w:pPr>
        <w:pStyle w:val="ParaNum"/>
        <w:numPr>
          <w:ilvl w:val="0"/>
          <w:numId w:val="0"/>
        </w:numPr>
        <w:rPr>
          <w:szCs w:val="22"/>
        </w:rPr>
      </w:pPr>
      <w:r w:rsidRPr="00C71D11">
        <w:rPr>
          <w:szCs w:val="22"/>
        </w:rPr>
        <w:t>Authority:  47 U.S.C. 154; Telecommunications Act of 1996; Pub. Law 104-104, sec. 402(b)(2)(B), (c), 110 Stat. 56 (1996) as amended unless otherwise noted.  47 U.S.C. 211, 219, 220, as amended</w:t>
      </w:r>
      <w:r>
        <w:rPr>
          <w:szCs w:val="22"/>
        </w:rPr>
        <w:t>; Cable Landing License Act of 1921, 47 U.S.C. 34-39</w:t>
      </w:r>
      <w:r w:rsidRPr="00C71D11">
        <w:rPr>
          <w:szCs w:val="22"/>
        </w:rPr>
        <w:t xml:space="preserve">. </w:t>
      </w:r>
    </w:p>
    <w:p w:rsidR="00045FA5" w:rsidRPr="00A63E30" w:rsidRDefault="004C6C01" w:rsidP="00045FA5">
      <w:pPr>
        <w:rPr>
          <w:color w:val="000000"/>
        </w:rPr>
      </w:pPr>
      <w:r>
        <w:rPr>
          <w:color w:val="000000"/>
          <w:szCs w:val="22"/>
        </w:rPr>
        <w:tab/>
        <w:t>2</w:t>
      </w:r>
      <w:r w:rsidRPr="00C71D11">
        <w:rPr>
          <w:color w:val="000000"/>
          <w:szCs w:val="22"/>
        </w:rPr>
        <w:t>.</w:t>
      </w:r>
      <w:r w:rsidRPr="00C71D11">
        <w:rPr>
          <w:color w:val="000000"/>
          <w:szCs w:val="22"/>
        </w:rPr>
        <w:tab/>
      </w:r>
      <w:r w:rsidR="00045FA5" w:rsidRPr="00A63E30">
        <w:rPr>
          <w:color w:val="000000"/>
        </w:rPr>
        <w:t>Section § 43.62 is amended to read as follows:</w:t>
      </w:r>
    </w:p>
    <w:p w:rsidR="00045FA5" w:rsidRPr="00A63E30" w:rsidRDefault="00045FA5" w:rsidP="00045FA5">
      <w:pPr>
        <w:rPr>
          <w:color w:val="000000"/>
        </w:rPr>
      </w:pPr>
    </w:p>
    <w:p w:rsidR="00045FA5" w:rsidRPr="00A63E30" w:rsidRDefault="00045FA5" w:rsidP="00045FA5">
      <w:pPr>
        <w:pStyle w:val="ParaNum"/>
        <w:numPr>
          <w:ilvl w:val="0"/>
          <w:numId w:val="0"/>
        </w:numPr>
        <w:spacing w:after="0"/>
      </w:pPr>
      <w:r w:rsidRPr="00A63E30">
        <w:rPr>
          <w:color w:val="000000"/>
        </w:rPr>
        <w:t xml:space="preserve">§ 43.62 </w:t>
      </w:r>
      <w:r w:rsidRPr="00A63E30">
        <w:rPr>
          <w:color w:val="000000"/>
        </w:rPr>
        <w:tab/>
        <w:t xml:space="preserve">   [</w:t>
      </w:r>
      <w:r w:rsidRPr="00A63E30">
        <w:t xml:space="preserve">Reserved] </w:t>
      </w:r>
    </w:p>
    <w:p w:rsidR="00045FA5" w:rsidRDefault="00045FA5" w:rsidP="004C6C01">
      <w:pPr>
        <w:rPr>
          <w:color w:val="000000"/>
          <w:szCs w:val="22"/>
        </w:rPr>
      </w:pPr>
    </w:p>
    <w:p w:rsidR="004C6C01" w:rsidRPr="00C71D11" w:rsidRDefault="004C6C01" w:rsidP="004C6C01">
      <w:pPr>
        <w:rPr>
          <w:color w:val="000000"/>
          <w:szCs w:val="22"/>
        </w:rPr>
      </w:pPr>
      <w:r>
        <w:rPr>
          <w:color w:val="000000"/>
          <w:szCs w:val="22"/>
        </w:rPr>
        <w:tab/>
        <w:t>3.</w:t>
      </w:r>
      <w:r>
        <w:rPr>
          <w:color w:val="000000"/>
          <w:szCs w:val="22"/>
        </w:rPr>
        <w:tab/>
        <w:t>Add Section 43.8</w:t>
      </w:r>
      <w:r w:rsidRPr="00C71D11">
        <w:rPr>
          <w:color w:val="000000"/>
          <w:szCs w:val="22"/>
        </w:rPr>
        <w:t>2 to read as follows:</w:t>
      </w:r>
    </w:p>
    <w:p w:rsidR="004C6C01" w:rsidRPr="00C71D11" w:rsidRDefault="004C6C01" w:rsidP="004C6C01">
      <w:pPr>
        <w:rPr>
          <w:color w:val="000000"/>
          <w:szCs w:val="22"/>
        </w:rPr>
      </w:pPr>
    </w:p>
    <w:p w:rsidR="004C6C01" w:rsidRPr="00C71D11" w:rsidRDefault="004C6C01" w:rsidP="004C6C01">
      <w:pPr>
        <w:autoSpaceDE w:val="0"/>
        <w:autoSpaceDN w:val="0"/>
        <w:adjustRightInd w:val="0"/>
        <w:rPr>
          <w:color w:val="000000"/>
          <w:szCs w:val="22"/>
        </w:rPr>
      </w:pPr>
      <w:r>
        <w:rPr>
          <w:b/>
          <w:bCs/>
          <w:color w:val="000000"/>
          <w:szCs w:val="22"/>
        </w:rPr>
        <w:t>§ 43.</w:t>
      </w:r>
      <w:r w:rsidRPr="00D56B9D">
        <w:rPr>
          <w:b/>
          <w:bCs/>
          <w:color w:val="000000"/>
          <w:szCs w:val="22"/>
        </w:rPr>
        <w:t xml:space="preserve">82  </w:t>
      </w:r>
      <w:r w:rsidRPr="00D56B9D">
        <w:rPr>
          <w:b/>
          <w:color w:val="000000"/>
          <w:szCs w:val="22"/>
        </w:rPr>
        <w:t xml:space="preserve"> Circuit Capacity Reports.</w:t>
      </w:r>
      <w:r w:rsidRPr="00D56B9D">
        <w:rPr>
          <w:color w:val="000000"/>
          <w:szCs w:val="22"/>
        </w:rPr>
        <w:t xml:space="preserve">  </w:t>
      </w:r>
    </w:p>
    <w:p w:rsidR="004C6C01" w:rsidRPr="00C71D11" w:rsidRDefault="004C6C01" w:rsidP="004C6C01">
      <w:pPr>
        <w:autoSpaceDE w:val="0"/>
        <w:autoSpaceDN w:val="0"/>
        <w:adjustRightInd w:val="0"/>
        <w:rPr>
          <w:szCs w:val="22"/>
        </w:rPr>
      </w:pPr>
    </w:p>
    <w:p w:rsidR="004C6C01" w:rsidRDefault="004C6C01" w:rsidP="004C6C01">
      <w:pPr>
        <w:autoSpaceDE w:val="0"/>
        <w:autoSpaceDN w:val="0"/>
        <w:adjustRightInd w:val="0"/>
        <w:rPr>
          <w:color w:val="000000"/>
          <w:szCs w:val="22"/>
        </w:rPr>
      </w:pPr>
      <w:r>
        <w:rPr>
          <w:color w:val="000000"/>
          <w:szCs w:val="22"/>
        </w:rPr>
        <w:t>(a) Not later than March 31 of each year:</w:t>
      </w:r>
    </w:p>
    <w:p w:rsidR="004C6C01" w:rsidRDefault="004C6C01" w:rsidP="004C6C01">
      <w:pPr>
        <w:autoSpaceDE w:val="0"/>
        <w:autoSpaceDN w:val="0"/>
        <w:adjustRightInd w:val="0"/>
        <w:rPr>
          <w:color w:val="000000"/>
          <w:szCs w:val="22"/>
        </w:rPr>
      </w:pPr>
    </w:p>
    <w:p w:rsidR="004C6C01" w:rsidRPr="00765FFA" w:rsidRDefault="004C6C01" w:rsidP="004C6C01">
      <w:pPr>
        <w:autoSpaceDE w:val="0"/>
        <w:autoSpaceDN w:val="0"/>
        <w:adjustRightInd w:val="0"/>
        <w:rPr>
          <w:color w:val="000000"/>
          <w:szCs w:val="22"/>
        </w:rPr>
      </w:pPr>
      <w:r>
        <w:rPr>
          <w:color w:val="000000"/>
          <w:szCs w:val="22"/>
        </w:rPr>
        <w:t xml:space="preserve">(1) </w:t>
      </w:r>
      <w:r>
        <w:rPr>
          <w:i/>
          <w:color w:val="000000"/>
          <w:szCs w:val="22"/>
        </w:rPr>
        <w:t xml:space="preserve">Satellite and Terrestrial Circuits.  </w:t>
      </w:r>
      <w:r>
        <w:rPr>
          <w:color w:val="000000"/>
          <w:szCs w:val="22"/>
        </w:rPr>
        <w:t>Each f</w:t>
      </w:r>
      <w:r w:rsidRPr="0096624B">
        <w:rPr>
          <w:szCs w:val="22"/>
        </w:rPr>
        <w:t xml:space="preserve">acilities-based common carrier </w:t>
      </w:r>
      <w:r>
        <w:rPr>
          <w:szCs w:val="22"/>
        </w:rPr>
        <w:t xml:space="preserve">shall file a report showing its active </w:t>
      </w:r>
      <w:r w:rsidRPr="0096624B">
        <w:rPr>
          <w:szCs w:val="22"/>
        </w:rPr>
        <w:t xml:space="preserve">common carrier circuits </w:t>
      </w:r>
      <w:r>
        <w:rPr>
          <w:color w:val="000000"/>
          <w:szCs w:val="22"/>
        </w:rPr>
        <w:t xml:space="preserve">between the </w:t>
      </w:r>
      <w:smartTag w:uri="urn:schemas-microsoft-com:office:smarttags" w:element="place">
        <w:smartTag w:uri="urn:schemas-microsoft-com:office:smarttags" w:element="country-region">
          <w:r>
            <w:rPr>
              <w:color w:val="000000"/>
              <w:szCs w:val="22"/>
            </w:rPr>
            <w:t>United States</w:t>
          </w:r>
        </w:smartTag>
      </w:smartTag>
      <w:r>
        <w:rPr>
          <w:color w:val="000000"/>
          <w:szCs w:val="22"/>
        </w:rPr>
        <w:t xml:space="preserve"> and any foreign point </w:t>
      </w:r>
      <w:r>
        <w:rPr>
          <w:szCs w:val="22"/>
        </w:rPr>
        <w:t xml:space="preserve">as of December 31 of the preceding calendar year </w:t>
      </w:r>
      <w:r w:rsidRPr="0096624B">
        <w:rPr>
          <w:szCs w:val="22"/>
        </w:rPr>
        <w:t>in any terrestrial or sa</w:t>
      </w:r>
      <w:r>
        <w:rPr>
          <w:szCs w:val="22"/>
        </w:rPr>
        <w:t xml:space="preserve">tellite facility </w:t>
      </w:r>
      <w:r w:rsidRPr="0096624B">
        <w:rPr>
          <w:szCs w:val="22"/>
        </w:rPr>
        <w:t xml:space="preserve">for the provision of service to an end user or resale carrier, which includes active circuits used by themselves or their affiliates.  </w:t>
      </w:r>
      <w:r>
        <w:rPr>
          <w:szCs w:val="22"/>
        </w:rPr>
        <w:t>Each n</w:t>
      </w:r>
      <w:r w:rsidRPr="0096624B">
        <w:rPr>
          <w:szCs w:val="22"/>
        </w:rPr>
        <w:t xml:space="preserve">on-common carrier satellite </w:t>
      </w:r>
      <w:r>
        <w:rPr>
          <w:szCs w:val="22"/>
        </w:rPr>
        <w:t xml:space="preserve">licensee shall file a report showing its active </w:t>
      </w:r>
      <w:r w:rsidRPr="0096624B">
        <w:rPr>
          <w:szCs w:val="22"/>
        </w:rPr>
        <w:t xml:space="preserve">circuits </w:t>
      </w:r>
      <w:r>
        <w:rPr>
          <w:color w:val="000000"/>
          <w:szCs w:val="22"/>
        </w:rPr>
        <w:t xml:space="preserve">between the United States and any foreign point </w:t>
      </w:r>
      <w:r>
        <w:rPr>
          <w:szCs w:val="22"/>
        </w:rPr>
        <w:t xml:space="preserve">as of December 31 of the preceding calendar </w:t>
      </w:r>
      <w:r w:rsidR="007212EA">
        <w:rPr>
          <w:szCs w:val="22"/>
        </w:rPr>
        <w:t xml:space="preserve">year </w:t>
      </w:r>
      <w:r w:rsidRPr="0096624B">
        <w:rPr>
          <w:szCs w:val="22"/>
        </w:rPr>
        <w:t>sold or leased to any customer, including themselves or their affiliates, other than a carrier authorized by the Commission to provide U.S. international common carrier services.</w:t>
      </w:r>
    </w:p>
    <w:p w:rsidR="004C6C01" w:rsidRDefault="004C6C01" w:rsidP="004C6C01">
      <w:pPr>
        <w:autoSpaceDE w:val="0"/>
        <w:autoSpaceDN w:val="0"/>
        <w:adjustRightInd w:val="0"/>
        <w:rPr>
          <w:i/>
          <w:color w:val="000000"/>
          <w:szCs w:val="22"/>
        </w:rPr>
      </w:pPr>
    </w:p>
    <w:p w:rsidR="004C6C01" w:rsidRDefault="004C6C01" w:rsidP="004C6C01">
      <w:pPr>
        <w:autoSpaceDE w:val="0"/>
        <w:autoSpaceDN w:val="0"/>
        <w:adjustRightInd w:val="0"/>
        <w:rPr>
          <w:szCs w:val="22"/>
        </w:rPr>
      </w:pPr>
      <w:r>
        <w:rPr>
          <w:szCs w:val="22"/>
        </w:rPr>
        <w:t xml:space="preserve">(2) </w:t>
      </w:r>
      <w:r>
        <w:rPr>
          <w:i/>
          <w:szCs w:val="22"/>
        </w:rPr>
        <w:t>International Submarine Cable Capacity.</w:t>
      </w:r>
    </w:p>
    <w:p w:rsidR="004C6C01" w:rsidRDefault="004C6C01" w:rsidP="004C6C01">
      <w:pPr>
        <w:autoSpaceDE w:val="0"/>
        <w:autoSpaceDN w:val="0"/>
        <w:adjustRightInd w:val="0"/>
        <w:rPr>
          <w:szCs w:val="22"/>
        </w:rPr>
      </w:pPr>
    </w:p>
    <w:p w:rsidR="004C6C01" w:rsidRDefault="004C6C01" w:rsidP="004C6C01">
      <w:pPr>
        <w:autoSpaceDE w:val="0"/>
        <w:autoSpaceDN w:val="0"/>
        <w:adjustRightInd w:val="0"/>
        <w:rPr>
          <w:szCs w:val="22"/>
        </w:rPr>
      </w:pPr>
      <w:r>
        <w:rPr>
          <w:szCs w:val="22"/>
        </w:rPr>
        <w:tab/>
        <w:t xml:space="preserve">(i)  The licensee(s) of a submarine cable </w:t>
      </w:r>
      <w:r>
        <w:rPr>
          <w:color w:val="000000"/>
          <w:szCs w:val="22"/>
        </w:rPr>
        <w:t xml:space="preserve">between the </w:t>
      </w:r>
      <w:smartTag w:uri="urn:schemas-microsoft-com:office:smarttags" w:element="place">
        <w:smartTag w:uri="urn:schemas-microsoft-com:office:smarttags" w:element="country-region">
          <w:r>
            <w:rPr>
              <w:color w:val="000000"/>
              <w:szCs w:val="22"/>
            </w:rPr>
            <w:t>United States</w:t>
          </w:r>
        </w:smartTag>
      </w:smartTag>
      <w:r>
        <w:rPr>
          <w:color w:val="000000"/>
          <w:szCs w:val="22"/>
        </w:rPr>
        <w:t xml:space="preserve"> and any foreign point shall file a report showing </w:t>
      </w:r>
      <w:r>
        <w:rPr>
          <w:szCs w:val="22"/>
        </w:rPr>
        <w:t xml:space="preserve">the capacity of the submarine cable as of December 31 of the preceding calendar year.  The licensee(s) shall also file a report showing the planned capacity of the submarine cable (the intended capacity of the submarine cable two years from December 31 of the preceding calendar year).  Only one cable landing licensee shall file the capacity data for each submarine cable.  For cables with more than one licensee, the licensees shall determine which licensee will file the reports. </w:t>
      </w:r>
    </w:p>
    <w:p w:rsidR="004C6C01" w:rsidRDefault="004C6C01" w:rsidP="004C6C01">
      <w:pPr>
        <w:autoSpaceDE w:val="0"/>
        <w:autoSpaceDN w:val="0"/>
        <w:adjustRightInd w:val="0"/>
        <w:rPr>
          <w:szCs w:val="22"/>
        </w:rPr>
      </w:pPr>
    </w:p>
    <w:p w:rsidR="004C6C01" w:rsidRDefault="004C6C01" w:rsidP="004C6C01">
      <w:pPr>
        <w:autoSpaceDE w:val="0"/>
        <w:autoSpaceDN w:val="0"/>
        <w:adjustRightInd w:val="0"/>
        <w:rPr>
          <w:szCs w:val="22"/>
        </w:rPr>
      </w:pPr>
      <w:r>
        <w:rPr>
          <w:szCs w:val="22"/>
        </w:rPr>
        <w:tab/>
        <w:t xml:space="preserve">(ii)  Each cable landing licensee and common carrier shall file a report showing its capacity on submarine cables </w:t>
      </w:r>
      <w:r>
        <w:rPr>
          <w:color w:val="000000"/>
          <w:szCs w:val="22"/>
        </w:rPr>
        <w:t xml:space="preserve">between the </w:t>
      </w:r>
      <w:smartTag w:uri="urn:schemas-microsoft-com:office:smarttags" w:element="place">
        <w:smartTag w:uri="urn:schemas-microsoft-com:office:smarttags" w:element="country-region">
          <w:r>
            <w:rPr>
              <w:color w:val="000000"/>
              <w:szCs w:val="22"/>
            </w:rPr>
            <w:t>United States</w:t>
          </w:r>
        </w:smartTag>
      </w:smartTag>
      <w:r>
        <w:rPr>
          <w:color w:val="000000"/>
          <w:szCs w:val="22"/>
        </w:rPr>
        <w:t xml:space="preserve"> and any foreign point </w:t>
      </w:r>
      <w:r>
        <w:rPr>
          <w:szCs w:val="22"/>
        </w:rPr>
        <w:t xml:space="preserve">as of December 31 of the preceding calendar year.  </w:t>
      </w:r>
    </w:p>
    <w:p w:rsidR="004C6C01" w:rsidRDefault="004C6C01" w:rsidP="004C6C01">
      <w:pPr>
        <w:autoSpaceDE w:val="0"/>
        <w:autoSpaceDN w:val="0"/>
        <w:adjustRightInd w:val="0"/>
        <w:rPr>
          <w:color w:val="000000"/>
          <w:szCs w:val="22"/>
        </w:rPr>
      </w:pPr>
    </w:p>
    <w:p w:rsidR="004C6C01" w:rsidRDefault="004C6C01" w:rsidP="004C6C01">
      <w:pPr>
        <w:autoSpaceDE w:val="0"/>
        <w:autoSpaceDN w:val="0"/>
        <w:adjustRightInd w:val="0"/>
        <w:rPr>
          <w:color w:val="000000"/>
          <w:szCs w:val="22"/>
        </w:rPr>
      </w:pPr>
      <w:r w:rsidRPr="00FE4E17">
        <w:rPr>
          <w:bCs/>
          <w:smallCaps/>
          <w:color w:val="000000"/>
          <w:szCs w:val="22"/>
        </w:rPr>
        <w:t>Note to Paragraph</w:t>
      </w:r>
      <w:r>
        <w:rPr>
          <w:rFonts w:ascii="Arial" w:hAnsi="Arial" w:cs="Arial"/>
          <w:b/>
          <w:bCs/>
          <w:smallCaps/>
          <w:color w:val="FF0000"/>
          <w:sz w:val="20"/>
        </w:rPr>
        <w:t xml:space="preserve"> </w:t>
      </w:r>
      <w:r>
        <w:rPr>
          <w:color w:val="000000"/>
          <w:szCs w:val="22"/>
        </w:rPr>
        <w:t>(a):  United States is defined in Section 3 of the Communications Act of 1934, as amended, 47 U.S.C. 153.</w:t>
      </w:r>
    </w:p>
    <w:p w:rsidR="004C6C01" w:rsidRDefault="004C6C01" w:rsidP="004C6C01">
      <w:pPr>
        <w:autoSpaceDE w:val="0"/>
        <w:autoSpaceDN w:val="0"/>
        <w:adjustRightInd w:val="0"/>
        <w:rPr>
          <w:color w:val="000000"/>
          <w:szCs w:val="22"/>
        </w:rPr>
      </w:pPr>
    </w:p>
    <w:p w:rsidR="004C6C01" w:rsidRDefault="004C6C01" w:rsidP="009B07DE">
      <w:pPr>
        <w:widowControl/>
        <w:autoSpaceDE w:val="0"/>
        <w:autoSpaceDN w:val="0"/>
        <w:adjustRightInd w:val="0"/>
        <w:rPr>
          <w:color w:val="000000"/>
          <w:szCs w:val="22"/>
        </w:rPr>
      </w:pPr>
      <w:r w:rsidRPr="00D56B9D">
        <w:t>(b)</w:t>
      </w:r>
      <w:r>
        <w:rPr>
          <w:color w:val="000000"/>
          <w:szCs w:val="22"/>
        </w:rPr>
        <w:t xml:space="preserve">  A Registration Form, containing information about the filer, such as address, phone number, email address, etc., shall be filed with each report.  The Registration Form shall include a certification enabling the filer to check a box to indicate that the filer requests that its circuit capacity data be treated as confidential </w:t>
      </w:r>
      <w:r>
        <w:t>consistent with Section 0.459(b) of the Commission’s rules.</w:t>
      </w:r>
    </w:p>
    <w:p w:rsidR="004C6C01" w:rsidRDefault="004C6C01" w:rsidP="004C6C01">
      <w:pPr>
        <w:autoSpaceDE w:val="0"/>
        <w:autoSpaceDN w:val="0"/>
        <w:adjustRightInd w:val="0"/>
        <w:rPr>
          <w:color w:val="000000"/>
          <w:szCs w:val="22"/>
        </w:rPr>
      </w:pPr>
    </w:p>
    <w:p w:rsidR="004C6C01" w:rsidRPr="006C2955" w:rsidRDefault="004C6C01" w:rsidP="004C6C01">
      <w:pPr>
        <w:autoSpaceDE w:val="0"/>
        <w:autoSpaceDN w:val="0"/>
        <w:adjustRightInd w:val="0"/>
        <w:rPr>
          <w:color w:val="000000"/>
          <w:szCs w:val="22"/>
        </w:rPr>
      </w:pPr>
      <w:r>
        <w:rPr>
          <w:color w:val="000000"/>
          <w:szCs w:val="22"/>
        </w:rPr>
        <w:t>(c)  Filing Manual.</w:t>
      </w:r>
      <w:r>
        <w:rPr>
          <w:i/>
          <w:iCs/>
          <w:color w:val="000000"/>
          <w:szCs w:val="22"/>
        </w:rPr>
        <w:t xml:space="preserve">  </w:t>
      </w:r>
      <w:r>
        <w:rPr>
          <w:color w:val="000000"/>
          <w:szCs w:val="22"/>
        </w:rPr>
        <w:t xml:space="preserve">Authority is delegated to the Chief, International Bureau to prepare instructions and reporting requirements for the filing of these reports prepared and published as a Filing Manual.  The information required under this Section shall be furnished in conformance with the instructions and reporting requirements in the Filing Manual. </w:t>
      </w:r>
    </w:p>
    <w:p w:rsidR="004C6C01" w:rsidRPr="00C71D11" w:rsidRDefault="004C6C01" w:rsidP="004C6C01">
      <w:pPr>
        <w:rPr>
          <w:szCs w:val="22"/>
        </w:rPr>
      </w:pPr>
    </w:p>
    <w:p w:rsidR="004C6C01" w:rsidRPr="00C71D11" w:rsidRDefault="004C6C01" w:rsidP="004C6C01">
      <w:pPr>
        <w:rPr>
          <w:szCs w:val="22"/>
        </w:rPr>
      </w:pPr>
      <w:r w:rsidRPr="00C71D11">
        <w:rPr>
          <w:szCs w:val="22"/>
        </w:rPr>
        <w:t xml:space="preserve">PART 63 – EXTENSION OF LINES, NEW LINES AND DISCONTINUANCE, REDUCTION, OUTAGE AND IMPAIRMENT OF SERVICE BY </w:t>
      </w:r>
      <w:r>
        <w:rPr>
          <w:szCs w:val="22"/>
        </w:rPr>
        <w:t>COMMON CARRIERS</w:t>
      </w:r>
      <w:r w:rsidRPr="00C71D11">
        <w:rPr>
          <w:szCs w:val="22"/>
        </w:rPr>
        <w:t>; AND GRANTS OF RECOGNIZED PRIVATE OPERATING AGENCY STATUS</w:t>
      </w:r>
    </w:p>
    <w:p w:rsidR="004C6C01" w:rsidRPr="00C71D11" w:rsidRDefault="004C6C01" w:rsidP="004C6C01">
      <w:pPr>
        <w:rPr>
          <w:szCs w:val="22"/>
        </w:rPr>
      </w:pPr>
    </w:p>
    <w:p w:rsidR="004C6C01" w:rsidRPr="00C71D11" w:rsidRDefault="004C6C01" w:rsidP="004C6C01">
      <w:pPr>
        <w:pStyle w:val="ParaNum"/>
        <w:numPr>
          <w:ilvl w:val="0"/>
          <w:numId w:val="0"/>
        </w:numPr>
        <w:spacing w:after="0"/>
        <w:ind w:left="720"/>
        <w:rPr>
          <w:szCs w:val="22"/>
        </w:rPr>
      </w:pPr>
      <w:r>
        <w:rPr>
          <w:szCs w:val="22"/>
        </w:rPr>
        <w:t>4.</w:t>
      </w:r>
      <w:r>
        <w:rPr>
          <w:szCs w:val="22"/>
        </w:rPr>
        <w:tab/>
      </w:r>
      <w:r w:rsidRPr="00C71D11">
        <w:rPr>
          <w:szCs w:val="22"/>
        </w:rPr>
        <w:t xml:space="preserve">The authority citation for </w:t>
      </w:r>
      <w:r>
        <w:rPr>
          <w:szCs w:val="22"/>
        </w:rPr>
        <w:t>P</w:t>
      </w:r>
      <w:r w:rsidRPr="00C71D11">
        <w:rPr>
          <w:szCs w:val="22"/>
        </w:rPr>
        <w:t>art 63 continues to read as follows:</w:t>
      </w:r>
    </w:p>
    <w:p w:rsidR="004C6C01" w:rsidRDefault="004C6C01" w:rsidP="004C6C01">
      <w:pPr>
        <w:pStyle w:val="ParaNum"/>
        <w:numPr>
          <w:ilvl w:val="0"/>
          <w:numId w:val="0"/>
        </w:numPr>
        <w:spacing w:after="0"/>
        <w:rPr>
          <w:szCs w:val="22"/>
        </w:rPr>
      </w:pPr>
      <w:r w:rsidRPr="00C71D11">
        <w:rPr>
          <w:szCs w:val="22"/>
        </w:rPr>
        <w:t xml:space="preserve">Authority:  Sections 1, 4(i), 4(j), 10, 11, 201-205, 214, 218, 403 and 651 of the Communications Act of 1934, as amended, 47 U.S.C. 151, 154(i), 154(j), 160, 201-205, 214, 218, 403, and 571, unless otherwise noted. </w:t>
      </w:r>
    </w:p>
    <w:p w:rsidR="004C6C01" w:rsidRDefault="004C6C01" w:rsidP="004C6C01">
      <w:pPr>
        <w:pStyle w:val="ParaNum"/>
        <w:numPr>
          <w:ilvl w:val="0"/>
          <w:numId w:val="0"/>
        </w:numPr>
        <w:spacing w:after="0"/>
        <w:rPr>
          <w:szCs w:val="22"/>
        </w:rPr>
      </w:pPr>
    </w:p>
    <w:p w:rsidR="004C6C01" w:rsidRDefault="004C6C01" w:rsidP="004C6C01">
      <w:pPr>
        <w:pStyle w:val="ParaNum"/>
        <w:numPr>
          <w:ilvl w:val="0"/>
          <w:numId w:val="0"/>
        </w:numPr>
        <w:spacing w:after="0"/>
        <w:rPr>
          <w:szCs w:val="22"/>
        </w:rPr>
      </w:pPr>
      <w:r>
        <w:rPr>
          <w:szCs w:val="22"/>
        </w:rPr>
        <w:tab/>
        <w:t>5.</w:t>
      </w:r>
      <w:r>
        <w:rPr>
          <w:szCs w:val="22"/>
        </w:rPr>
        <w:tab/>
        <w:t>Section 63.10(c)(2</w:t>
      </w:r>
      <w:r w:rsidRPr="00AC2370">
        <w:rPr>
          <w:szCs w:val="22"/>
        </w:rPr>
        <w:t>) is amended to read as follows:</w:t>
      </w:r>
    </w:p>
    <w:p w:rsidR="004C6C01" w:rsidRDefault="004C6C01" w:rsidP="004C6C01">
      <w:pPr>
        <w:pStyle w:val="ParaNum"/>
        <w:numPr>
          <w:ilvl w:val="0"/>
          <w:numId w:val="0"/>
        </w:numPr>
        <w:spacing w:after="0"/>
        <w:rPr>
          <w:szCs w:val="22"/>
        </w:rPr>
      </w:pPr>
    </w:p>
    <w:p w:rsidR="004C6C01" w:rsidRDefault="004C6C01" w:rsidP="004C6C01">
      <w:pPr>
        <w:pStyle w:val="ParaNum"/>
        <w:numPr>
          <w:ilvl w:val="0"/>
          <w:numId w:val="0"/>
        </w:numPr>
        <w:spacing w:after="0"/>
        <w:rPr>
          <w:szCs w:val="22"/>
        </w:rPr>
      </w:pPr>
      <w:r>
        <w:rPr>
          <w:szCs w:val="22"/>
        </w:rPr>
        <w:t xml:space="preserve">(2)  File quarterly reports on traffic and revenue within 90 days from the </w:t>
      </w:r>
      <w:r w:rsidRPr="00AC2370">
        <w:t>end of each calendar quarter</w:t>
      </w:r>
      <w:r>
        <w:t>.</w:t>
      </w:r>
    </w:p>
    <w:p w:rsidR="004C6C01" w:rsidRDefault="004C6C01" w:rsidP="004C6C01">
      <w:pPr>
        <w:pStyle w:val="ParaNum"/>
        <w:numPr>
          <w:ilvl w:val="0"/>
          <w:numId w:val="0"/>
        </w:numPr>
        <w:spacing w:after="0"/>
        <w:rPr>
          <w:szCs w:val="22"/>
        </w:rPr>
      </w:pPr>
    </w:p>
    <w:p w:rsidR="004C6C01" w:rsidRDefault="004C6C01" w:rsidP="004C6C01">
      <w:pPr>
        <w:pStyle w:val="ParaNum"/>
        <w:numPr>
          <w:ilvl w:val="0"/>
          <w:numId w:val="0"/>
        </w:numPr>
        <w:spacing w:after="0"/>
        <w:rPr>
          <w:szCs w:val="22"/>
        </w:rPr>
      </w:pPr>
      <w:r>
        <w:rPr>
          <w:szCs w:val="22"/>
        </w:rPr>
        <w:tab/>
        <w:t>6.</w:t>
      </w:r>
      <w:r>
        <w:rPr>
          <w:szCs w:val="22"/>
        </w:rPr>
        <w:tab/>
      </w:r>
      <w:r w:rsidRPr="00A60FFE">
        <w:rPr>
          <w:szCs w:val="22"/>
        </w:rPr>
        <w:t>Section 63.</w:t>
      </w:r>
      <w:r>
        <w:rPr>
          <w:szCs w:val="22"/>
        </w:rPr>
        <w:t>2</w:t>
      </w:r>
      <w:r w:rsidRPr="00A60FFE">
        <w:rPr>
          <w:szCs w:val="22"/>
        </w:rPr>
        <w:t>1(</w:t>
      </w:r>
      <w:r>
        <w:rPr>
          <w:szCs w:val="22"/>
        </w:rPr>
        <w:t>d</w:t>
      </w:r>
      <w:r w:rsidRPr="00A60FFE">
        <w:rPr>
          <w:szCs w:val="22"/>
        </w:rPr>
        <w:t>) is amended to read as follows:</w:t>
      </w:r>
    </w:p>
    <w:p w:rsidR="004C6C01" w:rsidRDefault="004C6C01" w:rsidP="004C6C01">
      <w:pPr>
        <w:pStyle w:val="ParaNum"/>
        <w:numPr>
          <w:ilvl w:val="0"/>
          <w:numId w:val="0"/>
        </w:numPr>
        <w:spacing w:after="0"/>
        <w:rPr>
          <w:szCs w:val="22"/>
        </w:rPr>
      </w:pPr>
    </w:p>
    <w:p w:rsidR="004C6C01" w:rsidRPr="00AC2370" w:rsidRDefault="004C6C01" w:rsidP="004C6C01">
      <w:pPr>
        <w:pStyle w:val="ParaNum"/>
        <w:numPr>
          <w:ilvl w:val="0"/>
          <w:numId w:val="0"/>
        </w:numPr>
        <w:spacing w:after="0"/>
        <w:rPr>
          <w:szCs w:val="22"/>
        </w:rPr>
      </w:pPr>
      <w:r>
        <w:rPr>
          <w:szCs w:val="22"/>
        </w:rPr>
        <w:t xml:space="preserve">(d) Reserved. </w:t>
      </w:r>
    </w:p>
    <w:p w:rsidR="004C6C01" w:rsidRPr="00AC2370" w:rsidRDefault="004C6C01" w:rsidP="004C6C01">
      <w:pPr>
        <w:ind w:left="720"/>
        <w:rPr>
          <w:szCs w:val="22"/>
        </w:rPr>
      </w:pPr>
    </w:p>
    <w:p w:rsidR="004C6C01" w:rsidRDefault="004C6C01" w:rsidP="004C6C01">
      <w:pPr>
        <w:rPr>
          <w:szCs w:val="22"/>
        </w:rPr>
      </w:pPr>
      <w:r>
        <w:rPr>
          <w:szCs w:val="22"/>
        </w:rPr>
        <w:tab/>
        <w:t>7.</w:t>
      </w:r>
      <w:r w:rsidRPr="00AC2370">
        <w:rPr>
          <w:szCs w:val="22"/>
        </w:rPr>
        <w:tab/>
      </w:r>
      <w:r w:rsidRPr="00A60FFE">
        <w:rPr>
          <w:szCs w:val="22"/>
        </w:rPr>
        <w:t>Section 63.22(e)</w:t>
      </w:r>
      <w:r>
        <w:rPr>
          <w:szCs w:val="22"/>
        </w:rPr>
        <w:t xml:space="preserve"> is </w:t>
      </w:r>
      <w:r w:rsidRPr="00AC2370">
        <w:rPr>
          <w:szCs w:val="22"/>
        </w:rPr>
        <w:t>amended to replace “§ 43.6</w:t>
      </w:r>
      <w:r>
        <w:rPr>
          <w:szCs w:val="22"/>
        </w:rPr>
        <w:t>2</w:t>
      </w:r>
      <w:r w:rsidRPr="00AC2370">
        <w:rPr>
          <w:szCs w:val="22"/>
        </w:rPr>
        <w:t xml:space="preserve">” </w:t>
      </w:r>
      <w:r>
        <w:rPr>
          <w:szCs w:val="22"/>
        </w:rPr>
        <w:t>with “</w:t>
      </w:r>
      <w:r w:rsidRPr="00AC2370">
        <w:rPr>
          <w:szCs w:val="22"/>
        </w:rPr>
        <w:t>§</w:t>
      </w:r>
      <w:r>
        <w:rPr>
          <w:szCs w:val="22"/>
        </w:rPr>
        <w:t xml:space="preserve"> 43.8</w:t>
      </w:r>
      <w:r w:rsidRPr="00AC2370">
        <w:rPr>
          <w:szCs w:val="22"/>
        </w:rPr>
        <w:t>2</w:t>
      </w:r>
      <w:r>
        <w:rPr>
          <w:szCs w:val="22"/>
        </w:rPr>
        <w:t>.</w:t>
      </w:r>
      <w:r w:rsidRPr="00AC2370">
        <w:rPr>
          <w:szCs w:val="22"/>
        </w:rPr>
        <w:t>”</w:t>
      </w:r>
    </w:p>
    <w:p w:rsidR="00494CB7" w:rsidRDefault="00494CB7" w:rsidP="004C6C01">
      <w:pPr>
        <w:rPr>
          <w:szCs w:val="22"/>
        </w:rPr>
      </w:pPr>
    </w:p>
    <w:p w:rsidR="00855304" w:rsidRDefault="00855304">
      <w:pPr>
        <w:widowControl/>
        <w:rPr>
          <w:szCs w:val="22"/>
        </w:rPr>
        <w:sectPr w:rsidR="00855304" w:rsidSect="00FB7878">
          <w:footerReference w:type="first" r:id="rId18"/>
          <w:endnotePr>
            <w:numFmt w:val="decimal"/>
          </w:endnotePr>
          <w:pgSz w:w="12240" w:h="15840"/>
          <w:pgMar w:top="1440" w:right="1440" w:bottom="720" w:left="1440" w:header="720" w:footer="720" w:gutter="0"/>
          <w:cols w:space="720"/>
          <w:noEndnote/>
          <w:titlePg/>
        </w:sectPr>
      </w:pPr>
    </w:p>
    <w:p w:rsidR="00216936" w:rsidRPr="000A4810" w:rsidRDefault="00216936" w:rsidP="00216936">
      <w:pPr>
        <w:pStyle w:val="ParaNum"/>
        <w:numPr>
          <w:ilvl w:val="0"/>
          <w:numId w:val="0"/>
        </w:numPr>
        <w:ind w:left="720"/>
        <w:jc w:val="center"/>
        <w:rPr>
          <w:b/>
        </w:rPr>
      </w:pPr>
      <w:r w:rsidRPr="00F900C8">
        <w:rPr>
          <w:b/>
        </w:rPr>
        <w:t xml:space="preserve">APPENDIX </w:t>
      </w:r>
      <w:r>
        <w:rPr>
          <w:b/>
        </w:rPr>
        <w:t>B</w:t>
      </w:r>
    </w:p>
    <w:p w:rsidR="00216936" w:rsidRPr="000A4810" w:rsidRDefault="00216936" w:rsidP="00216936">
      <w:pPr>
        <w:pStyle w:val="ParaNum"/>
        <w:numPr>
          <w:ilvl w:val="0"/>
          <w:numId w:val="0"/>
        </w:numPr>
        <w:ind w:left="720"/>
        <w:jc w:val="center"/>
        <w:rPr>
          <w:b/>
        </w:rPr>
      </w:pPr>
      <w:r w:rsidRPr="000A4810">
        <w:rPr>
          <w:b/>
        </w:rPr>
        <w:t>Initial Regulatory Flexibility Act Analysis</w:t>
      </w:r>
    </w:p>
    <w:p w:rsidR="00216936" w:rsidRDefault="00216936" w:rsidP="001E1021">
      <w:pPr>
        <w:pStyle w:val="ParaNum"/>
        <w:numPr>
          <w:ilvl w:val="0"/>
          <w:numId w:val="16"/>
        </w:numPr>
        <w:tabs>
          <w:tab w:val="clear" w:pos="1080"/>
          <w:tab w:val="num" w:pos="1440"/>
        </w:tabs>
      </w:pPr>
      <w:r w:rsidRPr="00DE5032">
        <w:t>As required by the Regulatory Flexibility Act (RFA</w:t>
      </w:r>
      <w:r>
        <w:t>),</w:t>
      </w:r>
      <w:r w:rsidRPr="00DE5032">
        <w:rPr>
          <w:vertAlign w:val="superscript"/>
        </w:rPr>
        <w:footnoteReference w:id="55"/>
      </w:r>
      <w:r w:rsidRPr="00DE5032">
        <w:t xml:space="preserve"> the Commission has prepared this Initial Regulatory Flexibility Analysis (IRFA) of the possible significant economic impact on </w:t>
      </w:r>
      <w:r>
        <w:t>small entities by the policies</w:t>
      </w:r>
      <w:r w:rsidRPr="00DE5032">
        <w:t xml:space="preserve"> and rules proposed in this N</w:t>
      </w:r>
      <w:r>
        <w:t>otice of Proposed Rule Making (</w:t>
      </w:r>
      <w:r w:rsidRPr="00DE5032">
        <w:t>NPRM).  We request written public comments on this IRFA.  Commenters must identify their comments as responses to the IRFA and must file the comments by the deadlines provided in this NPRM.  The Commission will send a copy of the NPRM, including this IRFA, to the Chief Counsel for Advocacy of the Small Business Administration.</w:t>
      </w:r>
      <w:r w:rsidRPr="00DE5032">
        <w:rPr>
          <w:vertAlign w:val="superscript"/>
        </w:rPr>
        <w:footnoteReference w:id="56"/>
      </w:r>
      <w:r w:rsidRPr="00DE5032">
        <w:t xml:space="preserve">  In addition, the NPRM and IRFA (or summaries thereof) will be published in the Federal Register.</w:t>
      </w:r>
      <w:r w:rsidRPr="00DE5032">
        <w:rPr>
          <w:vertAlign w:val="superscript"/>
        </w:rPr>
        <w:footnoteReference w:id="57"/>
      </w:r>
      <w:r>
        <w:t xml:space="preserve"> </w:t>
      </w:r>
    </w:p>
    <w:p w:rsidR="00216936" w:rsidRPr="002A39EF" w:rsidRDefault="00216936" w:rsidP="00101496">
      <w:pPr>
        <w:pStyle w:val="Heading2"/>
      </w:pPr>
      <w:r w:rsidRPr="002A39EF">
        <w:t>Need for, and Objectives of, the Proposed Rules</w:t>
      </w:r>
    </w:p>
    <w:p w:rsidR="00216936" w:rsidRPr="00D70C69" w:rsidRDefault="00216936" w:rsidP="00216936">
      <w:pPr>
        <w:pStyle w:val="ParaNum"/>
      </w:pPr>
      <w:r>
        <w:t>The Commis</w:t>
      </w:r>
      <w:r w:rsidR="00A94FC9">
        <w:t>sion initiated this NPRM</w:t>
      </w:r>
      <w:r>
        <w:t xml:space="preserve"> to assess the </w:t>
      </w:r>
      <w:r w:rsidR="00B33918">
        <w:t>federal</w:t>
      </w:r>
      <w:r w:rsidR="00B33918" w:rsidRPr="00E30B02">
        <w:t xml:space="preserve"> </w:t>
      </w:r>
      <w:r w:rsidRPr="00E30B02">
        <w:t>need for the international reporting requirements set forth in Section 43.62</w:t>
      </w:r>
      <w:r>
        <w:t xml:space="preserve"> of the Commission’s rules.</w:t>
      </w:r>
      <w:r>
        <w:rPr>
          <w:rStyle w:val="FootnoteReference"/>
        </w:rPr>
        <w:footnoteReference w:id="58"/>
      </w:r>
      <w:r>
        <w:t xml:space="preserve">  On November 3, 2016, the Commission released a Public Notice seeking comment on the 2016 biennial review of our telecommunications regulations pursuant to Section 11 of the Communications Act of 1934, as amended</w:t>
      </w:r>
      <w:r w:rsidR="00491BBC">
        <w:t xml:space="preserve"> (the Act)</w:t>
      </w:r>
      <w:r>
        <w:t>.</w:t>
      </w:r>
      <w:r>
        <w:rPr>
          <w:rStyle w:val="FootnoteReference"/>
        </w:rPr>
        <w:footnoteReference w:id="59"/>
      </w:r>
      <w:r>
        <w:t xml:space="preserve">  W</w:t>
      </w:r>
      <w:r w:rsidR="00A94FC9">
        <w:t>hile</w:t>
      </w:r>
      <w:r>
        <w:t xml:space="preserve"> the Commission </w:t>
      </w:r>
      <w:r w:rsidRPr="008500ED">
        <w:t xml:space="preserve">streamlined and </w:t>
      </w:r>
      <w:r>
        <w:t>modernized the Part 43 international reporting requirements</w:t>
      </w:r>
      <w:r w:rsidR="00A94FC9">
        <w:t xml:space="preserve"> in 2013</w:t>
      </w:r>
      <w:r>
        <w:t>,</w:t>
      </w:r>
      <w:r>
        <w:rPr>
          <w:rStyle w:val="FootnoteReference"/>
        </w:rPr>
        <w:footnoteReference w:id="60"/>
      </w:r>
      <w:r w:rsidR="00A94FC9">
        <w:t xml:space="preserve"> several parties recommend</w:t>
      </w:r>
      <w:r>
        <w:t xml:space="preserve"> that we further streamline or eliminate these rules.</w:t>
      </w:r>
      <w:r>
        <w:rPr>
          <w:rStyle w:val="FootnoteReference"/>
        </w:rPr>
        <w:footnoteReference w:id="61"/>
      </w:r>
      <w:r>
        <w:t xml:space="preserve">   </w:t>
      </w:r>
      <w:r>
        <w:rPr>
          <w:szCs w:val="22"/>
        </w:rPr>
        <w:t xml:space="preserve"> </w:t>
      </w:r>
    </w:p>
    <w:p w:rsidR="00216936" w:rsidRDefault="00216936" w:rsidP="00216936">
      <w:pPr>
        <w:pStyle w:val="ParaNum"/>
      </w:pPr>
      <w:r w:rsidRPr="00DB4914">
        <w:t xml:space="preserve">The </w:t>
      </w:r>
      <w:r w:rsidR="00A94FC9">
        <w:t>objectives of this proceeding are</w:t>
      </w:r>
      <w:r>
        <w:t xml:space="preserve"> to eliminate, further streamline, or modify the current traffic and revenue reporting requirements and </w:t>
      </w:r>
      <w:r w:rsidR="00B33918">
        <w:t xml:space="preserve">further streamline or modify </w:t>
      </w:r>
      <w:r>
        <w:t xml:space="preserve">circuit capacity reporting requirements </w:t>
      </w:r>
      <w:r w:rsidR="002C52CF">
        <w:t>that apply to</w:t>
      </w:r>
      <w:r>
        <w:t xml:space="preserve"> carriers providing international services pursuant to Section 43.62 of the Commission’s rules.  Specifically, the Commission</w:t>
      </w:r>
      <w:r w:rsidRPr="00F2298F">
        <w:t xml:space="preserve"> </w:t>
      </w:r>
      <w:r>
        <w:t xml:space="preserve">proposes to eliminate the annual </w:t>
      </w:r>
      <w:r w:rsidR="009D3B00">
        <w:t>T</w:t>
      </w:r>
      <w:r>
        <w:t xml:space="preserve">raffic and </w:t>
      </w:r>
      <w:r w:rsidR="009D3B00">
        <w:t>R</w:t>
      </w:r>
      <w:r>
        <w:t xml:space="preserve">evenue </w:t>
      </w:r>
      <w:r w:rsidR="009D3B00">
        <w:t>R</w:t>
      </w:r>
      <w:r>
        <w:t>eport</w:t>
      </w:r>
      <w:r w:rsidR="009D3B00">
        <w:t>s</w:t>
      </w:r>
      <w:r>
        <w:t xml:space="preserve">, and seeks comment on ways to further streamline the </w:t>
      </w:r>
      <w:r w:rsidR="002C52CF">
        <w:t xml:space="preserve">annual </w:t>
      </w:r>
      <w:r w:rsidR="009F25A4">
        <w:t>C</w:t>
      </w:r>
      <w:r>
        <w:t xml:space="preserve">ircuit </w:t>
      </w:r>
      <w:r w:rsidR="009F25A4">
        <w:t>C</w:t>
      </w:r>
      <w:r>
        <w:t xml:space="preserve">apacity </w:t>
      </w:r>
      <w:r w:rsidR="009F25A4">
        <w:t>R</w:t>
      </w:r>
      <w:r>
        <w:t>eport</w:t>
      </w:r>
      <w:r w:rsidR="009F25A4">
        <w:t>s</w:t>
      </w:r>
      <w:r>
        <w:t xml:space="preserve">.  After reviewing the record in this biennial review proceeding, and based on our own understanding of the competitive nature of the international services sector, we believe that the international traffic and revenue data collection is no longer necessary, and we propose to </w:t>
      </w:r>
      <w:r w:rsidRPr="00986F60">
        <w:t>eliminate</w:t>
      </w:r>
      <w:r w:rsidR="002C52CF">
        <w:t xml:space="preserve"> this</w:t>
      </w:r>
      <w:r>
        <w:t xml:space="preserve"> report</w:t>
      </w:r>
      <w:r w:rsidR="002C52CF">
        <w:t>ing requirement</w:t>
      </w:r>
      <w:r w:rsidRPr="00986F60">
        <w:t>.</w:t>
      </w:r>
      <w:r>
        <w:t xml:space="preserve">  We recognize that there may be occasions when we need international services market information, and seek comment on how to obtain this information in the most cost effective and least burdensome way.  With respect to the annual </w:t>
      </w:r>
      <w:r w:rsidR="00797A8F">
        <w:t>C</w:t>
      </w:r>
      <w:r>
        <w:t xml:space="preserve">ircuit </w:t>
      </w:r>
      <w:r w:rsidR="00797A8F">
        <w:t>C</w:t>
      </w:r>
      <w:r>
        <w:t xml:space="preserve">apacity </w:t>
      </w:r>
      <w:r w:rsidR="00797A8F">
        <w:t>R</w:t>
      </w:r>
      <w:r>
        <w:t xml:space="preserve">eports, we believe they </w:t>
      </w:r>
      <w:r w:rsidR="00F96DE4">
        <w:t xml:space="preserve">may warrant retention, </w:t>
      </w:r>
      <w:r>
        <w:t xml:space="preserve">and do not propose </w:t>
      </w:r>
      <w:r w:rsidRPr="000A17C8">
        <w:t>their elimination.  We do, however, explore whether there are ways we could further streamline or modify this data collection while meeting our statutory obligations.</w:t>
      </w:r>
    </w:p>
    <w:p w:rsidR="00216936" w:rsidRDefault="00216936" w:rsidP="00216936">
      <w:pPr>
        <w:pStyle w:val="ParaNum"/>
      </w:pPr>
      <w:r>
        <w:t xml:space="preserve">Currently, Section 43.62(b) requires </w:t>
      </w:r>
      <w:r w:rsidRPr="00E87E1C">
        <w:t xml:space="preserve">providers of international </w:t>
      </w:r>
      <w:r>
        <w:t>services to report annually their traffic and revenue for international voice services, international miscellaneous services, and international common carrier private lines.</w:t>
      </w:r>
      <w:r>
        <w:rPr>
          <w:rStyle w:val="FootnoteReference"/>
        </w:rPr>
        <w:footnoteReference w:id="62"/>
      </w:r>
      <w:r>
        <w:t xml:space="preserve">  Section 43.62(a) requires </w:t>
      </w:r>
      <w:r w:rsidR="008A108D" w:rsidRPr="00E87E1C">
        <w:t xml:space="preserve">providers of international </w:t>
      </w:r>
      <w:r w:rsidR="008A108D">
        <w:t>services</w:t>
      </w:r>
      <w:r>
        <w:t xml:space="preserve"> to report</w:t>
      </w:r>
      <w:r w:rsidRPr="00DB4914">
        <w:t xml:space="preserve"> annual</w:t>
      </w:r>
      <w:r>
        <w:t>ly</w:t>
      </w:r>
      <w:r w:rsidRPr="00DB4914">
        <w:t xml:space="preserve"> submarine cable, satellite</w:t>
      </w:r>
      <w:r>
        <w:t xml:space="preserve">, </w:t>
      </w:r>
      <w:r w:rsidRPr="00DB4914">
        <w:t xml:space="preserve">and terrestrial capacity between the United States and </w:t>
      </w:r>
      <w:r>
        <w:t>foreign points</w:t>
      </w:r>
      <w:r w:rsidRPr="00DB4914">
        <w:t>.</w:t>
      </w:r>
      <w:r>
        <w:rPr>
          <w:rStyle w:val="FootnoteReference"/>
        </w:rPr>
        <w:footnoteReference w:id="63"/>
      </w:r>
      <w:r>
        <w:t xml:space="preserve">  </w:t>
      </w:r>
    </w:p>
    <w:p w:rsidR="00216936" w:rsidRPr="000A17C8" w:rsidRDefault="00216936" w:rsidP="00101496">
      <w:pPr>
        <w:pStyle w:val="Heading2"/>
      </w:pPr>
      <w:r w:rsidRPr="000A17C8">
        <w:t>Legal Basis</w:t>
      </w:r>
    </w:p>
    <w:p w:rsidR="00216936" w:rsidRPr="00445FB3" w:rsidRDefault="00216936" w:rsidP="002E48EF">
      <w:pPr>
        <w:pStyle w:val="ParaNum"/>
      </w:pPr>
      <w:r w:rsidRPr="000A17C8">
        <w:t xml:space="preserve">The proposed action is authorized under </w:t>
      </w:r>
      <w:r w:rsidR="00FB47B4" w:rsidRPr="00FB47B4">
        <w:t>Sections 1, 4(i), 4(j), 11, 201-205, 214, 219, 220, 303(r), 309, and 403 of the Communications Act as amended, 47 U.S.C. §§ 151, 154(i), 154(j), 161, 201-205, 214, 219, 220, 303(r), 309, and 403, and the Cable Landing License Act of 1921, 47 U.S.C. §§ 34-39, and 3 U.S.C. § 301</w:t>
      </w:r>
      <w:r w:rsidRPr="00FB47B4">
        <w:rPr>
          <w:szCs w:val="22"/>
        </w:rPr>
        <w:t>.</w:t>
      </w:r>
    </w:p>
    <w:p w:rsidR="00216936" w:rsidRDefault="00216936" w:rsidP="00101496">
      <w:pPr>
        <w:pStyle w:val="Heading2"/>
      </w:pPr>
      <w:r w:rsidRPr="002A608A">
        <w:t>Description and Estimate of the Number of Small Entities to Which the Proposed Rules May Apply</w:t>
      </w:r>
    </w:p>
    <w:p w:rsidR="00216936" w:rsidRDefault="00216936" w:rsidP="00216936">
      <w:pPr>
        <w:pStyle w:val="ParaNum"/>
      </w:pPr>
      <w:r w:rsidRPr="00DE5032">
        <w:t xml:space="preserve">The RFA directs agencies to provide a description of, and, where feasible, an estimate of, the number of small </w:t>
      </w:r>
      <w:r w:rsidRPr="006D26E7">
        <w:t>entities that may be affected by proposed rules, if adopted.</w:t>
      </w:r>
      <w:r w:rsidRPr="006D26E7">
        <w:rPr>
          <w:vertAlign w:val="superscript"/>
        </w:rPr>
        <w:footnoteReference w:id="64"/>
      </w:r>
      <w:r w:rsidRPr="006D26E7">
        <w:t xml:space="preserve">  The RFA generally defines the term </w:t>
      </w:r>
      <w:r w:rsidR="007A197F">
        <w:t>“</w:t>
      </w:r>
      <w:r w:rsidRPr="006D26E7">
        <w:t>small entity</w:t>
      </w:r>
      <w:r w:rsidR="007A197F">
        <w:t>”</w:t>
      </w:r>
      <w:r w:rsidRPr="006D26E7">
        <w:t xml:space="preserve"> as having the same meaning as the terms </w:t>
      </w:r>
      <w:r w:rsidR="002D7B3E">
        <w:t>“</w:t>
      </w:r>
      <w:r w:rsidRPr="006D26E7">
        <w:t>small business,</w:t>
      </w:r>
      <w:r w:rsidR="002D7B3E">
        <w:t>”</w:t>
      </w:r>
      <w:r w:rsidRPr="006D26E7">
        <w:t xml:space="preserve"> </w:t>
      </w:r>
      <w:r w:rsidR="002D7B3E">
        <w:t>“</w:t>
      </w:r>
      <w:r w:rsidRPr="006D26E7">
        <w:t>small organization,</w:t>
      </w:r>
      <w:r w:rsidR="002D7B3E">
        <w:t>”</w:t>
      </w:r>
      <w:r w:rsidRPr="006D26E7">
        <w:t xml:space="preserve"> and </w:t>
      </w:r>
      <w:r w:rsidR="002D7B3E">
        <w:t>“</w:t>
      </w:r>
      <w:r w:rsidRPr="006D26E7">
        <w:t>small governmental jurisdiction.</w:t>
      </w:r>
      <w:r w:rsidR="002D7B3E">
        <w:t>”</w:t>
      </w:r>
      <w:r w:rsidRPr="006D26E7">
        <w:rPr>
          <w:vertAlign w:val="superscript"/>
        </w:rPr>
        <w:footnoteReference w:id="65"/>
      </w:r>
      <w:r w:rsidRPr="006D26E7">
        <w:t xml:space="preserve">  In addition,</w:t>
      </w:r>
      <w:r w:rsidRPr="00DE5032">
        <w:t xml:space="preserve"> the term </w:t>
      </w:r>
      <w:r w:rsidR="002D7B3E">
        <w:t>“</w:t>
      </w:r>
      <w:r w:rsidRPr="00DE5032">
        <w:t>small business</w:t>
      </w:r>
      <w:r w:rsidR="002D7B3E">
        <w:t>”</w:t>
      </w:r>
      <w:r w:rsidRPr="00DE5032">
        <w:t xml:space="preserve"> has the same meaning as the term </w:t>
      </w:r>
      <w:r w:rsidR="002D7B3E">
        <w:t>“</w:t>
      </w:r>
      <w:r w:rsidRPr="00DE5032">
        <w:t>small business concern</w:t>
      </w:r>
      <w:r w:rsidR="002D7B3E">
        <w:t>”</w:t>
      </w:r>
      <w:r w:rsidRPr="00DE5032">
        <w:t xml:space="preserve"> under the Small Business Act.</w:t>
      </w:r>
      <w:r w:rsidRPr="00DE5032">
        <w:rPr>
          <w:vertAlign w:val="superscript"/>
        </w:rPr>
        <w:footnoteReference w:id="66"/>
      </w:r>
      <w:r w:rsidRPr="00DE5032">
        <w:t xml:space="preserve">  A small business concern is one which:  (1) is independently owned and operated; (2) is not dominant in its field of operation; and (3) satisfies any additional criteria established by the Small Business Administration (SBA).</w:t>
      </w:r>
      <w:r w:rsidRPr="00DE5032">
        <w:rPr>
          <w:vertAlign w:val="superscript"/>
        </w:rPr>
        <w:footnoteReference w:id="67"/>
      </w:r>
      <w:r w:rsidRPr="00DE5032">
        <w:t xml:space="preserve">  </w:t>
      </w:r>
    </w:p>
    <w:p w:rsidR="00216936" w:rsidRPr="003167E8" w:rsidRDefault="00216936" w:rsidP="00216936">
      <w:pPr>
        <w:pStyle w:val="ParaNum"/>
      </w:pPr>
      <w:r w:rsidRPr="00EA604C">
        <w:rPr>
          <w:szCs w:val="22"/>
        </w:rPr>
        <w:t xml:space="preserve">The </w:t>
      </w:r>
      <w:r>
        <w:rPr>
          <w:szCs w:val="22"/>
        </w:rPr>
        <w:t xml:space="preserve">proposals in the NPRM </w:t>
      </w:r>
      <w:r w:rsidRPr="00EA604C">
        <w:rPr>
          <w:szCs w:val="22"/>
        </w:rPr>
        <w:t xml:space="preserve">apply to entities providing international </w:t>
      </w:r>
      <w:r>
        <w:rPr>
          <w:szCs w:val="22"/>
        </w:rPr>
        <w:t>common carrier</w:t>
      </w:r>
      <w:r w:rsidRPr="00EA604C">
        <w:rPr>
          <w:szCs w:val="22"/>
        </w:rPr>
        <w:t xml:space="preserve"> services pursuant to </w:t>
      </w:r>
      <w:r>
        <w:rPr>
          <w:szCs w:val="22"/>
        </w:rPr>
        <w:t>S</w:t>
      </w:r>
      <w:r w:rsidRPr="00EA604C">
        <w:rPr>
          <w:szCs w:val="22"/>
        </w:rPr>
        <w:t xml:space="preserve">ection 214 of the Act; entities providing international wireless </w:t>
      </w:r>
      <w:r>
        <w:rPr>
          <w:szCs w:val="22"/>
        </w:rPr>
        <w:t>common carrier</w:t>
      </w:r>
      <w:r w:rsidRPr="00EA604C">
        <w:rPr>
          <w:szCs w:val="22"/>
        </w:rPr>
        <w:t xml:space="preserve"> services under </w:t>
      </w:r>
      <w:r>
        <w:rPr>
          <w:szCs w:val="22"/>
        </w:rPr>
        <w:t>S</w:t>
      </w:r>
      <w:r w:rsidRPr="00EA604C">
        <w:rPr>
          <w:szCs w:val="22"/>
        </w:rPr>
        <w:t xml:space="preserve">ection 309 of the Act; entities providing </w:t>
      </w:r>
      <w:r>
        <w:rPr>
          <w:szCs w:val="22"/>
        </w:rPr>
        <w:t>common carrier</w:t>
      </w:r>
      <w:r w:rsidRPr="00EA604C">
        <w:rPr>
          <w:szCs w:val="22"/>
        </w:rPr>
        <w:t xml:space="preserve"> satellite services under </w:t>
      </w:r>
      <w:r>
        <w:rPr>
          <w:szCs w:val="22"/>
        </w:rPr>
        <w:t>S</w:t>
      </w:r>
      <w:r w:rsidRPr="00EA604C">
        <w:rPr>
          <w:szCs w:val="22"/>
        </w:rPr>
        <w:t>ection 309 of the Act; and entities licensed to construct and operate submarine cables under the Cable Landing License Act.</w:t>
      </w:r>
      <w:r w:rsidRPr="00EA604C">
        <w:rPr>
          <w:b/>
          <w:szCs w:val="22"/>
        </w:rPr>
        <w:t xml:space="preserve">  </w:t>
      </w:r>
      <w:r w:rsidRPr="00EA604C">
        <w:rPr>
          <w:szCs w:val="22"/>
        </w:rPr>
        <w:t xml:space="preserve">The Commission has not developed a small business size standard directed specifically toward these entities.  As described below, such entities fit within larger categories for which the SBA has developed size </w:t>
      </w:r>
      <w:r w:rsidRPr="003167E8">
        <w:rPr>
          <w:szCs w:val="22"/>
        </w:rPr>
        <w:t>standards.</w:t>
      </w:r>
    </w:p>
    <w:p w:rsidR="00216936" w:rsidRPr="003167E8" w:rsidRDefault="00216936" w:rsidP="00216936">
      <w:pPr>
        <w:pStyle w:val="Heading3"/>
      </w:pPr>
      <w:bookmarkStart w:id="1" w:name="_Toc290560644"/>
      <w:bookmarkStart w:id="2" w:name="_Toc290627753"/>
      <w:bookmarkStart w:id="3" w:name="_Toc290641726"/>
      <w:bookmarkStart w:id="4" w:name="_Toc332546647"/>
      <w:bookmarkStart w:id="5" w:name="_Toc332609364"/>
      <w:bookmarkStart w:id="6" w:name="_Toc332624519"/>
      <w:bookmarkStart w:id="7" w:name="_Toc332735666"/>
      <w:bookmarkStart w:id="8" w:name="_Toc332735850"/>
      <w:bookmarkStart w:id="9" w:name="_Toc332805477"/>
      <w:bookmarkStart w:id="10" w:name="_Toc333926266"/>
      <w:bookmarkStart w:id="11" w:name="_Toc334083377"/>
      <w:bookmarkStart w:id="12" w:name="_Toc335283374"/>
      <w:bookmarkStart w:id="13" w:name="_Toc335315480"/>
      <w:bookmarkStart w:id="14" w:name="_Toc335395207"/>
      <w:bookmarkStart w:id="15" w:name="_Toc335917292"/>
      <w:bookmarkStart w:id="16" w:name="_Toc336004161"/>
      <w:bookmarkStart w:id="17" w:name="_Toc336417718"/>
      <w:bookmarkStart w:id="18" w:name="_Toc336438594"/>
      <w:bookmarkStart w:id="19" w:name="_Toc338080467"/>
      <w:bookmarkStart w:id="20" w:name="_Toc338086300"/>
      <w:bookmarkStart w:id="21" w:name="_Toc338086370"/>
      <w:bookmarkStart w:id="22" w:name="_Toc338086453"/>
      <w:bookmarkStart w:id="23" w:name="_Toc339894435"/>
      <w:r w:rsidRPr="003167E8">
        <w:t>Traffic and Revenue Report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9D3B00">
        <w:t>s</w:t>
      </w:r>
    </w:p>
    <w:p w:rsidR="00216936" w:rsidRPr="00113D6E" w:rsidRDefault="00216936" w:rsidP="00216936">
      <w:pPr>
        <w:pStyle w:val="ParaNum"/>
      </w:pPr>
      <w:r w:rsidRPr="00F9400D">
        <w:rPr>
          <w:szCs w:val="22"/>
        </w:rPr>
        <w:t xml:space="preserve">The </w:t>
      </w:r>
      <w:r>
        <w:rPr>
          <w:szCs w:val="22"/>
        </w:rPr>
        <w:t>proposals in the NPRM</w:t>
      </w:r>
      <w:r w:rsidRPr="00F9400D">
        <w:rPr>
          <w:szCs w:val="22"/>
        </w:rPr>
        <w:t xml:space="preserve"> apply to entities providing international </w:t>
      </w:r>
      <w:r>
        <w:rPr>
          <w:szCs w:val="22"/>
        </w:rPr>
        <w:t>common carrier</w:t>
      </w:r>
      <w:r w:rsidRPr="00F9400D">
        <w:rPr>
          <w:szCs w:val="22"/>
        </w:rPr>
        <w:t xml:space="preserve"> services pursuant to </w:t>
      </w:r>
      <w:r>
        <w:rPr>
          <w:szCs w:val="22"/>
        </w:rPr>
        <w:t>S</w:t>
      </w:r>
      <w:r w:rsidRPr="00F9400D">
        <w:rPr>
          <w:szCs w:val="22"/>
        </w:rPr>
        <w:t>ection 214 of the Communications Act</w:t>
      </w:r>
      <w:r>
        <w:rPr>
          <w:szCs w:val="22"/>
        </w:rPr>
        <w:t>;</w:t>
      </w:r>
      <w:r w:rsidRPr="00F9400D">
        <w:rPr>
          <w:szCs w:val="22"/>
        </w:rPr>
        <w:t xml:space="preserve"> entities that operate a telecommunications “spot market” </w:t>
      </w:r>
      <w:r w:rsidR="002C52CF">
        <w:rPr>
          <w:szCs w:val="22"/>
        </w:rPr>
        <w:t>and</w:t>
      </w:r>
      <w:r w:rsidRPr="00F9400D">
        <w:rPr>
          <w:szCs w:val="22"/>
        </w:rPr>
        <w:t xml:space="preserve"> carry international traffic</w:t>
      </w:r>
      <w:r>
        <w:rPr>
          <w:szCs w:val="22"/>
        </w:rPr>
        <w:t>;</w:t>
      </w:r>
      <w:r w:rsidRPr="00F9400D">
        <w:rPr>
          <w:szCs w:val="22"/>
        </w:rPr>
        <w:t xml:space="preserve"> entities providing domestic or international wireless </w:t>
      </w:r>
      <w:r>
        <w:rPr>
          <w:szCs w:val="22"/>
        </w:rPr>
        <w:t>common carrier</w:t>
      </w:r>
      <w:r w:rsidRPr="00F9400D">
        <w:rPr>
          <w:szCs w:val="22"/>
        </w:rPr>
        <w:t xml:space="preserve"> services under </w:t>
      </w:r>
      <w:r>
        <w:rPr>
          <w:szCs w:val="22"/>
        </w:rPr>
        <w:t>S</w:t>
      </w:r>
      <w:r w:rsidRPr="00F9400D">
        <w:rPr>
          <w:szCs w:val="22"/>
        </w:rPr>
        <w:t xml:space="preserve">ection 309 of the Act; entities providing </w:t>
      </w:r>
      <w:r>
        <w:rPr>
          <w:szCs w:val="22"/>
        </w:rPr>
        <w:t>common carrier</w:t>
      </w:r>
      <w:r w:rsidRPr="00F9400D">
        <w:rPr>
          <w:szCs w:val="22"/>
        </w:rPr>
        <w:t xml:space="preserve"> satellite facilities under </w:t>
      </w:r>
      <w:r>
        <w:rPr>
          <w:szCs w:val="22"/>
        </w:rPr>
        <w:t>S</w:t>
      </w:r>
      <w:r w:rsidRPr="00F9400D">
        <w:rPr>
          <w:szCs w:val="22"/>
        </w:rPr>
        <w:t xml:space="preserve">ection 309 of the Act; entities licensed to construct and operate submarine cables under the Cable Landing License Act </w:t>
      </w:r>
      <w:r w:rsidR="00FB47B4">
        <w:rPr>
          <w:szCs w:val="22"/>
        </w:rPr>
        <w:t>of 1921 and  Executive Order No. 10530, on a common carrier basis; and</w:t>
      </w:r>
      <w:r w:rsidRPr="00F9400D">
        <w:rPr>
          <w:szCs w:val="22"/>
        </w:rPr>
        <w:t xml:space="preserve"> entities that provide international terrestrial telecommunications </w:t>
      </w:r>
      <w:r w:rsidR="001E4CDB">
        <w:rPr>
          <w:szCs w:val="22"/>
        </w:rPr>
        <w:t>services</w:t>
      </w:r>
      <w:r w:rsidRPr="00F9400D">
        <w:rPr>
          <w:szCs w:val="22"/>
        </w:rPr>
        <w:t xml:space="preserve"> on a </w:t>
      </w:r>
      <w:r>
        <w:rPr>
          <w:szCs w:val="22"/>
        </w:rPr>
        <w:t>common carrier</w:t>
      </w:r>
      <w:r w:rsidRPr="00F9400D">
        <w:rPr>
          <w:szCs w:val="22"/>
        </w:rPr>
        <w:t xml:space="preserve"> basis (including incumbent local exchange carriers that offer such facilities).  </w:t>
      </w:r>
      <w:r w:rsidRPr="00E36EA9">
        <w:rPr>
          <w:szCs w:val="22"/>
        </w:rPr>
        <w:t>At present, Section 43.62 of the Commission’s rules requires</w:t>
      </w:r>
      <w:r>
        <w:rPr>
          <w:szCs w:val="22"/>
        </w:rPr>
        <w:t xml:space="preserve"> that each </w:t>
      </w:r>
      <w:r w:rsidRPr="00E36EA9">
        <w:rPr>
          <w:szCs w:val="22"/>
        </w:rPr>
        <w:t>common carrier</w:t>
      </w:r>
      <w:r>
        <w:rPr>
          <w:szCs w:val="22"/>
        </w:rPr>
        <w:t xml:space="preserve"> </w:t>
      </w:r>
      <w:r w:rsidRPr="00E36EA9">
        <w:rPr>
          <w:szCs w:val="22"/>
        </w:rPr>
        <w:t xml:space="preserve">engaged in providing international telecommunications </w:t>
      </w:r>
      <w:r>
        <w:rPr>
          <w:szCs w:val="22"/>
        </w:rPr>
        <w:t>service,</w:t>
      </w:r>
      <w:r w:rsidRPr="00E36EA9">
        <w:rPr>
          <w:szCs w:val="22"/>
        </w:rPr>
        <w:t xml:space="preserve"> and each person or entity engaged in providing Voice over Internet Protocol </w:t>
      </w:r>
      <w:r w:rsidR="00193B62">
        <w:rPr>
          <w:szCs w:val="22"/>
        </w:rPr>
        <w:t xml:space="preserve">(VoIP) </w:t>
      </w:r>
      <w:r w:rsidRPr="00E36EA9">
        <w:rPr>
          <w:szCs w:val="22"/>
        </w:rPr>
        <w:t>service connected to the pu</w:t>
      </w:r>
      <w:r>
        <w:rPr>
          <w:szCs w:val="22"/>
        </w:rPr>
        <w:t>blic switched telephone network</w:t>
      </w:r>
      <w:r w:rsidRPr="00E36EA9">
        <w:rPr>
          <w:szCs w:val="22"/>
        </w:rPr>
        <w:t xml:space="preserve"> </w:t>
      </w:r>
      <w:r w:rsidR="00193B62">
        <w:rPr>
          <w:szCs w:val="22"/>
        </w:rPr>
        <w:t xml:space="preserve">(PSTN) </w:t>
      </w:r>
      <w:r w:rsidRPr="00E36EA9">
        <w:rPr>
          <w:szCs w:val="22"/>
        </w:rPr>
        <w:t>between the United States and any foreign point</w:t>
      </w:r>
      <w:r>
        <w:rPr>
          <w:szCs w:val="22"/>
        </w:rPr>
        <w:t>,</w:t>
      </w:r>
      <w:r w:rsidRPr="00E36EA9">
        <w:rPr>
          <w:szCs w:val="22"/>
        </w:rPr>
        <w:t xml:space="preserve"> file a report with the Commission showing revenues, payouts, and traffic for such </w:t>
      </w:r>
      <w:r>
        <w:rPr>
          <w:szCs w:val="22"/>
        </w:rPr>
        <w:t>services</w:t>
      </w:r>
      <w:r w:rsidRPr="00A66005">
        <w:rPr>
          <w:szCs w:val="22"/>
        </w:rPr>
        <w:t xml:space="preserve"> provided during the preceding calendar year.</w:t>
      </w:r>
      <w:r w:rsidRPr="00A66005">
        <w:rPr>
          <w:rStyle w:val="FootnoteReference"/>
          <w:szCs w:val="22"/>
        </w:rPr>
        <w:footnoteReference w:id="68"/>
      </w:r>
      <w:r w:rsidRPr="00A66005">
        <w:rPr>
          <w:szCs w:val="22"/>
        </w:rPr>
        <w:t xml:space="preserve">  Section 43.62 also requires all filing entities to file a Registration Form containing information about the filing entity, such as address, phone number, and email address.</w:t>
      </w:r>
      <w:r w:rsidRPr="00A66005">
        <w:rPr>
          <w:rStyle w:val="FootnoteReference"/>
          <w:szCs w:val="22"/>
        </w:rPr>
        <w:footnoteReference w:id="69"/>
      </w:r>
    </w:p>
    <w:p w:rsidR="00216936" w:rsidRPr="00C67BF1" w:rsidRDefault="00216936" w:rsidP="00216936">
      <w:pPr>
        <w:pStyle w:val="ParaNum"/>
      </w:pPr>
      <w:r w:rsidRPr="00F9400D">
        <w:rPr>
          <w:szCs w:val="22"/>
        </w:rPr>
        <w:t xml:space="preserve">The </w:t>
      </w:r>
      <w:r>
        <w:rPr>
          <w:szCs w:val="22"/>
        </w:rPr>
        <w:t>proposals in the NPRM</w:t>
      </w:r>
      <w:r w:rsidRPr="00F9400D">
        <w:rPr>
          <w:szCs w:val="22"/>
        </w:rPr>
        <w:t xml:space="preserve"> apply </w:t>
      </w:r>
      <w:r>
        <w:rPr>
          <w:szCs w:val="22"/>
        </w:rPr>
        <w:t xml:space="preserve">to </w:t>
      </w:r>
      <w:r w:rsidRPr="00F9400D">
        <w:rPr>
          <w:szCs w:val="22"/>
        </w:rPr>
        <w:t>a mixture of both large and small entities.  The Commission has not developed a small business size standard directed specifically toward these entities.  However, as described below, these entities fit into larger categories for which the SBA has developed size standards that provide these facilities or services.</w:t>
      </w:r>
      <w:r>
        <w:rPr>
          <w:szCs w:val="22"/>
        </w:rPr>
        <w:t xml:space="preserve">   </w:t>
      </w:r>
    </w:p>
    <w:p w:rsidR="00216936" w:rsidRPr="006758DB" w:rsidRDefault="00216936" w:rsidP="00216936">
      <w:pPr>
        <w:pStyle w:val="ParaNum"/>
      </w:pPr>
      <w:r w:rsidRPr="00E01A9C">
        <w:rPr>
          <w:b/>
          <w:szCs w:val="22"/>
        </w:rPr>
        <w:t xml:space="preserve">Facilities-based </w:t>
      </w:r>
      <w:r>
        <w:rPr>
          <w:b/>
          <w:szCs w:val="22"/>
        </w:rPr>
        <w:t>C</w:t>
      </w:r>
      <w:r w:rsidRPr="00E01A9C">
        <w:rPr>
          <w:b/>
          <w:szCs w:val="22"/>
        </w:rPr>
        <w:t>arriers.</w:t>
      </w:r>
      <w:r w:rsidRPr="00F9400D">
        <w:rPr>
          <w:szCs w:val="22"/>
        </w:rPr>
        <w:t xml:space="preserve">  Facilities-based providers of international telecommunications services would fall into the larger category of interexchange carriers</w:t>
      </w:r>
      <w:r>
        <w:rPr>
          <w:szCs w:val="22"/>
        </w:rPr>
        <w:t xml:space="preserve">.  </w:t>
      </w:r>
      <w:r w:rsidRPr="00F9400D">
        <w:rPr>
          <w:szCs w:val="22"/>
        </w:rPr>
        <w:t>Neither the Commission nor the SBA has developed a small business size standard specifically for providers of interexchange services.  The</w:t>
      </w:r>
      <w:r>
        <w:rPr>
          <w:szCs w:val="22"/>
        </w:rPr>
        <w:t xml:space="preserve"> </w:t>
      </w:r>
      <w:r w:rsidRPr="00F9400D">
        <w:rPr>
          <w:szCs w:val="22"/>
        </w:rPr>
        <w:t xml:space="preserve">appropriate size standard under SBA rules is for the </w:t>
      </w:r>
      <w:r w:rsidRPr="00D1735F">
        <w:rPr>
          <w:szCs w:val="22"/>
        </w:rPr>
        <w:t>category Wired Telecommunications Carriers.</w:t>
      </w:r>
      <w:r w:rsidRPr="00F9400D">
        <w:rPr>
          <w:szCs w:val="22"/>
        </w:rPr>
        <w:t xml:space="preserve">  </w:t>
      </w:r>
      <w:r w:rsidRPr="004722A3">
        <w:rPr>
          <w:szCs w:val="22"/>
        </w:rPr>
        <w:t xml:space="preserve">The U.S. Census Bureau defines this industry as </w:t>
      </w:r>
      <w:r w:rsidRPr="002509B1">
        <w:rPr>
          <w:szCs w:val="22"/>
        </w:rPr>
        <w:t>“</w:t>
      </w:r>
      <w:r w:rsidRPr="002509B1">
        <w:rPr>
          <w:szCs w:val="22"/>
          <w:shd w:val="clear" w:color="auto" w:fill="FFFFFF"/>
        </w:rPr>
        <w:t>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2509B1">
        <w:rPr>
          <w:rStyle w:val="FootnoteReference"/>
          <w:szCs w:val="22"/>
          <w:shd w:val="clear" w:color="auto" w:fill="FFFFFF"/>
        </w:rPr>
        <w:footnoteReference w:id="70"/>
      </w:r>
      <w:r w:rsidRPr="002509B1">
        <w:rPr>
          <w:rFonts w:ascii="Arial" w:hAnsi="Arial" w:cs="Arial"/>
          <w:szCs w:val="22"/>
          <w:shd w:val="clear" w:color="auto" w:fill="FFFFFF"/>
        </w:rPr>
        <w:t xml:space="preserve">  </w:t>
      </w:r>
      <w:r w:rsidRPr="002509B1">
        <w:rPr>
          <w:szCs w:val="22"/>
          <w:shd w:val="clear" w:color="auto" w:fill="FFFFFF"/>
        </w:rPr>
        <w:t xml:space="preserve">The SBA has developed a small business size standard for </w:t>
      </w:r>
      <w:r w:rsidRPr="002509B1">
        <w:rPr>
          <w:szCs w:val="22"/>
        </w:rPr>
        <w:t>Wired Telecommunications Carriers, which consists of all such companies having 1,500 or fewer employees.</w:t>
      </w:r>
      <w:r w:rsidRPr="002509B1">
        <w:rPr>
          <w:rStyle w:val="StyleFootnoteReferenceStyle13Style12NECGFootnoteReferenc"/>
          <w:szCs w:val="22"/>
        </w:rPr>
        <w:footnoteReference w:id="71"/>
      </w:r>
      <w:r w:rsidRPr="002509B1">
        <w:rPr>
          <w:szCs w:val="22"/>
        </w:rPr>
        <w:t xml:space="preserve">  U.S. Census data for 2012 indicate that there were 3,117 firms in this category that operated for the entire year.</w:t>
      </w:r>
      <w:r w:rsidRPr="002509B1">
        <w:rPr>
          <w:rStyle w:val="FootnoteReference"/>
          <w:szCs w:val="22"/>
        </w:rPr>
        <w:footnoteReference w:id="72"/>
      </w:r>
      <w:r w:rsidRPr="002509B1">
        <w:rPr>
          <w:szCs w:val="22"/>
        </w:rPr>
        <w:t xml:space="preserve">  Of that number, 3,083 firms operated with fewer than 1,000 employees, </w:t>
      </w:r>
      <w:r w:rsidRPr="007B7C37">
        <w:rPr>
          <w:szCs w:val="22"/>
        </w:rPr>
        <w:t>and 34 firms</w:t>
      </w:r>
      <w:r w:rsidRPr="00F9400D">
        <w:rPr>
          <w:szCs w:val="22"/>
        </w:rPr>
        <w:t xml:space="preserve"> </w:t>
      </w:r>
      <w:r>
        <w:rPr>
          <w:szCs w:val="22"/>
        </w:rPr>
        <w:t xml:space="preserve">operated with </w:t>
      </w:r>
      <w:r w:rsidRPr="00F9400D">
        <w:rPr>
          <w:szCs w:val="22"/>
        </w:rPr>
        <w:t>1,000 employees or more.</w:t>
      </w:r>
      <w:r>
        <w:rPr>
          <w:rStyle w:val="FootnoteReference"/>
          <w:szCs w:val="22"/>
        </w:rPr>
        <w:footnoteReference w:id="73"/>
      </w:r>
      <w:r>
        <w:rPr>
          <w:szCs w:val="22"/>
        </w:rPr>
        <w:t xml:space="preserve">  </w:t>
      </w:r>
      <w:r w:rsidRPr="00D74CC8">
        <w:rPr>
          <w:szCs w:val="22"/>
        </w:rPr>
        <w:t>Thus under this category and the associated small business size standard, the majority of these interexchange carriers can be considered small entities.</w:t>
      </w:r>
      <w:r w:rsidRPr="00F9400D">
        <w:rPr>
          <w:szCs w:val="22"/>
        </w:rPr>
        <w:t xml:space="preserve">  According to </w:t>
      </w:r>
      <w:r>
        <w:rPr>
          <w:szCs w:val="22"/>
        </w:rPr>
        <w:t xml:space="preserve">the </w:t>
      </w:r>
      <w:r w:rsidRPr="009266CC">
        <w:rPr>
          <w:szCs w:val="22"/>
        </w:rPr>
        <w:t xml:space="preserve">Wireline Competition Bureau’s </w:t>
      </w:r>
      <w:r w:rsidRPr="009266CC">
        <w:rPr>
          <w:i/>
          <w:szCs w:val="22"/>
        </w:rPr>
        <w:t>2010 Trends in Telephone Service Report</w:t>
      </w:r>
      <w:r w:rsidRPr="0025435C">
        <w:rPr>
          <w:szCs w:val="22"/>
        </w:rPr>
        <w:t xml:space="preserve">, 359 companies reported </w:t>
      </w:r>
      <w:r w:rsidRPr="00E72C05">
        <w:rPr>
          <w:szCs w:val="22"/>
        </w:rPr>
        <w:t>that they were engaged in the provision of interexchange services.</w:t>
      </w:r>
      <w:r w:rsidRPr="00E72C05">
        <w:rPr>
          <w:szCs w:val="22"/>
          <w:vertAlign w:val="superscript"/>
        </w:rPr>
        <w:footnoteReference w:id="74"/>
      </w:r>
      <w:r w:rsidRPr="00E72C05">
        <w:rPr>
          <w:szCs w:val="22"/>
        </w:rPr>
        <w:t xml:space="preserve">  Of these 359 companies, an estimated 317 have 1,500 or fewer</w:t>
      </w:r>
      <w:r w:rsidRPr="0025435C">
        <w:rPr>
          <w:szCs w:val="22"/>
        </w:rPr>
        <w:t xml:space="preserve"> employees and 42 have more than 1,500 employees.</w:t>
      </w:r>
      <w:r w:rsidRPr="0025435C">
        <w:rPr>
          <w:szCs w:val="22"/>
          <w:vertAlign w:val="superscript"/>
        </w:rPr>
        <w:footnoteReference w:id="75"/>
      </w:r>
      <w:r w:rsidRPr="0025435C">
        <w:rPr>
          <w:szCs w:val="22"/>
        </w:rPr>
        <w:t xml:space="preserve">  Consequently, the Commission estimates that the majority of interexchange</w:t>
      </w:r>
      <w:r w:rsidRPr="00F9400D">
        <w:rPr>
          <w:szCs w:val="22"/>
        </w:rPr>
        <w:t xml:space="preserve"> service providers are small entities that may be affected by</w:t>
      </w:r>
      <w:r>
        <w:rPr>
          <w:szCs w:val="22"/>
        </w:rPr>
        <w:t xml:space="preserve"> this </w:t>
      </w:r>
      <w:r w:rsidRPr="00F9400D">
        <w:rPr>
          <w:szCs w:val="22"/>
        </w:rPr>
        <w:t>NPRM.</w:t>
      </w:r>
    </w:p>
    <w:p w:rsidR="00216936" w:rsidRPr="006B5955" w:rsidRDefault="00216936" w:rsidP="00216936">
      <w:pPr>
        <w:pStyle w:val="ParaNum"/>
      </w:pPr>
      <w:r w:rsidRPr="00C87953">
        <w:t>U</w:t>
      </w:r>
      <w:r w:rsidRPr="006B6F62">
        <w:t xml:space="preserve">.S. </w:t>
      </w:r>
      <w:r w:rsidR="00FA7F1D">
        <w:t>i</w:t>
      </w:r>
      <w:r w:rsidRPr="006B6F62">
        <w:t>nte</w:t>
      </w:r>
      <w:r w:rsidR="000F2CCF">
        <w:t xml:space="preserve">rnational </w:t>
      </w:r>
      <w:r w:rsidR="00FA7F1D">
        <w:t>s</w:t>
      </w:r>
      <w:r w:rsidR="000F2CCF">
        <w:t xml:space="preserve">ervice </w:t>
      </w:r>
      <w:r w:rsidR="00FA7F1D">
        <w:t>p</w:t>
      </w:r>
      <w:r w:rsidR="000F2CCF">
        <w:t>roviders</w:t>
      </w:r>
      <w:r w:rsidRPr="006B6F62">
        <w:t xml:space="preserve"> report international traffic data for three categories of services:  (1) International Calling Service (ICS); (2) International Private Line Service; and (3) International Miscellaneous Services.</w:t>
      </w:r>
      <w:r>
        <w:rPr>
          <w:rStyle w:val="FootnoteReference"/>
        </w:rPr>
        <w:footnoteReference w:id="76"/>
      </w:r>
      <w:r>
        <w:t xml:space="preserve">  </w:t>
      </w:r>
      <w:r w:rsidRPr="005C4F09">
        <w:rPr>
          <w:bCs/>
          <w:szCs w:val="22"/>
        </w:rPr>
        <w:t>ICS</w:t>
      </w:r>
      <w:r w:rsidRPr="005C4F09">
        <w:rPr>
          <w:b/>
          <w:bCs/>
          <w:szCs w:val="22"/>
        </w:rPr>
        <w:t xml:space="preserve"> </w:t>
      </w:r>
      <w:r w:rsidRPr="005C4F09">
        <w:rPr>
          <w:szCs w:val="22"/>
        </w:rPr>
        <w:t>refers to International Message Telephone Service (IMTS)</w:t>
      </w:r>
      <w:r>
        <w:rPr>
          <w:rStyle w:val="FootnoteReference"/>
          <w:szCs w:val="22"/>
        </w:rPr>
        <w:footnoteReference w:id="77"/>
      </w:r>
      <w:r w:rsidRPr="005C4F09">
        <w:rPr>
          <w:szCs w:val="22"/>
        </w:rPr>
        <w:t xml:space="preserve"> and International VoIP Service Connected to the PSTN, including International Call Completion Service for IMTS or International VoIP Service Connected to the PSTN.</w:t>
      </w:r>
      <w:r>
        <w:rPr>
          <w:rStyle w:val="FootnoteReference"/>
          <w:szCs w:val="22"/>
        </w:rPr>
        <w:footnoteReference w:id="78"/>
      </w:r>
      <w:r>
        <w:rPr>
          <w:szCs w:val="22"/>
        </w:rPr>
        <w:t xml:space="preserve">  In 2013, the total revenue reported for Facilities IMTS was $3.9 billion.</w:t>
      </w:r>
      <w:r>
        <w:rPr>
          <w:rStyle w:val="FootnoteReference"/>
          <w:szCs w:val="22"/>
        </w:rPr>
        <w:footnoteReference w:id="79"/>
      </w:r>
      <w:r>
        <w:rPr>
          <w:sz w:val="20"/>
        </w:rPr>
        <w:t xml:space="preserve">  </w:t>
      </w:r>
      <w:r>
        <w:rPr>
          <w:szCs w:val="22"/>
        </w:rPr>
        <w:t>In 2014, filers reported that they billed, on a world-total basis by routing arrangement, $3.7 billion for 84.2 billion minutes at an average revenue of $0.04 per minute for U.S.-billed Facilities ICS traffic.</w:t>
      </w:r>
      <w:r>
        <w:rPr>
          <w:rStyle w:val="FootnoteReference"/>
          <w:szCs w:val="22"/>
        </w:rPr>
        <w:footnoteReference w:id="80"/>
      </w:r>
      <w:r w:rsidRPr="00DA7B3F">
        <w:rPr>
          <w:szCs w:val="22"/>
        </w:rPr>
        <w:t xml:space="preserve">  </w:t>
      </w:r>
      <w:r>
        <w:rPr>
          <w:szCs w:val="22"/>
        </w:rPr>
        <w:t xml:space="preserve">According to the International Bureau’s internally developed data, 47 international service providers filed Schedule 1 reporting data for U.S.-Billed Facilities ICS and/or Foreign-Billed Facilities ICS provided during the 2014 reporting year, and 101 international service providers filed Schedule 2 reporting data for U.S.-Billed Facilities ICS and/or </w:t>
      </w:r>
      <w:r w:rsidRPr="00733A36">
        <w:rPr>
          <w:szCs w:val="22"/>
        </w:rPr>
        <w:t>Traditional Transiting ICS</w:t>
      </w:r>
      <w:r w:rsidRPr="00733A36">
        <w:rPr>
          <w:rStyle w:val="FootnoteReference"/>
          <w:szCs w:val="22"/>
        </w:rPr>
        <w:footnoteReference w:id="81"/>
      </w:r>
      <w:r w:rsidRPr="00733A36">
        <w:rPr>
          <w:szCs w:val="22"/>
        </w:rPr>
        <w:t xml:space="preserve"> provided</w:t>
      </w:r>
      <w:r>
        <w:rPr>
          <w:szCs w:val="22"/>
        </w:rPr>
        <w:t xml:space="preserve"> during the 2014 reporting year.</w:t>
      </w:r>
      <w:r>
        <w:rPr>
          <w:rStyle w:val="FootnoteReference"/>
          <w:szCs w:val="22"/>
        </w:rPr>
        <w:footnoteReference w:id="82"/>
      </w:r>
      <w:r>
        <w:rPr>
          <w:szCs w:val="22"/>
        </w:rPr>
        <w:t xml:space="preserve">  </w:t>
      </w:r>
      <w:r w:rsidR="00193B62">
        <w:rPr>
          <w:szCs w:val="22"/>
        </w:rPr>
        <w:t xml:space="preserve">Also, </w:t>
      </w:r>
      <w:r>
        <w:rPr>
          <w:szCs w:val="22"/>
        </w:rPr>
        <w:t>55 international service provide</w:t>
      </w:r>
      <w:r w:rsidR="000F2CCF">
        <w:rPr>
          <w:szCs w:val="22"/>
        </w:rPr>
        <w:t>rs filed Schedule 1 for the 2015</w:t>
      </w:r>
      <w:r>
        <w:rPr>
          <w:szCs w:val="22"/>
        </w:rPr>
        <w:t xml:space="preserve"> reporting year, and 101 international service providers filed Schedule 2 fo</w:t>
      </w:r>
      <w:r w:rsidR="0081436D">
        <w:rPr>
          <w:szCs w:val="22"/>
        </w:rPr>
        <w:t>r the 2015 reporting year.</w:t>
      </w:r>
    </w:p>
    <w:p w:rsidR="00216936" w:rsidRPr="006B5955" w:rsidRDefault="00216936" w:rsidP="00216936">
      <w:pPr>
        <w:pStyle w:val="ParaNum"/>
      </w:pPr>
      <w:r w:rsidRPr="00CF7438">
        <w:rPr>
          <w:bCs/>
          <w:szCs w:val="22"/>
        </w:rPr>
        <w:t>International Private Line Service</w:t>
      </w:r>
      <w:r>
        <w:rPr>
          <w:b/>
          <w:bCs/>
          <w:szCs w:val="22"/>
        </w:rPr>
        <w:t xml:space="preserve"> </w:t>
      </w:r>
      <w:r>
        <w:rPr>
          <w:szCs w:val="22"/>
        </w:rPr>
        <w:t>refers to private line service between the United States and a foreign point.</w:t>
      </w:r>
      <w:r>
        <w:rPr>
          <w:rStyle w:val="FootnoteReference"/>
          <w:szCs w:val="22"/>
        </w:rPr>
        <w:footnoteReference w:id="83"/>
      </w:r>
      <w:r>
        <w:rPr>
          <w:szCs w:val="22"/>
        </w:rPr>
        <w:t xml:space="preserve">  Private line service refers to making available to a customer on a common carrier basis a circuit for a specified period of time for the customer's exclusive use.</w:t>
      </w:r>
      <w:r>
        <w:rPr>
          <w:rStyle w:val="FootnoteReference"/>
          <w:szCs w:val="22"/>
        </w:rPr>
        <w:footnoteReference w:id="84"/>
      </w:r>
      <w:r>
        <w:rPr>
          <w:szCs w:val="22"/>
        </w:rPr>
        <w:t xml:space="preserve">  According to the </w:t>
      </w:r>
      <w:r w:rsidR="00265174">
        <w:rPr>
          <w:i/>
          <w:szCs w:val="22"/>
        </w:rPr>
        <w:t xml:space="preserve">2014 </w:t>
      </w:r>
      <w:r w:rsidRPr="00690175">
        <w:rPr>
          <w:i/>
          <w:szCs w:val="22"/>
        </w:rPr>
        <w:t>Traffic and Revenue Report</w:t>
      </w:r>
      <w:r w:rsidRPr="00690175">
        <w:rPr>
          <w:szCs w:val="22"/>
        </w:rPr>
        <w:t>,</w:t>
      </w:r>
      <w:r>
        <w:rPr>
          <w:szCs w:val="22"/>
        </w:rPr>
        <w:t xml:space="preserve"> there were 494 million private lines circuits in 2014.</w:t>
      </w:r>
      <w:r>
        <w:rPr>
          <w:rStyle w:val="FootnoteReference"/>
          <w:szCs w:val="22"/>
        </w:rPr>
        <w:footnoteReference w:id="85"/>
      </w:r>
      <w:r>
        <w:rPr>
          <w:szCs w:val="22"/>
        </w:rPr>
        <w:t xml:space="preserve">  The total customer revenue reported for International Private Line Service in 2014 was $374 million.</w:t>
      </w:r>
      <w:r>
        <w:rPr>
          <w:rStyle w:val="FootnoteReference"/>
          <w:szCs w:val="22"/>
        </w:rPr>
        <w:footnoteReference w:id="86"/>
      </w:r>
      <w:r>
        <w:rPr>
          <w:szCs w:val="22"/>
        </w:rPr>
        <w:t xml:space="preserve">  According to the International Bureau’s internally developed data, 37 international service providers filed Schedule 3 reporting International Private Line Service statistics as “Service Provided over Facilities Circuits” for the 2014 reporting year, and 34 international service providers filed Schedule 3 reporting this information for the 2015 reporting year.</w:t>
      </w:r>
      <w:r>
        <w:rPr>
          <w:rStyle w:val="FootnoteReference"/>
          <w:szCs w:val="22"/>
        </w:rPr>
        <w:footnoteReference w:id="87"/>
      </w:r>
      <w:r>
        <w:rPr>
          <w:szCs w:val="22"/>
        </w:rPr>
        <w:t xml:space="preserve">   </w:t>
      </w:r>
    </w:p>
    <w:p w:rsidR="00216936" w:rsidRDefault="00216936" w:rsidP="00216936">
      <w:pPr>
        <w:pStyle w:val="ParaNum"/>
      </w:pPr>
      <w:r>
        <w:rPr>
          <w:szCs w:val="22"/>
        </w:rPr>
        <w:t xml:space="preserve">International Miscellaneous Service refers to any international telecommunications service other than ICS and </w:t>
      </w:r>
      <w:r w:rsidR="00506D0E">
        <w:rPr>
          <w:szCs w:val="22"/>
        </w:rPr>
        <w:t>I</w:t>
      </w:r>
      <w:r>
        <w:rPr>
          <w:szCs w:val="22"/>
        </w:rPr>
        <w:t xml:space="preserve">nternational </w:t>
      </w:r>
      <w:r w:rsidR="00506D0E">
        <w:rPr>
          <w:szCs w:val="22"/>
        </w:rPr>
        <w:t>P</w:t>
      </w:r>
      <w:r>
        <w:rPr>
          <w:szCs w:val="22"/>
        </w:rPr>
        <w:t xml:space="preserve">rivate </w:t>
      </w:r>
      <w:r w:rsidR="00506D0E">
        <w:rPr>
          <w:szCs w:val="22"/>
        </w:rPr>
        <w:t>L</w:t>
      </w:r>
      <w:r>
        <w:rPr>
          <w:szCs w:val="22"/>
        </w:rPr>
        <w:t xml:space="preserve">ine </w:t>
      </w:r>
      <w:r w:rsidR="00506D0E">
        <w:rPr>
          <w:szCs w:val="22"/>
        </w:rPr>
        <w:t>S</w:t>
      </w:r>
      <w:r>
        <w:rPr>
          <w:szCs w:val="22"/>
        </w:rPr>
        <w:t>ervice.</w:t>
      </w:r>
      <w:r>
        <w:rPr>
          <w:rStyle w:val="FootnoteReference"/>
          <w:szCs w:val="22"/>
        </w:rPr>
        <w:footnoteReference w:id="88"/>
      </w:r>
      <w:r>
        <w:rPr>
          <w:szCs w:val="22"/>
        </w:rPr>
        <w:t xml:space="preserve">  According to the </w:t>
      </w:r>
      <w:r w:rsidR="00205A65">
        <w:rPr>
          <w:i/>
          <w:szCs w:val="22"/>
        </w:rPr>
        <w:t xml:space="preserve">2014 </w:t>
      </w:r>
      <w:r w:rsidRPr="00690175">
        <w:rPr>
          <w:i/>
          <w:szCs w:val="22"/>
        </w:rPr>
        <w:t>Traffic and Revenue Report</w:t>
      </w:r>
      <w:r>
        <w:rPr>
          <w:szCs w:val="22"/>
        </w:rPr>
        <w:t>, the total customer revenue reported for International Miscellaneous Service in 2014 was $3.2 billion.</w:t>
      </w:r>
      <w:r>
        <w:rPr>
          <w:rStyle w:val="FootnoteReference"/>
          <w:szCs w:val="22"/>
        </w:rPr>
        <w:footnoteReference w:id="89"/>
      </w:r>
      <w:r>
        <w:rPr>
          <w:szCs w:val="22"/>
        </w:rPr>
        <w:t xml:space="preserve">  According to the International Bureau’s internally developed data, 13 international service providers filed Schedule 4 reporting that they billed customers $5 million or more for any International Miscellaneous Service provided during the 2014 reporting year, and 26 international service providers filed Schedule 4 reporting this information for the 2015 reporting year.</w:t>
      </w:r>
      <w:r>
        <w:rPr>
          <w:rStyle w:val="FootnoteReference"/>
          <w:szCs w:val="22"/>
        </w:rPr>
        <w:footnoteReference w:id="90"/>
      </w:r>
      <w:r>
        <w:rPr>
          <w:szCs w:val="22"/>
        </w:rPr>
        <w:t xml:space="preserve"> </w:t>
      </w:r>
    </w:p>
    <w:p w:rsidR="00216936" w:rsidRPr="000A5C6C" w:rsidRDefault="00216936" w:rsidP="00216936">
      <w:pPr>
        <w:pStyle w:val="ParaNum"/>
        <w:spacing w:after="220"/>
        <w:rPr>
          <w:szCs w:val="22"/>
        </w:rPr>
      </w:pPr>
      <w:r w:rsidRPr="00360871">
        <w:rPr>
          <w:b/>
          <w:szCs w:val="22"/>
        </w:rPr>
        <w:t>IMTS Resale Providers.</w:t>
      </w:r>
      <w:r w:rsidRPr="00360871">
        <w:rPr>
          <w:szCs w:val="22"/>
        </w:rPr>
        <w:t xml:space="preserve">  Providers of IMTS resale services are common carriers that purchase IMTS from other carriers and resell it to their own customers.</w:t>
      </w:r>
      <w:r w:rsidRPr="00F9400D">
        <w:rPr>
          <w:szCs w:val="22"/>
        </w:rPr>
        <w:t xml:space="preserve">  The</w:t>
      </w:r>
      <w:r>
        <w:rPr>
          <w:szCs w:val="22"/>
        </w:rPr>
        <w:t xml:space="preserve"> </w:t>
      </w:r>
      <w:r w:rsidRPr="00793F09">
        <w:rPr>
          <w:szCs w:val="22"/>
        </w:rPr>
        <w:t>appropriate size standard under SBA rules is for the category Telecommunications Resellers.  The U.S. Census Bureau defines this industry as “</w:t>
      </w:r>
      <w:r w:rsidRPr="00793F09">
        <w:rPr>
          <w:szCs w:val="22"/>
          <w:shd w:val="clear" w:color="auto" w:fill="FFFFFF"/>
        </w:rPr>
        <w:t>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793F09">
        <w:rPr>
          <w:rStyle w:val="FootnoteReference"/>
          <w:szCs w:val="22"/>
          <w:shd w:val="clear" w:color="auto" w:fill="FFFFFF"/>
        </w:rPr>
        <w:footnoteReference w:id="91"/>
      </w:r>
      <w:r w:rsidRPr="00793F09">
        <w:rPr>
          <w:szCs w:val="22"/>
          <w:shd w:val="clear" w:color="auto" w:fill="FFFFFF"/>
        </w:rPr>
        <w:t xml:space="preserve">  </w:t>
      </w:r>
      <w:r w:rsidRPr="00793F09">
        <w:rPr>
          <w:szCs w:val="22"/>
        </w:rPr>
        <w:t>The SBA has developed a small business size standard for the category of Telecommunications Resellers, which consists of all such companies having 1,500 or fewer employees.</w:t>
      </w:r>
      <w:r w:rsidRPr="00793F09">
        <w:rPr>
          <w:rStyle w:val="StyleFootnoteReferenceStyle13Style12NECGFootnoteReferenc"/>
          <w:szCs w:val="22"/>
        </w:rPr>
        <w:footnoteReference w:id="92"/>
      </w:r>
      <w:r w:rsidRPr="00793F09">
        <w:rPr>
          <w:szCs w:val="22"/>
        </w:rPr>
        <w:t xml:space="preserve">  U.S. Census data for 2012 indicates that there were 1,341 </w:t>
      </w:r>
      <w:r w:rsidRPr="00B8488C">
        <w:rPr>
          <w:szCs w:val="22"/>
        </w:rPr>
        <w:t>firms in this category that operated for the entire year.</w:t>
      </w:r>
      <w:r w:rsidRPr="00B8488C">
        <w:rPr>
          <w:rStyle w:val="FootnoteReference"/>
          <w:szCs w:val="22"/>
        </w:rPr>
        <w:footnoteReference w:id="93"/>
      </w:r>
      <w:r w:rsidRPr="00B8488C">
        <w:rPr>
          <w:szCs w:val="22"/>
        </w:rPr>
        <w:t xml:space="preserve">  Of that number, 1,341 operated with fewer</w:t>
      </w:r>
      <w:r w:rsidRPr="00F9400D">
        <w:rPr>
          <w:szCs w:val="22"/>
        </w:rPr>
        <w:t xml:space="preserve"> than 1</w:t>
      </w:r>
      <w:r>
        <w:rPr>
          <w:szCs w:val="22"/>
        </w:rPr>
        <w:t>,</w:t>
      </w:r>
      <w:r w:rsidRPr="00F9400D">
        <w:rPr>
          <w:szCs w:val="22"/>
        </w:rPr>
        <w:t xml:space="preserve">000 employees and </w:t>
      </w:r>
      <w:r w:rsidRPr="00F645B7">
        <w:rPr>
          <w:szCs w:val="22"/>
        </w:rPr>
        <w:t>none</w:t>
      </w:r>
      <w:r w:rsidRPr="00F9400D">
        <w:rPr>
          <w:szCs w:val="22"/>
        </w:rPr>
        <w:t xml:space="preserve"> operated with more than 1,000</w:t>
      </w:r>
      <w:r>
        <w:rPr>
          <w:szCs w:val="22"/>
        </w:rPr>
        <w:t xml:space="preserve"> employees</w:t>
      </w:r>
      <w:r w:rsidRPr="00F9400D">
        <w:rPr>
          <w:szCs w:val="22"/>
        </w:rPr>
        <w:t>.</w:t>
      </w:r>
      <w:r w:rsidRPr="00F9400D">
        <w:rPr>
          <w:rStyle w:val="FootnoteReference"/>
          <w:szCs w:val="22"/>
        </w:rPr>
        <w:footnoteReference w:id="94"/>
      </w:r>
      <w:r w:rsidRPr="00F9400D">
        <w:rPr>
          <w:szCs w:val="22"/>
        </w:rPr>
        <w:t xml:space="preserve"> </w:t>
      </w:r>
      <w:r>
        <w:rPr>
          <w:szCs w:val="22"/>
        </w:rPr>
        <w:t xml:space="preserve"> </w:t>
      </w:r>
      <w:r w:rsidRPr="00F9400D">
        <w:rPr>
          <w:szCs w:val="22"/>
        </w:rPr>
        <w:t xml:space="preserve">Thus under this category and the associated small business size standard, the majority of these resellers can be considered small entities.  </w:t>
      </w:r>
      <w:r w:rsidRPr="000A5C6C">
        <w:rPr>
          <w:szCs w:val="22"/>
        </w:rPr>
        <w:t>Consequently, the Commission estimates that the majority of IMTS resellers are small entities that may be affected by our action.</w:t>
      </w:r>
      <w:r>
        <w:rPr>
          <w:szCs w:val="22"/>
        </w:rPr>
        <w:t xml:space="preserve">  </w:t>
      </w:r>
      <w:r w:rsidRPr="00F9400D">
        <w:rPr>
          <w:szCs w:val="22"/>
        </w:rPr>
        <w:t xml:space="preserve">In </w:t>
      </w:r>
      <w:r w:rsidRPr="000A5C6C">
        <w:rPr>
          <w:szCs w:val="22"/>
        </w:rPr>
        <w:t xml:space="preserve">the </w:t>
      </w:r>
      <w:r w:rsidR="00205A65">
        <w:rPr>
          <w:i/>
          <w:szCs w:val="22"/>
        </w:rPr>
        <w:t xml:space="preserve">2014 </w:t>
      </w:r>
      <w:r w:rsidRPr="000A5C6C">
        <w:rPr>
          <w:i/>
          <w:szCs w:val="22"/>
        </w:rPr>
        <w:t>Traffic and Revenue Report</w:t>
      </w:r>
      <w:r w:rsidRPr="000A5C6C">
        <w:rPr>
          <w:szCs w:val="22"/>
        </w:rPr>
        <w:t>, 1,489 carriers reported that they provided ICS on a resale basis</w:t>
      </w:r>
      <w:r>
        <w:rPr>
          <w:szCs w:val="22"/>
        </w:rPr>
        <w:t xml:space="preserve"> during the 2014 reporting year</w:t>
      </w:r>
      <w:r w:rsidRPr="000A5C6C">
        <w:rPr>
          <w:szCs w:val="22"/>
        </w:rPr>
        <w:t>.</w:t>
      </w:r>
      <w:r w:rsidRPr="000A5C6C">
        <w:rPr>
          <w:rStyle w:val="FootnoteReference"/>
          <w:szCs w:val="22"/>
        </w:rPr>
        <w:footnoteReference w:id="95"/>
      </w:r>
      <w:r w:rsidRPr="000A5C6C">
        <w:rPr>
          <w:szCs w:val="22"/>
        </w:rPr>
        <w:t xml:space="preserve">  Of these 1,489 ICS resale carriers, 70 carriers reported, in the aggregate, that they billed customers $5.9 billion for 96.</w:t>
      </w:r>
      <w:r w:rsidR="00C42D71">
        <w:rPr>
          <w:szCs w:val="22"/>
        </w:rPr>
        <w:t>6 billion</w:t>
      </w:r>
      <w:r w:rsidR="000F2CCF">
        <w:rPr>
          <w:szCs w:val="22"/>
        </w:rPr>
        <w:t xml:space="preserve"> </w:t>
      </w:r>
      <w:r w:rsidRPr="000A5C6C">
        <w:rPr>
          <w:szCs w:val="22"/>
        </w:rPr>
        <w:t>minutes.</w:t>
      </w:r>
      <w:r w:rsidRPr="000A5C6C">
        <w:rPr>
          <w:rStyle w:val="FootnoteReference"/>
          <w:szCs w:val="22"/>
        </w:rPr>
        <w:footnoteReference w:id="96"/>
      </w:r>
      <w:r w:rsidRPr="000A5C6C">
        <w:rPr>
          <w:szCs w:val="22"/>
        </w:rPr>
        <w:t xml:space="preserve">  </w:t>
      </w:r>
      <w:r>
        <w:rPr>
          <w:szCs w:val="22"/>
        </w:rPr>
        <w:t xml:space="preserve">According to the International Bureau’s internally developed data, of these </w:t>
      </w:r>
      <w:r w:rsidRPr="000A5C6C">
        <w:rPr>
          <w:szCs w:val="22"/>
        </w:rPr>
        <w:t>1,489 ICS resale carriers</w:t>
      </w:r>
      <w:r>
        <w:rPr>
          <w:szCs w:val="22"/>
        </w:rPr>
        <w:t xml:space="preserve">, 1,419 carriers reported that they billed less than $5 million in revenue, and 70 carriers reported that they billed $5 million or more in revenue.  According to the International Bureau’s internally developed data, 1,496 </w:t>
      </w:r>
      <w:r w:rsidRPr="000A5C6C">
        <w:rPr>
          <w:szCs w:val="22"/>
        </w:rPr>
        <w:t>carriers reported that they provided ICS on a resale basis</w:t>
      </w:r>
      <w:r>
        <w:rPr>
          <w:szCs w:val="22"/>
        </w:rPr>
        <w:t xml:space="preserve"> during the 2015 reporting year.  Of these 1,496 resale carriers, 1,434 carriers reported that they billed less than $5 million in revenue, and 62 carriers reported that they billed $5 million or more in revenue during the 2015 reporting year.</w:t>
      </w:r>
    </w:p>
    <w:p w:rsidR="00216936" w:rsidRPr="005751F3" w:rsidRDefault="00216936" w:rsidP="00216936">
      <w:pPr>
        <w:pStyle w:val="ParaNum"/>
      </w:pPr>
      <w:r w:rsidRPr="000A5C6C">
        <w:rPr>
          <w:b/>
          <w:szCs w:val="22"/>
        </w:rPr>
        <w:t>Wireless Carriers</w:t>
      </w:r>
      <w:r w:rsidRPr="00E01A9C">
        <w:rPr>
          <w:b/>
          <w:szCs w:val="22"/>
        </w:rPr>
        <w:t xml:space="preserve"> and </w:t>
      </w:r>
      <w:r>
        <w:rPr>
          <w:b/>
          <w:szCs w:val="22"/>
        </w:rPr>
        <w:t>S</w:t>
      </w:r>
      <w:r w:rsidRPr="00E01A9C">
        <w:rPr>
          <w:b/>
          <w:szCs w:val="22"/>
        </w:rPr>
        <w:t xml:space="preserve">ervice </w:t>
      </w:r>
      <w:r>
        <w:rPr>
          <w:b/>
          <w:szCs w:val="22"/>
        </w:rPr>
        <w:t>P</w:t>
      </w:r>
      <w:r w:rsidRPr="00E01A9C">
        <w:rPr>
          <w:b/>
          <w:szCs w:val="22"/>
        </w:rPr>
        <w:t>roviders.</w:t>
      </w:r>
      <w:r w:rsidRPr="00F9400D">
        <w:rPr>
          <w:szCs w:val="22"/>
        </w:rPr>
        <w:t xml:space="preserve">  Included among the providers of </w:t>
      </w:r>
      <w:r w:rsidRPr="00E51D0E">
        <w:rPr>
          <w:szCs w:val="22"/>
        </w:rPr>
        <w:t>IMTS resale are a number of wireless carriers that also provide wireless telephony services domestically.  The Commission classifies these entities as providers of Commercial Mobile Radio Services (CMRS).  At present, most, if not all, providers of CMRS that offer IMTS provide such service by purchasing IMTS from other carriers to resell it to their customers.  The Commission has not developed a size standard specifically for CMRS providers that offer resale IMTS.  Such entities would fall within the larger</w:t>
      </w:r>
      <w:r w:rsidRPr="0006322C">
        <w:rPr>
          <w:szCs w:val="22"/>
        </w:rPr>
        <w:t xml:space="preserve"> category of wireless carriers and service providers.</w:t>
      </w:r>
      <w:r>
        <w:rPr>
          <w:szCs w:val="22"/>
        </w:rPr>
        <w:t xml:space="preserve">  </w:t>
      </w:r>
      <w:r w:rsidRPr="00F9400D">
        <w:rPr>
          <w:szCs w:val="22"/>
        </w:rPr>
        <w:t>Below,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216936" w:rsidRDefault="00216936" w:rsidP="00CF6E96">
      <w:pPr>
        <w:pStyle w:val="ParaNum"/>
        <w:widowControl/>
      </w:pPr>
      <w:r w:rsidRPr="00E01A9C">
        <w:rPr>
          <w:b/>
          <w:szCs w:val="22"/>
        </w:rPr>
        <w:t xml:space="preserve">Wireless Telecommunications Carriers (except Satellite). </w:t>
      </w:r>
      <w:r w:rsidRPr="00F9400D">
        <w:rPr>
          <w:szCs w:val="22"/>
        </w:rPr>
        <w:t xml:space="preserve"> </w:t>
      </w:r>
      <w:r w:rsidRPr="00DE5032">
        <w:t>This industry comprises establishments engaged in operating and maintaining switching and transmission facilities to provide communications via the airwaves, such as cellular services, paging services, wireless internet access, and wireless video services.</w:t>
      </w:r>
      <w:r w:rsidRPr="00DE5032">
        <w:rPr>
          <w:vertAlign w:val="superscript"/>
        </w:rPr>
        <w:footnoteReference w:id="97"/>
      </w:r>
      <w:r w:rsidRPr="00DE5032">
        <w:t xml:space="preserve">  </w:t>
      </w:r>
      <w:r w:rsidRPr="00F9400D">
        <w:rPr>
          <w:szCs w:val="22"/>
        </w:rPr>
        <w:t xml:space="preserve">The SBA has developed a small business size standard for the category </w:t>
      </w:r>
      <w:r>
        <w:rPr>
          <w:szCs w:val="22"/>
        </w:rPr>
        <w:t xml:space="preserve">of </w:t>
      </w:r>
      <w:r w:rsidRPr="00B05C6E">
        <w:rPr>
          <w:szCs w:val="22"/>
        </w:rPr>
        <w:t>Wireless Telecommunications Carriers (except Satellite),</w:t>
      </w:r>
      <w:r>
        <w:rPr>
          <w:szCs w:val="22"/>
        </w:rPr>
        <w:t xml:space="preserve"> which consists of all such companies having</w:t>
      </w:r>
      <w:r w:rsidRPr="00F9400D">
        <w:rPr>
          <w:szCs w:val="22"/>
        </w:rPr>
        <w:t xml:space="preserve"> 1,500 or fewer employees.</w:t>
      </w:r>
      <w:r>
        <w:rPr>
          <w:rStyle w:val="FootnoteReference"/>
          <w:szCs w:val="22"/>
        </w:rPr>
        <w:footnoteReference w:id="98"/>
      </w:r>
      <w:r w:rsidRPr="00DE5032">
        <w:t xml:space="preserve">  For this industry, </w:t>
      </w:r>
      <w:r>
        <w:t xml:space="preserve">U.S. </w:t>
      </w:r>
      <w:r w:rsidRPr="00DE5032">
        <w:t xml:space="preserve">Census </w:t>
      </w:r>
      <w:r>
        <w:t>data for 2012 indicates that there were 967</w:t>
      </w:r>
      <w:r w:rsidRPr="00DE5032">
        <w:t xml:space="preserve"> firms </w:t>
      </w:r>
      <w:r w:rsidRPr="002509B1">
        <w:rPr>
          <w:szCs w:val="22"/>
        </w:rPr>
        <w:t xml:space="preserve">in this category </w:t>
      </w:r>
      <w:r w:rsidRPr="00DE5032">
        <w:t>that operated for the entire year.</w:t>
      </w:r>
      <w:r>
        <w:rPr>
          <w:rStyle w:val="FootnoteReference"/>
        </w:rPr>
        <w:footnoteReference w:id="99"/>
      </w:r>
      <w:r>
        <w:t xml:space="preserve">  Of that number</w:t>
      </w:r>
      <w:r w:rsidRPr="00DE5032">
        <w:t xml:space="preserve">, </w:t>
      </w:r>
      <w:r>
        <w:t>955</w:t>
      </w:r>
      <w:r w:rsidRPr="00DE5032">
        <w:t xml:space="preserve"> firms </w:t>
      </w:r>
      <w:r>
        <w:t>operated with</w:t>
      </w:r>
      <w:r w:rsidRPr="00DE5032">
        <w:t xml:space="preserve"> fewer than 1,000 employees</w:t>
      </w:r>
      <w:r>
        <w:t>, and 12 firms operated with 1,000 employees or more</w:t>
      </w:r>
      <w:r w:rsidRPr="00DE5032">
        <w:t>.</w:t>
      </w:r>
      <w:r>
        <w:rPr>
          <w:rStyle w:val="FootnoteReference"/>
        </w:rPr>
        <w:footnoteReference w:id="100"/>
      </w:r>
      <w:r w:rsidRPr="00DE5032">
        <w:t xml:space="preserve">  Thus under this category and the associated </w:t>
      </w:r>
      <w:r>
        <w:t xml:space="preserve">small business </w:t>
      </w:r>
      <w:r w:rsidRPr="00DE5032">
        <w:t xml:space="preserve">size standard, the Commission estimates that the majority of wireless telecommunications carriers (except satellite) are small entities.  Similarly, according to </w:t>
      </w:r>
      <w:r w:rsidRPr="009266CC">
        <w:t xml:space="preserve">the </w:t>
      </w:r>
      <w:r w:rsidRPr="009266CC">
        <w:rPr>
          <w:szCs w:val="22"/>
        </w:rPr>
        <w:t xml:space="preserve">Wireline Competition Bureau’s </w:t>
      </w:r>
      <w:r w:rsidRPr="009266CC">
        <w:rPr>
          <w:i/>
          <w:szCs w:val="22"/>
        </w:rPr>
        <w:t>2010 Trends in Telephone Service Report</w:t>
      </w:r>
      <w:r w:rsidRPr="009266CC">
        <w:t>, 413 carriers reported that they were engaged in the provision of wireless telephony, including cellular service, Personal C</w:t>
      </w:r>
      <w:r w:rsidRPr="00DE5032">
        <w:t>ommunications Service (PCS), and Specialized Mobile Radio (SMR) services.</w:t>
      </w:r>
      <w:r w:rsidRPr="00DE5032">
        <w:rPr>
          <w:vertAlign w:val="superscript"/>
        </w:rPr>
        <w:footnoteReference w:id="101"/>
      </w:r>
      <w:r w:rsidRPr="00DE5032">
        <w:t xml:space="preserve">  Of </w:t>
      </w:r>
      <w:r>
        <w:t xml:space="preserve">these </w:t>
      </w:r>
      <w:r w:rsidRPr="009266CC">
        <w:t>413</w:t>
      </w:r>
      <w:r>
        <w:t xml:space="preserve"> companies</w:t>
      </w:r>
      <w:r w:rsidRPr="00DE5032">
        <w:t>, an estimated 261 have 1,500 or fewer employees</w:t>
      </w:r>
      <w:r>
        <w:t xml:space="preserve"> </w:t>
      </w:r>
      <w:r w:rsidRPr="0025435C">
        <w:rPr>
          <w:szCs w:val="22"/>
        </w:rPr>
        <w:t xml:space="preserve">and </w:t>
      </w:r>
      <w:r>
        <w:rPr>
          <w:szCs w:val="22"/>
        </w:rPr>
        <w:t>152 have more than 1,500 employees</w:t>
      </w:r>
      <w:r w:rsidRPr="00DE5032">
        <w:t>.</w:t>
      </w:r>
      <w:r w:rsidRPr="00DE5032">
        <w:rPr>
          <w:vertAlign w:val="superscript"/>
        </w:rPr>
        <w:footnoteReference w:id="102"/>
      </w:r>
      <w:r w:rsidRPr="00DE5032">
        <w:t xml:space="preserve">  Consequently, the Commission estimates that approximately half of these firms can be considered small.  Thus, using available data, we estimate that the majority of wireless firms can be considered small and may be affected by this</w:t>
      </w:r>
      <w:r>
        <w:t xml:space="preserve"> NPRM</w:t>
      </w:r>
      <w:r w:rsidRPr="00DE5032">
        <w:t>.</w:t>
      </w:r>
      <w:r>
        <w:t xml:space="preserve">  </w:t>
      </w:r>
    </w:p>
    <w:p w:rsidR="00216936" w:rsidRPr="00D651BE" w:rsidRDefault="00216936" w:rsidP="00216936">
      <w:pPr>
        <w:pStyle w:val="ParaNum"/>
      </w:pPr>
      <w:r w:rsidRPr="00E01A9C">
        <w:rPr>
          <w:b/>
          <w:szCs w:val="22"/>
        </w:rPr>
        <w:t>Wireless Communications Services.</w:t>
      </w:r>
      <w:r w:rsidRPr="00F9400D">
        <w:rPr>
          <w:szCs w:val="22"/>
        </w:rPr>
        <w:t xml:space="preserve">  This service can be used for fixed, mobile, radiolocation, and digital audio broadcasting satellite uses.  The Commission defined “small business” for the </w:t>
      </w:r>
      <w:r>
        <w:rPr>
          <w:szCs w:val="22"/>
        </w:rPr>
        <w:t>W</w:t>
      </w:r>
      <w:r w:rsidRPr="00F9400D">
        <w:rPr>
          <w:szCs w:val="22"/>
        </w:rPr>
        <w:t xml:space="preserve">ireless </w:t>
      </w:r>
      <w:r>
        <w:rPr>
          <w:szCs w:val="22"/>
        </w:rPr>
        <w:t>C</w:t>
      </w:r>
      <w:r w:rsidRPr="00F9400D">
        <w:rPr>
          <w:szCs w:val="22"/>
        </w:rPr>
        <w:t xml:space="preserve">ommunications </w:t>
      </w:r>
      <w:r>
        <w:rPr>
          <w:szCs w:val="22"/>
        </w:rPr>
        <w:t>S</w:t>
      </w:r>
      <w:r w:rsidRPr="00F9400D">
        <w:rPr>
          <w:szCs w:val="22"/>
        </w:rPr>
        <w:t>ervices (WCS) auction as an entit</w:t>
      </w:r>
      <w:r>
        <w:rPr>
          <w:szCs w:val="22"/>
        </w:rPr>
        <w:t>y with average gross revenues not exceeding</w:t>
      </w:r>
      <w:r w:rsidRPr="00F9400D">
        <w:rPr>
          <w:szCs w:val="22"/>
        </w:rPr>
        <w:t xml:space="preserve"> $40 million for each of the preceding three years, and a “very small business” as an enti</w:t>
      </w:r>
      <w:r>
        <w:rPr>
          <w:szCs w:val="22"/>
        </w:rPr>
        <w:t xml:space="preserve">ty with average gross </w:t>
      </w:r>
      <w:r w:rsidRPr="000A5C6C">
        <w:rPr>
          <w:szCs w:val="22"/>
        </w:rPr>
        <w:t>revenues not exceeding $15 million for each of the preceding three years.</w:t>
      </w:r>
      <w:r w:rsidRPr="000A5C6C">
        <w:rPr>
          <w:rStyle w:val="StyleFootnoteReferenceStyle13Style12NECGFootnoteReferenc"/>
          <w:szCs w:val="22"/>
        </w:rPr>
        <w:footnoteReference w:id="103"/>
      </w:r>
      <w:r w:rsidRPr="000A5C6C">
        <w:rPr>
          <w:szCs w:val="22"/>
        </w:rPr>
        <w:t xml:space="preserve">  The SBA has approved these definitions.</w:t>
      </w:r>
      <w:r w:rsidRPr="000A5C6C">
        <w:rPr>
          <w:rStyle w:val="StyleFootnoteReferenceStyle13Style12NECGFootnoteReferenc"/>
          <w:szCs w:val="22"/>
        </w:rPr>
        <w:footnoteReference w:id="104"/>
      </w:r>
      <w:r w:rsidRPr="000A5C6C">
        <w:rPr>
          <w:szCs w:val="22"/>
        </w:rPr>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w:t>
      </w:r>
      <w:r>
        <w:rPr>
          <w:szCs w:val="22"/>
        </w:rPr>
        <w:t xml:space="preserve">  </w:t>
      </w:r>
    </w:p>
    <w:p w:rsidR="00216936" w:rsidRPr="003B010D" w:rsidRDefault="00216936" w:rsidP="00CF6E96">
      <w:pPr>
        <w:pStyle w:val="ParaNum"/>
        <w:widowControl/>
      </w:pPr>
      <w:r w:rsidRPr="00E01A9C">
        <w:rPr>
          <w:b/>
          <w:szCs w:val="22"/>
        </w:rPr>
        <w:t xml:space="preserve">Providers of Interconnected VoIP services. </w:t>
      </w:r>
      <w:r w:rsidRPr="00F9400D">
        <w:rPr>
          <w:szCs w:val="22"/>
        </w:rPr>
        <w:t xml:space="preserve"> </w:t>
      </w:r>
      <w:r>
        <w:rPr>
          <w:szCs w:val="22"/>
        </w:rPr>
        <w:t>Section 43.62 of the Commission’s rules</w:t>
      </w:r>
      <w:r w:rsidRPr="00F9400D">
        <w:rPr>
          <w:szCs w:val="22"/>
        </w:rPr>
        <w:t xml:space="preserve"> </w:t>
      </w:r>
      <w:r>
        <w:rPr>
          <w:szCs w:val="22"/>
        </w:rPr>
        <w:t xml:space="preserve">requires </w:t>
      </w:r>
      <w:r>
        <w:rPr>
          <w:szCs w:val="22"/>
          <w:lang w:eastAsia="x-none"/>
        </w:rPr>
        <w:t xml:space="preserve">entities providing international calling service via Voice over Internet Protocol (VoIP) service connected to the public switched telephone network (PSTN) </w:t>
      </w:r>
      <w:r>
        <w:rPr>
          <w:szCs w:val="22"/>
        </w:rPr>
        <w:t>to</w:t>
      </w:r>
      <w:r w:rsidRPr="00F9400D">
        <w:rPr>
          <w:szCs w:val="22"/>
        </w:rPr>
        <w:t xml:space="preserve"> </w:t>
      </w:r>
      <w:r w:rsidRPr="00C64356">
        <w:rPr>
          <w:szCs w:val="22"/>
        </w:rPr>
        <w:t>file a report with the Commission showing revenues, payouts, and traffic for such service.</w:t>
      </w:r>
      <w:r w:rsidRPr="00C64356">
        <w:rPr>
          <w:rStyle w:val="FootnoteReference"/>
          <w:szCs w:val="22"/>
        </w:rPr>
        <w:footnoteReference w:id="105"/>
      </w:r>
      <w:r w:rsidRPr="00C64356">
        <w:rPr>
          <w:szCs w:val="22"/>
        </w:rPr>
        <w:t xml:space="preserve">  According to the </w:t>
      </w:r>
      <w:r w:rsidRPr="00C64356">
        <w:rPr>
          <w:i/>
          <w:szCs w:val="22"/>
        </w:rPr>
        <w:t xml:space="preserve">2014 </w:t>
      </w:r>
      <w:r w:rsidR="00D86B6E">
        <w:rPr>
          <w:i/>
          <w:szCs w:val="22"/>
        </w:rPr>
        <w:t>Traffic and Revenue</w:t>
      </w:r>
      <w:r w:rsidRPr="00C64356">
        <w:rPr>
          <w:i/>
          <w:szCs w:val="22"/>
        </w:rPr>
        <w:t xml:space="preserve"> Report</w:t>
      </w:r>
      <w:r w:rsidRPr="00C64356">
        <w:rPr>
          <w:szCs w:val="22"/>
        </w:rPr>
        <w:t xml:space="preserve">, 354 interconnected VoIP service providers filed </w:t>
      </w:r>
      <w:r w:rsidR="007A1CB0">
        <w:rPr>
          <w:szCs w:val="22"/>
        </w:rPr>
        <w:t>T</w:t>
      </w:r>
      <w:r w:rsidRPr="00C64356">
        <w:rPr>
          <w:szCs w:val="22"/>
        </w:rPr>
        <w:t xml:space="preserve">raffic and </w:t>
      </w:r>
      <w:r w:rsidR="007A1CB0">
        <w:rPr>
          <w:szCs w:val="22"/>
        </w:rPr>
        <w:t>R</w:t>
      </w:r>
      <w:r w:rsidRPr="00C64356">
        <w:rPr>
          <w:szCs w:val="22"/>
        </w:rPr>
        <w:t xml:space="preserve">evenue </w:t>
      </w:r>
      <w:r w:rsidR="007A1CB0">
        <w:rPr>
          <w:szCs w:val="22"/>
        </w:rPr>
        <w:t>R</w:t>
      </w:r>
      <w:r w:rsidRPr="00C64356">
        <w:rPr>
          <w:szCs w:val="22"/>
        </w:rPr>
        <w:t>eports for the 2014 reporting year.</w:t>
      </w:r>
      <w:r w:rsidRPr="00C64356">
        <w:rPr>
          <w:rStyle w:val="FootnoteReference"/>
          <w:szCs w:val="22"/>
        </w:rPr>
        <w:footnoteReference w:id="106"/>
      </w:r>
      <w:r w:rsidRPr="00C64356">
        <w:rPr>
          <w:szCs w:val="22"/>
        </w:rPr>
        <w:t xml:space="preserve">  </w:t>
      </w:r>
      <w:r w:rsidRPr="00B84B5C">
        <w:rPr>
          <w:szCs w:val="22"/>
        </w:rPr>
        <w:t>The entities that provide such services are a mix of large and small entities.  We do not have information on the size of such VoIP providers.</w:t>
      </w:r>
      <w:r>
        <w:rPr>
          <w:rStyle w:val="FootnoteReference"/>
          <w:szCs w:val="22"/>
        </w:rPr>
        <w:footnoteReference w:id="107"/>
      </w:r>
      <w:r w:rsidRPr="00B84B5C">
        <w:rPr>
          <w:szCs w:val="22"/>
        </w:rPr>
        <w:t xml:space="preserve"> </w:t>
      </w:r>
      <w:r>
        <w:rPr>
          <w:szCs w:val="22"/>
        </w:rPr>
        <w:t xml:space="preserve"> </w:t>
      </w:r>
      <w:r w:rsidRPr="00C64356">
        <w:rPr>
          <w:szCs w:val="22"/>
        </w:rPr>
        <w:t>The U.S. Census Bureau addresses VoIP providers in two categories, depending upon whether the service is provided over the provider’s own operated wired telecommunications infrastructure, or over client-supplied telecommunications connections (</w:t>
      </w:r>
      <w:r w:rsidRPr="00625690">
        <w:rPr>
          <w:i/>
          <w:szCs w:val="22"/>
        </w:rPr>
        <w:t>e.g</w:t>
      </w:r>
      <w:r w:rsidRPr="00C64356">
        <w:rPr>
          <w:szCs w:val="22"/>
        </w:rPr>
        <w:t>., dial-up ISPs).  The former are within the category of Wired Telecommunications Carriers.</w:t>
      </w:r>
      <w:r w:rsidRPr="00C64356">
        <w:rPr>
          <w:rStyle w:val="FootnoteReference"/>
          <w:szCs w:val="22"/>
        </w:rPr>
        <w:footnoteReference w:id="108"/>
      </w:r>
      <w:r w:rsidRPr="00C64356">
        <w:rPr>
          <w:szCs w:val="22"/>
        </w:rPr>
        <w:t xml:space="preserve">  </w:t>
      </w:r>
      <w:r w:rsidRPr="00C64356">
        <w:rPr>
          <w:szCs w:val="22"/>
          <w:shd w:val="clear" w:color="auto" w:fill="FFFFFF"/>
        </w:rPr>
        <w:t xml:space="preserve">The SBA has developed a small business size standard for </w:t>
      </w:r>
      <w:r w:rsidRPr="00C64356">
        <w:rPr>
          <w:szCs w:val="22"/>
        </w:rPr>
        <w:t>Wired Telecommunications Carriers, which consists of all such companies having 1,500</w:t>
      </w:r>
      <w:r w:rsidRPr="002509B1">
        <w:rPr>
          <w:szCs w:val="22"/>
        </w:rPr>
        <w:t xml:space="preserve"> or fewer employees.</w:t>
      </w:r>
      <w:r w:rsidRPr="002509B1">
        <w:rPr>
          <w:rStyle w:val="StyleFootnoteReferenceStyle13Style12NECGFootnoteReferenc"/>
          <w:szCs w:val="22"/>
        </w:rPr>
        <w:footnoteReference w:id="109"/>
      </w:r>
      <w:r>
        <w:rPr>
          <w:szCs w:val="22"/>
        </w:rPr>
        <w:t xml:space="preserve">  </w:t>
      </w:r>
      <w:r w:rsidRPr="002509B1">
        <w:rPr>
          <w:szCs w:val="22"/>
        </w:rPr>
        <w:t>U.S. Census data for 2012 indicates that there were 3,117 firms in this category that operated for the entire year.</w:t>
      </w:r>
      <w:r w:rsidRPr="002509B1">
        <w:rPr>
          <w:rStyle w:val="FootnoteReference"/>
          <w:szCs w:val="22"/>
        </w:rPr>
        <w:footnoteReference w:id="110"/>
      </w:r>
      <w:r w:rsidRPr="002509B1">
        <w:rPr>
          <w:szCs w:val="22"/>
        </w:rPr>
        <w:t xml:space="preserve">  Of that number, 3,083 firms operated with fewer than 1,000 employees, </w:t>
      </w:r>
      <w:r w:rsidRPr="007B7C37">
        <w:rPr>
          <w:szCs w:val="22"/>
        </w:rPr>
        <w:t>and 34 firms</w:t>
      </w:r>
      <w:r w:rsidRPr="00F9400D">
        <w:rPr>
          <w:szCs w:val="22"/>
        </w:rPr>
        <w:t xml:space="preserve"> </w:t>
      </w:r>
      <w:r>
        <w:rPr>
          <w:szCs w:val="22"/>
        </w:rPr>
        <w:t xml:space="preserve">operated with </w:t>
      </w:r>
      <w:r w:rsidRPr="00F9400D">
        <w:rPr>
          <w:szCs w:val="22"/>
        </w:rPr>
        <w:t>1,000 employees or more.</w:t>
      </w:r>
      <w:r>
        <w:rPr>
          <w:rStyle w:val="FootnoteReference"/>
          <w:szCs w:val="22"/>
        </w:rPr>
        <w:footnoteReference w:id="111"/>
      </w:r>
      <w:r>
        <w:rPr>
          <w:szCs w:val="22"/>
        </w:rPr>
        <w:t xml:space="preserve">  </w:t>
      </w:r>
      <w:r w:rsidRPr="0029654F">
        <w:rPr>
          <w:szCs w:val="22"/>
        </w:rPr>
        <w:t>As a result, for t</w:t>
      </w:r>
      <w:r w:rsidR="00625690">
        <w:rPr>
          <w:szCs w:val="22"/>
        </w:rPr>
        <w:t>he purpose of this IRFA we</w:t>
      </w:r>
      <w:r w:rsidRPr="0029654F">
        <w:rPr>
          <w:szCs w:val="22"/>
        </w:rPr>
        <w:t xml:space="preserve"> consider all such entities to be small entities within the meaning of the SBA.</w:t>
      </w:r>
      <w:r w:rsidRPr="00F9400D">
        <w:rPr>
          <w:szCs w:val="22"/>
        </w:rPr>
        <w:t xml:space="preserve">  The latter are within the category of </w:t>
      </w:r>
      <w:r w:rsidRPr="00435CF3">
        <w:rPr>
          <w:szCs w:val="22"/>
        </w:rPr>
        <w:t>All Other Telecommunications</w:t>
      </w:r>
      <w:r>
        <w:rPr>
          <w:szCs w:val="22"/>
        </w:rPr>
        <w:t>.</w:t>
      </w:r>
      <w:r w:rsidRPr="00435CF3">
        <w:rPr>
          <w:rStyle w:val="FootnoteReference"/>
          <w:szCs w:val="22"/>
        </w:rPr>
        <w:footnoteReference w:id="112"/>
      </w:r>
      <w:r w:rsidRPr="00F9400D">
        <w:rPr>
          <w:szCs w:val="22"/>
        </w:rPr>
        <w:t xml:space="preserve"> </w:t>
      </w:r>
      <w:r>
        <w:rPr>
          <w:szCs w:val="22"/>
        </w:rPr>
        <w:t xml:space="preserve"> Under SBA rules, t</w:t>
      </w:r>
      <w:r w:rsidRPr="00F9400D">
        <w:rPr>
          <w:szCs w:val="22"/>
        </w:rPr>
        <w:t xml:space="preserve">he </w:t>
      </w:r>
      <w:r>
        <w:rPr>
          <w:szCs w:val="22"/>
        </w:rPr>
        <w:t xml:space="preserve">category of </w:t>
      </w:r>
      <w:r w:rsidRPr="00435CF3">
        <w:rPr>
          <w:szCs w:val="22"/>
        </w:rPr>
        <w:t>All Other Telecommunications</w:t>
      </w:r>
      <w:r>
        <w:rPr>
          <w:szCs w:val="22"/>
        </w:rPr>
        <w:t xml:space="preserve"> </w:t>
      </w:r>
      <w:r w:rsidRPr="00F9400D">
        <w:rPr>
          <w:szCs w:val="22"/>
        </w:rPr>
        <w:t>has a sma</w:t>
      </w:r>
      <w:r>
        <w:rPr>
          <w:szCs w:val="22"/>
        </w:rPr>
        <w:t>ll business size standard of $32.5</w:t>
      </w:r>
      <w:r w:rsidRPr="00F9400D">
        <w:rPr>
          <w:szCs w:val="22"/>
        </w:rPr>
        <w:t xml:space="preserve"> million or less in annual receipts</w:t>
      </w:r>
      <w:r w:rsidRPr="007B6AAD">
        <w:rPr>
          <w:szCs w:val="22"/>
        </w:rPr>
        <w:t>.</w:t>
      </w:r>
      <w:r w:rsidRPr="007B6AAD">
        <w:rPr>
          <w:rStyle w:val="FootnoteReference"/>
          <w:szCs w:val="22"/>
        </w:rPr>
        <w:footnoteReference w:id="113"/>
      </w:r>
      <w:r w:rsidRPr="00F9400D">
        <w:rPr>
          <w:szCs w:val="22"/>
        </w:rPr>
        <w:t xml:space="preserve">  For this category, </w:t>
      </w:r>
      <w:r>
        <w:rPr>
          <w:szCs w:val="22"/>
        </w:rPr>
        <w:t>U.S. Census</w:t>
      </w:r>
      <w:r w:rsidRPr="00F9400D">
        <w:rPr>
          <w:szCs w:val="22"/>
        </w:rPr>
        <w:t xml:space="preserve"> data for </w:t>
      </w:r>
      <w:r>
        <w:rPr>
          <w:szCs w:val="22"/>
        </w:rPr>
        <w:t>2012</w:t>
      </w:r>
      <w:r w:rsidRPr="00F9400D">
        <w:rPr>
          <w:szCs w:val="22"/>
        </w:rPr>
        <w:t xml:space="preserve"> show that there were a total of </w:t>
      </w:r>
      <w:r>
        <w:rPr>
          <w:szCs w:val="22"/>
        </w:rPr>
        <w:t>1,442</w:t>
      </w:r>
      <w:r w:rsidRPr="00F9400D">
        <w:rPr>
          <w:szCs w:val="22"/>
        </w:rPr>
        <w:t xml:space="preserve"> firms that operated for the entire year.</w:t>
      </w:r>
      <w:r w:rsidRPr="00F9400D">
        <w:rPr>
          <w:rStyle w:val="StyleFootnoteReferenceStyle13Style12NECGFootnoteReferenc"/>
          <w:szCs w:val="22"/>
        </w:rPr>
        <w:footnoteReference w:id="114"/>
      </w:r>
      <w:r w:rsidRPr="00F9400D">
        <w:rPr>
          <w:szCs w:val="22"/>
        </w:rPr>
        <w:t xml:space="preserve">  Of </w:t>
      </w:r>
      <w:r>
        <w:rPr>
          <w:szCs w:val="22"/>
        </w:rPr>
        <w:t>that number</w:t>
      </w:r>
      <w:r w:rsidRPr="00F9400D">
        <w:rPr>
          <w:szCs w:val="22"/>
        </w:rPr>
        <w:t xml:space="preserve">, </w:t>
      </w:r>
      <w:r>
        <w:rPr>
          <w:szCs w:val="22"/>
        </w:rPr>
        <w:t>1,400</w:t>
      </w:r>
      <w:r w:rsidRPr="00F9400D">
        <w:rPr>
          <w:szCs w:val="22"/>
        </w:rPr>
        <w:t xml:space="preserve"> firms had annual receipts of under $25 million </w:t>
      </w:r>
      <w:r w:rsidRPr="00FC3FCB">
        <w:rPr>
          <w:szCs w:val="22"/>
        </w:rPr>
        <w:t>and 15</w:t>
      </w:r>
      <w:r w:rsidRPr="00F9400D">
        <w:rPr>
          <w:szCs w:val="22"/>
        </w:rPr>
        <w:t xml:space="preserve"> firms had annual </w:t>
      </w:r>
      <w:r>
        <w:rPr>
          <w:szCs w:val="22"/>
        </w:rPr>
        <w:t>receipts of $25 million to $49,</w:t>
      </w:r>
      <w:r w:rsidRPr="00F9400D">
        <w:rPr>
          <w:szCs w:val="22"/>
        </w:rPr>
        <w:t>999,999.</w:t>
      </w:r>
      <w:r w:rsidRPr="00F9400D">
        <w:rPr>
          <w:rStyle w:val="StyleFootnoteReferenceStyle13Style12NECGFootnoteReferenc"/>
          <w:szCs w:val="22"/>
        </w:rPr>
        <w:footnoteReference w:id="115"/>
      </w:r>
      <w:r w:rsidRPr="00F9400D">
        <w:rPr>
          <w:szCs w:val="22"/>
        </w:rPr>
        <w:t xml:space="preserve">  Consequently, we estimate that the majority of VoIP providers are small entities.</w:t>
      </w:r>
    </w:p>
    <w:p w:rsidR="00216936" w:rsidRPr="004C4A60" w:rsidRDefault="00625690" w:rsidP="009B07DE">
      <w:pPr>
        <w:pStyle w:val="ParaNum"/>
        <w:widowControl/>
      </w:pPr>
      <w:r>
        <w:rPr>
          <w:b/>
          <w:szCs w:val="22"/>
        </w:rPr>
        <w:t>Spot Market O</w:t>
      </w:r>
      <w:r w:rsidR="00216936" w:rsidRPr="002F5953">
        <w:rPr>
          <w:b/>
          <w:szCs w:val="22"/>
        </w:rPr>
        <w:t>perators.</w:t>
      </w:r>
      <w:r w:rsidR="00216936" w:rsidRPr="00F9400D">
        <w:rPr>
          <w:szCs w:val="22"/>
        </w:rPr>
        <w:t xml:space="preserve">  </w:t>
      </w:r>
      <w:r w:rsidR="00216936" w:rsidRPr="00C71D11">
        <w:rPr>
          <w:szCs w:val="22"/>
        </w:rPr>
        <w:t xml:space="preserve">A “spot market” is a market where </w:t>
      </w:r>
      <w:r w:rsidR="00216936">
        <w:rPr>
          <w:szCs w:val="22"/>
        </w:rPr>
        <w:t>service</w:t>
      </w:r>
      <w:r w:rsidR="00216936" w:rsidRPr="00C71D11">
        <w:rPr>
          <w:szCs w:val="22"/>
        </w:rPr>
        <w:t xml:space="preserve"> providers can buy or sell call completion services for </w:t>
      </w:r>
      <w:r w:rsidR="00216936">
        <w:rPr>
          <w:szCs w:val="22"/>
        </w:rPr>
        <w:t>immediate delivery</w:t>
      </w:r>
      <w:r w:rsidR="00216936" w:rsidRPr="00C71D11">
        <w:rPr>
          <w:szCs w:val="22"/>
        </w:rPr>
        <w:t>.</w:t>
      </w:r>
      <w:r w:rsidR="00216936">
        <w:rPr>
          <w:rStyle w:val="FootnoteReference"/>
          <w:szCs w:val="22"/>
        </w:rPr>
        <w:footnoteReference w:id="116"/>
      </w:r>
      <w:r w:rsidR="00216936" w:rsidRPr="00C71D11">
        <w:rPr>
          <w:szCs w:val="22"/>
        </w:rPr>
        <w:t xml:space="preserve">  A spot market </w:t>
      </w:r>
      <w:r w:rsidR="00216936">
        <w:rPr>
          <w:szCs w:val="22"/>
        </w:rPr>
        <w:t xml:space="preserve">customer is a service provider that </w:t>
      </w:r>
      <w:r w:rsidR="00216936" w:rsidRPr="00C71D11">
        <w:rPr>
          <w:szCs w:val="22"/>
        </w:rPr>
        <w:t>enters into a contract to buy or sell call completion services by interconnecting at a spot market point of presence.</w:t>
      </w:r>
      <w:r w:rsidR="00216936">
        <w:rPr>
          <w:rStyle w:val="FootnoteReference"/>
          <w:szCs w:val="22"/>
        </w:rPr>
        <w:footnoteReference w:id="117"/>
      </w:r>
      <w:r w:rsidR="00216936" w:rsidRPr="00C71D11">
        <w:rPr>
          <w:szCs w:val="22"/>
        </w:rPr>
        <w:t xml:space="preserve">  The spot market owner </w:t>
      </w:r>
      <w:r w:rsidR="00216936">
        <w:rPr>
          <w:szCs w:val="22"/>
        </w:rPr>
        <w:t>is a person or entity that facilitates the transaction between contracting service providers (</w:t>
      </w:r>
      <w:r w:rsidR="00216936" w:rsidRPr="00C71D11">
        <w:rPr>
          <w:szCs w:val="22"/>
        </w:rPr>
        <w:t xml:space="preserve">who may not know each </w:t>
      </w:r>
      <w:r w:rsidR="00216936" w:rsidRPr="000A5C6C">
        <w:rPr>
          <w:szCs w:val="22"/>
        </w:rPr>
        <w:t>other’s identity) by physically interconnecting the customers and acting as their commercial intermediary.</w:t>
      </w:r>
      <w:r w:rsidR="00216936" w:rsidRPr="000A5C6C">
        <w:rPr>
          <w:rStyle w:val="FootnoteReference"/>
          <w:szCs w:val="22"/>
        </w:rPr>
        <w:footnoteReference w:id="118"/>
      </w:r>
      <w:r w:rsidR="00216936" w:rsidRPr="000A5C6C">
        <w:rPr>
          <w:szCs w:val="22"/>
        </w:rPr>
        <w:t xml:space="preserve">  The Commission has not developed a small business size standard specifically for operators of spot markets.  As a result, for</w:t>
      </w:r>
      <w:r>
        <w:rPr>
          <w:szCs w:val="22"/>
        </w:rPr>
        <w:t xml:space="preserve"> purposes of this IRFA, we</w:t>
      </w:r>
      <w:r w:rsidR="00216936" w:rsidRPr="000A5C6C">
        <w:rPr>
          <w:szCs w:val="22"/>
        </w:rPr>
        <w:t xml:space="preserve"> consider all such entities to be small businesses.</w:t>
      </w:r>
    </w:p>
    <w:p w:rsidR="00216936" w:rsidRPr="004C4A60" w:rsidRDefault="00216936" w:rsidP="00216936">
      <w:pPr>
        <w:pStyle w:val="Heading3"/>
      </w:pPr>
      <w:bookmarkStart w:id="24" w:name="_Toc290560645"/>
      <w:bookmarkStart w:id="25" w:name="_Toc290627754"/>
      <w:bookmarkStart w:id="26" w:name="_Toc290641727"/>
      <w:bookmarkStart w:id="27" w:name="_Toc332546648"/>
      <w:bookmarkStart w:id="28" w:name="_Toc332609365"/>
      <w:bookmarkStart w:id="29" w:name="_Toc332624520"/>
      <w:bookmarkStart w:id="30" w:name="_Toc332735667"/>
      <w:bookmarkStart w:id="31" w:name="_Toc332735851"/>
      <w:bookmarkStart w:id="32" w:name="_Toc332805478"/>
      <w:bookmarkStart w:id="33" w:name="_Toc333926267"/>
      <w:bookmarkStart w:id="34" w:name="_Toc334083378"/>
      <w:bookmarkStart w:id="35" w:name="_Toc335283375"/>
      <w:bookmarkStart w:id="36" w:name="_Toc335315481"/>
      <w:bookmarkStart w:id="37" w:name="_Toc335395208"/>
      <w:bookmarkStart w:id="38" w:name="_Toc335917293"/>
      <w:bookmarkStart w:id="39" w:name="_Toc336004162"/>
      <w:bookmarkStart w:id="40" w:name="_Toc336417719"/>
      <w:bookmarkStart w:id="41" w:name="_Toc336438595"/>
      <w:bookmarkStart w:id="42" w:name="_Toc338080468"/>
      <w:bookmarkStart w:id="43" w:name="_Toc338086301"/>
      <w:bookmarkStart w:id="44" w:name="_Toc338086371"/>
      <w:bookmarkStart w:id="45" w:name="_Toc338086454"/>
      <w:bookmarkStart w:id="46" w:name="_Toc339894436"/>
      <w:r w:rsidRPr="00F9400D">
        <w:t>Circuit</w:t>
      </w:r>
      <w:r>
        <w:t xml:space="preserve">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Capacity Report</w:t>
      </w:r>
      <w:r w:rsidR="00797A8F">
        <w:t>s</w:t>
      </w:r>
      <w:r>
        <w:t xml:space="preserve"> </w:t>
      </w:r>
    </w:p>
    <w:p w:rsidR="00216936" w:rsidRPr="00C03878" w:rsidRDefault="00216936" w:rsidP="00216936">
      <w:pPr>
        <w:pStyle w:val="ParaNum"/>
      </w:pPr>
      <w:r w:rsidRPr="00AA7909">
        <w:rPr>
          <w:b/>
          <w:szCs w:val="22"/>
        </w:rPr>
        <w:t>Providers of International Telecommunications Transmission Facilities</w:t>
      </w:r>
      <w:r>
        <w:rPr>
          <w:szCs w:val="22"/>
        </w:rPr>
        <w:t>.  Section 43.62 of the Commission’s rules requires U.S. facilities-based common carriers, non-common carrier satellite operators, cable landing licensees, and U.S. international carriers that owned or leased capacity on a submarine cable between the United States and any foreign point, to annually file circuit capacity data.</w:t>
      </w:r>
      <w:r>
        <w:rPr>
          <w:rStyle w:val="FootnoteReference"/>
          <w:szCs w:val="22"/>
        </w:rPr>
        <w:footnoteReference w:id="119"/>
      </w:r>
      <w:r>
        <w:rPr>
          <w:szCs w:val="22"/>
        </w:rPr>
        <w:t xml:space="preserve">  </w:t>
      </w:r>
      <w:r w:rsidRPr="00836FB0">
        <w:rPr>
          <w:szCs w:val="22"/>
        </w:rPr>
        <w:t>A</w:t>
      </w:r>
      <w:r>
        <w:rPr>
          <w:szCs w:val="22"/>
        </w:rPr>
        <w:t xml:space="preserve">ccording to the International Bureau’s internally developed data, </w:t>
      </w:r>
      <w:r w:rsidRPr="00322A32">
        <w:rPr>
          <w:szCs w:val="22"/>
        </w:rPr>
        <w:t>85</w:t>
      </w:r>
      <w:r>
        <w:rPr>
          <w:szCs w:val="22"/>
        </w:rPr>
        <w:t xml:space="preserve"> such entities</w:t>
      </w:r>
      <w:r w:rsidRPr="00F9400D">
        <w:rPr>
          <w:szCs w:val="22"/>
        </w:rPr>
        <w:t xml:space="preserve"> filed </w:t>
      </w:r>
      <w:r>
        <w:rPr>
          <w:szCs w:val="22"/>
        </w:rPr>
        <w:t>circuit capacity data</w:t>
      </w:r>
      <w:r w:rsidRPr="00F9400D">
        <w:rPr>
          <w:szCs w:val="22"/>
        </w:rPr>
        <w:t xml:space="preserve"> </w:t>
      </w:r>
      <w:r>
        <w:rPr>
          <w:szCs w:val="22"/>
        </w:rPr>
        <w:t>for the 2014 reporting year, and 91 such entities filed circuit capacity data for the 2015 reporting year.</w:t>
      </w:r>
      <w:r w:rsidRPr="00F9400D">
        <w:rPr>
          <w:rStyle w:val="FootnoteReference"/>
          <w:szCs w:val="22"/>
        </w:rPr>
        <w:footnoteReference w:id="120"/>
      </w:r>
      <w:r w:rsidRPr="00F9400D">
        <w:rPr>
          <w:szCs w:val="22"/>
        </w:rPr>
        <w:t xml:space="preserve">  </w:t>
      </w:r>
      <w:r w:rsidRPr="00187464">
        <w:rPr>
          <w:szCs w:val="22"/>
        </w:rPr>
        <w:t>Some of these providers would fall within the category of interexchange carriers, some would fall within the category of Wired Telecommunications Carriers, while others may not.</w:t>
      </w:r>
      <w:r w:rsidRPr="00F9400D">
        <w:rPr>
          <w:szCs w:val="22"/>
        </w:rPr>
        <w:t xml:space="preserve">  The Commission has not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F9400D">
        <w:rPr>
          <w:rStyle w:val="StyleFootnoteReferenceStyle13Style12NECGFootnoteReferenc"/>
          <w:szCs w:val="22"/>
        </w:rPr>
        <w:footnoteReference w:id="121"/>
      </w:r>
      <w:r w:rsidRPr="00F9400D">
        <w:rPr>
          <w:szCs w:val="22"/>
        </w:rPr>
        <w:t xml:space="preserve">  The </w:t>
      </w:r>
      <w:r>
        <w:rPr>
          <w:szCs w:val="22"/>
        </w:rPr>
        <w:t>Circuit Capacity Report</w:t>
      </w:r>
      <w:r w:rsidR="00797A8F">
        <w:rPr>
          <w:szCs w:val="22"/>
        </w:rPr>
        <w:t>s</w:t>
      </w:r>
      <w:r w:rsidRPr="00F9400D">
        <w:rPr>
          <w:szCs w:val="22"/>
        </w:rPr>
        <w:t xml:space="preserve"> do not include employee or revenue statistics, so </w:t>
      </w:r>
      <w:r>
        <w:rPr>
          <w:szCs w:val="22"/>
        </w:rPr>
        <w:t>we are unable</w:t>
      </w:r>
      <w:r w:rsidRPr="00F9400D">
        <w:rPr>
          <w:szCs w:val="22"/>
        </w:rPr>
        <w:t xml:space="preserve"> to determine how many carriers could be considered small entities under the SBA standard.  Although it is quite possible that a carrier could report a small amount of capacity and have significant </w:t>
      </w:r>
      <w:r w:rsidRPr="000F78E2">
        <w:rPr>
          <w:szCs w:val="22"/>
        </w:rPr>
        <w:t xml:space="preserve">revenues, we will consider those </w:t>
      </w:r>
      <w:r>
        <w:rPr>
          <w:szCs w:val="22"/>
        </w:rPr>
        <w:t xml:space="preserve">85 </w:t>
      </w:r>
      <w:r w:rsidRPr="000F78E2">
        <w:rPr>
          <w:szCs w:val="22"/>
        </w:rPr>
        <w:t>carriers to be small entities at this time.</w:t>
      </w:r>
      <w:r w:rsidRPr="00F9400D">
        <w:rPr>
          <w:szCs w:val="22"/>
        </w:rPr>
        <w:t xml:space="preserve">  </w:t>
      </w:r>
    </w:p>
    <w:p w:rsidR="00216936" w:rsidRPr="00C03878" w:rsidRDefault="00216936" w:rsidP="00B06D5C">
      <w:pPr>
        <w:pStyle w:val="ParaNum"/>
        <w:widowControl/>
      </w:pPr>
      <w:r w:rsidRPr="00C123AA">
        <w:rPr>
          <w:b/>
          <w:szCs w:val="22"/>
        </w:rPr>
        <w:t>Satellite Telecommunications Providers.</w:t>
      </w:r>
      <w:r w:rsidRPr="00F9400D">
        <w:rPr>
          <w:szCs w:val="22"/>
        </w:rPr>
        <w:t xml:space="preserve">  Other providers of international transmission facilities are those that operate international </w:t>
      </w:r>
      <w:r>
        <w:rPr>
          <w:szCs w:val="22"/>
        </w:rPr>
        <w:t>common carrier</w:t>
      </w:r>
      <w:r w:rsidRPr="00F9400D">
        <w:rPr>
          <w:szCs w:val="22"/>
        </w:rPr>
        <w:t xml:space="preserve"> and non-</w:t>
      </w:r>
      <w:r>
        <w:rPr>
          <w:szCs w:val="22"/>
        </w:rPr>
        <w:t>common carrier</w:t>
      </w:r>
      <w:r w:rsidRPr="00F9400D">
        <w:rPr>
          <w:szCs w:val="22"/>
        </w:rPr>
        <w:t xml:space="preserve"> satellite systems.  Such systems provide circuits to providers of international telecommunication services or provide circuits directly to end users</w:t>
      </w:r>
      <w:r w:rsidRPr="00D13870">
        <w:rPr>
          <w:szCs w:val="22"/>
        </w:rPr>
        <w:t>.  O</w:t>
      </w:r>
      <w:r w:rsidRPr="001B7492">
        <w:rPr>
          <w:szCs w:val="22"/>
        </w:rPr>
        <w:t xml:space="preserve">perators of international satellite services are required to report their aggregate world-wide active circuits in the Circuit </w:t>
      </w:r>
      <w:r>
        <w:rPr>
          <w:szCs w:val="22"/>
        </w:rPr>
        <w:t>Capacity</w:t>
      </w:r>
      <w:r w:rsidRPr="001B7492">
        <w:rPr>
          <w:szCs w:val="22"/>
        </w:rPr>
        <w:t xml:space="preserve"> Report</w:t>
      </w:r>
      <w:r w:rsidR="00797A8F">
        <w:rPr>
          <w:szCs w:val="22"/>
        </w:rPr>
        <w:t>s</w:t>
      </w:r>
      <w:r w:rsidRPr="001B7492">
        <w:rPr>
          <w:szCs w:val="22"/>
        </w:rPr>
        <w:t>.</w:t>
      </w:r>
      <w:r w:rsidRPr="001B7492">
        <w:rPr>
          <w:rStyle w:val="FootnoteReference"/>
          <w:szCs w:val="22"/>
        </w:rPr>
        <w:footnoteReference w:id="122"/>
      </w:r>
      <w:r w:rsidRPr="00F9400D">
        <w:rPr>
          <w:szCs w:val="22"/>
        </w:rPr>
        <w:t xml:space="preserve">  The Commission has not determined a size standard specifically for operators of international satellite systems that offer circuits directly to end users.  However, two economic census categories address the satellite industry.  </w:t>
      </w:r>
      <w:r>
        <w:rPr>
          <w:szCs w:val="22"/>
        </w:rPr>
        <w:t>Under SBA rules, t</w:t>
      </w:r>
      <w:r w:rsidRPr="00F9400D">
        <w:rPr>
          <w:szCs w:val="22"/>
        </w:rPr>
        <w:t xml:space="preserve">he </w:t>
      </w:r>
      <w:r>
        <w:rPr>
          <w:szCs w:val="22"/>
        </w:rPr>
        <w:t xml:space="preserve">category of Satellite Telecommunications </w:t>
      </w:r>
      <w:r w:rsidRPr="00F9400D">
        <w:rPr>
          <w:szCs w:val="22"/>
        </w:rPr>
        <w:t>has a sma</w:t>
      </w:r>
      <w:r>
        <w:rPr>
          <w:szCs w:val="22"/>
        </w:rPr>
        <w:t>ll business size standard of $32.5</w:t>
      </w:r>
      <w:r w:rsidRPr="00F9400D">
        <w:rPr>
          <w:szCs w:val="22"/>
        </w:rPr>
        <w:t xml:space="preserve"> million or less in annual receipts</w:t>
      </w:r>
      <w:r>
        <w:rPr>
          <w:szCs w:val="22"/>
        </w:rPr>
        <w:t>.</w:t>
      </w:r>
      <w:r w:rsidRPr="00F9400D">
        <w:rPr>
          <w:rStyle w:val="StyleFootnoteReferenceStyle13Style12NECGFootnoteReferenc"/>
          <w:szCs w:val="22"/>
        </w:rPr>
        <w:footnoteReference w:id="123"/>
      </w:r>
      <w:r w:rsidRPr="00F9400D">
        <w:rPr>
          <w:szCs w:val="22"/>
        </w:rPr>
        <w:t xml:space="preserve">  The </w:t>
      </w:r>
      <w:r>
        <w:rPr>
          <w:szCs w:val="22"/>
        </w:rPr>
        <w:t xml:space="preserve">category of All Other Telecommunications </w:t>
      </w:r>
      <w:r w:rsidRPr="00F9400D">
        <w:rPr>
          <w:szCs w:val="22"/>
        </w:rPr>
        <w:t>has a size standard of $</w:t>
      </w:r>
      <w:r>
        <w:rPr>
          <w:szCs w:val="22"/>
        </w:rPr>
        <w:t>32.5</w:t>
      </w:r>
      <w:r w:rsidRPr="00F9400D">
        <w:rPr>
          <w:szCs w:val="22"/>
        </w:rPr>
        <w:t xml:space="preserve"> million or less in annual receipts.</w:t>
      </w:r>
      <w:r w:rsidRPr="00F9400D">
        <w:rPr>
          <w:rStyle w:val="StyleFootnoteReferenceStyle13Style12NECGFootnoteReferenc"/>
          <w:szCs w:val="22"/>
        </w:rPr>
        <w:footnoteReference w:id="124"/>
      </w:r>
    </w:p>
    <w:p w:rsidR="00216936" w:rsidRPr="002D2F71" w:rsidRDefault="00216936" w:rsidP="00216936">
      <w:pPr>
        <w:pStyle w:val="ParaNum"/>
      </w:pPr>
      <w:r w:rsidRPr="00F9400D">
        <w:rPr>
          <w:szCs w:val="22"/>
        </w:rPr>
        <w:t>The category of Satellite Telecommunications “</w:t>
      </w:r>
      <w:r w:rsidRPr="00C93A76">
        <w:rPr>
          <w:szCs w:val="22"/>
          <w:shd w:val="clear" w:color="auto" w:fill="FFFFFF"/>
        </w:rPr>
        <w:t>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C93A76">
        <w:rPr>
          <w:szCs w:val="22"/>
        </w:rPr>
        <w:t>”</w:t>
      </w:r>
      <w:r w:rsidRPr="00F9400D">
        <w:rPr>
          <w:rStyle w:val="StyleFootnoteReferenceStyle13Style12NECGFootnoteReferenc"/>
          <w:szCs w:val="22"/>
        </w:rPr>
        <w:footnoteReference w:id="125"/>
      </w:r>
      <w:r w:rsidRPr="00F9400D">
        <w:rPr>
          <w:szCs w:val="22"/>
        </w:rPr>
        <w:t xml:space="preserve">  </w:t>
      </w:r>
      <w:r>
        <w:rPr>
          <w:szCs w:val="22"/>
        </w:rPr>
        <w:t xml:space="preserve">For this industry, U.S. Census data for 2012 indicate </w:t>
      </w:r>
      <w:r w:rsidRPr="00F9400D">
        <w:rPr>
          <w:szCs w:val="22"/>
        </w:rPr>
        <w:t xml:space="preserve">that </w:t>
      </w:r>
      <w:r>
        <w:rPr>
          <w:szCs w:val="22"/>
        </w:rPr>
        <w:t>333</w:t>
      </w:r>
      <w:r w:rsidRPr="00F9400D">
        <w:rPr>
          <w:szCs w:val="22"/>
        </w:rPr>
        <w:t xml:space="preserve"> firms operated for th</w:t>
      </w:r>
      <w:r>
        <w:rPr>
          <w:szCs w:val="22"/>
        </w:rPr>
        <w:t>e</w:t>
      </w:r>
      <w:r w:rsidRPr="00F9400D">
        <w:rPr>
          <w:szCs w:val="22"/>
        </w:rPr>
        <w:t xml:space="preserve"> entire year.</w:t>
      </w:r>
      <w:r w:rsidRPr="00F9400D">
        <w:rPr>
          <w:rStyle w:val="StyleFootnoteReferenceStyle13Style12NECGFootnoteReferenc"/>
          <w:szCs w:val="22"/>
        </w:rPr>
        <w:footnoteReference w:id="126"/>
      </w:r>
      <w:r w:rsidRPr="00F9400D">
        <w:rPr>
          <w:szCs w:val="22"/>
        </w:rPr>
        <w:t xml:space="preserve">  Of th</w:t>
      </w:r>
      <w:r>
        <w:rPr>
          <w:szCs w:val="22"/>
        </w:rPr>
        <w:t>at number</w:t>
      </w:r>
      <w:r w:rsidRPr="00F9400D">
        <w:rPr>
          <w:szCs w:val="22"/>
        </w:rPr>
        <w:t xml:space="preserve">, </w:t>
      </w:r>
      <w:r w:rsidRPr="00B3195E">
        <w:rPr>
          <w:szCs w:val="22"/>
        </w:rPr>
        <w:t xml:space="preserve">299 firms had annual receipts of under $25 million, and 12 firms had </w:t>
      </w:r>
      <w:r>
        <w:rPr>
          <w:szCs w:val="22"/>
        </w:rPr>
        <w:t xml:space="preserve">annual </w:t>
      </w:r>
      <w:r w:rsidRPr="00B3195E">
        <w:rPr>
          <w:szCs w:val="22"/>
        </w:rPr>
        <w:t>receipts of $25 million to $49,999,999.</w:t>
      </w:r>
      <w:r w:rsidRPr="00B3195E">
        <w:rPr>
          <w:rStyle w:val="StyleFootnoteReferenceStyle13Style12NECGFootnoteReferenc"/>
          <w:szCs w:val="22"/>
        </w:rPr>
        <w:footnoteReference w:id="127"/>
      </w:r>
      <w:r w:rsidRPr="00F9400D">
        <w:rPr>
          <w:szCs w:val="22"/>
        </w:rPr>
        <w:t xml:space="preserve">  Consequently, the Commission estimates that the majority of Satellite Telecommunications firms are small entities that might be affected by our action.</w:t>
      </w:r>
    </w:p>
    <w:p w:rsidR="00216936" w:rsidRPr="002D2F71" w:rsidRDefault="00216936" w:rsidP="00216936">
      <w:pPr>
        <w:pStyle w:val="ParaNum"/>
      </w:pPr>
      <w:r w:rsidRPr="00F9400D">
        <w:rPr>
          <w:szCs w:val="22"/>
        </w:rPr>
        <w:t xml:space="preserve">The </w:t>
      </w:r>
      <w:r>
        <w:rPr>
          <w:szCs w:val="22"/>
        </w:rPr>
        <w:t xml:space="preserve">category of All Other </w:t>
      </w:r>
      <w:r w:rsidRPr="002E7239">
        <w:rPr>
          <w:szCs w:val="22"/>
        </w:rPr>
        <w:t>Telecommunications “</w:t>
      </w:r>
      <w:r w:rsidRPr="002E7239">
        <w:rPr>
          <w:szCs w:val="22"/>
          <w:shd w:val="clear" w:color="auto" w:fill="FFFFFF"/>
        </w:rPr>
        <w:t>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sidRPr="002E7239">
        <w:rPr>
          <w:szCs w:val="22"/>
        </w:rPr>
        <w:t>”</w:t>
      </w:r>
      <w:r w:rsidRPr="002E7239">
        <w:rPr>
          <w:rStyle w:val="StyleFootnoteReferenceStyle13Style12NECGFootnoteReferenc"/>
          <w:szCs w:val="22"/>
        </w:rPr>
        <w:footnoteReference w:id="128"/>
      </w:r>
      <w:r w:rsidRPr="002E7239">
        <w:rPr>
          <w:szCs w:val="22"/>
        </w:rPr>
        <w:t xml:space="preserve">  For </w:t>
      </w:r>
      <w:r w:rsidRPr="00F9400D">
        <w:rPr>
          <w:szCs w:val="22"/>
        </w:rPr>
        <w:t xml:space="preserve">this category, </w:t>
      </w:r>
      <w:r>
        <w:rPr>
          <w:szCs w:val="22"/>
        </w:rPr>
        <w:t>U.S. Census</w:t>
      </w:r>
      <w:r w:rsidRPr="00F9400D">
        <w:rPr>
          <w:szCs w:val="22"/>
        </w:rPr>
        <w:t xml:space="preserve"> data for </w:t>
      </w:r>
      <w:r>
        <w:rPr>
          <w:szCs w:val="22"/>
        </w:rPr>
        <w:t>2012</w:t>
      </w:r>
      <w:r w:rsidRPr="00F9400D">
        <w:rPr>
          <w:szCs w:val="22"/>
        </w:rPr>
        <w:t xml:space="preserve"> show that there were a total of </w:t>
      </w:r>
      <w:r>
        <w:rPr>
          <w:szCs w:val="22"/>
        </w:rPr>
        <w:t>1,442</w:t>
      </w:r>
      <w:r w:rsidRPr="00F9400D">
        <w:rPr>
          <w:szCs w:val="22"/>
        </w:rPr>
        <w:t xml:space="preserve"> firms that operated for the entire year.</w:t>
      </w:r>
      <w:r w:rsidRPr="00F9400D">
        <w:rPr>
          <w:rStyle w:val="StyleFootnoteReferenceStyle13Style12NECGFootnoteReferenc"/>
          <w:szCs w:val="22"/>
        </w:rPr>
        <w:footnoteReference w:id="129"/>
      </w:r>
      <w:r w:rsidRPr="00F9400D">
        <w:rPr>
          <w:szCs w:val="22"/>
        </w:rPr>
        <w:t xml:space="preserve">  Of </w:t>
      </w:r>
      <w:r>
        <w:rPr>
          <w:szCs w:val="22"/>
        </w:rPr>
        <w:t>that number</w:t>
      </w:r>
      <w:r w:rsidRPr="00F9400D">
        <w:rPr>
          <w:szCs w:val="22"/>
        </w:rPr>
        <w:t xml:space="preserve">, </w:t>
      </w:r>
      <w:r>
        <w:rPr>
          <w:szCs w:val="22"/>
        </w:rPr>
        <w:t>1,400</w:t>
      </w:r>
      <w:r w:rsidRPr="00F9400D">
        <w:rPr>
          <w:szCs w:val="22"/>
        </w:rPr>
        <w:t xml:space="preserve"> firms had annual receipts of under $25 million </w:t>
      </w:r>
      <w:r w:rsidRPr="00FC3FCB">
        <w:rPr>
          <w:szCs w:val="22"/>
        </w:rPr>
        <w:t>and 15</w:t>
      </w:r>
      <w:r w:rsidRPr="00F9400D">
        <w:rPr>
          <w:szCs w:val="22"/>
        </w:rPr>
        <w:t xml:space="preserve"> firms had annual </w:t>
      </w:r>
      <w:r>
        <w:rPr>
          <w:szCs w:val="22"/>
        </w:rPr>
        <w:t>receipts of $25 million to $49,</w:t>
      </w:r>
      <w:r w:rsidRPr="00F9400D">
        <w:rPr>
          <w:szCs w:val="22"/>
        </w:rPr>
        <w:t>999,999.</w:t>
      </w:r>
      <w:r w:rsidRPr="00F9400D">
        <w:rPr>
          <w:rStyle w:val="StyleFootnoteReferenceStyle13Style12NECGFootnoteReferenc"/>
          <w:szCs w:val="22"/>
        </w:rPr>
        <w:footnoteReference w:id="130"/>
      </w:r>
      <w:r w:rsidRPr="00F9400D">
        <w:rPr>
          <w:szCs w:val="22"/>
        </w:rPr>
        <w:t xml:space="preserve">  Consequently, the Commission estimates that the majority of All Other Telecommunications firms are small entities </w:t>
      </w:r>
      <w:r w:rsidRPr="00A719BA">
        <w:rPr>
          <w:szCs w:val="22"/>
        </w:rPr>
        <w:t xml:space="preserve">that may be affected by </w:t>
      </w:r>
      <w:r w:rsidRPr="00DE5032">
        <w:t>this</w:t>
      </w:r>
      <w:r>
        <w:t xml:space="preserve"> NPRM</w:t>
      </w:r>
      <w:r w:rsidRPr="00F9400D">
        <w:rPr>
          <w:szCs w:val="22"/>
        </w:rPr>
        <w:t>.</w:t>
      </w:r>
    </w:p>
    <w:p w:rsidR="00216936" w:rsidRPr="009C5D20" w:rsidRDefault="00216936" w:rsidP="00216936">
      <w:pPr>
        <w:pStyle w:val="ParaNum"/>
      </w:pPr>
      <w:r w:rsidRPr="00C123AA">
        <w:rPr>
          <w:b/>
          <w:szCs w:val="22"/>
        </w:rPr>
        <w:t xml:space="preserve">Operators </w:t>
      </w:r>
      <w:r>
        <w:rPr>
          <w:b/>
          <w:szCs w:val="22"/>
        </w:rPr>
        <w:t>o</w:t>
      </w:r>
      <w:r w:rsidRPr="00C123AA">
        <w:rPr>
          <w:b/>
          <w:szCs w:val="22"/>
        </w:rPr>
        <w:t>f Non-</w:t>
      </w:r>
      <w:r>
        <w:rPr>
          <w:b/>
          <w:szCs w:val="22"/>
        </w:rPr>
        <w:t>Common Carrier</w:t>
      </w:r>
      <w:r w:rsidRPr="00C123AA">
        <w:rPr>
          <w:b/>
          <w:szCs w:val="22"/>
        </w:rPr>
        <w:t xml:space="preserve"> Undersea Cable Systems.</w:t>
      </w:r>
      <w:r w:rsidRPr="00F9400D">
        <w:rPr>
          <w:szCs w:val="22"/>
        </w:rPr>
        <w:t xml:space="preserve">  </w:t>
      </w:r>
      <w:r>
        <w:rPr>
          <w:szCs w:val="22"/>
        </w:rPr>
        <w:t>Section 43.62 of the Commission’s rules requires all submarine cable licensees to file data on their</w:t>
      </w:r>
      <w:r w:rsidRPr="00F9400D">
        <w:rPr>
          <w:szCs w:val="22"/>
        </w:rPr>
        <w:t xml:space="preserve"> </w:t>
      </w:r>
      <w:r>
        <w:rPr>
          <w:szCs w:val="22"/>
        </w:rPr>
        <w:t xml:space="preserve">circuits on submarine </w:t>
      </w:r>
      <w:r w:rsidRPr="00F9400D">
        <w:rPr>
          <w:szCs w:val="22"/>
        </w:rPr>
        <w:t>cable facilities.</w:t>
      </w:r>
      <w:r>
        <w:rPr>
          <w:rStyle w:val="FootnoteReference"/>
          <w:szCs w:val="22"/>
        </w:rPr>
        <w:footnoteReference w:id="131"/>
      </w:r>
      <w:r w:rsidRPr="00F9400D">
        <w:rPr>
          <w:szCs w:val="22"/>
        </w:rPr>
        <w:t xml:space="preserve">  Neither the Commission nor the SBA has developed a size standard specifically for operators of non-</w:t>
      </w:r>
      <w:r>
        <w:rPr>
          <w:szCs w:val="22"/>
        </w:rPr>
        <w:t>common carrier</w:t>
      </w:r>
      <w:r w:rsidRPr="00F9400D">
        <w:rPr>
          <w:szCs w:val="22"/>
        </w:rPr>
        <w:t xml:space="preserve"> undersea cables. </w:t>
      </w:r>
      <w:r>
        <w:rPr>
          <w:szCs w:val="22"/>
        </w:rPr>
        <w:t xml:space="preserve"> </w:t>
      </w:r>
      <w:r w:rsidRPr="00F9400D">
        <w:rPr>
          <w:szCs w:val="22"/>
        </w:rPr>
        <w:t xml:space="preserve">Such entities would fall within the </w:t>
      </w:r>
      <w:r>
        <w:rPr>
          <w:szCs w:val="22"/>
        </w:rPr>
        <w:t xml:space="preserve">SBA </w:t>
      </w:r>
      <w:r w:rsidRPr="00F9400D">
        <w:rPr>
          <w:szCs w:val="22"/>
        </w:rPr>
        <w:t xml:space="preserve">category Wired Telecommunications </w:t>
      </w:r>
      <w:r>
        <w:rPr>
          <w:szCs w:val="22"/>
        </w:rPr>
        <w:t>C</w:t>
      </w:r>
      <w:r w:rsidRPr="00F9400D">
        <w:rPr>
          <w:szCs w:val="22"/>
        </w:rPr>
        <w:t>arriers.  The size standard under SBA rules for that category is that such a business is small if it has 1,500 or fewer employees.</w:t>
      </w:r>
      <w:r w:rsidRPr="00F9400D">
        <w:rPr>
          <w:rStyle w:val="StyleFootnoteReferenceStyle13Style12NECGFootnoteReferenc"/>
          <w:szCs w:val="22"/>
        </w:rPr>
        <w:footnoteReference w:id="132"/>
      </w:r>
      <w:r w:rsidRPr="00F9400D">
        <w:rPr>
          <w:szCs w:val="22"/>
        </w:rPr>
        <w:t xml:space="preserve">  </w:t>
      </w:r>
      <w:r w:rsidRPr="002509B1">
        <w:rPr>
          <w:szCs w:val="22"/>
        </w:rPr>
        <w:t>U.S. Census data for 2012 indicate that there were 3,117 firms in this category that operated for the entire year.</w:t>
      </w:r>
      <w:r w:rsidRPr="002509B1">
        <w:rPr>
          <w:rStyle w:val="FootnoteReference"/>
          <w:szCs w:val="22"/>
        </w:rPr>
        <w:footnoteReference w:id="133"/>
      </w:r>
      <w:r w:rsidRPr="002509B1">
        <w:rPr>
          <w:szCs w:val="22"/>
        </w:rPr>
        <w:t xml:space="preserve">  Of that number, 3,083 firms operated with fewer than 1,000 employees, </w:t>
      </w:r>
      <w:r w:rsidRPr="007B7C37">
        <w:rPr>
          <w:szCs w:val="22"/>
        </w:rPr>
        <w:t>and 34 firms</w:t>
      </w:r>
      <w:r w:rsidRPr="00F9400D">
        <w:rPr>
          <w:szCs w:val="22"/>
        </w:rPr>
        <w:t xml:space="preserve"> </w:t>
      </w:r>
      <w:r>
        <w:rPr>
          <w:szCs w:val="22"/>
        </w:rPr>
        <w:t xml:space="preserve">operated with </w:t>
      </w:r>
      <w:r w:rsidRPr="00F9400D">
        <w:rPr>
          <w:szCs w:val="22"/>
        </w:rPr>
        <w:t>1,000 employees or more.</w:t>
      </w:r>
      <w:r>
        <w:rPr>
          <w:rStyle w:val="FootnoteReference"/>
          <w:szCs w:val="22"/>
        </w:rPr>
        <w:footnoteReference w:id="134"/>
      </w:r>
      <w:r>
        <w:rPr>
          <w:szCs w:val="22"/>
        </w:rPr>
        <w:t xml:space="preserve">  </w:t>
      </w:r>
      <w:r w:rsidRPr="00F9400D">
        <w:rPr>
          <w:szCs w:val="22"/>
        </w:rPr>
        <w:t xml:space="preserve">Thus under this category and the associated small business size standard, the majority of these </w:t>
      </w:r>
      <w:r>
        <w:rPr>
          <w:szCs w:val="22"/>
        </w:rPr>
        <w:t xml:space="preserve">carriers </w:t>
      </w:r>
      <w:r w:rsidRPr="00F9400D">
        <w:rPr>
          <w:szCs w:val="22"/>
        </w:rPr>
        <w:t xml:space="preserve">can be considered small entities. </w:t>
      </w:r>
      <w:r>
        <w:rPr>
          <w:szCs w:val="22"/>
        </w:rPr>
        <w:t xml:space="preserve"> Under Section 43.62 of the Commission’s rules, U.S. facilities-based common carriers, non-common carrier satellite operators, cable landing licensees, and U.S. international carriers that owned or leased capacity on a submarine cable between the United States and any foreign point are required to annually file circuit capacity data.</w:t>
      </w:r>
      <w:r>
        <w:rPr>
          <w:rStyle w:val="FootnoteReference"/>
          <w:szCs w:val="22"/>
        </w:rPr>
        <w:footnoteReference w:id="135"/>
      </w:r>
      <w:r>
        <w:rPr>
          <w:szCs w:val="22"/>
        </w:rPr>
        <w:t xml:space="preserve">  </w:t>
      </w:r>
      <w:r w:rsidRPr="00836FB0">
        <w:rPr>
          <w:szCs w:val="22"/>
        </w:rPr>
        <w:t>A</w:t>
      </w:r>
      <w:r>
        <w:rPr>
          <w:szCs w:val="22"/>
        </w:rPr>
        <w:t xml:space="preserve">ccording to the International Bureau’s internally developed data, </w:t>
      </w:r>
      <w:r w:rsidRPr="00322A32">
        <w:rPr>
          <w:szCs w:val="22"/>
        </w:rPr>
        <w:t>85</w:t>
      </w:r>
      <w:r>
        <w:rPr>
          <w:szCs w:val="22"/>
        </w:rPr>
        <w:t xml:space="preserve"> such entities</w:t>
      </w:r>
      <w:r w:rsidRPr="00F9400D">
        <w:rPr>
          <w:szCs w:val="22"/>
        </w:rPr>
        <w:t xml:space="preserve"> filed </w:t>
      </w:r>
      <w:r>
        <w:rPr>
          <w:szCs w:val="22"/>
        </w:rPr>
        <w:t>circuit capacity data</w:t>
      </w:r>
      <w:r w:rsidRPr="00F9400D">
        <w:rPr>
          <w:szCs w:val="22"/>
        </w:rPr>
        <w:t xml:space="preserve"> </w:t>
      </w:r>
      <w:r>
        <w:rPr>
          <w:szCs w:val="22"/>
        </w:rPr>
        <w:t>for the 2014 reporting year, and 91 such entities filed circuit capacity data for the 2015 reporting year.</w:t>
      </w:r>
      <w:r w:rsidRPr="00F9400D">
        <w:rPr>
          <w:rStyle w:val="FootnoteReference"/>
          <w:szCs w:val="22"/>
        </w:rPr>
        <w:footnoteReference w:id="136"/>
      </w:r>
      <w:r w:rsidRPr="00F9400D">
        <w:rPr>
          <w:szCs w:val="22"/>
        </w:rPr>
        <w:t xml:space="preserve">  We do not have data on the number of employees or revenues of operators of non-</w:t>
      </w:r>
      <w:r>
        <w:rPr>
          <w:szCs w:val="22"/>
        </w:rPr>
        <w:t xml:space="preserve">common carrier undersea cables.  </w:t>
      </w:r>
      <w:r w:rsidRPr="00F9400D">
        <w:rPr>
          <w:szCs w:val="22"/>
        </w:rPr>
        <w:t xml:space="preserve">We do know that a number of such entities pay regulatory fees on such circuits, but the names of such entities are confidential.  Because we do not have information on the number of employees or </w:t>
      </w:r>
      <w:r w:rsidRPr="00160042">
        <w:rPr>
          <w:szCs w:val="22"/>
        </w:rPr>
        <w:t>their annual revenues</w:t>
      </w:r>
      <w:r w:rsidR="00A67519">
        <w:rPr>
          <w:szCs w:val="22"/>
        </w:rPr>
        <w:t>, we will</w:t>
      </w:r>
      <w:r w:rsidRPr="00F9400D">
        <w:rPr>
          <w:szCs w:val="22"/>
        </w:rPr>
        <w:t xml:space="preserve"> consider all such providers to be small entities for purposes of this IRFA.</w:t>
      </w:r>
      <w:r>
        <w:rPr>
          <w:szCs w:val="22"/>
        </w:rPr>
        <w:t xml:space="preserve">  </w:t>
      </w:r>
    </w:p>
    <w:p w:rsidR="00216936" w:rsidRPr="000A5C6C" w:rsidRDefault="00216936" w:rsidP="00216936">
      <w:pPr>
        <w:pStyle w:val="ParaNum"/>
      </w:pPr>
      <w:r w:rsidRPr="003F6BCB">
        <w:rPr>
          <w:b/>
        </w:rPr>
        <w:t>Incumbent Local Exchange Carriers</w:t>
      </w:r>
      <w:r w:rsidRPr="003F6BCB">
        <w:t>.</w:t>
      </w:r>
      <w:r>
        <w:t xml:space="preserve">  </w:t>
      </w:r>
      <w:r w:rsidRPr="003F6BCB">
        <w:t>Because some of the international terrestrial facilities that are used to provide international telecommunications services may be owned by incumbent local exchange carriers, we have included small incumbent</w:t>
      </w:r>
      <w:r w:rsidRPr="00F9400D">
        <w:t xml:space="preserve"> local e</w:t>
      </w:r>
      <w:r w:rsidR="00A67519">
        <w:t>xchange carriers in this</w:t>
      </w:r>
      <w:r w:rsidRPr="00F9400D">
        <w:t xml:space="preserve"> RFA analysis, to the extent that such local exchange carriers may operate such international facilities</w:t>
      </w:r>
      <w:r w:rsidRPr="00CE6C2B">
        <w:t xml:space="preserve">.  (Local exchange carriers along the U.S.-border with </w:t>
      </w:r>
      <w:smartTag w:uri="urn:schemas-microsoft-com:office:smarttags" w:element="country-region">
        <w:r w:rsidRPr="00CE6C2B">
          <w:t>Mexico</w:t>
        </w:r>
      </w:smartTag>
      <w:r w:rsidRPr="00CE6C2B">
        <w:t xml:space="preserve"> or </w:t>
      </w:r>
      <w:smartTag w:uri="urn:schemas-microsoft-com:office:smarttags" w:element="place">
        <w:smartTag w:uri="urn:schemas-microsoft-com:office:smarttags" w:element="country-region">
          <w:r w:rsidRPr="00CE6C2B">
            <w:t>Canada</w:t>
          </w:r>
        </w:smartTag>
      </w:smartTag>
      <w:r w:rsidRPr="00CE6C2B">
        <w:t xml:space="preserve"> may have local facilities that cross the border.)</w:t>
      </w:r>
      <w:r>
        <w:t xml:space="preserve">  </w:t>
      </w:r>
      <w:r w:rsidRPr="00F9400D">
        <w:t>Neither the Commission nor the SBA has developed a small business size standard specifically for incumbent local exchange carriers.  The appropriate size standard under SBA rules is for the category Wired Telecommunications Carriers.  Under that size standard, such a business is small if it has 1,500 or fewer employees.</w:t>
      </w:r>
      <w:r w:rsidRPr="00F9400D">
        <w:rPr>
          <w:rStyle w:val="FootnoteReference"/>
          <w:szCs w:val="22"/>
        </w:rPr>
        <w:footnoteReference w:id="137"/>
      </w:r>
      <w:r w:rsidRPr="00F9400D">
        <w:t xml:space="preserve">  </w:t>
      </w:r>
      <w:r>
        <w:t>U</w:t>
      </w:r>
      <w:r w:rsidRPr="002509B1">
        <w:rPr>
          <w:szCs w:val="22"/>
        </w:rPr>
        <w:t>.S. Census data for 2012 indicates that there were 3,117 firms in this category that operated for the entire year.</w:t>
      </w:r>
      <w:r w:rsidRPr="002509B1">
        <w:rPr>
          <w:rStyle w:val="FootnoteReference"/>
          <w:szCs w:val="22"/>
        </w:rPr>
        <w:footnoteReference w:id="138"/>
      </w:r>
      <w:r w:rsidRPr="002509B1">
        <w:rPr>
          <w:szCs w:val="22"/>
        </w:rPr>
        <w:t xml:space="preserve">  Of that number, 3,083 firms operated with fewer than 1,000 employees, </w:t>
      </w:r>
      <w:r w:rsidRPr="007B7C37">
        <w:rPr>
          <w:szCs w:val="22"/>
        </w:rPr>
        <w:t>and 34 firms</w:t>
      </w:r>
      <w:r w:rsidRPr="00F9400D">
        <w:rPr>
          <w:szCs w:val="22"/>
        </w:rPr>
        <w:t xml:space="preserve"> </w:t>
      </w:r>
      <w:r>
        <w:rPr>
          <w:szCs w:val="22"/>
        </w:rPr>
        <w:t xml:space="preserve">operated with </w:t>
      </w:r>
      <w:r w:rsidRPr="00F9400D">
        <w:rPr>
          <w:szCs w:val="22"/>
        </w:rPr>
        <w:t>1,000 employees or more.</w:t>
      </w:r>
      <w:r>
        <w:rPr>
          <w:rStyle w:val="FootnoteReference"/>
          <w:szCs w:val="22"/>
        </w:rPr>
        <w:footnoteReference w:id="139"/>
      </w:r>
      <w:r w:rsidRPr="00F9400D">
        <w:t xml:space="preserve"> </w:t>
      </w:r>
      <w:r>
        <w:t xml:space="preserve"> </w:t>
      </w:r>
      <w:r w:rsidRPr="00F9400D">
        <w:t xml:space="preserve">According to </w:t>
      </w:r>
      <w:r>
        <w:t xml:space="preserve">the </w:t>
      </w:r>
      <w:r w:rsidR="0014521F">
        <w:t xml:space="preserve">Wireline </w:t>
      </w:r>
      <w:r>
        <w:t xml:space="preserve">Competition Bureau’s </w:t>
      </w:r>
      <w:r w:rsidRPr="00B12707">
        <w:rPr>
          <w:i/>
          <w:szCs w:val="22"/>
        </w:rPr>
        <w:t xml:space="preserve">Trends in Telephone Service </w:t>
      </w:r>
      <w:r w:rsidR="00833214">
        <w:rPr>
          <w:szCs w:val="22"/>
        </w:rPr>
        <w:t>r</w:t>
      </w:r>
      <w:r w:rsidRPr="001D4071">
        <w:rPr>
          <w:szCs w:val="22"/>
        </w:rPr>
        <w:t>eport</w:t>
      </w:r>
      <w:r w:rsidRPr="00F9400D">
        <w:t xml:space="preserve">, </w:t>
      </w:r>
      <w:r w:rsidRPr="00B65052">
        <w:t>1,307 carriers reported that they were incumbent local exchange service providers.</w:t>
      </w:r>
      <w:r w:rsidRPr="00B65052">
        <w:rPr>
          <w:rStyle w:val="FootnoteReference"/>
          <w:szCs w:val="22"/>
        </w:rPr>
        <w:footnoteReference w:id="140"/>
      </w:r>
      <w:r w:rsidRPr="00B65052">
        <w:t xml:space="preserve">  Of these 1,307 carriers, an estimated 1,006 have 1,500 or fewer employees and 301 have more than 1,500 employees.</w:t>
      </w:r>
      <w:r w:rsidRPr="00B65052">
        <w:rPr>
          <w:rStyle w:val="FootnoteReference"/>
          <w:szCs w:val="22"/>
        </w:rPr>
        <w:footnoteReference w:id="141"/>
      </w:r>
      <w:r w:rsidRPr="00B65052">
        <w:t xml:space="preserve">  As noted above, a “small business” under the R</w:t>
      </w:r>
      <w:r w:rsidR="00A67519">
        <w:t>FA is one that, among other things</w:t>
      </w:r>
      <w:r w:rsidRPr="00B65052">
        <w:t>, meets the pertinent small business size standard (e.g., a telephone communications business having</w:t>
      </w:r>
      <w:r w:rsidRPr="00F9400D">
        <w:t xml:space="preserve"> 1,500 or fewer employees), and “is not dominant in its field of operation.”</w:t>
      </w:r>
      <w:r w:rsidRPr="00F9400D">
        <w:rPr>
          <w:rStyle w:val="FootnoteReference"/>
          <w:szCs w:val="22"/>
        </w:rPr>
        <w:footnoteReference w:id="142"/>
      </w:r>
      <w:r w:rsidRPr="00F9400D">
        <w:t xml:space="preserve">  The SBA’s Office of </w:t>
      </w:r>
      <w:r w:rsidR="00A67519">
        <w:t>Advocacy states</w:t>
      </w:r>
      <w:r w:rsidRPr="000A5C6C">
        <w:t xml:space="preserve"> that, for RFA purposes, small incumbent local exchange carriers are not dominant in their field of operation because any such dominance is not “national” in scope.</w:t>
      </w:r>
      <w:r w:rsidRPr="000A5C6C">
        <w:rPr>
          <w:rStyle w:val="FootnoteReference"/>
          <w:szCs w:val="22"/>
        </w:rPr>
        <w:footnoteReference w:id="143"/>
      </w:r>
      <w:r w:rsidRPr="000A5C6C">
        <w:t xml:space="preserve">  Consequently, the Commission estimates that most providers of local exchange service are small entities that may be affected by this NPRM.  We have therefore included small incumbent local exchange carriers in this RFA anal</w:t>
      </w:r>
      <w:r w:rsidR="00A67519">
        <w:t>ysis, although</w:t>
      </w:r>
      <w:r w:rsidRPr="000A5C6C">
        <w:t xml:space="preserve"> this RFA action has no effect on Commission analysis and determinations in other, non-RFA contexts.  Thus under this category and the associated small business size standard, the majority of these incumbent local exchange service providers can be considered small providers. </w:t>
      </w:r>
    </w:p>
    <w:p w:rsidR="00216936" w:rsidRDefault="00216936" w:rsidP="00101496">
      <w:pPr>
        <w:pStyle w:val="Heading2"/>
      </w:pPr>
      <w:r w:rsidRPr="000A5C6C">
        <w:t>Description of Projected Reporting, Recordkeeping, and Other Compliance Requirements for</w:t>
      </w:r>
      <w:r w:rsidRPr="002A608A">
        <w:t xml:space="preserve"> Small Entities</w:t>
      </w:r>
    </w:p>
    <w:p w:rsidR="00216936" w:rsidRPr="006C6284" w:rsidRDefault="00216936" w:rsidP="00216936">
      <w:pPr>
        <w:pStyle w:val="ParaNum"/>
        <w:rPr>
          <w:szCs w:val="22"/>
        </w:rPr>
      </w:pPr>
      <w:r w:rsidRPr="00DE5032">
        <w:t xml:space="preserve">The </w:t>
      </w:r>
      <w:r w:rsidRPr="00267D96">
        <w:t>NPRM proposes a number of rule changes that would affect reporting, recordkeeping and other compli</w:t>
      </w:r>
      <w:r>
        <w:t xml:space="preserve">ance requirements for </w:t>
      </w:r>
      <w:r w:rsidRPr="00EA604C">
        <w:rPr>
          <w:szCs w:val="22"/>
        </w:rPr>
        <w:t xml:space="preserve">entities providing international </w:t>
      </w:r>
      <w:r>
        <w:rPr>
          <w:szCs w:val="22"/>
        </w:rPr>
        <w:t>common carrier</w:t>
      </w:r>
      <w:r w:rsidRPr="00EA604C">
        <w:rPr>
          <w:szCs w:val="22"/>
        </w:rPr>
        <w:t xml:space="preserve"> services pursuant to </w:t>
      </w:r>
      <w:r>
        <w:rPr>
          <w:szCs w:val="22"/>
        </w:rPr>
        <w:t>S</w:t>
      </w:r>
      <w:r w:rsidRPr="00EA604C">
        <w:rPr>
          <w:szCs w:val="22"/>
        </w:rPr>
        <w:t xml:space="preserve">ection 214 of the Communications Act; entities providing international wireless </w:t>
      </w:r>
      <w:r>
        <w:rPr>
          <w:szCs w:val="22"/>
        </w:rPr>
        <w:t>common carrier</w:t>
      </w:r>
      <w:r w:rsidRPr="00EA604C">
        <w:rPr>
          <w:szCs w:val="22"/>
        </w:rPr>
        <w:t xml:space="preserve"> services under </w:t>
      </w:r>
      <w:r>
        <w:rPr>
          <w:szCs w:val="22"/>
        </w:rPr>
        <w:t>S</w:t>
      </w:r>
      <w:r w:rsidRPr="00EA604C">
        <w:rPr>
          <w:szCs w:val="22"/>
        </w:rPr>
        <w:t xml:space="preserve">ection 309 of the Act; entities providing </w:t>
      </w:r>
      <w:r>
        <w:rPr>
          <w:szCs w:val="22"/>
        </w:rPr>
        <w:t>common carrier</w:t>
      </w:r>
      <w:r w:rsidRPr="00EA604C">
        <w:rPr>
          <w:szCs w:val="22"/>
        </w:rPr>
        <w:t xml:space="preserve"> satellite services under </w:t>
      </w:r>
      <w:r>
        <w:rPr>
          <w:szCs w:val="22"/>
        </w:rPr>
        <w:t>S</w:t>
      </w:r>
      <w:r w:rsidRPr="00EA604C">
        <w:rPr>
          <w:szCs w:val="22"/>
        </w:rPr>
        <w:t>ection 309 of the Act; and entities licensed to construct and operate submarine cables under the Cable Landing License Act</w:t>
      </w:r>
      <w:r>
        <w:rPr>
          <w:szCs w:val="22"/>
        </w:rPr>
        <w:t xml:space="preserve">.  </w:t>
      </w:r>
      <w:r w:rsidRPr="006C6284">
        <w:rPr>
          <w:color w:val="000000"/>
          <w:szCs w:val="22"/>
        </w:rPr>
        <w:t>The NPRM</w:t>
      </w:r>
      <w:r>
        <w:rPr>
          <w:color w:val="000000"/>
          <w:szCs w:val="22"/>
        </w:rPr>
        <w:t xml:space="preserve"> </w:t>
      </w:r>
      <w:r w:rsidRPr="006C6284">
        <w:rPr>
          <w:color w:val="000000"/>
          <w:szCs w:val="22"/>
        </w:rPr>
        <w:t xml:space="preserve">proposes to </w:t>
      </w:r>
      <w:r>
        <w:t>eliminate, further streamline, or modify the current international reporting requirements</w:t>
      </w:r>
      <w:r w:rsidRPr="006C6284">
        <w:rPr>
          <w:color w:val="000000"/>
          <w:szCs w:val="22"/>
        </w:rPr>
        <w:t xml:space="preserve"> to reduce the burdens for both small and large carriers</w:t>
      </w:r>
      <w:r>
        <w:rPr>
          <w:szCs w:val="22"/>
        </w:rPr>
        <w:t xml:space="preserve">.  Specifically, </w:t>
      </w:r>
      <w:r>
        <w:t xml:space="preserve">the NPRM proposes to eliminate the annual </w:t>
      </w:r>
      <w:r w:rsidR="007A1CB0">
        <w:t>T</w:t>
      </w:r>
      <w:r>
        <w:t xml:space="preserve">raffic and </w:t>
      </w:r>
      <w:r w:rsidR="007A1CB0">
        <w:t>R</w:t>
      </w:r>
      <w:r>
        <w:t xml:space="preserve">evenue </w:t>
      </w:r>
      <w:r w:rsidR="007A1CB0">
        <w:t>R</w:t>
      </w:r>
      <w:r>
        <w:t>eport</w:t>
      </w:r>
      <w:r w:rsidR="007A1CB0">
        <w:t>s</w:t>
      </w:r>
      <w:r>
        <w:t>, and seek</w:t>
      </w:r>
      <w:r w:rsidR="00550F64">
        <w:t>s</w:t>
      </w:r>
      <w:r>
        <w:t xml:space="preserve"> comment on ways to further streamline the </w:t>
      </w:r>
      <w:r w:rsidR="007A1CB0">
        <w:t>C</w:t>
      </w:r>
      <w:r>
        <w:t xml:space="preserve">ircuit </w:t>
      </w:r>
      <w:r w:rsidR="007A1CB0">
        <w:t>C</w:t>
      </w:r>
      <w:r>
        <w:t xml:space="preserve">apacity </w:t>
      </w:r>
      <w:r w:rsidR="007A1CB0">
        <w:t>R</w:t>
      </w:r>
      <w:r>
        <w:t>eport</w:t>
      </w:r>
      <w:r w:rsidR="007A1CB0">
        <w:t>s</w:t>
      </w:r>
      <w:r>
        <w:t xml:space="preserve">.  </w:t>
      </w:r>
      <w:r>
        <w:rPr>
          <w:szCs w:val="22"/>
        </w:rPr>
        <w:t xml:space="preserve">As a result, the proposals in the NPRM will </w:t>
      </w:r>
      <w:r w:rsidR="00AD122C">
        <w:rPr>
          <w:szCs w:val="22"/>
        </w:rPr>
        <w:t xml:space="preserve">be financially beneficial and </w:t>
      </w:r>
      <w:r>
        <w:rPr>
          <w:szCs w:val="22"/>
        </w:rPr>
        <w:t xml:space="preserve">not impose any significant economic burdens on small carriers.  </w:t>
      </w:r>
    </w:p>
    <w:p w:rsidR="00216936" w:rsidRPr="00C33832" w:rsidRDefault="00216936" w:rsidP="00101496">
      <w:pPr>
        <w:pStyle w:val="Heading2"/>
      </w:pPr>
      <w:r w:rsidRPr="002A608A">
        <w:t>Steps Taken to Minimize Significant Economic Impact on Small Entities, and Significant Alternatives Considered</w:t>
      </w:r>
    </w:p>
    <w:p w:rsidR="00216936" w:rsidRDefault="00216936" w:rsidP="00216936">
      <w:pPr>
        <w:pStyle w:val="ParaNum"/>
        <w:widowControl/>
      </w:pPr>
      <w:r w:rsidRPr="00DE5032">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DE5032">
        <w:rPr>
          <w:vertAlign w:val="superscript"/>
        </w:rPr>
        <w:footnoteReference w:id="144"/>
      </w:r>
    </w:p>
    <w:p w:rsidR="00216936" w:rsidRPr="004C0C4F" w:rsidRDefault="00216936" w:rsidP="00216936">
      <w:pPr>
        <w:pStyle w:val="ParaNum"/>
        <w:rPr>
          <w:szCs w:val="22"/>
        </w:rPr>
      </w:pPr>
      <w:r w:rsidRPr="00DE5032">
        <w:t>In this NPRM, the proposed changes</w:t>
      </w:r>
      <w:r>
        <w:t xml:space="preserve"> in the </w:t>
      </w:r>
      <w:r w:rsidRPr="00E30B02">
        <w:t>international reporting requirements</w:t>
      </w:r>
      <w:r>
        <w:t xml:space="preserve"> would lessen the burden on carriers, including small entities.  We propose to eliminate the annual </w:t>
      </w:r>
      <w:r w:rsidR="007A1CB0">
        <w:t>T</w:t>
      </w:r>
      <w:r>
        <w:t xml:space="preserve">raffic and </w:t>
      </w:r>
      <w:r w:rsidR="007A1CB0">
        <w:t>R</w:t>
      </w:r>
      <w:r>
        <w:t xml:space="preserve">evenue </w:t>
      </w:r>
      <w:r w:rsidR="007A1CB0">
        <w:t>R</w:t>
      </w:r>
      <w:r>
        <w:t>eport</w:t>
      </w:r>
      <w:r w:rsidR="007A1CB0">
        <w:t>s</w:t>
      </w:r>
      <w:r>
        <w:t xml:space="preserve">, and seek comment on ways to further streamline the </w:t>
      </w:r>
      <w:r w:rsidR="007A1CB0">
        <w:t>C</w:t>
      </w:r>
      <w:r>
        <w:t xml:space="preserve">ircuit </w:t>
      </w:r>
      <w:r w:rsidR="007A1CB0">
        <w:t>C</w:t>
      </w:r>
      <w:r>
        <w:t xml:space="preserve">apacity </w:t>
      </w:r>
      <w:r w:rsidR="007A1CB0">
        <w:t>R</w:t>
      </w:r>
      <w:r>
        <w:t>eport</w:t>
      </w:r>
      <w:r w:rsidR="007A1CB0">
        <w:t>s</w:t>
      </w:r>
      <w:r>
        <w:t xml:space="preserve">.  After reviewing the record in this biennial review proceeding, and based on our own understanding of the competitive nature of the international services sector, we believe that the international traffic and revenue data collection is no longer necessary, and we propose to </w:t>
      </w:r>
      <w:r w:rsidRPr="00986F60">
        <w:t>eliminate</w:t>
      </w:r>
      <w:r>
        <w:t xml:space="preserve"> this report</w:t>
      </w:r>
      <w:r w:rsidR="00551187">
        <w:t>ing requirement</w:t>
      </w:r>
      <w:r w:rsidRPr="00986F60">
        <w:t>.</w:t>
      </w:r>
      <w:r>
        <w:t xml:space="preserve"> We recognize that there may be occasions when we need international services market information, and seek comment on how to obtain this information in the most cost effective and least burdensome way. </w:t>
      </w:r>
      <w:r w:rsidR="003D18F1">
        <w:t xml:space="preserve"> </w:t>
      </w:r>
      <w:r w:rsidR="003D18F1" w:rsidRPr="006C1B50">
        <w:t>We are also considering alternatives that would provide the Commission with important information for fulfilling its statutory obligations but would reduce the burdens on small businesses.</w:t>
      </w:r>
      <w:r w:rsidR="003D18F1">
        <w:rPr>
          <w:rStyle w:val="FootnoteReference"/>
        </w:rPr>
        <w:footnoteReference w:id="145"/>
      </w:r>
      <w:r w:rsidR="003D18F1">
        <w:rPr>
          <w:color w:val="C00000"/>
        </w:rPr>
        <w:t xml:space="preserve">  </w:t>
      </w:r>
      <w:r>
        <w:t xml:space="preserve">With respect to the annual </w:t>
      </w:r>
      <w:r w:rsidR="007A1CB0">
        <w:t>C</w:t>
      </w:r>
      <w:r>
        <w:t xml:space="preserve">ircuit </w:t>
      </w:r>
      <w:r w:rsidR="007A1CB0">
        <w:t>C</w:t>
      </w:r>
      <w:r>
        <w:t xml:space="preserve">apacity </w:t>
      </w:r>
      <w:r w:rsidR="007A1CB0">
        <w:t>R</w:t>
      </w:r>
      <w:r>
        <w:t xml:space="preserve">eports, we believe they </w:t>
      </w:r>
      <w:r w:rsidR="00F96DE4">
        <w:t xml:space="preserve">may warrant retention, </w:t>
      </w:r>
      <w:r>
        <w:t>and do not propose their elimination.  We do, however, explore whether there are ways we could further</w:t>
      </w:r>
      <w:r w:rsidRPr="00986F60">
        <w:t xml:space="preserve"> streamline or modify </w:t>
      </w:r>
      <w:r>
        <w:t xml:space="preserve">this </w:t>
      </w:r>
      <w:r w:rsidRPr="00986F60">
        <w:t>data collection</w:t>
      </w:r>
      <w:r>
        <w:t xml:space="preserve"> while meeting our statutory obligations. </w:t>
      </w:r>
    </w:p>
    <w:p w:rsidR="00216936" w:rsidRDefault="00216936" w:rsidP="00216936">
      <w:pPr>
        <w:pStyle w:val="ParaNum"/>
      </w:pPr>
      <w:r w:rsidRPr="00DE5032">
        <w:t>The NPRM seeks comment from all interested parties.  The Commission is aware that some of the proposals under consideration may impact small entities.  Small entities are encouraged to bring to the Commission’s attention any specific concerns they may have with the proposals outlined in the N</w:t>
      </w:r>
      <w:r>
        <w:t>PRM.</w:t>
      </w:r>
    </w:p>
    <w:p w:rsidR="00216936" w:rsidRDefault="00216936" w:rsidP="00216936">
      <w:pPr>
        <w:pStyle w:val="ParaNum"/>
      </w:pPr>
      <w:r w:rsidRPr="00DE5032">
        <w:t>The Commission expects to consider the economic impact on small entities, as identified in comments filed in response to the N</w:t>
      </w:r>
      <w:r>
        <w:t>PRM</w:t>
      </w:r>
      <w:r w:rsidRPr="00DE5032">
        <w:t xml:space="preserve">, in reaching its final conclusions and taking action in this proceeding. </w:t>
      </w:r>
    </w:p>
    <w:p w:rsidR="00216936" w:rsidRPr="00E9147D" w:rsidRDefault="00216936" w:rsidP="00101496">
      <w:pPr>
        <w:pStyle w:val="Heading2"/>
      </w:pPr>
      <w:r w:rsidRPr="00E9147D">
        <w:t>Federal Rules that May Duplicate, Overlap, or Conflict With the Proposed Rules</w:t>
      </w:r>
    </w:p>
    <w:p w:rsidR="00216936" w:rsidRDefault="00216936" w:rsidP="00216936">
      <w:pPr>
        <w:pStyle w:val="ParaNum"/>
      </w:pPr>
      <w:r w:rsidRPr="00396C4D">
        <w:t>None.</w:t>
      </w:r>
    </w:p>
    <w:p w:rsidR="009D0D94" w:rsidRDefault="009D0D94" w:rsidP="0038751D"/>
    <w:p w:rsidR="009D0D94" w:rsidRPr="009D0D94" w:rsidRDefault="009D0D94" w:rsidP="009D0D94"/>
    <w:p w:rsidR="009D0D94" w:rsidRPr="009D0D94" w:rsidRDefault="009D0D94" w:rsidP="009D0D94"/>
    <w:p w:rsidR="009D0D94" w:rsidRDefault="009D0D94" w:rsidP="009D0D94"/>
    <w:p w:rsidR="00FE2243" w:rsidRPr="009D0D94" w:rsidRDefault="009D0D94" w:rsidP="009D0D94">
      <w:pPr>
        <w:tabs>
          <w:tab w:val="center" w:pos="4680"/>
        </w:tabs>
        <w:sectPr w:rsidR="00FE2243" w:rsidRPr="009D0D94" w:rsidSect="00FB7878">
          <w:footnotePr>
            <w:numRestart w:val="eachSect"/>
          </w:footnotePr>
          <w:endnotePr>
            <w:numFmt w:val="decimal"/>
          </w:endnotePr>
          <w:pgSz w:w="12240" w:h="15840"/>
          <w:pgMar w:top="1440" w:right="1440" w:bottom="720" w:left="1440" w:header="720" w:footer="720" w:gutter="0"/>
          <w:cols w:space="720"/>
          <w:noEndnote/>
          <w:titlePg/>
        </w:sectPr>
      </w:pPr>
      <w:r>
        <w:tab/>
      </w:r>
    </w:p>
    <w:p w:rsidR="001556D8" w:rsidRPr="00303A8E" w:rsidRDefault="001556D8" w:rsidP="001556D8">
      <w:pPr>
        <w:spacing w:after="240"/>
        <w:jc w:val="center"/>
        <w:rPr>
          <w:b/>
          <w:bCs/>
          <w:caps/>
        </w:rPr>
      </w:pPr>
      <w:r w:rsidRPr="00303A8E">
        <w:rPr>
          <w:b/>
          <w:bCs/>
          <w:caps/>
        </w:rPr>
        <w:t>Statement of</w:t>
      </w:r>
      <w:r>
        <w:rPr>
          <w:b/>
          <w:bCs/>
          <w:caps/>
        </w:rPr>
        <w:br/>
      </w:r>
      <w:r w:rsidRPr="00303A8E">
        <w:rPr>
          <w:b/>
          <w:bCs/>
          <w:caps/>
        </w:rPr>
        <w:t>CHAIRMAN AJIT PAI</w:t>
      </w:r>
    </w:p>
    <w:p w:rsidR="001556D8" w:rsidRDefault="001556D8" w:rsidP="001556D8">
      <w:pPr>
        <w:ind w:left="720" w:hanging="720"/>
        <w:rPr>
          <w:rFonts w:eastAsia="Calibri"/>
        </w:rPr>
      </w:pPr>
      <w:r w:rsidRPr="00303A8E">
        <w:rPr>
          <w:rFonts w:eastAsia="Calibri"/>
        </w:rPr>
        <w:t>Re:</w:t>
      </w:r>
      <w:r w:rsidRPr="00303A8E">
        <w:rPr>
          <w:rFonts w:eastAsia="Calibri"/>
        </w:rPr>
        <w:tab/>
      </w:r>
      <w:r w:rsidRPr="00303A8E">
        <w:rPr>
          <w:rFonts w:eastAsia="Calibri"/>
          <w:i/>
        </w:rPr>
        <w:t>Section 43.62 Reporting Requirements for U.S. Providers of International Services</w:t>
      </w:r>
      <w:r w:rsidRPr="00303A8E">
        <w:rPr>
          <w:rFonts w:eastAsia="Calibri"/>
        </w:rPr>
        <w:t xml:space="preserve">, </w:t>
      </w:r>
      <w:r w:rsidRPr="00303A8E">
        <w:t xml:space="preserve">IB Docket No. 17-55; </w:t>
      </w:r>
      <w:r w:rsidRPr="00303A8E">
        <w:rPr>
          <w:i/>
        </w:rPr>
        <w:t xml:space="preserve">2016 </w:t>
      </w:r>
      <w:r w:rsidRPr="007575A8">
        <w:rPr>
          <w:i/>
        </w:rPr>
        <w:t>Biennial Review of Telecommunications Regulations</w:t>
      </w:r>
      <w:r w:rsidRPr="001859DA">
        <w:t>, IB Docket No. 16-131</w:t>
      </w:r>
      <w:r w:rsidRPr="001859DA">
        <w:rPr>
          <w:rFonts w:eastAsia="Calibri"/>
        </w:rPr>
        <w:t>.</w:t>
      </w:r>
    </w:p>
    <w:p w:rsidR="001556D8" w:rsidRPr="001859DA" w:rsidRDefault="001556D8" w:rsidP="001556D8">
      <w:pPr>
        <w:ind w:left="720" w:hanging="720"/>
        <w:rPr>
          <w:rFonts w:eastAsia="Calibri"/>
          <w:i/>
        </w:rPr>
      </w:pPr>
    </w:p>
    <w:p w:rsidR="001556D8" w:rsidRPr="004C491F" w:rsidRDefault="001556D8" w:rsidP="001556D8">
      <w:pPr>
        <w:ind w:firstLine="720"/>
        <w:rPr>
          <w:rFonts w:eastAsia="Calibri"/>
          <w:color w:val="000000" w:themeColor="text1"/>
        </w:rPr>
      </w:pPr>
      <w:r w:rsidRPr="004C491F">
        <w:rPr>
          <w:rFonts w:eastAsia="Calibri"/>
          <w:color w:val="000000" w:themeColor="text1"/>
        </w:rPr>
        <w:t xml:space="preserve">Section 11 of the Communications Act requires the FCC </w:t>
      </w:r>
      <w:r w:rsidRPr="004C491F">
        <w:rPr>
          <w:color w:val="000000" w:themeColor="text1"/>
          <w:shd w:val="clear" w:color="auto" w:fill="FFFFFF"/>
        </w:rPr>
        <w:t xml:space="preserve">to review every telecommunications regulation on the books every two years and to “determine whether [it] is no longer necessary in the public interest as the result of meaningful economic competition between providers of such service.”  </w:t>
      </w:r>
      <w:r w:rsidRPr="004C491F">
        <w:rPr>
          <w:rFonts w:eastAsia="Calibri"/>
          <w:color w:val="000000" w:themeColor="text1"/>
        </w:rPr>
        <w:t>For many years, the FCC treated this “biennial review” obligation like a check-the-box assignment.  Agency staff spent many hours compiling outdated regulations that were ripe for repeal, and the FCC did . . . nothing.  I know this because I used to be one of those staffers.</w:t>
      </w:r>
    </w:p>
    <w:p w:rsidR="001556D8" w:rsidRPr="00303A8E" w:rsidRDefault="001556D8" w:rsidP="001556D8">
      <w:pPr>
        <w:ind w:firstLine="720"/>
        <w:rPr>
          <w:rFonts w:eastAsia="Calibri"/>
        </w:rPr>
      </w:pPr>
    </w:p>
    <w:p w:rsidR="001556D8" w:rsidRDefault="001556D8" w:rsidP="001556D8">
      <w:pPr>
        <w:ind w:firstLine="720"/>
      </w:pPr>
      <w:r>
        <w:rPr>
          <w:rFonts w:eastAsia="Calibri"/>
        </w:rPr>
        <w:t xml:space="preserve">But times are changing.  </w:t>
      </w:r>
      <w:r w:rsidRPr="00303A8E">
        <w:rPr>
          <w:rFonts w:eastAsia="Calibri"/>
        </w:rPr>
        <w:t xml:space="preserve">Today, </w:t>
      </w:r>
      <w:r w:rsidRPr="00303A8E">
        <w:t xml:space="preserve">the Commission takes steps </w:t>
      </w:r>
      <w:r w:rsidRPr="00303A8E">
        <w:rPr>
          <w:rFonts w:eastAsia="Calibri"/>
        </w:rPr>
        <w:t>to</w:t>
      </w:r>
      <w:r w:rsidRPr="00303A8E">
        <w:t xml:space="preserve"> eliminate and streamline two categories of outdated reporting requirements.  In response to </w:t>
      </w:r>
      <w:r>
        <w:t xml:space="preserve">matters teed up during the 2016 biennial review process, we </w:t>
      </w:r>
      <w:r w:rsidRPr="00303A8E">
        <w:t xml:space="preserve">propose </w:t>
      </w:r>
      <w:r>
        <w:t xml:space="preserve">today </w:t>
      </w:r>
      <w:r w:rsidRPr="00303A8E">
        <w:t>to eliminate the annual Traffic and Revenue Report and streamline the Circuit Capacity Report</w:t>
      </w:r>
      <w:r>
        <w:t>, each of which</w:t>
      </w:r>
      <w:r w:rsidRPr="00303A8E">
        <w:t xml:space="preserve"> place</w:t>
      </w:r>
      <w:r>
        <w:t>s</w:t>
      </w:r>
      <w:r w:rsidRPr="00303A8E">
        <w:t xml:space="preserve"> filing burdens on U.S. providers of international services.  </w:t>
      </w:r>
      <w:r>
        <w:t>And we do this because competition has obviated the original need for these reports, and the cost</w:t>
      </w:r>
      <w:r w:rsidRPr="00303A8E">
        <w:t xml:space="preserve"> of these </w:t>
      </w:r>
      <w:r>
        <w:t xml:space="preserve">ongoing </w:t>
      </w:r>
      <w:r w:rsidRPr="00303A8E">
        <w:t>data collections exceed the benefits to the Commission</w:t>
      </w:r>
      <w:r>
        <w:t xml:space="preserve"> and companies alike.</w:t>
      </w:r>
    </w:p>
    <w:p w:rsidR="001556D8" w:rsidRDefault="001556D8" w:rsidP="001556D8">
      <w:pPr>
        <w:ind w:firstLine="720"/>
        <w:rPr>
          <w:rFonts w:eastAsia="Calibri"/>
        </w:rPr>
      </w:pPr>
    </w:p>
    <w:p w:rsidR="001556D8" w:rsidRDefault="001556D8" w:rsidP="001556D8">
      <w:pPr>
        <w:ind w:firstLine="720"/>
        <w:rPr>
          <w:rFonts w:eastAsia="Calibri"/>
        </w:rPr>
      </w:pPr>
      <w:r>
        <w:t>For instance, o</w:t>
      </w:r>
      <w:r w:rsidRPr="001859DA">
        <w:t xml:space="preserve">ver 1,800 entities had </w:t>
      </w:r>
      <w:r>
        <w:t>to file information for the 2016</w:t>
      </w:r>
      <w:r w:rsidRPr="001859DA">
        <w:t xml:space="preserve"> </w:t>
      </w:r>
      <w:r>
        <w:t>international Traffic and Revenue Report</w:t>
      </w:r>
      <w:r w:rsidRPr="001859DA">
        <w:t xml:space="preserve">.  And </w:t>
      </w:r>
      <w:r>
        <w:t xml:space="preserve">countless employees spent </w:t>
      </w:r>
      <w:r w:rsidRPr="001859DA">
        <w:t>thousands of hours to prepare, submit</w:t>
      </w:r>
      <w:r>
        <w:t>,</w:t>
      </w:r>
      <w:r w:rsidRPr="001859DA">
        <w:t xml:space="preserve"> and analyze this data.</w:t>
      </w:r>
      <w:r>
        <w:t xml:space="preserve"> </w:t>
      </w:r>
      <w:r w:rsidRPr="001859DA">
        <w:t xml:space="preserve"> Yet </w:t>
      </w:r>
      <w:r>
        <w:t xml:space="preserve">the Commission doesn’t need this information in order to discharge its duties.  That’s because the marketplace for international communications services is by all accounts </w:t>
      </w:r>
      <w:r w:rsidRPr="001859DA">
        <w:t xml:space="preserve">competitive.  </w:t>
      </w:r>
      <w:r>
        <w:t xml:space="preserve">Indeed, that’s why the FCC </w:t>
      </w:r>
      <w:r w:rsidRPr="001859DA">
        <w:t>end</w:t>
      </w:r>
      <w:r>
        <w:t>ed</w:t>
      </w:r>
      <w:r w:rsidRPr="001859DA">
        <w:t xml:space="preserve"> its International Settlements Policy</w:t>
      </w:r>
      <w:r>
        <w:t xml:space="preserve"> in 2012</w:t>
      </w:r>
      <w:r w:rsidRPr="001859DA">
        <w:t>.</w:t>
      </w:r>
      <w:r>
        <w:t xml:space="preserve">  It unanimously concluded, based in part on a 2010 traffic report, that the “market has seen significant competitive growth,” making the policy not only superfluous but counterproductive.</w:t>
      </w:r>
    </w:p>
    <w:p w:rsidR="001556D8" w:rsidRDefault="001556D8" w:rsidP="001556D8">
      <w:pPr>
        <w:ind w:firstLine="720"/>
        <w:rPr>
          <w:rFonts w:eastAsia="Calibri"/>
        </w:rPr>
      </w:pPr>
    </w:p>
    <w:p w:rsidR="001556D8" w:rsidRDefault="001556D8" w:rsidP="001556D8">
      <w:pPr>
        <w:ind w:firstLine="720"/>
        <w:rPr>
          <w:rFonts w:eastAsia="Calibri"/>
        </w:rPr>
      </w:pPr>
      <w:r>
        <w:t xml:space="preserve">And I believe this is now true of the Report itself.  </w:t>
      </w:r>
      <w:r>
        <w:rPr>
          <w:rFonts w:eastAsia="Calibri"/>
        </w:rPr>
        <w:t>It is our hope that the r</w:t>
      </w:r>
      <w:r w:rsidRPr="00CA6000">
        <w:rPr>
          <w:rFonts w:eastAsia="Calibri"/>
        </w:rPr>
        <w:t xml:space="preserve">esources currently devoted to </w:t>
      </w:r>
      <w:r>
        <w:rPr>
          <w:rFonts w:eastAsia="Calibri"/>
        </w:rPr>
        <w:t xml:space="preserve">complying with these </w:t>
      </w:r>
      <w:r w:rsidRPr="00CA6000">
        <w:rPr>
          <w:rFonts w:eastAsia="Calibri"/>
        </w:rPr>
        <w:t xml:space="preserve">unnecessary reporting requirements </w:t>
      </w:r>
      <w:r>
        <w:rPr>
          <w:rFonts w:eastAsia="Calibri"/>
        </w:rPr>
        <w:t xml:space="preserve">will </w:t>
      </w:r>
      <w:r w:rsidRPr="00CA6000">
        <w:rPr>
          <w:rFonts w:eastAsia="Calibri"/>
        </w:rPr>
        <w:t xml:space="preserve">be applied to </w:t>
      </w:r>
      <w:r>
        <w:rPr>
          <w:rFonts w:eastAsia="Calibri"/>
        </w:rPr>
        <w:t xml:space="preserve">more productive use—namely, connecting American </w:t>
      </w:r>
      <w:r w:rsidRPr="00CA6000">
        <w:rPr>
          <w:rFonts w:eastAsia="Calibri"/>
        </w:rPr>
        <w:t>consumers now and in the future.</w:t>
      </w:r>
      <w:r w:rsidRPr="00CA6000">
        <w:t xml:space="preserve">  </w:t>
      </w:r>
      <w:r>
        <w:t>This is another step toward modernizing our rules and enabling the private sector to deploy infrastructure rather than teams of lawyers and accountants.  I hope these proposals will be adopted in the near future.</w:t>
      </w:r>
    </w:p>
    <w:p w:rsidR="001556D8" w:rsidRDefault="001556D8" w:rsidP="001556D8">
      <w:pPr>
        <w:ind w:firstLine="720"/>
        <w:rPr>
          <w:rFonts w:eastAsia="Calibri"/>
        </w:rPr>
      </w:pPr>
    </w:p>
    <w:p w:rsidR="001556D8" w:rsidRDefault="001556D8" w:rsidP="001556D8">
      <w:pPr>
        <w:ind w:firstLine="720"/>
        <w:rPr>
          <w:rFonts w:eastAsia="Calibri"/>
        </w:rPr>
      </w:pPr>
      <w:r>
        <w:rPr>
          <w:rFonts w:eastAsia="Calibri"/>
        </w:rPr>
        <w:t xml:space="preserve">This doesn’t end our work in this vineyard, though.  </w:t>
      </w:r>
      <w:r>
        <w:t xml:space="preserve">In this </w:t>
      </w:r>
      <w:r w:rsidRPr="007D22A3">
        <w:rPr>
          <w:i/>
        </w:rPr>
        <w:t>Notice</w:t>
      </w:r>
      <w:r>
        <w:t xml:space="preserve">, we also seek comment on ways to streamline and improve the reporting requirements related to </w:t>
      </w:r>
      <w:r w:rsidRPr="001859DA">
        <w:t>the Circuit Capacity Reports</w:t>
      </w:r>
      <w:r w:rsidRPr="00FC373D">
        <w:t xml:space="preserve">.  For </w:t>
      </w:r>
      <w:r>
        <w:t>example</w:t>
      </w:r>
      <w:r w:rsidRPr="00FC373D">
        <w:t xml:space="preserve">, we seek input in the </w:t>
      </w:r>
      <w:r w:rsidRPr="00FC373D">
        <w:rPr>
          <w:i/>
        </w:rPr>
        <w:t>Notice</w:t>
      </w:r>
      <w:r w:rsidRPr="00FC373D">
        <w:t xml:space="preserve"> on the costs of preparing and submitting these reports</w:t>
      </w:r>
      <w:r>
        <w:t>;</w:t>
      </w:r>
      <w:r w:rsidRPr="00FC373D">
        <w:t xml:space="preserve"> whether we should consider changing the information we collect</w:t>
      </w:r>
      <w:r>
        <w:t>;</w:t>
      </w:r>
      <w:r w:rsidRPr="00FC373D">
        <w:t xml:space="preserve"> and whether </w:t>
      </w:r>
      <w:r>
        <w:t xml:space="preserve">we can get any necessary </w:t>
      </w:r>
      <w:r w:rsidRPr="00FC373D">
        <w:t xml:space="preserve">data from </w:t>
      </w:r>
      <w:r>
        <w:t xml:space="preserve">publicly available </w:t>
      </w:r>
      <w:r w:rsidRPr="00FC373D">
        <w:t xml:space="preserve">commercial sources.  </w:t>
      </w:r>
      <w:r>
        <w:t xml:space="preserve">Here too </w:t>
      </w:r>
      <w:r w:rsidRPr="00FC373D">
        <w:rPr>
          <w:rFonts w:eastAsia="Calibri"/>
        </w:rPr>
        <w:t xml:space="preserve">we </w:t>
      </w:r>
      <w:r>
        <w:rPr>
          <w:rFonts w:eastAsia="Calibri"/>
        </w:rPr>
        <w:t xml:space="preserve">should ensure that </w:t>
      </w:r>
      <w:r w:rsidRPr="00FC373D">
        <w:rPr>
          <w:rFonts w:eastAsia="Calibri"/>
        </w:rPr>
        <w:t xml:space="preserve">reporting requirements </w:t>
      </w:r>
      <w:r>
        <w:rPr>
          <w:rFonts w:eastAsia="Calibri"/>
        </w:rPr>
        <w:t>are functions of actual need, not agency inertia, and that the benefits of this information collection outweigh the costs.</w:t>
      </w:r>
    </w:p>
    <w:p w:rsidR="001556D8" w:rsidRDefault="001556D8" w:rsidP="001556D8">
      <w:pPr>
        <w:ind w:firstLine="720"/>
        <w:rPr>
          <w:rFonts w:eastAsia="Calibri"/>
        </w:rPr>
      </w:pPr>
    </w:p>
    <w:p w:rsidR="001556D8" w:rsidRDefault="001556D8" w:rsidP="001556D8">
      <w:pPr>
        <w:ind w:firstLine="720"/>
        <w:rPr>
          <w:rFonts w:eastAsia="Calibri"/>
        </w:rPr>
      </w:pPr>
      <w:r w:rsidRPr="00303A8E">
        <w:rPr>
          <w:rFonts w:eastAsia="Calibri"/>
        </w:rPr>
        <w:t>I’d like to thank the staff of the International Bureau for its hard work on this item, particularly Denise Coca, Kate Collins, Kim Cook, Jerry Duvall, Francis Gutierrez, Gabrielle Kim, David Krech, Hei</w:t>
      </w:r>
      <w:r>
        <w:rPr>
          <w:rFonts w:eastAsia="Calibri"/>
        </w:rPr>
        <w:t>di Kroll, Arthur Lechtman, Daniel</w:t>
      </w:r>
      <w:r w:rsidRPr="00303A8E">
        <w:rPr>
          <w:rFonts w:eastAsia="Calibri"/>
        </w:rPr>
        <w:t xml:space="preserve"> Shiman, Walt Strack, Tom Sullivan, Troy Tanner, Lindsay Tello, and Irene Wu.</w:t>
      </w:r>
    </w:p>
    <w:p w:rsidR="001556D8" w:rsidRDefault="001556D8" w:rsidP="001556D8">
      <w:pPr>
        <w:ind w:firstLine="720"/>
        <w:rPr>
          <w:rFonts w:eastAsia="Calibri"/>
        </w:rPr>
        <w:sectPr w:rsidR="001556D8" w:rsidSect="00FB7878">
          <w:pgSz w:w="12240" w:h="15840"/>
          <w:pgMar w:top="1440" w:right="1440" w:bottom="720" w:left="1440" w:header="720" w:footer="720" w:gutter="0"/>
          <w:cols w:space="720"/>
          <w:titlePg/>
          <w:docGrid w:linePitch="360"/>
        </w:sectPr>
      </w:pPr>
    </w:p>
    <w:p w:rsidR="001556D8" w:rsidRPr="00177664" w:rsidRDefault="001556D8" w:rsidP="001556D8">
      <w:pPr>
        <w:jc w:val="center"/>
        <w:rPr>
          <w:b/>
        </w:rPr>
      </w:pPr>
      <w:r w:rsidRPr="00177664">
        <w:rPr>
          <w:b/>
        </w:rPr>
        <w:t xml:space="preserve">STATEMENT OF </w:t>
      </w:r>
    </w:p>
    <w:p w:rsidR="001556D8" w:rsidRPr="00177664" w:rsidRDefault="001556D8" w:rsidP="001556D8">
      <w:pPr>
        <w:jc w:val="center"/>
        <w:rPr>
          <w:b/>
        </w:rPr>
      </w:pPr>
      <w:r w:rsidRPr="00177664">
        <w:rPr>
          <w:b/>
        </w:rPr>
        <w:t>COMMISSIONER MIGNON L. CLYBURN</w:t>
      </w:r>
    </w:p>
    <w:p w:rsidR="001556D8" w:rsidRPr="00AE08C8" w:rsidRDefault="001556D8" w:rsidP="001556D8">
      <w:pPr>
        <w:rPr>
          <w:b/>
          <w:sz w:val="24"/>
          <w:szCs w:val="24"/>
        </w:rPr>
      </w:pPr>
    </w:p>
    <w:p w:rsidR="001556D8" w:rsidRPr="00963E36" w:rsidRDefault="001556D8" w:rsidP="001556D8">
      <w:pPr>
        <w:ind w:left="720" w:hanging="720"/>
        <w:rPr>
          <w:rFonts w:eastAsia="Calibri"/>
          <w:i/>
        </w:rPr>
      </w:pPr>
      <w:r w:rsidRPr="00963E36">
        <w:rPr>
          <w:rFonts w:eastAsia="Calibri"/>
        </w:rPr>
        <w:t>Re:</w:t>
      </w:r>
      <w:r w:rsidRPr="00963E36">
        <w:rPr>
          <w:rFonts w:eastAsia="Calibri"/>
        </w:rPr>
        <w:tab/>
      </w:r>
      <w:r w:rsidRPr="00963E36">
        <w:rPr>
          <w:rFonts w:eastAsia="Calibri"/>
          <w:i/>
        </w:rPr>
        <w:t>Section 43.62 Reporting Requirements for U.S. Providers of International Services</w:t>
      </w:r>
      <w:r w:rsidRPr="00963E36">
        <w:rPr>
          <w:rFonts w:eastAsia="Calibri"/>
        </w:rPr>
        <w:t xml:space="preserve">, </w:t>
      </w:r>
      <w:r w:rsidRPr="00963E36">
        <w:t xml:space="preserve">IB Docket No. 17-55; </w:t>
      </w:r>
      <w:r w:rsidRPr="00963E36">
        <w:rPr>
          <w:i/>
        </w:rPr>
        <w:t>2016 Biennial Review of Telecommunications Regulations</w:t>
      </w:r>
      <w:r w:rsidRPr="00963E36">
        <w:t>, IB Docket No. 16-131</w:t>
      </w:r>
      <w:r w:rsidRPr="00963E36">
        <w:rPr>
          <w:rFonts w:eastAsia="Calibri"/>
        </w:rPr>
        <w:t>.</w:t>
      </w:r>
    </w:p>
    <w:p w:rsidR="001556D8" w:rsidRDefault="001556D8" w:rsidP="001556D8">
      <w:pPr>
        <w:ind w:firstLine="720"/>
      </w:pPr>
    </w:p>
    <w:p w:rsidR="001556D8" w:rsidRPr="00DB5F9A" w:rsidRDefault="001556D8" w:rsidP="001556D8">
      <w:pPr>
        <w:ind w:firstLine="720"/>
      </w:pPr>
      <w:r w:rsidRPr="00DB5F9A">
        <w:t xml:space="preserve">As regulators, I believe it is important to regularly assess whether our current reporting requirements are still in the public interest.  This is why I support this </w:t>
      </w:r>
      <w:r w:rsidRPr="00DB5F9A">
        <w:rPr>
          <w:i/>
        </w:rPr>
        <w:t>Notice of Proposed Rulemaking</w:t>
      </w:r>
      <w:r w:rsidRPr="00DB5F9A">
        <w:t xml:space="preserve">, which seeks comment on whether the annual Traffic and Revenue Report and the Circuit Capacity Report, continue to be necessary in their current form.  I look forward to reviewing the record that develops and thank the International Bureau staff for your hard work on this item.  </w:t>
      </w:r>
    </w:p>
    <w:p w:rsidR="001556D8" w:rsidRPr="001501E8" w:rsidRDefault="001556D8" w:rsidP="001556D8">
      <w:pPr>
        <w:rPr>
          <w:sz w:val="24"/>
          <w:szCs w:val="24"/>
        </w:rPr>
      </w:pPr>
    </w:p>
    <w:p w:rsidR="001556D8" w:rsidRPr="00AE08C8" w:rsidRDefault="001556D8" w:rsidP="001556D8">
      <w:pPr>
        <w:rPr>
          <w:sz w:val="24"/>
          <w:szCs w:val="24"/>
        </w:rPr>
      </w:pPr>
    </w:p>
    <w:p w:rsidR="001556D8" w:rsidRPr="00AE08C8" w:rsidRDefault="001556D8" w:rsidP="001556D8">
      <w:pPr>
        <w:rPr>
          <w:sz w:val="24"/>
          <w:szCs w:val="24"/>
        </w:rPr>
      </w:pPr>
    </w:p>
    <w:p w:rsidR="001556D8" w:rsidRPr="00AE08C8" w:rsidRDefault="001556D8" w:rsidP="001556D8">
      <w:pPr>
        <w:rPr>
          <w:sz w:val="24"/>
          <w:szCs w:val="24"/>
        </w:rPr>
      </w:pPr>
    </w:p>
    <w:p w:rsidR="001556D8" w:rsidRDefault="001556D8" w:rsidP="001556D8">
      <w:pPr>
        <w:ind w:firstLine="720"/>
        <w:rPr>
          <w:rFonts w:eastAsia="Calibri"/>
        </w:rPr>
        <w:sectPr w:rsidR="001556D8" w:rsidSect="00FB7878">
          <w:footerReference w:type="default" r:id="rId19"/>
          <w:pgSz w:w="12240" w:h="15840"/>
          <w:pgMar w:top="1440" w:right="1440" w:bottom="720" w:left="1440" w:header="720" w:footer="720" w:gutter="0"/>
          <w:cols w:space="720"/>
          <w:titlePg/>
          <w:docGrid w:linePitch="360"/>
        </w:sectPr>
      </w:pPr>
    </w:p>
    <w:p w:rsidR="001556D8" w:rsidRPr="00093E79" w:rsidRDefault="001556D8" w:rsidP="001556D8">
      <w:pPr>
        <w:jc w:val="center"/>
        <w:rPr>
          <w:b/>
        </w:rPr>
      </w:pPr>
      <w:r w:rsidRPr="00093E79">
        <w:rPr>
          <w:b/>
        </w:rPr>
        <w:t>STATEMENT OF</w:t>
      </w:r>
    </w:p>
    <w:p w:rsidR="001556D8" w:rsidRPr="00093E79" w:rsidRDefault="001556D8" w:rsidP="001556D8">
      <w:pPr>
        <w:jc w:val="center"/>
        <w:rPr>
          <w:b/>
        </w:rPr>
      </w:pPr>
      <w:r w:rsidRPr="00093E79">
        <w:rPr>
          <w:b/>
        </w:rPr>
        <w:t>COMMISSIONER MICHAEL O’RIELLY</w:t>
      </w:r>
    </w:p>
    <w:p w:rsidR="001556D8" w:rsidRPr="00093E79" w:rsidRDefault="001556D8" w:rsidP="001556D8"/>
    <w:p w:rsidR="001556D8" w:rsidRDefault="001556D8" w:rsidP="001556D8">
      <w:pPr>
        <w:ind w:left="720" w:hanging="720"/>
        <w:rPr>
          <w:rFonts w:eastAsia="Calibri"/>
        </w:rPr>
      </w:pPr>
      <w:r w:rsidRPr="00B87DCF">
        <w:rPr>
          <w:rFonts w:eastAsia="Calibri"/>
        </w:rPr>
        <w:t>Re:</w:t>
      </w:r>
      <w:r w:rsidRPr="00B87DCF">
        <w:rPr>
          <w:rFonts w:eastAsia="Calibri"/>
        </w:rPr>
        <w:tab/>
      </w:r>
      <w:r w:rsidRPr="00B87DCF">
        <w:rPr>
          <w:rFonts w:eastAsia="Calibri"/>
          <w:i/>
        </w:rPr>
        <w:t>Section 43.62 Reporting Requirements for U.S. Providers of International Services</w:t>
      </w:r>
      <w:r w:rsidRPr="00B87DCF">
        <w:rPr>
          <w:rFonts w:eastAsia="Calibri"/>
        </w:rPr>
        <w:t xml:space="preserve">, </w:t>
      </w:r>
      <w:r w:rsidRPr="00B87DCF">
        <w:t xml:space="preserve">IB Docket No. 17-55; </w:t>
      </w:r>
      <w:r w:rsidRPr="00B87DCF">
        <w:rPr>
          <w:i/>
        </w:rPr>
        <w:t>2016 Biennial Review of Telecommunications Regulations</w:t>
      </w:r>
      <w:r w:rsidRPr="00B87DCF">
        <w:t>, IB Docket No. 16-131</w:t>
      </w:r>
      <w:r w:rsidRPr="00B87DCF">
        <w:rPr>
          <w:rFonts w:eastAsia="Calibri"/>
        </w:rPr>
        <w:t>.</w:t>
      </w:r>
    </w:p>
    <w:p w:rsidR="001556D8" w:rsidRPr="00B87DCF" w:rsidRDefault="001556D8" w:rsidP="001556D8">
      <w:pPr>
        <w:ind w:left="720" w:hanging="720"/>
        <w:rPr>
          <w:rFonts w:eastAsia="Calibri"/>
          <w:i/>
        </w:rPr>
      </w:pPr>
    </w:p>
    <w:p w:rsidR="001556D8" w:rsidRPr="00093E79" w:rsidRDefault="001556D8" w:rsidP="001556D8">
      <w:pPr>
        <w:ind w:firstLine="720"/>
      </w:pPr>
      <w:r w:rsidRPr="00093E79">
        <w:t xml:space="preserve">After a </w:t>
      </w:r>
      <w:r>
        <w:t>four</w:t>
      </w:r>
      <w:r w:rsidRPr="00093E79">
        <w:t>-year absence,</w:t>
      </w:r>
      <w:r w:rsidRPr="00093E79">
        <w:rPr>
          <w:rStyle w:val="FootnoteReference"/>
        </w:rPr>
        <w:footnoteReference w:id="146"/>
      </w:r>
      <w:r w:rsidRPr="00093E79">
        <w:t xml:space="preserve"> it is nice to see Section 11 reviews resurrected at the Commission.</w:t>
      </w:r>
      <w:r w:rsidRPr="00093E79">
        <w:rPr>
          <w:rStyle w:val="FootnoteReference"/>
        </w:rPr>
        <w:footnoteReference w:id="147"/>
      </w:r>
      <w:r w:rsidRPr="00093E79">
        <w:t xml:space="preserve">  For whatever reason, I couldn’t seem to get the last Commission to expedite the review process or even the approval process for issuing the simple Public Notice to initiate the review.  Despite that bizarre lack of interest and focus, I thank the staff of the International Bureau for suggesting, in response to comments filed in their biennial review docket, that we eliminate the Traffic and Revenue Report and potentially streamline the Circuit Capacity Report.  </w:t>
      </w:r>
    </w:p>
    <w:p w:rsidR="001556D8" w:rsidRPr="00093E79" w:rsidRDefault="001556D8" w:rsidP="001556D8"/>
    <w:p w:rsidR="001556D8" w:rsidRPr="00093E79" w:rsidRDefault="001556D8" w:rsidP="001556D8">
      <w:pPr>
        <w:ind w:firstLine="720"/>
      </w:pPr>
      <w:r w:rsidRPr="00093E79">
        <w:t xml:space="preserve">In preparing this Notice, I appreciate the effort to quantify the costs of these reports using a combination of estimates provided in a past Paperwork Reduction Act (PRA) filing and information about the actual number of reports filed.  While not perfect by any stretch of the imagination, at the Notice stage, it does provide some baseline for purposes of </w:t>
      </w:r>
      <w:r>
        <w:t>comments.</w:t>
      </w:r>
      <w:r w:rsidRPr="00093E79">
        <w:t xml:space="preserve">  It should shock no one to learn that the Commission frequently underestimates the costs of its reporting requirements.  In order to help rectify this, I hope that commenters will provide information regarding the true burden of these reports.  </w:t>
      </w:r>
    </w:p>
    <w:p w:rsidR="001556D8" w:rsidRPr="00093E79" w:rsidRDefault="001556D8" w:rsidP="001556D8"/>
    <w:p w:rsidR="001556D8" w:rsidRPr="00093E79" w:rsidRDefault="001556D8" w:rsidP="001556D8">
      <w:pPr>
        <w:ind w:firstLine="720"/>
      </w:pPr>
      <w:r w:rsidRPr="00093E79">
        <w:t>The quantitative analysis of potential benefits contained within this document, however, is essentially absent.  But this information is necessary as the reason for retaining the Circuit Capacity Report is that the “benefits appear to exceed the costs of collecting this data.”</w:t>
      </w:r>
      <w:r w:rsidRPr="00093E79">
        <w:rPr>
          <w:rStyle w:val="FootnoteReference"/>
        </w:rPr>
        <w:footnoteReference w:id="148"/>
      </w:r>
      <w:r w:rsidRPr="00093E79">
        <w:t xml:space="preserve">  Frankly, I am not convinced, at this time, that the Commission should retain this annual reporting requirement.  If the information is needed to evaluate the state of competition in the case of a transaction, it appears that we could obtain this information upon request, when necessary.  If national security agencies use this information to protect and secure this infrastructure, I will want to ensure that they do not have </w:t>
      </w:r>
      <w:r>
        <w:t xml:space="preserve">or cannot get </w:t>
      </w:r>
      <w:r w:rsidRPr="00093E79">
        <w:t xml:space="preserve">access to </w:t>
      </w:r>
      <w:r>
        <w:t>this</w:t>
      </w:r>
      <w:r w:rsidRPr="00093E79">
        <w:t xml:space="preserve"> information through other means</w:t>
      </w:r>
      <w:r>
        <w:t>, making this report unnecessary</w:t>
      </w:r>
      <w:r w:rsidRPr="00093E79">
        <w:t xml:space="preserve">.  And, finally, maintaining such a report for the purpose of collecting regulatory fees is not a convincing argument for keeping this requirement.  It is apparent that more work needs to be done here.  Generally, I hope that commenters take the time to provide thorough analyses of the reports’ benefits, or lack thereof.   </w:t>
      </w:r>
    </w:p>
    <w:p w:rsidR="001556D8" w:rsidRPr="00093E79" w:rsidRDefault="001556D8" w:rsidP="001556D8"/>
    <w:p w:rsidR="001556D8" w:rsidRPr="00093E79" w:rsidRDefault="001556D8" w:rsidP="001556D8">
      <w:pPr>
        <w:ind w:firstLine="720"/>
      </w:pPr>
      <w:r w:rsidRPr="00093E79">
        <w:t>In this same vein, this document should be only a first step of many in reducing the paperwork burdens that we place on our regulated entities.  For instance, today’s item points out that Commission’s PRA filing asserts that each filer spends a little more than 150 hours preparing the Traffic and Revenue Report,</w:t>
      </w:r>
      <w:r w:rsidRPr="00093E79">
        <w:rPr>
          <w:rStyle w:val="FootnoteReference"/>
        </w:rPr>
        <w:footnoteReference w:id="149"/>
      </w:r>
      <w:r w:rsidRPr="00093E79">
        <w:t xml:space="preserve"> but one commenter asserts that, in truth, it spent nearly twice as much, or 300 hours.</w:t>
      </w:r>
      <w:r w:rsidRPr="00093E79">
        <w:rPr>
          <w:rStyle w:val="FootnoteReference"/>
        </w:rPr>
        <w:footnoteReference w:id="150"/>
      </w:r>
      <w:r w:rsidRPr="00093E79">
        <w:t xml:space="preserve">  While this is just a drop in the bucket when you consider that the Commission’s mandated information collections come to a combined total of about 73 </w:t>
      </w:r>
      <w:r w:rsidRPr="00093E79">
        <w:rPr>
          <w:rStyle w:val="Emphasis"/>
        </w:rPr>
        <w:t>million</w:t>
      </w:r>
      <w:r w:rsidRPr="00093E79">
        <w:t xml:space="preserve"> hours annually (and this is most likely underestimated), it is at least a start.  </w:t>
      </w:r>
    </w:p>
    <w:p w:rsidR="001556D8" w:rsidRPr="00093E79" w:rsidRDefault="001556D8" w:rsidP="001556D8"/>
    <w:p w:rsidR="001556D8" w:rsidRPr="00093E79" w:rsidRDefault="001556D8" w:rsidP="001556D8">
      <w:pPr>
        <w:ind w:firstLine="720"/>
      </w:pPr>
      <w:r w:rsidRPr="00093E79">
        <w:t>I look forward to working with my colleagues and Commission staff to find other information collections that can be combined, shortened or altogether eliminated.</w:t>
      </w:r>
    </w:p>
    <w:p w:rsidR="001556D8" w:rsidRPr="00AE39E8" w:rsidRDefault="001556D8" w:rsidP="001556D8">
      <w:pPr>
        <w:ind w:firstLine="720"/>
        <w:rPr>
          <w:rFonts w:eastAsia="Calibri"/>
        </w:rPr>
      </w:pPr>
    </w:p>
    <w:sectPr w:rsidR="001556D8" w:rsidRPr="00AE39E8" w:rsidSect="00FB7878">
      <w:footerReference w:type="default" r:id="rId20"/>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4F" w:rsidRDefault="00D73A4F">
      <w:pPr>
        <w:spacing w:line="20" w:lineRule="exact"/>
      </w:pPr>
    </w:p>
  </w:endnote>
  <w:endnote w:type="continuationSeparator" w:id="0">
    <w:p w:rsidR="00D73A4F" w:rsidRDefault="00D73A4F">
      <w:r>
        <w:t xml:space="preserve"> </w:t>
      </w:r>
    </w:p>
  </w:endnote>
  <w:endnote w:type="continuationNotice" w:id="1">
    <w:p w:rsidR="00D73A4F" w:rsidRDefault="00D73A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43" w:rsidRDefault="00FE2243" w:rsidP="0055614C">
    <w:pPr>
      <w:pStyle w:val="Footer"/>
      <w:framePr w:wrap="around" w:vAnchor="text" w:hAnchor="margin" w:xAlign="center" w:y="1"/>
    </w:pPr>
    <w:r>
      <w:fldChar w:fldCharType="begin"/>
    </w:r>
    <w:r>
      <w:instrText xml:space="preserve">PAGE  </w:instrText>
    </w:r>
    <w:r>
      <w:fldChar w:fldCharType="end"/>
    </w:r>
  </w:p>
  <w:p w:rsidR="00FE2243" w:rsidRDefault="00FE2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182576"/>
      <w:docPartObj>
        <w:docPartGallery w:val="Page Numbers (Bottom of Page)"/>
        <w:docPartUnique/>
      </w:docPartObj>
    </w:sdtPr>
    <w:sdtEndPr>
      <w:rPr>
        <w:noProof/>
      </w:rPr>
    </w:sdtEndPr>
    <w:sdtContent>
      <w:p w:rsidR="00FB7878" w:rsidRDefault="00FB7878">
        <w:pPr>
          <w:pStyle w:val="Footer"/>
          <w:jc w:val="center"/>
        </w:pPr>
        <w:r>
          <w:fldChar w:fldCharType="begin"/>
        </w:r>
        <w:r>
          <w:instrText xml:space="preserve"> PAGE   \* MERGEFORMAT </w:instrText>
        </w:r>
        <w:r>
          <w:fldChar w:fldCharType="separate"/>
        </w:r>
        <w:r w:rsidR="00595F3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43" w:rsidRDefault="00FE2243" w:rsidP="001D407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58707"/>
      <w:docPartObj>
        <w:docPartGallery w:val="Page Numbers (Bottom of Page)"/>
        <w:docPartUnique/>
      </w:docPartObj>
    </w:sdtPr>
    <w:sdtEndPr>
      <w:rPr>
        <w:noProof/>
      </w:rPr>
    </w:sdtEndPr>
    <w:sdtContent>
      <w:p w:rsidR="00FE2243" w:rsidRDefault="00FE2243">
        <w:pPr>
          <w:pStyle w:val="Footer"/>
          <w:jc w:val="center"/>
        </w:pPr>
        <w:r>
          <w:fldChar w:fldCharType="begin"/>
        </w:r>
        <w:r>
          <w:instrText xml:space="preserve"> PAGE   \* MERGEFORMAT </w:instrText>
        </w:r>
        <w:r>
          <w:fldChar w:fldCharType="separate"/>
        </w:r>
        <w:r w:rsidR="00247B60">
          <w:rPr>
            <w:noProof/>
          </w:rPr>
          <w:t>15</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88447"/>
      <w:docPartObj>
        <w:docPartGallery w:val="Page Numbers (Bottom of Page)"/>
        <w:docPartUnique/>
      </w:docPartObj>
    </w:sdtPr>
    <w:sdtEndPr>
      <w:rPr>
        <w:noProof/>
      </w:rPr>
    </w:sdtEndPr>
    <w:sdtContent>
      <w:p w:rsidR="008B124D" w:rsidRDefault="009D0D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B124D" w:rsidRDefault="00595F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95414"/>
      <w:docPartObj>
        <w:docPartGallery w:val="Page Numbers (Bottom of Page)"/>
        <w:docPartUnique/>
      </w:docPartObj>
    </w:sdtPr>
    <w:sdtEndPr>
      <w:rPr>
        <w:noProof/>
      </w:rPr>
    </w:sdtEndPr>
    <w:sdtContent>
      <w:p w:rsidR="00A404D9" w:rsidRDefault="009D0D94">
        <w:pPr>
          <w:pStyle w:val="Footer"/>
          <w:jc w:val="center"/>
        </w:pPr>
        <w:r w:rsidRPr="00A404D9">
          <w:fldChar w:fldCharType="begin"/>
        </w:r>
        <w:r w:rsidRPr="00A404D9">
          <w:instrText xml:space="preserve"> PAGE   \* MERGEFORMAT </w:instrText>
        </w:r>
        <w:r w:rsidRPr="00A404D9">
          <w:fldChar w:fldCharType="separate"/>
        </w:r>
        <w:r w:rsidR="00B06D5C">
          <w:rPr>
            <w:noProof/>
          </w:rPr>
          <w:t>30</w:t>
        </w:r>
        <w:r w:rsidRPr="00A404D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4F" w:rsidRDefault="00D73A4F">
      <w:r>
        <w:separator/>
      </w:r>
    </w:p>
  </w:footnote>
  <w:footnote w:type="continuationSeparator" w:id="0">
    <w:p w:rsidR="00D73A4F" w:rsidRDefault="00D73A4F" w:rsidP="00C721AC">
      <w:pPr>
        <w:spacing w:before="120"/>
        <w:rPr>
          <w:sz w:val="20"/>
        </w:rPr>
      </w:pPr>
      <w:r>
        <w:rPr>
          <w:sz w:val="20"/>
        </w:rPr>
        <w:t xml:space="preserve">(Continued from previous page)  </w:t>
      </w:r>
      <w:r>
        <w:rPr>
          <w:sz w:val="20"/>
        </w:rPr>
        <w:separator/>
      </w:r>
    </w:p>
  </w:footnote>
  <w:footnote w:type="continuationNotice" w:id="1">
    <w:p w:rsidR="00D73A4F" w:rsidRDefault="00D73A4F" w:rsidP="00C721AC">
      <w:pPr>
        <w:jc w:val="right"/>
        <w:rPr>
          <w:sz w:val="20"/>
        </w:rPr>
      </w:pPr>
      <w:r>
        <w:rPr>
          <w:sz w:val="20"/>
        </w:rPr>
        <w:t>(continued….)</w:t>
      </w:r>
    </w:p>
  </w:footnote>
  <w:footnote w:id="2">
    <w:p w:rsidR="00FE2243" w:rsidRDefault="00FE2243" w:rsidP="009609F5">
      <w:pPr>
        <w:pStyle w:val="FootnoteText"/>
      </w:pPr>
      <w:r>
        <w:rPr>
          <w:rStyle w:val="FootnoteReference"/>
        </w:rPr>
        <w:footnoteRef/>
      </w:r>
      <w:r>
        <w:t xml:space="preserve"> 47 CFR § 43.62; </w:t>
      </w:r>
      <w:r w:rsidRPr="007B0221">
        <w:rPr>
          <w:i/>
        </w:rPr>
        <w:t>Reporting Requirements for U.S. Providers of International Telecommunications Services; Amendment of Part 43 of the Commission’s Rules</w:t>
      </w:r>
      <w:r>
        <w:t>, IB Docket No. 04-112, Second Report and Order, 28 FCC Rcd 575 (2013) (</w:t>
      </w:r>
      <w:r w:rsidRPr="007B0221">
        <w:rPr>
          <w:i/>
        </w:rPr>
        <w:t>Part 43 Second Report and Order</w:t>
      </w:r>
      <w:r>
        <w:t>); Filing Manual for Section 43.62 Annual Reports (IB Feb. 2016) (</w:t>
      </w:r>
      <w:r w:rsidRPr="00197FAD">
        <w:rPr>
          <w:i/>
        </w:rPr>
        <w:t>Section 43.62 Filing Manual</w:t>
      </w:r>
      <w:r>
        <w:t xml:space="preserve">), </w:t>
      </w:r>
      <w:hyperlink r:id="rId1" w:history="1">
        <w:r w:rsidRPr="00B66CE4">
          <w:rPr>
            <w:rStyle w:val="Hyperlink"/>
          </w:rPr>
          <w:t>https://apps.fcc.gov/edocs_public/attachmatch/DOC-337916A1.pdf</w:t>
        </w:r>
      </w:hyperlink>
      <w:r>
        <w:t>.</w:t>
      </w:r>
    </w:p>
  </w:footnote>
  <w:footnote w:id="3">
    <w:p w:rsidR="00FE2243" w:rsidRDefault="00FE2243" w:rsidP="009609F5">
      <w:pPr>
        <w:pStyle w:val="FootnoteText"/>
      </w:pPr>
      <w:r>
        <w:rPr>
          <w:rStyle w:val="FootnoteReference"/>
        </w:rPr>
        <w:footnoteRef/>
      </w:r>
      <w:r>
        <w:t xml:space="preserve"> 47 CFR § 43.62(b).</w:t>
      </w:r>
    </w:p>
  </w:footnote>
  <w:footnote w:id="4">
    <w:p w:rsidR="00FE2243" w:rsidRDefault="00FE2243" w:rsidP="009609F5">
      <w:pPr>
        <w:pStyle w:val="FootnoteText"/>
      </w:pPr>
      <w:r>
        <w:rPr>
          <w:rStyle w:val="FootnoteReference"/>
        </w:rPr>
        <w:footnoteRef/>
      </w:r>
      <w:r>
        <w:t xml:space="preserve"> </w:t>
      </w:r>
      <w:r w:rsidRPr="0077544F">
        <w:t xml:space="preserve">47 </w:t>
      </w:r>
      <w:r>
        <w:t>CFR</w:t>
      </w:r>
      <w:r w:rsidRPr="0077544F">
        <w:t xml:space="preserve"> </w:t>
      </w:r>
      <w:r>
        <w:t xml:space="preserve">§ </w:t>
      </w:r>
      <w:r w:rsidRPr="0077544F">
        <w:t>43.62</w:t>
      </w:r>
      <w:r>
        <w:t>(a).</w:t>
      </w:r>
    </w:p>
  </w:footnote>
  <w:footnote w:id="5">
    <w:p w:rsidR="00FE2243" w:rsidRDefault="00FE2243">
      <w:pPr>
        <w:pStyle w:val="FootnoteText"/>
      </w:pPr>
      <w:r>
        <w:rPr>
          <w:rStyle w:val="FootnoteReference"/>
        </w:rPr>
        <w:footnoteRef/>
      </w:r>
      <w:r>
        <w:t xml:space="preserve"> </w:t>
      </w:r>
      <w:r w:rsidRPr="00644463">
        <w:t xml:space="preserve">The annual </w:t>
      </w:r>
      <w:r>
        <w:t>T</w:t>
      </w:r>
      <w:r w:rsidRPr="00644463">
        <w:t xml:space="preserve">raffic and </w:t>
      </w:r>
      <w:r>
        <w:t>R</w:t>
      </w:r>
      <w:r w:rsidRPr="00644463">
        <w:t xml:space="preserve">evenue </w:t>
      </w:r>
      <w:r>
        <w:t>R</w:t>
      </w:r>
      <w:r w:rsidRPr="00644463">
        <w:t xml:space="preserve">eports derive from the Commission’s 1941 </w:t>
      </w:r>
      <w:r w:rsidRPr="00644463">
        <w:rPr>
          <w:i/>
        </w:rPr>
        <w:t xml:space="preserve">Order No. 85, </w:t>
      </w:r>
      <w:r w:rsidRPr="00644463">
        <w:t>which required U.S. international telegraph carriers to file statistical reports on their international telegraph traffic.</w:t>
      </w:r>
      <w:r>
        <w:t xml:space="preserve">  </w:t>
      </w:r>
      <w:r w:rsidRPr="00644463">
        <w:t>In 1964, the Commission added the requirement for carriers to report traffic and revenues for international message telephone service (IMTS)</w:t>
      </w:r>
      <w:r>
        <w:t xml:space="preserve">.  </w:t>
      </w:r>
      <w:r w:rsidRPr="00644463">
        <w:rPr>
          <w:i/>
        </w:rPr>
        <w:t>See</w:t>
      </w:r>
      <w:r w:rsidRPr="00644463">
        <w:t xml:space="preserve"> </w:t>
      </w:r>
      <w:r>
        <w:t>A</w:t>
      </w:r>
      <w:r w:rsidRPr="00EA6D92">
        <w:t>mendme</w:t>
      </w:r>
      <w:r>
        <w:t>nt of Part 43 of the Commission’</w:t>
      </w:r>
      <w:r w:rsidRPr="00EA6D92">
        <w:t xml:space="preserve">s </w:t>
      </w:r>
      <w:r>
        <w:t>Rules and Regulations, with Respect to the Filing by Common Carriers of Periodic S</w:t>
      </w:r>
      <w:r w:rsidRPr="00EA6D92">
        <w:t>t</w:t>
      </w:r>
      <w:r>
        <w:t>atistical Reports of Their Overseas T</w:t>
      </w:r>
      <w:r w:rsidRPr="00EA6D92">
        <w:t>raffic</w:t>
      </w:r>
      <w:r>
        <w:t xml:space="preserve">, 29 Fed. </w:t>
      </w:r>
      <w:r w:rsidRPr="00644463">
        <w:t>R</w:t>
      </w:r>
      <w:r>
        <w:t>eg</w:t>
      </w:r>
      <w:r w:rsidRPr="00644463">
        <w:t>. 13816 (Oct. 7, 1964).</w:t>
      </w:r>
    </w:p>
  </w:footnote>
  <w:footnote w:id="6">
    <w:p w:rsidR="00FE2243" w:rsidRDefault="00FE2243" w:rsidP="00DB4CC0">
      <w:pPr>
        <w:pStyle w:val="FootnoteText"/>
      </w:pPr>
      <w:r>
        <w:rPr>
          <w:rStyle w:val="FootnoteReference"/>
        </w:rPr>
        <w:footnoteRef/>
      </w:r>
      <w:r>
        <w:t xml:space="preserve"> </w:t>
      </w:r>
      <w:r w:rsidRPr="00CE3893">
        <w:rPr>
          <w:i/>
        </w:rPr>
        <w:t>Part 43 Second Report and Order</w:t>
      </w:r>
      <w:r w:rsidRPr="009079B2">
        <w:t xml:space="preserve">, </w:t>
      </w:r>
      <w:r>
        <w:t>28 FCC Rcd 575; 47 CFR § 43.62.</w:t>
      </w:r>
    </w:p>
  </w:footnote>
  <w:footnote w:id="7">
    <w:p w:rsidR="00FE2243" w:rsidRPr="005878F3" w:rsidRDefault="00FE2243" w:rsidP="00C37231">
      <w:pPr>
        <w:pStyle w:val="FootnoteText"/>
      </w:pPr>
      <w:r w:rsidRPr="009D16EB">
        <w:rPr>
          <w:rStyle w:val="FootnoteReference"/>
        </w:rPr>
        <w:footnoteRef/>
      </w:r>
      <w:r w:rsidRPr="009D16EB">
        <w:t xml:space="preserve"> </w:t>
      </w:r>
      <w:r w:rsidRPr="009D02C9">
        <w:t xml:space="preserve">ITS refers to telecommunications service between the United States and a foreign point.  </w:t>
      </w:r>
      <w:r w:rsidRPr="005878F3">
        <w:rPr>
          <w:i/>
        </w:rPr>
        <w:t>Section 43.62 Filing Manual</w:t>
      </w:r>
      <w:r w:rsidRPr="005878F3">
        <w:t xml:space="preserve"> at Appx. B: Definitions.   </w:t>
      </w:r>
    </w:p>
  </w:footnote>
  <w:footnote w:id="8">
    <w:p w:rsidR="00FE2243" w:rsidRDefault="00FE2243">
      <w:pPr>
        <w:pStyle w:val="FootnoteText"/>
      </w:pPr>
      <w:r>
        <w:rPr>
          <w:rStyle w:val="FootnoteReference"/>
        </w:rPr>
        <w:footnoteRef/>
      </w:r>
      <w:r>
        <w:t xml:space="preserve"> </w:t>
      </w:r>
      <w:r w:rsidRPr="00463141">
        <w:rPr>
          <w:bCs/>
        </w:rPr>
        <w:t>Interconnected VoIP Service</w:t>
      </w:r>
      <w:r w:rsidRPr="00F3265B">
        <w:rPr>
          <w:b/>
          <w:bCs/>
        </w:rPr>
        <w:t xml:space="preserve"> </w:t>
      </w:r>
      <w:r w:rsidRPr="0067046A">
        <w:rPr>
          <w:bCs/>
        </w:rPr>
        <w:t>Connected to the PSTN</w:t>
      </w:r>
      <w:r>
        <w:rPr>
          <w:b/>
          <w:bCs/>
        </w:rPr>
        <w:t xml:space="preserve"> </w:t>
      </w:r>
      <w:r w:rsidRPr="00F3265B">
        <w:t xml:space="preserve">refers to service </w:t>
      </w:r>
      <w:r>
        <w:t xml:space="preserve">between the United States and any foreign point </w:t>
      </w:r>
      <w:r w:rsidRPr="00F3265B">
        <w:t xml:space="preserve">that: (1) enables real-time, two-way voice communications; (2) requires a broadband connection from the user’s location; (3) requires Internet Protocol-compatible customer premise equipment; and (4) permits users generally to receive calls that originate on the </w:t>
      </w:r>
      <w:r>
        <w:t>PSTN</w:t>
      </w:r>
      <w:r w:rsidRPr="00F3265B">
        <w:t xml:space="preserve"> </w:t>
      </w:r>
      <w:r>
        <w:t xml:space="preserve">or </w:t>
      </w:r>
      <w:r w:rsidRPr="00F3265B">
        <w:t xml:space="preserve">to terminate calls to the PSTN. </w:t>
      </w:r>
      <w:hyperlink w:history="1"/>
      <w:r w:rsidRPr="00463141">
        <w:t xml:space="preserve"> </w:t>
      </w:r>
      <w:r w:rsidRPr="00463141">
        <w:rPr>
          <w:i/>
        </w:rPr>
        <w:t>Section 43.62 Filing Manual</w:t>
      </w:r>
      <w:r w:rsidRPr="00463141">
        <w:t xml:space="preserve"> at Appx. B: Definitions.</w:t>
      </w:r>
    </w:p>
  </w:footnote>
  <w:footnote w:id="9">
    <w:p w:rsidR="00FE2243" w:rsidRPr="009D02C9" w:rsidRDefault="00FE2243" w:rsidP="001D4071">
      <w:pPr>
        <w:pStyle w:val="FootnoteText"/>
      </w:pPr>
      <w:r w:rsidRPr="009D02C9">
        <w:rPr>
          <w:rStyle w:val="FootnoteReference"/>
        </w:rPr>
        <w:footnoteRef/>
      </w:r>
      <w:r w:rsidRPr="009D02C9">
        <w:t xml:space="preserve"> 47 </w:t>
      </w:r>
      <w:r>
        <w:t>CFR</w:t>
      </w:r>
      <w:r w:rsidRPr="009D02C9">
        <w:t xml:space="preserve"> § 43.62</w:t>
      </w:r>
      <w:r>
        <w:t>(b)</w:t>
      </w:r>
      <w:r w:rsidRPr="009D02C9">
        <w:t xml:space="preserve">.  </w:t>
      </w:r>
      <w:hyperlink w:history="1"/>
    </w:p>
  </w:footnote>
  <w:footnote w:id="10">
    <w:p w:rsidR="00FE2243" w:rsidRPr="009D02C9" w:rsidRDefault="00FE2243" w:rsidP="00C37231">
      <w:pPr>
        <w:pStyle w:val="FootnoteText"/>
      </w:pPr>
      <w:r w:rsidRPr="005878F3">
        <w:rPr>
          <w:rStyle w:val="FootnoteReference"/>
        </w:rPr>
        <w:footnoteRef/>
      </w:r>
      <w:r>
        <w:t xml:space="preserve"> ICS is defined as </w:t>
      </w:r>
      <w:r w:rsidRPr="005878F3">
        <w:t>IMTS and Interconnected VoIP</w:t>
      </w:r>
      <w:r>
        <w:t xml:space="preserve"> Connected to the PSTN</w:t>
      </w:r>
      <w:r w:rsidRPr="005878F3">
        <w:t xml:space="preserve">, including International Call Completion Service for IMTS or Interconnected VoIP </w:t>
      </w:r>
      <w:r>
        <w:t>Connected to the PSTN</w:t>
      </w:r>
      <w:r w:rsidRPr="005878F3">
        <w:t xml:space="preserve">.  </w:t>
      </w:r>
      <w:r w:rsidRPr="009D02C9">
        <w:rPr>
          <w:i/>
        </w:rPr>
        <w:t>Section 43.62 Filing Manual</w:t>
      </w:r>
      <w:r w:rsidRPr="009D02C9">
        <w:t xml:space="preserve"> at Appx. B: Definitions.</w:t>
      </w:r>
      <w:r>
        <w:t xml:space="preserve">  IMTS consists of telecommunications services (including voice and low-speed dial-up data) provided over the public switched networks of U.S. international carriers.</w:t>
      </w:r>
    </w:p>
  </w:footnote>
  <w:footnote w:id="11">
    <w:p w:rsidR="00FE2243" w:rsidRPr="009D02C9" w:rsidRDefault="00FE2243" w:rsidP="00C37231">
      <w:pPr>
        <w:pStyle w:val="FootnoteText"/>
      </w:pPr>
      <w:r w:rsidRPr="009D02C9">
        <w:rPr>
          <w:rStyle w:val="FootnoteReference"/>
        </w:rPr>
        <w:footnoteRef/>
      </w:r>
      <w:r w:rsidRPr="009D02C9">
        <w:t xml:space="preserve"> International Private Line Service is defined as Private Line Service between the United States and a foreign point.  Private Line Service refers to making available to a customer on a common carrier basis a circuit for a specified period of time for the customer’s exclusive use.  </w:t>
      </w:r>
      <w:r w:rsidRPr="009D02C9">
        <w:rPr>
          <w:i/>
        </w:rPr>
        <w:t>Id.</w:t>
      </w:r>
    </w:p>
  </w:footnote>
  <w:footnote w:id="12">
    <w:p w:rsidR="00FE2243" w:rsidRPr="009D16EB" w:rsidRDefault="00FE2243" w:rsidP="00C37231">
      <w:pPr>
        <w:pStyle w:val="FootnoteText"/>
      </w:pPr>
      <w:r w:rsidRPr="009D02C9">
        <w:rPr>
          <w:rStyle w:val="FootnoteReference"/>
        </w:rPr>
        <w:footnoteRef/>
      </w:r>
      <w:r w:rsidRPr="009D02C9">
        <w:t xml:space="preserve"> International Miscellaneous Service refers to any international telecommunications service other than ICS and International Private Line Service.  </w:t>
      </w:r>
      <w:r w:rsidRPr="009D02C9">
        <w:rPr>
          <w:i/>
        </w:rPr>
        <w:t>Id.</w:t>
      </w:r>
    </w:p>
  </w:footnote>
  <w:footnote w:id="13">
    <w:p w:rsidR="00FE2243" w:rsidRDefault="00FE2243" w:rsidP="00C37231">
      <w:pPr>
        <w:pStyle w:val="FootnoteText"/>
      </w:pPr>
      <w:r>
        <w:rPr>
          <w:rStyle w:val="FootnoteReference"/>
        </w:rPr>
        <w:footnoteRef/>
      </w:r>
      <w:r>
        <w:t xml:space="preserve"> </w:t>
      </w:r>
      <w:r w:rsidRPr="00EE7BEB">
        <w:t xml:space="preserve">47 </w:t>
      </w:r>
      <w:r>
        <w:t>CFR</w:t>
      </w:r>
      <w:r w:rsidRPr="00EE7BEB">
        <w:t xml:space="preserve"> § 43.62</w:t>
      </w:r>
      <w:r>
        <w:t>(d</w:t>
      </w:r>
      <w:r w:rsidRPr="00EE7BEB">
        <w:t>).</w:t>
      </w:r>
      <w:r>
        <w:t xml:space="preserve">  </w:t>
      </w:r>
    </w:p>
  </w:footnote>
  <w:footnote w:id="14">
    <w:p w:rsidR="00FE2243" w:rsidRPr="00A63E30" w:rsidRDefault="00FE2243" w:rsidP="00912009">
      <w:pPr>
        <w:pStyle w:val="FootnoteText"/>
      </w:pPr>
      <w:r w:rsidRPr="00A63E30">
        <w:rPr>
          <w:rStyle w:val="FootnoteReference"/>
        </w:rPr>
        <w:footnoteRef/>
      </w:r>
      <w:r w:rsidRPr="00A63E30">
        <w:t xml:space="preserve"> </w:t>
      </w:r>
      <w:r w:rsidRPr="00A63E30">
        <w:rPr>
          <w:i/>
        </w:rPr>
        <w:t>International Settlement Rates</w:t>
      </w:r>
      <w:r w:rsidRPr="00A63E30">
        <w:t>, IB Docket No. 96-261, Repo</w:t>
      </w:r>
      <w:r>
        <w:t>rt and Order, 12 FCC Rcd 19806</w:t>
      </w:r>
      <w:r w:rsidRPr="00A63E30">
        <w:t xml:space="preserve"> (1997)</w:t>
      </w:r>
      <w:r>
        <w:t xml:space="preserve"> (</w:t>
      </w:r>
      <w:r>
        <w:rPr>
          <w:i/>
        </w:rPr>
        <w:t>Benchmarks Order</w:t>
      </w:r>
      <w:r>
        <w:t>)</w:t>
      </w:r>
      <w:r w:rsidRPr="00A63E30">
        <w:t xml:space="preserve">; Report and Order on Reconsideration and Order Lifting Stay, 14 FCC Rcd 9256 (1999); </w:t>
      </w:r>
      <w:r w:rsidRPr="00A63E30">
        <w:rPr>
          <w:i/>
        </w:rPr>
        <w:t>aff’d sub nom. Cable &amp; Wireless P.L.C. v. FCC</w:t>
      </w:r>
      <w:r w:rsidRPr="00A63E30">
        <w:t xml:space="preserve">, 166 F.3d 1224 (D.C. Cir. 1999). </w:t>
      </w:r>
    </w:p>
  </w:footnote>
  <w:footnote w:id="15">
    <w:p w:rsidR="00FE2243" w:rsidRPr="00A63E30" w:rsidRDefault="00FE2243" w:rsidP="00912009">
      <w:pPr>
        <w:pStyle w:val="FootnoteText"/>
        <w:rPr>
          <w:i/>
        </w:rPr>
      </w:pPr>
      <w:r w:rsidRPr="00A63E30">
        <w:rPr>
          <w:rStyle w:val="FootnoteReference"/>
        </w:rPr>
        <w:footnoteRef/>
      </w:r>
      <w:r w:rsidRPr="00A63E30">
        <w:t xml:space="preserve"> </w:t>
      </w:r>
      <w:r w:rsidRPr="00A63E30">
        <w:rPr>
          <w:i/>
        </w:rPr>
        <w:t xml:space="preserve">See </w:t>
      </w:r>
      <w:r w:rsidRPr="00A63E30">
        <w:rPr>
          <w:i/>
          <w:iCs/>
        </w:rPr>
        <w:t>International Settlements Policy Reform et al.</w:t>
      </w:r>
      <w:r w:rsidRPr="00A63E30">
        <w:rPr>
          <w:i/>
        </w:rPr>
        <w:t xml:space="preserve">, </w:t>
      </w:r>
      <w:r w:rsidRPr="00A63E30">
        <w:t xml:space="preserve">IB Docket Nos. 11-80, </w:t>
      </w:r>
      <w:r w:rsidRPr="001D4071">
        <w:rPr>
          <w:i/>
        </w:rPr>
        <w:t>et al</w:t>
      </w:r>
      <w:r>
        <w:t>.</w:t>
      </w:r>
      <w:r w:rsidRPr="00A63E30">
        <w:t>, Report and Order, 27 FCC Rcd 15521 (2012);</w:t>
      </w:r>
      <w:r w:rsidRPr="00A63E30">
        <w:rPr>
          <w:i/>
        </w:rPr>
        <w:t xml:space="preserve"> International Settlements Policy Reform; International Settlement Rates, </w:t>
      </w:r>
      <w:r w:rsidRPr="00A63E30">
        <w:t>IB Docket Nos. 02-324, 96-261, First Report and Order, 19 FCC Rcd 5709, 5713-15, paras. 9-12 (2004)</w:t>
      </w:r>
      <w:r>
        <w:t xml:space="preserve"> (</w:t>
      </w:r>
      <w:r>
        <w:rPr>
          <w:i/>
        </w:rPr>
        <w:t>2004 ISP Reform Order</w:t>
      </w:r>
      <w:r>
        <w:t>)</w:t>
      </w:r>
      <w:r w:rsidRPr="00A63E30">
        <w:rPr>
          <w:i/>
        </w:rPr>
        <w:t>.</w:t>
      </w:r>
    </w:p>
  </w:footnote>
  <w:footnote w:id="16">
    <w:p w:rsidR="00FE2243" w:rsidRPr="00957667" w:rsidRDefault="00FE2243" w:rsidP="00591862">
      <w:pPr>
        <w:pStyle w:val="FootnoteText"/>
      </w:pPr>
      <w:r w:rsidRPr="00401E57">
        <w:rPr>
          <w:rStyle w:val="FootnoteReference"/>
        </w:rPr>
        <w:footnoteRef/>
      </w:r>
      <w:r w:rsidRPr="00957667">
        <w:t xml:space="preserve"> </w:t>
      </w:r>
      <w:r w:rsidRPr="002D5B24">
        <w:rPr>
          <w:i/>
        </w:rPr>
        <w:t>Reporting Requirements for U.S. Providers of International Telecommunications Services; Amendm</w:t>
      </w:r>
      <w:r>
        <w:rPr>
          <w:i/>
        </w:rPr>
        <w:t>ent of Part 43 of the Commission’s</w:t>
      </w:r>
      <w:r w:rsidRPr="002D5B24">
        <w:rPr>
          <w:i/>
        </w:rPr>
        <w:t xml:space="preserve"> Rules</w:t>
      </w:r>
      <w:r w:rsidRPr="002D5B24">
        <w:t xml:space="preserve">, IB Docket No. 04-112, </w:t>
      </w:r>
      <w:r w:rsidRPr="002D5B24">
        <w:rPr>
          <w:rFonts w:eastAsiaTheme="minorHAnsi"/>
          <w:iCs/>
        </w:rPr>
        <w:t>First Report and Order and Further Notice</w:t>
      </w:r>
      <w:r>
        <w:rPr>
          <w:rFonts w:eastAsiaTheme="minorHAnsi"/>
          <w:iCs/>
        </w:rPr>
        <w:t xml:space="preserve"> of Proposed Rulemaking</w:t>
      </w:r>
      <w:r w:rsidRPr="00957667">
        <w:rPr>
          <w:rFonts w:eastAsiaTheme="minorHAnsi"/>
          <w:i/>
          <w:iCs/>
        </w:rPr>
        <w:t xml:space="preserve">, </w:t>
      </w:r>
      <w:r w:rsidRPr="00957667">
        <w:rPr>
          <w:rFonts w:eastAsiaTheme="minorHAnsi"/>
        </w:rPr>
        <w:t xml:space="preserve">26 FCC Rcd </w:t>
      </w:r>
      <w:r>
        <w:rPr>
          <w:rFonts w:eastAsiaTheme="minorHAnsi"/>
        </w:rPr>
        <w:t xml:space="preserve">7274, </w:t>
      </w:r>
      <w:r w:rsidRPr="00957667">
        <w:rPr>
          <w:rFonts w:eastAsiaTheme="minorHAnsi"/>
        </w:rPr>
        <w:t xml:space="preserve">7292-93, </w:t>
      </w:r>
      <w:r>
        <w:rPr>
          <w:rFonts w:eastAsiaTheme="minorHAnsi"/>
        </w:rPr>
        <w:t>para.</w:t>
      </w:r>
      <w:r w:rsidRPr="00957667">
        <w:rPr>
          <w:rFonts w:eastAsiaTheme="minorHAnsi"/>
        </w:rPr>
        <w:t xml:space="preserve"> 49</w:t>
      </w:r>
      <w:r>
        <w:rPr>
          <w:rFonts w:eastAsiaTheme="minorHAnsi"/>
        </w:rPr>
        <w:t xml:space="preserve"> (2011)</w:t>
      </w:r>
      <w:r w:rsidRPr="00957667">
        <w:rPr>
          <w:rFonts w:eastAsiaTheme="minorHAnsi"/>
        </w:rPr>
        <w:t>.</w:t>
      </w:r>
      <w:r>
        <w:rPr>
          <w:rFonts w:eastAsiaTheme="minorHAnsi"/>
        </w:rPr>
        <w:t xml:space="preserve">  </w:t>
      </w:r>
    </w:p>
  </w:footnote>
  <w:footnote w:id="17">
    <w:p w:rsidR="00FE2243" w:rsidRPr="00524A94" w:rsidRDefault="00FE2243" w:rsidP="00591862">
      <w:pPr>
        <w:pStyle w:val="FootnoteText"/>
      </w:pPr>
      <w:r w:rsidRPr="00524A94">
        <w:rPr>
          <w:rStyle w:val="FootnoteReference"/>
        </w:rPr>
        <w:footnoteRef/>
      </w:r>
      <w:r w:rsidRPr="00524A94">
        <w:t xml:space="preserve"> Submarine cable landing licensees are required to file available and planned capacity information for each cable system as of December 31 of the reporting period.  </w:t>
      </w:r>
      <w:r>
        <w:t>47 CFR § 43.62(a)(2)</w:t>
      </w:r>
      <w:r w:rsidRPr="00524A94">
        <w:rPr>
          <w:i/>
        </w:rPr>
        <w:t xml:space="preserve">. </w:t>
      </w:r>
    </w:p>
  </w:footnote>
  <w:footnote w:id="18">
    <w:p w:rsidR="00FE2243" w:rsidRPr="00524A94" w:rsidRDefault="00FE2243" w:rsidP="00591862">
      <w:pPr>
        <w:pStyle w:val="FootnoteText"/>
      </w:pPr>
      <w:r w:rsidRPr="00524A94">
        <w:rPr>
          <w:rStyle w:val="FootnoteReference"/>
        </w:rPr>
        <w:footnoteRef/>
      </w:r>
      <w:r w:rsidRPr="00524A94">
        <w:t xml:space="preserve"> Any U.S. international </w:t>
      </w:r>
      <w:r>
        <w:t xml:space="preserve">common </w:t>
      </w:r>
      <w:r w:rsidRPr="00524A94">
        <w:t>carrier or cable landing licensee that owned or leased capacity on a submarine cable between the United States and any foreign point on December 31 of the reporting period is required to file capacity amounts for the following categories: (1) owned capacity; (2) net indefeasible rights-of-use (IRUs); (3) net inter-carrier leaseholds (ICLs); (4) net capacity held (</w:t>
      </w:r>
      <w:r w:rsidRPr="009D3B00">
        <w:rPr>
          <w:i/>
        </w:rPr>
        <w:t>i.e</w:t>
      </w:r>
      <w:r w:rsidRPr="00524A94">
        <w:t xml:space="preserve">., the total of categories (1) through (3); (5) activated capacity; and (6) non-activated capacity.  </w:t>
      </w:r>
      <w:r w:rsidRPr="00E55C2F">
        <w:rPr>
          <w:i/>
        </w:rPr>
        <w:t xml:space="preserve">Part 43 Second Report and Order, </w:t>
      </w:r>
      <w:r w:rsidRPr="00E55C2F">
        <w:t>28 FCC Rcd at 608, para. 108</w:t>
      </w:r>
      <w:r>
        <w:t xml:space="preserve"> and Appx. D at 660-62</w:t>
      </w:r>
      <w:r w:rsidRPr="00E55C2F">
        <w:t>.</w:t>
      </w:r>
      <w:r w:rsidRPr="00524A94">
        <w:rPr>
          <w:i/>
        </w:rPr>
        <w:t xml:space="preserve"> </w:t>
      </w:r>
    </w:p>
  </w:footnote>
  <w:footnote w:id="19">
    <w:p w:rsidR="00FE2243" w:rsidRPr="00524A94" w:rsidRDefault="00FE2243" w:rsidP="00591862">
      <w:pPr>
        <w:pStyle w:val="FootnoteText"/>
      </w:pPr>
      <w:r w:rsidRPr="00524A94">
        <w:rPr>
          <w:rStyle w:val="FootnoteReference"/>
        </w:rPr>
        <w:footnoteRef/>
      </w:r>
      <w:r w:rsidRPr="00524A94">
        <w:t xml:space="preserve"> Each facilities-based common carrier is required to file a report showing its active common carrier terrestrial or satellite circuits between the United States and any foreign point as of December 31 of the preceding calendar year.  The terrestrial and satellite circuits are reported in world-total counts of 64 </w:t>
      </w:r>
      <w:r>
        <w:t xml:space="preserve">kilobits per second (kbps) </w:t>
      </w:r>
      <w:r w:rsidRPr="00524A94">
        <w:t xml:space="preserve">circuit units.  In addition, non-common carrier satellite operators are required to report a world-total count of circuits used by themselves or their affiliates, or sold or leased to any customer as of December 31 of the reporting period, other than to an international common carrier authorized by the Commission to provide U.S. international common carrier services.  </w:t>
      </w:r>
      <w:r w:rsidRPr="00524A94">
        <w:rPr>
          <w:i/>
        </w:rPr>
        <w:t xml:space="preserve">See </w:t>
      </w:r>
      <w:r>
        <w:rPr>
          <w:i/>
        </w:rPr>
        <w:t>id.</w:t>
      </w:r>
    </w:p>
  </w:footnote>
  <w:footnote w:id="20">
    <w:p w:rsidR="00FE2243" w:rsidRPr="00524A94" w:rsidRDefault="00FE2243" w:rsidP="003D105B">
      <w:pPr>
        <w:pStyle w:val="FootnoteText"/>
      </w:pPr>
      <w:r w:rsidRPr="00524A94">
        <w:rPr>
          <w:rStyle w:val="FootnoteReference"/>
        </w:rPr>
        <w:footnoteRef/>
      </w:r>
      <w:r w:rsidRPr="00524A94">
        <w:t xml:space="preserve"> </w:t>
      </w:r>
      <w:r>
        <w:t>47 U.S.C. § 159;</w:t>
      </w:r>
      <w:r w:rsidRPr="00B679C8">
        <w:rPr>
          <w:i/>
        </w:rPr>
        <w:t xml:space="preserve"> </w:t>
      </w:r>
      <w:r w:rsidRPr="00524A94">
        <w:rPr>
          <w:i/>
        </w:rPr>
        <w:t>Assessment and Collection of Regulatory Fees for Fiscal Year 2016</w:t>
      </w:r>
      <w:r w:rsidRPr="00524A94">
        <w:t xml:space="preserve">, </w:t>
      </w:r>
      <w:r>
        <w:t xml:space="preserve">MD Docket No. 16-166, </w:t>
      </w:r>
      <w:r w:rsidRPr="00524A94">
        <w:t>Report and Order, 31 FCC Rcd 10339 (2016) (</w:t>
      </w:r>
      <w:r w:rsidRPr="00524A94">
        <w:rPr>
          <w:i/>
        </w:rPr>
        <w:t>FY 2016 Report and Order</w:t>
      </w:r>
      <w:r w:rsidRPr="00524A94">
        <w:t xml:space="preserve">).  In </w:t>
      </w:r>
      <w:r>
        <w:t xml:space="preserve">the </w:t>
      </w:r>
      <w:r w:rsidRPr="00977588">
        <w:rPr>
          <w:i/>
        </w:rPr>
        <w:t>FY 2016 Report and Order</w:t>
      </w:r>
      <w:r>
        <w:t>,</w:t>
      </w:r>
      <w:r w:rsidRPr="00524A94">
        <w:t xml:space="preserve"> the Commission announced that it would be initiating a proceeding to review the methodology for assessing terrestrial and satellite international bearer circuit fees. </w:t>
      </w:r>
      <w:r>
        <w:t xml:space="preserve"> </w:t>
      </w:r>
      <w:r w:rsidRPr="00524A94">
        <w:rPr>
          <w:i/>
        </w:rPr>
        <w:t>Id.</w:t>
      </w:r>
      <w:r>
        <w:t xml:space="preserve"> at 10</w:t>
      </w:r>
      <w:r w:rsidRPr="00524A94">
        <w:t>343, para. 11.</w:t>
      </w:r>
    </w:p>
  </w:footnote>
  <w:footnote w:id="21">
    <w:p w:rsidR="00FE2243" w:rsidRPr="00A63E30" w:rsidRDefault="00FE2243" w:rsidP="00497263">
      <w:pPr>
        <w:pStyle w:val="FootnoteText"/>
      </w:pPr>
      <w:r w:rsidRPr="00A63E30">
        <w:rPr>
          <w:rStyle w:val="FootnoteReference"/>
        </w:rPr>
        <w:footnoteRef/>
      </w:r>
      <w:r w:rsidRPr="00A63E30">
        <w:t xml:space="preserve"> </w:t>
      </w:r>
      <w:r w:rsidRPr="00A63E30">
        <w:rPr>
          <w:i/>
        </w:rPr>
        <w:t>Commission Seeks Public Comment in 2016 Biennial Review of Telecommunications Regulations</w:t>
      </w:r>
      <w:r w:rsidRPr="00A63E30">
        <w:t xml:space="preserve">, IB Docket No. 16-131 </w:t>
      </w:r>
      <w:r w:rsidRPr="001D4071">
        <w:rPr>
          <w:i/>
        </w:rPr>
        <w:t>et al</w:t>
      </w:r>
      <w:r w:rsidRPr="00965B4D">
        <w:t>.,</w:t>
      </w:r>
      <w:r w:rsidRPr="00A63E30">
        <w:t xml:space="preserve"> Public Notice, </w:t>
      </w:r>
      <w:r>
        <w:t>31 FCC Rcd 12166</w:t>
      </w:r>
      <w:r w:rsidRPr="00A63E30">
        <w:t xml:space="preserve"> (2016)</w:t>
      </w:r>
      <w:r>
        <w:t xml:space="preserve"> (</w:t>
      </w:r>
      <w:r>
        <w:rPr>
          <w:i/>
        </w:rPr>
        <w:t>Biennial Review PN</w:t>
      </w:r>
      <w:r>
        <w:t>)</w:t>
      </w:r>
      <w:r w:rsidRPr="00A63E30">
        <w:t xml:space="preserve">.  Section 11 requires the Commission to (1) review biennially its regulations “that apply to the operations or activities of any provider of telecommunications service,” and (2) “determine whether any such regulation is no longer necessary in the public interest as the result of meaningful economic competition between providers of such service.”  Section 11 directs the Commission to repeal or modify any regulations that it finds are no longer in the public interest.  47 U.S.C. § 161.  </w:t>
      </w:r>
      <w:r>
        <w:t xml:space="preserve">The proceeding we initiate here is limited to addressing those issues raised in comments filed in the Biennial Review proceeding regarding the Part 43 rules, and does not otherwise impact the International Bureau’s review of comments filed in response to the </w:t>
      </w:r>
      <w:r>
        <w:rPr>
          <w:i/>
        </w:rPr>
        <w:t>Biennial Review PN. Id</w:t>
      </w:r>
      <w:r>
        <w:t xml:space="preserve">. </w:t>
      </w:r>
    </w:p>
  </w:footnote>
  <w:footnote w:id="22">
    <w:p w:rsidR="00FE2243" w:rsidRPr="00A63E30" w:rsidRDefault="00FE2243" w:rsidP="00497263">
      <w:pPr>
        <w:pStyle w:val="FootnoteText"/>
      </w:pPr>
      <w:r w:rsidRPr="00A63E30">
        <w:rPr>
          <w:rStyle w:val="FootnoteReference"/>
        </w:rPr>
        <w:footnoteRef/>
      </w:r>
      <w:r w:rsidRPr="00A63E30">
        <w:t xml:space="preserve"> USTelecom Comments, IB Docket No. 16-131; CTIA Comments, IB Docket No. 16-131; T-Mobile USA, Inc. (T-Mobile) Reply, IB Docket No. 16-131; AT&amp;T Services Inc. Reply (AT&amp;T), IB Docket No. 16-131.</w:t>
      </w:r>
    </w:p>
  </w:footnote>
  <w:footnote w:id="23">
    <w:p w:rsidR="00FE2243" w:rsidRDefault="00FE2243" w:rsidP="00C37231">
      <w:pPr>
        <w:pStyle w:val="FootnoteText"/>
      </w:pPr>
      <w:r>
        <w:rPr>
          <w:rStyle w:val="FootnoteReference"/>
        </w:rPr>
        <w:footnoteRef/>
      </w:r>
      <w:r>
        <w:t xml:space="preserve"> USTelecom Comments at 2, IB Docket No. 16-131.</w:t>
      </w:r>
    </w:p>
  </w:footnote>
  <w:footnote w:id="24">
    <w:p w:rsidR="00FE2243" w:rsidRDefault="00FE2243" w:rsidP="00C37231">
      <w:pPr>
        <w:pStyle w:val="FootnoteText"/>
      </w:pPr>
      <w:r>
        <w:rPr>
          <w:rStyle w:val="FootnoteReference"/>
        </w:rPr>
        <w:footnoteRef/>
      </w:r>
      <w:r>
        <w:t xml:space="preserve"> </w:t>
      </w:r>
      <w:r>
        <w:rPr>
          <w:i/>
        </w:rPr>
        <w:t xml:space="preserve">Id. </w:t>
      </w:r>
      <w:r>
        <w:t>at 2 (emphasis in original).</w:t>
      </w:r>
    </w:p>
  </w:footnote>
  <w:footnote w:id="25">
    <w:p w:rsidR="00FE2243" w:rsidRDefault="00FE2243" w:rsidP="00C37231">
      <w:pPr>
        <w:pStyle w:val="FootnoteText"/>
      </w:pPr>
      <w:r>
        <w:rPr>
          <w:rStyle w:val="FootnoteReference"/>
        </w:rPr>
        <w:footnoteRef/>
      </w:r>
      <w:r>
        <w:t xml:space="preserve"> T-Mobile Reply at 2-3, IB Docket No. 16-131. </w:t>
      </w:r>
    </w:p>
  </w:footnote>
  <w:footnote w:id="26">
    <w:p w:rsidR="00FE2243" w:rsidRDefault="00FE2243" w:rsidP="00C37231">
      <w:pPr>
        <w:pStyle w:val="FootnoteText"/>
      </w:pPr>
      <w:r>
        <w:rPr>
          <w:rStyle w:val="FootnoteReference"/>
        </w:rPr>
        <w:footnoteRef/>
      </w:r>
      <w:r>
        <w:t xml:space="preserve"> CTIA Comments at 11, IB Docket No. 16-131.  CTIA cites to Section 43.61(b) of the Commission’s rules.  The international traffic and revenue reporting requirements, however, are currently set forth in Section 43.62(b).  47 CFR </w:t>
      </w:r>
      <w:r w:rsidRPr="002813EC">
        <w:t>§</w:t>
      </w:r>
      <w:r>
        <w:t xml:space="preserve"> 43.62(b); </w:t>
      </w:r>
      <w:r>
        <w:rPr>
          <w:i/>
        </w:rPr>
        <w:t xml:space="preserve">see </w:t>
      </w:r>
      <w:r>
        <w:rPr>
          <w:i/>
          <w:iCs/>
        </w:rPr>
        <w:t>Part 43 Second Report and Order</w:t>
      </w:r>
      <w:r>
        <w:rPr>
          <w:iCs/>
        </w:rPr>
        <w:t xml:space="preserve">, 28 FCC Rcd at 580, para. 14.  </w:t>
      </w:r>
      <w:r>
        <w:rPr>
          <w:i/>
          <w:iCs/>
        </w:rPr>
        <w:t xml:space="preserve">See </w:t>
      </w:r>
      <w:r w:rsidRPr="00CD3445">
        <w:rPr>
          <w:i/>
          <w:iCs/>
        </w:rPr>
        <w:t>also</w:t>
      </w:r>
      <w:r>
        <w:rPr>
          <w:iCs/>
        </w:rPr>
        <w:t xml:space="preserve"> Letters from Brian M. Josef, Assistant Vice President, Regulatory Affairs, CTIA, to Marlene H. Dortch, Secretary, FCC, IB Docket No. 16-131 (filed Mar. 15-16, 2017) (summaries of meetings with Office of Chairman Pai, Office of Commissioner Clyburn, Office of Commissioner O’Rielly, and International Bureau).  </w:t>
      </w:r>
      <w:r w:rsidRPr="00CD3445">
        <w:rPr>
          <w:iCs/>
        </w:rPr>
        <w:t>CTIA</w:t>
      </w:r>
      <w:r>
        <w:rPr>
          <w:iCs/>
        </w:rPr>
        <w:t xml:space="preserve"> also urges the Commission to exempt Commercial Mobile Radio Service (CMRS) providers from the requirements of </w:t>
      </w:r>
      <w:r w:rsidRPr="00682735">
        <w:rPr>
          <w:bCs/>
          <w:iCs/>
        </w:rPr>
        <w:t>Sections 63.09-63.24</w:t>
      </w:r>
      <w:r>
        <w:rPr>
          <w:bCs/>
          <w:iCs/>
        </w:rPr>
        <w:t xml:space="preserve"> of the Commission’s rules, which </w:t>
      </w:r>
      <w:r w:rsidRPr="00682735">
        <w:rPr>
          <w:iCs/>
        </w:rPr>
        <w:t>set forth the process for carriers to obtain</w:t>
      </w:r>
      <w:r>
        <w:rPr>
          <w:iCs/>
        </w:rPr>
        <w:t xml:space="preserve"> </w:t>
      </w:r>
      <w:r w:rsidRPr="00682735">
        <w:rPr>
          <w:iCs/>
        </w:rPr>
        <w:t>and transfer authorizations under Section 214 of the Act to provide</w:t>
      </w:r>
      <w:r>
        <w:rPr>
          <w:iCs/>
        </w:rPr>
        <w:t xml:space="preserve"> </w:t>
      </w:r>
      <w:r w:rsidRPr="00682735">
        <w:rPr>
          <w:iCs/>
        </w:rPr>
        <w:t>international services.</w:t>
      </w:r>
      <w:r>
        <w:rPr>
          <w:iCs/>
        </w:rPr>
        <w:t xml:space="preserve">  </w:t>
      </w:r>
      <w:r w:rsidRPr="000660D8">
        <w:rPr>
          <w:iCs/>
        </w:rPr>
        <w:t>CTIA Comments at 1</w:t>
      </w:r>
      <w:r>
        <w:rPr>
          <w:iCs/>
        </w:rPr>
        <w:t>2</w:t>
      </w:r>
      <w:r w:rsidRPr="000660D8">
        <w:rPr>
          <w:iCs/>
        </w:rPr>
        <w:t xml:space="preserve">, IB Docket No. 16-131.  </w:t>
      </w:r>
      <w:r>
        <w:t>We do not address this separate request in this proceeding.</w:t>
      </w:r>
    </w:p>
  </w:footnote>
  <w:footnote w:id="27">
    <w:p w:rsidR="00FE2243" w:rsidRDefault="00FE2243" w:rsidP="00C37231">
      <w:pPr>
        <w:pStyle w:val="FootnoteText"/>
      </w:pPr>
      <w:r>
        <w:rPr>
          <w:rStyle w:val="FootnoteReference"/>
        </w:rPr>
        <w:footnoteRef/>
      </w:r>
      <w:r>
        <w:t xml:space="preserve"> AT&amp;T Reply at 1-2, IB Docket No. 16-131.  </w:t>
      </w:r>
      <w:r w:rsidRPr="00376DE2">
        <w:rPr>
          <w:i/>
          <w:iCs/>
        </w:rPr>
        <w:t>See also</w:t>
      </w:r>
      <w:r w:rsidRPr="00376DE2">
        <w:rPr>
          <w:iCs/>
        </w:rPr>
        <w:t xml:space="preserve"> Letter from </w:t>
      </w:r>
      <w:r>
        <w:rPr>
          <w:iCs/>
        </w:rPr>
        <w:t xml:space="preserve">Amy L. Alvarez, </w:t>
      </w:r>
      <w:r w:rsidRPr="00376DE2">
        <w:rPr>
          <w:iCs/>
        </w:rPr>
        <w:t xml:space="preserve">Assistant Vice President, </w:t>
      </w:r>
      <w:r>
        <w:rPr>
          <w:iCs/>
        </w:rPr>
        <w:t xml:space="preserve">International External &amp; </w:t>
      </w:r>
      <w:r w:rsidRPr="00376DE2">
        <w:rPr>
          <w:iCs/>
        </w:rPr>
        <w:t xml:space="preserve">Regulatory Affairs, </w:t>
      </w:r>
      <w:r>
        <w:rPr>
          <w:iCs/>
        </w:rPr>
        <w:t>AT&amp;T</w:t>
      </w:r>
      <w:r w:rsidRPr="00376DE2">
        <w:rPr>
          <w:iCs/>
        </w:rPr>
        <w:t>, to Marlene H. Dortch, Secretary, FCC, IB Docket No</w:t>
      </w:r>
      <w:r>
        <w:rPr>
          <w:iCs/>
        </w:rPr>
        <w:t>s</w:t>
      </w:r>
      <w:r w:rsidRPr="00376DE2">
        <w:rPr>
          <w:iCs/>
        </w:rPr>
        <w:t>. 16-131</w:t>
      </w:r>
      <w:r>
        <w:rPr>
          <w:iCs/>
        </w:rPr>
        <w:t xml:space="preserve"> and 17-55 (filed Mar. 17</w:t>
      </w:r>
      <w:r w:rsidRPr="00376DE2">
        <w:rPr>
          <w:iCs/>
        </w:rPr>
        <w:t>, 2017).</w:t>
      </w:r>
    </w:p>
  </w:footnote>
  <w:footnote w:id="28">
    <w:p w:rsidR="00FE2243" w:rsidRDefault="00FE2243" w:rsidP="00C37231">
      <w:pPr>
        <w:pStyle w:val="FootnoteText"/>
      </w:pPr>
      <w:r>
        <w:rPr>
          <w:rStyle w:val="FootnoteReference"/>
        </w:rPr>
        <w:footnoteRef/>
      </w:r>
      <w:r>
        <w:t xml:space="preserve"> </w:t>
      </w:r>
      <w:r w:rsidRPr="00376DE2">
        <w:rPr>
          <w:snapToGrid w:val="0"/>
          <w:kern w:val="28"/>
          <w:sz w:val="22"/>
        </w:rPr>
        <w:t xml:space="preserve"> </w:t>
      </w:r>
      <w:r w:rsidRPr="001D4071">
        <w:t>AT&amp;T Reply at 1-2, IB Docket No. 16-131.</w:t>
      </w:r>
      <w:r>
        <w:rPr>
          <w:i/>
        </w:rPr>
        <w:t xml:space="preserve"> </w:t>
      </w:r>
    </w:p>
  </w:footnote>
  <w:footnote w:id="29">
    <w:p w:rsidR="00FE2243" w:rsidRDefault="00FE2243" w:rsidP="00C37231">
      <w:pPr>
        <w:pStyle w:val="FootnoteText"/>
      </w:pPr>
      <w:r>
        <w:rPr>
          <w:rStyle w:val="FootnoteReference"/>
        </w:rPr>
        <w:footnoteRef/>
      </w:r>
      <w:r>
        <w:t xml:space="preserve"> </w:t>
      </w:r>
      <w:r>
        <w:rPr>
          <w:i/>
        </w:rPr>
        <w:t xml:space="preserve">Id. </w:t>
      </w:r>
      <w:r>
        <w:t xml:space="preserve">at 3, n.6.  </w:t>
      </w:r>
      <w:r w:rsidRPr="00376DE2">
        <w:rPr>
          <w:i/>
          <w:iCs/>
        </w:rPr>
        <w:t>See also</w:t>
      </w:r>
      <w:r w:rsidRPr="00376DE2">
        <w:rPr>
          <w:iCs/>
        </w:rPr>
        <w:t xml:space="preserve"> Letter from </w:t>
      </w:r>
      <w:r>
        <w:rPr>
          <w:iCs/>
        </w:rPr>
        <w:t xml:space="preserve">Amy L. Alvarez, </w:t>
      </w:r>
      <w:r w:rsidRPr="00376DE2">
        <w:rPr>
          <w:iCs/>
        </w:rPr>
        <w:t xml:space="preserve">Assistant Vice President, </w:t>
      </w:r>
      <w:r>
        <w:rPr>
          <w:iCs/>
        </w:rPr>
        <w:t xml:space="preserve">International External &amp; </w:t>
      </w:r>
      <w:r w:rsidRPr="00376DE2">
        <w:rPr>
          <w:iCs/>
        </w:rPr>
        <w:t xml:space="preserve">Regulatory Affairs, </w:t>
      </w:r>
      <w:r>
        <w:rPr>
          <w:iCs/>
        </w:rPr>
        <w:t>AT&amp;T</w:t>
      </w:r>
      <w:r w:rsidRPr="00376DE2">
        <w:rPr>
          <w:iCs/>
        </w:rPr>
        <w:t>, to Marlene H. Dortch, Secretary, FCC, IB Docket No</w:t>
      </w:r>
      <w:r>
        <w:rPr>
          <w:iCs/>
        </w:rPr>
        <w:t>s</w:t>
      </w:r>
      <w:r w:rsidRPr="00376DE2">
        <w:rPr>
          <w:iCs/>
        </w:rPr>
        <w:t>. 16-131</w:t>
      </w:r>
      <w:r>
        <w:rPr>
          <w:iCs/>
        </w:rPr>
        <w:t xml:space="preserve"> and 17-55 (filed Mar. 22</w:t>
      </w:r>
      <w:r w:rsidRPr="00376DE2">
        <w:rPr>
          <w:iCs/>
        </w:rPr>
        <w:t>, 2017)</w:t>
      </w:r>
      <w:r>
        <w:rPr>
          <w:iCs/>
        </w:rPr>
        <w:t xml:space="preserve"> (AT&amp;T Mar. 22, 2017 Ex Parte)</w:t>
      </w:r>
      <w:r w:rsidRPr="00376DE2">
        <w:rPr>
          <w:iCs/>
        </w:rPr>
        <w:t>.</w:t>
      </w:r>
      <w:r>
        <w:t xml:space="preserve"> </w:t>
      </w:r>
    </w:p>
  </w:footnote>
  <w:footnote w:id="30">
    <w:p w:rsidR="00FE2243" w:rsidRDefault="00FE2243" w:rsidP="000C41DF">
      <w:pPr>
        <w:pStyle w:val="FootnoteText"/>
      </w:pPr>
      <w:r>
        <w:rPr>
          <w:rStyle w:val="FootnoteReference"/>
        </w:rPr>
        <w:footnoteRef/>
      </w:r>
      <w:r>
        <w:t xml:space="preserve"> These estimates have been derived by applying the number of traffic and revenue filings in 2016 to the burden estimates in the Paperwork Reduction Act review process for the annual Traffic and Revenue Reports and Circuit Capacity Reports.  </w:t>
      </w:r>
      <w:r w:rsidRPr="00533125">
        <w:t xml:space="preserve">OMB Control Number 3060-1156, ICR Ref. No. 201501-3060-002, FCC Supporting Statement at 11-13 (2014) (2014 Supporting Statement), </w:t>
      </w:r>
      <w:hyperlink r:id="rId2" w:history="1">
        <w:r w:rsidRPr="00B17AE9">
          <w:rPr>
            <w:rStyle w:val="Hyperlink"/>
          </w:rPr>
          <w:t>https://www.reginfo.gov/public/do/PRAViewDocument?ref_nbr=201501-3060-002</w:t>
        </w:r>
      </w:hyperlink>
      <w:r w:rsidRPr="00533125">
        <w:t>.</w:t>
      </w:r>
      <w:r>
        <w:t xml:space="preserve"> </w:t>
      </w:r>
    </w:p>
  </w:footnote>
  <w:footnote w:id="31">
    <w:p w:rsidR="00FE2243" w:rsidRDefault="00FE2243">
      <w:pPr>
        <w:pStyle w:val="FootnoteText"/>
      </w:pPr>
      <w:r>
        <w:rPr>
          <w:rStyle w:val="FootnoteReference"/>
        </w:rPr>
        <w:footnoteRef/>
      </w:r>
      <w:r>
        <w:t xml:space="preserve"> </w:t>
      </w:r>
      <w:r w:rsidRPr="00926716">
        <w:rPr>
          <w:i/>
        </w:rPr>
        <w:t>Id</w:t>
      </w:r>
      <w:r>
        <w:t>.</w:t>
      </w:r>
    </w:p>
  </w:footnote>
  <w:footnote w:id="32">
    <w:p w:rsidR="00FE2243" w:rsidRDefault="00FE2243">
      <w:pPr>
        <w:pStyle w:val="FootnoteText"/>
      </w:pPr>
      <w:r>
        <w:rPr>
          <w:rStyle w:val="FootnoteReference"/>
        </w:rPr>
        <w:footnoteRef/>
      </w:r>
      <w:r>
        <w:t xml:space="preserve"> AT&amp;T, for example, reported that nearly 300 hours were required to prepare its Traffic and Revenue Report.  AT&amp;T Reply at 3, n.6, IB Docket No. 16-131.  </w:t>
      </w:r>
      <w:r w:rsidRPr="00EE04FE">
        <w:rPr>
          <w:i/>
        </w:rPr>
        <w:t>See also</w:t>
      </w:r>
      <w:r>
        <w:t xml:space="preserve"> AT&amp;T Mar. 22, 2017 Ex Parte (explaining the 300-hour calculation).</w:t>
      </w:r>
    </w:p>
  </w:footnote>
  <w:footnote w:id="33">
    <w:p w:rsidR="00FE2243" w:rsidRDefault="00FE2243" w:rsidP="007B183C">
      <w:pPr>
        <w:pStyle w:val="FootnoteText"/>
      </w:pPr>
      <w:r>
        <w:rPr>
          <w:rStyle w:val="FootnoteReference"/>
        </w:rPr>
        <w:footnoteRef/>
      </w:r>
      <w:r>
        <w:t xml:space="preserve"> The results of the WTO’s basic telecommunications services negotiations are incorporated into the General Agreement on Trade in Services (GATS) by the Fourth Protocol to the GATS.  </w:t>
      </w:r>
      <w:r>
        <w:rPr>
          <w:i/>
          <w:iCs/>
        </w:rPr>
        <w:t>See</w:t>
      </w:r>
      <w:r>
        <w:t xml:space="preserve"> </w:t>
      </w:r>
      <w:r>
        <w:rPr>
          <w:snapToGrid w:val="0"/>
        </w:rPr>
        <w:t xml:space="preserve">World Trade Organization, Fourth Protocol to the General Agreement on Trade in Services, 36 I.L.M. 366 (1997 ) (April 30,1996), </w:t>
      </w:r>
      <w:hyperlink r:id="rId3" w:history="1">
        <w:r>
          <w:rPr>
            <w:rStyle w:val="Hyperlink"/>
            <w:snapToGrid w:val="0"/>
          </w:rPr>
          <w:t>https://www.wto.org/english/tratop_e/serv_e/4prote_e.htm</w:t>
        </w:r>
      </w:hyperlink>
      <w:r>
        <w:rPr>
          <w:snapToGrid w:val="0"/>
        </w:rPr>
        <w:t>. </w:t>
      </w:r>
      <w:r>
        <w:t xml:space="preserve"> The Commission refers to these results, as well as the basic obligations contained in the GATS, as the “WTO Basic Telecom Agreement.”  </w:t>
      </w:r>
      <w:r>
        <w:rPr>
          <w:i/>
          <w:iCs/>
        </w:rPr>
        <w:t>See also</w:t>
      </w:r>
      <w:r>
        <w:t xml:space="preserve"> </w:t>
      </w:r>
      <w:r>
        <w:rPr>
          <w:i/>
          <w:iCs/>
        </w:rPr>
        <w:t>Rules and Policies on Foreign Participation in the U.S. Telecommunications Market: Market Entry and Regulation of Foreign-Affiliated Entities</w:t>
      </w:r>
      <w:r>
        <w:t xml:space="preserve">, IB Docket Nos. 97-142 and 95-22, Report and Order and Order on Reconsideration, 12 FCC Rcd 23891 (1997), Order on Reconsideration, 15 FCC Rcd 18158 (2000). </w:t>
      </w:r>
    </w:p>
  </w:footnote>
  <w:footnote w:id="34">
    <w:p w:rsidR="00FE2243" w:rsidRDefault="00FE2243">
      <w:pPr>
        <w:pStyle w:val="FootnoteText"/>
      </w:pPr>
      <w:r>
        <w:rPr>
          <w:rStyle w:val="FootnoteReference"/>
        </w:rPr>
        <w:footnoteRef/>
      </w:r>
      <w:r>
        <w:t xml:space="preserve"> </w:t>
      </w:r>
      <w:r w:rsidRPr="006722B4">
        <w:rPr>
          <w:i/>
        </w:rPr>
        <w:t>Benchmarks Order</w:t>
      </w:r>
      <w:r>
        <w:rPr>
          <w:i/>
        </w:rPr>
        <w:t xml:space="preserve">, </w:t>
      </w:r>
      <w:r w:rsidRPr="0061655D">
        <w:t>12 F</w:t>
      </w:r>
      <w:r>
        <w:t>CC Rcd 19806 (1997).</w:t>
      </w:r>
    </w:p>
  </w:footnote>
  <w:footnote w:id="35">
    <w:p w:rsidR="00FE2243" w:rsidRPr="00CD58EA" w:rsidRDefault="00FE2243" w:rsidP="000C41DF">
      <w:pPr>
        <w:pStyle w:val="FootnoteText"/>
      </w:pPr>
      <w:r w:rsidRPr="00CD58EA">
        <w:rPr>
          <w:rStyle w:val="FootnoteReference"/>
        </w:rPr>
        <w:footnoteRef/>
      </w:r>
      <w:r w:rsidRPr="00CD58EA">
        <w:t xml:space="preserve"> IMTS is defined as the provision of message telephone service (MTS) between the United States and a foreign point.  The term </w:t>
      </w:r>
      <w:r>
        <w:t>MTS</w:t>
      </w:r>
      <w:r w:rsidRPr="00CD58EA">
        <w:t xml:space="preserve"> refers to the transmission and reception of speech and low-speed dial-up data over the PSTN.</w:t>
      </w:r>
      <w:r>
        <w:t xml:space="preserve">  </w:t>
      </w:r>
      <w:r w:rsidRPr="00514DCB">
        <w:rPr>
          <w:i/>
        </w:rPr>
        <w:t>Section 43.62 Filing Manual</w:t>
      </w:r>
      <w:r w:rsidRPr="00514DCB">
        <w:t xml:space="preserve"> at Appx. B: Definitions.</w:t>
      </w:r>
      <w:r>
        <w:t xml:space="preserve">  </w:t>
      </w:r>
      <w:r w:rsidRPr="001D4071">
        <w:rPr>
          <w:i/>
        </w:rPr>
        <w:t>See also supra</w:t>
      </w:r>
      <w:r>
        <w:t xml:space="preserve"> note 9. </w:t>
      </w:r>
    </w:p>
  </w:footnote>
  <w:footnote w:id="36">
    <w:p w:rsidR="00FE2243" w:rsidRPr="00CD58EA" w:rsidRDefault="00FE2243" w:rsidP="000C41DF">
      <w:pPr>
        <w:pStyle w:val="FootnoteText"/>
      </w:pPr>
      <w:r w:rsidRPr="00CD58EA">
        <w:rPr>
          <w:rStyle w:val="FootnoteReference"/>
        </w:rPr>
        <w:footnoteRef/>
      </w:r>
      <w:r w:rsidRPr="00CD58EA">
        <w:t xml:space="preserve"> </w:t>
      </w:r>
      <w:r w:rsidRPr="000B17EB">
        <w:t>FCC</w:t>
      </w:r>
      <w:r>
        <w:t>,</w:t>
      </w:r>
      <w:r w:rsidRPr="000B17EB">
        <w:t xml:space="preserve"> International Bureau Report, 2014 U.S. International Telecommunications Traffic and Revenue Data</w:t>
      </w:r>
      <w:r>
        <w:t>, Tables 5 and 6</w:t>
      </w:r>
      <w:r w:rsidRPr="000B17EB">
        <w:t xml:space="preserve"> (July 1, 2016)</w:t>
      </w:r>
      <w:r>
        <w:t xml:space="preserve"> </w:t>
      </w:r>
      <w:r w:rsidRPr="007D57C0">
        <w:t>(</w:t>
      </w:r>
      <w:r w:rsidRPr="007D57C0">
        <w:rPr>
          <w:i/>
        </w:rPr>
        <w:t>2014 Traffic and Revenue Report</w:t>
      </w:r>
      <w:r w:rsidRPr="007D57C0">
        <w:t>)</w:t>
      </w:r>
      <w:r>
        <w:t xml:space="preserve">, </w:t>
      </w:r>
      <w:hyperlink r:id="rId4" w:history="1">
        <w:r w:rsidRPr="000F4D7E">
          <w:rPr>
            <w:rStyle w:val="Hyperlink"/>
          </w:rPr>
          <w:t>https://apps.fcc.gov/edocs_public/attachmatch/DOC-340121A1.pdf</w:t>
        </w:r>
      </w:hyperlink>
      <w:r>
        <w:t xml:space="preserve"> and </w:t>
      </w:r>
      <w:r w:rsidRPr="00521591">
        <w:t>http://transition.fcc.gov/Daily_Releases/Daily_Business/2016/db0701/DOC-340121A2.xlsx</w:t>
      </w:r>
      <w:r w:rsidRPr="000B17EB">
        <w:t>.</w:t>
      </w:r>
      <w:r>
        <w:t xml:space="preserve"> </w:t>
      </w:r>
      <w:r w:rsidRPr="00680D79" w:rsidDel="00680D79">
        <w:rPr>
          <w:b/>
          <w:highlight w:val="yellow"/>
        </w:rPr>
        <w:t xml:space="preserve"> </w:t>
      </w:r>
    </w:p>
  </w:footnote>
  <w:footnote w:id="37">
    <w:p w:rsidR="00FE2243" w:rsidRPr="00CD58EA" w:rsidRDefault="00FE2243" w:rsidP="000C41DF">
      <w:pPr>
        <w:pStyle w:val="FootnoteText"/>
      </w:pPr>
      <w:r w:rsidRPr="00CD58EA">
        <w:rPr>
          <w:rStyle w:val="FootnoteReference"/>
        </w:rPr>
        <w:footnoteRef/>
      </w:r>
      <w:r w:rsidRPr="00CD58EA">
        <w:t xml:space="preserve"> </w:t>
      </w:r>
      <w:r w:rsidRPr="00732335">
        <w:rPr>
          <w:i/>
        </w:rPr>
        <w:t>Id</w:t>
      </w:r>
      <w:r>
        <w:t xml:space="preserve">. at Tbl. </w:t>
      </w:r>
      <w:r w:rsidRPr="00732335">
        <w:t>6.</w:t>
      </w:r>
    </w:p>
  </w:footnote>
  <w:footnote w:id="38">
    <w:p w:rsidR="00FE2243" w:rsidRPr="00CD58EA" w:rsidRDefault="00FE2243" w:rsidP="000C41DF">
      <w:pPr>
        <w:pStyle w:val="FootnoteText"/>
      </w:pPr>
      <w:r w:rsidRPr="00732335">
        <w:rPr>
          <w:rStyle w:val="FootnoteReference"/>
        </w:rPr>
        <w:footnoteRef/>
      </w:r>
      <w:r w:rsidRPr="00732335">
        <w:t xml:space="preserve"> 354 interconnected VoIP providers </w:t>
      </w:r>
      <w:r>
        <w:t xml:space="preserve">filed Traffic and Revenue Reports in 2015.  </w:t>
      </w:r>
      <w:r w:rsidRPr="00732335">
        <w:rPr>
          <w:i/>
        </w:rPr>
        <w:t>Id</w:t>
      </w:r>
      <w:r w:rsidRPr="00732335">
        <w:t>. at 1.</w:t>
      </w:r>
    </w:p>
  </w:footnote>
  <w:footnote w:id="39">
    <w:p w:rsidR="00FE2243" w:rsidRPr="00BC4B0B" w:rsidRDefault="00FE2243" w:rsidP="001D4071">
      <w:pPr>
        <w:pStyle w:val="FootnoteText"/>
      </w:pPr>
      <w:r w:rsidRPr="00CD58EA">
        <w:rPr>
          <w:rStyle w:val="FootnoteReference"/>
        </w:rPr>
        <w:footnoteRef/>
      </w:r>
      <w:r w:rsidRPr="00BC4B0B">
        <w:t xml:space="preserve"> </w:t>
      </w:r>
      <w:r>
        <w:t>In a recent presentation to the Expert Group on International Telecommunication Regulations, International Telecommunication Union (ITU), the United States noted that “[a]</w:t>
      </w:r>
      <w:r w:rsidRPr="00CD58EA">
        <w:t xml:space="preserve">ccording to the </w:t>
      </w:r>
      <w:r>
        <w:t>I</w:t>
      </w:r>
      <w:r w:rsidRPr="00CD58EA">
        <w:t>TU</w:t>
      </w:r>
      <w:r>
        <w:t>,</w:t>
      </w:r>
      <w:r w:rsidRPr="00CD58EA">
        <w:t xml:space="preserve"> a clear majority of countries in all six ITU regions have competitive markets covering elements that are essential to the provision </w:t>
      </w:r>
      <w:r>
        <w:t xml:space="preserve">of </w:t>
      </w:r>
      <w:r w:rsidRPr="00CD58EA">
        <w:t xml:space="preserve">international telecommunication services </w:t>
      </w:r>
      <w:r>
        <w:t>–</w:t>
      </w:r>
      <w:r w:rsidRPr="00CD58EA">
        <w:t xml:space="preserve"> domestic</w:t>
      </w:r>
      <w:r>
        <w:t xml:space="preserve"> </w:t>
      </w:r>
      <w:r w:rsidRPr="00CD58EA">
        <w:t>fixed long-distance, mobile, leased lines</w:t>
      </w:r>
      <w:r>
        <w:t>,</w:t>
      </w:r>
      <w:r w:rsidRPr="00CD58EA">
        <w:t xml:space="preserve"> and international gateways.  For example, according to ITU’s 2015 ICTEYE, a majority of countries have various levels of competitive markets in domestic and international long distance services and more than 75</w:t>
      </w:r>
      <w:r>
        <w:t xml:space="preserve"> percent</w:t>
      </w:r>
      <w:r w:rsidRPr="00CD58EA">
        <w:t xml:space="preserve"> of ITU Member States have competitive international gateways and leased line markets.</w:t>
      </w:r>
      <w:r>
        <w:t xml:space="preserve">”  </w:t>
      </w:r>
      <w:r w:rsidRPr="00631EA2">
        <w:t>United States Views on the Review of the International Telecommunication Regulations</w:t>
      </w:r>
      <w:r>
        <w:t xml:space="preserve"> (Jan. 19, 2017)</w:t>
      </w:r>
      <w:r w:rsidRPr="00631EA2">
        <w:t xml:space="preserve">, </w:t>
      </w:r>
      <w:hyperlink r:id="rId5" w:history="1">
        <w:r w:rsidRPr="00DF7DBE">
          <w:rPr>
            <w:rStyle w:val="Hyperlink"/>
          </w:rPr>
          <w:t>https://www.itu.int/dms_pub/itu-s/md/17/clegitr1/c/S17-CLEGITR1-C-0002!!MSW-E.docx</w:t>
        </w:r>
      </w:hyperlink>
      <w:r>
        <w:t xml:space="preserve">; </w:t>
      </w:r>
      <w:r w:rsidRPr="002F2776">
        <w:rPr>
          <w:i/>
        </w:rPr>
        <w:t>see</w:t>
      </w:r>
      <w:r w:rsidRPr="00463141">
        <w:rPr>
          <w:i/>
        </w:rPr>
        <w:t xml:space="preserve"> also</w:t>
      </w:r>
      <w:r>
        <w:t xml:space="preserve"> </w:t>
      </w:r>
      <w:r w:rsidRPr="00631EA2">
        <w:t>ITU, ICT EYE Key ICT Data &amp; Statistics</w:t>
      </w:r>
      <w:r>
        <w:t xml:space="preserve"> (Mar. 21, 2017)</w:t>
      </w:r>
      <w:r w:rsidRPr="00631EA2">
        <w:t xml:space="preserve">, </w:t>
      </w:r>
      <w:hyperlink r:id="rId6" w:history="1">
        <w:r w:rsidRPr="006F77F2">
          <w:rPr>
            <w:rStyle w:val="Hyperlink"/>
          </w:rPr>
          <w:t>http://www.itu.int/net4/itu-d/icteye/</w:t>
        </w:r>
      </w:hyperlink>
      <w:r w:rsidRPr="00631EA2">
        <w:t>.</w:t>
      </w:r>
      <w:r>
        <w:t xml:space="preserve"> </w:t>
      </w:r>
      <w:r w:rsidRPr="00CD58EA">
        <w:t xml:space="preserve"> </w:t>
      </w:r>
    </w:p>
  </w:footnote>
  <w:footnote w:id="40">
    <w:p w:rsidR="00FE2243" w:rsidRPr="00D83183" w:rsidRDefault="00FE2243">
      <w:pPr>
        <w:pStyle w:val="FootnoteText"/>
      </w:pPr>
      <w:r>
        <w:rPr>
          <w:rStyle w:val="FootnoteReference"/>
        </w:rPr>
        <w:footnoteRef/>
      </w:r>
      <w:r>
        <w:t xml:space="preserve"> For example, on the U.S.-Fiji route (2013 to present), U.S.-Pakistan route (2013-2016), and U.S.-Tonga route (2009 to present).  </w:t>
      </w:r>
      <w:r>
        <w:rPr>
          <w:i/>
        </w:rPr>
        <w:t>See</w:t>
      </w:r>
      <w:r>
        <w:t xml:space="preserve"> </w:t>
      </w:r>
      <w:r w:rsidRPr="00D83183">
        <w:rPr>
          <w:i/>
          <w:iCs/>
        </w:rPr>
        <w:t>Petition for Protection From Anticompetitive Behavior and Stop Settlement Payment Order on the U.S.-Pakistan Route</w:t>
      </w:r>
      <w:r w:rsidRPr="00D83183">
        <w:t xml:space="preserve">, IB Docket No. 12-324, Memorandum Opinion and Order, 28 FCC Rcd 2127 (IB 2013); </w:t>
      </w:r>
      <w:r w:rsidRPr="00D83183">
        <w:rPr>
          <w:i/>
          <w:iCs/>
        </w:rPr>
        <w:t>Petition for Protection From Anticompetitive Behavior and Stop Settlement Payment Order on the U.S.-Pakistan Route</w:t>
      </w:r>
      <w:r w:rsidRPr="00D83183">
        <w:t xml:space="preserve">, IB Docket No. 12-324, Memorandum Opinion and Order, 31 FCC Rcd 1175 (IB 2016); </w:t>
      </w:r>
      <w:r w:rsidRPr="00D83183">
        <w:rPr>
          <w:i/>
          <w:iCs/>
        </w:rPr>
        <w:t>Petition for Enforcement of International Settlements Benchmark Rates on the U.S.-Fiji Route</w:t>
      </w:r>
      <w:r w:rsidRPr="00D83183">
        <w:t xml:space="preserve">, IB Docket No. 13-175, Memorandum Opinion and Order, 29 FCC Rcd 2210 (IB 2014); </w:t>
      </w:r>
      <w:r w:rsidRPr="00D83183">
        <w:rPr>
          <w:i/>
          <w:iCs/>
        </w:rPr>
        <w:t>Petition of AT&amp;T Inc. for Settlements Stop Payment Order on the U.S.-Tonga Route</w:t>
      </w:r>
      <w:r w:rsidRPr="00D83183">
        <w:t xml:space="preserve">, IB Docket No. 09-10, Order and Request for Further Comment, 24 FCC Rcd 8006 (IB 2009); </w:t>
      </w:r>
      <w:r w:rsidRPr="00D83183">
        <w:rPr>
          <w:i/>
          <w:iCs/>
        </w:rPr>
        <w:t>Petition of AT&amp;T Inc. for Settlements Stop Payment Order on the U.S.-Tonga Route</w:t>
      </w:r>
      <w:r w:rsidRPr="00D83183">
        <w:t>, IB Docket No. 09-10, Second Order and Request for Further Comment, 24 FCC Rcd 13769 (IB 2009).</w:t>
      </w:r>
    </w:p>
  </w:footnote>
  <w:footnote w:id="41">
    <w:p w:rsidR="00FE2243" w:rsidRPr="00244BCA" w:rsidRDefault="00FE2243" w:rsidP="00FB5449">
      <w:pPr>
        <w:pStyle w:val="FootnoteText"/>
      </w:pPr>
      <w:r>
        <w:rPr>
          <w:rStyle w:val="FootnoteReference"/>
        </w:rPr>
        <w:footnoteRef/>
      </w:r>
      <w:r>
        <w:t xml:space="preserve"> The Commission has broad authority to investigate possible anti-competitive activities on U.S.-international routes.  </w:t>
      </w:r>
      <w:r>
        <w:rPr>
          <w:i/>
        </w:rPr>
        <w:t>See, e.g., 2004 ISP Reform Order,</w:t>
      </w:r>
      <w:r>
        <w:t xml:space="preserve"> 19 FCC Rcd at 5729-34, paras. 41-52; </w:t>
      </w:r>
      <w:r>
        <w:rPr>
          <w:i/>
        </w:rPr>
        <w:t>Benchmarks Order</w:t>
      </w:r>
      <w:r>
        <w:t>, 12 FCC Rcd at 19893-96, paras. 185-190.</w:t>
      </w:r>
    </w:p>
  </w:footnote>
  <w:footnote w:id="42">
    <w:p w:rsidR="00FE2243" w:rsidRDefault="00FE2243" w:rsidP="00FB5449">
      <w:pPr>
        <w:pStyle w:val="FootnoteText"/>
      </w:pPr>
      <w:r>
        <w:rPr>
          <w:rStyle w:val="FootnoteReference"/>
        </w:rPr>
        <w:footnoteRef/>
      </w:r>
      <w:r>
        <w:t xml:space="preserve"> For example, a</w:t>
      </w:r>
      <w:r w:rsidRPr="008E078B">
        <w:t xml:space="preserve">ccording to 2014 data on calling to foreign fixed-line networks, there are 48 above-benchmark routes </w:t>
      </w:r>
      <w:r>
        <w:t>that constitute approximately 1 percent</w:t>
      </w:r>
      <w:r w:rsidRPr="008E078B">
        <w:t xml:space="preserve"> of total fixed minutes and 21</w:t>
      </w:r>
      <w:r>
        <w:t xml:space="preserve"> percent</w:t>
      </w:r>
      <w:r w:rsidRPr="008E078B">
        <w:t xml:space="preserve"> of total fixed U.S. settlement payouts worldwide.  Staff analysis using </w:t>
      </w:r>
      <w:r w:rsidRPr="008E078B">
        <w:rPr>
          <w:i/>
          <w:iCs/>
        </w:rPr>
        <w:t xml:space="preserve">2014 Traffic and Revenue </w:t>
      </w:r>
      <w:r>
        <w:rPr>
          <w:i/>
          <w:iCs/>
        </w:rPr>
        <w:t>Report</w:t>
      </w:r>
      <w:r>
        <w:t>.</w:t>
      </w:r>
    </w:p>
  </w:footnote>
  <w:footnote w:id="43">
    <w:p w:rsidR="00FE2243" w:rsidRDefault="00FE2243" w:rsidP="00FB5449">
      <w:pPr>
        <w:pStyle w:val="FootnoteText"/>
      </w:pPr>
      <w:r>
        <w:rPr>
          <w:rStyle w:val="FootnoteReference"/>
        </w:rPr>
        <w:footnoteRef/>
      </w:r>
      <w:r>
        <w:t xml:space="preserve"> For instance, r</w:t>
      </w:r>
      <w:r w:rsidRPr="00FD7B49">
        <w:t xml:space="preserve">equiring only route-by-route data from facilities-based carriers and eliminating the filing requirement for resale, private line, and miscellaneous services would greatly reduce the overall industry burden and would exempt over 1,800 entities from filing Traffic and Revenue Reports.  </w:t>
      </w:r>
    </w:p>
  </w:footnote>
  <w:footnote w:id="44">
    <w:p w:rsidR="00FE2243" w:rsidRPr="006003A4" w:rsidRDefault="00FE2243" w:rsidP="00591448">
      <w:pPr>
        <w:pStyle w:val="FootnoteText"/>
      </w:pPr>
      <w:r>
        <w:rPr>
          <w:rStyle w:val="FootnoteReference"/>
        </w:rPr>
        <w:footnoteRef/>
      </w:r>
      <w:r>
        <w:t xml:space="preserve"> We propose to delete Section 43.62, which contains both annual Traffic and Revenue Reports and the Circuit Capacity Reports, and place the Circuit Capacity Reports in Section 43.82.  </w:t>
      </w:r>
      <w:r>
        <w:rPr>
          <w:i/>
        </w:rPr>
        <w:t>See</w:t>
      </w:r>
      <w:r>
        <w:t xml:space="preserve"> Appendix A.</w:t>
      </w:r>
    </w:p>
  </w:footnote>
  <w:footnote w:id="45">
    <w:p w:rsidR="00FE2243" w:rsidRDefault="00FE2243" w:rsidP="00305BFF">
      <w:pPr>
        <w:pStyle w:val="FootnoteText"/>
      </w:pPr>
      <w:r>
        <w:rPr>
          <w:rStyle w:val="FootnoteReference"/>
        </w:rPr>
        <w:footnoteRef/>
      </w:r>
      <w:r>
        <w:t xml:space="preserve"> These estimates have been derived by applying the number of circuit capacity filings in 2016 to the burden estimates in the Paperwork Reduction Act review process for the annual Traffic and Revenue Reports and Circuit Capacity Reports.  </w:t>
      </w:r>
      <w:r w:rsidRPr="00533125">
        <w:t>2014 Supporting Statement.</w:t>
      </w:r>
    </w:p>
  </w:footnote>
  <w:footnote w:id="46">
    <w:p w:rsidR="00FE2243" w:rsidRDefault="00FE2243">
      <w:pPr>
        <w:pStyle w:val="FootnoteText"/>
      </w:pPr>
      <w:r>
        <w:rPr>
          <w:rStyle w:val="FootnoteReference"/>
        </w:rPr>
        <w:footnoteRef/>
      </w:r>
      <w:r>
        <w:t xml:space="preserve"> 47 U.S.C. § 159(g).</w:t>
      </w:r>
    </w:p>
  </w:footnote>
  <w:footnote w:id="47">
    <w:p w:rsidR="00FE2243" w:rsidRDefault="00FE2243" w:rsidP="00EA6D92">
      <w:pPr>
        <w:pStyle w:val="FootnoteText"/>
      </w:pPr>
      <w:r>
        <w:rPr>
          <w:rStyle w:val="FootnoteReference"/>
        </w:rPr>
        <w:footnoteRef/>
      </w:r>
      <w:r>
        <w:t xml:space="preserve"> In those instances, Commission staff will contact the filers concerning the inconsistencies.  </w:t>
      </w:r>
    </w:p>
  </w:footnote>
  <w:footnote w:id="48">
    <w:p w:rsidR="00FE2243" w:rsidRDefault="00FE2243" w:rsidP="00305BFF">
      <w:pPr>
        <w:pStyle w:val="FootnoteText"/>
      </w:pPr>
      <w:r>
        <w:rPr>
          <w:rStyle w:val="FootnoteReference"/>
        </w:rPr>
        <w:footnoteRef/>
      </w:r>
      <w:r>
        <w:t xml:space="preserve"> </w:t>
      </w:r>
      <w:r>
        <w:rPr>
          <w:i/>
          <w:snapToGrid w:val="0"/>
        </w:rPr>
        <w:t>Section 43.62 Filing Manual</w:t>
      </w:r>
      <w:r>
        <w:rPr>
          <w:snapToGrid w:val="0"/>
        </w:rPr>
        <w:t xml:space="preserve"> at 27, para. 138.</w:t>
      </w:r>
    </w:p>
  </w:footnote>
  <w:footnote w:id="49">
    <w:p w:rsidR="00FE2243" w:rsidRPr="001D4071" w:rsidRDefault="00FE2243" w:rsidP="00F42FAC">
      <w:pPr>
        <w:pStyle w:val="FootnoteText"/>
        <w:rPr>
          <w:color w:val="0000FF"/>
          <w:u w:val="single"/>
        </w:rPr>
      </w:pPr>
      <w:r w:rsidRPr="00A63E30">
        <w:rPr>
          <w:rStyle w:val="FootnoteReference"/>
        </w:rPr>
        <w:footnoteRef/>
      </w:r>
      <w:r w:rsidRPr="00A63E30">
        <w:t xml:space="preserve"> </w:t>
      </w:r>
      <w:r w:rsidRPr="00A63E30">
        <w:rPr>
          <w:i/>
        </w:rPr>
        <w:t>See, e.g.</w:t>
      </w:r>
      <w:r w:rsidRPr="00A63E30">
        <w:t xml:space="preserve">, </w:t>
      </w:r>
      <w:r w:rsidRPr="001D4071">
        <w:rPr>
          <w:i/>
        </w:rPr>
        <w:t xml:space="preserve">2013 Section 43.82 Circuit Status </w:t>
      </w:r>
      <w:r>
        <w:rPr>
          <w:i/>
        </w:rPr>
        <w:t>Data</w:t>
      </w:r>
      <w:r w:rsidRPr="001D4071">
        <w:t xml:space="preserve">, FCC International Bureau </w:t>
      </w:r>
      <w:r w:rsidRPr="001B1491">
        <w:t>Report</w:t>
      </w:r>
      <w:r w:rsidRPr="00A63E30">
        <w:t xml:space="preserve">, </w:t>
      </w:r>
      <w:r>
        <w:t>(</w:t>
      </w:r>
      <w:r w:rsidRPr="00A63E30">
        <w:t>2015</w:t>
      </w:r>
      <w:r>
        <w:t>)</w:t>
      </w:r>
      <w:r w:rsidRPr="00A63E30">
        <w:t xml:space="preserve">, </w:t>
      </w:r>
      <w:r>
        <w:t xml:space="preserve">at 33-34, </w:t>
      </w:r>
      <w:r w:rsidRPr="00A63E30">
        <w:t>T</w:t>
      </w:r>
      <w:r>
        <w:t>bl.</w:t>
      </w:r>
      <w:r w:rsidRPr="00A63E30">
        <w:t xml:space="preserve"> 7-A.  </w:t>
      </w:r>
      <w:hyperlink r:id="rId7" w:history="1">
        <w:r w:rsidRPr="00A55BC5">
          <w:rPr>
            <w:rStyle w:val="Hyperlink"/>
          </w:rPr>
          <w:t xml:space="preserve">https://apps.fcc.gov/edocs_public/attachmatch/DOC-334397A2.pdf; </w:t>
        </w:r>
        <w:r w:rsidRPr="001D4071">
          <w:rPr>
            <w:rStyle w:val="Hyperlink"/>
            <w:i/>
          </w:rPr>
          <w:t>2014</w:t>
        </w:r>
        <w:r w:rsidRPr="00A55BC5">
          <w:rPr>
            <w:rStyle w:val="Hyperlink"/>
          </w:rPr>
          <w:t xml:space="preserve"> </w:t>
        </w:r>
        <w:r w:rsidRPr="001D4071">
          <w:rPr>
            <w:rStyle w:val="Hyperlink"/>
            <w:i/>
          </w:rPr>
          <w:t>U</w:t>
        </w:r>
        <w:r w:rsidRPr="00A55BC5">
          <w:rPr>
            <w:rStyle w:val="Hyperlink"/>
          </w:rPr>
          <w:t>.</w:t>
        </w:r>
        <w:r w:rsidRPr="001D4071">
          <w:rPr>
            <w:rStyle w:val="Hyperlink"/>
            <w:i/>
          </w:rPr>
          <w:t>S</w:t>
        </w:r>
      </w:hyperlink>
      <w:r>
        <w:rPr>
          <w:rStyle w:val="Hyperlink"/>
        </w:rPr>
        <w:t xml:space="preserve">. </w:t>
      </w:r>
      <w:r w:rsidRPr="001D4071">
        <w:rPr>
          <w:rStyle w:val="Hyperlink"/>
          <w:i/>
        </w:rPr>
        <w:t>International Circuit Capacity</w:t>
      </w:r>
      <w:r>
        <w:rPr>
          <w:rStyle w:val="Hyperlink"/>
        </w:rPr>
        <w:t xml:space="preserve"> </w:t>
      </w:r>
      <w:r w:rsidRPr="001D4071">
        <w:rPr>
          <w:rStyle w:val="Hyperlink"/>
          <w:i/>
        </w:rPr>
        <w:t>Data</w:t>
      </w:r>
      <w:r>
        <w:rPr>
          <w:rStyle w:val="Hyperlink"/>
        </w:rPr>
        <w:t xml:space="preserve">, FCC International Bureau Report (2016) T-10 and T-11, Tbl. 6(A), </w:t>
      </w:r>
      <w:hyperlink r:id="rId8" w:history="1">
        <w:r w:rsidRPr="001D4071">
          <w:rPr>
            <w:rStyle w:val="Hyperlink"/>
          </w:rPr>
          <w:t>https://apps.fcc.gov/edocs_public/attachmatch/DOC-337257A2.pdf</w:t>
        </w:r>
      </w:hyperlink>
      <w:r>
        <w:t>.</w:t>
      </w:r>
      <w:r>
        <w:rPr>
          <w:rStyle w:val="Hyperlink"/>
        </w:rPr>
        <w:t xml:space="preserve">  </w:t>
      </w:r>
      <w:r w:rsidRPr="00A63E30">
        <w:t xml:space="preserve"> </w:t>
      </w:r>
    </w:p>
  </w:footnote>
  <w:footnote w:id="50">
    <w:p w:rsidR="00FE2243" w:rsidRPr="00A63E30" w:rsidRDefault="00FE2243" w:rsidP="00F42FAC">
      <w:pPr>
        <w:pStyle w:val="FootnoteText"/>
      </w:pPr>
      <w:r w:rsidRPr="00A63E30">
        <w:rPr>
          <w:rStyle w:val="FootnoteReference"/>
        </w:rPr>
        <w:footnoteRef/>
      </w:r>
      <w:r w:rsidRPr="00A63E30">
        <w:t xml:space="preserve"> </w:t>
      </w:r>
      <w:r>
        <w:t>We note that the</w:t>
      </w:r>
      <w:r w:rsidRPr="00A63E30">
        <w:t xml:space="preserve"> Commission </w:t>
      </w:r>
      <w:r>
        <w:t>would</w:t>
      </w:r>
      <w:r w:rsidRPr="00A63E30">
        <w:t xml:space="preserve"> still have the information on a cable-by-cable basis. </w:t>
      </w:r>
    </w:p>
  </w:footnote>
  <w:footnote w:id="51">
    <w:p w:rsidR="00FE2243" w:rsidRPr="00275058" w:rsidRDefault="00FE2243" w:rsidP="00F42FAC">
      <w:pPr>
        <w:pStyle w:val="FootnoteText"/>
      </w:pPr>
      <w:r>
        <w:rPr>
          <w:rStyle w:val="FootnoteReference"/>
        </w:rPr>
        <w:footnoteRef/>
      </w:r>
      <w:r>
        <w:t xml:space="preserve"> </w:t>
      </w:r>
      <w:r w:rsidRPr="005B60AA">
        <w:t>47 CFR § 0.459</w:t>
      </w:r>
      <w:r>
        <w:t xml:space="preserve">; </w:t>
      </w:r>
      <w:r>
        <w:rPr>
          <w:i/>
        </w:rPr>
        <w:t xml:space="preserve">See </w:t>
      </w:r>
      <w:r>
        <w:t>Appendix A, proposed 47 CFR § 43.82(b).</w:t>
      </w:r>
    </w:p>
  </w:footnote>
  <w:footnote w:id="52">
    <w:p w:rsidR="00FE2243" w:rsidRPr="00A63E30" w:rsidRDefault="00FE2243" w:rsidP="00F42FAC">
      <w:pPr>
        <w:pStyle w:val="FootnoteText"/>
      </w:pPr>
      <w:r w:rsidRPr="00A63E30">
        <w:rPr>
          <w:rStyle w:val="FootnoteReference"/>
        </w:rPr>
        <w:footnoteRef/>
      </w:r>
      <w:r w:rsidRPr="00A63E30">
        <w:t xml:space="preserve"> 47 CFR §§ 1.1200 </w:t>
      </w:r>
      <w:r w:rsidRPr="00A63E30">
        <w:rPr>
          <w:i/>
        </w:rPr>
        <w:t>et seq.</w:t>
      </w:r>
    </w:p>
  </w:footnote>
  <w:footnote w:id="53">
    <w:p w:rsidR="00FE2243" w:rsidRPr="00A63E30" w:rsidRDefault="00FE2243" w:rsidP="001D4071">
      <w:pPr>
        <w:pStyle w:val="FootnoteText"/>
      </w:pPr>
      <w:r w:rsidRPr="00A63E30">
        <w:rPr>
          <w:rStyle w:val="FootnoteReference"/>
        </w:rPr>
        <w:footnoteRef/>
      </w:r>
      <w:r w:rsidRPr="00A63E30">
        <w:t xml:space="preserve"> 5 U.S.C. § 603.  The RFA, </w:t>
      </w:r>
      <w:r w:rsidRPr="00A63E30">
        <w:rPr>
          <w:i/>
        </w:rPr>
        <w:t xml:space="preserve">see </w:t>
      </w:r>
      <w:r w:rsidRPr="00A63E30">
        <w:t xml:space="preserve">5 U.S.C. § 601 </w:t>
      </w:r>
      <w:r w:rsidRPr="00A63E30">
        <w:rPr>
          <w:i/>
        </w:rPr>
        <w:t>et.  seq</w:t>
      </w:r>
      <w:r w:rsidRPr="00A63E30">
        <w:t>., has been amended by the Contract with America Advancement Act of 1996, Pub.  L. No.104-121, 110 Stat. 847 (1996) (CWAAA).  Title II of the CWAAA is the Small Business Regulatory Enforcement Fairness Act of 1996 (SBREFA).</w:t>
      </w:r>
    </w:p>
  </w:footnote>
  <w:footnote w:id="54">
    <w:p w:rsidR="00FE2243" w:rsidRPr="00A63E30" w:rsidRDefault="00FE2243" w:rsidP="000836AD">
      <w:pPr>
        <w:pStyle w:val="EndnoteText"/>
        <w:spacing w:after="120"/>
      </w:pPr>
      <w:r w:rsidRPr="00A63E30">
        <w:rPr>
          <w:rStyle w:val="FootnoteReference"/>
        </w:rPr>
        <w:footnoteRef/>
      </w:r>
      <w:r w:rsidRPr="00A63E30">
        <w:t xml:space="preserve"> </w:t>
      </w:r>
      <w:r w:rsidRPr="00A63E30">
        <w:rPr>
          <w:i/>
        </w:rPr>
        <w:t>See</w:t>
      </w:r>
      <w:r w:rsidRPr="00A63E30">
        <w:t xml:space="preserve"> 5 U.S.C. § 603(a).</w:t>
      </w:r>
    </w:p>
  </w:footnote>
  <w:footnote w:id="55">
    <w:p w:rsidR="00FE2243" w:rsidRPr="00AA304C" w:rsidRDefault="00FE2243" w:rsidP="00216936">
      <w:pPr>
        <w:pStyle w:val="FootnoteText"/>
      </w:pPr>
      <w:r w:rsidRPr="00AA304C">
        <w:rPr>
          <w:rStyle w:val="FootnoteReference"/>
        </w:rPr>
        <w:footnoteRef/>
      </w:r>
      <w:r w:rsidRPr="00AA304C">
        <w:rPr>
          <w:i/>
        </w:rPr>
        <w:t xml:space="preserve"> See</w:t>
      </w:r>
      <w:r w:rsidRPr="00AA304C">
        <w:t xml:space="preserve"> 5 U.S.C. § 603.  The RFA, </w:t>
      </w:r>
      <w:r w:rsidRPr="00AA304C">
        <w:rPr>
          <w:i/>
        </w:rPr>
        <w:t xml:space="preserve">see </w:t>
      </w:r>
      <w:r w:rsidRPr="00AA304C">
        <w:t xml:space="preserve">5 U.S.C. § 601 </w:t>
      </w:r>
      <w:r w:rsidRPr="00AA304C">
        <w:rPr>
          <w:i/>
        </w:rPr>
        <w:t>et seq.</w:t>
      </w:r>
      <w:r w:rsidRPr="00AA304C">
        <w:t xml:space="preserve">, has been amended by the Contract With America Advancement Act of 1996, Pub. L. No. 104-121, Title II, 110 Stat. 847 (1996) (CWAAA).  </w:t>
      </w:r>
    </w:p>
  </w:footnote>
  <w:footnote w:id="56">
    <w:p w:rsidR="00FE2243" w:rsidRPr="00AA304C" w:rsidRDefault="00FE2243" w:rsidP="00216936">
      <w:pPr>
        <w:pStyle w:val="FootnoteText"/>
      </w:pPr>
      <w:r w:rsidRPr="00AA304C">
        <w:rPr>
          <w:rStyle w:val="FootnoteReference"/>
        </w:rPr>
        <w:footnoteRef/>
      </w:r>
      <w:r w:rsidRPr="00AA304C">
        <w:rPr>
          <w:i/>
        </w:rPr>
        <w:t xml:space="preserve"> See</w:t>
      </w:r>
      <w:r w:rsidRPr="00AA304C">
        <w:t xml:space="preserve"> 5 U.S.C. § 603(a).</w:t>
      </w:r>
    </w:p>
  </w:footnote>
  <w:footnote w:id="57">
    <w:p w:rsidR="00FE2243" w:rsidRPr="00AA304C" w:rsidRDefault="00FE2243" w:rsidP="00216936">
      <w:pPr>
        <w:pStyle w:val="FootnoteText"/>
      </w:pPr>
      <w:r w:rsidRPr="00AA304C">
        <w:rPr>
          <w:rStyle w:val="FootnoteReference"/>
        </w:rPr>
        <w:footnoteRef/>
      </w:r>
      <w:r w:rsidRPr="00AA304C">
        <w:t xml:space="preserve"> </w:t>
      </w:r>
      <w:r w:rsidRPr="00AA304C">
        <w:rPr>
          <w:i/>
        </w:rPr>
        <w:t>Id.</w:t>
      </w:r>
      <w:r w:rsidRPr="00AA304C">
        <w:t xml:space="preserve"> </w:t>
      </w:r>
    </w:p>
  </w:footnote>
  <w:footnote w:id="58">
    <w:p w:rsidR="00FE2243" w:rsidRPr="00AA304C" w:rsidRDefault="00FE2243" w:rsidP="00216936">
      <w:pPr>
        <w:pStyle w:val="FootnoteText"/>
      </w:pPr>
      <w:r w:rsidRPr="00AA304C">
        <w:rPr>
          <w:rStyle w:val="FootnoteReference"/>
        </w:rPr>
        <w:footnoteRef/>
      </w:r>
      <w:r w:rsidRPr="00AA304C">
        <w:t xml:space="preserve"> 47 </w:t>
      </w:r>
      <w:r>
        <w:t>CFR</w:t>
      </w:r>
      <w:r w:rsidRPr="00AA304C">
        <w:t xml:space="preserve"> § 43.62; </w:t>
      </w:r>
      <w:r w:rsidRPr="00AA304C">
        <w:rPr>
          <w:i/>
        </w:rPr>
        <w:t>Reporting Requirements for U.S. Providers of International Telecommunications Services; Amendment of Part 43 of the Commission’s Rules</w:t>
      </w:r>
      <w:r w:rsidRPr="00AA304C">
        <w:t>, IB Docket No. 04-112, Report and Order, 28 FCC Rcd 575 (2013) (</w:t>
      </w:r>
      <w:r w:rsidRPr="00AA304C">
        <w:rPr>
          <w:i/>
        </w:rPr>
        <w:t>Part 43 Second Report and Order</w:t>
      </w:r>
      <w:r w:rsidRPr="00AA304C">
        <w:t xml:space="preserve">); FCC, </w:t>
      </w:r>
      <w:r>
        <w:t xml:space="preserve">International Bureau, </w:t>
      </w:r>
      <w:r w:rsidRPr="00AA304C">
        <w:t xml:space="preserve">Filing Manual For Section 43.62 Annual Reports </w:t>
      </w:r>
      <w:r>
        <w:t>(IB</w:t>
      </w:r>
      <w:r w:rsidRPr="00AA304C">
        <w:t xml:space="preserve"> 2016) (</w:t>
      </w:r>
      <w:r w:rsidRPr="00AA304C">
        <w:rPr>
          <w:i/>
        </w:rPr>
        <w:t>Section 43.62 Filing Manual</w:t>
      </w:r>
      <w:r w:rsidRPr="00AA304C">
        <w:t>),</w:t>
      </w:r>
      <w:hyperlink w:history="1"/>
      <w:r>
        <w:t xml:space="preserve"> </w:t>
      </w:r>
      <w:hyperlink r:id="rId9" w:history="1">
        <w:r w:rsidRPr="006A5713">
          <w:rPr>
            <w:rStyle w:val="Hyperlink"/>
          </w:rPr>
          <w:t>https://apps.fcc.gov/edocs_public/attachmatch/DOC-337916A1.pdf</w:t>
        </w:r>
      </w:hyperlink>
      <w:r>
        <w:t>.</w:t>
      </w:r>
    </w:p>
  </w:footnote>
  <w:footnote w:id="59">
    <w:p w:rsidR="00FE2243" w:rsidRPr="002A4084" w:rsidRDefault="00FE2243" w:rsidP="00216936">
      <w:pPr>
        <w:pStyle w:val="FootnoteText"/>
      </w:pPr>
      <w:r>
        <w:rPr>
          <w:rStyle w:val="FootnoteReference"/>
        </w:rPr>
        <w:footnoteRef/>
      </w:r>
      <w:r>
        <w:t xml:space="preserve"> </w:t>
      </w:r>
      <w:r>
        <w:rPr>
          <w:i/>
        </w:rPr>
        <w:t>See Commission Seeks Public Comment in 2016 Biennial Review of Telecommunications Regulations</w:t>
      </w:r>
      <w:r>
        <w:t>, IB D</w:t>
      </w:r>
      <w:r w:rsidRPr="002A4084">
        <w:t>ocket N</w:t>
      </w:r>
      <w:r>
        <w:t xml:space="preserve">o. 16-131 </w:t>
      </w:r>
      <w:r>
        <w:rPr>
          <w:i/>
        </w:rPr>
        <w:t>et al.</w:t>
      </w:r>
      <w:r>
        <w:t>, Public Notice, FCC 16-149 (2016).  S</w:t>
      </w:r>
      <w:r w:rsidRPr="002813EC">
        <w:t xml:space="preserve">ection </w:t>
      </w:r>
      <w:r>
        <w:t xml:space="preserve">11 </w:t>
      </w:r>
      <w:r w:rsidRPr="002813EC">
        <w:t>requires the Commission to (1) review biennially its regulations “that apply to the operations or activities of any provider of telecommunications service,” and (2) “determine whether any such regulation is no longer necessary in the public interest as the result of meaningful economic competition between providers of such service.”  Section 11 directs the Commission to repeal or modify any regulation that it finds are no longer in the public interest.</w:t>
      </w:r>
      <w:r>
        <w:t xml:space="preserve">  </w:t>
      </w:r>
      <w:r w:rsidRPr="002813EC">
        <w:t xml:space="preserve">47 U.S.C. § 161.  </w:t>
      </w:r>
    </w:p>
  </w:footnote>
  <w:footnote w:id="60">
    <w:p w:rsidR="00FE2243" w:rsidRPr="00606573" w:rsidRDefault="00FE2243" w:rsidP="00216936">
      <w:pPr>
        <w:pStyle w:val="FootnoteText"/>
      </w:pPr>
      <w:r>
        <w:rPr>
          <w:rStyle w:val="FootnoteReference"/>
        </w:rPr>
        <w:footnoteRef/>
      </w:r>
      <w:r>
        <w:t xml:space="preserve"> </w:t>
      </w:r>
      <w:r>
        <w:rPr>
          <w:i/>
        </w:rPr>
        <w:t>See generally Part 43 Second Report and Order</w:t>
      </w:r>
      <w:r>
        <w:t>.</w:t>
      </w:r>
    </w:p>
  </w:footnote>
  <w:footnote w:id="61">
    <w:p w:rsidR="00FE2243" w:rsidRDefault="00FE2243" w:rsidP="00216936">
      <w:pPr>
        <w:pStyle w:val="FootnoteText"/>
      </w:pPr>
      <w:r>
        <w:rPr>
          <w:rStyle w:val="FootnoteReference"/>
        </w:rPr>
        <w:footnoteRef/>
      </w:r>
      <w:r>
        <w:t xml:space="preserve"> United States Telecom Association (USTelecom) Comments, IB Docket No. 16-131; CTIA Comments, IB Docket No. 16-131; T-Mobile USA, Inc. (T-Mobile) Reply, IB Docket No. 16-131; AT&amp;T Services Inc. (AT&amp;T) Reply, IB Docket No. 16-131.</w:t>
      </w:r>
    </w:p>
  </w:footnote>
  <w:footnote w:id="62">
    <w:p w:rsidR="00FE2243" w:rsidRDefault="00FE2243" w:rsidP="00216936">
      <w:pPr>
        <w:pStyle w:val="FootnoteText"/>
      </w:pPr>
      <w:r>
        <w:rPr>
          <w:rStyle w:val="FootnoteReference"/>
        </w:rPr>
        <w:footnoteRef/>
      </w:r>
      <w:r>
        <w:t xml:space="preserve"> 47 CFR 43.62(b).</w:t>
      </w:r>
    </w:p>
  </w:footnote>
  <w:footnote w:id="63">
    <w:p w:rsidR="00FE2243" w:rsidRPr="00AA304C" w:rsidRDefault="00FE2243" w:rsidP="00216936">
      <w:pPr>
        <w:pStyle w:val="FootnoteText"/>
      </w:pPr>
      <w:r w:rsidRPr="00AA304C">
        <w:rPr>
          <w:rStyle w:val="FootnoteReference"/>
        </w:rPr>
        <w:footnoteRef/>
      </w:r>
      <w:r w:rsidRPr="00AA304C">
        <w:t xml:space="preserve"> 47 </w:t>
      </w:r>
      <w:r>
        <w:t>CFR</w:t>
      </w:r>
      <w:r w:rsidRPr="00AA304C">
        <w:t xml:space="preserve"> § 43.62(a).</w:t>
      </w:r>
    </w:p>
  </w:footnote>
  <w:footnote w:id="64">
    <w:p w:rsidR="00FE2243" w:rsidRPr="00AA304C" w:rsidRDefault="00FE2243" w:rsidP="00216936">
      <w:pPr>
        <w:pStyle w:val="FootnoteText"/>
      </w:pPr>
      <w:r w:rsidRPr="00AA304C">
        <w:rPr>
          <w:rStyle w:val="FootnoteReference"/>
        </w:rPr>
        <w:footnoteRef/>
      </w:r>
      <w:r>
        <w:t xml:space="preserve"> 5 U.S.C. § 604(b</w:t>
      </w:r>
      <w:r w:rsidRPr="00AA304C">
        <w:t>)(3).</w:t>
      </w:r>
    </w:p>
  </w:footnote>
  <w:footnote w:id="65">
    <w:p w:rsidR="00FE2243" w:rsidRPr="00AA304C" w:rsidRDefault="00FE2243" w:rsidP="00216936">
      <w:pPr>
        <w:pStyle w:val="FootnoteText"/>
      </w:pPr>
      <w:r w:rsidRPr="00AA304C">
        <w:rPr>
          <w:rStyle w:val="FootnoteReference"/>
        </w:rPr>
        <w:footnoteRef/>
      </w:r>
      <w:r w:rsidRPr="00AA304C">
        <w:t xml:space="preserve"> 5 U.S.C. § 601(6).      </w:t>
      </w:r>
    </w:p>
  </w:footnote>
  <w:footnote w:id="66">
    <w:p w:rsidR="00FE2243" w:rsidRPr="00AA304C" w:rsidRDefault="00FE2243" w:rsidP="00216936">
      <w:pPr>
        <w:pStyle w:val="FootnoteText"/>
      </w:pPr>
      <w:r w:rsidRPr="00AA304C">
        <w:rPr>
          <w:rStyle w:val="FootnoteReference"/>
        </w:rPr>
        <w:footnoteRef/>
      </w:r>
      <w:r w:rsidRPr="00AA304C">
        <w:t xml:space="preserve"> 5 U.S.C. § 601(3) (incorporating </w:t>
      </w:r>
      <w:r>
        <w:t>by reference the definition of “</w:t>
      </w:r>
      <w:r w:rsidRPr="00AA304C">
        <w:t>small busines</w:t>
      </w:r>
      <w:r>
        <w:t>s concern”</w:t>
      </w:r>
      <w:r w:rsidRPr="00AA304C">
        <w:t xml:space="preserve"> in 15 U.S.C. § 632).  Pursuant to the RFA, the statutory definiti</w:t>
      </w:r>
      <w:r>
        <w:t>on of a small business applies “</w:t>
      </w:r>
      <w:r w:rsidRPr="00AA304C">
        <w:t>unless an agency, after consultation with the Office of Advocacy of the Small Business Administration and after opportunity for public comment, establishes one or more definitions of such term which are appropriate to the activities of the agency and publishes such definit</w:t>
      </w:r>
      <w:r>
        <w:t>ion(s) in the Federal Register.”</w:t>
      </w:r>
      <w:r w:rsidRPr="00AA304C">
        <w:t xml:space="preserve">  5 U.S.C. § 601(3).</w:t>
      </w:r>
    </w:p>
  </w:footnote>
  <w:footnote w:id="67">
    <w:p w:rsidR="00FE2243" w:rsidRPr="00AA304C" w:rsidRDefault="00FE2243" w:rsidP="00216936">
      <w:pPr>
        <w:pStyle w:val="FootnoteText"/>
      </w:pPr>
      <w:r w:rsidRPr="00AA304C">
        <w:rPr>
          <w:rStyle w:val="FootnoteReference"/>
        </w:rPr>
        <w:footnoteRef/>
      </w:r>
      <w:r w:rsidRPr="00AA304C">
        <w:t xml:space="preserve"> Small Business Act, 15 U.S.C. § 632 (1996).</w:t>
      </w:r>
    </w:p>
  </w:footnote>
  <w:footnote w:id="68">
    <w:p w:rsidR="00FE2243" w:rsidRPr="00AA304C" w:rsidRDefault="00FE2243" w:rsidP="00216936">
      <w:pPr>
        <w:pStyle w:val="FootnoteText"/>
      </w:pPr>
      <w:r w:rsidRPr="00AA304C">
        <w:rPr>
          <w:rStyle w:val="FootnoteReference"/>
        </w:rPr>
        <w:footnoteRef/>
      </w:r>
      <w:r w:rsidRPr="00AA304C">
        <w:t xml:space="preserve"> 47 </w:t>
      </w:r>
      <w:r>
        <w:t>CFR</w:t>
      </w:r>
      <w:r w:rsidRPr="00AA304C">
        <w:t xml:space="preserve"> § 43.62(b)(2).</w:t>
      </w:r>
    </w:p>
  </w:footnote>
  <w:footnote w:id="69">
    <w:p w:rsidR="00FE2243" w:rsidRPr="00AA304C" w:rsidRDefault="00FE2243" w:rsidP="00216936">
      <w:pPr>
        <w:pStyle w:val="FootnoteText"/>
      </w:pPr>
      <w:r w:rsidRPr="00AA304C">
        <w:rPr>
          <w:rStyle w:val="FootnoteReference"/>
        </w:rPr>
        <w:footnoteRef/>
      </w:r>
      <w:r w:rsidRPr="00AA304C">
        <w:t xml:space="preserve"> 47 </w:t>
      </w:r>
      <w:r>
        <w:t>CFR</w:t>
      </w:r>
      <w:r w:rsidRPr="00AA304C">
        <w:t xml:space="preserve"> § 43.62(c).</w:t>
      </w:r>
    </w:p>
  </w:footnote>
  <w:footnote w:id="70">
    <w:p w:rsidR="00FE2243" w:rsidRPr="00AA304C" w:rsidRDefault="00FE2243" w:rsidP="00216936">
      <w:pPr>
        <w:pStyle w:val="FootnoteText"/>
      </w:pPr>
      <w:r w:rsidRPr="00AA304C">
        <w:rPr>
          <w:rStyle w:val="FootnoteReference"/>
        </w:rPr>
        <w:footnoteRef/>
      </w:r>
      <w:r w:rsidRPr="00AA304C">
        <w:t xml:space="preserve"> U.S. Census Bureau, </w:t>
      </w:r>
      <w:r w:rsidRPr="00AA304C">
        <w:rPr>
          <w:i/>
        </w:rPr>
        <w:t>2012 NAICS Definition</w:t>
      </w:r>
      <w:r w:rsidRPr="00AA304C">
        <w:t xml:space="preserve">, </w:t>
      </w:r>
      <w:hyperlink r:id="rId10" w:history="1">
        <w:r w:rsidRPr="00AA304C">
          <w:rPr>
            <w:rStyle w:val="Hyperlink"/>
          </w:rPr>
          <w:t>http://www.census.gov/cgi-bin/sssd/naics/naicsrch?code=517110&amp;search=2012%20NAICS%20Search</w:t>
        </w:r>
      </w:hyperlink>
      <w:r w:rsidRPr="00AA304C">
        <w:t xml:space="preserve"> (last visited </w:t>
      </w:r>
      <w:r>
        <w:t>March 21</w:t>
      </w:r>
      <w:r w:rsidRPr="00AA304C">
        <w:t xml:space="preserve">, 2017).  </w:t>
      </w:r>
      <w:r w:rsidRPr="00AA304C">
        <w:rPr>
          <w:i/>
        </w:rPr>
        <w:t>See also</w:t>
      </w:r>
      <w:r w:rsidRPr="00AA304C">
        <w:t xml:space="preserve"> U.S. Census Bureau, </w:t>
      </w:r>
      <w:r w:rsidRPr="00AA304C">
        <w:rPr>
          <w:i/>
        </w:rPr>
        <w:t>2017 NAICS Definition</w:t>
      </w:r>
      <w:r w:rsidRPr="00AA304C">
        <w:t xml:space="preserve">, </w:t>
      </w:r>
      <w:hyperlink r:id="rId11" w:history="1">
        <w:r w:rsidRPr="00AA304C">
          <w:rPr>
            <w:rStyle w:val="Hyperlink"/>
          </w:rPr>
          <w:t>http://www.census.gov/cgi-bin/sssd/naics/naicsrch?code=517311&amp;search=2017%20NAICS%20Search</w:t>
        </w:r>
      </w:hyperlink>
      <w:r w:rsidRPr="00AA304C">
        <w:t xml:space="preserve"> (last visited </w:t>
      </w:r>
      <w:r>
        <w:t>March 21</w:t>
      </w:r>
      <w:r w:rsidRPr="00AA304C">
        <w:t>, 2017).</w:t>
      </w:r>
    </w:p>
  </w:footnote>
  <w:footnote w:id="71">
    <w:p w:rsidR="00FE2243" w:rsidRPr="00AA304C" w:rsidRDefault="00FE2243" w:rsidP="00216936">
      <w:pPr>
        <w:spacing w:after="120" w:line="120" w:lineRule="atLeast"/>
        <w:rPr>
          <w:sz w:val="20"/>
        </w:rPr>
      </w:pPr>
      <w:r w:rsidRPr="00AA304C">
        <w:rPr>
          <w:rStyle w:val="Footnote"/>
          <w:sz w:val="20"/>
          <w:vertAlign w:val="superscript"/>
        </w:rPr>
        <w:footnoteRef/>
      </w:r>
      <w:r w:rsidRPr="00AA304C">
        <w:rPr>
          <w:rStyle w:val="Heading2CharChar2"/>
          <w:sz w:val="20"/>
          <w:vertAlign w:val="superscript"/>
        </w:rPr>
        <w:t xml:space="preserve"> </w:t>
      </w:r>
      <w:r w:rsidRPr="00AA304C">
        <w:rPr>
          <w:rStyle w:val="Footnote"/>
          <w:sz w:val="20"/>
        </w:rPr>
        <w:t xml:space="preserve">13 </w:t>
      </w:r>
      <w:r>
        <w:rPr>
          <w:rStyle w:val="Footnote"/>
          <w:sz w:val="20"/>
        </w:rPr>
        <w:t>CFR</w:t>
      </w:r>
      <w:r w:rsidRPr="00AA304C">
        <w:rPr>
          <w:rStyle w:val="Footnote"/>
          <w:sz w:val="20"/>
        </w:rPr>
        <w:t xml:space="preserve"> § 121.201, NAICS code 517110.  </w:t>
      </w:r>
      <w:r w:rsidRPr="006C42E5">
        <w:rPr>
          <w:rStyle w:val="Footnote"/>
          <w:sz w:val="20"/>
        </w:rPr>
        <w:t xml:space="preserve">The 2017 NAICS code for Wired Telecommunications Carriers is 517311.  </w:t>
      </w:r>
      <w:r w:rsidRPr="006C42E5">
        <w:rPr>
          <w:rStyle w:val="Footnote"/>
          <w:i/>
          <w:sz w:val="20"/>
        </w:rPr>
        <w:t>See</w:t>
      </w:r>
      <w:r w:rsidRPr="006C42E5">
        <w:rPr>
          <w:rStyle w:val="Footnote"/>
          <w:sz w:val="20"/>
        </w:rPr>
        <w:t xml:space="preserve"> </w:t>
      </w:r>
      <w:r w:rsidRPr="006C42E5">
        <w:rPr>
          <w:sz w:val="20"/>
        </w:rPr>
        <w:t>U.S. Census Bureau</w:t>
      </w:r>
      <w:r w:rsidRPr="00AA304C">
        <w:rPr>
          <w:sz w:val="20"/>
        </w:rPr>
        <w:t xml:space="preserve">, </w:t>
      </w:r>
      <w:r w:rsidRPr="00AA304C">
        <w:rPr>
          <w:i/>
          <w:sz w:val="20"/>
        </w:rPr>
        <w:t>2017 NAICS Definition</w:t>
      </w:r>
      <w:r w:rsidRPr="00AA304C">
        <w:rPr>
          <w:sz w:val="20"/>
        </w:rPr>
        <w:t xml:space="preserve">, </w:t>
      </w:r>
      <w:hyperlink r:id="rId12" w:history="1">
        <w:r w:rsidRPr="00AA304C">
          <w:rPr>
            <w:rStyle w:val="Hyperlink"/>
            <w:sz w:val="20"/>
          </w:rPr>
          <w:t>http://www.census.gov/cgi-bin/sssd/naics/naicsrch?code=517311&amp;search=2017%20NAICS%20Search</w:t>
        </w:r>
      </w:hyperlink>
      <w:r w:rsidRPr="00AA304C">
        <w:rPr>
          <w:sz w:val="20"/>
        </w:rPr>
        <w:t xml:space="preserve"> (last visited </w:t>
      </w:r>
      <w:r w:rsidRPr="001D4071">
        <w:rPr>
          <w:sz w:val="20"/>
        </w:rPr>
        <w:t>March 21</w:t>
      </w:r>
      <w:r w:rsidRPr="00AA304C">
        <w:rPr>
          <w:sz w:val="20"/>
        </w:rPr>
        <w:t>, 2017); U.S. Census Bureau,</w:t>
      </w:r>
      <w:r w:rsidRPr="00AA304C">
        <w:rPr>
          <w:rStyle w:val="Footnote"/>
          <w:i/>
          <w:sz w:val="20"/>
        </w:rPr>
        <w:t xml:space="preserve"> Frequently Asked Questions (FAQs)</w:t>
      </w:r>
      <w:r w:rsidRPr="00AA304C">
        <w:rPr>
          <w:rStyle w:val="Footnote"/>
          <w:sz w:val="20"/>
        </w:rPr>
        <w:t xml:space="preserve">, </w:t>
      </w:r>
      <w:hyperlink r:id="rId13" w:history="1">
        <w:r w:rsidRPr="00AA304C">
          <w:rPr>
            <w:rStyle w:val="Hyperlink"/>
            <w:sz w:val="20"/>
          </w:rPr>
          <w:t>https://www.census.gov/eos/www/naics/faqs/faqs.html</w:t>
        </w:r>
      </w:hyperlink>
      <w:r>
        <w:rPr>
          <w:rStyle w:val="Hyperlink"/>
          <w:sz w:val="20"/>
        </w:rPr>
        <w:t xml:space="preserve"> </w:t>
      </w:r>
      <w:r>
        <w:rPr>
          <w:sz w:val="20"/>
        </w:rPr>
        <w:t>(</w:t>
      </w:r>
      <w:r w:rsidRPr="004E05D2">
        <w:rPr>
          <w:sz w:val="20"/>
        </w:rPr>
        <w:t xml:space="preserve">last visited </w:t>
      </w:r>
      <w:r w:rsidRPr="001D4071">
        <w:rPr>
          <w:sz w:val="20"/>
        </w:rPr>
        <w:t>March 21</w:t>
      </w:r>
      <w:r w:rsidRPr="004E05D2">
        <w:rPr>
          <w:sz w:val="20"/>
        </w:rPr>
        <w:t>, 2017</w:t>
      </w:r>
      <w:r w:rsidRPr="00AA304C">
        <w:rPr>
          <w:sz w:val="20"/>
        </w:rPr>
        <w:t>)</w:t>
      </w:r>
      <w:r w:rsidRPr="00AA304C">
        <w:rPr>
          <w:rStyle w:val="Footnote"/>
          <w:sz w:val="20"/>
        </w:rPr>
        <w:t xml:space="preserve">.  </w:t>
      </w:r>
      <w:r>
        <w:rPr>
          <w:rStyle w:val="Footnote"/>
          <w:sz w:val="20"/>
        </w:rPr>
        <w:t>While economic census data for 2012 are available, e</w:t>
      </w:r>
      <w:r w:rsidRPr="00AA304C">
        <w:rPr>
          <w:rStyle w:val="Footnote"/>
          <w:sz w:val="20"/>
        </w:rPr>
        <w:t xml:space="preserve">conomic census data for 2017 </w:t>
      </w:r>
      <w:r>
        <w:rPr>
          <w:rStyle w:val="Footnote"/>
          <w:sz w:val="20"/>
        </w:rPr>
        <w:t>are</w:t>
      </w:r>
      <w:r w:rsidRPr="00AA304C">
        <w:rPr>
          <w:rStyle w:val="Footnote"/>
          <w:sz w:val="20"/>
        </w:rPr>
        <w:t xml:space="preserve"> not currently available.  </w:t>
      </w:r>
      <w:r>
        <w:rPr>
          <w:rStyle w:val="Footnote"/>
          <w:i/>
          <w:sz w:val="20"/>
        </w:rPr>
        <w:t xml:space="preserve"> </w:t>
      </w:r>
    </w:p>
  </w:footnote>
  <w:footnote w:id="72">
    <w:p w:rsidR="00FE2243" w:rsidRPr="00AA304C" w:rsidRDefault="00FE2243" w:rsidP="00216936">
      <w:pPr>
        <w:pStyle w:val="FootnoteText"/>
      </w:pPr>
      <w:r w:rsidRPr="00AA304C">
        <w:rPr>
          <w:rStyle w:val="FootnoteReference"/>
        </w:rPr>
        <w:footnoteRef/>
      </w:r>
      <w:r w:rsidRPr="00AA304C">
        <w:t xml:space="preserve"> U.S. Census Bureau, American FactFinder, </w:t>
      </w:r>
      <w:r w:rsidRPr="00AA304C">
        <w:rPr>
          <w:i/>
        </w:rPr>
        <w:t xml:space="preserve">Employment Size of Firms for the </w:t>
      </w:r>
      <w:r>
        <w:rPr>
          <w:i/>
        </w:rPr>
        <w:t xml:space="preserve">U.S.: </w:t>
      </w:r>
      <w:r w:rsidRPr="00AA304C">
        <w:rPr>
          <w:i/>
        </w:rPr>
        <w:t>2012</w:t>
      </w:r>
      <w:r w:rsidRPr="00AA304C">
        <w:t xml:space="preserve"> </w:t>
      </w:r>
      <w:r>
        <w:t xml:space="preserve">(Jan. 8, 2016), </w:t>
      </w:r>
      <w:hyperlink r:id="rId14" w:history="1">
        <w:r w:rsidRPr="005008B3">
          <w:rPr>
            <w:rStyle w:val="Hyperlink"/>
          </w:rPr>
          <w:t>https://factfinder.census.gov/faces/tableservices/jsf/pages/productview.xhtml?pid=ECN_2012_US_51SSSZ5&amp;prodType=table</w:t>
        </w:r>
      </w:hyperlink>
      <w:r>
        <w:t xml:space="preserve"> </w:t>
      </w:r>
      <w:r w:rsidRPr="00AA304C">
        <w:t xml:space="preserve">(U.S. </w:t>
      </w:r>
      <w:r>
        <w:t xml:space="preserve">Employment </w:t>
      </w:r>
      <w:r w:rsidRPr="00AA304C">
        <w:t>Size of Firms Census Table).</w:t>
      </w:r>
    </w:p>
  </w:footnote>
  <w:footnote w:id="73">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74">
    <w:p w:rsidR="00FE2243" w:rsidRPr="00AA304C" w:rsidRDefault="00FE2243" w:rsidP="00216936">
      <w:pPr>
        <w:pStyle w:val="FootnoteText"/>
      </w:pPr>
      <w:r w:rsidRPr="00AA304C">
        <w:rPr>
          <w:rStyle w:val="FootnoteReference"/>
        </w:rPr>
        <w:footnoteRef/>
      </w:r>
      <w:r w:rsidRPr="00AA304C">
        <w:t xml:space="preserve"> </w:t>
      </w:r>
      <w:r w:rsidRPr="00AA304C">
        <w:rPr>
          <w:i/>
        </w:rPr>
        <w:t>See</w:t>
      </w:r>
      <w:r w:rsidRPr="00AA304C">
        <w:t xml:space="preserve"> FCC, </w:t>
      </w:r>
      <w:r w:rsidRPr="00767A42">
        <w:t>Wireline Competition Bureau, Industry Analysis and Technology Division</w:t>
      </w:r>
      <w:r w:rsidRPr="00AA304C">
        <w:t>, Trends in Telephone Service at Table 5.3:  Number of Telecommunications Service Providers by Size of Business (WCB 2010)</w:t>
      </w:r>
      <w:r>
        <w:t xml:space="preserve"> (</w:t>
      </w:r>
      <w:r w:rsidRPr="00767A42">
        <w:rPr>
          <w:i/>
        </w:rPr>
        <w:t>Trends in Telephone Service</w:t>
      </w:r>
      <w:r>
        <w:t>)</w:t>
      </w:r>
      <w:r w:rsidRPr="00AA304C">
        <w:t>.</w:t>
      </w:r>
    </w:p>
  </w:footnote>
  <w:footnote w:id="75">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76">
    <w:p w:rsidR="00FE2243" w:rsidRDefault="00FE2243" w:rsidP="00216936">
      <w:pPr>
        <w:pStyle w:val="FootnoteText"/>
      </w:pPr>
      <w:r>
        <w:rPr>
          <w:rStyle w:val="FootnoteReference"/>
        </w:rPr>
        <w:footnoteRef/>
      </w:r>
      <w:r>
        <w:t xml:space="preserve"> </w:t>
      </w:r>
      <w:r w:rsidRPr="00AA304C">
        <w:rPr>
          <w:i/>
        </w:rPr>
        <w:t>Section 43.62 Filing Manual</w:t>
      </w:r>
      <w:r>
        <w:rPr>
          <w:i/>
        </w:rPr>
        <w:t xml:space="preserve"> </w:t>
      </w:r>
      <w:r>
        <w:t>at 10, para. 42.</w:t>
      </w:r>
    </w:p>
  </w:footnote>
  <w:footnote w:id="77">
    <w:p w:rsidR="00FE2243" w:rsidRDefault="00FE2243" w:rsidP="00216936">
      <w:pPr>
        <w:pStyle w:val="FootnoteText"/>
      </w:pPr>
      <w:r>
        <w:rPr>
          <w:rStyle w:val="FootnoteReference"/>
        </w:rPr>
        <w:footnoteRef/>
      </w:r>
      <w:r>
        <w:t xml:space="preserve"> IMTS</w:t>
      </w:r>
      <w:r w:rsidRPr="00CB1A29">
        <w:t xml:space="preserve"> refers to the provision of message telephone service (MTS) between the United States and a foreign point. The term </w:t>
      </w:r>
      <w:r>
        <w:t xml:space="preserve">MTS </w:t>
      </w:r>
      <w:r w:rsidRPr="00CB1A29">
        <w:t>refers to the transmission and reception of speech and low-speed dial-up data over the public switched telephone network (PSTN).</w:t>
      </w:r>
      <w:r>
        <w:t xml:space="preserve">  </w:t>
      </w:r>
      <w:r w:rsidRPr="00AA304C">
        <w:rPr>
          <w:i/>
        </w:rPr>
        <w:t>Section 43.62 Filing Manual</w:t>
      </w:r>
      <w:r>
        <w:rPr>
          <w:i/>
        </w:rPr>
        <w:t xml:space="preserve"> </w:t>
      </w:r>
      <w:r>
        <w:t>at Appx. B:  Definitions.</w:t>
      </w:r>
    </w:p>
  </w:footnote>
  <w:footnote w:id="78">
    <w:p w:rsidR="00FE2243" w:rsidRDefault="00FE2243" w:rsidP="00216936">
      <w:pPr>
        <w:pStyle w:val="FootnoteText"/>
      </w:pPr>
      <w:r>
        <w:rPr>
          <w:rStyle w:val="FootnoteReference"/>
        </w:rPr>
        <w:footnoteRef/>
      </w:r>
      <w:r>
        <w:t xml:space="preserve"> In the </w:t>
      </w:r>
      <w:r w:rsidRPr="00ED03BE">
        <w:rPr>
          <w:i/>
        </w:rPr>
        <w:t>Part 43 Second Report and Order</w:t>
      </w:r>
      <w:r>
        <w:t>, the Commission adopted rules requiring that providers of VoIP services c</w:t>
      </w:r>
      <w:r w:rsidRPr="00ED03BE">
        <w:t>onnected to the PSTN</w:t>
      </w:r>
      <w:r>
        <w:t xml:space="preserve"> report their international calling services.  The Commission stated that because it is requiring providers of VoIP services c</w:t>
      </w:r>
      <w:r w:rsidRPr="00ED03BE">
        <w:t>onnected to the PSTN</w:t>
      </w:r>
      <w:r>
        <w:t xml:space="preserve"> to report traffic and revenue data that do not fit within the traditional definition of IMTS, the Commission would use ICS to mean both VoIP services c</w:t>
      </w:r>
      <w:r w:rsidRPr="00ED03BE">
        <w:t>onnected to the PSTN</w:t>
      </w:r>
      <w:r>
        <w:t xml:space="preserve"> and IMTS.  </w:t>
      </w:r>
      <w:r w:rsidRPr="00674FCA">
        <w:rPr>
          <w:i/>
        </w:rPr>
        <w:t xml:space="preserve">See </w:t>
      </w:r>
      <w:r w:rsidRPr="00ED03BE">
        <w:rPr>
          <w:i/>
        </w:rPr>
        <w:t>Part 43 Second Report and Order</w:t>
      </w:r>
      <w:r>
        <w:t>,</w:t>
      </w:r>
      <w:r w:rsidRPr="00AA304C">
        <w:t xml:space="preserve"> 28 FCC Rcd</w:t>
      </w:r>
      <w:r>
        <w:t xml:space="preserve"> at 580, para 12.  Pursuant to the </w:t>
      </w:r>
      <w:r w:rsidRPr="00ED03BE">
        <w:rPr>
          <w:i/>
        </w:rPr>
        <w:t>Part 43 Second Report and Order</w:t>
      </w:r>
      <w:r>
        <w:t xml:space="preserve">, IMTS and VoIP services connected to the PSTN are both included in the ICS data collection for traffic and revenue reporting.  </w:t>
      </w:r>
      <w:r w:rsidRPr="00324738">
        <w:rPr>
          <w:i/>
        </w:rPr>
        <w:t>See</w:t>
      </w:r>
      <w:r>
        <w:t xml:space="preserve"> </w:t>
      </w:r>
      <w:r w:rsidRPr="00AA304C">
        <w:rPr>
          <w:i/>
        </w:rPr>
        <w:t>Section 43.62 Filing Manual</w:t>
      </w:r>
      <w:r>
        <w:rPr>
          <w:i/>
        </w:rPr>
        <w:t xml:space="preserve"> </w:t>
      </w:r>
      <w:r>
        <w:t>at Appx. D:  Traffic and Revenue Report (Services Checklist and Schedules 1-4).</w:t>
      </w:r>
    </w:p>
  </w:footnote>
  <w:footnote w:id="79">
    <w:p w:rsidR="00FE2243" w:rsidRDefault="00FE2243" w:rsidP="00216936">
      <w:pPr>
        <w:pStyle w:val="FootnoteText"/>
      </w:pPr>
      <w:r>
        <w:rPr>
          <w:rStyle w:val="FootnoteReference"/>
        </w:rPr>
        <w:footnoteRef/>
      </w:r>
      <w:r>
        <w:t xml:space="preserve"> </w:t>
      </w:r>
      <w:r w:rsidRPr="00AA304C">
        <w:rPr>
          <w:i/>
        </w:rPr>
        <w:t>See</w:t>
      </w:r>
      <w:r w:rsidRPr="00AA304C">
        <w:t xml:space="preserve"> FCC,</w:t>
      </w:r>
      <w:r>
        <w:t xml:space="preserve"> International Bureau, </w:t>
      </w:r>
      <w:r w:rsidRPr="0080207A">
        <w:rPr>
          <w:szCs w:val="22"/>
        </w:rPr>
        <w:t>2014 U.S. International Telecommunications Traffic and Revenue Report</w:t>
      </w:r>
      <w:r w:rsidRPr="005C4F09">
        <w:rPr>
          <w:szCs w:val="22"/>
        </w:rPr>
        <w:t xml:space="preserve"> </w:t>
      </w:r>
      <w:r>
        <w:rPr>
          <w:szCs w:val="22"/>
        </w:rPr>
        <w:t xml:space="preserve">at Appx. B:  Data Tables (IB 2016), </w:t>
      </w:r>
      <w:hyperlink r:id="rId15" w:history="1">
        <w:r w:rsidRPr="00B254B2">
          <w:rPr>
            <w:rStyle w:val="Hyperlink"/>
            <w:szCs w:val="22"/>
          </w:rPr>
          <w:t>https://www.fcc.gov/reports-research/reports/international-traffic-and-revenue-reports/international-telecommunications</w:t>
        </w:r>
      </w:hyperlink>
      <w:r>
        <w:rPr>
          <w:szCs w:val="22"/>
        </w:rPr>
        <w:t xml:space="preserve"> (</w:t>
      </w:r>
      <w:r w:rsidRPr="007A0469">
        <w:rPr>
          <w:i/>
          <w:szCs w:val="22"/>
        </w:rPr>
        <w:t>2014 Traffic and Revenue Report</w:t>
      </w:r>
      <w:r>
        <w:rPr>
          <w:szCs w:val="22"/>
        </w:rPr>
        <w:t>).</w:t>
      </w:r>
      <w:r w:rsidRPr="005C4F09">
        <w:t xml:space="preserve"> </w:t>
      </w:r>
      <w:r>
        <w:t xml:space="preserve"> </w:t>
      </w:r>
    </w:p>
  </w:footnote>
  <w:footnote w:id="80">
    <w:p w:rsidR="00FE2243" w:rsidRPr="00324738" w:rsidRDefault="00FE2243" w:rsidP="00216936">
      <w:pPr>
        <w:pStyle w:val="FootnoteText"/>
      </w:pPr>
      <w:r>
        <w:rPr>
          <w:rStyle w:val="FootnoteReference"/>
        </w:rPr>
        <w:footnoteRef/>
      </w:r>
      <w:r>
        <w:t xml:space="preserve"> </w:t>
      </w:r>
      <w:r>
        <w:rPr>
          <w:i/>
        </w:rPr>
        <w:t>Id at 10</w:t>
      </w:r>
      <w:r>
        <w:rPr>
          <w:szCs w:val="22"/>
        </w:rPr>
        <w:t>.</w:t>
      </w:r>
      <w:r>
        <w:t xml:space="preserve">  </w:t>
      </w:r>
    </w:p>
  </w:footnote>
  <w:footnote w:id="81">
    <w:p w:rsidR="00FE2243" w:rsidRDefault="00FE2243" w:rsidP="00216936">
      <w:pPr>
        <w:pStyle w:val="FootnoteText"/>
      </w:pPr>
      <w:r>
        <w:rPr>
          <w:rStyle w:val="FootnoteReference"/>
        </w:rPr>
        <w:footnoteRef/>
      </w:r>
      <w:r>
        <w:t xml:space="preserve"> </w:t>
      </w:r>
      <w:r w:rsidRPr="00B9615A">
        <w:t xml:space="preserve">Traditional Transiting ICS call is an ICS call from a foreign point that (a) transits the United States prior to completion at a foreign point and (b) is settled at a rate agreed upon by the Foreign Service Provider in the origination foreign point and the Foreign Service Provider in the destination foreign point. </w:t>
      </w:r>
      <w:r>
        <w:t xml:space="preserve"> </w:t>
      </w:r>
      <w:r w:rsidRPr="00B9615A">
        <w:t xml:space="preserve">The U.S. </w:t>
      </w:r>
      <w:r>
        <w:t>i</w:t>
      </w:r>
      <w:r w:rsidRPr="00B9615A">
        <w:t xml:space="preserve">nternational </w:t>
      </w:r>
      <w:r>
        <w:t>s</w:t>
      </w:r>
      <w:r w:rsidRPr="00B9615A">
        <w:t xml:space="preserve">ervice </w:t>
      </w:r>
      <w:r>
        <w:t>p</w:t>
      </w:r>
      <w:r w:rsidRPr="00B9615A">
        <w:t>rovider that provides the transiting service is reimbursed for its handling and transmission of the traffic by the Foreign Service Provider in the origination foreign point.</w:t>
      </w:r>
      <w:r>
        <w:t xml:space="preserve">  </w:t>
      </w:r>
      <w:r w:rsidRPr="00AA304C">
        <w:rPr>
          <w:i/>
        </w:rPr>
        <w:t>Section 43.62 Filing Manual</w:t>
      </w:r>
      <w:r>
        <w:rPr>
          <w:i/>
        </w:rPr>
        <w:t xml:space="preserve"> </w:t>
      </w:r>
      <w:r>
        <w:t>at 13, para. 58.</w:t>
      </w:r>
    </w:p>
  </w:footnote>
  <w:footnote w:id="82">
    <w:p w:rsidR="00FE2243" w:rsidRDefault="00FE2243" w:rsidP="00216936">
      <w:pPr>
        <w:pStyle w:val="FootnoteText"/>
      </w:pPr>
      <w:r>
        <w:rPr>
          <w:rStyle w:val="FootnoteReference"/>
        </w:rPr>
        <w:footnoteRef/>
      </w:r>
      <w:r>
        <w:t xml:space="preserve"> Entities filing a Traffic and Revenue Report must submit a Services Checklist and check the box(es) that pertain to the service(s) that they provided during the reporting period.  Entities must file service data on the corresponding Schedules that apply for each box that is checked (unless the filing entity provided no international telecommunications service or international VoIP service connected to the PSTN).  </w:t>
      </w:r>
      <w:r>
        <w:rPr>
          <w:i/>
        </w:rPr>
        <w:t xml:space="preserve">See id. </w:t>
      </w:r>
      <w:r>
        <w:t>at 9, para 41.</w:t>
      </w:r>
    </w:p>
  </w:footnote>
  <w:footnote w:id="83">
    <w:p w:rsidR="00FE2243" w:rsidRDefault="00FE2243" w:rsidP="00216936">
      <w:pPr>
        <w:pStyle w:val="FootnoteText"/>
      </w:pPr>
      <w:r>
        <w:rPr>
          <w:rStyle w:val="FootnoteReference"/>
        </w:rPr>
        <w:footnoteRef/>
      </w:r>
      <w:r>
        <w:t xml:space="preserve"> </w:t>
      </w:r>
      <w:r>
        <w:rPr>
          <w:i/>
        </w:rPr>
        <w:t xml:space="preserve">Id. </w:t>
      </w:r>
      <w:r>
        <w:t>at Appx. B:  Definitions.</w:t>
      </w:r>
    </w:p>
  </w:footnote>
  <w:footnote w:id="84">
    <w:p w:rsidR="00FE2243" w:rsidRDefault="00FE2243" w:rsidP="00216936">
      <w:pPr>
        <w:pStyle w:val="FootnoteText"/>
      </w:pPr>
      <w:r>
        <w:rPr>
          <w:rStyle w:val="FootnoteReference"/>
        </w:rPr>
        <w:footnoteRef/>
      </w:r>
      <w:r>
        <w:t xml:space="preserve"> </w:t>
      </w:r>
      <w:r w:rsidRPr="00AA304C">
        <w:rPr>
          <w:i/>
        </w:rPr>
        <w:t>Id.</w:t>
      </w:r>
    </w:p>
  </w:footnote>
  <w:footnote w:id="85">
    <w:p w:rsidR="00FE2243" w:rsidRDefault="00FE2243" w:rsidP="00216936">
      <w:pPr>
        <w:pStyle w:val="FootnoteText"/>
      </w:pPr>
      <w:r>
        <w:rPr>
          <w:rStyle w:val="FootnoteReference"/>
        </w:rPr>
        <w:footnoteRef/>
      </w:r>
      <w:r>
        <w:t xml:space="preserve"> </w:t>
      </w:r>
      <w:r w:rsidRPr="000B49DF">
        <w:rPr>
          <w:i/>
          <w:szCs w:val="22"/>
        </w:rPr>
        <w:t>2014 Traffic and Revenue Report</w:t>
      </w:r>
      <w:r>
        <w:rPr>
          <w:szCs w:val="22"/>
        </w:rPr>
        <w:t xml:space="preserve"> at 15.</w:t>
      </w:r>
    </w:p>
  </w:footnote>
  <w:footnote w:id="86">
    <w:p w:rsidR="00FE2243" w:rsidRDefault="00FE2243" w:rsidP="00216936">
      <w:pPr>
        <w:pStyle w:val="FootnoteText"/>
      </w:pPr>
      <w:r>
        <w:rPr>
          <w:rStyle w:val="FootnoteReference"/>
        </w:rPr>
        <w:footnoteRef/>
      </w:r>
      <w:r>
        <w:t xml:space="preserve"> </w:t>
      </w:r>
      <w:r w:rsidRPr="00AA304C">
        <w:rPr>
          <w:i/>
        </w:rPr>
        <w:t>Id.</w:t>
      </w:r>
      <w:r>
        <w:rPr>
          <w:szCs w:val="22"/>
        </w:rPr>
        <w:t xml:space="preserve">; </w:t>
      </w:r>
      <w:r w:rsidRPr="00E35F6F">
        <w:rPr>
          <w:i/>
          <w:szCs w:val="22"/>
        </w:rPr>
        <w:t>see also id.</w:t>
      </w:r>
      <w:r>
        <w:rPr>
          <w:szCs w:val="22"/>
        </w:rPr>
        <w:t xml:space="preserve"> at Appx. B:  Data Tables.</w:t>
      </w:r>
    </w:p>
  </w:footnote>
  <w:footnote w:id="87">
    <w:p w:rsidR="00FE2243" w:rsidRDefault="00FE2243" w:rsidP="00216936">
      <w:pPr>
        <w:pStyle w:val="FootnoteText"/>
      </w:pPr>
      <w:r>
        <w:rPr>
          <w:rStyle w:val="FootnoteReference"/>
        </w:rPr>
        <w:footnoteRef/>
      </w:r>
      <w:r>
        <w:t xml:space="preserve"> </w:t>
      </w:r>
      <w:r w:rsidRPr="002F020A">
        <w:t xml:space="preserve">Any U.S. International Carrier that provides International Private Line Service through ownership or an indefeasible right of use (IRU), or by obtaining a leasehold interest in the U.S. end of an international facility that is not provided by the lessor as International Private Line Service shall report International Private Line Service statistics for the reporting period on Schedule 3 as “Service Provided over Facilities Circuits.” </w:t>
      </w:r>
      <w:r>
        <w:t xml:space="preserve"> </w:t>
      </w:r>
      <w:r w:rsidRPr="002F020A">
        <w:t>A U.S. International Carrier that provides International Private Line Service by obtaining a lease that is provided by the lessor as International Private Line Service shall report International Private Line Service statistics for the reporting period on Schedule 3 as “Service Provided over Resold Circuits.”</w:t>
      </w:r>
      <w:r>
        <w:t xml:space="preserve">  </w:t>
      </w:r>
      <w:r>
        <w:rPr>
          <w:i/>
        </w:rPr>
        <w:t xml:space="preserve">See </w:t>
      </w:r>
      <w:r w:rsidRPr="00AA304C">
        <w:rPr>
          <w:i/>
        </w:rPr>
        <w:t>Section 43.62 Filing Manual</w:t>
      </w:r>
      <w:r>
        <w:rPr>
          <w:i/>
        </w:rPr>
        <w:t xml:space="preserve"> </w:t>
      </w:r>
      <w:r>
        <w:t xml:space="preserve">at 18, para. 88.  </w:t>
      </w:r>
      <w:r>
        <w:rPr>
          <w:szCs w:val="22"/>
        </w:rPr>
        <w:t>According to the International Bureau’s internally developed data, 17 international service providers filed Schedule 3 reporting International Private Line Service statistics as “Service Provided over Resold Circuits” for the 2014 reporting year, and 18 international service providers filed Schedule 3 reporting this information for the 2015 reporting year.</w:t>
      </w:r>
    </w:p>
  </w:footnote>
  <w:footnote w:id="88">
    <w:p w:rsidR="00FE2243" w:rsidRDefault="00FE2243" w:rsidP="00216936">
      <w:pPr>
        <w:pStyle w:val="FootnoteText"/>
      </w:pPr>
      <w:r>
        <w:rPr>
          <w:rStyle w:val="FootnoteReference"/>
        </w:rPr>
        <w:footnoteRef/>
      </w:r>
      <w:r>
        <w:t xml:space="preserve"> </w:t>
      </w:r>
      <w:r w:rsidRPr="00A73589">
        <w:rPr>
          <w:i/>
          <w:szCs w:val="22"/>
        </w:rPr>
        <w:t>2014 Traffic and Revenue Report</w:t>
      </w:r>
      <w:r>
        <w:rPr>
          <w:szCs w:val="22"/>
        </w:rPr>
        <w:t xml:space="preserve"> at 16. </w:t>
      </w:r>
    </w:p>
  </w:footnote>
  <w:footnote w:id="89">
    <w:p w:rsidR="00FE2243" w:rsidRPr="00474307" w:rsidRDefault="00FE2243" w:rsidP="00216936">
      <w:pPr>
        <w:pStyle w:val="FootnoteText"/>
      </w:pPr>
      <w:r>
        <w:rPr>
          <w:rStyle w:val="FootnoteReference"/>
        </w:rPr>
        <w:footnoteRef/>
      </w:r>
      <w:r>
        <w:t xml:space="preserve"> </w:t>
      </w:r>
      <w:r>
        <w:rPr>
          <w:i/>
          <w:szCs w:val="22"/>
        </w:rPr>
        <w:t>Id.</w:t>
      </w:r>
      <w:r>
        <w:rPr>
          <w:szCs w:val="22"/>
        </w:rPr>
        <w:t xml:space="preserve">; </w:t>
      </w:r>
      <w:r w:rsidRPr="00E35F6F">
        <w:rPr>
          <w:i/>
          <w:szCs w:val="22"/>
        </w:rPr>
        <w:t>see also id.</w:t>
      </w:r>
      <w:r>
        <w:rPr>
          <w:szCs w:val="22"/>
        </w:rPr>
        <w:t xml:space="preserve"> at Appx. B:  Data Tables.</w:t>
      </w:r>
      <w:r>
        <w:rPr>
          <w:i/>
          <w:szCs w:val="22"/>
        </w:rPr>
        <w:t xml:space="preserve">  </w:t>
      </w:r>
      <w:r>
        <w:rPr>
          <w:szCs w:val="22"/>
        </w:rPr>
        <w:t xml:space="preserve">   </w:t>
      </w:r>
    </w:p>
  </w:footnote>
  <w:footnote w:id="90">
    <w:p w:rsidR="00FE2243" w:rsidRDefault="00FE2243" w:rsidP="00216936">
      <w:pPr>
        <w:pStyle w:val="FootnoteText"/>
      </w:pPr>
      <w:r>
        <w:rPr>
          <w:rStyle w:val="FootnoteReference"/>
        </w:rPr>
        <w:footnoteRef/>
      </w:r>
      <w:r>
        <w:t xml:space="preserve"> </w:t>
      </w:r>
      <w:r>
        <w:rPr>
          <w:szCs w:val="22"/>
        </w:rPr>
        <w:t xml:space="preserve">A U.S. International Carrier that billed less than $5 million in revenue for an International Miscellaneous Service provided during the reporting period is not required to file data for that service on its Traffic and Revenue Report.  </w:t>
      </w:r>
      <w:r w:rsidRPr="00AA304C">
        <w:rPr>
          <w:i/>
        </w:rPr>
        <w:t>Section 43.62 Filing Manual</w:t>
      </w:r>
      <w:r>
        <w:rPr>
          <w:i/>
        </w:rPr>
        <w:t xml:space="preserve"> </w:t>
      </w:r>
      <w:r>
        <w:t>at 3, para 10.</w:t>
      </w:r>
    </w:p>
  </w:footnote>
  <w:footnote w:id="91">
    <w:p w:rsidR="00FE2243" w:rsidRPr="00AA304C" w:rsidRDefault="00FE2243" w:rsidP="00216936">
      <w:pPr>
        <w:pStyle w:val="FootnoteText"/>
      </w:pPr>
      <w:r w:rsidRPr="00AA304C">
        <w:rPr>
          <w:rStyle w:val="FootnoteReference"/>
        </w:rPr>
        <w:footnoteRef/>
      </w:r>
      <w:r w:rsidRPr="00AA304C">
        <w:t xml:space="preserve"> U.S. Census Bureau, </w:t>
      </w:r>
      <w:r w:rsidRPr="00AA304C">
        <w:rPr>
          <w:i/>
        </w:rPr>
        <w:t>2012 NAICS Definition</w:t>
      </w:r>
      <w:r w:rsidRPr="00AA304C">
        <w:t xml:space="preserve">, </w:t>
      </w:r>
      <w:hyperlink r:id="rId16" w:history="1">
        <w:r w:rsidRPr="00AA304C">
          <w:rPr>
            <w:rStyle w:val="Hyperlink"/>
          </w:rPr>
          <w:t>http://www.census.gov/cgi-bin/sssd/naics/naicsrch?code=517911&amp;search=2012%20NAICS%20Search</w:t>
        </w:r>
      </w:hyperlink>
      <w:r w:rsidRPr="00AA304C">
        <w:t xml:space="preserve"> (last visited </w:t>
      </w:r>
      <w:r>
        <w:t>March 21</w:t>
      </w:r>
      <w:r w:rsidRPr="00AA304C">
        <w:t xml:space="preserve">, 2017).  </w:t>
      </w:r>
      <w:r w:rsidRPr="00AA304C">
        <w:rPr>
          <w:i/>
        </w:rPr>
        <w:t xml:space="preserve">See also </w:t>
      </w:r>
      <w:r w:rsidRPr="00AA304C">
        <w:t xml:space="preserve">U.S. Census Bureau, </w:t>
      </w:r>
      <w:r w:rsidRPr="00AA304C">
        <w:rPr>
          <w:i/>
        </w:rPr>
        <w:t>2017 NAICS Definition</w:t>
      </w:r>
      <w:r w:rsidRPr="00AA304C">
        <w:t xml:space="preserve">, </w:t>
      </w:r>
      <w:hyperlink r:id="rId17" w:history="1">
        <w:r w:rsidRPr="00AA304C">
          <w:rPr>
            <w:rStyle w:val="Hyperlink"/>
          </w:rPr>
          <w:t>http://www.census.gov/cgi-bin/sssd/naics/naicsrch?code=517911&amp;search=2017%20NAICS%20Search</w:t>
        </w:r>
      </w:hyperlink>
      <w:r>
        <w:t xml:space="preserve"> (last visited March 21</w:t>
      </w:r>
      <w:r w:rsidRPr="00AA304C">
        <w:t>, 2017).</w:t>
      </w:r>
    </w:p>
  </w:footnote>
  <w:footnote w:id="92">
    <w:p w:rsidR="00FE2243" w:rsidRPr="00AA304C" w:rsidRDefault="00FE2243" w:rsidP="00216936">
      <w:pPr>
        <w:pStyle w:val="FootnoteText"/>
      </w:pPr>
      <w:r w:rsidRPr="00AA304C">
        <w:rPr>
          <w:rStyle w:val="FootnoteReference"/>
        </w:rPr>
        <w:footnoteRef/>
      </w:r>
      <w:r w:rsidRPr="00AA304C">
        <w:rPr>
          <w:lang w:val="fr-FR"/>
        </w:rPr>
        <w:t xml:space="preserve"> 13 </w:t>
      </w:r>
      <w:r>
        <w:rPr>
          <w:lang w:val="fr-FR"/>
        </w:rPr>
        <w:t>CFR</w:t>
      </w:r>
      <w:r w:rsidRPr="00AA304C">
        <w:rPr>
          <w:lang w:val="fr-FR"/>
        </w:rPr>
        <w:t xml:space="preserve"> § 121.201, NAICS code 517911.</w:t>
      </w:r>
    </w:p>
  </w:footnote>
  <w:footnote w:id="93">
    <w:p w:rsidR="00FE2243" w:rsidRPr="00AA304C" w:rsidRDefault="00FE2243" w:rsidP="00216936">
      <w:pPr>
        <w:pStyle w:val="FootnoteText"/>
      </w:pPr>
      <w:r w:rsidRPr="00AA304C">
        <w:rPr>
          <w:rStyle w:val="FootnoteReference"/>
        </w:rPr>
        <w:footnoteRef/>
      </w:r>
      <w:r w:rsidRPr="00AA304C">
        <w:t xml:space="preserve"> U.S. </w:t>
      </w:r>
      <w:r>
        <w:t xml:space="preserve">Employment </w:t>
      </w:r>
      <w:r w:rsidRPr="00AA304C">
        <w:t>Size of Firms Census Table</w:t>
      </w:r>
      <w:r>
        <w:t xml:space="preserve"> (Jan. 8, 2016)</w:t>
      </w:r>
      <w:r w:rsidRPr="00AA304C">
        <w:t xml:space="preserve">, </w:t>
      </w:r>
      <w:hyperlink r:id="rId18" w:history="1">
        <w:r w:rsidRPr="00AA304C">
          <w:rPr>
            <w:rStyle w:val="Hyperlink"/>
          </w:rPr>
          <w:t>https://factfinder.census.gov/faces/tableservices/jsf/pages/productview.xhtml?pid=ECN_2012_US_51SSSZ5&amp;prodType=table</w:t>
        </w:r>
      </w:hyperlink>
      <w:r w:rsidRPr="00AA304C">
        <w:t>.</w:t>
      </w:r>
    </w:p>
  </w:footnote>
  <w:footnote w:id="94">
    <w:p w:rsidR="00FE2243" w:rsidRPr="00AA304C" w:rsidRDefault="00FE2243" w:rsidP="00216936">
      <w:pPr>
        <w:pStyle w:val="FootnoteText"/>
      </w:pPr>
      <w:r w:rsidRPr="00AA304C">
        <w:rPr>
          <w:rStyle w:val="FootnoteReference"/>
        </w:rPr>
        <w:footnoteRef/>
      </w:r>
      <w:r w:rsidRPr="00AA304C">
        <w:t xml:space="preserve"> </w:t>
      </w:r>
      <w:r w:rsidRPr="00AA304C">
        <w:rPr>
          <w:i/>
        </w:rPr>
        <w:t>Id.</w:t>
      </w:r>
      <w:r w:rsidRPr="00AA304C">
        <w:t xml:space="preserve"> </w:t>
      </w:r>
    </w:p>
  </w:footnote>
  <w:footnote w:id="95">
    <w:p w:rsidR="00FE2243" w:rsidRPr="00AA304C" w:rsidRDefault="00FE2243" w:rsidP="00216936">
      <w:pPr>
        <w:pStyle w:val="FootnoteText"/>
        <w:rPr>
          <w:highlight w:val="yellow"/>
        </w:rPr>
      </w:pPr>
      <w:r w:rsidRPr="00AA304C">
        <w:rPr>
          <w:rStyle w:val="FootnoteReference"/>
        </w:rPr>
        <w:footnoteRef/>
      </w:r>
      <w:r w:rsidRPr="00AA304C">
        <w:t xml:space="preserve"> </w:t>
      </w:r>
      <w:r w:rsidRPr="00A73589">
        <w:rPr>
          <w:i/>
          <w:szCs w:val="22"/>
        </w:rPr>
        <w:t>2014</w:t>
      </w:r>
      <w:r>
        <w:rPr>
          <w:i/>
          <w:szCs w:val="22"/>
        </w:rPr>
        <w:t xml:space="preserve"> </w:t>
      </w:r>
      <w:r w:rsidRPr="00AF52CB">
        <w:rPr>
          <w:i/>
          <w:szCs w:val="22"/>
        </w:rPr>
        <w:t>Traffic and Revenue</w:t>
      </w:r>
      <w:r>
        <w:rPr>
          <w:i/>
          <w:szCs w:val="22"/>
        </w:rPr>
        <w:t xml:space="preserve"> Report</w:t>
      </w:r>
      <w:r w:rsidRPr="002240A1">
        <w:rPr>
          <w:szCs w:val="22"/>
        </w:rPr>
        <w:t xml:space="preserve"> </w:t>
      </w:r>
      <w:r w:rsidRPr="002240A1">
        <w:t>at 14.</w:t>
      </w:r>
      <w:r>
        <w:t xml:space="preserve">  </w:t>
      </w:r>
      <w:r w:rsidRPr="00D257D6">
        <w:rPr>
          <w:bCs/>
        </w:rPr>
        <w:t xml:space="preserve">ICS Resale </w:t>
      </w:r>
      <w:r w:rsidRPr="00D257D6">
        <w:t xml:space="preserve">refers to the provision of U.S.-Billed ICS by a U.S. </w:t>
      </w:r>
      <w:r>
        <w:t>i</w:t>
      </w:r>
      <w:r w:rsidRPr="00D257D6">
        <w:t xml:space="preserve">nternational </w:t>
      </w:r>
      <w:r>
        <w:t>s</w:t>
      </w:r>
      <w:r w:rsidRPr="00D257D6">
        <w:t xml:space="preserve">ervice </w:t>
      </w:r>
      <w:r>
        <w:t>p</w:t>
      </w:r>
      <w:r w:rsidRPr="00D257D6">
        <w:t xml:space="preserve">rovider through the resale of ICS purchased from another U.S. </w:t>
      </w:r>
      <w:r>
        <w:t>i</w:t>
      </w:r>
      <w:r w:rsidRPr="00D257D6">
        <w:t xml:space="preserve">nternational </w:t>
      </w:r>
      <w:r>
        <w:t>s</w:t>
      </w:r>
      <w:r w:rsidRPr="00D257D6">
        <w:t xml:space="preserve">ervice </w:t>
      </w:r>
      <w:r>
        <w:t>p</w:t>
      </w:r>
      <w:r w:rsidRPr="00D257D6">
        <w:t>rovider.</w:t>
      </w:r>
      <w:r>
        <w:t xml:space="preserve">  </w:t>
      </w:r>
      <w:r>
        <w:rPr>
          <w:i/>
          <w:szCs w:val="22"/>
        </w:rPr>
        <w:t xml:space="preserve">See </w:t>
      </w:r>
      <w:r w:rsidRPr="00AA304C">
        <w:rPr>
          <w:i/>
        </w:rPr>
        <w:t>Section 43.62 Filing Manual</w:t>
      </w:r>
      <w:r>
        <w:rPr>
          <w:i/>
        </w:rPr>
        <w:t xml:space="preserve"> </w:t>
      </w:r>
      <w:r>
        <w:t xml:space="preserve">at Appx. B:  Definitions.  Pursuant to the </w:t>
      </w:r>
      <w:r w:rsidRPr="00ED03BE">
        <w:rPr>
          <w:i/>
        </w:rPr>
        <w:t>Part 43 Second Report and Order</w:t>
      </w:r>
      <w:r>
        <w:t xml:space="preserve">, IMTS and VoIP services connected to the PSTN are both included in the ICS data collection for traffic and revenue reporting.  </w:t>
      </w:r>
      <w:r w:rsidRPr="00656891">
        <w:rPr>
          <w:i/>
        </w:rPr>
        <w:t xml:space="preserve">See </w:t>
      </w:r>
      <w:r w:rsidRPr="00625690">
        <w:rPr>
          <w:i/>
        </w:rPr>
        <w:t xml:space="preserve">supra </w:t>
      </w:r>
      <w:r>
        <w:t xml:space="preserve">note </w:t>
      </w:r>
      <w:r w:rsidRPr="00182BF3">
        <w:t>24.</w:t>
      </w:r>
    </w:p>
  </w:footnote>
  <w:footnote w:id="96">
    <w:p w:rsidR="00FE2243" w:rsidRDefault="00FE2243" w:rsidP="00216936">
      <w:pPr>
        <w:pStyle w:val="FootnoteText"/>
      </w:pPr>
      <w:r>
        <w:rPr>
          <w:rStyle w:val="FootnoteReference"/>
        </w:rPr>
        <w:footnoteRef/>
      </w:r>
      <w:r>
        <w:t xml:space="preserve"> </w:t>
      </w:r>
      <w:r w:rsidRPr="00C06215">
        <w:rPr>
          <w:i/>
        </w:rPr>
        <w:t>Id.</w:t>
      </w:r>
      <w:r>
        <w:rPr>
          <w:i/>
        </w:rPr>
        <w:t xml:space="preserve">  </w:t>
      </w:r>
      <w:r>
        <w:t xml:space="preserve">Pursuant to the </w:t>
      </w:r>
      <w:r w:rsidRPr="00EF1BCA">
        <w:rPr>
          <w:i/>
        </w:rPr>
        <w:t>Part 43 Second Report and Order</w:t>
      </w:r>
      <w:r>
        <w:t>, a</w:t>
      </w:r>
      <w:r w:rsidRPr="00EF1BCA">
        <w:t xml:space="preserve"> U.S. </w:t>
      </w:r>
      <w:r>
        <w:t>i</w:t>
      </w:r>
      <w:r w:rsidRPr="00EF1BCA">
        <w:t xml:space="preserve">nternational </w:t>
      </w:r>
      <w:r>
        <w:t>s</w:t>
      </w:r>
      <w:r w:rsidRPr="00EF1BCA">
        <w:t xml:space="preserve">ervice </w:t>
      </w:r>
      <w:r>
        <w:t>p</w:t>
      </w:r>
      <w:r w:rsidRPr="00EF1BCA">
        <w:t xml:space="preserve">rovider that billed less than $5 million in ICS Resale revenue and did not bill any Facilities ICS revenue for the reporting period is not required to report data for its ICS Resale on its </w:t>
      </w:r>
      <w:r>
        <w:t>T</w:t>
      </w:r>
      <w:r w:rsidRPr="00EF1BCA">
        <w:t xml:space="preserve">raffic and </w:t>
      </w:r>
      <w:r>
        <w:t>R</w:t>
      </w:r>
      <w:r w:rsidRPr="00EF1BCA">
        <w:t xml:space="preserve">evenue </w:t>
      </w:r>
      <w:r>
        <w:t>R</w:t>
      </w:r>
      <w:r w:rsidRPr="00EF1BCA">
        <w:t xml:space="preserve">eport. U.S. </w:t>
      </w:r>
      <w:r>
        <w:t>i</w:t>
      </w:r>
      <w:r w:rsidRPr="00EF1BCA">
        <w:t xml:space="preserve">nternational </w:t>
      </w:r>
      <w:r>
        <w:t>s</w:t>
      </w:r>
      <w:r w:rsidRPr="00EF1BCA">
        <w:t xml:space="preserve">ervice </w:t>
      </w:r>
      <w:r>
        <w:t>p</w:t>
      </w:r>
      <w:r w:rsidRPr="00EF1BCA">
        <w:t>roviders that billed less than $5 million in ICS Resale revenue and also billed Facilities ICS revenue are required to file data for ICS Resale as well as Facilities ICS.</w:t>
      </w:r>
      <w:r>
        <w:t xml:space="preserve">  </w:t>
      </w:r>
      <w:r>
        <w:rPr>
          <w:i/>
        </w:rPr>
        <w:t xml:space="preserve">See </w:t>
      </w:r>
      <w:r w:rsidRPr="00EF1BCA">
        <w:rPr>
          <w:i/>
          <w:iCs/>
        </w:rPr>
        <w:t>Part 43 Second Report and Order</w:t>
      </w:r>
      <w:r w:rsidRPr="00EF1BCA">
        <w:t xml:space="preserve">, 28 FCC Rcd at 579-80, para. 12; </w:t>
      </w:r>
      <w:r>
        <w:rPr>
          <w:i/>
        </w:rPr>
        <w:t xml:space="preserve">see also </w:t>
      </w:r>
      <w:r w:rsidRPr="00EF1BCA">
        <w:rPr>
          <w:i/>
          <w:iCs/>
        </w:rPr>
        <w:t xml:space="preserve">Section 43.62 Filing Manual </w:t>
      </w:r>
      <w:r w:rsidRPr="00EF1BCA">
        <w:t xml:space="preserve">at </w:t>
      </w:r>
      <w:r>
        <w:t>2-</w:t>
      </w:r>
      <w:r w:rsidRPr="00EF1BCA">
        <w:t>3, para. 9.</w:t>
      </w:r>
      <w:r>
        <w:t xml:space="preserve">    </w:t>
      </w:r>
    </w:p>
  </w:footnote>
  <w:footnote w:id="97">
    <w:p w:rsidR="00FE2243" w:rsidRPr="00AA304C" w:rsidRDefault="00FE2243" w:rsidP="00216936">
      <w:pPr>
        <w:pStyle w:val="FootnoteText"/>
      </w:pPr>
      <w:r w:rsidRPr="00AA304C">
        <w:rPr>
          <w:rStyle w:val="FootnoteReference"/>
        </w:rPr>
        <w:footnoteRef/>
      </w:r>
      <w:r w:rsidRPr="00AA304C">
        <w:t xml:space="preserve"> U.S. Census Bureau, </w:t>
      </w:r>
      <w:r w:rsidRPr="00AA304C">
        <w:rPr>
          <w:i/>
        </w:rPr>
        <w:t>2012 NAICS Definition</w:t>
      </w:r>
      <w:r w:rsidRPr="00AA304C">
        <w:t xml:space="preserve">, </w:t>
      </w:r>
      <w:hyperlink r:id="rId19" w:history="1">
        <w:r w:rsidRPr="00AA304C">
          <w:rPr>
            <w:rStyle w:val="Hyperlink"/>
          </w:rPr>
          <w:t>http://www.census.gov/cgi-bin/sssd/naics/naicsrch?code=517210&amp;search=2012%20NAICS%20Search</w:t>
        </w:r>
      </w:hyperlink>
      <w:r w:rsidRPr="00AA304C">
        <w:t xml:space="preserve"> (last visited </w:t>
      </w:r>
      <w:r>
        <w:t>March 21</w:t>
      </w:r>
      <w:r w:rsidRPr="00AA304C">
        <w:t xml:space="preserve">, 2017).  </w:t>
      </w:r>
      <w:r w:rsidRPr="00AA304C">
        <w:rPr>
          <w:i/>
        </w:rPr>
        <w:t>See also</w:t>
      </w:r>
      <w:r w:rsidRPr="00AA304C">
        <w:t xml:space="preserve"> U.S. Census Bureau, </w:t>
      </w:r>
      <w:r w:rsidRPr="00AA304C">
        <w:rPr>
          <w:i/>
        </w:rPr>
        <w:t>2017 NAICS Definition</w:t>
      </w:r>
      <w:r w:rsidRPr="00AA304C">
        <w:t xml:space="preserve">, </w:t>
      </w:r>
      <w:hyperlink r:id="rId20" w:history="1">
        <w:r w:rsidRPr="00AA304C">
          <w:rPr>
            <w:rStyle w:val="Hyperlink"/>
          </w:rPr>
          <w:t>http://www.census.gov/cgi-bin/sssd/naics/naicsrch?code=517312&amp;search=2017%20NAICS%20Search</w:t>
        </w:r>
      </w:hyperlink>
      <w:r w:rsidRPr="00AA304C">
        <w:t xml:space="preserve"> (last visited</w:t>
      </w:r>
      <w:r w:rsidRPr="004E05D2">
        <w:t xml:space="preserve"> </w:t>
      </w:r>
      <w:r>
        <w:t>March 21</w:t>
      </w:r>
      <w:r w:rsidRPr="00AA304C">
        <w:t>, 2017).</w:t>
      </w:r>
    </w:p>
  </w:footnote>
  <w:footnote w:id="98">
    <w:p w:rsidR="00FE2243" w:rsidRPr="00AA304C" w:rsidRDefault="00FE2243" w:rsidP="00216936">
      <w:pPr>
        <w:pStyle w:val="FootnoteText"/>
      </w:pPr>
      <w:r w:rsidRPr="00AA304C">
        <w:rPr>
          <w:rStyle w:val="FootnoteReference"/>
        </w:rPr>
        <w:footnoteRef/>
      </w:r>
      <w:r w:rsidRPr="00AA304C">
        <w:t xml:space="preserve"> </w:t>
      </w:r>
      <w:r w:rsidRPr="00AA304C">
        <w:rPr>
          <w:lang w:val="fr-FR"/>
        </w:rPr>
        <w:t>13</w:t>
      </w:r>
      <w:r>
        <w:rPr>
          <w:lang w:val="fr-FR"/>
        </w:rPr>
        <w:t xml:space="preserve"> CFR § 121.201, NAICS code 517210</w:t>
      </w:r>
      <w:r w:rsidRPr="00AA304C">
        <w:rPr>
          <w:lang w:val="fr-FR"/>
        </w:rPr>
        <w:t xml:space="preserve">.  </w:t>
      </w:r>
      <w:r w:rsidRPr="00B05C6E">
        <w:rPr>
          <w:rStyle w:val="Footnote"/>
        </w:rPr>
        <w:t xml:space="preserve">The 2017 NAICS code for </w:t>
      </w:r>
      <w:r w:rsidRPr="00B05C6E">
        <w:rPr>
          <w:szCs w:val="22"/>
        </w:rPr>
        <w:t>Wireless Telecommunications Carriers (except Satellite)</w:t>
      </w:r>
      <w:r>
        <w:rPr>
          <w:szCs w:val="22"/>
        </w:rPr>
        <w:t xml:space="preserve"> </w:t>
      </w:r>
      <w:r w:rsidRPr="00B05C6E">
        <w:rPr>
          <w:rStyle w:val="Footnote"/>
        </w:rPr>
        <w:t>is 51731</w:t>
      </w:r>
      <w:r>
        <w:rPr>
          <w:rStyle w:val="Footnote"/>
        </w:rPr>
        <w:t>2</w:t>
      </w:r>
      <w:r w:rsidRPr="00B05C6E">
        <w:rPr>
          <w:rStyle w:val="Footnote"/>
        </w:rPr>
        <w:t xml:space="preserve">.  </w:t>
      </w:r>
      <w:r w:rsidRPr="00B05C6E">
        <w:rPr>
          <w:rStyle w:val="Footnote"/>
          <w:i/>
        </w:rPr>
        <w:t>See</w:t>
      </w:r>
      <w:r w:rsidRPr="00B05C6E">
        <w:rPr>
          <w:rStyle w:val="Footnote"/>
        </w:rPr>
        <w:t xml:space="preserve"> U</w:t>
      </w:r>
      <w:r w:rsidRPr="00B05C6E">
        <w:t xml:space="preserve">.S. Census Bureau, </w:t>
      </w:r>
      <w:r w:rsidRPr="00B05C6E">
        <w:rPr>
          <w:i/>
        </w:rPr>
        <w:t>2017 NAICS Definition</w:t>
      </w:r>
      <w:r w:rsidRPr="00B05C6E">
        <w:t xml:space="preserve">, </w:t>
      </w:r>
      <w:hyperlink r:id="rId21" w:history="1">
        <w:r w:rsidRPr="00B05C6E">
          <w:rPr>
            <w:rStyle w:val="Hyperlink"/>
          </w:rPr>
          <w:t>http://www.census.gov/cgi-bin/sssd/naics/naicsrch?code=517312&amp;search=2017%20NAICS%20Search</w:t>
        </w:r>
      </w:hyperlink>
      <w:r w:rsidRPr="00AA304C">
        <w:t xml:space="preserve"> (last visited</w:t>
      </w:r>
      <w:r w:rsidRPr="004E05D2">
        <w:t xml:space="preserve"> </w:t>
      </w:r>
      <w:r>
        <w:t>March 21</w:t>
      </w:r>
      <w:r w:rsidRPr="00AA304C">
        <w:t>, 2017); U.S. Census Bureau,</w:t>
      </w:r>
      <w:r w:rsidRPr="00AA304C">
        <w:rPr>
          <w:rStyle w:val="Footnote"/>
          <w:i/>
        </w:rPr>
        <w:t xml:space="preserve"> Frequently Asked Questions (FAQs)</w:t>
      </w:r>
      <w:r w:rsidRPr="00AA304C">
        <w:rPr>
          <w:rStyle w:val="Footnote"/>
        </w:rPr>
        <w:t xml:space="preserve">, </w:t>
      </w:r>
      <w:hyperlink r:id="rId22" w:history="1">
        <w:r w:rsidRPr="00AA304C">
          <w:rPr>
            <w:rStyle w:val="Hyperlink"/>
          </w:rPr>
          <w:t>https://www.census.gov/eos/www/naics/faqs/faqs.html</w:t>
        </w:r>
      </w:hyperlink>
      <w:r>
        <w:rPr>
          <w:rStyle w:val="Hyperlink"/>
        </w:rPr>
        <w:t xml:space="preserve"> </w:t>
      </w:r>
      <w:r w:rsidRPr="00AA304C">
        <w:t>(last visited</w:t>
      </w:r>
      <w:r w:rsidRPr="004E05D2">
        <w:t xml:space="preserve"> </w:t>
      </w:r>
      <w:r>
        <w:t>March 21</w:t>
      </w:r>
      <w:r w:rsidRPr="00AA304C">
        <w:t>, 2017)</w:t>
      </w:r>
      <w:r w:rsidRPr="00AA304C">
        <w:rPr>
          <w:rStyle w:val="Footnote"/>
        </w:rPr>
        <w:t xml:space="preserve">.  </w:t>
      </w:r>
      <w:r>
        <w:rPr>
          <w:rStyle w:val="Footnote"/>
        </w:rPr>
        <w:t>While economic census data for 2012 are available, e</w:t>
      </w:r>
      <w:r w:rsidRPr="00AA304C">
        <w:rPr>
          <w:rStyle w:val="Footnote"/>
        </w:rPr>
        <w:t xml:space="preserve">conomic census data for 2017 </w:t>
      </w:r>
      <w:r>
        <w:rPr>
          <w:rStyle w:val="Footnote"/>
        </w:rPr>
        <w:t>are</w:t>
      </w:r>
      <w:r w:rsidRPr="00AA304C">
        <w:rPr>
          <w:rStyle w:val="Footnote"/>
        </w:rPr>
        <w:t xml:space="preserve"> not currently available.  </w:t>
      </w:r>
    </w:p>
  </w:footnote>
  <w:footnote w:id="99">
    <w:p w:rsidR="00FE2243" w:rsidRPr="00AA304C" w:rsidRDefault="00FE2243" w:rsidP="00216936">
      <w:pPr>
        <w:pStyle w:val="FootnoteText"/>
      </w:pPr>
      <w:r w:rsidRPr="00AA304C">
        <w:rPr>
          <w:rStyle w:val="FootnoteReference"/>
        </w:rPr>
        <w:footnoteRef/>
      </w:r>
      <w:r w:rsidRPr="00AA304C">
        <w:t xml:space="preserve"> U.S. </w:t>
      </w:r>
      <w:r>
        <w:t xml:space="preserve">Employment </w:t>
      </w:r>
      <w:r w:rsidRPr="00AA304C">
        <w:t>Size of Firms Census Table</w:t>
      </w:r>
      <w:r>
        <w:t xml:space="preserve"> (Jan. 8, 2016),</w:t>
      </w:r>
      <w:r w:rsidRPr="00AA304C">
        <w:t xml:space="preserve"> </w:t>
      </w:r>
      <w:hyperlink r:id="rId23" w:history="1">
        <w:r w:rsidRPr="00AA304C">
          <w:rPr>
            <w:rStyle w:val="Hyperlink"/>
          </w:rPr>
          <w:t>https://factfinder.census.gov/faces/tableservices/jsf/pages/productview.xhtml?pid=ECN_2012_US_51SSSZ5&amp;prodType=table</w:t>
        </w:r>
      </w:hyperlink>
      <w:r w:rsidRPr="00AA304C">
        <w:t>.</w:t>
      </w:r>
    </w:p>
  </w:footnote>
  <w:footnote w:id="100">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01">
    <w:p w:rsidR="00FE2243" w:rsidRPr="00AA304C" w:rsidRDefault="00FE2243" w:rsidP="00216936">
      <w:pPr>
        <w:pStyle w:val="FootnoteText"/>
      </w:pPr>
      <w:r w:rsidRPr="00AA304C">
        <w:rPr>
          <w:rStyle w:val="FootnoteReference"/>
        </w:rPr>
        <w:footnoteRef/>
      </w:r>
      <w:r w:rsidRPr="00AA304C">
        <w:t xml:space="preserve"> </w:t>
      </w:r>
      <w:r w:rsidRPr="00AA304C">
        <w:rPr>
          <w:i/>
        </w:rPr>
        <w:t>See</w:t>
      </w:r>
      <w:r w:rsidRPr="00AA304C">
        <w:t xml:space="preserve"> </w:t>
      </w:r>
      <w:r w:rsidRPr="002601B6">
        <w:rPr>
          <w:i/>
        </w:rPr>
        <w:t>Trends in Telephone Service</w:t>
      </w:r>
      <w:r w:rsidRPr="00AA304C">
        <w:t xml:space="preserve"> at Table 5.3:  Number of Telecommunications Service</w:t>
      </w:r>
      <w:r>
        <w:t xml:space="preserve"> Providers by Size of Business</w:t>
      </w:r>
      <w:r w:rsidRPr="00AA304C">
        <w:t>.</w:t>
      </w:r>
    </w:p>
  </w:footnote>
  <w:footnote w:id="102">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03">
    <w:p w:rsidR="00FE2243" w:rsidRPr="00AA304C" w:rsidRDefault="00FE2243" w:rsidP="00216936">
      <w:pPr>
        <w:pStyle w:val="FootnoteText"/>
      </w:pPr>
      <w:r w:rsidRPr="00AA304C">
        <w:rPr>
          <w:rStyle w:val="Footnote"/>
          <w:vertAlign w:val="superscript"/>
        </w:rPr>
        <w:footnoteRef/>
      </w:r>
      <w:r w:rsidRPr="00AA304C">
        <w:rPr>
          <w:rStyle w:val="Footnote"/>
          <w:vertAlign w:val="superscript"/>
        </w:rPr>
        <w:t xml:space="preserve"> </w:t>
      </w:r>
      <w:r w:rsidRPr="00AA304C">
        <w:rPr>
          <w:rStyle w:val="Footnote"/>
          <w:i/>
        </w:rPr>
        <w:t>Amendment of the Commission’s Rules to Establish Part 27, the Wireless Communications Service (“WCS”)</w:t>
      </w:r>
      <w:r w:rsidRPr="00AA304C">
        <w:rPr>
          <w:rStyle w:val="Footnote"/>
        </w:rPr>
        <w:t>, GN Docket No. 96-228, Report and Order, 12 FCC Rcd 10785, 10879, para. 194 (1997).</w:t>
      </w:r>
    </w:p>
  </w:footnote>
  <w:footnote w:id="104">
    <w:p w:rsidR="00FE2243" w:rsidRPr="00AA304C" w:rsidRDefault="00FE2243" w:rsidP="00216936">
      <w:pPr>
        <w:pStyle w:val="FootnoteText"/>
      </w:pPr>
      <w:r w:rsidRPr="00AA304C">
        <w:rPr>
          <w:rStyle w:val="Footnote"/>
          <w:vertAlign w:val="superscript"/>
        </w:rPr>
        <w:footnoteRef/>
      </w:r>
      <w:r w:rsidRPr="00AA304C">
        <w:rPr>
          <w:rStyle w:val="Footnote"/>
        </w:rPr>
        <w:t xml:space="preserve"> </w:t>
      </w:r>
      <w:r w:rsidRPr="00AA304C">
        <w:rPr>
          <w:rStyle w:val="Footnote"/>
          <w:i/>
        </w:rPr>
        <w:t>See</w:t>
      </w:r>
      <w:r w:rsidRPr="00AA304C">
        <w:rPr>
          <w:rStyle w:val="Footnote"/>
        </w:rPr>
        <w:t xml:space="preserve"> Letter from Aida Alvarez, Administrator, SBA, to Amy Zoslov, Chief, Auctions and Industry Analysis Division, Wireless Telecommunications Bureau, FCC (filed Dec. 2, 1998)</w:t>
      </w:r>
      <w:r>
        <w:rPr>
          <w:rStyle w:val="Footnote"/>
        </w:rPr>
        <w:t>.</w:t>
      </w:r>
    </w:p>
  </w:footnote>
  <w:footnote w:id="105">
    <w:p w:rsidR="00FE2243" w:rsidRDefault="00FE2243" w:rsidP="00216936">
      <w:pPr>
        <w:pStyle w:val="FootnoteText"/>
      </w:pPr>
      <w:r>
        <w:rPr>
          <w:rStyle w:val="FootnoteReference"/>
        </w:rPr>
        <w:footnoteRef/>
      </w:r>
      <w:r>
        <w:t xml:space="preserve"> 47 CFR </w:t>
      </w:r>
      <w:r w:rsidRPr="00AA304C">
        <w:t>§</w:t>
      </w:r>
      <w:r>
        <w:t xml:space="preserve"> 43.62(b)(2).</w:t>
      </w:r>
    </w:p>
  </w:footnote>
  <w:footnote w:id="106">
    <w:p w:rsidR="00FE2243" w:rsidRPr="00116236" w:rsidRDefault="00FE2243" w:rsidP="00216936">
      <w:pPr>
        <w:pStyle w:val="FootnoteText"/>
      </w:pPr>
      <w:r>
        <w:rPr>
          <w:rStyle w:val="FootnoteReference"/>
        </w:rPr>
        <w:footnoteRef/>
      </w:r>
      <w:r>
        <w:t xml:space="preserve"> </w:t>
      </w:r>
      <w:r w:rsidRPr="00C16550">
        <w:rPr>
          <w:i/>
          <w:szCs w:val="22"/>
        </w:rPr>
        <w:t>2014 Traffic and Revenue Report</w:t>
      </w:r>
      <w:r>
        <w:rPr>
          <w:i/>
          <w:szCs w:val="22"/>
        </w:rPr>
        <w:t xml:space="preserve"> </w:t>
      </w:r>
      <w:r>
        <w:rPr>
          <w:szCs w:val="22"/>
        </w:rPr>
        <w:t>at 1.</w:t>
      </w:r>
    </w:p>
  </w:footnote>
  <w:footnote w:id="107">
    <w:p w:rsidR="00FE2243" w:rsidRDefault="00FE2243" w:rsidP="00216936">
      <w:pPr>
        <w:pStyle w:val="FootnoteText"/>
      </w:pPr>
      <w:r>
        <w:rPr>
          <w:rStyle w:val="FootnoteReference"/>
        </w:rPr>
        <w:footnoteRef/>
      </w:r>
      <w:r>
        <w:t xml:space="preserve"> </w:t>
      </w:r>
      <w:r w:rsidRPr="002C7924">
        <w:rPr>
          <w:i/>
        </w:rPr>
        <w:t>See supra</w:t>
      </w:r>
      <w:r>
        <w:t xml:space="preserve"> note 24.</w:t>
      </w:r>
    </w:p>
  </w:footnote>
  <w:footnote w:id="108">
    <w:p w:rsidR="00FE2243" w:rsidRPr="00AA304C" w:rsidRDefault="00FE2243" w:rsidP="00216936">
      <w:pPr>
        <w:pStyle w:val="FootnoteText"/>
      </w:pPr>
      <w:r w:rsidRPr="00AA304C">
        <w:rPr>
          <w:rStyle w:val="FootnoteReference"/>
        </w:rPr>
        <w:footnoteRef/>
      </w:r>
      <w:r w:rsidRPr="00AA304C">
        <w:t xml:space="preserve"> U.S. Census Bureau, 20</w:t>
      </w:r>
      <w:r>
        <w:t>12 NAICS Definition</w:t>
      </w:r>
      <w:r w:rsidRPr="00AA304C">
        <w:t xml:space="preserve">, </w:t>
      </w:r>
      <w:hyperlink r:id="rId24" w:history="1">
        <w:r w:rsidRPr="005008B3">
          <w:rPr>
            <w:rStyle w:val="Hyperlink"/>
          </w:rPr>
          <w:t>http://www.census.gov/cgi-bin/sssd/naics/naicsrch?code=517110&amp;search=2012%20NAICS%20Search</w:t>
        </w:r>
      </w:hyperlink>
      <w:r>
        <w:t xml:space="preserve"> </w:t>
      </w:r>
      <w:r w:rsidRPr="00AA304C">
        <w:t>(last visited</w:t>
      </w:r>
      <w:r w:rsidRPr="004E05D2">
        <w:t xml:space="preserve"> </w:t>
      </w:r>
      <w:r>
        <w:t>March 21, 2017</w:t>
      </w:r>
      <w:r w:rsidRPr="00AA304C">
        <w:t>)</w:t>
      </w:r>
      <w:r>
        <w:t xml:space="preserve">; </w:t>
      </w:r>
      <w:r w:rsidRPr="00730350">
        <w:rPr>
          <w:i/>
        </w:rPr>
        <w:t>see also</w:t>
      </w:r>
      <w:r>
        <w:t xml:space="preserve"> </w:t>
      </w:r>
      <w:r w:rsidRPr="00AA304C">
        <w:t>U.S. Census Bureau, 20</w:t>
      </w:r>
      <w:r>
        <w:t xml:space="preserve">17 NAICS Definition, </w:t>
      </w:r>
      <w:hyperlink r:id="rId25" w:history="1">
        <w:r w:rsidRPr="005008B3">
          <w:rPr>
            <w:rStyle w:val="Hyperlink"/>
          </w:rPr>
          <w:t>http://www.census.gov/cgi-bin/sssd/naics/naicsrch?code=517311&amp;search=2017%20NAICS%20Search</w:t>
        </w:r>
      </w:hyperlink>
      <w:r>
        <w:t xml:space="preserve"> </w:t>
      </w:r>
      <w:r w:rsidRPr="00AA304C">
        <w:t>(last visited</w:t>
      </w:r>
      <w:r w:rsidRPr="004E05D2">
        <w:t xml:space="preserve"> </w:t>
      </w:r>
      <w:r>
        <w:t>March 21, 2017</w:t>
      </w:r>
      <w:r w:rsidRPr="00AA304C">
        <w:t>)</w:t>
      </w:r>
      <w:r>
        <w:t>.</w:t>
      </w:r>
    </w:p>
  </w:footnote>
  <w:footnote w:id="109">
    <w:p w:rsidR="00FE2243" w:rsidRPr="00AA304C" w:rsidRDefault="00FE2243" w:rsidP="00216936">
      <w:pPr>
        <w:spacing w:after="120" w:line="120" w:lineRule="atLeast"/>
        <w:rPr>
          <w:sz w:val="20"/>
        </w:rPr>
      </w:pPr>
      <w:r w:rsidRPr="00AA304C">
        <w:rPr>
          <w:rStyle w:val="Footnote"/>
          <w:sz w:val="20"/>
          <w:vertAlign w:val="superscript"/>
        </w:rPr>
        <w:footnoteRef/>
      </w:r>
      <w:r w:rsidRPr="00AA304C">
        <w:rPr>
          <w:rStyle w:val="Heading2CharChar2"/>
          <w:sz w:val="20"/>
          <w:vertAlign w:val="superscript"/>
        </w:rPr>
        <w:t xml:space="preserve"> </w:t>
      </w:r>
      <w:r w:rsidRPr="00AA304C">
        <w:rPr>
          <w:rStyle w:val="Footnote"/>
          <w:sz w:val="20"/>
        </w:rPr>
        <w:t xml:space="preserve">13 </w:t>
      </w:r>
      <w:r>
        <w:rPr>
          <w:rStyle w:val="Footnote"/>
          <w:sz w:val="20"/>
        </w:rPr>
        <w:t>CFR</w:t>
      </w:r>
      <w:r w:rsidRPr="00AA304C">
        <w:rPr>
          <w:rStyle w:val="Footnote"/>
          <w:sz w:val="20"/>
        </w:rPr>
        <w:t xml:space="preserve"> § 121.201, NAICS code 517110.  </w:t>
      </w:r>
      <w:r w:rsidRPr="006C42E5">
        <w:rPr>
          <w:rStyle w:val="Footnote"/>
          <w:sz w:val="20"/>
        </w:rPr>
        <w:t xml:space="preserve">The 2017 NAICS code for Wired Telecommunications Carriers is 517311.  </w:t>
      </w:r>
      <w:r w:rsidRPr="006C42E5">
        <w:rPr>
          <w:rStyle w:val="Footnote"/>
          <w:i/>
          <w:sz w:val="20"/>
        </w:rPr>
        <w:t>See</w:t>
      </w:r>
      <w:r w:rsidRPr="006C42E5">
        <w:rPr>
          <w:rStyle w:val="Footnote"/>
          <w:sz w:val="20"/>
        </w:rPr>
        <w:t xml:space="preserve"> </w:t>
      </w:r>
      <w:r w:rsidRPr="006C42E5">
        <w:rPr>
          <w:sz w:val="20"/>
        </w:rPr>
        <w:t>U.S. Census Bureau</w:t>
      </w:r>
      <w:r w:rsidRPr="00AA304C">
        <w:rPr>
          <w:sz w:val="20"/>
        </w:rPr>
        <w:t xml:space="preserve">, </w:t>
      </w:r>
      <w:r w:rsidRPr="00AA304C">
        <w:rPr>
          <w:i/>
          <w:sz w:val="20"/>
        </w:rPr>
        <w:t>2017 NAICS Definition</w:t>
      </w:r>
      <w:r w:rsidRPr="00AA304C">
        <w:rPr>
          <w:sz w:val="20"/>
        </w:rPr>
        <w:t xml:space="preserve">, </w:t>
      </w:r>
      <w:hyperlink r:id="rId26" w:history="1">
        <w:r w:rsidRPr="00AA304C">
          <w:rPr>
            <w:rStyle w:val="Hyperlink"/>
            <w:sz w:val="20"/>
          </w:rPr>
          <w:t>http://www.census.gov/cgi-bin/sssd/naics/naicsrch?code=517311&amp;search=2017%20NAICS%20Search</w:t>
        </w:r>
      </w:hyperlink>
      <w:r w:rsidRPr="00AA304C">
        <w:rPr>
          <w:sz w:val="20"/>
        </w:rPr>
        <w:t xml:space="preserve"> (last visited</w:t>
      </w:r>
      <w:r w:rsidRPr="004E05D2">
        <w:t xml:space="preserve"> </w:t>
      </w:r>
      <w:r w:rsidRPr="001D4071">
        <w:rPr>
          <w:sz w:val="20"/>
        </w:rPr>
        <w:t>March 21</w:t>
      </w:r>
      <w:r w:rsidRPr="004E05D2">
        <w:rPr>
          <w:sz w:val="20"/>
        </w:rPr>
        <w:t>, 2017</w:t>
      </w:r>
      <w:r w:rsidRPr="00AA304C">
        <w:rPr>
          <w:sz w:val="20"/>
        </w:rPr>
        <w:t>); U.S. Census Bureau,</w:t>
      </w:r>
      <w:r w:rsidRPr="00AA304C">
        <w:rPr>
          <w:rStyle w:val="Footnote"/>
          <w:i/>
          <w:sz w:val="20"/>
        </w:rPr>
        <w:t xml:space="preserve"> Frequently Asked Questions (FAQs)</w:t>
      </w:r>
      <w:r w:rsidRPr="00AA304C">
        <w:rPr>
          <w:rStyle w:val="Footnote"/>
          <w:sz w:val="20"/>
        </w:rPr>
        <w:t xml:space="preserve">, </w:t>
      </w:r>
      <w:hyperlink r:id="rId27" w:history="1">
        <w:r w:rsidRPr="00AA304C">
          <w:rPr>
            <w:rStyle w:val="Hyperlink"/>
            <w:sz w:val="20"/>
          </w:rPr>
          <w:t>https://www.census.gov/eos/www/naics/faqs/faqs.html</w:t>
        </w:r>
      </w:hyperlink>
      <w:r>
        <w:rPr>
          <w:rStyle w:val="Hyperlink"/>
          <w:sz w:val="20"/>
        </w:rPr>
        <w:t xml:space="preserve"> </w:t>
      </w:r>
      <w:r w:rsidRPr="00AA304C">
        <w:rPr>
          <w:sz w:val="20"/>
        </w:rPr>
        <w:t>(</w:t>
      </w:r>
      <w:r w:rsidRPr="004E05D2">
        <w:rPr>
          <w:sz w:val="20"/>
        </w:rPr>
        <w:t>last visited</w:t>
      </w:r>
      <w:r w:rsidRPr="001D4071">
        <w:rPr>
          <w:sz w:val="20"/>
        </w:rPr>
        <w:t xml:space="preserve"> March 21</w:t>
      </w:r>
      <w:r w:rsidRPr="004E05D2">
        <w:rPr>
          <w:sz w:val="20"/>
        </w:rPr>
        <w:t>, 2017</w:t>
      </w:r>
      <w:r w:rsidRPr="00AA304C">
        <w:rPr>
          <w:sz w:val="20"/>
        </w:rPr>
        <w:t>)</w:t>
      </w:r>
      <w:r w:rsidRPr="00AA304C">
        <w:rPr>
          <w:rStyle w:val="Footnote"/>
          <w:sz w:val="20"/>
        </w:rPr>
        <w:t xml:space="preserve">.  </w:t>
      </w:r>
      <w:r>
        <w:rPr>
          <w:rStyle w:val="Footnote"/>
          <w:sz w:val="20"/>
        </w:rPr>
        <w:t>While economic census data for 2012 are available, e</w:t>
      </w:r>
      <w:r w:rsidRPr="00AA304C">
        <w:rPr>
          <w:rStyle w:val="Footnote"/>
          <w:sz w:val="20"/>
        </w:rPr>
        <w:t xml:space="preserve">conomic census data for 2017 </w:t>
      </w:r>
      <w:r>
        <w:rPr>
          <w:rStyle w:val="Footnote"/>
          <w:sz w:val="20"/>
        </w:rPr>
        <w:t>are</w:t>
      </w:r>
      <w:r w:rsidRPr="00AA304C">
        <w:rPr>
          <w:rStyle w:val="Footnote"/>
          <w:sz w:val="20"/>
        </w:rPr>
        <w:t xml:space="preserve"> not currently available.  </w:t>
      </w:r>
    </w:p>
  </w:footnote>
  <w:footnote w:id="110">
    <w:p w:rsidR="00FE2243" w:rsidRPr="00AA304C" w:rsidRDefault="00FE2243" w:rsidP="00216936">
      <w:pPr>
        <w:pStyle w:val="FootnoteText"/>
      </w:pPr>
      <w:r w:rsidRPr="00AA304C">
        <w:rPr>
          <w:rStyle w:val="FootnoteReference"/>
        </w:rPr>
        <w:footnoteRef/>
      </w:r>
      <w:r w:rsidRPr="00AA304C">
        <w:t xml:space="preserve"> U.S. </w:t>
      </w:r>
      <w:r>
        <w:t xml:space="preserve">Employment </w:t>
      </w:r>
      <w:r w:rsidRPr="00AA304C">
        <w:t xml:space="preserve">Size of Firms Census Table, </w:t>
      </w:r>
      <w:hyperlink r:id="rId28" w:history="1">
        <w:r w:rsidRPr="005008B3">
          <w:rPr>
            <w:rStyle w:val="Hyperlink"/>
          </w:rPr>
          <w:t>https://factfinder.census.gov/faces/tableservices/jsf/pages/productview.xhtml?pid=ECN_2012_US_51SSSZ5&amp;prodType=table</w:t>
        </w:r>
      </w:hyperlink>
      <w:r>
        <w:t xml:space="preserve">  (</w:t>
      </w:r>
      <w:r w:rsidRPr="00AA304C">
        <w:t xml:space="preserve">last visited </w:t>
      </w:r>
      <w:r>
        <w:t>March 21</w:t>
      </w:r>
      <w:r w:rsidRPr="00AA304C">
        <w:t>, 2017).</w:t>
      </w:r>
    </w:p>
  </w:footnote>
  <w:footnote w:id="111">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12">
    <w:p w:rsidR="00FE2243" w:rsidRPr="00AA304C" w:rsidRDefault="00FE2243" w:rsidP="00216936">
      <w:pPr>
        <w:pStyle w:val="FootnoteText"/>
      </w:pPr>
      <w:r w:rsidRPr="00AA304C">
        <w:rPr>
          <w:rStyle w:val="FootnoteReference"/>
        </w:rPr>
        <w:footnoteRef/>
      </w:r>
      <w:r w:rsidRPr="00AA304C">
        <w:t xml:space="preserve"> U.S. Census Bureau, 20</w:t>
      </w:r>
      <w:r>
        <w:t>12 NAICS Definition</w:t>
      </w:r>
      <w:r w:rsidRPr="00AA304C">
        <w:t xml:space="preserve">, </w:t>
      </w:r>
      <w:hyperlink r:id="rId29" w:history="1">
        <w:r w:rsidRPr="005008B3">
          <w:rPr>
            <w:rStyle w:val="Hyperlink"/>
          </w:rPr>
          <w:t>http://www.census.gov/cgi-bin/sssd/naics/naicsrch?code=517919&amp;search=2012%20NAICS%20Search</w:t>
        </w:r>
      </w:hyperlink>
      <w:r>
        <w:t xml:space="preserve"> </w:t>
      </w:r>
      <w:r w:rsidRPr="00AA304C">
        <w:t xml:space="preserve">(last visited </w:t>
      </w:r>
      <w:r>
        <w:t>March 21, 2017</w:t>
      </w:r>
      <w:r w:rsidRPr="00AA304C">
        <w:t>)</w:t>
      </w:r>
      <w:r>
        <w:t xml:space="preserve">; </w:t>
      </w:r>
      <w:r w:rsidRPr="00730350">
        <w:rPr>
          <w:i/>
        </w:rPr>
        <w:t>see also</w:t>
      </w:r>
      <w:r>
        <w:t xml:space="preserve"> </w:t>
      </w:r>
      <w:r w:rsidRPr="00AA304C">
        <w:t>U.S. Census Bureau, 20</w:t>
      </w:r>
      <w:r>
        <w:t>17 NAICS Definition,</w:t>
      </w:r>
      <w:r w:rsidRPr="005F526F">
        <w:t xml:space="preserve"> </w:t>
      </w:r>
      <w:hyperlink r:id="rId30" w:history="1">
        <w:r w:rsidRPr="005008B3">
          <w:rPr>
            <w:rStyle w:val="Hyperlink"/>
          </w:rPr>
          <w:t>http://www.census.gov/cgi-bin/sssd/naics/naicsrch?code=517919&amp;search=2017%20NAICS%20Search</w:t>
        </w:r>
      </w:hyperlink>
      <w:r>
        <w:t xml:space="preserve"> </w:t>
      </w:r>
      <w:r w:rsidRPr="00AA304C">
        <w:t xml:space="preserve">(last visited </w:t>
      </w:r>
      <w:r>
        <w:t>March 21, 2017</w:t>
      </w:r>
      <w:r w:rsidRPr="00AA304C">
        <w:t xml:space="preserve">).  </w:t>
      </w:r>
    </w:p>
  </w:footnote>
  <w:footnote w:id="113">
    <w:p w:rsidR="00FE2243" w:rsidRPr="00AA304C" w:rsidRDefault="00FE2243" w:rsidP="00216936">
      <w:pPr>
        <w:pStyle w:val="FootnoteText"/>
      </w:pPr>
      <w:r w:rsidRPr="00AA304C">
        <w:rPr>
          <w:rStyle w:val="FootnoteReference"/>
        </w:rPr>
        <w:footnoteRef/>
      </w:r>
      <w:r w:rsidRPr="00AA304C">
        <w:t xml:space="preserve"> 13 </w:t>
      </w:r>
      <w:r>
        <w:t>CFR</w:t>
      </w:r>
      <w:r w:rsidRPr="00AA304C">
        <w:t xml:space="preserve"> § 121.201, NAICS code 517919.</w:t>
      </w:r>
    </w:p>
  </w:footnote>
  <w:footnote w:id="114">
    <w:p w:rsidR="00FE2243" w:rsidRPr="00AA304C" w:rsidRDefault="00FE2243" w:rsidP="00216936">
      <w:pPr>
        <w:pStyle w:val="FootnoteText"/>
      </w:pPr>
      <w:r w:rsidRPr="00AA304C">
        <w:rPr>
          <w:rStyle w:val="FootnoteReference"/>
        </w:rPr>
        <w:footnoteRef/>
      </w:r>
      <w:r w:rsidRPr="00AA304C">
        <w:t xml:space="preserve"> U.S. </w:t>
      </w:r>
      <w:r>
        <w:t xml:space="preserve">Receipts </w:t>
      </w:r>
      <w:r w:rsidRPr="00AA304C">
        <w:t>Size of Firms Census Table</w:t>
      </w:r>
      <w:r>
        <w:t xml:space="preserve"> (Jan. 8, 2016), </w:t>
      </w:r>
      <w:hyperlink r:id="rId31" w:history="1">
        <w:r w:rsidRPr="005008B3">
          <w:rPr>
            <w:rStyle w:val="Hyperlink"/>
          </w:rPr>
          <w:t>https://factfinder.census.gov/faces/tableservices/jsf/pages/productview.xhtml?pid=ECN_2012_US_51SSSZ4&amp;prodType=table</w:t>
        </w:r>
      </w:hyperlink>
      <w:r>
        <w:t>.</w:t>
      </w:r>
    </w:p>
  </w:footnote>
  <w:footnote w:id="115">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16">
    <w:p w:rsidR="00FE2243" w:rsidRPr="00AA304C" w:rsidRDefault="00FE2243" w:rsidP="00216936">
      <w:pPr>
        <w:pStyle w:val="FootnoteText"/>
      </w:pPr>
      <w:r w:rsidRPr="00AA304C">
        <w:rPr>
          <w:rStyle w:val="FootnoteReference"/>
        </w:rPr>
        <w:footnoteRef/>
      </w:r>
      <w:r w:rsidRPr="00AA304C">
        <w:t xml:space="preserve"> </w:t>
      </w:r>
      <w:r w:rsidRPr="00AA304C">
        <w:rPr>
          <w:i/>
        </w:rPr>
        <w:t>Section 43.62 Filing Manual</w:t>
      </w:r>
      <w:r w:rsidRPr="00AA304C">
        <w:t xml:space="preserve"> at 16</w:t>
      </w:r>
      <w:r>
        <w:t>, para. 74</w:t>
      </w:r>
      <w:r w:rsidRPr="00AA304C">
        <w:t>.</w:t>
      </w:r>
    </w:p>
  </w:footnote>
  <w:footnote w:id="117">
    <w:p w:rsidR="00FE2243" w:rsidRPr="00AA304C" w:rsidRDefault="00FE2243" w:rsidP="00216936">
      <w:pPr>
        <w:pStyle w:val="FootnoteText"/>
        <w:rPr>
          <w:i/>
        </w:rPr>
      </w:pPr>
      <w:r w:rsidRPr="00AA304C">
        <w:rPr>
          <w:rStyle w:val="FootnoteReference"/>
        </w:rPr>
        <w:footnoteRef/>
      </w:r>
      <w:r w:rsidRPr="00AA304C">
        <w:t xml:space="preserve"> </w:t>
      </w:r>
      <w:r w:rsidRPr="00AA304C">
        <w:rPr>
          <w:i/>
        </w:rPr>
        <w:t>Id.</w:t>
      </w:r>
    </w:p>
  </w:footnote>
  <w:footnote w:id="118">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19">
    <w:p w:rsidR="00FE2243" w:rsidRDefault="00FE2243" w:rsidP="00216936">
      <w:pPr>
        <w:pStyle w:val="FootnoteText"/>
      </w:pPr>
      <w:r>
        <w:rPr>
          <w:rStyle w:val="FootnoteReference"/>
        </w:rPr>
        <w:footnoteRef/>
      </w:r>
      <w:r>
        <w:t xml:space="preserve"> 47 CFR </w:t>
      </w:r>
      <w:r w:rsidRPr="00AA304C">
        <w:rPr>
          <w:rStyle w:val="Footnote"/>
        </w:rPr>
        <w:t>§</w:t>
      </w:r>
      <w:r>
        <w:t xml:space="preserve"> 43.62(a).</w:t>
      </w:r>
    </w:p>
  </w:footnote>
  <w:footnote w:id="120">
    <w:p w:rsidR="00FE2243" w:rsidRPr="00867E22" w:rsidRDefault="00FE2243" w:rsidP="00216936">
      <w:pPr>
        <w:pStyle w:val="FootnoteText"/>
      </w:pPr>
      <w:r w:rsidRPr="00AA304C">
        <w:rPr>
          <w:rStyle w:val="FootnoteReference"/>
        </w:rPr>
        <w:footnoteRef/>
      </w:r>
      <w:r w:rsidRPr="00AA304C">
        <w:t xml:space="preserve"> </w:t>
      </w:r>
      <w:r>
        <w:t xml:space="preserve">Data current as of February 17, 2017.  </w:t>
      </w:r>
      <w:r w:rsidRPr="009E2135">
        <w:t xml:space="preserve">The </w:t>
      </w:r>
      <w:r w:rsidRPr="009E2135">
        <w:rPr>
          <w:i/>
        </w:rPr>
        <w:t>2014 U.S. International Circuit Capacity Report</w:t>
      </w:r>
      <w:r w:rsidRPr="009E2135">
        <w:t xml:space="preserve"> lists 84 U.S. international carriers that filed Circuit Capacity Reports as of the date that the </w:t>
      </w:r>
      <w:r w:rsidRPr="00625690">
        <w:rPr>
          <w:i/>
        </w:rPr>
        <w:t>Report</w:t>
      </w:r>
      <w:r w:rsidRPr="009E2135">
        <w:t xml:space="preserve"> was released.  </w:t>
      </w:r>
      <w:r w:rsidRPr="009E2135">
        <w:rPr>
          <w:i/>
        </w:rPr>
        <w:t xml:space="preserve">See </w:t>
      </w:r>
      <w:r w:rsidRPr="009E2135">
        <w:t xml:space="preserve">FCC, International Bureau, 2014 U.S. International Circuit Capacity Report </w:t>
      </w:r>
      <w:r>
        <w:t>(IB</w:t>
      </w:r>
      <w:r w:rsidRPr="009E2135">
        <w:t xml:space="preserve"> 2016), </w:t>
      </w:r>
      <w:hyperlink r:id="rId32" w:history="1">
        <w:r w:rsidRPr="009E2135">
          <w:rPr>
            <w:rStyle w:val="Hyperlink"/>
          </w:rPr>
          <w:t>https://apps.fcc.gov/edocs_public/attachmatch/DOC-337257A2.pdf</w:t>
        </w:r>
      </w:hyperlink>
      <w:r w:rsidRPr="009E2135">
        <w:t xml:space="preserve">. </w:t>
      </w:r>
      <w:r>
        <w:t xml:space="preserve">     </w:t>
      </w:r>
    </w:p>
  </w:footnote>
  <w:footnote w:id="121">
    <w:p w:rsidR="00FE2243" w:rsidRPr="00AA304C" w:rsidRDefault="00FE2243" w:rsidP="00216936">
      <w:pPr>
        <w:spacing w:after="120" w:line="120" w:lineRule="atLeast"/>
        <w:rPr>
          <w:sz w:val="20"/>
        </w:rPr>
      </w:pPr>
      <w:r w:rsidRPr="00AA304C">
        <w:rPr>
          <w:rStyle w:val="Footnote"/>
          <w:sz w:val="20"/>
          <w:vertAlign w:val="superscript"/>
        </w:rPr>
        <w:footnoteRef/>
      </w:r>
      <w:r w:rsidRPr="00AA304C">
        <w:rPr>
          <w:rStyle w:val="Heading2CharChar2"/>
          <w:sz w:val="20"/>
        </w:rPr>
        <w:t xml:space="preserve"> </w:t>
      </w:r>
      <w:r w:rsidRPr="00AA304C">
        <w:rPr>
          <w:rStyle w:val="Footnote"/>
          <w:sz w:val="20"/>
        </w:rPr>
        <w:t xml:space="preserve">13 </w:t>
      </w:r>
      <w:r>
        <w:rPr>
          <w:rStyle w:val="Footnote"/>
          <w:sz w:val="20"/>
        </w:rPr>
        <w:t>CFR</w:t>
      </w:r>
      <w:r w:rsidRPr="00AA304C">
        <w:rPr>
          <w:rStyle w:val="Footnote"/>
          <w:sz w:val="20"/>
        </w:rPr>
        <w:t xml:space="preserve"> § 121.201, NAICS code 517110.</w:t>
      </w:r>
      <w:r>
        <w:rPr>
          <w:rStyle w:val="Footnote"/>
          <w:sz w:val="20"/>
        </w:rPr>
        <w:t xml:space="preserve">  </w:t>
      </w:r>
      <w:r w:rsidRPr="00F2343B">
        <w:rPr>
          <w:rStyle w:val="Footnote"/>
          <w:sz w:val="20"/>
        </w:rPr>
        <w:t xml:space="preserve">The 2017 NAICS code for Wired Telecommunications Carriers is 517311.  </w:t>
      </w:r>
      <w:r w:rsidRPr="00F2343B">
        <w:rPr>
          <w:rStyle w:val="Footnote"/>
          <w:i/>
          <w:sz w:val="20"/>
        </w:rPr>
        <w:t>See</w:t>
      </w:r>
      <w:r w:rsidRPr="00F2343B">
        <w:rPr>
          <w:rStyle w:val="Footnote"/>
          <w:sz w:val="20"/>
        </w:rPr>
        <w:t xml:space="preserve"> </w:t>
      </w:r>
      <w:r w:rsidRPr="00F2343B">
        <w:rPr>
          <w:sz w:val="20"/>
        </w:rPr>
        <w:t xml:space="preserve">U.S. Census Bureau, </w:t>
      </w:r>
      <w:r w:rsidRPr="00F2343B">
        <w:rPr>
          <w:i/>
          <w:sz w:val="20"/>
        </w:rPr>
        <w:t>2017 NAICS</w:t>
      </w:r>
      <w:r w:rsidRPr="00AA304C">
        <w:rPr>
          <w:i/>
          <w:sz w:val="20"/>
        </w:rPr>
        <w:t xml:space="preserve"> Definition</w:t>
      </w:r>
      <w:r w:rsidRPr="00AA304C">
        <w:rPr>
          <w:sz w:val="20"/>
        </w:rPr>
        <w:t xml:space="preserve">, </w:t>
      </w:r>
      <w:hyperlink r:id="rId33" w:history="1">
        <w:r w:rsidRPr="00AA304C">
          <w:rPr>
            <w:rStyle w:val="Hyperlink"/>
            <w:sz w:val="20"/>
          </w:rPr>
          <w:t>http://www.census.gov/cgi-bin/sssd/naics/naicsrch?code=517311&amp;search=2017%20NAICS%20Search</w:t>
        </w:r>
      </w:hyperlink>
      <w:r w:rsidRPr="00AA304C">
        <w:rPr>
          <w:sz w:val="20"/>
        </w:rPr>
        <w:t xml:space="preserve"> (last visited </w:t>
      </w:r>
      <w:r>
        <w:rPr>
          <w:sz w:val="20"/>
        </w:rPr>
        <w:t>March 21</w:t>
      </w:r>
      <w:r w:rsidRPr="00AA304C">
        <w:rPr>
          <w:sz w:val="20"/>
        </w:rPr>
        <w:t>, 2017); U.S. Census Bureau,</w:t>
      </w:r>
      <w:r w:rsidRPr="00AA304C">
        <w:rPr>
          <w:rStyle w:val="Footnote"/>
          <w:i/>
          <w:sz w:val="20"/>
        </w:rPr>
        <w:t xml:space="preserve"> Frequently Asked Questions (FAQs)</w:t>
      </w:r>
      <w:r w:rsidRPr="00AA304C">
        <w:rPr>
          <w:rStyle w:val="Footnote"/>
          <w:sz w:val="20"/>
        </w:rPr>
        <w:t xml:space="preserve">, </w:t>
      </w:r>
      <w:hyperlink r:id="rId34" w:history="1">
        <w:r w:rsidRPr="00AA304C">
          <w:rPr>
            <w:rStyle w:val="Hyperlink"/>
            <w:sz w:val="20"/>
          </w:rPr>
          <w:t>https://www.census.gov/eos/www/naics/faqs/faqs.html</w:t>
        </w:r>
      </w:hyperlink>
      <w:r>
        <w:rPr>
          <w:rStyle w:val="Hyperlink"/>
          <w:sz w:val="20"/>
        </w:rPr>
        <w:t xml:space="preserve"> </w:t>
      </w:r>
      <w:r>
        <w:rPr>
          <w:sz w:val="20"/>
        </w:rPr>
        <w:t>(last visited March 21</w:t>
      </w:r>
      <w:r w:rsidRPr="00AA304C">
        <w:rPr>
          <w:sz w:val="20"/>
        </w:rPr>
        <w:t>, 2017</w:t>
      </w:r>
      <w:r>
        <w:rPr>
          <w:sz w:val="20"/>
        </w:rPr>
        <w:t>)</w:t>
      </w:r>
      <w:r w:rsidRPr="00AA304C">
        <w:rPr>
          <w:rStyle w:val="Footnote"/>
          <w:sz w:val="20"/>
        </w:rPr>
        <w:t xml:space="preserve">.  </w:t>
      </w:r>
      <w:r>
        <w:rPr>
          <w:rStyle w:val="Footnote"/>
          <w:sz w:val="20"/>
        </w:rPr>
        <w:t>While economic census data are available for 2012, e</w:t>
      </w:r>
      <w:r w:rsidRPr="00AA304C">
        <w:rPr>
          <w:rStyle w:val="Footnote"/>
          <w:sz w:val="20"/>
        </w:rPr>
        <w:t xml:space="preserve">conomic census data for 2017 </w:t>
      </w:r>
      <w:r>
        <w:rPr>
          <w:rStyle w:val="Footnote"/>
          <w:sz w:val="20"/>
        </w:rPr>
        <w:t>are</w:t>
      </w:r>
      <w:r w:rsidRPr="00AA304C">
        <w:rPr>
          <w:rStyle w:val="Footnote"/>
          <w:sz w:val="20"/>
        </w:rPr>
        <w:t xml:space="preserve"> not currently available.  </w:t>
      </w:r>
    </w:p>
  </w:footnote>
  <w:footnote w:id="122">
    <w:p w:rsidR="00FE2243" w:rsidRDefault="00FE2243" w:rsidP="00216936">
      <w:pPr>
        <w:pStyle w:val="FootnoteText"/>
      </w:pPr>
      <w:r>
        <w:rPr>
          <w:rStyle w:val="FootnoteReference"/>
        </w:rPr>
        <w:footnoteRef/>
      </w:r>
      <w:r>
        <w:t xml:space="preserve"> </w:t>
      </w:r>
      <w:r w:rsidRPr="00AA304C">
        <w:rPr>
          <w:i/>
        </w:rPr>
        <w:t>Section 43.62 Filing Manual</w:t>
      </w:r>
      <w:r w:rsidRPr="00AA304C">
        <w:t xml:space="preserve"> at </w:t>
      </w:r>
      <w:r>
        <w:t>2</w:t>
      </w:r>
      <w:r w:rsidRPr="00AA304C">
        <w:t>6</w:t>
      </w:r>
      <w:r>
        <w:t>, para. 135.</w:t>
      </w:r>
    </w:p>
  </w:footnote>
  <w:footnote w:id="123">
    <w:p w:rsidR="00FE2243" w:rsidRPr="00AA304C" w:rsidRDefault="00FE2243" w:rsidP="00216936">
      <w:pPr>
        <w:pStyle w:val="FootnoteText"/>
      </w:pPr>
      <w:r w:rsidRPr="00AA304C">
        <w:rPr>
          <w:rStyle w:val="FootnoteReference"/>
        </w:rPr>
        <w:footnoteRef/>
      </w:r>
      <w:r w:rsidRPr="00AA304C">
        <w:rPr>
          <w:lang w:val="fr-FR"/>
        </w:rPr>
        <w:t xml:space="preserve"> 13 </w:t>
      </w:r>
      <w:r>
        <w:rPr>
          <w:lang w:val="fr-FR"/>
        </w:rPr>
        <w:t>CFR</w:t>
      </w:r>
      <w:r w:rsidRPr="00AA304C">
        <w:rPr>
          <w:lang w:val="fr-FR"/>
        </w:rPr>
        <w:t xml:space="preserve"> § 121.201, NAICS code 517410.</w:t>
      </w:r>
    </w:p>
  </w:footnote>
  <w:footnote w:id="124">
    <w:p w:rsidR="00FE2243" w:rsidRPr="00AA304C" w:rsidRDefault="00FE2243" w:rsidP="00216936">
      <w:pPr>
        <w:pStyle w:val="FootnoteText"/>
      </w:pPr>
      <w:r w:rsidRPr="00AA304C">
        <w:rPr>
          <w:rStyle w:val="FootnoteReference"/>
        </w:rPr>
        <w:footnoteRef/>
      </w:r>
      <w:r w:rsidRPr="00AA304C">
        <w:rPr>
          <w:lang w:val="fr-FR"/>
        </w:rPr>
        <w:t xml:space="preserve"> 13 </w:t>
      </w:r>
      <w:r>
        <w:rPr>
          <w:lang w:val="fr-FR"/>
        </w:rPr>
        <w:t>CFR</w:t>
      </w:r>
      <w:r w:rsidRPr="00AA304C">
        <w:rPr>
          <w:lang w:val="fr-FR"/>
        </w:rPr>
        <w:t xml:space="preserve"> § 121.201, NAICS code 517919.</w:t>
      </w:r>
    </w:p>
  </w:footnote>
  <w:footnote w:id="125">
    <w:p w:rsidR="00FE2243" w:rsidRPr="00AA304C" w:rsidRDefault="00FE2243" w:rsidP="00216936">
      <w:pPr>
        <w:pStyle w:val="FootnoteText"/>
      </w:pPr>
      <w:r w:rsidRPr="00AA304C">
        <w:rPr>
          <w:rStyle w:val="FootnoteReference"/>
        </w:rPr>
        <w:footnoteRef/>
      </w:r>
      <w:r w:rsidRPr="00AA304C">
        <w:t xml:space="preserve"> U.S. Census Bureau, </w:t>
      </w:r>
      <w:r w:rsidRPr="00C93A76">
        <w:rPr>
          <w:i/>
        </w:rPr>
        <w:t>2012</w:t>
      </w:r>
      <w:r>
        <w:rPr>
          <w:i/>
        </w:rPr>
        <w:t xml:space="preserve"> NAICS Definition</w:t>
      </w:r>
      <w:r w:rsidRPr="00AA304C">
        <w:t xml:space="preserve">, </w:t>
      </w:r>
      <w:hyperlink r:id="rId35" w:history="1">
        <w:r w:rsidRPr="005008B3">
          <w:rPr>
            <w:rStyle w:val="Hyperlink"/>
          </w:rPr>
          <w:t>http://www.census.gov/cgi-bin/sssd/naics/naicsrch?code=517410&amp;search=2012%20NAICS%20Search</w:t>
        </w:r>
      </w:hyperlink>
      <w:r>
        <w:t xml:space="preserve"> </w:t>
      </w:r>
      <w:r w:rsidRPr="00AA304C">
        <w:t>(last visited</w:t>
      </w:r>
      <w:r w:rsidRPr="004E05D2">
        <w:t xml:space="preserve"> </w:t>
      </w:r>
      <w:r>
        <w:t xml:space="preserve">March 21, 2017); </w:t>
      </w:r>
      <w:r w:rsidRPr="005F3C28">
        <w:rPr>
          <w:i/>
        </w:rPr>
        <w:t>see also</w:t>
      </w:r>
      <w:r>
        <w:t xml:space="preserve"> </w:t>
      </w:r>
      <w:r w:rsidRPr="00AA304C">
        <w:t xml:space="preserve">U.S. Census Bureau, </w:t>
      </w:r>
      <w:r w:rsidRPr="00ED70EF">
        <w:rPr>
          <w:i/>
        </w:rPr>
        <w:t>201</w:t>
      </w:r>
      <w:r>
        <w:rPr>
          <w:i/>
        </w:rPr>
        <w:t>7</w:t>
      </w:r>
      <w:r w:rsidRPr="00ED70EF">
        <w:rPr>
          <w:i/>
        </w:rPr>
        <w:t xml:space="preserve"> NAICS Definition</w:t>
      </w:r>
      <w:r>
        <w:t>,</w:t>
      </w:r>
      <w:r w:rsidRPr="005F3C28">
        <w:t xml:space="preserve"> </w:t>
      </w:r>
      <w:hyperlink r:id="rId36" w:history="1">
        <w:r w:rsidRPr="00B254B2">
          <w:rPr>
            <w:rStyle w:val="Hyperlink"/>
          </w:rPr>
          <w:t>http://www.census.gov/cgi-bin/sssd/naics/naicsrch?code=517410&amp;search=2017%20NAICS%20Search</w:t>
        </w:r>
      </w:hyperlink>
      <w:r>
        <w:t xml:space="preserve"> </w:t>
      </w:r>
      <w:r w:rsidRPr="00AA304C">
        <w:t>(last visited</w:t>
      </w:r>
      <w:r w:rsidRPr="004E05D2">
        <w:t xml:space="preserve"> </w:t>
      </w:r>
      <w:r>
        <w:t>March 21, 2017</w:t>
      </w:r>
      <w:r w:rsidRPr="00AA304C">
        <w:t>).</w:t>
      </w:r>
    </w:p>
  </w:footnote>
  <w:footnote w:id="126">
    <w:p w:rsidR="00FE2243" w:rsidRPr="00AA304C" w:rsidRDefault="00FE2243" w:rsidP="00216936">
      <w:pPr>
        <w:pStyle w:val="FootnoteText"/>
      </w:pPr>
      <w:r w:rsidRPr="00AA304C">
        <w:rPr>
          <w:rStyle w:val="FootnoteReference"/>
        </w:rPr>
        <w:footnoteRef/>
      </w:r>
      <w:r w:rsidRPr="00AA304C">
        <w:t xml:space="preserve"> </w:t>
      </w:r>
      <w:r>
        <w:t xml:space="preserve">U.S. Census Bureau, American FactFinder, </w:t>
      </w:r>
      <w:r w:rsidRPr="00921171">
        <w:rPr>
          <w:i/>
        </w:rPr>
        <w:t>Receipts Size of Firms for the U.S.: 2012</w:t>
      </w:r>
      <w:r>
        <w:rPr>
          <w:i/>
        </w:rPr>
        <w:t xml:space="preserve"> </w:t>
      </w:r>
      <w:r>
        <w:t xml:space="preserve">(Jan. 8, 2016), </w:t>
      </w:r>
      <w:hyperlink r:id="rId37" w:history="1">
        <w:r w:rsidRPr="005008B3">
          <w:rPr>
            <w:rStyle w:val="Hyperlink"/>
          </w:rPr>
          <w:t>https://factfinder.census.gov/faces/tableservices/jsf/pages/productview.xhtml?pid=ECN_2012_US_51SSSZ4&amp;prodType=table</w:t>
        </w:r>
      </w:hyperlink>
      <w:r>
        <w:t xml:space="preserve"> </w:t>
      </w:r>
      <w:r w:rsidRPr="00AA304C">
        <w:t xml:space="preserve">(U.S. </w:t>
      </w:r>
      <w:r>
        <w:t xml:space="preserve">Receipts </w:t>
      </w:r>
      <w:r w:rsidRPr="00AA304C">
        <w:t>Size of Firms Census Table).</w:t>
      </w:r>
    </w:p>
  </w:footnote>
  <w:footnote w:id="127">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28">
    <w:p w:rsidR="00FE2243" w:rsidRPr="00AA304C" w:rsidRDefault="00FE2243" w:rsidP="00216936">
      <w:pPr>
        <w:pStyle w:val="FootnoteText"/>
      </w:pPr>
      <w:r w:rsidRPr="00AA304C">
        <w:rPr>
          <w:rStyle w:val="FootnoteReference"/>
        </w:rPr>
        <w:footnoteRef/>
      </w:r>
      <w:r w:rsidRPr="00AA304C">
        <w:t xml:space="preserve"> U.S. Census Bureau, </w:t>
      </w:r>
      <w:r w:rsidRPr="00ED70EF">
        <w:rPr>
          <w:i/>
        </w:rPr>
        <w:t>2012 NAICS Definition</w:t>
      </w:r>
      <w:r w:rsidRPr="00AA304C">
        <w:t xml:space="preserve">, </w:t>
      </w:r>
      <w:hyperlink r:id="rId38" w:history="1">
        <w:r w:rsidRPr="005008B3">
          <w:rPr>
            <w:rStyle w:val="Hyperlink"/>
          </w:rPr>
          <w:t>http://www.census.gov/cgi-bin/sssd/naics/naicsrch?code=517919&amp;search=2012%20NAICS%20Search</w:t>
        </w:r>
      </w:hyperlink>
      <w:r>
        <w:t xml:space="preserve"> </w:t>
      </w:r>
      <w:r w:rsidRPr="00AA304C">
        <w:t>(last visited</w:t>
      </w:r>
      <w:r w:rsidRPr="004E05D2">
        <w:t xml:space="preserve"> </w:t>
      </w:r>
      <w:r>
        <w:t>March 21, 2017</w:t>
      </w:r>
      <w:r w:rsidRPr="00AA304C">
        <w:t>)</w:t>
      </w:r>
      <w:r>
        <w:t xml:space="preserve">; </w:t>
      </w:r>
      <w:r w:rsidRPr="005F3C28">
        <w:rPr>
          <w:i/>
        </w:rPr>
        <w:t>see also</w:t>
      </w:r>
      <w:r>
        <w:t xml:space="preserve"> </w:t>
      </w:r>
      <w:r w:rsidRPr="00AA304C">
        <w:t xml:space="preserve">U.S. Census Bureau, </w:t>
      </w:r>
      <w:r w:rsidRPr="00ED70EF">
        <w:rPr>
          <w:i/>
        </w:rPr>
        <w:t>201</w:t>
      </w:r>
      <w:r>
        <w:rPr>
          <w:i/>
        </w:rPr>
        <w:t>7</w:t>
      </w:r>
      <w:r w:rsidRPr="00ED70EF">
        <w:rPr>
          <w:i/>
        </w:rPr>
        <w:t xml:space="preserve"> NAICS Definition</w:t>
      </w:r>
      <w:r>
        <w:t xml:space="preserve">, </w:t>
      </w:r>
      <w:hyperlink r:id="rId39" w:history="1">
        <w:r w:rsidRPr="00B254B2">
          <w:rPr>
            <w:rStyle w:val="Hyperlink"/>
          </w:rPr>
          <w:t>http://www.census.gov/cgi-bin/sssd/naics/naicsrch?code=517919&amp;search=2017%20NAICS%20Search</w:t>
        </w:r>
      </w:hyperlink>
      <w:r>
        <w:t xml:space="preserve"> </w:t>
      </w:r>
      <w:r w:rsidRPr="00AA304C">
        <w:t>(last visited</w:t>
      </w:r>
      <w:r w:rsidRPr="004E05D2">
        <w:t xml:space="preserve"> </w:t>
      </w:r>
      <w:r>
        <w:t>March 21, 2017</w:t>
      </w:r>
      <w:r w:rsidRPr="00AA304C">
        <w:t>)</w:t>
      </w:r>
      <w:r>
        <w:t>.</w:t>
      </w:r>
    </w:p>
  </w:footnote>
  <w:footnote w:id="129">
    <w:p w:rsidR="00FE2243" w:rsidRPr="00AA304C" w:rsidRDefault="00FE2243" w:rsidP="00216936">
      <w:pPr>
        <w:pStyle w:val="FootnoteText"/>
      </w:pPr>
      <w:r w:rsidRPr="00AA304C">
        <w:rPr>
          <w:rStyle w:val="FootnoteReference"/>
        </w:rPr>
        <w:footnoteRef/>
      </w:r>
      <w:r w:rsidRPr="00AA304C">
        <w:t xml:space="preserve"> U.S. </w:t>
      </w:r>
      <w:r>
        <w:t xml:space="preserve">Receipts </w:t>
      </w:r>
      <w:r w:rsidRPr="00AA304C">
        <w:t>Size of Firms Census Table</w:t>
      </w:r>
      <w:r>
        <w:t xml:space="preserve"> (Jan. 8, 2016), </w:t>
      </w:r>
      <w:hyperlink r:id="rId40" w:history="1">
        <w:r w:rsidRPr="005008B3">
          <w:rPr>
            <w:rStyle w:val="Hyperlink"/>
          </w:rPr>
          <w:t>https://factfinder.census.gov/faces/tableservices/jsf/pages/productview.xhtml?pid=ECN_2012_US_51SSSZ4&amp;prodType=table</w:t>
        </w:r>
      </w:hyperlink>
      <w:r>
        <w:t>.</w:t>
      </w:r>
    </w:p>
  </w:footnote>
  <w:footnote w:id="130">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31">
    <w:p w:rsidR="00FE2243" w:rsidRDefault="00FE2243" w:rsidP="00216936">
      <w:pPr>
        <w:pStyle w:val="FootnoteText"/>
      </w:pPr>
      <w:r>
        <w:rPr>
          <w:rStyle w:val="FootnoteReference"/>
        </w:rPr>
        <w:footnoteRef/>
      </w:r>
      <w:r>
        <w:t xml:space="preserve"> 47 CFR </w:t>
      </w:r>
      <w:r w:rsidRPr="00AA304C">
        <w:rPr>
          <w:rStyle w:val="Footnote"/>
        </w:rPr>
        <w:t>§</w:t>
      </w:r>
      <w:r>
        <w:rPr>
          <w:rStyle w:val="Footnote"/>
        </w:rPr>
        <w:t xml:space="preserve"> 43.62(a).</w:t>
      </w:r>
    </w:p>
  </w:footnote>
  <w:footnote w:id="132">
    <w:p w:rsidR="00FE2243" w:rsidRPr="00AA304C" w:rsidRDefault="00FE2243" w:rsidP="00216936">
      <w:pPr>
        <w:spacing w:after="120" w:line="120" w:lineRule="atLeast"/>
        <w:rPr>
          <w:sz w:val="20"/>
        </w:rPr>
      </w:pPr>
      <w:r w:rsidRPr="00AA304C">
        <w:rPr>
          <w:rStyle w:val="Footnote"/>
          <w:sz w:val="20"/>
          <w:vertAlign w:val="superscript"/>
        </w:rPr>
        <w:footnoteRef/>
      </w:r>
      <w:r w:rsidRPr="00AA304C">
        <w:rPr>
          <w:rStyle w:val="Heading2CharChar2"/>
          <w:sz w:val="20"/>
          <w:vertAlign w:val="superscript"/>
        </w:rPr>
        <w:t xml:space="preserve"> </w:t>
      </w:r>
      <w:r w:rsidRPr="00AA304C">
        <w:rPr>
          <w:rStyle w:val="Footnote"/>
          <w:sz w:val="20"/>
        </w:rPr>
        <w:t xml:space="preserve">13 </w:t>
      </w:r>
      <w:r>
        <w:rPr>
          <w:rStyle w:val="Footnote"/>
          <w:sz w:val="20"/>
        </w:rPr>
        <w:t>CFR</w:t>
      </w:r>
      <w:r w:rsidRPr="00AA304C">
        <w:rPr>
          <w:rStyle w:val="Footnote"/>
          <w:sz w:val="20"/>
        </w:rPr>
        <w:t xml:space="preserve"> § 121.201, NAICS code 517110.</w:t>
      </w:r>
    </w:p>
  </w:footnote>
  <w:footnote w:id="133">
    <w:p w:rsidR="00FE2243" w:rsidRPr="00AA304C" w:rsidRDefault="00FE2243" w:rsidP="00216936">
      <w:pPr>
        <w:pStyle w:val="FootnoteText"/>
      </w:pPr>
      <w:r w:rsidRPr="00AA304C">
        <w:rPr>
          <w:rStyle w:val="FootnoteReference"/>
        </w:rPr>
        <w:footnoteRef/>
      </w:r>
      <w:r w:rsidRPr="00AA304C">
        <w:t xml:space="preserve"> U.S. </w:t>
      </w:r>
      <w:r>
        <w:t xml:space="preserve">Employment </w:t>
      </w:r>
      <w:r w:rsidRPr="00AA304C">
        <w:t>Size of Firms Census Table</w:t>
      </w:r>
      <w:r>
        <w:t xml:space="preserve"> (Jan. 8, 2016),</w:t>
      </w:r>
      <w:r w:rsidRPr="00AA304C">
        <w:t xml:space="preserve"> </w:t>
      </w:r>
      <w:hyperlink r:id="rId41" w:history="1">
        <w:r w:rsidRPr="00AA304C">
          <w:rPr>
            <w:rStyle w:val="Hyperlink"/>
          </w:rPr>
          <w:t>https://factfinder.census.gov/faces/tableservices/jsf/pages/productview.xhtml?pid=ECN_2012_US_51SSSZ5&amp;prodType=table</w:t>
        </w:r>
      </w:hyperlink>
      <w:r w:rsidRPr="00AA304C">
        <w:t>.</w:t>
      </w:r>
    </w:p>
  </w:footnote>
  <w:footnote w:id="134">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35">
    <w:p w:rsidR="00FE2243" w:rsidRDefault="00FE2243" w:rsidP="00216936">
      <w:pPr>
        <w:pStyle w:val="FootnoteText"/>
      </w:pPr>
      <w:r>
        <w:rPr>
          <w:rStyle w:val="FootnoteReference"/>
        </w:rPr>
        <w:footnoteRef/>
      </w:r>
      <w:r>
        <w:t xml:space="preserve"> 47 CFR </w:t>
      </w:r>
      <w:r w:rsidRPr="00AA304C">
        <w:rPr>
          <w:rStyle w:val="Footnote"/>
        </w:rPr>
        <w:t>§</w:t>
      </w:r>
      <w:r>
        <w:t xml:space="preserve"> 43.6(a).</w:t>
      </w:r>
    </w:p>
  </w:footnote>
  <w:footnote w:id="136">
    <w:p w:rsidR="00FE2243" w:rsidRPr="00867E22" w:rsidRDefault="00FE2243" w:rsidP="00216936">
      <w:pPr>
        <w:pStyle w:val="FootnoteText"/>
      </w:pPr>
      <w:r w:rsidRPr="00AA304C">
        <w:rPr>
          <w:rStyle w:val="FootnoteReference"/>
        </w:rPr>
        <w:footnoteRef/>
      </w:r>
      <w:r w:rsidRPr="00AA304C">
        <w:t xml:space="preserve"> </w:t>
      </w:r>
      <w:r>
        <w:rPr>
          <w:i/>
        </w:rPr>
        <w:t xml:space="preserve">See supra </w:t>
      </w:r>
      <w:r>
        <w:t xml:space="preserve">note </w:t>
      </w:r>
      <w:r w:rsidRPr="00400922">
        <w:t>66</w:t>
      </w:r>
      <w:r w:rsidRPr="009E2135">
        <w:t xml:space="preserve">. </w:t>
      </w:r>
      <w:r>
        <w:t xml:space="preserve">     </w:t>
      </w:r>
    </w:p>
  </w:footnote>
  <w:footnote w:id="137">
    <w:p w:rsidR="00FE2243" w:rsidRPr="00AA304C" w:rsidRDefault="00FE2243" w:rsidP="00216936">
      <w:pPr>
        <w:spacing w:after="120" w:line="120" w:lineRule="atLeast"/>
        <w:rPr>
          <w:sz w:val="20"/>
        </w:rPr>
      </w:pPr>
      <w:r w:rsidRPr="00AA304C">
        <w:rPr>
          <w:rStyle w:val="Footnote"/>
          <w:sz w:val="20"/>
          <w:vertAlign w:val="superscript"/>
        </w:rPr>
        <w:footnoteRef/>
      </w:r>
      <w:r w:rsidRPr="00AA304C">
        <w:rPr>
          <w:rStyle w:val="Footnote"/>
          <w:sz w:val="20"/>
          <w:vertAlign w:val="superscript"/>
        </w:rPr>
        <w:t xml:space="preserve"> </w:t>
      </w:r>
      <w:r w:rsidRPr="00AA304C">
        <w:rPr>
          <w:rStyle w:val="Footnote"/>
          <w:sz w:val="20"/>
        </w:rPr>
        <w:t xml:space="preserve">13 </w:t>
      </w:r>
      <w:r>
        <w:rPr>
          <w:rStyle w:val="Footnote"/>
          <w:sz w:val="20"/>
        </w:rPr>
        <w:t>CFR</w:t>
      </w:r>
      <w:r w:rsidRPr="00AA304C">
        <w:rPr>
          <w:rStyle w:val="Footnote"/>
          <w:sz w:val="20"/>
        </w:rPr>
        <w:t xml:space="preserve"> § 121.201, NAICS code 517110.</w:t>
      </w:r>
    </w:p>
  </w:footnote>
  <w:footnote w:id="138">
    <w:p w:rsidR="00FE2243" w:rsidRPr="00AA304C" w:rsidRDefault="00FE2243" w:rsidP="00216936">
      <w:pPr>
        <w:pStyle w:val="FootnoteText"/>
      </w:pPr>
      <w:r w:rsidRPr="00AA304C">
        <w:rPr>
          <w:rStyle w:val="FootnoteReference"/>
        </w:rPr>
        <w:footnoteRef/>
      </w:r>
      <w:r w:rsidRPr="00AA304C">
        <w:t xml:space="preserve"> U.S. </w:t>
      </w:r>
      <w:r>
        <w:t xml:space="preserve">Employment </w:t>
      </w:r>
      <w:r w:rsidRPr="00AA304C">
        <w:t>Size of Firms Census Table</w:t>
      </w:r>
      <w:r>
        <w:t xml:space="preserve"> (Jan. 8, 2016),</w:t>
      </w:r>
      <w:r w:rsidRPr="00AA304C">
        <w:t xml:space="preserve"> </w:t>
      </w:r>
      <w:hyperlink r:id="rId42" w:history="1">
        <w:r w:rsidRPr="00AA304C">
          <w:rPr>
            <w:rStyle w:val="Hyperlink"/>
          </w:rPr>
          <w:t>https://factfinder.census.gov/faces/tableservices/jsf/pages/productview.xhtml?pid=ECN_2012_US_51SSSZ5&amp;prodType=table</w:t>
        </w:r>
      </w:hyperlink>
      <w:r w:rsidRPr="00AA304C">
        <w:t>.</w:t>
      </w:r>
    </w:p>
  </w:footnote>
  <w:footnote w:id="139">
    <w:p w:rsidR="00FE2243" w:rsidRPr="00AA304C" w:rsidRDefault="00FE2243" w:rsidP="00216936">
      <w:pPr>
        <w:pStyle w:val="FootnoteText"/>
      </w:pPr>
      <w:r w:rsidRPr="00AA304C">
        <w:rPr>
          <w:rStyle w:val="FootnoteReference"/>
        </w:rPr>
        <w:footnoteRef/>
      </w:r>
      <w:r w:rsidRPr="00AA304C">
        <w:t xml:space="preserve"> </w:t>
      </w:r>
      <w:r w:rsidRPr="00AA304C">
        <w:rPr>
          <w:i/>
        </w:rPr>
        <w:t>Id.</w:t>
      </w:r>
    </w:p>
  </w:footnote>
  <w:footnote w:id="140">
    <w:p w:rsidR="00FE2243" w:rsidRPr="00AA304C" w:rsidRDefault="00FE2243" w:rsidP="00216936">
      <w:pPr>
        <w:pStyle w:val="FootnoteText"/>
      </w:pPr>
      <w:r w:rsidRPr="00AA304C">
        <w:rPr>
          <w:rStyle w:val="FootnoteReference"/>
        </w:rPr>
        <w:footnoteRef/>
      </w:r>
      <w:r w:rsidRPr="00AA304C">
        <w:t xml:space="preserve"> </w:t>
      </w:r>
      <w:r w:rsidRPr="00AA304C">
        <w:rPr>
          <w:i/>
        </w:rPr>
        <w:t>See</w:t>
      </w:r>
      <w:r w:rsidRPr="00AA304C">
        <w:t xml:space="preserve"> </w:t>
      </w:r>
      <w:r w:rsidRPr="00D50287">
        <w:rPr>
          <w:i/>
        </w:rPr>
        <w:t>Trends in Telephone Service</w:t>
      </w:r>
      <w:r w:rsidRPr="00AA304C">
        <w:t xml:space="preserve"> at Table 5.3:  Number of Telecommunications Service Providers by Size of Business</w:t>
      </w:r>
      <w:r>
        <w:t>.</w:t>
      </w:r>
    </w:p>
  </w:footnote>
  <w:footnote w:id="141">
    <w:p w:rsidR="00FE2243" w:rsidRPr="00AA304C" w:rsidRDefault="00FE2243" w:rsidP="00216936">
      <w:pPr>
        <w:pStyle w:val="FootnoteText"/>
      </w:pPr>
      <w:r w:rsidRPr="00AA304C">
        <w:rPr>
          <w:rStyle w:val="FootnoteReference"/>
        </w:rPr>
        <w:footnoteRef/>
      </w:r>
      <w:r w:rsidRPr="00AA304C">
        <w:t xml:space="preserve"> </w:t>
      </w:r>
      <w:r w:rsidRPr="00AA304C">
        <w:rPr>
          <w:i/>
        </w:rPr>
        <w:t>See id.</w:t>
      </w:r>
    </w:p>
  </w:footnote>
  <w:footnote w:id="142">
    <w:p w:rsidR="00FE2243" w:rsidRPr="00AA304C" w:rsidRDefault="00FE2243" w:rsidP="00216936">
      <w:pPr>
        <w:pStyle w:val="FootnoteText"/>
      </w:pPr>
      <w:r w:rsidRPr="00AA304C">
        <w:rPr>
          <w:rStyle w:val="FootnoteReference"/>
        </w:rPr>
        <w:footnoteRef/>
      </w:r>
      <w:r w:rsidRPr="00AA304C">
        <w:t xml:space="preserve"> 15 U.S.C. § 632.</w:t>
      </w:r>
    </w:p>
  </w:footnote>
  <w:footnote w:id="143">
    <w:p w:rsidR="00FE2243" w:rsidRPr="00AA304C" w:rsidRDefault="00FE2243" w:rsidP="00216936">
      <w:pPr>
        <w:pStyle w:val="FootnoteText"/>
      </w:pPr>
      <w:r w:rsidRPr="00AA304C">
        <w:rPr>
          <w:rStyle w:val="FootnoteReference"/>
        </w:rPr>
        <w:footnoteRef/>
      </w:r>
      <w:r w:rsidRPr="00AA304C">
        <w:t xml:space="preserve"> Letter from Jere W. Glover, Chief Counsel for Advocacy, SBA, to William E. Kennard, Chairman, FCC (May 27, 1999).  The Small Business Act contains a definition of “small-business concern,” which the RFA incorporates into its own definition of “small business.”  </w:t>
      </w:r>
      <w:r w:rsidRPr="0060502D">
        <w:rPr>
          <w:i/>
        </w:rPr>
        <w:t>See</w:t>
      </w:r>
      <w:r w:rsidRPr="00AA304C">
        <w:t xml:space="preserve"> 15 U.S.C. § 632(a) (Small Business Act); 5 U.S.C. § 601(3) (</w:t>
      </w:r>
      <w:r w:rsidRPr="00160386">
        <w:t xml:space="preserve">RFA).  SBA regulations interpret “small business concern” to include the concept of dominance on a national basis.  13 </w:t>
      </w:r>
      <w:r>
        <w:t>CFR</w:t>
      </w:r>
      <w:r w:rsidRPr="00160386">
        <w:t xml:space="preserve"> § 121.102(b).</w:t>
      </w:r>
      <w:r w:rsidRPr="00AA304C">
        <w:t xml:space="preserve">  </w:t>
      </w:r>
    </w:p>
  </w:footnote>
  <w:footnote w:id="144">
    <w:p w:rsidR="00FE2243" w:rsidRPr="00AA304C" w:rsidRDefault="00FE2243" w:rsidP="00216936">
      <w:pPr>
        <w:pStyle w:val="FootnoteText"/>
      </w:pPr>
      <w:r w:rsidRPr="00AA304C">
        <w:rPr>
          <w:rStyle w:val="FootnoteReference"/>
        </w:rPr>
        <w:footnoteRef/>
      </w:r>
      <w:r w:rsidRPr="00AA304C">
        <w:t xml:space="preserve"> 5 U.S.C. § 603(c)(1)-(c)(4).</w:t>
      </w:r>
    </w:p>
  </w:footnote>
  <w:footnote w:id="145">
    <w:p w:rsidR="00FE2243" w:rsidRPr="00C779A7" w:rsidRDefault="00FE2243" w:rsidP="003D18F1">
      <w:pPr>
        <w:pStyle w:val="FootnoteText"/>
      </w:pPr>
      <w:r w:rsidRPr="00C779A7">
        <w:rPr>
          <w:rStyle w:val="FootnoteReference"/>
        </w:rPr>
        <w:footnoteRef/>
      </w:r>
      <w:r w:rsidRPr="00C779A7">
        <w:t xml:space="preserve"> </w:t>
      </w:r>
      <w:r w:rsidRPr="000973FE">
        <w:rPr>
          <w:i/>
        </w:rPr>
        <w:t>See</w:t>
      </w:r>
      <w:r w:rsidRPr="00C779A7">
        <w:t xml:space="preserve"> </w:t>
      </w:r>
      <w:r w:rsidRPr="003D18F1">
        <w:t>N</w:t>
      </w:r>
      <w:r>
        <w:t xml:space="preserve">PRM, paras. 20-23.  </w:t>
      </w:r>
    </w:p>
  </w:footnote>
  <w:footnote w:id="146">
    <w:p w:rsidR="001556D8" w:rsidRPr="00093E79" w:rsidRDefault="001556D8" w:rsidP="001556D8">
      <w:pPr>
        <w:pStyle w:val="FootnoteText"/>
      </w:pPr>
      <w:r w:rsidRPr="00093E79">
        <w:rPr>
          <w:rStyle w:val="FootnoteReference"/>
        </w:rPr>
        <w:footnoteRef/>
      </w:r>
      <w:r w:rsidRPr="00093E79">
        <w:t xml:space="preserve"> </w:t>
      </w:r>
      <w:r w:rsidRPr="00093E79">
        <w:rPr>
          <w:i/>
        </w:rPr>
        <w:t>2012 Biennial Review of Telecommunications Regulations</w:t>
      </w:r>
      <w:r w:rsidRPr="00093E79">
        <w:t>, CG Docket No. 13-29, EB Docket No. 13-35, IB Docket No. 13-30, ET Docket No. 13-36, PS Docket No. 13-31, WT Docket No. 13-32, WC Docket No. 13-33, Public Notice, 28 FCC Rcd 11255 (2013)</w:t>
      </w:r>
      <w:r>
        <w:t xml:space="preserve">; </w:t>
      </w:r>
      <w:r w:rsidRPr="00C01D2A">
        <w:rPr>
          <w:i/>
        </w:rPr>
        <w:t>Commission Seeks Public Comment in 2012 Biennial Review of Telecommunications Regulations</w:t>
      </w:r>
      <w:r>
        <w:t xml:space="preserve">, </w:t>
      </w:r>
      <w:r w:rsidRPr="00093E79">
        <w:t>CG Docket No. 13-29, EB Docket No. 13-35, IB Docket No. 13-30, ET Docket No. 13-36, PS Docket No. 13-31, WT Docket No. 13-32, WC Docket No. 13-33, Public Notice, 28 FCC Rcd 1</w:t>
      </w:r>
      <w:r>
        <w:t>556</w:t>
      </w:r>
      <w:r w:rsidRPr="00093E79">
        <w:t xml:space="preserve"> (2013).</w:t>
      </w:r>
    </w:p>
  </w:footnote>
  <w:footnote w:id="147">
    <w:p w:rsidR="001556D8" w:rsidRPr="00093E79" w:rsidRDefault="001556D8" w:rsidP="001556D8">
      <w:pPr>
        <w:pStyle w:val="FootnoteText"/>
      </w:pPr>
      <w:r w:rsidRPr="00093E79">
        <w:rPr>
          <w:rStyle w:val="FootnoteReference"/>
        </w:rPr>
        <w:footnoteRef/>
      </w:r>
      <w:r w:rsidRPr="00093E79">
        <w:t xml:space="preserve"> 47 U.S.C. § 161.</w:t>
      </w:r>
    </w:p>
  </w:footnote>
  <w:footnote w:id="148">
    <w:p w:rsidR="001556D8" w:rsidRPr="00093E79" w:rsidRDefault="001556D8" w:rsidP="001556D8">
      <w:pPr>
        <w:pStyle w:val="FootnoteText"/>
      </w:pPr>
      <w:r w:rsidRPr="00093E79">
        <w:rPr>
          <w:rStyle w:val="FootnoteReference"/>
        </w:rPr>
        <w:footnoteRef/>
      </w:r>
      <w:r w:rsidRPr="00093E79">
        <w:t xml:space="preserve"> NPRM, </w:t>
      </w:r>
      <w:r w:rsidRPr="00093E79">
        <w:rPr>
          <w:i/>
        </w:rPr>
        <w:t>supra</w:t>
      </w:r>
      <w:r w:rsidRPr="00093E79">
        <w:t xml:space="preserve"> ¶ 21.</w:t>
      </w:r>
    </w:p>
  </w:footnote>
  <w:footnote w:id="149">
    <w:p w:rsidR="001556D8" w:rsidRPr="00093E79" w:rsidRDefault="001556D8" w:rsidP="001556D8">
      <w:pPr>
        <w:pStyle w:val="FootnoteText"/>
      </w:pPr>
      <w:r w:rsidRPr="00093E79">
        <w:rPr>
          <w:rStyle w:val="FootnoteReference"/>
        </w:rPr>
        <w:footnoteRef/>
      </w:r>
      <w:r w:rsidRPr="00093E79">
        <w:t xml:space="preserve"> </w:t>
      </w:r>
      <w:r w:rsidRPr="00093E79">
        <w:rPr>
          <w:i/>
        </w:rPr>
        <w:t>Id</w:t>
      </w:r>
      <w:r w:rsidRPr="00093E79">
        <w:t>. ¶ 16 (stating that an additional 50 hours is needed if a revision needs to be filed).</w:t>
      </w:r>
    </w:p>
  </w:footnote>
  <w:footnote w:id="150">
    <w:p w:rsidR="001556D8" w:rsidRPr="00093E79" w:rsidRDefault="001556D8" w:rsidP="001556D8">
      <w:pPr>
        <w:pStyle w:val="FootnoteText"/>
      </w:pPr>
      <w:r w:rsidRPr="00093E79">
        <w:rPr>
          <w:rStyle w:val="FootnoteReference"/>
        </w:rPr>
        <w:footnoteRef/>
      </w:r>
      <w:r w:rsidRPr="00093E79">
        <w:t xml:space="preserve"> </w:t>
      </w:r>
      <w:r w:rsidRPr="00093E79">
        <w:rPr>
          <w:i/>
        </w:rPr>
        <w:t>Id</w:t>
      </w:r>
      <w:r w:rsidRPr="00093E79">
        <w:t xml:space="preserve">. ¶ 12 &amp; n.32 (citing </w:t>
      </w:r>
      <w:r>
        <w:t xml:space="preserve">Letter from Amy L. Alvarez, </w:t>
      </w:r>
      <w:r w:rsidRPr="00BD56A4">
        <w:t>Assistant Vice President</w:t>
      </w:r>
      <w:r>
        <w:t xml:space="preserve">, </w:t>
      </w:r>
      <w:r w:rsidRPr="00BD56A4">
        <w:t>International External &amp; Regulatory Affairs</w:t>
      </w:r>
      <w:r>
        <w:t xml:space="preserve">, </w:t>
      </w:r>
      <w:r w:rsidRPr="00093E79">
        <w:t xml:space="preserve">AT&amp;T </w:t>
      </w:r>
      <w:r>
        <w:t xml:space="preserve">Services, Inc., to </w:t>
      </w:r>
      <w:r w:rsidRPr="00BD56A4">
        <w:t>Marlene H. Dortch</w:t>
      </w:r>
      <w:r>
        <w:t xml:space="preserve">, </w:t>
      </w:r>
      <w:r w:rsidRPr="00BD56A4">
        <w:t>Secretary</w:t>
      </w:r>
      <w:r>
        <w:t xml:space="preserve">, </w:t>
      </w:r>
      <w:r w:rsidRPr="00BD56A4">
        <w:t>Federal Communications Commission</w:t>
      </w:r>
      <w:r>
        <w:t xml:space="preserve">, IB Docket Nos. 16-131, 17-55 (Mar. 21, 2017); Reply Comments of </w:t>
      </w:r>
      <w:r w:rsidRPr="00093E79">
        <w:t xml:space="preserve">AT&amp;T </w:t>
      </w:r>
      <w:r>
        <w:t xml:space="preserve">Services, Inc., </w:t>
      </w:r>
      <w:r w:rsidRPr="00BD56A4">
        <w:t>IB Docket Nos. 16-131</w:t>
      </w:r>
      <w:r>
        <w:t xml:space="preserve"> (Jan. 3, 2017)</w:t>
      </w:r>
      <w:r w:rsidRPr="00093E79">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E9D" w:rsidRDefault="00782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43" w:rsidRPr="007E22F7" w:rsidRDefault="00FE2243" w:rsidP="007E22F7">
    <w:pPr>
      <w:tabs>
        <w:tab w:val="center" w:pos="4680"/>
        <w:tab w:val="right" w:pos="9360"/>
      </w:tabs>
      <w:jc w:val="center"/>
    </w:pPr>
    <w:r w:rsidRPr="007E22F7">
      <w:rPr>
        <w:b/>
        <w:noProof/>
      </w:rPr>
      <mc:AlternateContent>
        <mc:Choice Requires="wps">
          <w:drawing>
            <wp:anchor distT="0" distB="0" distL="114300" distR="114300" simplePos="0" relativeHeight="251661312" behindDoc="1" locked="0" layoutInCell="0" allowOverlap="1" wp14:anchorId="2D70DE18" wp14:editId="5E05023A">
              <wp:simplePos x="0" y="0"/>
              <wp:positionH relativeFrom="margin">
                <wp:posOffset>7620</wp:posOffset>
              </wp:positionH>
              <wp:positionV relativeFrom="paragraph">
                <wp:posOffset>160655</wp:posOffset>
              </wp:positionV>
              <wp:extent cx="594360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7C1DA9" id="Rectangle 8"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K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V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Kfz5Ur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7E22F7">
      <w:rPr>
        <w:b/>
      </w:rPr>
      <w:tab/>
      <w:t>Federal Communications Commission</w:t>
    </w:r>
    <w:r w:rsidRPr="007E22F7">
      <w:rPr>
        <w:b/>
      </w:rPr>
      <w:tab/>
    </w:r>
    <w:r>
      <w:rPr>
        <w:b/>
        <w:spacing w:val="-2"/>
      </w:rPr>
      <w:t>FCC 17-28</w:t>
    </w:r>
  </w:p>
  <w:p w:rsidR="00FE2243" w:rsidRDefault="00FE2243" w:rsidP="007E22F7">
    <w:pPr>
      <w:pStyle w:val="Header"/>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43" w:rsidRPr="007E22F7" w:rsidRDefault="00FE2243" w:rsidP="007E22F7">
    <w:pPr>
      <w:tabs>
        <w:tab w:val="center" w:pos="4680"/>
        <w:tab w:val="right" w:pos="9360"/>
      </w:tabs>
      <w:jc w:val="center"/>
    </w:pPr>
    <w:r w:rsidRPr="007E22F7">
      <w:rPr>
        <w:b/>
        <w:noProof/>
      </w:rPr>
      <mc:AlternateContent>
        <mc:Choice Requires="wps">
          <w:drawing>
            <wp:anchor distT="0" distB="0" distL="114300" distR="114300" simplePos="0" relativeHeight="251659264" behindDoc="1" locked="0" layoutInCell="0" allowOverlap="1" wp14:anchorId="01335E2A" wp14:editId="2AB024B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EF1CB7"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7E22F7">
      <w:rPr>
        <w:b/>
      </w:rPr>
      <w:tab/>
      <w:t>Federal Communications Commission</w:t>
    </w:r>
    <w:r w:rsidRPr="007E22F7">
      <w:rPr>
        <w:b/>
      </w:rPr>
      <w:tab/>
    </w:r>
    <w:r>
      <w:rPr>
        <w:b/>
        <w:spacing w:val="-2"/>
      </w:rPr>
      <w:t>FCC 17-28</w:t>
    </w:r>
  </w:p>
  <w:p w:rsidR="00FE2243" w:rsidRDefault="00FE2243" w:rsidP="007E22F7">
    <w:pPr>
      <w:pStyle w:val="Header"/>
      <w:rPr>
        <w:b w:val="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D3272D"/>
    <w:multiLevelType w:val="hybridMultilevel"/>
    <w:tmpl w:val="BB0A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F05F21"/>
    <w:multiLevelType w:val="hybridMultilevel"/>
    <w:tmpl w:val="A49ED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F020BD5"/>
    <w:multiLevelType w:val="hybridMultilevel"/>
    <w:tmpl w:val="8BB078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AC75D0D"/>
    <w:multiLevelType w:val="hybridMultilevel"/>
    <w:tmpl w:val="24D092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DD86863"/>
    <w:multiLevelType w:val="hybridMultilevel"/>
    <w:tmpl w:val="BED801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B4565F"/>
    <w:multiLevelType w:val="hybridMultilevel"/>
    <w:tmpl w:val="642E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4090E"/>
    <w:multiLevelType w:val="hybridMultilevel"/>
    <w:tmpl w:val="E39422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70582D6D"/>
    <w:multiLevelType w:val="hybridMultilevel"/>
    <w:tmpl w:val="F75660C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76316"/>
    <w:multiLevelType w:val="hybridMultilevel"/>
    <w:tmpl w:val="53F4417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12"/>
  </w:num>
  <w:num w:numId="3">
    <w:abstractNumId w:val="6"/>
  </w:num>
  <w:num w:numId="4">
    <w:abstractNumId w:val="9"/>
  </w:num>
  <w:num w:numId="5">
    <w:abstractNumId w:val="5"/>
  </w:num>
  <w:num w:numId="6">
    <w:abstractNumId w:val="1"/>
  </w:num>
  <w:num w:numId="7">
    <w:abstractNumId w:val="13"/>
  </w:num>
  <w:num w:numId="8">
    <w:abstractNumId w:val="16"/>
  </w:num>
  <w:num w:numId="9">
    <w:abstractNumId w:val="15"/>
  </w:num>
  <w:num w:numId="10">
    <w:abstractNumId w:val="10"/>
  </w:num>
  <w:num w:numId="11">
    <w:abstractNumId w:val="11"/>
  </w:num>
  <w:num w:numId="12">
    <w:abstractNumId w:val="0"/>
  </w:num>
  <w:num w:numId="13">
    <w:abstractNumId w:val="17"/>
  </w:num>
  <w:num w:numId="14">
    <w:abstractNumId w:val="8"/>
  </w:num>
  <w:num w:numId="15">
    <w:abstractNumId w:val="14"/>
  </w:num>
  <w:num w:numId="16">
    <w:abstractNumId w:val="12"/>
    <w:lvlOverride w:ilvl="0">
      <w:startOverride w:val="1"/>
    </w:lvlOverride>
  </w:num>
  <w:num w:numId="17">
    <w:abstractNumId w:val="2"/>
  </w:num>
  <w:num w:numId="18">
    <w:abstractNumId w:val="2"/>
  </w:num>
  <w:num w:numId="19">
    <w:abstractNumId w:val="7"/>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num>
  <w:num w:numId="24">
    <w:abstractNumId w:val="12"/>
    <w:lvlOverride w:ilvl="0">
      <w:startOverride w:val="1"/>
    </w:lvlOverride>
  </w:num>
  <w:num w:numId="25">
    <w:abstractNumId w:val="12"/>
    <w:lvlOverride w:ilvl="0">
      <w:startOverride w:val="1"/>
    </w:lvlOverride>
  </w:num>
  <w:num w:numId="26">
    <w:abstractNumId w:val="12"/>
  </w:num>
  <w:num w:numId="27">
    <w:abstractNumId w:val="12"/>
  </w:num>
  <w:num w:numId="28">
    <w:abstractNumId w:val="6"/>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63"/>
    <w:rsid w:val="00011FA1"/>
    <w:rsid w:val="00016940"/>
    <w:rsid w:val="00021203"/>
    <w:rsid w:val="00031350"/>
    <w:rsid w:val="00034E1D"/>
    <w:rsid w:val="0003602F"/>
    <w:rsid w:val="00036039"/>
    <w:rsid w:val="00037F90"/>
    <w:rsid w:val="00041F1B"/>
    <w:rsid w:val="00042969"/>
    <w:rsid w:val="00045FA5"/>
    <w:rsid w:val="00050451"/>
    <w:rsid w:val="00057137"/>
    <w:rsid w:val="00060E13"/>
    <w:rsid w:val="000660D8"/>
    <w:rsid w:val="00066A8D"/>
    <w:rsid w:val="000705C6"/>
    <w:rsid w:val="00071331"/>
    <w:rsid w:val="00073A67"/>
    <w:rsid w:val="000836AD"/>
    <w:rsid w:val="000864A2"/>
    <w:rsid w:val="000875BF"/>
    <w:rsid w:val="0009446D"/>
    <w:rsid w:val="00095C66"/>
    <w:rsid w:val="00096D8C"/>
    <w:rsid w:val="000A1232"/>
    <w:rsid w:val="000A2EAA"/>
    <w:rsid w:val="000A6E28"/>
    <w:rsid w:val="000A6E6F"/>
    <w:rsid w:val="000A7D49"/>
    <w:rsid w:val="000B382E"/>
    <w:rsid w:val="000B3FF8"/>
    <w:rsid w:val="000C0B65"/>
    <w:rsid w:val="000C1015"/>
    <w:rsid w:val="000C41DF"/>
    <w:rsid w:val="000D0FB5"/>
    <w:rsid w:val="000D4A34"/>
    <w:rsid w:val="000E05FE"/>
    <w:rsid w:val="000E377D"/>
    <w:rsid w:val="000E3D42"/>
    <w:rsid w:val="000F1F05"/>
    <w:rsid w:val="000F2CCF"/>
    <w:rsid w:val="001001F3"/>
    <w:rsid w:val="00101496"/>
    <w:rsid w:val="001025AB"/>
    <w:rsid w:val="00103B18"/>
    <w:rsid w:val="00104464"/>
    <w:rsid w:val="00106F81"/>
    <w:rsid w:val="0011204D"/>
    <w:rsid w:val="00122BD5"/>
    <w:rsid w:val="00127CCB"/>
    <w:rsid w:val="00131D37"/>
    <w:rsid w:val="00133F79"/>
    <w:rsid w:val="001344D9"/>
    <w:rsid w:val="00143583"/>
    <w:rsid w:val="00144C20"/>
    <w:rsid w:val="0014521F"/>
    <w:rsid w:val="001556D8"/>
    <w:rsid w:val="00164014"/>
    <w:rsid w:val="00171D09"/>
    <w:rsid w:val="00172B83"/>
    <w:rsid w:val="00175B73"/>
    <w:rsid w:val="00182BF3"/>
    <w:rsid w:val="00185992"/>
    <w:rsid w:val="00187A99"/>
    <w:rsid w:val="001916B2"/>
    <w:rsid w:val="00191CB8"/>
    <w:rsid w:val="00192DDD"/>
    <w:rsid w:val="00193B62"/>
    <w:rsid w:val="00194A66"/>
    <w:rsid w:val="0019539E"/>
    <w:rsid w:val="00197FAD"/>
    <w:rsid w:val="001A2794"/>
    <w:rsid w:val="001A285E"/>
    <w:rsid w:val="001A6A64"/>
    <w:rsid w:val="001B1491"/>
    <w:rsid w:val="001B44E8"/>
    <w:rsid w:val="001D098A"/>
    <w:rsid w:val="001D4071"/>
    <w:rsid w:val="001D428E"/>
    <w:rsid w:val="001D5E8B"/>
    <w:rsid w:val="001D6BCF"/>
    <w:rsid w:val="001D6D6D"/>
    <w:rsid w:val="001E01CA"/>
    <w:rsid w:val="001E1021"/>
    <w:rsid w:val="001E4CDB"/>
    <w:rsid w:val="001F4B88"/>
    <w:rsid w:val="001F6022"/>
    <w:rsid w:val="00201A1D"/>
    <w:rsid w:val="00205A65"/>
    <w:rsid w:val="00206E7B"/>
    <w:rsid w:val="00207709"/>
    <w:rsid w:val="00210443"/>
    <w:rsid w:val="00211AB7"/>
    <w:rsid w:val="002121CF"/>
    <w:rsid w:val="00216936"/>
    <w:rsid w:val="00220011"/>
    <w:rsid w:val="002349D5"/>
    <w:rsid w:val="00244BCA"/>
    <w:rsid w:val="00247B60"/>
    <w:rsid w:val="00256B56"/>
    <w:rsid w:val="0025789E"/>
    <w:rsid w:val="002601B6"/>
    <w:rsid w:val="00265174"/>
    <w:rsid w:val="00265582"/>
    <w:rsid w:val="00275CF5"/>
    <w:rsid w:val="0028074E"/>
    <w:rsid w:val="002813EC"/>
    <w:rsid w:val="00281C01"/>
    <w:rsid w:val="0028301F"/>
    <w:rsid w:val="0028343D"/>
    <w:rsid w:val="00285017"/>
    <w:rsid w:val="00286653"/>
    <w:rsid w:val="00286A68"/>
    <w:rsid w:val="002A2D2E"/>
    <w:rsid w:val="002A4084"/>
    <w:rsid w:val="002B32DD"/>
    <w:rsid w:val="002C00E8"/>
    <w:rsid w:val="002C206F"/>
    <w:rsid w:val="002C29DE"/>
    <w:rsid w:val="002C52CF"/>
    <w:rsid w:val="002D0E3C"/>
    <w:rsid w:val="002D4A64"/>
    <w:rsid w:val="002D4FF9"/>
    <w:rsid w:val="002D5B24"/>
    <w:rsid w:val="002D7B3E"/>
    <w:rsid w:val="002E212D"/>
    <w:rsid w:val="002E48EF"/>
    <w:rsid w:val="002E4AF7"/>
    <w:rsid w:val="002E79C5"/>
    <w:rsid w:val="002F1B79"/>
    <w:rsid w:val="002F2776"/>
    <w:rsid w:val="002F61A6"/>
    <w:rsid w:val="00302897"/>
    <w:rsid w:val="00302CC3"/>
    <w:rsid w:val="00305939"/>
    <w:rsid w:val="00305BFF"/>
    <w:rsid w:val="00315FA1"/>
    <w:rsid w:val="00317077"/>
    <w:rsid w:val="003209F7"/>
    <w:rsid w:val="00321A39"/>
    <w:rsid w:val="00323F6C"/>
    <w:rsid w:val="00327B77"/>
    <w:rsid w:val="00327CB0"/>
    <w:rsid w:val="00337411"/>
    <w:rsid w:val="00343749"/>
    <w:rsid w:val="0035047B"/>
    <w:rsid w:val="003660ED"/>
    <w:rsid w:val="003728E5"/>
    <w:rsid w:val="00375634"/>
    <w:rsid w:val="00376DE2"/>
    <w:rsid w:val="00382EAC"/>
    <w:rsid w:val="00385185"/>
    <w:rsid w:val="0038751D"/>
    <w:rsid w:val="00395CF7"/>
    <w:rsid w:val="0039740A"/>
    <w:rsid w:val="003A2412"/>
    <w:rsid w:val="003A3154"/>
    <w:rsid w:val="003A6837"/>
    <w:rsid w:val="003A7E19"/>
    <w:rsid w:val="003B0550"/>
    <w:rsid w:val="003B32C4"/>
    <w:rsid w:val="003B694F"/>
    <w:rsid w:val="003D105B"/>
    <w:rsid w:val="003D18F1"/>
    <w:rsid w:val="003D1FE4"/>
    <w:rsid w:val="003E3032"/>
    <w:rsid w:val="003E3AB4"/>
    <w:rsid w:val="003E3FB0"/>
    <w:rsid w:val="003E4E84"/>
    <w:rsid w:val="003F0EDB"/>
    <w:rsid w:val="003F171C"/>
    <w:rsid w:val="003F3349"/>
    <w:rsid w:val="003F7536"/>
    <w:rsid w:val="00400922"/>
    <w:rsid w:val="004129CE"/>
    <w:rsid w:val="00412FC5"/>
    <w:rsid w:val="00417D4C"/>
    <w:rsid w:val="00420E33"/>
    <w:rsid w:val="00422276"/>
    <w:rsid w:val="00423DC1"/>
    <w:rsid w:val="004242F1"/>
    <w:rsid w:val="00427DC0"/>
    <w:rsid w:val="00430134"/>
    <w:rsid w:val="004317B2"/>
    <w:rsid w:val="00431C1E"/>
    <w:rsid w:val="00435491"/>
    <w:rsid w:val="00435514"/>
    <w:rsid w:val="004371B5"/>
    <w:rsid w:val="00437FA8"/>
    <w:rsid w:val="0044168D"/>
    <w:rsid w:val="00445A00"/>
    <w:rsid w:val="00446952"/>
    <w:rsid w:val="00447EF9"/>
    <w:rsid w:val="00451131"/>
    <w:rsid w:val="00451B0F"/>
    <w:rsid w:val="00461861"/>
    <w:rsid w:val="004671A8"/>
    <w:rsid w:val="00471B77"/>
    <w:rsid w:val="00472E41"/>
    <w:rsid w:val="00483CF9"/>
    <w:rsid w:val="00491BBC"/>
    <w:rsid w:val="00494CB7"/>
    <w:rsid w:val="00497263"/>
    <w:rsid w:val="004A0646"/>
    <w:rsid w:val="004A13B0"/>
    <w:rsid w:val="004A4DFB"/>
    <w:rsid w:val="004B34F7"/>
    <w:rsid w:val="004B61FB"/>
    <w:rsid w:val="004B7922"/>
    <w:rsid w:val="004C2EE3"/>
    <w:rsid w:val="004C491F"/>
    <w:rsid w:val="004C6C01"/>
    <w:rsid w:val="004C6E69"/>
    <w:rsid w:val="004E05D2"/>
    <w:rsid w:val="004E1DF0"/>
    <w:rsid w:val="004E4A22"/>
    <w:rsid w:val="004E5819"/>
    <w:rsid w:val="004F3954"/>
    <w:rsid w:val="005067A1"/>
    <w:rsid w:val="00506D0E"/>
    <w:rsid w:val="005072AC"/>
    <w:rsid w:val="00511968"/>
    <w:rsid w:val="00514CCD"/>
    <w:rsid w:val="0051516E"/>
    <w:rsid w:val="00520D28"/>
    <w:rsid w:val="0052146F"/>
    <w:rsid w:val="005219F1"/>
    <w:rsid w:val="00534626"/>
    <w:rsid w:val="00535424"/>
    <w:rsid w:val="00541B4A"/>
    <w:rsid w:val="00542E9D"/>
    <w:rsid w:val="00545762"/>
    <w:rsid w:val="00547170"/>
    <w:rsid w:val="00547D1E"/>
    <w:rsid w:val="00550193"/>
    <w:rsid w:val="00550F64"/>
    <w:rsid w:val="00551187"/>
    <w:rsid w:val="00552681"/>
    <w:rsid w:val="005527BB"/>
    <w:rsid w:val="0055350D"/>
    <w:rsid w:val="00554E76"/>
    <w:rsid w:val="0055614C"/>
    <w:rsid w:val="0057014A"/>
    <w:rsid w:val="00571724"/>
    <w:rsid w:val="005759FC"/>
    <w:rsid w:val="0058478C"/>
    <w:rsid w:val="00584D8B"/>
    <w:rsid w:val="00584DD3"/>
    <w:rsid w:val="005903B3"/>
    <w:rsid w:val="00591448"/>
    <w:rsid w:val="00591862"/>
    <w:rsid w:val="00591B2E"/>
    <w:rsid w:val="00595F38"/>
    <w:rsid w:val="005A4E9C"/>
    <w:rsid w:val="005B486F"/>
    <w:rsid w:val="005B5DA6"/>
    <w:rsid w:val="005B60AA"/>
    <w:rsid w:val="005C0DB1"/>
    <w:rsid w:val="005E14C2"/>
    <w:rsid w:val="005E1F9B"/>
    <w:rsid w:val="005E4FA7"/>
    <w:rsid w:val="005F59FE"/>
    <w:rsid w:val="005F7F97"/>
    <w:rsid w:val="0060058D"/>
    <w:rsid w:val="00606573"/>
    <w:rsid w:val="00606AE9"/>
    <w:rsid w:val="00607BA5"/>
    <w:rsid w:val="0061180A"/>
    <w:rsid w:val="00611FCB"/>
    <w:rsid w:val="00617B05"/>
    <w:rsid w:val="00620CCD"/>
    <w:rsid w:val="00621A94"/>
    <w:rsid w:val="006222C4"/>
    <w:rsid w:val="006251E9"/>
    <w:rsid w:val="00625690"/>
    <w:rsid w:val="00626EB6"/>
    <w:rsid w:val="00627EAA"/>
    <w:rsid w:val="00630A3C"/>
    <w:rsid w:val="00634D38"/>
    <w:rsid w:val="006366B7"/>
    <w:rsid w:val="00640A28"/>
    <w:rsid w:val="0064418C"/>
    <w:rsid w:val="00644463"/>
    <w:rsid w:val="006444E2"/>
    <w:rsid w:val="00650DD9"/>
    <w:rsid w:val="00655D03"/>
    <w:rsid w:val="00660251"/>
    <w:rsid w:val="00661F94"/>
    <w:rsid w:val="00662914"/>
    <w:rsid w:val="00665946"/>
    <w:rsid w:val="0066659A"/>
    <w:rsid w:val="00666C97"/>
    <w:rsid w:val="0067046A"/>
    <w:rsid w:val="006722B4"/>
    <w:rsid w:val="006737C0"/>
    <w:rsid w:val="00675A31"/>
    <w:rsid w:val="00675FD4"/>
    <w:rsid w:val="00681ED6"/>
    <w:rsid w:val="00682735"/>
    <w:rsid w:val="00683388"/>
    <w:rsid w:val="00683F84"/>
    <w:rsid w:val="0068681B"/>
    <w:rsid w:val="006A14A7"/>
    <w:rsid w:val="006A6A81"/>
    <w:rsid w:val="006B002F"/>
    <w:rsid w:val="006B09B0"/>
    <w:rsid w:val="006B5AA2"/>
    <w:rsid w:val="006C1B50"/>
    <w:rsid w:val="006C3D5F"/>
    <w:rsid w:val="006D48DB"/>
    <w:rsid w:val="006D5852"/>
    <w:rsid w:val="006D7E77"/>
    <w:rsid w:val="006E0DA6"/>
    <w:rsid w:val="006E1750"/>
    <w:rsid w:val="006F0D38"/>
    <w:rsid w:val="006F59A6"/>
    <w:rsid w:val="006F59B8"/>
    <w:rsid w:val="006F7393"/>
    <w:rsid w:val="006F7604"/>
    <w:rsid w:val="0070143D"/>
    <w:rsid w:val="0070224F"/>
    <w:rsid w:val="007115F7"/>
    <w:rsid w:val="007212EA"/>
    <w:rsid w:val="00722E16"/>
    <w:rsid w:val="0072751B"/>
    <w:rsid w:val="00732335"/>
    <w:rsid w:val="00733033"/>
    <w:rsid w:val="00744A97"/>
    <w:rsid w:val="00744CD9"/>
    <w:rsid w:val="00750792"/>
    <w:rsid w:val="00752690"/>
    <w:rsid w:val="00753179"/>
    <w:rsid w:val="00753618"/>
    <w:rsid w:val="00757F82"/>
    <w:rsid w:val="007602E5"/>
    <w:rsid w:val="007642F0"/>
    <w:rsid w:val="0077544F"/>
    <w:rsid w:val="00782E9D"/>
    <w:rsid w:val="00785689"/>
    <w:rsid w:val="00793700"/>
    <w:rsid w:val="0079754B"/>
    <w:rsid w:val="00797A8F"/>
    <w:rsid w:val="007A197F"/>
    <w:rsid w:val="007A1CB0"/>
    <w:rsid w:val="007A1E6D"/>
    <w:rsid w:val="007A392B"/>
    <w:rsid w:val="007A482A"/>
    <w:rsid w:val="007B0221"/>
    <w:rsid w:val="007B0EB2"/>
    <w:rsid w:val="007B183C"/>
    <w:rsid w:val="007B2C40"/>
    <w:rsid w:val="007B470B"/>
    <w:rsid w:val="007B531F"/>
    <w:rsid w:val="007D1243"/>
    <w:rsid w:val="007D57C0"/>
    <w:rsid w:val="007D699E"/>
    <w:rsid w:val="007D7A4C"/>
    <w:rsid w:val="007E22F7"/>
    <w:rsid w:val="007F1033"/>
    <w:rsid w:val="007F11FB"/>
    <w:rsid w:val="007F1594"/>
    <w:rsid w:val="008021F2"/>
    <w:rsid w:val="00807A31"/>
    <w:rsid w:val="00810B6F"/>
    <w:rsid w:val="0081436D"/>
    <w:rsid w:val="0081618F"/>
    <w:rsid w:val="00822B4E"/>
    <w:rsid w:val="00822CE0"/>
    <w:rsid w:val="00827C3B"/>
    <w:rsid w:val="00827F15"/>
    <w:rsid w:val="00833214"/>
    <w:rsid w:val="008401A8"/>
    <w:rsid w:val="00840A56"/>
    <w:rsid w:val="00841AB1"/>
    <w:rsid w:val="00844079"/>
    <w:rsid w:val="008440CA"/>
    <w:rsid w:val="0084443D"/>
    <w:rsid w:val="008500ED"/>
    <w:rsid w:val="008508CE"/>
    <w:rsid w:val="0085239A"/>
    <w:rsid w:val="00853987"/>
    <w:rsid w:val="00854376"/>
    <w:rsid w:val="00855304"/>
    <w:rsid w:val="00865560"/>
    <w:rsid w:val="0087255A"/>
    <w:rsid w:val="008758C5"/>
    <w:rsid w:val="00884618"/>
    <w:rsid w:val="00893C05"/>
    <w:rsid w:val="008A108D"/>
    <w:rsid w:val="008A43C6"/>
    <w:rsid w:val="008B0F05"/>
    <w:rsid w:val="008B110D"/>
    <w:rsid w:val="008B1133"/>
    <w:rsid w:val="008B7E65"/>
    <w:rsid w:val="008C68F1"/>
    <w:rsid w:val="008C6E85"/>
    <w:rsid w:val="008C75A1"/>
    <w:rsid w:val="008D1B7A"/>
    <w:rsid w:val="008E078B"/>
    <w:rsid w:val="008E0CD8"/>
    <w:rsid w:val="008E2CF5"/>
    <w:rsid w:val="008E4BB5"/>
    <w:rsid w:val="008F47A1"/>
    <w:rsid w:val="008F6F9C"/>
    <w:rsid w:val="009005AA"/>
    <w:rsid w:val="0090147A"/>
    <w:rsid w:val="009034C2"/>
    <w:rsid w:val="0090586B"/>
    <w:rsid w:val="009079B2"/>
    <w:rsid w:val="00911F6C"/>
    <w:rsid w:val="00912009"/>
    <w:rsid w:val="00916AF0"/>
    <w:rsid w:val="00921803"/>
    <w:rsid w:val="00924722"/>
    <w:rsid w:val="00926503"/>
    <w:rsid w:val="00926716"/>
    <w:rsid w:val="00930E98"/>
    <w:rsid w:val="009343EC"/>
    <w:rsid w:val="009373FE"/>
    <w:rsid w:val="00943E84"/>
    <w:rsid w:val="009545C0"/>
    <w:rsid w:val="009609F5"/>
    <w:rsid w:val="009642ED"/>
    <w:rsid w:val="00965B4D"/>
    <w:rsid w:val="00966E23"/>
    <w:rsid w:val="009726D8"/>
    <w:rsid w:val="0097643C"/>
    <w:rsid w:val="00977588"/>
    <w:rsid w:val="0098026F"/>
    <w:rsid w:val="00980BC4"/>
    <w:rsid w:val="00982F13"/>
    <w:rsid w:val="0098546E"/>
    <w:rsid w:val="00986F60"/>
    <w:rsid w:val="0099589B"/>
    <w:rsid w:val="009A1AA1"/>
    <w:rsid w:val="009A2B03"/>
    <w:rsid w:val="009A530F"/>
    <w:rsid w:val="009A5422"/>
    <w:rsid w:val="009B07DE"/>
    <w:rsid w:val="009B0CB9"/>
    <w:rsid w:val="009B0FE3"/>
    <w:rsid w:val="009B58A6"/>
    <w:rsid w:val="009B6EC4"/>
    <w:rsid w:val="009C2AE8"/>
    <w:rsid w:val="009C6E74"/>
    <w:rsid w:val="009D0D94"/>
    <w:rsid w:val="009D295B"/>
    <w:rsid w:val="009D38E3"/>
    <w:rsid w:val="009D3B00"/>
    <w:rsid w:val="009D5193"/>
    <w:rsid w:val="009E10AD"/>
    <w:rsid w:val="009E3CBB"/>
    <w:rsid w:val="009F25A4"/>
    <w:rsid w:val="009F3271"/>
    <w:rsid w:val="009F68F9"/>
    <w:rsid w:val="009F76DB"/>
    <w:rsid w:val="00A066CA"/>
    <w:rsid w:val="00A1052A"/>
    <w:rsid w:val="00A15496"/>
    <w:rsid w:val="00A2680D"/>
    <w:rsid w:val="00A315FE"/>
    <w:rsid w:val="00A32C3B"/>
    <w:rsid w:val="00A3448B"/>
    <w:rsid w:val="00A35D81"/>
    <w:rsid w:val="00A43387"/>
    <w:rsid w:val="00A45F4F"/>
    <w:rsid w:val="00A47373"/>
    <w:rsid w:val="00A5394F"/>
    <w:rsid w:val="00A53A05"/>
    <w:rsid w:val="00A55BC5"/>
    <w:rsid w:val="00A57715"/>
    <w:rsid w:val="00A600A9"/>
    <w:rsid w:val="00A62DE1"/>
    <w:rsid w:val="00A6414D"/>
    <w:rsid w:val="00A67519"/>
    <w:rsid w:val="00A76883"/>
    <w:rsid w:val="00A774CE"/>
    <w:rsid w:val="00A817E9"/>
    <w:rsid w:val="00A85209"/>
    <w:rsid w:val="00A855F2"/>
    <w:rsid w:val="00A94FC9"/>
    <w:rsid w:val="00AA55B7"/>
    <w:rsid w:val="00AA5B9E"/>
    <w:rsid w:val="00AA6638"/>
    <w:rsid w:val="00AA7DF1"/>
    <w:rsid w:val="00AB1B21"/>
    <w:rsid w:val="00AB2407"/>
    <w:rsid w:val="00AB4263"/>
    <w:rsid w:val="00AB42A3"/>
    <w:rsid w:val="00AB53DF"/>
    <w:rsid w:val="00AB719C"/>
    <w:rsid w:val="00AC034B"/>
    <w:rsid w:val="00AC03DB"/>
    <w:rsid w:val="00AC31B6"/>
    <w:rsid w:val="00AC3993"/>
    <w:rsid w:val="00AC5540"/>
    <w:rsid w:val="00AD122C"/>
    <w:rsid w:val="00AD46DE"/>
    <w:rsid w:val="00AD5635"/>
    <w:rsid w:val="00AD5D6A"/>
    <w:rsid w:val="00AD681F"/>
    <w:rsid w:val="00AD6FA9"/>
    <w:rsid w:val="00AD7270"/>
    <w:rsid w:val="00AE7917"/>
    <w:rsid w:val="00AF0B00"/>
    <w:rsid w:val="00AF1317"/>
    <w:rsid w:val="00AF3B8B"/>
    <w:rsid w:val="00AF4001"/>
    <w:rsid w:val="00AF4E5B"/>
    <w:rsid w:val="00AF6D0F"/>
    <w:rsid w:val="00B03189"/>
    <w:rsid w:val="00B06D5C"/>
    <w:rsid w:val="00B07E5C"/>
    <w:rsid w:val="00B13ABF"/>
    <w:rsid w:val="00B16359"/>
    <w:rsid w:val="00B17AE9"/>
    <w:rsid w:val="00B23500"/>
    <w:rsid w:val="00B32143"/>
    <w:rsid w:val="00B33918"/>
    <w:rsid w:val="00B548E9"/>
    <w:rsid w:val="00B60BB9"/>
    <w:rsid w:val="00B71438"/>
    <w:rsid w:val="00B739E2"/>
    <w:rsid w:val="00B808B0"/>
    <w:rsid w:val="00B811F7"/>
    <w:rsid w:val="00B82DD9"/>
    <w:rsid w:val="00B86606"/>
    <w:rsid w:val="00BA15D3"/>
    <w:rsid w:val="00BA327B"/>
    <w:rsid w:val="00BA5DC6"/>
    <w:rsid w:val="00BA6196"/>
    <w:rsid w:val="00BA7043"/>
    <w:rsid w:val="00BB07D1"/>
    <w:rsid w:val="00BB26E4"/>
    <w:rsid w:val="00BB45A0"/>
    <w:rsid w:val="00BB6A55"/>
    <w:rsid w:val="00BC4595"/>
    <w:rsid w:val="00BC6D8C"/>
    <w:rsid w:val="00BC7AF0"/>
    <w:rsid w:val="00BD360D"/>
    <w:rsid w:val="00BE1DAE"/>
    <w:rsid w:val="00BE24C6"/>
    <w:rsid w:val="00BE4BB4"/>
    <w:rsid w:val="00BF49EF"/>
    <w:rsid w:val="00BF5B42"/>
    <w:rsid w:val="00BF6A8E"/>
    <w:rsid w:val="00BF7DE0"/>
    <w:rsid w:val="00C05F2C"/>
    <w:rsid w:val="00C12CFA"/>
    <w:rsid w:val="00C34006"/>
    <w:rsid w:val="00C357BC"/>
    <w:rsid w:val="00C37231"/>
    <w:rsid w:val="00C426B1"/>
    <w:rsid w:val="00C42D71"/>
    <w:rsid w:val="00C53258"/>
    <w:rsid w:val="00C55675"/>
    <w:rsid w:val="00C578F3"/>
    <w:rsid w:val="00C66160"/>
    <w:rsid w:val="00C71864"/>
    <w:rsid w:val="00C721AC"/>
    <w:rsid w:val="00C8268C"/>
    <w:rsid w:val="00C865F1"/>
    <w:rsid w:val="00C90D6A"/>
    <w:rsid w:val="00C94798"/>
    <w:rsid w:val="00C95847"/>
    <w:rsid w:val="00C97D48"/>
    <w:rsid w:val="00CA04A4"/>
    <w:rsid w:val="00CA2300"/>
    <w:rsid w:val="00CA247E"/>
    <w:rsid w:val="00CA4EDD"/>
    <w:rsid w:val="00CB5BCC"/>
    <w:rsid w:val="00CB60F0"/>
    <w:rsid w:val="00CB6902"/>
    <w:rsid w:val="00CB7F7F"/>
    <w:rsid w:val="00CC3152"/>
    <w:rsid w:val="00CC5EAC"/>
    <w:rsid w:val="00CC72B6"/>
    <w:rsid w:val="00CD3445"/>
    <w:rsid w:val="00CD56B0"/>
    <w:rsid w:val="00CE0179"/>
    <w:rsid w:val="00CE08C4"/>
    <w:rsid w:val="00CF006E"/>
    <w:rsid w:val="00CF62A3"/>
    <w:rsid w:val="00CF6E96"/>
    <w:rsid w:val="00D0014F"/>
    <w:rsid w:val="00D0218D"/>
    <w:rsid w:val="00D05471"/>
    <w:rsid w:val="00D071C1"/>
    <w:rsid w:val="00D10839"/>
    <w:rsid w:val="00D146F9"/>
    <w:rsid w:val="00D16C69"/>
    <w:rsid w:val="00D2109C"/>
    <w:rsid w:val="00D233EB"/>
    <w:rsid w:val="00D23FFF"/>
    <w:rsid w:val="00D25FB5"/>
    <w:rsid w:val="00D31EE6"/>
    <w:rsid w:val="00D321E0"/>
    <w:rsid w:val="00D326F4"/>
    <w:rsid w:val="00D34230"/>
    <w:rsid w:val="00D35F78"/>
    <w:rsid w:val="00D367FE"/>
    <w:rsid w:val="00D44223"/>
    <w:rsid w:val="00D46CFA"/>
    <w:rsid w:val="00D50287"/>
    <w:rsid w:val="00D6715B"/>
    <w:rsid w:val="00D7146E"/>
    <w:rsid w:val="00D7164A"/>
    <w:rsid w:val="00D73A4F"/>
    <w:rsid w:val="00D77B45"/>
    <w:rsid w:val="00D77FB2"/>
    <w:rsid w:val="00D80875"/>
    <w:rsid w:val="00D83183"/>
    <w:rsid w:val="00D85E4B"/>
    <w:rsid w:val="00D86B6E"/>
    <w:rsid w:val="00D92E32"/>
    <w:rsid w:val="00D96A76"/>
    <w:rsid w:val="00DA2529"/>
    <w:rsid w:val="00DB130A"/>
    <w:rsid w:val="00DB2EBB"/>
    <w:rsid w:val="00DB4CC0"/>
    <w:rsid w:val="00DC10A1"/>
    <w:rsid w:val="00DC2370"/>
    <w:rsid w:val="00DC27FD"/>
    <w:rsid w:val="00DC567F"/>
    <w:rsid w:val="00DC655F"/>
    <w:rsid w:val="00DD0B02"/>
    <w:rsid w:val="00DD0B59"/>
    <w:rsid w:val="00DD538B"/>
    <w:rsid w:val="00DD6AB9"/>
    <w:rsid w:val="00DD7EBD"/>
    <w:rsid w:val="00DE12B5"/>
    <w:rsid w:val="00DE2D37"/>
    <w:rsid w:val="00DE41BA"/>
    <w:rsid w:val="00DF1441"/>
    <w:rsid w:val="00DF3566"/>
    <w:rsid w:val="00DF4FA5"/>
    <w:rsid w:val="00DF5AF6"/>
    <w:rsid w:val="00DF62B6"/>
    <w:rsid w:val="00DF78EC"/>
    <w:rsid w:val="00DF7AD8"/>
    <w:rsid w:val="00E01B74"/>
    <w:rsid w:val="00E03A63"/>
    <w:rsid w:val="00E07225"/>
    <w:rsid w:val="00E1744E"/>
    <w:rsid w:val="00E203F0"/>
    <w:rsid w:val="00E21706"/>
    <w:rsid w:val="00E27DC4"/>
    <w:rsid w:val="00E30B02"/>
    <w:rsid w:val="00E30BFA"/>
    <w:rsid w:val="00E33B36"/>
    <w:rsid w:val="00E43C38"/>
    <w:rsid w:val="00E50006"/>
    <w:rsid w:val="00E5409F"/>
    <w:rsid w:val="00E54EEB"/>
    <w:rsid w:val="00E700BE"/>
    <w:rsid w:val="00E74D3B"/>
    <w:rsid w:val="00E8002F"/>
    <w:rsid w:val="00E82765"/>
    <w:rsid w:val="00E86E3C"/>
    <w:rsid w:val="00E87E1C"/>
    <w:rsid w:val="00E948CA"/>
    <w:rsid w:val="00E95087"/>
    <w:rsid w:val="00E96740"/>
    <w:rsid w:val="00EA6D92"/>
    <w:rsid w:val="00EA6E4A"/>
    <w:rsid w:val="00EB18AA"/>
    <w:rsid w:val="00EC6A31"/>
    <w:rsid w:val="00ED451A"/>
    <w:rsid w:val="00EE04FE"/>
    <w:rsid w:val="00EE21D6"/>
    <w:rsid w:val="00EE43F8"/>
    <w:rsid w:val="00EE495B"/>
    <w:rsid w:val="00EE5646"/>
    <w:rsid w:val="00EE594C"/>
    <w:rsid w:val="00EE6488"/>
    <w:rsid w:val="00EF0278"/>
    <w:rsid w:val="00EF7989"/>
    <w:rsid w:val="00F021FA"/>
    <w:rsid w:val="00F036E4"/>
    <w:rsid w:val="00F06205"/>
    <w:rsid w:val="00F1031D"/>
    <w:rsid w:val="00F10E25"/>
    <w:rsid w:val="00F263E8"/>
    <w:rsid w:val="00F26AD0"/>
    <w:rsid w:val="00F27663"/>
    <w:rsid w:val="00F36ED0"/>
    <w:rsid w:val="00F4033E"/>
    <w:rsid w:val="00F408F2"/>
    <w:rsid w:val="00F42FAC"/>
    <w:rsid w:val="00F47472"/>
    <w:rsid w:val="00F53C9F"/>
    <w:rsid w:val="00F62E97"/>
    <w:rsid w:val="00F638B7"/>
    <w:rsid w:val="00F64209"/>
    <w:rsid w:val="00F65825"/>
    <w:rsid w:val="00F65D62"/>
    <w:rsid w:val="00F746A0"/>
    <w:rsid w:val="00F821E1"/>
    <w:rsid w:val="00F93BF5"/>
    <w:rsid w:val="00F93F41"/>
    <w:rsid w:val="00F96DE4"/>
    <w:rsid w:val="00FA1D7F"/>
    <w:rsid w:val="00FA5D59"/>
    <w:rsid w:val="00FA7F1D"/>
    <w:rsid w:val="00FB47B4"/>
    <w:rsid w:val="00FB506F"/>
    <w:rsid w:val="00FB5414"/>
    <w:rsid w:val="00FB5449"/>
    <w:rsid w:val="00FB5C98"/>
    <w:rsid w:val="00FB7878"/>
    <w:rsid w:val="00FC1E95"/>
    <w:rsid w:val="00FC2268"/>
    <w:rsid w:val="00FC5A9F"/>
    <w:rsid w:val="00FD0AD3"/>
    <w:rsid w:val="00FE1109"/>
    <w:rsid w:val="00FE2243"/>
    <w:rsid w:val="00FE433A"/>
    <w:rsid w:val="00FF09EE"/>
    <w:rsid w:val="00FF3A34"/>
    <w:rsid w:val="00FF3BFB"/>
    <w:rsid w:val="00FF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38"/>
    <w:pPr>
      <w:widowControl w:val="0"/>
    </w:pPr>
    <w:rPr>
      <w:snapToGrid w:val="0"/>
      <w:kern w:val="28"/>
      <w:sz w:val="22"/>
    </w:rPr>
  </w:style>
  <w:style w:type="paragraph" w:styleId="Heading1">
    <w:name w:val="heading 1"/>
    <w:basedOn w:val="Normal"/>
    <w:next w:val="ParaNum"/>
    <w:link w:val="Heading1Char"/>
    <w:qFormat/>
    <w:rsid w:val="00595F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95F38"/>
    <w:pPr>
      <w:keepNext/>
      <w:numPr>
        <w:ilvl w:val="1"/>
        <w:numId w:val="3"/>
      </w:numPr>
      <w:spacing w:after="120"/>
      <w:outlineLvl w:val="1"/>
    </w:pPr>
    <w:rPr>
      <w:b/>
    </w:rPr>
  </w:style>
  <w:style w:type="paragraph" w:styleId="Heading3">
    <w:name w:val="heading 3"/>
    <w:basedOn w:val="Normal"/>
    <w:next w:val="ParaNum"/>
    <w:link w:val="Heading3Char"/>
    <w:qFormat/>
    <w:rsid w:val="00595F38"/>
    <w:pPr>
      <w:keepNext/>
      <w:numPr>
        <w:ilvl w:val="2"/>
        <w:numId w:val="3"/>
      </w:numPr>
      <w:tabs>
        <w:tab w:val="left" w:pos="2160"/>
      </w:tabs>
      <w:spacing w:after="120"/>
      <w:outlineLvl w:val="2"/>
    </w:pPr>
    <w:rPr>
      <w:b/>
    </w:rPr>
  </w:style>
  <w:style w:type="paragraph" w:styleId="Heading4">
    <w:name w:val="heading 4"/>
    <w:basedOn w:val="Normal"/>
    <w:next w:val="ParaNum"/>
    <w:qFormat/>
    <w:rsid w:val="00595F38"/>
    <w:pPr>
      <w:keepNext/>
      <w:numPr>
        <w:ilvl w:val="3"/>
        <w:numId w:val="3"/>
      </w:numPr>
      <w:tabs>
        <w:tab w:val="left" w:pos="2880"/>
      </w:tabs>
      <w:spacing w:after="120"/>
      <w:outlineLvl w:val="3"/>
    </w:pPr>
    <w:rPr>
      <w:b/>
    </w:rPr>
  </w:style>
  <w:style w:type="paragraph" w:styleId="Heading5">
    <w:name w:val="heading 5"/>
    <w:basedOn w:val="Normal"/>
    <w:next w:val="ParaNum"/>
    <w:qFormat/>
    <w:rsid w:val="00595F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95F38"/>
    <w:pPr>
      <w:numPr>
        <w:ilvl w:val="5"/>
        <w:numId w:val="3"/>
      </w:numPr>
      <w:tabs>
        <w:tab w:val="left" w:pos="4320"/>
      </w:tabs>
      <w:spacing w:after="120"/>
      <w:outlineLvl w:val="5"/>
    </w:pPr>
    <w:rPr>
      <w:b/>
    </w:rPr>
  </w:style>
  <w:style w:type="paragraph" w:styleId="Heading7">
    <w:name w:val="heading 7"/>
    <w:basedOn w:val="Normal"/>
    <w:next w:val="ParaNum"/>
    <w:qFormat/>
    <w:rsid w:val="00595F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95F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95F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95F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5F38"/>
  </w:style>
  <w:style w:type="paragraph" w:customStyle="1" w:styleId="ParaNum">
    <w:name w:val="ParaNum"/>
    <w:basedOn w:val="Normal"/>
    <w:link w:val="ParaNumChar1"/>
    <w:rsid w:val="00595F38"/>
    <w:pPr>
      <w:numPr>
        <w:numId w:val="2"/>
      </w:numPr>
      <w:tabs>
        <w:tab w:val="clear" w:pos="1080"/>
        <w:tab w:val="num" w:pos="1440"/>
      </w:tabs>
      <w:spacing w:after="120"/>
    </w:pPr>
  </w:style>
  <w:style w:type="paragraph" w:styleId="EndnoteText">
    <w:name w:val="endnote text"/>
    <w:basedOn w:val="Normal"/>
    <w:semiHidden/>
    <w:rsid w:val="00595F38"/>
    <w:rPr>
      <w:sz w:val="20"/>
    </w:rPr>
  </w:style>
  <w:style w:type="character" w:styleId="EndnoteReference">
    <w:name w:val="endnote reference"/>
    <w:semiHidden/>
    <w:rsid w:val="00595F38"/>
    <w:rPr>
      <w:vertAlign w:val="superscript"/>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ALTS FOOTNOTE,ALTS FOOTNOTE Char,f"/>
    <w:link w:val="FootnoteTextChar"/>
    <w:rsid w:val="00595F38"/>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595F38"/>
    <w:rPr>
      <w:rFonts w:ascii="Times New Roman" w:hAnsi="Times New Roman"/>
      <w:dstrike w:val="0"/>
      <w:color w:val="auto"/>
      <w:sz w:val="20"/>
      <w:vertAlign w:val="superscript"/>
    </w:rPr>
  </w:style>
  <w:style w:type="paragraph" w:styleId="TOC1">
    <w:name w:val="toc 1"/>
    <w:basedOn w:val="Normal"/>
    <w:next w:val="Normal"/>
    <w:semiHidden/>
    <w:rsid w:val="00595F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95F38"/>
    <w:pPr>
      <w:tabs>
        <w:tab w:val="left" w:pos="720"/>
        <w:tab w:val="right" w:leader="dot" w:pos="9360"/>
      </w:tabs>
      <w:suppressAutoHyphens/>
      <w:ind w:left="720" w:right="720" w:hanging="360"/>
    </w:pPr>
    <w:rPr>
      <w:noProof/>
    </w:rPr>
  </w:style>
  <w:style w:type="paragraph" w:styleId="TOC3">
    <w:name w:val="toc 3"/>
    <w:basedOn w:val="Normal"/>
    <w:next w:val="Normal"/>
    <w:semiHidden/>
    <w:rsid w:val="00595F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95F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95F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95F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95F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95F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95F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95F38"/>
    <w:pPr>
      <w:tabs>
        <w:tab w:val="right" w:pos="9360"/>
      </w:tabs>
      <w:suppressAutoHyphens/>
    </w:pPr>
  </w:style>
  <w:style w:type="character" w:customStyle="1" w:styleId="EquationCaption">
    <w:name w:val="_Equation Caption"/>
    <w:rsid w:val="00595F38"/>
  </w:style>
  <w:style w:type="paragraph" w:styleId="Header">
    <w:name w:val="header"/>
    <w:basedOn w:val="Normal"/>
    <w:autoRedefine/>
    <w:rsid w:val="00595F38"/>
    <w:pPr>
      <w:tabs>
        <w:tab w:val="center" w:pos="4680"/>
        <w:tab w:val="right" w:pos="9360"/>
      </w:tabs>
    </w:pPr>
    <w:rPr>
      <w:b/>
    </w:rPr>
  </w:style>
  <w:style w:type="paragraph" w:styleId="Footer">
    <w:name w:val="footer"/>
    <w:basedOn w:val="Normal"/>
    <w:link w:val="FooterChar"/>
    <w:rsid w:val="00595F38"/>
    <w:pPr>
      <w:tabs>
        <w:tab w:val="center" w:pos="4320"/>
        <w:tab w:val="right" w:pos="8640"/>
      </w:tabs>
    </w:pPr>
  </w:style>
  <w:style w:type="character" w:styleId="PageNumber">
    <w:name w:val="page number"/>
    <w:basedOn w:val="DefaultParagraphFont"/>
    <w:rsid w:val="00595F38"/>
  </w:style>
  <w:style w:type="paragraph" w:styleId="BlockText">
    <w:name w:val="Block Text"/>
    <w:basedOn w:val="Normal"/>
    <w:rsid w:val="00595F38"/>
    <w:pPr>
      <w:spacing w:after="240"/>
      <w:ind w:left="1440" w:right="1440"/>
    </w:pPr>
  </w:style>
  <w:style w:type="paragraph" w:customStyle="1" w:styleId="Paratitle">
    <w:name w:val="Para title"/>
    <w:basedOn w:val="Normal"/>
    <w:rsid w:val="00595F38"/>
    <w:pPr>
      <w:tabs>
        <w:tab w:val="center" w:pos="9270"/>
      </w:tabs>
      <w:spacing w:after="240"/>
    </w:pPr>
    <w:rPr>
      <w:spacing w:val="-2"/>
    </w:rPr>
  </w:style>
  <w:style w:type="paragraph" w:customStyle="1" w:styleId="Bullet">
    <w:name w:val="Bullet"/>
    <w:basedOn w:val="Normal"/>
    <w:rsid w:val="00595F38"/>
    <w:pPr>
      <w:tabs>
        <w:tab w:val="left" w:pos="2160"/>
      </w:tabs>
      <w:spacing w:after="220"/>
      <w:ind w:left="2160" w:hanging="720"/>
    </w:pPr>
  </w:style>
  <w:style w:type="paragraph" w:customStyle="1" w:styleId="TableFormat">
    <w:name w:val="TableFormat"/>
    <w:basedOn w:val="Bullet"/>
    <w:rsid w:val="00595F38"/>
    <w:pPr>
      <w:tabs>
        <w:tab w:val="clear" w:pos="2160"/>
        <w:tab w:val="left" w:pos="5040"/>
      </w:tabs>
      <w:ind w:left="5040" w:hanging="3600"/>
    </w:pPr>
  </w:style>
  <w:style w:type="paragraph" w:customStyle="1" w:styleId="TOCTitle">
    <w:name w:val="TOC Title"/>
    <w:basedOn w:val="Normal"/>
    <w:rsid w:val="00595F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95F38"/>
    <w:pPr>
      <w:jc w:val="center"/>
    </w:pPr>
    <w:rPr>
      <w:rFonts w:ascii="Times New Roman Bold" w:hAnsi="Times New Roman Bold"/>
      <w:b/>
      <w:bCs/>
      <w:caps/>
      <w:szCs w:val="22"/>
    </w:rPr>
  </w:style>
  <w:style w:type="character" w:styleId="Hyperlink">
    <w:name w:val="Hyperlink"/>
    <w:rsid w:val="00595F38"/>
    <w:rPr>
      <w:color w:val="0000FF"/>
      <w:u w:val="single"/>
    </w:rPr>
  </w:style>
  <w:style w:type="paragraph" w:styleId="ListParagraph">
    <w:name w:val="List Paragraph"/>
    <w:basedOn w:val="Normal"/>
    <w:uiPriority w:val="34"/>
    <w:qFormat/>
    <w:rsid w:val="008E0CD8"/>
    <w:pPr>
      <w:ind w:left="720"/>
      <w:contextualSpacing/>
    </w:pPr>
    <w:rPr>
      <w:sz w:val="24"/>
      <w:szCs w:val="24"/>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ALTS FOOTNOTE Char1,f Char"/>
    <w:link w:val="FootnoteText"/>
    <w:rsid w:val="008E0CD8"/>
  </w:style>
  <w:style w:type="character" w:customStyle="1" w:styleId="Heading1Char">
    <w:name w:val="Heading 1 Char"/>
    <w:link w:val="Heading1"/>
    <w:rsid w:val="008E0CD8"/>
    <w:rPr>
      <w:rFonts w:ascii="Times New Roman Bold" w:hAnsi="Times New Roman Bold"/>
      <w:b/>
      <w:caps/>
      <w:snapToGrid w:val="0"/>
      <w:kern w:val="28"/>
      <w:sz w:val="22"/>
    </w:rPr>
  </w:style>
  <w:style w:type="character" w:customStyle="1" w:styleId="Heading2Char">
    <w:name w:val="Heading 2 Char"/>
    <w:link w:val="Heading2"/>
    <w:rsid w:val="00C37231"/>
    <w:rPr>
      <w:b/>
      <w:snapToGrid w:val="0"/>
      <w:kern w:val="28"/>
      <w:sz w:val="22"/>
    </w:rPr>
  </w:style>
  <w:style w:type="character" w:customStyle="1" w:styleId="ParaNumChar1">
    <w:name w:val="ParaNum Char1"/>
    <w:link w:val="ParaNum"/>
    <w:locked/>
    <w:rsid w:val="00930E98"/>
    <w:rPr>
      <w:snapToGrid w:val="0"/>
      <w:kern w:val="28"/>
      <w:sz w:val="22"/>
    </w:rPr>
  </w:style>
  <w:style w:type="character" w:customStyle="1" w:styleId="ParaNumChar2">
    <w:name w:val="ParaNum Char2"/>
    <w:rsid w:val="00286A68"/>
    <w:rPr>
      <w:snapToGrid w:val="0"/>
      <w:kern w:val="28"/>
      <w:sz w:val="22"/>
    </w:rPr>
  </w:style>
  <w:style w:type="character" w:customStyle="1" w:styleId="FootnoteTextChar1">
    <w:name w:val="Footnote Text Char1"/>
    <w:aliases w:val="Footnote Text Char Char,Footnote Text Char2 Char Char,Footnote Text Char2 Char Char Char Char Char,Footnote Text Char1 Char1 Char Char Char Char Char"/>
    <w:semiHidden/>
    <w:locked/>
    <w:rsid w:val="00286653"/>
    <w:rPr>
      <w:sz w:val="22"/>
    </w:rPr>
  </w:style>
  <w:style w:type="character" w:customStyle="1" w:styleId="FootnoteTextChar3">
    <w:name w:val="Footnote Text Char3"/>
    <w:aliases w:val="Footnote Text Char2 Char Char Char,Footnote Text Char3 Char1 Char Char Char,Footnote Text Char2 Char1 Char1 Char Char Char,Footnote Text Char3 Char1 Char Char Char Char Char"/>
    <w:rsid w:val="00057137"/>
  </w:style>
  <w:style w:type="paragraph" w:styleId="BalloonText">
    <w:name w:val="Balloon Text"/>
    <w:basedOn w:val="Normal"/>
    <w:link w:val="BalloonTextChar"/>
    <w:rsid w:val="00AC03DB"/>
    <w:rPr>
      <w:rFonts w:ascii="Segoe UI" w:hAnsi="Segoe UI" w:cs="Segoe UI"/>
      <w:sz w:val="18"/>
      <w:szCs w:val="18"/>
    </w:rPr>
  </w:style>
  <w:style w:type="character" w:customStyle="1" w:styleId="BalloonTextChar">
    <w:name w:val="Balloon Text Char"/>
    <w:basedOn w:val="DefaultParagraphFont"/>
    <w:link w:val="BalloonText"/>
    <w:rsid w:val="00AC03DB"/>
    <w:rPr>
      <w:rFonts w:ascii="Segoe UI" w:hAnsi="Segoe UI" w:cs="Segoe UI"/>
      <w:sz w:val="18"/>
      <w:szCs w:val="18"/>
    </w:rPr>
  </w:style>
  <w:style w:type="character" w:styleId="FollowedHyperlink">
    <w:name w:val="FollowedHyperlink"/>
    <w:basedOn w:val="DefaultParagraphFont"/>
    <w:rsid w:val="00D071C1"/>
    <w:rPr>
      <w:color w:val="954F72" w:themeColor="followedHyperlink"/>
      <w:u w:val="single"/>
    </w:rPr>
  </w:style>
  <w:style w:type="character" w:styleId="CommentReference">
    <w:name w:val="annotation reference"/>
    <w:basedOn w:val="DefaultParagraphFont"/>
    <w:rsid w:val="0072751B"/>
    <w:rPr>
      <w:sz w:val="16"/>
      <w:szCs w:val="16"/>
    </w:rPr>
  </w:style>
  <w:style w:type="paragraph" w:styleId="CommentText">
    <w:name w:val="annotation text"/>
    <w:basedOn w:val="Normal"/>
    <w:link w:val="CommentTextChar"/>
    <w:rsid w:val="0072751B"/>
    <w:rPr>
      <w:sz w:val="20"/>
    </w:rPr>
  </w:style>
  <w:style w:type="character" w:customStyle="1" w:styleId="CommentTextChar">
    <w:name w:val="Comment Text Char"/>
    <w:basedOn w:val="DefaultParagraphFont"/>
    <w:link w:val="CommentText"/>
    <w:rsid w:val="0072751B"/>
    <w:rPr>
      <w:snapToGrid w:val="0"/>
      <w:kern w:val="28"/>
    </w:rPr>
  </w:style>
  <w:style w:type="paragraph" w:styleId="CommentSubject">
    <w:name w:val="annotation subject"/>
    <w:basedOn w:val="CommentText"/>
    <w:next w:val="CommentText"/>
    <w:link w:val="CommentSubjectChar"/>
    <w:rsid w:val="0072751B"/>
    <w:rPr>
      <w:b/>
      <w:bCs/>
    </w:rPr>
  </w:style>
  <w:style w:type="character" w:customStyle="1" w:styleId="CommentSubjectChar">
    <w:name w:val="Comment Subject Char"/>
    <w:basedOn w:val="CommentTextChar"/>
    <w:link w:val="CommentSubject"/>
    <w:rsid w:val="0072751B"/>
    <w:rPr>
      <w:b/>
      <w:bCs/>
      <w:snapToGrid w:val="0"/>
      <w:kern w:val="28"/>
    </w:rPr>
  </w:style>
  <w:style w:type="character" w:customStyle="1" w:styleId="Heading3Char">
    <w:name w:val="Heading 3 Char"/>
    <w:basedOn w:val="DefaultParagraphFont"/>
    <w:link w:val="Heading3"/>
    <w:rsid w:val="00216936"/>
    <w:rPr>
      <w:b/>
      <w:snapToGrid w:val="0"/>
      <w:kern w:val="28"/>
      <w:sz w:val="22"/>
    </w:rPr>
  </w:style>
  <w:style w:type="character" w:customStyle="1" w:styleId="Footnote">
    <w:name w:val="Footnote"/>
    <w:rsid w:val="00216936"/>
  </w:style>
  <w:style w:type="character" w:customStyle="1" w:styleId="Heading2CharChar2">
    <w:name w:val="Heading 2 Char Char2"/>
    <w:rsid w:val="00216936"/>
    <w:rPr>
      <w:b/>
      <w:snapToGrid w:val="0"/>
      <w:kern w:val="28"/>
      <w:sz w:val="24"/>
      <w:lang w:val="en-US" w:eastAsia="en-US"/>
    </w:rPr>
  </w:style>
  <w:style w:type="character" w:customStyle="1" w:styleId="StyleFootnoteReferenceStyle13Style12NECGFootnoteReferenc">
    <w:name w:val="Style Footnote ReferenceStyle 13Style 12(NECG) Footnote Referenc..."/>
    <w:rsid w:val="00216936"/>
    <w:rPr>
      <w:rFonts w:ascii="Times New Roman" w:hAnsi="Times New Roman"/>
      <w:color w:val="auto"/>
      <w:sz w:val="20"/>
      <w:vertAlign w:val="superscript"/>
    </w:rPr>
  </w:style>
  <w:style w:type="character" w:customStyle="1" w:styleId="FooterChar">
    <w:name w:val="Footer Char"/>
    <w:basedOn w:val="DefaultParagraphFont"/>
    <w:link w:val="Footer"/>
    <w:rsid w:val="009E10AD"/>
    <w:rPr>
      <w:snapToGrid w:val="0"/>
      <w:kern w:val="28"/>
      <w:sz w:val="22"/>
    </w:rPr>
  </w:style>
  <w:style w:type="character" w:customStyle="1" w:styleId="s1">
    <w:name w:val="s1"/>
    <w:basedOn w:val="DefaultParagraphFont"/>
    <w:rsid w:val="00FB5449"/>
  </w:style>
  <w:style w:type="character" w:styleId="Emphasis">
    <w:name w:val="Emphasis"/>
    <w:basedOn w:val="DefaultParagraphFont"/>
    <w:uiPriority w:val="20"/>
    <w:qFormat/>
    <w:rsid w:val="00FE22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38"/>
    <w:pPr>
      <w:widowControl w:val="0"/>
    </w:pPr>
    <w:rPr>
      <w:snapToGrid w:val="0"/>
      <w:kern w:val="28"/>
      <w:sz w:val="22"/>
    </w:rPr>
  </w:style>
  <w:style w:type="paragraph" w:styleId="Heading1">
    <w:name w:val="heading 1"/>
    <w:basedOn w:val="Normal"/>
    <w:next w:val="ParaNum"/>
    <w:link w:val="Heading1Char"/>
    <w:qFormat/>
    <w:rsid w:val="00595F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95F38"/>
    <w:pPr>
      <w:keepNext/>
      <w:numPr>
        <w:ilvl w:val="1"/>
        <w:numId w:val="3"/>
      </w:numPr>
      <w:spacing w:after="120"/>
      <w:outlineLvl w:val="1"/>
    </w:pPr>
    <w:rPr>
      <w:b/>
    </w:rPr>
  </w:style>
  <w:style w:type="paragraph" w:styleId="Heading3">
    <w:name w:val="heading 3"/>
    <w:basedOn w:val="Normal"/>
    <w:next w:val="ParaNum"/>
    <w:link w:val="Heading3Char"/>
    <w:qFormat/>
    <w:rsid w:val="00595F38"/>
    <w:pPr>
      <w:keepNext/>
      <w:numPr>
        <w:ilvl w:val="2"/>
        <w:numId w:val="3"/>
      </w:numPr>
      <w:tabs>
        <w:tab w:val="left" w:pos="2160"/>
      </w:tabs>
      <w:spacing w:after="120"/>
      <w:outlineLvl w:val="2"/>
    </w:pPr>
    <w:rPr>
      <w:b/>
    </w:rPr>
  </w:style>
  <w:style w:type="paragraph" w:styleId="Heading4">
    <w:name w:val="heading 4"/>
    <w:basedOn w:val="Normal"/>
    <w:next w:val="ParaNum"/>
    <w:qFormat/>
    <w:rsid w:val="00595F38"/>
    <w:pPr>
      <w:keepNext/>
      <w:numPr>
        <w:ilvl w:val="3"/>
        <w:numId w:val="3"/>
      </w:numPr>
      <w:tabs>
        <w:tab w:val="left" w:pos="2880"/>
      </w:tabs>
      <w:spacing w:after="120"/>
      <w:outlineLvl w:val="3"/>
    </w:pPr>
    <w:rPr>
      <w:b/>
    </w:rPr>
  </w:style>
  <w:style w:type="paragraph" w:styleId="Heading5">
    <w:name w:val="heading 5"/>
    <w:basedOn w:val="Normal"/>
    <w:next w:val="ParaNum"/>
    <w:qFormat/>
    <w:rsid w:val="00595F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95F38"/>
    <w:pPr>
      <w:numPr>
        <w:ilvl w:val="5"/>
        <w:numId w:val="3"/>
      </w:numPr>
      <w:tabs>
        <w:tab w:val="left" w:pos="4320"/>
      </w:tabs>
      <w:spacing w:after="120"/>
      <w:outlineLvl w:val="5"/>
    </w:pPr>
    <w:rPr>
      <w:b/>
    </w:rPr>
  </w:style>
  <w:style w:type="paragraph" w:styleId="Heading7">
    <w:name w:val="heading 7"/>
    <w:basedOn w:val="Normal"/>
    <w:next w:val="ParaNum"/>
    <w:qFormat/>
    <w:rsid w:val="00595F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95F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95F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95F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5F38"/>
  </w:style>
  <w:style w:type="paragraph" w:customStyle="1" w:styleId="ParaNum">
    <w:name w:val="ParaNum"/>
    <w:basedOn w:val="Normal"/>
    <w:link w:val="ParaNumChar1"/>
    <w:rsid w:val="00595F38"/>
    <w:pPr>
      <w:numPr>
        <w:numId w:val="2"/>
      </w:numPr>
      <w:tabs>
        <w:tab w:val="clear" w:pos="1080"/>
        <w:tab w:val="num" w:pos="1440"/>
      </w:tabs>
      <w:spacing w:after="120"/>
    </w:pPr>
  </w:style>
  <w:style w:type="paragraph" w:styleId="EndnoteText">
    <w:name w:val="endnote text"/>
    <w:basedOn w:val="Normal"/>
    <w:semiHidden/>
    <w:rsid w:val="00595F38"/>
    <w:rPr>
      <w:sz w:val="20"/>
    </w:rPr>
  </w:style>
  <w:style w:type="character" w:styleId="EndnoteReference">
    <w:name w:val="endnote reference"/>
    <w:semiHidden/>
    <w:rsid w:val="00595F38"/>
    <w:rPr>
      <w:vertAlign w:val="superscript"/>
    </w:rPr>
  </w:style>
  <w:style w:type="paragraph" w:styleId="FootnoteText">
    <w:name w:val="footnote text"/>
    <w:aliases w:val="Footnote Text Char1 Char,ALTS FOOTNOTE Char Char,fn Char Char,Footnote Text Char Char Char,Footnote Text Char1 Char Char Char,Footnote Text Char Char Char Char Char,ALTS FOOTNOTE Char Char Char1 Char Char,ALTS FOOTNOTE,ALTS FOOTNOTE Char,f"/>
    <w:link w:val="FootnoteTextChar"/>
    <w:rsid w:val="00595F38"/>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595F38"/>
    <w:rPr>
      <w:rFonts w:ascii="Times New Roman" w:hAnsi="Times New Roman"/>
      <w:dstrike w:val="0"/>
      <w:color w:val="auto"/>
      <w:sz w:val="20"/>
      <w:vertAlign w:val="superscript"/>
    </w:rPr>
  </w:style>
  <w:style w:type="paragraph" w:styleId="TOC1">
    <w:name w:val="toc 1"/>
    <w:basedOn w:val="Normal"/>
    <w:next w:val="Normal"/>
    <w:semiHidden/>
    <w:rsid w:val="00595F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95F38"/>
    <w:pPr>
      <w:tabs>
        <w:tab w:val="left" w:pos="720"/>
        <w:tab w:val="right" w:leader="dot" w:pos="9360"/>
      </w:tabs>
      <w:suppressAutoHyphens/>
      <w:ind w:left="720" w:right="720" w:hanging="360"/>
    </w:pPr>
    <w:rPr>
      <w:noProof/>
    </w:rPr>
  </w:style>
  <w:style w:type="paragraph" w:styleId="TOC3">
    <w:name w:val="toc 3"/>
    <w:basedOn w:val="Normal"/>
    <w:next w:val="Normal"/>
    <w:semiHidden/>
    <w:rsid w:val="00595F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95F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95F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95F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95F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95F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95F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95F38"/>
    <w:pPr>
      <w:tabs>
        <w:tab w:val="right" w:pos="9360"/>
      </w:tabs>
      <w:suppressAutoHyphens/>
    </w:pPr>
  </w:style>
  <w:style w:type="character" w:customStyle="1" w:styleId="EquationCaption">
    <w:name w:val="_Equation Caption"/>
    <w:rsid w:val="00595F38"/>
  </w:style>
  <w:style w:type="paragraph" w:styleId="Header">
    <w:name w:val="header"/>
    <w:basedOn w:val="Normal"/>
    <w:autoRedefine/>
    <w:rsid w:val="00595F38"/>
    <w:pPr>
      <w:tabs>
        <w:tab w:val="center" w:pos="4680"/>
        <w:tab w:val="right" w:pos="9360"/>
      </w:tabs>
    </w:pPr>
    <w:rPr>
      <w:b/>
    </w:rPr>
  </w:style>
  <w:style w:type="paragraph" w:styleId="Footer">
    <w:name w:val="footer"/>
    <w:basedOn w:val="Normal"/>
    <w:link w:val="FooterChar"/>
    <w:rsid w:val="00595F38"/>
    <w:pPr>
      <w:tabs>
        <w:tab w:val="center" w:pos="4320"/>
        <w:tab w:val="right" w:pos="8640"/>
      </w:tabs>
    </w:pPr>
  </w:style>
  <w:style w:type="character" w:styleId="PageNumber">
    <w:name w:val="page number"/>
    <w:basedOn w:val="DefaultParagraphFont"/>
    <w:rsid w:val="00595F38"/>
  </w:style>
  <w:style w:type="paragraph" w:styleId="BlockText">
    <w:name w:val="Block Text"/>
    <w:basedOn w:val="Normal"/>
    <w:rsid w:val="00595F38"/>
    <w:pPr>
      <w:spacing w:after="240"/>
      <w:ind w:left="1440" w:right="1440"/>
    </w:pPr>
  </w:style>
  <w:style w:type="paragraph" w:customStyle="1" w:styleId="Paratitle">
    <w:name w:val="Para title"/>
    <w:basedOn w:val="Normal"/>
    <w:rsid w:val="00595F38"/>
    <w:pPr>
      <w:tabs>
        <w:tab w:val="center" w:pos="9270"/>
      </w:tabs>
      <w:spacing w:after="240"/>
    </w:pPr>
    <w:rPr>
      <w:spacing w:val="-2"/>
    </w:rPr>
  </w:style>
  <w:style w:type="paragraph" w:customStyle="1" w:styleId="Bullet">
    <w:name w:val="Bullet"/>
    <w:basedOn w:val="Normal"/>
    <w:rsid w:val="00595F38"/>
    <w:pPr>
      <w:tabs>
        <w:tab w:val="left" w:pos="2160"/>
      </w:tabs>
      <w:spacing w:after="220"/>
      <w:ind w:left="2160" w:hanging="720"/>
    </w:pPr>
  </w:style>
  <w:style w:type="paragraph" w:customStyle="1" w:styleId="TableFormat">
    <w:name w:val="TableFormat"/>
    <w:basedOn w:val="Bullet"/>
    <w:rsid w:val="00595F38"/>
    <w:pPr>
      <w:tabs>
        <w:tab w:val="clear" w:pos="2160"/>
        <w:tab w:val="left" w:pos="5040"/>
      </w:tabs>
      <w:ind w:left="5040" w:hanging="3600"/>
    </w:pPr>
  </w:style>
  <w:style w:type="paragraph" w:customStyle="1" w:styleId="TOCTitle">
    <w:name w:val="TOC Title"/>
    <w:basedOn w:val="Normal"/>
    <w:rsid w:val="00595F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95F38"/>
    <w:pPr>
      <w:jc w:val="center"/>
    </w:pPr>
    <w:rPr>
      <w:rFonts w:ascii="Times New Roman Bold" w:hAnsi="Times New Roman Bold"/>
      <w:b/>
      <w:bCs/>
      <w:caps/>
      <w:szCs w:val="22"/>
    </w:rPr>
  </w:style>
  <w:style w:type="character" w:styleId="Hyperlink">
    <w:name w:val="Hyperlink"/>
    <w:rsid w:val="00595F38"/>
    <w:rPr>
      <w:color w:val="0000FF"/>
      <w:u w:val="single"/>
    </w:rPr>
  </w:style>
  <w:style w:type="paragraph" w:styleId="ListParagraph">
    <w:name w:val="List Paragraph"/>
    <w:basedOn w:val="Normal"/>
    <w:uiPriority w:val="34"/>
    <w:qFormat/>
    <w:rsid w:val="008E0CD8"/>
    <w:pPr>
      <w:ind w:left="720"/>
      <w:contextualSpacing/>
    </w:pPr>
    <w:rPr>
      <w:sz w:val="24"/>
      <w:szCs w:val="24"/>
    </w:rPr>
  </w:style>
  <w:style w:type="character" w:customStyle="1" w:styleId="FootnoteTextChar">
    <w:name w:val="Footnote Text Char"/>
    <w:aliases w:val="Footnote Text Char1 Char Char,ALTS FOOTNOTE Char Char Char,fn Char Char Char,Footnote Text Char Char Char Char,Footnote Text Char1 Char Char Char Char,Footnote Text Char Char Char Char Char Char,ALTS FOOTNOTE Char1,f Char"/>
    <w:link w:val="FootnoteText"/>
    <w:rsid w:val="008E0CD8"/>
  </w:style>
  <w:style w:type="character" w:customStyle="1" w:styleId="Heading1Char">
    <w:name w:val="Heading 1 Char"/>
    <w:link w:val="Heading1"/>
    <w:rsid w:val="008E0CD8"/>
    <w:rPr>
      <w:rFonts w:ascii="Times New Roman Bold" w:hAnsi="Times New Roman Bold"/>
      <w:b/>
      <w:caps/>
      <w:snapToGrid w:val="0"/>
      <w:kern w:val="28"/>
      <w:sz w:val="22"/>
    </w:rPr>
  </w:style>
  <w:style w:type="character" w:customStyle="1" w:styleId="Heading2Char">
    <w:name w:val="Heading 2 Char"/>
    <w:link w:val="Heading2"/>
    <w:rsid w:val="00C37231"/>
    <w:rPr>
      <w:b/>
      <w:snapToGrid w:val="0"/>
      <w:kern w:val="28"/>
      <w:sz w:val="22"/>
    </w:rPr>
  </w:style>
  <w:style w:type="character" w:customStyle="1" w:styleId="ParaNumChar1">
    <w:name w:val="ParaNum Char1"/>
    <w:link w:val="ParaNum"/>
    <w:locked/>
    <w:rsid w:val="00930E98"/>
    <w:rPr>
      <w:snapToGrid w:val="0"/>
      <w:kern w:val="28"/>
      <w:sz w:val="22"/>
    </w:rPr>
  </w:style>
  <w:style w:type="character" w:customStyle="1" w:styleId="ParaNumChar2">
    <w:name w:val="ParaNum Char2"/>
    <w:rsid w:val="00286A68"/>
    <w:rPr>
      <w:snapToGrid w:val="0"/>
      <w:kern w:val="28"/>
      <w:sz w:val="22"/>
    </w:rPr>
  </w:style>
  <w:style w:type="character" w:customStyle="1" w:styleId="FootnoteTextChar1">
    <w:name w:val="Footnote Text Char1"/>
    <w:aliases w:val="Footnote Text Char Char,Footnote Text Char2 Char Char,Footnote Text Char2 Char Char Char Char Char,Footnote Text Char1 Char1 Char Char Char Char Char"/>
    <w:semiHidden/>
    <w:locked/>
    <w:rsid w:val="00286653"/>
    <w:rPr>
      <w:sz w:val="22"/>
    </w:rPr>
  </w:style>
  <w:style w:type="character" w:customStyle="1" w:styleId="FootnoteTextChar3">
    <w:name w:val="Footnote Text Char3"/>
    <w:aliases w:val="Footnote Text Char2 Char Char Char,Footnote Text Char3 Char1 Char Char Char,Footnote Text Char2 Char1 Char1 Char Char Char,Footnote Text Char3 Char1 Char Char Char Char Char"/>
    <w:rsid w:val="00057137"/>
  </w:style>
  <w:style w:type="paragraph" w:styleId="BalloonText">
    <w:name w:val="Balloon Text"/>
    <w:basedOn w:val="Normal"/>
    <w:link w:val="BalloonTextChar"/>
    <w:rsid w:val="00AC03DB"/>
    <w:rPr>
      <w:rFonts w:ascii="Segoe UI" w:hAnsi="Segoe UI" w:cs="Segoe UI"/>
      <w:sz w:val="18"/>
      <w:szCs w:val="18"/>
    </w:rPr>
  </w:style>
  <w:style w:type="character" w:customStyle="1" w:styleId="BalloonTextChar">
    <w:name w:val="Balloon Text Char"/>
    <w:basedOn w:val="DefaultParagraphFont"/>
    <w:link w:val="BalloonText"/>
    <w:rsid w:val="00AC03DB"/>
    <w:rPr>
      <w:rFonts w:ascii="Segoe UI" w:hAnsi="Segoe UI" w:cs="Segoe UI"/>
      <w:sz w:val="18"/>
      <w:szCs w:val="18"/>
    </w:rPr>
  </w:style>
  <w:style w:type="character" w:styleId="FollowedHyperlink">
    <w:name w:val="FollowedHyperlink"/>
    <w:basedOn w:val="DefaultParagraphFont"/>
    <w:rsid w:val="00D071C1"/>
    <w:rPr>
      <w:color w:val="954F72" w:themeColor="followedHyperlink"/>
      <w:u w:val="single"/>
    </w:rPr>
  </w:style>
  <w:style w:type="character" w:styleId="CommentReference">
    <w:name w:val="annotation reference"/>
    <w:basedOn w:val="DefaultParagraphFont"/>
    <w:rsid w:val="0072751B"/>
    <w:rPr>
      <w:sz w:val="16"/>
      <w:szCs w:val="16"/>
    </w:rPr>
  </w:style>
  <w:style w:type="paragraph" w:styleId="CommentText">
    <w:name w:val="annotation text"/>
    <w:basedOn w:val="Normal"/>
    <w:link w:val="CommentTextChar"/>
    <w:rsid w:val="0072751B"/>
    <w:rPr>
      <w:sz w:val="20"/>
    </w:rPr>
  </w:style>
  <w:style w:type="character" w:customStyle="1" w:styleId="CommentTextChar">
    <w:name w:val="Comment Text Char"/>
    <w:basedOn w:val="DefaultParagraphFont"/>
    <w:link w:val="CommentText"/>
    <w:rsid w:val="0072751B"/>
    <w:rPr>
      <w:snapToGrid w:val="0"/>
      <w:kern w:val="28"/>
    </w:rPr>
  </w:style>
  <w:style w:type="paragraph" w:styleId="CommentSubject">
    <w:name w:val="annotation subject"/>
    <w:basedOn w:val="CommentText"/>
    <w:next w:val="CommentText"/>
    <w:link w:val="CommentSubjectChar"/>
    <w:rsid w:val="0072751B"/>
    <w:rPr>
      <w:b/>
      <w:bCs/>
    </w:rPr>
  </w:style>
  <w:style w:type="character" w:customStyle="1" w:styleId="CommentSubjectChar">
    <w:name w:val="Comment Subject Char"/>
    <w:basedOn w:val="CommentTextChar"/>
    <w:link w:val="CommentSubject"/>
    <w:rsid w:val="0072751B"/>
    <w:rPr>
      <w:b/>
      <w:bCs/>
      <w:snapToGrid w:val="0"/>
      <w:kern w:val="28"/>
    </w:rPr>
  </w:style>
  <w:style w:type="character" w:customStyle="1" w:styleId="Heading3Char">
    <w:name w:val="Heading 3 Char"/>
    <w:basedOn w:val="DefaultParagraphFont"/>
    <w:link w:val="Heading3"/>
    <w:rsid w:val="00216936"/>
    <w:rPr>
      <w:b/>
      <w:snapToGrid w:val="0"/>
      <w:kern w:val="28"/>
      <w:sz w:val="22"/>
    </w:rPr>
  </w:style>
  <w:style w:type="character" w:customStyle="1" w:styleId="Footnote">
    <w:name w:val="Footnote"/>
    <w:rsid w:val="00216936"/>
  </w:style>
  <w:style w:type="character" w:customStyle="1" w:styleId="Heading2CharChar2">
    <w:name w:val="Heading 2 Char Char2"/>
    <w:rsid w:val="00216936"/>
    <w:rPr>
      <w:b/>
      <w:snapToGrid w:val="0"/>
      <w:kern w:val="28"/>
      <w:sz w:val="24"/>
      <w:lang w:val="en-US" w:eastAsia="en-US"/>
    </w:rPr>
  </w:style>
  <w:style w:type="character" w:customStyle="1" w:styleId="StyleFootnoteReferenceStyle13Style12NECGFootnoteReferenc">
    <w:name w:val="Style Footnote ReferenceStyle 13Style 12(NECG) Footnote Referenc..."/>
    <w:rsid w:val="00216936"/>
    <w:rPr>
      <w:rFonts w:ascii="Times New Roman" w:hAnsi="Times New Roman"/>
      <w:color w:val="auto"/>
      <w:sz w:val="20"/>
      <w:vertAlign w:val="superscript"/>
    </w:rPr>
  </w:style>
  <w:style w:type="character" w:customStyle="1" w:styleId="FooterChar">
    <w:name w:val="Footer Char"/>
    <w:basedOn w:val="DefaultParagraphFont"/>
    <w:link w:val="Footer"/>
    <w:rsid w:val="009E10AD"/>
    <w:rPr>
      <w:snapToGrid w:val="0"/>
      <w:kern w:val="28"/>
      <w:sz w:val="22"/>
    </w:rPr>
  </w:style>
  <w:style w:type="character" w:customStyle="1" w:styleId="s1">
    <w:name w:val="s1"/>
    <w:basedOn w:val="DefaultParagraphFont"/>
    <w:rsid w:val="00FB5449"/>
  </w:style>
  <w:style w:type="character" w:styleId="Emphasis">
    <w:name w:val="Emphasis"/>
    <w:basedOn w:val="DefaultParagraphFont"/>
    <w:uiPriority w:val="20"/>
    <w:qFormat/>
    <w:rsid w:val="00FE2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854">
      <w:bodyDiv w:val="1"/>
      <w:marLeft w:val="0"/>
      <w:marRight w:val="0"/>
      <w:marTop w:val="0"/>
      <w:marBottom w:val="0"/>
      <w:divBdr>
        <w:top w:val="none" w:sz="0" w:space="0" w:color="auto"/>
        <w:left w:val="none" w:sz="0" w:space="0" w:color="auto"/>
        <w:bottom w:val="none" w:sz="0" w:space="0" w:color="auto"/>
        <w:right w:val="none" w:sz="0" w:space="0" w:color="auto"/>
      </w:divBdr>
    </w:div>
    <w:div w:id="796945749">
      <w:bodyDiv w:val="1"/>
      <w:marLeft w:val="0"/>
      <w:marRight w:val="0"/>
      <w:marTop w:val="0"/>
      <w:marBottom w:val="0"/>
      <w:divBdr>
        <w:top w:val="none" w:sz="0" w:space="0" w:color="auto"/>
        <w:left w:val="none" w:sz="0" w:space="0" w:color="auto"/>
        <w:bottom w:val="none" w:sz="0" w:space="0" w:color="auto"/>
        <w:right w:val="none" w:sz="0" w:space="0" w:color="auto"/>
      </w:divBdr>
    </w:div>
    <w:div w:id="18812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thur.Lechtman@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id.Krech@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ps.fcc.gov/edocs_public/attachmatch/DOC-337257A2.pdf" TargetMode="External"/><Relationship Id="rId13" Type="http://schemas.openxmlformats.org/officeDocument/2006/relationships/hyperlink" Target="https://www.census.gov/eos/www/naics/faqs/faqs.html" TargetMode="External"/><Relationship Id="rId18" Type="http://schemas.openxmlformats.org/officeDocument/2006/relationships/hyperlink" Target="https://factfinder.census.gov/faces/tableservices/jsf/pages/productview.xhtml?pid=ECN_2012_US_51SSSZ5&amp;prodType=table" TargetMode="External"/><Relationship Id="rId26" Type="http://schemas.openxmlformats.org/officeDocument/2006/relationships/hyperlink" Target="http://www.census.gov/cgi-bin/sssd/naics/naicsrch?code=517311&amp;search=2017%20NAICS%20Search" TargetMode="External"/><Relationship Id="rId39" Type="http://schemas.openxmlformats.org/officeDocument/2006/relationships/hyperlink" Target="http://www.census.gov/cgi-bin/sssd/naics/naicsrch?code=517919&amp;search=2017%20NAICS%20Search" TargetMode="External"/><Relationship Id="rId3" Type="http://schemas.openxmlformats.org/officeDocument/2006/relationships/hyperlink" Target="https://www.wto.org/english/tratop_e/serv_e/4prote_e.htm" TargetMode="External"/><Relationship Id="rId21" Type="http://schemas.openxmlformats.org/officeDocument/2006/relationships/hyperlink" Target="http://www.census.gov/cgi-bin/sssd/naics/naicsrch?code=517312&amp;search=2017%20NAICS%20Search" TargetMode="External"/><Relationship Id="rId34" Type="http://schemas.openxmlformats.org/officeDocument/2006/relationships/hyperlink" Target="https://www.census.gov/eos/www/naics/faqs/faqs.html" TargetMode="External"/><Relationship Id="rId42" Type="http://schemas.openxmlformats.org/officeDocument/2006/relationships/hyperlink" Target="https://factfinder.census.gov/faces/tableservices/jsf/pages/productview.xhtml?pid=ECN_2012_US_51SSSZ5&amp;prodType=table" TargetMode="External"/><Relationship Id="rId7" Type="http://schemas.openxmlformats.org/officeDocument/2006/relationships/hyperlink" Target="https://apps.fcc.gov/edocs_public/attachmatch/DOC-334397A2.pdf;%202014%20U.S" TargetMode="External"/><Relationship Id="rId12" Type="http://schemas.openxmlformats.org/officeDocument/2006/relationships/hyperlink" Target="http://www.census.gov/cgi-bin/sssd/naics/naicsrch?code=517311&amp;search=2017%20NAICS%20Search" TargetMode="External"/><Relationship Id="rId17" Type="http://schemas.openxmlformats.org/officeDocument/2006/relationships/hyperlink" Target="http://www.census.gov/cgi-bin/sssd/naics/naicsrch?code=517911&amp;search=2017%20NAICS%20Search" TargetMode="External"/><Relationship Id="rId25" Type="http://schemas.openxmlformats.org/officeDocument/2006/relationships/hyperlink" Target="http://www.census.gov/cgi-bin/sssd/naics/naicsrch?code=517311&amp;search=2017%20NAICS%20Search" TargetMode="External"/><Relationship Id="rId33" Type="http://schemas.openxmlformats.org/officeDocument/2006/relationships/hyperlink" Target="http://www.census.gov/cgi-bin/sssd/naics/naicsrch?code=517311&amp;search=2017%20NAICS%20Search" TargetMode="External"/><Relationship Id="rId38" Type="http://schemas.openxmlformats.org/officeDocument/2006/relationships/hyperlink" Target="http://www.census.gov/cgi-bin/sssd/naics/naicsrch?code=517919&amp;search=2012%20NAICS%20Search" TargetMode="External"/><Relationship Id="rId2" Type="http://schemas.openxmlformats.org/officeDocument/2006/relationships/hyperlink" Target="https://www.reginfo.gov/public/do/PRAViewDocument?ref_nbr=201501-3060-002" TargetMode="External"/><Relationship Id="rId16" Type="http://schemas.openxmlformats.org/officeDocument/2006/relationships/hyperlink" Target="http://www.census.gov/cgi-bin/sssd/naics/naicsrch?code=517911&amp;search=2012%20NAICS%20Search" TargetMode="External"/><Relationship Id="rId20" Type="http://schemas.openxmlformats.org/officeDocument/2006/relationships/hyperlink" Target="http://www.census.gov/cgi-bin/sssd/naics/naicsrch?code=517312&amp;search=2017%20NAICS%20Search" TargetMode="External"/><Relationship Id="rId29" Type="http://schemas.openxmlformats.org/officeDocument/2006/relationships/hyperlink" Target="http://www.census.gov/cgi-bin/sssd/naics/naicsrch?code=517919&amp;search=2012%20NAICS%20Search" TargetMode="External"/><Relationship Id="rId41" Type="http://schemas.openxmlformats.org/officeDocument/2006/relationships/hyperlink" Target="https://factfinder.census.gov/faces/tableservices/jsf/pages/productview.xhtml?pid=ECN_2012_US_51SSSZ5&amp;prodType=table" TargetMode="External"/><Relationship Id="rId1" Type="http://schemas.openxmlformats.org/officeDocument/2006/relationships/hyperlink" Target="https://apps.fcc.gov/edocs_public/attachmatch/DOC-337916A1.pdf" TargetMode="External"/><Relationship Id="rId6" Type="http://schemas.openxmlformats.org/officeDocument/2006/relationships/hyperlink" Target="http://www.itu.int/net4/itu-d/icteye/" TargetMode="External"/><Relationship Id="rId11" Type="http://schemas.openxmlformats.org/officeDocument/2006/relationships/hyperlink" Target="http://www.census.gov/cgi-bin/sssd/naics/naicsrch?code=517311&amp;search=2017%20NAICS%20Search" TargetMode="External"/><Relationship Id="rId24" Type="http://schemas.openxmlformats.org/officeDocument/2006/relationships/hyperlink" Target="http://www.census.gov/cgi-bin/sssd/naics/naicsrch?code=517110&amp;search=2012%20NAICS%20Search" TargetMode="External"/><Relationship Id="rId32" Type="http://schemas.openxmlformats.org/officeDocument/2006/relationships/hyperlink" Target="https://apps.fcc.gov/edocs_public/attachmatch/DOC-337257A2.pdf" TargetMode="External"/><Relationship Id="rId37" Type="http://schemas.openxmlformats.org/officeDocument/2006/relationships/hyperlink" Target="https://factfinder.census.gov/faces/tableservices/jsf/pages/productview.xhtml?pid=ECN_2012_US_51SSSZ4&amp;prodType=table" TargetMode="External"/><Relationship Id="rId40" Type="http://schemas.openxmlformats.org/officeDocument/2006/relationships/hyperlink" Target="https://factfinder.census.gov/faces/tableservices/jsf/pages/productview.xhtml?pid=ECN_2012_US_51SSSZ4&amp;prodType=table" TargetMode="External"/><Relationship Id="rId5" Type="http://schemas.openxmlformats.org/officeDocument/2006/relationships/hyperlink" Target="https://www.itu.int/dms_pub/itu-s/md/17/clegitr1/c/S17-CLEGITR1-C-0002!!MSW-E.docx" TargetMode="External"/><Relationship Id="rId15" Type="http://schemas.openxmlformats.org/officeDocument/2006/relationships/hyperlink" Target="https://www.fcc.gov/reports-research/reports/international-traffic-and-revenue-reports/international-telecommunications" TargetMode="External"/><Relationship Id="rId23" Type="http://schemas.openxmlformats.org/officeDocument/2006/relationships/hyperlink" Target="https://factfinder.census.gov/faces/tableservices/jsf/pages/productview.xhtml?pid=ECN_2012_US_51SSSZ5&amp;prodType=table" TargetMode="External"/><Relationship Id="rId28" Type="http://schemas.openxmlformats.org/officeDocument/2006/relationships/hyperlink" Target="https://factfinder.census.gov/faces/tableservices/jsf/pages/productview.xhtml?pid=ECN_2012_US_51SSSZ5&amp;prodType=table" TargetMode="External"/><Relationship Id="rId36" Type="http://schemas.openxmlformats.org/officeDocument/2006/relationships/hyperlink" Target="http://www.census.gov/cgi-bin/sssd/naics/naicsrch?code=517410&amp;search=2017%20NAICS%20Search" TargetMode="External"/><Relationship Id="rId10" Type="http://schemas.openxmlformats.org/officeDocument/2006/relationships/hyperlink" Target="http://www.census.gov/cgi-bin/sssd/naics/naicsrch?code=517110&amp;search=2012%20NAICS%20Search" TargetMode="External"/><Relationship Id="rId19" Type="http://schemas.openxmlformats.org/officeDocument/2006/relationships/hyperlink" Target="http://www.census.gov/cgi-bin/sssd/naics/naicsrch?code=517210&amp;search=2012%20NAICS%20Search" TargetMode="External"/><Relationship Id="rId31" Type="http://schemas.openxmlformats.org/officeDocument/2006/relationships/hyperlink" Target="https://factfinder.census.gov/faces/tableservices/jsf/pages/productview.xhtml?pid=ECN_2012_US_51SSSZ4&amp;prodType=table" TargetMode="External"/><Relationship Id="rId4" Type="http://schemas.openxmlformats.org/officeDocument/2006/relationships/hyperlink" Target="https://apps.fcc.gov/edocs_public/attachmatch/DOC-340121A1.pdf" TargetMode="External"/><Relationship Id="rId9" Type="http://schemas.openxmlformats.org/officeDocument/2006/relationships/hyperlink" Target="https://apps.fcc.gov/edocs_public/attachmatch/DOC-337916A1.pdf" TargetMode="External"/><Relationship Id="rId14" Type="http://schemas.openxmlformats.org/officeDocument/2006/relationships/hyperlink" Target="https://factfinder.census.gov/faces/tableservices/jsf/pages/productview.xhtml?pid=ECN_2012_US_51SSSZ5&amp;prodType=table" TargetMode="External"/><Relationship Id="rId22" Type="http://schemas.openxmlformats.org/officeDocument/2006/relationships/hyperlink" Target="https://www.census.gov/eos/www/naics/faqs/faqs.html" TargetMode="External"/><Relationship Id="rId27" Type="http://schemas.openxmlformats.org/officeDocument/2006/relationships/hyperlink" Target="https://www.census.gov/eos/www/naics/faqs/faqs.html" TargetMode="External"/><Relationship Id="rId30" Type="http://schemas.openxmlformats.org/officeDocument/2006/relationships/hyperlink" Target="http://www.census.gov/cgi-bin/sssd/naics/naicsrch?code=517919&amp;search=2017%20NAICS%20Search" TargetMode="External"/><Relationship Id="rId35" Type="http://schemas.openxmlformats.org/officeDocument/2006/relationships/hyperlink" Target="http://www.census.gov/cgi-bin/sssd/naics/naicsrch?code=517410&amp;search=2012%20NAICS%20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11003</Words>
  <Characters>62378</Characters>
  <Application>Microsoft Office Word</Application>
  <DocSecurity>0</DocSecurity>
  <Lines>908</Lines>
  <Paragraphs>168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73650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2017-03-20T18:30:00Z</cp:lastPrinted>
  <dcterms:created xsi:type="dcterms:W3CDTF">2017-03-23T22:48:00Z</dcterms:created>
  <dcterms:modified xsi:type="dcterms:W3CDTF">2017-03-23T22:48:00Z</dcterms:modified>
  <cp:category> </cp:category>
  <cp:contentStatus> </cp:contentStatus>
</cp:coreProperties>
</file>