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88" w:rsidRDefault="00455188" w:rsidP="0045518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55188" w:rsidRDefault="00455188" w:rsidP="00455188">
      <w:pPr>
        <w:pStyle w:val="StyleBoldCentered"/>
      </w:pPr>
      <w:r>
        <w:t>F</w:t>
      </w:r>
      <w:r>
        <w:rPr>
          <w:caps w:val="0"/>
        </w:rPr>
        <w:t>ederal Communications Commission</w:t>
      </w:r>
    </w:p>
    <w:p w:rsidR="00455188" w:rsidRDefault="00455188" w:rsidP="00455188">
      <w:pPr>
        <w:pStyle w:val="StyleBoldCentered"/>
      </w:pPr>
      <w:r>
        <w:rPr>
          <w:caps w:val="0"/>
        </w:rPr>
        <w:t>Washington, D.C. 20554</w:t>
      </w:r>
    </w:p>
    <w:p w:rsidR="00455188" w:rsidRDefault="00455188" w:rsidP="00455188"/>
    <w:p w:rsidR="00455188" w:rsidRDefault="00455188" w:rsidP="00455188"/>
    <w:tbl>
      <w:tblPr>
        <w:tblW w:w="0" w:type="auto"/>
        <w:tblLayout w:type="fixed"/>
        <w:tblLook w:val="0000" w:firstRow="0" w:lastRow="0" w:firstColumn="0" w:lastColumn="0" w:noHBand="0" w:noVBand="0"/>
      </w:tblPr>
      <w:tblGrid>
        <w:gridCol w:w="4698"/>
        <w:gridCol w:w="630"/>
        <w:gridCol w:w="4248"/>
      </w:tblGrid>
      <w:tr w:rsidR="00455188" w:rsidTr="00DB7C54">
        <w:tc>
          <w:tcPr>
            <w:tcW w:w="4698" w:type="dxa"/>
          </w:tcPr>
          <w:p w:rsidR="00455188" w:rsidRDefault="00455188" w:rsidP="00DB7C54">
            <w:pPr>
              <w:tabs>
                <w:tab w:val="center" w:pos="4680"/>
              </w:tabs>
              <w:suppressAutoHyphens/>
              <w:rPr>
                <w:spacing w:val="-2"/>
              </w:rPr>
            </w:pPr>
            <w:r>
              <w:rPr>
                <w:spacing w:val="-2"/>
              </w:rPr>
              <w:t>In the Matter of</w:t>
            </w:r>
          </w:p>
          <w:p w:rsidR="00455188" w:rsidRDefault="00455188" w:rsidP="00DB7C54">
            <w:pPr>
              <w:tabs>
                <w:tab w:val="center" w:pos="4680"/>
              </w:tabs>
              <w:suppressAutoHyphens/>
              <w:rPr>
                <w:spacing w:val="-2"/>
              </w:rPr>
            </w:pPr>
          </w:p>
          <w:p w:rsidR="00455188" w:rsidRPr="007115F7" w:rsidRDefault="00455188" w:rsidP="00DB7C54">
            <w:pPr>
              <w:tabs>
                <w:tab w:val="center" w:pos="4680"/>
              </w:tabs>
              <w:suppressAutoHyphens/>
              <w:rPr>
                <w:spacing w:val="-2"/>
              </w:rPr>
            </w:pPr>
            <w:r>
              <w:rPr>
                <w:spacing w:val="-2"/>
              </w:rPr>
              <w:t>Accelerating Wireline Broadband Deployment by Removing Barriers to Infrastructure Investment</w:t>
            </w:r>
          </w:p>
        </w:tc>
        <w:tc>
          <w:tcPr>
            <w:tcW w:w="630" w:type="dxa"/>
          </w:tcPr>
          <w:p w:rsidR="00455188" w:rsidRDefault="00455188" w:rsidP="00DB7C54">
            <w:pPr>
              <w:tabs>
                <w:tab w:val="center" w:pos="4680"/>
              </w:tabs>
              <w:suppressAutoHyphens/>
              <w:rPr>
                <w:b/>
                <w:spacing w:val="-2"/>
              </w:rPr>
            </w:pPr>
            <w:r>
              <w:rPr>
                <w:b/>
                <w:spacing w:val="-2"/>
              </w:rPr>
              <w:t>)</w:t>
            </w:r>
          </w:p>
          <w:p w:rsidR="00455188" w:rsidRDefault="00455188" w:rsidP="00DB7C54">
            <w:pPr>
              <w:tabs>
                <w:tab w:val="center" w:pos="4680"/>
              </w:tabs>
              <w:suppressAutoHyphens/>
              <w:rPr>
                <w:b/>
                <w:spacing w:val="-2"/>
              </w:rPr>
            </w:pPr>
            <w:r>
              <w:rPr>
                <w:b/>
                <w:spacing w:val="-2"/>
              </w:rPr>
              <w:t>)</w:t>
            </w:r>
          </w:p>
          <w:p w:rsidR="00455188" w:rsidRDefault="00455188" w:rsidP="00DB7C54">
            <w:pPr>
              <w:tabs>
                <w:tab w:val="center" w:pos="4680"/>
              </w:tabs>
              <w:suppressAutoHyphens/>
              <w:rPr>
                <w:b/>
                <w:spacing w:val="-2"/>
              </w:rPr>
            </w:pPr>
            <w:r>
              <w:rPr>
                <w:b/>
                <w:spacing w:val="-2"/>
              </w:rPr>
              <w:t>)</w:t>
            </w:r>
          </w:p>
          <w:p w:rsidR="00455188" w:rsidRDefault="00455188" w:rsidP="00DB7C54">
            <w:pPr>
              <w:tabs>
                <w:tab w:val="center" w:pos="4680"/>
              </w:tabs>
              <w:suppressAutoHyphens/>
              <w:rPr>
                <w:spacing w:val="-2"/>
              </w:rPr>
            </w:pPr>
            <w:r>
              <w:rPr>
                <w:b/>
                <w:spacing w:val="-2"/>
              </w:rPr>
              <w:t>)</w:t>
            </w:r>
          </w:p>
        </w:tc>
        <w:tc>
          <w:tcPr>
            <w:tcW w:w="4248" w:type="dxa"/>
          </w:tcPr>
          <w:p w:rsidR="00455188" w:rsidRDefault="00455188" w:rsidP="00DB7C54">
            <w:pPr>
              <w:tabs>
                <w:tab w:val="center" w:pos="4680"/>
              </w:tabs>
              <w:suppressAutoHyphens/>
              <w:rPr>
                <w:spacing w:val="-2"/>
              </w:rPr>
            </w:pPr>
          </w:p>
          <w:p w:rsidR="00455188" w:rsidRDefault="00455188" w:rsidP="00DB7C54">
            <w:pPr>
              <w:pStyle w:val="TOAHeading"/>
              <w:tabs>
                <w:tab w:val="clear" w:pos="9360"/>
                <w:tab w:val="center" w:pos="4680"/>
              </w:tabs>
              <w:rPr>
                <w:spacing w:val="-2"/>
              </w:rPr>
            </w:pPr>
          </w:p>
          <w:p w:rsidR="00455188" w:rsidRDefault="00455188" w:rsidP="00DB7C54">
            <w:pPr>
              <w:tabs>
                <w:tab w:val="center" w:pos="4680"/>
              </w:tabs>
              <w:suppressAutoHyphens/>
              <w:rPr>
                <w:spacing w:val="-2"/>
              </w:rPr>
            </w:pPr>
            <w:r>
              <w:rPr>
                <w:spacing w:val="-2"/>
              </w:rPr>
              <w:t>WC Docket No. 17-84</w:t>
            </w:r>
          </w:p>
        </w:tc>
      </w:tr>
    </w:tbl>
    <w:p w:rsidR="00455188" w:rsidRDefault="00455188" w:rsidP="00455188"/>
    <w:p w:rsidR="00455188" w:rsidRDefault="00455188" w:rsidP="00455188">
      <w:pPr>
        <w:pStyle w:val="StyleBoldCentered"/>
      </w:pPr>
      <w:r>
        <w:t>notice of proposed rulemaking, notice of inquiry, and request for comment</w:t>
      </w:r>
    </w:p>
    <w:p w:rsidR="00455188" w:rsidRDefault="00455188" w:rsidP="00455188">
      <w:pPr>
        <w:tabs>
          <w:tab w:val="left" w:pos="-720"/>
        </w:tabs>
        <w:suppressAutoHyphens/>
        <w:rPr>
          <w:spacing w:val="-2"/>
        </w:rPr>
      </w:pPr>
    </w:p>
    <w:p w:rsidR="00455188" w:rsidRDefault="00455188" w:rsidP="00455188">
      <w:pPr>
        <w:tabs>
          <w:tab w:val="left" w:pos="720"/>
          <w:tab w:val="right" w:pos="9360"/>
        </w:tabs>
        <w:suppressAutoHyphens/>
        <w:rPr>
          <w:b/>
          <w:spacing w:val="-2"/>
        </w:rPr>
      </w:pPr>
      <w:r>
        <w:rPr>
          <w:b/>
          <w:spacing w:val="-2"/>
        </w:rPr>
        <w:t xml:space="preserve">Adopted:  </w:t>
      </w:r>
      <w:r w:rsidR="00395F84">
        <w:rPr>
          <w:b/>
          <w:spacing w:val="-2"/>
        </w:rPr>
        <w:t>April 20, 2017</w:t>
      </w:r>
      <w:r>
        <w:rPr>
          <w:b/>
          <w:spacing w:val="-2"/>
        </w:rPr>
        <w:tab/>
        <w:t xml:space="preserve">Released:  </w:t>
      </w:r>
      <w:r w:rsidR="00395F84">
        <w:rPr>
          <w:b/>
          <w:spacing w:val="-2"/>
        </w:rPr>
        <w:t>April 21, 2017</w:t>
      </w:r>
    </w:p>
    <w:p w:rsidR="00395F84" w:rsidRDefault="00395F84" w:rsidP="00455188">
      <w:pPr>
        <w:tabs>
          <w:tab w:val="left" w:pos="720"/>
          <w:tab w:val="right" w:pos="9360"/>
        </w:tabs>
        <w:suppressAutoHyphens/>
        <w:rPr>
          <w:b/>
          <w:spacing w:val="-2"/>
        </w:rPr>
      </w:pPr>
    </w:p>
    <w:p w:rsidR="00455188" w:rsidRDefault="00455188" w:rsidP="00455188">
      <w:pPr>
        <w:tabs>
          <w:tab w:val="left" w:pos="720"/>
          <w:tab w:val="right" w:pos="9360"/>
        </w:tabs>
        <w:suppressAutoHyphens/>
        <w:rPr>
          <w:b/>
          <w:spacing w:val="-2"/>
        </w:rPr>
      </w:pPr>
      <w:r>
        <w:rPr>
          <w:b/>
          <w:spacing w:val="-2"/>
        </w:rPr>
        <w:t>Comment Date: [30 days after date of publication in the Federal Register]</w:t>
      </w:r>
    </w:p>
    <w:p w:rsidR="00455188" w:rsidRDefault="00455188" w:rsidP="00455188">
      <w:pPr>
        <w:tabs>
          <w:tab w:val="left" w:pos="720"/>
          <w:tab w:val="right" w:pos="9360"/>
        </w:tabs>
        <w:suppressAutoHyphens/>
        <w:rPr>
          <w:b/>
          <w:spacing w:val="-2"/>
        </w:rPr>
      </w:pPr>
      <w:r>
        <w:rPr>
          <w:b/>
          <w:spacing w:val="-2"/>
        </w:rPr>
        <w:t>Reply Comment Date: [60 days after date of publication in the Federal Register]</w:t>
      </w:r>
    </w:p>
    <w:p w:rsidR="007E638A" w:rsidRDefault="007E638A" w:rsidP="00455188">
      <w:pPr>
        <w:tabs>
          <w:tab w:val="left" w:pos="720"/>
          <w:tab w:val="right" w:pos="9360"/>
        </w:tabs>
        <w:suppressAutoHyphens/>
        <w:rPr>
          <w:b/>
          <w:spacing w:val="-2"/>
        </w:rPr>
      </w:pPr>
    </w:p>
    <w:p w:rsidR="007E638A" w:rsidRPr="00F26812" w:rsidRDefault="007E638A" w:rsidP="007E638A">
      <w:pPr>
        <w:tabs>
          <w:tab w:val="left" w:pos="720"/>
          <w:tab w:val="right" w:pos="9360"/>
        </w:tabs>
        <w:suppressAutoHyphens/>
        <w:rPr>
          <w:spacing w:val="-2"/>
        </w:rPr>
      </w:pPr>
      <w:r>
        <w:rPr>
          <w:spacing w:val="-2"/>
        </w:rPr>
        <w:t>By the Commission: Chairman Pai and Commissioner O’Rielly issuing separate statements; Commissioner Clyburn concurring and issuing a separate statement.</w:t>
      </w:r>
    </w:p>
    <w:p w:rsidR="00455188" w:rsidRDefault="00455188" w:rsidP="00455188">
      <w:pPr>
        <w:pStyle w:val="TOCTitle"/>
        <w:rPr>
          <w:rFonts w:eastAsia="MS Mincho"/>
        </w:rPr>
      </w:pPr>
      <w:bookmarkStart w:id="1" w:name="TOChere"/>
      <w:r>
        <w:rPr>
          <w:rFonts w:eastAsia="MS Mincho"/>
        </w:rPr>
        <w:t>Table of Contents</w:t>
      </w:r>
    </w:p>
    <w:p w:rsidR="00455188" w:rsidRDefault="00455188" w:rsidP="00455188">
      <w:pPr>
        <w:pStyle w:val="Paratitle"/>
        <w:rPr>
          <w:rFonts w:eastAsia="MS Mincho"/>
        </w:rPr>
      </w:pPr>
      <w:r>
        <w:rPr>
          <w:rFonts w:eastAsia="MS Mincho"/>
        </w:rPr>
        <w:tab/>
        <w:t>Para</w:t>
      </w:r>
      <w:bookmarkStart w:id="2" w:name="start_here"/>
      <w:bookmarkEnd w:id="2"/>
      <w:r w:rsidR="003348FF">
        <w:rPr>
          <w:rFonts w:eastAsia="MS Mincho"/>
        </w:rPr>
        <w:t>.</w:t>
      </w:r>
    </w:p>
    <w:p w:rsidR="00455188" w:rsidRPr="00455188" w:rsidRDefault="00455188" w:rsidP="00455188">
      <w:pPr>
        <w:pStyle w:val="TOC1"/>
        <w:rPr>
          <w:rFonts w:ascii="Calibri" w:hAnsi="Calibri"/>
          <w:caps w:val="0"/>
          <w:snapToGrid/>
          <w:kern w:val="0"/>
          <w:szCs w:val="22"/>
        </w:rPr>
      </w:pPr>
      <w:r>
        <w:t>I.</w:t>
      </w:r>
      <w:r w:rsidRPr="00455188">
        <w:rPr>
          <w:rFonts w:ascii="Calibri" w:hAnsi="Calibri"/>
          <w:caps w:val="0"/>
          <w:snapToGrid/>
          <w:kern w:val="0"/>
          <w:szCs w:val="22"/>
        </w:rPr>
        <w:tab/>
      </w:r>
      <w:r>
        <w:t>INTRODUCTION</w:t>
      </w:r>
      <w:r>
        <w:tab/>
        <w:t>1</w:t>
      </w:r>
    </w:p>
    <w:p w:rsidR="00455188" w:rsidRPr="00455188" w:rsidRDefault="00455188" w:rsidP="00455188">
      <w:pPr>
        <w:pStyle w:val="TOC1"/>
        <w:rPr>
          <w:rFonts w:ascii="Calibri" w:hAnsi="Calibri"/>
          <w:caps w:val="0"/>
          <w:snapToGrid/>
          <w:kern w:val="0"/>
          <w:szCs w:val="22"/>
        </w:rPr>
      </w:pPr>
      <w:r>
        <w:t>II.</w:t>
      </w:r>
      <w:r w:rsidRPr="00455188">
        <w:rPr>
          <w:rFonts w:ascii="Calibri" w:hAnsi="Calibri"/>
          <w:caps w:val="0"/>
          <w:snapToGrid/>
          <w:kern w:val="0"/>
          <w:szCs w:val="22"/>
        </w:rPr>
        <w:tab/>
      </w:r>
      <w:r>
        <w:t>NOTICE OF PROPOSED RULEMAKING</w:t>
      </w:r>
      <w:r>
        <w:tab/>
        <w:t>3</w:t>
      </w:r>
    </w:p>
    <w:p w:rsidR="00455188" w:rsidRPr="00455188" w:rsidRDefault="00455188" w:rsidP="00455188">
      <w:pPr>
        <w:pStyle w:val="TOC2"/>
        <w:tabs>
          <w:tab w:val="left" w:pos="360"/>
        </w:tabs>
        <w:rPr>
          <w:rFonts w:ascii="Calibri" w:hAnsi="Calibri"/>
          <w:snapToGrid/>
          <w:kern w:val="0"/>
          <w:szCs w:val="22"/>
        </w:rPr>
      </w:pPr>
      <w:r>
        <w:t>A.</w:t>
      </w:r>
      <w:r w:rsidRPr="00455188">
        <w:rPr>
          <w:rFonts w:ascii="Calibri" w:hAnsi="Calibri"/>
          <w:snapToGrid/>
          <w:kern w:val="0"/>
          <w:szCs w:val="22"/>
        </w:rPr>
        <w:tab/>
      </w:r>
      <w:r>
        <w:t>Pole Attachment Reforms</w:t>
      </w:r>
      <w:r>
        <w:tab/>
        <w:t>3</w:t>
      </w:r>
    </w:p>
    <w:p w:rsidR="00455188" w:rsidRPr="00455188" w:rsidRDefault="00455188" w:rsidP="00455188">
      <w:pPr>
        <w:pStyle w:val="TOC3"/>
        <w:tabs>
          <w:tab w:val="left" w:pos="360"/>
        </w:tabs>
        <w:rPr>
          <w:rFonts w:ascii="Calibri" w:hAnsi="Calibri"/>
          <w:snapToGrid/>
          <w:kern w:val="0"/>
          <w:szCs w:val="22"/>
        </w:rPr>
      </w:pPr>
      <w:r>
        <w:t>1.</w:t>
      </w:r>
      <w:r w:rsidRPr="00455188">
        <w:rPr>
          <w:rFonts w:ascii="Calibri" w:hAnsi="Calibri"/>
          <w:snapToGrid/>
          <w:kern w:val="0"/>
          <w:szCs w:val="22"/>
        </w:rPr>
        <w:tab/>
      </w:r>
      <w:r>
        <w:t>Speeding Access to Poles</w:t>
      </w:r>
      <w:r>
        <w:tab/>
        <w:t>6</w:t>
      </w:r>
    </w:p>
    <w:p w:rsidR="00455188" w:rsidRPr="00455188" w:rsidRDefault="00455188" w:rsidP="00455188">
      <w:pPr>
        <w:pStyle w:val="TOC3"/>
        <w:tabs>
          <w:tab w:val="left" w:pos="360"/>
        </w:tabs>
        <w:rPr>
          <w:rFonts w:ascii="Calibri" w:hAnsi="Calibri"/>
          <w:snapToGrid/>
          <w:kern w:val="0"/>
          <w:szCs w:val="22"/>
        </w:rPr>
      </w:pPr>
      <w:r>
        <w:t>2.</w:t>
      </w:r>
      <w:r w:rsidRPr="00455188">
        <w:rPr>
          <w:rFonts w:ascii="Calibri" w:hAnsi="Calibri"/>
          <w:snapToGrid/>
          <w:kern w:val="0"/>
          <w:szCs w:val="22"/>
        </w:rPr>
        <w:tab/>
      </w:r>
      <w:r>
        <w:t>Re-examining Rates for Make-Ready Work and Pole Attachments</w:t>
      </w:r>
      <w:r>
        <w:tab/>
        <w:t>32</w:t>
      </w:r>
    </w:p>
    <w:p w:rsidR="00455188" w:rsidRPr="00455188" w:rsidRDefault="00455188" w:rsidP="00455188">
      <w:pPr>
        <w:pStyle w:val="TOC3"/>
        <w:tabs>
          <w:tab w:val="left" w:pos="360"/>
        </w:tabs>
        <w:rPr>
          <w:rFonts w:ascii="Calibri" w:hAnsi="Calibri"/>
          <w:snapToGrid/>
          <w:kern w:val="0"/>
          <w:szCs w:val="22"/>
        </w:rPr>
      </w:pPr>
      <w:r>
        <w:t>3.</w:t>
      </w:r>
      <w:r w:rsidRPr="00455188">
        <w:rPr>
          <w:rFonts w:ascii="Calibri" w:hAnsi="Calibri"/>
          <w:snapToGrid/>
          <w:kern w:val="0"/>
          <w:szCs w:val="22"/>
        </w:rPr>
        <w:tab/>
      </w:r>
      <w:r>
        <w:t>Pole Attachment “Shot Clock” For Pole Attachment Complaints</w:t>
      </w:r>
      <w:r>
        <w:tab/>
        <w:t>47</w:t>
      </w:r>
    </w:p>
    <w:p w:rsidR="00455188" w:rsidRPr="00455188" w:rsidRDefault="00455188" w:rsidP="00455188">
      <w:pPr>
        <w:pStyle w:val="TOC3"/>
        <w:tabs>
          <w:tab w:val="left" w:pos="360"/>
        </w:tabs>
        <w:rPr>
          <w:rFonts w:ascii="Calibri" w:hAnsi="Calibri"/>
          <w:snapToGrid/>
          <w:kern w:val="0"/>
          <w:szCs w:val="22"/>
        </w:rPr>
      </w:pPr>
      <w:r>
        <w:t>4.</w:t>
      </w:r>
      <w:r w:rsidRPr="00455188">
        <w:rPr>
          <w:rFonts w:ascii="Calibri" w:hAnsi="Calibri"/>
          <w:snapToGrid/>
          <w:kern w:val="0"/>
          <w:szCs w:val="22"/>
        </w:rPr>
        <w:tab/>
      </w:r>
      <w:r>
        <w:t>Reciprocal Access to Poles Pursuant to Section 251</w:t>
      </w:r>
      <w:r>
        <w:tab/>
        <w:t>52</w:t>
      </w:r>
    </w:p>
    <w:p w:rsidR="00455188" w:rsidRPr="00455188" w:rsidRDefault="00455188" w:rsidP="00455188">
      <w:pPr>
        <w:pStyle w:val="TOC2"/>
        <w:tabs>
          <w:tab w:val="left" w:pos="360"/>
        </w:tabs>
        <w:rPr>
          <w:rFonts w:ascii="Calibri" w:hAnsi="Calibri"/>
          <w:snapToGrid/>
          <w:kern w:val="0"/>
          <w:szCs w:val="22"/>
        </w:rPr>
      </w:pPr>
      <w:r>
        <w:t>B.</w:t>
      </w:r>
      <w:r w:rsidRPr="00455188">
        <w:rPr>
          <w:rFonts w:ascii="Calibri" w:hAnsi="Calibri"/>
          <w:snapToGrid/>
          <w:kern w:val="0"/>
          <w:szCs w:val="22"/>
        </w:rPr>
        <w:tab/>
      </w:r>
      <w:r>
        <w:t>Expediting the Copper Retirement and Network Change Notification Process</w:t>
      </w:r>
      <w:r>
        <w:tab/>
        <w:t>56</w:t>
      </w:r>
    </w:p>
    <w:p w:rsidR="00455188" w:rsidRPr="00455188" w:rsidRDefault="00455188" w:rsidP="00455188">
      <w:pPr>
        <w:pStyle w:val="TOC3"/>
        <w:tabs>
          <w:tab w:val="left" w:pos="360"/>
        </w:tabs>
        <w:rPr>
          <w:rFonts w:ascii="Calibri" w:hAnsi="Calibri"/>
          <w:snapToGrid/>
          <w:kern w:val="0"/>
          <w:szCs w:val="22"/>
        </w:rPr>
      </w:pPr>
      <w:r>
        <w:t>1.</w:t>
      </w:r>
      <w:r w:rsidRPr="00455188">
        <w:rPr>
          <w:rFonts w:ascii="Calibri" w:hAnsi="Calibri"/>
          <w:snapToGrid/>
          <w:kern w:val="0"/>
          <w:szCs w:val="22"/>
        </w:rPr>
        <w:tab/>
      </w:r>
      <w:r>
        <w:t>Copper Retirement</w:t>
      </w:r>
      <w:r>
        <w:tab/>
        <w:t>57</w:t>
      </w:r>
    </w:p>
    <w:p w:rsidR="00455188" w:rsidRPr="00455188" w:rsidRDefault="00455188" w:rsidP="00455188">
      <w:pPr>
        <w:pStyle w:val="TOC3"/>
        <w:tabs>
          <w:tab w:val="left" w:pos="360"/>
        </w:tabs>
        <w:rPr>
          <w:rFonts w:ascii="Calibri" w:hAnsi="Calibri"/>
          <w:snapToGrid/>
          <w:kern w:val="0"/>
          <w:szCs w:val="22"/>
        </w:rPr>
      </w:pPr>
      <w:r>
        <w:t>2.</w:t>
      </w:r>
      <w:r w:rsidRPr="00455188">
        <w:rPr>
          <w:rFonts w:ascii="Calibri" w:hAnsi="Calibri"/>
          <w:snapToGrid/>
          <w:kern w:val="0"/>
          <w:szCs w:val="22"/>
        </w:rPr>
        <w:tab/>
      </w:r>
      <w:r>
        <w:t>Network Change Notifications Generally</w:t>
      </w:r>
      <w:r>
        <w:tab/>
        <w:t>66</w:t>
      </w:r>
    </w:p>
    <w:p w:rsidR="00455188" w:rsidRPr="00455188" w:rsidRDefault="00455188" w:rsidP="00455188">
      <w:pPr>
        <w:pStyle w:val="TOC3"/>
        <w:tabs>
          <w:tab w:val="left" w:pos="360"/>
        </w:tabs>
        <w:rPr>
          <w:rFonts w:ascii="Calibri" w:hAnsi="Calibri"/>
          <w:snapToGrid/>
          <w:kern w:val="0"/>
          <w:szCs w:val="22"/>
        </w:rPr>
      </w:pPr>
      <w:r>
        <w:t>3.</w:t>
      </w:r>
      <w:r w:rsidRPr="00455188">
        <w:rPr>
          <w:rFonts w:ascii="Calibri" w:hAnsi="Calibri"/>
          <w:snapToGrid/>
          <w:kern w:val="0"/>
          <w:szCs w:val="22"/>
        </w:rPr>
        <w:tab/>
      </w:r>
      <w:r>
        <w:t>Section 68.110(b)</w:t>
      </w:r>
      <w:r>
        <w:tab/>
        <w:t>70</w:t>
      </w:r>
    </w:p>
    <w:p w:rsidR="00455188" w:rsidRPr="00455188" w:rsidRDefault="00455188" w:rsidP="00455188">
      <w:pPr>
        <w:pStyle w:val="TOC2"/>
        <w:tabs>
          <w:tab w:val="left" w:pos="360"/>
        </w:tabs>
        <w:rPr>
          <w:rFonts w:ascii="Calibri" w:hAnsi="Calibri"/>
          <w:snapToGrid/>
          <w:kern w:val="0"/>
          <w:szCs w:val="22"/>
        </w:rPr>
      </w:pPr>
      <w:r>
        <w:t>C.</w:t>
      </w:r>
      <w:r w:rsidRPr="00455188">
        <w:rPr>
          <w:rFonts w:ascii="Calibri" w:hAnsi="Calibri"/>
          <w:snapToGrid/>
          <w:kern w:val="0"/>
          <w:szCs w:val="22"/>
        </w:rPr>
        <w:tab/>
      </w:r>
      <w:r>
        <w:t>Streamlining the Section 214(a) Discontinuance Process</w:t>
      </w:r>
      <w:r>
        <w:tab/>
        <w:t>71</w:t>
      </w:r>
    </w:p>
    <w:p w:rsidR="00455188" w:rsidRPr="00455188" w:rsidRDefault="00455188" w:rsidP="00455188">
      <w:pPr>
        <w:pStyle w:val="TOC3"/>
        <w:tabs>
          <w:tab w:val="left" w:pos="360"/>
        </w:tabs>
        <w:rPr>
          <w:rFonts w:ascii="Calibri" w:hAnsi="Calibri"/>
          <w:snapToGrid/>
          <w:kern w:val="0"/>
          <w:szCs w:val="22"/>
        </w:rPr>
      </w:pPr>
      <w:r>
        <w:t>1.</w:t>
      </w:r>
      <w:r w:rsidRPr="00455188">
        <w:rPr>
          <w:rFonts w:ascii="Calibri" w:hAnsi="Calibri"/>
          <w:snapToGrid/>
          <w:kern w:val="0"/>
          <w:szCs w:val="22"/>
        </w:rPr>
        <w:tab/>
      </w:r>
      <w:r>
        <w:t>Applications That “Grandfather” Existing Customers</w:t>
      </w:r>
      <w:r>
        <w:tab/>
        <w:t>73</w:t>
      </w:r>
    </w:p>
    <w:p w:rsidR="00455188" w:rsidRPr="00455188" w:rsidRDefault="00455188" w:rsidP="00455188">
      <w:pPr>
        <w:pStyle w:val="TOC3"/>
        <w:tabs>
          <w:tab w:val="left" w:pos="360"/>
        </w:tabs>
        <w:rPr>
          <w:rFonts w:ascii="Calibri" w:hAnsi="Calibri"/>
          <w:snapToGrid/>
          <w:kern w:val="0"/>
          <w:szCs w:val="22"/>
        </w:rPr>
      </w:pPr>
      <w:r>
        <w:t>2.</w:t>
      </w:r>
      <w:r w:rsidRPr="00455188">
        <w:rPr>
          <w:rFonts w:ascii="Calibri" w:hAnsi="Calibri"/>
          <w:snapToGrid/>
          <w:kern w:val="0"/>
          <w:szCs w:val="22"/>
        </w:rPr>
        <w:tab/>
      </w:r>
      <w:r>
        <w:t>Applications to Discontinue Previously Grandfathered Legacy Data Services</w:t>
      </w:r>
      <w:r>
        <w:tab/>
        <w:t>85</w:t>
      </w:r>
    </w:p>
    <w:p w:rsidR="00455188" w:rsidRPr="00455188" w:rsidRDefault="00455188" w:rsidP="00455188">
      <w:pPr>
        <w:pStyle w:val="TOC3"/>
        <w:tabs>
          <w:tab w:val="left" w:pos="360"/>
        </w:tabs>
        <w:rPr>
          <w:rFonts w:ascii="Calibri" w:hAnsi="Calibri"/>
          <w:snapToGrid/>
          <w:kern w:val="0"/>
          <w:szCs w:val="22"/>
        </w:rPr>
      </w:pPr>
      <w:r>
        <w:t>3.</w:t>
      </w:r>
      <w:r w:rsidRPr="00455188">
        <w:rPr>
          <w:rFonts w:ascii="Calibri" w:hAnsi="Calibri"/>
          <w:snapToGrid/>
          <w:kern w:val="0"/>
          <w:szCs w:val="22"/>
        </w:rPr>
        <w:tab/>
      </w:r>
      <w:r>
        <w:t>Clarifying Treatment Under Section 214(a) of Carrier-Customers’ End Users</w:t>
      </w:r>
      <w:r>
        <w:tab/>
        <w:t>90</w:t>
      </w:r>
    </w:p>
    <w:p w:rsidR="00455188" w:rsidRPr="00455188" w:rsidRDefault="00455188" w:rsidP="00455188">
      <w:pPr>
        <w:pStyle w:val="TOC3"/>
        <w:tabs>
          <w:tab w:val="left" w:pos="360"/>
        </w:tabs>
        <w:rPr>
          <w:rFonts w:ascii="Calibri" w:hAnsi="Calibri"/>
          <w:snapToGrid/>
          <w:kern w:val="0"/>
          <w:szCs w:val="22"/>
        </w:rPr>
      </w:pPr>
      <w:r>
        <w:t>4.</w:t>
      </w:r>
      <w:r w:rsidRPr="00455188">
        <w:rPr>
          <w:rFonts w:ascii="Calibri" w:hAnsi="Calibri"/>
          <w:snapToGrid/>
          <w:kern w:val="0"/>
          <w:szCs w:val="22"/>
        </w:rPr>
        <w:tab/>
      </w:r>
      <w:r>
        <w:t>Other Part 63 Proposals</w:t>
      </w:r>
      <w:r>
        <w:tab/>
        <w:t>95</w:t>
      </w:r>
    </w:p>
    <w:p w:rsidR="00455188" w:rsidRPr="00455188" w:rsidRDefault="00455188" w:rsidP="00455188">
      <w:pPr>
        <w:pStyle w:val="TOC1"/>
        <w:rPr>
          <w:rFonts w:ascii="Calibri" w:hAnsi="Calibri"/>
          <w:caps w:val="0"/>
          <w:snapToGrid/>
          <w:kern w:val="0"/>
          <w:szCs w:val="22"/>
        </w:rPr>
      </w:pPr>
      <w:r>
        <w:t>III.</w:t>
      </w:r>
      <w:r w:rsidRPr="00455188">
        <w:rPr>
          <w:rFonts w:ascii="Calibri" w:hAnsi="Calibri"/>
          <w:caps w:val="0"/>
          <w:snapToGrid/>
          <w:kern w:val="0"/>
          <w:szCs w:val="22"/>
        </w:rPr>
        <w:tab/>
      </w:r>
      <w:r>
        <w:t>NOTICE OF INQUIRY</w:t>
      </w:r>
      <w:r>
        <w:tab/>
        <w:t>100</w:t>
      </w:r>
    </w:p>
    <w:p w:rsidR="00455188" w:rsidRPr="00455188" w:rsidRDefault="00455188" w:rsidP="00455188">
      <w:pPr>
        <w:pStyle w:val="TOC2"/>
        <w:tabs>
          <w:tab w:val="left" w:pos="360"/>
        </w:tabs>
        <w:rPr>
          <w:rFonts w:ascii="Calibri" w:hAnsi="Calibri"/>
          <w:snapToGrid/>
          <w:kern w:val="0"/>
          <w:szCs w:val="22"/>
        </w:rPr>
      </w:pPr>
      <w:r>
        <w:t>A.</w:t>
      </w:r>
      <w:r w:rsidRPr="00455188">
        <w:rPr>
          <w:rFonts w:ascii="Calibri" w:hAnsi="Calibri"/>
          <w:snapToGrid/>
          <w:kern w:val="0"/>
          <w:szCs w:val="22"/>
        </w:rPr>
        <w:tab/>
      </w:r>
      <w:r>
        <w:t>Prohibiting State and Local Laws Inhibiting Broadband Deployment</w:t>
      </w:r>
      <w:r>
        <w:tab/>
        <w:t>100</w:t>
      </w:r>
    </w:p>
    <w:p w:rsidR="00455188" w:rsidRPr="00455188" w:rsidRDefault="00455188" w:rsidP="00455188">
      <w:pPr>
        <w:pStyle w:val="TOC2"/>
        <w:tabs>
          <w:tab w:val="left" w:pos="360"/>
        </w:tabs>
        <w:rPr>
          <w:rFonts w:ascii="Calibri" w:hAnsi="Calibri"/>
          <w:snapToGrid/>
          <w:kern w:val="0"/>
          <w:szCs w:val="22"/>
        </w:rPr>
      </w:pPr>
      <w:r>
        <w:t>B.</w:t>
      </w:r>
      <w:r w:rsidRPr="00455188">
        <w:rPr>
          <w:rFonts w:ascii="Calibri" w:hAnsi="Calibri"/>
          <w:snapToGrid/>
          <w:kern w:val="0"/>
          <w:szCs w:val="22"/>
        </w:rPr>
        <w:tab/>
      </w:r>
      <w:r>
        <w:t>Preemption of State Laws Governing Copper Retirement</w:t>
      </w:r>
      <w:r>
        <w:tab/>
        <w:t>113</w:t>
      </w:r>
    </w:p>
    <w:p w:rsidR="00455188" w:rsidRPr="00455188" w:rsidRDefault="00455188" w:rsidP="00455188">
      <w:pPr>
        <w:pStyle w:val="TOC1"/>
        <w:rPr>
          <w:rFonts w:ascii="Calibri" w:hAnsi="Calibri"/>
          <w:caps w:val="0"/>
          <w:snapToGrid/>
          <w:kern w:val="0"/>
          <w:szCs w:val="22"/>
        </w:rPr>
      </w:pPr>
      <w:r>
        <w:t>IV.</w:t>
      </w:r>
      <w:r w:rsidRPr="00455188">
        <w:rPr>
          <w:rFonts w:ascii="Calibri" w:hAnsi="Calibri"/>
          <w:caps w:val="0"/>
          <w:snapToGrid/>
          <w:kern w:val="0"/>
          <w:szCs w:val="22"/>
        </w:rPr>
        <w:tab/>
      </w:r>
      <w:r w:rsidRPr="008925A4">
        <w:rPr>
          <w:caps w:val="0"/>
        </w:rPr>
        <w:t>REQUEST FOR COMMENT</w:t>
      </w:r>
      <w:r>
        <w:tab/>
        <w:t>115</w:t>
      </w:r>
    </w:p>
    <w:p w:rsidR="00455188" w:rsidRPr="00455188" w:rsidRDefault="00455188" w:rsidP="00455188">
      <w:pPr>
        <w:pStyle w:val="TOC2"/>
        <w:tabs>
          <w:tab w:val="left" w:pos="360"/>
        </w:tabs>
        <w:rPr>
          <w:rFonts w:ascii="Calibri" w:hAnsi="Calibri"/>
          <w:snapToGrid/>
          <w:kern w:val="0"/>
          <w:szCs w:val="22"/>
        </w:rPr>
      </w:pPr>
      <w:r>
        <w:t>A.</w:t>
      </w:r>
      <w:r w:rsidRPr="00455188">
        <w:rPr>
          <w:rFonts w:ascii="Calibri" w:hAnsi="Calibri"/>
          <w:snapToGrid/>
          <w:kern w:val="0"/>
          <w:szCs w:val="22"/>
        </w:rPr>
        <w:tab/>
      </w:r>
      <w:r>
        <w:t>The “Functional Test” Standard</w:t>
      </w:r>
      <w:r>
        <w:tab/>
        <w:t>115</w:t>
      </w:r>
    </w:p>
    <w:p w:rsidR="00455188" w:rsidRPr="00455188" w:rsidRDefault="00455188" w:rsidP="00455188">
      <w:pPr>
        <w:pStyle w:val="TOC2"/>
        <w:tabs>
          <w:tab w:val="left" w:pos="360"/>
        </w:tabs>
        <w:rPr>
          <w:rFonts w:ascii="Calibri" w:hAnsi="Calibri"/>
          <w:snapToGrid/>
          <w:kern w:val="0"/>
          <w:szCs w:val="22"/>
        </w:rPr>
      </w:pPr>
      <w:r>
        <w:t>B.</w:t>
      </w:r>
      <w:r w:rsidRPr="00455188">
        <w:rPr>
          <w:rFonts w:ascii="Calibri" w:hAnsi="Calibri"/>
          <w:snapToGrid/>
          <w:kern w:val="0"/>
          <w:szCs w:val="22"/>
        </w:rPr>
        <w:tab/>
      </w:r>
      <w:r>
        <w:t>Determining Whether “Service” Goes Beyond a Single Offering or Product</w:t>
      </w:r>
      <w:r>
        <w:tab/>
        <w:t>123</w:t>
      </w:r>
    </w:p>
    <w:p w:rsidR="00455188" w:rsidRPr="00455188" w:rsidRDefault="00455188" w:rsidP="00455188">
      <w:pPr>
        <w:pStyle w:val="TOC2"/>
        <w:tabs>
          <w:tab w:val="left" w:pos="360"/>
        </w:tabs>
        <w:rPr>
          <w:rFonts w:ascii="Calibri" w:hAnsi="Calibri"/>
          <w:snapToGrid/>
          <w:kern w:val="0"/>
          <w:szCs w:val="22"/>
        </w:rPr>
      </w:pPr>
      <w:r>
        <w:t>C.</w:t>
      </w:r>
      <w:r w:rsidRPr="00455188">
        <w:rPr>
          <w:rFonts w:ascii="Calibri" w:hAnsi="Calibri"/>
          <w:snapToGrid/>
          <w:kern w:val="0"/>
          <w:szCs w:val="22"/>
        </w:rPr>
        <w:tab/>
      </w:r>
      <w:r>
        <w:t>Comment Timeframes</w:t>
      </w:r>
      <w:r>
        <w:tab/>
        <w:t>124</w:t>
      </w:r>
    </w:p>
    <w:p w:rsidR="00455188" w:rsidRPr="00455188" w:rsidRDefault="00455188" w:rsidP="00455188">
      <w:pPr>
        <w:pStyle w:val="TOC1"/>
        <w:rPr>
          <w:rFonts w:ascii="Calibri" w:hAnsi="Calibri"/>
          <w:caps w:val="0"/>
          <w:snapToGrid/>
          <w:kern w:val="0"/>
          <w:szCs w:val="22"/>
        </w:rPr>
      </w:pPr>
      <w:r>
        <w:t>V.</w:t>
      </w:r>
      <w:r w:rsidRPr="00455188">
        <w:rPr>
          <w:rFonts w:ascii="Calibri" w:hAnsi="Calibri"/>
          <w:caps w:val="0"/>
          <w:snapToGrid/>
          <w:kern w:val="0"/>
          <w:szCs w:val="22"/>
        </w:rPr>
        <w:tab/>
      </w:r>
      <w:r w:rsidRPr="008925A4">
        <w:rPr>
          <w:caps w:val="0"/>
        </w:rPr>
        <w:t>PROCEDURAL MATTERS</w:t>
      </w:r>
      <w:r>
        <w:tab/>
        <w:t>125</w:t>
      </w:r>
    </w:p>
    <w:p w:rsidR="00455188" w:rsidRPr="00455188" w:rsidRDefault="00455188" w:rsidP="00455188">
      <w:pPr>
        <w:pStyle w:val="TOC2"/>
        <w:tabs>
          <w:tab w:val="left" w:pos="360"/>
        </w:tabs>
        <w:rPr>
          <w:rFonts w:ascii="Calibri" w:hAnsi="Calibri"/>
          <w:snapToGrid/>
          <w:kern w:val="0"/>
          <w:szCs w:val="22"/>
        </w:rPr>
      </w:pPr>
      <w:r>
        <w:t>A.</w:t>
      </w:r>
      <w:r w:rsidRPr="00455188">
        <w:rPr>
          <w:rFonts w:ascii="Calibri" w:hAnsi="Calibri"/>
          <w:snapToGrid/>
          <w:kern w:val="0"/>
          <w:szCs w:val="22"/>
        </w:rPr>
        <w:tab/>
      </w:r>
      <w:r w:rsidRPr="008925A4">
        <w:rPr>
          <w:i/>
        </w:rPr>
        <w:t>Ex Parte</w:t>
      </w:r>
      <w:r>
        <w:t xml:space="preserve"> Rules</w:t>
      </w:r>
      <w:r>
        <w:tab/>
        <w:t>125</w:t>
      </w:r>
    </w:p>
    <w:p w:rsidR="00455188" w:rsidRPr="00455188" w:rsidRDefault="00455188" w:rsidP="00455188">
      <w:pPr>
        <w:pStyle w:val="TOC2"/>
        <w:tabs>
          <w:tab w:val="left" w:pos="360"/>
        </w:tabs>
        <w:rPr>
          <w:rFonts w:ascii="Calibri" w:hAnsi="Calibri"/>
          <w:snapToGrid/>
          <w:kern w:val="0"/>
          <w:szCs w:val="22"/>
        </w:rPr>
      </w:pPr>
      <w:r>
        <w:t>B.</w:t>
      </w:r>
      <w:r w:rsidRPr="00455188">
        <w:rPr>
          <w:rFonts w:ascii="Calibri" w:hAnsi="Calibri"/>
          <w:snapToGrid/>
          <w:kern w:val="0"/>
          <w:szCs w:val="22"/>
        </w:rPr>
        <w:tab/>
      </w:r>
      <w:r>
        <w:t>Initial Regulatory Flexibility Analysis</w:t>
      </w:r>
      <w:r>
        <w:tab/>
        <w:t>126</w:t>
      </w:r>
    </w:p>
    <w:p w:rsidR="00455188" w:rsidRPr="00455188" w:rsidRDefault="00455188" w:rsidP="00455188">
      <w:pPr>
        <w:pStyle w:val="TOC2"/>
        <w:tabs>
          <w:tab w:val="left" w:pos="360"/>
        </w:tabs>
        <w:rPr>
          <w:rFonts w:ascii="Calibri" w:hAnsi="Calibri"/>
          <w:snapToGrid/>
          <w:kern w:val="0"/>
          <w:szCs w:val="22"/>
        </w:rPr>
      </w:pPr>
      <w:r>
        <w:t>C.</w:t>
      </w:r>
      <w:r w:rsidRPr="00455188">
        <w:rPr>
          <w:rFonts w:ascii="Calibri" w:hAnsi="Calibri"/>
          <w:snapToGrid/>
          <w:kern w:val="0"/>
          <w:szCs w:val="22"/>
        </w:rPr>
        <w:tab/>
      </w:r>
      <w:r>
        <w:t>Paperwork Reduction Act</w:t>
      </w:r>
      <w:r>
        <w:tab/>
        <w:t>127</w:t>
      </w:r>
    </w:p>
    <w:p w:rsidR="00455188" w:rsidRPr="00455188" w:rsidRDefault="00455188" w:rsidP="00455188">
      <w:pPr>
        <w:pStyle w:val="TOC2"/>
        <w:tabs>
          <w:tab w:val="left" w:pos="360"/>
        </w:tabs>
        <w:rPr>
          <w:rFonts w:ascii="Calibri" w:hAnsi="Calibri"/>
          <w:snapToGrid/>
          <w:kern w:val="0"/>
          <w:szCs w:val="22"/>
        </w:rPr>
      </w:pPr>
      <w:r>
        <w:t>D.</w:t>
      </w:r>
      <w:r w:rsidRPr="00455188">
        <w:rPr>
          <w:rFonts w:ascii="Calibri" w:hAnsi="Calibri"/>
          <w:snapToGrid/>
          <w:kern w:val="0"/>
          <w:szCs w:val="22"/>
        </w:rPr>
        <w:tab/>
      </w:r>
      <w:r>
        <w:t>Filing of Comments and Reply Comments</w:t>
      </w:r>
      <w:r>
        <w:tab/>
        <w:t>128</w:t>
      </w:r>
    </w:p>
    <w:p w:rsidR="00455188" w:rsidRPr="00455188" w:rsidRDefault="00455188" w:rsidP="00455188">
      <w:pPr>
        <w:pStyle w:val="TOC2"/>
        <w:tabs>
          <w:tab w:val="left" w:pos="360"/>
        </w:tabs>
        <w:rPr>
          <w:rFonts w:ascii="Calibri" w:hAnsi="Calibri"/>
          <w:snapToGrid/>
          <w:kern w:val="0"/>
          <w:szCs w:val="22"/>
        </w:rPr>
      </w:pPr>
      <w:r>
        <w:t>E.</w:t>
      </w:r>
      <w:r w:rsidRPr="00455188">
        <w:rPr>
          <w:rFonts w:ascii="Calibri" w:hAnsi="Calibri"/>
          <w:snapToGrid/>
          <w:kern w:val="0"/>
          <w:szCs w:val="22"/>
        </w:rPr>
        <w:tab/>
      </w:r>
      <w:r>
        <w:t>Contact Person</w:t>
      </w:r>
      <w:r>
        <w:tab/>
        <w:t>129</w:t>
      </w:r>
    </w:p>
    <w:p w:rsidR="00455188" w:rsidRPr="00455188" w:rsidRDefault="00455188" w:rsidP="00455188">
      <w:pPr>
        <w:pStyle w:val="TOC1"/>
        <w:rPr>
          <w:rFonts w:ascii="Calibri" w:hAnsi="Calibri"/>
          <w:caps w:val="0"/>
          <w:snapToGrid/>
          <w:kern w:val="0"/>
          <w:szCs w:val="22"/>
        </w:rPr>
      </w:pPr>
      <w:r>
        <w:t>VI.</w:t>
      </w:r>
      <w:r w:rsidRPr="00455188">
        <w:rPr>
          <w:rFonts w:ascii="Calibri" w:hAnsi="Calibri"/>
          <w:caps w:val="0"/>
          <w:snapToGrid/>
          <w:kern w:val="0"/>
          <w:szCs w:val="22"/>
        </w:rPr>
        <w:tab/>
      </w:r>
      <w:r w:rsidRPr="008925A4">
        <w:rPr>
          <w:caps w:val="0"/>
        </w:rPr>
        <w:t>ORDERING CLAUSES</w:t>
      </w:r>
      <w:r>
        <w:tab/>
        <w:t>130</w:t>
      </w:r>
    </w:p>
    <w:bookmarkEnd w:id="1"/>
    <w:p w:rsidR="0080561E" w:rsidRDefault="0080561E" w:rsidP="00455188">
      <w:pPr>
        <w:rPr>
          <w:rFonts w:eastAsia="MS Mincho"/>
        </w:rPr>
      </w:pPr>
    </w:p>
    <w:p w:rsidR="00455188" w:rsidRDefault="00455188" w:rsidP="00455188">
      <w:pPr>
        <w:rPr>
          <w:rFonts w:eastAsia="MS Mincho"/>
        </w:rPr>
      </w:pPr>
      <w:r>
        <w:rPr>
          <w:rFonts w:eastAsia="MS Mincho"/>
        </w:rPr>
        <w:t>APPENDIX A - Draft Proposed Rules for Public Comment</w:t>
      </w:r>
    </w:p>
    <w:p w:rsidR="00455188" w:rsidRDefault="00455188" w:rsidP="00455188">
      <w:pPr>
        <w:rPr>
          <w:rFonts w:eastAsia="MS Mincho"/>
        </w:rPr>
      </w:pPr>
      <w:r>
        <w:rPr>
          <w:rFonts w:eastAsia="MS Mincho"/>
        </w:rPr>
        <w:t>APPENDIX B</w:t>
      </w:r>
      <w:r w:rsidRPr="00856B3F">
        <w:rPr>
          <w:rFonts w:eastAsia="MS Mincho"/>
        </w:rPr>
        <w:t xml:space="preserve"> - </w:t>
      </w:r>
      <w:r w:rsidRPr="003E2E76">
        <w:t>Initial</w:t>
      </w:r>
      <w:r>
        <w:t xml:space="preserve"> Regulatory Flexibility Analysis</w:t>
      </w:r>
    </w:p>
    <w:p w:rsidR="00455188" w:rsidRPr="00106C6A" w:rsidRDefault="00455188" w:rsidP="00455188">
      <w:pPr>
        <w:rPr>
          <w:rFonts w:eastAsia="MS Mincho"/>
        </w:rPr>
      </w:pPr>
    </w:p>
    <w:p w:rsidR="00455188" w:rsidRDefault="00455188" w:rsidP="00455188">
      <w:pPr>
        <w:pStyle w:val="Heading1"/>
      </w:pPr>
      <w:bookmarkStart w:id="3" w:name="_Toc477187523"/>
      <w:bookmarkStart w:id="4" w:name="_Toc477187663"/>
      <w:bookmarkStart w:id="5" w:name="_Toc477187919"/>
      <w:bookmarkStart w:id="6" w:name="_Toc477188021"/>
      <w:bookmarkStart w:id="7" w:name="_Toc477188108"/>
      <w:bookmarkStart w:id="8" w:name="_Toc477188996"/>
      <w:bookmarkStart w:id="9" w:name="_Toc477445761"/>
      <w:bookmarkStart w:id="10" w:name="_Toc477452979"/>
      <w:bookmarkStart w:id="11" w:name="_Toc477453145"/>
      <w:bookmarkStart w:id="12" w:name="_Toc477796004"/>
      <w:bookmarkStart w:id="13" w:name="_Toc478050599"/>
      <w:bookmarkStart w:id="14" w:name="_Toc478138461"/>
      <w:bookmarkStart w:id="15" w:name="_Toc478139475"/>
      <w:bookmarkStart w:id="16" w:name="_Toc478139581"/>
      <w:bookmarkStart w:id="17" w:name="_Toc478139632"/>
      <w:bookmarkStart w:id="18" w:name="_Toc478394328"/>
      <w:bookmarkStart w:id="19" w:name="_Toc478398191"/>
      <w:bookmarkStart w:id="20" w:name="_Toc478403086"/>
      <w:bookmarkStart w:id="21" w:name="_Toc478460130"/>
      <w:bookmarkStart w:id="22" w:name="_Toc478476677"/>
      <w:bookmarkStart w:id="23" w:name="_Toc479943015"/>
      <w:bookmarkStart w:id="24" w:name="_Toc480388519"/>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55188" w:rsidRDefault="00455188" w:rsidP="00455188">
      <w:pPr>
        <w:pStyle w:val="ParaNum"/>
      </w:pPr>
      <w:r>
        <w:t xml:space="preserve">High-speed broadband is an increasingly important gateway to jobs, health care, education, information, and </w:t>
      </w:r>
      <w:r w:rsidRPr="002D1F32">
        <w:t>economic</w:t>
      </w:r>
      <w:r>
        <w:t xml:space="preserve"> development.  Access to high-speed broadband can create economic opportunity, enabling entrepreneurs to create businesses, immediately reach customers throughout the world, and revolutionize entire industries.  Today, we propose and seek comment on a number of actions designed to accelerate the </w:t>
      </w:r>
      <w:r w:rsidRPr="009B057B">
        <w:t>deployment</w:t>
      </w:r>
      <w:r>
        <w:t xml:space="preserve"> of next-generation networks and services by removing barriers to infrastructure investment.</w:t>
      </w:r>
    </w:p>
    <w:p w:rsidR="00455188" w:rsidRDefault="00455188" w:rsidP="00455188">
      <w:pPr>
        <w:pStyle w:val="ParaNum"/>
      </w:pPr>
      <w:r>
        <w:t xml:space="preserve">This </w:t>
      </w:r>
      <w:r>
        <w:rPr>
          <w:i/>
        </w:rPr>
        <w:t>Notice of Proposed Rulemaking, Notice of Inquiry, and Request for Comment</w:t>
      </w:r>
      <w:r>
        <w:t xml:space="preserve"> seeks to better enable broadband providers to build, maintain, and upgrade their networks, which will lead to more </w:t>
      </w:r>
      <w:r w:rsidRPr="008170B3">
        <w:t>affordable</w:t>
      </w:r>
      <w:r>
        <w:t xml:space="preserve"> and available Internet access and other broadband services for consumers and businesses alike.  Today’s actions propose to remove regulatory barriers to infrastructure investment at the federal, state, and local level; suggest changes to speed the transition from copper networks and legacy services to next-generation networks and services; and propose to reform Commission regulations that increase costs and slow broadband deployment.</w:t>
      </w:r>
    </w:p>
    <w:p w:rsidR="00455188" w:rsidRPr="00005598" w:rsidRDefault="00455188" w:rsidP="00455188">
      <w:pPr>
        <w:pStyle w:val="Heading1"/>
      </w:pPr>
      <w:bookmarkStart w:id="25" w:name="_Toc477187524"/>
      <w:bookmarkStart w:id="26" w:name="_Toc477187664"/>
      <w:bookmarkStart w:id="27" w:name="_Toc477187920"/>
      <w:bookmarkStart w:id="28" w:name="_Toc477188022"/>
      <w:bookmarkStart w:id="29" w:name="_Toc477188109"/>
      <w:bookmarkStart w:id="30" w:name="_Toc477188997"/>
      <w:bookmarkStart w:id="31" w:name="_Toc477445762"/>
      <w:bookmarkStart w:id="32" w:name="_Toc477452980"/>
      <w:bookmarkStart w:id="33" w:name="_Toc477453146"/>
      <w:bookmarkStart w:id="34" w:name="_Toc477796005"/>
      <w:bookmarkStart w:id="35" w:name="_Toc478050600"/>
      <w:bookmarkStart w:id="36" w:name="_Toc478138462"/>
      <w:bookmarkStart w:id="37" w:name="_Toc478139476"/>
      <w:bookmarkStart w:id="38" w:name="_Toc478139582"/>
      <w:bookmarkStart w:id="39" w:name="_Toc478139633"/>
      <w:bookmarkStart w:id="40" w:name="_Toc478394329"/>
      <w:bookmarkStart w:id="41" w:name="_Toc478398192"/>
      <w:bookmarkStart w:id="42" w:name="_Toc478403087"/>
      <w:bookmarkStart w:id="43" w:name="_Toc478460131"/>
      <w:bookmarkStart w:id="44" w:name="_Toc478476678"/>
      <w:bookmarkStart w:id="45" w:name="_Toc479943016"/>
      <w:bookmarkStart w:id="46" w:name="_Toc480388520"/>
      <w:r>
        <w:t>NOTICE OF PROPOSED RULEMAKING</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455188" w:rsidRDefault="00455188" w:rsidP="00455188">
      <w:pPr>
        <w:pStyle w:val="Heading2"/>
      </w:pPr>
      <w:bookmarkStart w:id="47" w:name="_Toc477187525"/>
      <w:bookmarkStart w:id="48" w:name="_Toc477187665"/>
      <w:bookmarkStart w:id="49" w:name="_Toc477187921"/>
      <w:bookmarkStart w:id="50" w:name="_Toc477188023"/>
      <w:bookmarkStart w:id="51" w:name="_Toc477188110"/>
      <w:bookmarkStart w:id="52" w:name="_Toc477188998"/>
      <w:bookmarkStart w:id="53" w:name="_Toc477445763"/>
      <w:bookmarkStart w:id="54" w:name="_Toc477452981"/>
      <w:bookmarkStart w:id="55" w:name="_Toc477453147"/>
      <w:bookmarkStart w:id="56" w:name="_Toc477796006"/>
      <w:bookmarkStart w:id="57" w:name="_Toc478050601"/>
      <w:bookmarkStart w:id="58" w:name="_Toc478138463"/>
      <w:bookmarkStart w:id="59" w:name="_Toc478139477"/>
      <w:bookmarkStart w:id="60" w:name="_Toc478139583"/>
      <w:bookmarkStart w:id="61" w:name="_Toc478139634"/>
      <w:bookmarkStart w:id="62" w:name="_Toc478394330"/>
      <w:bookmarkStart w:id="63" w:name="_Toc478398193"/>
      <w:bookmarkStart w:id="64" w:name="_Toc478403088"/>
      <w:bookmarkStart w:id="65" w:name="_Toc478460132"/>
      <w:bookmarkStart w:id="66" w:name="_Toc478476679"/>
      <w:bookmarkStart w:id="67" w:name="_Toc479943017"/>
      <w:bookmarkStart w:id="68" w:name="_Toc480388521"/>
      <w:r>
        <w:t>Pole Attachment Reforms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w:t>
      </w:r>
    </w:p>
    <w:p w:rsidR="00455188" w:rsidRPr="00407267" w:rsidRDefault="00455188" w:rsidP="00455188">
      <w:pPr>
        <w:pStyle w:val="ParaNum"/>
      </w:pPr>
      <w:r>
        <w:rPr>
          <w:color w:val="010101"/>
        </w:rPr>
        <w:t xml:space="preserve">Pole attachments are a key input for many broadband deployment projects.  Reforms which reduce pole attachment costs and speed </w:t>
      </w:r>
      <w:r>
        <w:t>access to utility poles would remove significant barriers to broadband infrastructure deployment and in turn increase broadband availability and</w:t>
      </w:r>
      <w:r w:rsidRPr="006D234B">
        <w:t xml:space="preserve"> </w:t>
      </w:r>
      <w:r>
        <w:rPr>
          <w:color w:val="010101"/>
        </w:rPr>
        <w:t xml:space="preserve">competition in the provision of high-speed services.  </w:t>
      </w:r>
    </w:p>
    <w:p w:rsidR="00455188" w:rsidRPr="00407267" w:rsidRDefault="00455188" w:rsidP="00455188">
      <w:pPr>
        <w:pStyle w:val="ParaNum"/>
      </w:pPr>
      <w:r>
        <w:rPr>
          <w:color w:val="010101"/>
        </w:rPr>
        <w:t>The Communications Act of 1934, as amended (Act), grants the Commission authority to regulate attachments to utility-owned and -controlled poles, ducts, conduits, and rights-of-way (collectively, poles).</w:t>
      </w:r>
      <w:r w:rsidRPr="00B67B70">
        <w:rPr>
          <w:rStyle w:val="FootnoteReference"/>
        </w:rPr>
        <w:footnoteReference w:id="2"/>
      </w:r>
      <w:r>
        <w:rPr>
          <w:color w:val="010101"/>
        </w:rPr>
        <w:t xml:space="preserve">  Among other things, the Act authorizes the Commission to prescribe rules</w:t>
      </w:r>
      <w:r>
        <w:rPr>
          <w:rStyle w:val="FootnoteReference"/>
        </w:rPr>
        <w:footnoteReference w:id="3"/>
      </w:r>
      <w:r>
        <w:rPr>
          <w:color w:val="010101"/>
        </w:rPr>
        <w:t xml:space="preserve"> ensuring “just and reasonable” “rates, terms, and conditions” for pole attachments</w:t>
      </w:r>
      <w:r w:rsidRPr="00B17EA1">
        <w:rPr>
          <w:rFonts w:eastAsia="Calibri"/>
          <w:vertAlign w:val="superscript"/>
        </w:rPr>
        <w:footnoteReference w:id="4"/>
      </w:r>
      <w:r>
        <w:rPr>
          <w:color w:val="010101"/>
        </w:rPr>
        <w:t xml:space="preserve"> and “nondiscriminatory access” to poles,</w:t>
      </w:r>
      <w:r>
        <w:rPr>
          <w:rStyle w:val="FootnoteReference"/>
        </w:rPr>
        <w:footnoteReference w:id="5"/>
      </w:r>
      <w:r>
        <w:rPr>
          <w:color w:val="010101"/>
        </w:rPr>
        <w:t xml:space="preserve"> rules defining pole attachment rates for attachers that are cable television systems and telecommunications carriers,</w:t>
      </w:r>
      <w:r>
        <w:rPr>
          <w:rStyle w:val="FootnoteReference"/>
        </w:rPr>
        <w:footnoteReference w:id="6"/>
      </w:r>
      <w:r>
        <w:rPr>
          <w:color w:val="010101"/>
        </w:rPr>
        <w:t xml:space="preserve"> rules regarding the apportionment of make-ready</w:t>
      </w:r>
      <w:r w:rsidRPr="008839F0">
        <w:rPr>
          <w:vertAlign w:val="superscript"/>
        </w:rPr>
        <w:footnoteReference w:id="7"/>
      </w:r>
      <w:r>
        <w:rPr>
          <w:color w:val="010101"/>
        </w:rPr>
        <w:t xml:space="preserve"> costs between utilities and attachers,</w:t>
      </w:r>
      <w:r>
        <w:rPr>
          <w:rStyle w:val="FootnoteReference"/>
        </w:rPr>
        <w:footnoteReference w:id="8"/>
      </w:r>
      <w:r>
        <w:rPr>
          <w:color w:val="010101"/>
        </w:rPr>
        <w:t xml:space="preserve"> and rules requiring all local exchange carriers (LECs) to “afford access to the poles, ducts, conduits, and rights-of-way of such carrier to competing providers of telecommunications service . . </w:t>
      </w:r>
      <w:r>
        <w:t>. .”</w:t>
      </w:r>
      <w:r>
        <w:rPr>
          <w:rStyle w:val="FootnoteReference"/>
        </w:rPr>
        <w:footnoteReference w:id="9"/>
      </w:r>
      <w:r>
        <w:t xml:space="preserve">  The Act also allows states to reverse-preempt the Commission’s regulations so long as they meet certain federal standards.</w:t>
      </w:r>
      <w:r w:rsidRPr="00B55EDD">
        <w:rPr>
          <w:rFonts w:eastAsia="Calibri"/>
          <w:vertAlign w:val="superscript"/>
        </w:rPr>
        <w:footnoteReference w:id="10"/>
      </w:r>
    </w:p>
    <w:p w:rsidR="00455188" w:rsidRPr="002244D4" w:rsidRDefault="00455188" w:rsidP="00455188">
      <w:pPr>
        <w:pStyle w:val="ParaNum"/>
      </w:pPr>
      <w:r>
        <w:rPr>
          <w:color w:val="010101"/>
        </w:rPr>
        <w:t>We seek to exercise this authority to accelerate the deployment of next-generation infrastructure so that consumers in all regions of the Nation can enjoy the benefits of high-speed Internet access as well as additional competition.</w:t>
      </w:r>
    </w:p>
    <w:p w:rsidR="00455188" w:rsidRDefault="00455188" w:rsidP="00455188">
      <w:pPr>
        <w:pStyle w:val="Heading3"/>
        <w:tabs>
          <w:tab w:val="clear" w:pos="2160"/>
        </w:tabs>
      </w:pPr>
      <w:bookmarkStart w:id="69" w:name="_Toc477187526"/>
      <w:bookmarkStart w:id="70" w:name="_Toc477187666"/>
      <w:bookmarkStart w:id="71" w:name="_Toc477187922"/>
      <w:bookmarkStart w:id="72" w:name="_Toc477188024"/>
      <w:bookmarkStart w:id="73" w:name="_Toc477188111"/>
      <w:bookmarkStart w:id="74" w:name="_Toc477188999"/>
      <w:bookmarkStart w:id="75" w:name="_Toc477452982"/>
      <w:bookmarkStart w:id="76" w:name="_Toc477453148"/>
      <w:bookmarkStart w:id="77" w:name="_Toc477796007"/>
      <w:bookmarkStart w:id="78" w:name="_Toc478050602"/>
      <w:bookmarkStart w:id="79" w:name="_Toc478138464"/>
      <w:bookmarkStart w:id="80" w:name="_Toc478139478"/>
      <w:bookmarkStart w:id="81" w:name="_Toc478139584"/>
      <w:bookmarkStart w:id="82" w:name="_Toc478139635"/>
      <w:bookmarkStart w:id="83" w:name="_Toc478394331"/>
      <w:bookmarkStart w:id="84" w:name="_Toc478398194"/>
      <w:bookmarkStart w:id="85" w:name="_Toc478403089"/>
      <w:bookmarkStart w:id="86" w:name="_Toc478460133"/>
      <w:bookmarkStart w:id="87" w:name="_Toc478476680"/>
      <w:bookmarkStart w:id="88" w:name="_Toc479943018"/>
      <w:bookmarkStart w:id="89" w:name="_Toc480388522"/>
      <w:r>
        <w:t>Speeding Access to Poles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55188" w:rsidRPr="00EE18B0" w:rsidRDefault="00455188" w:rsidP="00455188">
      <w:pPr>
        <w:pStyle w:val="ParaNum"/>
      </w:pPr>
      <w:r w:rsidRPr="004E508A">
        <w:rPr>
          <w:rFonts w:eastAsia="Calibri"/>
        </w:rPr>
        <w:t xml:space="preserve">We seek comment on proposals to streamline </w:t>
      </w:r>
      <w:r>
        <w:rPr>
          <w:rFonts w:eastAsia="Calibri"/>
        </w:rPr>
        <w:t xml:space="preserve">and accelerate </w:t>
      </w:r>
      <w:r w:rsidRPr="004E508A">
        <w:rPr>
          <w:rFonts w:eastAsia="Calibri"/>
        </w:rPr>
        <w:t>the Commission-established timeline for processing pole attachment requests</w:t>
      </w:r>
      <w:r w:rsidRPr="00034EF0">
        <w:rPr>
          <w:rFonts w:eastAsia="Calibri"/>
        </w:rPr>
        <w:t xml:space="preserve">, </w:t>
      </w:r>
      <w:r>
        <w:t>which currently envisions up to a five-month process (assuming all contemplated deadlines are met).</w:t>
      </w:r>
      <w:r>
        <w:rPr>
          <w:rStyle w:val="FootnoteReference"/>
        </w:rPr>
        <w:footnoteReference w:id="11"/>
      </w:r>
      <w:r w:rsidRPr="004E508A">
        <w:rPr>
          <w:rFonts w:eastAsia="Calibri"/>
        </w:rPr>
        <w:t xml:space="preserve">  </w:t>
      </w:r>
      <w:r>
        <w:rPr>
          <w:rFonts w:eastAsia="Calibri"/>
        </w:rPr>
        <w:t>Several p</w:t>
      </w:r>
      <w:r>
        <w:t>roposals</w:t>
      </w:r>
      <w:r w:rsidRPr="001B22A5">
        <w:t xml:space="preserve"> </w:t>
      </w:r>
      <w:r>
        <w:t xml:space="preserve">to speed pole access allow </w:t>
      </w:r>
      <w:r w:rsidRPr="00B55EDD">
        <w:t>telecommunications and cable providers seeking to add equipment to a utility pole (a “new attacher”) to adjust</w:t>
      </w:r>
      <w:r>
        <w:t>,</w:t>
      </w:r>
      <w:r w:rsidRPr="00B55EDD">
        <w:t xml:space="preserve"> on an expedited basis</w:t>
      </w:r>
      <w:r>
        <w:t>,</w:t>
      </w:r>
      <w:r w:rsidRPr="00B55EDD">
        <w:t xml:space="preserve"> the preexisting equipment of the utility and other providers </w:t>
      </w:r>
      <w:r>
        <w:t xml:space="preserve">already </w:t>
      </w:r>
      <w:r w:rsidRPr="00B55EDD">
        <w:t>on that pole (“existing attachers”)</w:t>
      </w:r>
      <w:r>
        <w:t>.</w:t>
      </w:r>
      <w:r w:rsidRPr="00B55EDD">
        <w:t xml:space="preserve"> </w:t>
      </w:r>
      <w:r>
        <w:t xml:space="preserve"> </w:t>
      </w:r>
      <w:r w:rsidRPr="00B55EDD">
        <w:t xml:space="preserve">We emphasize at the outset that we are seeking to develop an approach that balances the legitimate needs and interests of new attachers, existing attachers, utilities, and the public.  In particular, we recognize that </w:t>
      </w:r>
      <w:r>
        <w:t>speeding access</w:t>
      </w:r>
      <w:r w:rsidRPr="00B55EDD">
        <w:t xml:space="preserve"> </w:t>
      </w:r>
      <w:r>
        <w:t xml:space="preserve">to poles could </w:t>
      </w:r>
      <w:r w:rsidRPr="00B55EDD">
        <w:t>raise meaningful concerns about safety and protection of existing infrastructure.  We intend to work toward a</w:t>
      </w:r>
      <w:r>
        <w:t>n</w:t>
      </w:r>
      <w:r w:rsidRPr="00B55EDD">
        <w:t xml:space="preserve"> approach that facilitates new attachments without creating undue risk of harm.  We intend for the proposals below to be a starting point that will stimulate refinements as we work toward potential adoption of a final pole attachment process.</w:t>
      </w:r>
      <w:r>
        <w:t xml:space="preserve">  </w:t>
      </w:r>
    </w:p>
    <w:p w:rsidR="00455188" w:rsidRPr="008118BF" w:rsidRDefault="00455188" w:rsidP="00455188">
      <w:pPr>
        <w:pStyle w:val="Heading4"/>
      </w:pPr>
      <w:r w:rsidRPr="00B67B70">
        <w:t>Speeding the Current Commission Pole Attachment Timeline</w:t>
      </w:r>
      <w:r w:rsidRPr="00B312B8">
        <w:t xml:space="preserve">  </w:t>
      </w:r>
    </w:p>
    <w:p w:rsidR="00455188" w:rsidRPr="008118BF" w:rsidRDefault="00455188" w:rsidP="00455188">
      <w:pPr>
        <w:pStyle w:val="ParaNum"/>
      </w:pPr>
      <w:r>
        <w:t xml:space="preserve">We seek comment on potential reforms to the various steps of the Commission’s current pole attachment timeline to facilitate timely access to poles.  </w:t>
      </w:r>
      <w:r w:rsidRPr="00B55EDD" w:rsidDel="001C6E9F">
        <w:rPr>
          <w:rFonts w:eastAsia="Calibri"/>
        </w:rPr>
        <w:t>Access to poles, including the preparation of poles for new attachments, must be timely in order to constitute just and reasonable access under Section 224 of the Act.</w:t>
      </w:r>
      <w:r w:rsidRPr="00B55EDD">
        <w:rPr>
          <w:rFonts w:eastAsia="Calibri"/>
          <w:vertAlign w:val="superscript"/>
        </w:rPr>
        <w:footnoteReference w:id="12"/>
      </w:r>
      <w:r>
        <w:rPr>
          <w:rFonts w:eastAsia="Calibri"/>
        </w:rPr>
        <w:t xml:space="preserve">  T</w:t>
      </w:r>
      <w:r w:rsidRPr="00B55EDD" w:rsidDel="001C6E9F">
        <w:rPr>
          <w:rFonts w:eastAsia="Calibri"/>
        </w:rPr>
        <w:t>he Commission</w:t>
      </w:r>
      <w:r>
        <w:rPr>
          <w:rFonts w:eastAsia="Calibri"/>
        </w:rPr>
        <w:t>’s</w:t>
      </w:r>
      <w:r w:rsidRPr="00B55EDD" w:rsidDel="001C6E9F">
        <w:rPr>
          <w:rFonts w:eastAsia="Calibri"/>
        </w:rPr>
        <w:t xml:space="preserve"> </w:t>
      </w:r>
      <w:r>
        <w:rPr>
          <w:rFonts w:eastAsia="Calibri"/>
        </w:rPr>
        <w:t>current</w:t>
      </w:r>
      <w:r w:rsidRPr="00B55EDD" w:rsidDel="001C6E9F">
        <w:rPr>
          <w:rFonts w:eastAsia="Calibri"/>
        </w:rPr>
        <w:t xml:space="preserve"> four-stage </w:t>
      </w:r>
      <w:r w:rsidRPr="00B55EDD" w:rsidDel="001C6E9F">
        <w:t>timeline for wireline and wireless requests to access the “communications space” on utility poles</w:t>
      </w:r>
      <w:r>
        <w:t>, adopted in 2011, provides for periods that do not exceed</w:t>
      </w:r>
      <w:r w:rsidRPr="00B55EDD" w:rsidDel="001C6E9F">
        <w:t>: application review and engineering survey (45 days), cost estimate (14 days), attacher acceptance (14 days), and make-ready (60-75 days).</w:t>
      </w:r>
      <w:r w:rsidRPr="00B55EDD" w:rsidDel="001C6E9F">
        <w:rPr>
          <w:vertAlign w:val="superscript"/>
        </w:rPr>
        <w:footnoteReference w:id="13"/>
      </w:r>
      <w:r w:rsidRPr="00B55EDD" w:rsidDel="001C6E9F">
        <w:t xml:space="preserve">  It also allow</w:t>
      </w:r>
      <w:r>
        <w:t>s</w:t>
      </w:r>
      <w:r w:rsidRPr="00B55EDD" w:rsidDel="001C6E9F">
        <w:t xml:space="preserve"> timeline modifications for wireless attachments above the communications space and for large requests.</w:t>
      </w:r>
      <w:r w:rsidRPr="00B55EDD" w:rsidDel="001C6E9F">
        <w:rPr>
          <w:vertAlign w:val="superscript"/>
        </w:rPr>
        <w:footnoteReference w:id="14"/>
      </w:r>
      <w:r>
        <w:rPr>
          <w:rFonts w:eastAsia="Calibri"/>
        </w:rPr>
        <w:t xml:space="preserve"> </w:t>
      </w:r>
    </w:p>
    <w:p w:rsidR="00455188" w:rsidRDefault="00455188" w:rsidP="00455188">
      <w:pPr>
        <w:pStyle w:val="ParaNum"/>
        <w:widowControl/>
      </w:pPr>
      <w:r>
        <w:rPr>
          <w:i/>
        </w:rPr>
        <w:t>Application Review.</w:t>
      </w:r>
      <w:r w:rsidRPr="00E66524" w:rsidDel="00B47DD5">
        <w:rPr>
          <w:i/>
        </w:rPr>
        <w:t xml:space="preserve"> </w:t>
      </w:r>
      <w:r>
        <w:t>We seek comment on whether we should require</w:t>
      </w:r>
      <w:r w:rsidRPr="00B55EDD">
        <w:t xml:space="preserve"> a utility to review and make a decision on a completed pole attachment application within </w:t>
      </w:r>
      <w:r>
        <w:t>a timeframe shorter than the current 45 days.</w:t>
      </w:r>
      <w:r w:rsidRPr="00B55EDD">
        <w:rPr>
          <w:vertAlign w:val="superscript"/>
        </w:rPr>
        <w:footnoteReference w:id="15"/>
      </w:r>
      <w:r w:rsidRPr="00B55EDD">
        <w:t xml:space="preserve">  Is 15 days a reasonable timeframe for utilities to act on a completed pole attachment application?  </w:t>
      </w:r>
      <w:r>
        <w:t xml:space="preserve">Is 30 days?  </w:t>
      </w:r>
      <w:r w:rsidRPr="00B55EDD">
        <w:t xml:space="preserve">We seek comment on, and examples of, current timelines for the consideration of pole attachment applications, especially in states that regulate their own rates, terms, and conditions for pole access.  </w:t>
      </w:r>
      <w:r>
        <w:t>If we adopt a shorter timeline, we also seek comment on situations in which it might be reasonable for the utility’s review of a pole attachment application to extend beyond the new shortened timeline.</w:t>
      </w:r>
    </w:p>
    <w:p w:rsidR="00455188" w:rsidRDefault="00455188" w:rsidP="00455188">
      <w:pPr>
        <w:pStyle w:val="ParaNum"/>
      </w:pPr>
      <w:r w:rsidRPr="00B55EDD">
        <w:t xml:space="preserve">In addition, we </w:t>
      </w:r>
      <w:r>
        <w:t>seek comment on</w:t>
      </w:r>
      <w:r w:rsidRPr="00B55EDD">
        <w:t xml:space="preserve"> retaining </w:t>
      </w:r>
      <w:r>
        <w:t xml:space="preserve">the </w:t>
      </w:r>
      <w:r w:rsidRPr="00B55EDD">
        <w:t>existing Commission rule allowing utilities 15 extra days to consider pole attachment applications in the case of large orders (i.e., up to the lesser of 3,000 poles</w:t>
      </w:r>
      <w:r>
        <w:t xml:space="preserve"> or five percent of the utility’</w:t>
      </w:r>
      <w:r w:rsidRPr="00B55EDD">
        <w:t>s poles in a state)</w:t>
      </w:r>
      <w:r>
        <w:t>.</w:t>
      </w:r>
      <w:r>
        <w:rPr>
          <w:rStyle w:val="FootnoteReference"/>
        </w:rPr>
        <w:footnoteReference w:id="16"/>
      </w:r>
      <w:r>
        <w:t xml:space="preserve">  We also seek comment on</w:t>
      </w:r>
      <w:r w:rsidRPr="00B55EDD">
        <w:t xml:space="preserve"> cap</w:t>
      </w:r>
      <w:r>
        <w:t>ping,</w:t>
      </w:r>
      <w:r w:rsidRPr="00B55EDD">
        <w:t xml:space="preserve"> at a total of 45 days</w:t>
      </w:r>
      <w:r>
        <w:t>,</w:t>
      </w:r>
      <w:r w:rsidRPr="00B55EDD">
        <w:t xml:space="preserve"> </w:t>
      </w:r>
      <w:r>
        <w:t xml:space="preserve">utility </w:t>
      </w:r>
      <w:r w:rsidRPr="00B55EDD">
        <w:t xml:space="preserve">review of those pole attachment applications that are larger than the lesser of 3,000 poles or five percent of a utility’s poles in a state.  </w:t>
      </w:r>
      <w:r>
        <w:t>We seek comment</w:t>
      </w:r>
      <w:r w:rsidRPr="00B55EDD">
        <w:t xml:space="preserve"> on possible alternatives by which we may take into account large </w:t>
      </w:r>
      <w:r>
        <w:t xml:space="preserve">pole attachment </w:t>
      </w:r>
      <w:r w:rsidRPr="00B55EDD">
        <w:t>orders.</w:t>
      </w:r>
      <w:r>
        <w:t xml:space="preserve">  We seek comment regarding the expected volume of pole attachment requests associated with the 5G rollouts of wireless carriers and whether the extended timelines for larger pole attachment orders might help utilities process the large volume of requests we anticipate will be associated with the 5G buildouts.</w:t>
      </w:r>
    </w:p>
    <w:p w:rsidR="00455188" w:rsidRDefault="00455188" w:rsidP="00455188">
      <w:pPr>
        <w:pStyle w:val="ParaNum"/>
      </w:pPr>
      <w:r>
        <w:rPr>
          <w:i/>
        </w:rPr>
        <w:t xml:space="preserve">Survey, Cost Estimate, and Acceptance.  </w:t>
      </w:r>
      <w:r>
        <w:t>We seek comment on whether the review period for pole attachment applications should still include time for the utility to survey the poles for which access has been requested.</w:t>
      </w:r>
      <w:r>
        <w:rPr>
          <w:rStyle w:val="FootnoteReference"/>
        </w:rPr>
        <w:footnoteReference w:id="17"/>
      </w:r>
      <w:r>
        <w:t xml:space="preserve">  With regard to the estimate and acceptance steps of the current pole access timeline, should we require a timeframe for these steps that is shorter than the current 28 days?</w:t>
      </w:r>
      <w:r>
        <w:rPr>
          <w:rStyle w:val="FootnoteReference"/>
        </w:rPr>
        <w:footnoteReference w:id="18"/>
      </w:r>
      <w:r>
        <w:t xml:space="preserve">  Would it be reasonable to combine these steps into a condensed 14-day (or 10-day) period?  Could we wrap these two steps into the make-ready timeframe?</w:t>
      </w:r>
      <w:r>
        <w:rPr>
          <w:rStyle w:val="FootnoteReference"/>
        </w:rPr>
        <w:footnoteReference w:id="19"/>
      </w:r>
      <w:r>
        <w:t xml:space="preserve">  Would it be reasonable to eliminate these two steps entirely?  If so, without the estimate and acceptance steps, then what alternatives should there be for requiring utilities and new attachers to come to an agreement on make-ready costs?  </w:t>
      </w:r>
    </w:p>
    <w:p w:rsidR="00455188" w:rsidRDefault="00455188" w:rsidP="00455188">
      <w:pPr>
        <w:pStyle w:val="ParaNum"/>
        <w:widowControl/>
      </w:pPr>
      <w:r>
        <w:rPr>
          <w:i/>
        </w:rPr>
        <w:t xml:space="preserve">Make-Ready.  </w:t>
      </w:r>
      <w:r>
        <w:t>We also seek comment on approaches to shorten the make-ready work timeframe.  T</w:t>
      </w:r>
      <w:r w:rsidRPr="00B55EDD">
        <w:t xml:space="preserve">he Commission </w:t>
      </w:r>
      <w:r>
        <w:t xml:space="preserve">currently </w:t>
      </w:r>
      <w:r w:rsidRPr="00B55EDD">
        <w:t xml:space="preserve">requires that </w:t>
      </w:r>
      <w:r>
        <w:t xml:space="preserve">utilities give </w:t>
      </w:r>
      <w:r w:rsidRPr="00B55EDD">
        <w:t xml:space="preserve">existing attachers </w:t>
      </w:r>
      <w:r>
        <w:t>a period not to exceed</w:t>
      </w:r>
      <w:r w:rsidRPr="00B55EDD">
        <w:t xml:space="preserve"> 60 days after the make-ready notice is sent to complete work on their equipment</w:t>
      </w:r>
      <w:r>
        <w:t xml:space="preserve"> in the communications space of a pole</w:t>
      </w:r>
      <w:r w:rsidRPr="00B55EDD">
        <w:t>.</w:t>
      </w:r>
      <w:r w:rsidRPr="00B55EDD">
        <w:rPr>
          <w:vertAlign w:val="superscript"/>
        </w:rPr>
        <w:footnoteReference w:id="20"/>
      </w:r>
      <w:r w:rsidRPr="00B55EDD">
        <w:t xml:space="preserve">  In adopting a 60-day </w:t>
      </w:r>
      <w:r>
        <w:t xml:space="preserve">maximum </w:t>
      </w:r>
      <w:r w:rsidRPr="00B55EDD">
        <w:t xml:space="preserve">period for existing attachers to complete make-ready work, </w:t>
      </w:r>
      <w:r>
        <w:t>t</w:t>
      </w:r>
      <w:r w:rsidRPr="00B55EDD">
        <w:t xml:space="preserve">he </w:t>
      </w:r>
      <w:r w:rsidRPr="00B55EDD">
        <w:rPr>
          <w:i/>
        </w:rPr>
        <w:t>2011 Pole Attachment Order</w:t>
      </w:r>
      <w:r>
        <w:rPr>
          <w:i/>
        </w:rPr>
        <w:t xml:space="preserve"> </w:t>
      </w:r>
      <w:r w:rsidRPr="00B55EDD">
        <w:t>recommended as a “best practice” a make-ready period of 30 days or less for small pole attachment requests and 45 days for medium-size requests.</w:t>
      </w:r>
      <w:r w:rsidRPr="00B55EDD">
        <w:rPr>
          <w:vertAlign w:val="superscript"/>
        </w:rPr>
        <w:footnoteReference w:id="21"/>
      </w:r>
      <w:r w:rsidRPr="00B55EDD">
        <w:t xml:space="preserve">  </w:t>
      </w:r>
      <w:r>
        <w:t xml:space="preserve">Should the Commission adopt as requirements the “best practices” timeframes set forth in the </w:t>
      </w:r>
      <w:r>
        <w:rPr>
          <w:i/>
        </w:rPr>
        <w:t>2011 Pole Attachment Order</w:t>
      </w:r>
      <w:r>
        <w:t xml:space="preserve">?  What other timeframes would be reasonable, recognizing the safety concerns and property interests of existing attachers and utilities when conducting make-ready work on a pole?  </w:t>
      </w:r>
      <w:r w:rsidRPr="00B55EDD">
        <w:t xml:space="preserve">We seek comment on any state experience with this phase of the make-ready process—how long is it taking existing attachers to perform make-ready work in states that are not subject to Commission pole attachment jurisdiction?  </w:t>
      </w:r>
      <w:r>
        <w:t>Do</w:t>
      </w:r>
      <w:r w:rsidRPr="009028D6">
        <w:t xml:space="preserve"> existing attachers requir</w:t>
      </w:r>
      <w:r>
        <w:t>e</w:t>
      </w:r>
      <w:r w:rsidRPr="009028D6">
        <w:t xml:space="preserve"> the full make-ready period</w:t>
      </w:r>
      <w:r>
        <w:t>s</w:t>
      </w:r>
      <w:r w:rsidRPr="009028D6">
        <w:t xml:space="preserve"> to move their attachments such that the total timeline for a new attacher exceeds </w:t>
      </w:r>
      <w:r>
        <w:t>the Commission’s</w:t>
      </w:r>
      <w:r w:rsidRPr="009028D6">
        <w:t xml:space="preserve"> </w:t>
      </w:r>
      <w:r>
        <w:t>existing pole attachment timeline</w:t>
      </w:r>
      <w:r w:rsidRPr="009028D6">
        <w:t>?</w:t>
      </w:r>
      <w:r>
        <w:rPr>
          <w:rStyle w:val="FootnoteReference"/>
        </w:rPr>
        <w:footnoteReference w:id="22"/>
      </w:r>
      <w:r w:rsidRPr="009028D6">
        <w:t xml:space="preserve">  </w:t>
      </w:r>
      <w:r>
        <w:t>Are there situations in which it is reasonable for existing attachers to go beyond the current Commission timeframes to complete make-ready work?  Further, are there ways that the Commission can eliminate or significantly reduce the need for make-ready work?  For example, what can the Commission do to encourage utilities to proactively make room for future attachers by consolidating existing attachments, reserving space on new poles for new attachers, and allowing the use of extension arms to increase pole capacity?</w:t>
      </w:r>
      <w:r>
        <w:rPr>
          <w:rStyle w:val="FootnoteReference"/>
        </w:rPr>
        <w:footnoteReference w:id="23"/>
      </w:r>
    </w:p>
    <w:p w:rsidR="00455188" w:rsidRPr="00F035DC" w:rsidRDefault="00455188" w:rsidP="00455188">
      <w:pPr>
        <w:pStyle w:val="ParaNum"/>
      </w:pPr>
      <w:r w:rsidRPr="00B55EDD">
        <w:t xml:space="preserve">In addition, the Commission has adopted longer </w:t>
      </w:r>
      <w:r>
        <w:t xml:space="preserve">maximum </w:t>
      </w:r>
      <w:r w:rsidRPr="00B55EDD">
        <w:t xml:space="preserve">periods for existing attachers </w:t>
      </w:r>
      <w:r>
        <w:t xml:space="preserve">and utilities </w:t>
      </w:r>
      <w:r w:rsidRPr="00B55EDD">
        <w:t>to complete make-ready work in the case of large pole attachment orders (an additional 45 days) and in the case of wireless attachments above the communications space (a total of up to 90 days for such attachments or up to 135 days in the case of large wireless attachment orders).</w:t>
      </w:r>
      <w:r>
        <w:rPr>
          <w:rStyle w:val="FootnoteReference"/>
        </w:rPr>
        <w:footnoteReference w:id="24"/>
      </w:r>
      <w:r w:rsidRPr="00B55EDD">
        <w:t xml:space="preserve">  We seek comment on </w:t>
      </w:r>
      <w:r>
        <w:t xml:space="preserve">whether it is reasonable to </w:t>
      </w:r>
      <w:r w:rsidRPr="00B55EDD">
        <w:t>retain</w:t>
      </w:r>
      <w:r>
        <w:t xml:space="preserve"> </w:t>
      </w:r>
      <w:r w:rsidRPr="00B55EDD">
        <w:t xml:space="preserve">these extended time periods </w:t>
      </w:r>
      <w:r>
        <w:t xml:space="preserve">for large pole attachment orders and for wireless attachments above the communications space.  </w:t>
      </w:r>
      <w:r w:rsidRPr="00B55EDD">
        <w:t>We seek comment on reasonable alternatives to these timelines</w:t>
      </w:r>
      <w:r>
        <w:t>, bearing in mind the safety concerns inherent in make-ready work above the communications space on a pole and the manpower concerns of existing attachers and utilities when having to perform make-ready on large numbers of poles in a condensed time period</w:t>
      </w:r>
      <w:r w:rsidRPr="00B55EDD">
        <w:t>.</w:t>
      </w:r>
    </w:p>
    <w:p w:rsidR="00455188" w:rsidRDefault="00455188" w:rsidP="00455188">
      <w:pPr>
        <w:pStyle w:val="Heading4"/>
      </w:pPr>
      <w:r>
        <w:t>Alternative</w:t>
      </w:r>
      <w:r w:rsidRPr="004E508A">
        <w:t xml:space="preserve"> Pole Attachment </w:t>
      </w:r>
      <w:r>
        <w:t>Processes</w:t>
      </w:r>
      <w:r w:rsidRPr="004E508A">
        <w:t xml:space="preserve"> </w:t>
      </w:r>
      <w:r w:rsidRPr="00B55EDD" w:rsidDel="001C6E9F">
        <w:t xml:space="preserve"> </w:t>
      </w:r>
    </w:p>
    <w:p w:rsidR="00455188" w:rsidRDefault="00455188" w:rsidP="00455188">
      <w:pPr>
        <w:pStyle w:val="ParaNum"/>
      </w:pPr>
      <w:r>
        <w:t xml:space="preserve">We seek comment generally on possible alternatives to the Commission’s current pole attachment process that might speed access to poles.  We also seek comment on potential remedies, penalties, and other ways to incent utilities, existing attachers, and new attachers to work together to speed the pole attachment timeline.  </w:t>
      </w:r>
      <w:r w:rsidRPr="00B55EDD" w:rsidDel="001C6E9F">
        <w:t xml:space="preserve">If the Commission were to adopt </w:t>
      </w:r>
      <w:r>
        <w:t>any of the revisions proposed below or other revisions to our process</w:t>
      </w:r>
      <w:r w:rsidRPr="00B55EDD" w:rsidDel="001C6E9F">
        <w:t>, would Section 224 of the Act support such an approach?  What other statutory authority could the Commission rely on in adopting such changes?</w:t>
      </w:r>
      <w:r w:rsidRPr="00B55EDD">
        <w:t xml:space="preserve">  In considering the proposals below for a</w:t>
      </w:r>
      <w:r>
        <w:t>lternatives to</w:t>
      </w:r>
      <w:r w:rsidRPr="00B55EDD">
        <w:t xml:space="preserve"> </w:t>
      </w:r>
      <w:r>
        <w:t xml:space="preserve">the </w:t>
      </w:r>
      <w:r w:rsidRPr="00B55EDD">
        <w:t xml:space="preserve">pole attachment timeline, we seek comment on </w:t>
      </w:r>
      <w:r>
        <w:t xml:space="preserve">the need to balance the benefits of these alternatives against the safety and property concerns that are paramount to the pole attachment process.  For example, we seek comment on </w:t>
      </w:r>
      <w:r w:rsidRPr="00B55EDD">
        <w:t xml:space="preserve">the extent to which any of the proposals may violate the </w:t>
      </w:r>
      <w:r w:rsidRPr="00B55EDD" w:rsidDel="007736AC">
        <w:t xml:space="preserve">Fifth Amendment </w:t>
      </w:r>
      <w:r w:rsidRPr="00B55EDD">
        <w:t xml:space="preserve">protections of </w:t>
      </w:r>
      <w:r>
        <w:t>utilities</w:t>
      </w:r>
      <w:r w:rsidRPr="00B55EDD">
        <w:t xml:space="preserve"> and existing attachers against the taking of their property without just compensation.</w:t>
      </w:r>
      <w:r w:rsidRPr="00B55EDD" w:rsidDel="007736AC">
        <w:t xml:space="preserve">  </w:t>
      </w:r>
    </w:p>
    <w:p w:rsidR="00455188" w:rsidRDefault="00455188" w:rsidP="00455188">
      <w:pPr>
        <w:pStyle w:val="ParaNum"/>
      </w:pPr>
      <w:r w:rsidRPr="00B312B8">
        <w:rPr>
          <w:i/>
        </w:rPr>
        <w:t xml:space="preserve">Use of Utility-Approved Contractors to Perform Make-Ready Work.  </w:t>
      </w:r>
      <w:r>
        <w:t xml:space="preserve">We seek comment on whether the Commission should adopt rules that would </w:t>
      </w:r>
      <w:r w:rsidRPr="00B312B8">
        <w:t xml:space="preserve">allow new attachers to use utility-approved contractors to perform </w:t>
      </w:r>
      <w:r>
        <w:t>“</w:t>
      </w:r>
      <w:r w:rsidRPr="00B312B8">
        <w:t>routine</w:t>
      </w:r>
      <w:r>
        <w:t>”</w:t>
      </w:r>
      <w:r w:rsidRPr="00B312B8">
        <w:t xml:space="preserve"> make-ready work and </w:t>
      </w:r>
      <w:r>
        <w:t xml:space="preserve">also </w:t>
      </w:r>
      <w:r w:rsidRPr="00B312B8">
        <w:t xml:space="preserve">to perform </w:t>
      </w:r>
      <w:r>
        <w:t>“</w:t>
      </w:r>
      <w:r w:rsidRPr="00B312B8">
        <w:t>complex</w:t>
      </w:r>
      <w:r>
        <w:t>”</w:t>
      </w:r>
      <w:r w:rsidRPr="00B312B8">
        <w:t xml:space="preserve"> make-ready work </w:t>
      </w:r>
      <w:r w:rsidRPr="00B55EDD">
        <w:rPr>
          <w:rFonts w:eastAsia="Calibri"/>
          <w:snapToGrid/>
          <w:kern w:val="0"/>
          <w:szCs w:val="22"/>
        </w:rPr>
        <w:t xml:space="preserve">(i.e., make-ready work that </w:t>
      </w:r>
      <w:r w:rsidRPr="00B67B70">
        <w:rPr>
          <w:rFonts w:eastAsia="Calibri"/>
          <w:kern w:val="0"/>
        </w:rPr>
        <w:t xml:space="preserve">reasonably </w:t>
      </w:r>
      <w:r w:rsidRPr="00B55EDD">
        <w:rPr>
          <w:rFonts w:eastAsia="Calibri"/>
          <w:snapToGrid/>
          <w:kern w:val="0"/>
          <w:szCs w:val="22"/>
        </w:rPr>
        <w:t xml:space="preserve">would </w:t>
      </w:r>
      <w:r w:rsidRPr="00B67B70">
        <w:rPr>
          <w:rFonts w:eastAsia="Calibri"/>
          <w:kern w:val="0"/>
        </w:rPr>
        <w:t>be expected to cause a customer outage</w:t>
      </w:r>
      <w:r w:rsidRPr="00B55EDD">
        <w:rPr>
          <w:rFonts w:eastAsia="Calibri"/>
          <w:snapToGrid/>
          <w:kern w:val="0"/>
          <w:szCs w:val="22"/>
        </w:rPr>
        <w:t>)</w:t>
      </w:r>
      <w:r>
        <w:rPr>
          <w:rFonts w:eastAsia="Calibri"/>
          <w:snapToGrid/>
          <w:kern w:val="0"/>
          <w:szCs w:val="22"/>
        </w:rPr>
        <w:t xml:space="preserve"> </w:t>
      </w:r>
      <w:r w:rsidRPr="00B312B8">
        <w:t xml:space="preserve">in situations where an existing attacher fails to do so.  </w:t>
      </w:r>
      <w:r>
        <w:t>Under the Commission’s current pole attachment timeline, utilities may allow existing attachers up to 60 days to complete make-ready work on their equipment in the communications space and utilities have the right to ask for an additional 15 days to complete the work when the existing attacher fails to do so.</w:t>
      </w:r>
      <w:r>
        <w:rPr>
          <w:rStyle w:val="FootnoteReference"/>
        </w:rPr>
        <w:footnoteReference w:id="25"/>
      </w:r>
      <w:r>
        <w:t xml:space="preserve">  Only after that period of up to 75 days has run, and neither the existing attachers nor the utilities have met their deadlines, can new attachers begin to perform make-ready work using utility-approved contractors.  The timelines are even longer in cases of larger pole attachment requests and for wireless make-ready work above the communications space on a pole.</w:t>
      </w:r>
      <w:r>
        <w:rPr>
          <w:rStyle w:val="FootnoteReference"/>
        </w:rPr>
        <w:footnoteReference w:id="26"/>
      </w:r>
      <w:r>
        <w:t xml:space="preserve">  </w:t>
      </w:r>
      <w:r w:rsidRPr="00B312B8">
        <w:t xml:space="preserve">We seek comment on </w:t>
      </w:r>
      <w:r>
        <w:t xml:space="preserve">whether it would be reasonable </w:t>
      </w:r>
      <w:r w:rsidRPr="00B312B8">
        <w:t xml:space="preserve">to expand the use of utility-approved contractors to perform make-ready work, </w:t>
      </w:r>
      <w:r>
        <w:t>especially earlier in the pole attachment process</w:t>
      </w:r>
      <w:r w:rsidRPr="00B312B8">
        <w:t>.</w:t>
      </w:r>
      <w:r>
        <w:t xml:space="preserve">  Would it be reasonable to eliminate the utility’s right to complete make-ready work in favor of a new attacher performing the make-ready work after an existing attacher fails to meet its make-ready deadline?  </w:t>
      </w:r>
    </w:p>
    <w:p w:rsidR="00455188" w:rsidRDefault="00455188" w:rsidP="00455188">
      <w:pPr>
        <w:pStyle w:val="ParaNum"/>
      </w:pPr>
      <w:r w:rsidRPr="00B312B8">
        <w:t xml:space="preserve">We seek comment on </w:t>
      </w:r>
      <w:r>
        <w:t xml:space="preserve">balancing </w:t>
      </w:r>
      <w:r w:rsidRPr="00B312B8">
        <w:t xml:space="preserve">the benefits of allowing new attachers to use utility-approved contractors to perform make-ready work </w:t>
      </w:r>
      <w:r>
        <w:t xml:space="preserve">against </w:t>
      </w:r>
      <w:r w:rsidRPr="00B312B8">
        <w:t xml:space="preserve">any drawbacks </w:t>
      </w:r>
      <w:r>
        <w:t xml:space="preserve">of </w:t>
      </w:r>
      <w:r w:rsidRPr="00B312B8">
        <w:t>allowing contractors that may not be approved by existing attachers to move existing equipment on a pole.</w:t>
      </w:r>
      <w:r>
        <w:t xml:space="preserve">  </w:t>
      </w:r>
      <w:r w:rsidRPr="00B312B8">
        <w:t>We urge commenters, whenever possible, to provide quantifiable data or evidence supporting their position.</w:t>
      </w:r>
      <w:r>
        <w:t xml:space="preserve">  We note that </w:t>
      </w:r>
      <w:r w:rsidRPr="00B312B8">
        <w:t>AT&amp;T, in its federal court challenge of Louisville</w:t>
      </w:r>
      <w:r>
        <w:t>, Kentucky</w:t>
      </w:r>
      <w:r w:rsidRPr="00B312B8">
        <w:t xml:space="preserve">’s </w:t>
      </w:r>
      <w:r>
        <w:t>pole attachment</w:t>
      </w:r>
      <w:r w:rsidRPr="00B312B8">
        <w:t xml:space="preserve"> ordinance, argued that utility-approved contractors “have on occasion moved AT&amp;T’s network facilities, with less-than-satisfactory results,” while Comcast argued in its</w:t>
      </w:r>
      <w:r>
        <w:t xml:space="preserve"> federal court challenge to </w:t>
      </w:r>
      <w:r w:rsidRPr="00B312B8">
        <w:t>Nashville</w:t>
      </w:r>
      <w:r>
        <w:t>, Tennessee’s</w:t>
      </w:r>
      <w:r w:rsidRPr="00B312B8">
        <w:t xml:space="preserve"> </w:t>
      </w:r>
      <w:r>
        <w:t>pole attachment</w:t>
      </w:r>
      <w:r w:rsidRPr="00B312B8">
        <w:t xml:space="preserve"> ordinance that third-party contractors “are significantly more likely to damage Comcast’s equipment or interfere with its services.”</w:t>
      </w:r>
      <w:r w:rsidRPr="00AE0A82">
        <w:rPr>
          <w:vertAlign w:val="superscript"/>
        </w:rPr>
        <w:footnoteReference w:id="27"/>
      </w:r>
      <w:r w:rsidRPr="00B312B8">
        <w:t xml:space="preserve">  </w:t>
      </w:r>
      <w:r>
        <w:t xml:space="preserve">We seek comment on other safety and property concerns that the Commission should account for in considering whether to allow an expanded role in the make-ready process for utility-approved contractors.  We also seek comment on liability safe harbors that would protect the property and safety interests of existing attachers, utilities, and their customers when new attachers use utility-approved contractors to perform make-ready work on poles and existing equipment on the poles.  For example, to ensure protections for existing attachers and utilities, would it be reasonable to impose on new attachers requirements such as surety bonds, indemnifications for outages and damages, and self-help remedies for utilities and existing attachers to fix problems caused by new attacher contractors?  </w:t>
      </w:r>
      <w:r w:rsidRPr="00B55EDD">
        <w:t xml:space="preserve">Are there </w:t>
      </w:r>
      <w:r>
        <w:t xml:space="preserve">other </w:t>
      </w:r>
      <w:r w:rsidRPr="00B55EDD">
        <w:t xml:space="preserve">safeguards that we can adopt to protect existing attachers, utilities, and their customers in the event that the </w:t>
      </w:r>
      <w:r>
        <w:t xml:space="preserve">new </w:t>
      </w:r>
      <w:r w:rsidRPr="00B55EDD">
        <w:t>attacher</w:t>
      </w:r>
      <w:r>
        <w:t>’s contractors</w:t>
      </w:r>
      <w:r w:rsidRPr="00B55EDD">
        <w:t xml:space="preserve"> err in </w:t>
      </w:r>
      <w:r>
        <w:t xml:space="preserve">the performance of </w:t>
      </w:r>
      <w:r w:rsidRPr="00B55EDD">
        <w:t>make-ready work?</w:t>
      </w:r>
    </w:p>
    <w:p w:rsidR="00455188" w:rsidRDefault="00455188" w:rsidP="00455188">
      <w:pPr>
        <w:pStyle w:val="ParaNum"/>
      </w:pPr>
      <w:r>
        <w:t>For make-ready work that would be considered “routine” in the communications space of a pole, is it reasonable to allow a new attacher to use a utility-approved contractor to perform such work after notice has been sent to existing attachers?  Would it be reasonable to allow new attachers to use utility-approved contractors to perform complex make-ready work as well?</w:t>
      </w:r>
      <w:r w:rsidRPr="00481902">
        <w:t xml:space="preserve"> </w:t>
      </w:r>
      <w:r>
        <w:t xml:space="preserve"> Also, because of the special skills required to work on wireless attachments above the communications space on a pole,</w:t>
      </w:r>
      <w:r>
        <w:rPr>
          <w:rStyle w:val="FootnoteReference"/>
        </w:rPr>
        <w:footnoteReference w:id="28"/>
      </w:r>
      <w:r w:rsidRPr="00AE0A82">
        <w:t xml:space="preserve"> </w:t>
      </w:r>
      <w:r>
        <w:t>we seek comment on whether utilities should be required to keep a separate list of contractors authorized to perform this specialized make-ready work.</w:t>
      </w:r>
      <w:r>
        <w:rPr>
          <w:rStyle w:val="FootnoteReference"/>
        </w:rPr>
        <w:footnoteReference w:id="29"/>
      </w:r>
      <w:r>
        <w:t xml:space="preserve">  Should utility-approved contractors that work for new attachers be allowed to perform make-ready work on wireless attachments above the communications space on a pole?</w:t>
      </w:r>
    </w:p>
    <w:p w:rsidR="00455188" w:rsidRDefault="00455188" w:rsidP="00455188">
      <w:pPr>
        <w:pStyle w:val="ParaNum"/>
      </w:pPr>
      <w:r w:rsidRPr="00B312B8">
        <w:t>We also seek comment on the following proposals</w:t>
      </w:r>
      <w:r>
        <w:t xml:space="preserve"> that address the safety and property concerns of existing attachers and utilities</w:t>
      </w:r>
      <w:r w:rsidRPr="00B312B8">
        <w:t>:</w:t>
      </w:r>
    </w:p>
    <w:p w:rsidR="00455188" w:rsidRDefault="00455188" w:rsidP="00455188">
      <w:pPr>
        <w:pStyle w:val="ParaNum"/>
        <w:numPr>
          <w:ilvl w:val="0"/>
          <w:numId w:val="24"/>
        </w:numPr>
        <w:rPr>
          <w:rFonts w:eastAsia="Calibri"/>
          <w:snapToGrid/>
        </w:rPr>
      </w:pPr>
      <w:r w:rsidRPr="00B55EDD">
        <w:rPr>
          <w:rFonts w:eastAsia="Calibri"/>
          <w:snapToGrid/>
        </w:rPr>
        <w:t>requiring all impacted attachers (new</w:t>
      </w:r>
      <w:r>
        <w:rPr>
          <w:rFonts w:eastAsia="Calibri"/>
          <w:snapToGrid/>
        </w:rPr>
        <w:t xml:space="preserve">, </w:t>
      </w:r>
      <w:r w:rsidRPr="00B55EDD">
        <w:rPr>
          <w:rFonts w:eastAsia="Calibri"/>
          <w:snapToGrid/>
        </w:rPr>
        <w:t>existing</w:t>
      </w:r>
      <w:r>
        <w:rPr>
          <w:rFonts w:eastAsia="Calibri"/>
          <w:snapToGrid/>
        </w:rPr>
        <w:t>, and utilities</w:t>
      </w:r>
      <w:r w:rsidRPr="00B55EDD">
        <w:rPr>
          <w:rFonts w:eastAsia="Calibri"/>
          <w:snapToGrid/>
        </w:rPr>
        <w:t>) to agree on a contractor</w:t>
      </w:r>
      <w:r>
        <w:rPr>
          <w:rFonts w:eastAsia="Calibri"/>
          <w:snapToGrid/>
        </w:rPr>
        <w:t xml:space="preserve"> or contractors</w:t>
      </w:r>
      <w:r w:rsidRPr="00B55EDD">
        <w:rPr>
          <w:rFonts w:eastAsia="Calibri"/>
          <w:snapToGrid/>
        </w:rPr>
        <w:t xml:space="preserve"> that the new attacher could use to perform make-ready work; and/or</w:t>
      </w:r>
    </w:p>
    <w:p w:rsidR="00455188" w:rsidRPr="00B67B70" w:rsidRDefault="00455188" w:rsidP="00455188">
      <w:pPr>
        <w:pStyle w:val="ParaNum"/>
        <w:numPr>
          <w:ilvl w:val="0"/>
          <w:numId w:val="24"/>
        </w:numPr>
        <w:rPr>
          <w:rFonts w:eastAsia="Calibri"/>
        </w:rPr>
      </w:pPr>
      <w:r w:rsidRPr="00B67B70">
        <w:rPr>
          <w:rFonts w:eastAsia="Calibri"/>
        </w:rPr>
        <w:t xml:space="preserve">requiring that existing attachers (or their contractors) be given the reasonable opportunity to observe the make-ready work being done on their existing equipment by the new attachers’ contractors.  </w:t>
      </w:r>
    </w:p>
    <w:p w:rsidR="00455188" w:rsidRDefault="00455188" w:rsidP="00455188">
      <w:pPr>
        <w:widowControl/>
        <w:spacing w:after="120"/>
        <w:rPr>
          <w:rFonts w:eastAsia="Calibri"/>
          <w:snapToGrid/>
          <w:kern w:val="0"/>
          <w:szCs w:val="22"/>
        </w:rPr>
      </w:pPr>
      <w:r w:rsidRPr="00B55EDD">
        <w:rPr>
          <w:rFonts w:eastAsia="Calibri"/>
          <w:snapToGrid/>
          <w:kern w:val="0"/>
          <w:szCs w:val="22"/>
        </w:rPr>
        <w:t>We seek comment on the benefits of these and other alternative proposals</w:t>
      </w:r>
      <w:r>
        <w:rPr>
          <w:rFonts w:eastAsia="Calibri"/>
          <w:snapToGrid/>
          <w:kern w:val="0"/>
          <w:szCs w:val="22"/>
        </w:rPr>
        <w:t xml:space="preserve"> involving the use of utility-approved contractors to perform make-ready work</w:t>
      </w:r>
      <w:r w:rsidRPr="00B55EDD">
        <w:rPr>
          <w:rFonts w:eastAsia="Calibri"/>
          <w:snapToGrid/>
          <w:kern w:val="0"/>
          <w:szCs w:val="22"/>
        </w:rPr>
        <w:t>.</w:t>
      </w:r>
    </w:p>
    <w:p w:rsidR="00455188" w:rsidRPr="00B55EDD" w:rsidRDefault="00455188" w:rsidP="00455188">
      <w:pPr>
        <w:pStyle w:val="ParaNum"/>
      </w:pPr>
      <w:r w:rsidRPr="00ED693B">
        <w:rPr>
          <w:i/>
        </w:rPr>
        <w:t xml:space="preserve">New Attachers </w:t>
      </w:r>
      <w:r>
        <w:rPr>
          <w:i/>
        </w:rPr>
        <w:t xml:space="preserve">Performing </w:t>
      </w:r>
      <w:r w:rsidRPr="00ED693B">
        <w:rPr>
          <w:i/>
        </w:rPr>
        <w:t xml:space="preserve">Make-Ready Work.  </w:t>
      </w:r>
      <w:r>
        <w:t xml:space="preserve">We seek comment on whether we should adopt rules to </w:t>
      </w:r>
      <w:r w:rsidRPr="00B55EDD">
        <w:t xml:space="preserve">allow new attachers </w:t>
      </w:r>
      <w:r>
        <w:t xml:space="preserve">(using utility-approved contractors) </w:t>
      </w:r>
      <w:r w:rsidRPr="00B55EDD">
        <w:t>to perform routine make-ready work</w:t>
      </w:r>
      <w:r>
        <w:t xml:space="preserve"> in lieu of the existing attacher performing such work</w:t>
      </w:r>
      <w:r w:rsidRPr="00B55EDD">
        <w:t>.</w:t>
      </w:r>
      <w:r>
        <w:rPr>
          <w:rStyle w:val="FootnoteReference"/>
        </w:rPr>
        <w:footnoteReference w:id="30"/>
      </w:r>
      <w:r w:rsidRPr="00B55EDD">
        <w:t xml:space="preserve">  </w:t>
      </w:r>
      <w:r>
        <w:t>Recognizing that existing attachers may oppose such proposals,</w:t>
      </w:r>
      <w:r>
        <w:rPr>
          <w:rStyle w:val="FootnoteReference"/>
        </w:rPr>
        <w:footnoteReference w:id="31"/>
      </w:r>
      <w:r>
        <w:t xml:space="preserve"> we seek comment on alternatives that would address their safety and property concerns, while still shortening the make-ready timeline.  Allowing the new attacher to perform make-ready work would save time over the current Commission timeline by permitting the new attacher to initiate routine make-ready work after giving brief (or no) notice to existing attachers.</w:t>
      </w:r>
      <w:r>
        <w:rPr>
          <w:rStyle w:val="FootnoteReference"/>
        </w:rPr>
        <w:footnoteReference w:id="32"/>
      </w:r>
      <w:r>
        <w:t xml:space="preserve">  We recognize that such a process would exclude existing attachers from the opportunity to perform routine make-ready work and we seek comment on whether such an exclusion</w:t>
      </w:r>
      <w:r w:rsidRPr="00B55EDD">
        <w:t xml:space="preserve"> </w:t>
      </w:r>
      <w:r>
        <w:t xml:space="preserve">is </w:t>
      </w:r>
      <w:r w:rsidRPr="00B55EDD">
        <w:t>reasonable</w:t>
      </w:r>
      <w:r>
        <w:t>.</w:t>
      </w:r>
      <w:r w:rsidRPr="00B55EDD">
        <w:t xml:space="preserve">  </w:t>
      </w:r>
      <w:r>
        <w:t>We note that i</w:t>
      </w:r>
      <w:r w:rsidRPr="00B55EDD">
        <w:t>n crafting the pole attachment timeline adopted in 2011, the Commission sought to strike a balance between the goals of promoting broadband infrastructure deployment by new attachers and safeguarding the reliability of existing networks.</w:t>
      </w:r>
      <w:r w:rsidRPr="00B55EDD">
        <w:rPr>
          <w:vertAlign w:val="superscript"/>
        </w:rPr>
        <w:footnoteReference w:id="33"/>
      </w:r>
      <w:r w:rsidRPr="00B55EDD">
        <w:t xml:space="preserve">  We seek comment on the risks </w:t>
      </w:r>
      <w:r>
        <w:t>and</w:t>
      </w:r>
      <w:r w:rsidRPr="00B55EDD">
        <w:t xml:space="preserve"> drawbacks of </w:t>
      </w:r>
      <w:r>
        <w:t xml:space="preserve">any proposal that seeks to </w:t>
      </w:r>
      <w:r w:rsidRPr="00B55EDD">
        <w:t>chang</w:t>
      </w:r>
      <w:r>
        <w:t>e</w:t>
      </w:r>
      <w:r w:rsidRPr="00B55EDD">
        <w:t xml:space="preserve"> that balance by letting new attachers conduct routine make-ready work without allowing existing attachers the opportunity to do so.  </w:t>
      </w:r>
    </w:p>
    <w:p w:rsidR="00455188" w:rsidRPr="00B55EDD" w:rsidRDefault="00455188" w:rsidP="00455188">
      <w:pPr>
        <w:pStyle w:val="ParaNum"/>
      </w:pPr>
      <w:r w:rsidRPr="00B55EDD">
        <w:t xml:space="preserve">We </w:t>
      </w:r>
      <w:r>
        <w:t xml:space="preserve">also </w:t>
      </w:r>
      <w:r w:rsidRPr="00B55EDD">
        <w:t>recognize that a number of carriers have</w:t>
      </w:r>
      <w:r>
        <w:t xml:space="preserve"> </w:t>
      </w:r>
      <w:r w:rsidRPr="00B55EDD">
        <w:t>raised concerns about allowing new attachers to conduct rout</w:t>
      </w:r>
      <w:r>
        <w:t>ine make-ready work on equipment belonging to existing attachers</w:t>
      </w:r>
      <w:r w:rsidRPr="00B55EDD">
        <w:t xml:space="preserve">.  As AT&amp;T pointed out in its challenge to Louisville’s </w:t>
      </w:r>
      <w:r>
        <w:t>pole attachment</w:t>
      </w:r>
      <w:r w:rsidRPr="00B55EDD">
        <w:t xml:space="preserve"> ordinance, the movement and rearrangement of communications facilities </w:t>
      </w:r>
      <w:r>
        <w:t xml:space="preserve">has </w:t>
      </w:r>
      <w:r w:rsidRPr="00B55EDD">
        <w:t>public safety implications; we thus seek comment on AT&amp;T’s claim that the “service provider whose pre-existing facilities are at issue plainly is in the best position to determine whether required make-ready work could be service-affecting or threaten the reliability of its network.”</w:t>
      </w:r>
      <w:r w:rsidRPr="00B55EDD">
        <w:rPr>
          <w:vertAlign w:val="superscript"/>
        </w:rPr>
        <w:footnoteReference w:id="34"/>
      </w:r>
      <w:r w:rsidRPr="00B55EDD">
        <w:t xml:space="preserve">  Charter, in a </w:t>
      </w:r>
      <w:r>
        <w:t>separate</w:t>
      </w:r>
      <w:r w:rsidRPr="00B55EDD">
        <w:t xml:space="preserve"> challenge to Louisville’s ordinance, argues that </w:t>
      </w:r>
      <w:r>
        <w:t xml:space="preserve">allowing competitors to perform make-ready work on its equipment could intentionally or unintentionally </w:t>
      </w:r>
      <w:r w:rsidRPr="00B55EDD">
        <w:t>“damage or disrupt [Charter]’s ability to serve its customers, creating an inaccurate perception in the market about [Charter]’s service quality and harming its goodwill.”</w:t>
      </w:r>
      <w:r w:rsidRPr="00B55EDD">
        <w:rPr>
          <w:vertAlign w:val="superscript"/>
        </w:rPr>
        <w:footnoteReference w:id="35"/>
      </w:r>
      <w:r w:rsidRPr="00B55EDD">
        <w:t xml:space="preserve">  We seek comment on Charter’s claim and whether </w:t>
      </w:r>
      <w:r>
        <w:t xml:space="preserve">make-ready </w:t>
      </w:r>
      <w:r w:rsidRPr="00B55EDD">
        <w:t xml:space="preserve">procedures </w:t>
      </w:r>
      <w:r>
        <w:t xml:space="preserve">that exclude existing attachers </w:t>
      </w:r>
      <w:r w:rsidRPr="00B55EDD">
        <w:t xml:space="preserve">could lead to consumer misunderstandings in the event of service disruptions that occur during make-ready work by other attachers.  </w:t>
      </w:r>
      <w:r>
        <w:t xml:space="preserve">Should new attachers that perform make-ready work be required to indemnify, defend, and hold harmless existing attachers for damages or outages that occur as a result of make-ready work on their equipment? </w:t>
      </w:r>
    </w:p>
    <w:p w:rsidR="00455188" w:rsidRPr="00B55EDD" w:rsidRDefault="00455188" w:rsidP="00455188">
      <w:pPr>
        <w:pStyle w:val="ParaNum"/>
        <w:widowControl/>
      </w:pPr>
      <w:r w:rsidRPr="00B55EDD">
        <w:rPr>
          <w:i/>
        </w:rPr>
        <w:t xml:space="preserve">Post Make-Ready Timeline.  </w:t>
      </w:r>
      <w:r>
        <w:t>If existing attachers are not part of the make-ready process, then w</w:t>
      </w:r>
      <w:r w:rsidRPr="00B55EDD">
        <w:t xml:space="preserve">e seek comment </w:t>
      </w:r>
      <w:r>
        <w:t xml:space="preserve">on an appropriate </w:t>
      </w:r>
      <w:r w:rsidRPr="00B55EDD">
        <w:t xml:space="preserve">timeline </w:t>
      </w:r>
      <w:r>
        <w:t xml:space="preserve">for inspections and/or surveys by the existing attachers </w:t>
      </w:r>
      <w:r w:rsidRPr="00B55EDD">
        <w:t xml:space="preserve">after the completion of make-ready work.  </w:t>
      </w:r>
      <w:r>
        <w:t xml:space="preserve">For example, Nashville, Tennessee’s pole attachment ordinance allows for a </w:t>
      </w:r>
      <w:r w:rsidRPr="00B55EDD">
        <w:t xml:space="preserve">30-day timeline </w:t>
      </w:r>
      <w:r>
        <w:t xml:space="preserve">for the inspection and </w:t>
      </w:r>
      <w:r w:rsidRPr="00B55EDD">
        <w:t>resolution of problems detected by existing attachers to the make-ready work done on their equipment.</w:t>
      </w:r>
      <w:r>
        <w:rPr>
          <w:rStyle w:val="FootnoteReference"/>
        </w:rPr>
        <w:footnoteReference w:id="36"/>
      </w:r>
      <w:r w:rsidRPr="00B55EDD">
        <w:t xml:space="preserve">  Is 30 days enough time to detect and rectify problems caused by improper make-ready work?  Are there reasonable alternative time periods for existing attachers to review make-ready work and fix any detected problems?</w:t>
      </w:r>
      <w:r>
        <w:t xml:space="preserve">  For example, the Louisville, Kentucky pole attachment ordinance allows for a 14-day inspection period.</w:t>
      </w:r>
      <w:r>
        <w:rPr>
          <w:rStyle w:val="FootnoteReference"/>
        </w:rPr>
        <w:footnoteReference w:id="37"/>
      </w:r>
      <w:r>
        <w:t xml:space="preserve">  Further, is it reasonable to allow the existing attacher to elect to fix the defective make-ready work on its own (at the new attacher’s expense) or to require the new attacher to fix the problems caused by its work?</w:t>
      </w:r>
    </w:p>
    <w:p w:rsidR="00455188" w:rsidRDefault="00455188" w:rsidP="00455188">
      <w:pPr>
        <w:pStyle w:val="ParaNum"/>
      </w:pPr>
      <w:r>
        <w:rPr>
          <w:rFonts w:eastAsia="Calibri"/>
          <w:i/>
        </w:rPr>
        <w:t xml:space="preserve">One-Touch, Make-Ready.  </w:t>
      </w:r>
      <w:r>
        <w:t>W</w:t>
      </w:r>
      <w:r w:rsidRPr="00B55EDD">
        <w:t>e</w:t>
      </w:r>
      <w:r>
        <w:t xml:space="preserve"> </w:t>
      </w:r>
      <w:r w:rsidRPr="00B55EDD">
        <w:t>seek comment on the potential benefits and drawbacks of a pole a</w:t>
      </w:r>
      <w:r>
        <w:t>ttachment regime patterned on a “one-touch, make-ready”</w:t>
      </w:r>
      <w:r w:rsidRPr="00B55EDD">
        <w:t xml:space="preserve"> </w:t>
      </w:r>
      <w:r>
        <w:t>(</w:t>
      </w:r>
      <w:r w:rsidRPr="00B55EDD">
        <w:t>OTMR</w:t>
      </w:r>
      <w:r>
        <w:t>)</w:t>
      </w:r>
      <w:r w:rsidRPr="00B55EDD">
        <w:t xml:space="preserve"> approach</w:t>
      </w:r>
      <w:r>
        <w:t xml:space="preserve">, which includes several of the concepts discussed above as part of a larger pole attachment framework. </w:t>
      </w:r>
      <w:r w:rsidRPr="00A466F3">
        <w:rPr>
          <w:rFonts w:eastAsia="Calibri"/>
        </w:rPr>
        <w:t xml:space="preserve"> </w:t>
      </w:r>
      <w:r>
        <w:rPr>
          <w:rFonts w:eastAsia="Calibri"/>
        </w:rPr>
        <w:t>B</w:t>
      </w:r>
      <w:r w:rsidRPr="00A466F3">
        <w:rPr>
          <w:rFonts w:eastAsia="Calibri"/>
        </w:rPr>
        <w:t xml:space="preserve">oth Nashville, Tennessee and Louisville, Kentucky </w:t>
      </w:r>
      <w:r>
        <w:rPr>
          <w:rFonts w:eastAsia="Calibri"/>
        </w:rPr>
        <w:t xml:space="preserve">have adopted pole attachment regimes that </w:t>
      </w:r>
      <w:r w:rsidRPr="00A466F3">
        <w:rPr>
          <w:rFonts w:eastAsia="Calibri"/>
        </w:rPr>
        <w:t>involve elements of a</w:t>
      </w:r>
      <w:r>
        <w:rPr>
          <w:rFonts w:eastAsia="Calibri"/>
        </w:rPr>
        <w:t>n</w:t>
      </w:r>
      <w:r w:rsidRPr="00A466F3">
        <w:rPr>
          <w:rFonts w:eastAsia="Calibri"/>
        </w:rPr>
        <w:t xml:space="preserve"> </w:t>
      </w:r>
      <w:r>
        <w:rPr>
          <w:rFonts w:eastAsia="Calibri"/>
        </w:rPr>
        <w:t>OTMR</w:t>
      </w:r>
      <w:r w:rsidRPr="008839F0">
        <w:t xml:space="preserve"> </w:t>
      </w:r>
      <w:r w:rsidRPr="00A466F3">
        <w:rPr>
          <w:rFonts w:eastAsia="Calibri"/>
        </w:rPr>
        <w:t>policy</w:t>
      </w:r>
      <w:r>
        <w:rPr>
          <w:rFonts w:eastAsia="Calibri"/>
        </w:rPr>
        <w:t>.</w:t>
      </w:r>
      <w:r w:rsidRPr="00B55EDD">
        <w:rPr>
          <w:vertAlign w:val="superscript"/>
        </w:rPr>
        <w:footnoteReference w:id="38"/>
      </w:r>
      <w:r>
        <w:t xml:space="preserve">  </w:t>
      </w:r>
      <w:r w:rsidRPr="00B55EDD">
        <w:t>The Commission has noted that OTMR policies “seek to alleviate ‘a significant source of costs and delay in building broadband networks’ by ‘lower[ing] the cost of the make-ready process and speed[ing] it up.’”</w:t>
      </w:r>
      <w:r w:rsidRPr="00B55EDD">
        <w:rPr>
          <w:vertAlign w:val="superscript"/>
        </w:rPr>
        <w:footnoteReference w:id="39"/>
      </w:r>
      <w:r w:rsidRPr="00B55EDD">
        <w:t xml:space="preserve">  Would </w:t>
      </w:r>
      <w:r>
        <w:t>a</w:t>
      </w:r>
      <w:r w:rsidRPr="00B55EDD">
        <w:t xml:space="preserve"> new pole attachment timeline </w:t>
      </w:r>
      <w:r>
        <w:t xml:space="preserve">patterned on an OTMR approach </w:t>
      </w:r>
      <w:r w:rsidRPr="00B55EDD">
        <w:t xml:space="preserve">help spur positive decisions on broadband infrastructure deployment?  </w:t>
      </w:r>
      <w:r>
        <w:t>According to the Fiber to the Home Council, an OTMR approach “minimizes disruption in the public rights-of-way and protects public safety and aesthetics” while also speeding broadband deployment.</w:t>
      </w:r>
      <w:r>
        <w:rPr>
          <w:rStyle w:val="FootnoteReference"/>
        </w:rPr>
        <w:footnoteReference w:id="40"/>
      </w:r>
      <w:r>
        <w:t xml:space="preserve">  We seek other assessments and analysis of the benefits and drawbacks of an OTMR pole attachment process.  Would some blend of an OTMR approach coupled with the current Commission pole attachment timeline and protections help spur </w:t>
      </w:r>
      <w:r w:rsidRPr="00B55EDD">
        <w:t>timely access</w:t>
      </w:r>
      <w:r>
        <w:t xml:space="preserve"> to poles</w:t>
      </w:r>
      <w:r w:rsidRPr="00B55EDD">
        <w:t>?</w:t>
      </w:r>
    </w:p>
    <w:p w:rsidR="00455188" w:rsidRDefault="00455188" w:rsidP="00455188">
      <w:pPr>
        <w:pStyle w:val="ParaNum"/>
        <w:widowControl/>
        <w:rPr>
          <w:szCs w:val="22"/>
        </w:rPr>
      </w:pPr>
      <w:r>
        <w:t xml:space="preserve">Under the Nashville OTMR ordinance, the pole attachment process works as follows:  </w:t>
      </w:r>
      <w:r w:rsidRPr="00A03A26">
        <w:t xml:space="preserve">(1) a new attacher submits an attachment application to the </w:t>
      </w:r>
      <w:r>
        <w:t>utility</w:t>
      </w:r>
      <w:r w:rsidRPr="00A03A26">
        <w:t xml:space="preserve"> and after approval of the application, the new attacher notifies the </w:t>
      </w:r>
      <w:r>
        <w:t xml:space="preserve">utility </w:t>
      </w:r>
      <w:r w:rsidRPr="00A03A26">
        <w:t xml:space="preserve">of the need for make-ready work; (2) the new attacher then contracts with a </w:t>
      </w:r>
      <w:r>
        <w:t>utility-a</w:t>
      </w:r>
      <w:r w:rsidRPr="00A03A26">
        <w:t>pproved contractor to perform all of the necessary make-ready work; (3) the new attacher give</w:t>
      </w:r>
      <w:r>
        <w:t>s</w:t>
      </w:r>
      <w:r w:rsidRPr="00A03A26">
        <w:t xml:space="preserve"> 15 days’ prior written notice to existing attachers before initiating make-ready work; (4) within 30 days after the completion of make-ready, the new attacher send</w:t>
      </w:r>
      <w:r>
        <w:t>s</w:t>
      </w:r>
      <w:r w:rsidRPr="00A03A26">
        <w:t xml:space="preserve"> written notice of the make-ready work to existing attachers; (5) upon receipt of such notice, the existing attachers may conduct a field inspection of the make-ready work within 60 days; (6) if an existing attacher finds a problem with the make-ready work, then it may notify the new attacher in writing (within the 60-day inspection window) and elect to either fix the problem itself at the new attacher’s expense or instruct the new attacher to fix the issue</w:t>
      </w:r>
      <w:r>
        <w:t xml:space="preserve">; and </w:t>
      </w:r>
      <w:r w:rsidRPr="0090735D">
        <w:rPr>
          <w:rFonts w:eastAsia="Calibri"/>
          <w:snapToGrid/>
          <w:kern w:val="0"/>
          <w:szCs w:val="22"/>
        </w:rPr>
        <w:t>(7) if a new attachment involves “complex” make-ready work, then the new attacher must notify each existing attacher of the make-ready work at least 30 days before commencement of the work in order to allow the existing attachers the opportunity to rearrange their equipment to accommodate the new attacher</w:t>
      </w:r>
      <w:r w:rsidRPr="006D69FB">
        <w:rPr>
          <w:rFonts w:eastAsia="Calibri"/>
          <w:snapToGrid/>
          <w:kern w:val="0"/>
          <w:szCs w:val="22"/>
        </w:rPr>
        <w:t xml:space="preserve"> </w:t>
      </w:r>
      <w:r>
        <w:rPr>
          <w:rFonts w:eastAsia="Calibri"/>
          <w:snapToGrid/>
          <w:kern w:val="0"/>
          <w:szCs w:val="22"/>
        </w:rPr>
        <w:t>—</w:t>
      </w:r>
      <w:r w:rsidRPr="006D69FB">
        <w:rPr>
          <w:rFonts w:eastAsia="Calibri"/>
          <w:snapToGrid/>
          <w:kern w:val="0"/>
          <w:szCs w:val="22"/>
        </w:rPr>
        <w:t xml:space="preserve"> if such work </w:t>
      </w:r>
      <w:r>
        <w:rPr>
          <w:rFonts w:eastAsia="Calibri"/>
          <w:snapToGrid/>
          <w:kern w:val="0"/>
          <w:szCs w:val="22"/>
        </w:rPr>
        <w:t xml:space="preserve">is </w:t>
      </w:r>
      <w:r w:rsidRPr="006D69FB">
        <w:rPr>
          <w:rFonts w:eastAsia="Calibri"/>
          <w:snapToGrid/>
          <w:kern w:val="0"/>
          <w:szCs w:val="22"/>
        </w:rPr>
        <w:t>not performed by the existing attachers within 30 days, then the new attacher can perform the required make-ready work using utility-approved contractors.</w:t>
      </w:r>
      <w:r>
        <w:rPr>
          <w:rStyle w:val="FootnoteReference"/>
          <w:rFonts w:eastAsia="Calibri"/>
          <w:snapToGrid/>
          <w:kern w:val="0"/>
          <w:szCs w:val="22"/>
        </w:rPr>
        <w:footnoteReference w:id="41"/>
      </w:r>
      <w:r w:rsidRPr="0090735D">
        <w:rPr>
          <w:rFonts w:eastAsia="Calibri"/>
          <w:snapToGrid/>
          <w:kern w:val="0"/>
          <w:szCs w:val="22"/>
        </w:rPr>
        <w:t xml:space="preserve">  </w:t>
      </w:r>
      <w:r w:rsidRPr="0090735D">
        <w:rPr>
          <w:szCs w:val="22"/>
        </w:rPr>
        <w:t xml:space="preserve">We seek detailed comment on </w:t>
      </w:r>
      <w:r>
        <w:rPr>
          <w:szCs w:val="22"/>
        </w:rPr>
        <w:t xml:space="preserve">the benefits and drawbacks of this approach.  Are there steps in the Nashville pole attachment process where utilities, new attachers, and existing attachers could all benefit from streamlined access to poles, especially as compared to the current Commission pole attachment timeline?  Rather than adopting a wholesale OTMR approach to the pole attachment process, are there individual OTMR elements that could form the basis of a more preferable timeline than what currently exists in the Commission’s rules?  </w:t>
      </w:r>
    </w:p>
    <w:p w:rsidR="00455188" w:rsidRDefault="00455188" w:rsidP="00455188">
      <w:pPr>
        <w:pStyle w:val="ParaNum"/>
      </w:pPr>
      <w:r>
        <w:t xml:space="preserve">The Louisville </w:t>
      </w:r>
      <w:r w:rsidRPr="00B55EDD">
        <w:t xml:space="preserve">OTMR ordinance </w:t>
      </w:r>
      <w:r>
        <w:t xml:space="preserve">differs from </w:t>
      </w:r>
      <w:r w:rsidRPr="00B55EDD">
        <w:t>the one in Nashville</w:t>
      </w:r>
      <w:r>
        <w:t xml:space="preserve"> in that it does not require new attachers to send </w:t>
      </w:r>
      <w:r w:rsidRPr="00B55EDD">
        <w:t>pre-make-ready notice</w:t>
      </w:r>
      <w:r>
        <w:t>s</w:t>
      </w:r>
      <w:r w:rsidRPr="00B55EDD">
        <w:t xml:space="preserve"> to existing attachers for routine requests</w:t>
      </w:r>
      <w:r>
        <w:t>, it shortens the timeline for the post-make-ready field inspection for routine make-ready work from 60 days to 14 days, it requires existing attachers to notify the new attacher of any problems (and the election of how to fix those problems) within 7 days after the field inspection, and it requires new attachers to correct any problems within 30 days of the notice</w:t>
      </w:r>
      <w:r w:rsidRPr="00B55EDD">
        <w:t>.</w:t>
      </w:r>
      <w:r w:rsidRPr="00B55EDD">
        <w:rPr>
          <w:vertAlign w:val="superscript"/>
        </w:rPr>
        <w:footnoteReference w:id="42"/>
      </w:r>
      <w:r>
        <w:t xml:space="preserve">  We seek comment on the alternatives advanced in the Louisville OTMR ordinance and whether the Commission should incorporate any or all of these concepts into a new pole attachment regime.  Does the Louisville ordinance better balance the concerns of existing attachers and utilities than the Nashville approach?</w:t>
      </w:r>
    </w:p>
    <w:p w:rsidR="00455188" w:rsidRPr="0090735D" w:rsidRDefault="00455188" w:rsidP="00455188">
      <w:pPr>
        <w:pStyle w:val="ParaNum"/>
      </w:pPr>
      <w:r>
        <w:t>In addition, CPS Energy, a utility based in San Antonio, Texas, has implemented an OTMR approach for access to its poles.</w:t>
      </w:r>
      <w:r>
        <w:rPr>
          <w:rStyle w:val="FootnoteReference"/>
        </w:rPr>
        <w:footnoteReference w:id="43"/>
      </w:r>
      <w:r>
        <w:t xml:space="preserve">  Under the CPS Energy policy, the timeline for the pole attachment process is as follows:  (1) 21 days for CPS Energy to review completed pole attachment applications (with a unilateral option for an additional 7 days), survey affected poles, and produce a make-ready cost estimate; (2) 21 days for the new attacher to approve the make-ready cost estimate and provide payment; (3) CPS Energy notice to existing attachers of impending make-ready work; (4) 60 days for CPS Energy to complete any required make-ready work in the electrical space, and 90 days for the new attacher to complete all other routine make-ready work at its expense using contractors approved by CPS Energy (with option to request additional 30 days); (5) new attachers must give 3 days’ notice to existing attachers of impending make-ready work and must specify whether the work is complex, such that it “poses a risk of disconnection or interruption of service to a Critical Communications Facility”;</w:t>
      </w:r>
      <w:r>
        <w:rPr>
          <w:rStyle w:val="FootnoteReference"/>
        </w:rPr>
        <w:footnoteReference w:id="44"/>
      </w:r>
      <w:r>
        <w:t xml:space="preserve"> (6) 15 days’ notice from new attachers to affected existing attachers after completion of make-ready work; (7) 15 days for existing attachers to inspect make-ready work on their equipment; </w:t>
      </w:r>
      <w:r w:rsidR="00D15557">
        <w:t xml:space="preserve">and </w:t>
      </w:r>
      <w:r>
        <w:t xml:space="preserve">(8) 15 days for new attachers to fix any problems after notice from existing attachers.  We seek comment on this approach, which varies from the ordinances adopted in Nashville and Louisville, especially in terms of the timing of the various pole attachment stages and the ability of new attachers to perform complex make-ready work themselves.  What are the benefits and drawbacks of the process adopted by CPS Energy?  Is it significant that this process is a utility-adopted approach as opposed to a government-adopted approach?  What can the Commission do to encourage other utilities to adopt pole attachment policies like the one instituted by CPS Energy? </w:t>
      </w:r>
    </w:p>
    <w:p w:rsidR="00455188" w:rsidRPr="00B17EA1" w:rsidRDefault="00455188" w:rsidP="00455188">
      <w:pPr>
        <w:pStyle w:val="ParaNum"/>
      </w:pPr>
      <w:r>
        <w:rPr>
          <w:rFonts w:eastAsia="Calibri"/>
          <w:i/>
        </w:rPr>
        <w:t xml:space="preserve">Other Pole Attachment Process Proposals.  </w:t>
      </w:r>
      <w:r>
        <w:rPr>
          <w:rFonts w:eastAsia="Calibri"/>
        </w:rPr>
        <w:t>Another pole attachment proposal, advanced by members of the Nashville City Council who opposed the OTMR ordinance, is styled “right-touch, make-ready” (RTMR), and it would provide a utility 30 days in which to review a pole attachment application, then provide existing attachers 45 days to complete make-ready work.</w:t>
      </w:r>
      <w:r>
        <w:rPr>
          <w:rStyle w:val="FootnoteReference"/>
          <w:rFonts w:eastAsia="Calibri"/>
        </w:rPr>
        <w:footnoteReference w:id="45"/>
      </w:r>
      <w:r>
        <w:rPr>
          <w:rFonts w:eastAsia="Calibri"/>
        </w:rPr>
        <w:t xml:space="preserve">  Existing attachers failing to meet the 45-day deadline would be charged $500 per pole per month until required make-ready work is completed.  We seek comment on the reasonableness of this approach.  What are the advantages and drawbacks of a RTMR approach as opposed to an OTMR approach?  Could elements of both approaches be blended together to form a better alternative to the Commission’s current pole attachment timeline?  Would the $500 per pole per month charge be enough of an incentive to encourage existing attachers to complete make-ready work by the 45-day deadline?  Would it be reasonable to include in a RTMR approach the ability of new attachers (or the utility) to perform make-ready work at the expense of existing attachers who fail to meet the 45-day deadline?</w:t>
      </w:r>
    </w:p>
    <w:p w:rsidR="00455188" w:rsidRPr="00080146" w:rsidRDefault="00455188" w:rsidP="00455188">
      <w:pPr>
        <w:pStyle w:val="ParaNum"/>
      </w:pPr>
      <w:r>
        <w:rPr>
          <w:rFonts w:eastAsia="Calibri"/>
        </w:rPr>
        <w:t xml:space="preserve">As another way to incent accelerated make-ready timelines, could there be a standard “bonus” payment or multiplier applied to the make-ready reimbursements sought by existing attachers from new attachers if the </w:t>
      </w:r>
      <w:r>
        <w:rPr>
          <w:rFonts w:eastAsia="Calibri"/>
          <w:i/>
        </w:rPr>
        <w:t xml:space="preserve">overall </w:t>
      </w:r>
      <w:r>
        <w:rPr>
          <w:rFonts w:eastAsia="Calibri"/>
        </w:rPr>
        <w:t>timelines are met?  By basing such incentive payments on the overall timeline being achieved by existing attachers, does this create effective incentives for parties to collaborate and find opportunities for efficiency?  For instance, might multiple existing attachers agree to use the same make-ready contractor so they all can reap the reward of the incentive payments?  While such incentives could theoretically be arranged through private contracting, would using this as the default system benefit smaller, new attachers who may find complicated negotiations a challenge?</w:t>
      </w:r>
    </w:p>
    <w:p w:rsidR="00455188" w:rsidRPr="00C61805" w:rsidRDefault="00455188" w:rsidP="00455188">
      <w:pPr>
        <w:pStyle w:val="ParaNum"/>
      </w:pPr>
      <w:r>
        <w:rPr>
          <w:rFonts w:eastAsia="Calibri"/>
        </w:rPr>
        <w:t>Making more information publicly available regarding the rates, location</w:t>
      </w:r>
      <w:r w:rsidR="00D15557">
        <w:rPr>
          <w:rFonts w:eastAsia="Calibri"/>
        </w:rPr>
        <w:t>,</w:t>
      </w:r>
      <w:r>
        <w:rPr>
          <w:rFonts w:eastAsia="Calibri"/>
        </w:rPr>
        <w:t xml:space="preserve"> and availability of poles also could lead to faster pole attachment timelines.  We seek comment on the types of pole attachment data resources currently available.  Are there ways the Commission could incentivize utilities to establish online databases, maps, or other public information sources regarding pole rates, locations, and availability?  To what extent are utilities or other entities already aggregating pole information online, either for internal tracking purposes or externally for potential or existing attachers?  What pole-related information other than rates, location, and availability could utilities make publicly available (e.g., number of existing attachers, physical condition, available communications space, the status of make-ready work, status of pole engineering surveys)?  Should similar information also be made publicly available for ducts, conduits, and rights-of-way?  We recognize that increasing transparency of cost information could lead to </w:t>
      </w:r>
      <w:r w:rsidRPr="00586FC5">
        <w:rPr>
          <w:rFonts w:eastAsia="Calibri"/>
        </w:rPr>
        <w:t xml:space="preserve">more efficient pole attachment negotiations.  What steps should the Commission take to facilitate access to information regarding pole attachment rates and costs from pole owners subject to Section 224?  For instance, </w:t>
      </w:r>
      <w:r w:rsidRPr="003C1455">
        <w:t xml:space="preserve">should pole owners be required to make pole attachment rates publicly available online?  What are the benefits and drawbacks of making pole attachment rate information publicly available?  Could the Commission facilitate the creation of a centralized clearinghouse of pole attachment rate information, and if so how?  </w:t>
      </w:r>
      <w:r w:rsidRPr="00586FC5">
        <w:rPr>
          <w:rFonts w:eastAsia="Calibri"/>
        </w:rPr>
        <w:t xml:space="preserve">      </w:t>
      </w:r>
    </w:p>
    <w:p w:rsidR="00455188" w:rsidRPr="00B17EA1" w:rsidRDefault="00455188" w:rsidP="00455188">
      <w:pPr>
        <w:pStyle w:val="ParaNum"/>
      </w:pPr>
      <w:r w:rsidRPr="003D7D7C">
        <w:rPr>
          <w:rFonts w:eastAsia="Calibri"/>
        </w:rPr>
        <w:t xml:space="preserve">We seek comment on these proposals and any others (or combinations thereof) that could help speed the pole attachment process, </w:t>
      </w:r>
      <w:r w:rsidRPr="00106ED1">
        <w:rPr>
          <w:rFonts w:eastAsia="Calibri"/>
        </w:rPr>
        <w:t>yet still address the safety and property concerns of existing attachers and utilitie</w:t>
      </w:r>
      <w:r>
        <w:rPr>
          <w:rFonts w:eastAsia="Calibri"/>
        </w:rPr>
        <w:t xml:space="preserve">s.  Might there be “hybrid” approaches that incent parties to expeditiously complete the make-ready process when private negotiations fail within a given time period?  For instance, if utilities, existing attachers, and new attachers cannot agree on make-ready plans within 15 days, could the following arrangement be used:  first, the new attacher would select a “default” contractor (approved by the utility); second, the existing attachers would be able to accept the default contractor or do the make- ready work themselves (and be reimbursed by the new attacher) within a specified timeframe with penalties for failure to meet the make-ready deadline?  If having a single default contractor do all the work at once will speed deployment, are there ways within this framework to incent existing attachers to allow the new attacher to use the default contractor?  For instance, </w:t>
      </w:r>
      <w:r>
        <w:t xml:space="preserve">might existing attachers choosing to do make-ready work themselves be limited in the amount they charge for the work?  Could such a limit be set as a proportional split among existing attachers that is based on the total make-ready costs that the new attacher would have incurred under an OTMR approach?  Would such incentives encourage existing attachers to choose the default contractor in situations where they have little concern about harm to their equipment but still allow them to do the work themselves when they have concerns?  </w:t>
      </w:r>
      <w:r>
        <w:rPr>
          <w:rFonts w:eastAsia="Calibri"/>
        </w:rPr>
        <w:t xml:space="preserve">        </w:t>
      </w:r>
    </w:p>
    <w:p w:rsidR="00455188" w:rsidRDefault="00455188" w:rsidP="00455188">
      <w:pPr>
        <w:pStyle w:val="ParaNum"/>
      </w:pPr>
      <w:r>
        <w:rPr>
          <w:rFonts w:eastAsia="Calibri"/>
        </w:rPr>
        <w:t xml:space="preserve">We seek discussions of </w:t>
      </w:r>
      <w:r>
        <w:t>the relative merits and drawbacks of these pole attachment approaches or combinations thereof.  For example, would an OTMR approach (or some variant thereof) benefit consumers through increased efficiencies that could lower the costs of deployment?  Is there any evidence to show how much less pole attachment costs are if using an OTMR approach as compared with the Commission’s current pole attachment timeline?  How should we balance the benefits to society from greater speed of deployment and cost savings versus the need to ensure that safety and property concerns are not compromised?</w:t>
      </w:r>
    </w:p>
    <w:p w:rsidR="00455188" w:rsidDel="00C33585" w:rsidRDefault="00455188" w:rsidP="00455188">
      <w:pPr>
        <w:pStyle w:val="ParaNum"/>
      </w:pPr>
      <w:r w:rsidDel="00C33585">
        <w:t xml:space="preserve">We also recognize that some broadband providers encounter difficulties in accessing poles, </w:t>
      </w:r>
      <w:r w:rsidRPr="00A466F3" w:rsidDel="00C33585">
        <w:t>ducts, conduits, and rights-of-way</w:t>
      </w:r>
      <w:r w:rsidDel="00C33585">
        <w:t xml:space="preserve"> owned by entities that are not subject to Section 224 of the Communications Act, such as municipalities, electric cooperatives, and railroads.</w:t>
      </w:r>
      <w:r>
        <w:rPr>
          <w:rStyle w:val="FootnoteReference"/>
        </w:rPr>
        <w:footnoteReference w:id="46"/>
      </w:r>
      <w:r w:rsidDel="00C33585">
        <w:t xml:space="preserve">  We seek comment on actions that the Commission might be able to undertake to speed deployment of next generation networks by facilitating access to infrastructure owned by entities not subject to Section 224.  </w:t>
      </w:r>
      <w:r>
        <w:t>How can the Commission encourage or facilitate access to information about pole attachment rates and costs with respect to these entities, and what are the benefits and drawbacks of these potential steps</w:t>
      </w:r>
      <w:r w:rsidRPr="000A6273" w:rsidDel="00C33585">
        <w:t>?</w:t>
      </w:r>
      <w:r>
        <w:t xml:space="preserve">  Would increased transparency regarding pole attachment rates and costs for Commission-regulated pole owners, discussed above, benefit potential attachers to non-Commission-regulated poles by providing data that would be useful in contractual negotiations?  If so, would this facilitate broadband deployment?  </w:t>
      </w:r>
    </w:p>
    <w:p w:rsidR="00455188" w:rsidRPr="00B55EDD" w:rsidRDefault="00455188" w:rsidP="00455188">
      <w:pPr>
        <w:pStyle w:val="ParaNum"/>
      </w:pPr>
      <w:r>
        <w:rPr>
          <w:i/>
        </w:rPr>
        <w:t xml:space="preserve">Access to Conduit.  </w:t>
      </w:r>
      <w:r>
        <w:t>We seek comment on ways to make the process of gaining access specifically to utility conduit more transparent.  We ask whether there are existing online databases or other publicly-available resources to aid telecommunications and cable providers in determining where available conduit exists.  Do utilities or municipalities have readily available information on the location and cost of access to conduit?  Are there “best practices” that utilities or municipalities have established that make it easier for providers to obtain crucial information on conduit access?  We seek comment on whether any local or state jurisdictions have policies on making conduit information more transparent and widely available, especially with regard to alerting the public and providers about the timing and location of conduit trenches being dug by utilities.</w:t>
      </w:r>
    </w:p>
    <w:p w:rsidR="00455188" w:rsidRPr="008A4042" w:rsidRDefault="00455188" w:rsidP="00455188">
      <w:pPr>
        <w:pStyle w:val="Heading3"/>
      </w:pPr>
      <w:bookmarkStart w:id="90" w:name="_Toc477187527"/>
      <w:bookmarkStart w:id="91" w:name="_Toc477187667"/>
      <w:bookmarkStart w:id="92" w:name="_Toc477187923"/>
      <w:bookmarkStart w:id="93" w:name="_Toc477188025"/>
      <w:bookmarkStart w:id="94" w:name="_Toc477188112"/>
      <w:bookmarkStart w:id="95" w:name="_Toc477189000"/>
      <w:bookmarkStart w:id="96" w:name="_Toc477445765"/>
      <w:bookmarkStart w:id="97" w:name="_Toc477452983"/>
      <w:bookmarkStart w:id="98" w:name="_Toc477453149"/>
      <w:bookmarkStart w:id="99" w:name="_Toc477796008"/>
      <w:bookmarkStart w:id="100" w:name="_Toc478050603"/>
      <w:bookmarkStart w:id="101" w:name="_Toc478138465"/>
      <w:bookmarkStart w:id="102" w:name="_Toc478139479"/>
      <w:bookmarkStart w:id="103" w:name="_Toc478139585"/>
      <w:bookmarkStart w:id="104" w:name="_Toc478139636"/>
      <w:bookmarkStart w:id="105" w:name="_Toc478394332"/>
      <w:bookmarkStart w:id="106" w:name="_Toc478398195"/>
      <w:bookmarkStart w:id="107" w:name="_Toc478403090"/>
      <w:bookmarkStart w:id="108" w:name="_Toc478460134"/>
      <w:bookmarkStart w:id="109" w:name="_Toc478476681"/>
      <w:bookmarkStart w:id="110" w:name="_Toc479943019"/>
      <w:bookmarkStart w:id="111" w:name="_Toc480388523"/>
      <w:r>
        <w:t>Re-examining Rates for Make-Ready Work and Pole Attachments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455188" w:rsidRDefault="00455188" w:rsidP="00455188">
      <w:pPr>
        <w:pStyle w:val="Heading4"/>
      </w:pPr>
      <w:r w:rsidRPr="00AE1E20">
        <w:t>Reasonableness</w:t>
      </w:r>
      <w:r>
        <w:t xml:space="preserve"> of “Make-Ready” Costs </w:t>
      </w:r>
    </w:p>
    <w:p w:rsidR="00455188" w:rsidRPr="008839F0" w:rsidRDefault="00455188" w:rsidP="00455188">
      <w:pPr>
        <w:pStyle w:val="ParaNum"/>
      </w:pPr>
      <w:r w:rsidRPr="008839F0">
        <w:t>We seek comment on proposals to reduce make-ready costs and to make such costs more transparent.</w:t>
      </w:r>
      <w:r>
        <w:t xml:space="preserve"> </w:t>
      </w:r>
      <w:r w:rsidRPr="008839F0">
        <w:t xml:space="preserve"> In general, make-ready charges must be just and reasonable under </w:t>
      </w:r>
      <w:r>
        <w:t>S</w:t>
      </w:r>
      <w:r w:rsidRPr="008839F0">
        <w:t>ection 224(b)(1) of the Act.</w:t>
      </w:r>
      <w:r w:rsidRPr="008839F0">
        <w:rPr>
          <w:vertAlign w:val="superscript"/>
        </w:rPr>
        <w:footnoteReference w:id="47"/>
      </w:r>
      <w:r w:rsidRPr="008839F0">
        <w:t xml:space="preserve">  Currently,</w:t>
      </w:r>
      <w:r>
        <w:t xml:space="preserve"> however,</w:t>
      </w:r>
      <w:r w:rsidRPr="008839F0">
        <w:t xml:space="preserve"> make-ready fees are not subject to any mandatory rate formula set by the Commission.  We seek comment on whether the make-ready costs being charged today are just and reasonable</w:t>
      </w:r>
      <w:r>
        <w:t>,</w:t>
      </w:r>
      <w:r w:rsidRPr="008839F0">
        <w:t xml:space="preserve"> and whether such costs represent a barrier to broadband infrastructure deployment.</w:t>
      </w:r>
      <w:r>
        <w:t xml:space="preserve">  Further, we seek comment on ways to encourage utilities, existing attachers, and new attachers to resolve more make-ready pole attachment cost and responsibility issues through private negotiations.</w:t>
      </w:r>
      <w:r w:rsidRPr="008839F0">
        <w:t xml:space="preserve">  </w:t>
      </w:r>
    </w:p>
    <w:p w:rsidR="00455188" w:rsidRPr="008839F0" w:rsidRDefault="00455188" w:rsidP="00455188">
      <w:pPr>
        <w:pStyle w:val="ParaNum"/>
        <w:widowControl/>
        <w:rPr>
          <w:color w:val="000000"/>
        </w:rPr>
      </w:pPr>
      <w:r w:rsidRPr="008839F0">
        <w:rPr>
          <w:i/>
        </w:rPr>
        <w:t xml:space="preserve">Requiring Utilities to Make Available Schedules of Common </w:t>
      </w:r>
      <w:r>
        <w:rPr>
          <w:i/>
        </w:rPr>
        <w:t>Ma</w:t>
      </w:r>
      <w:r w:rsidRPr="008839F0">
        <w:rPr>
          <w:i/>
        </w:rPr>
        <w:t xml:space="preserve">ke-Ready Charges.  </w:t>
      </w:r>
      <w:r>
        <w:t>W</w:t>
      </w:r>
      <w:r w:rsidRPr="008839F0">
        <w:t xml:space="preserve">e seek comment on whether we should require utilities to provide potential new attachers with a schedule of common make-ready charges to create greater transparency for make-ready costs.  To what extent does the availability of schedules of common make-ready charges help facilitate broadband infrastructure deployment?  INCOMPAS suggests that the Commission should revisit its </w:t>
      </w:r>
      <w:r>
        <w:t xml:space="preserve">2011 </w:t>
      </w:r>
      <w:r w:rsidRPr="008839F0">
        <w:t>decision refrain</w:t>
      </w:r>
      <w:r>
        <w:t>ing</w:t>
      </w:r>
      <w:r w:rsidRPr="008839F0">
        <w:t xml:space="preserve"> from requiring utilities to provide schedules of common make-ready charges</w:t>
      </w:r>
      <w:r>
        <w:t xml:space="preserve"> upon request</w:t>
      </w:r>
      <w:r w:rsidRPr="008839F0">
        <w:t>.</w:t>
      </w:r>
      <w:r w:rsidRPr="008839F0">
        <w:rPr>
          <w:vertAlign w:val="superscript"/>
        </w:rPr>
        <w:footnoteReference w:id="48"/>
      </w:r>
      <w:r w:rsidRPr="008839F0">
        <w:t xml:space="preserve">  According to INCOMPAS, “make ready charges are not predictable or verifiable in many cases, making it difficult for competitors to plan their builds and accurately predict construction.”</w:t>
      </w:r>
      <w:r w:rsidRPr="008839F0">
        <w:rPr>
          <w:vertAlign w:val="superscript"/>
        </w:rPr>
        <w:footnoteReference w:id="49"/>
      </w:r>
      <w:r w:rsidRPr="008839F0">
        <w:t xml:space="preserve">  W</w:t>
      </w:r>
      <w:r w:rsidRPr="008839F0">
        <w:rPr>
          <w:color w:val="010101"/>
        </w:rPr>
        <w:t>e seek comment on the benefits and any potential burdens associated with requiring utilities to pr</w:t>
      </w:r>
      <w:r>
        <w:rPr>
          <w:color w:val="010101"/>
        </w:rPr>
        <w:t>ovide</w:t>
      </w:r>
      <w:r w:rsidRPr="008839F0">
        <w:rPr>
          <w:color w:val="010101"/>
        </w:rPr>
        <w:t xml:space="preserve"> schedules of make-ready charges.  </w:t>
      </w:r>
    </w:p>
    <w:p w:rsidR="00455188" w:rsidRPr="00830152" w:rsidRDefault="00455188" w:rsidP="00455188">
      <w:pPr>
        <w:pStyle w:val="ParaNum"/>
      </w:pPr>
      <w:r w:rsidRPr="008839F0">
        <w:t xml:space="preserve">Further, we seek comment on whether and how schedules of common make-ready charges are made available, used, and implemented by both utilities and potential new attachers today.  In the </w:t>
      </w:r>
      <w:r w:rsidRPr="00AF21F1">
        <w:rPr>
          <w:i/>
        </w:rPr>
        <w:t>2011 Pole Attachment Order</w:t>
      </w:r>
      <w:r w:rsidRPr="008839F0">
        <w:t xml:space="preserve">, </w:t>
      </w:r>
      <w:r>
        <w:t>the Commission</w:t>
      </w:r>
      <w:r w:rsidRPr="008839F0">
        <w:t xml:space="preserve"> received evidence from utilities that many already make information about common make-ready charges available on request.</w:t>
      </w:r>
      <w:r w:rsidRPr="008839F0">
        <w:rPr>
          <w:vertAlign w:val="superscript"/>
        </w:rPr>
        <w:footnoteReference w:id="50"/>
      </w:r>
      <w:r w:rsidRPr="008839F0">
        <w:t xml:space="preserve">  Is that practice still prevalent today and, if so, what methods are most frequently used to provide such schedules (e.g., websites, paper schedules, telephonically)?  We also seek comment on which make-ready jobs and charges are the most common, and thus </w:t>
      </w:r>
      <w:r>
        <w:t>most easily included in</w:t>
      </w:r>
      <w:r w:rsidRPr="008839F0">
        <w:t xml:space="preserve"> a generalized schedule of charges.  In addition, we seek comment on any comparable state requirements that require utilities to publish or make available schedules of common make-ready charges.  We also seek comment on whether there are other mechanisms currently in use, such as standardized contract terms, that provide the necessary information and transparency to the make-ready process.</w:t>
      </w:r>
    </w:p>
    <w:p w:rsidR="00455188" w:rsidRDefault="00455188" w:rsidP="00455188">
      <w:pPr>
        <w:pStyle w:val="ParaNum"/>
      </w:pPr>
      <w:r>
        <w:rPr>
          <w:i/>
        </w:rPr>
        <w:t>Reducing Make-Ready Charges.</w:t>
      </w:r>
      <w:r w:rsidRPr="008839F0">
        <w:rPr>
          <w:i/>
        </w:rPr>
        <w:t xml:space="preserve">  </w:t>
      </w:r>
      <w:r w:rsidRPr="008839F0">
        <w:t xml:space="preserve">We </w:t>
      </w:r>
      <w:r>
        <w:t>seek comment on</w:t>
      </w:r>
      <w:r w:rsidRPr="008839F0">
        <w:t xml:space="preserve"> </w:t>
      </w:r>
      <w:r>
        <w:t xml:space="preserve">reasonable ways to </w:t>
      </w:r>
      <w:r w:rsidRPr="008839F0">
        <w:t xml:space="preserve">limit the make-ready fees charged by utilities to </w:t>
      </w:r>
      <w:r>
        <w:t xml:space="preserve">new attachers.  Would it provide certainty to the make-ready process if the Commission adopted a rule limiting make-ready fees imposed on new attachers to </w:t>
      </w:r>
      <w:r w:rsidRPr="008839F0">
        <w:t>the actual costs incurred to accommodate a new attachment</w:t>
      </w:r>
      <w:r>
        <w:t>?</w:t>
      </w:r>
      <w:r w:rsidRPr="008839F0">
        <w:t xml:space="preserve">  </w:t>
      </w:r>
      <w:r>
        <w:t xml:space="preserve">As part of the pole attachment complaint process, </w:t>
      </w:r>
      <w:r w:rsidRPr="008839F0">
        <w:t>the Commission has held that utilities “are entitled to recover their costs from attachers for reasonable make-ready work necessitated by requests for attachment.  Utilities are not entitled to collect money from attachers for unnecessary, duplicative, or defective make-ready work.”</w:t>
      </w:r>
      <w:r w:rsidRPr="008839F0">
        <w:rPr>
          <w:vertAlign w:val="superscript"/>
        </w:rPr>
        <w:footnoteReference w:id="51"/>
      </w:r>
      <w:r w:rsidRPr="008839F0">
        <w:t xml:space="preserve">  </w:t>
      </w:r>
      <w:r>
        <w:t xml:space="preserve">Would </w:t>
      </w:r>
      <w:r w:rsidRPr="008839F0">
        <w:t>codify</w:t>
      </w:r>
      <w:r>
        <w:t>ing</w:t>
      </w:r>
      <w:r w:rsidRPr="008839F0">
        <w:t xml:space="preserve"> the holding that new attachers are responsible only for the cost of make-ready work made necessary because of </w:t>
      </w:r>
      <w:r>
        <w:t>their</w:t>
      </w:r>
      <w:r w:rsidRPr="008839F0">
        <w:t xml:space="preserve"> attachments</w:t>
      </w:r>
      <w:r>
        <w:t xml:space="preserve"> help to ensure that make-ready costs are just and reasonable?</w:t>
      </w:r>
      <w:r w:rsidRPr="008839F0">
        <w:t xml:space="preserve">  </w:t>
      </w:r>
    </w:p>
    <w:p w:rsidR="00455188" w:rsidRPr="0029041D" w:rsidRDefault="00455188" w:rsidP="00455188">
      <w:pPr>
        <w:pStyle w:val="ParaNum"/>
      </w:pPr>
      <w:r w:rsidRPr="00F7440E">
        <w:rPr>
          <w:szCs w:val="22"/>
        </w:rPr>
        <w:t xml:space="preserve">We also seek comment on other alternatives for reducing make-ready costs.  </w:t>
      </w:r>
      <w:r>
        <w:t xml:space="preserve">For example, would it be reasonable to allow utilities to set a standard charge per pole that a new attacher may choose in lieu of a cost-allocated charge?  Should the choice belong to the utility or the new attacher?  Would a per-pole charge of, for example, $300, $400, or $500 permit utilities to recover their reasonable make-ready costs and provide new attachers with an affordable alternative to negotiating with the utility over the applicable costs to be included in make-ready charges?  We seek comment on the viability of such an approach.  </w:t>
      </w:r>
      <w:r>
        <w:rPr>
          <w:szCs w:val="22"/>
        </w:rPr>
        <w:t xml:space="preserve">We also ask whether it </w:t>
      </w:r>
      <w:r w:rsidRPr="00F7440E">
        <w:rPr>
          <w:szCs w:val="22"/>
        </w:rPr>
        <w:t>would be reasonable to require utilities to reimburse new attachers for make-ready costs for improvements that subsequently benefit the utility (e.</w:t>
      </w:r>
      <w:r>
        <w:rPr>
          <w:szCs w:val="22"/>
        </w:rPr>
        <w:t>g.</w:t>
      </w:r>
      <w:r w:rsidRPr="00F7440E">
        <w:rPr>
          <w:szCs w:val="22"/>
        </w:rPr>
        <w:t xml:space="preserve">, the modification allows utilities to use additional space on a pole for its own uses or creates a vehicle for the utility to receive additional revenues from subsequent attachers).  If so, then how would the new attachers and utilities manage that process?  We seek comment on the potential tradeoffs of such an approach, which may help to keep make-ready costs low for new attachers, but also pose new challenges for utilities and new attachers to </w:t>
      </w:r>
      <w:r>
        <w:rPr>
          <w:szCs w:val="22"/>
        </w:rPr>
        <w:t>administer</w:t>
      </w:r>
      <w:r w:rsidRPr="00F7440E">
        <w:rPr>
          <w:szCs w:val="22"/>
        </w:rPr>
        <w:t xml:space="preserve">. </w:t>
      </w:r>
      <w:r>
        <w:rPr>
          <w:szCs w:val="22"/>
        </w:rPr>
        <w:t xml:space="preserve"> </w:t>
      </w:r>
      <w:r w:rsidRPr="00F7440E">
        <w:rPr>
          <w:szCs w:val="22"/>
        </w:rPr>
        <w:t>We note that pursuant to Section 1.1416(b) of the Commission’s rules, attachers who directly benefit from a new pole or attachment already are required to proportionately share in the costs of that pole or attachment.</w:t>
      </w:r>
      <w:r w:rsidRPr="00BD762F">
        <w:rPr>
          <w:vertAlign w:val="superscript"/>
        </w:rPr>
        <w:footnoteReference w:id="52"/>
      </w:r>
      <w:r w:rsidRPr="00F7440E">
        <w:rPr>
          <w:szCs w:val="22"/>
        </w:rPr>
        <w:t xml:space="preserve">  In adopting this requirement, the Commission “</w:t>
      </w:r>
      <w:r w:rsidRPr="00F7440E">
        <w:rPr>
          <w:color w:val="212121"/>
          <w:szCs w:val="22"/>
        </w:rPr>
        <w:t>intended to ensure that new entrants, especially small entities with limited resources, bear only their proportionate costs and are not forced to subsidize their later-entering competitors.”</w:t>
      </w:r>
      <w:r w:rsidRPr="005B23BA">
        <w:rPr>
          <w:rStyle w:val="FootnoteReference"/>
          <w:sz w:val="22"/>
        </w:rPr>
        <w:footnoteReference w:id="53"/>
      </w:r>
      <w:r w:rsidRPr="00F7440E">
        <w:rPr>
          <w:color w:val="212121"/>
          <w:szCs w:val="22"/>
        </w:rPr>
        <w:t xml:space="preserve">  Should we interpret (or modify) this rule to apply to utilities</w:t>
      </w:r>
      <w:r w:rsidRPr="00F7440E">
        <w:rPr>
          <w:szCs w:val="22"/>
        </w:rPr>
        <w:t xml:space="preserve"> when make-ready improvements subsequently benefit the utility?</w:t>
      </w:r>
      <w:r w:rsidRPr="00B67B70">
        <w:t xml:space="preserve">  </w:t>
      </w:r>
      <w:r w:rsidRPr="00F7440E">
        <w:rPr>
          <w:color w:val="212121"/>
          <w:szCs w:val="22"/>
        </w:rPr>
        <w:t>Conversely</w:t>
      </w:r>
      <w:r w:rsidRPr="00F7440E">
        <w:rPr>
          <w:szCs w:val="22"/>
        </w:rPr>
        <w:t>, we seek comment on whether requiring utilities to pass a percentage of additional attachment benefits back to parties with existing attachments would result in a disincentive to add new competitors to modified poles.</w:t>
      </w:r>
      <w:r w:rsidRPr="00C33585">
        <w:t xml:space="preserve"> </w:t>
      </w:r>
    </w:p>
    <w:p w:rsidR="00455188" w:rsidRDefault="00455188" w:rsidP="00D9706A">
      <w:pPr>
        <w:pStyle w:val="ParaNum"/>
        <w:widowControl/>
      </w:pPr>
      <w:r>
        <w:t>W</w:t>
      </w:r>
      <w:r w:rsidRPr="008839F0">
        <w:t xml:space="preserve">e </w:t>
      </w:r>
      <w:r>
        <w:t>a</w:t>
      </w:r>
      <w:r w:rsidRPr="008839F0">
        <w:t>lso seek comment on</w:t>
      </w:r>
      <w:r>
        <w:t xml:space="preserve"> whether </w:t>
      </w:r>
      <w:r w:rsidRPr="008839F0">
        <w:t xml:space="preserve">the Commission’s complaint process </w:t>
      </w:r>
      <w:r>
        <w:t>provides a sufficient mechanism by which to ensure</w:t>
      </w:r>
      <w:r w:rsidRPr="008839F0">
        <w:t xml:space="preserve"> that make-ready costs are just and reasonable.  </w:t>
      </w:r>
      <w:r>
        <w:t xml:space="preserve">Commenters arguing that </w:t>
      </w:r>
      <w:r w:rsidRPr="008839F0">
        <w:t xml:space="preserve">the Commission’s complaint process is not a sufficient limitation on make-ready costs </w:t>
      </w:r>
      <w:r>
        <w:t>should propose</w:t>
      </w:r>
      <w:r w:rsidRPr="008839F0">
        <w:t xml:space="preserve"> </w:t>
      </w:r>
      <w:r>
        <w:t xml:space="preserve">specific </w:t>
      </w:r>
      <w:r w:rsidRPr="008839F0">
        <w:t>alternative</w:t>
      </w:r>
      <w:r>
        <w:t>s</w:t>
      </w:r>
      <w:r w:rsidRPr="008839F0">
        <w:t xml:space="preserve"> to ensure the reasonableness of make-ready charges</w:t>
      </w:r>
      <w:r>
        <w:t xml:space="preserve"> and explain why the benefits of</w:t>
      </w:r>
      <w:r w:rsidRPr="008839F0">
        <w:t xml:space="preserve"> such alternatives </w:t>
      </w:r>
      <w:r>
        <w:t xml:space="preserve">would </w:t>
      </w:r>
      <w:r w:rsidRPr="008839F0">
        <w:t xml:space="preserve">outweigh the burdens of a </w:t>
      </w:r>
      <w:r>
        <w:t xml:space="preserve">new </w:t>
      </w:r>
      <w:r w:rsidRPr="008839F0">
        <w:t>Commission-imposed mandate for make-ready charges</w:t>
      </w:r>
      <w:r>
        <w:t>.</w:t>
      </w:r>
      <w:r w:rsidRPr="008839F0">
        <w:t xml:space="preserve">  Are there state regulatory</w:t>
      </w:r>
      <w:r>
        <w:t xml:space="preserve"> approaches or</w:t>
      </w:r>
      <w:r w:rsidRPr="008839F0">
        <w:t xml:space="preserve"> alternatives </w:t>
      </w:r>
      <w:r>
        <w:t>governing</w:t>
      </w:r>
      <w:r w:rsidRPr="008839F0">
        <w:t xml:space="preserve"> the reasonableness of make-ready charges</w:t>
      </w:r>
      <w:r>
        <w:t xml:space="preserve"> that the Commission should consider implementing</w:t>
      </w:r>
      <w:r w:rsidRPr="008839F0">
        <w:t>?</w:t>
      </w:r>
    </w:p>
    <w:p w:rsidR="00455188" w:rsidRPr="008839F0" w:rsidRDefault="00455188" w:rsidP="00455188">
      <w:pPr>
        <w:pStyle w:val="Heading4"/>
      </w:pPr>
      <w:r w:rsidRPr="008839F0">
        <w:t xml:space="preserve">Excluding Capital Expenses </w:t>
      </w:r>
      <w:r>
        <w:t>from Pole Attachment Rates</w:t>
      </w:r>
    </w:p>
    <w:p w:rsidR="00455188" w:rsidRPr="00C81364" w:rsidRDefault="00455188" w:rsidP="00455188">
      <w:pPr>
        <w:pStyle w:val="ParaNum"/>
        <w:rPr>
          <w:color w:val="000000"/>
        </w:rPr>
      </w:pPr>
      <w:r w:rsidRPr="00B17EA1">
        <w:rPr>
          <w:i/>
        </w:rPr>
        <w:t>Capital Expenses Recovered via Make-Ready Fees</w:t>
      </w:r>
      <w:r>
        <w:t xml:space="preserve">.  We propose to codify a rule that excludes </w:t>
      </w:r>
      <w:r w:rsidRPr="008839F0">
        <w:t xml:space="preserve">capital costs that </w:t>
      </w:r>
      <w:r>
        <w:t xml:space="preserve">utilities </w:t>
      </w:r>
      <w:r w:rsidRPr="008839F0">
        <w:t xml:space="preserve">already </w:t>
      </w:r>
      <w:r>
        <w:t xml:space="preserve">recover </w:t>
      </w:r>
      <w:r w:rsidRPr="008839F0">
        <w:t xml:space="preserve">via make-ready fees </w:t>
      </w:r>
      <w:r>
        <w:t>from pole attachment rates.  Almost forty years ago, the Commission found that “</w:t>
      </w:r>
      <w:r w:rsidRPr="00C81364">
        <w:rPr>
          <w:szCs w:val="22"/>
        </w:rPr>
        <w:t>where a utility has been directly reimbursed by a [</w:t>
      </w:r>
      <w:r w:rsidRPr="003A0AFC">
        <w:rPr>
          <w:szCs w:val="22"/>
        </w:rPr>
        <w:t>cable television]</w:t>
      </w:r>
      <w:r w:rsidRPr="00A22133">
        <w:rPr>
          <w:szCs w:val="22"/>
        </w:rPr>
        <w:t xml:space="preserve"> operator for non-recurring costs, including plant, such costs must</w:t>
      </w:r>
      <w:r w:rsidRPr="00404313">
        <w:rPr>
          <w:szCs w:val="22"/>
        </w:rPr>
        <w:t xml:space="preserve"> be subtracted from the utility’s corresponding pole line capital account to insure that [cable television] operators are not charged twice for the same costs.”</w:t>
      </w:r>
      <w:r>
        <w:rPr>
          <w:rStyle w:val="FootnoteReference"/>
          <w:szCs w:val="22"/>
        </w:rPr>
        <w:footnoteReference w:id="54"/>
      </w:r>
      <w:r w:rsidRPr="00C81364">
        <w:rPr>
          <w:szCs w:val="22"/>
        </w:rPr>
        <w:t xml:space="preserve">  Since that time, the Commission has made clear that “</w:t>
      </w:r>
      <w:r w:rsidRPr="003A0AFC">
        <w:rPr>
          <w:szCs w:val="22"/>
        </w:rPr>
        <w:t>[m]</w:t>
      </w:r>
      <w:r w:rsidRPr="00A22133">
        <w:rPr>
          <w:szCs w:val="22"/>
        </w:rPr>
        <w:t>ake-</w:t>
      </w:r>
      <w:r w:rsidRPr="00404313">
        <w:rPr>
          <w:szCs w:val="22"/>
        </w:rPr>
        <w:t>ready costs are non-recurring costs for which the utility is directly compensated and as such are excluded from expenses used in the rate calculation.”</w:t>
      </w:r>
      <w:r>
        <w:rPr>
          <w:rStyle w:val="FootnoteReference"/>
          <w:szCs w:val="22"/>
        </w:rPr>
        <w:footnoteReference w:id="55"/>
      </w:r>
      <w:r w:rsidRPr="00C81364">
        <w:rPr>
          <w:szCs w:val="22"/>
        </w:rPr>
        <w:t xml:space="preserve">  A</w:t>
      </w:r>
      <w:r w:rsidRPr="003A0AFC">
        <w:rPr>
          <w:szCs w:val="22"/>
        </w:rPr>
        <w:t xml:space="preserve">s such, </w:t>
      </w:r>
      <w:r w:rsidRPr="00A22133">
        <w:rPr>
          <w:szCs w:val="22"/>
        </w:rPr>
        <w:t>“</w:t>
      </w:r>
      <w:r w:rsidRPr="00404313">
        <w:rPr>
          <w:szCs w:val="22"/>
        </w:rPr>
        <w:t xml:space="preserve">if a utility is required to replace a pole in order to provide space for </w:t>
      </w:r>
      <w:r w:rsidRPr="004C3964">
        <w:rPr>
          <w:szCs w:val="22"/>
        </w:rPr>
        <w:t>an attacher [and] the attacher pays the full cost of the replacement pole</w:t>
      </w:r>
      <w:r w:rsidRPr="00FE19ED">
        <w:rPr>
          <w:szCs w:val="22"/>
        </w:rPr>
        <w:t>,”</w:t>
      </w:r>
      <w:r>
        <w:rPr>
          <w:rStyle w:val="FootnoteReference"/>
          <w:szCs w:val="22"/>
        </w:rPr>
        <w:footnoteReference w:id="56"/>
      </w:r>
      <w:r w:rsidRPr="00C81364">
        <w:rPr>
          <w:szCs w:val="22"/>
        </w:rPr>
        <w:t xml:space="preserve"> the capital expenses associated with </w:t>
      </w:r>
      <w:r w:rsidRPr="003A0AFC">
        <w:rPr>
          <w:szCs w:val="22"/>
        </w:rPr>
        <w:t xml:space="preserve">the installation of </w:t>
      </w:r>
      <w:r w:rsidRPr="00A22133">
        <w:rPr>
          <w:szCs w:val="22"/>
        </w:rPr>
        <w:t xml:space="preserve">those poles should be </w:t>
      </w:r>
      <w:r w:rsidRPr="00404313">
        <w:rPr>
          <w:szCs w:val="22"/>
        </w:rPr>
        <w:t xml:space="preserve">wholly </w:t>
      </w:r>
      <w:r w:rsidRPr="004C3964">
        <w:rPr>
          <w:szCs w:val="22"/>
        </w:rPr>
        <w:t>excluded from pole attachment rates for all attachers</w:t>
      </w:r>
      <w:r w:rsidRPr="00FE19ED">
        <w:rPr>
          <w:szCs w:val="22"/>
        </w:rPr>
        <w:t xml:space="preserve">.  Nonetheless, it appears </w:t>
      </w:r>
      <w:r>
        <w:rPr>
          <w:szCs w:val="22"/>
        </w:rPr>
        <w:t xml:space="preserve">that </w:t>
      </w:r>
      <w:r w:rsidRPr="00FE19ED">
        <w:rPr>
          <w:szCs w:val="22"/>
        </w:rPr>
        <w:t xml:space="preserve">not all attachers benefit from lower rates in these circumstances, in part because our rules do not explicitly require utilities to </w:t>
      </w:r>
      <w:r>
        <w:rPr>
          <w:szCs w:val="22"/>
        </w:rPr>
        <w:t>exclude already-reimbursed capital costs from their pole attachment rates</w:t>
      </w:r>
      <w:r w:rsidRPr="00FE19ED">
        <w:rPr>
          <w:szCs w:val="22"/>
        </w:rPr>
        <w:t xml:space="preserve">.  </w:t>
      </w:r>
      <w:r w:rsidRPr="00FE19ED">
        <w:rPr>
          <w:color w:val="000000"/>
        </w:rPr>
        <w:t xml:space="preserve">We seek comment on </w:t>
      </w:r>
      <w:r>
        <w:rPr>
          <w:color w:val="000000"/>
        </w:rPr>
        <w:t xml:space="preserve">how utilities recalculate rates when make-ready pays for a new pole, what rate reductions pole attachers have experienced when poles are replaced through the make-ready process, and </w:t>
      </w:r>
      <w:r>
        <w:t xml:space="preserve">whether attachers have experienced the inclusion of already-reimbursed </w:t>
      </w:r>
      <w:r w:rsidRPr="008839F0">
        <w:t xml:space="preserve">capital costs </w:t>
      </w:r>
      <w:r>
        <w:t>in</w:t>
      </w:r>
      <w:r w:rsidRPr="008839F0">
        <w:t xml:space="preserve"> the</w:t>
      </w:r>
      <w:r>
        <w:t>ir</w:t>
      </w:r>
      <w:r w:rsidRPr="008839F0">
        <w:t xml:space="preserve"> pole attachment rate</w:t>
      </w:r>
      <w:r>
        <w:t>s</w:t>
      </w:r>
      <w:r w:rsidRPr="008839F0">
        <w:t xml:space="preserve">.  </w:t>
      </w:r>
      <w:r>
        <w:t>We similarly seek comment on how utilities treat capital expenses associated with their own make-ready work.  When utilities replace poles to accommodate their own needs or to create additional electrical space, do they appropriately treat associated capital expenses as make-ready work that is wholly excluded from pole attachment rates?  How do existing attachers know when new attachers or the utility have fully paid the capital expenses as make-ready costs so that those expenses should be wholly excluded from rates going forward?</w:t>
      </w:r>
    </w:p>
    <w:p w:rsidR="00455188" w:rsidRPr="008839F0" w:rsidRDefault="00455188" w:rsidP="00455188">
      <w:pPr>
        <w:pStyle w:val="ParaNum"/>
        <w:rPr>
          <w:color w:val="000000"/>
        </w:rPr>
      </w:pPr>
      <w:r>
        <w:t xml:space="preserve">We seek comment on whether amending </w:t>
      </w:r>
      <w:r w:rsidRPr="008839F0">
        <w:t>Section 1.1409(c) of our rules</w:t>
      </w:r>
      <w:r>
        <w:t xml:space="preserve"> to exclude capital expenses already recovered via make-ready fees from “actual capital costs” is sufficient to ensure no double recovery occurs by utilities.</w:t>
      </w:r>
      <w:r>
        <w:rPr>
          <w:rStyle w:val="FootnoteReference"/>
        </w:rPr>
        <w:footnoteReference w:id="57"/>
      </w:r>
      <w:r w:rsidRPr="008839F0">
        <w:t xml:space="preserve">  We seek comment on whether </w:t>
      </w:r>
      <w:r>
        <w:t>any other</w:t>
      </w:r>
      <w:r w:rsidRPr="008839F0">
        <w:t xml:space="preserve"> change</w:t>
      </w:r>
      <w:r>
        <w:t>s</w:t>
      </w:r>
      <w:r w:rsidRPr="008839F0">
        <w:t xml:space="preserve"> to the Commis</w:t>
      </w:r>
      <w:r>
        <w:t>sion’s rules are</w:t>
      </w:r>
      <w:r w:rsidRPr="008839F0">
        <w:t xml:space="preserve"> </w:t>
      </w:r>
      <w:r>
        <w:t xml:space="preserve">necessary and </w:t>
      </w:r>
      <w:r w:rsidRPr="008839F0">
        <w:t xml:space="preserve">reasonable to </w:t>
      </w:r>
      <w:r>
        <w:t>provide certainty to attachers and utilities about the treatment of pole capital costs that already have been recovered via make-ready</w:t>
      </w:r>
      <w:r w:rsidRPr="008839F0">
        <w:t xml:space="preserve">.  </w:t>
      </w:r>
    </w:p>
    <w:p w:rsidR="00455188" w:rsidRPr="00B17EA1" w:rsidRDefault="00455188" w:rsidP="00455188">
      <w:pPr>
        <w:pStyle w:val="ParaNum"/>
        <w:rPr>
          <w:color w:val="000000"/>
        </w:rPr>
      </w:pPr>
      <w:r w:rsidRPr="008839F0">
        <w:rPr>
          <w:i/>
        </w:rPr>
        <w:t xml:space="preserve">Capital Costs Not Otherwise Recovered Via Make-Ready Fees.  </w:t>
      </w:r>
      <w:r w:rsidRPr="008839F0">
        <w:t xml:space="preserve">We seek comment on whether </w:t>
      </w:r>
      <w:r>
        <w:t>we should</w:t>
      </w:r>
      <w:r w:rsidRPr="008839F0">
        <w:t xml:space="preserve"> exclude capital costs that are not otherwise recoverable through make-ready fees from </w:t>
      </w:r>
      <w:r w:rsidRPr="008839F0">
        <w:rPr>
          <w:color w:val="000000"/>
        </w:rPr>
        <w:t>the upper-bound cable and telecommunications pole attachment rates</w:t>
      </w:r>
      <w:r w:rsidRPr="008839F0">
        <w:t xml:space="preserve">.  </w:t>
      </w:r>
      <w:r w:rsidRPr="008839F0">
        <w:rPr>
          <w:color w:val="000000"/>
        </w:rPr>
        <w:t xml:space="preserve">In setting those rates, the Commission previously found it appropriate to </w:t>
      </w:r>
      <w:r w:rsidRPr="008839F0">
        <w:t>allow utilities to include in the rates some contribution to capital costs aside from those recovered through make-ready fees.</w:t>
      </w:r>
      <w:r w:rsidRPr="008839F0">
        <w:rPr>
          <w:vertAlign w:val="superscript"/>
        </w:rPr>
        <w:footnoteReference w:id="58"/>
      </w:r>
      <w:r w:rsidRPr="008839F0">
        <w:t xml:space="preserve">  In revisiting this issue, we seek comment on the extent to which the capital costs of a pole, other than those paid through make-ready fees, are caused by attachers other than the utility (especially when there is space already available on the pole).  If none or only a small fraction of the capital costs, other than those paid for through make-ready fees, are caused by attachers other than the utility, would this justify the complete exclusion of these capital costs from the pole attachment rate?  To what extent would the exclusion of such capital costs further reduce pole attachment rates?  </w:t>
      </w:r>
      <w:r>
        <w:t>To what extent w</w:t>
      </w:r>
      <w:r w:rsidRPr="008839F0">
        <w:t xml:space="preserve">ould the exclusion of these particular capital costs </w:t>
      </w:r>
      <w:r>
        <w:t xml:space="preserve">from the rate formulas </w:t>
      </w:r>
      <w:r w:rsidRPr="008839F0">
        <w:t>burden the ratep</w:t>
      </w:r>
      <w:r>
        <w:t xml:space="preserve">ayers of electric utilities?  What policy justifies charging pole attachers, whose costs of deployment may determine the scope of their investment in infrastructure, anything more than the incremental costs of attachment to utilities?  </w:t>
      </w:r>
    </w:p>
    <w:p w:rsidR="00455188" w:rsidRPr="00B17EA1" w:rsidRDefault="00455188" w:rsidP="00455188">
      <w:pPr>
        <w:pStyle w:val="ParaNum"/>
        <w:rPr>
          <w:color w:val="000000"/>
        </w:rPr>
      </w:pPr>
      <w:r>
        <w:t>We note that although the rate formula for operators “solely” providing cable service sets an upper bound explicitly tied to “actual capital costs,” the rate formula for telecommunications carriers is tied only to “costs.”</w:t>
      </w:r>
      <w:r>
        <w:rPr>
          <w:rStyle w:val="FootnoteReference"/>
        </w:rPr>
        <w:footnoteReference w:id="59"/>
      </w:r>
      <w:r>
        <w:t xml:space="preserve">  The Commission has previously interpreted the term “cost” in the latter formula to exclude at least some capital costs.</w:t>
      </w:r>
      <w:r>
        <w:rPr>
          <w:rStyle w:val="FootnoteReference"/>
        </w:rPr>
        <w:footnoteReference w:id="60"/>
      </w:r>
      <w:r>
        <w:t xml:space="preserve">  Should we revisit this interpretation and interpret the term “cost” in the telecommunications pole attachment formula to exclude all capital costs?  Would doing so avoid the awkward interpretation contained in our present rules that defines the term “cost” in two separate different ways at the same time?</w:t>
      </w:r>
    </w:p>
    <w:p w:rsidR="00455188" w:rsidRPr="00B17EA1" w:rsidRDefault="00455188" w:rsidP="00455188">
      <w:pPr>
        <w:pStyle w:val="ParaNum"/>
        <w:rPr>
          <w:color w:val="000000"/>
        </w:rPr>
      </w:pPr>
      <w:r>
        <w:t>Similarly, we note that our more general authority over pole attachments only requires that rates be “just and reasonable.”</w:t>
      </w:r>
      <w:r>
        <w:rPr>
          <w:rStyle w:val="FootnoteReference"/>
        </w:rPr>
        <w:footnoteReference w:id="61"/>
      </w:r>
      <w:r>
        <w:t xml:space="preserve">  We seek comment on the appropriate rate for commingled services, including when a cable operator or a telecommunications carrier offers information services as well as cable or telecommunications services over a single attachment.</w:t>
      </w:r>
      <w:r>
        <w:rPr>
          <w:rStyle w:val="FootnoteReference"/>
        </w:rPr>
        <w:footnoteReference w:id="62"/>
      </w:r>
      <w:r>
        <w:t xml:space="preserve">  Should we set that rate for commingled services based on the upper bound of the cable rate formula, the telecommunications rate formula, or some third option?  Should we exclude capital costs from the rate formula we use to determine the commingled services rate?  The cable rate formula also sets a lower bound of “the additional costs of providing pole attachments.”  How would that differ from any of the rates discussed heretofore?  Should we set the commingled services rate equal to the lower bound of the cable rate formula?</w:t>
      </w:r>
    </w:p>
    <w:p w:rsidR="00455188" w:rsidRPr="00C81364" w:rsidRDefault="00455188" w:rsidP="00455188">
      <w:pPr>
        <w:pStyle w:val="ParaNum"/>
        <w:rPr>
          <w:color w:val="000000"/>
        </w:rPr>
      </w:pPr>
      <w:r>
        <w:t>We seek comment on what specific amendments we should consider to Section 1.1409 of our rules to effectuate any changes.</w:t>
      </w:r>
      <w:r w:rsidRPr="008839F0">
        <w:t xml:space="preserve"> </w:t>
      </w:r>
    </w:p>
    <w:p w:rsidR="00455188" w:rsidRDefault="00455188" w:rsidP="00455188">
      <w:pPr>
        <w:pStyle w:val="Heading4"/>
      </w:pPr>
      <w:r>
        <w:t xml:space="preserve">Pole Attachment Rates for Incumbent LECs </w:t>
      </w:r>
    </w:p>
    <w:p w:rsidR="00455188" w:rsidDel="00E21159" w:rsidRDefault="00455188" w:rsidP="00455188">
      <w:pPr>
        <w:pStyle w:val="ParaNum"/>
      </w:pPr>
      <w:r w:rsidRPr="009D48BD">
        <w:t xml:space="preserve">In the </w:t>
      </w:r>
      <w:r>
        <w:rPr>
          <w:i/>
        </w:rPr>
        <w:t xml:space="preserve">2011 </w:t>
      </w:r>
      <w:r w:rsidRPr="009D48BD">
        <w:rPr>
          <w:i/>
        </w:rPr>
        <w:t>Pole Attachment Order</w:t>
      </w:r>
      <w:r>
        <w:t xml:space="preserve">, the Commission </w:t>
      </w:r>
      <w:r w:rsidRPr="009D48BD">
        <w:t xml:space="preserve">declined to adopt a </w:t>
      </w:r>
      <w:r>
        <w:t xml:space="preserve">pole attachment </w:t>
      </w:r>
      <w:r w:rsidRPr="009D48BD">
        <w:t xml:space="preserve">rate formula for incumbent LECs, opting instead to evaluate incumbent LEC complaints on a case-by-case basis to determine whether the rates, terms, and conditions imposed on incumbent LEC </w:t>
      </w:r>
      <w:r>
        <w:t xml:space="preserve">pole </w:t>
      </w:r>
      <w:r w:rsidRPr="009D48BD">
        <w:t>attachments are consistent with Section 224(b)</w:t>
      </w:r>
      <w:r>
        <w:t xml:space="preserve"> of the Act</w:t>
      </w:r>
      <w:r w:rsidRPr="009D48BD">
        <w:t>.</w:t>
      </w:r>
      <w:r w:rsidRPr="009D48BD">
        <w:rPr>
          <w:rStyle w:val="FootnoteReference"/>
        </w:rPr>
        <w:footnoteReference w:id="63"/>
      </w:r>
      <w:r>
        <w:t xml:space="preserve">  The Commission held that </w:t>
      </w:r>
      <w:r w:rsidDel="00E21159">
        <w:t>it is</w:t>
      </w:r>
      <w:r w:rsidRPr="009D48BD" w:rsidDel="00E21159">
        <w:t xml:space="preserve"> “appropriate to use the rate of the comparable attacher as the just and reasonable rate</w:t>
      </w:r>
      <w:r>
        <w:t xml:space="preserve"> for purposes of section 224(b)</w:t>
      </w:r>
      <w:r w:rsidRPr="009D48BD" w:rsidDel="00E21159">
        <w:t>”</w:t>
      </w:r>
      <w:r>
        <w:t xml:space="preserve"> </w:t>
      </w:r>
      <w:r w:rsidDel="00E21159">
        <w:t>when</w:t>
      </w:r>
      <w:r w:rsidRPr="009D48BD" w:rsidDel="00E21159">
        <w:t xml:space="preserve"> an incumbent LEC </w:t>
      </w:r>
      <w:r w:rsidDel="00E21159">
        <w:t>enters</w:t>
      </w:r>
      <w:r w:rsidRPr="009D48BD" w:rsidDel="00E21159">
        <w:t xml:space="preserve"> into a new agreement with a utility</w:t>
      </w:r>
      <w:r w:rsidDel="00E21159">
        <w:t xml:space="preserve"> and can demonstrate</w:t>
      </w:r>
      <w:r w:rsidRPr="009D48BD" w:rsidDel="00E21159">
        <w:t xml:space="preserve"> “that it is obtaining pole attachments on terms and conditions that leave them comparably situated to telecommunications carriers or cable operators</w:t>
      </w:r>
      <w:r>
        <w:t>.</w:t>
      </w:r>
      <w:r w:rsidRPr="009D48BD" w:rsidDel="00E21159">
        <w:t>”</w:t>
      </w:r>
      <w:r w:rsidRPr="009D48BD" w:rsidDel="00E21159">
        <w:rPr>
          <w:rStyle w:val="FootnoteReference"/>
        </w:rPr>
        <w:footnoteReference w:id="64"/>
      </w:r>
      <w:r w:rsidDel="00E21159">
        <w:t xml:space="preserve">  Conversely, when the incumbent LEC attacher cannot make such a demonstration</w:t>
      </w:r>
      <w:r>
        <w:t xml:space="preserve">, the Commission found that </w:t>
      </w:r>
      <w:r w:rsidDel="00E21159">
        <w:t>a higher rate based on the Commission’s pre-2011 telecommunication</w:t>
      </w:r>
      <w:r>
        <w:t>s</w:t>
      </w:r>
      <w:r w:rsidDel="00E21159">
        <w:t xml:space="preserve"> rate formula should serve as a “reference point”</w:t>
      </w:r>
      <w:r>
        <w:t xml:space="preserve"> for evaluating whether pole attachment rates charged to incumbent LECs are just and reasonable.</w:t>
      </w:r>
      <w:r w:rsidRPr="009D48BD" w:rsidDel="00E21159">
        <w:rPr>
          <w:rStyle w:val="FootnoteReference"/>
        </w:rPr>
        <w:footnoteReference w:id="65"/>
      </w:r>
      <w:r>
        <w:t xml:space="preserve">  In the years since adoption, this formulation has led to repeated disputes between incumbent LECs and utilities over appropriate pole attachment rates.</w:t>
      </w:r>
    </w:p>
    <w:p w:rsidR="00455188" w:rsidRDefault="00455188" w:rsidP="00455188">
      <w:pPr>
        <w:pStyle w:val="ParaNum"/>
      </w:pPr>
      <w:r>
        <w:t xml:space="preserve">To end this controversy, we propose that the “just and reasonable rate” under Section 224(b) for incumbent LEC attachers should presumptively be the same rate paid by other telecommunications attachers, i.e., a rate calculated using the most recent telecommunications rate formula.  Under this approach, the incumbent LEC would no longer be required to demonstrate it is “comparably situated” to a telecommunications provider or a cable operator; instead the incumbent LEC would receive the telecommunications rate unless the utility pole owner can demonstrate with clear and convincing evidence that the benefits to the incumbent LEC far outstrip the benefits accorded to other pole attachers.  We seek comment on this proposal.  What demonstration should be sufficient to show that an incumbent LEC attacher should not be entitled to the telecommunications rate formula?  For instance, should </w:t>
      </w:r>
      <w:r w:rsidRPr="009D48BD">
        <w:t>an incumbent LEC</w:t>
      </w:r>
      <w:r>
        <w:t xml:space="preserve"> have to own a majority of poles in a joint ownership network?  Should an incumbent LEC have to have special access to modify a utility’s poles without prior notification?  How should the relative rates charged to the utility and the incumbent LEC factor into the analysis?  If an incumbent LEC has attachments on utility poles pursuant to the terms of a joint use agreement, should the incumbent LEC entitlement to the telecommunications rate be conditioned on making commensurate reductions in the rates charged to the utility for attaching to the incumbent LEC’s poles?  We also seek comment on the rate that should apply to incumbent LECs in the event the utility owner can demonstrate the telecommunications rate should not apply.  In these instances, </w:t>
      </w:r>
      <w:r w:rsidRPr="00780D69">
        <w:t>should the Commission use the pre-2011 telecommunications rate formula</w:t>
      </w:r>
      <w:r>
        <w:t xml:space="preserve">?  We also seek comment on an alternative pole attachment rate formula approaches for incumbent LECs.  Commenters supporting alternative approaches should provide </w:t>
      </w:r>
      <w:r w:rsidRPr="009D48BD">
        <w:t xml:space="preserve">specific inputs and methodology </w:t>
      </w:r>
      <w:r>
        <w:t xml:space="preserve">that could be used in </w:t>
      </w:r>
      <w:r w:rsidRPr="009D48BD">
        <w:t xml:space="preserve">such a formula.  </w:t>
      </w:r>
    </w:p>
    <w:p w:rsidR="00455188" w:rsidRPr="00C15355" w:rsidRDefault="00455188" w:rsidP="00455188">
      <w:pPr>
        <w:pStyle w:val="ParaNum"/>
      </w:pPr>
      <w:r w:rsidRPr="00780D69">
        <w:t xml:space="preserve">Given that the Commission based its </w:t>
      </w:r>
      <w:r>
        <w:t xml:space="preserve">decision in the </w:t>
      </w:r>
      <w:r>
        <w:rPr>
          <w:i/>
        </w:rPr>
        <w:t>2011 Pole Attachment Order</w:t>
      </w:r>
      <w:r>
        <w:t xml:space="preserve"> to refrain from establishing pole attachment rates for </w:t>
      </w:r>
      <w:r w:rsidRPr="00780D69">
        <w:t xml:space="preserve">incumbent LECs in part on </w:t>
      </w:r>
      <w:r>
        <w:t xml:space="preserve">the high levels of </w:t>
      </w:r>
      <w:r w:rsidRPr="00780D69">
        <w:t xml:space="preserve">incumbent LEC pole ownership, we seek comment on the relative </w:t>
      </w:r>
      <w:r>
        <w:t xml:space="preserve">levels of </w:t>
      </w:r>
      <w:r w:rsidRPr="00780D69">
        <w:t xml:space="preserve">pole ownership </w:t>
      </w:r>
      <w:r>
        <w:t xml:space="preserve">between </w:t>
      </w:r>
      <w:r w:rsidRPr="00780D69">
        <w:t>utilities</w:t>
      </w:r>
      <w:r>
        <w:t>,</w:t>
      </w:r>
      <w:r w:rsidRPr="00780D69">
        <w:t xml:space="preserve"> incumbent LECs</w:t>
      </w:r>
      <w:r>
        <w:t>, and other industry participants</w:t>
      </w:r>
      <w:r w:rsidRPr="00780D69">
        <w:t xml:space="preserve">.  If pole ownership </w:t>
      </w:r>
      <w:r>
        <w:t xml:space="preserve">levels </w:t>
      </w:r>
      <w:r w:rsidRPr="00780D69">
        <w:t>ha</w:t>
      </w:r>
      <w:r>
        <w:t>ve</w:t>
      </w:r>
      <w:r w:rsidRPr="00780D69">
        <w:t xml:space="preserve"> changed, what bearing should that have on </w:t>
      </w:r>
      <w:r>
        <w:t>the rates charge to</w:t>
      </w:r>
      <w:r w:rsidRPr="00780D69">
        <w:t xml:space="preserve"> incumbent LECs?</w:t>
      </w:r>
    </w:p>
    <w:p w:rsidR="00455188" w:rsidRDefault="00455188" w:rsidP="00455188">
      <w:pPr>
        <w:pStyle w:val="Heading3"/>
      </w:pPr>
      <w:bookmarkStart w:id="112" w:name="_Toc477188026"/>
      <w:bookmarkStart w:id="113" w:name="_Toc477188113"/>
      <w:bookmarkStart w:id="114" w:name="_Toc477189001"/>
      <w:bookmarkStart w:id="115" w:name="_Toc477445766"/>
      <w:bookmarkStart w:id="116" w:name="_Toc477452984"/>
      <w:bookmarkStart w:id="117" w:name="_Toc477453150"/>
      <w:bookmarkStart w:id="118" w:name="_Toc477796009"/>
      <w:bookmarkStart w:id="119" w:name="_Toc478050604"/>
      <w:bookmarkStart w:id="120" w:name="_Toc478138466"/>
      <w:bookmarkStart w:id="121" w:name="_Toc478139480"/>
      <w:bookmarkStart w:id="122" w:name="_Toc478139586"/>
      <w:bookmarkStart w:id="123" w:name="_Toc478139637"/>
      <w:bookmarkStart w:id="124" w:name="_Toc478394333"/>
      <w:bookmarkStart w:id="125" w:name="_Toc478398196"/>
      <w:bookmarkStart w:id="126" w:name="_Toc478403091"/>
      <w:bookmarkStart w:id="127" w:name="_Toc478460135"/>
      <w:bookmarkStart w:id="128" w:name="_Toc478476682"/>
      <w:bookmarkStart w:id="129" w:name="_Toc479943020"/>
      <w:bookmarkStart w:id="130" w:name="_Toc480388524"/>
      <w:bookmarkStart w:id="131" w:name="_Toc477187528"/>
      <w:bookmarkStart w:id="132" w:name="_Toc477187668"/>
      <w:bookmarkStart w:id="133" w:name="_Toc477187924"/>
      <w:r>
        <w:t>Pole Attachment “Shot Clock” For Pole Attachment Complaints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 xml:space="preserve"> </w:t>
      </w:r>
      <w:bookmarkEnd w:id="131"/>
      <w:bookmarkEnd w:id="132"/>
      <w:bookmarkEnd w:id="133"/>
    </w:p>
    <w:p w:rsidR="00455188" w:rsidRPr="00BA4F39" w:rsidRDefault="00455188" w:rsidP="00455188">
      <w:pPr>
        <w:pStyle w:val="ParaNum"/>
      </w:pPr>
      <w:r w:rsidRPr="00BA4F39">
        <w:rPr>
          <w:i/>
        </w:rPr>
        <w:t xml:space="preserve">Establishing a 180-Day Shot Clock.  </w:t>
      </w:r>
      <w:r w:rsidRPr="00BA4F39">
        <w:t xml:space="preserve">We propose to establish a 180-day “shot clock” for </w:t>
      </w:r>
      <w:r>
        <w:t xml:space="preserve">Enforcement Bureau </w:t>
      </w:r>
      <w:r w:rsidRPr="00BA4F39">
        <w:t>resolution of pole access complaints filed under Section 1.1409 of our rules.</w:t>
      </w:r>
      <w:r w:rsidRPr="00BA4F39">
        <w:rPr>
          <w:sz w:val="20"/>
          <w:vertAlign w:val="superscript"/>
        </w:rPr>
        <w:footnoteReference w:id="66"/>
      </w:r>
      <w:r w:rsidRPr="00BA4F39">
        <w:t xml:space="preserve">  We seek comment on this proposal. </w:t>
      </w:r>
      <w:r w:rsidRPr="00BA4F39">
        <w:rPr>
          <w:i/>
        </w:rPr>
        <w:t xml:space="preserve"> </w:t>
      </w:r>
      <w:r w:rsidRPr="00BA4F39">
        <w:t xml:space="preserve">The </w:t>
      </w:r>
      <w:r w:rsidRPr="00BA4F39">
        <w:rPr>
          <w:i/>
        </w:rPr>
        <w:t>2011 Pole Attachment Order</w:t>
      </w:r>
      <w:r w:rsidRPr="00BA4F39">
        <w:t xml:space="preserve"> noted that “a number of commenters expressed concern about the length of time it takes for the Commission to resolve pole attachment complaints,” but the Commission determined that the record at the time did not warrant the creation of new pole attachment complaint rules.</w:t>
      </w:r>
      <w:r w:rsidRPr="00BA4F39">
        <w:rPr>
          <w:vertAlign w:val="superscript"/>
        </w:rPr>
        <w:footnoteReference w:id="67"/>
      </w:r>
      <w:r w:rsidRPr="00BA4F39">
        <w:t xml:space="preserve">  We now seek comment on whether we should revisit that earlier conclusion by creating a shot clock and whether 180 days is a reasonable timeframe for the </w:t>
      </w:r>
      <w:r>
        <w:t>Enforcement Bureau</w:t>
      </w:r>
      <w:r w:rsidRPr="00BA4F39">
        <w:t xml:space="preserve"> to resolve pole access complaints.  We note that under Section 224(c)(3)(B) of the Act, a state that has asserted jurisdiction over the rates, terms, and conditions of pole attachments could lose the ability to resolve a pole attachment complaint if it does not take final action within 180 days after the complaint is filed with the state.</w:t>
      </w:r>
      <w:r w:rsidRPr="00BA4F39">
        <w:rPr>
          <w:vertAlign w:val="superscript"/>
        </w:rPr>
        <w:footnoteReference w:id="68"/>
      </w:r>
      <w:r w:rsidRPr="00BA4F39">
        <w:t xml:space="preserve">  Should this statutory time period for state resolution of a pole attachment complaint inform our consideration as to what constitutes a reasonable timeframe for </w:t>
      </w:r>
      <w:r>
        <w:t xml:space="preserve">Enforcement Bureau </w:t>
      </w:r>
      <w:r w:rsidRPr="00BA4F39">
        <w:t xml:space="preserve">consideration of a pole attachment complaint?  We </w:t>
      </w:r>
      <w:r>
        <w:t>additionally</w:t>
      </w:r>
      <w:r w:rsidRPr="00BA4F39">
        <w:t xml:space="preserve"> seek alternatives to the 180-day time period.  For example, are there shorter state timelines for the resolution of pole attachment complaints?</w:t>
      </w:r>
      <w:r>
        <w:t xml:space="preserve">  Would 150 days, 120 days, 90 days, or an even shorter timeframe be reasonable for the Enforcement Bureau to resolve a pole access complaint?  What would be the benefits and drawbacks for a shorter timeframe for resolution of pole access complaints?  </w:t>
      </w:r>
      <w:r w:rsidRPr="00BA4F39">
        <w:t xml:space="preserve">Also, we seek comment regarding whether the current length of </w:t>
      </w:r>
      <w:r>
        <w:t xml:space="preserve">Enforcement Bureau </w:t>
      </w:r>
      <w:r w:rsidRPr="00BA4F39">
        <w:t xml:space="preserve">consideration of pole access complaints has burdened broadband infrastructure deployment.  How, if at all, would a shot clock (whether it be 180 days or </w:t>
      </w:r>
      <w:r>
        <w:t xml:space="preserve">some </w:t>
      </w:r>
      <w:r w:rsidRPr="00BA4F39">
        <w:t xml:space="preserve">different time period) affect new attacher decisions to deploy broadband infrastructure?  We seek comment on the ramifications of the </w:t>
      </w:r>
      <w:r>
        <w:t xml:space="preserve">Enforcement Bureau </w:t>
      </w:r>
      <w:r w:rsidRPr="00BA4F39">
        <w:t>exceeding the shot clock</w:t>
      </w:r>
      <w:r>
        <w:t xml:space="preserve"> and</w:t>
      </w:r>
      <w:r w:rsidRPr="00BA4F39">
        <w:t xml:space="preserve"> on reasonable consequences for the </w:t>
      </w:r>
      <w:r>
        <w:t xml:space="preserve">Enforcement Bureau </w:t>
      </w:r>
      <w:r w:rsidRPr="00BA4F39">
        <w:t>exceeding the clock.</w:t>
      </w:r>
    </w:p>
    <w:p w:rsidR="00455188" w:rsidRDefault="00455188" w:rsidP="00455188">
      <w:pPr>
        <w:pStyle w:val="ParaNum"/>
      </w:pPr>
      <w:r w:rsidRPr="007850CB">
        <w:rPr>
          <w:i/>
        </w:rPr>
        <w:t xml:space="preserve">Starting the Shot Clock at the Time a Complaint Is Filed.  </w:t>
      </w:r>
      <w:r w:rsidRPr="00BA4F39">
        <w:t>We seek comment on when to start the proposed 180-day shot clock.  We propose starting the shot clock at the time the pole access complaint is filed, as is the case for state complaints under Section 224(c)(3)(B) of the Act,</w:t>
      </w:r>
      <w:r w:rsidRPr="00BA4F39">
        <w:rPr>
          <w:sz w:val="20"/>
          <w:vertAlign w:val="superscript"/>
        </w:rPr>
        <w:footnoteReference w:id="69"/>
      </w:r>
      <w:r w:rsidRPr="00BA4F39">
        <w:t xml:space="preserve"> and we seek comment on this proposal.  We also seek comment on alternatives that would start the shot clock later in the process, such as when </w:t>
      </w:r>
      <w:r>
        <w:t xml:space="preserve">a </w:t>
      </w:r>
      <w:r w:rsidRPr="00BA4F39">
        <w:t>reply</w:t>
      </w:r>
      <w:r>
        <w:t xml:space="preserve"> is</w:t>
      </w:r>
      <w:r w:rsidRPr="00BA4F39">
        <w:t xml:space="preserve"> filed by the complainant pursuant to Section 1.1407(a) of our rules</w:t>
      </w:r>
      <w:r w:rsidRPr="00BA4F39">
        <w:rPr>
          <w:sz w:val="20"/>
          <w:vertAlign w:val="superscript"/>
        </w:rPr>
        <w:footnoteReference w:id="70"/>
      </w:r>
      <w:r w:rsidRPr="00BA4F39">
        <w:t xml:space="preserve"> or, if discovery is requested, when discovery is complete.  Starting the clock at these later junctures would allow the </w:t>
      </w:r>
      <w:r>
        <w:t xml:space="preserve">Enforcement Bureau </w:t>
      </w:r>
      <w:r w:rsidRPr="00BA4F39">
        <w:t xml:space="preserve">sufficient time to review the relevant issues involved in a pole access complaint and would not disadvantage the </w:t>
      </w:r>
      <w:r>
        <w:t>timing of the Enforcement Bureau</w:t>
      </w:r>
      <w:r w:rsidRPr="00BA4F39">
        <w:t>’s review if the pleading cycle or discovery takes longer than expected.  Are there instructive alternative starting points adopted by states for the initiation of their pole attachment complaint proceedings?  If the shot clock does not start until sometime after a pole access complaint is filed, would it make sense to institute a shot clock that is shorter than 180 days?</w:t>
      </w:r>
    </w:p>
    <w:p w:rsidR="00455188" w:rsidRPr="00BA4F39" w:rsidRDefault="00455188" w:rsidP="00D9706A">
      <w:pPr>
        <w:pStyle w:val="ParaNum"/>
        <w:widowControl/>
      </w:pPr>
      <w:r w:rsidRPr="007850CB">
        <w:rPr>
          <w:i/>
        </w:rPr>
        <w:t>Pausing the Shot Clock.</w:t>
      </w:r>
      <w:r w:rsidRPr="00BA4F39">
        <w:t xml:space="preserve">  We seek comment on whether the </w:t>
      </w:r>
      <w:r>
        <w:t>Enforcement Bureau</w:t>
      </w:r>
      <w:r w:rsidRPr="00BA4F39">
        <w:t xml:space="preserve"> should be able to pause the proposed shot clock for a reasonable time in situations where actions outside the </w:t>
      </w:r>
      <w:r>
        <w:t>Enforcement Bureau</w:t>
      </w:r>
      <w:r w:rsidRPr="00BA4F39">
        <w:t xml:space="preserve">’s control are responsible for delaying </w:t>
      </w:r>
      <w:r>
        <w:t xml:space="preserve">its </w:t>
      </w:r>
      <w:r w:rsidRPr="00BA4F39">
        <w:t xml:space="preserve">review of a pole access complaint.  In the transactions context, the </w:t>
      </w:r>
      <w:r>
        <w:t xml:space="preserve">reviewing Bureau </w:t>
      </w:r>
      <w:r w:rsidRPr="00BA4F39">
        <w:t>pauses the shot clock when the parties need additional time to provide key information requested by the</w:t>
      </w:r>
      <w:r>
        <w:t xml:space="preserve"> Bureau</w:t>
      </w:r>
      <w:r w:rsidRPr="00BA4F39">
        <w:t>.</w:t>
      </w:r>
      <w:r w:rsidRPr="00BA4F39">
        <w:rPr>
          <w:sz w:val="20"/>
          <w:vertAlign w:val="superscript"/>
        </w:rPr>
        <w:footnoteReference w:id="71"/>
      </w:r>
      <w:r w:rsidRPr="00BA4F39">
        <w:t xml:space="preserve">  We propose to allow the </w:t>
      </w:r>
      <w:r>
        <w:t xml:space="preserve">Enforcement Bureau </w:t>
      </w:r>
      <w:r w:rsidRPr="00BA4F39">
        <w:t>the discretion to pause the shot clock in that situation, as well as</w:t>
      </w:r>
      <w:r>
        <w:t xml:space="preserve"> </w:t>
      </w:r>
      <w:r w:rsidRPr="00080146">
        <w:rPr>
          <w:rFonts w:eastAsia="Calibri"/>
          <w:snapToGrid/>
          <w:kern w:val="0"/>
          <w:szCs w:val="22"/>
        </w:rPr>
        <w:t>when the parties decide to pursue informal dispute resolution or request a delay to pursue settlement discussions after a pole access complaint is filed</w:t>
      </w:r>
      <w:r>
        <w:rPr>
          <w:rFonts w:eastAsia="Calibri"/>
          <w:snapToGrid/>
          <w:kern w:val="0"/>
          <w:szCs w:val="22"/>
        </w:rPr>
        <w:t xml:space="preserve">.  </w:t>
      </w:r>
      <w:r w:rsidRPr="00BA4F39">
        <w:t xml:space="preserve">We ask whether these are valid reasons to pause the shot clock, and we seek comment on objective criteria for the </w:t>
      </w:r>
      <w:r>
        <w:t xml:space="preserve">Enforcement Bureau </w:t>
      </w:r>
      <w:r w:rsidRPr="00BA4F39">
        <w:t xml:space="preserve">to use in deciding whether such situations are significant enough to warrant a pause in the shot clock.  We also seek comment on when the </w:t>
      </w:r>
      <w:r>
        <w:t xml:space="preserve">Enforcement Bureau </w:t>
      </w:r>
      <w:r w:rsidRPr="00BA4F39">
        <w:t xml:space="preserve">should resume the shot clock.  Are there objective criteria that the </w:t>
      </w:r>
      <w:r>
        <w:t>Enforcement Bureau</w:t>
      </w:r>
      <w:r w:rsidRPr="00BA4F39">
        <w:t xml:space="preserve"> could use to judge the satisfactory resolution of an outstanding issue such that the shot clock could be resumed?  Further, we propose to alert parties to a pause in the shot clock (and to a resumption of the shot clock) via written notice to the parties.  We seek comment on this proposal.</w:t>
      </w:r>
    </w:p>
    <w:p w:rsidR="00455188" w:rsidRPr="00BA4F39" w:rsidRDefault="00455188" w:rsidP="00455188">
      <w:pPr>
        <w:pStyle w:val="ParaNum"/>
      </w:pPr>
      <w:r w:rsidRPr="00BA4F39">
        <w:rPr>
          <w:i/>
        </w:rPr>
        <w:t xml:space="preserve">Establishment of Pre-Complaint Procedures.  </w:t>
      </w:r>
      <w:r w:rsidRPr="00BA4F39">
        <w:t xml:space="preserve">We </w:t>
      </w:r>
      <w:r>
        <w:t>seek comment on whether we should</w:t>
      </w:r>
      <w:r w:rsidRPr="00BA4F39">
        <w:t xml:space="preserve"> requir</w:t>
      </w:r>
      <w:r>
        <w:t>e</w:t>
      </w:r>
      <w:r w:rsidRPr="00BA4F39">
        <w:t xml:space="preserve"> the parties to resolve procedural issues and deadlines in a meeting to be held either remotely or in person prior to the filing of the pole access complaint (and prior to the starting of the shot clock).  We seek comment on </w:t>
      </w:r>
      <w:r>
        <w:t>the</w:t>
      </w:r>
      <w:r w:rsidRPr="00BA4F39">
        <w:t xml:space="preserve"> types of issues that the parties should resolve in a pre-complaint meeting.  We note that it has been our standard practice to request that parties participate in pre-complaint meetings in order to resolve procedural issues and deadlines; we find that the complaint process </w:t>
      </w:r>
      <w:r>
        <w:t xml:space="preserve">has </w:t>
      </w:r>
      <w:r w:rsidRPr="00BA4F39">
        <w:t>proceed</w:t>
      </w:r>
      <w:r>
        <w:t>ed</w:t>
      </w:r>
      <w:r w:rsidRPr="00BA4F39">
        <w:t xml:space="preserve"> much more smoothly as a result.  We seek comment on the benefits and drawbacks of requiring a pre-complaint meeting and ask whether there are any state pre-complaint procedures that could inform the rules that we develop.</w:t>
      </w:r>
    </w:p>
    <w:p w:rsidR="00455188" w:rsidRPr="00BA4F39" w:rsidRDefault="00455188" w:rsidP="00455188">
      <w:pPr>
        <w:pStyle w:val="ParaNum"/>
      </w:pPr>
      <w:r w:rsidRPr="00BA4F39">
        <w:rPr>
          <w:i/>
        </w:rPr>
        <w:t>Use of Shot Clock for Other Pole Attachment Complaints.</w:t>
      </w:r>
      <w:r w:rsidRPr="00BA4F39">
        <w:t xml:space="preserve">  We seek comment on whether the Commission should adopt a 180-day shot clock for pole attachment complaints other than those relating to access.  We </w:t>
      </w:r>
      <w:r>
        <w:t xml:space="preserve">also </w:t>
      </w:r>
      <w:r w:rsidRPr="00BA4F39">
        <w:t xml:space="preserve">request comment on whether the length of time to resolve other pole attachment complaints has stymied the deployment of broadband infrastructure.  We </w:t>
      </w:r>
      <w:r>
        <w:t xml:space="preserve">additionally </w:t>
      </w:r>
      <w:r w:rsidRPr="00BA4F39">
        <w:t>seek comment on reasonable alternatives to a 180-day shot clock and ask whether there are state shot clocks for other pole attachment complaints that could help inform our review.  Should the procedures set forth above for pole access complaints also apply to other pole attachment complaints?  What alternatives could we adopt that would further streamline the pole attachment complaint process?</w:t>
      </w:r>
    </w:p>
    <w:p w:rsidR="00455188" w:rsidRDefault="00455188" w:rsidP="00455188">
      <w:pPr>
        <w:pStyle w:val="Heading3"/>
      </w:pPr>
      <w:bookmarkStart w:id="134" w:name="_Toc477187529"/>
      <w:bookmarkStart w:id="135" w:name="_Toc477187669"/>
      <w:bookmarkStart w:id="136" w:name="_Toc477187925"/>
      <w:bookmarkStart w:id="137" w:name="_Toc477188027"/>
      <w:bookmarkStart w:id="138" w:name="_Toc477188114"/>
      <w:bookmarkStart w:id="139" w:name="_Toc477189002"/>
      <w:bookmarkStart w:id="140" w:name="_Toc477445767"/>
      <w:bookmarkStart w:id="141" w:name="_Toc477452985"/>
      <w:bookmarkStart w:id="142" w:name="_Toc477453151"/>
      <w:bookmarkStart w:id="143" w:name="_Toc477796010"/>
      <w:bookmarkStart w:id="144" w:name="_Toc478050605"/>
      <w:bookmarkStart w:id="145" w:name="_Toc478138467"/>
      <w:bookmarkStart w:id="146" w:name="_Toc478139481"/>
      <w:bookmarkStart w:id="147" w:name="_Toc478139587"/>
      <w:bookmarkStart w:id="148" w:name="_Toc478139638"/>
      <w:bookmarkStart w:id="149" w:name="_Toc478394334"/>
      <w:bookmarkStart w:id="150" w:name="_Toc478398197"/>
      <w:bookmarkStart w:id="151" w:name="_Toc478403092"/>
      <w:bookmarkStart w:id="152" w:name="_Toc478460136"/>
      <w:bookmarkStart w:id="153" w:name="_Toc478476683"/>
      <w:bookmarkStart w:id="154" w:name="_Toc479943021"/>
      <w:bookmarkStart w:id="155" w:name="_Toc480388525"/>
      <w:r>
        <w:t>Reciprocal Access to Poles Pursuant to Section 251</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 </w:t>
      </w:r>
    </w:p>
    <w:p w:rsidR="00455188" w:rsidRDefault="00455188" w:rsidP="00455188">
      <w:pPr>
        <w:pStyle w:val="ParaNum"/>
      </w:pPr>
      <w:r w:rsidRPr="003730B9">
        <w:rPr>
          <w:i/>
        </w:rPr>
        <w:t xml:space="preserve">Background.  </w:t>
      </w:r>
      <w:r w:rsidRPr="003730B9">
        <w:t>Section 251 of the Act provides that “[e]ach local exchange carrier” has the duty “to afford access to the poles, ducts, conduits</w:t>
      </w:r>
      <w:r w:rsidRPr="00934F07">
        <w:t xml:space="preserve">, and rights-of-way of such carrier to competing providers of telecommunications services on rates, terms, and conditions that are consistent with section 224 [of this </w:t>
      </w:r>
      <w:r>
        <w:t>Act</w:t>
      </w:r>
      <w:r w:rsidRPr="00934F07">
        <w:t>].”</w:t>
      </w:r>
      <w:r>
        <w:rPr>
          <w:rStyle w:val="FootnoteReference"/>
        </w:rPr>
        <w:footnoteReference w:id="72"/>
      </w:r>
      <w:r w:rsidRPr="003730B9">
        <w:t xml:space="preserve">  Section 224(a) defines</w:t>
      </w:r>
      <w:r>
        <w:t xml:space="preserve"> a</w:t>
      </w:r>
      <w:r w:rsidRPr="003730B9">
        <w:t xml:space="preserve"> “utility”</w:t>
      </w:r>
      <w:r>
        <w:t xml:space="preserve"> that must provide telecommunications carriers nondiscriminatory pole access at regulated rates</w:t>
      </w:r>
      <w:r w:rsidRPr="003730B9">
        <w:t xml:space="preserve"> to include both incumbent LECs and competitive LECs.</w:t>
      </w:r>
      <w:r>
        <w:rPr>
          <w:rStyle w:val="FootnoteReference"/>
        </w:rPr>
        <w:footnoteReference w:id="73"/>
      </w:r>
      <w:r w:rsidRPr="003730B9">
        <w:t xml:space="preserve">  However, the definition of “telecommunications carrier” </w:t>
      </w:r>
      <w:r>
        <w:t xml:space="preserve">used </w:t>
      </w:r>
      <w:r w:rsidRPr="003730B9">
        <w:t xml:space="preserve">in Section 224 </w:t>
      </w:r>
      <w:r>
        <w:t>“</w:t>
      </w:r>
      <w:r w:rsidRPr="003730B9">
        <w:t xml:space="preserve">does not </w:t>
      </w:r>
      <w:r>
        <w:t>include”</w:t>
      </w:r>
      <w:r w:rsidRPr="003730B9">
        <w:t xml:space="preserve"> incumbent LECs</w:t>
      </w:r>
      <w:r>
        <w:t>, thus denying incumbent LECs the benefits of Section 224’s specific protections for carriers</w:t>
      </w:r>
      <w:r w:rsidRPr="003730B9">
        <w:t>.</w:t>
      </w:r>
      <w:r>
        <w:rPr>
          <w:rStyle w:val="FootnoteReference"/>
        </w:rPr>
        <w:footnoteReference w:id="74"/>
      </w:r>
      <w:r w:rsidRPr="003730B9">
        <w:t xml:space="preserve">  </w:t>
      </w:r>
    </w:p>
    <w:p w:rsidR="00455188" w:rsidRPr="003730B9" w:rsidRDefault="00455188" w:rsidP="00455188">
      <w:pPr>
        <w:pStyle w:val="ParaNum"/>
      </w:pPr>
      <w:r w:rsidRPr="003730B9">
        <w:t>According to CenturyLink, the disparate treatment of incumbent LECs and competitive LECs in Section 224(a) prevents incumbent LECs from gaining access to competitive LEC-controlled infrastructure and in doing so dampens the incentives for all local exchange carriers to build and deploy the infrastructure necessary for advanced services.</w:t>
      </w:r>
      <w:r>
        <w:rPr>
          <w:rStyle w:val="FootnoteReference"/>
        </w:rPr>
        <w:footnoteReference w:id="75"/>
      </w:r>
      <w:r w:rsidRPr="003730B9">
        <w:t xml:space="preserve">  </w:t>
      </w:r>
      <w:r>
        <w:t>The</w:t>
      </w:r>
      <w:r w:rsidRPr="003730B9">
        <w:t xml:space="preserve"> Commission </w:t>
      </w:r>
      <w:r>
        <w:t xml:space="preserve">initially </w:t>
      </w:r>
      <w:r w:rsidRPr="003730B9">
        <w:t>examined th</w:t>
      </w:r>
      <w:r>
        <w:t>is</w:t>
      </w:r>
      <w:r w:rsidRPr="003730B9">
        <w:t xml:space="preserve"> issue during its implementation of the 1996 Act</w:t>
      </w:r>
      <w:r>
        <w:t xml:space="preserve"> in the </w:t>
      </w:r>
      <w:r>
        <w:rPr>
          <w:i/>
        </w:rPr>
        <w:t>1996</w:t>
      </w:r>
      <w:r w:rsidRPr="006E6D68">
        <w:rPr>
          <w:i/>
        </w:rPr>
        <w:t xml:space="preserve"> Local Competition Order</w:t>
      </w:r>
      <w:r w:rsidRPr="003730B9">
        <w:t xml:space="preserve">, </w:t>
      </w:r>
      <w:r>
        <w:t xml:space="preserve">where </w:t>
      </w:r>
      <w:r w:rsidRPr="003730B9">
        <w:t>it determined that</w:t>
      </w:r>
      <w:r>
        <w:t xml:space="preserve"> </w:t>
      </w:r>
      <w:r w:rsidRPr="003730B9">
        <w:t>Section 251 cannot “[restore] to an incumbent LEC access rights expressly withheld by section 224.”</w:t>
      </w:r>
      <w:r>
        <w:rPr>
          <w:rStyle w:val="FootnoteReference"/>
        </w:rPr>
        <w:footnoteReference w:id="76"/>
      </w:r>
      <w:r w:rsidRPr="003730B9">
        <w:t xml:space="preserve">  CenturyLink requests the Commission revisit </w:t>
      </w:r>
      <w:r>
        <w:t>our</w:t>
      </w:r>
      <w:r w:rsidRPr="003730B9">
        <w:t xml:space="preserve"> interpretation.</w:t>
      </w:r>
      <w:r w:rsidR="001926F9">
        <w:rPr>
          <w:rStyle w:val="FootnoteReference"/>
        </w:rPr>
        <w:footnoteReference w:id="77"/>
      </w:r>
      <w:r w:rsidRPr="003730B9">
        <w:t xml:space="preserve">  Other commenters in the latest Biennial Review contend that the Commission’s interpretation remains valid given incumbent LECs</w:t>
      </w:r>
      <w:r>
        <w:t>’</w:t>
      </w:r>
      <w:r w:rsidRPr="003730B9">
        <w:t xml:space="preserve"> “first-mover advantage” and “the ability of large incumbent LECs to abuse their market positions to foreclose competition.”</w:t>
      </w:r>
      <w:r>
        <w:rPr>
          <w:rStyle w:val="FootnoteReference"/>
        </w:rPr>
        <w:footnoteReference w:id="78"/>
      </w:r>
      <w:r w:rsidRPr="003730B9">
        <w:t xml:space="preserve"> </w:t>
      </w:r>
    </w:p>
    <w:p w:rsidR="00455188" w:rsidRDefault="00455188" w:rsidP="00455188">
      <w:pPr>
        <w:pStyle w:val="ParaNum"/>
      </w:pPr>
      <w:r>
        <w:rPr>
          <w:i/>
        </w:rPr>
        <w:t>Discussion.</w:t>
      </w:r>
      <w:r>
        <w:t xml:space="preserve">  We seek comment on reading the statutes in harmony to create a reciprocal system of infrastructure access rules in which incumbent LECs, pursuant to Section 251(b)(4) of the Act, could demand access to competitive LEC poles and </w:t>
      </w:r>
      <w:r w:rsidRPr="0081700A">
        <w:rPr>
          <w:i/>
        </w:rPr>
        <w:t>vice versa</w:t>
      </w:r>
      <w:r>
        <w:t xml:space="preserve">, subject to the rates, terms, and conditions described in Section 224.  Further, we seek comment on necessary amendments to our rules to effectuate the changed interpretation in the event we decide to do so.  We also seek comment on how similar the rules for incumbent LEC access under Section 251 must be to those for other carriers under Section 224 for the rules to be “consistent” with each other. </w:t>
      </w:r>
    </w:p>
    <w:p w:rsidR="00455188" w:rsidRPr="00DA393A" w:rsidRDefault="00455188" w:rsidP="00455188">
      <w:pPr>
        <w:pStyle w:val="ParaNum"/>
      </w:pPr>
      <w:r w:rsidRPr="00DA393A">
        <w:t xml:space="preserve">Additionally, we seek comments and data that will help establish how often incumbent LECs request access to competitive LEC infrastructure.  How often do incumbent LECs request access to infrastructure controlled by </w:t>
      </w:r>
      <w:r>
        <w:t>competitive LECs, h</w:t>
      </w:r>
      <w:r w:rsidRPr="00DA393A">
        <w:t>ow frequently are incumbent LECs denied access,</w:t>
      </w:r>
      <w:r>
        <w:t xml:space="preserve"> and</w:t>
      </w:r>
      <w:r w:rsidRPr="00DA393A">
        <w:t xml:space="preserve"> how much of an effect does </w:t>
      </w:r>
      <w:r>
        <w:t>this</w:t>
      </w:r>
      <w:r w:rsidRPr="00DA393A">
        <w:t xml:space="preserve"> have on competition </w:t>
      </w:r>
      <w:r>
        <w:t>and broadband deployment</w:t>
      </w:r>
      <w:r w:rsidRPr="00DA393A">
        <w:t xml:space="preserve">?  Would the frequency of incumbent LEC requests for access to competitive LEC poles change </w:t>
      </w:r>
      <w:r>
        <w:t>if we decide to change our interpretation</w:t>
      </w:r>
      <w:r w:rsidRPr="00DA393A">
        <w:t xml:space="preserve">, and how would that impact broadband deployment? </w:t>
      </w:r>
    </w:p>
    <w:p w:rsidR="00455188" w:rsidRDefault="00455188" w:rsidP="00455188">
      <w:pPr>
        <w:pStyle w:val="Heading2"/>
      </w:pPr>
      <w:bookmarkStart w:id="156" w:name="_Toc477187530"/>
      <w:bookmarkStart w:id="157" w:name="_Toc477187670"/>
      <w:bookmarkStart w:id="158" w:name="_Toc477187926"/>
      <w:bookmarkStart w:id="159" w:name="_Toc477188028"/>
      <w:bookmarkStart w:id="160" w:name="_Toc477188115"/>
      <w:bookmarkStart w:id="161" w:name="_Toc477189003"/>
      <w:bookmarkStart w:id="162" w:name="_Toc477445768"/>
      <w:bookmarkStart w:id="163" w:name="_Toc477452986"/>
      <w:bookmarkStart w:id="164" w:name="_Toc477453152"/>
      <w:bookmarkStart w:id="165" w:name="_Toc477796011"/>
      <w:bookmarkStart w:id="166" w:name="_Toc478050606"/>
      <w:bookmarkStart w:id="167" w:name="_Toc478138468"/>
      <w:bookmarkStart w:id="168" w:name="_Toc478139482"/>
      <w:bookmarkStart w:id="169" w:name="_Toc478139588"/>
      <w:bookmarkStart w:id="170" w:name="_Toc478139639"/>
      <w:bookmarkStart w:id="171" w:name="_Toc478394335"/>
      <w:bookmarkStart w:id="172" w:name="_Toc478398198"/>
      <w:bookmarkStart w:id="173" w:name="_Toc478403093"/>
      <w:bookmarkStart w:id="174" w:name="_Toc478460137"/>
      <w:bookmarkStart w:id="175" w:name="_Toc478476684"/>
      <w:bookmarkStart w:id="176" w:name="_Toc479943022"/>
      <w:bookmarkStart w:id="177" w:name="_Toc480388526"/>
      <w:r>
        <w:t>Expediting the Copper Retirement and Network Change Notification Process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55188" w:rsidRDefault="00455188" w:rsidP="00455188">
      <w:pPr>
        <w:pStyle w:val="ParaNum"/>
      </w:pPr>
      <w:r>
        <w:t>Section 251 of the Act</w:t>
      </w:r>
      <w:r w:rsidRPr="00E9214F">
        <w:rPr>
          <w:vertAlign w:val="superscript"/>
        </w:rPr>
        <w:footnoteReference w:id="79"/>
      </w:r>
      <w:r w:rsidRPr="00E9214F">
        <w:t xml:space="preserve"> </w:t>
      </w:r>
      <w:r>
        <w:t>imposes specific obligations on incumbent LECs to promote competition</w:t>
      </w:r>
      <w:r w:rsidRPr="00E9214F">
        <w:rPr>
          <w:color w:val="000000"/>
          <w:szCs w:val="22"/>
        </w:rPr>
        <w:t xml:space="preserve"> </w:t>
      </w:r>
      <w:r>
        <w:rPr>
          <w:color w:val="000000"/>
          <w:szCs w:val="22"/>
        </w:rPr>
        <w:t>so as to</w:t>
      </w:r>
      <w:r>
        <w:t xml:space="preserve"> allow industry to bring “increased innovation to American consumers.”</w:t>
      </w:r>
      <w:r>
        <w:rPr>
          <w:rStyle w:val="FootnoteReference"/>
        </w:rPr>
        <w:footnoteReference w:id="80"/>
      </w:r>
      <w:r>
        <w:t xml:space="preserve">  To that end, </w:t>
      </w:r>
      <w:r w:rsidRPr="00037407">
        <w:t xml:space="preserve">Section 251(c)(5) </w:t>
      </w:r>
      <w:r>
        <w:t>and the Commission’s</w:t>
      </w:r>
      <w:r w:rsidRPr="00E67359">
        <w:t xml:space="preserve"> Part 51 </w:t>
      </w:r>
      <w:r>
        <w:t>implementing</w:t>
      </w:r>
      <w:r w:rsidRPr="00E67359">
        <w:t xml:space="preserve"> </w:t>
      </w:r>
      <w:r>
        <w:t xml:space="preserve">rules </w:t>
      </w:r>
      <w:r w:rsidRPr="00037407">
        <w:t xml:space="preserve">require incumbent LECs to provide public notice of </w:t>
      </w:r>
      <w:r>
        <w:t xml:space="preserve">network </w:t>
      </w:r>
      <w:r w:rsidRPr="00037407">
        <w:t>changes</w:t>
      </w:r>
      <w:r>
        <w:t>, including copper retirement,</w:t>
      </w:r>
      <w:r w:rsidRPr="00037407">
        <w:t xml:space="preserve"> that </w:t>
      </w:r>
      <w:r>
        <w:t xml:space="preserve">would </w:t>
      </w:r>
      <w:r w:rsidRPr="00037407">
        <w:t>affect a competing carrier’s performance or ability to provide service.</w:t>
      </w:r>
      <w:r w:rsidRPr="00037407">
        <w:rPr>
          <w:rStyle w:val="FootnoteReference"/>
          <w:sz w:val="22"/>
        </w:rPr>
        <w:footnoteReference w:id="81"/>
      </w:r>
      <w:r w:rsidRPr="00037407">
        <w:t xml:space="preserve">  </w:t>
      </w:r>
      <w:r w:rsidR="00DB7C54">
        <w:t>W</w:t>
      </w:r>
      <w:r>
        <w:t xml:space="preserve">e </w:t>
      </w:r>
      <w:r w:rsidRPr="00037407">
        <w:t xml:space="preserve">propose revisions to our Part 51 network change disclosure rules to </w:t>
      </w:r>
      <w:r>
        <w:t xml:space="preserve">allow providers greater flexibility in </w:t>
      </w:r>
      <w:r w:rsidRPr="00037407">
        <w:t>the copper retirement process and</w:t>
      </w:r>
      <w:r>
        <w:t xml:space="preserve"> to</w:t>
      </w:r>
      <w:r w:rsidRPr="00037407">
        <w:t xml:space="preserve"> reduce associated regulatory burdens</w:t>
      </w:r>
      <w:r>
        <w:t>,</w:t>
      </w:r>
      <w:r w:rsidRPr="00037407">
        <w:t xml:space="preserve"> to facilitate more rapid deployment of next-generation networks.  We also seek comment on streamlining and/or eliminating provisions of the more generally applicable network change notification rules.</w:t>
      </w:r>
    </w:p>
    <w:p w:rsidR="00455188" w:rsidRPr="004B1731" w:rsidRDefault="00455188" w:rsidP="00455188">
      <w:pPr>
        <w:pStyle w:val="Heading3"/>
      </w:pPr>
      <w:bookmarkStart w:id="178" w:name="_Toc477187531"/>
      <w:bookmarkStart w:id="179" w:name="_Toc477187671"/>
      <w:bookmarkStart w:id="180" w:name="_Toc477187927"/>
      <w:bookmarkStart w:id="181" w:name="_Toc477188029"/>
      <w:bookmarkStart w:id="182" w:name="_Toc477188116"/>
      <w:bookmarkStart w:id="183" w:name="_Toc477189004"/>
      <w:bookmarkStart w:id="184" w:name="_Toc477445769"/>
      <w:bookmarkStart w:id="185" w:name="_Toc477452987"/>
      <w:bookmarkStart w:id="186" w:name="_Toc477453153"/>
      <w:bookmarkStart w:id="187" w:name="_Toc477796012"/>
      <w:bookmarkStart w:id="188" w:name="_Toc478050607"/>
      <w:bookmarkStart w:id="189" w:name="_Toc478138469"/>
      <w:bookmarkStart w:id="190" w:name="_Toc478139483"/>
      <w:bookmarkStart w:id="191" w:name="_Toc478139589"/>
      <w:bookmarkStart w:id="192" w:name="_Toc478139640"/>
      <w:bookmarkStart w:id="193" w:name="_Toc478403094"/>
      <w:bookmarkStart w:id="194" w:name="_Toc478460138"/>
      <w:bookmarkStart w:id="195" w:name="_Toc478476685"/>
      <w:bookmarkStart w:id="196" w:name="_Toc479943023"/>
      <w:bookmarkStart w:id="197" w:name="_Toc480388527"/>
      <w:r>
        <w:t>Copper Retirement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455188" w:rsidRDefault="00455188" w:rsidP="00455188">
      <w:pPr>
        <w:pStyle w:val="ParaNum"/>
      </w:pPr>
      <w:r>
        <w:t>We seek comment on revisiting our</w:t>
      </w:r>
      <w:r w:rsidRPr="00A92946">
        <w:t xml:space="preserve"> copper retirement </w:t>
      </w:r>
      <w:r>
        <w:t xml:space="preserve">and </w:t>
      </w:r>
      <w:r w:rsidRPr="00A92946">
        <w:t xml:space="preserve">notice of network change requirements to </w:t>
      </w:r>
      <w:r>
        <w:t>reduce regulatory barriers to the</w:t>
      </w:r>
      <w:r w:rsidRPr="00A92946">
        <w:t xml:space="preserve"> deployment of next-generation network</w:t>
      </w:r>
      <w:r>
        <w:t>s</w:t>
      </w:r>
      <w:r w:rsidRPr="00A92946">
        <w:t>.</w:t>
      </w:r>
      <w:r w:rsidRPr="00944601">
        <w:t xml:space="preserve">  </w:t>
      </w:r>
      <w:r>
        <w:t xml:space="preserve">First, we seek comment on eliminating some or all of the changes to the copper retirement process adopted by the Commission in the </w:t>
      </w:r>
      <w:r w:rsidRPr="004B1731">
        <w:rPr>
          <w:i/>
        </w:rPr>
        <w:t xml:space="preserve">2015 </w:t>
      </w:r>
      <w:r>
        <w:rPr>
          <w:i/>
        </w:rPr>
        <w:t>Technology Transitions</w:t>
      </w:r>
      <w:r w:rsidRPr="00A04175">
        <w:rPr>
          <w:i/>
        </w:rPr>
        <w:t xml:space="preserve"> Order</w:t>
      </w:r>
      <w:r>
        <w:rPr>
          <w:i/>
        </w:rPr>
        <w:t>.</w:t>
      </w:r>
      <w:r>
        <w:t xml:space="preserve">  We seek comment on the Commission’s authority to impose the copper retirement notice requirements adopted in the </w:t>
      </w:r>
      <w:r w:rsidRPr="00404222">
        <w:rPr>
          <w:i/>
        </w:rPr>
        <w:t>2015 Technology Transitions Order</w:t>
      </w:r>
      <w:r>
        <w:t>.</w:t>
      </w:r>
      <w:r w:rsidRPr="00944601">
        <w:rPr>
          <w:rStyle w:val="FootnoteReference"/>
        </w:rPr>
        <w:footnoteReference w:id="82"/>
      </w:r>
      <w:r>
        <w:t xml:space="preserve">  Among other things, the new rules doubled </w:t>
      </w:r>
      <w:r w:rsidRPr="00944601">
        <w:t xml:space="preserve">the </w:t>
      </w:r>
      <w:r>
        <w:t xml:space="preserve">time period during which an incumbent </w:t>
      </w:r>
      <w:r w:rsidRPr="00944601">
        <w:t xml:space="preserve">LEC must wait to implement </w:t>
      </w:r>
      <w:r>
        <w:t>a</w:t>
      </w:r>
      <w:r w:rsidRPr="00944601">
        <w:t xml:space="preserve"> planned copper retirement after the Commission’s </w:t>
      </w:r>
      <w:r>
        <w:t>release</w:t>
      </w:r>
      <w:r w:rsidRPr="00944601">
        <w:t xml:space="preserve"> of public notice from 90 days to 180 days</w:t>
      </w:r>
      <w:r>
        <w:t>, required direct notice to retail customers,</w:t>
      </w:r>
      <w:r w:rsidRPr="003B4A2D">
        <w:t xml:space="preserve"> states, Tribal entities, and the Secretary of Defense</w:t>
      </w:r>
      <w:r>
        <w:t>,</w:t>
      </w:r>
      <w:r w:rsidRPr="003B4A2D">
        <w:t xml:space="preserve"> </w:t>
      </w:r>
      <w:r>
        <w:t>and expanded the types of information that must be disclosed.</w:t>
      </w:r>
      <w:r w:rsidRPr="00944601">
        <w:rPr>
          <w:rStyle w:val="FootnoteReference"/>
        </w:rPr>
        <w:footnoteReference w:id="83"/>
      </w:r>
      <w:r>
        <w:t xml:space="preserve">  </w:t>
      </w:r>
    </w:p>
    <w:p w:rsidR="00455188" w:rsidRDefault="00455188" w:rsidP="00455188">
      <w:pPr>
        <w:pStyle w:val="ParaNum"/>
      </w:pPr>
      <w:r w:rsidRPr="00E30543">
        <w:rPr>
          <w:i/>
        </w:rPr>
        <w:t xml:space="preserve">Repeal of Section 51.332 and Return to Prior Short-Term Network Change Notification Rule.  </w:t>
      </w:r>
      <w:r>
        <w:t>We seek comment on how best to handle incumbent LEC copper retirements going forward to prevent unnecessary delay and capital expenditures on this legacy technology while protecting consumers.  First, we seek comment on eliminating Section 51.332 entirely and returning to a more streamlined version of the pre-</w:t>
      </w:r>
      <w:r w:rsidRPr="00E30543">
        <w:rPr>
          <w:i/>
        </w:rPr>
        <w:t xml:space="preserve">2015 Technology Transitions Order </w:t>
      </w:r>
      <w:r>
        <w:t xml:space="preserve">requirements for handling copper retirements subject to Section 251(c)(5) of the Act.  Specifically, prior to the </w:t>
      </w:r>
      <w:r w:rsidRPr="00E30543">
        <w:rPr>
          <w:i/>
        </w:rPr>
        <w:t>2015 Technology Transitions Order</w:t>
      </w:r>
      <w:r>
        <w:t xml:space="preserve">, </w:t>
      </w:r>
      <w:r w:rsidRPr="0031732B">
        <w:t>incumbent LEC</w:t>
      </w:r>
      <w:r>
        <w:t xml:space="preserve"> copper retirement notices of less than six months were regulated under the more flexible Commission rule that applied to short-term network change notices.</w:t>
      </w:r>
      <w:r>
        <w:rPr>
          <w:rStyle w:val="FootnoteReference"/>
        </w:rPr>
        <w:footnoteReference w:id="84"/>
      </w:r>
      <w:r>
        <w:t xml:space="preserve">  We seek comment on whether to repeal Section 51.332 and whether to reinstate the prior copper retirement notice rules.  Have the delays and increased burdens introduced by the revised rules hindered next-generation network investment?</w:t>
      </w:r>
      <w:r>
        <w:rPr>
          <w:rStyle w:val="FootnoteReference"/>
        </w:rPr>
        <w:footnoteReference w:id="85"/>
      </w:r>
      <w:r>
        <w:t xml:space="preserve">  Have the changes been effective in protecting competition and consumers?  What are their costs and benefits?  Would adopting our pre-2015 rule, without modification, provide incumbent LECs with sufficient flexibility to facilitate their transition to next-generation networks?  Should we retain our existing rule in substantially similar format?  </w:t>
      </w:r>
    </w:p>
    <w:p w:rsidR="00455188" w:rsidRDefault="00455188" w:rsidP="00455188">
      <w:pPr>
        <w:pStyle w:val="ParaNum"/>
      </w:pPr>
      <w:r w:rsidRPr="00EE7728">
        <w:t xml:space="preserve">The </w:t>
      </w:r>
      <w:r w:rsidRPr="00E30543">
        <w:rPr>
          <w:i/>
        </w:rPr>
        <w:t>2015 Technology Transitions Order</w:t>
      </w:r>
      <w:r w:rsidRPr="00EE7728">
        <w:t xml:space="preserve"> eliminated the process by which competitive LECs can object to and seek to delay an incumbent LEC’s </w:t>
      </w:r>
      <w:r>
        <w:t xml:space="preserve">planned </w:t>
      </w:r>
      <w:r w:rsidRPr="00EE7728">
        <w:t>copper retirement</w:t>
      </w:r>
      <w:r>
        <w:t xml:space="preserve"> when it increased the “deemed approved” timeframe</w:t>
      </w:r>
      <w:r w:rsidRPr="00EE7728">
        <w:t xml:space="preserve"> </w:t>
      </w:r>
      <w:r>
        <w:t>from 90 to 180 days.</w:t>
      </w:r>
      <w:r>
        <w:rPr>
          <w:rStyle w:val="FootnoteReference"/>
        </w:rPr>
        <w:footnoteReference w:id="86"/>
      </w:r>
      <w:r>
        <w:t xml:space="preserve"> </w:t>
      </w:r>
      <w:r w:rsidRPr="00EE7728">
        <w:t xml:space="preserve"> If we return incumbent LEC copper retirements to the prior network notification process, should we nonetheless retain this c</w:t>
      </w:r>
      <w:r>
        <w:t xml:space="preserve">hange, and, if so, </w:t>
      </w:r>
      <w:r w:rsidRPr="00EE7728">
        <w:t>how should we incorporate it into our rules?</w:t>
      </w:r>
      <w:r>
        <w:t xml:space="preserve">  Is some other notice timeframe more appropriate?</w:t>
      </w:r>
      <w:r w:rsidRPr="006D5107">
        <w:t xml:space="preserve">  </w:t>
      </w:r>
    </w:p>
    <w:p w:rsidR="00455188" w:rsidRDefault="00455188" w:rsidP="00455188">
      <w:pPr>
        <w:pStyle w:val="ParaNum"/>
      </w:pPr>
      <w:r>
        <w:t xml:space="preserve">The </w:t>
      </w:r>
      <w:r w:rsidRPr="00E30543">
        <w:rPr>
          <w:i/>
        </w:rPr>
        <w:t>2015 Technology Transitions Order</w:t>
      </w:r>
      <w:r>
        <w:t xml:space="preserve"> also adopted an expanded definition of copper retirement that added (1) the feeder portion of </w:t>
      </w:r>
      <w:r w:rsidRPr="00E30543">
        <w:t>copper loops and subloops</w:t>
      </w:r>
      <w:r>
        <w:t>, previously excluded, and (2) “</w:t>
      </w:r>
      <w:r w:rsidRPr="00E30543">
        <w:t>the failure to maintain copper loops, subloops, or the feeder portion of such loops or subloops that is the functional equivalent of removal or disabling”</w:t>
      </w:r>
      <w:r w:rsidRPr="009C2409">
        <w:t xml:space="preserve">—i.e., </w:t>
      </w:r>
      <w:r w:rsidRPr="009C2409">
        <w:rPr>
          <w:i/>
        </w:rPr>
        <w:t>de facto</w:t>
      </w:r>
      <w:r w:rsidRPr="009C2409">
        <w:t xml:space="preserve"> retirement</w:t>
      </w:r>
      <w:r>
        <w:t>.</w:t>
      </w:r>
      <w:r>
        <w:rPr>
          <w:rStyle w:val="FootnoteReference"/>
        </w:rPr>
        <w:footnoteReference w:id="87"/>
      </w:r>
      <w:r>
        <w:t xml:space="preserve">  Maintenance of existing copper facilities remains a concern when an incumbent LEC does not go through the copper retirement process.  </w:t>
      </w:r>
      <w:r w:rsidRPr="00EE7728">
        <w:t>If we return incumbent LEC copper retirements to the prior network notification process, should we nonetheless retain</w:t>
      </w:r>
      <w:r>
        <w:t xml:space="preserve"> this expanded definition? </w:t>
      </w:r>
    </w:p>
    <w:p w:rsidR="00455188" w:rsidRDefault="00455188" w:rsidP="00455188">
      <w:pPr>
        <w:pStyle w:val="ParaNum"/>
      </w:pPr>
      <w:r w:rsidRPr="006D5107">
        <w:t xml:space="preserve">The </w:t>
      </w:r>
      <w:r w:rsidRPr="00670468">
        <w:rPr>
          <w:i/>
        </w:rPr>
        <w:t>2015 Technology Transitions Order</w:t>
      </w:r>
      <w:r w:rsidRPr="006D5107">
        <w:t xml:space="preserve"> </w:t>
      </w:r>
      <w:r>
        <w:t xml:space="preserve">also </w:t>
      </w:r>
      <w:r w:rsidRPr="006D5107">
        <w:t xml:space="preserve">broadened the recipients of direct notice from </w:t>
      </w:r>
      <w:r w:rsidRPr="005D178F">
        <w:t>“each telephone exchange service provider that directly interconnects with the incumbent LEC’s network” to “</w:t>
      </w:r>
      <w:r w:rsidRPr="006D5107">
        <w:t xml:space="preserve">each entity within the affected service area that directly interconnects with the incumbent LEC’s network.” </w:t>
      </w:r>
      <w:r>
        <w:t xml:space="preserve"> It also added a </w:t>
      </w:r>
      <w:r w:rsidRPr="009F2327">
        <w:t xml:space="preserve">notice </w:t>
      </w:r>
      <w:r>
        <w:t xml:space="preserve">requirement </w:t>
      </w:r>
      <w:r w:rsidRPr="009F2327">
        <w:t xml:space="preserve">to </w:t>
      </w:r>
      <w:r>
        <w:t xml:space="preserve">the Secretary of Defense as well as the state </w:t>
      </w:r>
      <w:r w:rsidRPr="009F2327">
        <w:t>public utility commission</w:t>
      </w:r>
      <w:r>
        <w:t xml:space="preserve">, </w:t>
      </w:r>
      <w:r w:rsidRPr="009F2327">
        <w:t xml:space="preserve">Governor </w:t>
      </w:r>
      <w:r>
        <w:t xml:space="preserve">of the State, and any Tribal entity with authority over Tribal lands in which </w:t>
      </w:r>
      <w:r w:rsidRPr="009F2327">
        <w:t>the copper retirement is proposed</w:t>
      </w:r>
      <w:r>
        <w:t xml:space="preserve">.  Have these direct notice changes adopted by the Commission meaningfully promoted facilities investment or preserved competition in the provision of next-generation facilities, and what costs have the changes imposed?  Have these direct notice changes meaningfully promoted understanding and awareness of copper retirements and their impacts, and what have been the benefits of these changes?  Returning to a version of our pre-2015 copper retirement rules would reduce the number of direct notice recipients from “each entity” to “each telephone exchange service provider,” and eliminate the other expanded notice requirements from the </w:t>
      </w:r>
      <w:r w:rsidRPr="00C4679A">
        <w:rPr>
          <w:i/>
        </w:rPr>
        <w:t>2015 Technology Transitions Order</w:t>
      </w:r>
      <w:r w:rsidRPr="004612E3">
        <w:t>.</w:t>
      </w:r>
      <w:r>
        <w:t xml:space="preserve">  We seek comments on the effects of such a change.</w:t>
      </w:r>
    </w:p>
    <w:p w:rsidR="00455188" w:rsidRDefault="00455188" w:rsidP="00455188">
      <w:pPr>
        <w:pStyle w:val="ParaNum"/>
      </w:pPr>
      <w:r w:rsidRPr="00C57869">
        <w:rPr>
          <w:i/>
        </w:rPr>
        <w:t xml:space="preserve">Full Harmonization </w:t>
      </w:r>
      <w:r>
        <w:rPr>
          <w:i/>
        </w:rPr>
        <w:t>w</w:t>
      </w:r>
      <w:r w:rsidRPr="00C57869">
        <w:rPr>
          <w:i/>
        </w:rPr>
        <w:t xml:space="preserve">ith General Network Change Notification Process.  </w:t>
      </w:r>
      <w:r w:rsidRPr="00614663">
        <w:t>Alternatively, we seek comment on eliminating all differences between copper retirement and other network change notice requirements</w:t>
      </w:r>
      <w:r>
        <w:t>, rendering copper retirement changes subject to the same long-term or, where applicable, short-term network change notice requirements as all other types of network changes subject to Section 251(c)(5)</w:t>
      </w:r>
      <w:r w:rsidRPr="00614663">
        <w:t xml:space="preserve">.  </w:t>
      </w:r>
      <w:r>
        <w:t xml:space="preserve">Even under the Commission’s rules prior to the </w:t>
      </w:r>
      <w:r w:rsidRPr="00C57869">
        <w:rPr>
          <w:i/>
        </w:rPr>
        <w:t>2015 Technology Transitions Order</w:t>
      </w:r>
      <w:r w:rsidRPr="004A7F96">
        <w:t>,</w:t>
      </w:r>
      <w:r w:rsidRPr="00C57869">
        <w:rPr>
          <w:i/>
        </w:rPr>
        <w:t xml:space="preserve"> </w:t>
      </w:r>
      <w:r>
        <w:t>there were differences in the treatment of copper retirements and other short-term network change notices.  Whereas short-term network change notices become effective ten days after Commission issuance of a public notice, copper retirement notices became effective ninety days thereafter.</w:t>
      </w:r>
      <w:r>
        <w:rPr>
          <w:rStyle w:val="FootnoteReference"/>
        </w:rPr>
        <w:footnoteReference w:id="88"/>
      </w:r>
      <w:r>
        <w:t xml:space="preserve">  Moreover, an objection to a copper retirement notice was deemed denied 90 days after the Commission’s public notice absent Commission action on the objection, while </w:t>
      </w:r>
      <w:r w:rsidRPr="000B7777">
        <w:t xml:space="preserve">there is no “deemed denied” </w:t>
      </w:r>
      <w:r>
        <w:t xml:space="preserve">provision for other short-term network change </w:t>
      </w:r>
      <w:r w:rsidRPr="000B7777">
        <w:t>objections</w:t>
      </w:r>
      <w:r>
        <w:t>.</w:t>
      </w:r>
      <w:r w:rsidRPr="000B7777">
        <w:rPr>
          <w:vertAlign w:val="superscript"/>
        </w:rPr>
        <w:footnoteReference w:id="89"/>
      </w:r>
      <w:r w:rsidRPr="000B7777">
        <w:t xml:space="preserve"> </w:t>
      </w:r>
      <w:r>
        <w:t xml:space="preserve"> </w:t>
      </w:r>
      <w:r w:rsidRPr="00D54281">
        <w:t>Is there a basis to continue to have a different set of network change requirements for copper retirement?</w:t>
      </w:r>
      <w:r>
        <w:rPr>
          <w:rStyle w:val="CommentReference"/>
        </w:rPr>
        <w:t xml:space="preserve"> </w:t>
      </w:r>
      <w:r w:rsidRPr="00D54281">
        <w:t xml:space="preserve"> </w:t>
      </w:r>
      <w:r>
        <w:t>In this regard, we note that the transition from copper to fiber has been occurring for well more than a decade now.</w:t>
      </w:r>
      <w:r>
        <w:rPr>
          <w:rStyle w:val="FootnoteReference"/>
        </w:rPr>
        <w:footnoteReference w:id="90"/>
      </w:r>
      <w:r>
        <w:t xml:space="preserve">  We anticipate that interconnecting carriers are aware that copper retirements are inevitable and that they should be familiar by now with the implications of and processes involved in accommodating such changes.  We seek comment on this expectation.</w:t>
      </w:r>
    </w:p>
    <w:p w:rsidR="00455188" w:rsidRDefault="00455188" w:rsidP="00455188">
      <w:pPr>
        <w:pStyle w:val="ParaNum"/>
      </w:pPr>
      <w:r>
        <w:rPr>
          <w:i/>
        </w:rPr>
        <w:t xml:space="preserve">Modification of Section 51.332.  </w:t>
      </w:r>
      <w:r>
        <w:t xml:space="preserve">A second alternative to eliminating Section </w:t>
      </w:r>
      <w:r w:rsidRPr="00614663">
        <w:t>51.332</w:t>
      </w:r>
      <w:r>
        <w:t xml:space="preserve"> entirely</w:t>
      </w:r>
      <w:r w:rsidRPr="00614663">
        <w:t xml:space="preserve"> </w:t>
      </w:r>
      <w:r>
        <w:t xml:space="preserve">would be to retain but amend Section 51.332 to streamline the process, provide greater flexibility, and reduce burdensome requirements for incumbent LEC copper retirements.  We seek comment on how we should change the rule to afford flexibility and maximize incentives to deploy next-generation facilities.  We seek comment on whether </w:t>
      </w:r>
      <w:r w:rsidRPr="00D422D9">
        <w:t xml:space="preserve">we </w:t>
      </w:r>
      <w:r>
        <w:t xml:space="preserve">should </w:t>
      </w:r>
      <w:r w:rsidRPr="00D422D9">
        <w:t xml:space="preserve">adopt </w:t>
      </w:r>
      <w:r>
        <w:t xml:space="preserve">these changes, and whether </w:t>
      </w:r>
      <w:r w:rsidRPr="00D422D9">
        <w:t xml:space="preserve">additional or different changes </w:t>
      </w:r>
      <w:r>
        <w:t xml:space="preserve">should also be adopted:   </w:t>
      </w:r>
    </w:p>
    <w:p w:rsidR="00455188" w:rsidRPr="002D1435" w:rsidRDefault="00455188" w:rsidP="00455188">
      <w:pPr>
        <w:pStyle w:val="ListParagraph"/>
        <w:widowControl/>
        <w:numPr>
          <w:ilvl w:val="0"/>
          <w:numId w:val="12"/>
        </w:numPr>
        <w:spacing w:after="120"/>
        <w:contextualSpacing w:val="0"/>
      </w:pPr>
      <w:r w:rsidRPr="002D1435">
        <w:t xml:space="preserve">Requiring </w:t>
      </w:r>
      <w:r>
        <w:t xml:space="preserve">an </w:t>
      </w:r>
      <w:r w:rsidRPr="002D1435">
        <w:t xml:space="preserve">incumbent LEC to </w:t>
      </w:r>
      <w:r>
        <w:t>serve its notice</w:t>
      </w:r>
      <w:r w:rsidRPr="002D1435">
        <w:t xml:space="preserve"> only to </w:t>
      </w:r>
      <w:r>
        <w:t xml:space="preserve">telephone exchange </w:t>
      </w:r>
      <w:r w:rsidRPr="002D1435">
        <w:t xml:space="preserve">service providers that directly interconnect with the incumbent LEC’s network, as was the case under the predecessor rules, rather than “each entity within the affected service area that directly interconnects with the incumbent LEC’s network.”  </w:t>
      </w:r>
    </w:p>
    <w:p w:rsidR="00455188" w:rsidRDefault="00455188" w:rsidP="00455188">
      <w:pPr>
        <w:pStyle w:val="ListParagraph"/>
        <w:widowControl/>
        <w:numPr>
          <w:ilvl w:val="0"/>
          <w:numId w:val="12"/>
        </w:numPr>
        <w:spacing w:after="120"/>
        <w:contextualSpacing w:val="0"/>
      </w:pPr>
      <w:r>
        <w:t>R</w:t>
      </w:r>
      <w:r w:rsidRPr="003903CD">
        <w:t>educing the waiting period to 90 days from 180 days after the Commission releases its public notice before the incumbent LEC may implement the planned copper retirement.</w:t>
      </w:r>
    </w:p>
    <w:p w:rsidR="00455188" w:rsidRDefault="00455188" w:rsidP="00455188">
      <w:pPr>
        <w:pStyle w:val="ListParagraph"/>
        <w:widowControl/>
        <w:numPr>
          <w:ilvl w:val="0"/>
          <w:numId w:val="12"/>
        </w:numPr>
        <w:spacing w:after="120"/>
        <w:contextualSpacing w:val="0"/>
      </w:pPr>
      <w:r>
        <w:t xml:space="preserve">Providing greater flexibility regarding </w:t>
      </w:r>
      <w:r w:rsidRPr="003903CD">
        <w:t>the time in which an incumbent LEC must file the requisite certification.</w:t>
      </w:r>
    </w:p>
    <w:p w:rsidR="00455188" w:rsidRDefault="00455188" w:rsidP="00455188">
      <w:pPr>
        <w:pStyle w:val="ListParagraph"/>
        <w:widowControl/>
        <w:numPr>
          <w:ilvl w:val="0"/>
          <w:numId w:val="12"/>
        </w:numPr>
        <w:spacing w:after="120"/>
        <w:contextualSpacing w:val="0"/>
      </w:pPr>
      <w:r>
        <w:t>R</w:t>
      </w:r>
      <w:r w:rsidRPr="003903CD">
        <w:t xml:space="preserve">educing the waiting period to </w:t>
      </w:r>
      <w:r>
        <w:t xml:space="preserve">30 </w:t>
      </w:r>
      <w:r w:rsidRPr="003903CD">
        <w:t>days where the copper facilities being retired are no longer being used to serve any customers in the affected service area.</w:t>
      </w:r>
    </w:p>
    <w:p w:rsidR="00455188" w:rsidRDefault="00455188" w:rsidP="00D9706A">
      <w:pPr>
        <w:pStyle w:val="CommentText"/>
        <w:widowControl/>
        <w:spacing w:after="200"/>
      </w:pPr>
      <w:r w:rsidRPr="00D422D9">
        <w:rPr>
          <w:sz w:val="22"/>
        </w:rPr>
        <w:t>Should we adopt different timing thresholds than those specified above, and if so</w:t>
      </w:r>
      <w:r>
        <w:rPr>
          <w:sz w:val="22"/>
        </w:rPr>
        <w:t>,</w:t>
      </w:r>
      <w:r w:rsidRPr="00D422D9">
        <w:rPr>
          <w:sz w:val="22"/>
        </w:rPr>
        <w:t xml:space="preserve"> what thresholds and why would different thresholds be better?  </w:t>
      </w:r>
      <w:r>
        <w:rPr>
          <w:sz w:val="22"/>
        </w:rPr>
        <w:t>Should we</w:t>
      </w:r>
      <w:r w:rsidRPr="00EA245F">
        <w:t xml:space="preserve"> </w:t>
      </w:r>
      <w:r>
        <w:rPr>
          <w:sz w:val="22"/>
        </w:rPr>
        <w:t>reduce</w:t>
      </w:r>
      <w:r w:rsidRPr="00EA245F">
        <w:rPr>
          <w:sz w:val="22"/>
        </w:rPr>
        <w:t xml:space="preserve"> </w:t>
      </w:r>
      <w:r>
        <w:rPr>
          <w:sz w:val="22"/>
        </w:rPr>
        <w:t>the waiting period to one month and remove</w:t>
      </w:r>
      <w:r w:rsidRPr="00EA245F">
        <w:rPr>
          <w:sz w:val="22"/>
        </w:rPr>
        <w:t xml:space="preserve"> the notification requir</w:t>
      </w:r>
      <w:r>
        <w:rPr>
          <w:sz w:val="22"/>
        </w:rPr>
        <w:t>ements in emergency situations?</w:t>
      </w:r>
      <w:r>
        <w:rPr>
          <w:rStyle w:val="FootnoteReference"/>
        </w:rPr>
        <w:footnoteReference w:id="91"/>
      </w:r>
      <w:r>
        <w:rPr>
          <w:sz w:val="22"/>
        </w:rPr>
        <w:t xml:space="preserve">  </w:t>
      </w:r>
      <w:r w:rsidRPr="00D422D9">
        <w:rPr>
          <w:sz w:val="22"/>
        </w:rPr>
        <w:t>Should we modify the existing requirements for the content of the notice, and if so</w:t>
      </w:r>
      <w:r>
        <w:rPr>
          <w:sz w:val="22"/>
        </w:rPr>
        <w:t>,</w:t>
      </w:r>
      <w:r w:rsidRPr="00D422D9">
        <w:rPr>
          <w:sz w:val="22"/>
        </w:rPr>
        <w:t xml:space="preserve"> how?  Have competitive LECs availed themselves of the good faith communication requirement</w:t>
      </w:r>
      <w:r>
        <w:rPr>
          <w:sz w:val="22"/>
        </w:rPr>
        <w:t>, and if so, h</w:t>
      </w:r>
      <w:r w:rsidRPr="00D422D9">
        <w:rPr>
          <w:sz w:val="22"/>
        </w:rPr>
        <w:t xml:space="preserve">as that requirement caused any difficulties?  </w:t>
      </w:r>
      <w:r>
        <w:rPr>
          <w:sz w:val="22"/>
          <w:szCs w:val="22"/>
        </w:rPr>
        <w:t>I</w:t>
      </w:r>
      <w:r w:rsidRPr="00D422D9">
        <w:rPr>
          <w:sz w:val="22"/>
          <w:szCs w:val="22"/>
        </w:rPr>
        <w:t>f we eliminate the good faith</w:t>
      </w:r>
      <w:r>
        <w:rPr>
          <w:sz w:val="22"/>
          <w:szCs w:val="22"/>
        </w:rPr>
        <w:t xml:space="preserve"> communication requirement</w:t>
      </w:r>
      <w:r w:rsidRPr="00D422D9">
        <w:rPr>
          <w:sz w:val="22"/>
          <w:szCs w:val="22"/>
        </w:rPr>
        <w:t xml:space="preserve">, should we </w:t>
      </w:r>
      <w:r>
        <w:rPr>
          <w:sz w:val="22"/>
          <w:szCs w:val="22"/>
        </w:rPr>
        <w:t>include an</w:t>
      </w:r>
      <w:r w:rsidRPr="00D422D9">
        <w:rPr>
          <w:sz w:val="22"/>
          <w:szCs w:val="22"/>
        </w:rPr>
        <w:t xml:space="preserve"> objection period</w:t>
      </w:r>
      <w:r>
        <w:rPr>
          <w:sz w:val="22"/>
          <w:szCs w:val="22"/>
        </w:rPr>
        <w:t xml:space="preserve">, and what form should it take? </w:t>
      </w:r>
      <w:r w:rsidRPr="00D422D9">
        <w:rPr>
          <w:sz w:val="22"/>
          <w:szCs w:val="22"/>
        </w:rPr>
        <w:t xml:space="preserve"> </w:t>
      </w:r>
      <w:r>
        <w:rPr>
          <w:sz w:val="22"/>
          <w:szCs w:val="22"/>
        </w:rPr>
        <w:t>A</w:t>
      </w:r>
      <w:r w:rsidRPr="00D422D9">
        <w:rPr>
          <w:sz w:val="22"/>
          <w:szCs w:val="22"/>
        </w:rPr>
        <w:t>lternatively</w:t>
      </w:r>
      <w:r>
        <w:rPr>
          <w:sz w:val="22"/>
          <w:szCs w:val="22"/>
        </w:rPr>
        <w:t>, should we retain the good faith communication requirement and not</w:t>
      </w:r>
      <w:r w:rsidRPr="00D422D9">
        <w:rPr>
          <w:sz w:val="22"/>
          <w:szCs w:val="22"/>
        </w:rPr>
        <w:t xml:space="preserve"> includ</w:t>
      </w:r>
      <w:r>
        <w:rPr>
          <w:sz w:val="22"/>
          <w:szCs w:val="22"/>
        </w:rPr>
        <w:t>e</w:t>
      </w:r>
      <w:r w:rsidRPr="00D422D9">
        <w:rPr>
          <w:sz w:val="22"/>
          <w:szCs w:val="22"/>
        </w:rPr>
        <w:t xml:space="preserve"> an objection period</w:t>
      </w:r>
      <w:r>
        <w:rPr>
          <w:sz w:val="22"/>
          <w:szCs w:val="22"/>
        </w:rPr>
        <w:t>?</w:t>
      </w:r>
      <w:r w:rsidRPr="00D422D9">
        <w:rPr>
          <w:sz w:val="22"/>
          <w:szCs w:val="22"/>
        </w:rPr>
        <w:t xml:space="preserve"> </w:t>
      </w:r>
    </w:p>
    <w:p w:rsidR="00455188" w:rsidRPr="005445C0" w:rsidRDefault="00455188" w:rsidP="00455188">
      <w:pPr>
        <w:pStyle w:val="ParaNum"/>
      </w:pPr>
      <w:r>
        <w:t>If we modify Section 51.332, we seek comment on</w:t>
      </w:r>
      <w:r w:rsidRPr="00944601">
        <w:t xml:space="preserve"> eliminating the requirement that incumbent LECs provide direct notice of planned copper retirements to retail customers</w:t>
      </w:r>
      <w:r>
        <w:t>, both residential and non-residential</w:t>
      </w:r>
      <w:r w:rsidRPr="00944601">
        <w:t>.</w:t>
      </w:r>
      <w:r w:rsidRPr="006F4885">
        <w:t xml:space="preserve"> </w:t>
      </w:r>
      <w:r>
        <w:t xml:space="preserve"> Specifically, we seek comment on eliminating</w:t>
      </w:r>
      <w:r w:rsidRPr="00944601">
        <w:t xml:space="preserve"> </w:t>
      </w:r>
      <w:r>
        <w:t xml:space="preserve">Sections 51.332(b)(3), (c)(2), (d)(6)-(8), and (e)(3)-(4).  </w:t>
      </w:r>
      <w:r w:rsidRPr="005206AC">
        <w:t>What would be the likely impact of eliminating such notice to consumers</w:t>
      </w:r>
      <w:r>
        <w:t>, including consumers</w:t>
      </w:r>
      <w:r w:rsidRPr="005206AC">
        <w:t xml:space="preserve"> who have disabilities and senior citizens?</w:t>
      </w:r>
      <w:r>
        <w:t xml:space="preserve">  How do the benefits of notification compare with the costs in terms of slower transitions to next-generation networks?  Are there alternative ways in which the Commission can streamline these </w:t>
      </w:r>
      <w:r w:rsidRPr="00CF2FD9">
        <w:t xml:space="preserve">retail customer </w:t>
      </w:r>
      <w:r>
        <w:t xml:space="preserve">notice rules </w:t>
      </w:r>
      <w:r w:rsidRPr="00F96343">
        <w:t xml:space="preserve">to make the process </w:t>
      </w:r>
      <w:r>
        <w:t xml:space="preserve">more flexible and </w:t>
      </w:r>
      <w:r w:rsidRPr="00F96343">
        <w:t>less burdensome on carriers retiring their copper</w:t>
      </w:r>
      <w:r>
        <w:t>, while still ensuring consumers are protected</w:t>
      </w:r>
      <w:r w:rsidRPr="00F96343">
        <w:t xml:space="preserve">?  </w:t>
      </w:r>
      <w:r>
        <w:t xml:space="preserve">Finally, how, if at all, should we modify the requirements for providing notice under current Section 51.332(b)(4) to the states, Tribal entities, and the Secretary of Defense?  </w:t>
      </w:r>
    </w:p>
    <w:p w:rsidR="00455188" w:rsidRPr="007051AA" w:rsidRDefault="00455188" w:rsidP="00455188">
      <w:pPr>
        <w:pStyle w:val="ParaNum"/>
      </w:pPr>
      <w:r>
        <w:rPr>
          <w:i/>
        </w:rPr>
        <w:t xml:space="preserve">Additional Considerations.  </w:t>
      </w:r>
      <w:r>
        <w:t>We seek comment on additional methods by which we can provide further flexibility in the copper retirement process in conjunction with or separate from the proposals described above</w:t>
      </w:r>
      <w:r w:rsidRPr="00DB2EDC">
        <w:t xml:space="preserve"> while still affording interconnecting entities </w:t>
      </w:r>
      <w:r>
        <w:t xml:space="preserve">and other impacted parties </w:t>
      </w:r>
      <w:r w:rsidRPr="00DB2EDC">
        <w:t>the notice they need</w:t>
      </w:r>
      <w:r>
        <w:t>.  For instance, s</w:t>
      </w:r>
      <w:r w:rsidRPr="007F4119">
        <w:t>hould the Commission consider an even shorter waiting period in certain circumstances</w:t>
      </w:r>
      <w:r>
        <w:t>, and if so, in what circumstances and how much shorter</w:t>
      </w:r>
      <w:r w:rsidRPr="007F4119">
        <w:t xml:space="preserve">? </w:t>
      </w:r>
      <w:r>
        <w:t xml:space="preserve"> How, if at all, should that affect the timing for filing the required certification?  </w:t>
      </w:r>
      <w:r w:rsidRPr="006C2AF4">
        <w:t xml:space="preserve">Are there any other measures we could take to make the </w:t>
      </w:r>
      <w:r>
        <w:t xml:space="preserve">copper retirement </w:t>
      </w:r>
      <w:r w:rsidRPr="006C2AF4">
        <w:t xml:space="preserve">process less burdensome on carriers?  Are there any other measures we could take to make the </w:t>
      </w:r>
      <w:r>
        <w:t xml:space="preserve">copper retirement </w:t>
      </w:r>
      <w:r w:rsidRPr="006C2AF4">
        <w:t xml:space="preserve">process </w:t>
      </w:r>
      <w:r>
        <w:t>more helpful for consumers and other impacted parties</w:t>
      </w:r>
      <w:r w:rsidRPr="006C2AF4">
        <w:t xml:space="preserve">?  </w:t>
      </w:r>
      <w:r>
        <w:t xml:space="preserve">Are any technical changes to our rules necessary to accommodate reforming the copper retirement process?  For example, should we revise Section 51.329(c)(1) to eliminate the titles specific to copper retirement notices, if there would no longer be a defined term?  </w:t>
      </w:r>
    </w:p>
    <w:p w:rsidR="00455188" w:rsidRPr="005607F6" w:rsidRDefault="00455188" w:rsidP="00455188">
      <w:pPr>
        <w:pStyle w:val="Heading3"/>
      </w:pPr>
      <w:bookmarkStart w:id="198" w:name="_Toc477187532"/>
      <w:bookmarkStart w:id="199" w:name="_Toc477187672"/>
      <w:bookmarkStart w:id="200" w:name="_Toc477187928"/>
      <w:bookmarkStart w:id="201" w:name="_Toc477188030"/>
      <w:bookmarkStart w:id="202" w:name="_Toc477188117"/>
      <w:bookmarkStart w:id="203" w:name="_Toc477189005"/>
      <w:bookmarkStart w:id="204" w:name="_Toc477445770"/>
      <w:bookmarkStart w:id="205" w:name="_Toc477452988"/>
      <w:bookmarkStart w:id="206" w:name="_Toc477453154"/>
      <w:bookmarkStart w:id="207" w:name="_Toc477796013"/>
      <w:bookmarkStart w:id="208" w:name="_Toc478050608"/>
      <w:bookmarkStart w:id="209" w:name="_Toc478138470"/>
      <w:bookmarkStart w:id="210" w:name="_Toc478139484"/>
      <w:bookmarkStart w:id="211" w:name="_Toc478139590"/>
      <w:bookmarkStart w:id="212" w:name="_Toc478139641"/>
      <w:bookmarkStart w:id="213" w:name="_Toc478403095"/>
      <w:bookmarkStart w:id="214" w:name="_Toc478460139"/>
      <w:bookmarkStart w:id="215" w:name="_Toc478476686"/>
      <w:bookmarkStart w:id="216" w:name="_Toc479943024"/>
      <w:bookmarkStart w:id="217" w:name="_Toc480388528"/>
      <w:r w:rsidRPr="005607F6">
        <w:t>Network Change Notifications Generally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455188" w:rsidRPr="000827A7" w:rsidRDefault="00455188" w:rsidP="00455188">
      <w:pPr>
        <w:pStyle w:val="ParaNum"/>
      </w:pPr>
      <w:r>
        <w:t>Next, we seek comment on methods to reduce the burden of our network change notification processes generally.  The Commission’s network change notification process is the process by which incumbent LECs provide “</w:t>
      </w:r>
      <w:r w:rsidRPr="005445C0">
        <w:t>reasonable public notice of changes in the information necessary for the transmission and routing of services using that local exchange carrier’s facilities or networks, as well as of any other changes that would affect the interoperability of those facilities and networks.</w:t>
      </w:r>
      <w:r>
        <w:t>”</w:t>
      </w:r>
      <w:r>
        <w:rPr>
          <w:rStyle w:val="FootnoteReference"/>
        </w:rPr>
        <w:footnoteReference w:id="92"/>
      </w:r>
      <w:r>
        <w:t xml:space="preserve">  Aside from the copper retirement notice expansions adopted by the </w:t>
      </w:r>
      <w:r>
        <w:rPr>
          <w:i/>
        </w:rPr>
        <w:t>2015 Technology Transitions Order</w:t>
      </w:r>
      <w:r>
        <w:t xml:space="preserve">, we last revisited our general Section 251(c)(5) rules in 2004.  Do changes to the telecommunications marketplace since that time warrant changes to these rules, more generally, and if so, what changes?  We seek comment on two specific changes below and invite commenters to identify other possible reforms to our network change notification processes.     </w:t>
      </w:r>
    </w:p>
    <w:p w:rsidR="00455188" w:rsidRDefault="00455188" w:rsidP="00455188">
      <w:pPr>
        <w:pStyle w:val="ParaNum"/>
      </w:pPr>
      <w:r>
        <w:rPr>
          <w:i/>
        </w:rPr>
        <w:t xml:space="preserve">Section 51.325(c).  </w:t>
      </w:r>
      <w:r w:rsidRPr="005607F6">
        <w:t xml:space="preserve">We </w:t>
      </w:r>
      <w:r>
        <w:t xml:space="preserve">specifically </w:t>
      </w:r>
      <w:r w:rsidRPr="005607F6">
        <w:t xml:space="preserve">propose </w:t>
      </w:r>
      <w:r>
        <w:t xml:space="preserve">eliminating </w:t>
      </w:r>
      <w:r w:rsidRPr="00EC15AA">
        <w:t>Section 51.325(c) of our rules</w:t>
      </w:r>
      <w:r>
        <w:t xml:space="preserve">, which prohibits incumbent LECs from </w:t>
      </w:r>
      <w:r w:rsidRPr="005607F6">
        <w:t xml:space="preserve">disclosing </w:t>
      </w:r>
      <w:r>
        <w:t xml:space="preserve">any information about </w:t>
      </w:r>
      <w:r w:rsidRPr="005607F6">
        <w:t>planned network changes to affiliate</w:t>
      </w:r>
      <w:r>
        <w:t>d</w:t>
      </w:r>
      <w:r w:rsidRPr="005607F6">
        <w:t xml:space="preserve"> or unaffiliated entities prior to providing public notice.</w:t>
      </w:r>
      <w:r>
        <w:rPr>
          <w:rStyle w:val="FootnoteReference"/>
        </w:rPr>
        <w:footnoteReference w:id="93"/>
      </w:r>
      <w:r>
        <w:t xml:space="preserve">  We seek comment on this proposal.  This prohibition appears to unnecessarily constrain the free flow of useful information that such entities may find particularly helpful in planning their own business operations.  We seek comment on this view.  Alternatively, we could revise Section 51.325(c) of our rules to permit disclosures to affiliated and unaffiliated entities, but only to the extent that the information disclosed is what the </w:t>
      </w:r>
      <w:r w:rsidRPr="008536E0">
        <w:t>incumbent LEC</w:t>
      </w:r>
      <w:r>
        <w:t xml:space="preserve"> would include in its required public notice under </w:t>
      </w:r>
      <w:r w:rsidRPr="00CA33B3">
        <w:t>Section 51.32</w:t>
      </w:r>
      <w:r>
        <w:t>7.  A third possibility would be to revise Section 51.325(c) to allow such disclosure, but only to the extent the carrier makes such information available to</w:t>
      </w:r>
      <w:r w:rsidRPr="00157AEF">
        <w:t xml:space="preserve"> </w:t>
      </w:r>
      <w:r w:rsidRPr="000139BD">
        <w:rPr>
          <w:color w:val="000000"/>
        </w:rPr>
        <w:t xml:space="preserve">all entities that would be entitled to direct notice of </w:t>
      </w:r>
      <w:r>
        <w:rPr>
          <w:color w:val="000000"/>
        </w:rPr>
        <w:t>the network change in question</w:t>
      </w:r>
      <w:r w:rsidRPr="000139BD">
        <w:rPr>
          <w:color w:val="000000"/>
        </w:rPr>
        <w:t>.</w:t>
      </w:r>
      <w:r>
        <w:t xml:space="preserve">  We seek comment on these proposals and any other alternative approaches.  </w:t>
      </w:r>
      <w:r w:rsidRPr="0073089F">
        <w:t>If we permit disclosure to affiliated or unaffiliated entities prior to public notice,</w:t>
      </w:r>
      <w:r>
        <w:t xml:space="preserve"> should we specify any particular timeframe within which public notice must follow?  </w:t>
      </w:r>
    </w:p>
    <w:p w:rsidR="00455188" w:rsidRDefault="00455188" w:rsidP="00455188">
      <w:pPr>
        <w:pStyle w:val="ParaNum"/>
      </w:pPr>
      <w:r w:rsidRPr="009E4F08">
        <w:t>What are the potential advantages and disadvantages of eliminating or revising Section 51.325(c)?</w:t>
      </w:r>
      <w:r>
        <w:rPr>
          <w:rStyle w:val="FootnoteReference"/>
        </w:rPr>
        <w:footnoteReference w:id="94"/>
      </w:r>
      <w:r>
        <w:t xml:space="preserve">  When this rule was first adopted, the goal was to prevent “preferential disclosure to selected entities.”</w:t>
      </w:r>
      <w:r>
        <w:rPr>
          <w:rStyle w:val="FootnoteReference"/>
        </w:rPr>
        <w:footnoteReference w:id="95"/>
      </w:r>
      <w:r>
        <w:t xml:space="preserve">  Are these concerns still warranted?  We anticipate that providing incumbent LECs greater flexibility to disclose information and discuss contemplated changes before cementing definitive plans would benefit these carriers, interconnecting carriers, and any other interested entities to which disclosure may be useful by providing all such entities greater time to consider or respond to possible network changes.  We seek comment on this expectation.  </w:t>
      </w:r>
      <w:r w:rsidRPr="00D759AE">
        <w:t>To the extent that concerns</w:t>
      </w:r>
      <w:r>
        <w:t xml:space="preserve"> about some entities receiving advanced notice remain warranted, do any of the specific revisions proposed above obviate such concerns, and if not, what approach can we adopt to address such concerns while still introducing additional flexibility?  </w:t>
      </w:r>
    </w:p>
    <w:p w:rsidR="00455188" w:rsidRDefault="00455188" w:rsidP="00455188">
      <w:pPr>
        <w:pStyle w:val="ParaNum"/>
      </w:pPr>
      <w:r>
        <w:rPr>
          <w:i/>
        </w:rPr>
        <w:t xml:space="preserve">Objection Procedures.  </w:t>
      </w:r>
      <w:r>
        <w:t>Should we revise or eliminate the procedures set forth in Section 51.333(c) of the Commission’s rules by which a telecommunications service provider or information service provider that directly interconnects with the incumbent LEC’s network may object to the timing of short-term network changes?</w:t>
      </w:r>
      <w:r>
        <w:rPr>
          <w:rStyle w:val="FootnoteReference"/>
        </w:rPr>
        <w:footnoteReference w:id="96"/>
      </w:r>
      <w:r>
        <w:t xml:space="preserve">  What costs, if any, has the uncertainty introduced by this procedure imposed?  What public interest benefits are associated with this requirement?  Have competitive LECs made use of this procedure?  </w:t>
      </w:r>
      <w:r w:rsidRPr="00C47492">
        <w:t xml:space="preserve">Should we adopt a “deemed denied” timeframe with respect to objections </w:t>
      </w:r>
      <w:r w:rsidR="008D0EA0">
        <w:t>on</w:t>
      </w:r>
      <w:r w:rsidR="008D0EA0" w:rsidRPr="00C47492">
        <w:t xml:space="preserve"> </w:t>
      </w:r>
      <w:r w:rsidRPr="00C47492">
        <w:t xml:space="preserve">which the Commission has not acted within some specified timeframe? </w:t>
      </w:r>
      <w:r>
        <w:t xml:space="preserve"> Should we revise the objection procedure in any other way?  </w:t>
      </w:r>
    </w:p>
    <w:p w:rsidR="00455188" w:rsidRDefault="00455188" w:rsidP="00455188">
      <w:pPr>
        <w:pStyle w:val="Heading3"/>
      </w:pPr>
      <w:bookmarkStart w:id="218" w:name="_Toc477187533"/>
      <w:bookmarkStart w:id="219" w:name="_Toc477187673"/>
      <w:bookmarkStart w:id="220" w:name="_Toc477187929"/>
      <w:bookmarkStart w:id="221" w:name="_Toc477188031"/>
      <w:bookmarkStart w:id="222" w:name="_Toc477188118"/>
      <w:bookmarkStart w:id="223" w:name="_Toc477189006"/>
      <w:bookmarkStart w:id="224" w:name="_Toc477445771"/>
      <w:bookmarkStart w:id="225" w:name="_Toc477452989"/>
      <w:bookmarkStart w:id="226" w:name="_Toc477453155"/>
      <w:bookmarkStart w:id="227" w:name="_Toc477796014"/>
      <w:bookmarkStart w:id="228" w:name="_Toc478050609"/>
      <w:bookmarkStart w:id="229" w:name="_Toc478138471"/>
      <w:bookmarkStart w:id="230" w:name="_Toc478139485"/>
      <w:bookmarkStart w:id="231" w:name="_Toc478139591"/>
      <w:bookmarkStart w:id="232" w:name="_Toc478139642"/>
      <w:bookmarkStart w:id="233" w:name="_Toc478403096"/>
      <w:bookmarkStart w:id="234" w:name="_Toc478460140"/>
      <w:bookmarkStart w:id="235" w:name="_Toc478476687"/>
      <w:bookmarkStart w:id="236" w:name="_Toc479943025"/>
      <w:bookmarkStart w:id="237" w:name="_Toc480388529"/>
      <w:r>
        <w:t>Section 68.110(b)</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55188" w:rsidRPr="00A74FD6" w:rsidRDefault="00455188" w:rsidP="00455188">
      <w:pPr>
        <w:pStyle w:val="ParaNum"/>
      </w:pPr>
      <w:r>
        <w:t>We seek comment on eliminating or modifying Section 68.110(b) of our rules, which requires that “[i]</w:t>
      </w:r>
      <w:r w:rsidRPr="00764BE5">
        <w:t>f</w:t>
      </w:r>
      <w:r>
        <w:t> </w:t>
      </w:r>
      <w:r w:rsidRPr="00764BE5">
        <w:t>.</w:t>
      </w:r>
      <w:r>
        <w:t> </w:t>
      </w:r>
      <w:r w:rsidRPr="00764BE5">
        <w:t>.</w:t>
      </w:r>
      <w:r>
        <w:t> </w:t>
      </w:r>
      <w:r w:rsidRPr="00764BE5">
        <w:t xml:space="preserve">. changes [to a </w:t>
      </w:r>
      <w:r>
        <w:t>wireline telecommunication</w:t>
      </w:r>
      <w:r w:rsidRPr="00764BE5">
        <w:t>s provider</w:t>
      </w:r>
      <w:r>
        <w:t>’</w:t>
      </w:r>
      <w:r w:rsidRPr="00764BE5">
        <w:t xml:space="preserve">s communications facilities, equipment, operations or procedures] can be reasonably </w:t>
      </w:r>
      <w:r>
        <w:t>expected to render any customer’</w:t>
      </w:r>
      <w:r w:rsidRPr="00764BE5">
        <w:t>s terminal equipment incompatible with the communications facilities of the provider of wireline telecommunications, or require modification or alteration of such terminal equipment, or otherwise materially affect its use or performance, the customer shall be given adequate notice in writing, to allow the customer an opportunity to maintain uninterrupted service.</w:t>
      </w:r>
      <w:r>
        <w:t>”</w:t>
      </w:r>
      <w:r w:rsidRPr="00764BE5">
        <w:rPr>
          <w:vertAlign w:val="superscript"/>
        </w:rPr>
        <w:t xml:space="preserve"> </w:t>
      </w:r>
      <w:r w:rsidRPr="005B7736">
        <w:rPr>
          <w:vertAlign w:val="superscript"/>
        </w:rPr>
        <w:footnoteReference w:id="97"/>
      </w:r>
      <w:r>
        <w:t xml:space="preserve">  We seek comment on the benefits and costs of the current rule and whether the </w:t>
      </w:r>
      <w:r w:rsidRPr="00DB2EDC">
        <w:t xml:space="preserve">benefits outweigh the </w:t>
      </w:r>
      <w:r>
        <w:t>costs.</w:t>
      </w:r>
      <w:r w:rsidRPr="00DB2EDC">
        <w:t xml:space="preserve"> </w:t>
      </w:r>
      <w:r>
        <w:t xml:space="preserve"> How is such notice under that rule provided today, and specifically, how would a carrier be able to know whether “any” terminal equipment would be affected?  Do customers still </w:t>
      </w:r>
      <w:r w:rsidRPr="005B7736">
        <w:t xml:space="preserve">rely on or benefit from </w:t>
      </w:r>
      <w:r>
        <w:t xml:space="preserve">the notice required by Section 68.110(b)?  </w:t>
      </w:r>
      <w:r w:rsidRPr="00896026">
        <w:t xml:space="preserve">To what extent </w:t>
      </w:r>
      <w:r>
        <w:t>do</w:t>
      </w:r>
      <w:r w:rsidRPr="00896026">
        <w:t xml:space="preserve"> individuals with disabilities</w:t>
      </w:r>
      <w:r>
        <w:t xml:space="preserve"> still rely</w:t>
      </w:r>
      <w:r w:rsidRPr="00896026">
        <w:t xml:space="preserve"> </w:t>
      </w:r>
      <w:r>
        <w:t xml:space="preserve">on </w:t>
      </w:r>
      <w:r w:rsidRPr="00896026">
        <w:t>TTYs or other specialized devices or services in an analog environme</w:t>
      </w:r>
      <w:r>
        <w:t xml:space="preserve">nt?  To what extent have individuals with disabilities adopted alternative means of communications, whether using telecommunications relay services, texting, videophones, or other online communications?  To what extent have such individuals relied on terminal-equipment-incompatibility notices in the past, and are alternative means available that would be more effective at targeting affected individuals with disabilities?  We seek comment on the benefits and costs of the current rule and whether the </w:t>
      </w:r>
      <w:r w:rsidRPr="00DB2EDC">
        <w:t xml:space="preserve">benefits outweigh the </w:t>
      </w:r>
      <w:r>
        <w:t>costs.  Alternatively, should the rule be retained but certain types of changes categorically exempted?  The Commission’s current copper retirement rules require incumbent LECs to certify compliance with Section 68.110</w:t>
      </w:r>
      <w:r w:rsidRPr="00EF22A6">
        <w:t>(b)</w:t>
      </w:r>
      <w:r>
        <w:t>.</w:t>
      </w:r>
      <w:r>
        <w:rPr>
          <w:rStyle w:val="FootnoteReference"/>
        </w:rPr>
        <w:footnoteReference w:id="98"/>
      </w:r>
      <w:r>
        <w:t xml:space="preserve">  If we eliminate Section 68.110(b), we propose eliminating this certification requirement, and we seek comment on this proposal.</w:t>
      </w:r>
    </w:p>
    <w:p w:rsidR="00455188" w:rsidRDefault="00455188" w:rsidP="00455188">
      <w:pPr>
        <w:pStyle w:val="Heading2"/>
      </w:pPr>
      <w:bookmarkStart w:id="238" w:name="_Toc478398202"/>
      <w:bookmarkStart w:id="239" w:name="_Toc478403097"/>
      <w:bookmarkStart w:id="240" w:name="_Toc478138473"/>
      <w:bookmarkStart w:id="241" w:name="_Toc478139487"/>
      <w:bookmarkStart w:id="242" w:name="_Toc478139593"/>
      <w:bookmarkStart w:id="243" w:name="_Toc478139644"/>
      <w:bookmarkStart w:id="244" w:name="_Toc478394340"/>
      <w:bookmarkStart w:id="245" w:name="_Toc478460141"/>
      <w:bookmarkStart w:id="246" w:name="_Toc478476688"/>
      <w:bookmarkStart w:id="247" w:name="_Toc479943026"/>
      <w:bookmarkStart w:id="248" w:name="_Toc480388530"/>
      <w:bookmarkStart w:id="249" w:name="_Toc477187534"/>
      <w:bookmarkStart w:id="250" w:name="_Toc477187674"/>
      <w:bookmarkStart w:id="251" w:name="_Toc477187930"/>
      <w:bookmarkStart w:id="252" w:name="_Toc477188032"/>
      <w:bookmarkStart w:id="253" w:name="_Toc477188119"/>
      <w:bookmarkStart w:id="254" w:name="_Toc477189007"/>
      <w:bookmarkStart w:id="255" w:name="_Toc477445772"/>
      <w:bookmarkStart w:id="256" w:name="_Toc477452990"/>
      <w:bookmarkStart w:id="257" w:name="_Toc477453156"/>
      <w:bookmarkStart w:id="258" w:name="_Toc477796015"/>
      <w:r>
        <w:t>Streamlining the Section 214(a) Discontinuance Process</w:t>
      </w:r>
      <w:bookmarkEnd w:id="238"/>
      <w:bookmarkEnd w:id="239"/>
      <w:bookmarkEnd w:id="240"/>
      <w:bookmarkEnd w:id="241"/>
      <w:bookmarkEnd w:id="242"/>
      <w:bookmarkEnd w:id="243"/>
      <w:bookmarkEnd w:id="244"/>
      <w:bookmarkEnd w:id="245"/>
      <w:bookmarkEnd w:id="246"/>
      <w:bookmarkEnd w:id="247"/>
      <w:bookmarkEnd w:id="248"/>
    </w:p>
    <w:p w:rsidR="00455188" w:rsidRDefault="00455188" w:rsidP="00455188">
      <w:pPr>
        <w:pStyle w:val="ParaNum"/>
      </w:pPr>
      <w:r>
        <w:t xml:space="preserve">Among other things, Section 214(a) </w:t>
      </w:r>
      <w:r w:rsidRPr="005871B6">
        <w:t>requires carriers to obtain authorization from the Commission before discontinuing, reducing, or impairing</w:t>
      </w:r>
      <w:r>
        <w:rPr>
          <w:rStyle w:val="FootnoteReference"/>
        </w:rPr>
        <w:footnoteReference w:id="99"/>
      </w:r>
      <w:r w:rsidRPr="005871B6">
        <w:t xml:space="preserve"> service to a community or part of a community.</w:t>
      </w:r>
      <w:r w:rsidRPr="005871B6">
        <w:rPr>
          <w:vertAlign w:val="superscript"/>
        </w:rPr>
        <w:footnoteReference w:id="100"/>
      </w:r>
      <w:r w:rsidRPr="005871B6">
        <w:t xml:space="preserve">  </w:t>
      </w:r>
      <w:r>
        <w:t>With respect to Section 214(a)’s discontinuance provision, generally, and the Commission’s implementing rules</w:t>
      </w:r>
      <w:r>
        <w:rPr>
          <w:rStyle w:val="FootnoteReference"/>
        </w:rPr>
        <w:footnoteReference w:id="101"/>
      </w:r>
      <w:r>
        <w:t xml:space="preserve"> specifically, carriers have asserted “that exit approval requirements are among the very most intrusive forms of regulation.”</w:t>
      </w:r>
      <w:r>
        <w:rPr>
          <w:rStyle w:val="FootnoteReference"/>
        </w:rPr>
        <w:footnoteReference w:id="102"/>
      </w:r>
      <w:r>
        <w:t xml:space="preserve">  In this section, we seek comment on targeted measures to shorten timeframes and eliminate unnecessary process encumbrances that force carriers to maintain legacy services they seek to discontinue.</w:t>
      </w:r>
    </w:p>
    <w:bookmarkEnd w:id="249"/>
    <w:bookmarkEnd w:id="250"/>
    <w:bookmarkEnd w:id="251"/>
    <w:bookmarkEnd w:id="252"/>
    <w:bookmarkEnd w:id="253"/>
    <w:bookmarkEnd w:id="254"/>
    <w:bookmarkEnd w:id="255"/>
    <w:bookmarkEnd w:id="256"/>
    <w:bookmarkEnd w:id="257"/>
    <w:bookmarkEnd w:id="258"/>
    <w:p w:rsidR="00455188" w:rsidRPr="00305313" w:rsidRDefault="00455188" w:rsidP="00455188">
      <w:pPr>
        <w:pStyle w:val="ParaNum"/>
      </w:pPr>
      <w:r w:rsidRPr="006232D4">
        <w:t xml:space="preserve">We believe that </w:t>
      </w:r>
      <w:r>
        <w:t>modifying our</w:t>
      </w:r>
      <w:r w:rsidRPr="006232D4">
        <w:t xml:space="preserve"> discontinuance processing for legacy </w:t>
      </w:r>
      <w:r>
        <w:t>systems to reduce burdens and protect customers</w:t>
      </w:r>
      <w:r w:rsidRPr="006232D4">
        <w:t xml:space="preserve"> will facilitate carriers’ ability to retire legacy network infrastructure and will accelerate the transition to next generation IP-based networks.</w:t>
      </w:r>
      <w:r w:rsidRPr="006232D4">
        <w:rPr>
          <w:vertAlign w:val="superscript"/>
        </w:rPr>
        <w:footnoteReference w:id="103"/>
      </w:r>
      <w:r w:rsidRPr="006232D4">
        <w:t xml:space="preserve">  We seek comment on </w:t>
      </w:r>
      <w:r>
        <w:t>this</w:t>
      </w:r>
      <w:r w:rsidRPr="006232D4">
        <w:t xml:space="preserve"> view</w:t>
      </w:r>
      <w:r>
        <w:t>.</w:t>
      </w:r>
    </w:p>
    <w:p w:rsidR="00455188" w:rsidRDefault="00455188" w:rsidP="00455188">
      <w:pPr>
        <w:pStyle w:val="Heading3"/>
      </w:pPr>
      <w:bookmarkStart w:id="259" w:name="_Toc478050611"/>
      <w:bookmarkStart w:id="260" w:name="_Toc477187535"/>
      <w:bookmarkStart w:id="261" w:name="_Toc477187675"/>
      <w:bookmarkStart w:id="262" w:name="_Toc477187931"/>
      <w:bookmarkStart w:id="263" w:name="_Toc477188033"/>
      <w:bookmarkStart w:id="264" w:name="_Toc477188120"/>
      <w:bookmarkStart w:id="265" w:name="_Toc477189008"/>
      <w:bookmarkStart w:id="266" w:name="_Toc477445773"/>
      <w:bookmarkStart w:id="267" w:name="_Toc477452991"/>
      <w:bookmarkStart w:id="268" w:name="_Toc477453157"/>
      <w:bookmarkStart w:id="269" w:name="_Toc477796016"/>
      <w:bookmarkStart w:id="270" w:name="_Toc478138474"/>
      <w:bookmarkStart w:id="271" w:name="_Toc478139488"/>
      <w:bookmarkStart w:id="272" w:name="_Toc478139594"/>
      <w:bookmarkStart w:id="273" w:name="_Toc478139645"/>
      <w:bookmarkStart w:id="274" w:name="_Toc478403098"/>
      <w:bookmarkStart w:id="275" w:name="_Toc478460142"/>
      <w:bookmarkStart w:id="276" w:name="_Toc478476689"/>
      <w:bookmarkStart w:id="277" w:name="_Toc479943027"/>
      <w:bookmarkStart w:id="278" w:name="_Toc480388531"/>
      <w:r>
        <w:t>Applications That “Grandfather” Existing Customers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455188" w:rsidRDefault="00455188" w:rsidP="00455188">
      <w:pPr>
        <w:pStyle w:val="ParaNum"/>
      </w:pPr>
      <w:r w:rsidRPr="000204F8">
        <w:rPr>
          <w:i/>
        </w:rPr>
        <w:t>Streamlining the Public Comment Period.</w:t>
      </w:r>
      <w:r>
        <w:t xml:space="preserve"> </w:t>
      </w:r>
      <w:r w:rsidRPr="000204F8">
        <w:t>We propose to streamline the Section 214(a) discontinuance process for applications that seek authorization to “grandfather” low-speed legacy services for existing customers.  “Grandfathering” a service in Section 214 parlance means that a carrier requests permission to stop accepting new customers for the service while maintaining service to existing customers.</w:t>
      </w:r>
      <w:r w:rsidRPr="000204F8">
        <w:rPr>
          <w:vertAlign w:val="superscript"/>
        </w:rPr>
        <w:footnoteReference w:id="104"/>
      </w:r>
      <w:r w:rsidRPr="000204F8">
        <w:t xml:space="preserve">  We </w:t>
      </w:r>
      <w:r>
        <w:t xml:space="preserve">specifically </w:t>
      </w:r>
      <w:r w:rsidRPr="000204F8">
        <w:t>propose to reduce the public comment period to</w:t>
      </w:r>
      <w:r>
        <w:t xml:space="preserve"> a uniform</w:t>
      </w:r>
      <w:r w:rsidRPr="000204F8">
        <w:t xml:space="preserve"> 1</w:t>
      </w:r>
      <w:r>
        <w:t>0</w:t>
      </w:r>
      <w:r w:rsidRPr="000204F8">
        <w:t xml:space="preserve"> days for a</w:t>
      </w:r>
      <w:r>
        <w:t>ll a</w:t>
      </w:r>
      <w:r w:rsidRPr="000204F8">
        <w:t>pplications seeking to grandfather legacy low-speed services</w:t>
      </w:r>
      <w:r>
        <w:t xml:space="preserve"> regardless of whether the provider filing the application is a dominant or non-dominant carrier</w:t>
      </w:r>
      <w:r w:rsidRPr="000204F8">
        <w:t>.</w:t>
      </w:r>
      <w:r w:rsidRPr="000204F8">
        <w:rPr>
          <w:vertAlign w:val="superscript"/>
        </w:rPr>
        <w:footnoteReference w:id="105"/>
      </w:r>
      <w:r w:rsidRPr="000204F8">
        <w:t xml:space="preserve">  We seek comment on this proposal.  </w:t>
      </w:r>
    </w:p>
    <w:p w:rsidR="00455188" w:rsidRDefault="00455188" w:rsidP="00455188">
      <w:pPr>
        <w:pStyle w:val="ParaNum"/>
      </w:pPr>
      <w:r w:rsidRPr="000204F8">
        <w:t>As a threshold matter, we seek comment on whether expediting the review and authorization of applications to grandfather low-speed services</w:t>
      </w:r>
      <w:r>
        <w:t xml:space="preserve"> offers </w:t>
      </w:r>
      <w:r w:rsidRPr="000204F8">
        <w:t>benefits to di</w:t>
      </w:r>
      <w:r>
        <w:t>scontinuing carriers generally</w:t>
      </w:r>
      <w:r w:rsidRPr="000204F8">
        <w:t>.  Will grandfathering a particular service create greater regulatory parity for telecommunications carriers compared to other segments of the industry?  What sort of costs does such a requirement impose on carriers and customers relative to the benefits it imparts?</w:t>
      </w:r>
      <w:r>
        <w:t xml:space="preserve">  </w:t>
      </w:r>
      <w:r w:rsidRPr="006232D4">
        <w:t>We believe that Section 214 provides us ample authority to implement the streamlining measures we propose</w:t>
      </w:r>
      <w:r>
        <w:t>.</w:t>
      </w:r>
      <w:r w:rsidRPr="006232D4">
        <w:t xml:space="preserve"> </w:t>
      </w:r>
      <w:r>
        <w:t>We</w:t>
      </w:r>
      <w:r w:rsidRPr="006232D4">
        <w:t xml:space="preserve"> seek comment on this </w:t>
      </w:r>
      <w:r>
        <w:t>belief.</w:t>
      </w:r>
    </w:p>
    <w:p w:rsidR="00455188" w:rsidRDefault="00455188" w:rsidP="00455188">
      <w:pPr>
        <w:pStyle w:val="ParaNum"/>
      </w:pPr>
      <w:r w:rsidRPr="000204F8">
        <w:t xml:space="preserve">More specifically, we seek comment on the streamlined </w:t>
      </w:r>
      <w:r>
        <w:t>10-</w:t>
      </w:r>
      <w:r w:rsidRPr="000204F8">
        <w:t xml:space="preserve">day comment period we have proposed.  Will </w:t>
      </w:r>
      <w:r>
        <w:t xml:space="preserve">this </w:t>
      </w:r>
      <w:r w:rsidRPr="000204F8">
        <w:t xml:space="preserve">comment period allow adequate time for interested parties to review and consider discontinuance applications </w:t>
      </w:r>
      <w:r>
        <w:t xml:space="preserve">from carriers </w:t>
      </w:r>
      <w:r w:rsidRPr="000204F8">
        <w:t>and to file comments on these applications, if necessary?</w:t>
      </w:r>
      <w:r>
        <w:t xml:space="preserve">  Is</w:t>
      </w:r>
      <w:r w:rsidRPr="000204F8">
        <w:t xml:space="preserve"> there </w:t>
      </w:r>
      <w:r>
        <w:t xml:space="preserve">a </w:t>
      </w:r>
      <w:r w:rsidRPr="000204F8">
        <w:t>different time period we should consider, e.g., some temporal interval that is either shorter or longer than the 1</w:t>
      </w:r>
      <w:r>
        <w:t>0-</w:t>
      </w:r>
      <w:r w:rsidRPr="000204F8">
        <w:t xml:space="preserve">day comment period we have proposed?  Should we reduce the time period for reviewing and granting applications to grandfather higher-speed services as well, and if so, how?  </w:t>
      </w:r>
      <w:r>
        <w:t>While we have proposed to subject applications from both dominant and non-dominant carriers to a uniform 10-day comment period, we seek comment on whether there is</w:t>
      </w:r>
      <w:r w:rsidRPr="000204F8">
        <w:t xml:space="preserve"> reason to maintain disparate comment periods for dominant versus non-dominant carriers</w:t>
      </w:r>
      <w:r>
        <w:t xml:space="preserve"> in this context</w:t>
      </w:r>
      <w:r w:rsidRPr="000204F8">
        <w:t xml:space="preserve">?  </w:t>
      </w:r>
    </w:p>
    <w:p w:rsidR="00455188" w:rsidRDefault="00455188" w:rsidP="00455188">
      <w:pPr>
        <w:pStyle w:val="ParaNum"/>
      </w:pPr>
      <w:r w:rsidRPr="000204F8">
        <w:rPr>
          <w:i/>
        </w:rPr>
        <w:t>Streamlining the Auto-Grant Period</w:t>
      </w:r>
      <w:r w:rsidRPr="000204F8">
        <w:t xml:space="preserve">.  We propose that </w:t>
      </w:r>
      <w:r>
        <w:t xml:space="preserve">all </w:t>
      </w:r>
      <w:r w:rsidRPr="000204F8">
        <w:t xml:space="preserve">applications </w:t>
      </w:r>
      <w:r>
        <w:t xml:space="preserve">seeking </w:t>
      </w:r>
      <w:r w:rsidRPr="000204F8">
        <w:t xml:space="preserve">to grandfather low-speed legacy services be automatically granted on the </w:t>
      </w:r>
      <w:r>
        <w:t>25th</w:t>
      </w:r>
      <w:r w:rsidRPr="000204F8">
        <w:t xml:space="preserve"> day after </w:t>
      </w:r>
      <w:r>
        <w:t>public notice</w:t>
      </w:r>
      <w:r w:rsidRPr="000204F8">
        <w:t xml:space="preserve"> unless the Commission notifies the applicant that such a grant will not be automatically effective.</w:t>
      </w:r>
      <w:r w:rsidRPr="000204F8">
        <w:rPr>
          <w:vertAlign w:val="superscript"/>
        </w:rPr>
        <w:footnoteReference w:id="106"/>
      </w:r>
      <w:r w:rsidRPr="000204F8">
        <w:t xml:space="preserve">  We seek comment on this proposal.  </w:t>
      </w:r>
      <w:r>
        <w:t xml:space="preserve">Like our proposed uniform 10-day comment period for all applications to grandfather low-speed legacy services, we see no reason to maintain disparate auto-grant periods for such applications.  </w:t>
      </w:r>
      <w:r w:rsidRPr="000204F8">
        <w:t>Will th</w:t>
      </w:r>
      <w:r>
        <w:t>is</w:t>
      </w:r>
      <w:r w:rsidRPr="000204F8">
        <w:t xml:space="preserve"> streamlined auto-grant period </w:t>
      </w:r>
      <w:r>
        <w:t xml:space="preserve">for carriers </w:t>
      </w:r>
      <w:r w:rsidRPr="000204F8">
        <w:t xml:space="preserve">allow adequate time for the Commission </w:t>
      </w:r>
      <w:r>
        <w:t xml:space="preserve">and other parties </w:t>
      </w:r>
      <w:r w:rsidRPr="000204F8">
        <w:t xml:space="preserve">to review </w:t>
      </w:r>
      <w:r>
        <w:t xml:space="preserve">their </w:t>
      </w:r>
      <w:r w:rsidRPr="000204F8">
        <w:t xml:space="preserve">applications?  Will the shorter auto-grant period incent providers to more rapidly resolve end-user concerns, if any? </w:t>
      </w:r>
    </w:p>
    <w:p w:rsidR="00455188" w:rsidRDefault="00455188" w:rsidP="00455188">
      <w:pPr>
        <w:pStyle w:val="ParaNum"/>
      </w:pPr>
      <w:r>
        <w:t>Is</w:t>
      </w:r>
      <w:r w:rsidRPr="000204F8">
        <w:t xml:space="preserve"> there </w:t>
      </w:r>
      <w:r>
        <w:t xml:space="preserve">a </w:t>
      </w:r>
      <w:r w:rsidRPr="000204F8">
        <w:t xml:space="preserve">different auto-grant period we should consider when reviewing applications to grandfather low-speed services, periods that are either shorter or longer than the </w:t>
      </w:r>
      <w:r>
        <w:t>25-</w:t>
      </w:r>
      <w:r w:rsidRPr="000204F8">
        <w:t>day interval</w:t>
      </w:r>
      <w:r>
        <w:t xml:space="preserve"> </w:t>
      </w:r>
      <w:r w:rsidRPr="000204F8">
        <w:t xml:space="preserve">we have proposed?  Is there reason to maintain disparate auto-grant periods for dominant versus non-dominant carriers </w:t>
      </w:r>
      <w:r>
        <w:t xml:space="preserve">rather than subject both types of carriers to a uniform auto-grant period </w:t>
      </w:r>
      <w:r w:rsidRPr="000204F8">
        <w:t>as we have proposed to do</w:t>
      </w:r>
      <w:r>
        <w:t xml:space="preserve">?  Alternatively, what role should an objection from a potential customer or other interested party take in the application for grandfathering? Should such an objection result in an application being taken off of streamlined treatment?  </w:t>
      </w:r>
    </w:p>
    <w:p w:rsidR="00455188" w:rsidRDefault="00455188" w:rsidP="00455188">
      <w:pPr>
        <w:pStyle w:val="ParaNum"/>
      </w:pPr>
      <w:r w:rsidRPr="000204F8">
        <w:t xml:space="preserve">In addition to potentially reducing the auto-grant period for applications seeking to grandfather low-speed services, we seek comment on whether to adopt </w:t>
      </w:r>
      <w:r>
        <w:t xml:space="preserve">an </w:t>
      </w:r>
      <w:r w:rsidRPr="000204F8">
        <w:t xml:space="preserve">even more abbreviated auto-grant period for grandfathered discontinuance applications that receive no comments during the specified comment period.  </w:t>
      </w:r>
      <w:r>
        <w:t xml:space="preserve">In conjunction with our efforts to expedite the automatic granting of these applications, we seek comment on whether we should establish a “shot-clock” applicable to the time period within which the Commission receives </w:t>
      </w:r>
      <w:r w:rsidRPr="00BF56A6">
        <w:t xml:space="preserve">applications to grandfather low-speed legacy services </w:t>
      </w:r>
      <w:r>
        <w:t xml:space="preserve">and when the Commission releases the Public Notice seeking comment on such applications.  Have carriers filing Section 214 discontinuance applications experienced seemingly unreasonable delay between the time the Commission receives their applications and when they are placed on Public Notice? </w:t>
      </w:r>
    </w:p>
    <w:p w:rsidR="00455188" w:rsidRDefault="00455188" w:rsidP="00455188">
      <w:pPr>
        <w:pStyle w:val="ParaNum"/>
      </w:pPr>
      <w:r w:rsidRPr="006232D4">
        <w:rPr>
          <w:i/>
        </w:rPr>
        <w:t>Eligibility of Grandfathered Services for Streamlined Processing</w:t>
      </w:r>
      <w:r w:rsidRPr="006232D4">
        <w:t>.  We seek comment on the scope of services to which streamlined processing would apply.  We propose, at a minimum, to apply any streamlined discontinuance process to grandfathered low-speed TDM services at</w:t>
      </w:r>
      <w:r>
        <w:t xml:space="preserve"> lower-than-</w:t>
      </w:r>
      <w:r w:rsidRPr="006232D4">
        <w:t>DS1 speeds (</w:t>
      </w:r>
      <w:r>
        <w:t xml:space="preserve">below </w:t>
      </w:r>
      <w:r w:rsidRPr="006232D4">
        <w:t xml:space="preserve">1.544 Mbps), as these are services that are rapidly being replaced with more advanced or </w:t>
      </w:r>
      <w:r>
        <w:t>higher-speed IP-based services.</w:t>
      </w:r>
      <w:r w:rsidRPr="006232D4">
        <w:t xml:space="preserve"> </w:t>
      </w:r>
      <w:r>
        <w:t xml:space="preserve"> </w:t>
      </w:r>
      <w:r w:rsidRPr="006232D4">
        <w:t>We seek comment on whether this is an appropriate speed threshold, or whether higher</w:t>
      </w:r>
      <w:r>
        <w:t>-</w:t>
      </w:r>
      <w:r w:rsidRPr="006232D4">
        <w:t xml:space="preserve">speed grandfathered services—e.g., any legacy copper-based or other TDM services below 10 Mbps or </w:t>
      </w:r>
      <w:r>
        <w:t>25</w:t>
      </w:r>
      <w:r w:rsidRPr="006232D4">
        <w:t xml:space="preserve"> Mbps or even higher—should also qualify for this more streamlined processing.  </w:t>
      </w:r>
      <w:r>
        <w:t>S</w:t>
      </w:r>
      <w:r w:rsidRPr="006232D4">
        <w:t xml:space="preserve">hould we limit our streamlined comment and auto-grant periods to a narrower set of circumstances than we propose?  </w:t>
      </w:r>
      <w:r>
        <w:t xml:space="preserve">Should we adopt a separate sets of auto-grant periods for lower and higher speed services?  </w:t>
      </w:r>
      <w:r w:rsidRPr="006232D4">
        <w:t>Are there other service characteristics we should consider besides speed in deciding which applications may qualify for streamlined comment and auto-grant periods?</w:t>
      </w:r>
    </w:p>
    <w:p w:rsidR="00455188" w:rsidRDefault="00455188" w:rsidP="00455188">
      <w:pPr>
        <w:pStyle w:val="ParaNum"/>
      </w:pPr>
      <w:r>
        <w:rPr>
          <w:i/>
        </w:rPr>
        <w:t>Additional Steps</w:t>
      </w:r>
      <w:r w:rsidRPr="000204F8">
        <w:t>.  Beyond condensing the comment and auto-grant periods, we seek comment on any additional steps we might take to further streamline the review and approval process for applications to grandfather low-speed services.</w:t>
      </w:r>
      <w:r>
        <w:t xml:space="preserve">  </w:t>
      </w:r>
      <w:r w:rsidRPr="000204F8">
        <w:t xml:space="preserve">We </w:t>
      </w:r>
      <w:r>
        <w:t>specifically</w:t>
      </w:r>
      <w:r w:rsidRPr="000204F8">
        <w:t xml:space="preserve"> seek comment on whether there are certain circumstances under which applications to grandfather low-speed legacy services could be granted once the application is accepted for filing without any period of public comment</w:t>
      </w:r>
      <w:r w:rsidRPr="000F432A">
        <w:t xml:space="preserve"> or under which we should dispense with requiring applications entirely</w:t>
      </w:r>
      <w:r w:rsidRPr="000204F8">
        <w:t>.  Does the Commission have authority under Section 214(b) to permit grants without any period of public comment</w:t>
      </w:r>
      <w:r w:rsidRPr="000F432A">
        <w:t xml:space="preserve"> or to determine that an application is not necessary</w:t>
      </w:r>
      <w:r w:rsidRPr="000204F8">
        <w:t xml:space="preserve">?  Would limited forbearance from the requirements of Section 214 be necessary to </w:t>
      </w:r>
      <w:r w:rsidRPr="000F432A">
        <w:t xml:space="preserve">dispense with requiring an application or to </w:t>
      </w:r>
      <w:r w:rsidRPr="000204F8">
        <w:t>grant certain applications without any period of public comment</w:t>
      </w:r>
      <w:r>
        <w:t>, and i</w:t>
      </w:r>
      <w:r w:rsidRPr="000204F8">
        <w:t xml:space="preserve">f so, are the criteria for forbearance met in this instance?  </w:t>
      </w:r>
      <w:r w:rsidRPr="000F432A">
        <w:t>Would pursuing either of these options harm existing or potential customers, and if so</w:t>
      </w:r>
      <w:r>
        <w:t>,</w:t>
      </w:r>
      <w:r w:rsidRPr="000F432A">
        <w:t xml:space="preserve"> do those harms outweigh the benefits</w:t>
      </w:r>
      <w:r>
        <w:t xml:space="preserve"> of streamlining</w:t>
      </w:r>
      <w:r w:rsidRPr="000F432A">
        <w:t xml:space="preserve">?  </w:t>
      </w:r>
    </w:p>
    <w:p w:rsidR="00455188" w:rsidRDefault="00455188" w:rsidP="00455188">
      <w:pPr>
        <w:pStyle w:val="ParaNum"/>
      </w:pPr>
      <w:r w:rsidRPr="000204F8">
        <w:t>If the Commission grant</w:t>
      </w:r>
      <w:r>
        <w:t>s</w:t>
      </w:r>
      <w:r w:rsidRPr="000204F8">
        <w:t xml:space="preserve"> certain applications to grandfather low-speed services without a period of public comment, what criteria should applications satisfy in order to qualify for such a grant?  For example, there may be cases in which the carrier has not sold the service to any new customer for a particular period of time and only a limited number of existing customers continue to take the service</w:t>
      </w:r>
      <w:r>
        <w:t>, and we seek comment on whether there is a particular period of time and/or number of customers that warrants automatic grant without a comment period</w:t>
      </w:r>
      <w:r w:rsidRPr="000204F8">
        <w:t xml:space="preserve">.  </w:t>
      </w:r>
      <w:r w:rsidRPr="006232D4">
        <w:t>Should such grants be contingent on a baseline showing, attestation, or affirmative statement in a carrier’s application that there are reasonable alternatives to the service that is to be grandfathered?  If so, what type of certification or showing should be required?</w:t>
      </w:r>
      <w:r w:rsidRPr="000204F8">
        <w:t xml:space="preserve"> </w:t>
      </w:r>
      <w:r>
        <w:t xml:space="preserve">  </w:t>
      </w:r>
    </w:p>
    <w:p w:rsidR="00455188" w:rsidRDefault="00455188" w:rsidP="00455188">
      <w:pPr>
        <w:pStyle w:val="ParaNum"/>
      </w:pPr>
      <w:r w:rsidRPr="006232D4">
        <w:rPr>
          <w:i/>
        </w:rPr>
        <w:t>Government Users</w:t>
      </w:r>
      <w:r w:rsidRPr="006232D4">
        <w:t>.  Finally, we seek comment on how we should take into account the needs of federal, state, local, and Tribal government users of legacy services in deciding whether and how best to streamline the process for reviewing Section 214 applications that seek to grandfather low-speed services.  The National Telecommunications and Information Administration (NTIA) has stated that federal government agencies face particular challenges as customers of telecommunications services and are different from many other customers given the budget and procurement challenges they face and “the mission-critical activities they perform for the public benefit.”</w:t>
      </w:r>
      <w:r w:rsidRPr="006232D4">
        <w:rPr>
          <w:vertAlign w:val="superscript"/>
        </w:rPr>
        <w:footnoteReference w:id="107"/>
      </w:r>
      <w:r w:rsidRPr="006232D4">
        <w:t xml:space="preserve">  In its Petition, NTIA </w:t>
      </w:r>
      <w:r>
        <w:t>asserts</w:t>
      </w:r>
      <w:r w:rsidRPr="006232D4">
        <w:t xml:space="preserve"> that government agencies must make budgetary and technical plans far in advance to convert or adapt their networks, systems, and services to new infrastructure.</w:t>
      </w:r>
      <w:r w:rsidRPr="006232D4">
        <w:rPr>
          <w:vertAlign w:val="superscript"/>
        </w:rPr>
        <w:footnoteReference w:id="108"/>
      </w:r>
      <w:r w:rsidRPr="006232D4">
        <w:t xml:space="preserve">  We agree with NTIA that transitions from the provision of old </w:t>
      </w:r>
      <w:r>
        <w:t xml:space="preserve">communications </w:t>
      </w:r>
      <w:r w:rsidRPr="006232D4">
        <w:t>services to new “must not disrupt or hamper the performance of mission-critical activities, of which safety of life, emergency response, and national security are the most prominent examples.”</w:t>
      </w:r>
      <w:r w:rsidRPr="006232D4">
        <w:rPr>
          <w:vertAlign w:val="superscript"/>
        </w:rPr>
        <w:footnoteReference w:id="109"/>
      </w:r>
      <w:r w:rsidRPr="006232D4">
        <w:t xml:space="preserve">  </w:t>
      </w:r>
      <w:r>
        <w:t>To the extent these proposed rules accelerate retirement of systems for national security emergency preparedness (NS/EP) communication,</w:t>
      </w:r>
      <w:r>
        <w:rPr>
          <w:rStyle w:val="FootnoteReference"/>
        </w:rPr>
        <w:footnoteReference w:id="110"/>
      </w:r>
      <w:r>
        <w:t xml:space="preserve"> we seek comment on the impact to these capabilities.  In particular, what will be the impact to NS/EP priority services such as the Government Emergency Telecommunications Service (GETS) and the Telecommunications Service Priority (TSP) system?  How will accelerating copper retirement impact these policy goals?  Should Section 214 applications demonstrate how priority services will continue to be provisioned to government users?</w:t>
      </w:r>
      <w:r w:rsidRPr="20EEE6E0">
        <w:t xml:space="preserve">  </w:t>
      </w:r>
      <w:r>
        <w:t xml:space="preserve">How will the </w:t>
      </w:r>
      <w:r w:rsidRPr="006232D4">
        <w:t xml:space="preserve">transition from the provision of old services to new </w:t>
      </w:r>
      <w:r>
        <w:t>ones affect other national security interests?</w:t>
      </w:r>
      <w:r>
        <w:rPr>
          <w:rStyle w:val="FootnoteReference"/>
        </w:rPr>
        <w:footnoteReference w:id="111"/>
      </w:r>
      <w:r>
        <w:t xml:space="preserve">  H</w:t>
      </w:r>
      <w:r w:rsidRPr="006232D4">
        <w:t>ow should we take into account the needs of potential government and Tribal customers when considering whether and how to streamline the comment and/or auto-grant periods for applications to grandfather legacy services?  Should applications affecting government end users be eligible for any streamlined process we adopt?</w:t>
      </w:r>
      <w:r w:rsidRPr="00BA6B83">
        <w:t xml:space="preserve"> </w:t>
      </w:r>
      <w:r>
        <w:t xml:space="preserve"> </w:t>
      </w:r>
      <w:r w:rsidRPr="006232D4">
        <w:t xml:space="preserve">If we adopt special requirements in relation to applications that may affect government or Tribal users, how can we identify such applications, given that grandfathering affects only non-customers of the service at issue?  </w:t>
      </w:r>
    </w:p>
    <w:p w:rsidR="00455188" w:rsidRDefault="00455188" w:rsidP="00455188">
      <w:pPr>
        <w:pStyle w:val="ParaNum"/>
      </w:pPr>
      <w:r w:rsidRPr="006232D4">
        <w:t>NTIA suggests that the Commission must ensure that carriers provide information to federal agencies, including the direction and pace of any network changes, so that agencies are able to plan and fund the service, equipment, and systems upgrades needed to maintain critical operations without interruption.</w:t>
      </w:r>
      <w:r w:rsidRPr="006232D4">
        <w:rPr>
          <w:vertAlign w:val="superscript"/>
        </w:rPr>
        <w:footnoteReference w:id="112"/>
      </w:r>
      <w:r w:rsidRPr="006232D4">
        <w:t xml:space="preserve">  NTIA asks that the Commission require carriers to state in their Section 214 discontinuance applications:  (1) whether and to what extent they have discussed the proposed network or service change with affected federal customers; and (2) what actions they have taken or what plans, if any, they have made to ensure the continuity of mission-critical agency communications networks, systems, and services.</w:t>
      </w:r>
      <w:r w:rsidRPr="006232D4">
        <w:rPr>
          <w:vertAlign w:val="superscript"/>
        </w:rPr>
        <w:footnoteReference w:id="113"/>
      </w:r>
    </w:p>
    <w:p w:rsidR="00455188" w:rsidRPr="0023050D" w:rsidRDefault="00455188" w:rsidP="00455188">
      <w:pPr>
        <w:pStyle w:val="ParaNum"/>
      </w:pPr>
      <w:r w:rsidRPr="006232D4">
        <w:t xml:space="preserve">We seek comment on this proposal both in general and in the context of our Section 214 proposals herein.  How would such requirements benefit federal customers, and would such requirements benefit others in the communications ecosystem?  How could we measure compliance with any such requirements?  Would such requirements prove unduly burdensome on carriers relative to any potential benefit for government users?  We seek comment on whether the service agreements or contracts </w:t>
      </w:r>
      <w:r>
        <w:t>into which</w:t>
      </w:r>
      <w:r w:rsidRPr="006232D4">
        <w:t xml:space="preserve"> carriers enter </w:t>
      </w:r>
      <w:r>
        <w:t xml:space="preserve">with </w:t>
      </w:r>
      <w:r w:rsidRPr="006232D4">
        <w:t>government entities could sufficiently include provisions that address the types of concerns NTIA raises generally.  With respect to grandfathering, would prong (1) of NTIA’s proposed certification have any relevance since it is addressed to present customers, and how could carriers undertake the consultation described in prong (2)?</w:t>
      </w:r>
      <w:r>
        <w:t xml:space="preserve">  Are there specific concerns applicable to Tribal, state, or local government customers?  If so, would the NTIA proposal address them?  If not, what additional or alternative steps would?</w:t>
      </w:r>
    </w:p>
    <w:p w:rsidR="00455188" w:rsidRDefault="00455188" w:rsidP="00455188">
      <w:pPr>
        <w:pStyle w:val="Heading3"/>
      </w:pPr>
      <w:bookmarkStart w:id="279" w:name="_Toc478050613"/>
      <w:bookmarkStart w:id="280" w:name="_Toc477187537"/>
      <w:bookmarkStart w:id="281" w:name="_Toc477187677"/>
      <w:bookmarkStart w:id="282" w:name="_Toc477187933"/>
      <w:bookmarkStart w:id="283" w:name="_Toc477188035"/>
      <w:bookmarkStart w:id="284" w:name="_Toc477188122"/>
      <w:bookmarkStart w:id="285" w:name="_Toc477189010"/>
      <w:bookmarkStart w:id="286" w:name="_Toc477445775"/>
      <w:bookmarkStart w:id="287" w:name="_Toc477452993"/>
      <w:bookmarkStart w:id="288" w:name="_Toc477453159"/>
      <w:bookmarkStart w:id="289" w:name="_Toc477796018"/>
      <w:bookmarkStart w:id="290" w:name="_Toc478138476"/>
      <w:bookmarkStart w:id="291" w:name="_Toc478139490"/>
      <w:bookmarkStart w:id="292" w:name="_Toc478139596"/>
      <w:bookmarkStart w:id="293" w:name="_Toc478139647"/>
      <w:bookmarkStart w:id="294" w:name="_Toc478403100"/>
      <w:bookmarkStart w:id="295" w:name="_Toc478460144"/>
      <w:bookmarkStart w:id="296" w:name="_Toc478476691"/>
      <w:bookmarkStart w:id="297" w:name="_Toc479943029"/>
      <w:bookmarkStart w:id="298" w:name="_Toc480388533"/>
      <w:r>
        <w:t>Applications to Discontinue Previously Grandfathered Legacy Data Services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455188" w:rsidRDefault="00455188" w:rsidP="00455188">
      <w:pPr>
        <w:pStyle w:val="ParaNum"/>
      </w:pPr>
      <w:r>
        <w:t xml:space="preserve">We propose to streamline the discontinuance process for any application seeking authorization to discontinue legacy data services that have previously been grandfathered for a period of no less than 180 days.  We propose to adopt a streamlined uniform comment period of 10 days and an auto-grant period of 31 days for both dominant and non-dominant carriers.  We seek comment on these proposals and on other potential alternatives. </w:t>
      </w:r>
      <w:r w:rsidRPr="00B67B70">
        <w:t xml:space="preserve"> </w:t>
      </w:r>
      <w:r>
        <w:t>W</w:t>
      </w:r>
      <w:r w:rsidRPr="00640875">
        <w:t xml:space="preserve">e believe that Section 214 </w:t>
      </w:r>
      <w:r>
        <w:t xml:space="preserve">provides us ample authority </w:t>
      </w:r>
      <w:r w:rsidRPr="00640875">
        <w:t xml:space="preserve">to streamline the process for reviewing and granting applications to discontinue </w:t>
      </w:r>
      <w:r>
        <w:t>legacy</w:t>
      </w:r>
      <w:r w:rsidRPr="00640875">
        <w:t xml:space="preserve"> data services</w:t>
      </w:r>
      <w:r>
        <w:t xml:space="preserve"> that have previously been grandfathered for a period of at least 180 days. </w:t>
      </w:r>
      <w:r w:rsidRPr="00640875">
        <w:t xml:space="preserve"> Do commenters agree with this conclusion?  Why or why not?</w:t>
      </w:r>
    </w:p>
    <w:p w:rsidR="00455188" w:rsidRDefault="00455188" w:rsidP="00455188">
      <w:pPr>
        <w:pStyle w:val="ParaNum"/>
      </w:pPr>
      <w:r>
        <w:t xml:space="preserve">Should this proposed streamlined process be restricted to only previously grandfathered legacy data services below a certain speed?  </w:t>
      </w:r>
      <w:r w:rsidRPr="006232D4">
        <w:t>Should dominant and non-dominant carriers continue to be subject to different</w:t>
      </w:r>
      <w:r>
        <w:t xml:space="preserve"> </w:t>
      </w:r>
      <w:r w:rsidRPr="006232D4">
        <w:t xml:space="preserve">comment and auto-grant </w:t>
      </w:r>
      <w:r>
        <w:t xml:space="preserve">timeframes </w:t>
      </w:r>
      <w:r w:rsidRPr="006232D4">
        <w:t>for discontinuing legacy data services</w:t>
      </w:r>
      <w:r>
        <w:t xml:space="preserve"> that have previously been grandfathered</w:t>
      </w:r>
      <w:r w:rsidRPr="006232D4">
        <w:t xml:space="preserve">, as </w:t>
      </w:r>
      <w:r>
        <w:t xml:space="preserve">is currently the case?  If so, what should these timeframes be?  </w:t>
      </w:r>
      <w:r w:rsidRPr="006232D4">
        <w:t>We encourage commenters to advance specific alternative proposals they believe would better address the Commission’s objective to accelerate the deployment of next-generation networks by eliminating unnecessary delays in the discontinuance process.  To that end, are there other steps we could take, beyond condensing the comment and auto-grant periods, which would help streamline the review and authorization of applications to discontinue legacy data services</w:t>
      </w:r>
      <w:r>
        <w:t xml:space="preserve"> that have previously been grandfathered</w:t>
      </w:r>
      <w:r w:rsidRPr="006232D4">
        <w:t>?  Please explain.</w:t>
      </w:r>
    </w:p>
    <w:p w:rsidR="00455188" w:rsidRDefault="00455188" w:rsidP="00455188">
      <w:pPr>
        <w:pStyle w:val="ParaNum"/>
      </w:pPr>
      <w:r w:rsidRPr="006232D4">
        <w:t xml:space="preserve">We propose to </w:t>
      </w:r>
      <w:r>
        <w:t xml:space="preserve">require </w:t>
      </w:r>
      <w:r w:rsidRPr="006232D4">
        <w:t xml:space="preserve">carriers </w:t>
      </w:r>
      <w:r>
        <w:t>seeking this streamlined discontinuance processing for legacy data services to make a showing that they received Commission authority to grandfather such services at least 180 days previously.  Is the 180-day grandfathering requirement too restrictive?</w:t>
      </w:r>
      <w:r w:rsidRPr="00AD05E8">
        <w:t xml:space="preserve">  Should we consider a shorter grandfathering timeframe</w:t>
      </w:r>
      <w:r>
        <w:t xml:space="preserve">?  Should we require any additional showings to qualify for this streamlined treatment?  For example, should we require a statement </w:t>
      </w:r>
      <w:r w:rsidRPr="00AD05E8">
        <w:t>identifying one or more alternative comparable data services available from the discontinuing provider or a third party</w:t>
      </w:r>
      <w:r>
        <w:t xml:space="preserve"> provider at the same or higher speeds as the service being discontinued?  If so, </w:t>
      </w:r>
      <w:r w:rsidRPr="006232D4">
        <w:t>how should</w:t>
      </w:r>
      <w:r>
        <w:t xml:space="preserve"> we</w:t>
      </w:r>
      <w:r w:rsidRPr="006232D4">
        <w:t xml:space="preserve"> define “comparable” service</w:t>
      </w:r>
      <w:r>
        <w:t>?  Should we require that any such “comparable” service be available throughout the entire affected service area?</w:t>
      </w:r>
    </w:p>
    <w:p w:rsidR="00455188" w:rsidRDefault="00455188" w:rsidP="00455188">
      <w:pPr>
        <w:pStyle w:val="ParaNum"/>
      </w:pPr>
      <w:r w:rsidRPr="006232D4">
        <w:t>We also propose to require only a</w:t>
      </w:r>
      <w:r>
        <w:t xml:space="preserve"> </w:t>
      </w:r>
      <w:r w:rsidRPr="006232D4">
        <w:t xml:space="preserve">statement from the discontinuing carrier </w:t>
      </w:r>
      <w:r>
        <w:t>demonstrating that it received Commission</w:t>
      </w:r>
      <w:r w:rsidRPr="00AD05E8">
        <w:t xml:space="preserve"> authority to grandfather </w:t>
      </w:r>
      <w:r>
        <w:t>the</w:t>
      </w:r>
      <w:r w:rsidRPr="00AD05E8">
        <w:t xml:space="preserve"> services</w:t>
      </w:r>
      <w:r>
        <w:t xml:space="preserve"> at issue</w:t>
      </w:r>
      <w:r w:rsidRPr="00AD05E8">
        <w:t xml:space="preserve"> at least 180 days </w:t>
      </w:r>
      <w:r>
        <w:t xml:space="preserve">previously.  </w:t>
      </w:r>
      <w:r w:rsidRPr="006232D4">
        <w:t>Is a statement sufficient, or should some other showing be required?</w:t>
      </w:r>
      <w:r>
        <w:t xml:space="preserve">  </w:t>
      </w:r>
      <w:r w:rsidRPr="006232D4">
        <w:t xml:space="preserve">If commenters believe we should require more than a statement, what type of showing should a carrier be obligated to make? </w:t>
      </w:r>
      <w:r>
        <w:t xml:space="preserve"> If we adopt</w:t>
      </w:r>
      <w:r w:rsidRPr="00F10673">
        <w:t xml:space="preserve"> </w:t>
      </w:r>
      <w:r>
        <w:t xml:space="preserve">a requirement that carriers must demonstrate the availability of </w:t>
      </w:r>
      <w:r w:rsidRPr="00F10673">
        <w:t>one or more alternative comparable data services from the discontinuing provider or a third party</w:t>
      </w:r>
      <w:r>
        <w:t xml:space="preserve">, would a statement identifying such alternative services be sufficient to satisfy this requirement?  </w:t>
      </w:r>
      <w:r w:rsidRPr="006232D4">
        <w:t>For carriers seeking to rely on a third-party service, what type of showing would be necessary to demonstrate the existence of alternative data services?  Would</w:t>
      </w:r>
      <w:r>
        <w:t xml:space="preserve"> such</w:t>
      </w:r>
      <w:r w:rsidRPr="006232D4">
        <w:t xml:space="preserve"> a statement suffice for this purpose?  </w:t>
      </w:r>
    </w:p>
    <w:p w:rsidR="00455188" w:rsidRPr="006232D4" w:rsidRDefault="00455188" w:rsidP="00455188">
      <w:pPr>
        <w:pStyle w:val="ParaNum"/>
      </w:pPr>
      <w:r w:rsidRPr="006232D4">
        <w:t xml:space="preserve">Finally, we seek comment on whether special consideration should be given to applications seeking to discontinue </w:t>
      </w:r>
      <w:r>
        <w:t>previously grandfathered legacy</w:t>
      </w:r>
      <w:r w:rsidRPr="006232D4">
        <w:t xml:space="preserve"> data services to federal, state, local, and Tribal government users for the same reasons we address this question in considering streamlining grandfathered and legacy voice service discontinuance applications.</w:t>
      </w:r>
      <w:r w:rsidRPr="006232D4">
        <w:rPr>
          <w:vertAlign w:val="superscript"/>
        </w:rPr>
        <w:footnoteReference w:id="114"/>
      </w:r>
      <w:r w:rsidRPr="006232D4">
        <w:t xml:space="preserve">  Should providers be required to make some additional showing beyond what we have proposed when seeking to discontinue </w:t>
      </w:r>
      <w:r>
        <w:t>previously grandfathered legacy</w:t>
      </w:r>
      <w:r w:rsidRPr="006232D4">
        <w:t xml:space="preserve"> data services to government users?  If so, with what additional conditions should they be required to comply and why?</w:t>
      </w:r>
    </w:p>
    <w:p w:rsidR="00455188" w:rsidRDefault="00455188" w:rsidP="00455188">
      <w:pPr>
        <w:pStyle w:val="Heading3"/>
      </w:pPr>
      <w:bookmarkStart w:id="299" w:name="_Toc477187538"/>
      <w:bookmarkStart w:id="300" w:name="_Toc477187678"/>
      <w:bookmarkStart w:id="301" w:name="_Toc477187934"/>
      <w:bookmarkStart w:id="302" w:name="_Toc477188036"/>
      <w:bookmarkStart w:id="303" w:name="_Toc477188123"/>
      <w:bookmarkStart w:id="304" w:name="_Toc477189011"/>
      <w:bookmarkStart w:id="305" w:name="_Toc477445776"/>
      <w:bookmarkStart w:id="306" w:name="_Toc477452994"/>
      <w:bookmarkStart w:id="307" w:name="_Toc477453160"/>
      <w:bookmarkStart w:id="308" w:name="_Toc477796019"/>
      <w:bookmarkStart w:id="309" w:name="_Toc478050614"/>
      <w:bookmarkStart w:id="310" w:name="_Toc478138477"/>
      <w:bookmarkStart w:id="311" w:name="_Toc478139491"/>
      <w:bookmarkStart w:id="312" w:name="_Toc478139597"/>
      <w:bookmarkStart w:id="313" w:name="_Toc478139648"/>
      <w:bookmarkStart w:id="314" w:name="_Toc478403101"/>
      <w:bookmarkStart w:id="315" w:name="_Toc478460145"/>
      <w:bookmarkStart w:id="316" w:name="_Toc478476692"/>
      <w:bookmarkStart w:id="317" w:name="_Toc479943030"/>
      <w:bookmarkStart w:id="318" w:name="_Toc480388534"/>
      <w:r w:rsidRPr="002D7CD8">
        <w:t xml:space="preserve">Clarifying Treatment Under Section </w:t>
      </w:r>
      <w:r>
        <w:t>214(a) o</w:t>
      </w:r>
      <w:r w:rsidRPr="002D7CD8">
        <w:t>f Carrier-Customers’ End Users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455188" w:rsidRDefault="00455188" w:rsidP="00D9706A">
      <w:pPr>
        <w:pStyle w:val="ParaNum"/>
        <w:widowControl/>
      </w:pPr>
      <w:r>
        <w:t>We seek comment on</w:t>
      </w:r>
      <w:r w:rsidRPr="003E4E2A">
        <w:t xml:space="preserve"> revers</w:t>
      </w:r>
      <w:r>
        <w:t>ing</w:t>
      </w:r>
      <w:r w:rsidRPr="003E4E2A">
        <w:t xml:space="preserve"> the Commission’s 2015 “clarification” of Section 214(a) that substantially expanded the scope of end users that a carrier must consider in determining whether it is required to obtain Section 214 discontinuance authority.</w:t>
      </w:r>
      <w:r w:rsidRPr="003E4E2A">
        <w:rPr>
          <w:vertAlign w:val="superscript"/>
        </w:rPr>
        <w:footnoteReference w:id="115"/>
      </w:r>
      <w:r w:rsidRPr="003E4E2A">
        <w:t xml:space="preserve">  In the </w:t>
      </w:r>
      <w:r w:rsidRPr="003E4E2A">
        <w:rPr>
          <w:i/>
        </w:rPr>
        <w:t>2015 Technology Transitions Order</w:t>
      </w:r>
      <w:r w:rsidRPr="003E4E2A">
        <w:t xml:space="preserve">, the Commission “provided guidance and clarification” that Section 214(a) of the Act applies not only to a carrier’s </w:t>
      </w:r>
      <w:r w:rsidRPr="003E4E2A">
        <w:rPr>
          <w:i/>
        </w:rPr>
        <w:t>own</w:t>
      </w:r>
      <w:r w:rsidRPr="003E4E2A">
        <w:t xml:space="preserve"> retail customers, but also to the retail end-user customers of that carrier’s wholesale carrier-customers.</w:t>
      </w:r>
      <w:r w:rsidRPr="003E4E2A">
        <w:rPr>
          <w:vertAlign w:val="superscript"/>
        </w:rPr>
        <w:footnoteReference w:id="116"/>
      </w:r>
      <w:r w:rsidRPr="003E4E2A">
        <w:t xml:space="preserve">  We seek comment on our proposal to reverse the 2015 interpretation and, going forward, interpret Section 214(a) to require a carrier to take into account only its own retail end users when evaluating whether the carrier will “discontinue, reduce, or impair service to a community, or part of a community.”</w:t>
      </w:r>
      <w:r w:rsidRPr="003E4E2A">
        <w:rPr>
          <w:vertAlign w:val="superscript"/>
        </w:rPr>
        <w:footnoteReference w:id="117"/>
      </w:r>
    </w:p>
    <w:p w:rsidR="00455188" w:rsidRDefault="00455188" w:rsidP="00455188">
      <w:pPr>
        <w:pStyle w:val="ParaNum"/>
      </w:pPr>
      <w:r>
        <w:t>W</w:t>
      </w:r>
      <w:r w:rsidRPr="00230640">
        <w:t xml:space="preserve">e seek comment on the </w:t>
      </w:r>
      <w:r>
        <w:t xml:space="preserve">practical effect of the 2015 interpretation.  What benefits flow to the retail end-user customers of the carrier’s wholesale carrier customers as a result of that interpretation? Does it make sense to take away those benefits?  Does it make sense to maintain a regulatory obligation that requires a carrier, most often an incumbent LEC, </w:t>
      </w:r>
      <w:r w:rsidRPr="00230640">
        <w:t xml:space="preserve">to obtain information about </w:t>
      </w:r>
      <w:r>
        <w:t xml:space="preserve">third parties, i.e., its </w:t>
      </w:r>
      <w:r w:rsidRPr="00230640">
        <w:t xml:space="preserve">carrier-customer’s retail end users, </w:t>
      </w:r>
      <w:r>
        <w:t xml:space="preserve">with whom it generally has </w:t>
      </w:r>
      <w:r w:rsidRPr="002A486A">
        <w:t>no</w:t>
      </w:r>
      <w:r>
        <w:t xml:space="preserve"> relationship, before it can execute its own business plans to discontinue its service?</w:t>
      </w:r>
      <w:r w:rsidRPr="00230640">
        <w:rPr>
          <w:rStyle w:val="FootnoteReference"/>
        </w:rPr>
        <w:footnoteReference w:id="118"/>
      </w:r>
      <w:r w:rsidRPr="00230640">
        <w:t xml:space="preserve"> </w:t>
      </w:r>
      <w:r>
        <w:t xml:space="preserve"> What can the upstream carrier be expected to know </w:t>
      </w:r>
      <w:r w:rsidR="00852C36">
        <w:t xml:space="preserve">about </w:t>
      </w:r>
      <w:r>
        <w:t xml:space="preserve">who the end-user customers of its carrier-customers are and how the discontinuance will affect them?  Does the current application of the requirement impose undue compliance costs and burdens on a discontinuing carrier that harm the public by delaying the transition to newer, more technologically advanced services?  Or, are those costs reasonable in light of the potential harm to end-user customers?  </w:t>
      </w:r>
      <w:r w:rsidRPr="009E64EF">
        <w:t xml:space="preserve">Have there been other effects on the market for legacy services and on the transition to IP </w:t>
      </w:r>
      <w:r>
        <w:t>services that we should consider?</w:t>
      </w:r>
    </w:p>
    <w:p w:rsidR="00455188" w:rsidRDefault="00455188" w:rsidP="00455188">
      <w:pPr>
        <w:pStyle w:val="ParaNum"/>
      </w:pPr>
      <w:r w:rsidRPr="008C771F">
        <w:t>We also seek comment on how carrier-customers’ discontinuance obligations should inform our interpretation.  What weight should we give to the fact that a carrier-customer is itself obligated to file a discontinuance application under Section 214(a) and Section 63.71 of the Commission’s rules</w:t>
      </w:r>
      <w:r w:rsidRPr="008C771F">
        <w:rPr>
          <w:vertAlign w:val="superscript"/>
        </w:rPr>
        <w:footnoteReference w:id="119"/>
      </w:r>
      <w:r w:rsidRPr="008C771F">
        <w:t xml:space="preserve"> if it discontinues, reduces, or impairs service as a result of the loss of a wholesale input from an upstream carrier?  Can we find that the objectives of Section 214(a) are met because the carrier</w:t>
      </w:r>
      <w:r>
        <w:t>-customer</w:t>
      </w:r>
      <w:r w:rsidRPr="008C771F">
        <w:t xml:space="preserve"> itself is subject to Section 214(a)’s requirement to obtain Commission approval if a change in the inputs</w:t>
      </w:r>
      <w:r>
        <w:t xml:space="preserve"> relied</w:t>
      </w:r>
      <w:r w:rsidRPr="008C771F">
        <w:t xml:space="preserve"> on </w:t>
      </w:r>
      <w:r>
        <w:t>by</w:t>
      </w:r>
      <w:r w:rsidRPr="008C771F">
        <w:t xml:space="preserve"> the carrier</w:t>
      </w:r>
      <w:r>
        <w:t>-customer</w:t>
      </w:r>
      <w:r w:rsidRPr="008C771F">
        <w:t xml:space="preserve"> results in a discontinuance, reduction, or impairment of services to </w:t>
      </w:r>
      <w:r>
        <w:t>the carrier-customer’s</w:t>
      </w:r>
      <w:r w:rsidRPr="008C771F">
        <w:t xml:space="preserve"> retail end users?</w:t>
      </w:r>
      <w:r w:rsidRPr="008C771F">
        <w:rPr>
          <w:vertAlign w:val="superscript"/>
        </w:rPr>
        <w:footnoteReference w:id="120"/>
      </w:r>
      <w:r w:rsidRPr="008C771F">
        <w:t xml:space="preserve">  </w:t>
      </w:r>
      <w:r>
        <w:t xml:space="preserve">Or, are there situations in which end-user customers would be inadequately protected by such an interpretation?  </w:t>
      </w:r>
      <w:r w:rsidRPr="008C771F">
        <w:t>Do the contractual and business relationships between upstream carriers and their carrier-customers provide additional safeguards to retail end users</w:t>
      </w:r>
      <w:r>
        <w:t>?</w:t>
      </w:r>
    </w:p>
    <w:p w:rsidR="00455188" w:rsidRDefault="00455188" w:rsidP="00455188">
      <w:pPr>
        <w:pStyle w:val="ParaNum"/>
      </w:pPr>
      <w:r w:rsidRPr="008C771F">
        <w:t>We also seek comment on the relationship between Section 214(a) and Section 251(c)(5) of the Act.  When Section 214(a) was enacted during World War II, “one of Congress’s main concerns was that [domestic telegraph] mergers might result in a loss or impairment of service during this war time period.”</w:t>
      </w:r>
      <w:r w:rsidRPr="008C771F">
        <w:rPr>
          <w:vertAlign w:val="superscript"/>
        </w:rPr>
        <w:footnoteReference w:id="121"/>
      </w:r>
      <w:r w:rsidRPr="008C771F">
        <w:t xml:space="preserve">  By contrast, 53 years later, Congress revised the Act “to promote competition and reduce regulation . . . and encourage the rapid deployment of new telecommunications technologies.”</w:t>
      </w:r>
      <w:r w:rsidRPr="008C771F">
        <w:rPr>
          <w:vertAlign w:val="superscript"/>
        </w:rPr>
        <w:footnoteReference w:id="122"/>
      </w:r>
      <w:r w:rsidRPr="008C771F">
        <w:t xml:space="preserve"> Congress enacted Section 251(c)(5) of the</w:t>
      </w:r>
      <w:r>
        <w:t xml:space="preserve"> </w:t>
      </w:r>
      <w:r w:rsidRPr="008C771F">
        <w:t>Act to require incumbent LECs to “provide reasonable public notice of changes in the information necessary for the transmission and routing of services using that local exchange carrier’s facilities or networks, as well as of any other changes that would affect the interoperability of those facilities and networks.”</w:t>
      </w:r>
      <w:r w:rsidRPr="008C771F">
        <w:rPr>
          <w:vertAlign w:val="superscript"/>
        </w:rPr>
        <w:footnoteReference w:id="123"/>
      </w:r>
      <w:r w:rsidRPr="008C771F">
        <w:t xml:space="preserve">  The Commission’s regulations implementing Section 251(c)(5), require, among other things, that an incumbent LEC “must provide public notice regarding any network change that [w]ill affect a competing service provider’s performance or ability to provide service.”</w:t>
      </w:r>
      <w:r w:rsidRPr="008C771F">
        <w:rPr>
          <w:vertAlign w:val="superscript"/>
        </w:rPr>
        <w:footnoteReference w:id="124"/>
      </w:r>
      <w:r w:rsidRPr="008C771F">
        <w:t xml:space="preserve">  In enacting Section 251(c)(5), did Congress signal its intent that incumbent LECs need only provide notice, not obtain approval, when making changes to wholesale inputs relied upon by competing carriers?  At the time of the 1996 Act, the Commission interpreted its Section 214(a) discontinuance authority not to apply to wholesale customers.</w:t>
      </w:r>
      <w:r w:rsidRPr="008C771F">
        <w:rPr>
          <w:vertAlign w:val="superscript"/>
        </w:rPr>
        <w:footnoteReference w:id="125"/>
      </w:r>
      <w:r w:rsidRPr="008C771F">
        <w:t xml:space="preserve">  Did that interpretation have any bearing on Congress’s intent when enacting Section 251(c)(5)?  How should we reconcile the Congressional mandates in Section 214(a) and Section 251(c)(5) to best eliminate regulatory barriers to the deployment of next-generation networks and services, avoid unnecessary capital expenditure on legacy services, and protect </w:t>
      </w:r>
      <w:r>
        <w:t xml:space="preserve">consumers and </w:t>
      </w:r>
      <w:r w:rsidRPr="008C771F">
        <w:t>the public interest?</w:t>
      </w:r>
      <w:r>
        <w:t xml:space="preserve">  Alternatively, was the Commission’s statutory interpretation in the </w:t>
      </w:r>
      <w:r>
        <w:rPr>
          <w:i/>
        </w:rPr>
        <w:t>2015</w:t>
      </w:r>
      <w:r>
        <w:t xml:space="preserve"> </w:t>
      </w:r>
      <w:r w:rsidRPr="00F726B8">
        <w:rPr>
          <w:i/>
        </w:rPr>
        <w:t>Tech</w:t>
      </w:r>
      <w:r>
        <w:rPr>
          <w:i/>
        </w:rPr>
        <w:t>nology</w:t>
      </w:r>
      <w:r w:rsidRPr="00F726B8">
        <w:rPr>
          <w:i/>
        </w:rPr>
        <w:t xml:space="preserve"> Transitions Order</w:t>
      </w:r>
      <w:r>
        <w:t xml:space="preserve"> correct?  Are there other interpretations of the interaction between these two provisions that would be more consistent with Congressional intent?  If so, what are they?</w:t>
      </w:r>
    </w:p>
    <w:p w:rsidR="00455188" w:rsidRPr="003E4E2A" w:rsidRDefault="00455188" w:rsidP="00455188">
      <w:pPr>
        <w:pStyle w:val="ParaNum"/>
      </w:pPr>
      <w:r>
        <w:t>Finally, we seek comment</w:t>
      </w:r>
      <w:r w:rsidRPr="00CD7569">
        <w:t xml:space="preserve"> on whether the Commission </w:t>
      </w:r>
      <w:r>
        <w:t>correctly</w:t>
      </w:r>
      <w:r w:rsidRPr="00CD7569">
        <w:t xml:space="preserve"> </w:t>
      </w:r>
      <w:r>
        <w:t xml:space="preserve">interpreted </w:t>
      </w:r>
      <w:r w:rsidRPr="00CD7569">
        <w:t xml:space="preserve">the precedent upon which it relied to support its expansive </w:t>
      </w:r>
      <w:r>
        <w:t xml:space="preserve">2015 </w:t>
      </w:r>
      <w:r w:rsidRPr="00CD7569">
        <w:t>clarification</w:t>
      </w:r>
      <w:r>
        <w:t xml:space="preserve">.  Prior to the </w:t>
      </w:r>
      <w:r w:rsidRPr="00EA5A38">
        <w:rPr>
          <w:i/>
        </w:rPr>
        <w:t>2015 Technology Transitions Order</w:t>
      </w:r>
      <w:r>
        <w:t>, it appears that the Commission had held that discontinuances to wholesale purchasers were not cognizable under Section 214(a).</w:t>
      </w:r>
      <w:r>
        <w:rPr>
          <w:rStyle w:val="FootnoteReference"/>
        </w:rPr>
        <w:footnoteReference w:id="126"/>
      </w:r>
      <w:r>
        <w:t xml:space="preserve">  The </w:t>
      </w:r>
      <w:r w:rsidRPr="00EA5A38">
        <w:rPr>
          <w:i/>
        </w:rPr>
        <w:t>2015 Technology Transitions Order</w:t>
      </w:r>
      <w:r>
        <w:t xml:space="preserve"> acknowledges that distinction, stating in a footnote that “[t]he Commission will . . . continue to distinguish discontinuance of service that will affect service to retail customers from discontinuances that affect only the carrier-customer itself.”</w:t>
      </w:r>
      <w:r>
        <w:rPr>
          <w:rStyle w:val="FootnoteReference"/>
        </w:rPr>
        <w:footnoteReference w:id="127"/>
      </w:r>
      <w:r>
        <w:t xml:space="preserve">  Relying on </w:t>
      </w:r>
      <w:r w:rsidRPr="00EA5A38">
        <w:rPr>
          <w:i/>
        </w:rPr>
        <w:t>BellSouth Telephone</w:t>
      </w:r>
      <w:r>
        <w:t>,</w:t>
      </w:r>
      <w:r>
        <w:rPr>
          <w:rStyle w:val="FootnoteReference"/>
        </w:rPr>
        <w:footnoteReference w:id="128"/>
      </w:r>
      <w:r>
        <w:t xml:space="preserve"> however, the Commission adopted the view that upstream carriers have responsibility for carrier-customers’ end-user customers under Section 214(a).  Did the Commission correctly interpret </w:t>
      </w:r>
      <w:r w:rsidRPr="00EA5A38">
        <w:rPr>
          <w:i/>
        </w:rPr>
        <w:t>BellSouth Telephone</w:t>
      </w:r>
      <w:r>
        <w:t>, particularly in light of the facts of that case?</w:t>
      </w:r>
      <w:r>
        <w:rPr>
          <w:rStyle w:val="FootnoteReference"/>
        </w:rPr>
        <w:footnoteReference w:id="129"/>
      </w:r>
      <w:r>
        <w:t xml:space="preserve">  Did the Commission incorrectly read </w:t>
      </w:r>
      <w:r w:rsidRPr="00EA5A38">
        <w:rPr>
          <w:i/>
        </w:rPr>
        <w:t>BellSouth Telephone</w:t>
      </w:r>
      <w:r>
        <w:t xml:space="preserve"> to protect the business models of certain </w:t>
      </w:r>
      <w:r w:rsidRPr="001E779A">
        <w:t xml:space="preserve">downstream </w:t>
      </w:r>
      <w:r>
        <w:t xml:space="preserve">retail </w:t>
      </w:r>
      <w:r w:rsidRPr="001E779A">
        <w:t>carriers</w:t>
      </w:r>
      <w:r>
        <w:t>,</w:t>
      </w:r>
      <w:r w:rsidRPr="001E779A">
        <w:t xml:space="preserve"> regardless of the availability of the same </w:t>
      </w:r>
      <w:r>
        <w:t xml:space="preserve">or comparable </w:t>
      </w:r>
      <w:r w:rsidRPr="001E779A">
        <w:t xml:space="preserve">alternatives in the </w:t>
      </w:r>
      <w:r>
        <w:t xml:space="preserve">community?  All of the other cases cited in the </w:t>
      </w:r>
      <w:r w:rsidRPr="00EA5A38">
        <w:rPr>
          <w:i/>
        </w:rPr>
        <w:t>2015 Technology Transitions Order</w:t>
      </w:r>
      <w:r>
        <w:t xml:space="preserve"> found that Section 214(a) </w:t>
      </w:r>
      <w:r w:rsidRPr="002A486A">
        <w:t>did not apply</w:t>
      </w:r>
      <w:r>
        <w:t>.</w:t>
      </w:r>
      <w:r>
        <w:rPr>
          <w:rStyle w:val="FootnoteReference"/>
        </w:rPr>
        <w:footnoteReference w:id="130"/>
      </w:r>
      <w:r>
        <w:t xml:space="preserve">  Accordingly, did the Commission properly interpret and rely on those cases?  Considering that all but one of the cases predated the adoption of the 1996 Act and its specific protections for wholesale customers, including Section 251(c)(5), what continuing probative value do the cases have?  Indeed, </w:t>
      </w:r>
      <w:r w:rsidRPr="005621AB">
        <w:t xml:space="preserve">the only Commission precedent cited in the </w:t>
      </w:r>
      <w:r w:rsidRPr="00EA5A38">
        <w:rPr>
          <w:i/>
        </w:rPr>
        <w:t>2015 Technology Transitions Order</w:t>
      </w:r>
      <w:r>
        <w:t xml:space="preserve"> that</w:t>
      </w:r>
      <w:r w:rsidRPr="005621AB">
        <w:t xml:space="preserve"> postdate</w:t>
      </w:r>
      <w:r>
        <w:t>d</w:t>
      </w:r>
      <w:r w:rsidRPr="005621AB">
        <w:t xml:space="preserve"> the 1996 Act did not </w:t>
      </w:r>
      <w:r>
        <w:t xml:space="preserve">explicitly </w:t>
      </w:r>
      <w:r w:rsidRPr="005621AB">
        <w:t xml:space="preserve">consider the applicability of </w:t>
      </w:r>
      <w:r>
        <w:t>Section</w:t>
      </w:r>
      <w:r w:rsidRPr="005621AB">
        <w:t xml:space="preserve"> 251(c)(5).</w:t>
      </w:r>
      <w:r>
        <w:rPr>
          <w:rStyle w:val="FootnoteReference"/>
        </w:rPr>
        <w:footnoteReference w:id="131"/>
      </w:r>
      <w:r w:rsidRPr="005621AB">
        <w:t xml:space="preserve">  </w:t>
      </w:r>
      <w:r w:rsidRPr="00874CD5">
        <w:t xml:space="preserve">Did the Commission </w:t>
      </w:r>
      <w:r>
        <w:t xml:space="preserve">grant to </w:t>
      </w:r>
      <w:r w:rsidRPr="00874CD5">
        <w:t>carrier</w:t>
      </w:r>
      <w:r>
        <w:t>-customer</w:t>
      </w:r>
      <w:r w:rsidRPr="00874CD5">
        <w:t xml:space="preserve">s </w:t>
      </w:r>
      <w:r>
        <w:t xml:space="preserve">in 2015 </w:t>
      </w:r>
      <w:r w:rsidRPr="00874CD5">
        <w:t>rights</w:t>
      </w:r>
      <w:r>
        <w:t xml:space="preserve"> </w:t>
      </w:r>
      <w:r w:rsidRPr="00874CD5">
        <w:t>beyond Congress’</w:t>
      </w:r>
      <w:r>
        <w:t>s</w:t>
      </w:r>
      <w:r w:rsidRPr="00874CD5">
        <w:t xml:space="preserve"> intent in the 1996 Act </w:t>
      </w:r>
      <w:r>
        <w:t>in an attempt to</w:t>
      </w:r>
      <w:r w:rsidRPr="00874CD5">
        <w:t xml:space="preserve"> protect carrier</w:t>
      </w:r>
      <w:r>
        <w:t>-customer</w:t>
      </w:r>
      <w:r w:rsidRPr="00874CD5">
        <w:t>s’ end</w:t>
      </w:r>
      <w:r>
        <w:t xml:space="preserve"> </w:t>
      </w:r>
      <w:r w:rsidRPr="00874CD5">
        <w:t>users</w:t>
      </w:r>
      <w:r>
        <w:t>,</w:t>
      </w:r>
      <w:r w:rsidRPr="00874CD5">
        <w:t xml:space="preserve"> even though those end users have the benefit of the </w:t>
      </w:r>
      <w:r>
        <w:t>Section</w:t>
      </w:r>
      <w:r w:rsidRPr="00874CD5">
        <w:t xml:space="preserve"> 214(a) discontinuance process from </w:t>
      </w:r>
      <w:r>
        <w:t>their own provider?  What is the proper interplay between Section 251 and Section 214 in this context?</w:t>
      </w:r>
    </w:p>
    <w:p w:rsidR="00455188" w:rsidRPr="009A41F2" w:rsidRDefault="00455188" w:rsidP="00455188">
      <w:pPr>
        <w:pStyle w:val="Heading3"/>
      </w:pPr>
      <w:bookmarkStart w:id="319" w:name="_Toc478139492"/>
      <w:bookmarkStart w:id="320" w:name="_Toc478139598"/>
      <w:bookmarkStart w:id="321" w:name="_Toc478139649"/>
      <w:bookmarkStart w:id="322" w:name="_Toc477187539"/>
      <w:bookmarkStart w:id="323" w:name="_Toc477187679"/>
      <w:bookmarkStart w:id="324" w:name="_Toc477187935"/>
      <w:bookmarkStart w:id="325" w:name="_Toc477188037"/>
      <w:bookmarkStart w:id="326" w:name="_Toc477188124"/>
      <w:bookmarkStart w:id="327" w:name="_Toc477189012"/>
      <w:bookmarkStart w:id="328" w:name="_Toc477445777"/>
      <w:bookmarkStart w:id="329" w:name="_Toc477452995"/>
      <w:bookmarkStart w:id="330" w:name="_Toc477453161"/>
      <w:bookmarkStart w:id="331" w:name="_Toc477796020"/>
      <w:bookmarkStart w:id="332" w:name="_Toc478403102"/>
      <w:bookmarkStart w:id="333" w:name="_Toc478460146"/>
      <w:bookmarkStart w:id="334" w:name="_Toc478476693"/>
      <w:bookmarkStart w:id="335" w:name="_Toc479943031"/>
      <w:bookmarkStart w:id="336" w:name="_Toc480388535"/>
      <w:r>
        <w:t>Other Part 63 Proposals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455188" w:rsidRDefault="00455188" w:rsidP="00455188">
      <w:pPr>
        <w:pStyle w:val="ParaNum"/>
      </w:pPr>
      <w:r>
        <w:rPr>
          <w:i/>
        </w:rPr>
        <w:t>Further Streamlining of 214(a) Discontinuances</w:t>
      </w:r>
      <w:r>
        <w:t>.  In addition to the proposals discussed above, we seek comment on methods to streamline Section 214(a) applications more generally.  Specifically, we seek comment on whether it would be appropriate for the Commission to conclude that Section 214(a) discontinuances will not adversely affect the</w:t>
      </w:r>
      <w:r w:rsidRPr="00B47EAE">
        <w:t xml:space="preserve"> present or future </w:t>
      </w:r>
      <w:r>
        <w:t>public convenience and necessity, provided that fiber, IP-based, or wireless services are available to the affected community.  What type of showing would be required on the part of discontinuing carriers to demonstrate the existence of alternative services?  What types of fiber, IP-based, or wireless services would constitute acceptable</w:t>
      </w:r>
      <w:r w:rsidRPr="000B23BC">
        <w:t xml:space="preserve"> </w:t>
      </w:r>
      <w:r>
        <w:t>alternatives, and under what circumstances?  Would a demonstration regarding the availability of third-party services satisfy this kind of test, or would only services offered by the discontinuing carrier suffice?</w:t>
      </w:r>
    </w:p>
    <w:p w:rsidR="00455188" w:rsidRPr="007C5B61" w:rsidRDefault="00455188" w:rsidP="00455188">
      <w:pPr>
        <w:pStyle w:val="ParaNum"/>
      </w:pPr>
      <w:r>
        <w:t>We also seek comment on the best approach for granting streamlined treatment to these types of discontinuances.  In circumstances where a discontinuing carrier’s service overlaps with an alternative fiber, IP-based, or wireless service, should we require a Section 214 discontinuance application?  If not, should we either grant limited blanket discontinuance authority or forbear on a limited basis from Section 214?  If we require an application, would a grant of the Section 214 application upon acceptance for filing be appropriate or would allowing for public notice and comment be necessary to satisfy the requirements of Section 214(a)?  I</w:t>
      </w:r>
      <w:r w:rsidRPr="00DE5F1A">
        <w:t xml:space="preserve">f </w:t>
      </w:r>
      <w:r>
        <w:t>we maintain a comment period</w:t>
      </w:r>
      <w:r w:rsidRPr="00DE5F1A">
        <w:t xml:space="preserve">, should we reduce the comment and automatic grant timeframe? </w:t>
      </w:r>
      <w:r>
        <w:t xml:space="preserve"> As another alternative, should we instead </w:t>
      </w:r>
      <w:r w:rsidRPr="00B47EAE">
        <w:t xml:space="preserve">require carriers to file </w:t>
      </w:r>
      <w:r>
        <w:t xml:space="preserve">only a </w:t>
      </w:r>
      <w:r w:rsidRPr="00B47EAE">
        <w:t>notice of discontinuance acc</w:t>
      </w:r>
      <w:r>
        <w:t xml:space="preserve">ompanied by proof that fiber, IP-based, or wireless alternatives are available to the affected community, in lieu of a full application for approval?  If so, what proof would suffice, and how should the Commission review that filing?  </w:t>
      </w:r>
    </w:p>
    <w:p w:rsidR="00455188" w:rsidRPr="007749C4" w:rsidRDefault="00455188" w:rsidP="00D9706A">
      <w:pPr>
        <w:pStyle w:val="ParaNum"/>
        <w:widowControl/>
      </w:pPr>
      <w:r w:rsidRPr="00470293">
        <w:rPr>
          <w:i/>
        </w:rPr>
        <w:t>Section 63.71(g) Applications to Discontinue Service With No Customers</w:t>
      </w:r>
      <w:r>
        <w:t xml:space="preserve">.  We specifically propose to maintain but modify the provision adopted in the </w:t>
      </w:r>
      <w:r w:rsidRPr="00470293">
        <w:rPr>
          <w:i/>
        </w:rPr>
        <w:t xml:space="preserve">2016 Technology Transitions Order </w:t>
      </w:r>
      <w:r>
        <w:t>for streamlined treatment of Section 214 discontinuance applications for all services that have not had customers for a period of six months prior to submission of the application.</w:t>
      </w:r>
      <w:r>
        <w:rPr>
          <w:rStyle w:val="FootnoteReference"/>
        </w:rPr>
        <w:footnoteReference w:id="132"/>
      </w:r>
      <w:r>
        <w:t xml:space="preserve">  Under this rule, which was based on a proposal submitted to the Commission by AT&amp;T, carriers may certify to the Commission that the service to be discontinued is “a service </w:t>
      </w:r>
      <w:r w:rsidRPr="002953E8">
        <w:t>for which the requesting carrier has had no customers or reasonable requests for service during the 180-day period immediately preceding submission of the application</w:t>
      </w:r>
      <w:r>
        <w:t>,” and the application will be granted automatically on the 31st day after filing, unless the Commission has notified the applicant that the grant will not be automatically effective.</w:t>
      </w:r>
      <w:r>
        <w:rPr>
          <w:rStyle w:val="FootnoteReference"/>
        </w:rPr>
        <w:footnoteReference w:id="133"/>
      </w:r>
      <w:r>
        <w:t xml:space="preserve">  We note that at least one carrier representative has recently endorsed this provision of the rules adopted in the </w:t>
      </w:r>
      <w:r w:rsidRPr="00470293">
        <w:rPr>
          <w:i/>
        </w:rPr>
        <w:t xml:space="preserve">2016 Technology Transitions Order </w:t>
      </w:r>
      <w:r>
        <w:t>as an effective tool for reducing barriers to next generation infrastructure deployment.</w:t>
      </w:r>
      <w:r>
        <w:rPr>
          <w:rStyle w:val="FootnoteReference"/>
        </w:rPr>
        <w:footnoteReference w:id="134"/>
      </w:r>
      <w:r>
        <w:t xml:space="preserve">  </w:t>
      </w:r>
      <w:r w:rsidRPr="00F0583A">
        <w:t>We propose to shorten the timeframe during which a carrier must demonstrate that it has had no customers for a given service, from 180 days to 60 days, and seek comment on this modification.  Because this proposed rule applies only to services without customers, consumer harm from further streamlining these kinds of discontinuance applications appears unlikely</w:t>
      </w:r>
      <w:r>
        <w:t>.  We seek comment on retaining</w:t>
      </w:r>
      <w:r w:rsidRPr="00F0583A">
        <w:t xml:space="preserve"> and modif</w:t>
      </w:r>
      <w:r>
        <w:t>y</w:t>
      </w:r>
      <w:r w:rsidRPr="00F0583A">
        <w:t>ing</w:t>
      </w:r>
      <w:r>
        <w:t xml:space="preserve"> Section 63.71(g) as proposed, and on any other additions or amendments to the rule, such as shortening the time in which the application is automatically granted, that may further our goal of removing regulatory barriers to broadband investment.  </w:t>
      </w:r>
      <w:r w:rsidRPr="00470293">
        <w:t xml:space="preserve">Would a different timeframe during which a carrier must demonstrate that it has had no customers be more appropriate to balance the interests of discontinuing carriers and potential consumers of these services?  </w:t>
      </w:r>
    </w:p>
    <w:p w:rsidR="00455188" w:rsidRDefault="00455188" w:rsidP="00455188">
      <w:pPr>
        <w:pStyle w:val="ParaNum"/>
      </w:pPr>
      <w:r w:rsidRPr="00FC2970">
        <w:rPr>
          <w:i/>
        </w:rPr>
        <w:t>Section 63.71(i) Auto-grant</w:t>
      </w:r>
      <w:r>
        <w:rPr>
          <w:i/>
        </w:rPr>
        <w:t>s</w:t>
      </w:r>
      <w:r w:rsidRPr="00FC2970">
        <w:rPr>
          <w:i/>
        </w:rPr>
        <w:t xml:space="preserve"> </w:t>
      </w:r>
      <w:r>
        <w:rPr>
          <w:i/>
        </w:rPr>
        <w:t xml:space="preserve">for </w:t>
      </w:r>
      <w:r w:rsidRPr="00FC2970">
        <w:rPr>
          <w:i/>
        </w:rPr>
        <w:t>Competitive LEC</w:t>
      </w:r>
      <w:r>
        <w:rPr>
          <w:i/>
        </w:rPr>
        <w:t>s</w:t>
      </w:r>
      <w:r w:rsidRPr="00FC2970">
        <w:rPr>
          <w:i/>
        </w:rPr>
        <w:t xml:space="preserve"> Upon Copper Retirement. </w:t>
      </w:r>
      <w:r>
        <w:rPr>
          <w:i/>
        </w:rPr>
        <w:t xml:space="preserve"> </w:t>
      </w:r>
      <w:r w:rsidRPr="00FC2970">
        <w:t xml:space="preserve">We </w:t>
      </w:r>
      <w:r>
        <w:t>seek comment on</w:t>
      </w:r>
      <w:r w:rsidRPr="00FC2970">
        <w:t xml:space="preserve"> re</w:t>
      </w:r>
      <w:r>
        <w:t>vising</w:t>
      </w:r>
      <w:r w:rsidRPr="00FC2970">
        <w:t xml:space="preserve"> Section 63.71(i), </w:t>
      </w:r>
      <w:r>
        <w:t xml:space="preserve">which was adopted </w:t>
      </w:r>
      <w:r w:rsidRPr="001A65F0">
        <w:t xml:space="preserve">in the </w:t>
      </w:r>
      <w:r w:rsidRPr="00FC2970">
        <w:rPr>
          <w:i/>
        </w:rPr>
        <w:t>2016 Technology Transitions Order</w:t>
      </w:r>
      <w:r w:rsidRPr="001A65F0">
        <w:t xml:space="preserve"> to </w:t>
      </w:r>
      <w:r>
        <w:t>provide for automatic discontinuance authority, subject to certain conditions, for competitive LECs that must discontinue service on a date certain due to an incumbent LEC’s effective copper retirement.</w:t>
      </w:r>
      <w:r>
        <w:rPr>
          <w:rStyle w:val="FootnoteReference"/>
        </w:rPr>
        <w:footnoteReference w:id="135"/>
      </w:r>
      <w:r>
        <w:t xml:space="preserve">  Specifically, to the extent we eliminate Section 51.332,</w:t>
      </w:r>
      <w:r>
        <w:rPr>
          <w:rStyle w:val="FootnoteReference"/>
        </w:rPr>
        <w:footnoteReference w:id="136"/>
      </w:r>
      <w:r>
        <w:t xml:space="preserve"> we seek comment on revising Section 63.71(i) to include as a condition that the relevant network change notice provides no more than six months’ notice.  We also seek comment on how, if at all, we should modify </w:t>
      </w:r>
      <w:r w:rsidRPr="00E75BAC">
        <w:t>Section 63.71(i)</w:t>
      </w:r>
      <w:r>
        <w:t xml:space="preserve"> to further harmonize it with any revisions we adopt herein to the incumbent LEC copper retirement process under Part 51 of our rules. </w:t>
      </w:r>
      <w:r w:rsidRPr="00E75BAC">
        <w:t xml:space="preserve"> </w:t>
      </w:r>
      <w:r>
        <w:t xml:space="preserve">We seek to ensure our rules take into account situations, where, </w:t>
      </w:r>
      <w:r w:rsidRPr="002A0F81">
        <w:t>through no fault of its own</w:t>
      </w:r>
      <w:r>
        <w:t xml:space="preserve">, a </w:t>
      </w:r>
      <w:r w:rsidRPr="001A65F0">
        <w:t xml:space="preserve">competitive LEC </w:t>
      </w:r>
      <w:r>
        <w:t>is unable to comply with our S</w:t>
      </w:r>
      <w:r w:rsidRPr="002A0F81">
        <w:t xml:space="preserve">ection 214(a) discontinuance </w:t>
      </w:r>
      <w:r>
        <w:t xml:space="preserve">requirements as a result of an incumbent </w:t>
      </w:r>
      <w:r w:rsidRPr="002A0F81">
        <w:t>LEC</w:t>
      </w:r>
      <w:r>
        <w:t>’</w:t>
      </w:r>
      <w:r w:rsidRPr="002A0F81">
        <w:t xml:space="preserve">s </w:t>
      </w:r>
      <w:r>
        <w:t>transition to a next</w:t>
      </w:r>
      <w:r w:rsidR="008D0EA0">
        <w:t>-</w:t>
      </w:r>
      <w:r>
        <w:t>generation network.  To the extent we reduce the waiting period for implementing planned copper retirements, would this eliminate the need for or necessitate any changes to Section 63.71(i)?</w:t>
      </w:r>
    </w:p>
    <w:p w:rsidR="00455188" w:rsidRPr="005B2904" w:rsidRDefault="00455188" w:rsidP="00455188">
      <w:pPr>
        <w:pStyle w:val="ParaNum"/>
      </w:pPr>
      <w:r w:rsidRPr="00400BC7">
        <w:rPr>
          <w:i/>
        </w:rPr>
        <w:t>2016 Technology Transitions Order Revisions to Sections 63.71(a)-(b)</w:t>
      </w:r>
      <w:r>
        <w:t xml:space="preserve">.  We seek comment on whether we should retain, modify, or eliminate the changes made by the </w:t>
      </w:r>
      <w:r w:rsidRPr="00400BC7">
        <w:rPr>
          <w:i/>
        </w:rPr>
        <w:t xml:space="preserve">2016 Technology Transitions Order </w:t>
      </w:r>
      <w:r>
        <w:t xml:space="preserve">to Section 63.71(a) and the introduction of new Section 63.71(b).  The </w:t>
      </w:r>
      <w:r w:rsidRPr="00400BC7">
        <w:rPr>
          <w:i/>
        </w:rPr>
        <w:t xml:space="preserve">2016 Technology Transitions Order </w:t>
      </w:r>
      <w:r>
        <w:t>modified Section 63.71(a) by requiring carriers to provide notice of discontinuance applications to any federally-recognized Tribal Nations with authority over the Tribal lands in which the discontinuance, reduction, or impairment of service is proposed.</w:t>
      </w:r>
      <w:r>
        <w:rPr>
          <w:rStyle w:val="FootnoteReference"/>
        </w:rPr>
        <w:footnoteReference w:id="137"/>
      </w:r>
      <w:r>
        <w:t xml:space="preserve">  It also modified Section 63.71(a) to clearly permit carriers to provide e-mail notice to customers of discontinuance applications, and it established requirements in Section 63.71(b) that carriers must meet when using e-mail to satisfy the written notice requirements</w:t>
      </w:r>
      <w:r w:rsidRPr="005B2904">
        <w:t>.</w:t>
      </w:r>
      <w:r>
        <w:t xml:space="preserve"> </w:t>
      </w:r>
      <w:bookmarkStart w:id="337" w:name="_Toc477187540"/>
      <w:bookmarkStart w:id="338" w:name="_Toc477187680"/>
      <w:bookmarkStart w:id="339" w:name="_Toc477187936"/>
      <w:bookmarkStart w:id="340" w:name="_Toc477188038"/>
      <w:bookmarkStart w:id="341" w:name="_Toc477188125"/>
      <w:bookmarkStart w:id="342" w:name="_Toc477189013"/>
      <w:bookmarkStart w:id="343" w:name="_Toc477445778"/>
      <w:bookmarkStart w:id="344" w:name="_Toc477452996"/>
      <w:bookmarkStart w:id="345" w:name="_Toc477453162"/>
      <w:bookmarkStart w:id="346" w:name="_Toc477796021"/>
      <w:bookmarkStart w:id="347" w:name="_Toc478050616"/>
    </w:p>
    <w:p w:rsidR="00455188" w:rsidRPr="00DA393A" w:rsidRDefault="00455188" w:rsidP="00455188">
      <w:pPr>
        <w:pStyle w:val="Heading1"/>
      </w:pPr>
      <w:bookmarkStart w:id="348" w:name="_Toc477187541"/>
      <w:bookmarkStart w:id="349" w:name="_Toc477187681"/>
      <w:bookmarkStart w:id="350" w:name="_Toc477187937"/>
      <w:bookmarkStart w:id="351" w:name="_Toc477188039"/>
      <w:bookmarkStart w:id="352" w:name="_Toc477188126"/>
      <w:bookmarkStart w:id="353" w:name="_Toc477189014"/>
      <w:bookmarkStart w:id="354" w:name="_Toc477445779"/>
      <w:bookmarkStart w:id="355" w:name="_Toc477452997"/>
      <w:bookmarkStart w:id="356" w:name="_Toc477453163"/>
      <w:bookmarkStart w:id="357" w:name="_Toc477796022"/>
      <w:bookmarkStart w:id="358" w:name="_Toc478050617"/>
      <w:bookmarkStart w:id="359" w:name="_Toc478138479"/>
      <w:bookmarkStart w:id="360" w:name="_Toc478139494"/>
      <w:bookmarkStart w:id="361" w:name="_Toc478139600"/>
      <w:bookmarkStart w:id="362" w:name="_Toc478139651"/>
      <w:bookmarkStart w:id="363" w:name="_Toc478394346"/>
      <w:bookmarkStart w:id="364" w:name="_Toc478398208"/>
      <w:bookmarkStart w:id="365" w:name="_Toc478403103"/>
      <w:bookmarkStart w:id="366" w:name="_Toc478460147"/>
      <w:bookmarkStart w:id="367" w:name="_Toc478476694"/>
      <w:bookmarkStart w:id="368" w:name="_Toc479943032"/>
      <w:bookmarkStart w:id="369" w:name="_Toc480388536"/>
      <w:r>
        <w:t>NOTICE OF INQUIRY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455188" w:rsidRDefault="00455188" w:rsidP="00455188">
      <w:pPr>
        <w:pStyle w:val="Heading2"/>
      </w:pPr>
      <w:bookmarkStart w:id="370" w:name="_Toc478138478"/>
      <w:bookmarkStart w:id="371" w:name="_Toc478139493"/>
      <w:bookmarkStart w:id="372" w:name="_Toc478139599"/>
      <w:bookmarkStart w:id="373" w:name="_Toc478139650"/>
      <w:bookmarkStart w:id="374" w:name="_Toc478394347"/>
      <w:bookmarkStart w:id="375" w:name="_Toc478398209"/>
      <w:bookmarkStart w:id="376" w:name="_Toc478403104"/>
      <w:bookmarkStart w:id="377" w:name="_Toc478460148"/>
      <w:bookmarkStart w:id="378" w:name="_Toc478476695"/>
      <w:bookmarkStart w:id="379" w:name="_Toc479943033"/>
      <w:bookmarkStart w:id="380" w:name="_Toc480388537"/>
      <w:bookmarkStart w:id="381" w:name="_Toc477187543"/>
      <w:bookmarkStart w:id="382" w:name="_Toc477187683"/>
      <w:bookmarkStart w:id="383" w:name="_Toc477187939"/>
      <w:bookmarkStart w:id="384" w:name="_Toc477188041"/>
      <w:bookmarkStart w:id="385" w:name="_Toc477188128"/>
      <w:bookmarkStart w:id="386" w:name="_Toc477189016"/>
      <w:bookmarkStart w:id="387" w:name="_Toc477445781"/>
      <w:bookmarkStart w:id="388" w:name="_Toc477452999"/>
      <w:bookmarkStart w:id="389" w:name="_Toc477453165"/>
      <w:bookmarkStart w:id="390" w:name="_Toc477796024"/>
      <w:bookmarkStart w:id="391" w:name="_Toc478050619"/>
      <w:bookmarkStart w:id="392" w:name="_Toc478138481"/>
      <w:bookmarkStart w:id="393" w:name="_Toc478139496"/>
      <w:bookmarkStart w:id="394" w:name="_Toc478139602"/>
      <w:bookmarkStart w:id="395" w:name="_Toc478139653"/>
      <w:r>
        <w:t>Prohibiting State and Local Laws Inhibiting Broadband Deployment</w:t>
      </w:r>
      <w:bookmarkEnd w:id="337"/>
      <w:bookmarkEnd w:id="338"/>
      <w:bookmarkEnd w:id="339"/>
      <w:bookmarkEnd w:id="340"/>
      <w:bookmarkEnd w:id="341"/>
      <w:bookmarkEnd w:id="342"/>
      <w:bookmarkEnd w:id="343"/>
      <w:bookmarkEnd w:id="344"/>
      <w:bookmarkEnd w:id="345"/>
      <w:bookmarkEnd w:id="346"/>
      <w:bookmarkEnd w:id="347"/>
      <w:bookmarkEnd w:id="370"/>
      <w:bookmarkEnd w:id="371"/>
      <w:bookmarkEnd w:id="372"/>
      <w:bookmarkEnd w:id="373"/>
      <w:bookmarkEnd w:id="374"/>
      <w:bookmarkEnd w:id="375"/>
      <w:bookmarkEnd w:id="376"/>
      <w:bookmarkEnd w:id="377"/>
      <w:bookmarkEnd w:id="378"/>
      <w:bookmarkEnd w:id="379"/>
      <w:bookmarkEnd w:id="380"/>
    </w:p>
    <w:p w:rsidR="00455188" w:rsidRPr="00864D1F" w:rsidRDefault="00455188" w:rsidP="00455188">
      <w:pPr>
        <w:pStyle w:val="ParaNum"/>
      </w:pPr>
      <w:r>
        <w:t>We seek comment on whether we should enact rules, consistent with our authority under Section 253 of the Act, to promote the deployment of broadband infrastructure by preempting state and local laws that inhibit broadband deployment</w:t>
      </w:r>
      <w:r w:rsidRPr="00501716">
        <w:t>.</w:t>
      </w:r>
      <w:r>
        <w:t xml:space="preserve">  </w:t>
      </w:r>
      <w:r w:rsidRPr="005930F5">
        <w:rPr>
          <w:rFonts w:eastAsia="Calibri"/>
          <w:snapToGrid/>
          <w:kern w:val="0"/>
        </w:rPr>
        <w:t xml:space="preserve">Section 253(a), which generally </w:t>
      </w:r>
      <w:r>
        <w:rPr>
          <w:rFonts w:eastAsia="Calibri"/>
          <w:snapToGrid/>
          <w:kern w:val="0"/>
        </w:rPr>
        <w:t>provides that no</w:t>
      </w:r>
      <w:r w:rsidRPr="005930F5">
        <w:rPr>
          <w:rFonts w:eastAsia="Calibri"/>
          <w:snapToGrid/>
          <w:kern w:val="0"/>
        </w:rPr>
        <w:t xml:space="preserve"> state and local </w:t>
      </w:r>
      <w:r>
        <w:rPr>
          <w:rFonts w:eastAsia="Calibri"/>
          <w:snapToGrid/>
          <w:kern w:val="0"/>
        </w:rPr>
        <w:t>legal requirements</w:t>
      </w:r>
      <w:r w:rsidRPr="005930F5">
        <w:rPr>
          <w:rFonts w:eastAsia="Calibri"/>
          <w:snapToGrid/>
          <w:kern w:val="0"/>
        </w:rPr>
        <w:t xml:space="preserve"> “may prohibit or have the effect of prohibiting” the provisioning of interstate or intrastate telecommunications services,</w:t>
      </w:r>
      <w:r w:rsidRPr="005930F5">
        <w:rPr>
          <w:rStyle w:val="FootnoteReference"/>
          <w:rFonts w:eastAsia="Calibri"/>
          <w:snapToGrid/>
          <w:kern w:val="0"/>
        </w:rPr>
        <w:footnoteReference w:id="138"/>
      </w:r>
      <w:r w:rsidRPr="005930F5">
        <w:rPr>
          <w:rFonts w:eastAsia="Calibri"/>
          <w:snapToGrid/>
          <w:kern w:val="0"/>
        </w:rPr>
        <w:t xml:space="preserve"> provides the Commission with “a rule of preemption” that “articulates a reasonably broad limitation on state and local governments’ authority to regulate telecommunications providers.”</w:t>
      </w:r>
      <w:r w:rsidRPr="005930F5">
        <w:rPr>
          <w:rStyle w:val="FootnoteReference"/>
          <w:rFonts w:eastAsia="Calibri"/>
          <w:snapToGrid/>
          <w:kern w:val="0"/>
          <w:szCs w:val="22"/>
        </w:rPr>
        <w:footnoteReference w:id="139"/>
      </w:r>
      <w:r w:rsidRPr="005930F5">
        <w:rPr>
          <w:rFonts w:eastAsia="Calibri"/>
          <w:snapToGrid/>
          <w:kern w:val="0"/>
        </w:rPr>
        <w:t xml:space="preserve">  Section 253(b), provides exceptions for state and local legal requirements that are competitively neutral, consistent with Section 254 of the Act, and necessary to preserve and advance universal service.</w:t>
      </w:r>
      <w:r w:rsidRPr="005930F5">
        <w:rPr>
          <w:rFonts w:eastAsia="Calibri"/>
          <w:snapToGrid/>
          <w:kern w:val="0"/>
          <w:vertAlign w:val="superscript"/>
        </w:rPr>
        <w:footnoteReference w:id="140"/>
      </w:r>
      <w:r w:rsidRPr="005930F5">
        <w:rPr>
          <w:rFonts w:eastAsia="Calibri"/>
          <w:snapToGrid/>
          <w:kern w:val="0"/>
        </w:rPr>
        <w:t xml:space="preserve">  Section 253(c) provides another exception described by the Eighth Circuit as a “safe harbor functioning as an affirmative defense” which “limits the ability of state and local governments to regulate their rights-of-way or charge ‘fair and reasonable compensation.’”</w:t>
      </w:r>
      <w:r w:rsidRPr="005930F5">
        <w:rPr>
          <w:rStyle w:val="FootnoteReference"/>
          <w:rFonts w:eastAsia="Calibri"/>
          <w:snapToGrid/>
          <w:kern w:val="0"/>
          <w:szCs w:val="22"/>
        </w:rPr>
        <w:footnoteReference w:id="141"/>
      </w:r>
      <w:r w:rsidRPr="005930F5">
        <w:rPr>
          <w:rFonts w:eastAsia="Calibri"/>
          <w:snapToGrid/>
          <w:kern w:val="0"/>
        </w:rPr>
        <w:t xml:space="preserve">  Under Section 253(d), Congress directed the FCC to preempt the enforcement of any legal requirement which violates 253(a) or 253(b) “after notice and an opportunity for public comment.”</w:t>
      </w:r>
      <w:r w:rsidRPr="005930F5">
        <w:rPr>
          <w:rFonts w:eastAsia="Calibri"/>
          <w:snapToGrid/>
          <w:kern w:val="0"/>
          <w:vertAlign w:val="superscript"/>
        </w:rPr>
        <w:footnoteReference w:id="142"/>
      </w:r>
    </w:p>
    <w:p w:rsidR="00455188" w:rsidRPr="00501716" w:rsidRDefault="00455188" w:rsidP="00455188">
      <w:pPr>
        <w:pStyle w:val="ParaNum"/>
      </w:pPr>
      <w:r>
        <w:t>While we recognize that not all state and local regulation poses a barrier to broadband development, we seek comment below on a number of specific areas where we could utilize our authority under Section 253 to enact rules to prevent states and localities from enforcing laws that “may prohibit or have the effect of prohibiting the ability of any entity to provide any interstate or intrastate telecommunications service.”</w:t>
      </w:r>
      <w:r>
        <w:rPr>
          <w:rStyle w:val="FootnoteReference"/>
        </w:rPr>
        <w:footnoteReference w:id="143"/>
      </w:r>
      <w:r>
        <w:t xml:space="preserve">  In our preliminary view, restrictions on broadband deployment may effectively prohibit the provision of telecommunications service, and we seek comment on this view.  What telecommunications services are effectively prohibited by restrictions on broadband deployment?  </w:t>
      </w:r>
      <w:r w:rsidRPr="00937D8B">
        <w:t>In each case described below, we seek comment on whether the laws in question are inconsistent with Section 253</w:t>
      </w:r>
      <w:r w:rsidRPr="009A1CF4">
        <w:t>(a)’s</w:t>
      </w:r>
      <w:r w:rsidRPr="00C17DDE">
        <w:t xml:space="preserve"> prohibition on local laws that inhibit </w:t>
      </w:r>
      <w:r>
        <w:t>provision of telecommunications service.</w:t>
      </w:r>
      <w:r>
        <w:rPr>
          <w:rStyle w:val="FootnoteReference"/>
        </w:rPr>
        <w:footnoteReference w:id="144"/>
      </w:r>
      <w:r>
        <w:t xml:space="preserve"> </w:t>
      </w:r>
    </w:p>
    <w:p w:rsidR="00455188" w:rsidRPr="00501716" w:rsidRDefault="00455188" w:rsidP="00455188">
      <w:pPr>
        <w:pStyle w:val="ParaNum"/>
      </w:pPr>
      <w:r w:rsidRPr="00CF7767">
        <w:rPr>
          <w:i/>
        </w:rPr>
        <w:t>Deployment Moratoria</w:t>
      </w:r>
      <w:r>
        <w:t xml:space="preserve">.  First, we seek comment on adopting rules prohibiting state or local moratoria on market entry or the deployment of telecommunications facilities.  We also seek comment on the types of conduct such rules should prevent.  We invite commenters to identify examples of moratoria that states and localities have adopted.  How do state and local moratoria interfere with facilities deployment or service provision?  What types of delays result from local moratoria (e.g., application processing, construction)?  How do moratoria affect the cost of deployment and providing service, and is this cost passed down to the consumer?  Are there any types of moratoria that help advance the goals of the Act?  If we adopt the proposal to prohibit moratoria, should we provide an exception for certain moratoria, such as those that are limited to exigent circumstances or that have certain sharply restricted time limits?  If so, what time limits should be permissible?  </w:t>
      </w:r>
    </w:p>
    <w:p w:rsidR="00455188" w:rsidRDefault="00455188" w:rsidP="00455188">
      <w:pPr>
        <w:pStyle w:val="ParaNum"/>
      </w:pPr>
      <w:r>
        <w:rPr>
          <w:i/>
        </w:rPr>
        <w:t xml:space="preserve">Rights-of-Way </w:t>
      </w:r>
      <w:r w:rsidRPr="00CF7767">
        <w:rPr>
          <w:i/>
        </w:rPr>
        <w:t xml:space="preserve">Negotiation </w:t>
      </w:r>
      <w:r>
        <w:rPr>
          <w:i/>
        </w:rPr>
        <w:t xml:space="preserve">and Approval Process </w:t>
      </w:r>
      <w:r w:rsidRPr="00CF7767">
        <w:rPr>
          <w:i/>
        </w:rPr>
        <w:t>Delays.</w:t>
      </w:r>
      <w:r>
        <w:t xml:space="preserve">  Second, we seek comment on adopting rules to eliminate excessive delays in negotiations and approvals for rights-of-way agreements and permitting for telecommunications services.  We invite commenters to identify examples of excessive delays.  How can the Commission streamline the negotiation and approval process?  For instance, should the Commission adopt a mandatory negotiation and/or approval time period, and if so, what would be an appropriate amount of time for negotiations?  For purposes of evaluating the timeliness of negotiations, when should the Commission consider the negotiations as having started and having stopped?  For example, the Commission adopted rules placing time limits on applicants for cable franchises.</w:t>
      </w:r>
      <w:r>
        <w:rPr>
          <w:rStyle w:val="FootnoteReference"/>
        </w:rPr>
        <w:footnoteReference w:id="145"/>
      </w:r>
      <w:r>
        <w:t xml:space="preserve">  We seek comment on similar rules for telecommunications rights-of-way applicants.  How have slow negotiation or approval processes inhibited the provision of telecommunications service?  Are there any examples of delays that jeopardized investors or deployment in general?  How can local governments expedite rights-of-way negotiations and approvals?  Are there any examples of successful expedited processes?  How should regulations placing time limits on negotiations address or recognize delays in processing applications or negotiations that result from local moratoria?  For example, in 2014, the Commission clarified that the shot clock timeframe for </w:t>
      </w:r>
      <w:r w:rsidRPr="009811DF">
        <w:t xml:space="preserve">wireless siting applications </w:t>
      </w:r>
      <w:r>
        <w:t>runs regardless of any moratorium.</w:t>
      </w:r>
      <w:r>
        <w:rPr>
          <w:rStyle w:val="FootnoteReference"/>
        </w:rPr>
        <w:footnoteReference w:id="146"/>
      </w:r>
      <w:r>
        <w:t xml:space="preserve">  Are stalled negotiations and approvals ever justified, and if so how could new rules take these situations into account?   </w:t>
      </w:r>
    </w:p>
    <w:p w:rsidR="00455188" w:rsidRDefault="00455188" w:rsidP="00D9706A">
      <w:pPr>
        <w:pStyle w:val="ParaNum"/>
        <w:widowControl/>
      </w:pPr>
      <w:r>
        <w:rPr>
          <w:i/>
        </w:rPr>
        <w:t xml:space="preserve">Excessive </w:t>
      </w:r>
      <w:r w:rsidRPr="00CF7767">
        <w:rPr>
          <w:i/>
        </w:rPr>
        <w:t>Fees</w:t>
      </w:r>
      <w:r>
        <w:rPr>
          <w:i/>
        </w:rPr>
        <w:t xml:space="preserve"> and Other Excessive Costs</w:t>
      </w:r>
      <w:r w:rsidRPr="00CF7767">
        <w:rPr>
          <w:i/>
        </w:rPr>
        <w:t>.</w:t>
      </w:r>
      <w:r>
        <w:rPr>
          <w:i/>
        </w:rPr>
        <w:t xml:space="preserve">  </w:t>
      </w:r>
      <w:r>
        <w:t>Third, we seek comment on adopting rules prohibiting excessive fees and other costs that may have the effect of prohibiting the provision of telecommunications service.  We invite commenters to identify examples of fees adopted by states and localities that commenters consider excessive.  For example, we note that many states and localities charge rights-of-way fees.  Our preliminary view is that Section 253 applies to fees other than cable franchise fees as defined by Section 622(g) of the Act and we seek comment on this view.</w:t>
      </w:r>
      <w:r>
        <w:rPr>
          <w:rStyle w:val="FootnoteReference"/>
        </w:rPr>
        <w:footnoteReference w:id="147"/>
      </w:r>
      <w:r>
        <w:t xml:space="preserve">  By “rights-of-way fees,” we refer to those fees including, but not limited to, fees that states or local authorities impose for access to rights-of-way, permitting, construction, licensure, providing a telecommunications service, or any other fees that relate to the provision of telecommunications service.  We recognize Section 622 of the Act governs the administration of cable franchise fees,</w:t>
      </w:r>
      <w:r>
        <w:rPr>
          <w:rStyle w:val="FootnoteReference"/>
        </w:rPr>
        <w:footnoteReference w:id="148"/>
      </w:r>
      <w:r>
        <w:t xml:space="preserve"> and that Section 622(i) limits the Commission’s authority to “regulate the amount of the franchise fees paid by a cable operator, or regulate the use of funds derived from such fees,” except as otherwise permitted elsewhere in Section 622.</w:t>
      </w:r>
      <w:r>
        <w:rPr>
          <w:rStyle w:val="FootnoteReference"/>
        </w:rPr>
        <w:footnoteReference w:id="149"/>
      </w:r>
      <w:r>
        <w:t xml:space="preserve">  Our preliminary view is that Section 622(i) would prevent the Commission from enacting rules pursuant to Section 253 to address “excessive” cable franchise fees, but that such franchise fees could be taken into account when determining whether other types of fees are excessive.  We seek comment on this view.  Also, we seek comment on whether there are different types of state or local fees, authorized under the provisions of the Act other than 622, for which application of Section 253 would not be appropriate.</w:t>
      </w:r>
    </w:p>
    <w:p w:rsidR="00455188" w:rsidRPr="00501716" w:rsidRDefault="00455188" w:rsidP="00455188">
      <w:pPr>
        <w:pStyle w:val="ParaNum"/>
      </w:pPr>
      <w:r>
        <w:t xml:space="preserve">We recognize that states and localities have many legitimate reasons for adopting fees, and thus our focus is directed only on truly excessive fees that have the effect of cutting off competition. We seek comment on how the Commission </w:t>
      </w:r>
      <w:r w:rsidRPr="00501716">
        <w:t>should defi</w:t>
      </w:r>
      <w:r>
        <w:t>ne what constitutes “excessive” fees.</w:t>
      </w:r>
      <w:r w:rsidRPr="00501716">
        <w:t xml:space="preserve">  </w:t>
      </w:r>
      <w:r w:rsidRPr="00DB3344">
        <w:t xml:space="preserve">For example, should </w:t>
      </w:r>
      <w:r>
        <w:t xml:space="preserve">rights-of-way </w:t>
      </w:r>
      <w:r w:rsidRPr="00DB3344">
        <w:t>fees be capped at a certain percentage of a provider’s gross revenues in the permitted area?</w:t>
      </w:r>
      <w:r>
        <w:t xml:space="preserve">  If so, at what percentage?  For example, Section 622 of the Act provides that for any twelve-month period, the franchise fees paid by a cable operator with respect to a cable system shall not exceed five percent of the cable operator’s gross revenues derived from a cable service.</w:t>
      </w:r>
      <w:r>
        <w:rPr>
          <w:rStyle w:val="FootnoteReference"/>
        </w:rPr>
        <w:footnoteReference w:id="150"/>
      </w:r>
      <w:r>
        <w:t xml:space="preserve">  When a provider seeks to offer additional services using the rights-of-way under an existing franchise or authorization, are there circumstances in which it may be excessive to require the provider to pay additional fees in connection with the introduction of additional services?  More broadly, are fees tied to a provider’s gross revenues “fair and reasonable” if divorced from the costs to the state or locality of allowing access?  If we look at costs in assessing fees, should we focus on the incremental costs of each new attacher?  Should attachers be required to contribute to joint and common costs?  And if so, should we look holistically at whether a state or locality recovers more than the total cost of providing access to the right of way from all attaching entities?  We seek comment on evaluating other fees in a similar manner.  </w:t>
      </w:r>
      <w:r w:rsidRPr="00501716">
        <w:t xml:space="preserve">Are states and localities imposing fees that are not “fair and reasonable” for </w:t>
      </w:r>
      <w:r>
        <w:t>access to local rights-of-way?</w:t>
      </w:r>
      <w:r w:rsidRPr="00595DAE">
        <w:rPr>
          <w:rStyle w:val="FootnoteReference"/>
        </w:rPr>
        <w:t xml:space="preserve"> </w:t>
      </w:r>
      <w:r>
        <w:rPr>
          <w:rStyle w:val="FootnoteReference"/>
        </w:rPr>
        <w:footnoteReference w:id="151"/>
      </w:r>
      <w:r>
        <w:t xml:space="preserve">  How do these fees compare to construction costs?  Should fees be capped to only cover costs incurred by the locality to maintain and manage the rights-of-way?  Should we require that application fees not exceed the costs reasonably associated with the administrative costs to review and process an application?  Should any increase in fees be capped or controlled?</w:t>
      </w:r>
      <w:r w:rsidRPr="00501716">
        <w:t xml:space="preserve"> </w:t>
      </w:r>
      <w:r>
        <w:t xml:space="preserve"> For example, should fees increases be capped at </w:t>
      </w:r>
      <w:r w:rsidR="001926F9">
        <w:t xml:space="preserve">ten </w:t>
      </w:r>
      <w:r>
        <w:t xml:space="preserve">percent a year?  What types of fees should we consider within the scope of any rule we adopt?  How do excessive fees impact consumers? </w:t>
      </w:r>
    </w:p>
    <w:p w:rsidR="00455188" w:rsidRDefault="00455188" w:rsidP="00455188">
      <w:pPr>
        <w:pStyle w:val="ParaNum"/>
      </w:pPr>
      <w:r>
        <w:rPr>
          <w:i/>
        </w:rPr>
        <w:t xml:space="preserve">Unreasonable </w:t>
      </w:r>
      <w:r w:rsidRPr="00CF7767">
        <w:rPr>
          <w:i/>
        </w:rPr>
        <w:t>Conditions</w:t>
      </w:r>
      <w:r>
        <w:t xml:space="preserve">.  Fourth, we seek comment on adopting rules prohibiting unreasonable conditions or requirements in the context of granting access to rights-of-way, permitting, construction, or licensure related to the provision of telecommunications services.  For example, we seek comment on rights-of-way conditions that inhibit the deployment of broadband by forcing broadband providers to expend resources on costs not related to rights-of-way management.  Do these conditions make the playing field uneven for smaller broadband providers and potential new entrants?  If the Commission were to adopt such rules, how should the Commission define what constitutes an “unreasonable” rights-of-way condition?  We seek comment from both providers and local governments on conditions that they consider are reasonable and unreasonable.  Should the Commission place limitations on requirements that compel the telecommunications service provider to furnish service or products to the right-of-way or franchise authority for free or at a discount such as building out service where it is not demanded by consumers, donating equipment, or delivering free broadband to government buildings?  Should non-network related costs be factored into any kind of a fee cap?  For instance, the Commission determined that non-incidental franchise-related costs and in-kind payments unrelated to the provision of cable service required by local franchise authorities for cable franchises count toward the </w:t>
      </w:r>
      <w:r w:rsidR="001926F9">
        <w:t xml:space="preserve">five </w:t>
      </w:r>
      <w:r>
        <w:t>percent cable franchise fee cap.</w:t>
      </w:r>
      <w:r>
        <w:rPr>
          <w:rStyle w:val="FootnoteReference"/>
        </w:rPr>
        <w:footnoteReference w:id="152"/>
      </w:r>
      <w:r>
        <w:t xml:space="preserve">  We seek comment on whether the Commission should adopt similar rules for telecommunication rights-of-way agreements.</w:t>
      </w:r>
    </w:p>
    <w:p w:rsidR="00455188" w:rsidRPr="006F2D1B" w:rsidRDefault="00455188" w:rsidP="00455188">
      <w:pPr>
        <w:pStyle w:val="ParaNum"/>
      </w:pPr>
      <w:r w:rsidRPr="00CF7767">
        <w:rPr>
          <w:i/>
        </w:rPr>
        <w:t>Bad Faith Negotiation Conduct.</w:t>
      </w:r>
      <w:r>
        <w:rPr>
          <w:i/>
        </w:rPr>
        <w:t xml:space="preserve">  </w:t>
      </w:r>
      <w:r>
        <w:t xml:space="preserve">Fifth, we seek comment on whether the Commission should adopt rules banning bad faith conduct in the context of deployment, rights-of-way, permitting, construction, or licensure negotiations and processes.  We seek comment on what types of bad faith conduct such rules should prohibit and examples of such conduct.  Should the Commission ban bad faith conduct generally, specific forms of bad faith conduct, or both?  Should the Commission establish specific objective criteria that define the meaning of “bad faith” insofar as the Commission prohibits “bad faith” conduct generally?  If so, we seek comment on proposed criteria.  What types of negotiation conduct have directly affected the provision of telecommunications service?  Would a streamlined process for responding to bad faith complaints help negate such behavior?  What would that process look like?  </w:t>
      </w:r>
    </w:p>
    <w:p w:rsidR="00455188" w:rsidRDefault="00455188" w:rsidP="00455188">
      <w:pPr>
        <w:pStyle w:val="ParaNum"/>
      </w:pPr>
      <w:r w:rsidRPr="00CF7767">
        <w:rPr>
          <w:i/>
        </w:rPr>
        <w:t>Other Prohibitive State and Local Laws.</w:t>
      </w:r>
      <w:r>
        <w:rPr>
          <w:i/>
        </w:rPr>
        <w:t xml:space="preserve"> </w:t>
      </w:r>
      <w:r w:rsidRPr="00736904">
        <w:t xml:space="preserve"> </w:t>
      </w:r>
      <w:r>
        <w:t>Finally, w</w:t>
      </w:r>
      <w:r w:rsidRPr="00736904">
        <w:t xml:space="preserve">e </w:t>
      </w:r>
      <w:r>
        <w:t xml:space="preserve">seek comment regarding any </w:t>
      </w:r>
      <w:r w:rsidRPr="00501716">
        <w:t xml:space="preserve">other </w:t>
      </w:r>
      <w:r>
        <w:t xml:space="preserve">instances where the Commission could adopt rules to preempt </w:t>
      </w:r>
      <w:r w:rsidRPr="00501716">
        <w:t>state or local legal requirements</w:t>
      </w:r>
      <w:r>
        <w:t xml:space="preserve"> or practices</w:t>
      </w:r>
      <w:r w:rsidRPr="00501716">
        <w:t xml:space="preserve"> that prohibit </w:t>
      </w:r>
      <w:r>
        <w:t>the provision of telecommunications service.</w:t>
      </w:r>
      <w:r w:rsidRPr="00501716">
        <w:t xml:space="preserve">  </w:t>
      </w:r>
      <w:r>
        <w:t>For instance, should the Commission adopt rules regarding the transparency of local and state application processes?  Could the Commission use its authority under Section 253 to regulate access to municipally-owned poles when the actions of the municipality are deemed to be prohibiting or effectively prohibiting the provisions of telecommunications service?  If so, could the Commission use its Section 253 authority in states that regulate pole attachment under Section 224(c)?</w:t>
      </w:r>
      <w:r>
        <w:rPr>
          <w:rStyle w:val="FootnoteReference"/>
        </w:rPr>
        <w:footnoteReference w:id="153"/>
      </w:r>
      <w:r>
        <w:t xml:space="preserve">   </w:t>
      </w:r>
      <w:r w:rsidRPr="00501716">
        <w:t>Are there any other local ordinances that erect ba</w:t>
      </w:r>
      <w:r>
        <w:t xml:space="preserve">rriers to the provision of telecommunications service </w:t>
      </w:r>
      <w:r w:rsidRPr="00501716">
        <w:t>especially</w:t>
      </w:r>
      <w:r>
        <w:t xml:space="preserve"> as applied to new entrants?  Are there any other specific rights-of-way management practices that frustrate, delay or inhibit the provision of telecommunications service?  The Commission has described Section 253(a) as preempting conduct by a locality that materially inhibits or limits the ability of a provider “to compete in a fair and balanced legal and regulatory environment.”</w:t>
      </w:r>
      <w:r w:rsidRPr="0015645E">
        <w:rPr>
          <w:rStyle w:val="FootnoteReference"/>
        </w:rPr>
        <w:t xml:space="preserve"> </w:t>
      </w:r>
      <w:r>
        <w:rPr>
          <w:rStyle w:val="FootnoteReference"/>
        </w:rPr>
        <w:footnoteReference w:id="154"/>
      </w:r>
      <w:r>
        <w:t xml:space="preserve">  Is this the legal standard that should apply here?  We seek comment on identifying particular practices, regulations and requirements that would be deemed to violate Section 253 in order to provide localities and industry with greater predictability and certainty.  </w:t>
      </w:r>
    </w:p>
    <w:p w:rsidR="00455188" w:rsidRPr="00D00040" w:rsidRDefault="00455188" w:rsidP="00455188">
      <w:pPr>
        <w:pStyle w:val="ParaNum"/>
      </w:pPr>
      <w:r w:rsidRPr="00D00040">
        <w:rPr>
          <w:i/>
        </w:rPr>
        <w:t>Authority to Adopt Rules.</w:t>
      </w:r>
      <w:r>
        <w:t xml:space="preserve">  T</w:t>
      </w:r>
      <w:r w:rsidRPr="00501716">
        <w:t>he Commission has</w:t>
      </w:r>
      <w:r>
        <w:t xml:space="preserve"> historically</w:t>
      </w:r>
      <w:r w:rsidRPr="00501716">
        <w:t xml:space="preserve"> used its </w:t>
      </w:r>
      <w:r>
        <w:t xml:space="preserve">Section </w:t>
      </w:r>
      <w:r w:rsidRPr="00501716">
        <w:t xml:space="preserve">253 authority to </w:t>
      </w:r>
      <w:r>
        <w:t>respond to preemption petitions that involve competition issues and relationships among the federal, state and local levels of government.</w:t>
      </w:r>
      <w:r>
        <w:rPr>
          <w:rStyle w:val="FootnoteReference"/>
        </w:rPr>
        <w:footnoteReference w:id="155"/>
      </w:r>
      <w:r>
        <w:t xml:space="preserve">  We seek comment on our authority under Section 253 to adopt rules that prospectively prohibit the enforcement of local laws that would otherwise prevent or hinder the provision of telecommunications service.  Our view is that under Section 201(b)</w:t>
      </w:r>
      <w:r>
        <w:rPr>
          <w:rStyle w:val="FootnoteReference"/>
        </w:rPr>
        <w:footnoteReference w:id="156"/>
      </w:r>
      <w:r>
        <w:t xml:space="preserve"> and Section 253, the Commission has the authority to engage in a rulemaking to adopt rules that further define when a state or local legal requirement or practice constitutes an effective barrier to the provision of telecommunications service under Section 253(a).</w:t>
      </w:r>
      <w:r>
        <w:rPr>
          <w:rStyle w:val="FootnoteReference"/>
        </w:rPr>
        <w:footnoteReference w:id="157"/>
      </w:r>
      <w:r>
        <w:t xml:space="preserve">  We seek comment on this approach.  We also recognize that state and local governments have authority, pursuant to Sections 253(b) and (c) to, among other things, regulate telecommunications services to protect the public safety and welfare, provide universal service, and to manage public rights-of-way on a non-discriminatory basis.  How can we ensure that any rules we adopt comport with Sections 253(b) and (c)?  Should we adopt the text of Sections 253(b) and (c), to the extent relevant, as explicit carve-outs from any rules that we adopt?  Could we include the substance of Sections 253(b) and (c) in rules without an explicit, verbatim carve-out?  Would enacting rules conflict with Section 253(b) or (c)?  </w:t>
      </w:r>
    </w:p>
    <w:p w:rsidR="00455188" w:rsidRDefault="00455188" w:rsidP="00455188">
      <w:pPr>
        <w:pStyle w:val="ParaNum"/>
      </w:pPr>
      <w:r>
        <w:t xml:space="preserve">Would adopting rules to interpret or implement Section 253(a) be consistent with Section 253(d), which directs the Commission to preempt the enforcement of particular </w:t>
      </w:r>
      <w:r w:rsidRPr="00FA3DAF">
        <w:t xml:space="preserve">State or local </w:t>
      </w:r>
      <w:r>
        <w:t>statutes, regulations, or legal requirements “</w:t>
      </w:r>
      <w:r w:rsidRPr="001A0F57">
        <w:t>to the extent necessary to correct such violation or inconsistency</w:t>
      </w:r>
      <w:r>
        <w:t>”?</w:t>
      </w:r>
      <w:r>
        <w:rPr>
          <w:rStyle w:val="FootnoteReference"/>
        </w:rPr>
        <w:footnoteReference w:id="158"/>
      </w:r>
      <w:r>
        <w:t xml:space="preserve">  Subsection (d) directs the Commission to preempt such particular requirements “after notice and an opportunity for public comment.”  Does this preclude the adoption of general rules?  Would notice, comment, and adjudicatory action in a Commission proceeding to take enforcement action following a rule violation satisfy these procedural specifications?  Can we read Section 253(d) as setting forth a non-mandatory procedural vehicle that is not implicated when adopting rules pursuant to Sections 253(a)-(c)?  If the Commission were to adopt rules pursuant to Section 253, we seek comment on whether Section 622 of the Act limits the Commission’s authority to enact rules with respect to non-cable franchise fee rights-of-way practices that might apply to cable operators in their capacities as telecommunications providers.</w:t>
      </w:r>
      <w:r>
        <w:rPr>
          <w:rStyle w:val="FootnoteReference"/>
        </w:rPr>
        <w:footnoteReference w:id="159"/>
      </w:r>
    </w:p>
    <w:p w:rsidR="00455188" w:rsidRDefault="00455188" w:rsidP="00455188">
      <w:pPr>
        <w:pStyle w:val="ParaNum"/>
      </w:pPr>
      <w:r>
        <w:rPr>
          <w:i/>
          <w:iCs/>
        </w:rPr>
        <w:t xml:space="preserve">Collaboration With States and Localities. </w:t>
      </w:r>
      <w:r>
        <w:t xml:space="preserve">We also seek comment on actions the Commission can take to work with states and localities to remove the barriers to broadband deployment.  </w:t>
      </w:r>
      <w:r>
        <w:rPr>
          <w:iCs/>
        </w:rPr>
        <w:t xml:space="preserve">The Commission’s newly formed </w:t>
      </w:r>
      <w:r>
        <w:t>Broadband Deployment Advisory Committee (BDAC) includes members from states and localities, and it has been charged with working to develop model codes for municipalities and states.</w:t>
      </w:r>
      <w:r>
        <w:rPr>
          <w:rStyle w:val="FootnoteReference"/>
        </w:rPr>
        <w:footnoteReference w:id="160"/>
      </w:r>
      <w:r>
        <w:t>  The BDAC will also consider additional steps that can be taken to remove state and local regulatory barriers.</w:t>
      </w:r>
      <w:r>
        <w:rPr>
          <w:rStyle w:val="FootnoteReference"/>
        </w:rPr>
        <w:footnoteReference w:id="161"/>
      </w:r>
      <w:r>
        <w:t xml:space="preserve">  Are there additional actions outside of the BDAC that the Commission can take to work with states and localities to promote adoption of policies that encourage deployment?  </w:t>
      </w:r>
    </w:p>
    <w:p w:rsidR="00455188" w:rsidRPr="007E0AFC" w:rsidRDefault="00455188" w:rsidP="00455188">
      <w:pPr>
        <w:pStyle w:val="ParaNum"/>
      </w:pPr>
      <w:r>
        <w:t>We recognize that states and localities play a vital role in deployment and addressing the needs of their residents.  How can we best account for states’ and localities’ important roles?  Are collaborative efforts such as the development of recommendations through the BDAC sufficient to address the issues described above?  What are the benefits and burdens of such an approach? To what extent should we rely on collaborative processes to remove barriers to broadband deployment before resorting to preemption?</w:t>
      </w:r>
    </w:p>
    <w:p w:rsidR="00455188" w:rsidRDefault="00455188" w:rsidP="00455188">
      <w:pPr>
        <w:pStyle w:val="Heading2"/>
      </w:pPr>
      <w:bookmarkStart w:id="396" w:name="SP;8b3b0000958a4"/>
      <w:bookmarkStart w:id="397" w:name="IN;1"/>
      <w:bookmarkStart w:id="398" w:name="IN;2"/>
      <w:bookmarkStart w:id="399" w:name="_Toc478394348"/>
      <w:bookmarkStart w:id="400" w:name="_Toc478398210"/>
      <w:bookmarkStart w:id="401" w:name="_Toc478403105"/>
      <w:bookmarkStart w:id="402" w:name="_Toc478460149"/>
      <w:bookmarkStart w:id="403" w:name="_Toc478476696"/>
      <w:bookmarkStart w:id="404" w:name="_Toc479943034"/>
      <w:bookmarkStart w:id="405" w:name="_Toc480388538"/>
      <w:bookmarkEnd w:id="396"/>
      <w:bookmarkEnd w:id="397"/>
      <w:bookmarkEnd w:id="398"/>
      <w:r>
        <w:t>Preemption of State Laws Governing Copper Retirement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9"/>
      <w:bookmarkEnd w:id="400"/>
      <w:bookmarkEnd w:id="401"/>
      <w:bookmarkEnd w:id="402"/>
      <w:bookmarkEnd w:id="403"/>
      <w:bookmarkEnd w:id="404"/>
      <w:bookmarkEnd w:id="405"/>
    </w:p>
    <w:p w:rsidR="00455188" w:rsidRPr="004E3F62" w:rsidRDefault="00455188" w:rsidP="00455188">
      <w:pPr>
        <w:pStyle w:val="ParaNum"/>
      </w:pPr>
      <w:r>
        <w:t>We seek comment on whether there are state laws governing the maintenance or retirement of copper facilities that serve as a barrier to deploying next-generation technologies and services that the Commission might seek to preempt.  For example, certain states require utilities or specific carriers to maintain adequate equipment and facilities.</w:t>
      </w:r>
      <w:r>
        <w:rPr>
          <w:rStyle w:val="FootnoteReference"/>
        </w:rPr>
        <w:footnoteReference w:id="162"/>
      </w:r>
      <w:r>
        <w:t xml:space="preserve">  Other states empower public utilities commissions, either acting on their own authority or in response to a complaint, to require utilities or specific carriers to maintain, repair, or improve facilities or equipment or to have in place a written preventative maintenance program.</w:t>
      </w:r>
      <w:r w:rsidRPr="00534B86">
        <w:rPr>
          <w:rStyle w:val="FootnoteReference"/>
        </w:rPr>
        <w:t xml:space="preserve"> </w:t>
      </w:r>
      <w:r>
        <w:rPr>
          <w:rStyle w:val="FootnoteReference"/>
        </w:rPr>
        <w:footnoteReference w:id="163"/>
      </w:r>
      <w:r>
        <w:t xml:space="preserve">  First, we seek comment on the impact of state legacy service quality and copper facilities maintenance regulations.  Next, we seek comment on the impact of state laws restricting the retirement of copper facilities.  In each case, how common are these regulations, and in how many states do they exist?  How burdensome are such regulations, and what benefits do they provide?  Are </w:t>
      </w:r>
      <w:r w:rsidRPr="004E3F62">
        <w:t xml:space="preserve">incumbent LECs </w:t>
      </w:r>
      <w:r>
        <w:t>or other carriers less</w:t>
      </w:r>
      <w:r w:rsidRPr="004E3F62">
        <w:t xml:space="preserve"> likely to deploy fiber in states that continu</w:t>
      </w:r>
      <w:r>
        <w:t>e to impose service quality and facilities maintenance requirements</w:t>
      </w:r>
      <w:r w:rsidRPr="004E3F62">
        <w:t xml:space="preserve"> than in those states that have chosen to deregulate</w:t>
      </w:r>
      <w:r>
        <w:t xml:space="preserve">?  </w:t>
      </w:r>
    </w:p>
    <w:p w:rsidR="00455188" w:rsidRPr="001B1321" w:rsidRDefault="00455188" w:rsidP="00D9706A">
      <w:pPr>
        <w:pStyle w:val="ParaNum"/>
        <w:widowControl/>
      </w:pPr>
      <w:r>
        <w:t>We seek comment on whether</w:t>
      </w:r>
      <w:r w:rsidRPr="004E3F62">
        <w:t xml:space="preserve"> Section 253 </w:t>
      </w:r>
      <w:r>
        <w:t xml:space="preserve">of the Act provides the Commission with authority </w:t>
      </w:r>
      <w:r w:rsidRPr="004E3F62">
        <w:t xml:space="preserve">to preempt state laws </w:t>
      </w:r>
      <w:r>
        <w:t xml:space="preserve">and regulations </w:t>
      </w:r>
      <w:r w:rsidRPr="004E3F62">
        <w:t xml:space="preserve">governing </w:t>
      </w:r>
      <w:r>
        <w:t xml:space="preserve">service quality, facilities maintenance, or copper retirement </w:t>
      </w:r>
      <w:r w:rsidRPr="004E3F62">
        <w:t>that are impeding fiber deployment</w:t>
      </w:r>
      <w:r>
        <w:t>.</w:t>
      </w:r>
      <w:r>
        <w:rPr>
          <w:rStyle w:val="FootnoteReference"/>
        </w:rPr>
        <w:footnoteReference w:id="164"/>
      </w:r>
      <w:r>
        <w:t xml:space="preserve">  </w:t>
      </w:r>
      <w:r w:rsidRPr="00BB4134">
        <w:t>Do</w:t>
      </w:r>
      <w:r>
        <w:t xml:space="preserve"> any such</w:t>
      </w:r>
      <w:r w:rsidRPr="00BB4134">
        <w:t xml:space="preserve"> laws “have the effect of prohibiting the ability of </w:t>
      </w:r>
      <w:r>
        <w:t>[those incumbent LECs]</w:t>
      </w:r>
      <w:r w:rsidRPr="00BB4134">
        <w:t xml:space="preserve"> to provide any interstate or intrastate telecommunications service?”</w:t>
      </w:r>
      <w:r>
        <w:rPr>
          <w:rStyle w:val="FootnoteReference"/>
        </w:rPr>
        <w:footnoteReference w:id="165"/>
      </w:r>
      <w:r>
        <w:t xml:space="preserve">  Are such laws either not “competitively neutral” or not “necessary to preserve and advance universal service, protect the public safety and welfare, ensure the continued quality of telecommunications services, and safeguard the rights of consumers,” such that state authority is not preserved from preemption under Section 253(b)?</w:t>
      </w:r>
      <w:r>
        <w:rPr>
          <w:rStyle w:val="FootnoteReference"/>
        </w:rPr>
        <w:footnoteReference w:id="166"/>
      </w:r>
      <w:r>
        <w:t xml:space="preserve">  Commenters arguing in favor of preemption should identify specific</w:t>
      </w:r>
      <w:r w:rsidRPr="004E3F62">
        <w:t xml:space="preserve"> </w:t>
      </w:r>
      <w:r>
        <w:t xml:space="preserve">state </w:t>
      </w:r>
      <w:r w:rsidRPr="004E3F62">
        <w:t>laws</w:t>
      </w:r>
      <w:r>
        <w:t xml:space="preserve"> they believe to be at issue.</w:t>
      </w:r>
      <w:r w:rsidRPr="004E3F62">
        <w:t xml:space="preserve">  </w:t>
      </w:r>
      <w:r>
        <w:t>Would preemption allow</w:t>
      </w:r>
      <w:r w:rsidRPr="004E3F62">
        <w:t xml:space="preserve"> the Commission </w:t>
      </w:r>
      <w:r>
        <w:t>to</w:t>
      </w:r>
      <w:r w:rsidRPr="004E3F62">
        <w:t xml:space="preserve"> develop a uniform nationwide copper retirement policy for facilitating </w:t>
      </w:r>
      <w:r>
        <w:t>deployment of next-generation technologies</w:t>
      </w:r>
      <w:r w:rsidRPr="004E3F62">
        <w:t>?</w:t>
      </w:r>
      <w:r>
        <w:t xml:space="preserve">  Are there other sources of authority for Commission preemption of the state laws being discussed that we should consider using</w:t>
      </w:r>
      <w:r>
        <w:rPr>
          <w:color w:val="000000"/>
          <w:shd w:val="clear" w:color="auto" w:fill="FFFFFF"/>
        </w:rPr>
        <w:t>?</w:t>
      </w:r>
    </w:p>
    <w:p w:rsidR="00455188" w:rsidRDefault="00455188" w:rsidP="00455188">
      <w:pPr>
        <w:pStyle w:val="Heading1"/>
      </w:pPr>
      <w:bookmarkStart w:id="406" w:name="_Toc477187544"/>
      <w:bookmarkStart w:id="407" w:name="_Toc477187684"/>
      <w:bookmarkStart w:id="408" w:name="_Toc477187940"/>
      <w:bookmarkStart w:id="409" w:name="_Toc477188042"/>
      <w:bookmarkStart w:id="410" w:name="_Toc477188129"/>
      <w:bookmarkStart w:id="411" w:name="_Toc477189017"/>
      <w:bookmarkStart w:id="412" w:name="_Toc477445782"/>
      <w:bookmarkStart w:id="413" w:name="_Toc477453000"/>
      <w:bookmarkStart w:id="414" w:name="_Toc477453166"/>
      <w:bookmarkStart w:id="415" w:name="_Toc477796025"/>
      <w:bookmarkStart w:id="416" w:name="_Toc478050620"/>
      <w:bookmarkStart w:id="417" w:name="_Toc478138482"/>
      <w:bookmarkStart w:id="418" w:name="_Toc478139497"/>
      <w:bookmarkStart w:id="419" w:name="_Toc478139603"/>
      <w:bookmarkStart w:id="420" w:name="_Toc478139654"/>
      <w:bookmarkStart w:id="421" w:name="_Toc478394349"/>
      <w:bookmarkStart w:id="422" w:name="_Toc478398211"/>
      <w:bookmarkStart w:id="423" w:name="_Toc478403106"/>
      <w:bookmarkStart w:id="424" w:name="_Toc478460150"/>
      <w:bookmarkStart w:id="425" w:name="_Toc478476697"/>
      <w:bookmarkStart w:id="426" w:name="_Toc479943035"/>
      <w:bookmarkStart w:id="427" w:name="_Toc480388539"/>
      <w:r>
        <w:rPr>
          <w:caps w:val="0"/>
        </w:rPr>
        <w:t>REQUEST FOR COMMENT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455188" w:rsidRDefault="00455188" w:rsidP="00455188">
      <w:pPr>
        <w:pStyle w:val="Heading2"/>
      </w:pPr>
      <w:bookmarkStart w:id="428" w:name="_Toc478050621"/>
      <w:bookmarkStart w:id="429" w:name="_Toc478138483"/>
      <w:bookmarkStart w:id="430" w:name="_Toc478139498"/>
      <w:bookmarkStart w:id="431" w:name="_Toc478139604"/>
      <w:bookmarkStart w:id="432" w:name="_Toc478139655"/>
      <w:bookmarkStart w:id="433" w:name="_Toc478403107"/>
      <w:bookmarkStart w:id="434" w:name="_Toc478460151"/>
      <w:bookmarkStart w:id="435" w:name="_Toc478476698"/>
      <w:bookmarkStart w:id="436" w:name="_Toc479943036"/>
      <w:bookmarkStart w:id="437" w:name="_Toc480388540"/>
      <w:r>
        <w:t>The “Functional Test” Standard</w:t>
      </w:r>
      <w:bookmarkEnd w:id="428"/>
      <w:bookmarkEnd w:id="429"/>
      <w:bookmarkEnd w:id="430"/>
      <w:bookmarkEnd w:id="431"/>
      <w:bookmarkEnd w:id="432"/>
      <w:bookmarkEnd w:id="433"/>
      <w:bookmarkEnd w:id="434"/>
      <w:bookmarkEnd w:id="435"/>
      <w:bookmarkEnd w:id="436"/>
      <w:bookmarkEnd w:id="437"/>
    </w:p>
    <w:p w:rsidR="00455188" w:rsidRPr="00437FEA" w:rsidRDefault="00455188" w:rsidP="00455188">
      <w:pPr>
        <w:pStyle w:val="ParaNum"/>
      </w:pPr>
      <w:r>
        <w:t xml:space="preserve">In November 2014, the Commission adopted a </w:t>
      </w:r>
      <w:r w:rsidRPr="002D1F32">
        <w:rPr>
          <w:i/>
        </w:rPr>
        <w:t>sua sponte</w:t>
      </w:r>
      <w:r>
        <w:t xml:space="preserve"> </w:t>
      </w:r>
      <w:r w:rsidRPr="00BB096F">
        <w:t>Declaratory Ruling</w:t>
      </w:r>
      <w:r w:rsidRPr="002D1F32">
        <w:rPr>
          <w:i/>
        </w:rPr>
        <w:t xml:space="preserve"> </w:t>
      </w:r>
      <w:r w:rsidR="002D48CC">
        <w:t xml:space="preserve">determining </w:t>
      </w:r>
      <w:r w:rsidRPr="00E656C3">
        <w:t xml:space="preserve">that when analyzing whether network changes </w:t>
      </w:r>
      <w:r>
        <w:t xml:space="preserve">contemplated by a carrier </w:t>
      </w:r>
      <w:r w:rsidRPr="00E656C3">
        <w:t>constitute a discontinuance, reduction, or impairment of service for purposes of de</w:t>
      </w:r>
      <w:r>
        <w:t>termining</w:t>
      </w:r>
      <w:r w:rsidRPr="00E656C3">
        <w:t xml:space="preserve"> whether </w:t>
      </w:r>
      <w:r>
        <w:t>S</w:t>
      </w:r>
      <w:r w:rsidRPr="00E656C3">
        <w:t>ection 214(a) discontinuance authority</w:t>
      </w:r>
      <w:r>
        <w:t xml:space="preserve"> is </w:t>
      </w:r>
      <w:r w:rsidRPr="002D1F32">
        <w:t>required</w:t>
      </w:r>
      <w:r w:rsidRPr="00E656C3">
        <w:t>, the Commission applies a “functional test</w:t>
      </w:r>
      <w:r>
        <w:t>.</w:t>
      </w:r>
      <w:r w:rsidRPr="00E656C3">
        <w:t>”</w:t>
      </w:r>
      <w:r>
        <w:rPr>
          <w:rStyle w:val="FootnoteReference"/>
        </w:rPr>
        <w:footnoteReference w:id="167"/>
      </w:r>
      <w:r>
        <w:t xml:space="preserve">  We seek comment on whether we should revisit</w:t>
      </w:r>
      <w:r w:rsidR="00461400">
        <w:t xml:space="preserve">, </w:t>
      </w:r>
      <w:r>
        <w:t>and ultimately the proper scope</w:t>
      </w:r>
      <w:r w:rsidR="00461400">
        <w:t xml:space="preserve"> </w:t>
      </w:r>
      <w:r>
        <w:t>of</w:t>
      </w:r>
      <w:r w:rsidR="00461400">
        <w:t>,</w:t>
      </w:r>
      <w:r>
        <w:t xml:space="preserve"> the Commission’s 2014 Declaratory Ruling and subsequent 2015 Order on Reconsideration expanding</w:t>
      </w:r>
      <w:r w:rsidRPr="00437FEA">
        <w:t xml:space="preserve"> what constitutes a “service” for purposes of </w:t>
      </w:r>
      <w:r>
        <w:t>S</w:t>
      </w:r>
      <w:r w:rsidRPr="00437FEA">
        <w:t xml:space="preserve">ection 214(a) </w:t>
      </w:r>
      <w:r>
        <w:t xml:space="preserve">discontinuance </w:t>
      </w:r>
      <w:r w:rsidRPr="00437FEA">
        <w:t>review.</w:t>
      </w:r>
      <w:r>
        <w:rPr>
          <w:rStyle w:val="FootnoteReference"/>
        </w:rPr>
        <w:footnoteReference w:id="168"/>
      </w:r>
      <w:r>
        <w:t xml:space="preserve">  Specifically, we seek comment on “the functional test,” an interpretation of Section 214(a) that obligates the Commission to look beyond the terms of a carrier’s tariff and instead consider the totality of the circumstances from the perspective of the relevant community when analyzing whether a service is discontinued, reduced, or impaired under Section 214.</w:t>
      </w:r>
      <w:r>
        <w:rPr>
          <w:rStyle w:val="FootnoteReference"/>
        </w:rPr>
        <w:footnoteReference w:id="169"/>
      </w:r>
      <w:r>
        <w:t xml:space="preserve">  </w:t>
      </w:r>
    </w:p>
    <w:p w:rsidR="00455188" w:rsidRDefault="00455188" w:rsidP="00455188">
      <w:pPr>
        <w:pStyle w:val="ParaNum"/>
      </w:pPr>
      <w:r>
        <w:t xml:space="preserve">We seek comment on whether </w:t>
      </w:r>
      <w:r w:rsidRPr="00EE1900">
        <w:t xml:space="preserve">a carrier’s description in its tariff—or customer service agreement in the absence of a tariff—should be dispositive as to what </w:t>
      </w:r>
      <w:r>
        <w:t>comprises</w:t>
      </w:r>
      <w:r w:rsidRPr="00EE1900">
        <w:t xml:space="preserve"> the “service”</w:t>
      </w:r>
      <w:r>
        <w:t xml:space="preserve"> within the meaning of the Section 214(a) discontinuance requirement, and we seek comment on this proposal.  We anticipate that our proposed approach will allow all parties to determine clearly when a discontinuance occurs based on objective criteria, and we seek comment on this proposed conclusion.  How would this interpretation impact investment in next-generation services and consumers?  How would this interpretation impact the consumers and communities whose service is being discontinued?   </w:t>
      </w:r>
    </w:p>
    <w:p w:rsidR="00455188" w:rsidRDefault="00455188" w:rsidP="00455188">
      <w:pPr>
        <w:pStyle w:val="ParaNum"/>
      </w:pPr>
      <w:r>
        <w:t>D</w:t>
      </w:r>
      <w:r w:rsidRPr="00EE1900">
        <w:t xml:space="preserve">oes what the carrier describes and holds itself out as offering determine the scope of the service </w:t>
      </w:r>
      <w:r>
        <w:t xml:space="preserve">offering </w:t>
      </w:r>
      <w:r w:rsidRPr="00EE1900">
        <w:t xml:space="preserve">in question?  </w:t>
      </w:r>
      <w:r>
        <w:t>Is this interpretation consistent with principles of contract and the filed rate doctrine?</w:t>
      </w:r>
      <w:r>
        <w:rPr>
          <w:rStyle w:val="FootnoteReference"/>
        </w:rPr>
        <w:footnoteReference w:id="170"/>
      </w:r>
      <w:r>
        <w:t xml:space="preserve">  Under the filed rate doctrine, carriers are specifically prohibited from “extend[ing] to any person any privileges” with respect to a tariffed service except as specified in the tariff.</w:t>
      </w:r>
      <w:r>
        <w:rPr>
          <w:rStyle w:val="FootnoteReference"/>
        </w:rPr>
        <w:footnoteReference w:id="171"/>
      </w:r>
      <w:r>
        <w:t xml:space="preserve">  Thus, under this doctrine, no person or community can enforce or rely on any aspect of a tariffed service that is not described in the tariff.</w:t>
      </w:r>
      <w:r>
        <w:rPr>
          <w:rStyle w:val="FootnoteReference"/>
        </w:rPr>
        <w:footnoteReference w:id="172"/>
      </w:r>
      <w:r>
        <w:t xml:space="preserve">  Under traditional principles of contract law, the terms of a carrier’s service agreement with a customer, whatever form it may take, define its obligations to that customer and vice versa.</w:t>
      </w:r>
      <w:r>
        <w:rPr>
          <w:rStyle w:val="FootnoteReference"/>
        </w:rPr>
        <w:footnoteReference w:id="173"/>
      </w:r>
      <w:r>
        <w:t xml:space="preserve">  However, under traditional principles of contract law, a contract is construed against the drafter of the contract.  How should this inform our interpretation of whether a consumer is adequately protected by the four corners of a contract or tariff?  Does this lead to a more consistent reading of Sections 203 and 214 than the “functional test”?  Alternatively, does this approach inadequately protect consumers and communities?  Should we take into account what some have asserted is unequal bargaining power between carriers and customers in evaluating whether consumers are adequately protected?</w:t>
      </w:r>
      <w:r>
        <w:rPr>
          <w:rStyle w:val="FootnoteReference"/>
        </w:rPr>
        <w:footnoteReference w:id="174"/>
      </w:r>
      <w:r>
        <w:t xml:space="preserve">  What are the impacts associated with transitioning from a functional test to the narrower test we seek comment on here?  Is it consistent with the language of Section 214(a), which puts the burden on the discontinuing carrier, to evaluate the broader impact of the discontinuance rather than simply the narrow terms of the contract? </w:t>
      </w:r>
    </w:p>
    <w:p w:rsidR="00455188" w:rsidRDefault="00455188" w:rsidP="00D9706A">
      <w:pPr>
        <w:pStyle w:val="ParaNum"/>
        <w:widowControl/>
      </w:pPr>
      <w:r>
        <w:t>Beyond the filed rate doctrine and traditional principles of contract law, we seek comment on whether this more narrow definition of “service” is consistent with Commission precedent.  Proponents of defining service from the perspective of tariffs or contracts claim this to be the Commission’s long-held view.</w:t>
      </w:r>
      <w:r>
        <w:rPr>
          <w:rStyle w:val="FootnoteReference"/>
        </w:rPr>
        <w:footnoteReference w:id="175"/>
      </w:r>
      <w:r>
        <w:t xml:space="preserve">  Do commenters agree or disagree with this assertion?  For example, USTelecom points out that</w:t>
      </w:r>
      <w:r w:rsidRPr="00A34B96">
        <w:t xml:space="preserve"> </w:t>
      </w:r>
      <w:r w:rsidRPr="00A34B96">
        <w:rPr>
          <w:i/>
        </w:rPr>
        <w:t>Carter</w:t>
      </w:r>
      <w:r>
        <w:rPr>
          <w:i/>
        </w:rPr>
        <w:t>f</w:t>
      </w:r>
      <w:r w:rsidRPr="00A34B96">
        <w:rPr>
          <w:i/>
        </w:rPr>
        <w:t xml:space="preserve">one </w:t>
      </w:r>
      <w:r>
        <w:t>held that customers could attach third-party devices to the telephone service they purchased, while noting that if the underlying telephone network technology and standards changed, the device must be “rebuilt to comply with the revised standards” or the customer would have to “discontinue its use.”</w:t>
      </w:r>
      <w:r>
        <w:rPr>
          <w:rStyle w:val="FootnoteReference"/>
        </w:rPr>
        <w:footnoteReference w:id="176"/>
      </w:r>
      <w:r>
        <w:t xml:space="preserve">  The Commission went on to explain that such is “the risk inherent in the private ownership of any equipment to be used in connection with the telephone system.”</w:t>
      </w:r>
      <w:r>
        <w:rPr>
          <w:rStyle w:val="FootnoteReference"/>
        </w:rPr>
        <w:footnoteReference w:id="177"/>
      </w:r>
      <w:r>
        <w:t xml:space="preserve">  Similarly, during</w:t>
      </w:r>
      <w:r w:rsidRPr="0072574C">
        <w:t xml:space="preserve"> </w:t>
      </w:r>
      <w:r>
        <w:t>the era when telephone exchanges operated for only limited hours during the day, USTelecom reminds us that the Commission’s rules allowed carriers to adjust the particular hours of telephone exchange operation without Commission approval, so long as the total number of hours remained constant.</w:t>
      </w:r>
      <w:r>
        <w:rPr>
          <w:rStyle w:val="FootnoteReference"/>
        </w:rPr>
        <w:footnoteReference w:id="178"/>
      </w:r>
      <w:r>
        <w:t xml:space="preserve">  We seek comment on how this and other precedent should influence our interpretation.  Are there other sources of law, including Commission rules or actions, that should inform our interpretation?</w:t>
      </w:r>
    </w:p>
    <w:p w:rsidR="00455188" w:rsidRDefault="00455188" w:rsidP="00455188">
      <w:pPr>
        <w:pStyle w:val="ParaNum"/>
      </w:pPr>
      <w:r>
        <w:t xml:space="preserve">We also seek comment on whether the “functional test” is too vague and prohibitively broad </w:t>
      </w:r>
      <w:r w:rsidRPr="00055E41">
        <w:t xml:space="preserve">for carriers and consumers </w:t>
      </w:r>
      <w:r>
        <w:t>trying to determine</w:t>
      </w:r>
      <w:r w:rsidRPr="00055E41">
        <w:t xml:space="preserve"> what services </w:t>
      </w:r>
      <w:r>
        <w:t>do and do not trigger the requirement to obtain Section 214(a) discontinuance authority.  We note that there appears to be a lack of objective criteria by which a carrier may determine whether an application is necessary.  How can we ensure that carriers do not need to acquire Commission permission before discontinuing almost “every [network] feature no matter how little-used or old-fashioned”?</w:t>
      </w:r>
      <w:r>
        <w:rPr>
          <w:rStyle w:val="FootnoteReference"/>
        </w:rPr>
        <w:footnoteReference w:id="179"/>
      </w:r>
      <w:r>
        <w:t xml:space="preserve">  How do we appropriately balance the needs of consumers and communities in this context?  USTelecom has claimed that the “functional test” results in unnecessary and costly Section 214 discontinuance filings and creates additional burdens on carriers, delaying the transition to new networks and technologies.</w:t>
      </w:r>
      <w:r>
        <w:rPr>
          <w:rStyle w:val="FootnoteReference"/>
        </w:rPr>
        <w:footnoteReference w:id="180"/>
      </w:r>
      <w:r>
        <w:t xml:space="preserve">  </w:t>
      </w:r>
      <w:r w:rsidRPr="007A6878">
        <w:t xml:space="preserve">Do commenters agree or disagree, and why?  </w:t>
      </w:r>
    </w:p>
    <w:p w:rsidR="00455188" w:rsidRPr="00FD7B8A" w:rsidRDefault="00455188" w:rsidP="00455188">
      <w:pPr>
        <w:pStyle w:val="ParaNum"/>
      </w:pPr>
      <w:r>
        <w:t xml:space="preserve">We seek comment on the validity of several legal arguments that have been raised in support of the functional test.  Is there a reason to conclude, as the Commission did in its 2014 Declaratory Ruling, that the right to attach devices established in </w:t>
      </w:r>
      <w:r w:rsidRPr="00FD7B8A">
        <w:rPr>
          <w:i/>
        </w:rPr>
        <w:t xml:space="preserve">Carterfone </w:t>
      </w:r>
      <w:r>
        <w:t>should be relevant to our interpretation of Section 214(a)?</w:t>
      </w:r>
      <w:r>
        <w:rPr>
          <w:rStyle w:val="FootnoteReference"/>
        </w:rPr>
        <w:footnoteReference w:id="181"/>
      </w:r>
      <w:r>
        <w:t xml:space="preserve">  We seek comment on whether the existence of de-tariffed services counsels against our proposal to treat a tariff or customer service agreement as dispositive as the “service” being offered for purposes of Section 214(a).  Does the Supreme Court’s finding in </w:t>
      </w:r>
      <w:r w:rsidRPr="00FD7B8A">
        <w:rPr>
          <w:i/>
        </w:rPr>
        <w:t xml:space="preserve">National Cable &amp; Telecommunications Association v. Brand X Internet Services </w:t>
      </w:r>
      <w:r>
        <w:t xml:space="preserve">require a conclusion contrary to the one we propose?  In that case, the Court held that it was reasonable for the Commission to consider “the consumer’s point of view” in determining whether cable modem service included an “offering” of telecommunications because that question “turn[ed] on the nature of the functions the </w:t>
      </w:r>
      <w:r w:rsidRPr="00FD7B8A">
        <w:rPr>
          <w:i/>
        </w:rPr>
        <w:t xml:space="preserve">end user </w:t>
      </w:r>
      <w:r>
        <w:t>is offered.”</w:t>
      </w:r>
      <w:r>
        <w:rPr>
          <w:rStyle w:val="FootnoteReference"/>
        </w:rPr>
        <w:footnoteReference w:id="182"/>
      </w:r>
    </w:p>
    <w:p w:rsidR="00455188" w:rsidRPr="00EA245F" w:rsidRDefault="00455188" w:rsidP="00455188">
      <w:pPr>
        <w:pStyle w:val="ParaNum"/>
      </w:pPr>
      <w:r>
        <w:t>As a further alternative to the discussion above, is there a different interpretation of “service” beyond our proposed approach or the “functional test” that we should consider for determining what constitutes a discontinuance, reduction, or impairment of service under Section 214(a)?  If so, describe and explain how any such interpretation would better comport with Section 214(a) and serve the objectives of this proceeding.</w:t>
      </w:r>
    </w:p>
    <w:p w:rsidR="00455188" w:rsidRDefault="00455188" w:rsidP="00455188">
      <w:pPr>
        <w:pStyle w:val="ParaNum"/>
      </w:pPr>
      <w:r>
        <w:t>Finally, we seek comment on whether a Declaratory Ruling is again warranted to “terminat[e] a controversy or remov[e] uncertainty.”</w:t>
      </w:r>
      <w:r>
        <w:rPr>
          <w:rStyle w:val="FootnoteReference"/>
        </w:rPr>
        <w:footnoteReference w:id="183"/>
      </w:r>
      <w:r>
        <w:t xml:space="preserve">  Does a controversy and uncertainty remain as to what comprises the “service” being offered for purposes of determining the applicability of, and need for, Section 214(a) discontinuance authority?  If so, why, and how should we resolve it?  Does the “functional test” in its current form give carriers and consumers regulatory certainty when carriers decide to no longer make particular offerings available?  If so, why, or why not?  Indeed, there appears to be continued opposition to this “functional test” as the correct lens through which to examine this issue.</w:t>
      </w:r>
      <w:r>
        <w:rPr>
          <w:rStyle w:val="FootnoteReference"/>
        </w:rPr>
        <w:footnoteReference w:id="184"/>
      </w:r>
      <w:r>
        <w:t xml:space="preserve">  If this is indeed the case, we would likely issue a Declaratory Ruling to resolve this controversy. We seek comment on this course of action.</w:t>
      </w:r>
    </w:p>
    <w:p w:rsidR="00455188" w:rsidRDefault="00455188" w:rsidP="00455188">
      <w:pPr>
        <w:pStyle w:val="Heading2"/>
      </w:pPr>
      <w:bookmarkStart w:id="438" w:name="_Toc478050622"/>
      <w:bookmarkStart w:id="439" w:name="_Toc478138484"/>
      <w:bookmarkStart w:id="440" w:name="_Toc478139499"/>
      <w:bookmarkStart w:id="441" w:name="_Toc478139605"/>
      <w:bookmarkStart w:id="442" w:name="_Toc478139656"/>
      <w:bookmarkStart w:id="443" w:name="_Toc478460152"/>
      <w:bookmarkStart w:id="444" w:name="_Toc478476699"/>
      <w:bookmarkStart w:id="445" w:name="_Toc479943037"/>
      <w:bookmarkStart w:id="446" w:name="_Toc480388541"/>
      <w:bookmarkStart w:id="447" w:name="_Toc478403108"/>
      <w:r>
        <w:t>Determining Whether “Service” Goes Beyond a Single Offering or Product</w:t>
      </w:r>
      <w:bookmarkEnd w:id="438"/>
      <w:bookmarkEnd w:id="439"/>
      <w:bookmarkEnd w:id="440"/>
      <w:bookmarkEnd w:id="441"/>
      <w:bookmarkEnd w:id="442"/>
      <w:bookmarkEnd w:id="443"/>
      <w:bookmarkEnd w:id="444"/>
      <w:bookmarkEnd w:id="445"/>
      <w:bookmarkEnd w:id="446"/>
      <w:r>
        <w:t xml:space="preserve"> </w:t>
      </w:r>
      <w:bookmarkEnd w:id="447"/>
    </w:p>
    <w:p w:rsidR="00455188" w:rsidRDefault="00455188" w:rsidP="00455188">
      <w:pPr>
        <w:pStyle w:val="ParaNum"/>
      </w:pPr>
      <w:r>
        <w:t>We seek comment on interpreting “service” within the meaning of Section 214’s discontinuance requirement as encompassing the entire range of offerings that are available to a community, or part of a community.  In the past, the Commission has interpreted “service” to refer to each individual tariffed or contracted-for offering that a carrier makes available.</w:t>
      </w:r>
      <w:r>
        <w:rPr>
          <w:rStyle w:val="FootnoteReference"/>
        </w:rPr>
        <w:footnoteReference w:id="185"/>
      </w:r>
      <w:r>
        <w:t xml:space="preserve">  As a result, carriers must seek discontinuance authority separately for numerous “services,” even when those offerings are related or similar and readily replaced with other offerings on the market.</w:t>
      </w:r>
      <w:r>
        <w:rPr>
          <w:rStyle w:val="FootnoteReference"/>
        </w:rPr>
        <w:footnoteReference w:id="186"/>
      </w:r>
      <w:r>
        <w:t xml:space="preserve">  In contrast, under this proposed interpretation, a carrier that decides to </w:t>
      </w:r>
      <w:r w:rsidRPr="00C9026E">
        <w:t xml:space="preserve">cease </w:t>
      </w:r>
      <w:r>
        <w:t xml:space="preserve">providing any </w:t>
      </w:r>
      <w:r w:rsidRPr="00C9026E">
        <w:t xml:space="preserve">particular </w:t>
      </w:r>
      <w:r>
        <w:t xml:space="preserve">offering </w:t>
      </w:r>
      <w:r w:rsidRPr="00C9026E">
        <w:t>to customer</w:t>
      </w:r>
      <w:r>
        <w:t>s</w:t>
      </w:r>
      <w:r w:rsidRPr="00C9026E">
        <w:t xml:space="preserve"> </w:t>
      </w:r>
      <w:r>
        <w:t>would be permitted to do so without the need to first seek Commission authority so long as the overall “service” that a community receives is not discontinued, reduced, or impaired.  In other words, no application would be required so long as a service offering of a similar type and quality is available in the affected area.  We seek comment on this interpretation and whether it is supported by the text of Section 214(a).  Does the proviso in section 214(a) stating that no authorization is required where a carrier’s action “will not impair the adequacy or quality of service provided” su</w:t>
      </w:r>
      <w:r w:rsidR="00967549">
        <w:t>pport this interpretation?  Do</w:t>
      </w:r>
      <w:r>
        <w:t xml:space="preserve"> the Commission’s prior interpretations of section 214 counsel against this interpretation?  Would this interpretation adequately protect consumers and the community?  We further seek comment on whether this interpretation is supported by the legislative history of Section 214(a)’s discontinuance provision.</w:t>
      </w:r>
      <w:r w:rsidRPr="00A6568A">
        <w:rPr>
          <w:vertAlign w:val="superscript"/>
        </w:rPr>
        <w:footnoteReference w:id="187"/>
      </w:r>
      <w:r>
        <w:t xml:space="preserve">  In potentially implementing this interpretation, how might we ensure that a “similar type and quality” of service would be available?  If we adopt this interpretation, how would it impact the proposals we advance herein for streamlining grandfathered and legacy data services?  We seek comment on whether a Declaratory Ruling is warranted to terminate a controversy or remove uncertainty regarding (a) the fidelity of the Commission’s prior approach with the Act and (b) the question of when an application is required. </w:t>
      </w:r>
    </w:p>
    <w:p w:rsidR="00455188" w:rsidRDefault="00455188" w:rsidP="00455188">
      <w:pPr>
        <w:pStyle w:val="Heading2"/>
      </w:pPr>
      <w:bookmarkStart w:id="448" w:name="_Toc478050623"/>
      <w:bookmarkStart w:id="449" w:name="_Toc478138485"/>
      <w:bookmarkStart w:id="450" w:name="_Toc478139500"/>
      <w:bookmarkStart w:id="451" w:name="_Toc478139606"/>
      <w:bookmarkStart w:id="452" w:name="_Toc478139657"/>
      <w:bookmarkStart w:id="453" w:name="_Toc478403109"/>
      <w:bookmarkStart w:id="454" w:name="_Toc478460153"/>
      <w:bookmarkStart w:id="455" w:name="_Toc478476700"/>
      <w:bookmarkStart w:id="456" w:name="_Toc479943038"/>
      <w:bookmarkStart w:id="457" w:name="_Toc480388542"/>
      <w:r>
        <w:t>Comment Timeframes</w:t>
      </w:r>
      <w:bookmarkEnd w:id="448"/>
      <w:bookmarkEnd w:id="449"/>
      <w:bookmarkEnd w:id="450"/>
      <w:bookmarkEnd w:id="451"/>
      <w:bookmarkEnd w:id="452"/>
      <w:bookmarkEnd w:id="453"/>
      <w:bookmarkEnd w:id="454"/>
      <w:bookmarkEnd w:id="455"/>
      <w:bookmarkEnd w:id="456"/>
      <w:bookmarkEnd w:id="457"/>
    </w:p>
    <w:p w:rsidR="00455188" w:rsidRDefault="00455188" w:rsidP="00455188">
      <w:pPr>
        <w:pStyle w:val="ParaNum"/>
      </w:pPr>
      <w:r>
        <w:t xml:space="preserve">For administrative convenience and to provide commenters with additional time to consider the issues raised herein, we adopt a simultaneous comment deadline for this </w:t>
      </w:r>
      <w:r>
        <w:rPr>
          <w:i/>
        </w:rPr>
        <w:t>Request for Comment</w:t>
      </w:r>
      <w:r>
        <w:t xml:space="preserve"> as for the remainder of this item, notwithstanding that Federal Register publication is not required to trigger the computation of time for this </w:t>
      </w:r>
      <w:r w:rsidRPr="00B21FED">
        <w:rPr>
          <w:i/>
        </w:rPr>
        <w:t>Request for Comment</w:t>
      </w:r>
      <w:r>
        <w:t>.</w:t>
      </w:r>
      <w:r>
        <w:rPr>
          <w:rStyle w:val="FootnoteReference"/>
        </w:rPr>
        <w:footnoteReference w:id="188"/>
      </w:r>
      <w:r>
        <w:t xml:space="preserve">  Thus, comments on this </w:t>
      </w:r>
      <w:r>
        <w:rPr>
          <w:i/>
        </w:rPr>
        <w:t>Request for Comment</w:t>
      </w:r>
      <w:r>
        <w:t xml:space="preserve"> will be due 30 days after the </w:t>
      </w:r>
      <w:r>
        <w:rPr>
          <w:i/>
        </w:rPr>
        <w:t xml:space="preserve">Notice of Proposed Rulemaking </w:t>
      </w:r>
      <w:r>
        <w:t xml:space="preserve">and </w:t>
      </w:r>
      <w:r>
        <w:rPr>
          <w:i/>
        </w:rPr>
        <w:t>Notice of Inquiry</w:t>
      </w:r>
      <w:r>
        <w:t xml:space="preserve"> are published in the Federal Register, and reply comments on this </w:t>
      </w:r>
      <w:r>
        <w:rPr>
          <w:i/>
        </w:rPr>
        <w:t>Request for Comments</w:t>
      </w:r>
      <w:r>
        <w:t xml:space="preserve"> will be due 60 days after the </w:t>
      </w:r>
      <w:r>
        <w:rPr>
          <w:i/>
        </w:rPr>
        <w:t xml:space="preserve">Notice of Proposed Rulemaking </w:t>
      </w:r>
      <w:r>
        <w:t xml:space="preserve">and </w:t>
      </w:r>
      <w:r>
        <w:rPr>
          <w:i/>
        </w:rPr>
        <w:t>Notice of Inquiry</w:t>
      </w:r>
      <w:r>
        <w:t xml:space="preserve"> are published in the Federal Register.</w:t>
      </w:r>
    </w:p>
    <w:p w:rsidR="00455188" w:rsidRDefault="00455188" w:rsidP="00455188">
      <w:pPr>
        <w:pStyle w:val="Heading1"/>
      </w:pPr>
      <w:bookmarkStart w:id="458" w:name="_Toc477187545"/>
      <w:bookmarkStart w:id="459" w:name="_Toc477187685"/>
      <w:bookmarkStart w:id="460" w:name="_Toc477187941"/>
      <w:bookmarkStart w:id="461" w:name="_Toc477188043"/>
      <w:bookmarkStart w:id="462" w:name="_Toc477188130"/>
      <w:bookmarkStart w:id="463" w:name="_Toc477189018"/>
      <w:bookmarkStart w:id="464" w:name="_Toc477445783"/>
      <w:bookmarkStart w:id="465" w:name="_Toc477453001"/>
      <w:bookmarkStart w:id="466" w:name="_Toc477453167"/>
      <w:bookmarkStart w:id="467" w:name="_Toc477796026"/>
      <w:bookmarkStart w:id="468" w:name="_Toc478050624"/>
      <w:bookmarkStart w:id="469" w:name="_Toc478138486"/>
      <w:bookmarkStart w:id="470" w:name="_Toc478139501"/>
      <w:bookmarkStart w:id="471" w:name="_Toc478139607"/>
      <w:bookmarkStart w:id="472" w:name="_Toc478139658"/>
      <w:bookmarkStart w:id="473" w:name="_Toc478394353"/>
      <w:bookmarkStart w:id="474" w:name="_Toc478398215"/>
      <w:bookmarkStart w:id="475" w:name="_Toc478403110"/>
      <w:bookmarkStart w:id="476" w:name="_Toc478460154"/>
      <w:bookmarkStart w:id="477" w:name="_Toc478476701"/>
      <w:bookmarkStart w:id="478" w:name="_Toc479943039"/>
      <w:bookmarkStart w:id="479" w:name="_Toc480388543"/>
      <w:r>
        <w:rPr>
          <w:caps w:val="0"/>
        </w:rPr>
        <w:t>PROCEDURAL MATTERS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55188" w:rsidRPr="002A57BF" w:rsidRDefault="00455188" w:rsidP="00455188">
      <w:pPr>
        <w:pStyle w:val="Heading2"/>
      </w:pPr>
      <w:bookmarkStart w:id="480" w:name="_Toc386545061"/>
      <w:bookmarkStart w:id="481" w:name="_Toc386712801"/>
      <w:bookmarkStart w:id="482" w:name="_Toc386718147"/>
      <w:bookmarkStart w:id="483" w:name="_Toc386719080"/>
      <w:bookmarkStart w:id="484" w:name="_Toc387323144"/>
      <w:bookmarkStart w:id="485" w:name="_Toc387323723"/>
      <w:bookmarkStart w:id="486" w:name="_Toc387323785"/>
      <w:bookmarkStart w:id="487" w:name="_Toc387323857"/>
      <w:bookmarkStart w:id="488" w:name="_Toc387645430"/>
      <w:bookmarkStart w:id="489" w:name="_Toc387645674"/>
      <w:bookmarkStart w:id="490" w:name="_Toc387645981"/>
      <w:bookmarkStart w:id="491" w:name="_Toc387646125"/>
      <w:bookmarkStart w:id="492" w:name="_Toc387745064"/>
      <w:bookmarkStart w:id="493" w:name="_Toc387922705"/>
      <w:bookmarkStart w:id="494" w:name="_Toc387922862"/>
      <w:bookmarkStart w:id="495" w:name="_Toc387923003"/>
      <w:bookmarkStart w:id="496" w:name="_Toc387923323"/>
      <w:bookmarkStart w:id="497" w:name="_Toc387923754"/>
      <w:bookmarkStart w:id="498" w:name="_Toc387924473"/>
      <w:bookmarkStart w:id="499" w:name="_Toc388526899"/>
      <w:bookmarkStart w:id="500" w:name="_Toc389026275"/>
      <w:bookmarkStart w:id="501" w:name="_Toc391479542"/>
      <w:bookmarkStart w:id="502" w:name="_Toc391561447"/>
      <w:bookmarkStart w:id="503" w:name="_Toc391562808"/>
      <w:bookmarkStart w:id="504" w:name="_Toc391642493"/>
      <w:bookmarkStart w:id="505" w:name="_Toc394323251"/>
      <w:bookmarkStart w:id="506" w:name="_Toc394323546"/>
      <w:bookmarkStart w:id="507" w:name="_Toc394323640"/>
      <w:bookmarkStart w:id="508" w:name="_Toc394642415"/>
      <w:bookmarkStart w:id="509" w:name="_Toc445192995"/>
      <w:bookmarkStart w:id="510" w:name="_Toc445193088"/>
      <w:bookmarkStart w:id="511" w:name="_Toc445193159"/>
      <w:bookmarkStart w:id="512" w:name="_Toc445276292"/>
      <w:bookmarkStart w:id="513" w:name="_Toc445367881"/>
      <w:bookmarkStart w:id="514" w:name="_Toc477445784"/>
      <w:bookmarkStart w:id="515" w:name="_Toc477453002"/>
      <w:bookmarkStart w:id="516" w:name="_Toc477453168"/>
      <w:bookmarkStart w:id="517" w:name="_Toc477796027"/>
      <w:bookmarkStart w:id="518" w:name="_Toc478050625"/>
      <w:bookmarkStart w:id="519" w:name="_Toc478138487"/>
      <w:bookmarkStart w:id="520" w:name="_Toc478139502"/>
      <w:bookmarkStart w:id="521" w:name="_Toc478139608"/>
      <w:bookmarkStart w:id="522" w:name="_Toc478139659"/>
      <w:bookmarkStart w:id="523" w:name="_Toc478394354"/>
      <w:bookmarkStart w:id="524" w:name="_Toc478398216"/>
      <w:bookmarkStart w:id="525" w:name="_Toc478403111"/>
      <w:bookmarkStart w:id="526" w:name="_Toc478460155"/>
      <w:bookmarkStart w:id="527" w:name="_Toc478476702"/>
      <w:bookmarkStart w:id="528" w:name="_Toc479943040"/>
      <w:bookmarkStart w:id="529" w:name="_Toc480388544"/>
      <w:r w:rsidRPr="00D24967">
        <w:rPr>
          <w:i/>
        </w:rPr>
        <w:t>Ex Parte</w:t>
      </w:r>
      <w:r w:rsidRPr="002A57BF">
        <w:t xml:space="preserve"> Rules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2A57BF">
        <w:t xml:space="preserve"> </w:t>
      </w:r>
    </w:p>
    <w:p w:rsidR="00455188" w:rsidRDefault="00455188" w:rsidP="00455188">
      <w:pPr>
        <w:pStyle w:val="ParaNum"/>
      </w:pPr>
      <w:r w:rsidRPr="002A57BF">
        <w:t>This</w:t>
      </w:r>
      <w:r w:rsidRPr="00D24C79">
        <w:t xml:space="preserve"> proceeding shall be treated as a “permit-but-disclose” proceeding in accordance with the Commission’s </w:t>
      </w:r>
      <w:r w:rsidRPr="00D24C79">
        <w:rPr>
          <w:i/>
        </w:rPr>
        <w:t xml:space="preserve">ex parte </w:t>
      </w:r>
      <w:r w:rsidRPr="00D24C79">
        <w:t>rules.</w:t>
      </w:r>
      <w:r>
        <w:rPr>
          <w:rStyle w:val="FootnoteReference"/>
        </w:rPr>
        <w:footnoteReference w:id="189"/>
      </w:r>
      <w:r>
        <w:t xml:space="preserve"> </w:t>
      </w:r>
      <w:r w:rsidRPr="00D24C79">
        <w:t xml:space="preserve"> Persons making </w:t>
      </w:r>
      <w:r w:rsidRPr="00D24C79">
        <w:rPr>
          <w:i/>
        </w:rPr>
        <w:t xml:space="preserve">ex parte </w:t>
      </w:r>
      <w:r w:rsidRPr="00D24C7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24C79">
        <w:rPr>
          <w:i/>
        </w:rPr>
        <w:t xml:space="preserve">ex parte </w:t>
      </w:r>
      <w:r w:rsidRPr="00D24C79">
        <w:t xml:space="preserve">presentations are reminded that memoranda summarizing the presentation must (1) list all persons attending or otherwise participating in the meeting at which the </w:t>
      </w:r>
      <w:r w:rsidRPr="00D24C79">
        <w:rPr>
          <w:i/>
        </w:rPr>
        <w:t xml:space="preserve">ex parte </w:t>
      </w:r>
      <w:r w:rsidRPr="00D24C7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24C79">
        <w:rPr>
          <w:i/>
        </w:rPr>
        <w:t xml:space="preserve">ex parte </w:t>
      </w:r>
      <w:r w:rsidRPr="00D24C79">
        <w:t xml:space="preserve">meetings are deemed to be written </w:t>
      </w:r>
      <w:r w:rsidRPr="00D24C79">
        <w:rPr>
          <w:i/>
        </w:rPr>
        <w:t>ex parte</w:t>
      </w:r>
      <w:r w:rsidRPr="00D24C79">
        <w:t xml:space="preserve"> presentations and must be filed consistent with </w:t>
      </w:r>
      <w:r>
        <w:t>R</w:t>
      </w:r>
      <w:r w:rsidRPr="002A57BF">
        <w:t>ule</w:t>
      </w:r>
      <w:r w:rsidRPr="00D24C79">
        <w:t xml:space="preserve"> 1.1206(b).  In proceedings governed by </w:t>
      </w:r>
      <w:r>
        <w:t>R</w:t>
      </w:r>
      <w:r w:rsidRPr="002A57BF">
        <w:t>ule</w:t>
      </w:r>
      <w:r w:rsidRPr="00D24C79">
        <w:t xml:space="preserve"> 1.49(f) or for which the Commission has made available a method of electronic filing, written </w:t>
      </w:r>
      <w:r w:rsidRPr="00D24C79">
        <w:rPr>
          <w:i/>
        </w:rPr>
        <w:t xml:space="preserve">ex parte </w:t>
      </w:r>
      <w:r w:rsidRPr="00D24C79">
        <w:t xml:space="preserve">presentations and memoranda summarizing oral </w:t>
      </w:r>
      <w:r w:rsidRPr="00D24C79">
        <w:rPr>
          <w:i/>
        </w:rPr>
        <w:t xml:space="preserve">ex parte </w:t>
      </w:r>
      <w:r w:rsidRPr="00D24C79">
        <w:t>presentations, and all attachments thereto, must be filed through the electronic comment filing system available for that proceeding, and must be filed in their native format (</w:t>
      </w:r>
      <w:r w:rsidRPr="00D24C79">
        <w:rPr>
          <w:i/>
        </w:rPr>
        <w:t>e.g.</w:t>
      </w:r>
      <w:r w:rsidRPr="00D24C79">
        <w:t xml:space="preserve">, .doc, .xml, .ppt, searchable .pdf).  Participants in this proceeding should familiarize themselves with the Commission’s </w:t>
      </w:r>
      <w:r w:rsidRPr="00D24C79">
        <w:rPr>
          <w:i/>
        </w:rPr>
        <w:t xml:space="preserve">ex parte </w:t>
      </w:r>
      <w:r w:rsidRPr="00D24C79">
        <w:t>rules.</w:t>
      </w:r>
    </w:p>
    <w:p w:rsidR="00455188" w:rsidRDefault="00455188" w:rsidP="00455188">
      <w:pPr>
        <w:pStyle w:val="Heading2"/>
      </w:pPr>
      <w:bookmarkStart w:id="530" w:name="_Toc477445785"/>
      <w:bookmarkStart w:id="531" w:name="_Toc477453003"/>
      <w:bookmarkStart w:id="532" w:name="_Toc477453169"/>
      <w:bookmarkStart w:id="533" w:name="_Toc477796028"/>
      <w:bookmarkStart w:id="534" w:name="_Toc478050626"/>
      <w:bookmarkStart w:id="535" w:name="_Toc478138488"/>
      <w:bookmarkStart w:id="536" w:name="_Toc478139503"/>
      <w:bookmarkStart w:id="537" w:name="_Toc478139609"/>
      <w:bookmarkStart w:id="538" w:name="_Toc478139660"/>
      <w:bookmarkStart w:id="539" w:name="_Toc478394355"/>
      <w:bookmarkStart w:id="540" w:name="_Toc478398217"/>
      <w:bookmarkStart w:id="541" w:name="_Toc478403112"/>
      <w:bookmarkStart w:id="542" w:name="_Toc478460156"/>
      <w:bookmarkStart w:id="543" w:name="_Toc478476703"/>
      <w:bookmarkStart w:id="544" w:name="_Toc479943041"/>
      <w:bookmarkStart w:id="545" w:name="_Toc480388545"/>
      <w:bookmarkStart w:id="546" w:name="_Toc386545062"/>
      <w:bookmarkStart w:id="547" w:name="_Toc386712802"/>
      <w:bookmarkStart w:id="548" w:name="_Toc386718148"/>
      <w:bookmarkStart w:id="549" w:name="_Toc386719081"/>
      <w:bookmarkStart w:id="550" w:name="_Toc387323145"/>
      <w:bookmarkStart w:id="551" w:name="_Toc387323724"/>
      <w:bookmarkStart w:id="552" w:name="_Toc387323786"/>
      <w:bookmarkStart w:id="553" w:name="_Toc387323858"/>
      <w:bookmarkStart w:id="554" w:name="_Toc387645431"/>
      <w:bookmarkStart w:id="555" w:name="_Toc387645675"/>
      <w:bookmarkStart w:id="556" w:name="_Toc387645982"/>
      <w:bookmarkStart w:id="557" w:name="_Toc387646126"/>
      <w:bookmarkStart w:id="558" w:name="_Toc387745065"/>
      <w:bookmarkStart w:id="559" w:name="_Toc387922706"/>
      <w:bookmarkStart w:id="560" w:name="_Toc387922863"/>
      <w:bookmarkStart w:id="561" w:name="_Toc387923004"/>
      <w:bookmarkStart w:id="562" w:name="_Toc387923324"/>
      <w:bookmarkStart w:id="563" w:name="_Toc387923755"/>
      <w:bookmarkStart w:id="564" w:name="_Toc387924474"/>
      <w:bookmarkStart w:id="565" w:name="_Toc388526900"/>
      <w:bookmarkStart w:id="566" w:name="_Toc389026276"/>
      <w:bookmarkStart w:id="567" w:name="_Toc391479543"/>
      <w:bookmarkStart w:id="568" w:name="_Toc391561448"/>
      <w:bookmarkStart w:id="569" w:name="_Toc391562809"/>
      <w:bookmarkStart w:id="570" w:name="_Toc391642494"/>
      <w:bookmarkStart w:id="571" w:name="_Toc394323252"/>
      <w:bookmarkStart w:id="572" w:name="_Toc394323547"/>
      <w:bookmarkStart w:id="573" w:name="_Toc394323641"/>
      <w:bookmarkStart w:id="574" w:name="_Toc394642416"/>
      <w:bookmarkStart w:id="575" w:name="_Toc445192996"/>
      <w:bookmarkStart w:id="576" w:name="_Toc445193089"/>
      <w:bookmarkStart w:id="577" w:name="_Toc445193160"/>
      <w:bookmarkStart w:id="578" w:name="_Toc445276293"/>
      <w:bookmarkStart w:id="579" w:name="_Toc445367882"/>
      <w:r>
        <w:t>Initial Regulatory Flexibility Analysis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455188" w:rsidRPr="002D53B5" w:rsidRDefault="00455188" w:rsidP="00455188">
      <w:pPr>
        <w:pStyle w:val="ParaNum"/>
      </w:pPr>
      <w:r>
        <w:t>Pursuant to</w:t>
      </w:r>
      <w:r w:rsidRPr="00FE7186">
        <w:t xml:space="preserve"> the Re</w:t>
      </w:r>
      <w:r>
        <w:t>gulatory Flexibility Act</w:t>
      </w:r>
      <w:r w:rsidRPr="00FE7186">
        <w:t xml:space="preserve"> (RFA),</w:t>
      </w:r>
      <w:r w:rsidRPr="00FE7186">
        <w:rPr>
          <w:rStyle w:val="FootnoteReference"/>
          <w:sz w:val="22"/>
        </w:rPr>
        <w:footnoteReference w:id="190"/>
      </w:r>
      <w:r w:rsidRPr="00FE7186">
        <w:t xml:space="preserve"> the Commission has prepared an Initial Regulatory Flexibility Analysis (IRFA) of the possible significant economic impact on small entities of the policies and </w:t>
      </w:r>
      <w:r>
        <w:t>actions considered in</w:t>
      </w:r>
      <w:r w:rsidRPr="00FE7186">
        <w:t xml:space="preserve"> thi</w:t>
      </w:r>
      <w:r>
        <w:t>s NPRM</w:t>
      </w:r>
      <w:r w:rsidRPr="00FE7186">
        <w:t xml:space="preserve">.  The </w:t>
      </w:r>
      <w:r>
        <w:t>text of the IRFA is set forth in Appendix B</w:t>
      </w:r>
      <w:r w:rsidRPr="00FE7186">
        <w:t xml:space="preserve">.  </w:t>
      </w:r>
      <w:r>
        <w:t>Written public comments are requested</w:t>
      </w:r>
      <w:r w:rsidRPr="00FE7186">
        <w:t xml:space="preserve"> on this IRFA.  </w:t>
      </w:r>
      <w:r w:rsidRPr="00B85291">
        <w:t>Comments must be identified as</w:t>
      </w:r>
      <w:r>
        <w:t xml:space="preserve"> </w:t>
      </w:r>
      <w:r w:rsidRPr="00B85291">
        <w:t>responses to the IRFA and must be filed by the deadlines for comments on the NPRM. The</w:t>
      </w:r>
      <w:r>
        <w:t xml:space="preserve"> </w:t>
      </w:r>
      <w:r w:rsidRPr="00B85291">
        <w:t>Commission’s Consumer and Governmental Affairs Bureau, Reference Information Center, will send a</w:t>
      </w:r>
      <w:r>
        <w:t xml:space="preserve"> </w:t>
      </w:r>
      <w:r w:rsidRPr="00B85291">
        <w:t>copy of the NPRM, including the IRFA, to the Chief Counsel for Advocacy of the Small Business</w:t>
      </w:r>
      <w:r>
        <w:t xml:space="preserve"> </w:t>
      </w:r>
      <w:r w:rsidRPr="00B85291">
        <w:t>Administration.</w:t>
      </w:r>
      <w:r w:rsidRPr="00FE7186">
        <w:rPr>
          <w:rStyle w:val="FootnoteReference"/>
          <w:sz w:val="22"/>
        </w:rPr>
        <w:footnoteReference w:id="191"/>
      </w:r>
    </w:p>
    <w:p w:rsidR="00455188" w:rsidRDefault="00455188" w:rsidP="00455188">
      <w:pPr>
        <w:pStyle w:val="Heading2"/>
      </w:pPr>
      <w:bookmarkStart w:id="580" w:name="_Toc477445786"/>
      <w:bookmarkStart w:id="581" w:name="_Toc477453004"/>
      <w:bookmarkStart w:id="582" w:name="_Toc477453170"/>
      <w:bookmarkStart w:id="583" w:name="_Toc477796029"/>
      <w:bookmarkStart w:id="584" w:name="_Toc478050627"/>
      <w:bookmarkStart w:id="585" w:name="_Toc478138489"/>
      <w:bookmarkStart w:id="586" w:name="_Toc478139504"/>
      <w:bookmarkStart w:id="587" w:name="_Toc478139610"/>
      <w:bookmarkStart w:id="588" w:name="_Toc478139661"/>
      <w:bookmarkStart w:id="589" w:name="_Toc478394356"/>
      <w:bookmarkStart w:id="590" w:name="_Toc478398218"/>
      <w:bookmarkStart w:id="591" w:name="_Toc478403113"/>
      <w:bookmarkStart w:id="592" w:name="_Toc478460157"/>
      <w:bookmarkStart w:id="593" w:name="_Toc478476704"/>
      <w:bookmarkStart w:id="594" w:name="_Toc479943042"/>
      <w:bookmarkStart w:id="595" w:name="_Toc480388546"/>
      <w:r>
        <w:t>Paperwork Reduction Act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455188" w:rsidRPr="00B4193B" w:rsidRDefault="00455188" w:rsidP="00455188">
      <w:pPr>
        <w:pStyle w:val="ParaNum"/>
      </w:pPr>
      <w:r w:rsidRPr="00FE7186">
        <w:t xml:space="preserve">This document contains proposed new </w:t>
      </w:r>
      <w:r>
        <w:t xml:space="preserve">and modified </w:t>
      </w:r>
      <w:r w:rsidRPr="00FE7186">
        <w:t>information collection requirements.  The Commission, as part of its continuing effort to reduce paperwork burdens, invites the general public and the Offic</w:t>
      </w:r>
      <w:r>
        <w:t>e of Management and Budget</w:t>
      </w:r>
      <w:r w:rsidRPr="00FE7186">
        <w:t xml:space="preserve"> to comment on the information collection requirements contained in this document, as required by the Paperwork Reduction Act of 1995, Public Law 104-13.  In addition, pursuant to the Small Business Paperwork Relief Act of 2002, Public Law 107-198, </w:t>
      </w:r>
      <w:r>
        <w:rPr>
          <w:i/>
        </w:rPr>
        <w:t>see</w:t>
      </w:r>
      <w:r w:rsidRPr="00B85291">
        <w:t xml:space="preserve"> </w:t>
      </w:r>
      <w:r>
        <w:t xml:space="preserve">44 U.S.C. 3506(c)(4), </w:t>
      </w:r>
      <w:r w:rsidRPr="00FE7186">
        <w:t>we seek specific comment on how we might further reduce the information collection burden for small business concerns with fewer than 25 employees.</w:t>
      </w:r>
      <w:r>
        <w:rPr>
          <w:rStyle w:val="FootnoteReference"/>
        </w:rPr>
        <w:footnoteReference w:id="192"/>
      </w:r>
    </w:p>
    <w:p w:rsidR="00455188" w:rsidRPr="002A57BF" w:rsidRDefault="00455188" w:rsidP="00455188">
      <w:pPr>
        <w:pStyle w:val="Heading2"/>
      </w:pPr>
      <w:bookmarkStart w:id="596" w:name="_Toc477445787"/>
      <w:bookmarkStart w:id="597" w:name="_Toc477453005"/>
      <w:bookmarkStart w:id="598" w:name="_Toc477453171"/>
      <w:bookmarkStart w:id="599" w:name="_Toc477796030"/>
      <w:bookmarkStart w:id="600" w:name="_Toc478050628"/>
      <w:bookmarkStart w:id="601" w:name="_Toc478138490"/>
      <w:bookmarkStart w:id="602" w:name="_Toc478139505"/>
      <w:bookmarkStart w:id="603" w:name="_Toc478139611"/>
      <w:bookmarkStart w:id="604" w:name="_Toc478139662"/>
      <w:bookmarkStart w:id="605" w:name="_Toc478394357"/>
      <w:bookmarkStart w:id="606" w:name="_Toc478398219"/>
      <w:bookmarkStart w:id="607" w:name="_Toc478403114"/>
      <w:bookmarkStart w:id="608" w:name="_Toc478460158"/>
      <w:bookmarkStart w:id="609" w:name="_Toc478476705"/>
      <w:bookmarkStart w:id="610" w:name="_Toc479943043"/>
      <w:bookmarkStart w:id="611" w:name="_Toc480388547"/>
      <w:r>
        <w:t>Filing of Comments and Reply Comments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455188" w:rsidRPr="00D24C79" w:rsidRDefault="00455188" w:rsidP="00455188">
      <w:pPr>
        <w:pStyle w:val="ParaNum"/>
        <w:rPr>
          <w:szCs w:val="22"/>
        </w:rPr>
      </w:pPr>
      <w:r w:rsidRPr="00D24C79">
        <w:t xml:space="preserve">Pursuant to </w:t>
      </w:r>
      <w:r>
        <w:t>S</w:t>
      </w:r>
      <w:r w:rsidRPr="002A57BF">
        <w:t>ections</w:t>
      </w:r>
      <w:r w:rsidRPr="00D24C79">
        <w:t xml:space="preserve"> 1.415 and 1.419 of the Commission’s rules, 47 </w:t>
      </w:r>
      <w:r w:rsidRPr="00470D28">
        <w:t>CFR</w:t>
      </w:r>
      <w:r w:rsidRPr="00D24C79">
        <w:t xml:space="preserve"> §§ 1.415, 1.419, interested parties may file comments and reply comments on or before the dates indicated on the first page of this document.  Comments may be filed using the Commission’s Electronic Comment Filing System (ECFS).  </w:t>
      </w:r>
      <w:r w:rsidRPr="00D24C79">
        <w:rPr>
          <w:i/>
        </w:rPr>
        <w:t>See Electronic Filing of Documents in Rulemaking Proceedings</w:t>
      </w:r>
      <w:r w:rsidRPr="00D24C79">
        <w:t xml:space="preserve">, 63 </w:t>
      </w:r>
      <w:r w:rsidRPr="00470D28">
        <w:t>FR</w:t>
      </w:r>
      <w:r w:rsidRPr="00D24C79">
        <w:t xml:space="preserve"> 24121 (</w:t>
      </w:r>
      <w:r w:rsidRPr="00D24C79">
        <w:rPr>
          <w:szCs w:val="22"/>
        </w:rPr>
        <w:t>1998).</w:t>
      </w:r>
    </w:p>
    <w:p w:rsidR="00455188" w:rsidRPr="00D24C79" w:rsidRDefault="00455188" w:rsidP="00455188">
      <w:pPr>
        <w:rPr>
          <w:szCs w:val="22"/>
        </w:rPr>
      </w:pPr>
    </w:p>
    <w:p w:rsidR="00455188" w:rsidRPr="00D24C79" w:rsidRDefault="00455188" w:rsidP="00455188">
      <w:pPr>
        <w:widowControl/>
        <w:numPr>
          <w:ilvl w:val="0"/>
          <w:numId w:val="19"/>
        </w:numPr>
        <w:rPr>
          <w:szCs w:val="22"/>
        </w:rPr>
      </w:pPr>
      <w:r w:rsidRPr="00D24C79">
        <w:rPr>
          <w:szCs w:val="22"/>
        </w:rPr>
        <w:t xml:space="preserve">Electronic Filers:  Comments may be filed electronically using the Internet by accessing the ECFS:  </w:t>
      </w:r>
      <w:hyperlink r:id="rId8" w:history="1">
        <w:r w:rsidR="000B13F4" w:rsidRPr="000B13F4">
          <w:rPr>
            <w:rStyle w:val="Hyperlink"/>
            <w:szCs w:val="22"/>
          </w:rPr>
          <w:t>https://www.fcc.gov/ecfs/</w:t>
        </w:r>
      </w:hyperlink>
      <w:r w:rsidR="000B13F4">
        <w:rPr>
          <w:szCs w:val="22"/>
        </w:rPr>
        <w:t xml:space="preserve">. </w:t>
      </w:r>
    </w:p>
    <w:p w:rsidR="00455188" w:rsidRPr="00352812" w:rsidRDefault="00455188" w:rsidP="00455188">
      <w:pPr>
        <w:rPr>
          <w:szCs w:val="22"/>
        </w:rPr>
      </w:pPr>
    </w:p>
    <w:p w:rsidR="00455188" w:rsidRPr="00D24C79" w:rsidRDefault="00455188" w:rsidP="00455188">
      <w:pPr>
        <w:widowControl/>
        <w:numPr>
          <w:ilvl w:val="0"/>
          <w:numId w:val="17"/>
        </w:numPr>
        <w:rPr>
          <w:szCs w:val="22"/>
        </w:rPr>
      </w:pPr>
      <w:r w:rsidRPr="00185242">
        <w:rPr>
          <w:szCs w:val="22"/>
        </w:rPr>
        <w:t xml:space="preserve">Paper Filers:  Parties who choose to file by paper must file an original and </w:t>
      </w:r>
      <w:r w:rsidRPr="00D24C79">
        <w:rPr>
          <w:szCs w:val="22"/>
        </w:rPr>
        <w:t>one copy of each filing.  If more than one docket or rulemaking number appears in the caption of this proceeding, filers must submit two additional copies for each additional docket or rulemaking number.</w:t>
      </w:r>
    </w:p>
    <w:p w:rsidR="00455188" w:rsidRPr="00D24C79" w:rsidRDefault="00455188" w:rsidP="00455188">
      <w:pPr>
        <w:rPr>
          <w:szCs w:val="22"/>
        </w:rPr>
      </w:pPr>
    </w:p>
    <w:p w:rsidR="00455188" w:rsidRPr="00352812" w:rsidRDefault="00455188" w:rsidP="00455188">
      <w:pPr>
        <w:ind w:left="720"/>
        <w:rPr>
          <w:szCs w:val="22"/>
        </w:rPr>
      </w:pPr>
      <w:r w:rsidRPr="00D24C7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55188" w:rsidRPr="00185242" w:rsidRDefault="00455188" w:rsidP="00455188">
      <w:pPr>
        <w:rPr>
          <w:szCs w:val="22"/>
        </w:rPr>
      </w:pPr>
    </w:p>
    <w:p w:rsidR="00455188" w:rsidRPr="00D24C79" w:rsidRDefault="00455188" w:rsidP="00455188">
      <w:pPr>
        <w:widowControl/>
        <w:numPr>
          <w:ilvl w:val="0"/>
          <w:numId w:val="18"/>
        </w:numPr>
        <w:rPr>
          <w:szCs w:val="22"/>
        </w:rPr>
      </w:pPr>
      <w:r w:rsidRPr="00185242">
        <w:rPr>
          <w:szCs w:val="22"/>
        </w:rPr>
        <w:t>All hand-delivered or messenger-delivered paper filings for the Commission’s Secretary must be delivered to FCC Headquarters at 445 12</w:t>
      </w:r>
      <w:r w:rsidRPr="00185242">
        <w:rPr>
          <w:szCs w:val="22"/>
          <w:vertAlign w:val="superscript"/>
        </w:rPr>
        <w:t>th</w:t>
      </w:r>
      <w:r w:rsidRPr="00185242">
        <w:rPr>
          <w:szCs w:val="22"/>
        </w:rPr>
        <w:t xml:space="preserve"> St., SW, Room TW-A325, Washington, DC 20554.  The filing hours are 8:00 a.m. to 7:00 p.m.  </w:t>
      </w:r>
      <w:r w:rsidRPr="00D24C79">
        <w:rPr>
          <w:szCs w:val="22"/>
        </w:rPr>
        <w:t xml:space="preserve"> All hand deliveries must be held together with rubber bands or fasteners.  Any envelopes and boxes must be disposed of </w:t>
      </w:r>
      <w:r w:rsidRPr="00080146">
        <w:rPr>
          <w:szCs w:val="22"/>
          <w:u w:val="single"/>
        </w:rPr>
        <w:t>before</w:t>
      </w:r>
      <w:r w:rsidRPr="00D24C79">
        <w:rPr>
          <w:szCs w:val="22"/>
        </w:rPr>
        <w:t xml:space="preserve"> entering the building.  </w:t>
      </w:r>
    </w:p>
    <w:p w:rsidR="00455188" w:rsidRPr="00D24C79" w:rsidRDefault="00455188" w:rsidP="00455188">
      <w:pPr>
        <w:ind w:left="1080"/>
        <w:rPr>
          <w:szCs w:val="22"/>
        </w:rPr>
      </w:pPr>
    </w:p>
    <w:p w:rsidR="00455188" w:rsidRPr="00D24C79" w:rsidRDefault="00455188" w:rsidP="00455188">
      <w:pPr>
        <w:widowControl/>
        <w:numPr>
          <w:ilvl w:val="0"/>
          <w:numId w:val="18"/>
        </w:numPr>
        <w:rPr>
          <w:szCs w:val="22"/>
        </w:rPr>
      </w:pPr>
      <w:r w:rsidRPr="00D24C79">
        <w:rPr>
          <w:szCs w:val="22"/>
        </w:rPr>
        <w:t>Commercial overnight mail (other than U.S. Postal Service Express Mail and Priority Mail) must be sent to 9300 East Hampton Drive, Capitol Heights, MD  20743.</w:t>
      </w:r>
    </w:p>
    <w:p w:rsidR="00455188" w:rsidRPr="00D24C79" w:rsidRDefault="00455188" w:rsidP="00455188">
      <w:pPr>
        <w:rPr>
          <w:szCs w:val="22"/>
        </w:rPr>
      </w:pPr>
    </w:p>
    <w:p w:rsidR="00455188" w:rsidRPr="00352812" w:rsidRDefault="00455188" w:rsidP="00455188">
      <w:pPr>
        <w:widowControl/>
        <w:numPr>
          <w:ilvl w:val="0"/>
          <w:numId w:val="18"/>
        </w:numPr>
        <w:rPr>
          <w:szCs w:val="22"/>
        </w:rPr>
      </w:pPr>
      <w:r w:rsidRPr="00D24C79">
        <w:rPr>
          <w:szCs w:val="22"/>
        </w:rPr>
        <w:t>U.S. Postal Service first-class, Express, and Priority mail must be addressed to 445 12</w:t>
      </w:r>
      <w:r w:rsidRPr="00D24C79">
        <w:rPr>
          <w:szCs w:val="22"/>
          <w:vertAlign w:val="superscript"/>
        </w:rPr>
        <w:t>th</w:t>
      </w:r>
      <w:r w:rsidRPr="00D24C79">
        <w:rPr>
          <w:szCs w:val="22"/>
        </w:rPr>
        <w:t xml:space="preserve"> Street, SW, Washington DC  20554</w:t>
      </w:r>
      <w:r w:rsidRPr="00352812">
        <w:rPr>
          <w:szCs w:val="22"/>
        </w:rPr>
        <w:t>.</w:t>
      </w:r>
    </w:p>
    <w:p w:rsidR="00455188" w:rsidRPr="00470D28" w:rsidRDefault="00455188" w:rsidP="00455188">
      <w:pPr>
        <w:rPr>
          <w:sz w:val="24"/>
        </w:rPr>
      </w:pPr>
    </w:p>
    <w:p w:rsidR="00455188" w:rsidRDefault="00455188" w:rsidP="00455188">
      <w:pPr>
        <w:widowControl/>
        <w:numPr>
          <w:ilvl w:val="0"/>
          <w:numId w:val="17"/>
        </w:numPr>
      </w:pPr>
      <w:r w:rsidRPr="00D24C79">
        <w:t xml:space="preserve">People with Disabilities:  To request materials in accessible formats for people with disabilities (braille, large print, </w:t>
      </w:r>
      <w:r w:rsidRPr="00352812">
        <w:rPr>
          <w:szCs w:val="22"/>
        </w:rPr>
        <w:t>electronic</w:t>
      </w:r>
      <w:r w:rsidRPr="00352812">
        <w:t xml:space="preserve"> files, audio format), send an </w:t>
      </w:r>
      <w:r w:rsidRPr="00D24C79">
        <w:t xml:space="preserve">e-mail to </w:t>
      </w:r>
      <w:hyperlink r:id="rId9" w:history="1">
        <w:r w:rsidRPr="00D24C79">
          <w:t>fcc504@fcc.gov</w:t>
        </w:r>
      </w:hyperlink>
      <w:r w:rsidRPr="00D24C79">
        <w:t xml:space="preserve"> or call the Consumer &amp; Governmental Affairs Bureau at 202-418-0530 (voice), 202-418-0432 (tty).</w:t>
      </w:r>
    </w:p>
    <w:p w:rsidR="00455188" w:rsidRDefault="00455188" w:rsidP="00455188">
      <w:pPr>
        <w:widowControl/>
        <w:ind w:left="720"/>
      </w:pPr>
    </w:p>
    <w:p w:rsidR="00455188" w:rsidRDefault="00455188" w:rsidP="00455188">
      <w:pPr>
        <w:pStyle w:val="Heading2"/>
      </w:pPr>
      <w:bookmarkStart w:id="612" w:name="_Toc445193000"/>
      <w:bookmarkStart w:id="613" w:name="_Toc445193093"/>
      <w:bookmarkStart w:id="614" w:name="_Toc445193164"/>
      <w:bookmarkStart w:id="615" w:name="_Toc445276297"/>
      <w:bookmarkStart w:id="616" w:name="_Toc445367886"/>
      <w:bookmarkStart w:id="617" w:name="_Toc477445789"/>
      <w:bookmarkStart w:id="618" w:name="_Toc477453007"/>
      <w:bookmarkStart w:id="619" w:name="_Toc477453173"/>
      <w:bookmarkStart w:id="620" w:name="_Toc477796032"/>
      <w:bookmarkStart w:id="621" w:name="_Toc478050630"/>
      <w:bookmarkStart w:id="622" w:name="_Toc478138492"/>
      <w:bookmarkStart w:id="623" w:name="_Toc478139507"/>
      <w:bookmarkStart w:id="624" w:name="_Toc478139613"/>
      <w:bookmarkStart w:id="625" w:name="_Toc478139664"/>
      <w:bookmarkStart w:id="626" w:name="_Toc478394359"/>
      <w:bookmarkStart w:id="627" w:name="_Toc478398221"/>
      <w:bookmarkStart w:id="628" w:name="_Toc478403116"/>
      <w:bookmarkStart w:id="629" w:name="_Toc478460160"/>
      <w:bookmarkStart w:id="630" w:name="_Toc478476707"/>
      <w:bookmarkStart w:id="631" w:name="_Toc479943045"/>
      <w:bookmarkStart w:id="632" w:name="_Toc480388548"/>
      <w:r>
        <w:t>Contact Person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455188" w:rsidRPr="00223ABA" w:rsidRDefault="00455188" w:rsidP="00455188">
      <w:pPr>
        <w:pStyle w:val="ParaNum"/>
      </w:pPr>
      <w:r w:rsidRPr="002A57BF">
        <w:t>For further information about this proceeding, please contact</w:t>
      </w:r>
      <w:r>
        <w:t xml:space="preserve"> Michele Berlove</w:t>
      </w:r>
      <w:r w:rsidRPr="002A57BF">
        <w:t xml:space="preserve">, FCC Wireline Competition Bureau, </w:t>
      </w:r>
      <w:r>
        <w:t xml:space="preserve">Competition Policy Division, </w:t>
      </w:r>
      <w:r w:rsidRPr="002A57BF">
        <w:t>Room 5-C</w:t>
      </w:r>
      <w:r>
        <w:t>313</w:t>
      </w:r>
      <w:r w:rsidRPr="002A57BF">
        <w:t>, 445 12th Street, S.W., Wash</w:t>
      </w:r>
      <w:r>
        <w:t xml:space="preserve">ington, D.C. 20554, (202) 418-1477, </w:t>
      </w:r>
      <w:hyperlink r:id="rId10" w:history="1">
        <w:r w:rsidRPr="002A796A">
          <w:rPr>
            <w:rStyle w:val="Hyperlink"/>
          </w:rPr>
          <w:t>Michele.Berlove@fcc.gov</w:t>
        </w:r>
      </w:hyperlink>
      <w:r>
        <w:t xml:space="preserve">, or Michael Ray, FCC Wireline Competition Bureau, Competition Policy Division, Room 5-C235, 445 12th Street, S.W., Washington, D.C. 20554, (202) 418-0357, </w:t>
      </w:r>
      <w:hyperlink r:id="rId11" w:history="1">
        <w:r w:rsidRPr="002A796A">
          <w:rPr>
            <w:rStyle w:val="Hyperlink"/>
          </w:rPr>
          <w:t>Michael.Ray@fcc.gov</w:t>
        </w:r>
      </w:hyperlink>
      <w:r>
        <w:t xml:space="preserve">. </w:t>
      </w:r>
    </w:p>
    <w:p w:rsidR="00455188" w:rsidRDefault="00455188" w:rsidP="00455188">
      <w:pPr>
        <w:pStyle w:val="Heading1"/>
      </w:pPr>
      <w:bookmarkStart w:id="633" w:name="_Toc477187546"/>
      <w:bookmarkStart w:id="634" w:name="_Toc477187686"/>
      <w:bookmarkStart w:id="635" w:name="_Toc477187942"/>
      <w:bookmarkStart w:id="636" w:name="_Toc477188044"/>
      <w:bookmarkStart w:id="637" w:name="_Toc477188131"/>
      <w:bookmarkStart w:id="638" w:name="_Toc477189019"/>
      <w:bookmarkStart w:id="639" w:name="_Toc477445790"/>
      <w:bookmarkStart w:id="640" w:name="_Toc477453008"/>
      <w:bookmarkStart w:id="641" w:name="_Toc477453174"/>
      <w:bookmarkStart w:id="642" w:name="_Toc477796033"/>
      <w:bookmarkStart w:id="643" w:name="_Toc478050631"/>
      <w:bookmarkStart w:id="644" w:name="_Toc478138493"/>
      <w:bookmarkStart w:id="645" w:name="_Toc478139508"/>
      <w:bookmarkStart w:id="646" w:name="_Toc478139614"/>
      <w:bookmarkStart w:id="647" w:name="_Toc478139665"/>
      <w:bookmarkStart w:id="648" w:name="_Toc478394360"/>
      <w:bookmarkStart w:id="649" w:name="_Toc478398222"/>
      <w:bookmarkStart w:id="650" w:name="_Toc478403117"/>
      <w:bookmarkStart w:id="651" w:name="_Toc478460161"/>
      <w:bookmarkStart w:id="652" w:name="_Toc478476708"/>
      <w:bookmarkStart w:id="653" w:name="_Toc479943046"/>
      <w:bookmarkStart w:id="654" w:name="_Toc480388549"/>
      <w:r>
        <w:rPr>
          <w:caps w:val="0"/>
        </w:rPr>
        <w:t>ORDERING CLAUSES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455188" w:rsidRPr="00A217B8" w:rsidRDefault="00455188" w:rsidP="00455188">
      <w:pPr>
        <w:pStyle w:val="ParaNum"/>
      </w:pPr>
      <w:r w:rsidRPr="00A217B8">
        <w:t>Accordingly, IT IS ORDERED that, pursuant to the authority contained in Sections 1-4, 201, 202, 214, 224, 251, 253 and 303(r) of the Communications Act of 1934, as amended, 47 U.S.C. §§ 151-154, 201, 202, 214, 224, 251, 253, 303(r), this Notice of Proposed Rulemaking IS ADOPTED.</w:t>
      </w:r>
    </w:p>
    <w:p w:rsidR="00455188" w:rsidRPr="00A217B8" w:rsidRDefault="00455188" w:rsidP="00455188">
      <w:pPr>
        <w:pStyle w:val="ParaNum"/>
      </w:pPr>
      <w:r w:rsidRPr="00A217B8">
        <w:t>IT IS FURTHER ORDERED that, pursuant to the authority contained in Sections 1, 4(i), 4(j), and 403 of the Communications Act of 1934, as amended, 47 U.S.C §§ 151, 154(i), 154(j), and 403, this Notice of Inquiry IS ADOPTED.</w:t>
      </w:r>
    </w:p>
    <w:p w:rsidR="00455188" w:rsidRPr="00A217B8" w:rsidRDefault="00455188" w:rsidP="00455188">
      <w:pPr>
        <w:pStyle w:val="ParaNum"/>
      </w:pPr>
      <w:r w:rsidRPr="00A217B8">
        <w:t>IT IS FURTHER ORDERED that, pursuant to the authority contained in Sections 1-4, 201-203, 214, and 403 of the Communications Act of 1934, as amended, 47 U.S.C. §§ 151-154, 201-203, 214, 403, this Request for Comment IS ADOPTED and SHALL BE EFFECTIVE upon release.</w:t>
      </w:r>
    </w:p>
    <w:p w:rsidR="00455188" w:rsidRPr="00DA393A" w:rsidRDefault="00455188" w:rsidP="00455188">
      <w:pPr>
        <w:pStyle w:val="ParaNum"/>
      </w:pPr>
      <w:r w:rsidRPr="00A217B8">
        <w:t xml:space="preserve"> IT IS FURTHER ORDERED that the Commission’s Consumer &amp; Governmental Affairs Bureau, Reference Information Center, SHALL SEND a copy of this Notice of Proposed Rulemaking to the Chief Counsel for Advocacy of the Small Business</w:t>
      </w:r>
      <w:r>
        <w:t xml:space="preserve"> Administration.</w:t>
      </w:r>
    </w:p>
    <w:p w:rsidR="00455188" w:rsidRDefault="00455188" w:rsidP="00455188"/>
    <w:p w:rsidR="00455188" w:rsidRPr="00FE7186" w:rsidRDefault="00455188" w:rsidP="00455188">
      <w:pPr>
        <w:keepNext/>
        <w:keepLines/>
        <w:widowControl/>
        <w:rPr>
          <w:szCs w:val="22"/>
        </w:rPr>
      </w:pPr>
      <w:r w:rsidRPr="00FE7186">
        <w:rPr>
          <w:szCs w:val="22"/>
        </w:rPr>
        <w:tab/>
      </w:r>
      <w:r>
        <w:rPr>
          <w:szCs w:val="22"/>
        </w:rPr>
        <w:tab/>
      </w:r>
      <w:r>
        <w:rPr>
          <w:szCs w:val="22"/>
        </w:rPr>
        <w:tab/>
      </w:r>
      <w:r>
        <w:rPr>
          <w:szCs w:val="22"/>
        </w:rPr>
        <w:tab/>
      </w:r>
      <w:r>
        <w:rPr>
          <w:szCs w:val="22"/>
        </w:rPr>
        <w:tab/>
      </w:r>
      <w:r>
        <w:rPr>
          <w:szCs w:val="22"/>
        </w:rPr>
        <w:tab/>
      </w:r>
      <w:r w:rsidRPr="00FE7186">
        <w:rPr>
          <w:szCs w:val="22"/>
        </w:rPr>
        <w:t>FEDERAL COMMUNICATIONS COMMISSION</w:t>
      </w:r>
    </w:p>
    <w:p w:rsidR="00455188" w:rsidRPr="00FE7186" w:rsidRDefault="00455188" w:rsidP="00455188">
      <w:pPr>
        <w:keepNext/>
        <w:keepLines/>
        <w:widowControl/>
        <w:rPr>
          <w:szCs w:val="22"/>
        </w:rPr>
      </w:pPr>
    </w:p>
    <w:p w:rsidR="00455188" w:rsidRPr="00FE7186" w:rsidRDefault="00455188" w:rsidP="00455188">
      <w:pPr>
        <w:keepNext/>
        <w:keepLines/>
        <w:widowControl/>
        <w:rPr>
          <w:szCs w:val="22"/>
        </w:rPr>
      </w:pPr>
    </w:p>
    <w:p w:rsidR="00455188" w:rsidRPr="00FE7186" w:rsidRDefault="00455188" w:rsidP="00455188">
      <w:pPr>
        <w:keepNext/>
        <w:keepLines/>
        <w:widowControl/>
        <w:rPr>
          <w:szCs w:val="22"/>
        </w:rPr>
      </w:pPr>
    </w:p>
    <w:p w:rsidR="00455188" w:rsidRPr="00FE7186" w:rsidRDefault="00455188" w:rsidP="00455188">
      <w:pPr>
        <w:keepNext/>
        <w:keepLines/>
        <w:widowControl/>
        <w:rPr>
          <w:szCs w:val="22"/>
        </w:rPr>
      </w:pPr>
    </w:p>
    <w:p w:rsidR="00455188" w:rsidRPr="00FE7186" w:rsidRDefault="00455188" w:rsidP="00455188">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Marlene H. Dortch</w:t>
      </w:r>
    </w:p>
    <w:p w:rsidR="007E638A" w:rsidRDefault="00455188" w:rsidP="00455188">
      <w:pPr>
        <w:keepNext/>
        <w:keepLines/>
        <w:widowControl/>
        <w:jc w:val="center"/>
        <w:rPr>
          <w:szCs w:val="22"/>
        </w:rPr>
        <w:sectPr w:rsidR="007E638A" w:rsidSect="003348FF">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r>
        <w:rPr>
          <w:szCs w:val="22"/>
        </w:rPr>
        <w:t xml:space="preserve">  </w:t>
      </w:r>
      <w:r w:rsidR="007E638A">
        <w:rPr>
          <w:szCs w:val="22"/>
        </w:rPr>
        <w:tab/>
      </w:r>
      <w:r w:rsidR="007E638A">
        <w:rPr>
          <w:szCs w:val="22"/>
        </w:rPr>
        <w:tab/>
      </w:r>
      <w:r>
        <w:rPr>
          <w:szCs w:val="22"/>
        </w:rPr>
        <w:t>Secretary</w:t>
      </w:r>
    </w:p>
    <w:p w:rsidR="00455188" w:rsidRDefault="00455188" w:rsidP="007E638A">
      <w:pPr>
        <w:keepNext/>
        <w:keepLines/>
        <w:widowControl/>
        <w:jc w:val="center"/>
        <w:rPr>
          <w:b/>
        </w:rPr>
      </w:pPr>
      <w:r>
        <w:rPr>
          <w:b/>
        </w:rPr>
        <w:t>APPENDIX A</w:t>
      </w:r>
    </w:p>
    <w:p w:rsidR="007E638A" w:rsidRDefault="007E638A" w:rsidP="007E638A">
      <w:pPr>
        <w:keepNext/>
        <w:keepLines/>
        <w:widowControl/>
        <w:jc w:val="center"/>
        <w:rPr>
          <w:b/>
        </w:rPr>
      </w:pPr>
    </w:p>
    <w:p w:rsidR="00455188" w:rsidRDefault="00455188" w:rsidP="00455188">
      <w:pPr>
        <w:widowControl/>
        <w:jc w:val="center"/>
        <w:rPr>
          <w:b/>
        </w:rPr>
      </w:pPr>
      <w:r>
        <w:rPr>
          <w:b/>
        </w:rPr>
        <w:t>Draft Proposed Rules for Public Comment</w:t>
      </w:r>
    </w:p>
    <w:p w:rsidR="00455188" w:rsidRDefault="00455188" w:rsidP="00455188">
      <w:pPr>
        <w:widowControl/>
        <w:jc w:val="center"/>
        <w:rPr>
          <w:b/>
        </w:rPr>
      </w:pP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b/>
          <w:snapToGrid/>
          <w:kern w:val="0"/>
          <w:szCs w:val="22"/>
        </w:rPr>
        <w:t xml:space="preserve">For the reasons set forth above, </w:t>
      </w:r>
      <w:r w:rsidRPr="00231976">
        <w:rPr>
          <w:rFonts w:eastAsia="Calibri"/>
          <w:snapToGrid/>
          <w:kern w:val="0"/>
          <w:szCs w:val="22"/>
        </w:rPr>
        <w:t xml:space="preserve">Parts 1, 51, </w:t>
      </w:r>
      <w:r>
        <w:rPr>
          <w:rFonts w:eastAsia="Calibri"/>
          <w:snapToGrid/>
          <w:kern w:val="0"/>
          <w:szCs w:val="22"/>
        </w:rPr>
        <w:t xml:space="preserve">and </w:t>
      </w:r>
      <w:r w:rsidRPr="00231976">
        <w:rPr>
          <w:rFonts w:eastAsia="Calibri"/>
          <w:snapToGrid/>
          <w:kern w:val="0"/>
          <w:szCs w:val="22"/>
        </w:rPr>
        <w:t>63</w:t>
      </w:r>
      <w:r>
        <w:rPr>
          <w:rFonts w:eastAsia="Calibri"/>
          <w:snapToGrid/>
          <w:kern w:val="0"/>
          <w:szCs w:val="22"/>
        </w:rPr>
        <w:t xml:space="preserve"> </w:t>
      </w:r>
      <w:r w:rsidRPr="00231976">
        <w:rPr>
          <w:rFonts w:eastAsia="Calibri"/>
          <w:snapToGrid/>
          <w:kern w:val="0"/>
          <w:szCs w:val="22"/>
        </w:rPr>
        <w:t xml:space="preserve">of Title 47 of the Code of Federal Regulations are amended as follows: </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PART 1 – PRACTICE AND PROCEDURE</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1.</w:t>
      </w:r>
      <w:r w:rsidRPr="00231976">
        <w:rPr>
          <w:rFonts w:eastAsia="Calibri"/>
          <w:snapToGrid/>
          <w:kern w:val="0"/>
          <w:szCs w:val="22"/>
        </w:rPr>
        <w:tab/>
        <w:t>The authority for part 1 continues to read as follows: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AUTHORITY: 15 U.S.C. 79 et seq., 47 U.S.C. 151, 154(i) and (j), 155, 157, 160, 201, 224, 225, 227, 303, 309, 301, 332, 1403, 1404, 1451, 1452, and 1455.</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SUBPART J – POLE ATTACHMENT COMPLAINT PROCEDURES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2.</w:t>
      </w:r>
      <w:r w:rsidRPr="00231976">
        <w:rPr>
          <w:rFonts w:eastAsia="Calibri"/>
          <w:snapToGrid/>
          <w:kern w:val="0"/>
          <w:szCs w:val="22"/>
        </w:rPr>
        <w:tab/>
        <w:t xml:space="preserve">Amend section 1403 by revising paragraphs (a) and (b) to read as follows:  </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1.1403  Duty to provide access; modifications; notice of removal, increase or modification; petition for temporary stay; and cable operator notice.</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(a) A utility shall provide a cable television system or any telecommunications carrier with nondiscriminatory access to any pole, duct, conduit, or right-of-way owned or controlled by it. A utility that is a local exchange carrier shall provide any incumbent local exchange carrier (as defined in 47 U.S.C. 251(h)) with nondiscriminatory access to any pole, duct, conduit, or right-of-way owned or controlled by it.  Notwithstanding either of the foregoing obligations, a utility may deny a cable television system or any telecommunications carrier, and a utility that is a local exchange carrier may deny an incumbent local exchange carrier, access to its poles, ducts, conduits, or rights-of-way, on a non-discriminatory basis where there is insufficient capacity or for reasons of safety, reliability and generally applicable engineering purposes.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(b) Requests for access to a utility’s poles, ducts, conduits, or rights-of-way by a telecommunications carrier or cable operator must be in writing.  If access is not granted within 15 days of the request for access, the utility must confirm the denial in writing by the 15th day (or within the timelines set forth in section 1.1420(g)).  The utility’s denial of access shall be specific, shall include all relevant evidence and information supporting its denial, and shall explain how such evidence and information relate to a denial of access for reasons of lack of capacity, safety, reliability or engineering standards.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3.</w:t>
      </w:r>
      <w:r w:rsidRPr="00231976">
        <w:rPr>
          <w:rFonts w:eastAsia="Calibri"/>
          <w:snapToGrid/>
          <w:kern w:val="0"/>
          <w:szCs w:val="22"/>
        </w:rPr>
        <w:tab/>
        <w:t>Amend section 1404 by revising paragraph (k) to read as follows:</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1.1404  Complaint.</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(k)  The complaint shall include:</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(1)  A certification that the complainant has, in good faith, engaged or attempted to engage in executive-level discussions with the respondent to resolve the pole attachment dispute. Executive-level discussions are discussions among representatives of the parties who have sufficient authority to make binding decisions on behalf of the company they represent regarding the subject matter of the discussions. Such certification shall include a statement that, prior to the filing of the complaint, the complainant mailed a certified letter to the respondent outlining the allegations that form the basis of the complaint it anticipated filing with the Commission, inviting a response within a reasonable period of time, and offering to hold executive-level discussions regarding the dispute; and</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(2) A certification that the complainant and respondent have, in good faith, engaged in discussions to resolve procedural issues and deadlines associated with the pole attachment complaint process.  Such certification shall include a statement that the complainant has contacted the Commission to disclose the results of the pre-complaint discussions with respondent.</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(3) A refusal by a respondent to engage in the discussions contemplated in this paragraph shall constitute an unreasonable practice under section 224 of the Act.</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4.</w:t>
      </w:r>
      <w:r w:rsidRPr="00231976">
        <w:rPr>
          <w:rFonts w:eastAsia="Calibri"/>
          <w:snapToGrid/>
          <w:kern w:val="0"/>
          <w:szCs w:val="22"/>
        </w:rPr>
        <w:tab/>
        <w:t>Amend section 1409 by revising paragraph (c) to read as follows:</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1.1409  Commission consideration of the complaint.</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(c)  The Commission shall determine whether the rate, term or condition complained of is just and reasonable. For the purposes of this paragraph, a rate is just and reasonable if it assures a utility the recovery of not less than the additional costs of providing pole attachments, nor more than an amount determined by multiplying the percentage of the total usable space, or the percentage of the total duct or conduit capacity, which is occupied by the pole attachment by the sum of the operating expenses and actual capital costs of the utility attributable to the entire pole, duct, conduit, or right-of-way.  The Commission shall exclude from actual capital costs those reimbursements received by the utility from cable operators and telecommunications carriers for non-recurring costs as set forth in sections 1.1404(g)(1)(xiii) and 1.1404(h)(1)(ix).</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5.</w:t>
      </w:r>
      <w:r w:rsidRPr="00231976">
        <w:rPr>
          <w:rFonts w:eastAsia="Calibri"/>
          <w:snapToGrid/>
          <w:kern w:val="0"/>
          <w:szCs w:val="22"/>
        </w:rPr>
        <w:tab/>
        <w:t>Amend section 1416 by revising the heading and paragraphs (b) and (c), and adding paragraph (d) to read as follows:</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1.1416  Imputation of rates; make-ready costs.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(b)  The cable television system operator or telecommunications carrier requesting attachment shall be responsible only for the actual costs of make-ready made necessary solely as a result of its new attachments.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(c)  The costs of modifying a facility shall be borne by all attachers and utilities that obtain access to the facility as a result of the modification and by all attachers and utilities that directly benefit from the modification. Each party described in the preceding sentence shall share proportionately in the cost of the modification. An attacher or a utility with a preexisting attachment to the modified facility shall be deemed to directly benefit from a modification if, after receiving notification of such modification as provided in subpart J of this part, it adds to or modifies its attachment.  Notwithstanding the foregoing, an attacher or utility with a preexisting attachment to a pole, conduit, duct or right-of-way shall not be required to bear any of the costs of rearranging or replacing its attachment if such rearrangement or replacement is necessitated solely as a result of an additional attachment or the modification of an existing attachment sought by another party. If an attacher or utility makes an attachment to the facility after the completion of the modification, such party shall share proportionately in the cost of the modification if such modification rendered possible the added attachment.</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(d)  If a utility performs make-ready, the utility shall make available to the cable television system operator or telecommunications carrier requesting attachment a schedule of its common make-ready charges that the new attacher may be charged.</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6.</w:t>
      </w:r>
      <w:r w:rsidRPr="00231976">
        <w:rPr>
          <w:rFonts w:eastAsia="Calibri"/>
          <w:snapToGrid/>
          <w:kern w:val="0"/>
          <w:szCs w:val="22"/>
        </w:rPr>
        <w:tab/>
        <w:t>Amend section 1420 by revising paragraphs (c) through (e), (g), and (i) to read as follows:</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1.1420  Timeline for access to poles, ducts, conduits, and rights of way.</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(c)</w:t>
      </w:r>
      <w:r w:rsidRPr="00231976">
        <w:rPr>
          <w:rFonts w:ascii="Calibri" w:eastAsia="Calibri" w:hAnsi="Calibri"/>
          <w:snapToGrid/>
          <w:kern w:val="0"/>
          <w:szCs w:val="22"/>
        </w:rPr>
        <w:t xml:space="preserve"> </w:t>
      </w:r>
      <w:r w:rsidRPr="00231976">
        <w:rPr>
          <w:rFonts w:eastAsia="Calibri"/>
          <w:i/>
          <w:snapToGrid/>
          <w:kern w:val="0"/>
          <w:szCs w:val="22"/>
        </w:rPr>
        <w:t>Survey</w:t>
      </w:r>
      <w:r w:rsidRPr="00231976">
        <w:rPr>
          <w:rFonts w:eastAsia="Calibri"/>
          <w:snapToGrid/>
          <w:kern w:val="0"/>
          <w:szCs w:val="22"/>
        </w:rPr>
        <w:t>. A utility shall respond as described in §1.1403(b) to a cable television system operator or telecommunications carrier within 15 days of receipt of a complete application to attach facilities to its utility poles (or within the timelines set forth in paragraph (g) of this section). This response may be a notification that the utility has completed a survey of poles for which access has been requested. A complete application is an application that provides the utility with the information necessary under its procedures to begin to survey the poles.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(d) </w:t>
      </w:r>
      <w:r w:rsidRPr="00231976">
        <w:rPr>
          <w:rFonts w:eastAsia="Calibri"/>
          <w:i/>
          <w:snapToGrid/>
          <w:kern w:val="0"/>
          <w:szCs w:val="22"/>
        </w:rPr>
        <w:t>Estimate</w:t>
      </w:r>
      <w:r w:rsidRPr="00231976">
        <w:rPr>
          <w:rFonts w:eastAsia="Calibri"/>
          <w:snapToGrid/>
          <w:kern w:val="0"/>
          <w:szCs w:val="22"/>
        </w:rPr>
        <w:t>. Where a request for access is not denied, a utility shall present to a cable television system operator or telecommunications carrier an estimate of charges to perform all necessary make-ready work within 7 days of providing the response required by §1.1420(c), or in the case where a prospective attacher’s contractor has performed a survey, within 7 days of receipt by the utility of such survey.</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(1) A utility may withdraw an outstanding estimate of charges to perform make-ready work beginning 7 days after the estimate is presented.</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(2) A cable television system operator or telecommunications carrier may accept a valid estimate and make payment anytime after receipt of an estimate but before the estimate is withdrawn.</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(e)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ab/>
        <w:t>(1) * * *</w:t>
      </w:r>
    </w:p>
    <w:p w:rsidR="00455188" w:rsidRPr="00231976" w:rsidRDefault="00455188" w:rsidP="00455188">
      <w:pPr>
        <w:widowControl/>
        <w:autoSpaceDE w:val="0"/>
        <w:autoSpaceDN w:val="0"/>
        <w:adjustRightInd w:val="0"/>
        <w:spacing w:after="200" w:line="276" w:lineRule="auto"/>
        <w:ind w:left="1440"/>
        <w:rPr>
          <w:rFonts w:eastAsia="Calibri"/>
          <w:snapToGrid/>
          <w:kern w:val="0"/>
          <w:szCs w:val="22"/>
        </w:rPr>
      </w:pPr>
      <w:r w:rsidRPr="00231976">
        <w:rPr>
          <w:rFonts w:eastAsia="Calibri"/>
          <w:snapToGrid/>
          <w:kern w:val="0"/>
          <w:szCs w:val="22"/>
        </w:rPr>
        <w:t>(ii)</w:t>
      </w:r>
      <w:r w:rsidRPr="00231976">
        <w:rPr>
          <w:rFonts w:ascii="Calibri" w:eastAsia="Calibri" w:hAnsi="Calibri"/>
          <w:snapToGrid/>
          <w:kern w:val="0"/>
          <w:szCs w:val="22"/>
        </w:rPr>
        <w:t xml:space="preserve"> </w:t>
      </w:r>
      <w:r w:rsidRPr="00231976">
        <w:rPr>
          <w:rFonts w:eastAsia="Calibri"/>
          <w:snapToGrid/>
          <w:kern w:val="0"/>
          <w:szCs w:val="22"/>
        </w:rPr>
        <w:t>Set a date for completion of make-ready that is no later than 30 days after notification is sent (or 75 days in the case of larger orders as described in paragraph (g) of this section).</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(g)  * * * </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(3)  A utility may add 30 days to the survey period described in paragraph (c) of this section to pole attachment orders larger than the lesser of (i) 3000 poles or (ii) 5 percent of the utility’s poles in a state.</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(4)  A utility may add 45 days to the make-ready periods described in paragraph (e) of this section to larger orders up to the lesser of 3000 poles or 5 percent of the utility's poles in a state.</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7.</w:t>
      </w:r>
      <w:r w:rsidRPr="00231976">
        <w:rPr>
          <w:rFonts w:eastAsia="Calibri"/>
          <w:snapToGrid/>
          <w:kern w:val="0"/>
          <w:szCs w:val="22"/>
        </w:rPr>
        <w:tab/>
        <w:t>Amend section 1422 by revising the heading and paragraphs (a) and (c) to read as follows:</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1.1422 Contractors for survey and make-ready.</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(a)  A utility shall make available and keep up-to-date a reasonably sufficient list of contractors it authorizes to perform surveys and make-ready in the communications space on its utility poles. A utility shall separately identify on that list the contractors it authorizes to perform make-ready above the communications space on its utility poles.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(c)  A cable television system operator or telecommunications carrier that hires a contractor for survey or make-ready work shall provide a utility and existing attachers with a reasonable opportunity for their representatives to accompany and consult with the authorized contractor and the cable television system operator or telecommunications carrier requesting attachment.</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8.</w:t>
      </w:r>
      <w:r w:rsidRPr="00231976">
        <w:rPr>
          <w:rFonts w:eastAsia="Calibri"/>
          <w:snapToGrid/>
          <w:kern w:val="0"/>
          <w:szCs w:val="22"/>
        </w:rPr>
        <w:tab/>
        <w:t>Amend section 1424 by revising to read as follows:</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1.1424   Complaints by incumbent local exchange carriers.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Complaints by an incumbent local exchange carrier (as defined in 47 U.S.C. 251(h)) or an association of incumbent local exchange carriers alleging that a rate, term, or condition for a pole attachment is not just and reasonable shall follow the same complaint procedures specified for other pole attachment complaints in this part, as relevant. In complaint proceedings, there will be a rebuttable presumption that an incumbent local exchange carrier (or an association of incumbent local exchange carriers) is similarly situated to an attacher that is a telecommunications carrier (as defined in 47 U.S.C. 251(a)(5)) or a cable television system for purposes of obtaining comparable rates, terms or conditions.  In pole attachment rate complaint proceedings, it is presumed that incumbent local exchange carriers (or an association of incumbent local exchange carriers) may be charged no higher than the rate determined in accordance with section 1.1409(e)(2), unless a utility can rebut the presumption by demonstrating that this maximum rate presumption should not apply.</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8.</w:t>
      </w:r>
      <w:r w:rsidRPr="00231976">
        <w:rPr>
          <w:rFonts w:eastAsia="Calibri"/>
          <w:snapToGrid/>
          <w:kern w:val="0"/>
          <w:szCs w:val="22"/>
        </w:rPr>
        <w:tab/>
        <w:t>Add new section 1425 to subpart J to read as follows:</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1.1425   Review Period for Pole Access Complaints.</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(a)  Except in extraordinary circumstances, final action on a complaint where a cable television system operator or telecommunications carrier claims that it has been denied access to a pole, duct, conduit, or right-of-way owned or controlled by a utility should be expected no later than 180 days from the date the complaint is filed with the Commission.</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(b)  The Commission shall have the discretion to pause the 180-day review period in situations where actions outside the Commission’s control are responsible for unreasonably delaying Commission review of an access complaint.</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PART 51 – INTERCONNECTION</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1.</w:t>
      </w:r>
      <w:r w:rsidRPr="00231976">
        <w:rPr>
          <w:rFonts w:eastAsia="Calibri"/>
          <w:snapToGrid/>
          <w:kern w:val="0"/>
          <w:szCs w:val="22"/>
        </w:rPr>
        <w:tab/>
        <w:t>The authority for part 51 continues to read as follows:</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AUTHORITY:  47 U.S.C. 151–55, 201–05, 207–09, 218, 220, 225–27, 251–54, 256, 271, 303(r), 332, 1302.</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SUBPART D – ADDITIONAL OBLIGATIONS OF INCUMBENT LOCAL EXCHANGE CARRIERS</w:t>
      </w:r>
    </w:p>
    <w:p w:rsidR="00455188" w:rsidRPr="00CB23F1" w:rsidRDefault="00455188" w:rsidP="00455188">
      <w:pPr>
        <w:widowControl/>
        <w:spacing w:after="200" w:line="276" w:lineRule="auto"/>
        <w:rPr>
          <w:color w:val="000000"/>
          <w:kern w:val="0"/>
        </w:rPr>
      </w:pPr>
      <w:r w:rsidRPr="00231976">
        <w:rPr>
          <w:rFonts w:eastAsia="Calibri"/>
          <w:snapToGrid/>
          <w:kern w:val="0"/>
          <w:szCs w:val="22"/>
        </w:rPr>
        <w:t>2.</w:t>
      </w:r>
      <w:r w:rsidRPr="00231976">
        <w:rPr>
          <w:rFonts w:eastAsia="Calibri"/>
          <w:snapToGrid/>
          <w:kern w:val="0"/>
          <w:szCs w:val="22"/>
        </w:rPr>
        <w:tab/>
        <w:t>Amend section 51.325 by removing paragraph (c) and redesignating paragraph</w:t>
      </w:r>
      <w:r>
        <w:rPr>
          <w:rFonts w:eastAsia="Calibri"/>
          <w:snapToGrid/>
          <w:kern w:val="0"/>
          <w:szCs w:val="22"/>
        </w:rPr>
        <w:t>s</w:t>
      </w:r>
      <w:r w:rsidRPr="00231976">
        <w:rPr>
          <w:rFonts w:eastAsia="Calibri"/>
          <w:snapToGrid/>
          <w:kern w:val="0"/>
          <w:szCs w:val="22"/>
        </w:rPr>
        <w:t xml:space="preserve"> (d) </w:t>
      </w:r>
      <w:r>
        <w:rPr>
          <w:rFonts w:eastAsia="Calibri"/>
          <w:snapToGrid/>
          <w:kern w:val="0"/>
          <w:szCs w:val="22"/>
        </w:rPr>
        <w:t xml:space="preserve">and (e) </w:t>
      </w:r>
      <w:r w:rsidRPr="00231976">
        <w:rPr>
          <w:rFonts w:eastAsia="Calibri"/>
          <w:snapToGrid/>
          <w:kern w:val="0"/>
          <w:szCs w:val="22"/>
        </w:rPr>
        <w:t>as (c)</w:t>
      </w:r>
      <w:r>
        <w:rPr>
          <w:rFonts w:eastAsia="Calibri"/>
          <w:snapToGrid/>
          <w:kern w:val="0"/>
          <w:szCs w:val="22"/>
        </w:rPr>
        <w:t xml:space="preserve"> and (d).</w:t>
      </w:r>
    </w:p>
    <w:p w:rsidR="00455188" w:rsidRPr="00231976" w:rsidRDefault="00455188" w:rsidP="00455188">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PART 63 – EXTENSION OF LINES, NEW LINES, AND DISCONTINUANCE, REDUCTION, OUTAGE AND IMPAIRMENT OF SERVICE BY COMMON CARRIERS; AND GRANTS OF RECOGNIZED PRIVATE OPERATING AGENCY STATUS</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1.</w:t>
      </w:r>
      <w:r w:rsidRPr="00231976">
        <w:rPr>
          <w:rFonts w:eastAsia="Calibri"/>
          <w:snapToGrid/>
          <w:kern w:val="0"/>
          <w:szCs w:val="22"/>
        </w:rPr>
        <w:tab/>
        <w:t>The authority for part 63 continues to read as follows:</w:t>
      </w:r>
    </w:p>
    <w:p w:rsidR="00455188" w:rsidRPr="00CB23F1" w:rsidRDefault="00455188" w:rsidP="00455188">
      <w:pPr>
        <w:widowControl/>
        <w:spacing w:after="200" w:line="276" w:lineRule="auto"/>
        <w:rPr>
          <w:color w:val="000000"/>
          <w:kern w:val="0"/>
        </w:rPr>
      </w:pPr>
      <w:r w:rsidRPr="00231976">
        <w:rPr>
          <w:rFonts w:eastAsia="Calibri"/>
          <w:snapToGrid/>
          <w:kern w:val="0"/>
          <w:szCs w:val="22"/>
        </w:rPr>
        <w:t>AUTHORITY: Sections 1, 4(i), 4(j), 10, 11, 201–205, 214, 218, 403 and 651 of the Communications Act of 1934, as amended, 47 U.S.C. 151, 154(i), 154(j), 160, 201–205, 214, 218, 403, and 571, unless otherwise noted.</w:t>
      </w:r>
      <w:r w:rsidRPr="00231976">
        <w:rPr>
          <w:snapToGrid/>
          <w:color w:val="000000"/>
          <w:kern w:val="0"/>
          <w:szCs w:val="22"/>
        </w:rPr>
        <w:t xml:space="preserve"> </w:t>
      </w:r>
    </w:p>
    <w:p w:rsidR="00455188" w:rsidRPr="00231976" w:rsidRDefault="00455188" w:rsidP="00455188">
      <w:pPr>
        <w:widowControl/>
        <w:spacing w:after="200" w:line="276" w:lineRule="auto"/>
        <w:rPr>
          <w:rFonts w:eastAsia="Calibri"/>
          <w:snapToGrid/>
          <w:kern w:val="0"/>
          <w:szCs w:val="22"/>
        </w:rPr>
      </w:pPr>
      <w:r>
        <w:rPr>
          <w:rFonts w:eastAsia="Calibri"/>
          <w:snapToGrid/>
          <w:kern w:val="0"/>
          <w:szCs w:val="22"/>
        </w:rPr>
        <w:t>2</w:t>
      </w:r>
      <w:r w:rsidRPr="00231976">
        <w:rPr>
          <w:rFonts w:eastAsia="Calibri"/>
          <w:snapToGrid/>
          <w:kern w:val="0"/>
          <w:szCs w:val="22"/>
        </w:rPr>
        <w:t>.</w:t>
      </w:r>
      <w:r w:rsidRPr="00231976">
        <w:rPr>
          <w:rFonts w:eastAsia="Calibri"/>
          <w:snapToGrid/>
          <w:kern w:val="0"/>
          <w:szCs w:val="22"/>
        </w:rPr>
        <w:tab/>
        <w:t>Amend section 63.60 by redesignating paragraph</w:t>
      </w:r>
      <w:r>
        <w:rPr>
          <w:rFonts w:eastAsia="Calibri"/>
          <w:snapToGrid/>
          <w:kern w:val="0"/>
          <w:szCs w:val="22"/>
        </w:rPr>
        <w:t>s</w:t>
      </w:r>
      <w:r w:rsidRPr="00231976">
        <w:rPr>
          <w:rFonts w:eastAsia="Calibri"/>
          <w:snapToGrid/>
          <w:kern w:val="0"/>
          <w:szCs w:val="22"/>
        </w:rPr>
        <w:t xml:space="preserve"> (d) through (</w:t>
      </w:r>
      <w:r>
        <w:rPr>
          <w:rFonts w:eastAsia="Calibri"/>
          <w:snapToGrid/>
          <w:kern w:val="0"/>
          <w:szCs w:val="22"/>
        </w:rPr>
        <w:t>h</w:t>
      </w:r>
      <w:r w:rsidRPr="00231976">
        <w:rPr>
          <w:rFonts w:eastAsia="Calibri"/>
          <w:snapToGrid/>
          <w:kern w:val="0"/>
          <w:szCs w:val="22"/>
        </w:rPr>
        <w:t>) as (</w:t>
      </w:r>
      <w:r>
        <w:rPr>
          <w:rFonts w:eastAsia="Calibri"/>
          <w:snapToGrid/>
          <w:kern w:val="0"/>
          <w:szCs w:val="22"/>
        </w:rPr>
        <w:t>e</w:t>
      </w:r>
      <w:r w:rsidRPr="00231976">
        <w:rPr>
          <w:rFonts w:eastAsia="Calibri"/>
          <w:snapToGrid/>
          <w:kern w:val="0"/>
          <w:szCs w:val="22"/>
        </w:rPr>
        <w:t>) through (i), and adding new paragraph (d), to read as follows:</w:t>
      </w:r>
    </w:p>
    <w:p w:rsidR="00455188" w:rsidRPr="00231976" w:rsidRDefault="00455188" w:rsidP="00455188">
      <w:pPr>
        <w:widowControl/>
        <w:spacing w:after="200" w:line="276" w:lineRule="auto"/>
        <w:rPr>
          <w:rFonts w:eastAsia="Calibri"/>
          <w:b/>
          <w:snapToGrid/>
          <w:kern w:val="0"/>
          <w:szCs w:val="22"/>
        </w:rPr>
      </w:pPr>
      <w:r w:rsidRPr="00231976">
        <w:rPr>
          <w:rFonts w:eastAsia="Calibri"/>
          <w:b/>
          <w:snapToGrid/>
          <w:kern w:val="0"/>
          <w:szCs w:val="22"/>
        </w:rPr>
        <w:t>§ 63.60 Definitions</w:t>
      </w:r>
      <w:r>
        <w:rPr>
          <w:rFonts w:eastAsia="Calibri"/>
          <w:b/>
          <w:snapToGrid/>
          <w:kern w:val="0"/>
          <w:szCs w:val="22"/>
        </w:rPr>
        <w:t>.</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spacing w:after="200"/>
        <w:rPr>
          <w:rFonts w:eastAsia="Calibri"/>
          <w:snapToGrid/>
          <w:kern w:val="0"/>
          <w:szCs w:val="22"/>
        </w:rPr>
      </w:pPr>
      <w:r w:rsidRPr="00231976">
        <w:rPr>
          <w:rFonts w:eastAsia="Calibri"/>
          <w:snapToGrid/>
          <w:kern w:val="0"/>
          <w:szCs w:val="22"/>
        </w:rPr>
        <w:t xml:space="preserve">(d)  </w:t>
      </w:r>
      <w:r w:rsidRPr="00231976">
        <w:rPr>
          <w:rFonts w:eastAsia="Calibri"/>
          <w:i/>
          <w:snapToGrid/>
          <w:color w:val="000000"/>
          <w:kern w:val="0"/>
          <w:szCs w:val="22"/>
        </w:rPr>
        <w:t>Grandfather</w:t>
      </w:r>
      <w:r w:rsidRPr="00231976">
        <w:rPr>
          <w:rFonts w:eastAsia="Calibri"/>
          <w:snapToGrid/>
          <w:kern w:val="0"/>
          <w:szCs w:val="22"/>
        </w:rPr>
        <w:t xml:space="preserve"> means to maintain the provision of a service to existing customers while ceasing to offer that service to new customers.</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widowControl/>
        <w:spacing w:after="200" w:line="276" w:lineRule="auto"/>
        <w:rPr>
          <w:rFonts w:eastAsia="Calibri"/>
          <w:snapToGrid/>
          <w:kern w:val="0"/>
          <w:szCs w:val="22"/>
        </w:rPr>
      </w:pPr>
      <w:r>
        <w:rPr>
          <w:rFonts w:eastAsia="Calibri"/>
          <w:snapToGrid/>
          <w:kern w:val="0"/>
          <w:szCs w:val="22"/>
        </w:rPr>
        <w:t>3</w:t>
      </w:r>
      <w:r w:rsidRPr="00231976">
        <w:rPr>
          <w:rFonts w:eastAsia="Calibri"/>
          <w:snapToGrid/>
          <w:kern w:val="0"/>
          <w:szCs w:val="22"/>
        </w:rPr>
        <w:t xml:space="preserve">. </w:t>
      </w:r>
      <w:r w:rsidRPr="00231976">
        <w:rPr>
          <w:rFonts w:eastAsia="Calibri"/>
          <w:snapToGrid/>
          <w:kern w:val="0"/>
          <w:szCs w:val="22"/>
        </w:rPr>
        <w:tab/>
        <w:t>Amend section 63.71 by deleting paragraph (d), redesignating paragraphs (e) through (</w:t>
      </w:r>
      <w:r>
        <w:rPr>
          <w:rFonts w:eastAsia="Calibri"/>
          <w:snapToGrid/>
          <w:kern w:val="0"/>
          <w:szCs w:val="22"/>
        </w:rPr>
        <w:t>f</w:t>
      </w:r>
      <w:r w:rsidRPr="00231976">
        <w:rPr>
          <w:rFonts w:eastAsia="Calibri"/>
          <w:snapToGrid/>
          <w:kern w:val="0"/>
          <w:szCs w:val="22"/>
        </w:rPr>
        <w:t>) as (d) through (</w:t>
      </w:r>
      <w:r>
        <w:rPr>
          <w:rFonts w:eastAsia="Calibri"/>
          <w:snapToGrid/>
          <w:kern w:val="0"/>
          <w:szCs w:val="22"/>
        </w:rPr>
        <w:t>e</w:t>
      </w:r>
      <w:r w:rsidRPr="00231976">
        <w:rPr>
          <w:rFonts w:eastAsia="Calibri"/>
          <w:snapToGrid/>
          <w:kern w:val="0"/>
          <w:szCs w:val="22"/>
        </w:rPr>
        <w:t>), a</w:t>
      </w:r>
      <w:r>
        <w:rPr>
          <w:rFonts w:eastAsia="Calibri"/>
          <w:snapToGrid/>
          <w:kern w:val="0"/>
          <w:szCs w:val="22"/>
        </w:rPr>
        <w:t xml:space="preserve">dding new </w:t>
      </w:r>
      <w:r w:rsidRPr="00231976">
        <w:rPr>
          <w:rFonts w:eastAsia="Calibri"/>
          <w:snapToGrid/>
          <w:kern w:val="0"/>
          <w:szCs w:val="22"/>
        </w:rPr>
        <w:t>paragraph (</w:t>
      </w:r>
      <w:r>
        <w:rPr>
          <w:rFonts w:eastAsia="Calibri"/>
          <w:snapToGrid/>
          <w:kern w:val="0"/>
          <w:szCs w:val="22"/>
        </w:rPr>
        <w:t>f</w:t>
      </w:r>
      <w:r w:rsidRPr="00231976">
        <w:rPr>
          <w:rFonts w:eastAsia="Calibri"/>
          <w:snapToGrid/>
          <w:kern w:val="0"/>
          <w:szCs w:val="22"/>
        </w:rPr>
        <w:t>)</w:t>
      </w:r>
      <w:r>
        <w:rPr>
          <w:rFonts w:eastAsia="Calibri"/>
          <w:snapToGrid/>
          <w:kern w:val="0"/>
          <w:szCs w:val="22"/>
        </w:rPr>
        <w:t>,</w:t>
      </w:r>
      <w:r w:rsidRPr="00231976">
        <w:rPr>
          <w:rFonts w:eastAsia="Calibri"/>
          <w:snapToGrid/>
          <w:kern w:val="0"/>
          <w:szCs w:val="22"/>
        </w:rPr>
        <w:t xml:space="preserve"> and </w:t>
      </w:r>
      <w:r>
        <w:rPr>
          <w:rFonts w:eastAsia="Calibri"/>
          <w:snapToGrid/>
          <w:kern w:val="0"/>
          <w:szCs w:val="22"/>
        </w:rPr>
        <w:t xml:space="preserve">revising </w:t>
      </w:r>
      <w:r w:rsidRPr="00231976">
        <w:rPr>
          <w:rFonts w:eastAsia="Calibri"/>
          <w:snapToGrid/>
          <w:kern w:val="0"/>
          <w:szCs w:val="22"/>
        </w:rPr>
        <w:t xml:space="preserve">paragraphs </w:t>
      </w:r>
      <w:r>
        <w:rPr>
          <w:rFonts w:eastAsia="Calibri"/>
          <w:snapToGrid/>
          <w:kern w:val="0"/>
          <w:szCs w:val="22"/>
        </w:rPr>
        <w:t xml:space="preserve">(a), </w:t>
      </w:r>
      <w:r w:rsidRPr="00231976">
        <w:rPr>
          <w:rFonts w:eastAsia="Calibri"/>
          <w:snapToGrid/>
          <w:kern w:val="0"/>
          <w:szCs w:val="22"/>
        </w:rPr>
        <w:t>(c), and (g), to read as follows:</w:t>
      </w:r>
    </w:p>
    <w:p w:rsidR="00455188" w:rsidRPr="00231976" w:rsidRDefault="00455188" w:rsidP="00455188">
      <w:pPr>
        <w:widowControl/>
        <w:spacing w:after="200" w:line="276" w:lineRule="auto"/>
        <w:rPr>
          <w:rFonts w:eastAsia="Calibri"/>
          <w:b/>
          <w:snapToGrid/>
          <w:kern w:val="0"/>
          <w:szCs w:val="22"/>
        </w:rPr>
      </w:pPr>
      <w:r w:rsidRPr="00231976">
        <w:rPr>
          <w:rFonts w:eastAsia="Calibri"/>
          <w:b/>
          <w:snapToGrid/>
          <w:kern w:val="0"/>
          <w:szCs w:val="22"/>
        </w:rPr>
        <w:t>§ 63.71 Procedures for discontinuance, reduction or impairment of service by domestic carriers.</w:t>
      </w:r>
    </w:p>
    <w:p w:rsidR="00455188" w:rsidRPr="00231976" w:rsidRDefault="00455188" w:rsidP="00455188">
      <w:pPr>
        <w:spacing w:after="200"/>
        <w:rPr>
          <w:rFonts w:eastAsia="Calibri"/>
          <w:snapToGrid/>
          <w:kern w:val="0"/>
          <w:szCs w:val="22"/>
        </w:rPr>
      </w:pPr>
      <w:r w:rsidRPr="00231976">
        <w:rPr>
          <w:rFonts w:eastAsia="Calibri"/>
          <w:snapToGrid/>
          <w:kern w:val="0"/>
          <w:szCs w:val="22"/>
        </w:rPr>
        <w:t>(a)  * * *</w:t>
      </w:r>
    </w:p>
    <w:p w:rsidR="00455188" w:rsidRPr="00231976" w:rsidRDefault="00455188" w:rsidP="00455188">
      <w:pPr>
        <w:widowControl/>
        <w:spacing w:after="200" w:line="276" w:lineRule="auto"/>
        <w:ind w:left="720"/>
        <w:rPr>
          <w:rFonts w:eastAsia="Calibri"/>
          <w:snapToGrid/>
          <w:kern w:val="0"/>
          <w:szCs w:val="22"/>
        </w:rPr>
      </w:pPr>
      <w:r w:rsidRPr="00231976">
        <w:rPr>
          <w:rFonts w:eastAsia="Calibri"/>
          <w:snapToGrid/>
          <w:kern w:val="0"/>
          <w:szCs w:val="22"/>
        </w:rPr>
        <w:t xml:space="preserve">(5) * * * </w:t>
      </w:r>
    </w:p>
    <w:p w:rsidR="00455188" w:rsidRDefault="00455188" w:rsidP="00455188">
      <w:pPr>
        <w:widowControl/>
        <w:spacing w:after="200" w:line="276" w:lineRule="auto"/>
        <w:ind w:left="1440"/>
        <w:rPr>
          <w:rFonts w:eastAsia="Calibri"/>
          <w:snapToGrid/>
          <w:kern w:val="0"/>
          <w:szCs w:val="22"/>
        </w:rPr>
      </w:pPr>
      <w:r w:rsidRPr="00231976">
        <w:rPr>
          <w:rFonts w:eastAsia="Calibri"/>
          <w:snapToGrid/>
          <w:kern w:val="0"/>
          <w:szCs w:val="22"/>
        </w:rPr>
        <w:t xml:space="preserve">(iii)  Notwithstanding paragraphs (a)(5)(i) and (ii) above, if any carrier, dominant or non-dominant, </w:t>
      </w:r>
      <w:r w:rsidRPr="00231976">
        <w:rPr>
          <w:snapToGrid/>
          <w:kern w:val="0"/>
          <w:szCs w:val="22"/>
        </w:rPr>
        <w:t>seeks to: (</w:t>
      </w:r>
      <w:r w:rsidRPr="00231976">
        <w:rPr>
          <w:bCs/>
          <w:snapToGrid/>
          <w:kern w:val="0"/>
          <w:szCs w:val="22"/>
        </w:rPr>
        <w:t xml:space="preserve">1) grandfather </w:t>
      </w:r>
      <w:r>
        <w:rPr>
          <w:bCs/>
          <w:snapToGrid/>
          <w:kern w:val="0"/>
          <w:szCs w:val="22"/>
        </w:rPr>
        <w:t xml:space="preserve">legacy </w:t>
      </w:r>
      <w:r w:rsidRPr="00231976">
        <w:rPr>
          <w:bCs/>
          <w:snapToGrid/>
          <w:kern w:val="0"/>
          <w:szCs w:val="22"/>
        </w:rPr>
        <w:t xml:space="preserve">service operating at </w:t>
      </w:r>
      <w:r>
        <w:rPr>
          <w:bCs/>
          <w:snapToGrid/>
          <w:kern w:val="0"/>
          <w:szCs w:val="22"/>
        </w:rPr>
        <w:t xml:space="preserve">speeds lower than </w:t>
      </w:r>
      <w:r w:rsidRPr="00231976">
        <w:rPr>
          <w:bCs/>
          <w:snapToGrid/>
          <w:kern w:val="0"/>
          <w:szCs w:val="22"/>
        </w:rPr>
        <w:t>1.544 Mbps; or (</w:t>
      </w:r>
      <w:r>
        <w:rPr>
          <w:bCs/>
          <w:snapToGrid/>
          <w:kern w:val="0"/>
          <w:szCs w:val="22"/>
        </w:rPr>
        <w:t>2</w:t>
      </w:r>
      <w:r w:rsidRPr="00231976">
        <w:rPr>
          <w:bCs/>
          <w:snapToGrid/>
          <w:kern w:val="0"/>
          <w:szCs w:val="22"/>
        </w:rPr>
        <w:t xml:space="preserve">) discontinue, reduce, or impair </w:t>
      </w:r>
      <w:r>
        <w:rPr>
          <w:bCs/>
          <w:snapToGrid/>
          <w:kern w:val="0"/>
          <w:szCs w:val="22"/>
        </w:rPr>
        <w:t>legacy</w:t>
      </w:r>
      <w:r w:rsidRPr="00231976">
        <w:rPr>
          <w:bCs/>
          <w:snapToGrid/>
          <w:kern w:val="0"/>
          <w:szCs w:val="22"/>
        </w:rPr>
        <w:t xml:space="preserve"> data service </w:t>
      </w:r>
      <w:r>
        <w:rPr>
          <w:bCs/>
          <w:snapToGrid/>
          <w:kern w:val="0"/>
          <w:szCs w:val="22"/>
        </w:rPr>
        <w:t>that has been grandfathered for a period of no less than 180 days</w:t>
      </w:r>
      <w:r w:rsidRPr="00231976">
        <w:rPr>
          <w:bCs/>
          <w:snapToGrid/>
          <w:kern w:val="0"/>
          <w:szCs w:val="22"/>
        </w:rPr>
        <w:t xml:space="preserve"> consistent with the criteria established in paragraph (a)(</w:t>
      </w:r>
      <w:r>
        <w:rPr>
          <w:bCs/>
          <w:snapToGrid/>
          <w:kern w:val="0"/>
          <w:szCs w:val="22"/>
        </w:rPr>
        <w:t>8</w:t>
      </w:r>
      <w:r w:rsidRPr="00231976">
        <w:rPr>
          <w:bCs/>
          <w:snapToGrid/>
          <w:kern w:val="0"/>
          <w:szCs w:val="22"/>
        </w:rPr>
        <w:t>) below, the notice shall state:</w:t>
      </w:r>
      <w:r w:rsidRPr="00231976">
        <w:rPr>
          <w:snapToGrid/>
          <w:kern w:val="0"/>
          <w:szCs w:val="22"/>
        </w:rPr>
        <w:t xml:space="preserve">  </w:t>
      </w:r>
      <w:r w:rsidRPr="00231976">
        <w:rPr>
          <w:rFonts w:eastAsia="Calibri"/>
          <w:snapToGrid/>
          <w:kern w:val="0"/>
          <w:szCs w:val="22"/>
        </w:rPr>
        <w:t>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If you wish to object, you should file your comments as soon as possible, but no later than 1</w:t>
      </w:r>
      <w:r>
        <w:rPr>
          <w:rFonts w:eastAsia="Calibri"/>
          <w:snapToGrid/>
          <w:kern w:val="0"/>
          <w:szCs w:val="22"/>
        </w:rPr>
        <w:t>0</w:t>
      </w:r>
      <w:r w:rsidRPr="00231976">
        <w:rPr>
          <w:rFonts w:eastAsia="Calibri"/>
          <w:snapToGrid/>
          <w:kern w:val="0"/>
          <w:szCs w:val="22"/>
        </w:rPr>
        <w:t xml:space="preserve"> days after the Commission releases public notice of the proposed discontinuance. 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 63.71 Application of (carrier's name). Comments should include specific information about the impact of this proposed discontinuance (or reduction or impairment) upon you or your company, including any inability to acquire reasonable substitute service.   </w:t>
      </w:r>
    </w:p>
    <w:p w:rsidR="00455188" w:rsidRPr="00231976" w:rsidRDefault="00455188" w:rsidP="00455188">
      <w:pPr>
        <w:widowControl/>
        <w:autoSpaceDE w:val="0"/>
        <w:autoSpaceDN w:val="0"/>
        <w:adjustRightInd w:val="0"/>
        <w:spacing w:after="200" w:line="276" w:lineRule="auto"/>
        <w:rPr>
          <w:rFonts w:eastAsia="Calibri"/>
          <w:snapToGrid/>
          <w:kern w:val="0"/>
          <w:szCs w:val="22"/>
        </w:rPr>
      </w:pPr>
      <w:r>
        <w:rPr>
          <w:rFonts w:eastAsia="Calibri"/>
          <w:snapToGrid/>
          <w:kern w:val="0"/>
          <w:szCs w:val="22"/>
        </w:rPr>
        <w:t xml:space="preserve">* * * * * </w:t>
      </w:r>
    </w:p>
    <w:p w:rsidR="00455188"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w:t>
      </w:r>
      <w:r>
        <w:rPr>
          <w:rFonts w:eastAsia="Calibri"/>
          <w:snapToGrid/>
          <w:kern w:val="0"/>
          <w:szCs w:val="22"/>
        </w:rPr>
        <w:t>8</w:t>
      </w:r>
      <w:r w:rsidRPr="00231976">
        <w:rPr>
          <w:rFonts w:eastAsia="Calibri"/>
          <w:snapToGrid/>
          <w:kern w:val="0"/>
          <w:szCs w:val="22"/>
        </w:rPr>
        <w:t xml:space="preserve">)  For </w:t>
      </w:r>
      <w:r w:rsidRPr="00CB23F1">
        <w:rPr>
          <w:rFonts w:eastAsia="Calibri"/>
          <w:kern w:val="0"/>
        </w:rPr>
        <w:t>applications</w:t>
      </w:r>
      <w:r w:rsidRPr="00231976">
        <w:rPr>
          <w:rFonts w:eastAsia="Calibri"/>
          <w:snapToGrid/>
          <w:kern w:val="0"/>
          <w:szCs w:val="22"/>
        </w:rPr>
        <w:t xml:space="preserve"> to discontinue, reduce, or impair </w:t>
      </w:r>
      <w:r>
        <w:rPr>
          <w:rFonts w:eastAsia="Calibri"/>
          <w:snapToGrid/>
          <w:kern w:val="0"/>
          <w:szCs w:val="22"/>
        </w:rPr>
        <w:t>a legacy</w:t>
      </w:r>
      <w:r w:rsidRPr="00231976">
        <w:rPr>
          <w:rFonts w:eastAsia="Calibri"/>
          <w:snapToGrid/>
          <w:kern w:val="0"/>
          <w:szCs w:val="22"/>
        </w:rPr>
        <w:t xml:space="preserve"> data service</w:t>
      </w:r>
      <w:r>
        <w:rPr>
          <w:rFonts w:eastAsia="Calibri"/>
          <w:snapToGrid/>
          <w:kern w:val="0"/>
          <w:szCs w:val="22"/>
        </w:rPr>
        <w:t xml:space="preserve"> that has been grandfathered for a period of no less than 180 days</w:t>
      </w:r>
      <w:r w:rsidRPr="00231976">
        <w:rPr>
          <w:rFonts w:eastAsia="Calibri"/>
          <w:snapToGrid/>
          <w:kern w:val="0"/>
          <w:szCs w:val="22"/>
        </w:rPr>
        <w:t>, in order to be eligible for automatic grant under paragraph (</w:t>
      </w:r>
      <w:r>
        <w:rPr>
          <w:rFonts w:eastAsia="Calibri"/>
          <w:snapToGrid/>
          <w:kern w:val="0"/>
          <w:szCs w:val="22"/>
        </w:rPr>
        <w:t>f</w:t>
      </w:r>
      <w:r w:rsidRPr="00231976">
        <w:rPr>
          <w:rFonts w:eastAsia="Calibri"/>
          <w:snapToGrid/>
          <w:kern w:val="0"/>
          <w:szCs w:val="22"/>
        </w:rPr>
        <w:t xml:space="preserve">) of this section, an applicant must include in its application a statement </w:t>
      </w:r>
      <w:r>
        <w:rPr>
          <w:rFonts w:eastAsia="Calibri"/>
          <w:snapToGrid/>
          <w:kern w:val="0"/>
          <w:szCs w:val="22"/>
        </w:rPr>
        <w:t>confirming that they received Commission authority to grandfather the service at issue at least 180 days prior to filing the current application.</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 xml:space="preserve">* * * * * </w:t>
      </w:r>
    </w:p>
    <w:p w:rsidR="00455188" w:rsidRPr="00231976" w:rsidRDefault="00455188" w:rsidP="00455188">
      <w:pPr>
        <w:widowControl/>
        <w:spacing w:after="200" w:line="276" w:lineRule="auto"/>
        <w:rPr>
          <w:rFonts w:eastAsia="Calibri"/>
          <w:snapToGrid/>
          <w:kern w:val="0"/>
          <w:szCs w:val="22"/>
        </w:rPr>
      </w:pPr>
      <w:r w:rsidRPr="00231976">
        <w:rPr>
          <w:rFonts w:eastAsia="Calibri"/>
          <w:snapToGrid/>
          <w:kern w:val="0"/>
          <w:szCs w:val="22"/>
        </w:rPr>
        <w:t>(c)  The carrier shall file with this Commission, on or after the date on which notice has been given to all affected customers, an application which shall contain the following:</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(1)  Caption - “Section 63.71 Application”;</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(2)  Information listed in § 63.71(a) (1) through (4) above;</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(3)  Information listed in § 63.71(a)</w:t>
      </w:r>
      <w:r>
        <w:rPr>
          <w:rFonts w:eastAsia="Calibri"/>
          <w:snapToGrid/>
          <w:kern w:val="0"/>
          <w:szCs w:val="22"/>
        </w:rPr>
        <w:t xml:space="preserve"> </w:t>
      </w:r>
      <w:r w:rsidRPr="00231976">
        <w:rPr>
          <w:rFonts w:eastAsia="Calibri"/>
          <w:snapToGrid/>
          <w:kern w:val="0"/>
          <w:szCs w:val="22"/>
        </w:rPr>
        <w:t xml:space="preserve">(6) </w:t>
      </w:r>
      <w:r>
        <w:rPr>
          <w:rFonts w:eastAsia="Calibri"/>
          <w:snapToGrid/>
          <w:kern w:val="0"/>
          <w:szCs w:val="22"/>
        </w:rPr>
        <w:t>through</w:t>
      </w:r>
      <w:r w:rsidRPr="00231976">
        <w:rPr>
          <w:rFonts w:eastAsia="Calibri"/>
          <w:snapToGrid/>
          <w:kern w:val="0"/>
          <w:szCs w:val="22"/>
        </w:rPr>
        <w:t xml:space="preserve"> (</w:t>
      </w:r>
      <w:r>
        <w:rPr>
          <w:rFonts w:eastAsia="Calibri"/>
          <w:snapToGrid/>
          <w:kern w:val="0"/>
          <w:szCs w:val="22"/>
        </w:rPr>
        <w:t>8</w:t>
      </w:r>
      <w:r w:rsidRPr="00231976">
        <w:rPr>
          <w:rFonts w:eastAsia="Calibri"/>
          <w:snapToGrid/>
          <w:kern w:val="0"/>
          <w:szCs w:val="22"/>
        </w:rPr>
        <w:t>) above, if applicable;</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(4)  Brief description of the dates and methods of notice to all affected customers;</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 xml:space="preserve">(5)  Whether the carrier is considered dominant or non-dominant with respect to the service to be discontinued, reduced or </w:t>
      </w:r>
      <w:r w:rsidRPr="00231976">
        <w:rPr>
          <w:snapToGrid/>
          <w:kern w:val="0"/>
          <w:szCs w:val="22"/>
        </w:rPr>
        <w:t>impaired</w:t>
      </w:r>
      <w:r w:rsidRPr="00231976">
        <w:rPr>
          <w:rFonts w:eastAsia="Calibri"/>
          <w:snapToGrid/>
          <w:kern w:val="0"/>
          <w:szCs w:val="22"/>
        </w:rPr>
        <w:t>; and</w:t>
      </w:r>
    </w:p>
    <w:p w:rsidR="00455188" w:rsidRPr="00231976" w:rsidRDefault="00455188" w:rsidP="00455188">
      <w:pPr>
        <w:widowControl/>
        <w:autoSpaceDE w:val="0"/>
        <w:autoSpaceDN w:val="0"/>
        <w:adjustRightInd w:val="0"/>
        <w:spacing w:after="200" w:line="276" w:lineRule="auto"/>
        <w:ind w:left="720"/>
        <w:rPr>
          <w:rFonts w:eastAsia="Calibri"/>
          <w:snapToGrid/>
          <w:kern w:val="0"/>
          <w:szCs w:val="22"/>
        </w:rPr>
      </w:pPr>
      <w:r w:rsidRPr="00231976">
        <w:rPr>
          <w:rFonts w:eastAsia="Calibri"/>
          <w:snapToGrid/>
          <w:kern w:val="0"/>
          <w:szCs w:val="22"/>
        </w:rPr>
        <w:t xml:space="preserve">(6)  Any other </w:t>
      </w:r>
      <w:r w:rsidRPr="00231976">
        <w:rPr>
          <w:snapToGrid/>
          <w:kern w:val="0"/>
          <w:szCs w:val="22"/>
        </w:rPr>
        <w:t>information</w:t>
      </w:r>
      <w:r w:rsidRPr="00231976">
        <w:rPr>
          <w:rFonts w:eastAsia="Calibri"/>
          <w:snapToGrid/>
          <w:kern w:val="0"/>
          <w:szCs w:val="22"/>
        </w:rPr>
        <w:t xml:space="preserve"> the Commission may require.</w:t>
      </w:r>
    </w:p>
    <w:p w:rsidR="00455188" w:rsidRPr="00231976" w:rsidRDefault="00455188" w:rsidP="00455188">
      <w:pPr>
        <w:widowControl/>
        <w:spacing w:after="200" w:line="276" w:lineRule="auto"/>
        <w:rPr>
          <w:snapToGrid/>
          <w:kern w:val="0"/>
          <w:szCs w:val="22"/>
        </w:rPr>
      </w:pPr>
      <w:r w:rsidRPr="00231976">
        <w:rPr>
          <w:snapToGrid/>
          <w:kern w:val="0"/>
          <w:szCs w:val="22"/>
        </w:rPr>
        <w:t xml:space="preserve">* * * * * </w:t>
      </w:r>
    </w:p>
    <w:p w:rsidR="00455188" w:rsidRDefault="00455188" w:rsidP="00455188">
      <w:pPr>
        <w:widowControl/>
        <w:spacing w:after="200" w:line="276" w:lineRule="auto"/>
        <w:rPr>
          <w:snapToGrid/>
          <w:kern w:val="0"/>
          <w:szCs w:val="22"/>
        </w:rPr>
      </w:pPr>
      <w:r w:rsidRPr="00231976">
        <w:rPr>
          <w:snapToGrid/>
          <w:kern w:val="0"/>
          <w:szCs w:val="22"/>
        </w:rPr>
        <w:t>(</w:t>
      </w:r>
      <w:r>
        <w:rPr>
          <w:snapToGrid/>
          <w:kern w:val="0"/>
          <w:szCs w:val="22"/>
        </w:rPr>
        <w:t>f</w:t>
      </w:r>
      <w:r w:rsidRPr="00231976">
        <w:rPr>
          <w:snapToGrid/>
          <w:kern w:val="0"/>
          <w:szCs w:val="22"/>
        </w:rPr>
        <w:t xml:space="preserve">)  </w:t>
      </w:r>
      <w:r w:rsidRPr="00231976">
        <w:rPr>
          <w:rFonts w:eastAsia="Calibri"/>
          <w:snapToGrid/>
          <w:kern w:val="0"/>
          <w:szCs w:val="22"/>
        </w:rPr>
        <w:t>Notwithstanding the above, an application filed by any carrier seeking to</w:t>
      </w:r>
      <w:r>
        <w:rPr>
          <w:bCs/>
          <w:snapToGrid/>
          <w:kern w:val="0"/>
          <w:szCs w:val="22"/>
        </w:rPr>
        <w:t xml:space="preserve"> </w:t>
      </w:r>
      <w:r w:rsidRPr="00231976">
        <w:rPr>
          <w:bCs/>
          <w:snapToGrid/>
          <w:kern w:val="0"/>
          <w:szCs w:val="22"/>
        </w:rPr>
        <w:t xml:space="preserve">grandfather </w:t>
      </w:r>
      <w:r>
        <w:rPr>
          <w:bCs/>
          <w:snapToGrid/>
          <w:kern w:val="0"/>
          <w:szCs w:val="22"/>
        </w:rPr>
        <w:t xml:space="preserve">legacy </w:t>
      </w:r>
      <w:r w:rsidRPr="00231976">
        <w:rPr>
          <w:bCs/>
          <w:snapToGrid/>
          <w:kern w:val="0"/>
          <w:szCs w:val="22"/>
        </w:rPr>
        <w:t xml:space="preserve">service operating at </w:t>
      </w:r>
      <w:r>
        <w:rPr>
          <w:bCs/>
          <w:snapToGrid/>
          <w:kern w:val="0"/>
          <w:szCs w:val="22"/>
        </w:rPr>
        <w:t xml:space="preserve">speeds lower than </w:t>
      </w:r>
      <w:r w:rsidRPr="00231976">
        <w:rPr>
          <w:bCs/>
          <w:snapToGrid/>
          <w:kern w:val="0"/>
          <w:szCs w:val="22"/>
        </w:rPr>
        <w:t xml:space="preserve">1.544 Mbps for existing customers shall be automatically granted on the </w:t>
      </w:r>
      <w:r>
        <w:rPr>
          <w:bCs/>
          <w:snapToGrid/>
          <w:kern w:val="0"/>
          <w:szCs w:val="22"/>
        </w:rPr>
        <w:t xml:space="preserve">25th </w:t>
      </w:r>
      <w:r w:rsidRPr="00231976">
        <w:rPr>
          <w:bCs/>
          <w:snapToGrid/>
          <w:kern w:val="0"/>
          <w:szCs w:val="22"/>
        </w:rPr>
        <w:t>day after its filing with the Commission without any Commission notification to the applicant unless the Commission has notified the applicant that the grant will not be automatically effective.</w:t>
      </w:r>
      <w:r w:rsidRPr="00231976">
        <w:rPr>
          <w:rFonts w:eastAsia="Calibri"/>
          <w:snapToGrid/>
          <w:kern w:val="0"/>
          <w:szCs w:val="22"/>
        </w:rPr>
        <w:t xml:space="preserve"> </w:t>
      </w:r>
      <w:r w:rsidRPr="00231976">
        <w:rPr>
          <w:snapToGrid/>
          <w:kern w:val="0"/>
          <w:szCs w:val="22"/>
        </w:rPr>
        <w:t>For purposes of this section, an application will be deemed filed on the date the Commission releases public notice of the filing.</w:t>
      </w:r>
      <w:r>
        <w:rPr>
          <w:snapToGrid/>
          <w:kern w:val="0"/>
          <w:szCs w:val="22"/>
        </w:rPr>
        <w:t xml:space="preserve"> </w:t>
      </w:r>
    </w:p>
    <w:p w:rsidR="00455188" w:rsidRPr="00231976" w:rsidRDefault="00455188" w:rsidP="00455188">
      <w:pPr>
        <w:widowControl/>
        <w:spacing w:after="200" w:line="276" w:lineRule="auto"/>
        <w:rPr>
          <w:snapToGrid/>
          <w:kern w:val="0"/>
          <w:szCs w:val="22"/>
        </w:rPr>
      </w:pPr>
      <w:r>
        <w:rPr>
          <w:snapToGrid/>
          <w:kern w:val="0"/>
          <w:szCs w:val="22"/>
        </w:rPr>
        <w:t xml:space="preserve">(g)  An application seeking to: 1) discontinue, reduce, or impair a service for which the requesting carrier has had no customers or reasonable requests for service during the 60-day period immediately preceding the filing of the application; or 2) discontinue, reduce, or impair a legacy data service </w:t>
      </w:r>
      <w:r>
        <w:rPr>
          <w:bCs/>
          <w:snapToGrid/>
          <w:kern w:val="0"/>
          <w:szCs w:val="22"/>
        </w:rPr>
        <w:t>that has been grandfathered for no less than the 180-day period immediately preceding the filing of the application, shall be automatically granted on the 31st day after its filing with the Commission without any Commission notification to the applicant, unless the Commission has notified the applicant that the grant will not be automatically effective.</w:t>
      </w:r>
    </w:p>
    <w:p w:rsidR="00455188" w:rsidRPr="00231976" w:rsidRDefault="00455188" w:rsidP="00455188">
      <w:pPr>
        <w:widowControl/>
        <w:spacing w:after="200" w:line="276" w:lineRule="auto"/>
        <w:rPr>
          <w:snapToGrid/>
          <w:kern w:val="0"/>
          <w:szCs w:val="22"/>
        </w:rPr>
      </w:pPr>
      <w:r w:rsidRPr="00231976" w:rsidDel="00130CD5">
        <w:rPr>
          <w:snapToGrid/>
          <w:kern w:val="0"/>
          <w:szCs w:val="22"/>
        </w:rPr>
        <w:t xml:space="preserve"> </w:t>
      </w:r>
    </w:p>
    <w:p w:rsidR="00455188" w:rsidRPr="00231976" w:rsidRDefault="00455188" w:rsidP="00455188">
      <w:pPr>
        <w:widowControl/>
        <w:spacing w:after="200" w:line="276" w:lineRule="auto"/>
        <w:rPr>
          <w:rFonts w:eastAsia="Calibri"/>
          <w:snapToGrid/>
          <w:kern w:val="0"/>
          <w:szCs w:val="22"/>
        </w:rPr>
      </w:pPr>
      <w:r w:rsidRPr="00231976">
        <w:rPr>
          <w:snapToGrid/>
          <w:kern w:val="0"/>
          <w:szCs w:val="22"/>
        </w:rPr>
        <w:t xml:space="preserve">* * * * * </w:t>
      </w:r>
    </w:p>
    <w:p w:rsidR="00455188" w:rsidRPr="00231976" w:rsidRDefault="00455188" w:rsidP="00455188">
      <w:pPr>
        <w:widowControl/>
        <w:spacing w:after="200" w:line="276" w:lineRule="auto"/>
        <w:rPr>
          <w:rFonts w:eastAsia="Calibri"/>
          <w:b/>
          <w:snapToGrid/>
          <w:kern w:val="0"/>
          <w:szCs w:val="22"/>
        </w:rPr>
      </w:pPr>
    </w:p>
    <w:p w:rsidR="00455188" w:rsidRDefault="00455188" w:rsidP="00455188">
      <w:pPr>
        <w:widowControl/>
        <w:jc w:val="center"/>
        <w:rPr>
          <w:b/>
        </w:rPr>
      </w:pPr>
    </w:p>
    <w:p w:rsidR="003348FF" w:rsidRDefault="003348FF" w:rsidP="00455188">
      <w:pPr>
        <w:widowControl/>
        <w:rPr>
          <w:b/>
        </w:rPr>
        <w:sectPr w:rsidR="003348FF" w:rsidSect="007E638A">
          <w:footnotePr>
            <w:numRestart w:val="eachSect"/>
          </w:footnotePr>
          <w:endnotePr>
            <w:numFmt w:val="decimal"/>
          </w:endnotePr>
          <w:pgSz w:w="12240" w:h="15840"/>
          <w:pgMar w:top="1440" w:right="1440" w:bottom="720" w:left="1440" w:header="720" w:footer="720" w:gutter="0"/>
          <w:cols w:space="720"/>
          <w:noEndnote/>
          <w:docGrid w:linePitch="299"/>
        </w:sectPr>
      </w:pPr>
    </w:p>
    <w:p w:rsidR="00455188" w:rsidRPr="007A6FE3" w:rsidRDefault="00455188" w:rsidP="00970420">
      <w:pPr>
        <w:jc w:val="center"/>
        <w:rPr>
          <w:b/>
        </w:rPr>
      </w:pPr>
      <w:r w:rsidRPr="007A6FE3">
        <w:rPr>
          <w:b/>
        </w:rPr>
        <w:t xml:space="preserve">APPENDIX </w:t>
      </w:r>
      <w:r>
        <w:rPr>
          <w:b/>
        </w:rPr>
        <w:t>B</w:t>
      </w:r>
    </w:p>
    <w:p w:rsidR="00455188" w:rsidRPr="007A6FE3" w:rsidRDefault="00455188" w:rsidP="00455188">
      <w:pPr>
        <w:spacing w:after="360"/>
        <w:jc w:val="center"/>
        <w:rPr>
          <w:b/>
        </w:rPr>
      </w:pPr>
      <w:r w:rsidRPr="007A6FE3">
        <w:rPr>
          <w:b/>
        </w:rPr>
        <w:t>Initial Regulatory Flexibility Analysis</w:t>
      </w:r>
    </w:p>
    <w:p w:rsidR="00455188" w:rsidRPr="002D1F32" w:rsidRDefault="00455188" w:rsidP="00455188">
      <w:pPr>
        <w:pStyle w:val="ParaNum"/>
        <w:numPr>
          <w:ilvl w:val="0"/>
          <w:numId w:val="14"/>
        </w:numPr>
      </w:pPr>
      <w:r>
        <w:t xml:space="preserve">     </w:t>
      </w:r>
      <w:r w:rsidRPr="002D1F32">
        <w:t>As required by the Regulatory Flexibility Act (RFA),</w:t>
      </w:r>
      <w:r w:rsidRPr="007A6FE3">
        <w:rPr>
          <w:rStyle w:val="FootnoteReference"/>
          <w:spacing w:val="-3"/>
        </w:rPr>
        <w:footnoteReference w:id="193"/>
      </w:r>
      <w:r w:rsidRPr="002D1F32">
        <w:t xml:space="preserve"> the Commission has prepared this present Initial Regulatory Flexibility Analysis (IRFA) of the possible significant economic impact on small entities by the policies and rules proposed in this Notice of Proposed Rule Making (Notice).  Written public comments are requested on this IRFA.  Comments must be identified as responses to the IRFA and must be filed by the deadlines for comments provided in paragraph</w:t>
      </w:r>
      <w:r>
        <w:t xml:space="preserve"> 133</w:t>
      </w:r>
      <w:r w:rsidRPr="002D1F32">
        <w:t xml:space="preserve"> of this Notice.  The Commission will send a copy of this Notice, including this IRFA, to the Chief Counsel for Advocacy of the Small Business Administration (SBA).</w:t>
      </w:r>
      <w:r w:rsidRPr="007A6FE3">
        <w:rPr>
          <w:rStyle w:val="FootnoteReference"/>
          <w:spacing w:val="-3"/>
        </w:rPr>
        <w:footnoteReference w:id="194"/>
      </w:r>
      <w:r w:rsidRPr="002D1F32">
        <w:t xml:space="preserve">  In addition, the Notice and IRFA (or summaries thereof) will be published in the Federal Register.</w:t>
      </w:r>
      <w:r w:rsidRPr="007A6FE3">
        <w:rPr>
          <w:rStyle w:val="FootnoteReference"/>
          <w:spacing w:val="-3"/>
        </w:rPr>
        <w:footnoteReference w:id="195"/>
      </w:r>
    </w:p>
    <w:p w:rsidR="00455188" w:rsidRPr="007A6FE3" w:rsidRDefault="00455188" w:rsidP="00455188">
      <w:pPr>
        <w:pStyle w:val="Heading2"/>
        <w:widowControl/>
        <w:rPr>
          <w:spacing w:val="-3"/>
        </w:rPr>
      </w:pPr>
      <w:bookmarkStart w:id="655" w:name="_Toc399947733"/>
      <w:bookmarkStart w:id="656" w:name="_Toc400554041"/>
      <w:bookmarkStart w:id="657" w:name="_Toc400566850"/>
      <w:bookmarkStart w:id="658" w:name="_Toc400711720"/>
      <w:bookmarkStart w:id="659" w:name="_Toc400719670"/>
      <w:bookmarkStart w:id="660" w:name="_Toc401299445"/>
      <w:bookmarkStart w:id="661" w:name="_Toc401307010"/>
      <w:bookmarkStart w:id="662" w:name="_Toc401314174"/>
      <w:bookmarkStart w:id="663" w:name="_Toc401314323"/>
      <w:bookmarkStart w:id="664" w:name="_Toc401329841"/>
      <w:bookmarkStart w:id="665" w:name="_Toc401595644"/>
      <w:bookmarkStart w:id="666" w:name="_Toc401658201"/>
      <w:bookmarkStart w:id="667" w:name="_Toc401821703"/>
      <w:bookmarkStart w:id="668" w:name="_Toc401912171"/>
      <w:bookmarkStart w:id="669" w:name="_Toc402255425"/>
      <w:bookmarkStart w:id="670" w:name="_Toc402276208"/>
      <w:bookmarkStart w:id="671" w:name="_Toc402360450"/>
      <w:bookmarkStart w:id="672" w:name="_Toc402511512"/>
      <w:bookmarkStart w:id="673" w:name="_Toc403566421"/>
      <w:bookmarkStart w:id="674" w:name="_Toc404072132"/>
      <w:bookmarkStart w:id="675" w:name="_Toc404081328"/>
      <w:bookmarkStart w:id="676" w:name="_Toc404165807"/>
      <w:bookmarkStart w:id="677" w:name="_Toc404165885"/>
      <w:bookmarkStart w:id="678" w:name="_Toc404172440"/>
      <w:bookmarkStart w:id="679" w:name="_Toc404181494"/>
      <w:bookmarkStart w:id="680" w:name="_Toc404183087"/>
      <w:bookmarkStart w:id="681" w:name="_Toc404246633"/>
      <w:bookmarkStart w:id="682" w:name="_Toc477796034"/>
      <w:bookmarkStart w:id="683" w:name="_Toc478050632"/>
      <w:bookmarkStart w:id="684" w:name="_Toc478138494"/>
      <w:bookmarkStart w:id="685" w:name="_Toc478139509"/>
      <w:bookmarkStart w:id="686" w:name="_Toc478139615"/>
      <w:bookmarkStart w:id="687" w:name="_Toc478139666"/>
      <w:bookmarkStart w:id="688" w:name="_Toc478403118"/>
      <w:bookmarkStart w:id="689" w:name="_Toc478460162"/>
      <w:bookmarkStart w:id="690" w:name="_Toc478476709"/>
      <w:bookmarkStart w:id="691" w:name="_Toc479943047"/>
      <w:bookmarkStart w:id="692" w:name="_Toc480388550"/>
      <w:r w:rsidRPr="007A6FE3">
        <w:rPr>
          <w:szCs w:val="22"/>
        </w:rPr>
        <w:t>Need</w:t>
      </w:r>
      <w:r w:rsidRPr="007A6FE3">
        <w:t xml:space="preserve"> </w:t>
      </w:r>
      <w:r w:rsidRPr="007A6FE3">
        <w:rPr>
          <w:szCs w:val="22"/>
        </w:rPr>
        <w:t>for</w:t>
      </w:r>
      <w:r w:rsidRPr="007A6FE3">
        <w:t>, and Objectives of, the Proposed Rules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455188" w:rsidRPr="007A6FE3" w:rsidRDefault="00455188" w:rsidP="00455188">
      <w:pPr>
        <w:pStyle w:val="ParaNum"/>
      </w:pPr>
      <w:r w:rsidRPr="007A6FE3">
        <w:t xml:space="preserve">The </w:t>
      </w:r>
      <w:r w:rsidRPr="00874558">
        <w:t>Notice</w:t>
      </w:r>
      <w:r w:rsidRPr="007A6FE3">
        <w:t xml:space="preserve"> proposes new steps </w:t>
      </w:r>
      <w:r>
        <w:t>designed to accelerate the deployment of next-generation networks and services by removing barriers to infrastructure investment.  Access to high speed broadband creates economic opportunity, enabling entrepreneurs to create businesses, immediately reach customers throughout the world and revolutionize entire industries.  This proceeding aims to better enable broadband providers to build, maintain, and upgrade their networks, which will spur job growth and ultimately lead to more affordable and accessible Internet access and other broadband services for all Americans.  Today’s action proposes to remove regulatory barriers to infrastructure at the state and local level, proposes changes to speed the transition from copper networks and legacy services to next-generation networks and services dependent on fiber, and proposes to reform Commission regulations that are raising costs and slowing broadband deployment rather than facilitating it.</w:t>
      </w:r>
      <w:r w:rsidRPr="007A6FE3">
        <w:t xml:space="preserve">  Thus, the Commission seeks comment on a variety of issues in the following areas.</w:t>
      </w:r>
    </w:p>
    <w:p w:rsidR="00455188" w:rsidRPr="007A6FE3" w:rsidRDefault="00455188" w:rsidP="00455188">
      <w:pPr>
        <w:pStyle w:val="ParaNum"/>
      </w:pPr>
      <w:r w:rsidRPr="00013FE2">
        <w:t xml:space="preserve">First, the </w:t>
      </w:r>
      <w:r w:rsidRPr="007C5ADA">
        <w:t>Notice</w:t>
      </w:r>
      <w:r w:rsidRPr="00013FE2">
        <w:t xml:space="preserve"> proposes and seeks comment on changes to the Commission’s pole attachment rules that would:  (1) adopt a streamlined timeframe for gaining access to utility poles; (2) reduce charges paid by attachers to utilities for work done to make a pole ready for new attachments; (3) </w:t>
      </w:r>
      <w:r>
        <w:t xml:space="preserve">codify the </w:t>
      </w:r>
      <w:r w:rsidRPr="00013FE2">
        <w:t>eliminat</w:t>
      </w:r>
      <w:r>
        <w:t>ion of</w:t>
      </w:r>
      <w:r w:rsidRPr="00013FE2">
        <w:t xml:space="preserve"> certain capital costs from the formulas used to confirm the reasonableness of rates charged by utilities for pole attachments by telecommunications and cable providers; (4) establish a 180-day shot clock for Commission consideration of pole attachment complaints; (5) adopt a formula for computing the maximum pole attachment rate that may be imposed on an incumbent LEC, and (6) adopt rules that would interpret the interconnection rules for telecommunications carriers in Section 251 of the Act and the pole attachment rules of Section 224 in a manner that allows for competitive LECs to demand access to incumbent LEC poles and </w:t>
      </w:r>
      <w:r w:rsidRPr="00013FE2">
        <w:rPr>
          <w:i/>
          <w:iCs/>
        </w:rPr>
        <w:t>vice versa</w:t>
      </w:r>
      <w:r w:rsidRPr="00013FE2">
        <w:t>.</w:t>
      </w:r>
      <w:r w:rsidRPr="007A6FE3">
        <w:rPr>
          <w:rStyle w:val="FootnoteReference"/>
        </w:rPr>
        <w:footnoteReference w:id="196"/>
      </w:r>
      <w:r w:rsidRPr="007A6FE3">
        <w:t xml:space="preserve">  </w:t>
      </w:r>
    </w:p>
    <w:p w:rsidR="00455188" w:rsidRPr="007A6FE3" w:rsidRDefault="00455188" w:rsidP="00D9706A">
      <w:pPr>
        <w:pStyle w:val="ParaNum"/>
        <w:widowControl/>
      </w:pPr>
      <w:r w:rsidRPr="007A6FE3">
        <w:t xml:space="preserve">Second, the </w:t>
      </w:r>
      <w:r w:rsidRPr="00874558">
        <w:t>Notice</w:t>
      </w:r>
      <w:r w:rsidRPr="007A6FE3">
        <w:t xml:space="preserve"> seeks comment on </w:t>
      </w:r>
      <w:r>
        <w:t xml:space="preserve">changing the Commission’s Part 51 copper retirement </w:t>
      </w:r>
      <w:r w:rsidRPr="00D959B8">
        <w:t xml:space="preserve">rules to </w:t>
      </w:r>
      <w:r>
        <w:t xml:space="preserve">expedite the copper retirement process and </w:t>
      </w:r>
      <w:r w:rsidRPr="00D959B8">
        <w:t xml:space="preserve">reduce </w:t>
      </w:r>
      <w:r>
        <w:t xml:space="preserve">associated </w:t>
      </w:r>
      <w:r w:rsidRPr="00D959B8">
        <w:t xml:space="preserve">regulatory </w:t>
      </w:r>
      <w:r>
        <w:t xml:space="preserve">burdens to facilitate more rapid </w:t>
      </w:r>
      <w:r w:rsidRPr="00D959B8">
        <w:t>deployment of next-generation networks</w:t>
      </w:r>
      <w:r>
        <w:t xml:space="preserve">, as well a </w:t>
      </w:r>
      <w:r w:rsidRPr="0087390D">
        <w:t xml:space="preserve">proposal </w:t>
      </w:r>
      <w:r>
        <w:t>and other potential changes to streamline and/or eliminate provisions of the more generally applicable network change notification rules.  It also seeks comment on eliminating Section 68.110(b) of the Commission’s rules.</w:t>
      </w:r>
      <w:r w:rsidRPr="007A6FE3">
        <w:rPr>
          <w:rStyle w:val="FootnoteReference"/>
        </w:rPr>
        <w:footnoteReference w:id="197"/>
      </w:r>
      <w:r w:rsidRPr="007A6FE3">
        <w:t xml:space="preserve">  </w:t>
      </w:r>
    </w:p>
    <w:p w:rsidR="00455188" w:rsidRDefault="00455188" w:rsidP="00970420">
      <w:pPr>
        <w:pStyle w:val="ParaNum"/>
        <w:widowControl/>
      </w:pPr>
      <w:r w:rsidRPr="007A6FE3">
        <w:t xml:space="preserve">Third, the </w:t>
      </w:r>
      <w:r w:rsidRPr="00874558">
        <w:t>Notice</w:t>
      </w:r>
      <w:r w:rsidRPr="007A6FE3">
        <w:t xml:space="preserve"> seeks comment on </w:t>
      </w:r>
      <w:r>
        <w:t>proposals to s</w:t>
      </w:r>
      <w:r w:rsidRPr="00D959B8">
        <w:t>treamlin</w:t>
      </w:r>
      <w:r>
        <w:t xml:space="preserve">e </w:t>
      </w:r>
      <w:r w:rsidRPr="00D959B8">
        <w:t xml:space="preserve">the Section 214(a) discontinuance process by reducing the comment and </w:t>
      </w:r>
      <w:r>
        <w:t xml:space="preserve">automatic-grant timeframes </w:t>
      </w:r>
      <w:r w:rsidRPr="00D959B8">
        <w:t xml:space="preserve">for </w:t>
      </w:r>
      <w:r>
        <w:t>two</w:t>
      </w:r>
      <w:r w:rsidRPr="00D959B8">
        <w:t xml:space="preserve"> specific categories of </w:t>
      </w:r>
      <w:r>
        <w:t xml:space="preserve">discontinuance </w:t>
      </w:r>
      <w:r w:rsidRPr="00D959B8">
        <w:t>applications</w:t>
      </w:r>
      <w:r>
        <w:t>:</w:t>
      </w:r>
      <w:r w:rsidRPr="00D959B8">
        <w:t xml:space="preserve"> </w:t>
      </w:r>
      <w:r>
        <w:t xml:space="preserve"> </w:t>
      </w:r>
      <w:r w:rsidRPr="00833A8C">
        <w:t>“</w:t>
      </w:r>
      <w:r>
        <w:t>g</w:t>
      </w:r>
      <w:r w:rsidRPr="00833A8C">
        <w:t>randfather</w:t>
      </w:r>
      <w:r>
        <w:t>ed</w:t>
      </w:r>
      <w:r w:rsidRPr="00833A8C">
        <w:t>” low-speed legacy services for existing customers</w:t>
      </w:r>
      <w:r>
        <w:t xml:space="preserve">, and </w:t>
      </w:r>
      <w:r w:rsidRPr="00B442D4">
        <w:t xml:space="preserve">legacy </w:t>
      </w:r>
      <w:r w:rsidRPr="00D959B8">
        <w:t xml:space="preserve">data services </w:t>
      </w:r>
      <w:r>
        <w:t>that have been grandfathered for a period of no less than 180 days.</w:t>
      </w:r>
      <w:r w:rsidRPr="007A6FE3">
        <w:rPr>
          <w:rStyle w:val="FootnoteReference"/>
        </w:rPr>
        <w:footnoteReference w:id="198"/>
      </w:r>
      <w:r>
        <w:t xml:space="preserve">  </w:t>
      </w:r>
      <w:r w:rsidRPr="007A6FE3">
        <w:t xml:space="preserve">Fourth, the </w:t>
      </w:r>
      <w:r w:rsidRPr="00874558">
        <w:t>Notice</w:t>
      </w:r>
      <w:r w:rsidRPr="007A6FE3">
        <w:t xml:space="preserve"> seeks comment on </w:t>
      </w:r>
      <w:r w:rsidRPr="00DA4023">
        <w:t>revers</w:t>
      </w:r>
      <w:r>
        <w:t xml:space="preserve">ing </w:t>
      </w:r>
      <w:r w:rsidRPr="00DA4023">
        <w:t xml:space="preserve">the Commission’s 2015 </w:t>
      </w:r>
      <w:r>
        <w:t xml:space="preserve">“carrier-customer’s retail end user” </w:t>
      </w:r>
      <w:r w:rsidRPr="00DA4023">
        <w:t xml:space="preserve">interpretation of </w:t>
      </w:r>
      <w:r>
        <w:t xml:space="preserve">the scope of </w:t>
      </w:r>
      <w:r w:rsidRPr="00DA4023">
        <w:t>Section 214(a)</w:t>
      </w:r>
      <w:r>
        <w:t xml:space="preserve"> discontinuance authority.</w:t>
      </w:r>
      <w:r>
        <w:rPr>
          <w:rStyle w:val="FootnoteReference"/>
        </w:rPr>
        <w:footnoteReference w:id="199"/>
      </w:r>
    </w:p>
    <w:p w:rsidR="00455188" w:rsidRPr="007A6FE3" w:rsidRDefault="00455188" w:rsidP="00455188">
      <w:pPr>
        <w:pStyle w:val="ParaNum"/>
      </w:pPr>
      <w:r>
        <w:t xml:space="preserve">Fifth, </w:t>
      </w:r>
      <w:r w:rsidRPr="00820C73">
        <w:t>the Notice seeks comment</w:t>
      </w:r>
      <w:r>
        <w:t xml:space="preserve"> on other Section 63.71</w:t>
      </w:r>
      <w:r w:rsidR="000A0218">
        <w:t xml:space="preserve"> </w:t>
      </w:r>
      <w:r>
        <w:t>changes</w:t>
      </w:r>
      <w:r w:rsidR="000A0218">
        <w:t xml:space="preserve"> </w:t>
      </w:r>
      <w:r>
        <w:t>to further streamline the Section 214 (a) discontinuance process for carriers.</w:t>
      </w:r>
      <w:r>
        <w:rPr>
          <w:rStyle w:val="FootnoteReference"/>
        </w:rPr>
        <w:footnoteReference w:id="200"/>
      </w:r>
      <w:r>
        <w:t xml:space="preserve"> </w:t>
      </w:r>
    </w:p>
    <w:p w:rsidR="00455188" w:rsidRPr="007A6FE3" w:rsidRDefault="00455188" w:rsidP="00455188">
      <w:pPr>
        <w:pStyle w:val="Heading2"/>
        <w:widowControl/>
      </w:pPr>
      <w:bookmarkStart w:id="693" w:name="_Toc399947734"/>
      <w:bookmarkStart w:id="694" w:name="_Toc400554042"/>
      <w:bookmarkStart w:id="695" w:name="_Toc400566851"/>
      <w:bookmarkStart w:id="696" w:name="_Toc400711721"/>
      <w:bookmarkStart w:id="697" w:name="_Toc400719671"/>
      <w:bookmarkStart w:id="698" w:name="_Toc401299446"/>
      <w:bookmarkStart w:id="699" w:name="_Toc401307011"/>
      <w:bookmarkStart w:id="700" w:name="_Toc401314175"/>
      <w:bookmarkStart w:id="701" w:name="_Toc401314324"/>
      <w:bookmarkStart w:id="702" w:name="_Toc401329842"/>
      <w:bookmarkStart w:id="703" w:name="_Toc401595645"/>
      <w:bookmarkStart w:id="704" w:name="_Toc401658202"/>
      <w:bookmarkStart w:id="705" w:name="_Toc401821704"/>
      <w:bookmarkStart w:id="706" w:name="_Toc401912172"/>
      <w:bookmarkStart w:id="707" w:name="_Toc402255426"/>
      <w:bookmarkStart w:id="708" w:name="_Toc402276209"/>
      <w:bookmarkStart w:id="709" w:name="_Toc402360451"/>
      <w:bookmarkStart w:id="710" w:name="_Toc402511513"/>
      <w:bookmarkStart w:id="711" w:name="_Toc403566422"/>
      <w:bookmarkStart w:id="712" w:name="_Toc404072133"/>
      <w:bookmarkStart w:id="713" w:name="_Toc404081329"/>
      <w:bookmarkStart w:id="714" w:name="_Toc404165808"/>
      <w:bookmarkStart w:id="715" w:name="_Toc404165886"/>
      <w:bookmarkStart w:id="716" w:name="_Toc404172441"/>
      <w:bookmarkStart w:id="717" w:name="_Toc404181495"/>
      <w:bookmarkStart w:id="718" w:name="_Toc404183088"/>
      <w:bookmarkStart w:id="719" w:name="_Toc404246634"/>
      <w:bookmarkStart w:id="720" w:name="_Toc477796035"/>
      <w:bookmarkStart w:id="721" w:name="_Toc478050633"/>
      <w:bookmarkStart w:id="722" w:name="_Toc478138495"/>
      <w:bookmarkStart w:id="723" w:name="_Toc478139510"/>
      <w:bookmarkStart w:id="724" w:name="_Toc478139616"/>
      <w:bookmarkStart w:id="725" w:name="_Toc478139667"/>
      <w:bookmarkStart w:id="726" w:name="_Toc478403119"/>
      <w:bookmarkStart w:id="727" w:name="_Toc478460163"/>
      <w:bookmarkStart w:id="728" w:name="_Toc478476710"/>
      <w:bookmarkStart w:id="729" w:name="_Toc479943048"/>
      <w:bookmarkStart w:id="730" w:name="_Toc480388551"/>
      <w:r w:rsidRPr="007A6FE3">
        <w:t>Legal Basis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455188" w:rsidRPr="00035448" w:rsidRDefault="00455188" w:rsidP="00455188">
      <w:pPr>
        <w:pStyle w:val="ParaNum"/>
      </w:pPr>
      <w:r w:rsidRPr="00013FE2">
        <w:t>The proposed action is authorized under Sections 1, 2, 4(i), 214, 224, 251</w:t>
      </w:r>
      <w:r>
        <w:t>, and 253</w:t>
      </w:r>
      <w:r w:rsidRPr="00013FE2">
        <w:t xml:space="preserve"> of the Communications Act of 1934, as amended; 47 U.S.C. Sections 151, 152, 154(i), 214, 224, 251</w:t>
      </w:r>
      <w:r>
        <w:t>, 253</w:t>
      </w:r>
      <w:r w:rsidRPr="00013FE2">
        <w:t>.</w:t>
      </w:r>
    </w:p>
    <w:p w:rsidR="00455188" w:rsidRPr="007A6FE3" w:rsidRDefault="00455188" w:rsidP="00455188">
      <w:pPr>
        <w:pStyle w:val="Heading2"/>
        <w:widowControl/>
      </w:pPr>
      <w:bookmarkStart w:id="731" w:name="_Toc399947735"/>
      <w:bookmarkStart w:id="732" w:name="_Toc400554043"/>
      <w:bookmarkStart w:id="733" w:name="_Toc400566852"/>
      <w:bookmarkStart w:id="734" w:name="_Toc400711722"/>
      <w:bookmarkStart w:id="735" w:name="_Toc400719672"/>
      <w:bookmarkStart w:id="736" w:name="_Toc401299447"/>
      <w:bookmarkStart w:id="737" w:name="_Toc401307012"/>
      <w:bookmarkStart w:id="738" w:name="_Toc401314176"/>
      <w:bookmarkStart w:id="739" w:name="_Toc401314325"/>
      <w:bookmarkStart w:id="740" w:name="_Toc401329843"/>
      <w:bookmarkStart w:id="741" w:name="_Toc401595646"/>
      <w:bookmarkStart w:id="742" w:name="_Toc401658203"/>
      <w:bookmarkStart w:id="743" w:name="_Toc401821705"/>
      <w:bookmarkStart w:id="744" w:name="_Toc401912173"/>
      <w:bookmarkStart w:id="745" w:name="_Toc402255427"/>
      <w:bookmarkStart w:id="746" w:name="_Toc402276210"/>
      <w:bookmarkStart w:id="747" w:name="_Toc402360452"/>
      <w:bookmarkStart w:id="748" w:name="_Toc402511514"/>
      <w:bookmarkStart w:id="749" w:name="_Toc403566423"/>
      <w:bookmarkStart w:id="750" w:name="_Toc404072134"/>
      <w:bookmarkStart w:id="751" w:name="_Toc404081330"/>
      <w:bookmarkStart w:id="752" w:name="_Toc404165809"/>
      <w:bookmarkStart w:id="753" w:name="_Toc404165887"/>
      <w:bookmarkStart w:id="754" w:name="_Toc404172442"/>
      <w:bookmarkStart w:id="755" w:name="_Toc404181496"/>
      <w:bookmarkStart w:id="756" w:name="_Toc404183089"/>
      <w:bookmarkStart w:id="757" w:name="_Toc404246635"/>
      <w:bookmarkStart w:id="758" w:name="_Toc477796036"/>
      <w:bookmarkStart w:id="759" w:name="_Toc478050634"/>
      <w:bookmarkStart w:id="760" w:name="_Toc478138496"/>
      <w:bookmarkStart w:id="761" w:name="_Toc478139511"/>
      <w:bookmarkStart w:id="762" w:name="_Toc478139617"/>
      <w:bookmarkStart w:id="763" w:name="_Toc478139668"/>
      <w:bookmarkStart w:id="764" w:name="_Toc478403120"/>
      <w:bookmarkStart w:id="765" w:name="_Toc478460164"/>
      <w:bookmarkStart w:id="766" w:name="_Toc478476711"/>
      <w:bookmarkStart w:id="767" w:name="_Toc479943049"/>
      <w:bookmarkStart w:id="768" w:name="_Toc480388552"/>
      <w:r w:rsidRPr="007A6FE3">
        <w:t>Description and Estimate o</w:t>
      </w:r>
      <w:r>
        <w:t>f the Number of Small Entities t</w:t>
      </w:r>
      <w:r w:rsidRPr="007A6FE3">
        <w:t>o Which the Proposed Rules Will Apply</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455188" w:rsidRPr="007A6FE3" w:rsidRDefault="00455188" w:rsidP="00455188">
      <w:pPr>
        <w:pStyle w:val="ParaNum"/>
      </w:pPr>
      <w:r w:rsidRPr="007A6FE3">
        <w:t>The RFA directs agencies to provide a description and, where feasible, an estimate of the number of small entities that may be affected by the proposed rules</w:t>
      </w:r>
      <w:r>
        <w:t xml:space="preserve"> and by the rule revisions on which the Notice seeks comment</w:t>
      </w:r>
      <w:r w:rsidRPr="007A6FE3">
        <w:t>, if adopted.</w:t>
      </w:r>
      <w:r w:rsidRPr="007A6FE3">
        <w:rPr>
          <w:rStyle w:val="FootnoteReference"/>
        </w:rPr>
        <w:footnoteReference w:id="201"/>
      </w:r>
      <w:r w:rsidRPr="007A6FE3">
        <w:t xml:space="preserve">  The RFA generally defines the term “small entity” as having the same meaning as the terms “small business,” “</w:t>
      </w:r>
      <w:r w:rsidRPr="007A6FE3">
        <w:rPr>
          <w:spacing w:val="-3"/>
        </w:rPr>
        <w:t>small</w:t>
      </w:r>
      <w:r w:rsidRPr="007A6FE3">
        <w:t xml:space="preserve"> organization,” and “small governmental jurisdiction.”</w:t>
      </w:r>
      <w:r w:rsidRPr="007A6FE3">
        <w:rPr>
          <w:rStyle w:val="FootnoteReference"/>
        </w:rPr>
        <w:footnoteReference w:id="202"/>
      </w:r>
      <w:r w:rsidRPr="007A6FE3">
        <w:t xml:space="preserve">  In addition, the term “small business” has the same meaning as the term “small-business concern” under the Small Business Act.</w:t>
      </w:r>
      <w:r w:rsidRPr="007A6FE3">
        <w:rPr>
          <w:rStyle w:val="FootnoteReference"/>
        </w:rPr>
        <w:footnoteReference w:id="203"/>
      </w:r>
      <w:r w:rsidRPr="007A6FE3">
        <w:t xml:space="preserve">  A “small-business concern” is one which:  (1) is independently owned and operated; (2) is not dominant in its field of operation; and (3) satisfies any additional criteria established by the SBA.</w:t>
      </w:r>
      <w:r w:rsidRPr="007A6FE3">
        <w:rPr>
          <w:rStyle w:val="FootnoteReference"/>
        </w:rPr>
        <w:footnoteReference w:id="204"/>
      </w:r>
    </w:p>
    <w:p w:rsidR="00455188" w:rsidRPr="007A6FE3" w:rsidRDefault="00455188" w:rsidP="00D9706A">
      <w:pPr>
        <w:pStyle w:val="ParaNum"/>
        <w:widowControl/>
      </w:pPr>
      <w:r w:rsidRPr="00013FE2">
        <w:t xml:space="preserve">The majority of our proposals </w:t>
      </w:r>
      <w:r>
        <w:t xml:space="preserve">and the changes on which we seek comment </w:t>
      </w:r>
      <w:r w:rsidRPr="00013FE2">
        <w:t xml:space="preserve">in the </w:t>
      </w:r>
      <w:r w:rsidRPr="00075BDE">
        <w:t xml:space="preserve">Notice </w:t>
      </w:r>
      <w:r w:rsidRPr="00013FE2">
        <w:t>will affect obligations on incumbent LECs and, in some cases, competitive LECs.  Certain pole attachment proposals also would affect obligations on utilities that own poles, telecommunications carriers and cable television systems that seek to attach equipment to utility poles, and other LECs that own poles.</w:t>
      </w:r>
      <w:r w:rsidRPr="00013FE2">
        <w:rPr>
          <w:rStyle w:val="FootnoteReference"/>
        </w:rPr>
        <w:footnoteReference w:id="205"/>
      </w:r>
      <w:r w:rsidRPr="00013FE2">
        <w:t xml:space="preserve">  Our actions, over time, may affect small entities that are not easily categorized at present.  Other entities, however, that choose to object to network change notification</w:t>
      </w:r>
      <w:r>
        <w:t>s</w:t>
      </w:r>
      <w:r w:rsidRPr="00013FE2">
        <w:t xml:space="preserve"> for copper retirement under </w:t>
      </w:r>
      <w:r>
        <w:t>the changes on which we seek comment</w:t>
      </w:r>
      <w:r w:rsidRPr="00013FE2">
        <w:t xml:space="preserve"> </w:t>
      </w:r>
      <w:r>
        <w:t xml:space="preserve">and Section 214 discontinuance applications </w:t>
      </w:r>
      <w:r w:rsidRPr="00013FE2">
        <w:t xml:space="preserve">may be economically impacted by the proposals in this </w:t>
      </w:r>
      <w:r>
        <w:t>Notice</w:t>
      </w:r>
      <w:r w:rsidRPr="00013FE2">
        <w:t>.</w:t>
      </w:r>
      <w:r w:rsidRPr="007A6FE3">
        <w:t xml:space="preserve">  </w:t>
      </w:r>
    </w:p>
    <w:p w:rsidR="00455188" w:rsidRPr="00224430" w:rsidRDefault="00455188" w:rsidP="00455188">
      <w:pPr>
        <w:pStyle w:val="ParaNum"/>
      </w:pPr>
      <w:r w:rsidRPr="00970420">
        <w:rPr>
          <w:i/>
          <w:iCs/>
        </w:rPr>
        <w:t>Small Businesses, Small Organizations, and Small Governmental Jurisdictions</w:t>
      </w:r>
      <w:r>
        <w:t>.  Our action may, over time, affect small entities that are not easily categorized at present.  We therefore describe here, at the outset, three comprehensive, statutory small entity size standards that encompass entities that could be directly affected by the new and revised rules adopted today.  According to the most currently available SBA data, there are 28.8 million small businesses in the U.S., which represent 99.9% of all businesses in the United States.</w:t>
      </w:r>
      <w:r>
        <w:rPr>
          <w:rStyle w:val="FootnoteReference"/>
          <w:rFonts w:ascii="TimesNewRomanPSMT" w:hAnsi="TimesNewRomanPSMT" w:cs="TimesNewRomanPSMT"/>
        </w:rPr>
        <w:footnoteReference w:id="206"/>
      </w:r>
      <w:r>
        <w:t xml:space="preserve"> </w:t>
      </w:r>
      <w:r>
        <w:rPr>
          <w:sz w:val="14"/>
          <w:szCs w:val="14"/>
        </w:rPr>
        <w:t xml:space="preserve"> </w:t>
      </w:r>
      <w:r>
        <w:t>Additionally, a “small organization” is generally “any not-for-profit enterprise which is independently owned and operated and is not dominant in its field.”</w:t>
      </w:r>
      <w:r>
        <w:rPr>
          <w:rStyle w:val="FootnoteReference"/>
          <w:rFonts w:ascii="TimesNewRomanPSMT" w:hAnsi="TimesNewRomanPSMT" w:cs="TimesNewRomanPSMT"/>
        </w:rPr>
        <w:footnoteReference w:id="207"/>
      </w:r>
      <w:r>
        <w:rPr>
          <w:sz w:val="14"/>
          <w:szCs w:val="14"/>
        </w:rPr>
        <w:t xml:space="preserve">  </w:t>
      </w:r>
      <w:r>
        <w:t>Nationwide, as of 2007, there were approximately 1,621, 215 small organizations.</w:t>
      </w:r>
      <w:r>
        <w:rPr>
          <w:rStyle w:val="FootnoteReference"/>
          <w:rFonts w:ascii="TimesNewRomanPSMT" w:hAnsi="TimesNewRomanPSMT" w:cs="TimesNewRomanPSMT"/>
        </w:rPr>
        <w:footnoteReference w:id="208"/>
      </w:r>
      <w:r>
        <w:t xml:space="preserve"> </w:t>
      </w:r>
      <w:r>
        <w:rPr>
          <w:sz w:val="14"/>
          <w:szCs w:val="14"/>
        </w:rPr>
        <w:t xml:space="preserve"> </w:t>
      </w:r>
      <w:r>
        <w:t>Finally, the term “small governmental jurisdiction” is defined generally as “governments of cities, counties, towns, townships, villages, school districts, or special districts, with a population of less than fifty thousand.”</w:t>
      </w:r>
      <w:r>
        <w:rPr>
          <w:rStyle w:val="FootnoteReference"/>
          <w:rFonts w:ascii="TimesNewRomanPSMT" w:hAnsi="TimesNewRomanPSMT" w:cs="TimesNewRomanPSMT"/>
        </w:rPr>
        <w:footnoteReference w:id="209"/>
      </w:r>
      <w:r>
        <w:rPr>
          <w:sz w:val="14"/>
          <w:szCs w:val="14"/>
        </w:rPr>
        <w:t xml:space="preserve">  </w:t>
      </w:r>
      <w:r>
        <w:t>Census Bureau data for 2012 indicate that there were 89,476 governmental jurisdictions in the United States.</w:t>
      </w:r>
      <w:r>
        <w:rPr>
          <w:rStyle w:val="FootnoteReference"/>
          <w:rFonts w:ascii="TimesNewRomanPSMT" w:hAnsi="TimesNewRomanPSMT" w:cs="TimesNewRomanPSMT"/>
        </w:rPr>
        <w:footnoteReference w:id="210"/>
      </w:r>
      <w:r>
        <w:rPr>
          <w:sz w:val="14"/>
          <w:szCs w:val="14"/>
        </w:rPr>
        <w:t xml:space="preserve">  </w:t>
      </w:r>
      <w:r>
        <w:t>We estimate that, of this total, as many as 88,718 entities may qualify as “small governmental jurisdictions.”</w:t>
      </w:r>
      <w:r>
        <w:rPr>
          <w:rStyle w:val="FootnoteReference"/>
          <w:rFonts w:ascii="TimesNewRomanPSMT" w:hAnsi="TimesNewRomanPSMT" w:cs="TimesNewRomanPSMT"/>
        </w:rPr>
        <w:footnoteReference w:id="211"/>
      </w:r>
      <w:r>
        <w:rPr>
          <w:sz w:val="14"/>
          <w:szCs w:val="14"/>
        </w:rPr>
        <w:t xml:space="preserve">  </w:t>
      </w:r>
      <w:r>
        <w:t>Thus, we estimate that most governmental jurisdictions are small.</w:t>
      </w:r>
    </w:p>
    <w:p w:rsidR="00455188" w:rsidRPr="002E1510" w:rsidRDefault="00455188" w:rsidP="00D9706A">
      <w:pPr>
        <w:pStyle w:val="ParaNum"/>
        <w:widowControl/>
      </w:pPr>
      <w:r w:rsidRPr="00970420">
        <w:rPr>
          <w:i/>
        </w:rPr>
        <w:t>Wired Telecommunications Carriers</w:t>
      </w:r>
      <w:r w:rsidRPr="007A6FE3">
        <w:t xml:space="preserve">.  </w:t>
      </w:r>
      <w: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212"/>
      </w:r>
      <w:r>
        <w:t xml:space="preserve"> </w:t>
      </w:r>
      <w:r>
        <w:rPr>
          <w:sz w:val="14"/>
          <w:szCs w:val="14"/>
        </w:rPr>
        <w:t xml:space="preserve"> </w:t>
      </w:r>
      <w:r>
        <w:t>The SBA has developed a small business size standard for Wired Telecommunications Carriers, which consists of all such companies having 1,500 or fewer employees.</w:t>
      </w:r>
      <w:r>
        <w:rPr>
          <w:rStyle w:val="FootnoteReference"/>
        </w:rPr>
        <w:footnoteReference w:id="213"/>
      </w:r>
      <w:r>
        <w:t xml:space="preserve"> </w:t>
      </w:r>
      <w:r>
        <w:rPr>
          <w:sz w:val="14"/>
          <w:szCs w:val="14"/>
        </w:rPr>
        <w:t xml:space="preserve"> </w:t>
      </w:r>
      <w:r>
        <w:t>Census data for 2012 shows that there were 3,117 firms that operated that year. Of this total, 3,083 operated with fewer than 1,000 employees.</w:t>
      </w:r>
      <w:r>
        <w:rPr>
          <w:rStyle w:val="FootnoteReference"/>
        </w:rPr>
        <w:footnoteReference w:id="214"/>
      </w:r>
      <w:r>
        <w:t xml:space="preserve"> </w:t>
      </w:r>
      <w:r>
        <w:rPr>
          <w:sz w:val="14"/>
          <w:szCs w:val="14"/>
        </w:rPr>
        <w:t xml:space="preserve"> </w:t>
      </w:r>
      <w:r>
        <w:t xml:space="preserve">Thus, under this size standard, the majority of firms in this industry can be considered </w:t>
      </w:r>
      <w:r w:rsidRPr="002E1510">
        <w:t>small</w:t>
      </w:r>
      <w:r>
        <w:t>.</w:t>
      </w:r>
    </w:p>
    <w:p w:rsidR="00455188" w:rsidRPr="00B54A8E" w:rsidRDefault="00455188" w:rsidP="00455188">
      <w:pPr>
        <w:pStyle w:val="ParaNum"/>
      </w:pPr>
      <w:r w:rsidRPr="00970420">
        <w:rPr>
          <w:i/>
        </w:rPr>
        <w:t>Local Exchange Carriers (LECs)</w:t>
      </w:r>
      <w:r w:rsidRPr="007A6FE3">
        <w:t xml:space="preserve">.  </w:t>
      </w:r>
      <w:r w:rsidRPr="00B54A8E">
        <w:t xml:space="preserve">Neither the Commission nor the SBA has developed a size standard for small businesses specifically applicable to local exchange services. </w:t>
      </w:r>
      <w:r>
        <w:t xml:space="preserve"> </w:t>
      </w:r>
      <w:r w:rsidRPr="00B54A8E">
        <w:t>The closest applicable NAICS Code category is for Wired Telecommunications Carriers</w:t>
      </w:r>
      <w:r>
        <w:t>, as defined in paragraph 12</w:t>
      </w:r>
      <w:r w:rsidRPr="00B54A8E">
        <w:t xml:space="preserve"> of this IRFA. </w:t>
      </w:r>
      <w:r>
        <w:t xml:space="preserve"> </w:t>
      </w:r>
      <w:r w:rsidRPr="00B54A8E">
        <w:t>Under that size standard, such a business is small if it has 1,500 or fewer employees.</w:t>
      </w:r>
      <w:r w:rsidRPr="00B54A8E">
        <w:rPr>
          <w:rStyle w:val="FootnoteReference"/>
        </w:rPr>
        <w:footnoteReference w:id="215"/>
      </w:r>
      <w:r w:rsidRPr="00B54A8E">
        <w:rPr>
          <w:sz w:val="13"/>
          <w:szCs w:val="13"/>
        </w:rPr>
        <w:t xml:space="preserve">  </w:t>
      </w:r>
      <w:r w:rsidRPr="00B54A8E">
        <w:t xml:space="preserve">Census data for 2012 show that there were 3,117 firms that operated that year. </w:t>
      </w:r>
      <w:r>
        <w:t xml:space="preserve"> </w:t>
      </w:r>
      <w:r w:rsidRPr="00B54A8E">
        <w:t>Of this total, 3,083 operated with fewer than 1,000 employees.</w:t>
      </w:r>
      <w:r w:rsidRPr="00B54A8E">
        <w:rPr>
          <w:rStyle w:val="FootnoteReference"/>
        </w:rPr>
        <w:footnoteReference w:id="216"/>
      </w:r>
      <w:r w:rsidRPr="00B54A8E">
        <w:rPr>
          <w:sz w:val="14"/>
          <w:szCs w:val="14"/>
        </w:rPr>
        <w:t xml:space="preserve"> </w:t>
      </w:r>
      <w:r>
        <w:rPr>
          <w:sz w:val="14"/>
          <w:szCs w:val="14"/>
        </w:rPr>
        <w:t xml:space="preserve"> </w:t>
      </w:r>
      <w:r w:rsidRPr="00B54A8E">
        <w:t>The Commission therefore estimates that most providers of local exchange carrier service are small entities that may be affected by the rules adopted.</w:t>
      </w:r>
    </w:p>
    <w:p w:rsidR="00455188" w:rsidRPr="00BA0ADA" w:rsidRDefault="00455188" w:rsidP="00455188">
      <w:pPr>
        <w:pStyle w:val="ParaNum"/>
      </w:pPr>
      <w:r w:rsidRPr="00970420">
        <w:rPr>
          <w:i/>
        </w:rPr>
        <w:t>Incumbent Local Exchange Carriers (incumbent LECs).</w:t>
      </w:r>
      <w:r w:rsidRPr="007A6FE3">
        <w:rPr>
          <w:b/>
        </w:rPr>
        <w:t xml:space="preserve">  </w:t>
      </w:r>
      <w:r w:rsidRPr="00B54A8E">
        <w:t xml:space="preserve">Neither the Commission nor the SBA has developed a small business size standard specifically for incumbent local exchange services.  The closest applicable NAICS Code category is Wired Telecommunications Carriers as defined in paragraph </w:t>
      </w:r>
      <w:r>
        <w:t>13</w:t>
      </w:r>
      <w:r w:rsidRPr="00B54A8E">
        <w:t xml:space="preserve"> of this IRFA. </w:t>
      </w:r>
      <w:r>
        <w:t xml:space="preserve"> </w:t>
      </w:r>
      <w:r w:rsidRPr="00B54A8E">
        <w:t xml:space="preserve">Under </w:t>
      </w:r>
      <w:r w:rsidRPr="00BA0ADA">
        <w:t>that</w:t>
      </w:r>
      <w:r w:rsidRPr="00B54A8E">
        <w:t xml:space="preserve"> size standard, such a business is small if it has 1,500 or fewer employees.</w:t>
      </w:r>
      <w:r w:rsidRPr="00B54A8E">
        <w:rPr>
          <w:rStyle w:val="FootnoteReference"/>
        </w:rPr>
        <w:footnoteReference w:id="217"/>
      </w:r>
      <w:r>
        <w:t xml:space="preserve"> </w:t>
      </w:r>
      <w:r w:rsidRPr="00B54A8E">
        <w:t xml:space="preserve"> According to Commission data, 3,117 firms operated in that year. Of this total, 3,083 operated with fewer than 1,000 employees.</w:t>
      </w:r>
      <w:r w:rsidRPr="00B54A8E">
        <w:rPr>
          <w:rStyle w:val="FootnoteReference"/>
        </w:rPr>
        <w:footnoteReference w:id="218"/>
      </w:r>
      <w:r w:rsidRPr="00B54A8E">
        <w:t xml:space="preserve">  Consequently, the Commission estimates that most providers of incumbent local exchange service are small businesses that may be affected by the rules and policies adopted</w:t>
      </w:r>
      <w:r w:rsidRPr="00B54A8E">
        <w:rPr>
          <w:i/>
          <w:iCs/>
        </w:rPr>
        <w:t xml:space="preserve">.  </w:t>
      </w:r>
      <w:r w:rsidRPr="00B54A8E">
        <w:t>One thousand three hundred and seven (1,307) Incumbent Local Exchange Carriers reported that they were incumbent local exchange service providers.</w:t>
      </w:r>
      <w:r>
        <w:rPr>
          <w:rStyle w:val="FootnoteReference"/>
        </w:rPr>
        <w:footnoteReference w:id="219"/>
      </w:r>
      <w:r>
        <w:t xml:space="preserve"> </w:t>
      </w:r>
      <w:r w:rsidRPr="00B54A8E">
        <w:t xml:space="preserve"> Of this total, an estimated 1,006 have 1,500 or fewer employees.</w:t>
      </w:r>
      <w:r>
        <w:rPr>
          <w:rStyle w:val="FootnoteReference"/>
        </w:rPr>
        <w:footnoteReference w:id="220"/>
      </w:r>
    </w:p>
    <w:p w:rsidR="00455188" w:rsidRPr="007A6FE3" w:rsidRDefault="00455188" w:rsidP="00455188">
      <w:pPr>
        <w:pStyle w:val="ParaNum"/>
      </w:pPr>
      <w:r w:rsidRPr="007A6FE3">
        <w:t xml:space="preserve">Competitive Local Exchange Carriers (competitive LECs), Competitive Access Providers (CAPs), Shared-Tenant Service Providers, and Other Local Service Providers.  </w:t>
      </w:r>
      <w:r w:rsidRPr="00D52C8E">
        <w:t xml:space="preserve">Neither the Commission nor the SBA has developed a small business size standard specifically for these service providers.  The appropriate NAICS Code category is Wired Telecommunications Carriers, as defined in paragraph 12 of this IRFA.  Under that size standard, such a business is small if it has 1,500 or fewer employees. </w:t>
      </w:r>
      <w:r>
        <w:t xml:space="preserve"> </w:t>
      </w:r>
      <w:r w:rsidRPr="00D52C8E">
        <w:t>U.S.</w:t>
      </w:r>
      <w:r>
        <w:t xml:space="preserve"> </w:t>
      </w:r>
      <w:r w:rsidRPr="00D52C8E">
        <w:t>Census data for 2012 indicate that 3,117 firms operated during that year. Of that number, 3,083 operated with fewer than 1,000 employees.</w:t>
      </w:r>
      <w:r>
        <w:rPr>
          <w:rStyle w:val="FootnoteReference"/>
        </w:rPr>
        <w:footnoteReference w:id="221"/>
      </w:r>
      <w:r>
        <w:t xml:space="preserve"> </w:t>
      </w:r>
      <w:r w:rsidRPr="00D52C8E">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w:t>
      </w:r>
      <w:r>
        <w:t>s</w:t>
      </w:r>
      <w:r w:rsidRPr="00D52C8E">
        <w:t>ervices.</w:t>
      </w:r>
      <w:r>
        <w:rPr>
          <w:rStyle w:val="FootnoteReference"/>
        </w:rPr>
        <w:footnoteReference w:id="222"/>
      </w:r>
      <w:r w:rsidRPr="00D52C8E">
        <w:t xml:space="preserve">  Of these 1,442 carriers, an estimated 1,256 have 1,500 or fewer employees. </w:t>
      </w:r>
      <w:r>
        <w:t xml:space="preserve"> </w:t>
      </w:r>
      <w:r w:rsidRPr="00D52C8E">
        <w:t>In addition, 17 carriers have reported that they are Shared-Tenant Service Providers, and all 17 are estimated to have 1,500 or fewer employees.</w:t>
      </w:r>
      <w:r>
        <w:rPr>
          <w:rStyle w:val="FootnoteReference"/>
        </w:rPr>
        <w:footnoteReference w:id="223"/>
      </w:r>
      <w:r w:rsidRPr="00D52C8E">
        <w:t xml:space="preserve">  In addition, 72 carriers have reported that they are Other Local Service Providers.</w:t>
      </w:r>
      <w:r>
        <w:rPr>
          <w:rStyle w:val="FootnoteReference"/>
        </w:rPr>
        <w:footnoteReference w:id="224"/>
      </w:r>
      <w:r w:rsidRPr="00D52C8E">
        <w:t xml:space="preserve"> </w:t>
      </w:r>
      <w:r>
        <w:t xml:space="preserve"> </w:t>
      </w:r>
      <w:r w:rsidRPr="00D52C8E">
        <w:t>Of this total, 70 have</w:t>
      </w:r>
      <w:r>
        <w:t xml:space="preserve"> </w:t>
      </w:r>
      <w:r w:rsidRPr="00D52C8E">
        <w:t>1,500 or fewer employees.</w:t>
      </w:r>
      <w:r>
        <w:rPr>
          <w:rStyle w:val="FootnoteReference"/>
        </w:rPr>
        <w:footnoteReference w:id="225"/>
      </w:r>
      <w:r w:rsidRPr="00D52C8E">
        <w:t xml:space="preserve">  Consequently, the Commission estimates that most providers of competitive local exchange service, competitive access providers, Shared-Tenant Service Providers, and Other Local Service Providers are small entities that may be affected by the adopted rules.</w:t>
      </w:r>
      <w:r w:rsidRPr="007A6FE3">
        <w:t xml:space="preserve"> </w:t>
      </w:r>
    </w:p>
    <w:p w:rsidR="00455188" w:rsidRPr="00A44FFE" w:rsidRDefault="00455188" w:rsidP="00455188">
      <w:pPr>
        <w:pStyle w:val="ParaNum"/>
      </w:pPr>
      <w:r w:rsidRPr="00970420">
        <w:rPr>
          <w:i/>
        </w:rPr>
        <w:t>Interexchange Carriers (IXCs).</w:t>
      </w:r>
      <w:r w:rsidRPr="007A6FE3">
        <w:t xml:space="preserve">  </w:t>
      </w:r>
      <w:r w:rsidRPr="00CA0D69">
        <w:t>Neither the Commission nor the SBA has developed a</w:t>
      </w:r>
      <w:r>
        <w:t xml:space="preserve"> </w:t>
      </w:r>
      <w:r w:rsidRPr="00CA0D69">
        <w:t xml:space="preserve">definition for Interexchange Carriers. </w:t>
      </w:r>
      <w:r>
        <w:t xml:space="preserve"> </w:t>
      </w:r>
      <w:r w:rsidRPr="00CA0D69">
        <w:t>The closest NAICS Code category is Wired Telecommunications</w:t>
      </w:r>
      <w:r>
        <w:t xml:space="preserve"> </w:t>
      </w:r>
      <w:r w:rsidRPr="00CA0D69">
        <w:t xml:space="preserve">Carriers as defined in paragraph </w:t>
      </w:r>
      <w:r>
        <w:t>13</w:t>
      </w:r>
      <w:r w:rsidRPr="00CA0D69">
        <w:t xml:space="preserve"> of this </w:t>
      </w:r>
      <w:r>
        <w:t>I</w:t>
      </w:r>
      <w:r w:rsidRPr="00CA0D69">
        <w:t>RFA. The applicable size standard under SBA rules is that</w:t>
      </w:r>
      <w:r>
        <w:t xml:space="preserve"> </w:t>
      </w:r>
      <w:r w:rsidRPr="00CA0D69">
        <w:t xml:space="preserve">such a business is small if it has 1,500 or </w:t>
      </w:r>
      <w:r w:rsidRPr="00A44FFE">
        <w:t>fewer</w:t>
      </w:r>
      <w:r w:rsidRPr="00CA0D69">
        <w:t xml:space="preserve"> employees.</w:t>
      </w:r>
      <w:r>
        <w:rPr>
          <w:rStyle w:val="FootnoteReference"/>
        </w:rPr>
        <w:footnoteReference w:id="226"/>
      </w:r>
      <w:r>
        <w:t xml:space="preserve"> </w:t>
      </w:r>
      <w:r w:rsidRPr="00CA0D69">
        <w:t xml:space="preserve"> </w:t>
      </w:r>
      <w:r>
        <w:t xml:space="preserve">According to Commission data, </w:t>
      </w:r>
      <w:r w:rsidRPr="00CA0D69">
        <w:t>359</w:t>
      </w:r>
      <w:r>
        <w:t xml:space="preserve"> </w:t>
      </w:r>
      <w:r w:rsidRPr="00CA0D69">
        <w:t xml:space="preserve">companies reported that their primary </w:t>
      </w:r>
      <w:r>
        <w:t>te</w:t>
      </w:r>
      <w:r w:rsidRPr="00CA0D69">
        <w:t>lecommunications service activity was the provision of</w:t>
      </w:r>
      <w:r>
        <w:t xml:space="preserve"> </w:t>
      </w:r>
      <w:r w:rsidRPr="00CA0D69">
        <w:t>interexchange services.</w:t>
      </w:r>
      <w:r>
        <w:rPr>
          <w:rStyle w:val="FootnoteReference"/>
        </w:rPr>
        <w:footnoteReference w:id="227"/>
      </w:r>
      <w:r>
        <w:t xml:space="preserve"> </w:t>
      </w:r>
      <w:r w:rsidRPr="00CA0D69">
        <w:t xml:space="preserve"> Of this total, an estimated 317 have 1,500 or fewer employees and 42 have</w:t>
      </w:r>
      <w:r>
        <w:t xml:space="preserve"> </w:t>
      </w:r>
      <w:r w:rsidRPr="00CA0D69">
        <w:t>more than 1,500 employees.</w:t>
      </w:r>
      <w:r>
        <w:rPr>
          <w:rStyle w:val="FootnoteReference"/>
        </w:rPr>
        <w:footnoteReference w:id="228"/>
      </w:r>
      <w:r>
        <w:t xml:space="preserve"> </w:t>
      </w:r>
      <w:r w:rsidRPr="00CA0D69">
        <w:t xml:space="preserve"> Consequently, the Commission estimates that the majority of</w:t>
      </w:r>
      <w:r>
        <w:t xml:space="preserve"> </w:t>
      </w:r>
      <w:r w:rsidRPr="00CA0D69">
        <w:t>interexchange service providers are small entities that may be affected by rules adopted.</w:t>
      </w:r>
    </w:p>
    <w:p w:rsidR="00455188" w:rsidRPr="0038516C" w:rsidRDefault="00455188" w:rsidP="00455188">
      <w:pPr>
        <w:pStyle w:val="ParaNum"/>
      </w:pPr>
      <w:r w:rsidRPr="00970420">
        <w:rPr>
          <w:i/>
        </w:rPr>
        <w:t>Other Toll Carriers.</w:t>
      </w:r>
      <w:r w:rsidRPr="007A6FE3">
        <w:t xml:space="preserve">  </w:t>
      </w:r>
      <w:r w:rsidRPr="00CA0D69">
        <w:t xml:space="preserve">Neither the Commission nor the SBA has developed a size standard for small businesses specifically applicable to Other Toll Carriers. </w:t>
      </w:r>
      <w:r>
        <w:t xml:space="preserve"> </w:t>
      </w:r>
      <w:r w:rsidRPr="00CA0D69">
        <w:t xml:space="preserve">This category includes toll carriers that do not fall within the categories of interexchange carriers, operator service providers, prepaid calling card providers, satellite service carriers, or toll resellers. </w:t>
      </w:r>
      <w:r>
        <w:t xml:space="preserve"> </w:t>
      </w:r>
      <w:r w:rsidRPr="00CA0D69">
        <w:t xml:space="preserve">The closest applicable NAICS Code category is for Wired Telecommunications Carriers, as defined in paragraph </w:t>
      </w:r>
      <w:r>
        <w:t>13</w:t>
      </w:r>
      <w:r w:rsidRPr="00CA0D69">
        <w:t xml:space="preserve"> of this IRFA. </w:t>
      </w:r>
      <w:r>
        <w:t xml:space="preserve"> </w:t>
      </w:r>
      <w:r w:rsidRPr="00CA0D69">
        <w:t>Under that size standard, such a business is small if it has 1,500 or fewer employees.</w:t>
      </w:r>
      <w:r>
        <w:rPr>
          <w:rStyle w:val="FootnoteReference"/>
        </w:rPr>
        <w:footnoteReference w:id="229"/>
      </w:r>
      <w:r>
        <w:t xml:space="preserve"> </w:t>
      </w:r>
      <w:r w:rsidRPr="00CA0D69">
        <w:t xml:space="preserve"> Census data for 2012 shows that there were 3,117 firms that operated that year. </w:t>
      </w:r>
      <w:r>
        <w:t xml:space="preserve"> </w:t>
      </w:r>
      <w:r w:rsidRPr="00CA0D69">
        <w:t>Of this total, 3,083 operated with fewer than 1,000 employees.</w:t>
      </w:r>
      <w:r>
        <w:rPr>
          <w:rStyle w:val="FootnoteReference"/>
        </w:rPr>
        <w:footnoteReference w:id="230"/>
      </w:r>
      <w:r>
        <w:t xml:space="preserve"> </w:t>
      </w:r>
      <w:r w:rsidRPr="00CA0D69">
        <w:t xml:space="preserve"> Thus, under this category and the associated small business size standard, the majority of Other Toll Carriers can be considered small. </w:t>
      </w:r>
      <w:r>
        <w:t xml:space="preserve"> </w:t>
      </w:r>
      <w:r w:rsidRPr="00CA0D69">
        <w:t>According to Commission data, 284 companies reported that their primary telecommunications service activity was the provision of other toll carriage.</w:t>
      </w:r>
      <w:r>
        <w:rPr>
          <w:rStyle w:val="FootnoteReference"/>
        </w:rPr>
        <w:footnoteReference w:id="231"/>
      </w:r>
      <w:r>
        <w:t xml:space="preserve"> </w:t>
      </w:r>
      <w:r w:rsidRPr="00CA0D69">
        <w:t xml:space="preserve"> Of these,</w:t>
      </w:r>
      <w:r>
        <w:t xml:space="preserve"> </w:t>
      </w:r>
      <w:r w:rsidRPr="00CA0D69">
        <w:t>an estimated 279 have 1,500 or fewer employees.</w:t>
      </w:r>
      <w:r>
        <w:rPr>
          <w:rStyle w:val="FootnoteReference"/>
        </w:rPr>
        <w:footnoteReference w:id="232"/>
      </w:r>
      <w:r>
        <w:t xml:space="preserve"> </w:t>
      </w:r>
      <w:r w:rsidRPr="00CA0D69">
        <w:t xml:space="preserve"> Consequently, the Commission estimates that most</w:t>
      </w:r>
      <w:r>
        <w:t xml:space="preserve"> </w:t>
      </w:r>
      <w:r w:rsidRPr="00CA0D69">
        <w:t>Other Toll Carriers that may be affected by our rules are small.</w:t>
      </w:r>
    </w:p>
    <w:p w:rsidR="00455188" w:rsidRPr="007A6FE3" w:rsidRDefault="00455188" w:rsidP="00455188">
      <w:pPr>
        <w:pStyle w:val="ParaNum"/>
      </w:pPr>
      <w:r w:rsidRPr="00970420">
        <w:rPr>
          <w:i/>
        </w:rPr>
        <w:t>Wireless Telecommunications Carriers (except Satellite).</w:t>
      </w:r>
      <w:r w:rsidRPr="007A6FE3">
        <w:t xml:space="preserve">  </w:t>
      </w:r>
      <w:r w:rsidRPr="000F4DD6">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233"/>
      </w:r>
      <w:r>
        <w:t xml:space="preserve"> </w:t>
      </w:r>
      <w:r w:rsidRPr="000F4DD6">
        <w:t xml:space="preserve"> The appropriate size standard under SBA rules is that such a business is small if it has 1,500 or fewer employees. </w:t>
      </w:r>
      <w:r>
        <w:t xml:space="preserve"> </w:t>
      </w:r>
      <w:r w:rsidRPr="000F4DD6">
        <w:t>For this industry, Census data for 2012 show that there were 967 firms that operated for the entire year. Of this total, 955 firms had fewer than 1,000 employees.</w:t>
      </w:r>
      <w:r>
        <w:rPr>
          <w:rStyle w:val="FootnoteReference"/>
        </w:rPr>
        <w:footnoteReference w:id="234"/>
      </w:r>
      <w:r>
        <w:t xml:space="preserve"> </w:t>
      </w:r>
      <w:r w:rsidRPr="000F4DD6">
        <w:t xml:space="preserve"> Thus under this category and the associated size standard, the Commission estimates that the majority of wireless telecommunications carriers (except satellite) are small entities. </w:t>
      </w:r>
      <w:r>
        <w:t xml:space="preserve"> </w:t>
      </w:r>
      <w:r w:rsidRPr="000F4DD6">
        <w:t>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rPr>
        <w:footnoteReference w:id="235"/>
      </w:r>
      <w:r>
        <w:t xml:space="preserve"> </w:t>
      </w:r>
      <w:r w:rsidRPr="000F4DD6">
        <w:t xml:space="preserve"> Of this total, an estimated 261 </w:t>
      </w:r>
      <w:r w:rsidRPr="0006171B">
        <w:t>have</w:t>
      </w:r>
      <w:r w:rsidRPr="000F4DD6">
        <w:t xml:space="preserve"> 1,500 or fewer employees.</w:t>
      </w:r>
      <w:r>
        <w:rPr>
          <w:rStyle w:val="FootnoteReference"/>
        </w:rPr>
        <w:footnoteReference w:id="236"/>
      </w:r>
      <w:r w:rsidRPr="000F4DD6">
        <w:t xml:space="preserve"> </w:t>
      </w:r>
      <w:r>
        <w:t xml:space="preserve"> </w:t>
      </w:r>
      <w:r w:rsidRPr="000F4DD6">
        <w:t>Consequently, the Commission estimates that approximately half of these firms can be considered small.</w:t>
      </w:r>
      <w:r>
        <w:t xml:space="preserve">  </w:t>
      </w:r>
      <w:r w:rsidRPr="0006171B">
        <w:t>Thus, using available data, we estimate that the majority of wireless firms can be considered small.</w:t>
      </w:r>
      <w:r w:rsidRPr="007A6FE3">
        <w:t xml:space="preserve">  </w:t>
      </w:r>
    </w:p>
    <w:p w:rsidR="00455188" w:rsidRDefault="00455188" w:rsidP="00455188">
      <w:pPr>
        <w:pStyle w:val="ParaNum"/>
      </w:pPr>
      <w:r w:rsidRPr="00970420">
        <w:rPr>
          <w:i/>
        </w:rPr>
        <w:t>Cable Companies and Systems (Rate Regulation).</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237"/>
      </w:r>
      <w:r>
        <w:t xml:space="preserve">  Industry data indicate that there are currently 4,600 active cable systems in the United States.</w:t>
      </w:r>
      <w:r>
        <w:rPr>
          <w:rStyle w:val="FootnoteReference"/>
        </w:rPr>
        <w:footnoteReference w:id="238"/>
      </w:r>
      <w:r>
        <w:t xml:space="preserve">  Of this total, all but nine cable operators nationwide are small under the 400,000-subscriber size standard.</w:t>
      </w:r>
      <w:r>
        <w:rPr>
          <w:rStyle w:val="FootnoteReference"/>
        </w:rPr>
        <w:footnoteReference w:id="239"/>
      </w:r>
      <w:r>
        <w:t xml:space="preserve">  In addition, under the Commission's rate regulation rules, a “small system” is a cable system serving 15,000 or fewer subscribers.</w:t>
      </w:r>
      <w:r>
        <w:rPr>
          <w:rStyle w:val="FootnoteReference"/>
        </w:rPr>
        <w:footnoteReference w:id="240"/>
      </w:r>
      <w:r>
        <w:t xml:space="preserve">  Current Commission records show 4,600 cable systems nationwide.</w:t>
      </w:r>
      <w:r>
        <w:rPr>
          <w:rStyle w:val="FootnoteReference"/>
        </w:rPr>
        <w:footnoteReference w:id="241"/>
      </w:r>
      <w:r>
        <w:t xml:space="preserve">  Of this total, 3,900 cable systems have fewer than 15,000 subscribers, and 700 systems have 15,000 or more subscribers, based on the same records.</w:t>
      </w:r>
      <w:r>
        <w:rPr>
          <w:rStyle w:val="FootnoteReference"/>
        </w:rPr>
        <w:footnoteReference w:id="242"/>
      </w:r>
      <w:r>
        <w:t xml:space="preserve">  Thus, under this standard as well, we estimate that most cable systems are small entities.</w:t>
      </w:r>
      <w:r w:rsidRPr="007A6FE3">
        <w:t xml:space="preserve"> </w:t>
      </w:r>
    </w:p>
    <w:p w:rsidR="00455188" w:rsidRPr="007A6FE3" w:rsidRDefault="00455188" w:rsidP="00455188">
      <w:pPr>
        <w:pStyle w:val="ParaNum"/>
      </w:pPr>
      <w:r w:rsidRPr="00970420">
        <w:rPr>
          <w:i/>
          <w:iCs/>
        </w:rPr>
        <w:t>Cable System Operators (Telecom Act Standard).</w:t>
      </w:r>
      <w:r w:rsidRPr="00333F23">
        <w:rPr>
          <w:iCs/>
        </w:rPr>
        <w:t xml:space="preserve"> </w:t>
      </w:r>
      <w:r>
        <w:t xml:space="preserve"> </w:t>
      </w:r>
      <w:r w:rsidRPr="00333F23">
        <w:t>The Communications Act of 1934, as</w:t>
      </w:r>
      <w:r>
        <w:t xml:space="preserve"> </w:t>
      </w:r>
      <w:r w:rsidRPr="00333F23">
        <w:t>amended, also contains a size standard for small cable system operators, which is “a cable operator that,</w:t>
      </w:r>
      <w:r>
        <w:t xml:space="preserve"> </w:t>
      </w:r>
      <w:r w:rsidRPr="00333F23">
        <w:t>directly or through an affiliate, serves in the aggregate fewer than one percent of all subscribers in the</w:t>
      </w:r>
      <w:r>
        <w:t xml:space="preserve"> </w:t>
      </w:r>
      <w:r w:rsidRPr="00333F23">
        <w:t>United States and is not affiliated with any entity or entities whose gross annual revenues in the aggregate</w:t>
      </w:r>
      <w:r>
        <w:t xml:space="preserve"> </w:t>
      </w:r>
      <w:r w:rsidRPr="00333F23">
        <w:t>exceed $250,000,000 are approximately 52,403,705 cable video subscribers in the United States today.</w:t>
      </w:r>
      <w:r>
        <w:rPr>
          <w:rStyle w:val="FootnoteReference"/>
        </w:rPr>
        <w:footnoteReference w:id="243"/>
      </w:r>
      <w:r>
        <w:t xml:space="preserve"> </w:t>
      </w:r>
      <w:r w:rsidRPr="00AE0D3D">
        <w:t>Accordingly, an operator serving fewer than 524,037 subscribers shall be deemed a small operator if its</w:t>
      </w:r>
      <w:r>
        <w:t xml:space="preserve"> </w:t>
      </w:r>
      <w:r w:rsidRPr="00AE0D3D">
        <w:t>annual revenues, when combined with the total annual revenues of all its affiliates, do not exceed $250</w:t>
      </w:r>
      <w:r>
        <w:t xml:space="preserve"> </w:t>
      </w:r>
      <w:r w:rsidRPr="00AE0D3D">
        <w:t>million in the aggregate.</w:t>
      </w:r>
      <w:r>
        <w:rPr>
          <w:rStyle w:val="FootnoteReference"/>
        </w:rPr>
        <w:footnoteReference w:id="244"/>
      </w:r>
      <w:r>
        <w:t xml:space="preserve"> </w:t>
      </w:r>
      <w:r w:rsidRPr="00AE0D3D">
        <w:t xml:space="preserve"> Based on available data, we find that all but nine incumbent cable operators</w:t>
      </w:r>
      <w:r>
        <w:t xml:space="preserve"> </w:t>
      </w:r>
      <w:r w:rsidRPr="00AE0D3D">
        <w:t>are small entities under this size standard.</w:t>
      </w:r>
      <w:r>
        <w:rPr>
          <w:rStyle w:val="FootnoteReference"/>
        </w:rPr>
        <w:footnoteReference w:id="245"/>
      </w:r>
      <w:r>
        <w:t xml:space="preserve"> </w:t>
      </w:r>
      <w:r w:rsidRPr="00AE0D3D">
        <w:t xml:space="preserve"> We note that the Commission neither requests nor collects</w:t>
      </w:r>
      <w:r>
        <w:t xml:space="preserve"> </w:t>
      </w:r>
      <w:r w:rsidRPr="00AE0D3D">
        <w:t>information on whether cable system operators are affiliated with entities whose gross annual revenues</w:t>
      </w:r>
      <w:r>
        <w:t xml:space="preserve"> </w:t>
      </w:r>
      <w:r w:rsidRPr="00AE0D3D">
        <w:t>exceed $250 million.</w:t>
      </w:r>
      <w:r>
        <w:rPr>
          <w:rStyle w:val="FootnoteReference"/>
        </w:rPr>
        <w:footnoteReference w:id="246"/>
      </w:r>
      <w:r>
        <w:t xml:space="preserve"> </w:t>
      </w:r>
      <w:r w:rsidRPr="00AE0D3D">
        <w:t xml:space="preserve"> Although it seems certain that some of these cable system operato</w:t>
      </w:r>
      <w:r>
        <w:t xml:space="preserve">rs are affiliated </w:t>
      </w:r>
      <w:r w:rsidRPr="00AE0D3D">
        <w:t xml:space="preserve">with entities whose gross annual revenues exceed $250,000,000, we are </w:t>
      </w:r>
      <w:r>
        <w:t xml:space="preserve">unable at this time to estimate </w:t>
      </w:r>
      <w:r w:rsidRPr="00AE0D3D">
        <w:t>with greater precision the number of cable system operators that would q</w:t>
      </w:r>
      <w:r>
        <w:t xml:space="preserve">ualify as small cable operators </w:t>
      </w:r>
      <w:r w:rsidRPr="00AE0D3D">
        <w:t>under the definition in the Communications Act.</w:t>
      </w:r>
      <w:r w:rsidRPr="007A6FE3">
        <w:t xml:space="preserve">  </w:t>
      </w:r>
    </w:p>
    <w:p w:rsidR="00455188" w:rsidRPr="00200440" w:rsidRDefault="00455188" w:rsidP="00455188">
      <w:pPr>
        <w:pStyle w:val="ParaNum"/>
        <w:rPr>
          <w:spacing w:val="-3"/>
        </w:rPr>
      </w:pPr>
      <w:r w:rsidRPr="00970420">
        <w:rPr>
          <w:i/>
        </w:rPr>
        <w:t>All Other Telecommunications.</w:t>
      </w:r>
      <w:r w:rsidRPr="007A6FE3">
        <w:t xml:space="preserve">  </w:t>
      </w:r>
      <w:r w:rsidRPr="00F53F4A">
        <w:t xml:space="preserve">“All Other Telecommunications” is defined as follows:  </w:t>
      </w:r>
      <w:r>
        <w:t>“</w:t>
      </w:r>
      <w:r w:rsidRPr="00F53F4A">
        <w:t>This U.S. industry is comprised of establishments that are primarily engaged in providing specialized</w:t>
      </w:r>
      <w:r>
        <w:t xml:space="preserve"> </w:t>
      </w:r>
      <w:r w:rsidRPr="00F53F4A">
        <w:t xml:space="preserve">telecommunications services, such as satellite tracking, communications telemetry, and radar station operation. </w:t>
      </w:r>
      <w:r>
        <w:t xml:space="preserve"> </w:t>
      </w:r>
      <w:r w:rsidRPr="00F53F4A">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t>”</w:t>
      </w:r>
      <w:r>
        <w:rPr>
          <w:rStyle w:val="FootnoteReference"/>
        </w:rPr>
        <w:footnoteReference w:id="247"/>
      </w:r>
      <w:r w:rsidRPr="00F53F4A">
        <w:t xml:space="preserve"> </w:t>
      </w:r>
      <w:r>
        <w:t xml:space="preserve"> </w:t>
      </w:r>
      <w:r w:rsidRPr="00F53F4A">
        <w:t>The SBA has developed a</w:t>
      </w:r>
      <w:r>
        <w:t xml:space="preserve"> </w:t>
      </w:r>
      <w:r w:rsidRPr="00F53F4A">
        <w:t>small business size standard for “All Other Telecommunications,” which consists of all such firms with gross annual receipts of $32.5 million or less.</w:t>
      </w:r>
      <w:r>
        <w:rPr>
          <w:rStyle w:val="FootnoteReference"/>
        </w:rPr>
        <w:footnoteReference w:id="248"/>
      </w:r>
      <w:r>
        <w:t xml:space="preserve"> </w:t>
      </w:r>
      <w:r w:rsidRPr="00F53F4A">
        <w:t xml:space="preserve"> For this category, Census Bureau data for 2012 show that</w:t>
      </w:r>
      <w:r>
        <w:t xml:space="preserve"> </w:t>
      </w:r>
      <w:r w:rsidRPr="00F53F4A">
        <w:t xml:space="preserve">there were 1,442 firms that operated for the entire year. </w:t>
      </w:r>
      <w:r>
        <w:t xml:space="preserve"> </w:t>
      </w:r>
      <w:r w:rsidRPr="00F53F4A">
        <w:t>Of those firms, a total of 1,400 had annual receipts less than $25 million.</w:t>
      </w:r>
      <w:r>
        <w:rPr>
          <w:rStyle w:val="FootnoteReference"/>
        </w:rPr>
        <w:footnoteReference w:id="249"/>
      </w:r>
      <w:r w:rsidRPr="00F53F4A">
        <w:t xml:space="preserve"> </w:t>
      </w:r>
      <w:r>
        <w:t xml:space="preserve"> </w:t>
      </w:r>
      <w:r w:rsidRPr="00F53F4A">
        <w:t>Consequently, we conclude that the majority of All Other Telecommunications firms can be considered small.</w:t>
      </w:r>
    </w:p>
    <w:p w:rsidR="00455188" w:rsidRDefault="00455188" w:rsidP="00455188">
      <w:pPr>
        <w:pStyle w:val="ParaNum"/>
      </w:pPr>
      <w:r w:rsidRPr="00970420">
        <w:rPr>
          <w:i/>
        </w:rPr>
        <w:t>Electric Power Generation, Transmission and Distribution</w:t>
      </w:r>
      <w:r>
        <w:rPr>
          <w:bCs/>
        </w:rPr>
        <w:t xml:space="preserve">.  The Census Bureau defines this category as follows: </w:t>
      </w:r>
      <w:r w:rsidRPr="001900EC">
        <w:t>“This industry group comprises establishments primarily engaged in generating, transmitting, and/or distributing electric power.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Pr>
          <w:vertAlign w:val="superscript"/>
        </w:rPr>
        <w:footnoteReference w:id="250"/>
      </w:r>
      <w:r>
        <w:t xml:space="preserve">  This category includes electric power distribution, hydroelectric power generation, fossil fuel power generation, nuclear electric power generation, solar power generation, and wind power generation.  The SBA has developed a small business size standard for firms in this category based on the number of employees working in a given business.</w:t>
      </w:r>
      <w:r>
        <w:rPr>
          <w:vertAlign w:val="superscript"/>
        </w:rPr>
        <w:footnoteReference w:id="251"/>
      </w:r>
      <w:r>
        <w:t xml:space="preserve">  According to Census Bureau data for 2012, there were 1,742 firms in this category that operated for the entire year.</w:t>
      </w:r>
      <w:r>
        <w:rPr>
          <w:vertAlign w:val="superscript"/>
        </w:rPr>
        <w:footnoteReference w:id="252"/>
      </w:r>
      <w:r>
        <w:t xml:space="preserve">  </w:t>
      </w:r>
    </w:p>
    <w:p w:rsidR="00455188" w:rsidRDefault="00455188" w:rsidP="00455188">
      <w:pPr>
        <w:pStyle w:val="ParaNum"/>
      </w:pPr>
      <w:r w:rsidRPr="00970420">
        <w:rPr>
          <w:i/>
        </w:rPr>
        <w:t>Natural Gas Distribution</w:t>
      </w:r>
      <w:r>
        <w:rPr>
          <w:i/>
        </w:rPr>
        <w:t>.</w:t>
      </w:r>
      <w:r>
        <w:t xml:space="preserve">  </w:t>
      </w:r>
      <w:r>
        <w:rPr>
          <w:bCs/>
        </w:rPr>
        <w:t xml:space="preserve">This economic census category </w:t>
      </w:r>
      <w:r>
        <w:t>comprises:  “(1) establishments primarily engaged in operating gas distribution systems (e.g., mains, meters); (2) establishments known as gas marketers that buy gas from the well and sell it to a distribution system; (3) establishments known as gas brokers or agents that arrange the sale of gas over gas distribution systems operated by others; and (4) establishments primarily engaged in transmitting and distributing gas to final consumers.”</w:t>
      </w:r>
      <w:r>
        <w:rPr>
          <w:vertAlign w:val="superscript"/>
        </w:rPr>
        <w:footnoteReference w:id="253"/>
      </w:r>
      <w:r>
        <w:t xml:space="preserve">  The SBA has developed a small business size standard for this industry, which is all such firms having 1,000 or fewer employees.</w:t>
      </w:r>
      <w:r>
        <w:rPr>
          <w:vertAlign w:val="superscript"/>
        </w:rPr>
        <w:footnoteReference w:id="254"/>
      </w:r>
      <w:r>
        <w:t xml:space="preserve">  According to Census Bureau data for 2012, there were 422 firms in this category that operated for the entire year.</w:t>
      </w:r>
      <w:r>
        <w:rPr>
          <w:vertAlign w:val="superscript"/>
        </w:rPr>
        <w:footnoteReference w:id="255"/>
      </w:r>
      <w:r>
        <w:t xml:space="preserve">  Of this total, 399 firms had employment of fewer than 1,000 employees, 23 firms had employment of 1,000 employees or more, and 37 firms were not operational.</w:t>
      </w:r>
      <w:r>
        <w:rPr>
          <w:vertAlign w:val="superscript"/>
        </w:rPr>
        <w:footnoteReference w:id="256"/>
      </w:r>
      <w:r>
        <w:t xml:space="preserve">  Thus, the majority of firms in this category can be considered small.</w:t>
      </w:r>
    </w:p>
    <w:p w:rsidR="00455188" w:rsidRPr="007A6FE3" w:rsidRDefault="00455188" w:rsidP="00455188">
      <w:pPr>
        <w:pStyle w:val="ParaNum"/>
        <w:rPr>
          <w:spacing w:val="-3"/>
        </w:rPr>
      </w:pPr>
      <w:r w:rsidRPr="00970420">
        <w:rPr>
          <w:i/>
        </w:rPr>
        <w:t>Water Supply and Irrigation Systems</w:t>
      </w:r>
      <w:r>
        <w:t>.  This economic census category “comprises establishments primarily engaged in operating water treatment plants and/or operating water supply systems. The water supply system may include pumping stations, aqueducts, and/or distribution mains. The water may be used for drinking, irrigation, or other uses.”</w:t>
      </w:r>
      <w:r>
        <w:rPr>
          <w:vertAlign w:val="superscript"/>
        </w:rPr>
        <w:footnoteReference w:id="257"/>
      </w:r>
      <w:r>
        <w:t xml:space="preserve">  The SBA has developed a small business size standard for this industry, which is all such firms having $27.5 million or less in annual receipts.</w:t>
      </w:r>
      <w:r>
        <w:rPr>
          <w:vertAlign w:val="superscript"/>
        </w:rPr>
        <w:footnoteReference w:id="258"/>
      </w:r>
      <w:r>
        <w:t xml:space="preserve">  According to Census Bureau data for 2012, there were 3,261 firms in this category that operated for the entire year.</w:t>
      </w:r>
      <w:r>
        <w:rPr>
          <w:vertAlign w:val="superscript"/>
        </w:rPr>
        <w:footnoteReference w:id="259"/>
      </w:r>
      <w:r>
        <w:t xml:space="preserve">  Of this total, 3,035 firms had annual sales of less than $25 million</w:t>
      </w:r>
      <w:r>
        <w:rPr>
          <w:vertAlign w:val="superscript"/>
        </w:rPr>
        <w:footnoteReference w:id="260"/>
      </w:r>
      <w:r>
        <w:t xml:space="preserve">  Thus, the majority of firms in this category can be considered small.</w:t>
      </w:r>
    </w:p>
    <w:p w:rsidR="00455188" w:rsidRPr="007A6FE3" w:rsidRDefault="00455188" w:rsidP="00455188">
      <w:pPr>
        <w:pStyle w:val="Heading2"/>
        <w:widowControl/>
      </w:pPr>
      <w:bookmarkStart w:id="769" w:name="_Toc399947736"/>
      <w:bookmarkStart w:id="770" w:name="_Toc400554044"/>
      <w:bookmarkStart w:id="771" w:name="_Toc400566853"/>
      <w:bookmarkStart w:id="772" w:name="_Toc400711723"/>
      <w:bookmarkStart w:id="773" w:name="_Toc400719673"/>
      <w:bookmarkStart w:id="774" w:name="_Toc401299448"/>
      <w:bookmarkStart w:id="775" w:name="_Toc401307013"/>
      <w:bookmarkStart w:id="776" w:name="_Toc401314177"/>
      <w:bookmarkStart w:id="777" w:name="_Toc401314326"/>
      <w:bookmarkStart w:id="778" w:name="_Toc401329844"/>
      <w:bookmarkStart w:id="779" w:name="_Toc401595647"/>
      <w:bookmarkStart w:id="780" w:name="_Toc401658204"/>
      <w:bookmarkStart w:id="781" w:name="_Toc401821706"/>
      <w:bookmarkStart w:id="782" w:name="_Toc401912174"/>
      <w:bookmarkStart w:id="783" w:name="_Toc402255428"/>
      <w:bookmarkStart w:id="784" w:name="_Toc402276211"/>
      <w:bookmarkStart w:id="785" w:name="_Toc402360453"/>
      <w:bookmarkStart w:id="786" w:name="_Toc402511515"/>
      <w:bookmarkStart w:id="787" w:name="_Toc403566424"/>
      <w:bookmarkStart w:id="788" w:name="_Toc404072135"/>
      <w:bookmarkStart w:id="789" w:name="_Toc404081331"/>
      <w:bookmarkStart w:id="790" w:name="_Toc404165810"/>
      <w:bookmarkStart w:id="791" w:name="_Toc404165888"/>
      <w:bookmarkStart w:id="792" w:name="_Toc404172443"/>
      <w:bookmarkStart w:id="793" w:name="_Toc404181497"/>
      <w:bookmarkStart w:id="794" w:name="_Toc404183090"/>
      <w:bookmarkStart w:id="795" w:name="_Toc404246636"/>
      <w:bookmarkStart w:id="796" w:name="_Toc477796037"/>
      <w:bookmarkStart w:id="797" w:name="_Toc478050635"/>
      <w:bookmarkStart w:id="798" w:name="_Toc478138497"/>
      <w:bookmarkStart w:id="799" w:name="_Toc478139512"/>
      <w:bookmarkStart w:id="800" w:name="_Toc478139618"/>
      <w:bookmarkStart w:id="801" w:name="_Toc478139669"/>
      <w:bookmarkStart w:id="802" w:name="_Toc478403121"/>
      <w:bookmarkStart w:id="803" w:name="_Toc478460165"/>
      <w:bookmarkStart w:id="804" w:name="_Toc478476712"/>
      <w:bookmarkStart w:id="805" w:name="_Toc479943050"/>
      <w:bookmarkStart w:id="806" w:name="_Toc480388553"/>
      <w:r w:rsidRPr="007A6FE3">
        <w:t xml:space="preserve">Description of </w:t>
      </w:r>
      <w:r w:rsidRPr="007A6FE3">
        <w:rPr>
          <w:spacing w:val="-3"/>
        </w:rPr>
        <w:t>Projected</w:t>
      </w:r>
      <w:r w:rsidRPr="007A6FE3">
        <w:t xml:space="preserve"> Reporting, Recordkeeping, and Other Compliance </w:t>
      </w:r>
      <w:r>
        <w:t>R</w:t>
      </w:r>
      <w:r w:rsidRPr="007A6FE3">
        <w:t>equirements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455188" w:rsidRPr="004C313A" w:rsidRDefault="00455188" w:rsidP="00D9706A">
      <w:pPr>
        <w:pStyle w:val="ParaNum"/>
        <w:widowControl/>
        <w:rPr>
          <w:spacing w:val="-3"/>
        </w:rPr>
      </w:pPr>
      <w:r w:rsidRPr="007A6FE3">
        <w:t xml:space="preserve">The </w:t>
      </w:r>
      <w:r w:rsidRPr="00874558">
        <w:t>Notice</w:t>
      </w:r>
      <w:r w:rsidRPr="007A6FE3">
        <w:t xml:space="preserve"> proposes </w:t>
      </w:r>
      <w:r>
        <w:t xml:space="preserve">and/or seeks comment on </w:t>
      </w:r>
      <w:r w:rsidRPr="007A6FE3">
        <w:t xml:space="preserve">a number of rule changes that will affect reporting, recordkeeping, and other compliance requirements. </w:t>
      </w:r>
      <w:r>
        <w:t xml:space="preserve"> </w:t>
      </w:r>
      <w:r w:rsidRPr="00EB31A8">
        <w:rPr>
          <w:rFonts w:eastAsia="Calibri"/>
        </w:rPr>
        <w:t xml:space="preserve">We expect the rule revisions proposed </w:t>
      </w:r>
      <w:r>
        <w:rPr>
          <w:rFonts w:eastAsia="Calibri"/>
        </w:rPr>
        <w:t xml:space="preserve">or suggested for potential change </w:t>
      </w:r>
      <w:r w:rsidRPr="00EB31A8">
        <w:rPr>
          <w:rFonts w:eastAsia="Calibri"/>
        </w:rPr>
        <w:t xml:space="preserve">in the Notice to reduce reporting, recordkeeping, and other compliance requirements.  The rule revisions taken as a whole should have a beneficial reporting, recordkeeping, or compliance impact on small entities because all carriers will be subject to fewer such burdens. </w:t>
      </w:r>
      <w:r w:rsidRPr="007A6FE3">
        <w:t>Each of these changes is described below.</w:t>
      </w:r>
    </w:p>
    <w:p w:rsidR="00455188" w:rsidRPr="007A6FE3" w:rsidRDefault="00455188" w:rsidP="00455188">
      <w:pPr>
        <w:pStyle w:val="ParaNum"/>
      </w:pPr>
      <w:r w:rsidRPr="007A6FE3">
        <w:t xml:space="preserve">The </w:t>
      </w:r>
      <w:r w:rsidRPr="00874558">
        <w:t>Notice</w:t>
      </w:r>
      <w:r w:rsidRPr="007A6FE3">
        <w:t xml:space="preserve"> proposes </w:t>
      </w:r>
      <w:r w:rsidRPr="00013FE2">
        <w:t xml:space="preserve">the following changes to the current pole attachment timeline:  (1) requiring utilities to make a decision on completed pole attachment applications within </w:t>
      </w:r>
      <w:r>
        <w:t>a timeframe shorter than the current 4</w:t>
      </w:r>
      <w:r w:rsidRPr="00013FE2">
        <w:t>5 days of receipt; (2)</w:t>
      </w:r>
      <w:r>
        <w:t xml:space="preserve"> requiring utilities to provide an estimate of make-ready costs to new attachers within a timeframe that is shorter than the current 14 days; and (3) establishing a time period for existing attachers to complete make-ready work to their attachments in the communications space of a pole that is shorter than the current 60 days</w:t>
      </w:r>
      <w:r w:rsidRPr="009E579C">
        <w:t xml:space="preserve">. </w:t>
      </w:r>
      <w:r>
        <w:t xml:space="preserve"> </w:t>
      </w:r>
      <w:r w:rsidRPr="009E579C">
        <w:t xml:space="preserve">The </w:t>
      </w:r>
      <w:r w:rsidRPr="009E579C">
        <w:rPr>
          <w:i/>
        </w:rPr>
        <w:t xml:space="preserve">Notice </w:t>
      </w:r>
      <w:r w:rsidRPr="009E579C">
        <w:t xml:space="preserve">also proposes to </w:t>
      </w:r>
      <w:r>
        <w:t xml:space="preserve">limit a new attacher’s liability for make-ready costs </w:t>
      </w:r>
      <w:r w:rsidRPr="009E579C">
        <w:t xml:space="preserve">to those costs actually caused by the new attachment, </w:t>
      </w:r>
      <w:r>
        <w:t xml:space="preserve">to </w:t>
      </w:r>
      <w:r w:rsidRPr="003746E8">
        <w:t xml:space="preserve">require utilities to </w:t>
      </w:r>
      <w:r>
        <w:t>proportionately share in the cost of a new attachment for which they receive a direct benefit</w:t>
      </w:r>
      <w:r w:rsidRPr="003746E8">
        <w:t xml:space="preserve">, and </w:t>
      </w:r>
      <w:r>
        <w:t xml:space="preserve">to </w:t>
      </w:r>
      <w:r w:rsidRPr="003746E8">
        <w:t xml:space="preserve">require utilities </w:t>
      </w:r>
      <w:r>
        <w:t xml:space="preserve">that perform make-ready work </w:t>
      </w:r>
      <w:r w:rsidRPr="003746E8">
        <w:t>to make available to new attachers a schedule of common make-ready charges</w:t>
      </w:r>
      <w:r>
        <w:t>.</w:t>
      </w:r>
      <w:r w:rsidRPr="00561BDE">
        <w:t xml:space="preserve">  With regard to pole attachment rates, the </w:t>
      </w:r>
      <w:r w:rsidRPr="00CB23F1">
        <w:t>Notice</w:t>
      </w:r>
      <w:r w:rsidRPr="00561BDE">
        <w:rPr>
          <w:i/>
        </w:rPr>
        <w:t xml:space="preserve"> </w:t>
      </w:r>
      <w:r w:rsidRPr="00561BDE">
        <w:t xml:space="preserve">proposes to </w:t>
      </w:r>
      <w:r>
        <w:t xml:space="preserve">codify the </w:t>
      </w:r>
      <w:r w:rsidRPr="00561BDE">
        <w:t>eliminat</w:t>
      </w:r>
      <w:r>
        <w:t>ion</w:t>
      </w:r>
      <w:r w:rsidRPr="00561BDE">
        <w:t xml:space="preserve"> from the telecommunications and cable rate formulas those capital costs that already have been paid to the utility via make-</w:t>
      </w:r>
      <w:r w:rsidRPr="0032177C">
        <w:t>ready charges</w:t>
      </w:r>
      <w:r>
        <w:t>, to establish a rebuttable presumption that incumbent LECs are similarly situated to other attachers on a pole,</w:t>
      </w:r>
      <w:r w:rsidRPr="0032177C">
        <w:t xml:space="preserve"> and to </w:t>
      </w:r>
      <w:r>
        <w:t xml:space="preserve">establish </w:t>
      </w:r>
      <w:r w:rsidRPr="0032177C">
        <w:t xml:space="preserve">a </w:t>
      </w:r>
      <w:r>
        <w:t xml:space="preserve">rebuttable </w:t>
      </w:r>
      <w:r w:rsidRPr="0032177C">
        <w:t xml:space="preserve">pole attachment formula for computing the maximum pole attachment rate to be charged to incumbent LECs.  Further, the </w:t>
      </w:r>
      <w:r w:rsidRPr="00CB23F1">
        <w:t>Notice</w:t>
      </w:r>
      <w:r w:rsidRPr="0032177C">
        <w:rPr>
          <w:i/>
        </w:rPr>
        <w:t xml:space="preserve"> </w:t>
      </w:r>
      <w:r w:rsidRPr="009E579C">
        <w:t>proposes a 180-day shot clock for Commission resolution of pole access complaints, which would include a mandatory pre-complaint meeting between the parties in order to resolve procedural issues and deadlines.</w:t>
      </w:r>
      <w:r w:rsidRPr="003B061F">
        <w:t xml:space="preserve">  Finally, the </w:t>
      </w:r>
      <w:r w:rsidRPr="00CB23F1">
        <w:t>Notice</w:t>
      </w:r>
      <w:r w:rsidRPr="003B061F">
        <w:rPr>
          <w:i/>
        </w:rPr>
        <w:t xml:space="preserve"> </w:t>
      </w:r>
      <w:r w:rsidRPr="003B061F">
        <w:t xml:space="preserve">proposes to allow incumbent LECs to request </w:t>
      </w:r>
      <w:r>
        <w:t xml:space="preserve">nondiscriminatory </w:t>
      </w:r>
      <w:r w:rsidRPr="003B061F">
        <w:t xml:space="preserve">pole access </w:t>
      </w:r>
      <w:r w:rsidRPr="00B21C69">
        <w:t>from other LECs that own or control utility poles.</w:t>
      </w:r>
      <w:r w:rsidRPr="00013FE2">
        <w:t xml:space="preserve">  </w:t>
      </w:r>
      <w:r w:rsidRPr="00EB31A8">
        <w:rPr>
          <w:rFonts w:eastAsia="Calibri"/>
          <w:color w:val="010101"/>
        </w:rPr>
        <w:t>Should the Commission adopt any of these proposals, such actions could result in increased, reduced, or otherwise altered reporting, recordkeeping, or other compliance requirements for utilities and attaching entities.</w:t>
      </w:r>
      <w:r>
        <w:t xml:space="preserve">  </w:t>
      </w:r>
      <w:r w:rsidRPr="007A6FE3">
        <w:t xml:space="preserve">The </w:t>
      </w:r>
      <w:r w:rsidRPr="00874558">
        <w:t>Notice</w:t>
      </w:r>
      <w:r w:rsidRPr="007A6FE3">
        <w:t xml:space="preserve"> also </w:t>
      </w:r>
      <w:r>
        <w:t xml:space="preserve">seeks comment on eliminating some or all of the changes to the copper retirement process adopted by the Commission in the </w:t>
      </w:r>
      <w:r w:rsidRPr="004B1731">
        <w:rPr>
          <w:i/>
        </w:rPr>
        <w:t xml:space="preserve">2015 </w:t>
      </w:r>
      <w:r>
        <w:rPr>
          <w:i/>
        </w:rPr>
        <w:t>Technology Transitions</w:t>
      </w:r>
      <w:r w:rsidRPr="00A04175">
        <w:rPr>
          <w:i/>
        </w:rPr>
        <w:t xml:space="preserve"> Order</w:t>
      </w:r>
      <w:r w:rsidR="00970420">
        <w:t xml:space="preserve">, including </w:t>
      </w:r>
      <w:r>
        <w:t xml:space="preserve">the rules that doubled </w:t>
      </w:r>
      <w:r w:rsidRPr="00944601">
        <w:t xml:space="preserve">the </w:t>
      </w:r>
      <w:r>
        <w:t xml:space="preserve">time period during which an incumbent </w:t>
      </w:r>
      <w:r w:rsidRPr="00944601">
        <w:t>LEC must wait to implement the planned copper retirement after the Commission’s publication of public notice from 90 days to 180 days</w:t>
      </w:r>
      <w:r>
        <w:t xml:space="preserve">, required direct notice to retail customers, and expanded the types of information that must be disclosed.  The Notice also proposes eliminating the rule preventing incumbent LECs from disclosing information about planned network changes with certain entities until public notice has been given of those planned changes, and also seeks comment on eliminating Section 68.110(b), which requires that a carrier notify its customers when changes to its facilities, equipment, operations, or procedures might render customers’ terminal equipment incompatible with those facilities, equipment, operations, or procedures.  </w:t>
      </w:r>
      <w:r w:rsidRPr="007A6FE3">
        <w:t xml:space="preserve">In addition, the </w:t>
      </w:r>
      <w:r w:rsidRPr="00874558">
        <w:t>Notice</w:t>
      </w:r>
      <w:r w:rsidRPr="007A6FE3">
        <w:t xml:space="preserve"> proposes </w:t>
      </w:r>
      <w:r>
        <w:t xml:space="preserve">targeted measures and/or seeks comment on potential rule changes to shorten timeframes and eliminate unnecessary regulatory process encumbrances that carriers face to maintain legacy services they seek to discontinue. </w:t>
      </w:r>
    </w:p>
    <w:p w:rsidR="00455188" w:rsidRPr="007A6FE3" w:rsidRDefault="00455188" w:rsidP="00455188">
      <w:pPr>
        <w:pStyle w:val="Heading2"/>
        <w:widowControl/>
      </w:pPr>
      <w:bookmarkStart w:id="807" w:name="_Toc399947737"/>
      <w:bookmarkStart w:id="808" w:name="_Toc400554045"/>
      <w:bookmarkStart w:id="809" w:name="_Toc400566854"/>
      <w:bookmarkStart w:id="810" w:name="_Toc400711724"/>
      <w:bookmarkStart w:id="811" w:name="_Toc400719674"/>
      <w:bookmarkStart w:id="812" w:name="_Toc401299449"/>
      <w:bookmarkStart w:id="813" w:name="_Toc401307014"/>
      <w:bookmarkStart w:id="814" w:name="_Toc401314178"/>
      <w:bookmarkStart w:id="815" w:name="_Toc401314327"/>
      <w:bookmarkStart w:id="816" w:name="_Toc401329845"/>
      <w:bookmarkStart w:id="817" w:name="_Toc401595648"/>
      <w:bookmarkStart w:id="818" w:name="_Toc401658205"/>
      <w:bookmarkStart w:id="819" w:name="_Toc401821707"/>
      <w:bookmarkStart w:id="820" w:name="_Toc401912175"/>
      <w:bookmarkStart w:id="821" w:name="_Toc402255429"/>
      <w:bookmarkStart w:id="822" w:name="_Toc402276212"/>
      <w:bookmarkStart w:id="823" w:name="_Toc402360454"/>
      <w:bookmarkStart w:id="824" w:name="_Toc402511516"/>
      <w:bookmarkStart w:id="825" w:name="_Toc403566425"/>
      <w:bookmarkStart w:id="826" w:name="_Toc404072136"/>
      <w:bookmarkStart w:id="827" w:name="_Toc404081332"/>
      <w:bookmarkStart w:id="828" w:name="_Toc404165811"/>
      <w:bookmarkStart w:id="829" w:name="_Toc404165889"/>
      <w:bookmarkStart w:id="830" w:name="_Toc404172444"/>
      <w:bookmarkStart w:id="831" w:name="_Toc404181498"/>
      <w:bookmarkStart w:id="832" w:name="_Toc404183091"/>
      <w:bookmarkStart w:id="833" w:name="_Toc404246637"/>
      <w:bookmarkStart w:id="834" w:name="_Toc477796038"/>
      <w:bookmarkStart w:id="835" w:name="_Toc478050636"/>
      <w:bookmarkStart w:id="836" w:name="_Toc478138498"/>
      <w:bookmarkStart w:id="837" w:name="_Toc478139513"/>
      <w:bookmarkStart w:id="838" w:name="_Toc478139619"/>
      <w:bookmarkStart w:id="839" w:name="_Toc478139670"/>
      <w:bookmarkStart w:id="840" w:name="_Toc478403122"/>
      <w:bookmarkStart w:id="841" w:name="_Toc478460166"/>
      <w:bookmarkStart w:id="842" w:name="_Toc478476713"/>
      <w:bookmarkStart w:id="843" w:name="_Toc479943051"/>
      <w:bookmarkStart w:id="844" w:name="_Toc480388554"/>
      <w:r w:rsidRPr="007A6FE3">
        <w:t>Steps Taken to Minimize Significant Economic Impact on Small Entities, and Significant Alternatives Considered</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455188" w:rsidRPr="007A6FE3" w:rsidRDefault="00455188" w:rsidP="00455188">
      <w:pPr>
        <w:pStyle w:val="ParaNum"/>
      </w:pPr>
      <w:r w:rsidRPr="007A6FE3">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w:t>
      </w:r>
      <w:r w:rsidRPr="007A6FE3">
        <w:rPr>
          <w:spacing w:val="-3"/>
        </w:rPr>
        <w:t>resources</w:t>
      </w:r>
      <w:r w:rsidRPr="007A6FE3">
        <w:t xml:space="preserve">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A6FE3">
        <w:rPr>
          <w:rStyle w:val="FootnoteReference"/>
        </w:rPr>
        <w:footnoteReference w:id="261"/>
      </w:r>
    </w:p>
    <w:p w:rsidR="00455188" w:rsidRDefault="00455188" w:rsidP="00455188">
      <w:pPr>
        <w:pStyle w:val="ParaNum"/>
      </w:pPr>
      <w:r w:rsidRPr="00EB31A8">
        <w:rPr>
          <w:rFonts w:eastAsia="Calibri"/>
        </w:rPr>
        <w:t xml:space="preserve">The Commission proposes to adopt specific </w:t>
      </w:r>
      <w:r>
        <w:rPr>
          <w:rFonts w:eastAsia="Calibri"/>
        </w:rPr>
        <w:t xml:space="preserve">changes to its </w:t>
      </w:r>
      <w:r w:rsidRPr="00EB31A8">
        <w:rPr>
          <w:rFonts w:eastAsia="Calibri"/>
        </w:rPr>
        <w:t xml:space="preserve">pole attachment timeline that would provide a predictable, timely process for parties to obtain pole attachments, while maintaining the interests of utilities and existing attachers in preserving safety, reliability, and sound engineering.  In consideration of the new timeline, the Commission seeks comments on alternatives that might help smaller utilities and attachers:  (1) </w:t>
      </w:r>
      <w:r>
        <w:rPr>
          <w:rFonts w:eastAsia="Calibri"/>
        </w:rPr>
        <w:t>whether it would be reasonable to cap at 45 days a utility’s review of a large number of pole attachment applications</w:t>
      </w:r>
      <w:r w:rsidRPr="00EB31A8">
        <w:rPr>
          <w:rFonts w:eastAsia="Calibri"/>
        </w:rPr>
        <w:t>; (2)</w:t>
      </w:r>
      <w:r>
        <w:rPr>
          <w:rFonts w:eastAsia="Calibri"/>
        </w:rPr>
        <w:t xml:space="preserve"> whether it is reasonable to combine the survey, estimate, and acceptance stages of the current Commission pole attachment timeline into one step with a condensed timeframe; and (3) whether 30 days is long enough for existing attachers to complete routine make-ready work</w:t>
      </w:r>
      <w:r w:rsidRPr="00EB31A8">
        <w:rPr>
          <w:rFonts w:eastAsia="Calibri"/>
        </w:rPr>
        <w:t xml:space="preserve">.  </w:t>
      </w:r>
      <w:r>
        <w:rPr>
          <w:rFonts w:eastAsia="Calibri"/>
        </w:rPr>
        <w:t xml:space="preserve">The Commission also seeks alternatives to its current make-ready process in the areas of:  (1) the expanded use of utility-approved contractors to perform make-ready work; (2) allowing existing attachers to observe the make-ready work being performed by new attachers and their contractors; (3) requiring utilities and attachers to agree on the specific contractors to perform make-ready work on their equipment; (4) allowing new attachers to perform routine make-ready work on all pole equipment without involving existing attachers; and (5) establishing pole attachment processes modeled after “one-touch, make-ready”, “right-touch, make-ready”, and other approaches.  </w:t>
      </w:r>
      <w:r w:rsidRPr="00EB31A8">
        <w:rPr>
          <w:rFonts w:eastAsia="Calibri"/>
        </w:rPr>
        <w:t xml:space="preserve">The Commission also seeks alternatives to its current complaint process as the best way to keep make-ready costs just and reasonable, </w:t>
      </w:r>
      <w:r>
        <w:rPr>
          <w:rFonts w:eastAsia="Calibri"/>
        </w:rPr>
        <w:t xml:space="preserve">asks whether a bonus payment or multiplier could be used to incent existing attachers to meet their make-ready timelines, asks about ways to incent private negotiations between new and existing attachers to govern the make-ready process (e.g., allowing a new attacher to select a default contractor to perform make-ready, penalizing existing attachers that fail to meet make-ready deadlines), asks whether utilities should be required to make information available online regarding the cost, location, and availability of poles and conduits, asks whether a flat per-pole make-ready fee would be preferable to the current method of allocating make-ready costs, </w:t>
      </w:r>
      <w:r w:rsidRPr="00EB31A8">
        <w:rPr>
          <w:rFonts w:eastAsia="Calibri"/>
        </w:rPr>
        <w:t xml:space="preserve">asks whether utilities should be required to reimburse attachers for the costs of new attachments that subsequently benefit utilities (which might benefit new entrants, especially small entities with limited resources), </w:t>
      </w:r>
      <w:r>
        <w:rPr>
          <w:rFonts w:eastAsia="Calibri"/>
        </w:rPr>
        <w:t>asks whether the Commission should eliminate all capital costs from its pole attachment rate formulas</w:t>
      </w:r>
      <w:r w:rsidRPr="00EB31A8">
        <w:rPr>
          <w:rFonts w:eastAsia="Calibri"/>
        </w:rPr>
        <w:t xml:space="preserve">, </w:t>
      </w:r>
      <w:r>
        <w:rPr>
          <w:rFonts w:eastAsia="Calibri"/>
        </w:rPr>
        <w:t xml:space="preserve">asks about the appropriate pole attachment rate for attachers providing commingled cable and telecommunications services, </w:t>
      </w:r>
      <w:r w:rsidRPr="00EB31A8">
        <w:rPr>
          <w:rFonts w:eastAsia="Calibri"/>
        </w:rPr>
        <w:t>and asks whether we should adopt a shot clock for all pole attachment complaints (not just those related to pole access)</w:t>
      </w:r>
      <w:r>
        <w:t>.</w:t>
      </w:r>
      <w:r w:rsidRPr="007A6FE3">
        <w:t xml:space="preserve">  </w:t>
      </w:r>
    </w:p>
    <w:p w:rsidR="00455188" w:rsidRDefault="00455188" w:rsidP="00455188">
      <w:pPr>
        <w:pStyle w:val="ParaNum"/>
      </w:pPr>
      <w:r>
        <w:t>The Notice also seeks comment on</w:t>
      </w:r>
      <w:r w:rsidRPr="007A6FE3">
        <w:t xml:space="preserve"> the need to revise the requirements of our network change disclosure r</w:t>
      </w:r>
      <w:r w:rsidRPr="007A6FE3">
        <w:rPr>
          <w:rStyle w:val="ParaNumChar"/>
        </w:rPr>
        <w:t>u</w:t>
      </w:r>
      <w:r w:rsidRPr="007A6FE3">
        <w:t xml:space="preserve">les </w:t>
      </w:r>
      <w:r>
        <w:t xml:space="preserve">applicable to copper retirements </w:t>
      </w:r>
      <w:r w:rsidRPr="007A6FE3">
        <w:t xml:space="preserve">to </w:t>
      </w:r>
      <w:r>
        <w:t>reduce barriers to</w:t>
      </w:r>
      <w:r w:rsidRPr="007A6FE3">
        <w:t xml:space="preserve"> </w:t>
      </w:r>
      <w:r>
        <w:t>investment in next-generation technologies and promote broadband deployment.</w:t>
      </w:r>
      <w:r w:rsidRPr="007A6FE3">
        <w:t xml:space="preserve"> </w:t>
      </w:r>
      <w:r>
        <w:t xml:space="preserve"> To that end, the </w:t>
      </w:r>
      <w:r w:rsidRPr="00874558">
        <w:t>Notice</w:t>
      </w:r>
      <w:r>
        <w:t xml:space="preserve"> seeks comment on</w:t>
      </w:r>
      <w:r w:rsidRPr="007A6FE3">
        <w:t xml:space="preserve"> </w:t>
      </w:r>
      <w:r>
        <w:t>eliminating Section 51.332 in its entirety and returning to a more streamlined version of the pre-</w:t>
      </w:r>
      <w:r>
        <w:rPr>
          <w:i/>
        </w:rPr>
        <w:t xml:space="preserve">2015 Technology Transitions Order </w:t>
      </w:r>
      <w:r>
        <w:t xml:space="preserve">requirements for handling copper retirements subject to Section 251(c)(5) of the Act.  Specifically, the </w:t>
      </w:r>
      <w:r w:rsidRPr="00874558">
        <w:t>Notice</w:t>
      </w:r>
      <w:r>
        <w:t xml:space="preserve"> seeks comment on reinstating the less burdensome requirements under Section 51.333(c) of the Commission’s rules applicable to copper retirements prior to adoption of the </w:t>
      </w:r>
      <w:r>
        <w:rPr>
          <w:i/>
        </w:rPr>
        <w:t>2015 Technology Transitions Order</w:t>
      </w:r>
      <w:r>
        <w:t xml:space="preserve">.  In the alternative, the </w:t>
      </w:r>
      <w:r w:rsidRPr="00874558">
        <w:t>Notice</w:t>
      </w:r>
      <w:r>
        <w:t xml:space="preserve"> seeks comment on </w:t>
      </w:r>
      <w:r w:rsidRPr="00614663">
        <w:t>eliminating all differences between copper retirement and other network change notice requirements</w:t>
      </w:r>
      <w:r>
        <w:t>, rendering copper retirement changes subject to the same long-term or, where applicable, short-term network change notice requirements as all other types of network changes subject to Section 251(c)(5)</w:t>
      </w:r>
      <w:r w:rsidRPr="00614663">
        <w:t>.</w:t>
      </w:r>
      <w:r>
        <w:t xml:space="preserve">  As a third alternative, the </w:t>
      </w:r>
      <w:r w:rsidRPr="00874558">
        <w:t>Notice</w:t>
      </w:r>
      <w:r>
        <w:t xml:space="preserve"> seeks comment on retaining but amending Section 51.332 to streamline the process.  Specifically, the Notice seeks comment on revising Section 51.332 to:  (1) r</w:t>
      </w:r>
      <w:r w:rsidRPr="002D1435">
        <w:t>equir</w:t>
      </w:r>
      <w:r>
        <w:t>e</w:t>
      </w:r>
      <w:r w:rsidRPr="002D1435">
        <w:t xml:space="preserve"> </w:t>
      </w:r>
      <w:r>
        <w:t xml:space="preserve">an </w:t>
      </w:r>
      <w:r w:rsidRPr="002D1435">
        <w:t xml:space="preserve">incumbent LECs to </w:t>
      </w:r>
      <w:r>
        <w:t>serve its notice</w:t>
      </w:r>
      <w:r w:rsidRPr="002D1435">
        <w:t xml:space="preserve"> only to </w:t>
      </w:r>
      <w:r>
        <w:t xml:space="preserve">telephone exchange </w:t>
      </w:r>
      <w:r w:rsidRPr="002D1435">
        <w:t>service providers that directly interconnect with the incumbent LEC’s network, rather than “each entity within the affected service area that directly interconnects with the incumbent LEC’s network”</w:t>
      </w:r>
      <w:r>
        <w:t>; (2) r</w:t>
      </w:r>
      <w:r w:rsidRPr="003903CD">
        <w:t>educ</w:t>
      </w:r>
      <w:r>
        <w:t>e</w:t>
      </w:r>
      <w:r w:rsidRPr="003903CD">
        <w:t xml:space="preserve"> the waiting period to 90 days from 180 days after the Commission releases its public notice before the incumbent LEC may implement the planned copper retirement</w:t>
      </w:r>
      <w:r>
        <w:t xml:space="preserve">; (3) provide greater flexibility regarding </w:t>
      </w:r>
      <w:r w:rsidRPr="003903CD">
        <w:t>the time in which an incumbent LEC must file the requisite certification</w:t>
      </w:r>
      <w:r>
        <w:t>; and (4) r</w:t>
      </w:r>
      <w:r w:rsidRPr="003903CD">
        <w:t>educ</w:t>
      </w:r>
      <w:r>
        <w:t>e</w:t>
      </w:r>
      <w:r w:rsidRPr="003903CD">
        <w:t xml:space="preserve"> the waiting period to </w:t>
      </w:r>
      <w:r>
        <w:t xml:space="preserve">30 </w:t>
      </w:r>
      <w:r w:rsidRPr="003903CD">
        <w:t>days where the copper facilities being retired are no longer being used to serve any customers in the affected service area</w:t>
      </w:r>
      <w:r>
        <w:t xml:space="preserve">;  and to potentially reinstate the objection procedures applicable under the rules in place prior to the </w:t>
      </w:r>
      <w:r w:rsidRPr="003633B9">
        <w:rPr>
          <w:i/>
        </w:rPr>
        <w:t>2015 Technology Transitions Order</w:t>
      </w:r>
      <w:r>
        <w:t xml:space="preserve"> if Section 51.332 is eliminated.  The Notice also proposes to eliminate the prohibition on incumbent LECs disclosing information about planned network changes prior to giving public notice of those planned changes.  And the Notice seeks comment on eliminating or modifying Section 68.110(b), which requires that a carrier notify its customers when changes to its facilities, equipment, operations, or procedures might render customers’ terminal equipment incompatible with those facilities, equipment, operations, or procedures.</w:t>
      </w:r>
    </w:p>
    <w:p w:rsidR="00455188" w:rsidRDefault="00455188" w:rsidP="00D9706A">
      <w:pPr>
        <w:pStyle w:val="ParaNum"/>
        <w:widowControl/>
      </w:pPr>
      <w:r w:rsidRPr="007A6FE3">
        <w:t xml:space="preserve">The </w:t>
      </w:r>
      <w:r>
        <w:t xml:space="preserve">Notice seeks comment on </w:t>
      </w:r>
      <w:r w:rsidRPr="007A6FE3">
        <w:t>proposal</w:t>
      </w:r>
      <w:r>
        <w:t>s</w:t>
      </w:r>
      <w:r w:rsidRPr="007A6FE3">
        <w:t xml:space="preserve"> </w:t>
      </w:r>
      <w:r w:rsidRPr="000204F8">
        <w:t>to streamline the Section 214(a) discontinuance process for applications that seek authorization to “grandfather” low-speed legacy services</w:t>
      </w:r>
      <w:r>
        <w:t xml:space="preserve">, such as </w:t>
      </w:r>
      <w:r w:rsidRPr="006232D4">
        <w:t xml:space="preserve">TDM services at </w:t>
      </w:r>
      <w:r>
        <w:t>lower-than-</w:t>
      </w:r>
      <w:r w:rsidRPr="006232D4">
        <w:t>DS1 speeds (</w:t>
      </w:r>
      <w:r>
        <w:t xml:space="preserve">below </w:t>
      </w:r>
      <w:r w:rsidRPr="006232D4">
        <w:t>1.544 Mbps)</w:t>
      </w:r>
      <w:r>
        <w:t>,</w:t>
      </w:r>
      <w:r w:rsidRPr="000204F8">
        <w:t xml:space="preserve"> for existing customers.</w:t>
      </w:r>
      <w:r>
        <w:t xml:space="preserve">  Specifically, the proposals seek to </w:t>
      </w:r>
      <w:r w:rsidRPr="000204F8">
        <w:t>reduce the public comment period to 1</w:t>
      </w:r>
      <w:r>
        <w:t>0</w:t>
      </w:r>
      <w:r w:rsidRPr="000204F8">
        <w:t xml:space="preserve"> days for applications from </w:t>
      </w:r>
      <w:r>
        <w:t xml:space="preserve">both dominant and </w:t>
      </w:r>
      <w:r w:rsidRPr="000204F8">
        <w:t>non-dominant carriers seeking to grandfather legacy low-speed services.</w:t>
      </w:r>
      <w:r>
        <w:t xml:space="preserve">  The proposals also seek to revise the Commission’s discontinuance rules to provide for automatic grant of </w:t>
      </w:r>
      <w:r w:rsidRPr="000204F8">
        <w:t xml:space="preserve">applications by </w:t>
      </w:r>
      <w:r>
        <w:t xml:space="preserve">both dominant and </w:t>
      </w:r>
      <w:r w:rsidRPr="000204F8">
        <w:t xml:space="preserve">non-dominant carriers to grandfather low-speed legacy services on the </w:t>
      </w:r>
      <w:r>
        <w:t>25th</w:t>
      </w:r>
      <w:r w:rsidRPr="000204F8">
        <w:t xml:space="preserve"> day after </w:t>
      </w:r>
      <w:r>
        <w:t xml:space="preserve">the Commission has released a public notice seeking comment on an application, </w:t>
      </w:r>
      <w:r w:rsidRPr="000204F8">
        <w:t xml:space="preserve">unless the Commission notifies the applicant that such a grant will not be automatically effective.  </w:t>
      </w:r>
    </w:p>
    <w:p w:rsidR="00455188" w:rsidRDefault="00455188" w:rsidP="00970420">
      <w:pPr>
        <w:pStyle w:val="ParaNum"/>
        <w:widowControl/>
      </w:pPr>
      <w:r>
        <w:t xml:space="preserve"> The </w:t>
      </w:r>
      <w:r w:rsidRPr="000642E4">
        <w:t xml:space="preserve">Notice seeks comment on </w:t>
      </w:r>
      <w:r>
        <w:t xml:space="preserve">proposals to streamline the discontinuance process for any application seeking authorization to discontinue legacy data services that have been grandfathered for a period of no less than 180 days prior to the filing of the application.  The proposals seek to adopt a uniform public comment period of 10 days for all applications seeking to discontinue legacy data services that have previously been grandfathered, regardless of whether the carrier filing the application is a dominant or non-dominant carrier.  Additionally, the proposals seek to provide for automatic grant of these applications on the 31st day after filing, unless the Commission notifies the applicant that such a grant will not be automatically effective.  </w:t>
      </w:r>
    </w:p>
    <w:p w:rsidR="00455188" w:rsidRDefault="00455188" w:rsidP="00455188">
      <w:pPr>
        <w:pStyle w:val="ParaNum"/>
      </w:pPr>
      <w:r>
        <w:t xml:space="preserve">The </w:t>
      </w:r>
      <w:r w:rsidRPr="000642E4">
        <w:t xml:space="preserve">Notice seeks comment on </w:t>
      </w:r>
      <w:r>
        <w:t>revising the discontinuance rule pertaining to discontinuance applications filed in response to a copper retirement notice to reflect any subsequent changes to the copper retirement rules and any other streamlining measures that could be taken.</w:t>
      </w:r>
    </w:p>
    <w:p w:rsidR="00455188" w:rsidRDefault="00455188" w:rsidP="00455188">
      <w:pPr>
        <w:pStyle w:val="ParaNum"/>
      </w:pPr>
      <w:r>
        <w:t xml:space="preserve">The </w:t>
      </w:r>
      <w:r w:rsidRPr="000642E4">
        <w:t xml:space="preserve">Notice seeks comment on </w:t>
      </w:r>
      <w:r w:rsidRPr="008C771F">
        <w:t>revers</w:t>
      </w:r>
      <w:r>
        <w:t xml:space="preserve">ing </w:t>
      </w:r>
      <w:r w:rsidRPr="008C771F">
        <w:t>the Commission’s 2015 “clarification” of Section 214(a) that substantially expanded the scope of end users that a carrier must consider in determining whether it is required to obtain Section 214 discontinuance authority</w:t>
      </w:r>
      <w:r>
        <w:t xml:space="preserve">, </w:t>
      </w:r>
      <w:r w:rsidRPr="008C771F">
        <w:t>and, going forward, interpret Section 214(a) to require a carrier to take into account only its own end users when evaluating whether the carrier will “discontinue, reduce, or impair service to a community, or part of a community.”</w:t>
      </w:r>
    </w:p>
    <w:p w:rsidR="00455188" w:rsidRPr="007A6FE3" w:rsidRDefault="00455188" w:rsidP="00455188">
      <w:pPr>
        <w:pStyle w:val="ParaNum"/>
      </w:pPr>
      <w:r w:rsidRPr="00EB31A8">
        <w:rPr>
          <w:rFonts w:eastAsia="Calibri"/>
        </w:rPr>
        <w:t xml:space="preserve">The Commission believes that its proposals </w:t>
      </w:r>
      <w:r>
        <w:rPr>
          <w:rFonts w:eastAsia="Calibri"/>
        </w:rPr>
        <w:t xml:space="preserve">and potential rule changes upon which the Notice seeks comment </w:t>
      </w:r>
      <w:r w:rsidRPr="00EB31A8">
        <w:rPr>
          <w:rFonts w:eastAsia="Calibri"/>
        </w:rPr>
        <w:t xml:space="preserve">will benefit all carriers, regardless of size.  The proposals </w:t>
      </w:r>
      <w:r>
        <w:rPr>
          <w:rFonts w:eastAsia="Calibri"/>
        </w:rPr>
        <w:t xml:space="preserve">and potential rule changes </w:t>
      </w:r>
      <w:r w:rsidRPr="00EB31A8">
        <w:rPr>
          <w:rFonts w:eastAsia="Calibri"/>
        </w:rPr>
        <w:t>would further the goal of reducing regulatory burdens, thus facilitating investment in next-generation networks and promoting broadband deployment.  We anticipate that a more modernized regulatory scheme will encourage carriers to invest in and deploy even more advanced technologies as they evolve.</w:t>
      </w:r>
    </w:p>
    <w:p w:rsidR="00455188" w:rsidRPr="007A6FE3" w:rsidRDefault="00455188" w:rsidP="00455188">
      <w:pPr>
        <w:pStyle w:val="Heading2"/>
        <w:widowControl/>
      </w:pPr>
      <w:bookmarkStart w:id="845" w:name="_Toc399947738"/>
      <w:bookmarkStart w:id="846" w:name="_Toc400554046"/>
      <w:bookmarkStart w:id="847" w:name="_Toc400566855"/>
      <w:bookmarkStart w:id="848" w:name="_Toc400711725"/>
      <w:bookmarkStart w:id="849" w:name="_Toc400719675"/>
      <w:bookmarkStart w:id="850" w:name="_Toc401299450"/>
      <w:bookmarkStart w:id="851" w:name="_Toc401307015"/>
      <w:bookmarkStart w:id="852" w:name="_Toc401314179"/>
      <w:bookmarkStart w:id="853" w:name="_Toc401314328"/>
      <w:bookmarkStart w:id="854" w:name="_Toc401329846"/>
      <w:bookmarkStart w:id="855" w:name="_Toc401595649"/>
      <w:bookmarkStart w:id="856" w:name="_Toc401658206"/>
      <w:bookmarkStart w:id="857" w:name="_Toc401821708"/>
      <w:bookmarkStart w:id="858" w:name="_Toc401912176"/>
      <w:bookmarkStart w:id="859" w:name="_Toc402255430"/>
      <w:bookmarkStart w:id="860" w:name="_Toc402276213"/>
      <w:bookmarkStart w:id="861" w:name="_Toc402360455"/>
      <w:bookmarkStart w:id="862" w:name="_Toc402511517"/>
      <w:bookmarkStart w:id="863" w:name="_Toc403566426"/>
      <w:bookmarkStart w:id="864" w:name="_Toc404072137"/>
      <w:bookmarkStart w:id="865" w:name="_Toc404081333"/>
      <w:bookmarkStart w:id="866" w:name="_Toc404165812"/>
      <w:bookmarkStart w:id="867" w:name="_Toc404165890"/>
      <w:bookmarkStart w:id="868" w:name="_Toc404172445"/>
      <w:bookmarkStart w:id="869" w:name="_Toc404181499"/>
      <w:bookmarkStart w:id="870" w:name="_Toc404183092"/>
      <w:bookmarkStart w:id="871" w:name="_Toc404246638"/>
      <w:bookmarkStart w:id="872" w:name="_Toc477796039"/>
      <w:bookmarkStart w:id="873" w:name="_Toc478050637"/>
      <w:bookmarkStart w:id="874" w:name="_Toc478138499"/>
      <w:bookmarkStart w:id="875" w:name="_Toc478139514"/>
      <w:bookmarkStart w:id="876" w:name="_Toc478139620"/>
      <w:bookmarkStart w:id="877" w:name="_Toc478139671"/>
      <w:bookmarkStart w:id="878" w:name="_Toc478403123"/>
      <w:bookmarkStart w:id="879" w:name="_Toc478460167"/>
      <w:bookmarkStart w:id="880" w:name="_Toc478476714"/>
      <w:bookmarkStart w:id="881" w:name="_Toc479943052"/>
      <w:bookmarkStart w:id="882" w:name="_Toc480388555"/>
      <w:r w:rsidRPr="007A6FE3">
        <w:t>Federal Rules that May Duplicate</w:t>
      </w:r>
      <w:r>
        <w:t>, Overlap, or Conflict w</w:t>
      </w:r>
      <w:r w:rsidRPr="007A6FE3">
        <w:t>ith the Proposed Rule</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970420" w:rsidRDefault="00455188" w:rsidP="00455188">
      <w:pPr>
        <w:pStyle w:val="ParaNum"/>
        <w:sectPr w:rsidR="00970420" w:rsidSect="003348FF">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pPr>
      <w:r w:rsidRPr="007A6FE3">
        <w:t>None</w:t>
      </w:r>
      <w:r>
        <w:t>.</w:t>
      </w:r>
    </w:p>
    <w:p w:rsidR="00970420" w:rsidRPr="00970420" w:rsidRDefault="00970420" w:rsidP="00970420">
      <w:pPr>
        <w:jc w:val="center"/>
        <w:rPr>
          <w:b/>
        </w:rPr>
      </w:pPr>
      <w:r w:rsidRPr="00970420">
        <w:rPr>
          <w:b/>
        </w:rPr>
        <w:t>STATEMENT OF</w:t>
      </w:r>
    </w:p>
    <w:p w:rsidR="00970420" w:rsidRPr="00970420" w:rsidRDefault="00970420" w:rsidP="00970420">
      <w:pPr>
        <w:jc w:val="center"/>
        <w:rPr>
          <w:b/>
        </w:rPr>
      </w:pPr>
      <w:r w:rsidRPr="00970420">
        <w:rPr>
          <w:b/>
        </w:rPr>
        <w:t>CHAIRMAN AJIT PAI</w:t>
      </w:r>
    </w:p>
    <w:p w:rsidR="00970420" w:rsidRDefault="00970420" w:rsidP="00970420"/>
    <w:p w:rsidR="00970420" w:rsidRDefault="00970420" w:rsidP="00970420">
      <w:pPr>
        <w:ind w:left="720" w:hanging="720"/>
      </w:pPr>
      <w:r>
        <w:t xml:space="preserve">Re:    </w:t>
      </w:r>
      <w:r>
        <w:tab/>
      </w:r>
      <w:r w:rsidRPr="00970420">
        <w:rPr>
          <w:i/>
        </w:rPr>
        <w:t>Accelerating Wireline Broadband Deployment by Removing Barriers to Infrastructure Investment</w:t>
      </w:r>
      <w:r>
        <w:t>, WC Docket No. 17-84.</w:t>
      </w:r>
    </w:p>
    <w:p w:rsidR="00970420" w:rsidRDefault="00970420" w:rsidP="00970420"/>
    <w:p w:rsidR="00970420" w:rsidRDefault="00970420" w:rsidP="00970420">
      <w:pPr>
        <w:spacing w:after="200"/>
        <w:ind w:firstLine="720"/>
      </w:pPr>
      <w:r>
        <w:t>Building a fixed broadband network is hard and expensive.  There’s no better way to understand this than by seeing it for yourself.  I’ve done that during my time at the FCC.  I’ve visited Baldwin City, Kansas to learn how RG Fiber has connected small towns in the Sunflower State with high-speed broadband.  I’ve sunk my shoes into the muck outside Hammond, Louisiana, where Southern Light was stringing fiber along the bayou.  Just last month, I spent time with Rocket Fiber in Detroit, where I saw how a scrappy upstart is delivering badly-needed digital infrastructure to the Motor City.</w:t>
      </w:r>
    </w:p>
    <w:p w:rsidR="00970420" w:rsidRDefault="00970420" w:rsidP="00970420">
      <w:pPr>
        <w:spacing w:after="200"/>
        <w:ind w:firstLine="720"/>
      </w:pPr>
      <w:r>
        <w:t>From these competitive fiber providers and many others, I’ve heard a similar refrain: their work is difficult, sometimes prohibitively so.  You need a lot of capital.  You need capable work crews.  And as important as either of these, you need a regulatory framework that enables you to build a business case for building a business.  Without rules that keep costs low and encourage deployment, the RG Fibers and Southern Lights and Rocket Fibers won’t get off the ground—and consumers will never benefit from the competition they’re trying to bring to the broadband marketplace.</w:t>
      </w:r>
    </w:p>
    <w:p w:rsidR="00970420" w:rsidRDefault="00970420" w:rsidP="00970420">
      <w:pPr>
        <w:spacing w:after="200"/>
        <w:ind w:firstLine="720"/>
      </w:pPr>
      <w:r>
        <w:t>That brings us to today’s rulemaking, which rests on a simple premise:  When you make it easier and cheaper to build high-speed networks, companies are more likely to build those networks.  Unreasonably high costs and excessive delays to access poles and costly and cumbersome permitting processes can make it extremely difficult to deploy infrastructure.  With today’s Notice, we seek comment on creative and common-sense solutions to solve these problems.</w:t>
      </w:r>
    </w:p>
    <w:p w:rsidR="00970420" w:rsidRDefault="00970420" w:rsidP="00970420">
      <w:pPr>
        <w:spacing w:after="200"/>
        <w:ind w:firstLine="720"/>
      </w:pPr>
      <w:r>
        <w:t>In addition, we focus on revising FCC rules that unnecessarily slow down the transition from old, fading 20th century networks to new, resilient 21st century networks.  For example, some of these rules actually doubled the waiting period for retiring copper plant, some of which has been in the ground since the Roosevelt Administration.  This directly harms consumers desperate for better Internet access and more competition.  That’s because every dollar that the FCC forces companies to spend maintaining obsolete, low-capacity copper lines is a dollar that cannot be spent deploying high-capacity fiber and other next-generation technologies.  That’s why, in today’s Notice, we examine ways to modernize our rules and America’s broadband infrastructure along with them.</w:t>
      </w:r>
    </w:p>
    <w:p w:rsidR="00970420" w:rsidRDefault="00970420" w:rsidP="00970420">
      <w:pPr>
        <w:spacing w:after="200"/>
        <w:ind w:firstLine="720"/>
        <w:sectPr w:rsidR="00970420" w:rsidSect="003348FF">
          <w:footnotePr>
            <w:numRestart w:val="eachSect"/>
          </w:footnotePr>
          <w:endnotePr>
            <w:numFmt w:val="decimal"/>
          </w:endnotePr>
          <w:pgSz w:w="12240" w:h="15840"/>
          <w:pgMar w:top="1440" w:right="1440" w:bottom="720" w:left="1440" w:header="720" w:footer="720" w:gutter="0"/>
          <w:cols w:space="720"/>
          <w:noEndnote/>
          <w:docGrid w:linePitch="299"/>
        </w:sectPr>
      </w:pPr>
      <w:r>
        <w:t>Last but not least, thank you to the terrific staff across the agency who put in so much hard work on this item: Michele Berlove, Jim Carr, Adam Copeland, Madeleine Findley, Lisa Griffin, Dan Kahn, Chris Killion, Doug Klein, Dick Kwiatkowski, Paul Lafontaine, Rick Mallen, Rosemary McEnery, Bakari Middleton, Kris Monteith, Ramesh Nagarajan, Terri Natoli, Omar Nayeem, Claudia Pabo, Michael Ray, Bill Richardson, Zach Ross, Lisa Saks, Deborah Salons, Katja Seim, and John Visclosky.  Consumers in places like Baldwin City and Detroit and Hammond might not know the details of what you have accomplished today, but they’ll benefit substantially from your work in the future.</w:t>
      </w:r>
    </w:p>
    <w:p w:rsidR="003C0FD8" w:rsidRPr="005577AD" w:rsidRDefault="003C0FD8" w:rsidP="003C0FD8">
      <w:pPr>
        <w:jc w:val="center"/>
        <w:rPr>
          <w:b/>
          <w:bCs/>
          <w:caps/>
          <w:szCs w:val="22"/>
        </w:rPr>
      </w:pPr>
      <w:r>
        <w:rPr>
          <w:b/>
          <w:bCs/>
          <w:caps/>
          <w:szCs w:val="22"/>
        </w:rPr>
        <w:t xml:space="preserve">Concurring </w:t>
      </w:r>
      <w:r w:rsidRPr="005577AD">
        <w:rPr>
          <w:b/>
          <w:bCs/>
          <w:caps/>
          <w:szCs w:val="22"/>
        </w:rPr>
        <w:t>Statement of</w:t>
      </w:r>
    </w:p>
    <w:p w:rsidR="003C0FD8" w:rsidRPr="00CC1F1C" w:rsidRDefault="003C0FD8" w:rsidP="003C0FD8">
      <w:pPr>
        <w:jc w:val="center"/>
        <w:rPr>
          <w:b/>
          <w:szCs w:val="22"/>
        </w:rPr>
      </w:pPr>
      <w:r w:rsidRPr="00360DB5">
        <w:rPr>
          <w:b/>
          <w:szCs w:val="22"/>
        </w:rPr>
        <w:t>COMMISSIONER MIGNON L. CLYBURN</w:t>
      </w:r>
    </w:p>
    <w:p w:rsidR="003C0FD8" w:rsidRPr="005577AD" w:rsidRDefault="003C0FD8" w:rsidP="003C0FD8">
      <w:pPr>
        <w:jc w:val="center"/>
        <w:rPr>
          <w:b/>
          <w:bCs/>
          <w:caps/>
          <w:szCs w:val="22"/>
        </w:rPr>
      </w:pPr>
    </w:p>
    <w:p w:rsidR="003C0FD8" w:rsidRPr="005577AD" w:rsidRDefault="003C0FD8" w:rsidP="003C0FD8">
      <w:pPr>
        <w:ind w:left="720" w:hanging="720"/>
        <w:rPr>
          <w:szCs w:val="22"/>
        </w:rPr>
      </w:pPr>
      <w:r w:rsidRPr="005577AD">
        <w:rPr>
          <w:iCs/>
          <w:szCs w:val="22"/>
        </w:rPr>
        <w:t>Re:</w:t>
      </w:r>
      <w:r w:rsidRPr="005577AD">
        <w:rPr>
          <w:szCs w:val="22"/>
        </w:rPr>
        <w:t xml:space="preserve">    </w:t>
      </w:r>
      <w:r w:rsidRPr="005577AD">
        <w:rPr>
          <w:szCs w:val="22"/>
        </w:rPr>
        <w:tab/>
      </w:r>
      <w:r>
        <w:rPr>
          <w:i/>
        </w:rPr>
        <w:t>Accelerating Wireline Broadband Deployment by Removing Barriers to Infrastructure Investment</w:t>
      </w:r>
      <w:r>
        <w:t>, WC Docket No. 17-84.</w:t>
      </w:r>
    </w:p>
    <w:p w:rsidR="003C0FD8" w:rsidRPr="005577AD" w:rsidRDefault="003C0FD8" w:rsidP="003C0FD8">
      <w:pPr>
        <w:widowControl/>
        <w:ind w:firstLine="720"/>
        <w:rPr>
          <w:szCs w:val="22"/>
        </w:rPr>
      </w:pPr>
    </w:p>
    <w:p w:rsidR="003C0FD8" w:rsidRPr="00CC1F1C" w:rsidRDefault="003C0FD8" w:rsidP="003C0FD8">
      <w:pPr>
        <w:spacing w:before="120"/>
        <w:ind w:firstLine="720"/>
        <w:rPr>
          <w:rFonts w:eastAsia="Calibri"/>
          <w:snapToGrid/>
        </w:rPr>
      </w:pPr>
      <w:r w:rsidRPr="00CC1F1C">
        <w:rPr>
          <w:rFonts w:eastAsia="Calibri"/>
          <w:snapToGrid/>
        </w:rPr>
        <w:t>Let me say up front: despite the fact that this item tees up some ideas I am uncomfortable with, I will respectfully concur. I want to thank the Chairman for working with me to address some of my substantial concerns, in particular, revisiting the test for streamlined voice discontinuance, and adding in less aggressive language regarding our interactions with localities.</w:t>
      </w:r>
    </w:p>
    <w:p w:rsidR="003C0FD8" w:rsidRPr="00CC1F1C" w:rsidRDefault="003C0FD8" w:rsidP="003C0FD8">
      <w:pPr>
        <w:spacing w:before="120"/>
        <w:ind w:firstLine="720"/>
        <w:rPr>
          <w:rFonts w:eastAsia="Calibri"/>
          <w:snapToGrid/>
        </w:rPr>
      </w:pPr>
      <w:r w:rsidRPr="00CC1F1C">
        <w:rPr>
          <w:rFonts w:eastAsia="Calibri"/>
          <w:snapToGrid/>
        </w:rPr>
        <w:t>Indeed, there is much on which we can agree. The time is ripe for opening up pole attachment reform, for taking a look at how we can work with local governments to remove barriers to deployment, and for generally evaluating how we can further streamline processes for rolling out new services. What concerns me, however, is the strong talk surrounding preemption, that takes place even before we lay out a clear path to work with communities through other processes such as the Broadband Deployment Advisory Committee’s development of model codes. The importance of community engagement was reiterated during my visit earlier this week to the Digital Southwest summit in Mesa, Arizona, and it is with this backdrop that I look forward to reviewing the full record on all of these issues.</w:t>
      </w:r>
    </w:p>
    <w:p w:rsidR="003C0FD8" w:rsidRPr="00CC1F1C" w:rsidRDefault="003C0FD8" w:rsidP="003C0FD8">
      <w:pPr>
        <w:spacing w:before="120"/>
        <w:ind w:firstLine="720"/>
        <w:rPr>
          <w:rFonts w:eastAsia="Calibri"/>
          <w:snapToGrid/>
        </w:rPr>
      </w:pPr>
      <w:r w:rsidRPr="00CC1F1C">
        <w:rPr>
          <w:rFonts w:eastAsia="Calibri"/>
          <w:snapToGrid/>
        </w:rPr>
        <w:t xml:space="preserve">However, when it comes to the Commission’s efforts to start a proceeding to roll back the carefully considered efforts of the past Administration to carve a path forward for technology transitions, I remain extremely concerned. This Commission seems to view paying customers who subscribe to legacy services as a barrier to infrastructure deployment, and that is problematic for me. </w:t>
      </w:r>
    </w:p>
    <w:p w:rsidR="003C0FD8" w:rsidRPr="00CC1F1C" w:rsidRDefault="003C0FD8" w:rsidP="003C0FD8">
      <w:pPr>
        <w:spacing w:before="120"/>
        <w:ind w:firstLine="720"/>
        <w:rPr>
          <w:rFonts w:eastAsia="Calibri"/>
          <w:snapToGrid/>
        </w:rPr>
      </w:pPr>
      <w:r w:rsidRPr="00CC1F1C">
        <w:rPr>
          <w:rFonts w:eastAsia="Calibri"/>
          <w:snapToGrid/>
        </w:rPr>
        <w:t>A RAND study from last year found that approximately 20 percent of Americans view landline telephone service as the most important communications service, beating out mobile voice, mobile broadband, and fixed broadband. And this group may, according to RAND, “include the more vulnerable members of society.” Indeed, a majority of fixed voice customers, still choose legacy telephone service despite other options that may be available in the marketplace. And while they certainly may be out there, I have yet to come across a consumer who is clamoring for their landline service, to be converted to interconnected voice-over-IP service.</w:t>
      </w:r>
    </w:p>
    <w:p w:rsidR="003C0FD8" w:rsidRPr="00CC1F1C" w:rsidRDefault="003C0FD8" w:rsidP="003C0FD8">
      <w:pPr>
        <w:spacing w:before="120"/>
        <w:ind w:firstLine="720"/>
        <w:rPr>
          <w:rFonts w:eastAsia="Calibri"/>
          <w:snapToGrid/>
        </w:rPr>
      </w:pPr>
      <w:r w:rsidRPr="00CC1F1C">
        <w:rPr>
          <w:rFonts w:eastAsia="Calibri"/>
          <w:snapToGrid/>
        </w:rPr>
        <w:t xml:space="preserve">This item, at least as it was originally drafted, primarily ensured that large carriers, not consumers, got what they want. These carriers’ balance sheets are heavily inked with operating expenditures associated with legacy services. It is no secret, that it would indeed be more efficient for carriers to migrate all of their customers off of legacy services as quickly as possible. But as regulators, we are charged with protecting the public interest, and the public interest standard goes beyond operating efficiencies. </w:t>
      </w:r>
    </w:p>
    <w:p w:rsidR="003C0FD8" w:rsidRPr="00CC1F1C" w:rsidRDefault="003C0FD8" w:rsidP="003C0FD8">
      <w:pPr>
        <w:spacing w:before="120"/>
        <w:ind w:firstLine="720"/>
        <w:rPr>
          <w:rFonts w:eastAsia="Calibri"/>
          <w:snapToGrid/>
        </w:rPr>
      </w:pPr>
      <w:r w:rsidRPr="00CC1F1C">
        <w:rPr>
          <w:rFonts w:eastAsia="Calibri"/>
          <w:snapToGrid/>
        </w:rPr>
        <w:t>Rather than properly wrestling with these difficult issues however, the Commission implies that efficient technology transitions override consumer desires and consumer protections. At the end of the day, these transitions are either about replacing electronics on either end of a wire, or replacing that wire with fiber or other technologies. But those infrastructure changes promise to fundamentally alter the very nature of the service offered to consumers. This is exactly why we must ensure that consumers’ concerns and needs are given credence during this process of retiring copper or discontinuing legacy services. On the road from legacy to modern services, this item seeks comment on removing stop signs and traffic lights along the way. I only hope, that we do not crash and burn.</w:t>
      </w:r>
    </w:p>
    <w:p w:rsidR="003C0FD8" w:rsidRDefault="003C0FD8" w:rsidP="003C0FD8">
      <w:pPr>
        <w:spacing w:before="120"/>
        <w:ind w:firstLine="720"/>
        <w:rPr>
          <w:rFonts w:eastAsia="Calibri"/>
          <w:snapToGrid/>
        </w:rPr>
        <w:sectPr w:rsidR="003C0FD8" w:rsidSect="003348FF">
          <w:footnotePr>
            <w:numRestart w:val="eachSect"/>
          </w:footnotePr>
          <w:endnotePr>
            <w:numFmt w:val="decimal"/>
          </w:endnotePr>
          <w:pgSz w:w="12240" w:h="15840"/>
          <w:pgMar w:top="1440" w:right="1440" w:bottom="720" w:left="1440" w:header="720" w:footer="720" w:gutter="0"/>
          <w:cols w:space="720"/>
          <w:noEndnote/>
          <w:docGrid w:linePitch="299"/>
        </w:sectPr>
      </w:pPr>
      <w:r w:rsidRPr="00CC1F1C">
        <w:rPr>
          <w:rFonts w:eastAsia="Calibri"/>
          <w:snapToGrid/>
        </w:rPr>
        <w:t xml:space="preserve"> I thank the staff of the Wireline Competition Bureau for their hard work and professionalism. These are incredibly difficult issues, and I understand you pulled this item together very quickly, and you did so very well.</w:t>
      </w:r>
    </w:p>
    <w:p w:rsidR="003C0FD8" w:rsidRPr="005577AD" w:rsidRDefault="003C0FD8" w:rsidP="003C0FD8">
      <w:pPr>
        <w:jc w:val="center"/>
        <w:rPr>
          <w:b/>
          <w:bCs/>
          <w:caps/>
          <w:szCs w:val="22"/>
        </w:rPr>
      </w:pPr>
      <w:r w:rsidRPr="005577AD">
        <w:rPr>
          <w:b/>
          <w:bCs/>
          <w:caps/>
          <w:szCs w:val="22"/>
        </w:rPr>
        <w:t>Statement of</w:t>
      </w:r>
    </w:p>
    <w:p w:rsidR="003C0FD8" w:rsidRPr="00221460" w:rsidRDefault="003C0FD8" w:rsidP="003C0FD8">
      <w:pPr>
        <w:jc w:val="center"/>
        <w:rPr>
          <w:b/>
        </w:rPr>
      </w:pPr>
      <w:r w:rsidRPr="00221460">
        <w:rPr>
          <w:b/>
        </w:rPr>
        <w:t xml:space="preserve">COMMISSIONER MICHAEL </w:t>
      </w:r>
      <w:r>
        <w:rPr>
          <w:b/>
        </w:rPr>
        <w:t xml:space="preserve">P. </w:t>
      </w:r>
      <w:r w:rsidRPr="00221460">
        <w:rPr>
          <w:b/>
        </w:rPr>
        <w:t>O’RIELLY</w:t>
      </w:r>
    </w:p>
    <w:p w:rsidR="003C0FD8" w:rsidRPr="005577AD" w:rsidRDefault="003C0FD8" w:rsidP="003C0FD8">
      <w:pPr>
        <w:jc w:val="center"/>
        <w:rPr>
          <w:b/>
          <w:bCs/>
          <w:caps/>
          <w:szCs w:val="22"/>
        </w:rPr>
      </w:pPr>
    </w:p>
    <w:p w:rsidR="003C0FD8" w:rsidRPr="005577AD" w:rsidRDefault="003C0FD8" w:rsidP="003C0FD8">
      <w:pPr>
        <w:ind w:left="720" w:hanging="720"/>
        <w:rPr>
          <w:szCs w:val="22"/>
        </w:rPr>
      </w:pPr>
      <w:r w:rsidRPr="005577AD">
        <w:rPr>
          <w:iCs/>
          <w:szCs w:val="22"/>
        </w:rPr>
        <w:t>Re:</w:t>
      </w:r>
      <w:r w:rsidRPr="005577AD">
        <w:rPr>
          <w:szCs w:val="22"/>
        </w:rPr>
        <w:t xml:space="preserve">    </w:t>
      </w:r>
      <w:r w:rsidRPr="005577AD">
        <w:rPr>
          <w:szCs w:val="22"/>
        </w:rPr>
        <w:tab/>
      </w:r>
      <w:r>
        <w:rPr>
          <w:i/>
        </w:rPr>
        <w:t>Accelerating Wireline Broadband Deployment by Removing Barriers to Infrastructure Investment</w:t>
      </w:r>
      <w:r>
        <w:t>, WC Docket No. 17-84.</w:t>
      </w:r>
    </w:p>
    <w:p w:rsidR="003C0FD8" w:rsidRPr="005577AD" w:rsidRDefault="003C0FD8" w:rsidP="003C0FD8">
      <w:pPr>
        <w:widowControl/>
        <w:ind w:firstLine="720"/>
        <w:rPr>
          <w:szCs w:val="22"/>
        </w:rPr>
      </w:pPr>
    </w:p>
    <w:p w:rsidR="003C0FD8" w:rsidRPr="00A97939" w:rsidRDefault="003C0FD8" w:rsidP="003C0FD8">
      <w:pPr>
        <w:spacing w:after="120"/>
        <w:ind w:firstLine="720"/>
        <w:rPr>
          <w:rFonts w:eastAsia="Calibri"/>
          <w:snapToGrid/>
        </w:rPr>
      </w:pPr>
      <w:r w:rsidRPr="00A97939">
        <w:rPr>
          <w:rFonts w:eastAsia="Calibri"/>
          <w:snapToGrid/>
        </w:rPr>
        <w:t xml:space="preserve">As the staff outlined, this item seeks comment on several ways to streamline FCC regulations and processes, reduce unnecessary regulatory compliance costs, and promote broadband deployment.  </w:t>
      </w:r>
    </w:p>
    <w:p w:rsidR="003C0FD8" w:rsidRPr="00A97939" w:rsidRDefault="003C0FD8" w:rsidP="003C0FD8">
      <w:pPr>
        <w:spacing w:after="120"/>
        <w:ind w:firstLine="720"/>
        <w:rPr>
          <w:rFonts w:eastAsia="Calibri"/>
          <w:snapToGrid/>
        </w:rPr>
      </w:pPr>
      <w:r w:rsidRPr="00A97939">
        <w:rPr>
          <w:rFonts w:eastAsia="Calibri"/>
          <w:snapToGrid/>
        </w:rPr>
        <w:t xml:space="preserve">The prior Commission frequently attempted to insert itself into technology transitions, often at the very end with little to no added value.  These forays typically involved protecting obsolete or fading technologies that consumers have rapidly abandoned, applying old rules to new technologies, imposing additional hurdles and tests, and providing no assurances that applications that met requirements for supposed “streamlined” treatment would actually be granted in a reasonable timeframe.  I frequently dissented from policies that impeded technology transitions and hamstrung providers without actually protecting consumers or promoting investment in new services and networks.  So it should come as no surprise that I join to undo these harmful decisions now.  </w:t>
      </w:r>
    </w:p>
    <w:p w:rsidR="003C0FD8" w:rsidRPr="00A97939" w:rsidRDefault="003C0FD8" w:rsidP="003C0FD8">
      <w:pPr>
        <w:spacing w:after="120"/>
        <w:ind w:firstLine="720"/>
        <w:rPr>
          <w:rFonts w:eastAsia="Calibri"/>
          <w:snapToGrid/>
        </w:rPr>
      </w:pPr>
      <w:r w:rsidRPr="00A97939">
        <w:rPr>
          <w:rFonts w:eastAsia="Calibri"/>
          <w:snapToGrid/>
        </w:rPr>
        <w:t>I am particularly encouraged to see the Commission seek comment on what amounts to disavowing the 2014 Declaratory Ruling and subsequent Order on Reconsideration, which appeared to require carriers to file section 214 discontinuance applications for services they don’t even know they are offering.  Instead of defining a service based on the terms of a carrier’s tariff, the Commission said that it would take into account “the totality of the circumstances from the perspective of the relevant community or part of a community, when analyzing whether a service is discontinued, reduced, or impaired under section 214.”</w:t>
      </w:r>
      <w:r w:rsidRPr="00A97939">
        <w:rPr>
          <w:rFonts w:eastAsia="Calibri"/>
          <w:snapToGrid/>
          <w:vertAlign w:val="superscript"/>
        </w:rPr>
        <w:footnoteReference w:id="262"/>
      </w:r>
      <w:r w:rsidRPr="00A97939">
        <w:rPr>
          <w:rFonts w:eastAsia="Calibri"/>
          <w:snapToGrid/>
        </w:rPr>
        <w:t xml:space="preserve">  In other words, a carrier has to guess how the service is being used, what the community thinks about such uses, and whether the FCC would require a filing in such instances.  Such a nebulous standard appears nowhere in the Act and should be overturned posthaste.  </w:t>
      </w:r>
    </w:p>
    <w:p w:rsidR="003C0FD8" w:rsidRPr="00A97939" w:rsidRDefault="003C0FD8" w:rsidP="003C0FD8">
      <w:pPr>
        <w:spacing w:after="120"/>
        <w:ind w:firstLine="720"/>
        <w:rPr>
          <w:rFonts w:eastAsia="Calibri"/>
          <w:snapToGrid/>
        </w:rPr>
      </w:pPr>
      <w:r w:rsidRPr="00A97939">
        <w:rPr>
          <w:rFonts w:eastAsia="Calibri"/>
          <w:snapToGrid/>
        </w:rPr>
        <w:t>I thank my colleagues for working with me to improve this item, and I hope we receive a robust record on these and other ideas to further reduce regulation in a manner that is consistent with our statutory authority.  I vote to approve.</w:t>
      </w:r>
    </w:p>
    <w:p w:rsidR="00455188" w:rsidRPr="005930F5" w:rsidRDefault="00455188" w:rsidP="003C0FD8">
      <w:pPr>
        <w:spacing w:before="120"/>
      </w:pPr>
    </w:p>
    <w:p w:rsidR="002C00E8" w:rsidRPr="00455188" w:rsidRDefault="002C00E8" w:rsidP="00455188"/>
    <w:sectPr w:rsidR="002C00E8" w:rsidRPr="00455188" w:rsidSect="003348FF">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33" w:rsidRDefault="002C7133">
      <w:pPr>
        <w:spacing w:line="20" w:lineRule="exact"/>
      </w:pPr>
    </w:p>
  </w:endnote>
  <w:endnote w:type="continuationSeparator" w:id="0">
    <w:p w:rsidR="002C7133" w:rsidRDefault="002C7133">
      <w:r>
        <w:t xml:space="preserve"> </w:t>
      </w:r>
    </w:p>
  </w:endnote>
  <w:endnote w:type="continuationNotice" w:id="1">
    <w:p w:rsidR="002C7133" w:rsidRDefault="002C71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9" w:rsidRDefault="00967549" w:rsidP="0055614C">
    <w:pPr>
      <w:pStyle w:val="Footer"/>
      <w:framePr w:wrap="around" w:vAnchor="text" w:hAnchor="margin" w:xAlign="center" w:y="1"/>
    </w:pPr>
    <w:r>
      <w:fldChar w:fldCharType="begin"/>
    </w:r>
    <w:r>
      <w:instrText xml:space="preserve">PAGE  </w:instrText>
    </w:r>
    <w:r>
      <w:fldChar w:fldCharType="end"/>
    </w:r>
  </w:p>
  <w:p w:rsidR="00967549" w:rsidRDefault="00967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9" w:rsidRDefault="00967549" w:rsidP="0055614C">
    <w:pPr>
      <w:pStyle w:val="Footer"/>
      <w:framePr w:wrap="around" w:vAnchor="text" w:hAnchor="margin" w:xAlign="center" w:y="1"/>
    </w:pPr>
    <w:r>
      <w:fldChar w:fldCharType="begin"/>
    </w:r>
    <w:r>
      <w:instrText xml:space="preserve">PAGE  </w:instrText>
    </w:r>
    <w:r>
      <w:fldChar w:fldCharType="separate"/>
    </w:r>
    <w:r w:rsidR="00CA5E50">
      <w:rPr>
        <w:noProof/>
      </w:rPr>
      <w:t>2</w:t>
    </w:r>
    <w:r>
      <w:fldChar w:fldCharType="end"/>
    </w:r>
  </w:p>
  <w:p w:rsidR="00967549" w:rsidRDefault="0096754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9" w:rsidRDefault="00967549">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9" w:rsidRDefault="0096754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33" w:rsidRDefault="002C7133">
      <w:r>
        <w:separator/>
      </w:r>
    </w:p>
  </w:footnote>
  <w:footnote w:type="continuationSeparator" w:id="0">
    <w:p w:rsidR="002C7133" w:rsidRDefault="002C7133" w:rsidP="00C721AC">
      <w:pPr>
        <w:spacing w:before="120"/>
        <w:rPr>
          <w:sz w:val="20"/>
        </w:rPr>
      </w:pPr>
      <w:r>
        <w:rPr>
          <w:sz w:val="20"/>
        </w:rPr>
        <w:t xml:space="preserve">(Continued from previous page)  </w:t>
      </w:r>
      <w:r>
        <w:rPr>
          <w:sz w:val="20"/>
        </w:rPr>
        <w:separator/>
      </w:r>
    </w:p>
  </w:footnote>
  <w:footnote w:type="continuationNotice" w:id="1">
    <w:p w:rsidR="002C7133" w:rsidRDefault="002C7133" w:rsidP="00C721AC">
      <w:pPr>
        <w:jc w:val="right"/>
        <w:rPr>
          <w:sz w:val="20"/>
        </w:rPr>
      </w:pPr>
      <w:r>
        <w:rPr>
          <w:sz w:val="20"/>
        </w:rPr>
        <w:t>(continued….)</w:t>
      </w:r>
    </w:p>
  </w:footnote>
  <w:footnote w:id="2">
    <w:p w:rsidR="00967549" w:rsidRPr="00A466F3" w:rsidRDefault="00967549" w:rsidP="00455188">
      <w:pPr>
        <w:pStyle w:val="FootnoteText"/>
      </w:pPr>
      <w:r w:rsidRPr="00A466F3">
        <w:rPr>
          <w:rStyle w:val="FootnoteReference"/>
        </w:rPr>
        <w:footnoteRef/>
      </w:r>
      <w:r w:rsidRPr="00A466F3">
        <w:t xml:space="preserve"> 47 U.S.C. § 224(b)(1).</w:t>
      </w:r>
    </w:p>
  </w:footnote>
  <w:footnote w:id="3">
    <w:p w:rsidR="00967549" w:rsidRPr="00A466F3" w:rsidRDefault="00967549" w:rsidP="00455188">
      <w:pPr>
        <w:pStyle w:val="FootnoteText"/>
      </w:pPr>
      <w:r w:rsidRPr="00A466F3">
        <w:rPr>
          <w:rStyle w:val="FootnoteReference"/>
        </w:rPr>
        <w:footnoteRef/>
      </w:r>
      <w:r w:rsidRPr="00A466F3">
        <w:t xml:space="preserve"> 47 U.S.C. § 224(b)(2).</w:t>
      </w:r>
    </w:p>
  </w:footnote>
  <w:footnote w:id="4">
    <w:p w:rsidR="00967549" w:rsidRPr="00A466F3" w:rsidRDefault="00967549" w:rsidP="00455188">
      <w:pPr>
        <w:pStyle w:val="FootnoteText"/>
      </w:pPr>
      <w:r w:rsidRPr="00A466F3">
        <w:rPr>
          <w:rStyle w:val="FootnoteReference"/>
        </w:rPr>
        <w:footnoteRef/>
      </w:r>
      <w:r w:rsidRPr="00A466F3">
        <w:t xml:space="preserve"> Section 224(a)(4) of the Act defines a pole attachment as any attachment by a cable television system or provider of telecommunications service to a pole, duct, conduit, or right-of-way owned or controlled by a utility.  47 U.S.C. § 224(a)(4).  Accordingly, </w:t>
      </w:r>
      <w:r>
        <w:t xml:space="preserve">unless specified otherwise, </w:t>
      </w:r>
      <w:r w:rsidRPr="00A466F3">
        <w:t xml:space="preserve">we use the term </w:t>
      </w:r>
      <w:r>
        <w:t>“</w:t>
      </w:r>
      <w:r w:rsidRPr="00A466F3">
        <w:t>pole attachment</w:t>
      </w:r>
      <w:r>
        <w:t>”</w:t>
      </w:r>
      <w:r w:rsidRPr="00A466F3">
        <w:t xml:space="preserve"> in this Notice to refer to attachments not only to poles, but to ducts, conduits, and rights-of-way as well.</w:t>
      </w:r>
    </w:p>
  </w:footnote>
  <w:footnote w:id="5">
    <w:p w:rsidR="00967549" w:rsidRPr="00A466F3" w:rsidRDefault="00967549" w:rsidP="00455188">
      <w:pPr>
        <w:pStyle w:val="FootnoteText"/>
      </w:pPr>
      <w:r w:rsidRPr="00A466F3">
        <w:rPr>
          <w:rStyle w:val="FootnoteReference"/>
        </w:rPr>
        <w:footnoteRef/>
      </w:r>
      <w:r w:rsidRPr="00A466F3">
        <w:t xml:space="preserve"> 47 U.S.C. § 224(f).</w:t>
      </w:r>
    </w:p>
  </w:footnote>
  <w:footnote w:id="6">
    <w:p w:rsidR="00967549" w:rsidRPr="00A466F3" w:rsidRDefault="00967549" w:rsidP="00455188">
      <w:pPr>
        <w:pStyle w:val="FootnoteText"/>
      </w:pPr>
      <w:r w:rsidRPr="00A466F3">
        <w:rPr>
          <w:rStyle w:val="FootnoteReference"/>
        </w:rPr>
        <w:footnoteRef/>
      </w:r>
      <w:r w:rsidRPr="00A466F3">
        <w:t xml:space="preserve"> 47 U.S.C. § 224(d), (e).</w:t>
      </w:r>
    </w:p>
  </w:footnote>
  <w:footnote w:id="7">
    <w:p w:rsidR="00967549" w:rsidRPr="00A466F3" w:rsidRDefault="00967549" w:rsidP="00455188">
      <w:pPr>
        <w:widowControl/>
        <w:autoSpaceDE w:val="0"/>
        <w:autoSpaceDN w:val="0"/>
        <w:adjustRightInd w:val="0"/>
        <w:spacing w:after="120"/>
        <w:rPr>
          <w:sz w:val="20"/>
        </w:rPr>
      </w:pPr>
      <w:r w:rsidRPr="00A466F3">
        <w:rPr>
          <w:rStyle w:val="FootnoteReference"/>
        </w:rPr>
        <w:footnoteRef/>
      </w:r>
      <w:r w:rsidRPr="00A466F3">
        <w:rPr>
          <w:sz w:val="20"/>
        </w:rPr>
        <w:t xml:space="preserve"> </w:t>
      </w:r>
      <w:r w:rsidRPr="00A466F3">
        <w:rPr>
          <w:snapToGrid/>
          <w:kern w:val="0"/>
          <w:sz w:val="20"/>
        </w:rPr>
        <w:t>“Make-ready” generally refers to the modification of poles or lines or the installation of certain equipment (e.g., guys and anchors) to accommodate additional facilities.</w:t>
      </w:r>
      <w:r>
        <w:rPr>
          <w:snapToGrid/>
          <w:kern w:val="0"/>
          <w:sz w:val="20"/>
        </w:rPr>
        <w:t xml:space="preserve"> </w:t>
      </w:r>
      <w:r w:rsidRPr="00A466F3">
        <w:rPr>
          <w:snapToGrid/>
          <w:kern w:val="0"/>
          <w:sz w:val="20"/>
        </w:rPr>
        <w:t xml:space="preserve"> </w:t>
      </w:r>
      <w:r w:rsidRPr="00A466F3">
        <w:rPr>
          <w:i/>
          <w:iCs/>
          <w:snapToGrid/>
          <w:kern w:val="0"/>
          <w:sz w:val="20"/>
        </w:rPr>
        <w:t>Implementation of the Local Competition Provisions in the Telecommunications Act of 1996</w:t>
      </w:r>
      <w:r w:rsidRPr="00A466F3">
        <w:rPr>
          <w:snapToGrid/>
          <w:kern w:val="0"/>
          <w:sz w:val="20"/>
        </w:rPr>
        <w:t>, CC Docket Nos. 96-98, 95-185</w:t>
      </w:r>
      <w:r>
        <w:rPr>
          <w:snapToGrid/>
          <w:kern w:val="0"/>
          <w:sz w:val="20"/>
        </w:rPr>
        <w:t xml:space="preserve">, </w:t>
      </w:r>
      <w:r w:rsidRPr="00A466F3">
        <w:rPr>
          <w:snapToGrid/>
          <w:kern w:val="0"/>
          <w:sz w:val="20"/>
        </w:rPr>
        <w:t>Order on Reconsideration, 14 FCC Rcd 18049, 18056 n.50 (1999).</w:t>
      </w:r>
    </w:p>
  </w:footnote>
  <w:footnote w:id="8">
    <w:p w:rsidR="00967549" w:rsidRPr="00A466F3" w:rsidRDefault="00967549" w:rsidP="00455188">
      <w:pPr>
        <w:pStyle w:val="FootnoteText"/>
      </w:pPr>
      <w:r w:rsidRPr="00A466F3">
        <w:rPr>
          <w:rStyle w:val="FootnoteReference"/>
        </w:rPr>
        <w:footnoteRef/>
      </w:r>
      <w:r w:rsidRPr="00A466F3">
        <w:t xml:space="preserve"> 47 U.S.C. § 224(h), (i).</w:t>
      </w:r>
    </w:p>
  </w:footnote>
  <w:footnote w:id="9">
    <w:p w:rsidR="00967549" w:rsidRPr="00A466F3" w:rsidRDefault="00967549" w:rsidP="00455188">
      <w:pPr>
        <w:pStyle w:val="FootnoteText"/>
      </w:pPr>
      <w:r w:rsidRPr="00A466F3">
        <w:rPr>
          <w:rStyle w:val="FootnoteReference"/>
        </w:rPr>
        <w:footnoteRef/>
      </w:r>
      <w:r w:rsidRPr="00A466F3">
        <w:t xml:space="preserve"> 47 U.S.C. § 251(b)(4).</w:t>
      </w:r>
    </w:p>
  </w:footnote>
  <w:footnote w:id="10">
    <w:p w:rsidR="00967549" w:rsidRPr="00A466F3" w:rsidRDefault="00967549" w:rsidP="00455188">
      <w:pPr>
        <w:autoSpaceDE w:val="0"/>
        <w:autoSpaceDN w:val="0"/>
        <w:adjustRightInd w:val="0"/>
        <w:spacing w:after="120"/>
        <w:rPr>
          <w:sz w:val="20"/>
        </w:rPr>
      </w:pPr>
      <w:r w:rsidRPr="00A466F3">
        <w:rPr>
          <w:rStyle w:val="FootnoteReference"/>
        </w:rPr>
        <w:footnoteRef/>
      </w:r>
      <w:r w:rsidRPr="00A466F3">
        <w:rPr>
          <w:sz w:val="20"/>
        </w:rPr>
        <w:t xml:space="preserve"> To date, twenty states and the District of Columbia have reverse-preempted Commission jurisdiction over the rates, terms, and conditions of pole attachments in their states.  </w:t>
      </w:r>
      <w:r w:rsidRPr="00A466F3">
        <w:rPr>
          <w:i/>
          <w:iCs/>
          <w:sz w:val="20"/>
        </w:rPr>
        <w:t>States That Have Certified That They Regulate Pole Attachments</w:t>
      </w:r>
      <w:r w:rsidRPr="00A466F3">
        <w:rPr>
          <w:sz w:val="20"/>
        </w:rPr>
        <w:t>, WC Docket No. 10-101</w:t>
      </w:r>
      <w:r>
        <w:rPr>
          <w:sz w:val="20"/>
        </w:rPr>
        <w:t xml:space="preserve">, </w:t>
      </w:r>
      <w:r w:rsidRPr="00A466F3">
        <w:rPr>
          <w:sz w:val="20"/>
        </w:rPr>
        <w:t>Public Notice, 25 FCC Rcd 5541</w:t>
      </w:r>
      <w:r>
        <w:rPr>
          <w:sz w:val="20"/>
        </w:rPr>
        <w:t>, 5542</w:t>
      </w:r>
      <w:r w:rsidRPr="00A466F3">
        <w:rPr>
          <w:sz w:val="20"/>
        </w:rPr>
        <w:t xml:space="preserve"> (WCB 2010).</w:t>
      </w:r>
    </w:p>
  </w:footnote>
  <w:footnote w:id="11">
    <w:p w:rsidR="00967549" w:rsidRPr="00A466F3" w:rsidRDefault="00967549" w:rsidP="00455188">
      <w:pPr>
        <w:pStyle w:val="FootnoteText"/>
      </w:pPr>
      <w:r w:rsidRPr="00A466F3">
        <w:rPr>
          <w:rStyle w:val="FootnoteReference"/>
        </w:rPr>
        <w:footnoteRef/>
      </w:r>
      <w:r w:rsidRPr="00A466F3">
        <w:t xml:space="preserve"> </w:t>
      </w:r>
      <w:r w:rsidRPr="00A466F3">
        <w:rPr>
          <w:i/>
        </w:rPr>
        <w:t xml:space="preserve">See </w:t>
      </w:r>
      <w:r w:rsidRPr="00A466F3">
        <w:t>47 CFR § 1.1420.</w:t>
      </w:r>
    </w:p>
  </w:footnote>
  <w:footnote w:id="12">
    <w:p w:rsidR="00967549" w:rsidRPr="00A466F3" w:rsidRDefault="00967549" w:rsidP="00455188">
      <w:pPr>
        <w:pStyle w:val="FootnoteText"/>
      </w:pPr>
      <w:r w:rsidRPr="00A466F3">
        <w:rPr>
          <w:rStyle w:val="FootnoteReference"/>
        </w:rPr>
        <w:footnoteRef/>
      </w:r>
      <w:r w:rsidRPr="00A466F3">
        <w:t xml:space="preserve"> </w:t>
      </w:r>
      <w:r w:rsidRPr="00A466F3">
        <w:rPr>
          <w:i/>
          <w:iCs/>
        </w:rPr>
        <w:t>Implementation of Section 224 of the Act; A National Broadband Plan for Our Future</w:t>
      </w:r>
      <w:r w:rsidRPr="00A466F3">
        <w:t>, WC Docket No. 07-245, GN Docket No. 09-51</w:t>
      </w:r>
      <w:r>
        <w:t xml:space="preserve">, </w:t>
      </w:r>
      <w:r w:rsidRPr="00A466F3">
        <w:t>Order and Further Notice of Proposed Rulemaking, 25 FCC Rcd 11864, 11873, para. 17 (2010).</w:t>
      </w:r>
    </w:p>
  </w:footnote>
  <w:footnote w:id="13">
    <w:p w:rsidR="00967549" w:rsidRPr="00A466F3" w:rsidRDefault="00967549" w:rsidP="00455188">
      <w:pPr>
        <w:pStyle w:val="FootnoteText"/>
      </w:pPr>
      <w:r w:rsidRPr="00A466F3">
        <w:rPr>
          <w:rStyle w:val="FootnoteReference"/>
        </w:rPr>
        <w:footnoteRef/>
      </w:r>
      <w:r w:rsidRPr="00A466F3">
        <w:t xml:space="preserve"> </w:t>
      </w:r>
      <w:r w:rsidRPr="00A466F3">
        <w:rPr>
          <w:i/>
          <w:iCs/>
        </w:rPr>
        <w:t>Implementation of Section 224 of the Act; A National Broadband Plan for Our Future</w:t>
      </w:r>
      <w:r w:rsidRPr="00A466F3">
        <w:t>, Report and Order and Order on Reconsideration, WC Docket No. 07-245, GN Docket No. 09-51</w:t>
      </w:r>
      <w:r>
        <w:t xml:space="preserve">, </w:t>
      </w:r>
      <w:r w:rsidRPr="00A466F3">
        <w:t>26 FCC Rcd 5240, 5252, paras. 22-23 (2011) (</w:t>
      </w:r>
      <w:r w:rsidRPr="00A466F3">
        <w:rPr>
          <w:i/>
        </w:rPr>
        <w:t>2011 Pole Attachment Order</w:t>
      </w:r>
      <w:r w:rsidRPr="00A466F3">
        <w:t>).</w:t>
      </w:r>
    </w:p>
  </w:footnote>
  <w:footnote w:id="14">
    <w:p w:rsidR="00967549" w:rsidRPr="00A466F3" w:rsidRDefault="00967549" w:rsidP="00455188">
      <w:pPr>
        <w:pStyle w:val="FootnoteText"/>
      </w:pPr>
      <w:r w:rsidRPr="00A466F3">
        <w:rPr>
          <w:rStyle w:val="FootnoteReference"/>
        </w:rPr>
        <w:footnoteRef/>
      </w:r>
      <w:r w:rsidRPr="00A466F3">
        <w:t xml:space="preserve"> 47 CFR § 1.1420.</w:t>
      </w:r>
    </w:p>
  </w:footnote>
  <w:footnote w:id="15">
    <w:p w:rsidR="00967549" w:rsidRPr="00A466F3" w:rsidRDefault="00967549" w:rsidP="00455188">
      <w:pPr>
        <w:pStyle w:val="FootnoteText"/>
      </w:pPr>
      <w:r w:rsidRPr="00A466F3">
        <w:rPr>
          <w:rStyle w:val="FootnoteReference"/>
        </w:rPr>
        <w:footnoteRef/>
      </w:r>
      <w:r w:rsidRPr="00A466F3">
        <w:t xml:space="preserve"> </w:t>
      </w:r>
      <w:r w:rsidRPr="00A466F3">
        <w:rPr>
          <w:i/>
        </w:rPr>
        <w:t xml:space="preserve">See </w:t>
      </w:r>
      <w:r w:rsidRPr="00A466F3">
        <w:t>47 CFR §§ 1.1403(b), 1.1420(c).</w:t>
      </w:r>
    </w:p>
  </w:footnote>
  <w:footnote w:id="16">
    <w:p w:rsidR="00967549" w:rsidRPr="00A466F3" w:rsidRDefault="00967549" w:rsidP="00455188">
      <w:pPr>
        <w:pStyle w:val="FootnoteText"/>
      </w:pPr>
      <w:r w:rsidRPr="00A466F3">
        <w:rPr>
          <w:rStyle w:val="FootnoteReference"/>
        </w:rPr>
        <w:footnoteRef/>
      </w:r>
      <w:r w:rsidRPr="00A466F3">
        <w:t xml:space="preserve"> </w:t>
      </w:r>
      <w:r>
        <w:rPr>
          <w:i/>
        </w:rPr>
        <w:t xml:space="preserve">See </w:t>
      </w:r>
      <w:r w:rsidRPr="00A466F3">
        <w:t>47 CFR § 1.1403(g).</w:t>
      </w:r>
    </w:p>
  </w:footnote>
  <w:footnote w:id="17">
    <w:p w:rsidR="00967549" w:rsidRPr="00A466F3" w:rsidRDefault="00967549" w:rsidP="00455188">
      <w:pPr>
        <w:pStyle w:val="FootnoteText"/>
      </w:pPr>
      <w:r w:rsidRPr="00A466F3">
        <w:rPr>
          <w:rStyle w:val="FootnoteReference"/>
        </w:rPr>
        <w:footnoteRef/>
      </w:r>
      <w:r w:rsidRPr="00A466F3">
        <w:t xml:space="preserve"> </w:t>
      </w:r>
      <w:r w:rsidRPr="00A466F3">
        <w:rPr>
          <w:i/>
        </w:rPr>
        <w:t xml:space="preserve">See </w:t>
      </w:r>
      <w:r w:rsidRPr="00A466F3">
        <w:t>47 CFR § 1.1403(c).</w:t>
      </w:r>
    </w:p>
  </w:footnote>
  <w:footnote w:id="18">
    <w:p w:rsidR="00967549" w:rsidRPr="00A466F3" w:rsidRDefault="00967549" w:rsidP="00455188">
      <w:pPr>
        <w:pStyle w:val="FootnoteText"/>
      </w:pPr>
      <w:r w:rsidRPr="00A466F3">
        <w:rPr>
          <w:rStyle w:val="FootnoteReference"/>
        </w:rPr>
        <w:footnoteRef/>
      </w:r>
      <w:r w:rsidRPr="00A466F3">
        <w:t xml:space="preserve"> </w:t>
      </w:r>
      <w:r w:rsidRPr="00A466F3">
        <w:rPr>
          <w:i/>
        </w:rPr>
        <w:t xml:space="preserve">See </w:t>
      </w:r>
      <w:r w:rsidRPr="00A466F3">
        <w:t>47 CFR § 1.1420(d).</w:t>
      </w:r>
    </w:p>
  </w:footnote>
  <w:footnote w:id="19">
    <w:p w:rsidR="00967549" w:rsidRPr="00A466F3" w:rsidRDefault="00967549" w:rsidP="00455188">
      <w:pPr>
        <w:pStyle w:val="FootnoteText"/>
      </w:pPr>
      <w:r w:rsidRPr="00A466F3">
        <w:rPr>
          <w:rStyle w:val="FootnoteReference"/>
        </w:rPr>
        <w:footnoteRef/>
      </w:r>
      <w:r w:rsidRPr="00A466F3">
        <w:t xml:space="preserve"> </w:t>
      </w:r>
      <w:r w:rsidRPr="00A466F3">
        <w:rPr>
          <w:i/>
        </w:rPr>
        <w:t xml:space="preserve">See </w:t>
      </w:r>
      <w:r w:rsidRPr="00A466F3">
        <w:t>47 CFR § 1.1420(e).</w:t>
      </w:r>
    </w:p>
  </w:footnote>
  <w:footnote w:id="20">
    <w:p w:rsidR="00967549" w:rsidRPr="00A466F3" w:rsidRDefault="00967549" w:rsidP="00455188">
      <w:pPr>
        <w:pStyle w:val="FootnoteText"/>
      </w:pPr>
      <w:r w:rsidRPr="00A466F3">
        <w:rPr>
          <w:rStyle w:val="FootnoteReference"/>
        </w:rPr>
        <w:footnoteRef/>
      </w:r>
      <w:r w:rsidRPr="00A466F3">
        <w:t xml:space="preserve"> 47 CFR § 1.1420(e)(1)(ii). </w:t>
      </w:r>
    </w:p>
  </w:footnote>
  <w:footnote w:id="21">
    <w:p w:rsidR="00967549" w:rsidRPr="00A466F3" w:rsidRDefault="00967549" w:rsidP="00455188">
      <w:pPr>
        <w:pStyle w:val="FootnoteText"/>
      </w:pPr>
      <w:r w:rsidRPr="00A466F3">
        <w:rPr>
          <w:rStyle w:val="FootnoteReference"/>
        </w:rPr>
        <w:footnoteRef/>
      </w:r>
      <w:r w:rsidRPr="00A466F3">
        <w:t xml:space="preserve"> </w:t>
      </w:r>
      <w:r w:rsidRPr="00A466F3">
        <w:rPr>
          <w:i/>
        </w:rPr>
        <w:t>2011 Pole Attachment Order</w:t>
      </w:r>
      <w:r w:rsidRPr="00470634">
        <w:t>,</w:t>
      </w:r>
      <w:r w:rsidRPr="00A466F3">
        <w:rPr>
          <w:i/>
        </w:rPr>
        <w:t xml:space="preserve"> </w:t>
      </w:r>
      <w:r w:rsidRPr="00A466F3">
        <w:t>26 FCC Rcd at 5258, para. 32.</w:t>
      </w:r>
    </w:p>
  </w:footnote>
  <w:footnote w:id="22">
    <w:p w:rsidR="00967549" w:rsidRPr="00F5649F" w:rsidRDefault="00967549" w:rsidP="00455188">
      <w:pPr>
        <w:pStyle w:val="FootnoteText"/>
      </w:pPr>
      <w:r>
        <w:rPr>
          <w:rStyle w:val="FootnoteReference"/>
        </w:rPr>
        <w:footnoteRef/>
      </w:r>
      <w:r>
        <w:t xml:space="preserve"> </w:t>
      </w:r>
      <w:r>
        <w:rPr>
          <w:i/>
        </w:rPr>
        <w:t xml:space="preserve">See </w:t>
      </w:r>
      <w:r>
        <w:t>Letter from Austin C. Schlick, Director, Communications Law, Google Inc., to Marlene H. Dortch, Secretary, FCC, WC Docket No. 07-245, GN Docket No. 09-51, at 3-4 (filed July 19, 2016) (submitting that “[r]epetitive climbs by multiple teams” unreasonably slow down the pole attachment process).</w:t>
      </w:r>
    </w:p>
  </w:footnote>
  <w:footnote w:id="23">
    <w:p w:rsidR="00967549" w:rsidRPr="00F53A60" w:rsidRDefault="00967549" w:rsidP="00455188">
      <w:pPr>
        <w:pStyle w:val="FootnoteText"/>
      </w:pPr>
      <w:r>
        <w:rPr>
          <w:rStyle w:val="FootnoteReference"/>
        </w:rPr>
        <w:footnoteRef/>
      </w:r>
      <w:r>
        <w:t xml:space="preserve"> </w:t>
      </w:r>
      <w:r>
        <w:rPr>
          <w:i/>
        </w:rPr>
        <w:t>See, e.g.</w:t>
      </w:r>
      <w:r w:rsidRPr="00150EE3">
        <w:t>,</w:t>
      </w:r>
      <w:r>
        <w:rPr>
          <w:i/>
        </w:rPr>
        <w:t xml:space="preserve"> </w:t>
      </w:r>
      <w:r>
        <w:t xml:space="preserve">Gigabit Communities, </w:t>
      </w:r>
      <w:r>
        <w:rPr>
          <w:i/>
        </w:rPr>
        <w:t>Technical Strategies for Facilitating Public or Private Broadband Construction in Your Community</w:t>
      </w:r>
      <w:r w:rsidRPr="00470634">
        <w:t>,</w:t>
      </w:r>
      <w:r>
        <w:rPr>
          <w:i/>
        </w:rPr>
        <w:t xml:space="preserve"> </w:t>
      </w:r>
      <w:r>
        <w:t xml:space="preserve">at 47-49, </w:t>
      </w:r>
      <w:hyperlink r:id="rId1" w:history="1">
        <w:r w:rsidRPr="00824E17">
          <w:rPr>
            <w:rStyle w:val="Hyperlink"/>
          </w:rPr>
          <w:t>http://www.ctcnet.us/wp-content/uploads/2014/01/GigabitCommunities.pdf</w:t>
        </w:r>
      </w:hyperlink>
      <w:r>
        <w:t>.</w:t>
      </w:r>
    </w:p>
  </w:footnote>
  <w:footnote w:id="24">
    <w:p w:rsidR="00967549" w:rsidRPr="00A466F3" w:rsidRDefault="00967549" w:rsidP="00455188">
      <w:pPr>
        <w:pStyle w:val="FootnoteText"/>
      </w:pPr>
      <w:r w:rsidRPr="00A466F3">
        <w:rPr>
          <w:rStyle w:val="FootnoteReference"/>
        </w:rPr>
        <w:footnoteRef/>
      </w:r>
      <w:r w:rsidRPr="00A466F3">
        <w:t xml:space="preserve"> 47 CFR § 1.1420(e)(2).</w:t>
      </w:r>
    </w:p>
  </w:footnote>
  <w:footnote w:id="25">
    <w:p w:rsidR="00967549" w:rsidRDefault="00967549" w:rsidP="00455188">
      <w:pPr>
        <w:pStyle w:val="FootnoteText"/>
      </w:pPr>
      <w:r>
        <w:rPr>
          <w:rStyle w:val="FootnoteReference"/>
        </w:rPr>
        <w:footnoteRef/>
      </w:r>
      <w:r>
        <w:t xml:space="preserve"> 47 CFR § 1.1420(e)(1).</w:t>
      </w:r>
    </w:p>
  </w:footnote>
  <w:footnote w:id="26">
    <w:p w:rsidR="00967549" w:rsidRPr="00034EF0" w:rsidRDefault="00967549" w:rsidP="00455188">
      <w:pPr>
        <w:pStyle w:val="FootnoteText"/>
      </w:pPr>
      <w:r>
        <w:rPr>
          <w:rStyle w:val="FootnoteReference"/>
        </w:rPr>
        <w:footnoteRef/>
      </w:r>
      <w:r>
        <w:t xml:space="preserve"> </w:t>
      </w:r>
      <w:r>
        <w:rPr>
          <w:i/>
        </w:rPr>
        <w:t xml:space="preserve">See </w:t>
      </w:r>
      <w:r>
        <w:t>47 CFR §§ 1.1420(e)(2)(ii), 1.1420(g).</w:t>
      </w:r>
    </w:p>
  </w:footnote>
  <w:footnote w:id="27">
    <w:p w:rsidR="00967549" w:rsidRPr="00A466F3" w:rsidRDefault="00967549" w:rsidP="00455188">
      <w:pPr>
        <w:pStyle w:val="FootnoteText"/>
      </w:pPr>
      <w:r w:rsidRPr="00A466F3">
        <w:rPr>
          <w:rStyle w:val="FootnoteReference"/>
        </w:rPr>
        <w:footnoteRef/>
      </w:r>
      <w:r w:rsidRPr="00A466F3">
        <w:t xml:space="preserve"> </w:t>
      </w:r>
      <w:r w:rsidRPr="00A466F3">
        <w:rPr>
          <w:i/>
        </w:rPr>
        <w:t xml:space="preserve">See </w:t>
      </w:r>
      <w:r w:rsidRPr="00A466F3">
        <w:t xml:space="preserve">Plaintiff’s Reply in Support of its Motion for Summary Judgment, and Opposition to Defendants’ Cross-Motion for Summary Judgment or for Alternative Relief at 19, </w:t>
      </w:r>
      <w:r w:rsidRPr="00A466F3">
        <w:rPr>
          <w:i/>
        </w:rPr>
        <w:t>BellSouth Telecommunications, LLC v. Louisville/Jefferson Cty. Metro Gov’t</w:t>
      </w:r>
      <w:r w:rsidRPr="00470634">
        <w:t>,</w:t>
      </w:r>
      <w:r w:rsidRPr="00A466F3">
        <w:rPr>
          <w:i/>
        </w:rPr>
        <w:t xml:space="preserve"> </w:t>
      </w:r>
      <w:r w:rsidRPr="00A466F3">
        <w:t xml:space="preserve">No. 3:16cv00124 (W.D. Ky. Oct. 31, 2016); Complaint at 2, para. 3, </w:t>
      </w:r>
      <w:r w:rsidRPr="00A466F3">
        <w:rPr>
          <w:i/>
        </w:rPr>
        <w:t>Comcast of Nashville I, LLC, v. Metro. Gov’t of Nashville &amp; Davidson Cty., Tenn</w:t>
      </w:r>
      <w:r w:rsidRPr="00470634">
        <w:t>.,</w:t>
      </w:r>
      <w:r w:rsidRPr="00A466F3">
        <w:rPr>
          <w:i/>
        </w:rPr>
        <w:t xml:space="preserve"> </w:t>
      </w:r>
      <w:r w:rsidRPr="00A466F3">
        <w:t>No. 3:16cv2794 (M.D. Tenn. Oct. 25, 2016).</w:t>
      </w:r>
    </w:p>
  </w:footnote>
  <w:footnote w:id="28">
    <w:p w:rsidR="00967549" w:rsidRPr="00A466F3" w:rsidRDefault="00967549" w:rsidP="00455188">
      <w:pPr>
        <w:pStyle w:val="FootnoteText"/>
      </w:pPr>
      <w:r w:rsidRPr="00A466F3">
        <w:rPr>
          <w:rStyle w:val="FootnoteReference"/>
        </w:rPr>
        <w:footnoteRef/>
      </w:r>
      <w:r w:rsidRPr="00A466F3">
        <w:t xml:space="preserve"> </w:t>
      </w:r>
      <w:r w:rsidRPr="00A466F3">
        <w:rPr>
          <w:i/>
        </w:rPr>
        <w:t>2011 Pole Attachment Order</w:t>
      </w:r>
      <w:r w:rsidRPr="00470634">
        <w:t>,</w:t>
      </w:r>
      <w:r w:rsidRPr="00A466F3">
        <w:rPr>
          <w:i/>
        </w:rPr>
        <w:t xml:space="preserve"> </w:t>
      </w:r>
      <w:r w:rsidRPr="00A466F3">
        <w:t>26 FCC Rcd at 5276, para. 78.</w:t>
      </w:r>
    </w:p>
  </w:footnote>
  <w:footnote w:id="29">
    <w:p w:rsidR="00967549" w:rsidRDefault="00967549" w:rsidP="00455188">
      <w:pPr>
        <w:pStyle w:val="FootnoteText"/>
      </w:pPr>
      <w:r>
        <w:rPr>
          <w:rStyle w:val="FootnoteReference"/>
        </w:rPr>
        <w:footnoteRef/>
      </w:r>
      <w:r>
        <w:t xml:space="preserve"> </w:t>
      </w:r>
      <w:r w:rsidRPr="00B312B8">
        <w:t xml:space="preserve">Currently, </w:t>
      </w:r>
      <w:r>
        <w:t>utilities are required to make available and keep up-to-date a reasonably sufficient list of contractors authorized to perform make-ready work in the communications space on a utility pole.  47 CFR § 1.1422(a).</w:t>
      </w:r>
    </w:p>
  </w:footnote>
  <w:footnote w:id="30">
    <w:p w:rsidR="00967549" w:rsidRDefault="00967549" w:rsidP="00455188">
      <w:pPr>
        <w:pStyle w:val="FootnoteText"/>
      </w:pPr>
      <w:r>
        <w:rPr>
          <w:rStyle w:val="FootnoteReference"/>
        </w:rPr>
        <w:footnoteRef/>
      </w:r>
      <w:r>
        <w:t xml:space="preserve"> </w:t>
      </w:r>
      <w:r>
        <w:rPr>
          <w:i/>
        </w:rPr>
        <w:t>See, e.g</w:t>
      </w:r>
      <w:r w:rsidRPr="00470634">
        <w:t>.,</w:t>
      </w:r>
      <w:r>
        <w:rPr>
          <w:i/>
        </w:rPr>
        <w:t xml:space="preserve"> </w:t>
      </w:r>
      <w:r w:rsidRPr="00A466F3">
        <w:t>Nashville Ordinance No. BL2016-343, § 13.</w:t>
      </w:r>
      <w:r>
        <w:t>18.020 (A)</w:t>
      </w:r>
      <w:r w:rsidRPr="00A466F3">
        <w:t>; Louisville Ordinance No. O-427-15, § 116.72(D)</w:t>
      </w:r>
      <w:r>
        <w:t>(2)</w:t>
      </w:r>
      <w:r w:rsidRPr="00A466F3">
        <w:t xml:space="preserve">.  </w:t>
      </w:r>
    </w:p>
  </w:footnote>
  <w:footnote w:id="31">
    <w:p w:rsidR="00967549" w:rsidRPr="00FD5DEC" w:rsidRDefault="00967549" w:rsidP="00455188">
      <w:pPr>
        <w:pStyle w:val="FootnoteText"/>
      </w:pPr>
      <w:r>
        <w:rPr>
          <w:rStyle w:val="FootnoteReference"/>
        </w:rPr>
        <w:footnoteRef/>
      </w:r>
      <w:r>
        <w:t xml:space="preserve"> </w:t>
      </w:r>
      <w:r>
        <w:rPr>
          <w:i/>
        </w:rPr>
        <w:t xml:space="preserve">See infra </w:t>
      </w:r>
      <w:r>
        <w:t>para. 19 (objections of AT&amp;T and Charter to the ability of new attachers to perform make-ready work on existing equipment on a pole).</w:t>
      </w:r>
    </w:p>
  </w:footnote>
  <w:footnote w:id="32">
    <w:p w:rsidR="00967549" w:rsidRPr="00150EE3" w:rsidRDefault="00967549" w:rsidP="00455188">
      <w:pPr>
        <w:pStyle w:val="FootnoteText"/>
      </w:pPr>
      <w:r>
        <w:rPr>
          <w:rStyle w:val="FootnoteReference"/>
        </w:rPr>
        <w:footnoteRef/>
      </w:r>
      <w:r>
        <w:t xml:space="preserve"> </w:t>
      </w:r>
      <w:r>
        <w:rPr>
          <w:i/>
        </w:rPr>
        <w:t>See, e.g.</w:t>
      </w:r>
      <w:r w:rsidRPr="00470634">
        <w:t>,</w:t>
      </w:r>
      <w:r>
        <w:rPr>
          <w:i/>
        </w:rPr>
        <w:t xml:space="preserve"> </w:t>
      </w:r>
      <w:r w:rsidRPr="00A466F3">
        <w:t>Nashville Ordinance No. BL2016-343, § 13.</w:t>
      </w:r>
      <w:r>
        <w:t>18.020 (A)</w:t>
      </w:r>
      <w:r w:rsidRPr="00A466F3">
        <w:t>; Louisville Ordinance No. O-427-15, § 116.72(D)</w:t>
      </w:r>
      <w:r>
        <w:t>(2)</w:t>
      </w:r>
      <w:r w:rsidRPr="00A466F3">
        <w:t xml:space="preserve">.  </w:t>
      </w:r>
    </w:p>
  </w:footnote>
  <w:footnote w:id="33">
    <w:p w:rsidR="00967549" w:rsidRPr="00A466F3" w:rsidRDefault="00967549" w:rsidP="00455188">
      <w:pPr>
        <w:pStyle w:val="FootnoteText"/>
      </w:pPr>
      <w:r w:rsidRPr="00A466F3">
        <w:rPr>
          <w:rStyle w:val="FootnoteReference"/>
        </w:rPr>
        <w:footnoteRef/>
      </w:r>
      <w:r w:rsidRPr="00A466F3">
        <w:t xml:space="preserve"> </w:t>
      </w:r>
      <w:r w:rsidRPr="00A466F3">
        <w:rPr>
          <w:i/>
        </w:rPr>
        <w:t>2011 Pole Attachment Order</w:t>
      </w:r>
      <w:r w:rsidRPr="00470634">
        <w:t>,</w:t>
      </w:r>
      <w:r w:rsidRPr="00A466F3">
        <w:rPr>
          <w:i/>
        </w:rPr>
        <w:t xml:space="preserve"> </w:t>
      </w:r>
      <w:r w:rsidRPr="00A466F3">
        <w:t>26 FCC Rcd at 5270, para. 61.</w:t>
      </w:r>
    </w:p>
  </w:footnote>
  <w:footnote w:id="34">
    <w:p w:rsidR="00967549" w:rsidRPr="00A466F3" w:rsidRDefault="00967549" w:rsidP="00455188">
      <w:pPr>
        <w:pStyle w:val="FootnoteText"/>
      </w:pPr>
      <w:r w:rsidRPr="00A466F3">
        <w:rPr>
          <w:rStyle w:val="FootnoteReference"/>
        </w:rPr>
        <w:footnoteRef/>
      </w:r>
      <w:r w:rsidRPr="00A466F3">
        <w:t xml:space="preserve"> Plaintiff’s Reply in Support of its Motion for Summary Judgment, and Opposition to Defendants’ Cross-Motion for Summary Judgment or for Alternative Relief at 19, </w:t>
      </w:r>
      <w:r w:rsidRPr="00A466F3">
        <w:rPr>
          <w:i/>
        </w:rPr>
        <w:t>BellSouth Telecommunications, LLC v. Louisville/Jefferson Cty. Metro Gov’t</w:t>
      </w:r>
      <w:r w:rsidRPr="00150EE3">
        <w:t>,</w:t>
      </w:r>
      <w:r w:rsidRPr="00A466F3">
        <w:rPr>
          <w:i/>
        </w:rPr>
        <w:t xml:space="preserve"> </w:t>
      </w:r>
      <w:r w:rsidRPr="00A466F3">
        <w:t>No. 3:16cv00124 (W.D. Ky. Oct. 31, 2016).</w:t>
      </w:r>
    </w:p>
  </w:footnote>
  <w:footnote w:id="35">
    <w:p w:rsidR="00967549" w:rsidRPr="00A466F3" w:rsidRDefault="00967549" w:rsidP="00455188">
      <w:pPr>
        <w:pStyle w:val="FootnoteText"/>
      </w:pPr>
      <w:r w:rsidRPr="00A466F3">
        <w:rPr>
          <w:rStyle w:val="FootnoteReference"/>
        </w:rPr>
        <w:footnoteRef/>
      </w:r>
      <w:r w:rsidRPr="00A466F3">
        <w:t xml:space="preserve"> Complaint at 3, </w:t>
      </w:r>
      <w:r w:rsidRPr="00A466F3">
        <w:rPr>
          <w:i/>
        </w:rPr>
        <w:t>Insight Kentucky Partners II, LP. v. Louisville/Jefferson Cty. Metro Gov’t</w:t>
      </w:r>
      <w:r w:rsidRPr="00150EE3">
        <w:t>,</w:t>
      </w:r>
      <w:r w:rsidRPr="00A466F3">
        <w:rPr>
          <w:i/>
        </w:rPr>
        <w:t xml:space="preserve"> </w:t>
      </w:r>
      <w:r w:rsidRPr="00A466F3">
        <w:t xml:space="preserve">No. 3:16cv00124 (W.D. Ky. Oct. 31, 2016) (according to Charter, the </w:t>
      </w:r>
      <w:r>
        <w:t xml:space="preserve">Louisville </w:t>
      </w:r>
      <w:r w:rsidRPr="00A466F3">
        <w:t>ordinance improperly shifts responsibility for negligent make-ready work from the new attacher (the entity performing the work) to Charter).</w:t>
      </w:r>
    </w:p>
  </w:footnote>
  <w:footnote w:id="36">
    <w:p w:rsidR="00967549" w:rsidRDefault="00967549" w:rsidP="00455188">
      <w:pPr>
        <w:pStyle w:val="FootnoteText"/>
      </w:pPr>
      <w:r>
        <w:rPr>
          <w:rStyle w:val="FootnoteReference"/>
        </w:rPr>
        <w:footnoteRef/>
      </w:r>
      <w:r>
        <w:t xml:space="preserve"> </w:t>
      </w:r>
      <w:r w:rsidRPr="00A466F3">
        <w:t>Nashville Ordinance No. BL2016-343, § 13.</w:t>
      </w:r>
      <w:r>
        <w:t>18.020 (D).</w:t>
      </w:r>
    </w:p>
  </w:footnote>
  <w:footnote w:id="37">
    <w:p w:rsidR="00967549" w:rsidRDefault="00967549" w:rsidP="00455188">
      <w:pPr>
        <w:pStyle w:val="FootnoteText"/>
      </w:pPr>
      <w:r>
        <w:rPr>
          <w:rStyle w:val="FootnoteReference"/>
        </w:rPr>
        <w:footnoteRef/>
      </w:r>
      <w:r>
        <w:t xml:space="preserve"> </w:t>
      </w:r>
      <w:r w:rsidRPr="00A466F3">
        <w:t>Louisville Ordinance No. O-427-15, § 116.72(D)</w:t>
      </w:r>
      <w:r>
        <w:t>(2).</w:t>
      </w:r>
    </w:p>
  </w:footnote>
  <w:footnote w:id="38">
    <w:p w:rsidR="00967549" w:rsidRPr="00A466F3" w:rsidRDefault="00967549" w:rsidP="00455188">
      <w:pPr>
        <w:autoSpaceDE w:val="0"/>
        <w:autoSpaceDN w:val="0"/>
        <w:adjustRightInd w:val="0"/>
        <w:spacing w:after="120"/>
        <w:rPr>
          <w:sz w:val="20"/>
        </w:rPr>
      </w:pPr>
      <w:r w:rsidRPr="00A466F3">
        <w:rPr>
          <w:rStyle w:val="FootnoteReference"/>
        </w:rPr>
        <w:footnoteRef/>
      </w:r>
      <w:r w:rsidRPr="00A466F3">
        <w:rPr>
          <w:sz w:val="20"/>
        </w:rPr>
        <w:t xml:space="preserve"> </w:t>
      </w:r>
      <w:r w:rsidRPr="00A466F3">
        <w:rPr>
          <w:i/>
          <w:sz w:val="20"/>
        </w:rPr>
        <w:t xml:space="preserve">See </w:t>
      </w:r>
      <w:r w:rsidRPr="00A466F3">
        <w:rPr>
          <w:sz w:val="20"/>
        </w:rPr>
        <w:t xml:space="preserve">Nashville Ordinance No. BL2016-343, Title 13 of the Metropolitan Code, § 13.18 </w:t>
      </w:r>
      <w:r w:rsidRPr="00A466F3">
        <w:rPr>
          <w:i/>
          <w:sz w:val="20"/>
        </w:rPr>
        <w:t>et seq.</w:t>
      </w:r>
      <w:r w:rsidRPr="00A466F3">
        <w:rPr>
          <w:sz w:val="20"/>
        </w:rPr>
        <w:t xml:space="preserve">; Louisville Ordinance No. O-427-15, Series 2015, Chapter 116 of the Louisville Metro Code, §§ 116.70(J), 116.72(D).  We note that both the Nashville and Louisville OTMR ordinances currently are being challenged by existing attachers in separate cases in federal district court.  </w:t>
      </w:r>
      <w:r w:rsidRPr="00A466F3">
        <w:rPr>
          <w:i/>
          <w:sz w:val="20"/>
        </w:rPr>
        <w:t>See BellSouth Telecommunications, LLC v. Metro. Gov’t of Nashville&amp; Davidson Cty., Tenn.</w:t>
      </w:r>
      <w:r w:rsidRPr="00470634">
        <w:rPr>
          <w:sz w:val="20"/>
        </w:rPr>
        <w:t>,</w:t>
      </w:r>
      <w:r w:rsidRPr="00A466F3">
        <w:rPr>
          <w:i/>
          <w:sz w:val="20"/>
        </w:rPr>
        <w:t xml:space="preserve"> </w:t>
      </w:r>
      <w:r w:rsidRPr="00A466F3">
        <w:rPr>
          <w:sz w:val="20"/>
        </w:rPr>
        <w:t xml:space="preserve">No. 3:16cv2794 (M.D. Tenn. 2016), </w:t>
      </w:r>
      <w:r w:rsidRPr="00A466F3">
        <w:rPr>
          <w:i/>
          <w:sz w:val="20"/>
        </w:rPr>
        <w:t>consolidated with</w:t>
      </w:r>
      <w:r w:rsidRPr="00A466F3">
        <w:rPr>
          <w:sz w:val="20"/>
        </w:rPr>
        <w:t xml:space="preserve"> </w:t>
      </w:r>
      <w:r w:rsidRPr="00A466F3">
        <w:rPr>
          <w:i/>
          <w:sz w:val="20"/>
        </w:rPr>
        <w:t>Comcast of Nashville I, LLC, v. Metro. Gov’t of Nashville &amp; Davidson Cty, Tenn.</w:t>
      </w:r>
      <w:r w:rsidRPr="00470634">
        <w:rPr>
          <w:sz w:val="20"/>
        </w:rPr>
        <w:t>,</w:t>
      </w:r>
      <w:r w:rsidRPr="00A466F3">
        <w:rPr>
          <w:i/>
          <w:sz w:val="20"/>
        </w:rPr>
        <w:t xml:space="preserve"> </w:t>
      </w:r>
      <w:r w:rsidRPr="00A466F3">
        <w:rPr>
          <w:sz w:val="20"/>
        </w:rPr>
        <w:t xml:space="preserve">No. 3:16cv2794 (M.D. Tenn. 2016); </w:t>
      </w:r>
      <w:r w:rsidRPr="00A466F3">
        <w:rPr>
          <w:i/>
          <w:sz w:val="20"/>
        </w:rPr>
        <w:t>BellSouth Telecommunications, LLC v. Louisville/Jefferson Cty. Metro Gov’t</w:t>
      </w:r>
      <w:r w:rsidRPr="00470634">
        <w:rPr>
          <w:sz w:val="20"/>
        </w:rPr>
        <w:t>,</w:t>
      </w:r>
      <w:r w:rsidRPr="00A466F3">
        <w:rPr>
          <w:i/>
          <w:sz w:val="20"/>
        </w:rPr>
        <w:t xml:space="preserve"> </w:t>
      </w:r>
      <w:r w:rsidRPr="00A466F3">
        <w:rPr>
          <w:sz w:val="20"/>
        </w:rPr>
        <w:t xml:space="preserve">No. 3:16cv00124 (W.D. Ky. 2016), </w:t>
      </w:r>
      <w:r w:rsidRPr="00A466F3">
        <w:rPr>
          <w:i/>
          <w:sz w:val="20"/>
        </w:rPr>
        <w:t>consolidated with</w:t>
      </w:r>
      <w:r w:rsidRPr="00A466F3">
        <w:rPr>
          <w:sz w:val="20"/>
        </w:rPr>
        <w:t xml:space="preserve"> </w:t>
      </w:r>
      <w:r w:rsidRPr="00A466F3">
        <w:rPr>
          <w:i/>
          <w:sz w:val="20"/>
        </w:rPr>
        <w:t>Insight Kentucky Partners II, L.P. v. Louisville/Jefferson Cty. Metro Gov’t</w:t>
      </w:r>
      <w:r w:rsidRPr="00470634">
        <w:rPr>
          <w:i/>
          <w:sz w:val="20"/>
          <w:u w:val="single"/>
        </w:rPr>
        <w:t xml:space="preserve">, </w:t>
      </w:r>
      <w:r w:rsidRPr="00A466F3">
        <w:rPr>
          <w:sz w:val="20"/>
        </w:rPr>
        <w:t>No. 3:16cv00124 (W.D. Ky. 2016).</w:t>
      </w:r>
    </w:p>
  </w:footnote>
  <w:footnote w:id="39">
    <w:p w:rsidR="00967549" w:rsidRPr="00A466F3" w:rsidRDefault="00967549" w:rsidP="00455188">
      <w:pPr>
        <w:pStyle w:val="FootnoteText"/>
      </w:pPr>
      <w:r w:rsidRPr="00A466F3">
        <w:rPr>
          <w:rStyle w:val="FootnoteReference"/>
        </w:rPr>
        <w:footnoteRef/>
      </w:r>
      <w:r w:rsidRPr="00A466F3">
        <w:t xml:space="preserve"> Federal Communications Commission, Connecting America: The National Broadband Plan at 111, Recommendation 6.2 (2010), </w:t>
      </w:r>
      <w:hyperlink r:id="rId2" w:history="1">
        <w:r w:rsidRPr="00A466F3">
          <w:rPr>
            <w:rStyle w:val="Hyperlink"/>
          </w:rPr>
          <w:t>https://www.fcc.gov/general/national-broadband-plan</w:t>
        </w:r>
      </w:hyperlink>
      <w:r w:rsidRPr="00A466F3">
        <w:t>.</w:t>
      </w:r>
    </w:p>
  </w:footnote>
  <w:footnote w:id="40">
    <w:p w:rsidR="00967549" w:rsidRDefault="00967549" w:rsidP="00455188">
      <w:pPr>
        <w:spacing w:after="120"/>
      </w:pPr>
      <w:r w:rsidRPr="00721BEB">
        <w:rPr>
          <w:rStyle w:val="FootnoteReference"/>
        </w:rPr>
        <w:footnoteRef/>
      </w:r>
      <w:r w:rsidRPr="00721BEB">
        <w:rPr>
          <w:sz w:val="20"/>
        </w:rPr>
        <w:t xml:space="preserve"> F</w:t>
      </w:r>
      <w:r>
        <w:rPr>
          <w:sz w:val="20"/>
        </w:rPr>
        <w:t xml:space="preserve">iber to the Home Council, </w:t>
      </w:r>
      <w:r w:rsidRPr="00721BEB">
        <w:rPr>
          <w:i/>
          <w:sz w:val="20"/>
        </w:rPr>
        <w:t>Role of State and Local Governments in Simplifying the Make-Ready Process for Pole Attachments</w:t>
      </w:r>
      <w:r w:rsidRPr="00721BEB">
        <w:rPr>
          <w:sz w:val="20"/>
        </w:rPr>
        <w:t xml:space="preserve">, </w:t>
      </w:r>
      <w:r>
        <w:rPr>
          <w:sz w:val="20"/>
        </w:rPr>
        <w:t>at 2 (</w:t>
      </w:r>
      <w:r w:rsidRPr="00721BEB">
        <w:rPr>
          <w:sz w:val="20"/>
        </w:rPr>
        <w:t>Nov. 2015</w:t>
      </w:r>
      <w:r>
        <w:rPr>
          <w:sz w:val="20"/>
        </w:rPr>
        <w:t>)</w:t>
      </w:r>
      <w:r w:rsidRPr="00721BEB">
        <w:rPr>
          <w:sz w:val="20"/>
        </w:rPr>
        <w:t xml:space="preserve">, </w:t>
      </w:r>
      <w:hyperlink r:id="rId3" w:history="1">
        <w:r w:rsidRPr="00721BEB">
          <w:rPr>
            <w:rStyle w:val="Hyperlink"/>
            <w:sz w:val="20"/>
          </w:rPr>
          <w:t>http://www.ct.gov/broadband/lib/broadband/ctgig_project/attachment_c__ftth_council_makereadywhitepaper25october2015.pdf</w:t>
        </w:r>
      </w:hyperlink>
      <w:r w:rsidRPr="00721BEB">
        <w:rPr>
          <w:sz w:val="20"/>
        </w:rPr>
        <w:t>.</w:t>
      </w:r>
    </w:p>
  </w:footnote>
  <w:footnote w:id="41">
    <w:p w:rsidR="00967549" w:rsidRDefault="00967549" w:rsidP="00455188">
      <w:pPr>
        <w:pStyle w:val="FootnoteText"/>
      </w:pPr>
      <w:r>
        <w:rPr>
          <w:rStyle w:val="FootnoteReference"/>
        </w:rPr>
        <w:footnoteRef/>
      </w:r>
      <w:r>
        <w:t xml:space="preserve"> </w:t>
      </w:r>
      <w:r w:rsidRPr="00A466F3">
        <w:t>Nashville Ordinance No. BL2016-343, § 13.</w:t>
      </w:r>
      <w:r>
        <w:t>18.020.</w:t>
      </w:r>
    </w:p>
  </w:footnote>
  <w:footnote w:id="42">
    <w:p w:rsidR="00967549" w:rsidRDefault="00967549" w:rsidP="00455188">
      <w:pPr>
        <w:pStyle w:val="FootnoteText"/>
      </w:pPr>
      <w:r>
        <w:rPr>
          <w:rStyle w:val="FootnoteReference"/>
        </w:rPr>
        <w:footnoteRef/>
      </w:r>
      <w:r>
        <w:t xml:space="preserve"> </w:t>
      </w:r>
      <w:r>
        <w:rPr>
          <w:i/>
        </w:rPr>
        <w:t xml:space="preserve">See </w:t>
      </w:r>
      <w:r w:rsidRPr="00CF6F3F">
        <w:t xml:space="preserve">Louisville Ordinance </w:t>
      </w:r>
      <w:r>
        <w:t xml:space="preserve">No. O-427-15, § 116.72(D)(2).  </w:t>
      </w:r>
    </w:p>
  </w:footnote>
  <w:footnote w:id="43">
    <w:p w:rsidR="00967549" w:rsidRDefault="00967549" w:rsidP="00455188">
      <w:pPr>
        <w:pStyle w:val="FootnoteText"/>
      </w:pPr>
      <w:r>
        <w:rPr>
          <w:rStyle w:val="FootnoteReference"/>
        </w:rPr>
        <w:footnoteRef/>
      </w:r>
      <w:r>
        <w:t xml:space="preserve"> </w:t>
      </w:r>
      <w:r>
        <w:rPr>
          <w:i/>
        </w:rPr>
        <w:t xml:space="preserve">See </w:t>
      </w:r>
      <w:r>
        <w:t xml:space="preserve">CPS Energy, </w:t>
      </w:r>
      <w:r>
        <w:rPr>
          <w:i/>
        </w:rPr>
        <w:t>Pole Attachment Standards</w:t>
      </w:r>
      <w:r w:rsidRPr="00470634">
        <w:t>,</w:t>
      </w:r>
      <w:r>
        <w:rPr>
          <w:i/>
        </w:rPr>
        <w:t xml:space="preserve"> </w:t>
      </w:r>
      <w:r>
        <w:t xml:space="preserve">at 55-69 (issued May 6, 2016), </w:t>
      </w:r>
      <w:hyperlink r:id="rId4" w:history="1">
        <w:r w:rsidRPr="0082648A">
          <w:rPr>
            <w:rStyle w:val="Hyperlink"/>
          </w:rPr>
          <w:t>https://www.cpsenergy.com/content/dam/corporate/en/Documents/PoleAttachments/Pole%20Attachment%20Standards.pdf</w:t>
        </w:r>
      </w:hyperlink>
      <w:r>
        <w:t>.</w:t>
      </w:r>
    </w:p>
  </w:footnote>
  <w:footnote w:id="44">
    <w:p w:rsidR="00967549" w:rsidRPr="008152B7" w:rsidRDefault="00967549" w:rsidP="00455188">
      <w:pPr>
        <w:pStyle w:val="FootnoteText"/>
      </w:pPr>
      <w:r>
        <w:rPr>
          <w:rStyle w:val="FootnoteReference"/>
        </w:rPr>
        <w:footnoteRef/>
      </w:r>
      <w:r>
        <w:t xml:space="preserve"> </w:t>
      </w:r>
      <w:r>
        <w:rPr>
          <w:i/>
        </w:rPr>
        <w:t xml:space="preserve">Id. </w:t>
      </w:r>
      <w:r>
        <w:t xml:space="preserve">at 68, para. 5(g).  Any complex make-ready work must be completed by the new attacher within 30 days after notice is provided to affected existing attachers.  </w:t>
      </w:r>
      <w:r>
        <w:rPr>
          <w:i/>
        </w:rPr>
        <w:t xml:space="preserve">Id. </w:t>
      </w:r>
      <w:r>
        <w:t>at 69, para. 6.</w:t>
      </w:r>
    </w:p>
  </w:footnote>
  <w:footnote w:id="45">
    <w:p w:rsidR="00967549" w:rsidRPr="001E3324" w:rsidRDefault="00967549" w:rsidP="00455188">
      <w:pPr>
        <w:pStyle w:val="FootnoteText"/>
      </w:pPr>
      <w:r>
        <w:rPr>
          <w:rStyle w:val="FootnoteReference"/>
        </w:rPr>
        <w:footnoteRef/>
      </w:r>
      <w:r>
        <w:t xml:space="preserve"> </w:t>
      </w:r>
      <w:r>
        <w:rPr>
          <w:i/>
        </w:rPr>
        <w:t xml:space="preserve">See </w:t>
      </w:r>
      <w:r>
        <w:t xml:space="preserve">Jamie McGee, </w:t>
      </w:r>
      <w:r>
        <w:rPr>
          <w:i/>
        </w:rPr>
        <w:t>Google Fiber plan faces new hurdles</w:t>
      </w:r>
      <w:r w:rsidRPr="00470634">
        <w:t>,</w:t>
      </w:r>
      <w:r>
        <w:rPr>
          <w:i/>
        </w:rPr>
        <w:t xml:space="preserve"> </w:t>
      </w:r>
      <w:r>
        <w:t xml:space="preserve">The Tennessean (Sep. 14, 2016), </w:t>
      </w:r>
      <w:hyperlink r:id="rId5" w:history="1">
        <w:r w:rsidRPr="001D46F3">
          <w:rPr>
            <w:rStyle w:val="Hyperlink"/>
          </w:rPr>
          <w:t>http://www.tennessean.com/story/money/2016/09/14/google-fiber-plan-faces-new-hurdles/90368764/</w:t>
        </w:r>
      </w:hyperlink>
      <w:r>
        <w:t xml:space="preserve">; Nashville Resolution No. RS2016-380, sponsored by Nashville City Councilwoman Sheri Weiner (Sep. 20, 2016), </w:t>
      </w:r>
      <w:hyperlink r:id="rId6" w:history="1">
        <w:r w:rsidRPr="00E20F0E">
          <w:rPr>
            <w:rStyle w:val="Hyperlink"/>
          </w:rPr>
          <w:t>http://www.nashville.gov/mc/resolutions/term_2015_2019/rs2016_380.htm</w:t>
        </w:r>
      </w:hyperlink>
      <w:r>
        <w:t>.</w:t>
      </w:r>
    </w:p>
  </w:footnote>
  <w:footnote w:id="46">
    <w:p w:rsidR="00967549" w:rsidRPr="00CA0200" w:rsidRDefault="00967549" w:rsidP="00455188">
      <w:pPr>
        <w:pStyle w:val="FootnoteText"/>
      </w:pPr>
      <w:r>
        <w:rPr>
          <w:rStyle w:val="FootnoteReference"/>
        </w:rPr>
        <w:footnoteRef/>
      </w:r>
      <w:r>
        <w:t xml:space="preserve"> </w:t>
      </w:r>
      <w:r w:rsidRPr="00A466F3">
        <w:rPr>
          <w:i/>
        </w:rPr>
        <w:t xml:space="preserve">See </w:t>
      </w:r>
      <w:r>
        <w:t xml:space="preserve">Letter from Thomas Cohen, Counsel for the American Cable Association, to Marlene H. Dortch, Secretary, FCC, WT Docket No. 16-421, et al., at 3-4 (filed April 3, 2017).  ACA members also submit that there are instances where accessing infrastructure owned by municipalities, electric cooperatives, and railroads is cost prohibitive due to the pole attachment rates charged.  </w:t>
      </w:r>
      <w:r>
        <w:rPr>
          <w:i/>
        </w:rPr>
        <w:t>See id.</w:t>
      </w:r>
    </w:p>
  </w:footnote>
  <w:footnote w:id="47">
    <w:p w:rsidR="00967549" w:rsidRPr="00A466F3" w:rsidRDefault="00967549" w:rsidP="00455188">
      <w:pPr>
        <w:pStyle w:val="FootnoteText"/>
      </w:pPr>
      <w:r w:rsidRPr="00A466F3">
        <w:rPr>
          <w:rStyle w:val="FootnoteReference"/>
        </w:rPr>
        <w:footnoteRef/>
      </w:r>
      <w:r w:rsidRPr="00A466F3">
        <w:t xml:space="preserve"> 47 U.S.C. § 224(b)(1).</w:t>
      </w:r>
    </w:p>
  </w:footnote>
  <w:footnote w:id="48">
    <w:p w:rsidR="00967549" w:rsidRPr="00A466F3" w:rsidRDefault="00967549" w:rsidP="00455188">
      <w:pPr>
        <w:pStyle w:val="FootnoteText"/>
      </w:pPr>
      <w:r w:rsidRPr="00A466F3">
        <w:rPr>
          <w:rStyle w:val="FootnoteReference"/>
        </w:rPr>
        <w:footnoteRef/>
      </w:r>
      <w:r w:rsidRPr="00A466F3">
        <w:t xml:space="preserve"> </w:t>
      </w:r>
      <w:r w:rsidRPr="00A466F3">
        <w:rPr>
          <w:i/>
        </w:rPr>
        <w:t xml:space="preserve">See </w:t>
      </w:r>
      <w:r>
        <w:t>Letter from Chip Pickering, CEO, INCOMPAS, to Ajit Pai, Chairman, FCC, WT Docket No. 16-138 et al., at 3 (filed Feb. 3, 2017) (</w:t>
      </w:r>
      <w:r w:rsidRPr="00A466F3">
        <w:t xml:space="preserve">INCOMPAS </w:t>
      </w:r>
      <w:r w:rsidRPr="00A466F3">
        <w:rPr>
          <w:i/>
        </w:rPr>
        <w:t>Ex Parte</w:t>
      </w:r>
      <w:r w:rsidRPr="00A466F3">
        <w:t xml:space="preserve"> Letter</w:t>
      </w:r>
      <w:r>
        <w:t>)</w:t>
      </w:r>
      <w:r w:rsidRPr="00A466F3">
        <w:t xml:space="preserve">.   </w:t>
      </w:r>
    </w:p>
  </w:footnote>
  <w:footnote w:id="49">
    <w:p w:rsidR="00967549" w:rsidRPr="00A466F3" w:rsidRDefault="00967549" w:rsidP="00455188">
      <w:pPr>
        <w:pStyle w:val="FootnoteText"/>
      </w:pPr>
      <w:r w:rsidRPr="00A466F3">
        <w:rPr>
          <w:rStyle w:val="FootnoteReference"/>
        </w:rPr>
        <w:footnoteRef/>
      </w:r>
      <w:r w:rsidRPr="00A466F3">
        <w:t xml:space="preserve"> </w:t>
      </w:r>
      <w:r w:rsidRPr="00A466F3">
        <w:rPr>
          <w:i/>
        </w:rPr>
        <w:t>Id.</w:t>
      </w:r>
    </w:p>
  </w:footnote>
  <w:footnote w:id="50">
    <w:p w:rsidR="00967549" w:rsidRPr="00A466F3" w:rsidRDefault="00967549" w:rsidP="00455188">
      <w:pPr>
        <w:pStyle w:val="FootnoteText"/>
      </w:pPr>
      <w:r w:rsidRPr="00A466F3">
        <w:rPr>
          <w:rStyle w:val="FootnoteReference"/>
        </w:rPr>
        <w:footnoteRef/>
      </w:r>
      <w:r w:rsidRPr="00A466F3">
        <w:t xml:space="preserve"> </w:t>
      </w:r>
      <w:r w:rsidRPr="00A466F3">
        <w:rPr>
          <w:i/>
        </w:rPr>
        <w:t>2011 Pole Attachment Order</w:t>
      </w:r>
      <w:r w:rsidRPr="00A466F3">
        <w:t xml:space="preserve">, 26 FCC Rcd at 5279, para. 86 &amp; n.252. </w:t>
      </w:r>
    </w:p>
  </w:footnote>
  <w:footnote w:id="51">
    <w:p w:rsidR="00967549" w:rsidRPr="00A466F3" w:rsidRDefault="00967549" w:rsidP="00455188">
      <w:pPr>
        <w:widowControl/>
        <w:autoSpaceDE w:val="0"/>
        <w:autoSpaceDN w:val="0"/>
        <w:adjustRightInd w:val="0"/>
        <w:spacing w:after="120"/>
        <w:rPr>
          <w:sz w:val="20"/>
        </w:rPr>
      </w:pPr>
      <w:r w:rsidRPr="00A466F3">
        <w:rPr>
          <w:rStyle w:val="FootnoteReference"/>
        </w:rPr>
        <w:footnoteRef/>
      </w:r>
      <w:r w:rsidRPr="00A466F3">
        <w:rPr>
          <w:sz w:val="20"/>
        </w:rPr>
        <w:t xml:space="preserve"> </w:t>
      </w:r>
      <w:r w:rsidRPr="00A466F3">
        <w:rPr>
          <w:i/>
          <w:iCs/>
          <w:snapToGrid/>
          <w:kern w:val="0"/>
          <w:sz w:val="20"/>
        </w:rPr>
        <w:t>Knology, Inc. v. Georgia Power Co.</w:t>
      </w:r>
      <w:r w:rsidRPr="00A466F3">
        <w:rPr>
          <w:snapToGrid/>
          <w:kern w:val="0"/>
          <w:sz w:val="20"/>
        </w:rPr>
        <w:t xml:space="preserve">, Memorandum Opinion and Order, 18 FCC Rcd 24615, 24625, para. 26 (2003); </w:t>
      </w:r>
      <w:r w:rsidRPr="00A466F3">
        <w:rPr>
          <w:i/>
          <w:snapToGrid/>
          <w:kern w:val="0"/>
          <w:sz w:val="20"/>
        </w:rPr>
        <w:t xml:space="preserve">see also </w:t>
      </w:r>
      <w:r w:rsidRPr="00A466F3">
        <w:rPr>
          <w:i/>
          <w:iCs/>
          <w:snapToGrid/>
          <w:kern w:val="0"/>
          <w:sz w:val="20"/>
        </w:rPr>
        <w:t>Kansas City Cable Partners d/b/a Time Warner Cable of Kansas City v. Kansas City Power &amp; Light Co</w:t>
      </w:r>
      <w:r w:rsidRPr="00A466F3">
        <w:rPr>
          <w:snapToGrid/>
          <w:kern w:val="0"/>
          <w:sz w:val="20"/>
        </w:rPr>
        <w:t>., Consolidated Order, 14 FCC Rcd 11599 (Cable Serv. Bur. 1999).</w:t>
      </w:r>
    </w:p>
  </w:footnote>
  <w:footnote w:id="52">
    <w:p w:rsidR="00967549" w:rsidRPr="00B67B70" w:rsidRDefault="00967549" w:rsidP="00455188">
      <w:pPr>
        <w:pStyle w:val="ParaNum"/>
        <w:numPr>
          <w:ilvl w:val="0"/>
          <w:numId w:val="0"/>
        </w:numPr>
        <w:rPr>
          <w:sz w:val="20"/>
        </w:rPr>
      </w:pPr>
      <w:r w:rsidRPr="00A466F3">
        <w:rPr>
          <w:rStyle w:val="FootnoteReference"/>
        </w:rPr>
        <w:footnoteRef/>
      </w:r>
      <w:r w:rsidRPr="00B67B70">
        <w:rPr>
          <w:sz w:val="20"/>
        </w:rPr>
        <w:t xml:space="preserve"> 47 CFR § </w:t>
      </w:r>
      <w:r>
        <w:rPr>
          <w:sz w:val="20"/>
        </w:rPr>
        <w:t>1.</w:t>
      </w:r>
      <w:r w:rsidRPr="00B67B70">
        <w:rPr>
          <w:sz w:val="20"/>
        </w:rPr>
        <w:t xml:space="preserve">1416(b); </w:t>
      </w:r>
      <w:r w:rsidRPr="00B67B70">
        <w:rPr>
          <w:i/>
          <w:sz w:val="20"/>
        </w:rPr>
        <w:t>Implementation of the Local Competition Provisions in the Telecommunications Act of 1996</w:t>
      </w:r>
      <w:r w:rsidRPr="00B67B70">
        <w:rPr>
          <w:sz w:val="20"/>
        </w:rPr>
        <w:t xml:space="preserve">, Report and Order, </w:t>
      </w:r>
      <w:r>
        <w:rPr>
          <w:sz w:val="20"/>
        </w:rPr>
        <w:t xml:space="preserve">CC Docket Nos. 96-98, 95-185, </w:t>
      </w:r>
      <w:r w:rsidRPr="00B67B70">
        <w:rPr>
          <w:sz w:val="20"/>
        </w:rPr>
        <w:t>11 FCC Rcd 15499, 16097, para. 1214 (1996) (</w:t>
      </w:r>
      <w:r w:rsidRPr="00B67B70">
        <w:rPr>
          <w:i/>
          <w:sz w:val="20"/>
        </w:rPr>
        <w:t>1996 Local Competition Order</w:t>
      </w:r>
      <w:r w:rsidRPr="00B67B70">
        <w:rPr>
          <w:sz w:val="20"/>
        </w:rPr>
        <w:t xml:space="preserve">).  The proportionate share of the costs attributable to the subsequent attacher are reduced to take into account depreciation to the pole that occurs after the modification.  </w:t>
      </w:r>
      <w:r w:rsidRPr="00B67B70">
        <w:rPr>
          <w:i/>
          <w:sz w:val="20"/>
        </w:rPr>
        <w:t>Id.</w:t>
      </w:r>
    </w:p>
  </w:footnote>
  <w:footnote w:id="53">
    <w:p w:rsidR="00967549" w:rsidRPr="00A466F3" w:rsidRDefault="00967549" w:rsidP="00455188">
      <w:pPr>
        <w:pStyle w:val="FootnoteText"/>
      </w:pPr>
      <w:r w:rsidRPr="00A466F3">
        <w:rPr>
          <w:rStyle w:val="FootnoteReference"/>
        </w:rPr>
        <w:footnoteRef/>
      </w:r>
      <w:r w:rsidRPr="00A466F3">
        <w:t xml:space="preserve"> </w:t>
      </w:r>
      <w:r w:rsidRPr="00A466F3">
        <w:rPr>
          <w:i/>
        </w:rPr>
        <w:t>1996 Local Competition Order</w:t>
      </w:r>
      <w:r w:rsidRPr="00470634">
        <w:t>,</w:t>
      </w:r>
      <w:r w:rsidRPr="00A466F3">
        <w:rPr>
          <w:i/>
        </w:rPr>
        <w:t xml:space="preserve"> </w:t>
      </w:r>
      <w:r w:rsidRPr="00A466F3">
        <w:t>11 FCC Rcd at 16097, para. 1214.</w:t>
      </w:r>
    </w:p>
  </w:footnote>
  <w:footnote w:id="54">
    <w:p w:rsidR="00967549" w:rsidRPr="00B17EA1" w:rsidRDefault="00967549" w:rsidP="00455188">
      <w:pPr>
        <w:pStyle w:val="NormalWeb"/>
        <w:spacing w:after="120"/>
        <w:rPr>
          <w:color w:val="000000"/>
          <w:sz w:val="20"/>
          <w:szCs w:val="20"/>
        </w:rPr>
      </w:pPr>
      <w:r w:rsidRPr="003A79DF">
        <w:rPr>
          <w:rStyle w:val="FootnoteReference"/>
          <w:szCs w:val="20"/>
        </w:rPr>
        <w:footnoteRef/>
      </w:r>
      <w:r w:rsidRPr="003A79DF">
        <w:rPr>
          <w:sz w:val="20"/>
          <w:szCs w:val="20"/>
        </w:rPr>
        <w:t xml:space="preserve"> </w:t>
      </w:r>
      <w:r>
        <w:rPr>
          <w:i/>
          <w:sz w:val="20"/>
          <w:szCs w:val="20"/>
        </w:rPr>
        <w:t xml:space="preserve">See </w:t>
      </w:r>
      <w:r w:rsidRPr="003A79DF">
        <w:rPr>
          <w:i/>
          <w:sz w:val="20"/>
          <w:szCs w:val="20"/>
        </w:rPr>
        <w:t>Adoption of Rules for the Regulation of Cable Television Pole Attachments</w:t>
      </w:r>
      <w:r w:rsidRPr="003A79DF">
        <w:rPr>
          <w:sz w:val="20"/>
          <w:szCs w:val="20"/>
        </w:rPr>
        <w:t xml:space="preserve">, </w:t>
      </w:r>
      <w:r>
        <w:rPr>
          <w:sz w:val="20"/>
          <w:szCs w:val="20"/>
        </w:rPr>
        <w:t xml:space="preserve">CC Docket No. 78-144, </w:t>
      </w:r>
      <w:r w:rsidRPr="003A79DF">
        <w:rPr>
          <w:sz w:val="20"/>
          <w:szCs w:val="20"/>
        </w:rPr>
        <w:t>Second Report and Order, 72 FCC 2d 59, 72, para. 27 (1979)</w:t>
      </w:r>
      <w:r>
        <w:rPr>
          <w:sz w:val="20"/>
          <w:szCs w:val="20"/>
        </w:rPr>
        <w:t xml:space="preserve">; </w:t>
      </w:r>
      <w:r>
        <w:rPr>
          <w:i/>
          <w:sz w:val="20"/>
          <w:szCs w:val="20"/>
        </w:rPr>
        <w:t>Florida Cable Telecom. Assn., Inc. et al. v. Gulf Power Co.</w:t>
      </w:r>
      <w:r>
        <w:rPr>
          <w:sz w:val="20"/>
          <w:szCs w:val="20"/>
        </w:rPr>
        <w:t>, EB Docket No. 04-381, Decision, 26 FCC Rcd 6452, 6455-56, para. 9 (2011)</w:t>
      </w:r>
      <w:r w:rsidRPr="003A79DF">
        <w:rPr>
          <w:sz w:val="20"/>
          <w:szCs w:val="20"/>
        </w:rPr>
        <w:t>.</w:t>
      </w:r>
    </w:p>
  </w:footnote>
  <w:footnote w:id="55">
    <w:p w:rsidR="00967549" w:rsidRDefault="00967549" w:rsidP="00455188">
      <w:pPr>
        <w:pStyle w:val="FootnoteText"/>
      </w:pPr>
      <w:r>
        <w:rPr>
          <w:rStyle w:val="FootnoteReference"/>
        </w:rPr>
        <w:footnoteRef/>
      </w:r>
      <w:r>
        <w:t xml:space="preserve"> </w:t>
      </w:r>
      <w:r>
        <w:rPr>
          <w:i/>
        </w:rPr>
        <w:t xml:space="preserve">Amendment of Rules and Policies Governing Pole </w:t>
      </w:r>
      <w:r w:rsidRPr="00C81364">
        <w:rPr>
          <w:i/>
        </w:rPr>
        <w:t>Attachments</w:t>
      </w:r>
      <w:r>
        <w:t xml:space="preserve">, CS Docket No. 97-98, </w:t>
      </w:r>
      <w:r w:rsidRPr="00C81364">
        <w:t>Report</w:t>
      </w:r>
      <w:r>
        <w:t xml:space="preserve"> and Order, 15 FCC Rcd 6453, 6472-73, para. 28 (2000);</w:t>
      </w:r>
      <w:r w:rsidRPr="00803B84">
        <w:rPr>
          <w:i/>
        </w:rPr>
        <w:t xml:space="preserve"> </w:t>
      </w:r>
      <w:r>
        <w:rPr>
          <w:i/>
        </w:rPr>
        <w:t xml:space="preserve">Amendment of Commission’s Rules and Policies Governing Pole Attachments; Implementation of Section 703(E) of the Telecommunications Act of </w:t>
      </w:r>
      <w:r w:rsidRPr="00C81364">
        <w:rPr>
          <w:i/>
        </w:rPr>
        <w:t>1996</w:t>
      </w:r>
      <w:r>
        <w:t xml:space="preserve">, CS Docket Nos. 97-98, 97-151, </w:t>
      </w:r>
      <w:r w:rsidRPr="00C81364">
        <w:t>Consolidated</w:t>
      </w:r>
      <w:r>
        <w:t xml:space="preserve"> Partial Order on Reconsideration, 16 FCC Rcd 12103, 12118, n.120 (2001) (</w:t>
      </w:r>
      <w:r>
        <w:rPr>
          <w:i/>
        </w:rPr>
        <w:t>Pole Attachment Fees Recon Order</w:t>
      </w:r>
      <w:r>
        <w:t>).</w:t>
      </w:r>
    </w:p>
  </w:footnote>
  <w:footnote w:id="56">
    <w:p w:rsidR="00967549" w:rsidRPr="00C81364" w:rsidRDefault="00967549" w:rsidP="00455188">
      <w:pPr>
        <w:pStyle w:val="FootnoteText"/>
      </w:pPr>
      <w:r>
        <w:rPr>
          <w:rStyle w:val="FootnoteReference"/>
        </w:rPr>
        <w:footnoteRef/>
      </w:r>
      <w:r>
        <w:t xml:space="preserve"> </w:t>
      </w:r>
      <w:r>
        <w:rPr>
          <w:i/>
        </w:rPr>
        <w:t>Pole Attachment Fees Recon Order</w:t>
      </w:r>
      <w:r>
        <w:t>, 16 FCC Rcd at 12118, para. 24.</w:t>
      </w:r>
    </w:p>
  </w:footnote>
  <w:footnote w:id="57">
    <w:p w:rsidR="00967549" w:rsidRDefault="00967549" w:rsidP="00455188">
      <w:pPr>
        <w:pStyle w:val="FootnoteText"/>
      </w:pPr>
      <w:r>
        <w:rPr>
          <w:rStyle w:val="FootnoteReference"/>
        </w:rPr>
        <w:footnoteRef/>
      </w:r>
      <w:r>
        <w:t xml:space="preserve"> 47 CFR §§ 1.1409(c), (e).</w:t>
      </w:r>
    </w:p>
  </w:footnote>
  <w:footnote w:id="58">
    <w:p w:rsidR="00967549" w:rsidRPr="00D03459" w:rsidRDefault="00967549" w:rsidP="00455188">
      <w:pPr>
        <w:widowControl/>
        <w:autoSpaceDE w:val="0"/>
        <w:autoSpaceDN w:val="0"/>
        <w:adjustRightInd w:val="0"/>
        <w:spacing w:after="120"/>
        <w:rPr>
          <w:sz w:val="20"/>
        </w:rPr>
      </w:pPr>
      <w:r w:rsidRPr="00D03459">
        <w:rPr>
          <w:rStyle w:val="FootnoteReference"/>
        </w:rPr>
        <w:footnoteRef/>
      </w:r>
      <w:r w:rsidRPr="00D03459">
        <w:rPr>
          <w:sz w:val="20"/>
        </w:rPr>
        <w:t xml:space="preserve"> </w:t>
      </w:r>
      <w:r w:rsidRPr="00D03459">
        <w:rPr>
          <w:i/>
          <w:sz w:val="20"/>
        </w:rPr>
        <w:t>2011 Pole Attachment Order</w:t>
      </w:r>
      <w:r w:rsidRPr="00470634">
        <w:rPr>
          <w:sz w:val="20"/>
        </w:rPr>
        <w:t>,</w:t>
      </w:r>
      <w:r w:rsidRPr="00D03459">
        <w:rPr>
          <w:i/>
          <w:sz w:val="20"/>
        </w:rPr>
        <w:t xml:space="preserve"> </w:t>
      </w:r>
      <w:r w:rsidRPr="00D03459">
        <w:rPr>
          <w:sz w:val="20"/>
        </w:rPr>
        <w:t>26 FCC Rcd at 5304, para. 149</w:t>
      </w:r>
      <w:r>
        <w:rPr>
          <w:snapToGrid/>
          <w:kern w:val="0"/>
          <w:sz w:val="20"/>
        </w:rPr>
        <w:t>.</w:t>
      </w:r>
    </w:p>
  </w:footnote>
  <w:footnote w:id="59">
    <w:p w:rsidR="00967549" w:rsidRPr="00C81364" w:rsidRDefault="00967549" w:rsidP="00455188">
      <w:pPr>
        <w:pStyle w:val="FootnoteText"/>
      </w:pPr>
      <w:r>
        <w:rPr>
          <w:rStyle w:val="FootnoteReference"/>
        </w:rPr>
        <w:footnoteRef/>
      </w:r>
      <w:r>
        <w:t xml:space="preserve"> </w:t>
      </w:r>
      <w:r>
        <w:rPr>
          <w:i/>
        </w:rPr>
        <w:t>Compare</w:t>
      </w:r>
      <w:r>
        <w:t xml:space="preserve"> 47 U.S.C. § 224(d) </w:t>
      </w:r>
      <w:r>
        <w:rPr>
          <w:i/>
        </w:rPr>
        <w:t>with</w:t>
      </w:r>
      <w:r>
        <w:t xml:space="preserve"> 47 U.S.C. § 224(e).</w:t>
      </w:r>
    </w:p>
  </w:footnote>
  <w:footnote w:id="60">
    <w:p w:rsidR="00967549" w:rsidRPr="00C81364" w:rsidRDefault="00967549" w:rsidP="00455188">
      <w:pPr>
        <w:pStyle w:val="FootnoteText"/>
      </w:pPr>
      <w:r>
        <w:rPr>
          <w:rStyle w:val="FootnoteReference"/>
        </w:rPr>
        <w:footnoteRef/>
      </w:r>
      <w:r>
        <w:t xml:space="preserve"> </w:t>
      </w:r>
      <w:r w:rsidRPr="00B17EA1">
        <w:rPr>
          <w:i/>
        </w:rPr>
        <w:t>Implementation of Section 224 of the Act; A National Broadband Plan for Our Future</w:t>
      </w:r>
      <w:r>
        <w:t>, WC Docket No. 07-245, GN Docket No. 09-51, Order on Reconsideration, 30 FCC Rcd 13731, 13742, para. 37 (2015).</w:t>
      </w:r>
    </w:p>
  </w:footnote>
  <w:footnote w:id="61">
    <w:p w:rsidR="00967549" w:rsidRPr="00C81364" w:rsidRDefault="00967549" w:rsidP="00455188">
      <w:pPr>
        <w:pStyle w:val="FootnoteText"/>
      </w:pPr>
      <w:r>
        <w:rPr>
          <w:rStyle w:val="FootnoteReference"/>
        </w:rPr>
        <w:footnoteRef/>
      </w:r>
      <w:r>
        <w:t xml:space="preserve"> 47 U.S.C. § 224(b)(1).</w:t>
      </w:r>
    </w:p>
  </w:footnote>
  <w:footnote w:id="62">
    <w:p w:rsidR="00967549" w:rsidRPr="00C81364" w:rsidRDefault="00967549" w:rsidP="00455188">
      <w:pPr>
        <w:pStyle w:val="FootnoteText"/>
      </w:pPr>
      <w:r>
        <w:rPr>
          <w:rStyle w:val="FootnoteReference"/>
        </w:rPr>
        <w:footnoteRef/>
      </w:r>
      <w:r>
        <w:t xml:space="preserve"> </w:t>
      </w:r>
      <w:r>
        <w:rPr>
          <w:i/>
        </w:rPr>
        <w:t>Cf. National Cable &amp; Telecommunications Ass’n v. Gulf Power Co.</w:t>
      </w:r>
      <w:r>
        <w:t>, 534 U.S. 327, 339 (2002) (“</w:t>
      </w:r>
      <w:r w:rsidRPr="008658DD">
        <w:t xml:space="preserve">Congress may well have chosen to define a </w:t>
      </w:r>
      <w:r>
        <w:t>‘</w:t>
      </w:r>
      <w:r w:rsidRPr="008658DD">
        <w:t>just and reasonable</w:t>
      </w:r>
      <w:r>
        <w:t>’</w:t>
      </w:r>
      <w:r w:rsidRPr="008658DD">
        <w:t xml:space="preserve"> rate for pure cable television service, yet decline</w:t>
      </w:r>
      <w:r>
        <w:t xml:space="preserve">d to produce a prospective </w:t>
      </w:r>
      <w:r w:rsidRPr="008658DD">
        <w:t xml:space="preserve">formula for commingled cable service. </w:t>
      </w:r>
      <w:r>
        <w:t xml:space="preserve"> </w:t>
      </w:r>
      <w:r w:rsidRPr="008658DD">
        <w:t>The latter might be expected to evolve in directions Congress knew it could not anticipate.</w:t>
      </w:r>
      <w:r>
        <w:t>”).</w:t>
      </w:r>
    </w:p>
  </w:footnote>
  <w:footnote w:id="63">
    <w:p w:rsidR="00967549" w:rsidRDefault="00967549" w:rsidP="00455188">
      <w:pPr>
        <w:pStyle w:val="FootnoteText"/>
      </w:pPr>
      <w:r>
        <w:rPr>
          <w:rStyle w:val="FootnoteReference"/>
        </w:rPr>
        <w:footnoteRef/>
      </w:r>
      <w:r>
        <w:t xml:space="preserve"> </w:t>
      </w:r>
      <w:r>
        <w:rPr>
          <w:i/>
        </w:rPr>
        <w:t xml:space="preserve">2011 Pole Attachment Order, </w:t>
      </w:r>
      <w:r>
        <w:t xml:space="preserve">26 FCC Rcd at 5238, para. 203; </w:t>
      </w:r>
      <w:r>
        <w:rPr>
          <w:i/>
        </w:rPr>
        <w:t xml:space="preserve">id. </w:t>
      </w:r>
      <w:r>
        <w:t>at 5334, para. 214.</w:t>
      </w:r>
    </w:p>
  </w:footnote>
  <w:footnote w:id="64">
    <w:p w:rsidR="00967549" w:rsidRDefault="00967549" w:rsidP="00455188">
      <w:pPr>
        <w:pStyle w:val="FootnoteText"/>
      </w:pPr>
      <w:r>
        <w:rPr>
          <w:rStyle w:val="FootnoteReference"/>
        </w:rPr>
        <w:footnoteRef/>
      </w:r>
      <w:r>
        <w:t xml:space="preserve"> </w:t>
      </w:r>
      <w:r>
        <w:rPr>
          <w:i/>
        </w:rPr>
        <w:t xml:space="preserve">Id. </w:t>
      </w:r>
      <w:r>
        <w:t>at 5336, para. 217.</w:t>
      </w:r>
    </w:p>
  </w:footnote>
  <w:footnote w:id="65">
    <w:p w:rsidR="00967549" w:rsidRPr="00623DFD" w:rsidRDefault="00967549" w:rsidP="00455188">
      <w:pPr>
        <w:pStyle w:val="FootnoteText"/>
      </w:pPr>
      <w:r>
        <w:rPr>
          <w:rStyle w:val="FootnoteReference"/>
        </w:rPr>
        <w:footnoteRef/>
      </w:r>
      <w:r>
        <w:t xml:space="preserve"> </w:t>
      </w:r>
      <w:r>
        <w:rPr>
          <w:i/>
        </w:rPr>
        <w:t xml:space="preserve">Id. </w:t>
      </w:r>
      <w:r>
        <w:t xml:space="preserve">at </w:t>
      </w:r>
      <w:r>
        <w:rPr>
          <w:color w:val="212121"/>
        </w:rPr>
        <w:t xml:space="preserve">5337, para. 218.  </w:t>
      </w:r>
    </w:p>
  </w:footnote>
  <w:footnote w:id="66">
    <w:p w:rsidR="00967549" w:rsidRPr="00A466F3" w:rsidRDefault="00967549" w:rsidP="00455188">
      <w:pPr>
        <w:pStyle w:val="FootnoteText"/>
      </w:pPr>
      <w:r w:rsidRPr="00A466F3">
        <w:rPr>
          <w:rStyle w:val="FootnoteReference"/>
        </w:rPr>
        <w:footnoteRef/>
      </w:r>
      <w:r w:rsidRPr="00A466F3">
        <w:t xml:space="preserve"> 47 CFR § 1.1409.  A “pole access complaint” is a complaint that alleges a complete denial of access to utility poles.  This term does not encompass a complaint alleging that unreasonable rates, terms, or conditions that the utility demands as a condition of attachment (e.g., adherence to certain engineering standards) amounts to a denial of pole access. </w:t>
      </w:r>
    </w:p>
  </w:footnote>
  <w:footnote w:id="67">
    <w:p w:rsidR="00967549" w:rsidRPr="00A466F3" w:rsidRDefault="00967549" w:rsidP="00455188">
      <w:pPr>
        <w:pStyle w:val="FootnoteText"/>
      </w:pPr>
      <w:r w:rsidRPr="00A466F3">
        <w:rPr>
          <w:rStyle w:val="FootnoteReference"/>
        </w:rPr>
        <w:footnoteRef/>
      </w:r>
      <w:r w:rsidRPr="00A466F3">
        <w:t xml:space="preserve"> </w:t>
      </w:r>
      <w:r w:rsidRPr="00A466F3">
        <w:rPr>
          <w:i/>
        </w:rPr>
        <w:t>2011 Pole Attachment Order</w:t>
      </w:r>
      <w:r w:rsidRPr="00470634">
        <w:t>,</w:t>
      </w:r>
      <w:r w:rsidRPr="00A466F3">
        <w:rPr>
          <w:i/>
        </w:rPr>
        <w:t xml:space="preserve"> </w:t>
      </w:r>
      <w:r w:rsidRPr="00A466F3">
        <w:t>26 FCC Rcd at 5286, para. 102 &amp; nn.317-18.</w:t>
      </w:r>
    </w:p>
  </w:footnote>
  <w:footnote w:id="68">
    <w:p w:rsidR="00967549" w:rsidRPr="00A466F3" w:rsidRDefault="00967549" w:rsidP="00455188">
      <w:pPr>
        <w:pStyle w:val="FootnoteText"/>
      </w:pPr>
      <w:r w:rsidRPr="00A466F3">
        <w:rPr>
          <w:rStyle w:val="FootnoteReference"/>
        </w:rPr>
        <w:footnoteRef/>
      </w:r>
      <w:r w:rsidRPr="00A466F3">
        <w:t xml:space="preserve"> 47 U.S.C. § 224(c)(3)(B)(i).  A state also could lose jurisdiction over a pole attachment complaint if it fails to take final action within the time period prescribed in the state’s rules, provided such period does not extend beyond 360 days after the filing of a complaint.  47 U.S.C. § 224(c)(3)(B)(ii).  If a state does not meet the statutory deadlines for resolving a pole attachment complaint, then jurisdiction for the complaint falls to the Commission.  47 U.S.C. § 224(c).</w:t>
      </w:r>
    </w:p>
  </w:footnote>
  <w:footnote w:id="69">
    <w:p w:rsidR="00967549" w:rsidRPr="00A466F3" w:rsidRDefault="00967549" w:rsidP="00455188">
      <w:pPr>
        <w:pStyle w:val="FootnoteText"/>
      </w:pPr>
      <w:r w:rsidRPr="00A466F3">
        <w:rPr>
          <w:rStyle w:val="FootnoteReference"/>
        </w:rPr>
        <w:footnoteRef/>
      </w:r>
      <w:r w:rsidRPr="00A466F3">
        <w:t xml:space="preserve"> 47 U.S.C. § 224(c)(3)(B).</w:t>
      </w:r>
    </w:p>
  </w:footnote>
  <w:footnote w:id="70">
    <w:p w:rsidR="00967549" w:rsidRPr="00A466F3" w:rsidRDefault="00967549" w:rsidP="00455188">
      <w:pPr>
        <w:pStyle w:val="FootnoteText"/>
      </w:pPr>
      <w:r w:rsidRPr="00A466F3">
        <w:rPr>
          <w:rStyle w:val="FootnoteReference"/>
        </w:rPr>
        <w:footnoteRef/>
      </w:r>
      <w:r w:rsidRPr="00A466F3">
        <w:t xml:space="preserve"> 47 CFR § 1.1407(a).</w:t>
      </w:r>
    </w:p>
  </w:footnote>
  <w:footnote w:id="71">
    <w:p w:rsidR="00967549" w:rsidRPr="00A466F3" w:rsidRDefault="00967549" w:rsidP="00455188">
      <w:pPr>
        <w:pStyle w:val="FootnoteText"/>
      </w:pPr>
      <w:r w:rsidRPr="00A466F3">
        <w:rPr>
          <w:rStyle w:val="FootnoteReference"/>
        </w:rPr>
        <w:footnoteRef/>
      </w:r>
      <w:r w:rsidRPr="00A466F3">
        <w:t xml:space="preserve"> </w:t>
      </w:r>
      <w:r w:rsidRPr="00A466F3">
        <w:rPr>
          <w:i/>
        </w:rPr>
        <w:t>See, e.g.</w:t>
      </w:r>
      <w:r w:rsidRPr="00150EE3">
        <w:t>,</w:t>
      </w:r>
      <w:r w:rsidRPr="00A466F3">
        <w:rPr>
          <w:i/>
        </w:rPr>
        <w:t xml:space="preserve"> </w:t>
      </w:r>
      <w:r w:rsidRPr="00A466F3">
        <w:t>Letter from Matthew S. DelNero, Chief, Wireline Competition Bureau, FCC, to Bryan Tramont, Adam Krinsky, and Jennifer Kostyu, Counsel to Verizon, and Thomas Cohen and Edward Yorkgitis, Jr., Counsel to XO Holdings, WC Docket No. 16-70 (July 20, 2016).</w:t>
      </w:r>
    </w:p>
  </w:footnote>
  <w:footnote w:id="72">
    <w:p w:rsidR="00967549" w:rsidRDefault="00967549" w:rsidP="00455188">
      <w:pPr>
        <w:pStyle w:val="FootnoteText"/>
      </w:pPr>
      <w:r>
        <w:rPr>
          <w:rStyle w:val="FootnoteReference"/>
        </w:rPr>
        <w:footnoteRef/>
      </w:r>
      <w:r>
        <w:t xml:space="preserve"> </w:t>
      </w:r>
      <w:r w:rsidRPr="00C625F8">
        <w:rPr>
          <w:i/>
        </w:rPr>
        <w:t>See</w:t>
      </w:r>
      <w:r>
        <w:t xml:space="preserve"> 47 U.S.C. § 251(b)(4).  </w:t>
      </w:r>
    </w:p>
  </w:footnote>
  <w:footnote w:id="73">
    <w:p w:rsidR="00967549" w:rsidRDefault="00967549" w:rsidP="00455188">
      <w:pPr>
        <w:pStyle w:val="FootnoteText"/>
      </w:pPr>
      <w:r>
        <w:rPr>
          <w:rStyle w:val="FootnoteReference"/>
        </w:rPr>
        <w:footnoteRef/>
      </w:r>
      <w:r>
        <w:t xml:space="preserve"> </w:t>
      </w:r>
      <w:r w:rsidRPr="00C625F8">
        <w:rPr>
          <w:i/>
        </w:rPr>
        <w:t>See</w:t>
      </w:r>
      <w:r>
        <w:t xml:space="preserve"> 47 U.S.C. § 224(a)(1).</w:t>
      </w:r>
    </w:p>
  </w:footnote>
  <w:footnote w:id="74">
    <w:p w:rsidR="00967549" w:rsidRDefault="00967549" w:rsidP="00455188">
      <w:pPr>
        <w:pStyle w:val="FootnoteText"/>
      </w:pPr>
      <w:r>
        <w:rPr>
          <w:rStyle w:val="FootnoteReference"/>
        </w:rPr>
        <w:footnoteRef/>
      </w:r>
      <w:r>
        <w:t xml:space="preserve"> </w:t>
      </w:r>
      <w:r w:rsidRPr="00C625F8">
        <w:rPr>
          <w:i/>
        </w:rPr>
        <w:t>See</w:t>
      </w:r>
      <w:r>
        <w:t xml:space="preserve"> 47 U.S.C. § 224(a)(5).</w:t>
      </w:r>
    </w:p>
  </w:footnote>
  <w:footnote w:id="75">
    <w:p w:rsidR="00967549" w:rsidRDefault="00967549" w:rsidP="00455188">
      <w:pPr>
        <w:pStyle w:val="FootnoteText"/>
      </w:pPr>
      <w:r>
        <w:rPr>
          <w:rStyle w:val="FootnoteReference"/>
        </w:rPr>
        <w:footnoteRef/>
      </w:r>
      <w:r>
        <w:t xml:space="preserve"> CenturyLink Comments, WC Docket No. 16-132, at 12-13 (Dec. 5, 2016) (CenturyLink Biennial Comments).</w:t>
      </w:r>
    </w:p>
  </w:footnote>
  <w:footnote w:id="76">
    <w:p w:rsidR="00967549" w:rsidRDefault="00967549" w:rsidP="00455188">
      <w:pPr>
        <w:pStyle w:val="FootnoteText"/>
      </w:pPr>
      <w:r>
        <w:rPr>
          <w:rStyle w:val="FootnoteReference"/>
        </w:rPr>
        <w:footnoteRef/>
      </w:r>
      <w:r>
        <w:t xml:space="preserve"> </w:t>
      </w:r>
      <w:r>
        <w:rPr>
          <w:i/>
        </w:rPr>
        <w:t xml:space="preserve">1996 Local Competition Order, </w:t>
      </w:r>
      <w:r>
        <w:t>11 FCC Rcd at 16102-16104, paras. 1226-31. The Ninth Circuit Court of Appeals disagreed in dicta, noting that Sections 224 and 251 could “be read in harmony” to support a right of access for incumbent LECs on other LEC poles.</w:t>
      </w:r>
      <w:r w:rsidRPr="00730F87">
        <w:rPr>
          <w:i/>
        </w:rPr>
        <w:t xml:space="preserve"> </w:t>
      </w:r>
      <w:r>
        <w:rPr>
          <w:i/>
        </w:rPr>
        <w:t xml:space="preserve"> US West Communications, Inc. v. Hamilton</w:t>
      </w:r>
      <w:r>
        <w:t xml:space="preserve">, 224 F.3d 1049, 1053-54 (9th Cir. 2000).  Despite its skepticism of the Commission’s analysis in the </w:t>
      </w:r>
      <w:r>
        <w:rPr>
          <w:i/>
        </w:rPr>
        <w:t>1996 Local Competition Order</w:t>
      </w:r>
      <w:r w:rsidRPr="00E04947">
        <w:t>¸</w:t>
      </w:r>
      <w:r>
        <w:t xml:space="preserve"> t</w:t>
      </w:r>
      <w:r>
        <w:rPr>
          <w:szCs w:val="22"/>
        </w:rPr>
        <w:t xml:space="preserve">he Ninth Circuit held it was obligated to adhere to that analysis because the parties had not directly challenged </w:t>
      </w:r>
      <w:r w:rsidRPr="00AC3959">
        <w:rPr>
          <w:szCs w:val="22"/>
        </w:rPr>
        <w:t>the</w:t>
      </w:r>
      <w:r>
        <w:rPr>
          <w:szCs w:val="22"/>
        </w:rPr>
        <w:t xml:space="preserve"> </w:t>
      </w:r>
      <w:r>
        <w:rPr>
          <w:i/>
          <w:szCs w:val="22"/>
        </w:rPr>
        <w:t xml:space="preserve">1996 Local Competition </w:t>
      </w:r>
      <w:r w:rsidRPr="00AC3959">
        <w:rPr>
          <w:i/>
          <w:szCs w:val="22"/>
        </w:rPr>
        <w:t>Order</w:t>
      </w:r>
      <w:r>
        <w:rPr>
          <w:szCs w:val="22"/>
        </w:rPr>
        <w:t xml:space="preserve"> via the Hobbs Act.</w:t>
      </w:r>
      <w:r>
        <w:t xml:space="preserve">  </w:t>
      </w:r>
      <w:r w:rsidRPr="00DE666A">
        <w:rPr>
          <w:i/>
        </w:rPr>
        <w:t>See</w:t>
      </w:r>
      <w:r>
        <w:rPr>
          <w:i/>
        </w:rPr>
        <w:t xml:space="preserve"> id. </w:t>
      </w:r>
      <w:r>
        <w:t>at 1054-55.</w:t>
      </w:r>
    </w:p>
  </w:footnote>
  <w:footnote w:id="77">
    <w:p w:rsidR="00967549" w:rsidRDefault="00967549" w:rsidP="001926F9">
      <w:pPr>
        <w:pStyle w:val="FootnoteText"/>
      </w:pPr>
      <w:r>
        <w:rPr>
          <w:rStyle w:val="FootnoteReference"/>
        </w:rPr>
        <w:footnoteRef/>
      </w:r>
      <w:r>
        <w:t xml:space="preserve"> </w:t>
      </w:r>
      <w:r w:rsidRPr="00AF073B">
        <w:t>CenturyLink Biennial Comments at 12-13.</w:t>
      </w:r>
    </w:p>
  </w:footnote>
  <w:footnote w:id="78">
    <w:p w:rsidR="00967549" w:rsidRDefault="00967549" w:rsidP="00455188">
      <w:pPr>
        <w:pStyle w:val="FootnoteText"/>
      </w:pPr>
      <w:r>
        <w:rPr>
          <w:rStyle w:val="FootnoteReference"/>
        </w:rPr>
        <w:footnoteRef/>
      </w:r>
      <w:r>
        <w:t xml:space="preserve"> CCA Reply, WC Docket No. 16-132, at 7 (Jan. 3, 2017); INCOMPAS Reply, WC Docket No. 16-132, at 11 (Jan. 3, 2017).</w:t>
      </w:r>
    </w:p>
  </w:footnote>
  <w:footnote w:id="79">
    <w:p w:rsidR="00967549" w:rsidRDefault="00967549" w:rsidP="00455188">
      <w:pPr>
        <w:pStyle w:val="FootnoteText"/>
      </w:pPr>
      <w:r>
        <w:rPr>
          <w:rStyle w:val="FootnoteReference"/>
        </w:rPr>
        <w:footnoteRef/>
      </w:r>
      <w:r>
        <w:t xml:space="preserve"> 7 U.S.C. § 251</w:t>
      </w:r>
      <w:r w:rsidRPr="00ED59E0">
        <w:t>.</w:t>
      </w:r>
    </w:p>
  </w:footnote>
  <w:footnote w:id="80">
    <w:p w:rsidR="00967549" w:rsidRDefault="00967549" w:rsidP="00455188">
      <w:pPr>
        <w:pStyle w:val="FootnoteText"/>
      </w:pPr>
      <w:r>
        <w:rPr>
          <w:rStyle w:val="FootnoteReference"/>
        </w:rPr>
        <w:footnoteRef/>
      </w:r>
      <w:r>
        <w:t xml:space="preserve"> </w:t>
      </w:r>
      <w:r>
        <w:rPr>
          <w:i/>
        </w:rPr>
        <w:t xml:space="preserve">1996 </w:t>
      </w:r>
      <w:r w:rsidRPr="0068219A">
        <w:rPr>
          <w:i/>
        </w:rPr>
        <w:t>Local Competition Order</w:t>
      </w:r>
      <w:r>
        <w:t>, 11 FCC Rcd at 15506, para. 4.</w:t>
      </w:r>
    </w:p>
  </w:footnote>
  <w:footnote w:id="81">
    <w:p w:rsidR="00967549" w:rsidRPr="00037407" w:rsidRDefault="00967549" w:rsidP="00455188">
      <w:pPr>
        <w:pStyle w:val="FootnoteText"/>
      </w:pPr>
      <w:r>
        <w:rPr>
          <w:rStyle w:val="FootnoteReference"/>
        </w:rPr>
        <w:footnoteRef/>
      </w:r>
      <w:r>
        <w:t xml:space="preserve"> </w:t>
      </w:r>
      <w:r w:rsidRPr="005D7CB4">
        <w:rPr>
          <w:i/>
        </w:rPr>
        <w:t>See</w:t>
      </w:r>
      <w:r w:rsidRPr="005D7CB4">
        <w:t xml:space="preserve"> </w:t>
      </w:r>
      <w:r w:rsidRPr="005D7CB4">
        <w:rPr>
          <w:i/>
        </w:rPr>
        <w:t>Review of the Section 251 Unbundling Obligations of Incumbent Local Exchange Carriers</w:t>
      </w:r>
      <w:r w:rsidRPr="00150EE3">
        <w:rPr>
          <w:i/>
        </w:rPr>
        <w:t xml:space="preserve"> </w:t>
      </w:r>
      <w:r w:rsidRPr="00DD037D">
        <w:t>et al., Report and Order and Order on Remand and Further Notice of Proposed Rulemaking, 18 FCC Rcd 16978 (2003) (</w:t>
      </w:r>
      <w:r w:rsidRPr="005D7CB4">
        <w:rPr>
          <w:i/>
        </w:rPr>
        <w:t>Triennial Review Order</w:t>
      </w:r>
      <w:r w:rsidRPr="005D7CB4">
        <w:t xml:space="preserve">), </w:t>
      </w:r>
      <w:r w:rsidRPr="005D7CB4">
        <w:rPr>
          <w:i/>
        </w:rPr>
        <w:t>corrected by Triennial Review Order Errata</w:t>
      </w:r>
      <w:r w:rsidRPr="005D7CB4">
        <w:t xml:space="preserve">, 18 FCC Rcd 19020, </w:t>
      </w:r>
      <w:r w:rsidRPr="005D7CB4">
        <w:rPr>
          <w:i/>
        </w:rPr>
        <w:t>aff’d in part, remanded in</w:t>
      </w:r>
      <w:r w:rsidRPr="00B67B70">
        <w:rPr>
          <w:i/>
        </w:rPr>
        <w:t xml:space="preserve"> </w:t>
      </w:r>
      <w:r w:rsidRPr="005D7CB4">
        <w:rPr>
          <w:i/>
        </w:rPr>
        <w:t>part, vacated in part</w:t>
      </w:r>
      <w:r w:rsidRPr="005D7CB4">
        <w:t xml:space="preserve">, </w:t>
      </w:r>
      <w:r w:rsidRPr="005D7CB4">
        <w:rPr>
          <w:i/>
        </w:rPr>
        <w:t>United States Telecom Ass’n v. FCC</w:t>
      </w:r>
      <w:r w:rsidRPr="005D7CB4">
        <w:t>, 359 F.3d 554, 564-93 (D.C. Cir. 2004) (</w:t>
      </w:r>
      <w:r w:rsidRPr="005D7CB4">
        <w:rPr>
          <w:i/>
        </w:rPr>
        <w:t>USTA II</w:t>
      </w:r>
      <w:r w:rsidRPr="005D7CB4">
        <w:t xml:space="preserve">), </w:t>
      </w:r>
      <w:r w:rsidRPr="005D7CB4">
        <w:rPr>
          <w:i/>
        </w:rPr>
        <w:t>cert. denied</w:t>
      </w:r>
      <w:r w:rsidRPr="005D7CB4">
        <w:t xml:space="preserve">, 543 U.S. 925 (2004), </w:t>
      </w:r>
      <w:r w:rsidRPr="005D7CB4">
        <w:rPr>
          <w:i/>
        </w:rPr>
        <w:t>on remand</w:t>
      </w:r>
      <w:r w:rsidRPr="005D7CB4">
        <w:t xml:space="preserve">, </w:t>
      </w:r>
      <w:r w:rsidRPr="005D7CB4">
        <w:rPr>
          <w:i/>
        </w:rPr>
        <w:t>Unbundled Access to Network Elements</w:t>
      </w:r>
      <w:r w:rsidRPr="005D7CB4">
        <w:t xml:space="preserve"> </w:t>
      </w:r>
      <w:r w:rsidRPr="005D7CB4">
        <w:rPr>
          <w:i/>
        </w:rPr>
        <w:t>et al.</w:t>
      </w:r>
      <w:r w:rsidRPr="005D7CB4">
        <w:t xml:space="preserve">, Order on Remand, 20 FCC Rcd 2533, 2541, para. 12 (2004) </w:t>
      </w:r>
      <w:r w:rsidRPr="00C4679A">
        <w:t>(</w:t>
      </w:r>
      <w:r w:rsidRPr="00C4679A">
        <w:rPr>
          <w:i/>
        </w:rPr>
        <w:t>Triennial Review Remand Order</w:t>
      </w:r>
      <w:r w:rsidRPr="00C4679A">
        <w:t>)</w:t>
      </w:r>
      <w:r>
        <w:t xml:space="preserve"> </w:t>
      </w:r>
      <w:r w:rsidRPr="005D7CB4">
        <w:rPr>
          <w:i/>
        </w:rPr>
        <w:t>aff’d</w:t>
      </w:r>
      <w:r w:rsidRPr="005D7CB4">
        <w:t>,</w:t>
      </w:r>
      <w:r w:rsidRPr="005D7CB4">
        <w:rPr>
          <w:i/>
        </w:rPr>
        <w:t xml:space="preserve"> Covad Commc’ns Co. v. FCC</w:t>
      </w:r>
      <w:r w:rsidRPr="005D7CB4">
        <w:t xml:space="preserve">, 450 F.3d 528 (D.C. Cir. 2006); </w:t>
      </w:r>
      <w:r w:rsidRPr="005D7CB4">
        <w:rPr>
          <w:i/>
        </w:rPr>
        <w:t>see also</w:t>
      </w:r>
      <w:r w:rsidRPr="005D7CB4">
        <w:t xml:space="preserve"> </w:t>
      </w:r>
      <w:r w:rsidRPr="005D7CB4">
        <w:rPr>
          <w:i/>
          <w:iCs/>
        </w:rPr>
        <w:t>See Implementation of the Local Competition Provisions of the Telecommunications Act of 1996 et al.</w:t>
      </w:r>
      <w:r w:rsidRPr="005D7CB4">
        <w:t>,</w:t>
      </w:r>
      <w:r>
        <w:t xml:space="preserve"> CC Docket No. 96-98 et al.,</w:t>
      </w:r>
      <w:r w:rsidRPr="005D7CB4">
        <w:t xml:space="preserve"> Second Report and Order and Memorandum Opinion and Order, 11 FCC Rcd 19392, 19471, para. 168 (1996) (</w:t>
      </w:r>
      <w:r w:rsidRPr="005D7CB4">
        <w:rPr>
          <w:i/>
          <w:iCs/>
        </w:rPr>
        <w:t>Second Local Competition Order</w:t>
      </w:r>
      <w:r w:rsidRPr="005D7CB4">
        <w:t>).</w:t>
      </w:r>
    </w:p>
  </w:footnote>
  <w:footnote w:id="82">
    <w:p w:rsidR="00967549" w:rsidRPr="00C563E2" w:rsidRDefault="00967549" w:rsidP="00455188">
      <w:pPr>
        <w:pStyle w:val="FootnoteText"/>
      </w:pPr>
      <w:r w:rsidRPr="00C563E2">
        <w:rPr>
          <w:rStyle w:val="FootnoteReference"/>
        </w:rPr>
        <w:footnoteRef/>
      </w:r>
      <w:r w:rsidRPr="00C563E2">
        <w:t xml:space="preserve"> </w:t>
      </w:r>
      <w:r w:rsidRPr="003D1C65">
        <w:rPr>
          <w:i/>
        </w:rPr>
        <w:t>2015</w:t>
      </w:r>
      <w:r w:rsidRPr="00150EE3">
        <w:rPr>
          <w:i/>
        </w:rPr>
        <w:t xml:space="preserve"> </w:t>
      </w:r>
      <w:r w:rsidRPr="003D1C65">
        <w:rPr>
          <w:i/>
        </w:rPr>
        <w:t xml:space="preserve">Technology Transitions </w:t>
      </w:r>
      <w:r w:rsidRPr="00150EE3">
        <w:rPr>
          <w:i/>
        </w:rPr>
        <w:t>Order</w:t>
      </w:r>
      <w:r w:rsidRPr="00C563E2">
        <w:t xml:space="preserve">, 30 FCC Rcd 9372, </w:t>
      </w:r>
      <w:r>
        <w:t>9383-9425</w:t>
      </w:r>
      <w:r w:rsidRPr="00C563E2">
        <w:t xml:space="preserve">, paras. </w:t>
      </w:r>
      <w:r>
        <w:t>15</w:t>
      </w:r>
      <w:r w:rsidRPr="00C563E2">
        <w:t>-</w:t>
      </w:r>
      <w:r>
        <w:t>97.</w:t>
      </w:r>
    </w:p>
  </w:footnote>
  <w:footnote w:id="83">
    <w:p w:rsidR="00967549" w:rsidRPr="008D7FF5" w:rsidRDefault="00967549" w:rsidP="00455188">
      <w:pPr>
        <w:pStyle w:val="FootnoteText"/>
      </w:pPr>
      <w:r w:rsidRPr="00C563E2">
        <w:rPr>
          <w:rStyle w:val="FootnoteReference"/>
        </w:rPr>
        <w:footnoteRef/>
      </w:r>
      <w:r w:rsidRPr="00C563E2">
        <w:t xml:space="preserve"> </w:t>
      </w:r>
      <w:r w:rsidRPr="00006B79">
        <w:rPr>
          <w:i/>
        </w:rPr>
        <w:t xml:space="preserve">2015 </w:t>
      </w:r>
      <w:r w:rsidRPr="00C563E2">
        <w:rPr>
          <w:i/>
        </w:rPr>
        <w:t xml:space="preserve">Technology Transitions </w:t>
      </w:r>
      <w:r>
        <w:rPr>
          <w:i/>
        </w:rPr>
        <w:t>Order</w:t>
      </w:r>
      <w:r w:rsidRPr="00C563E2">
        <w:t xml:space="preserve">, 30 FCC Rcd </w:t>
      </w:r>
      <w:r>
        <w:t xml:space="preserve">at 9387-90, 9396-97, </w:t>
      </w:r>
      <w:r w:rsidRPr="00D177B9">
        <w:t xml:space="preserve">&amp; </w:t>
      </w:r>
      <w:r>
        <w:t xml:space="preserve">9411-9413, </w:t>
      </w:r>
      <w:r w:rsidRPr="00C563E2">
        <w:t>para</w:t>
      </w:r>
      <w:r>
        <w:t>s</w:t>
      </w:r>
      <w:r w:rsidRPr="00C563E2">
        <w:t xml:space="preserve">. </w:t>
      </w:r>
      <w:r>
        <w:t xml:space="preserve">24-25, 28-29, 39-40, </w:t>
      </w:r>
      <w:r w:rsidRPr="00D177B9">
        <w:t>&amp;</w:t>
      </w:r>
      <w:r>
        <w:t xml:space="preserve"> 70-71</w:t>
      </w:r>
      <w:r w:rsidRPr="00C563E2">
        <w:t>.</w:t>
      </w:r>
      <w:r>
        <w:t xml:space="preserve"> </w:t>
      </w:r>
      <w:r w:rsidRPr="008D7FF5">
        <w:t xml:space="preserve"> </w:t>
      </w:r>
    </w:p>
  </w:footnote>
  <w:footnote w:id="84">
    <w:p w:rsidR="00967549" w:rsidRDefault="00967549" w:rsidP="00455188">
      <w:pPr>
        <w:pStyle w:val="FootnoteText"/>
      </w:pPr>
      <w:r w:rsidRPr="00194F6C">
        <w:rPr>
          <w:rStyle w:val="FootnoteReference"/>
        </w:rPr>
        <w:footnoteRef/>
      </w:r>
      <w:r w:rsidRPr="00194F6C">
        <w:t xml:space="preserve"> </w:t>
      </w:r>
      <w:r w:rsidRPr="00006B79">
        <w:rPr>
          <w:i/>
        </w:rPr>
        <w:t>See</w:t>
      </w:r>
      <w:r>
        <w:t xml:space="preserve"> </w:t>
      </w:r>
      <w:r w:rsidRPr="00194F6C">
        <w:t>47 CFR § 51.333 (</w:t>
      </w:r>
      <w:r w:rsidRPr="00454ECF">
        <w:t>2015</w:t>
      </w:r>
      <w:r w:rsidRPr="00194F6C">
        <w:t>).</w:t>
      </w:r>
    </w:p>
  </w:footnote>
  <w:footnote w:id="85">
    <w:p w:rsidR="00967549" w:rsidRDefault="00967549" w:rsidP="00455188">
      <w:pPr>
        <w:pStyle w:val="FootnoteText"/>
      </w:pPr>
      <w:r w:rsidRPr="00047024">
        <w:rPr>
          <w:rStyle w:val="FootnoteReference"/>
        </w:rPr>
        <w:footnoteRef/>
      </w:r>
      <w:r w:rsidRPr="00047024">
        <w:t xml:space="preserve"> </w:t>
      </w:r>
      <w:r w:rsidRPr="00047024">
        <w:rPr>
          <w:i/>
        </w:rPr>
        <w:t>See</w:t>
      </w:r>
      <w:r>
        <w:t xml:space="preserve"> Frontier Communications Corp.</w:t>
      </w:r>
      <w:r w:rsidRPr="00047024">
        <w:t xml:space="preserve"> Reply, WC Docket No. 16-132, at 16 (Jan. 3, 2017)</w:t>
      </w:r>
      <w:r>
        <w:t xml:space="preserve"> (Frontier Biennial Reply)</w:t>
      </w:r>
      <w:r w:rsidRPr="00047024">
        <w:t>.</w:t>
      </w:r>
    </w:p>
  </w:footnote>
  <w:footnote w:id="86">
    <w:p w:rsidR="00967549" w:rsidRDefault="00967549" w:rsidP="00455188">
      <w:pPr>
        <w:pStyle w:val="FootnoteText"/>
      </w:pPr>
      <w:r>
        <w:rPr>
          <w:rStyle w:val="FootnoteReference"/>
        </w:rPr>
        <w:footnoteRef/>
      </w:r>
      <w:r>
        <w:t xml:space="preserve"> </w:t>
      </w:r>
      <w:r w:rsidRPr="00E21B0A">
        <w:t>47 CFR § 51.33</w:t>
      </w:r>
      <w:r>
        <w:t>2(f).</w:t>
      </w:r>
    </w:p>
  </w:footnote>
  <w:footnote w:id="87">
    <w:p w:rsidR="00967549" w:rsidRDefault="00967549" w:rsidP="00455188">
      <w:pPr>
        <w:pStyle w:val="FootnoteText"/>
      </w:pPr>
      <w:r>
        <w:rPr>
          <w:rStyle w:val="FootnoteReference"/>
        </w:rPr>
        <w:footnoteRef/>
      </w:r>
      <w:r>
        <w:t xml:space="preserve"> </w:t>
      </w:r>
      <w:r w:rsidRPr="00E21B0A">
        <w:t>47 CFR § 51.33</w:t>
      </w:r>
      <w:r>
        <w:t>2(a).</w:t>
      </w:r>
    </w:p>
  </w:footnote>
  <w:footnote w:id="88">
    <w:p w:rsidR="00967549" w:rsidRDefault="00967549" w:rsidP="00455188">
      <w:pPr>
        <w:pStyle w:val="FootnoteText"/>
      </w:pPr>
      <w:r w:rsidRPr="00194F6C">
        <w:rPr>
          <w:rStyle w:val="FootnoteReference"/>
        </w:rPr>
        <w:footnoteRef/>
      </w:r>
      <w:r w:rsidRPr="00194F6C">
        <w:t xml:space="preserve"> 47 CFR § 51.333</w:t>
      </w:r>
      <w:r>
        <w:t>(b)(1)-(2)</w:t>
      </w:r>
      <w:r w:rsidRPr="00194F6C">
        <w:t xml:space="preserve"> (</w:t>
      </w:r>
      <w:r w:rsidRPr="00454ECF">
        <w:t>2015</w:t>
      </w:r>
      <w:r w:rsidRPr="00194F6C">
        <w:t>).</w:t>
      </w:r>
    </w:p>
  </w:footnote>
  <w:footnote w:id="89">
    <w:p w:rsidR="00967549" w:rsidRDefault="00967549" w:rsidP="00455188">
      <w:pPr>
        <w:pStyle w:val="FootnoteText"/>
      </w:pPr>
      <w:r w:rsidRPr="00194F6C">
        <w:rPr>
          <w:rStyle w:val="FootnoteReference"/>
        </w:rPr>
        <w:footnoteRef/>
      </w:r>
      <w:r w:rsidRPr="00194F6C">
        <w:t xml:space="preserve"> 47 CFR § 51.333</w:t>
      </w:r>
      <w:r w:rsidRPr="000B7777">
        <w:t>(e)</w:t>
      </w:r>
      <w:r>
        <w:t>-(f)</w:t>
      </w:r>
      <w:r w:rsidRPr="00194F6C">
        <w:t xml:space="preserve"> (</w:t>
      </w:r>
      <w:r w:rsidRPr="00454ECF">
        <w:t>2015</w:t>
      </w:r>
      <w:r w:rsidRPr="00194F6C">
        <w:t>).</w:t>
      </w:r>
    </w:p>
  </w:footnote>
  <w:footnote w:id="90">
    <w:p w:rsidR="00967549" w:rsidRDefault="00967549" w:rsidP="00455188">
      <w:pPr>
        <w:autoSpaceDE w:val="0"/>
        <w:autoSpaceDN w:val="0"/>
        <w:adjustRightInd w:val="0"/>
        <w:spacing w:after="120"/>
      </w:pPr>
      <w:r w:rsidRPr="00546E2A">
        <w:rPr>
          <w:rStyle w:val="FootnoteReference"/>
        </w:rPr>
        <w:footnoteRef/>
      </w:r>
      <w:r w:rsidRPr="00546E2A">
        <w:rPr>
          <w:sz w:val="20"/>
        </w:rPr>
        <w:t xml:space="preserve"> </w:t>
      </w:r>
      <w:r w:rsidRPr="00546E2A">
        <w:rPr>
          <w:i/>
          <w:iCs/>
          <w:sz w:val="20"/>
        </w:rPr>
        <w:t xml:space="preserve">See </w:t>
      </w:r>
      <w:r>
        <w:rPr>
          <w:i/>
          <w:iCs/>
          <w:sz w:val="20"/>
        </w:rPr>
        <w:t xml:space="preserve">Triennial Review Order, </w:t>
      </w:r>
      <w:r w:rsidRPr="00546E2A">
        <w:rPr>
          <w:sz w:val="20"/>
        </w:rPr>
        <w:t>18 FCC</w:t>
      </w:r>
      <w:r>
        <w:rPr>
          <w:sz w:val="20"/>
        </w:rPr>
        <w:t xml:space="preserve"> </w:t>
      </w:r>
      <w:r w:rsidRPr="00546E2A">
        <w:rPr>
          <w:sz w:val="20"/>
        </w:rPr>
        <w:t xml:space="preserve">Rcd </w:t>
      </w:r>
      <w:r>
        <w:rPr>
          <w:sz w:val="20"/>
        </w:rPr>
        <w:t xml:space="preserve">at </w:t>
      </w:r>
      <w:r w:rsidRPr="00546E2A">
        <w:rPr>
          <w:sz w:val="20"/>
        </w:rPr>
        <w:t>16978</w:t>
      </w:r>
      <w:r>
        <w:rPr>
          <w:sz w:val="20"/>
        </w:rPr>
        <w:t xml:space="preserve">; </w:t>
      </w:r>
      <w:r>
        <w:rPr>
          <w:i/>
          <w:sz w:val="20"/>
        </w:rPr>
        <w:t>Triennial Review Remand Order</w:t>
      </w:r>
      <w:r w:rsidRPr="00546E2A">
        <w:rPr>
          <w:sz w:val="20"/>
        </w:rPr>
        <w:t xml:space="preserve">, 20 FCC Rcd </w:t>
      </w:r>
      <w:r>
        <w:rPr>
          <w:sz w:val="20"/>
        </w:rPr>
        <w:t>at</w:t>
      </w:r>
      <w:r w:rsidRPr="00546E2A">
        <w:rPr>
          <w:sz w:val="20"/>
        </w:rPr>
        <w:t xml:space="preserve"> 2541, para. 12</w:t>
      </w:r>
      <w:r w:rsidRPr="00670468">
        <w:rPr>
          <w:sz w:val="20"/>
        </w:rPr>
        <w:t>.</w:t>
      </w:r>
      <w:r>
        <w:rPr>
          <w:i/>
          <w:iCs/>
          <w:sz w:val="20"/>
        </w:rPr>
        <w:t xml:space="preserve"> </w:t>
      </w:r>
    </w:p>
  </w:footnote>
  <w:footnote w:id="91">
    <w:p w:rsidR="00967549" w:rsidRDefault="00967549" w:rsidP="00455188">
      <w:pPr>
        <w:pStyle w:val="FootnoteText"/>
      </w:pPr>
      <w:r>
        <w:rPr>
          <w:rStyle w:val="FootnoteReference"/>
        </w:rPr>
        <w:footnoteRef/>
      </w:r>
      <w:r>
        <w:t xml:space="preserve"> </w:t>
      </w:r>
      <w:r>
        <w:rPr>
          <w:i/>
        </w:rPr>
        <w:t>S</w:t>
      </w:r>
      <w:r w:rsidRPr="00671694">
        <w:rPr>
          <w:i/>
        </w:rPr>
        <w:t xml:space="preserve">ee </w:t>
      </w:r>
      <w:r w:rsidRPr="009D31EC">
        <w:t>Frontier Biennial Reply</w:t>
      </w:r>
      <w:r w:rsidRPr="001834D2">
        <w:t xml:space="preserve"> at 16.</w:t>
      </w:r>
    </w:p>
  </w:footnote>
  <w:footnote w:id="92">
    <w:p w:rsidR="00967549" w:rsidRPr="004976F9" w:rsidRDefault="00967549" w:rsidP="00455188">
      <w:pPr>
        <w:pStyle w:val="FootnoteText"/>
      </w:pPr>
      <w:r w:rsidRPr="003E6268">
        <w:rPr>
          <w:rStyle w:val="FootnoteReference"/>
        </w:rPr>
        <w:footnoteRef/>
      </w:r>
      <w:r w:rsidRPr="003E6268">
        <w:t xml:space="preserve"> 47 U.S.C. § 251(c)(5).</w:t>
      </w:r>
    </w:p>
  </w:footnote>
  <w:footnote w:id="93">
    <w:p w:rsidR="00967549" w:rsidRDefault="00967549" w:rsidP="00455188">
      <w:pPr>
        <w:pStyle w:val="FootnoteText"/>
      </w:pPr>
      <w:r>
        <w:rPr>
          <w:rStyle w:val="FootnoteReference"/>
        </w:rPr>
        <w:footnoteRef/>
      </w:r>
      <w:r>
        <w:t xml:space="preserve"> </w:t>
      </w:r>
      <w:r w:rsidRPr="00AA6E78">
        <w:rPr>
          <w:i/>
        </w:rPr>
        <w:t>Cf</w:t>
      </w:r>
      <w:r w:rsidRPr="00AA6E78">
        <w:t>. BT Americas, Inc. Reply, WC Docket No. 16-132, at 5 (Jan. 3, 2016)</w:t>
      </w:r>
      <w:r>
        <w:t xml:space="preserve">; </w:t>
      </w:r>
      <w:r w:rsidRPr="00AA6E78">
        <w:t>Windstream Services, LLC Reply,</w:t>
      </w:r>
      <w:r>
        <w:t xml:space="preserve"> W</w:t>
      </w:r>
      <w:r w:rsidRPr="00AA6E78">
        <w:t>C Docket No. 16-132, at 10-11 (Jan. 3, 2016)</w:t>
      </w:r>
      <w:r>
        <w:t>.</w:t>
      </w:r>
    </w:p>
  </w:footnote>
  <w:footnote w:id="94">
    <w:p w:rsidR="00967549" w:rsidRDefault="00967549" w:rsidP="00455188">
      <w:pPr>
        <w:pStyle w:val="FootnoteText"/>
      </w:pPr>
      <w:r>
        <w:rPr>
          <w:rStyle w:val="FootnoteReference"/>
        </w:rPr>
        <w:footnoteRef/>
      </w:r>
      <w:r>
        <w:t xml:space="preserve"> </w:t>
      </w:r>
      <w:r>
        <w:rPr>
          <w:i/>
        </w:rPr>
        <w:t>S</w:t>
      </w:r>
      <w:r w:rsidRPr="00047024">
        <w:rPr>
          <w:i/>
        </w:rPr>
        <w:t>ee</w:t>
      </w:r>
      <w:r>
        <w:t xml:space="preserve"> Verizon Comments, WC Docket No. 16-132, at 11 (Dec. 5, 2016) (noting that “the Commission’s new copper retirement rules and notification </w:t>
      </w:r>
      <w:r w:rsidRPr="00671694">
        <w:rPr>
          <w:color w:val="000000"/>
        </w:rPr>
        <w:t>structure</w:t>
      </w:r>
      <w:r>
        <w:t xml:space="preserve"> would still provide a fulsome and timely notification in connection with a provider’s actual filing”).</w:t>
      </w:r>
    </w:p>
  </w:footnote>
  <w:footnote w:id="95">
    <w:p w:rsidR="00967549" w:rsidRPr="003F3EAE" w:rsidRDefault="00967549" w:rsidP="00455188">
      <w:pPr>
        <w:pStyle w:val="FootnoteText"/>
      </w:pPr>
      <w:r w:rsidRPr="003F3EAE">
        <w:rPr>
          <w:rStyle w:val="FootnoteReference"/>
        </w:rPr>
        <w:footnoteRef/>
      </w:r>
      <w:r w:rsidRPr="003F3EAE">
        <w:t xml:space="preserve"> </w:t>
      </w:r>
      <w:r w:rsidRPr="003F3EAE">
        <w:rPr>
          <w:i/>
        </w:rPr>
        <w:t>See</w:t>
      </w:r>
      <w:r w:rsidRPr="00150EE3">
        <w:rPr>
          <w:i/>
          <w:kern w:val="28"/>
          <w:sz w:val="22"/>
        </w:rPr>
        <w:t xml:space="preserve"> </w:t>
      </w:r>
      <w:r w:rsidRPr="003D1C65">
        <w:rPr>
          <w:i/>
        </w:rPr>
        <w:t xml:space="preserve">Second Local Competition </w:t>
      </w:r>
      <w:r w:rsidRPr="00150EE3">
        <w:rPr>
          <w:i/>
        </w:rPr>
        <w:t>Order</w:t>
      </w:r>
      <w:r w:rsidRPr="003F3EAE">
        <w:rPr>
          <w:color w:val="000000"/>
        </w:rPr>
        <w:t xml:space="preserve">, </w:t>
      </w:r>
      <w:r w:rsidRPr="003F3EAE">
        <w:t xml:space="preserve">11 FCC Rcd </w:t>
      </w:r>
      <w:r>
        <w:t xml:space="preserve">at </w:t>
      </w:r>
      <w:r w:rsidRPr="003F3EAE">
        <w:t>19494, para. 221</w:t>
      </w:r>
      <w:r>
        <w:t>.</w:t>
      </w:r>
      <w:r w:rsidRPr="003F3EAE">
        <w:t xml:space="preserve"> </w:t>
      </w:r>
    </w:p>
  </w:footnote>
  <w:footnote w:id="96">
    <w:p w:rsidR="00967549" w:rsidRDefault="00967549" w:rsidP="00455188">
      <w:pPr>
        <w:pStyle w:val="FootnoteText"/>
      </w:pPr>
      <w:r>
        <w:rPr>
          <w:rStyle w:val="FootnoteReference"/>
        </w:rPr>
        <w:footnoteRef/>
      </w:r>
      <w:r>
        <w:t xml:space="preserve"> 47 CFR § 51.333(c).</w:t>
      </w:r>
    </w:p>
  </w:footnote>
  <w:footnote w:id="97">
    <w:p w:rsidR="00967549" w:rsidRPr="004D55EF" w:rsidRDefault="00967549" w:rsidP="00455188">
      <w:pPr>
        <w:pStyle w:val="FootnoteText"/>
      </w:pPr>
      <w:r w:rsidRPr="004D55EF">
        <w:rPr>
          <w:rStyle w:val="FootnoteReference"/>
        </w:rPr>
        <w:footnoteRef/>
      </w:r>
      <w:r w:rsidRPr="004D55EF">
        <w:t xml:space="preserve"> </w:t>
      </w:r>
      <w:r>
        <w:t>47 CFR § 68.110(b)</w:t>
      </w:r>
      <w:r w:rsidRPr="004D55EF">
        <w:rPr>
          <w:color w:val="000000"/>
          <w:shd w:val="clear" w:color="auto" w:fill="FFFFFF"/>
        </w:rPr>
        <w:t>.</w:t>
      </w:r>
    </w:p>
  </w:footnote>
  <w:footnote w:id="98">
    <w:p w:rsidR="00967549" w:rsidRDefault="00967549" w:rsidP="00455188">
      <w:pPr>
        <w:pStyle w:val="FootnoteText"/>
      </w:pPr>
      <w:r>
        <w:rPr>
          <w:rStyle w:val="FootnoteReference"/>
        </w:rPr>
        <w:footnoteRef/>
      </w:r>
      <w:r>
        <w:t xml:space="preserve"> 47 CFR § 51.332(d)(8).</w:t>
      </w:r>
    </w:p>
  </w:footnote>
  <w:footnote w:id="99">
    <w:p w:rsidR="00967549" w:rsidRDefault="00967549" w:rsidP="00455188">
      <w:pPr>
        <w:pStyle w:val="FootnoteText"/>
      </w:pPr>
      <w:r>
        <w:rPr>
          <w:rStyle w:val="FootnoteReference"/>
        </w:rPr>
        <w:footnoteRef/>
      </w:r>
      <w:r>
        <w:t xml:space="preserve"> </w:t>
      </w:r>
      <w:r>
        <w:rPr>
          <w:snapToGrid w:val="0"/>
        </w:rPr>
        <w:t>For convenience, in certain circumstances this item uses “discontinue” (or “discontinued” or “discontinuance,” etc.) as shorthand that encompasses the statutory terms “discontinue, reduce, or impair” unless the context indicates otherwise.</w:t>
      </w:r>
    </w:p>
  </w:footnote>
  <w:footnote w:id="100">
    <w:p w:rsidR="00967549" w:rsidRDefault="00967549" w:rsidP="00455188">
      <w:pPr>
        <w:pStyle w:val="FootnoteText"/>
      </w:pPr>
      <w:r>
        <w:rPr>
          <w:rStyle w:val="FootnoteReference"/>
        </w:rPr>
        <w:footnoteRef/>
      </w:r>
      <w:r>
        <w:t xml:space="preserve"> </w:t>
      </w:r>
      <w:r w:rsidRPr="00E64C34">
        <w:t>47 U.S.C. § 214</w:t>
      </w:r>
      <w:r>
        <w:t>(a).</w:t>
      </w:r>
    </w:p>
  </w:footnote>
  <w:footnote w:id="101">
    <w:p w:rsidR="00967549" w:rsidRDefault="00967549" w:rsidP="00455188">
      <w:pPr>
        <w:pStyle w:val="FootnoteText"/>
      </w:pPr>
      <w:r>
        <w:rPr>
          <w:rStyle w:val="FootnoteReference"/>
        </w:rPr>
        <w:footnoteRef/>
      </w:r>
      <w:r>
        <w:t xml:space="preserve"> </w:t>
      </w:r>
      <w:r w:rsidRPr="00ED7C26">
        <w:t>47 CFR § 63.</w:t>
      </w:r>
      <w:r>
        <w:t>71.</w:t>
      </w:r>
    </w:p>
  </w:footnote>
  <w:footnote w:id="102">
    <w:p w:rsidR="00967549" w:rsidRDefault="00967549" w:rsidP="00455188">
      <w:pPr>
        <w:pStyle w:val="FootnoteText"/>
      </w:pPr>
      <w:r>
        <w:rPr>
          <w:rStyle w:val="FootnoteReference"/>
        </w:rPr>
        <w:footnoteRef/>
      </w:r>
      <w:r>
        <w:t xml:space="preserve"> CenturyLink Comments, PS Docket No. 14-174, GN Docket No. 13-5, WC Docket No. 05-25, RM-11358, RM-10593, at 6 (Feb. 5, 2015).</w:t>
      </w:r>
    </w:p>
  </w:footnote>
  <w:footnote w:id="103">
    <w:p w:rsidR="00967549" w:rsidRDefault="00967549" w:rsidP="00455188">
      <w:pPr>
        <w:pStyle w:val="FootnoteText"/>
      </w:pPr>
      <w:r>
        <w:rPr>
          <w:rStyle w:val="FootnoteReference"/>
        </w:rPr>
        <w:footnoteRef/>
      </w:r>
      <w:r>
        <w:t xml:space="preserve"> </w:t>
      </w:r>
      <w:r w:rsidRPr="00635CB7">
        <w:rPr>
          <w:i/>
        </w:rPr>
        <w:t>See, e.g.</w:t>
      </w:r>
      <w:r w:rsidRPr="00635CB7">
        <w:t xml:space="preserve">, USTelecom Comments, WC Docket No. 16-132, at 13-14 (Dec. 5, 2016) (USTelecom Biennial Comments) (stating that the “successful deployment of broadband technologies will rely in great part on the replacement of TDM-based switches and copper wire with fiber- and IP-based networks and other facilities and technologies that are better suited to handle the feature-rich services that consumers demand”); Frontier </w:t>
      </w:r>
      <w:r>
        <w:t xml:space="preserve">Biennial </w:t>
      </w:r>
      <w:r w:rsidRPr="00635CB7">
        <w:t>Reply</w:t>
      </w:r>
      <w:r>
        <w:t xml:space="preserve"> </w:t>
      </w:r>
      <w:r w:rsidRPr="00635CB7">
        <w:t>at 15-16 (entreating the Commission to reform its section 214 discontinuance process when carriers seek authorization to upgrade their networks from copper to fiber, arguing that, by “removing the obligations and processes associated” with network upgrades, “the Commission has an opportunity to incentivize and speed next-generation deployments”)</w:t>
      </w:r>
      <w:r>
        <w:t>;</w:t>
      </w:r>
      <w:r w:rsidRPr="00A92A44">
        <w:rPr>
          <w:snapToGrid w:val="0"/>
          <w:kern w:val="28"/>
          <w:sz w:val="22"/>
        </w:rPr>
        <w:t xml:space="preserve"> </w:t>
      </w:r>
      <w:r w:rsidRPr="00A92A44">
        <w:t xml:space="preserve">CenturyLink </w:t>
      </w:r>
      <w:r>
        <w:t xml:space="preserve">Biennial </w:t>
      </w:r>
      <w:r w:rsidRPr="00A92A44">
        <w:t>Comments at 19 &amp; 20 (contending that the current Section 214 discontinuance rules create unnecessary burdens and dramatically slow the IP transition</w:t>
      </w:r>
      <w:r>
        <w:t>,</w:t>
      </w:r>
      <w:r w:rsidRPr="00A92A44">
        <w:t xml:space="preserve"> and advocating that the Commission modify its “Section 214 process to expedite the IP transition”)</w:t>
      </w:r>
      <w:r>
        <w:t>.</w:t>
      </w:r>
    </w:p>
  </w:footnote>
  <w:footnote w:id="104">
    <w:p w:rsidR="00967549" w:rsidRPr="003E4791" w:rsidRDefault="00967549" w:rsidP="00455188">
      <w:pPr>
        <w:pStyle w:val="FootnoteText"/>
      </w:pPr>
      <w:r>
        <w:rPr>
          <w:rStyle w:val="FootnoteReference"/>
        </w:rPr>
        <w:footnoteRef/>
      </w:r>
      <w:r>
        <w:t xml:space="preserve"> </w:t>
      </w:r>
      <w:r>
        <w:rPr>
          <w:i/>
        </w:rPr>
        <w:t>See, e.g.</w:t>
      </w:r>
      <w:r>
        <w:t>,</w:t>
      </w:r>
      <w:r>
        <w:rPr>
          <w:i/>
        </w:rPr>
        <w:t xml:space="preserve"> </w:t>
      </w:r>
      <w:r w:rsidRPr="00EB31A8">
        <w:rPr>
          <w:i/>
        </w:rPr>
        <w:t>Comments Invited on Applications of AT&amp;T Services, Inc. on Behalf of Bellsouth Telecommunications, LLC D/B/A AT&amp;T Southeast to Discontinue Certain Domestic Business Telecommunications Services in Trial Wire Centers</w:t>
      </w:r>
      <w:r w:rsidRPr="00470634">
        <w:t>, WC Docket Nos. 15-274 et al.</w:t>
      </w:r>
      <w:r w:rsidRPr="00971615">
        <w:t>,</w:t>
      </w:r>
      <w:r>
        <w:t xml:space="preserve"> Public Notice, 30 FCC Rcd 13319, 13319, para. 1 (2015) (stating that AT&amp;T’s plans to grandfather three domestic business telecommunications services would entail “continued service to existing customers and the offer of only next generation wireless and wireline Internet Protocol (IP)-based alternatives for new orders”); </w:t>
      </w:r>
      <w:r>
        <w:rPr>
          <w:i/>
        </w:rPr>
        <w:t xml:space="preserve">see also </w:t>
      </w:r>
      <w:r>
        <w:t xml:space="preserve">AT&amp;T Proposal for Wire Center Trials, GN Docket Nos. 13-5 &amp; 12-353, at 10-11 (filed Feb. 27, 2014), </w:t>
      </w:r>
      <w:hyperlink r:id="rId7" w:history="1">
        <w:r w:rsidRPr="00CF6D95">
          <w:rPr>
            <w:rStyle w:val="Hyperlink"/>
          </w:rPr>
          <w:t>https://ecfsapi.fcc.gov/file/7521090526.pdf</w:t>
        </w:r>
      </w:hyperlink>
      <w:r>
        <w:t xml:space="preserve">; </w:t>
      </w:r>
      <w:r w:rsidRPr="00A51BB6">
        <w:t xml:space="preserve">Sean Buckley, </w:t>
      </w:r>
      <w:r w:rsidRPr="00EB31A8">
        <w:t>Verizon to grandfather TDM-based voice, data services in Northeast wiring centers</w:t>
      </w:r>
      <w:r>
        <w:t>, FierceTelecom</w:t>
      </w:r>
      <w:r w:rsidRPr="00A51BB6">
        <w:t xml:space="preserve"> (Sept. 27, 2016), </w:t>
      </w:r>
      <w:hyperlink r:id="rId8" w:history="1">
        <w:r w:rsidRPr="00A51BB6">
          <w:rPr>
            <w:rStyle w:val="Hyperlink"/>
          </w:rPr>
          <w:t>http://www.fiercetelecom.com/telecom/verizon-to-grandfather-more-tdm-based-voice-data-services-multiple-northeast-wiring-centers</w:t>
        </w:r>
      </w:hyperlink>
      <w:r>
        <w:t>.</w:t>
      </w:r>
    </w:p>
  </w:footnote>
  <w:footnote w:id="105">
    <w:p w:rsidR="00967549" w:rsidRPr="00883966" w:rsidRDefault="00967549" w:rsidP="00455188">
      <w:pPr>
        <w:spacing w:after="120"/>
        <w:rPr>
          <w:rFonts w:ascii="Times" w:hAnsi="Times"/>
          <w:snapToGrid/>
          <w:kern w:val="0"/>
          <w:sz w:val="20"/>
        </w:rPr>
      </w:pPr>
      <w:r w:rsidRPr="00883966">
        <w:rPr>
          <w:rStyle w:val="FootnoteReference"/>
        </w:rPr>
        <w:footnoteRef/>
      </w:r>
      <w:r w:rsidRPr="00883966">
        <w:rPr>
          <w:sz w:val="20"/>
        </w:rPr>
        <w:t xml:space="preserve"> </w:t>
      </w:r>
      <w:r>
        <w:rPr>
          <w:i/>
          <w:sz w:val="20"/>
        </w:rPr>
        <w:t xml:space="preserve">See </w:t>
      </w:r>
      <w:r w:rsidRPr="00203D94">
        <w:rPr>
          <w:sz w:val="20"/>
        </w:rPr>
        <w:t xml:space="preserve">47 CFR </w:t>
      </w:r>
      <w:r w:rsidRPr="00B04BBA">
        <w:rPr>
          <w:snapToGrid/>
          <w:kern w:val="0"/>
          <w:sz w:val="20"/>
          <w:shd w:val="clear" w:color="auto" w:fill="FFFFFF"/>
        </w:rPr>
        <w:t>§ 63.71(a)(5)(i)</w:t>
      </w:r>
      <w:r>
        <w:rPr>
          <w:snapToGrid/>
          <w:kern w:val="0"/>
          <w:sz w:val="20"/>
          <w:shd w:val="clear" w:color="auto" w:fill="FFFFFF"/>
        </w:rPr>
        <w:t xml:space="preserve"> (non-dominant carriers);</w:t>
      </w:r>
      <w:r w:rsidRPr="00B04BBA">
        <w:rPr>
          <w:i/>
          <w:snapToGrid/>
          <w:kern w:val="0"/>
          <w:sz w:val="20"/>
          <w:shd w:val="clear" w:color="auto" w:fill="FFFFFF"/>
        </w:rPr>
        <w:t xml:space="preserve"> </w:t>
      </w:r>
      <w:r w:rsidRPr="00203D94">
        <w:rPr>
          <w:sz w:val="20"/>
        </w:rPr>
        <w:t xml:space="preserve">47 CFR </w:t>
      </w:r>
      <w:r w:rsidRPr="00B04BBA">
        <w:rPr>
          <w:snapToGrid/>
          <w:kern w:val="0"/>
          <w:sz w:val="20"/>
          <w:shd w:val="clear" w:color="auto" w:fill="FFFFFF"/>
        </w:rPr>
        <w:t>§ 63.71(a)(5)(ii)</w:t>
      </w:r>
      <w:r>
        <w:rPr>
          <w:snapToGrid/>
          <w:kern w:val="0"/>
          <w:sz w:val="20"/>
          <w:shd w:val="clear" w:color="auto" w:fill="FFFFFF"/>
        </w:rPr>
        <w:t xml:space="preserve"> (dominant carriers)</w:t>
      </w:r>
      <w:r w:rsidRPr="00B04BBA">
        <w:rPr>
          <w:snapToGrid/>
          <w:kern w:val="0"/>
          <w:sz w:val="20"/>
          <w:shd w:val="clear" w:color="auto" w:fill="FFFFFF"/>
        </w:rPr>
        <w:t>.</w:t>
      </w:r>
    </w:p>
  </w:footnote>
  <w:footnote w:id="106">
    <w:p w:rsidR="00967549" w:rsidRPr="009E2B58" w:rsidRDefault="00967549" w:rsidP="00455188">
      <w:pPr>
        <w:pStyle w:val="FootnoteText"/>
      </w:pPr>
      <w:r>
        <w:rPr>
          <w:rStyle w:val="FootnoteReference"/>
        </w:rPr>
        <w:footnoteRef/>
      </w:r>
      <w:r>
        <w:t xml:space="preserve"> </w:t>
      </w:r>
      <w:r w:rsidRPr="00C7028A">
        <w:rPr>
          <w:shd w:val="clear" w:color="auto" w:fill="FFFFFF"/>
        </w:rPr>
        <w:t>Under our current rules,</w:t>
      </w:r>
      <w:r w:rsidRPr="00B04BBA">
        <w:rPr>
          <w:shd w:val="clear" w:color="auto" w:fill="FFFFFF"/>
        </w:rPr>
        <w:t xml:space="preserve"> an application by a domestic, dominant carrier will be automatically granted on the 60th day after its filing unless the Commission notifies the applicant that the grant will not be automatically effective</w:t>
      </w:r>
      <w:r>
        <w:rPr>
          <w:shd w:val="clear" w:color="auto" w:fill="FFFFFF"/>
        </w:rPr>
        <w:t xml:space="preserve">, whereas </w:t>
      </w:r>
      <w:r w:rsidRPr="000F432A">
        <w:rPr>
          <w:shd w:val="clear" w:color="auto" w:fill="FFFFFF"/>
        </w:rPr>
        <w:t>an application by a domestic, non-dominant carrier will be automatically granted on the 31st day after its filing unless the Commission notifies the applicant that the grant will not be automatically effective</w:t>
      </w:r>
      <w:r w:rsidRPr="00B04BBA">
        <w:rPr>
          <w:shd w:val="clear" w:color="auto" w:fill="FFFFFF"/>
        </w:rPr>
        <w:t xml:space="preserve">.  </w:t>
      </w:r>
      <w:r w:rsidRPr="00492A23">
        <w:rPr>
          <w:i/>
          <w:shd w:val="clear" w:color="auto" w:fill="FFFFFF"/>
        </w:rPr>
        <w:t xml:space="preserve">See </w:t>
      </w:r>
      <w:r w:rsidRPr="00492A23">
        <w:rPr>
          <w:shd w:val="clear" w:color="auto" w:fill="FFFFFF"/>
        </w:rPr>
        <w:t xml:space="preserve">47 CFR § 63.71(f). </w:t>
      </w:r>
    </w:p>
  </w:footnote>
  <w:footnote w:id="107">
    <w:p w:rsidR="00967549" w:rsidRDefault="00967549" w:rsidP="00455188">
      <w:pPr>
        <w:pStyle w:val="FootnoteText"/>
      </w:pPr>
      <w:r>
        <w:rPr>
          <w:rStyle w:val="FootnoteReference"/>
        </w:rPr>
        <w:footnoteRef/>
      </w:r>
      <w:r>
        <w:t xml:space="preserve"> Petition for Reconsideration or Clarification of the National Telecommunications and Information Administration, GN Docket No. 13-5 et al., at 2 (filed Oct. 12, 2016) (NTIA Petition).</w:t>
      </w:r>
    </w:p>
  </w:footnote>
  <w:footnote w:id="108">
    <w:p w:rsidR="00967549" w:rsidRDefault="00967549" w:rsidP="00455188">
      <w:pPr>
        <w:pStyle w:val="FootnoteText"/>
      </w:pPr>
      <w:r>
        <w:rPr>
          <w:rStyle w:val="FootnoteReference"/>
        </w:rPr>
        <w:footnoteRef/>
      </w:r>
      <w:r>
        <w:t xml:space="preserve"> </w:t>
      </w:r>
      <w:r>
        <w:rPr>
          <w:i/>
        </w:rPr>
        <w:t>See id</w:t>
      </w:r>
      <w:r>
        <w:t>. at 12.</w:t>
      </w:r>
    </w:p>
  </w:footnote>
  <w:footnote w:id="109">
    <w:p w:rsidR="00967549" w:rsidRPr="00643004" w:rsidRDefault="00967549" w:rsidP="00455188">
      <w:pPr>
        <w:pStyle w:val="FootnoteText"/>
      </w:pPr>
      <w:r>
        <w:rPr>
          <w:rStyle w:val="FootnoteReference"/>
        </w:rPr>
        <w:footnoteRef/>
      </w:r>
      <w:r>
        <w:t xml:space="preserve"> </w:t>
      </w:r>
      <w:r>
        <w:rPr>
          <w:i/>
        </w:rPr>
        <w:t>See id</w:t>
      </w:r>
      <w:r>
        <w:t>. at 3.</w:t>
      </w:r>
    </w:p>
  </w:footnote>
  <w:footnote w:id="110">
    <w:p w:rsidR="00967549" w:rsidRPr="000862C4" w:rsidRDefault="00967549" w:rsidP="00455188">
      <w:pPr>
        <w:widowControl/>
        <w:autoSpaceDE w:val="0"/>
        <w:autoSpaceDN w:val="0"/>
        <w:adjustRightInd w:val="0"/>
        <w:spacing w:after="120"/>
        <w:rPr>
          <w:color w:val="1F497D"/>
          <w:sz w:val="20"/>
        </w:rPr>
      </w:pPr>
      <w:r w:rsidRPr="006A33FC">
        <w:rPr>
          <w:rStyle w:val="FootnoteReference"/>
        </w:rPr>
        <w:footnoteRef/>
      </w:r>
      <w:r w:rsidRPr="00150EE3">
        <w:rPr>
          <w:sz w:val="20"/>
        </w:rPr>
        <w:t xml:space="preserve"> </w:t>
      </w:r>
      <w:r w:rsidRPr="006A33FC">
        <w:rPr>
          <w:snapToGrid/>
          <w:kern w:val="0"/>
          <w:sz w:val="20"/>
        </w:rPr>
        <w:t>Assignment of National Security and Emergency Preparedness Communications Functions</w:t>
      </w:r>
      <w:r w:rsidRPr="006A33FC">
        <w:rPr>
          <w:sz w:val="20"/>
        </w:rPr>
        <w:t xml:space="preserve">, </w:t>
      </w:r>
      <w:r w:rsidRPr="008A7070">
        <w:rPr>
          <w:sz w:val="20"/>
        </w:rPr>
        <w:t xml:space="preserve">Exec. Order 13,618, 3 CFR </w:t>
      </w:r>
      <w:r w:rsidRPr="00150EE3">
        <w:rPr>
          <w:sz w:val="20"/>
        </w:rPr>
        <w:t>§</w:t>
      </w:r>
      <w:r w:rsidRPr="006A33FC">
        <w:rPr>
          <w:sz w:val="20"/>
        </w:rPr>
        <w:t xml:space="preserve"> 273 </w:t>
      </w:r>
      <w:r w:rsidRPr="008A7070">
        <w:rPr>
          <w:snapToGrid/>
          <w:kern w:val="0"/>
          <w:sz w:val="20"/>
        </w:rPr>
        <w:t xml:space="preserve">(July 6, 2012), </w:t>
      </w:r>
      <w:r w:rsidRPr="008A7070">
        <w:rPr>
          <w:sz w:val="20"/>
        </w:rPr>
        <w:t>states the following as policy of the United States</w:t>
      </w:r>
      <w:r w:rsidRPr="008A7070">
        <w:rPr>
          <w:color w:val="1F497D"/>
          <w:sz w:val="20"/>
        </w:rPr>
        <w:t>:  “</w:t>
      </w:r>
      <w:r w:rsidRPr="008A7070">
        <w:rPr>
          <w:sz w:val="20"/>
        </w:rPr>
        <w:t>The Federal Government must have the ability to communicate at all times and under all circumstances to carry out its most critical and time sensitive missions.  Survivable, resilien</w:t>
      </w:r>
      <w:r w:rsidRPr="006A33FC">
        <w:rPr>
          <w:sz w:val="20"/>
        </w:rPr>
        <w:t>t, enduring, and effective communications, both domestic and international, are essential to enable the executive branch to communicate within itself and with: the legislative and judicial branches; State, local, territorial, and tribal governments; private sector entities; and the public, allies, and other nations.  Such</w:t>
      </w:r>
      <w:r w:rsidRPr="42653066">
        <w:rPr>
          <w:sz w:val="20"/>
        </w:rPr>
        <w:t xml:space="preserve"> communications must be possible under all circumstances to ensure national security, effectively manage emergencies, and improve national resilience.  The views of all levels of government, the private and nonprofit sectors, and the public must inform the development of national security and emergency preparedness (NS/EP) communications policies, programs, and capabilities.</w:t>
      </w:r>
      <w:r w:rsidRPr="42653066">
        <w:rPr>
          <w:color w:val="1F497D"/>
          <w:sz w:val="20"/>
        </w:rPr>
        <w:t>”</w:t>
      </w:r>
    </w:p>
  </w:footnote>
  <w:footnote w:id="111">
    <w:p w:rsidR="00967549" w:rsidRDefault="00967549" w:rsidP="00455188">
      <w:pPr>
        <w:pStyle w:val="FootnoteText"/>
      </w:pPr>
      <w:r>
        <w:rPr>
          <w:rStyle w:val="FootnoteReference"/>
        </w:rPr>
        <w:footnoteRef/>
      </w:r>
      <w:r>
        <w:t xml:space="preserve"> </w:t>
      </w:r>
      <w:r w:rsidRPr="42653066">
        <w:rPr>
          <w:i/>
          <w:iCs/>
        </w:rPr>
        <w:t xml:space="preserve">See </w:t>
      </w:r>
      <w:r w:rsidRPr="005A74D9">
        <w:t>47 U.S.C.</w:t>
      </w:r>
      <w:r>
        <w:t xml:space="preserve"> §</w:t>
      </w:r>
      <w:r w:rsidRPr="005A74D9">
        <w:t xml:space="preserve"> 151.</w:t>
      </w:r>
    </w:p>
  </w:footnote>
  <w:footnote w:id="112">
    <w:p w:rsidR="00967549" w:rsidRDefault="00967549" w:rsidP="00455188">
      <w:pPr>
        <w:pStyle w:val="FootnoteText"/>
      </w:pPr>
      <w:r>
        <w:rPr>
          <w:rStyle w:val="FootnoteReference"/>
        </w:rPr>
        <w:footnoteRef/>
      </w:r>
      <w:r>
        <w:t xml:space="preserve"> NTIA Petition at 12.</w:t>
      </w:r>
    </w:p>
  </w:footnote>
  <w:footnote w:id="113">
    <w:p w:rsidR="00967549" w:rsidRDefault="00967549" w:rsidP="00455188">
      <w:pPr>
        <w:pStyle w:val="FootnoteText"/>
      </w:pPr>
      <w:r>
        <w:rPr>
          <w:rStyle w:val="FootnoteReference"/>
        </w:rPr>
        <w:footnoteRef/>
      </w:r>
      <w:r>
        <w:t xml:space="preserve"> </w:t>
      </w:r>
      <w:r>
        <w:rPr>
          <w:i/>
        </w:rPr>
        <w:t>Id</w:t>
      </w:r>
      <w:r>
        <w:t>. at 13-14.</w:t>
      </w:r>
    </w:p>
  </w:footnote>
  <w:footnote w:id="114">
    <w:p w:rsidR="00967549" w:rsidRPr="00526941" w:rsidRDefault="00967549" w:rsidP="00455188">
      <w:pPr>
        <w:pStyle w:val="FootnoteText"/>
      </w:pPr>
      <w:r>
        <w:rPr>
          <w:rStyle w:val="FootnoteReference"/>
        </w:rPr>
        <w:footnoteRef/>
      </w:r>
      <w:r>
        <w:t xml:space="preserve"> </w:t>
      </w:r>
      <w:r>
        <w:rPr>
          <w:i/>
        </w:rPr>
        <w:t xml:space="preserve">See </w:t>
      </w:r>
      <w:r>
        <w:t>NTIA Petition at 2-3, 12-14.</w:t>
      </w:r>
    </w:p>
  </w:footnote>
  <w:footnote w:id="115">
    <w:p w:rsidR="00967549" w:rsidRDefault="00967549" w:rsidP="00455188">
      <w:pPr>
        <w:pStyle w:val="FootnoteText"/>
      </w:pPr>
      <w:r>
        <w:rPr>
          <w:rStyle w:val="FootnoteReference"/>
        </w:rPr>
        <w:footnoteRef/>
      </w:r>
      <w:r>
        <w:t xml:space="preserve"> </w:t>
      </w:r>
      <w:r w:rsidRPr="001A3161">
        <w:rPr>
          <w:i/>
        </w:rPr>
        <w:t>2015 Technology Transitions Order</w:t>
      </w:r>
      <w:r w:rsidRPr="001A3161">
        <w:t>, 30 FCC Rcd at 9</w:t>
      </w:r>
      <w:r>
        <w:t>4</w:t>
      </w:r>
      <w:r w:rsidRPr="001A3161">
        <w:t>28, para. 102.</w:t>
      </w:r>
    </w:p>
  </w:footnote>
  <w:footnote w:id="116">
    <w:p w:rsidR="00967549" w:rsidRDefault="00967549" w:rsidP="00455188">
      <w:pPr>
        <w:pStyle w:val="FootnoteText"/>
      </w:pPr>
      <w:r>
        <w:rPr>
          <w:rStyle w:val="FootnoteReference"/>
        </w:rPr>
        <w:footnoteRef/>
      </w:r>
      <w:r>
        <w:t xml:space="preserve"> </w:t>
      </w:r>
      <w:r>
        <w:rPr>
          <w:i/>
        </w:rPr>
        <w:t>Id.</w:t>
      </w:r>
    </w:p>
  </w:footnote>
  <w:footnote w:id="117">
    <w:p w:rsidR="00967549" w:rsidRDefault="00967549" w:rsidP="00455188">
      <w:pPr>
        <w:pStyle w:val="FootnoteText"/>
      </w:pPr>
      <w:r>
        <w:rPr>
          <w:rStyle w:val="FootnoteReference"/>
        </w:rPr>
        <w:footnoteRef/>
      </w:r>
      <w:r>
        <w:t xml:space="preserve"> 47 U.S.C. § 214(a).</w:t>
      </w:r>
    </w:p>
  </w:footnote>
  <w:footnote w:id="118">
    <w:p w:rsidR="00967549" w:rsidRPr="00FD25E3" w:rsidRDefault="00967549" w:rsidP="00455188">
      <w:pPr>
        <w:pStyle w:val="FootnoteText"/>
      </w:pPr>
      <w:r w:rsidRPr="00FD25E3">
        <w:rPr>
          <w:rStyle w:val="FootnoteReference"/>
        </w:rPr>
        <w:footnoteRef/>
      </w:r>
      <w:r w:rsidRPr="00FD25E3">
        <w:t xml:space="preserve"> </w:t>
      </w:r>
      <w:r>
        <w:rPr>
          <w:i/>
        </w:rPr>
        <w:t>2015 Technology Transitions Order</w:t>
      </w:r>
      <w:r>
        <w:t>, 30 FCC Rcd</w:t>
      </w:r>
      <w:r w:rsidRPr="00516537">
        <w:t xml:space="preserve"> at 9</w:t>
      </w:r>
      <w:r>
        <w:t xml:space="preserve">438, </w:t>
      </w:r>
      <w:r w:rsidRPr="00FD25E3">
        <w:t>para. 121.</w:t>
      </w:r>
    </w:p>
  </w:footnote>
  <w:footnote w:id="119">
    <w:p w:rsidR="00967549" w:rsidRDefault="00967549" w:rsidP="00455188">
      <w:pPr>
        <w:pStyle w:val="FootnoteText"/>
      </w:pPr>
      <w:r>
        <w:rPr>
          <w:rStyle w:val="FootnoteReference"/>
        </w:rPr>
        <w:footnoteRef/>
      </w:r>
      <w:r>
        <w:t xml:space="preserve"> 47 CFR § 63.71.</w:t>
      </w:r>
    </w:p>
  </w:footnote>
  <w:footnote w:id="120">
    <w:p w:rsidR="00967549" w:rsidRPr="00FD25E3" w:rsidRDefault="00967549" w:rsidP="00455188">
      <w:pPr>
        <w:pStyle w:val="FootnoteText"/>
      </w:pPr>
      <w:r w:rsidRPr="00FD25E3">
        <w:rPr>
          <w:rStyle w:val="FootnoteReference"/>
        </w:rPr>
        <w:footnoteRef/>
      </w:r>
      <w:r w:rsidRPr="00FD25E3">
        <w:t xml:space="preserve"> </w:t>
      </w:r>
      <w:r>
        <w:rPr>
          <w:i/>
        </w:rPr>
        <w:t>2015 Technology Transitions Order</w:t>
      </w:r>
      <w:r>
        <w:t>, 30 FCC Rcd</w:t>
      </w:r>
      <w:r>
        <w:rPr>
          <w:i/>
        </w:rPr>
        <w:t xml:space="preserve"> </w:t>
      </w:r>
      <w:r w:rsidRPr="00FA7908">
        <w:t>at 9438</w:t>
      </w:r>
      <w:r>
        <w:t>,</w:t>
      </w:r>
      <w:r w:rsidRPr="00FD25E3">
        <w:t xml:space="preserve"> </w:t>
      </w:r>
      <w:r>
        <w:t xml:space="preserve">para. 120 </w:t>
      </w:r>
      <w:r w:rsidRPr="00FD25E3">
        <w:t>n.421 (“</w:t>
      </w:r>
      <w:r>
        <w:t>[C]</w:t>
      </w:r>
      <w:r w:rsidRPr="00FD25E3">
        <w:t>arrier-customers that discontinue, reduce, or impair service to retail end users as a result of the elimination of a wholesale input must also comply with section 214(a) of the Act and the Commission’s implementing rules</w:t>
      </w:r>
      <w:r>
        <w:t>.”)</w:t>
      </w:r>
      <w:r w:rsidRPr="00FD25E3">
        <w:t>.</w:t>
      </w:r>
    </w:p>
  </w:footnote>
  <w:footnote w:id="121">
    <w:p w:rsidR="00967549" w:rsidRPr="00FD25E3" w:rsidRDefault="00967549" w:rsidP="00455188">
      <w:pPr>
        <w:pStyle w:val="FootnoteText"/>
      </w:pPr>
      <w:r w:rsidRPr="00FD25E3">
        <w:rPr>
          <w:rStyle w:val="FootnoteReference"/>
        </w:rPr>
        <w:footnoteRef/>
      </w:r>
      <w:r w:rsidRPr="00FD25E3">
        <w:t xml:space="preserve"> </w:t>
      </w:r>
      <w:r w:rsidRPr="00FD25E3">
        <w:rPr>
          <w:i/>
        </w:rPr>
        <w:t>Western Union Telegraph Company Petition for Order to Require the Bell System to Continue to Provide Group/Supergroup Facilities</w:t>
      </w:r>
      <w:r w:rsidRPr="00FD25E3">
        <w:t>, Memorandum Opinion and Order, 74 FCC 2d 293</w:t>
      </w:r>
      <w:r>
        <w:t>, 295 n.4 (1979) (</w:t>
      </w:r>
      <w:r w:rsidRPr="00FD25E3">
        <w:rPr>
          <w:i/>
        </w:rPr>
        <w:t>Western Union</w:t>
      </w:r>
      <w:r>
        <w:t>).</w:t>
      </w:r>
    </w:p>
  </w:footnote>
  <w:footnote w:id="122">
    <w:p w:rsidR="00967549" w:rsidRPr="00FD25E3" w:rsidRDefault="00967549" w:rsidP="00455188">
      <w:pPr>
        <w:pStyle w:val="FootnoteText"/>
      </w:pPr>
      <w:r w:rsidRPr="00FD25E3">
        <w:rPr>
          <w:rStyle w:val="FootnoteReference"/>
        </w:rPr>
        <w:footnoteRef/>
      </w:r>
      <w:r w:rsidRPr="00FD25E3">
        <w:t xml:space="preserve"> </w:t>
      </w:r>
      <w:r w:rsidRPr="006E07E0">
        <w:rPr>
          <w:i/>
        </w:rPr>
        <w:t>See</w:t>
      </w:r>
      <w:r w:rsidRPr="00FD25E3">
        <w:t xml:space="preserve"> </w:t>
      </w:r>
      <w:r>
        <w:t xml:space="preserve">Title, </w:t>
      </w:r>
      <w:r w:rsidRPr="006E07E0">
        <w:t>Telecommunications Act of 1996, P</w:t>
      </w:r>
      <w:r>
        <w:t>ub. L. No. 104-104, 110 Stat. 56.</w:t>
      </w:r>
    </w:p>
  </w:footnote>
  <w:footnote w:id="123">
    <w:p w:rsidR="00967549" w:rsidRPr="00FD25E3" w:rsidRDefault="00967549" w:rsidP="00455188">
      <w:pPr>
        <w:pStyle w:val="FootnoteText"/>
      </w:pPr>
      <w:r w:rsidRPr="00FD25E3">
        <w:rPr>
          <w:rStyle w:val="FootnoteReference"/>
        </w:rPr>
        <w:footnoteRef/>
      </w:r>
      <w:r w:rsidRPr="00FD25E3">
        <w:t xml:space="preserve"> 47 U.S.C. § 251(c)(5). </w:t>
      </w:r>
    </w:p>
  </w:footnote>
  <w:footnote w:id="124">
    <w:p w:rsidR="00967549" w:rsidRPr="00FD25E3" w:rsidRDefault="00967549" w:rsidP="00455188">
      <w:pPr>
        <w:pStyle w:val="FootnoteText"/>
      </w:pPr>
      <w:r w:rsidRPr="00FD25E3">
        <w:rPr>
          <w:rStyle w:val="FootnoteReference"/>
        </w:rPr>
        <w:footnoteRef/>
      </w:r>
      <w:r w:rsidRPr="00FD25E3">
        <w:t xml:space="preserve"> 47 CFR § 51.325(a). </w:t>
      </w:r>
    </w:p>
  </w:footnote>
  <w:footnote w:id="125">
    <w:p w:rsidR="00967549" w:rsidRDefault="00967549" w:rsidP="00455188">
      <w:pPr>
        <w:pStyle w:val="FootnoteText"/>
      </w:pPr>
      <w:r>
        <w:rPr>
          <w:rStyle w:val="FootnoteReference"/>
        </w:rPr>
        <w:footnoteRef/>
      </w:r>
      <w:r>
        <w:t xml:space="preserve"> </w:t>
      </w:r>
      <w:r w:rsidRPr="00333D98">
        <w:rPr>
          <w:i/>
        </w:rPr>
        <w:t>See</w:t>
      </w:r>
      <w:r>
        <w:t xml:space="preserve"> </w:t>
      </w:r>
      <w:r w:rsidRPr="00FD25E3">
        <w:rPr>
          <w:i/>
        </w:rPr>
        <w:t>Lincoln County Tel. Sys., Inc. v. Mountain States Tel. and Tel. Co.</w:t>
      </w:r>
      <w:r w:rsidRPr="00FD25E3">
        <w:t xml:space="preserve">, </w:t>
      </w:r>
      <w:r>
        <w:t xml:space="preserve">File No. TS-39, </w:t>
      </w:r>
      <w:r w:rsidRPr="00FD25E3">
        <w:t xml:space="preserve">Memorandum Opinion and Order, 81 FCC 2d 328, 332 </w:t>
      </w:r>
      <w:r>
        <w:t xml:space="preserve">(1980) </w:t>
      </w:r>
      <w:r w:rsidRPr="00FD25E3">
        <w:t>(“</w:t>
      </w:r>
      <w:r>
        <w:t>[F]</w:t>
      </w:r>
      <w:r w:rsidRPr="00FD25E3">
        <w:t>or Section 214(a) purposes, we must distinguish those situation</w:t>
      </w:r>
      <w:r>
        <w:t>s in which changes in a carrier’</w:t>
      </w:r>
      <w:r w:rsidRPr="00FD25E3">
        <w:t>s reconfiguration of plant will result in an actual discontinuance, reduction or im</w:t>
      </w:r>
      <w:r>
        <w:t>pairment to the latter carriers’</w:t>
      </w:r>
      <w:r w:rsidRPr="00FD25E3">
        <w:t xml:space="preserve"> customers as opposed to a discontinuance, reduction or impairment of interconnection to only the carrier itself</w:t>
      </w:r>
      <w:r>
        <w:t>.”) (</w:t>
      </w:r>
      <w:r w:rsidRPr="00FA7908">
        <w:rPr>
          <w:i/>
        </w:rPr>
        <w:t>Lincoln County</w:t>
      </w:r>
      <w:r>
        <w:t xml:space="preserve">); </w:t>
      </w:r>
      <w:r w:rsidRPr="00FA7908">
        <w:rPr>
          <w:i/>
        </w:rPr>
        <w:t>Western Union</w:t>
      </w:r>
      <w:r>
        <w:t xml:space="preserve">, 74 FCC 2d at 296 (“[W]e believe that there are some important differences between [a carrier-to-carrier] relationship and the more usual type involving a carrier and its non-carrier customer. </w:t>
      </w:r>
      <w:r w:rsidRPr="00EE6BEB">
        <w:t>In determining the need for prior authority to discontinue,</w:t>
      </w:r>
      <w:r>
        <w:t xml:space="preserve"> </w:t>
      </w:r>
      <w:r w:rsidRPr="00EE6BEB">
        <w:t>reduce or impair service under Section 214(a), the primary focus should be on the end service provided</w:t>
      </w:r>
      <w:r>
        <w:t xml:space="preserve"> </w:t>
      </w:r>
      <w:r w:rsidRPr="00EE6BEB">
        <w:t xml:space="preserve">by a carrier to a community or part of a community, </w:t>
      </w:r>
      <w:r w:rsidRPr="00EE6BEB">
        <w:rPr>
          <w:i/>
          <w:iCs/>
        </w:rPr>
        <w:t>i.e.</w:t>
      </w:r>
      <w:r>
        <w:t>, the using public.”).</w:t>
      </w:r>
    </w:p>
  </w:footnote>
  <w:footnote w:id="126">
    <w:p w:rsidR="00967549" w:rsidRPr="00FD25E3" w:rsidRDefault="00967549" w:rsidP="00455188">
      <w:pPr>
        <w:pStyle w:val="FootnoteText"/>
      </w:pPr>
      <w:r w:rsidRPr="00FD25E3">
        <w:rPr>
          <w:rStyle w:val="FootnoteReference"/>
        </w:rPr>
        <w:footnoteRef/>
      </w:r>
      <w:r w:rsidRPr="00FD25E3">
        <w:t xml:space="preserve"> </w:t>
      </w:r>
      <w:r w:rsidRPr="00FD25E3">
        <w:rPr>
          <w:i/>
        </w:rPr>
        <w:t>See</w:t>
      </w:r>
      <w:r w:rsidRPr="00FD25E3">
        <w:t xml:space="preserve"> </w:t>
      </w:r>
      <w:r w:rsidRPr="00283F13">
        <w:rPr>
          <w:i/>
        </w:rPr>
        <w:t>Graphnet, Inc. v. AT&amp;T Corp.</w:t>
      </w:r>
      <w:r w:rsidRPr="00FD25E3">
        <w:t xml:space="preserve">, File No. E-94-41, Memorandum Opinion and Order, 17 FCC Rcd 1131, </w:t>
      </w:r>
      <w:r>
        <w:t>1140 (2002) (“[I]</w:t>
      </w:r>
      <w:r w:rsidRPr="00EE6BEB">
        <w:t>n situations</w:t>
      </w:r>
      <w:r>
        <w:t xml:space="preserve"> </w:t>
      </w:r>
      <w:r w:rsidRPr="00EE6BEB">
        <w:t>where one carrier attempts to invoke Section 214(a) against another carrier, concern should be had for the</w:t>
      </w:r>
      <w:r>
        <w:t xml:space="preserve"> </w:t>
      </w:r>
      <w:r w:rsidRPr="00EE6BEB">
        <w:t>ultimate impact on the community served rather than on any technical or financial impact on the carrier</w:t>
      </w:r>
      <w:r>
        <w:t xml:space="preserve"> </w:t>
      </w:r>
      <w:r w:rsidRPr="00EE6BEB">
        <w:t>itself.</w:t>
      </w:r>
      <w:r>
        <w:t>”) (</w:t>
      </w:r>
      <w:r w:rsidRPr="00FD25E3">
        <w:rPr>
          <w:i/>
        </w:rPr>
        <w:t>Graphnet</w:t>
      </w:r>
      <w:r>
        <w:t xml:space="preserve">); </w:t>
      </w:r>
      <w:r w:rsidRPr="00FD25E3">
        <w:rPr>
          <w:i/>
        </w:rPr>
        <w:t>Lincoln County</w:t>
      </w:r>
      <w:r>
        <w:t xml:space="preserve">, 81 FCC 2d at 332; </w:t>
      </w:r>
      <w:r w:rsidRPr="00D46CCC">
        <w:rPr>
          <w:i/>
        </w:rPr>
        <w:t>Western Union</w:t>
      </w:r>
      <w:r>
        <w:t>, 74 FCC 2d at 296.</w:t>
      </w:r>
    </w:p>
  </w:footnote>
  <w:footnote w:id="127">
    <w:p w:rsidR="00967549" w:rsidRPr="003075A0" w:rsidRDefault="00967549" w:rsidP="00455188">
      <w:pPr>
        <w:pStyle w:val="FootnoteText"/>
      </w:pPr>
      <w:r>
        <w:rPr>
          <w:rStyle w:val="FootnoteReference"/>
        </w:rPr>
        <w:footnoteRef/>
      </w:r>
      <w:r>
        <w:t xml:space="preserve"> </w:t>
      </w:r>
      <w:r>
        <w:rPr>
          <w:i/>
        </w:rPr>
        <w:t>2015 Technology Transitions Order</w:t>
      </w:r>
      <w:r>
        <w:t xml:space="preserve">, 30 FCC Rcd at 9434, para. 114 n.407.  </w:t>
      </w:r>
    </w:p>
  </w:footnote>
  <w:footnote w:id="128">
    <w:p w:rsidR="00967549" w:rsidRDefault="00967549" w:rsidP="00455188">
      <w:pPr>
        <w:pStyle w:val="FootnoteText"/>
      </w:pPr>
      <w:r>
        <w:rPr>
          <w:rStyle w:val="FootnoteReference"/>
        </w:rPr>
        <w:footnoteRef/>
      </w:r>
      <w:r>
        <w:t xml:space="preserve"> </w:t>
      </w:r>
      <w:r w:rsidRPr="00283F13">
        <w:rPr>
          <w:i/>
        </w:rPr>
        <w:t>BellSouth Telephone Companies Revisions to Tariff FCC No. 4</w:t>
      </w:r>
      <w:r w:rsidRPr="00283F13">
        <w:t xml:space="preserve">, Transmittal No. 435, Memorandum Opinion and Order, 7 FCC Rcd </w:t>
      </w:r>
      <w:r>
        <w:t>6322</w:t>
      </w:r>
      <w:r w:rsidRPr="00283F13">
        <w:t xml:space="preserve"> (1992)</w:t>
      </w:r>
      <w:r>
        <w:t xml:space="preserve"> (</w:t>
      </w:r>
      <w:r w:rsidRPr="007D407E">
        <w:rPr>
          <w:i/>
        </w:rPr>
        <w:t>BellSouth Telephone</w:t>
      </w:r>
      <w:r>
        <w:t>)</w:t>
      </w:r>
      <w:r w:rsidRPr="00283F13">
        <w:t>.</w:t>
      </w:r>
    </w:p>
  </w:footnote>
  <w:footnote w:id="129">
    <w:p w:rsidR="00967549" w:rsidRDefault="00967549" w:rsidP="00455188">
      <w:pPr>
        <w:pStyle w:val="FootnoteText"/>
      </w:pPr>
      <w:r>
        <w:rPr>
          <w:rStyle w:val="FootnoteReference"/>
        </w:rPr>
        <w:footnoteRef/>
      </w:r>
      <w:r>
        <w:t xml:space="preserve"> </w:t>
      </w:r>
      <w:r w:rsidRPr="00FA7908">
        <w:rPr>
          <w:i/>
        </w:rPr>
        <w:t>Id.</w:t>
      </w:r>
      <w:r>
        <w:t xml:space="preserve"> at 6322-23.</w:t>
      </w:r>
    </w:p>
  </w:footnote>
  <w:footnote w:id="130">
    <w:p w:rsidR="00967549" w:rsidRDefault="00967549" w:rsidP="00455188">
      <w:pPr>
        <w:pStyle w:val="FootnoteText"/>
      </w:pPr>
      <w:r>
        <w:rPr>
          <w:rStyle w:val="FootnoteReference"/>
        </w:rPr>
        <w:footnoteRef/>
      </w:r>
      <w:r>
        <w:t xml:space="preserve"> </w:t>
      </w:r>
      <w:r w:rsidRPr="00FA7908">
        <w:rPr>
          <w:i/>
        </w:rPr>
        <w:t>Graphnet</w:t>
      </w:r>
      <w:r>
        <w:t xml:space="preserve">, 17 FCC Rcd at 1140-41; </w:t>
      </w:r>
      <w:r w:rsidRPr="00FA7908">
        <w:rPr>
          <w:i/>
        </w:rPr>
        <w:t>Lincoln County</w:t>
      </w:r>
      <w:r>
        <w:t xml:space="preserve">, 81 FCC 2d at 335; </w:t>
      </w:r>
      <w:r w:rsidRPr="00FA7908">
        <w:rPr>
          <w:i/>
        </w:rPr>
        <w:t>Western Union</w:t>
      </w:r>
      <w:r>
        <w:t>, 74 FCC 2d at 296-98.</w:t>
      </w:r>
    </w:p>
  </w:footnote>
  <w:footnote w:id="131">
    <w:p w:rsidR="00967549" w:rsidRDefault="00967549" w:rsidP="00455188">
      <w:pPr>
        <w:pStyle w:val="FootnoteText"/>
      </w:pPr>
      <w:r>
        <w:rPr>
          <w:rStyle w:val="FootnoteReference"/>
        </w:rPr>
        <w:footnoteRef/>
      </w:r>
      <w:r>
        <w:t xml:space="preserve"> </w:t>
      </w:r>
      <w:r w:rsidRPr="00FA7908">
        <w:rPr>
          <w:i/>
        </w:rPr>
        <w:t>See Graphnet</w:t>
      </w:r>
      <w:r>
        <w:t>, 17 FCC Rcd at 1140-41.</w:t>
      </w:r>
    </w:p>
  </w:footnote>
  <w:footnote w:id="132">
    <w:p w:rsidR="00967549" w:rsidRDefault="00967549" w:rsidP="00455188">
      <w:pPr>
        <w:pStyle w:val="FootnoteText"/>
      </w:pPr>
      <w:r>
        <w:rPr>
          <w:rStyle w:val="FootnoteReference"/>
        </w:rPr>
        <w:footnoteRef/>
      </w:r>
      <w:r>
        <w:t xml:space="preserve"> 47 CFR § 63.71(g).</w:t>
      </w:r>
    </w:p>
  </w:footnote>
  <w:footnote w:id="133">
    <w:p w:rsidR="00967549" w:rsidRDefault="00967549" w:rsidP="00455188">
      <w:pPr>
        <w:pStyle w:val="FootnoteText"/>
      </w:pPr>
      <w:r>
        <w:rPr>
          <w:rStyle w:val="FootnoteReference"/>
        </w:rPr>
        <w:footnoteRef/>
      </w:r>
      <w:r>
        <w:t xml:space="preserve"> </w:t>
      </w:r>
      <w:r w:rsidRPr="00D9706A">
        <w:rPr>
          <w:i/>
        </w:rPr>
        <w:t>Id.</w:t>
      </w:r>
      <w:r>
        <w:t xml:space="preserve">; </w:t>
      </w:r>
      <w:r>
        <w:rPr>
          <w:i/>
        </w:rPr>
        <w:t xml:space="preserve">see also </w:t>
      </w:r>
      <w:r w:rsidRPr="0075482E">
        <w:rPr>
          <w:i/>
        </w:rPr>
        <w:t>2016 Technology Transitions Order</w:t>
      </w:r>
      <w:r>
        <w:t>, 31 FCC Rcd at 8309, para. 77;</w:t>
      </w:r>
      <w:r w:rsidRPr="009A2B3A">
        <w:t xml:space="preserve"> </w:t>
      </w:r>
      <w:r>
        <w:t>Letter from David L. Talbott, Assistant Vice President, Federal Regulatory, AT&amp;T Services Inc., to Marlene H. Dortch, Secretary, FCC, GN Docket No. 13-5, Attach. 1 at 1 (filed May 31, 2016).</w:t>
      </w:r>
    </w:p>
  </w:footnote>
  <w:footnote w:id="134">
    <w:p w:rsidR="00967549" w:rsidRDefault="00967549" w:rsidP="00455188">
      <w:pPr>
        <w:pStyle w:val="FootnoteText"/>
      </w:pPr>
      <w:r>
        <w:rPr>
          <w:rStyle w:val="FootnoteReference"/>
        </w:rPr>
        <w:footnoteRef/>
      </w:r>
      <w:r>
        <w:t xml:space="preserve"> </w:t>
      </w:r>
      <w:r>
        <w:rPr>
          <w:i/>
        </w:rPr>
        <w:t xml:space="preserve">See </w:t>
      </w:r>
      <w:r>
        <w:t>USTelecom Biennial</w:t>
      </w:r>
      <w:r w:rsidRPr="00347698">
        <w:t xml:space="preserve"> </w:t>
      </w:r>
      <w:r>
        <w:t>Comments at 14 n.34.</w:t>
      </w:r>
    </w:p>
  </w:footnote>
  <w:footnote w:id="135">
    <w:p w:rsidR="00967549" w:rsidRDefault="00967549" w:rsidP="00455188">
      <w:pPr>
        <w:pStyle w:val="FootnoteText"/>
      </w:pPr>
      <w:r>
        <w:rPr>
          <w:rStyle w:val="FootnoteReference"/>
        </w:rPr>
        <w:footnoteRef/>
      </w:r>
      <w:r>
        <w:t xml:space="preserve"> </w:t>
      </w:r>
      <w:r w:rsidRPr="002A0F81">
        <w:rPr>
          <w:i/>
        </w:rPr>
        <w:t>See</w:t>
      </w:r>
      <w:r w:rsidRPr="002A0F81">
        <w:t xml:space="preserve"> 47 CFR § 63.71(i); </w:t>
      </w:r>
      <w:r w:rsidRPr="002A0F81">
        <w:rPr>
          <w:i/>
        </w:rPr>
        <w:t>see also 2016 Technology Transitions Order</w:t>
      </w:r>
      <w:r w:rsidRPr="002A0F81">
        <w:t>, 31 FCC Rcd at 8358, para. 202.</w:t>
      </w:r>
    </w:p>
  </w:footnote>
  <w:footnote w:id="136">
    <w:p w:rsidR="00967549" w:rsidRDefault="00967549" w:rsidP="00455188">
      <w:pPr>
        <w:pStyle w:val="FootnoteText"/>
      </w:pPr>
      <w:r>
        <w:rPr>
          <w:rStyle w:val="FootnoteReference"/>
        </w:rPr>
        <w:footnoteRef/>
      </w:r>
      <w:r>
        <w:t xml:space="preserve"> 47 CFR § 51.332.</w:t>
      </w:r>
    </w:p>
  </w:footnote>
  <w:footnote w:id="137">
    <w:p w:rsidR="00967549" w:rsidRPr="00054F1D" w:rsidRDefault="00967549" w:rsidP="00455188">
      <w:pPr>
        <w:pStyle w:val="FootnoteText"/>
      </w:pPr>
      <w:r>
        <w:rPr>
          <w:rStyle w:val="FootnoteReference"/>
        </w:rPr>
        <w:footnoteRef/>
      </w:r>
      <w:r>
        <w:t xml:space="preserve"> </w:t>
      </w:r>
      <w:r>
        <w:rPr>
          <w:i/>
        </w:rPr>
        <w:t xml:space="preserve">See </w:t>
      </w:r>
      <w:r>
        <w:t xml:space="preserve">47 CFR § 63.71(a); </w:t>
      </w:r>
      <w:r>
        <w:rPr>
          <w:i/>
        </w:rPr>
        <w:t>2016 Technology Transitions Order</w:t>
      </w:r>
      <w:r>
        <w:t>, 31 FCC Rcd at 8353-54, paras. 189-91.</w:t>
      </w:r>
    </w:p>
  </w:footnote>
  <w:footnote w:id="138">
    <w:p w:rsidR="00967549" w:rsidRDefault="00967549" w:rsidP="00455188">
      <w:pPr>
        <w:pStyle w:val="FootnoteText"/>
      </w:pPr>
      <w:r>
        <w:rPr>
          <w:rStyle w:val="FootnoteReference"/>
        </w:rPr>
        <w:footnoteRef/>
      </w:r>
      <w:r>
        <w:t xml:space="preserve"> 47 U.S.C. § 253(a).</w:t>
      </w:r>
    </w:p>
  </w:footnote>
  <w:footnote w:id="139">
    <w:p w:rsidR="00967549" w:rsidRDefault="00967549" w:rsidP="00455188">
      <w:pPr>
        <w:pStyle w:val="FootnoteText"/>
      </w:pPr>
      <w:r>
        <w:rPr>
          <w:rStyle w:val="FootnoteReference"/>
        </w:rPr>
        <w:footnoteRef/>
      </w:r>
      <w:r>
        <w:t xml:space="preserve"> </w:t>
      </w:r>
      <w:r w:rsidRPr="00E04947">
        <w:rPr>
          <w:i/>
        </w:rPr>
        <w:t>Level 3 Commc’ns L.L.C. v. City of St. Louis, Mo.,</w:t>
      </w:r>
      <w:r>
        <w:t xml:space="preserve"> 477 F.3d 528, 531-32 (8</w:t>
      </w:r>
      <w:r w:rsidRPr="00150EE3">
        <w:t>th</w:t>
      </w:r>
      <w:r>
        <w:t xml:space="preserve"> Cir 2007) (</w:t>
      </w:r>
      <w:r w:rsidRPr="00520C02">
        <w:rPr>
          <w:i/>
        </w:rPr>
        <w:t>Level 3</w:t>
      </w:r>
      <w:r>
        <w:t xml:space="preserve">).  </w:t>
      </w:r>
    </w:p>
  </w:footnote>
  <w:footnote w:id="140">
    <w:p w:rsidR="00967549" w:rsidRPr="00F90245" w:rsidRDefault="00967549" w:rsidP="00455188">
      <w:pPr>
        <w:spacing w:after="120"/>
        <w:rPr>
          <w:sz w:val="20"/>
        </w:rPr>
      </w:pPr>
      <w:r w:rsidRPr="00F90245">
        <w:rPr>
          <w:rStyle w:val="FootnoteReference"/>
        </w:rPr>
        <w:footnoteRef/>
      </w:r>
      <w:r w:rsidRPr="00F90245">
        <w:rPr>
          <w:sz w:val="20"/>
        </w:rPr>
        <w:t xml:space="preserve"> </w:t>
      </w:r>
      <w:r>
        <w:rPr>
          <w:sz w:val="20"/>
        </w:rPr>
        <w:t xml:space="preserve">47 U.S.C. § 253(b); </w:t>
      </w:r>
      <w:r>
        <w:rPr>
          <w:i/>
          <w:sz w:val="20"/>
        </w:rPr>
        <w:t>s</w:t>
      </w:r>
      <w:r w:rsidRPr="00E04947">
        <w:rPr>
          <w:i/>
          <w:sz w:val="20"/>
        </w:rPr>
        <w:t>ee also</w:t>
      </w:r>
      <w:r w:rsidRPr="005E5911">
        <w:rPr>
          <w:sz w:val="20"/>
        </w:rPr>
        <w:t xml:space="preserve"> </w:t>
      </w:r>
      <w:r w:rsidRPr="005E5911">
        <w:rPr>
          <w:i/>
          <w:sz w:val="20"/>
        </w:rPr>
        <w:t>Western Wireless Corp. Petition for Preemption of Statutes and Rules Regarding the Kansas State Universal Service Fund Pursuant to Section 253 of the Communications Act of 1934</w:t>
      </w:r>
      <w:r w:rsidRPr="00A02042">
        <w:rPr>
          <w:sz w:val="20"/>
        </w:rPr>
        <w:t xml:space="preserve">, </w:t>
      </w:r>
      <w:r>
        <w:rPr>
          <w:sz w:val="20"/>
        </w:rPr>
        <w:t xml:space="preserve">File No. CWD 98-90, </w:t>
      </w:r>
      <w:r w:rsidRPr="00A02042">
        <w:rPr>
          <w:sz w:val="20"/>
        </w:rPr>
        <w:t xml:space="preserve">Memorandum Opinion and Order, 15 FCC Rcd 16227, </w:t>
      </w:r>
      <w:r w:rsidRPr="00E04947">
        <w:rPr>
          <w:sz w:val="20"/>
        </w:rPr>
        <w:t>16231-32, para.</w:t>
      </w:r>
      <w:r w:rsidRPr="005E5911">
        <w:rPr>
          <w:sz w:val="20"/>
        </w:rPr>
        <w:t xml:space="preserve"> 9 (2000).</w:t>
      </w:r>
      <w:r w:rsidRPr="00F90245">
        <w:rPr>
          <w:sz w:val="20"/>
        </w:rPr>
        <w:t xml:space="preserve"> </w:t>
      </w:r>
    </w:p>
  </w:footnote>
  <w:footnote w:id="141">
    <w:p w:rsidR="00967549" w:rsidRDefault="00967549" w:rsidP="00455188">
      <w:pPr>
        <w:pStyle w:val="FootnoteText"/>
      </w:pPr>
      <w:r>
        <w:rPr>
          <w:rStyle w:val="FootnoteReference"/>
        </w:rPr>
        <w:footnoteRef/>
      </w:r>
      <w:r>
        <w:t xml:space="preserve"> 47 U.S.C. § 253(c); </w:t>
      </w:r>
      <w:r w:rsidRPr="00E04947">
        <w:rPr>
          <w:i/>
        </w:rPr>
        <w:t>Level 3</w:t>
      </w:r>
      <w:r>
        <w:t>, 477 F.3d at 532.</w:t>
      </w:r>
    </w:p>
  </w:footnote>
  <w:footnote w:id="142">
    <w:p w:rsidR="00967549" w:rsidRPr="0033151D" w:rsidRDefault="00967549" w:rsidP="00455188">
      <w:pPr>
        <w:pStyle w:val="FootnoteText"/>
      </w:pPr>
      <w:r w:rsidRPr="00F90245">
        <w:rPr>
          <w:rStyle w:val="FootnoteReference"/>
        </w:rPr>
        <w:footnoteRef/>
      </w:r>
      <w:r w:rsidRPr="00F90245">
        <w:t xml:space="preserve"> </w:t>
      </w:r>
      <w:r>
        <w:t>47 U.S.C. § 253(d)</w:t>
      </w:r>
      <w:r w:rsidRPr="005E5911">
        <w:t>.</w:t>
      </w:r>
      <w:r w:rsidRPr="00021D91">
        <w:t xml:space="preserve"> </w:t>
      </w:r>
    </w:p>
  </w:footnote>
  <w:footnote w:id="143">
    <w:p w:rsidR="00967549" w:rsidRDefault="00967549" w:rsidP="00455188">
      <w:pPr>
        <w:pStyle w:val="FootnoteText"/>
      </w:pPr>
      <w:r>
        <w:rPr>
          <w:rStyle w:val="FootnoteReference"/>
        </w:rPr>
        <w:footnoteRef/>
      </w:r>
      <w:r>
        <w:t xml:space="preserve"> 47 U.S.C. § 253(a), (d).  </w:t>
      </w:r>
    </w:p>
  </w:footnote>
  <w:footnote w:id="144">
    <w:p w:rsidR="00967549" w:rsidRPr="003C2B85" w:rsidRDefault="00967549" w:rsidP="00455188">
      <w:pPr>
        <w:pStyle w:val="FootnoteText"/>
      </w:pPr>
      <w:r>
        <w:rPr>
          <w:rStyle w:val="FootnoteReference"/>
        </w:rPr>
        <w:footnoteRef/>
      </w:r>
      <w:r>
        <w:t xml:space="preserve"> Berin Szoka, Matthew Starr, and Jon Henke, “Don’t Blame Big Cable. It’s Local Governments that Choke Broadband Competition,” </w:t>
      </w:r>
      <w:r>
        <w:rPr>
          <w:i/>
        </w:rPr>
        <w:t>Wired</w:t>
      </w:r>
      <w:r>
        <w:t xml:space="preserve"> (July 16, 2013), </w:t>
      </w:r>
      <w:hyperlink r:id="rId9" w:history="1">
        <w:r w:rsidRPr="005956AF">
          <w:rPr>
            <w:rStyle w:val="Hyperlink"/>
          </w:rPr>
          <w:t>https://www.wired.com/2013/07/we-need-to-stop-focusing-on-just-cable-companies-and-blame-local-government-for-dismal-broadband-competition/</w:t>
        </w:r>
      </w:hyperlink>
      <w:r>
        <w:t>.</w:t>
      </w:r>
    </w:p>
  </w:footnote>
  <w:footnote w:id="145">
    <w:p w:rsidR="00967549" w:rsidRDefault="00967549" w:rsidP="00455188">
      <w:pPr>
        <w:pStyle w:val="FootnoteText"/>
      </w:pPr>
      <w:r>
        <w:rPr>
          <w:rStyle w:val="FootnoteReference"/>
        </w:rPr>
        <w:footnoteRef/>
      </w:r>
      <w:r>
        <w:t xml:space="preserve"> 47 CFR § 76.41(d)-(g).</w:t>
      </w:r>
    </w:p>
  </w:footnote>
  <w:footnote w:id="146">
    <w:p w:rsidR="00967549" w:rsidRDefault="00967549" w:rsidP="00455188">
      <w:pPr>
        <w:pStyle w:val="FootnoteText"/>
      </w:pPr>
      <w:r>
        <w:rPr>
          <w:rStyle w:val="FootnoteReference"/>
        </w:rPr>
        <w:footnoteRef/>
      </w:r>
      <w:r>
        <w:t xml:space="preserve"> </w:t>
      </w:r>
      <w:r w:rsidRPr="005A7568">
        <w:rPr>
          <w:i/>
        </w:rPr>
        <w:t>Acceleration of Broadband Deployment by Improving Wireless Facilities Siting Policies et al.</w:t>
      </w:r>
      <w:r w:rsidRPr="005A7568">
        <w:t xml:space="preserve">, </w:t>
      </w:r>
      <w:r>
        <w:t xml:space="preserve">WT Docket Nos. 13-238, 11-59, and 13-32, </w:t>
      </w:r>
      <w:r w:rsidRPr="005A7568">
        <w:t xml:space="preserve">Report and Order, </w:t>
      </w:r>
      <w:r w:rsidRPr="00620C31">
        <w:t>29 FCC Rcd 12865, 12971,</w:t>
      </w:r>
      <w:r w:rsidRPr="005A7568">
        <w:t xml:space="preserve"> para. 265 (2014).</w:t>
      </w:r>
    </w:p>
  </w:footnote>
  <w:footnote w:id="147">
    <w:p w:rsidR="00967549" w:rsidRDefault="00967549" w:rsidP="00455188">
      <w:pPr>
        <w:pStyle w:val="FootnoteText"/>
      </w:pPr>
      <w:r>
        <w:rPr>
          <w:rStyle w:val="FootnoteReference"/>
        </w:rPr>
        <w:footnoteRef/>
      </w:r>
      <w:r>
        <w:t xml:space="preserve"> 47 U.S.C. § 542(g).</w:t>
      </w:r>
    </w:p>
  </w:footnote>
  <w:footnote w:id="148">
    <w:p w:rsidR="00967549" w:rsidRPr="000D26D6" w:rsidRDefault="00967549" w:rsidP="00455188">
      <w:pPr>
        <w:pStyle w:val="FootnoteText"/>
      </w:pPr>
      <w:r>
        <w:rPr>
          <w:rStyle w:val="FootnoteReference"/>
        </w:rPr>
        <w:footnoteRef/>
      </w:r>
      <w:r>
        <w:t xml:space="preserve"> </w:t>
      </w:r>
      <w:r>
        <w:rPr>
          <w:i/>
        </w:rPr>
        <w:t xml:space="preserve">See </w:t>
      </w:r>
      <w:r>
        <w:t xml:space="preserve">47 U.S.C. § 542; </w:t>
      </w:r>
      <w:r>
        <w:rPr>
          <w:i/>
        </w:rPr>
        <w:t>s</w:t>
      </w:r>
      <w:r w:rsidRPr="00966F38">
        <w:rPr>
          <w:i/>
        </w:rPr>
        <w:t>ee</w:t>
      </w:r>
      <w:r>
        <w:rPr>
          <w:i/>
        </w:rPr>
        <w:t xml:space="preserve"> also</w:t>
      </w:r>
      <w:r w:rsidRPr="00966F38">
        <w:rPr>
          <w:i/>
        </w:rPr>
        <w:t xml:space="preserve"> </w:t>
      </w:r>
      <w:r w:rsidRPr="00CD60BE">
        <w:rPr>
          <w:i/>
        </w:rPr>
        <w:t>Implementation of Section 621(a)(1) of the Cable Communications Policy Act of 1984 as amended by the Cable Television Consumer Protection and Competition Act of 1992</w:t>
      </w:r>
      <w:r>
        <w:t>, MB Docket No. 05-311, Report and Order and Notice of Proposed Rulemaking, 22 FCC Rcd 5101, 5144-5151, paras. 94-109 (2007) (</w:t>
      </w:r>
      <w:r w:rsidRPr="00871897">
        <w:rPr>
          <w:i/>
        </w:rPr>
        <w:t>Cable Services Order</w:t>
      </w:r>
      <w:r>
        <w:t xml:space="preserve">); </w:t>
      </w:r>
      <w:r w:rsidRPr="00CD60BE">
        <w:rPr>
          <w:i/>
        </w:rPr>
        <w:t>Implementation of Section 621(a)(1) of the Cable Communications Policy Act of 1984 as amended by the Cable Television Consumer Protection and Competition Act of 1992</w:t>
      </w:r>
      <w:r>
        <w:t xml:space="preserve">, MB Docket No, 05-311,Second Report and Order, 22 FCC Rcd 19633, 19637-8, paras. 10-11 (2007); </w:t>
      </w:r>
      <w:r w:rsidRPr="00CD60BE">
        <w:rPr>
          <w:i/>
        </w:rPr>
        <w:t>Implementation of Section 621(a)(1) of the Cable Communications Policy Act of 1984 as amended by the Cable Television Consumer Protection and Competition Act of 1992</w:t>
      </w:r>
      <w:r>
        <w:t>, MB Docket No, 05-311, Order on Reconsideration, 30 FCC Rcd 810, 814-816, paras. 11-13 (2015).</w:t>
      </w:r>
    </w:p>
  </w:footnote>
  <w:footnote w:id="149">
    <w:p w:rsidR="00967549" w:rsidRPr="000D26D6" w:rsidRDefault="00967549" w:rsidP="00455188">
      <w:pPr>
        <w:pStyle w:val="FootnoteText"/>
      </w:pPr>
      <w:r>
        <w:rPr>
          <w:rStyle w:val="FootnoteReference"/>
        </w:rPr>
        <w:footnoteRef/>
      </w:r>
      <w:r>
        <w:t xml:space="preserve"> </w:t>
      </w:r>
      <w:r>
        <w:rPr>
          <w:i/>
        </w:rPr>
        <w:t xml:space="preserve">See </w:t>
      </w:r>
      <w:r>
        <w:t>47 U.S.C. § 542(i).</w:t>
      </w:r>
    </w:p>
  </w:footnote>
  <w:footnote w:id="150">
    <w:p w:rsidR="00967549" w:rsidRDefault="00967549" w:rsidP="00455188">
      <w:pPr>
        <w:pStyle w:val="FootnoteText"/>
      </w:pPr>
      <w:r>
        <w:rPr>
          <w:rStyle w:val="FootnoteReference"/>
        </w:rPr>
        <w:footnoteRef/>
      </w:r>
      <w:r>
        <w:t xml:space="preserve"> 47 U.S.C. § 542(b).</w:t>
      </w:r>
    </w:p>
  </w:footnote>
  <w:footnote w:id="151">
    <w:p w:rsidR="00967549" w:rsidRDefault="00967549" w:rsidP="00455188">
      <w:pPr>
        <w:pStyle w:val="FootnoteText"/>
      </w:pPr>
      <w:r>
        <w:rPr>
          <w:rStyle w:val="FootnoteReference"/>
        </w:rPr>
        <w:footnoteRef/>
      </w:r>
      <w:r>
        <w:t xml:space="preserve"> 47 U.S.C. § 253(c).</w:t>
      </w:r>
    </w:p>
  </w:footnote>
  <w:footnote w:id="152">
    <w:p w:rsidR="00967549" w:rsidRDefault="00967549" w:rsidP="00455188">
      <w:pPr>
        <w:pStyle w:val="FootnoteText"/>
      </w:pPr>
      <w:r>
        <w:rPr>
          <w:rStyle w:val="FootnoteReference"/>
        </w:rPr>
        <w:footnoteRef/>
      </w:r>
      <w:r>
        <w:t xml:space="preserve"> </w:t>
      </w:r>
      <w:r>
        <w:rPr>
          <w:i/>
        </w:rPr>
        <w:t xml:space="preserve">Cable Services Order, </w:t>
      </w:r>
      <w:r>
        <w:t xml:space="preserve">22 FCC Rcd at 5147-49, paras. 99-105. </w:t>
      </w:r>
    </w:p>
  </w:footnote>
  <w:footnote w:id="153">
    <w:p w:rsidR="00967549" w:rsidRPr="00885EBB" w:rsidRDefault="00967549" w:rsidP="00455188">
      <w:pPr>
        <w:pStyle w:val="FootnoteText"/>
      </w:pPr>
      <w:r>
        <w:rPr>
          <w:rStyle w:val="FootnoteReference"/>
        </w:rPr>
        <w:footnoteRef/>
      </w:r>
      <w:r>
        <w:t xml:space="preserve"> 47 U.S.C. § 224(c).</w:t>
      </w:r>
    </w:p>
  </w:footnote>
  <w:footnote w:id="154">
    <w:p w:rsidR="00967549" w:rsidRDefault="00967549" w:rsidP="00455188">
      <w:pPr>
        <w:pStyle w:val="FootnoteText"/>
      </w:pPr>
      <w:r>
        <w:rPr>
          <w:rStyle w:val="FootnoteReference"/>
        </w:rPr>
        <w:footnoteRef/>
      </w:r>
      <w:r>
        <w:t xml:space="preserve"> </w:t>
      </w:r>
      <w:r w:rsidRPr="000B34F4">
        <w:rPr>
          <w:i/>
        </w:rPr>
        <w:t>California Payphone Association Petition for Preemption of Ordinance No. 576 NS of the City of Huntington Park, California Pursuant to Section 253(d) of the Comm</w:t>
      </w:r>
      <w:r>
        <w:rPr>
          <w:i/>
        </w:rPr>
        <w:t>unica</w:t>
      </w:r>
      <w:r w:rsidRPr="000B34F4">
        <w:rPr>
          <w:i/>
        </w:rPr>
        <w:t>tions Act of 1934</w:t>
      </w:r>
      <w:r>
        <w:t>, CCB Pol. 96-26, Memorandum Opinion and Order, 12 FCC Rcd 14191, 14209, para. 38 (1997) (</w:t>
      </w:r>
      <w:r w:rsidRPr="0015645E">
        <w:rPr>
          <w:i/>
        </w:rPr>
        <w:t>California Payphone</w:t>
      </w:r>
      <w:r>
        <w:t xml:space="preserve">); </w:t>
      </w:r>
      <w:r>
        <w:rPr>
          <w:i/>
        </w:rPr>
        <w:t>s</w:t>
      </w:r>
      <w:r w:rsidRPr="00134073">
        <w:rPr>
          <w:i/>
        </w:rPr>
        <w:t>e</w:t>
      </w:r>
      <w:r w:rsidRPr="0015645E">
        <w:rPr>
          <w:i/>
        </w:rPr>
        <w:t>e</w:t>
      </w:r>
      <w:r>
        <w:rPr>
          <w:i/>
        </w:rPr>
        <w:t xml:space="preserve"> also </w:t>
      </w:r>
      <w:r w:rsidRPr="0015645E">
        <w:rPr>
          <w:i/>
        </w:rPr>
        <w:t xml:space="preserve">TCG </w:t>
      </w:r>
      <w:r>
        <w:rPr>
          <w:i/>
        </w:rPr>
        <w:t>N.Y.</w:t>
      </w:r>
      <w:r w:rsidRPr="0015645E">
        <w:rPr>
          <w:i/>
        </w:rPr>
        <w:t xml:space="preserve">, Inc., v. </w:t>
      </w:r>
      <w:r>
        <w:rPr>
          <w:i/>
        </w:rPr>
        <w:t xml:space="preserve">City of </w:t>
      </w:r>
      <w:r w:rsidRPr="0015645E">
        <w:rPr>
          <w:i/>
        </w:rPr>
        <w:t>Whi</w:t>
      </w:r>
      <w:r w:rsidRPr="00B35A2A">
        <w:rPr>
          <w:i/>
        </w:rPr>
        <w:t>te P</w:t>
      </w:r>
      <w:r w:rsidRPr="0015645E">
        <w:rPr>
          <w:i/>
        </w:rPr>
        <w:t>lains</w:t>
      </w:r>
      <w:r>
        <w:t xml:space="preserve">, 305 F.3d 67, 76 (2d Cir. 2002) (agreeing with the precedent set forth in </w:t>
      </w:r>
      <w:r w:rsidRPr="0015645E">
        <w:rPr>
          <w:i/>
        </w:rPr>
        <w:t>California Payphone</w:t>
      </w:r>
      <w:r>
        <w:t xml:space="preserve">); </w:t>
      </w:r>
      <w:r w:rsidRPr="0015645E">
        <w:rPr>
          <w:i/>
        </w:rPr>
        <w:t xml:space="preserve">Illinois Bell </w:t>
      </w:r>
      <w:r>
        <w:rPr>
          <w:i/>
        </w:rPr>
        <w:t>Tel. Co.</w:t>
      </w:r>
      <w:r w:rsidRPr="0015645E">
        <w:rPr>
          <w:i/>
        </w:rPr>
        <w:t xml:space="preserve"> v. </w:t>
      </w:r>
      <w:r>
        <w:rPr>
          <w:i/>
        </w:rPr>
        <w:t xml:space="preserve">Vill. of </w:t>
      </w:r>
      <w:r w:rsidRPr="00BB6F84">
        <w:rPr>
          <w:i/>
        </w:rPr>
        <w:t>Itasca</w:t>
      </w:r>
      <w:r>
        <w:t xml:space="preserve">, 503 F. Supp. 2d 928, 940 (N.D. Ill. 2007) (citing </w:t>
      </w:r>
      <w:r>
        <w:rPr>
          <w:i/>
        </w:rPr>
        <w:t xml:space="preserve">California Payphone </w:t>
      </w:r>
      <w:r>
        <w:t xml:space="preserve">for the proposition that “the FCC considers ‘whether the Ordinance materially inhibits or limits the ability of any competition or potential competitor to compete in a fair and balanced legal and regulatory environment’” in order to show a violation of Section 253(a)) (citations omitted). </w:t>
      </w:r>
    </w:p>
  </w:footnote>
  <w:footnote w:id="155">
    <w:p w:rsidR="00967549" w:rsidRPr="00F022F9" w:rsidRDefault="00967549" w:rsidP="00455188">
      <w:pPr>
        <w:pStyle w:val="FootnoteText"/>
      </w:pPr>
      <w:r>
        <w:rPr>
          <w:rStyle w:val="FootnoteReference"/>
        </w:rPr>
        <w:footnoteRef/>
      </w:r>
      <w:r>
        <w:t xml:space="preserve"> </w:t>
      </w:r>
      <w:r w:rsidRPr="00F022F9">
        <w:rPr>
          <w:i/>
        </w:rPr>
        <w:t>See</w:t>
      </w:r>
      <w:r w:rsidRPr="00F022F9">
        <w:t xml:space="preserve"> </w:t>
      </w:r>
      <w:r w:rsidRPr="00F022F9">
        <w:rPr>
          <w:i/>
        </w:rPr>
        <w:t>Suggested Guidelines for Petitions for Ruling under Section 253 of the Communications Act</w:t>
      </w:r>
      <w:r w:rsidRPr="00F022F9">
        <w:t xml:space="preserve">, </w:t>
      </w:r>
      <w:r>
        <w:t xml:space="preserve">FCC 98-295, </w:t>
      </w:r>
      <w:r w:rsidRPr="00F022F9">
        <w:t>Public Notice, 13 FCC Rcd 22970 (1998)</w:t>
      </w:r>
      <w:r>
        <w:t xml:space="preserve"> (stating that to date the Commission received over 25 petitions seeking preemption under Section 253 and that the petitions primarily involved issues regarding competition and the relationship between different federal, local and state levels of government);</w:t>
      </w:r>
      <w:r w:rsidRPr="00F022F9">
        <w:t xml:space="preserve"> </w:t>
      </w:r>
      <w:r w:rsidRPr="00E532E7">
        <w:rPr>
          <w:i/>
        </w:rPr>
        <w:t>s</w:t>
      </w:r>
      <w:r>
        <w:rPr>
          <w:i/>
        </w:rPr>
        <w:t>ee also</w:t>
      </w:r>
      <w:r w:rsidRPr="00F022F9">
        <w:t xml:space="preserve"> </w:t>
      </w:r>
      <w:r w:rsidRPr="00F022F9">
        <w:rPr>
          <w:i/>
        </w:rPr>
        <w:t>Amigo.Net for Declaratory Ruling Regarding the Effect of Sections 253 and 257 of the Telecommunications Act of 1996 on an Agreement for Multi-Use Network: Infrastructure Development, Statewide Telecommunications Service Aggregation, and Network Management</w:t>
      </w:r>
      <w:r w:rsidRPr="00F022F9">
        <w:t xml:space="preserve">, </w:t>
      </w:r>
      <w:r>
        <w:t xml:space="preserve">CC Docket No. 00-220, </w:t>
      </w:r>
      <w:r w:rsidRPr="00F022F9">
        <w:t>Memorandum Opinion and Order, 17 FCC Rcd 10964 (WCB 2002)</w:t>
      </w:r>
      <w:r>
        <w:t xml:space="preserve"> (finding no Section 253 issue in response to petition involving contract between the State of Colorado and US West for the provision of advanced telecommunications services)</w:t>
      </w:r>
      <w:r w:rsidRPr="00F022F9">
        <w:t xml:space="preserve">; </w:t>
      </w:r>
      <w:r w:rsidRPr="00F022F9">
        <w:rPr>
          <w:i/>
        </w:rPr>
        <w:t>Silver Star Telephone Company, Inc. Petition for Preemption and Declaratory Ruling</w:t>
      </w:r>
      <w:r w:rsidRPr="00F022F9">
        <w:t xml:space="preserve">, </w:t>
      </w:r>
      <w:r>
        <w:t xml:space="preserve">CCB Pol. 97-1, </w:t>
      </w:r>
      <w:r w:rsidRPr="00F022F9">
        <w:t>Memorandum Opinion and Order, 12 FCC Rcd 15639 (1997)</w:t>
      </w:r>
      <w:r>
        <w:t xml:space="preserve"> (granting Section 253 preemption petition regarding a Wyoming commission order to deny a local exchange service)</w:t>
      </w:r>
      <w:r w:rsidRPr="00F022F9">
        <w:t>.</w:t>
      </w:r>
    </w:p>
  </w:footnote>
  <w:footnote w:id="156">
    <w:p w:rsidR="00967549" w:rsidRDefault="00967549" w:rsidP="00455188">
      <w:pPr>
        <w:pStyle w:val="FootnoteText"/>
      </w:pPr>
      <w:r>
        <w:rPr>
          <w:rStyle w:val="FootnoteReference"/>
        </w:rPr>
        <w:footnoteRef/>
      </w:r>
      <w:r>
        <w:t xml:space="preserve"> 47 U.S.C. § 201(b) (“The Commission may prescribe such rules and regulations as may be necessary in the public interest to carry out the provisions of this Act.”); </w:t>
      </w:r>
      <w:r>
        <w:rPr>
          <w:i/>
        </w:rPr>
        <w:t>see also AT&amp;T Corp. v. Iowa Utilities Bd.</w:t>
      </w:r>
      <w:r>
        <w:t>, 525 U.S. 366, 380 (1999) (“Section 201(b) explicitly gives the FCC jurisdiction to make rules governing matters to which the 1996 Act applies.”).</w:t>
      </w:r>
      <w:r>
        <w:tab/>
      </w:r>
    </w:p>
  </w:footnote>
  <w:footnote w:id="157">
    <w:p w:rsidR="00967549" w:rsidRPr="002F1ECB" w:rsidRDefault="00967549" w:rsidP="00455188">
      <w:pPr>
        <w:pStyle w:val="FootnoteText"/>
      </w:pPr>
      <w:r>
        <w:rPr>
          <w:rStyle w:val="FootnoteReference"/>
        </w:rPr>
        <w:footnoteRef/>
      </w:r>
      <w:r>
        <w:t xml:space="preserve"> 47 U.S.C. § 253(a); </w:t>
      </w:r>
      <w:r w:rsidRPr="00EE2B56">
        <w:rPr>
          <w:i/>
        </w:rPr>
        <w:t>Acceleration of Broadband Deployment: Expanding the Reach and Cost of Broadband Deployment by Improving Policies Regarding Public Rights of Way and Wireless Facilities Siting</w:t>
      </w:r>
      <w:r>
        <w:t>, WC Docket No. 11-59, Notice of Inquiry, 26 FCC Rcd 5384, 5400, para. 57 (2011)</w:t>
      </w:r>
      <w:r>
        <w:rPr>
          <w:i/>
        </w:rPr>
        <w:t>.</w:t>
      </w:r>
      <w:r>
        <w:tab/>
      </w:r>
    </w:p>
  </w:footnote>
  <w:footnote w:id="158">
    <w:p w:rsidR="00967549" w:rsidRDefault="00967549" w:rsidP="00455188">
      <w:pPr>
        <w:pStyle w:val="FootnoteText"/>
      </w:pPr>
      <w:r>
        <w:rPr>
          <w:rStyle w:val="FootnoteReference"/>
        </w:rPr>
        <w:footnoteRef/>
      </w:r>
      <w:r>
        <w:t xml:space="preserve"> 47 U.S.C. § 253(d) (emphasis added).  </w:t>
      </w:r>
    </w:p>
  </w:footnote>
  <w:footnote w:id="159">
    <w:p w:rsidR="00967549" w:rsidRDefault="00967549" w:rsidP="00455188">
      <w:pPr>
        <w:pStyle w:val="FootnoteText"/>
      </w:pPr>
      <w:r>
        <w:rPr>
          <w:rStyle w:val="FootnoteReference"/>
        </w:rPr>
        <w:footnoteRef/>
      </w:r>
      <w:r>
        <w:t xml:space="preserve"> 47 U.S.C. § 542.</w:t>
      </w:r>
    </w:p>
  </w:footnote>
  <w:footnote w:id="160">
    <w:p w:rsidR="00967549" w:rsidRDefault="00967549" w:rsidP="00455188">
      <w:pPr>
        <w:pStyle w:val="FootnoteText"/>
      </w:pPr>
      <w:r>
        <w:rPr>
          <w:rStyle w:val="FootnoteReference"/>
        </w:rPr>
        <w:footnoteRef/>
      </w:r>
      <w:r>
        <w:t xml:space="preserve"> </w:t>
      </w:r>
      <w:r>
        <w:rPr>
          <w:i/>
          <w:iCs/>
        </w:rPr>
        <w:t>FCC Announces the Membership and First Meeting of the Broadband Deployment Advisory Committee</w:t>
      </w:r>
      <w:r>
        <w:t>, GN Docket No. 17-83, Public Notice, DA 17-328 (Apr. 6, 2017).</w:t>
      </w:r>
    </w:p>
  </w:footnote>
  <w:footnote w:id="161">
    <w:p w:rsidR="00967549" w:rsidRDefault="00967549" w:rsidP="00455188">
      <w:pPr>
        <w:pStyle w:val="FootnoteText"/>
      </w:pPr>
      <w:r>
        <w:rPr>
          <w:rStyle w:val="FootnoteReference"/>
        </w:rPr>
        <w:footnoteRef/>
      </w:r>
      <w:r>
        <w:t xml:space="preserve"> </w:t>
      </w:r>
      <w:r w:rsidRPr="00F726B8">
        <w:rPr>
          <w:i/>
        </w:rPr>
        <w:t>Id.</w:t>
      </w:r>
    </w:p>
  </w:footnote>
  <w:footnote w:id="162">
    <w:p w:rsidR="00967549" w:rsidRPr="000F0A8C" w:rsidRDefault="00967549" w:rsidP="00455188">
      <w:pPr>
        <w:pStyle w:val="FootnoteText"/>
      </w:pPr>
      <w:r w:rsidRPr="009D5C2D">
        <w:rPr>
          <w:rStyle w:val="FootnoteReference"/>
        </w:rPr>
        <w:footnoteRef/>
      </w:r>
      <w:r w:rsidRPr="009D5C2D">
        <w:t xml:space="preserve"> </w:t>
      </w:r>
      <w:r w:rsidRPr="00B57312">
        <w:rPr>
          <w:i/>
        </w:rPr>
        <w:t>See, e.g.</w:t>
      </w:r>
      <w:r>
        <w:t xml:space="preserve">, </w:t>
      </w:r>
      <w:r w:rsidRPr="00240A8D">
        <w:t>Ark. Code Ann. § 23-3-113</w:t>
      </w:r>
      <w:r>
        <w:t xml:space="preserve">; </w:t>
      </w:r>
      <w:r w:rsidRPr="009D5C2D">
        <w:t>Cal. Pub. Util</w:t>
      </w:r>
      <w:r>
        <w:t>s</w:t>
      </w:r>
      <w:r w:rsidRPr="009D5C2D">
        <w:t>. Code § 451</w:t>
      </w:r>
      <w:r>
        <w:t xml:space="preserve">; </w:t>
      </w:r>
      <w:r w:rsidRPr="00B57312">
        <w:t>Col</w:t>
      </w:r>
      <w:r>
        <w:t>o</w:t>
      </w:r>
      <w:r w:rsidRPr="00B57312">
        <w:t xml:space="preserve">. Rev. Stat. Ann. </w:t>
      </w:r>
      <w:r w:rsidRPr="00B57312">
        <w:rPr>
          <w:color w:val="252525"/>
        </w:rPr>
        <w:t>§ 40-3-101(2)</w:t>
      </w:r>
      <w:r>
        <w:rPr>
          <w:color w:val="252525"/>
        </w:rPr>
        <w:t>; Idah</w:t>
      </w:r>
      <w:r w:rsidRPr="0079082C">
        <w:rPr>
          <w:color w:val="252525"/>
        </w:rPr>
        <w:t>o Code § 40-3-101</w:t>
      </w:r>
      <w:r>
        <w:rPr>
          <w:color w:val="252525"/>
        </w:rPr>
        <w:t xml:space="preserve">; </w:t>
      </w:r>
      <w:r>
        <w:t>Ill. Compiled Stat.</w:t>
      </w:r>
      <w:r w:rsidRPr="00B57312">
        <w:t xml:space="preserve"> Ann. § 5/8-101;</w:t>
      </w:r>
      <w:r>
        <w:rPr>
          <w:color w:val="252525"/>
        </w:rPr>
        <w:t xml:space="preserve"> </w:t>
      </w:r>
      <w:r w:rsidRPr="00521355">
        <w:t>Ind. Code Ann. § 8-1-2-4</w:t>
      </w:r>
      <w:r>
        <w:t xml:space="preserve">; </w:t>
      </w:r>
      <w:r w:rsidRPr="00240A8D">
        <w:t>N.D. Century C</w:t>
      </w:r>
      <w:r w:rsidRPr="005C69E8">
        <w:t>ode Ann. § 49-04-01;</w:t>
      </w:r>
      <w:r>
        <w:t xml:space="preserve"> N.J. Stat.</w:t>
      </w:r>
      <w:r w:rsidRPr="00240A8D">
        <w:t xml:space="preserve"> Ann. § 48:2-23</w:t>
      </w:r>
      <w:r w:rsidRPr="005C69E8">
        <w:t xml:space="preserve">; </w:t>
      </w:r>
      <w:r>
        <w:rPr>
          <w:color w:val="252525"/>
        </w:rPr>
        <w:t>66 Pa. Cons. Stat. An</w:t>
      </w:r>
      <w:r w:rsidRPr="00521355">
        <w:rPr>
          <w:color w:val="252525"/>
        </w:rPr>
        <w:t>n. § 1501</w:t>
      </w:r>
      <w:r w:rsidRPr="00240A8D">
        <w:rPr>
          <w:color w:val="252525"/>
        </w:rPr>
        <w:t>;</w:t>
      </w:r>
      <w:r>
        <w:rPr>
          <w:color w:val="252525"/>
        </w:rPr>
        <w:t xml:space="preserve"> </w:t>
      </w:r>
      <w:r w:rsidRPr="005C69E8">
        <w:rPr>
          <w:bCs/>
          <w:color w:val="252525"/>
        </w:rPr>
        <w:t>27 L.P.R.</w:t>
      </w:r>
      <w:r>
        <w:rPr>
          <w:bCs/>
          <w:color w:val="252525"/>
        </w:rPr>
        <w:t xml:space="preserve"> </w:t>
      </w:r>
      <w:r w:rsidRPr="005C69E8">
        <w:rPr>
          <w:bCs/>
          <w:color w:val="252525"/>
        </w:rPr>
        <w:t>A</w:t>
      </w:r>
      <w:r>
        <w:rPr>
          <w:bCs/>
          <w:color w:val="252525"/>
        </w:rPr>
        <w:t>nn</w:t>
      </w:r>
      <w:r w:rsidRPr="005C69E8">
        <w:rPr>
          <w:color w:val="000000"/>
        </w:rPr>
        <w:t>. §</w:t>
      </w:r>
      <w:r>
        <w:t xml:space="preserve"> </w:t>
      </w:r>
      <w:r w:rsidRPr="005C69E8">
        <w:rPr>
          <w:bCs/>
          <w:color w:val="252525"/>
        </w:rPr>
        <w:t>1201</w:t>
      </w:r>
      <w:r>
        <w:rPr>
          <w:bCs/>
          <w:color w:val="252525"/>
        </w:rPr>
        <w:t>;</w:t>
      </w:r>
      <w:r w:rsidRPr="00240A8D">
        <w:rPr>
          <w:color w:val="252525"/>
        </w:rPr>
        <w:t xml:space="preserve"> </w:t>
      </w:r>
      <w:r>
        <w:t>Utah Code Ann. 1953 § 54-3-1</w:t>
      </w:r>
      <w:r w:rsidRPr="00A03E3A">
        <w:t>.</w:t>
      </w:r>
    </w:p>
  </w:footnote>
  <w:footnote w:id="163">
    <w:p w:rsidR="00967549" w:rsidRDefault="00967549" w:rsidP="00455188">
      <w:pPr>
        <w:pStyle w:val="FootnoteText"/>
      </w:pPr>
      <w:r>
        <w:rPr>
          <w:rStyle w:val="FootnoteReference"/>
        </w:rPr>
        <w:footnoteRef/>
      </w:r>
      <w:r>
        <w:t xml:space="preserve"> </w:t>
      </w:r>
      <w:r w:rsidRPr="001D6880">
        <w:rPr>
          <w:i/>
        </w:rPr>
        <w:t>See, e.g.</w:t>
      </w:r>
      <w:r w:rsidRPr="001D6880">
        <w:t>, Ark. Admin. Code § 126.03.9-8.01</w:t>
      </w:r>
      <w:r>
        <w:t xml:space="preserve">; </w:t>
      </w:r>
      <w:r w:rsidRPr="001D6880">
        <w:t>Ky. Admin. Regs. 5:061</w:t>
      </w:r>
      <w:r>
        <w:t xml:space="preserve"> § 23; </w:t>
      </w:r>
      <w:r w:rsidRPr="001D6880">
        <w:t>Miss. Admin. Code § 39-1-2:4; N.C. Gen. Stat. Ann. § 62-42</w:t>
      </w:r>
      <w:r>
        <w:t xml:space="preserve">; </w:t>
      </w:r>
      <w:r w:rsidRPr="001D6880">
        <w:t>807.</w:t>
      </w:r>
      <w:r>
        <w:rPr>
          <w:rFonts w:ascii="Georgia" w:hAnsi="Georgia" w:cs="Georgia"/>
        </w:rPr>
        <w:t xml:space="preserve"> </w:t>
      </w:r>
      <w:r>
        <w:t xml:space="preserve"> </w:t>
      </w:r>
    </w:p>
  </w:footnote>
  <w:footnote w:id="164">
    <w:p w:rsidR="00967549" w:rsidRPr="00956819" w:rsidRDefault="00967549" w:rsidP="00455188">
      <w:pPr>
        <w:pStyle w:val="FootnoteText"/>
      </w:pPr>
      <w:r w:rsidRPr="00956819">
        <w:rPr>
          <w:rStyle w:val="FootnoteReference"/>
        </w:rPr>
        <w:footnoteRef/>
      </w:r>
      <w:r w:rsidRPr="00956819">
        <w:t xml:space="preserve"> 47 U.S.C. § 253.</w:t>
      </w:r>
    </w:p>
  </w:footnote>
  <w:footnote w:id="165">
    <w:p w:rsidR="00967549" w:rsidRPr="00A02246" w:rsidRDefault="00967549" w:rsidP="00455188">
      <w:pPr>
        <w:pStyle w:val="FootnoteText"/>
        <w:rPr>
          <w:i/>
        </w:rPr>
      </w:pPr>
      <w:r>
        <w:rPr>
          <w:rStyle w:val="FootnoteReference"/>
        </w:rPr>
        <w:footnoteRef/>
      </w:r>
      <w:r>
        <w:t xml:space="preserve"> </w:t>
      </w:r>
      <w:r>
        <w:rPr>
          <w:i/>
        </w:rPr>
        <w:t>Id.</w:t>
      </w:r>
    </w:p>
  </w:footnote>
  <w:footnote w:id="166">
    <w:p w:rsidR="00967549" w:rsidRPr="00A02246" w:rsidRDefault="00967549" w:rsidP="00455188">
      <w:pPr>
        <w:pStyle w:val="FootnoteText"/>
        <w:rPr>
          <w:i/>
        </w:rPr>
      </w:pPr>
      <w:r>
        <w:rPr>
          <w:rStyle w:val="FootnoteReference"/>
        </w:rPr>
        <w:footnoteRef/>
      </w:r>
      <w:r>
        <w:t xml:space="preserve"> </w:t>
      </w:r>
      <w:r>
        <w:rPr>
          <w:i/>
        </w:rPr>
        <w:t>Id.</w:t>
      </w:r>
    </w:p>
  </w:footnote>
  <w:footnote w:id="167">
    <w:p w:rsidR="00967549" w:rsidRDefault="00967549" w:rsidP="00455188">
      <w:pPr>
        <w:pStyle w:val="FootnoteText"/>
      </w:pPr>
      <w:r>
        <w:rPr>
          <w:rStyle w:val="FootnoteReference"/>
        </w:rPr>
        <w:footnoteRef/>
      </w:r>
      <w:r>
        <w:t xml:space="preserve"> </w:t>
      </w:r>
      <w:r w:rsidRPr="0096618D">
        <w:rPr>
          <w:i/>
        </w:rPr>
        <w:t xml:space="preserve">See </w:t>
      </w:r>
      <w:r>
        <w:rPr>
          <w:i/>
        </w:rPr>
        <w:t>Technology Transitions et al.</w:t>
      </w:r>
      <w:r>
        <w:t>, GN Docket No. 13-5 et al., Notice of Proposed Rulemaking and Declaratory Ruling, 29 FCC Rcd 14968, 15015-16, para. 115 (2014) (</w:t>
      </w:r>
      <w:r>
        <w:rPr>
          <w:i/>
        </w:rPr>
        <w:t>2014 Technology Transitions NPRM</w:t>
      </w:r>
      <w:r w:rsidRPr="00B67B70">
        <w:rPr>
          <w:i/>
        </w:rPr>
        <w:t xml:space="preserve"> </w:t>
      </w:r>
      <w:r>
        <w:rPr>
          <w:i/>
        </w:rPr>
        <w:t>and Declaratory Ruling</w:t>
      </w:r>
      <w:r>
        <w:t>).</w:t>
      </w:r>
    </w:p>
  </w:footnote>
  <w:footnote w:id="168">
    <w:p w:rsidR="00967549" w:rsidRPr="003138AB" w:rsidRDefault="00967549" w:rsidP="00455188">
      <w:pPr>
        <w:pStyle w:val="FootnoteText"/>
      </w:pPr>
      <w:r>
        <w:rPr>
          <w:rStyle w:val="FootnoteReference"/>
        </w:rPr>
        <w:footnoteRef/>
      </w:r>
      <w:r>
        <w:t xml:space="preserve"> </w:t>
      </w:r>
      <w:r>
        <w:rPr>
          <w:i/>
        </w:rPr>
        <w:t>See 2014 Technology Transitions NPRM</w:t>
      </w:r>
      <w:r w:rsidRPr="00B67B70">
        <w:rPr>
          <w:i/>
        </w:rPr>
        <w:t xml:space="preserve"> and Declaratory Ruling</w:t>
      </w:r>
      <w:r>
        <w:t xml:space="preserve">, 29 FCC Rcd at 15015-18, paras. 114-19; </w:t>
      </w:r>
      <w:r>
        <w:rPr>
          <w:i/>
        </w:rPr>
        <w:t>2015 Technology Transitions Order</w:t>
      </w:r>
      <w:r>
        <w:t xml:space="preserve">, 30 FCC Rcd at 9471-78, paras. 181-201; </w:t>
      </w:r>
      <w:r>
        <w:rPr>
          <w:i/>
        </w:rPr>
        <w:t xml:space="preserve">see also </w:t>
      </w:r>
      <w:r>
        <w:t xml:space="preserve">47 CFR § 1.2.  We distinguish this proposal and the proposal below as a “Request for Comment” because they would be adjudicatory in nature, unlike the proposals in the </w:t>
      </w:r>
      <w:r w:rsidRPr="0074329F">
        <w:rPr>
          <w:i/>
        </w:rPr>
        <w:t>Notice of Proposed Rulemaking</w:t>
      </w:r>
      <w:r>
        <w:t xml:space="preserve">.   </w:t>
      </w:r>
    </w:p>
  </w:footnote>
  <w:footnote w:id="169">
    <w:p w:rsidR="00967549" w:rsidRDefault="00967549" w:rsidP="00455188">
      <w:pPr>
        <w:pStyle w:val="FootnoteText"/>
      </w:pPr>
      <w:r>
        <w:rPr>
          <w:rStyle w:val="FootnoteReference"/>
        </w:rPr>
        <w:footnoteRef/>
      </w:r>
      <w:r>
        <w:t xml:space="preserve"> </w:t>
      </w:r>
      <w:r>
        <w:rPr>
          <w:i/>
        </w:rPr>
        <w:t>See 2014 Technology Transitions NPRM and Declaratory Ruling</w:t>
      </w:r>
      <w:r>
        <w:t xml:space="preserve">, 29 FCC Rcd at 15018, para. 117.  In response to a petition for reconsideration filed by USTelecom, the Commission reaffirmed this </w:t>
      </w:r>
      <w:r w:rsidRPr="0074329F">
        <w:t>Declaratory Ruling</w:t>
      </w:r>
      <w:r>
        <w:t xml:space="preserve"> in the </w:t>
      </w:r>
      <w:r>
        <w:rPr>
          <w:i/>
        </w:rPr>
        <w:t>2015 Technology Transitions Order</w:t>
      </w:r>
      <w:r>
        <w:t xml:space="preserve">.  </w:t>
      </w:r>
      <w:r>
        <w:rPr>
          <w:i/>
        </w:rPr>
        <w:t>See 2015 Technology Transitions Order</w:t>
      </w:r>
      <w:r>
        <w:t xml:space="preserve">, 30 FCC Rcd at 9471-78, paras. 181-201. USTelecom appealed to the U.S. Court of Appeals for the D.C. Circuit, and the case remains pending.  </w:t>
      </w:r>
      <w:r>
        <w:rPr>
          <w:i/>
        </w:rPr>
        <w:t xml:space="preserve">See generally </w:t>
      </w:r>
      <w:r>
        <w:t xml:space="preserve">Brief for Petitioner USTelecom, </w:t>
      </w:r>
      <w:r w:rsidRPr="00546E2A">
        <w:rPr>
          <w:i/>
          <w:iCs/>
        </w:rPr>
        <w:t>United States Telecom Ass’n v. FCC</w:t>
      </w:r>
      <w:r>
        <w:rPr>
          <w:iCs/>
        </w:rPr>
        <w:t>,</w:t>
      </w:r>
      <w:r>
        <w:t xml:space="preserve"> No. 15-1414 (D.C. Cir. June 14, 2016) (USTelecom Brief).</w:t>
      </w:r>
    </w:p>
  </w:footnote>
  <w:footnote w:id="170">
    <w:p w:rsidR="00967549" w:rsidRDefault="00967549" w:rsidP="00455188">
      <w:pPr>
        <w:pStyle w:val="FootnoteText"/>
      </w:pPr>
      <w:r>
        <w:rPr>
          <w:rStyle w:val="FootnoteReference"/>
        </w:rPr>
        <w:footnoteRef/>
      </w:r>
      <w:r>
        <w:t xml:space="preserve"> The filed rate doctrine is intended to prevent price discrimination against end users by guaranteeing providers offer similarly situated customers equivalent terms and conditions.  </w:t>
      </w:r>
      <w:r>
        <w:rPr>
          <w:i/>
        </w:rPr>
        <w:t>See 2015 Technology Transitions Order</w:t>
      </w:r>
      <w:r>
        <w:t xml:space="preserve">, 30 FCC Rcd at 9474, para. 191.  For a general description of the filed rate doctrine, </w:t>
      </w:r>
      <w:r>
        <w:rPr>
          <w:i/>
        </w:rPr>
        <w:t>see, e.g.</w:t>
      </w:r>
      <w:r>
        <w:t xml:space="preserve">, </w:t>
      </w:r>
      <w:r>
        <w:rPr>
          <w:i/>
        </w:rPr>
        <w:t>Qwest Commc’ns Corp. v. Farmers &amp; Merch. Mut. Tel. Co.</w:t>
      </w:r>
      <w:r>
        <w:t xml:space="preserve">, 24 FCC Rcd 14801, 14810, para. 21 (2009); </w:t>
      </w:r>
      <w:r>
        <w:rPr>
          <w:i/>
        </w:rPr>
        <w:t>AT&amp;T Co. v. Central Office Tel., Inc.</w:t>
      </w:r>
      <w:r>
        <w:t xml:space="preserve">, 524 U.S. 214 (1998); </w:t>
      </w:r>
      <w:r>
        <w:rPr>
          <w:i/>
        </w:rPr>
        <w:t>Maislin Industries, U.S., Inc. v. Primary Steel, Inc.</w:t>
      </w:r>
      <w:r>
        <w:t xml:space="preserve">, 497 U.S. 116 (1990); </w:t>
      </w:r>
      <w:r>
        <w:rPr>
          <w:i/>
        </w:rPr>
        <w:t>Arkansas Louisiana Gas Co. v. Hall</w:t>
      </w:r>
      <w:r>
        <w:t>, 453 U.S. 571 (1981).</w:t>
      </w:r>
    </w:p>
  </w:footnote>
  <w:footnote w:id="171">
    <w:p w:rsidR="00967549" w:rsidRPr="0062233B" w:rsidRDefault="00967549" w:rsidP="00455188">
      <w:pPr>
        <w:pStyle w:val="FootnoteText"/>
        <w:rPr>
          <w:i/>
        </w:rPr>
      </w:pPr>
      <w:r>
        <w:rPr>
          <w:rStyle w:val="FootnoteReference"/>
        </w:rPr>
        <w:footnoteRef/>
      </w:r>
      <w:r>
        <w:t xml:space="preserve"> 47 U.S.C. § 203(c).</w:t>
      </w:r>
    </w:p>
  </w:footnote>
  <w:footnote w:id="172">
    <w:p w:rsidR="00967549" w:rsidRPr="0062233B" w:rsidRDefault="00967549" w:rsidP="00455188">
      <w:pPr>
        <w:pStyle w:val="FootnoteText"/>
      </w:pPr>
      <w:r>
        <w:rPr>
          <w:rStyle w:val="FootnoteReference"/>
        </w:rPr>
        <w:footnoteRef/>
      </w:r>
      <w:r>
        <w:t xml:space="preserve"> </w:t>
      </w:r>
      <w:r>
        <w:rPr>
          <w:i/>
        </w:rPr>
        <w:t>See AT&amp;T Co.</w:t>
      </w:r>
      <w:r>
        <w:t>, 524 U.S. at 221-24 (explaining that the doctrine applies not just to rates because rates “have meaning only when one knows the services to which they are attached”).</w:t>
      </w:r>
    </w:p>
  </w:footnote>
  <w:footnote w:id="173">
    <w:p w:rsidR="00967549" w:rsidRDefault="00967549" w:rsidP="00455188">
      <w:pPr>
        <w:pStyle w:val="FootnoteText"/>
      </w:pPr>
      <w:r>
        <w:rPr>
          <w:rStyle w:val="FootnoteReference"/>
        </w:rPr>
        <w:footnoteRef/>
      </w:r>
      <w:r>
        <w:t xml:space="preserve"> </w:t>
      </w:r>
      <w:r>
        <w:rPr>
          <w:i/>
        </w:rPr>
        <w:t>See Tanadgusix Corp. v. Huber</w:t>
      </w:r>
      <w:r>
        <w:t xml:space="preserve">, 404 F.3d 1201, 1205 (9th Cir. 2005) (stating that the “terms of the contract control, regardless of the parties’ subjective intentions shown by extrinsic evidence”); </w:t>
      </w:r>
      <w:r>
        <w:rPr>
          <w:i/>
        </w:rPr>
        <w:t>Travelers Indem. Co. v. Bailey</w:t>
      </w:r>
      <w:r>
        <w:t>, 557 U.S. 137, 150-51 (2009) (recognizing that “it is black-letter law that the terms of an unambiguous private contract must be enforced irrespective of the parties’ subjective intent” (citing 11 Williston on Contracts § 30:4 (4th ed. 1999)); Restatement (Second) of Contracts § 29 cmt. (1981).</w:t>
      </w:r>
    </w:p>
  </w:footnote>
  <w:footnote w:id="174">
    <w:p w:rsidR="00967549" w:rsidRDefault="00967549" w:rsidP="00455188">
      <w:pPr>
        <w:pStyle w:val="FootnoteText"/>
      </w:pPr>
      <w:r w:rsidRPr="00395E6F">
        <w:rPr>
          <w:rStyle w:val="FootnoteReference"/>
        </w:rPr>
        <w:footnoteRef/>
      </w:r>
      <w:r w:rsidRPr="00395E6F">
        <w:t xml:space="preserve"> </w:t>
      </w:r>
      <w:r w:rsidRPr="00DD6BFF">
        <w:rPr>
          <w:i/>
        </w:rPr>
        <w:t>See, e.g.,</w:t>
      </w:r>
      <w:r w:rsidRPr="00DD6BFF">
        <w:t xml:space="preserve"> Consumers Union Comments, GN Docket No. 14-28, at 7 (asserting that carriers “have unequal bargaining power and dominant market power over consumers.”).</w:t>
      </w:r>
    </w:p>
  </w:footnote>
  <w:footnote w:id="175">
    <w:p w:rsidR="00967549" w:rsidRDefault="00967549" w:rsidP="00455188">
      <w:pPr>
        <w:pStyle w:val="FootnoteText"/>
      </w:pPr>
      <w:r>
        <w:rPr>
          <w:rStyle w:val="FootnoteReference"/>
        </w:rPr>
        <w:footnoteRef/>
      </w:r>
      <w:r>
        <w:t xml:space="preserve"> USTelecom Brief at 15.</w:t>
      </w:r>
    </w:p>
  </w:footnote>
  <w:footnote w:id="176">
    <w:p w:rsidR="00967549" w:rsidRPr="009F42C4" w:rsidRDefault="00967549" w:rsidP="00455188">
      <w:pPr>
        <w:pStyle w:val="FootnoteText"/>
      </w:pPr>
      <w:r>
        <w:rPr>
          <w:rStyle w:val="FootnoteReference"/>
        </w:rPr>
        <w:footnoteRef/>
      </w:r>
      <w:r>
        <w:t xml:space="preserve"> </w:t>
      </w:r>
      <w:r>
        <w:rPr>
          <w:i/>
        </w:rPr>
        <w:t>Use of the Carterfone Device in Message Toll Telephone Service</w:t>
      </w:r>
      <w:r>
        <w:t>, 13 F.C.C.2d 420, 424 (1968) (</w:t>
      </w:r>
      <w:r>
        <w:rPr>
          <w:i/>
        </w:rPr>
        <w:t>Carterfone</w:t>
      </w:r>
      <w:r>
        <w:t>).</w:t>
      </w:r>
    </w:p>
  </w:footnote>
  <w:footnote w:id="177">
    <w:p w:rsidR="00967549" w:rsidRPr="009F42C4" w:rsidRDefault="00967549" w:rsidP="00455188">
      <w:pPr>
        <w:pStyle w:val="FootnoteText"/>
      </w:pPr>
      <w:r>
        <w:rPr>
          <w:rStyle w:val="FootnoteReference"/>
        </w:rPr>
        <w:footnoteRef/>
      </w:r>
      <w:r>
        <w:t xml:space="preserve"> </w:t>
      </w:r>
      <w:r>
        <w:rPr>
          <w:i/>
        </w:rPr>
        <w:t>Id.</w:t>
      </w:r>
      <w:r>
        <w:t xml:space="preserve"> at 424.</w:t>
      </w:r>
    </w:p>
  </w:footnote>
  <w:footnote w:id="178">
    <w:p w:rsidR="00967549" w:rsidRDefault="00967549" w:rsidP="00455188">
      <w:pPr>
        <w:pStyle w:val="FootnoteText"/>
      </w:pPr>
      <w:r>
        <w:rPr>
          <w:rStyle w:val="FootnoteReference"/>
        </w:rPr>
        <w:footnoteRef/>
      </w:r>
      <w:r>
        <w:t xml:space="preserve"> USTelecom Brief at 15; </w:t>
      </w:r>
      <w:r>
        <w:rPr>
          <w:i/>
        </w:rPr>
        <w:t>Extension of Lines and Discontinuance of Service by Carriers</w:t>
      </w:r>
      <w:r>
        <w:t>, 28 Fed. Reg. 13229, 13232 (Dec. 5, 1963) (codified at 47 CFR § 63.60).</w:t>
      </w:r>
    </w:p>
  </w:footnote>
  <w:footnote w:id="179">
    <w:p w:rsidR="00967549" w:rsidRDefault="00967549" w:rsidP="00455188">
      <w:pPr>
        <w:pStyle w:val="FootnoteText"/>
      </w:pPr>
      <w:r>
        <w:rPr>
          <w:rStyle w:val="FootnoteReference"/>
        </w:rPr>
        <w:footnoteRef/>
      </w:r>
      <w:r>
        <w:t xml:space="preserve"> </w:t>
      </w:r>
      <w:r>
        <w:rPr>
          <w:i/>
        </w:rPr>
        <w:t xml:space="preserve">2014 Technology Transitions NPRM </w:t>
      </w:r>
      <w:r w:rsidRPr="00FA0BBA">
        <w:rPr>
          <w:i/>
        </w:rPr>
        <w:t>and Declaratory Ruling</w:t>
      </w:r>
      <w:r w:rsidRPr="00470634">
        <w:t>,</w:t>
      </w:r>
      <w:r>
        <w:t xml:space="preserve"> 29 FCC Rcd at 15018, para. 118.</w:t>
      </w:r>
    </w:p>
  </w:footnote>
  <w:footnote w:id="180">
    <w:p w:rsidR="00967549" w:rsidRDefault="00967549" w:rsidP="00455188">
      <w:pPr>
        <w:pStyle w:val="FootnoteText"/>
      </w:pPr>
      <w:r>
        <w:rPr>
          <w:rStyle w:val="FootnoteReference"/>
        </w:rPr>
        <w:footnoteRef/>
      </w:r>
      <w:r>
        <w:t xml:space="preserve"> </w:t>
      </w:r>
      <w:r>
        <w:rPr>
          <w:i/>
        </w:rPr>
        <w:t xml:space="preserve">See </w:t>
      </w:r>
      <w:r>
        <w:t>USTelecom Biennial Comments at 15.</w:t>
      </w:r>
    </w:p>
  </w:footnote>
  <w:footnote w:id="181">
    <w:p w:rsidR="00967549" w:rsidRPr="009605E9" w:rsidRDefault="00967549" w:rsidP="00455188">
      <w:pPr>
        <w:pStyle w:val="FootnoteText"/>
        <w:rPr>
          <w:i/>
        </w:rPr>
      </w:pPr>
      <w:r>
        <w:rPr>
          <w:rStyle w:val="FootnoteReference"/>
        </w:rPr>
        <w:footnoteRef/>
      </w:r>
      <w:r>
        <w:t xml:space="preserve"> </w:t>
      </w:r>
      <w:r>
        <w:rPr>
          <w:i/>
        </w:rPr>
        <w:t xml:space="preserve">See 2014 Technology Transitions NPRM </w:t>
      </w:r>
      <w:r w:rsidRPr="00FA0BBA">
        <w:rPr>
          <w:i/>
        </w:rPr>
        <w:t>and Declaratory Ruling</w:t>
      </w:r>
      <w:r>
        <w:rPr>
          <w:i/>
        </w:rPr>
        <w:t>,</w:t>
      </w:r>
      <w:r>
        <w:t xml:space="preserve"> 29 FCC Rcd at 15017, para. 117.</w:t>
      </w:r>
    </w:p>
  </w:footnote>
  <w:footnote w:id="182">
    <w:p w:rsidR="00967549" w:rsidRPr="003A1B07" w:rsidRDefault="00967549" w:rsidP="00455188">
      <w:pPr>
        <w:pStyle w:val="FootnoteText"/>
      </w:pPr>
      <w:r>
        <w:rPr>
          <w:rStyle w:val="FootnoteReference"/>
        </w:rPr>
        <w:footnoteRef/>
      </w:r>
      <w:r>
        <w:t xml:space="preserve"> </w:t>
      </w:r>
      <w:r>
        <w:rPr>
          <w:i/>
        </w:rPr>
        <w:t>Nat’l Cable &amp; Telecomms. Ass’n v. Brand X Internet Servs.</w:t>
      </w:r>
      <w:r>
        <w:t>, 545 U.S. 967, 988 (2005) (internal quotation marks omitted).</w:t>
      </w:r>
    </w:p>
  </w:footnote>
  <w:footnote w:id="183">
    <w:p w:rsidR="00967549" w:rsidRDefault="00967549" w:rsidP="00455188">
      <w:pPr>
        <w:pStyle w:val="FootnoteText"/>
      </w:pPr>
      <w:r>
        <w:rPr>
          <w:rStyle w:val="FootnoteReference"/>
        </w:rPr>
        <w:footnoteRef/>
      </w:r>
      <w:r>
        <w:t xml:space="preserve"> 47 CFR § 1.2(a).</w:t>
      </w:r>
    </w:p>
  </w:footnote>
  <w:footnote w:id="184">
    <w:p w:rsidR="00967549" w:rsidRDefault="00967549" w:rsidP="00455188">
      <w:pPr>
        <w:pStyle w:val="FootnoteText"/>
      </w:pPr>
      <w:r>
        <w:rPr>
          <w:rStyle w:val="FootnoteReference"/>
        </w:rPr>
        <w:footnoteRef/>
      </w:r>
      <w:r>
        <w:t xml:space="preserve"> </w:t>
      </w:r>
      <w:r>
        <w:rPr>
          <w:i/>
        </w:rPr>
        <w:t xml:space="preserve">See generally </w:t>
      </w:r>
      <w:r>
        <w:t>USTelecom Brief at 29.</w:t>
      </w:r>
    </w:p>
  </w:footnote>
  <w:footnote w:id="185">
    <w:p w:rsidR="00967549" w:rsidRDefault="00967549" w:rsidP="00455188">
      <w:pPr>
        <w:pStyle w:val="FootnoteText"/>
      </w:pPr>
      <w:r>
        <w:rPr>
          <w:rStyle w:val="FootnoteReference"/>
        </w:rPr>
        <w:footnoteRef/>
      </w:r>
      <w:r>
        <w:t xml:space="preserve"> The Commission has construed Section 214(a) to require Commission approval before a carrier can discontinue, reduce, or impair “the end service provided by a carrier to a community or part of a community.”  Brief for Respondents FCC, </w:t>
      </w:r>
      <w:r w:rsidRPr="00546E2A">
        <w:rPr>
          <w:i/>
          <w:iCs/>
        </w:rPr>
        <w:t>United States Telecom Ass’n v. FCC</w:t>
      </w:r>
      <w:r>
        <w:rPr>
          <w:iCs/>
        </w:rPr>
        <w:t>,</w:t>
      </w:r>
      <w:r>
        <w:t xml:space="preserve"> No. 15-1414, at 5 (D.C. Cir. June 14, 2016) (FCC Brief) (citing </w:t>
      </w:r>
      <w:r>
        <w:rPr>
          <w:i/>
        </w:rPr>
        <w:t>Western Union Tel. Co.</w:t>
      </w:r>
      <w:r>
        <w:t>, 74 FCC 2d 293, 296, para. 7 (1979).</w:t>
      </w:r>
    </w:p>
  </w:footnote>
  <w:footnote w:id="186">
    <w:p w:rsidR="00967549" w:rsidRPr="00536DBF" w:rsidRDefault="00967549" w:rsidP="00455188">
      <w:pPr>
        <w:pStyle w:val="FootnoteText"/>
      </w:pPr>
      <w:r>
        <w:rPr>
          <w:rStyle w:val="FootnoteReference"/>
        </w:rPr>
        <w:footnoteRef/>
      </w:r>
      <w:r>
        <w:t xml:space="preserve"> </w:t>
      </w:r>
      <w:r>
        <w:rPr>
          <w:i/>
        </w:rPr>
        <w:t>See, e.g.</w:t>
      </w:r>
      <w:r>
        <w:t xml:space="preserve">, </w:t>
      </w:r>
      <w:r>
        <w:rPr>
          <w:i/>
        </w:rPr>
        <w:t>Comments Invited on Application of City of Brookings Municipal Telephone Department to Discontinue Domestic Telecommunications Services</w:t>
      </w:r>
      <w:r>
        <w:t xml:space="preserve">, WC Docket No. 15-293, Public Notice, 30 FCC Rcd 13639 (2015); </w:t>
      </w:r>
      <w:r>
        <w:rPr>
          <w:i/>
        </w:rPr>
        <w:t>Comments Invited on Application of Progressive Rural Telephone Cooperative to Discontinue Domestic Telecommunications Services</w:t>
      </w:r>
      <w:r>
        <w:t>, WC Docket No. 15-272, Public Notice, 30 FCC Rcd 13281 (2015).</w:t>
      </w:r>
    </w:p>
  </w:footnote>
  <w:footnote w:id="187">
    <w:p w:rsidR="00967549" w:rsidRPr="00F6003C" w:rsidRDefault="00967549" w:rsidP="00455188">
      <w:pPr>
        <w:pStyle w:val="FootnoteText"/>
      </w:pPr>
      <w:r>
        <w:rPr>
          <w:rStyle w:val="FootnoteReference"/>
        </w:rPr>
        <w:footnoteRef/>
      </w:r>
      <w:r>
        <w:t xml:space="preserve"> </w:t>
      </w:r>
      <w:r>
        <w:rPr>
          <w:i/>
        </w:rPr>
        <w:t xml:space="preserve">See </w:t>
      </w:r>
      <w:r>
        <w:t xml:space="preserve">89 Cong. Rec. 786 (1943) (indicating that Congress intended to ensure that not </w:t>
      </w:r>
      <w:r w:rsidRPr="00F6003C">
        <w:rPr>
          <w:i/>
        </w:rPr>
        <w:t>all</w:t>
      </w:r>
      <w:r>
        <w:t xml:space="preserve"> service to a community was terminated or abandoned without Commission review); </w:t>
      </w:r>
      <w:r>
        <w:rPr>
          <w:i/>
        </w:rPr>
        <w:t xml:space="preserve">see also id. </w:t>
      </w:r>
      <w:r>
        <w:t>(containing the following Conference-Committee manager quote: “I do not believe that the Congress or the country is interested in whether the telegraph company should abandon or take out a certain insulator or pole or even close down one office, if the community is adequately served by another office.”); H.R. Rep. No. 78-69, at 2, 10.</w:t>
      </w:r>
    </w:p>
  </w:footnote>
  <w:footnote w:id="188">
    <w:p w:rsidR="00967549" w:rsidRDefault="00967549" w:rsidP="00455188">
      <w:pPr>
        <w:pStyle w:val="FootnoteText"/>
      </w:pPr>
      <w:r>
        <w:rPr>
          <w:rStyle w:val="FootnoteReference"/>
        </w:rPr>
        <w:footnoteRef/>
      </w:r>
      <w:r>
        <w:t xml:space="preserve"> 47 CFR § 1.4(b)(2).</w:t>
      </w:r>
    </w:p>
  </w:footnote>
  <w:footnote w:id="189">
    <w:p w:rsidR="00967549" w:rsidRDefault="00967549" w:rsidP="00455188">
      <w:pPr>
        <w:pStyle w:val="FootnoteText"/>
      </w:pPr>
      <w:r>
        <w:rPr>
          <w:rStyle w:val="FootnoteReference"/>
        </w:rPr>
        <w:footnoteRef/>
      </w:r>
      <w:r>
        <w:t xml:space="preserve"> 47 CF</w:t>
      </w:r>
      <w:r w:rsidRPr="002F2805">
        <w:t xml:space="preserve">R. §§ 1.1200 </w:t>
      </w:r>
      <w:r w:rsidRPr="002F2805">
        <w:rPr>
          <w:i/>
          <w:iCs/>
        </w:rPr>
        <w:t>et seq.</w:t>
      </w:r>
    </w:p>
  </w:footnote>
  <w:footnote w:id="190">
    <w:p w:rsidR="00967549" w:rsidRPr="00FE7186" w:rsidRDefault="00967549" w:rsidP="00455188">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191">
    <w:p w:rsidR="00967549" w:rsidRPr="00FE7186" w:rsidRDefault="00967549" w:rsidP="00455188">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192">
    <w:p w:rsidR="00967549" w:rsidRDefault="00967549" w:rsidP="00455188">
      <w:pPr>
        <w:pStyle w:val="FootnoteText"/>
      </w:pPr>
      <w:r>
        <w:rPr>
          <w:rStyle w:val="FootnoteReference"/>
        </w:rPr>
        <w:footnoteRef/>
      </w:r>
      <w:r>
        <w:t xml:space="preserve"> </w:t>
      </w:r>
      <w:r>
        <w:rPr>
          <w:i/>
          <w:iCs/>
          <w:szCs w:val="22"/>
        </w:rPr>
        <w:t>S</w:t>
      </w:r>
      <w:r w:rsidRPr="00FE7186">
        <w:rPr>
          <w:i/>
          <w:iCs/>
          <w:szCs w:val="22"/>
        </w:rPr>
        <w:t>ee</w:t>
      </w:r>
      <w:r w:rsidRPr="00FE7186">
        <w:rPr>
          <w:szCs w:val="22"/>
        </w:rPr>
        <w:t xml:space="preserve"> 44 U.S.C. </w:t>
      </w:r>
      <w:r>
        <w:rPr>
          <w:szCs w:val="22"/>
        </w:rPr>
        <w:t xml:space="preserve">§ </w:t>
      </w:r>
      <w:r w:rsidRPr="00FE7186">
        <w:rPr>
          <w:szCs w:val="22"/>
        </w:rPr>
        <w:t>3506(c)(4)</w:t>
      </w:r>
      <w:r>
        <w:rPr>
          <w:szCs w:val="22"/>
        </w:rPr>
        <w:t>.</w:t>
      </w:r>
    </w:p>
  </w:footnote>
  <w:footnote w:id="193">
    <w:p w:rsidR="00967549" w:rsidRPr="007A6FE3" w:rsidRDefault="00967549" w:rsidP="00455188">
      <w:pPr>
        <w:pStyle w:val="FootnoteText"/>
        <w:tabs>
          <w:tab w:val="left" w:pos="-720"/>
        </w:tabs>
        <w:rPr>
          <w:spacing w:val="-2"/>
        </w:rPr>
      </w:pPr>
      <w:r w:rsidRPr="007A6FE3">
        <w:rPr>
          <w:rStyle w:val="FootnoteReference"/>
          <w:spacing w:val="-2"/>
        </w:rPr>
        <w:footnoteRef/>
      </w:r>
      <w:r w:rsidRPr="007A6FE3">
        <w:rPr>
          <w:spacing w:val="-2"/>
        </w:rPr>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5 U.S.C. § 601 </w:t>
      </w:r>
      <w:r w:rsidRPr="007A6FE3">
        <w:rPr>
          <w:i/>
          <w:spacing w:val="-2"/>
        </w:rPr>
        <w:t>et. seq.</w:t>
      </w:r>
      <w:r w:rsidRPr="007A6FE3">
        <w:rPr>
          <w:spacing w:val="-2"/>
        </w:rPr>
        <w:t>, has been amended by the Contract With America Advancement Act of 1996, Pub. L. No. 104-121, 110 Stat. 847 (1996) (CWAAA).  Title II of the CWAAA is the Small Business Regulatory Enforcement Fairness Act of 1996 (SBREFA).</w:t>
      </w:r>
    </w:p>
  </w:footnote>
  <w:footnote w:id="194">
    <w:p w:rsidR="00967549" w:rsidRPr="007A6FE3" w:rsidRDefault="00967549" w:rsidP="00455188">
      <w:pPr>
        <w:pStyle w:val="FootnoteText"/>
      </w:pPr>
      <w:r w:rsidRPr="007A6FE3">
        <w:rPr>
          <w:rStyle w:val="FootnoteReference"/>
        </w:rPr>
        <w:footnoteRef/>
      </w:r>
      <w:r w:rsidRPr="007A6FE3">
        <w:t xml:space="preserve"> </w:t>
      </w:r>
      <w:r w:rsidRPr="007A6FE3">
        <w:rPr>
          <w:i/>
          <w:spacing w:val="-3"/>
        </w:rPr>
        <w:t>See</w:t>
      </w:r>
      <w:r w:rsidRPr="007A6FE3">
        <w:rPr>
          <w:spacing w:val="-3"/>
        </w:rPr>
        <w:t xml:space="preserve"> 5 U.S.C. § 603(a).</w:t>
      </w:r>
    </w:p>
  </w:footnote>
  <w:footnote w:id="195">
    <w:p w:rsidR="00967549" w:rsidRPr="007A6FE3" w:rsidRDefault="00967549" w:rsidP="00455188">
      <w:pPr>
        <w:pStyle w:val="FootnoteText"/>
      </w:pPr>
      <w:r w:rsidRPr="007A6FE3">
        <w:rPr>
          <w:rStyle w:val="FootnoteReference"/>
        </w:rPr>
        <w:footnoteRef/>
      </w:r>
      <w:r w:rsidRPr="007A6FE3">
        <w:t xml:space="preserve"> </w:t>
      </w:r>
      <w:r w:rsidRPr="007A6FE3">
        <w:rPr>
          <w:i/>
          <w:spacing w:val="-3"/>
        </w:rPr>
        <w:t>See id.</w:t>
      </w:r>
    </w:p>
  </w:footnote>
  <w:footnote w:id="196">
    <w:p w:rsidR="00967549" w:rsidRPr="007A6FE3" w:rsidRDefault="00967549" w:rsidP="00455188">
      <w:pPr>
        <w:pStyle w:val="FootnoteText"/>
      </w:pPr>
      <w:r w:rsidRPr="007A6FE3">
        <w:rPr>
          <w:rStyle w:val="FootnoteReference"/>
        </w:rPr>
        <w:footnoteRef/>
      </w:r>
      <w:r w:rsidRPr="007A6FE3">
        <w:t xml:space="preserve"> </w:t>
      </w:r>
      <w:r w:rsidRPr="007A6FE3">
        <w:rPr>
          <w:i/>
        </w:rPr>
        <w:t>See</w:t>
      </w:r>
      <w:r w:rsidRPr="007A6FE3">
        <w:t xml:space="preserve"> </w:t>
      </w:r>
      <w:r w:rsidRPr="00874558">
        <w:t xml:space="preserve">Notice </w:t>
      </w:r>
      <w:r w:rsidRPr="007A6FE3">
        <w:t xml:space="preserve">Section </w:t>
      </w:r>
      <w:r>
        <w:t>II.A.</w:t>
      </w:r>
    </w:p>
  </w:footnote>
  <w:footnote w:id="197">
    <w:p w:rsidR="00967549" w:rsidRPr="007A6FE3" w:rsidRDefault="00967549" w:rsidP="00455188">
      <w:pPr>
        <w:pStyle w:val="FootnoteText"/>
      </w:pPr>
      <w:r w:rsidRPr="007A6FE3">
        <w:rPr>
          <w:rStyle w:val="FootnoteReference"/>
        </w:rPr>
        <w:footnoteRef/>
      </w:r>
      <w:r w:rsidRPr="007A6FE3">
        <w:t xml:space="preserve"> </w:t>
      </w:r>
      <w:r w:rsidRPr="007A6FE3">
        <w:rPr>
          <w:i/>
        </w:rPr>
        <w:t xml:space="preserve">See </w:t>
      </w:r>
      <w:r w:rsidRPr="00874558">
        <w:t>Notice</w:t>
      </w:r>
      <w:r w:rsidRPr="007A6FE3">
        <w:t xml:space="preserve"> Section </w:t>
      </w:r>
      <w:r>
        <w:t>II.B</w:t>
      </w:r>
      <w:r w:rsidRPr="007A6FE3">
        <w:t>.</w:t>
      </w:r>
    </w:p>
  </w:footnote>
  <w:footnote w:id="198">
    <w:p w:rsidR="00967549" w:rsidRPr="007A6FE3" w:rsidRDefault="00967549" w:rsidP="00455188">
      <w:pPr>
        <w:pStyle w:val="FootnoteText"/>
      </w:pPr>
      <w:r w:rsidRPr="007A6FE3">
        <w:rPr>
          <w:rStyle w:val="FootnoteReference"/>
        </w:rPr>
        <w:footnoteRef/>
      </w:r>
      <w:r w:rsidRPr="007A6FE3">
        <w:t xml:space="preserve"> </w:t>
      </w:r>
      <w:r w:rsidRPr="007A6FE3">
        <w:rPr>
          <w:i/>
        </w:rPr>
        <w:t xml:space="preserve">See </w:t>
      </w:r>
      <w:r w:rsidRPr="00874558">
        <w:t>Notice</w:t>
      </w:r>
      <w:r w:rsidRPr="007A6FE3">
        <w:t xml:space="preserve"> Section</w:t>
      </w:r>
      <w:r>
        <w:t>s</w:t>
      </w:r>
      <w:r w:rsidRPr="007A6FE3">
        <w:t xml:space="preserve"> </w:t>
      </w:r>
      <w:r>
        <w:t xml:space="preserve">II.C.1.-3. </w:t>
      </w:r>
    </w:p>
  </w:footnote>
  <w:footnote w:id="199">
    <w:p w:rsidR="00967549" w:rsidRDefault="00967549" w:rsidP="00455188">
      <w:pPr>
        <w:pStyle w:val="FootnoteText"/>
      </w:pPr>
      <w:r>
        <w:rPr>
          <w:rStyle w:val="FootnoteReference"/>
        </w:rPr>
        <w:footnoteRef/>
      </w:r>
      <w:r>
        <w:t xml:space="preserve"> </w:t>
      </w:r>
      <w:r w:rsidRPr="00404D2B">
        <w:rPr>
          <w:i/>
        </w:rPr>
        <w:t xml:space="preserve">See </w:t>
      </w:r>
      <w:r w:rsidRPr="00404D2B">
        <w:t>Notice Section II.C.</w:t>
      </w:r>
      <w:r>
        <w:t>4.</w:t>
      </w:r>
    </w:p>
  </w:footnote>
  <w:footnote w:id="200">
    <w:p w:rsidR="00967549" w:rsidRDefault="00967549" w:rsidP="00455188">
      <w:pPr>
        <w:pStyle w:val="FootnoteText"/>
      </w:pPr>
      <w:r>
        <w:rPr>
          <w:rStyle w:val="FootnoteReference"/>
        </w:rPr>
        <w:footnoteRef/>
      </w:r>
      <w:r>
        <w:t xml:space="preserve"> </w:t>
      </w:r>
      <w:r w:rsidRPr="00820C73">
        <w:rPr>
          <w:i/>
        </w:rPr>
        <w:t xml:space="preserve">See </w:t>
      </w:r>
      <w:r w:rsidRPr="00820C73">
        <w:t>Notice Section II.C.</w:t>
      </w:r>
      <w:r>
        <w:t>5.</w:t>
      </w:r>
    </w:p>
  </w:footnote>
  <w:footnote w:id="201">
    <w:p w:rsidR="00967549" w:rsidRPr="007A6FE3" w:rsidRDefault="00967549" w:rsidP="00455188">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202">
    <w:p w:rsidR="00967549" w:rsidRPr="007A6FE3" w:rsidRDefault="00967549" w:rsidP="00455188">
      <w:pPr>
        <w:pStyle w:val="FootnoteText"/>
      </w:pPr>
      <w:r w:rsidRPr="007A6FE3">
        <w:rPr>
          <w:rStyle w:val="FootnoteReference"/>
        </w:rPr>
        <w:footnoteRef/>
      </w:r>
      <w:r w:rsidRPr="007A6FE3">
        <w:t xml:space="preserve"> </w:t>
      </w:r>
      <w:r w:rsidRPr="007A6FE3">
        <w:rPr>
          <w:i/>
        </w:rPr>
        <w:t>See</w:t>
      </w:r>
      <w:r w:rsidRPr="007A6FE3">
        <w:t xml:space="preserve"> 5 U.S.C. § 601(6).</w:t>
      </w:r>
    </w:p>
  </w:footnote>
  <w:footnote w:id="203">
    <w:p w:rsidR="00967549" w:rsidRPr="007A6FE3" w:rsidRDefault="00967549" w:rsidP="00455188">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04">
    <w:p w:rsidR="00967549" w:rsidRPr="007A6FE3" w:rsidRDefault="00967549" w:rsidP="00455188">
      <w:pPr>
        <w:pStyle w:val="FootnoteText"/>
      </w:pPr>
      <w:r w:rsidRPr="007A6FE3">
        <w:rPr>
          <w:rStyle w:val="FootnoteReference"/>
        </w:rPr>
        <w:footnoteRef/>
      </w:r>
      <w:r w:rsidRPr="007A6FE3">
        <w:t xml:space="preserve"> </w:t>
      </w:r>
      <w:r w:rsidRPr="007A6FE3">
        <w:rPr>
          <w:i/>
        </w:rPr>
        <w:t>See</w:t>
      </w:r>
      <w:r w:rsidRPr="007A6FE3">
        <w:t xml:space="preserve"> 15 U.S.C. § 632.</w:t>
      </w:r>
    </w:p>
  </w:footnote>
  <w:footnote w:id="205">
    <w:p w:rsidR="00967549" w:rsidRDefault="00967549" w:rsidP="00455188">
      <w:pPr>
        <w:pStyle w:val="FootnoteText"/>
      </w:pPr>
      <w:r>
        <w:rPr>
          <w:rStyle w:val="FootnoteReference"/>
        </w:rPr>
        <w:footnoteRef/>
      </w:r>
      <w:r>
        <w:t xml:space="preserve"> The definitions of utility and telecommunications carrier for purposes of our pole attachment rules are found in 47 U.S.C. § 224(a)(1) and (a)(5), respectively.</w:t>
      </w:r>
    </w:p>
  </w:footnote>
  <w:footnote w:id="206">
    <w:p w:rsidR="00967549" w:rsidRPr="00251F45" w:rsidRDefault="00967549" w:rsidP="00455188">
      <w:pPr>
        <w:autoSpaceDE w:val="0"/>
        <w:autoSpaceDN w:val="0"/>
        <w:adjustRightInd w:val="0"/>
        <w:spacing w:after="120"/>
        <w:rPr>
          <w:sz w:val="20"/>
        </w:rPr>
      </w:pPr>
      <w:r w:rsidRPr="00251F45">
        <w:rPr>
          <w:rStyle w:val="FootnoteReference"/>
        </w:rPr>
        <w:footnoteRef/>
      </w:r>
      <w:r w:rsidRPr="00251F45">
        <w:rPr>
          <w:sz w:val="20"/>
        </w:rPr>
        <w:t xml:space="preserve"> </w:t>
      </w:r>
      <w:r w:rsidRPr="00251F45">
        <w:rPr>
          <w:i/>
          <w:iCs/>
          <w:sz w:val="20"/>
        </w:rPr>
        <w:t xml:space="preserve">See </w:t>
      </w:r>
      <w:r w:rsidRPr="00251F45">
        <w:rPr>
          <w:sz w:val="20"/>
        </w:rPr>
        <w:t>Small Business Administration, Office of Advocacy, “Frequently Asked Questions</w:t>
      </w:r>
      <w:r>
        <w:rPr>
          <w:sz w:val="20"/>
        </w:rPr>
        <w:t>,</w:t>
      </w:r>
      <w:r w:rsidRPr="00251F45">
        <w:rPr>
          <w:sz w:val="20"/>
        </w:rPr>
        <w:t xml:space="preserve">” </w:t>
      </w:r>
      <w:hyperlink r:id="rId10" w:history="1">
        <w:r w:rsidRPr="00163262">
          <w:rPr>
            <w:rStyle w:val="Hyperlink"/>
            <w:sz w:val="20"/>
          </w:rPr>
          <w:t>https://www.sba.gov/sites/default/files/advocacy/SB-FAQ-2016_WEB.pdf</w:t>
        </w:r>
      </w:hyperlink>
      <w:r>
        <w:rPr>
          <w:sz w:val="20"/>
        </w:rPr>
        <w:t xml:space="preserve"> (last visited Mar. 15, 2017)</w:t>
      </w:r>
      <w:r w:rsidRPr="00251F45">
        <w:rPr>
          <w:sz w:val="20"/>
        </w:rPr>
        <w:t>.</w:t>
      </w:r>
    </w:p>
  </w:footnote>
  <w:footnote w:id="207">
    <w:p w:rsidR="00967549" w:rsidRPr="00251F45" w:rsidRDefault="00967549" w:rsidP="00455188">
      <w:pPr>
        <w:pStyle w:val="FootnoteText"/>
      </w:pPr>
      <w:r w:rsidRPr="00251F45">
        <w:rPr>
          <w:rStyle w:val="FootnoteReference"/>
        </w:rPr>
        <w:footnoteRef/>
      </w:r>
      <w:r w:rsidRPr="00251F45">
        <w:t xml:space="preserve"> 5 U.S.C. § 601(4).</w:t>
      </w:r>
    </w:p>
  </w:footnote>
  <w:footnote w:id="208">
    <w:p w:rsidR="00967549" w:rsidRPr="00251F45" w:rsidRDefault="00967549" w:rsidP="00455188">
      <w:pPr>
        <w:pStyle w:val="FootnoteText"/>
      </w:pPr>
      <w:r w:rsidRPr="00251F45">
        <w:rPr>
          <w:rStyle w:val="FootnoteReference"/>
        </w:rPr>
        <w:footnoteRef/>
      </w:r>
      <w:r w:rsidRPr="00251F45">
        <w:t xml:space="preserve"> </w:t>
      </w:r>
      <w:r w:rsidRPr="00150EE3">
        <w:t>Independent Sector, The New Nonprofit Almanac &amp; Desk Reference</w:t>
      </w:r>
      <w:r w:rsidRPr="00251F45">
        <w:t xml:space="preserve"> (2010).</w:t>
      </w:r>
    </w:p>
  </w:footnote>
  <w:footnote w:id="209">
    <w:p w:rsidR="00967549" w:rsidRPr="00251F45" w:rsidRDefault="00967549" w:rsidP="00455188">
      <w:pPr>
        <w:pStyle w:val="FootnoteText"/>
      </w:pPr>
      <w:r w:rsidRPr="00251F45">
        <w:rPr>
          <w:rStyle w:val="FootnoteReference"/>
        </w:rPr>
        <w:footnoteRef/>
      </w:r>
      <w:r w:rsidRPr="00251F45">
        <w:t xml:space="preserve"> 5 U.S.C. § 601(5).</w:t>
      </w:r>
    </w:p>
  </w:footnote>
  <w:footnote w:id="210">
    <w:p w:rsidR="00967549" w:rsidRPr="00251F45" w:rsidRDefault="00967549" w:rsidP="00455188">
      <w:pPr>
        <w:autoSpaceDE w:val="0"/>
        <w:autoSpaceDN w:val="0"/>
        <w:adjustRightInd w:val="0"/>
        <w:spacing w:after="120"/>
        <w:rPr>
          <w:sz w:val="20"/>
        </w:rPr>
      </w:pPr>
      <w:r w:rsidRPr="00251F45">
        <w:rPr>
          <w:rStyle w:val="FootnoteReference"/>
        </w:rPr>
        <w:footnoteRef/>
      </w:r>
      <w:r w:rsidRPr="00251F45">
        <w:rPr>
          <w:sz w:val="20"/>
        </w:rPr>
        <w:t xml:space="preserve"> U.S. C</w:t>
      </w:r>
      <w:r>
        <w:rPr>
          <w:sz w:val="20"/>
        </w:rPr>
        <w:t>ensus</w:t>
      </w:r>
      <w:r w:rsidRPr="00251F45">
        <w:rPr>
          <w:sz w:val="20"/>
        </w:rPr>
        <w:t xml:space="preserve"> B</w:t>
      </w:r>
      <w:r>
        <w:rPr>
          <w:sz w:val="20"/>
        </w:rPr>
        <w:t>ureau</w:t>
      </w:r>
      <w:r w:rsidRPr="00251F45">
        <w:rPr>
          <w:sz w:val="20"/>
        </w:rPr>
        <w:t xml:space="preserve">, </w:t>
      </w:r>
      <w:r w:rsidRPr="00150EE3">
        <w:rPr>
          <w:sz w:val="20"/>
        </w:rPr>
        <w:t>Statistical Abstract of the United States</w:t>
      </w:r>
      <w:r w:rsidRPr="003E4E2A">
        <w:rPr>
          <w:sz w:val="20"/>
        </w:rPr>
        <w:t>:</w:t>
      </w:r>
      <w:r>
        <w:rPr>
          <w:sz w:val="20"/>
        </w:rPr>
        <w:t xml:space="preserve"> 2012 at 267</w:t>
      </w:r>
      <w:r w:rsidRPr="00251F45">
        <w:rPr>
          <w:sz w:val="20"/>
        </w:rPr>
        <w:t xml:space="preserve">, Table 429 (Effective Oct 2011), </w:t>
      </w:r>
      <w:hyperlink r:id="rId11" w:history="1">
        <w:r w:rsidRPr="00163262">
          <w:rPr>
            <w:rStyle w:val="Hyperlink"/>
            <w:sz w:val="20"/>
          </w:rPr>
          <w:t>http://www2.census.gov/library/publications/2011/compendia/statab/131ed/2012-statab.pdf</w:t>
        </w:r>
      </w:hyperlink>
      <w:r>
        <w:rPr>
          <w:sz w:val="20"/>
        </w:rPr>
        <w:t xml:space="preserve"> (</w:t>
      </w:r>
      <w:r w:rsidRPr="00251F45">
        <w:rPr>
          <w:sz w:val="20"/>
        </w:rPr>
        <w:t>citing data from 2007).</w:t>
      </w:r>
    </w:p>
  </w:footnote>
  <w:footnote w:id="211">
    <w:p w:rsidR="00967549" w:rsidRDefault="00967549" w:rsidP="00455188">
      <w:pPr>
        <w:autoSpaceDE w:val="0"/>
        <w:autoSpaceDN w:val="0"/>
        <w:adjustRightInd w:val="0"/>
        <w:spacing w:after="120"/>
      </w:pPr>
      <w:r w:rsidRPr="00251F45">
        <w:rPr>
          <w:rStyle w:val="FootnoteReference"/>
        </w:rPr>
        <w:footnoteRef/>
      </w:r>
      <w:r w:rsidRPr="00251F45">
        <w:rPr>
          <w:sz w:val="20"/>
        </w:rPr>
        <w:t xml:space="preserve"> The 2012 U.S. Census data for small governmental organizations are not presented based on the size of the</w:t>
      </w:r>
      <w:r>
        <w:rPr>
          <w:sz w:val="20"/>
        </w:rPr>
        <w:t xml:space="preserve"> </w:t>
      </w:r>
      <w:r w:rsidRPr="00251F45">
        <w:rPr>
          <w:sz w:val="20"/>
        </w:rPr>
        <w:t>population in each organization. There were 89,476 local governmental organizations in the Census Bureau data for</w:t>
      </w:r>
      <w:r>
        <w:rPr>
          <w:sz w:val="20"/>
        </w:rPr>
        <w:t xml:space="preserve"> </w:t>
      </w:r>
      <w:r w:rsidRPr="00251F45">
        <w:rPr>
          <w:sz w:val="20"/>
        </w:rPr>
        <w:t>2012, which is based on 2007 data. As a basis of estimating how many of these 89,476 local government</w:t>
      </w:r>
      <w:r>
        <w:rPr>
          <w:sz w:val="20"/>
        </w:rPr>
        <w:t xml:space="preserve"> </w:t>
      </w:r>
      <w:r w:rsidRPr="00251F45">
        <w:rPr>
          <w:sz w:val="20"/>
        </w:rPr>
        <w:t>organizations were small, we no</w:t>
      </w:r>
      <w:r>
        <w:rPr>
          <w:sz w:val="20"/>
        </w:rPr>
        <w:t>te that there were a total of 7</w:t>
      </w:r>
      <w:r w:rsidRPr="00251F45">
        <w:rPr>
          <w:sz w:val="20"/>
        </w:rPr>
        <w:t>5</w:t>
      </w:r>
      <w:r>
        <w:rPr>
          <w:sz w:val="20"/>
        </w:rPr>
        <w:t>8</w:t>
      </w:r>
      <w:r w:rsidRPr="00251F45">
        <w:rPr>
          <w:sz w:val="20"/>
        </w:rPr>
        <w:t xml:space="preserve"> cities and towns (incorporated places and minor</w:t>
      </w:r>
      <w:r>
        <w:rPr>
          <w:sz w:val="20"/>
        </w:rPr>
        <w:t xml:space="preserve"> </w:t>
      </w:r>
      <w:r w:rsidRPr="00251F45">
        <w:rPr>
          <w:sz w:val="20"/>
        </w:rPr>
        <w:t>civil divisions) with populations over 50,000 in 201</w:t>
      </w:r>
      <w:r>
        <w:rPr>
          <w:sz w:val="20"/>
        </w:rPr>
        <w:t>5</w:t>
      </w:r>
      <w:r w:rsidRPr="00251F45">
        <w:rPr>
          <w:sz w:val="20"/>
        </w:rPr>
        <w:t>.</w:t>
      </w:r>
      <w:r>
        <w:rPr>
          <w:sz w:val="20"/>
        </w:rPr>
        <w:t xml:space="preserve"> </w:t>
      </w:r>
      <w:r w:rsidRPr="00251F45">
        <w:rPr>
          <w:sz w:val="20"/>
        </w:rPr>
        <w:t xml:space="preserve"> </w:t>
      </w:r>
      <w:r w:rsidRPr="00251F45">
        <w:rPr>
          <w:i/>
          <w:iCs/>
          <w:sz w:val="20"/>
        </w:rPr>
        <w:t xml:space="preserve">See </w:t>
      </w:r>
      <w:r w:rsidRPr="00251F45">
        <w:rPr>
          <w:sz w:val="20"/>
        </w:rPr>
        <w:t>U.S. Census Bureau,</w:t>
      </w:r>
      <w:r>
        <w:rPr>
          <w:sz w:val="20"/>
        </w:rPr>
        <w:t xml:space="preserve"> </w:t>
      </w:r>
      <w:r w:rsidRPr="00377F33">
        <w:rPr>
          <w:sz w:val="20"/>
        </w:rPr>
        <w:t>Annual Estimates of the Resident Population for Incorporated Places of 50,000 or More, Ranked by July 1, 2015 Population: April 1, 2010 to July 1, 2015</w:t>
      </w:r>
      <w:r>
        <w:rPr>
          <w:sz w:val="20"/>
        </w:rPr>
        <w:t xml:space="preserve">, </w:t>
      </w:r>
      <w:hyperlink r:id="rId12" w:history="1">
        <w:r w:rsidRPr="00564083">
          <w:rPr>
            <w:rStyle w:val="Hyperlink"/>
            <w:sz w:val="20"/>
          </w:rPr>
          <w:t>https://www.census.gov/data/tables/2015/demo/popest/total-cities-and-towns.html</w:t>
        </w:r>
      </w:hyperlink>
      <w:r>
        <w:rPr>
          <w:sz w:val="20"/>
        </w:rPr>
        <w:t xml:space="preserve"> </w:t>
      </w:r>
      <w:r w:rsidRPr="00377F33">
        <w:rPr>
          <w:sz w:val="20"/>
        </w:rPr>
        <w:t>(last visited Mar. 14, 2017).</w:t>
      </w:r>
      <w:r>
        <w:rPr>
          <w:sz w:val="20"/>
        </w:rPr>
        <w:t xml:space="preserve">                                                                      </w:t>
      </w:r>
      <w:r w:rsidRPr="00251F45">
        <w:rPr>
          <w:sz w:val="20"/>
        </w:rPr>
        <w:t xml:space="preserve"> </w:t>
      </w:r>
      <w:r>
        <w:rPr>
          <w:sz w:val="20"/>
        </w:rPr>
        <w:t xml:space="preserve"> </w:t>
      </w:r>
      <w:r w:rsidRPr="00251F45">
        <w:rPr>
          <w:sz w:val="20"/>
        </w:rPr>
        <w:t>If we subtract</w:t>
      </w:r>
      <w:r>
        <w:rPr>
          <w:sz w:val="20"/>
        </w:rPr>
        <w:t xml:space="preserve"> the 758</w:t>
      </w:r>
      <w:r w:rsidRPr="00251F45">
        <w:rPr>
          <w:sz w:val="20"/>
        </w:rPr>
        <w:t xml:space="preserve"> cities and towns that meet or exceed the 50,000 population threshold, we conclude that approximately</w:t>
      </w:r>
      <w:r>
        <w:rPr>
          <w:sz w:val="20"/>
        </w:rPr>
        <w:t xml:space="preserve"> </w:t>
      </w:r>
      <w:r w:rsidRPr="00251F45">
        <w:rPr>
          <w:sz w:val="20"/>
        </w:rPr>
        <w:t>88,71</w:t>
      </w:r>
      <w:r>
        <w:rPr>
          <w:sz w:val="20"/>
        </w:rPr>
        <w:t>8</w:t>
      </w:r>
      <w:r w:rsidRPr="00251F45">
        <w:rPr>
          <w:sz w:val="20"/>
        </w:rPr>
        <w:t xml:space="preserve"> are small.</w:t>
      </w:r>
    </w:p>
  </w:footnote>
  <w:footnote w:id="212">
    <w:p w:rsidR="00967549" w:rsidRPr="0078063D" w:rsidRDefault="00967549" w:rsidP="00455188">
      <w:pPr>
        <w:autoSpaceDE w:val="0"/>
        <w:autoSpaceDN w:val="0"/>
        <w:adjustRightInd w:val="0"/>
        <w:spacing w:after="120"/>
        <w:rPr>
          <w:sz w:val="20"/>
        </w:rPr>
      </w:pPr>
      <w:r w:rsidRPr="0078063D">
        <w:rPr>
          <w:rStyle w:val="FootnoteReference"/>
        </w:rPr>
        <w:footnoteRef/>
      </w:r>
      <w:r w:rsidRPr="0078063D">
        <w:rPr>
          <w:sz w:val="20"/>
        </w:rPr>
        <w:t xml:space="preserve"> </w:t>
      </w:r>
      <w:r w:rsidRPr="0078063D">
        <w:rPr>
          <w:color w:val="000000"/>
          <w:sz w:val="20"/>
        </w:rPr>
        <w:t>U.S. Census Bureau, 2012 NAICS Definitions, “517110 Wired Telecommunications Categories</w:t>
      </w:r>
      <w:r>
        <w:rPr>
          <w:color w:val="000000"/>
          <w:sz w:val="20"/>
        </w:rPr>
        <w:t>,</w:t>
      </w:r>
      <w:r w:rsidRPr="0078063D">
        <w:rPr>
          <w:color w:val="000000"/>
          <w:sz w:val="20"/>
        </w:rPr>
        <w:t xml:space="preserve">” </w:t>
      </w:r>
      <w:hyperlink r:id="rId13" w:history="1">
        <w:r w:rsidRPr="00DD4010">
          <w:rPr>
            <w:rStyle w:val="Hyperlink"/>
            <w:sz w:val="20"/>
          </w:rPr>
          <w:t>http://www.census.gov/cgi-bin/sssd/naics/naicsrch</w:t>
        </w:r>
      </w:hyperlink>
      <w:r w:rsidRPr="0078063D">
        <w:rPr>
          <w:color w:val="000000"/>
          <w:sz w:val="20"/>
        </w:rPr>
        <w:t>.</w:t>
      </w:r>
    </w:p>
  </w:footnote>
  <w:footnote w:id="213">
    <w:p w:rsidR="00967549" w:rsidRPr="0078063D" w:rsidRDefault="00967549" w:rsidP="00455188">
      <w:pPr>
        <w:pStyle w:val="FootnoteText"/>
      </w:pPr>
      <w:r w:rsidRPr="0078063D">
        <w:rPr>
          <w:rStyle w:val="FootnoteReference"/>
        </w:rPr>
        <w:footnoteRef/>
      </w:r>
      <w:r w:rsidRPr="0078063D">
        <w:t xml:space="preserve"> </w:t>
      </w:r>
      <w:r w:rsidRPr="0078063D">
        <w:rPr>
          <w:i/>
          <w:iCs/>
        </w:rPr>
        <w:t xml:space="preserve">See </w:t>
      </w:r>
      <w:r w:rsidRPr="0078063D">
        <w:t>13 CFR § 120.201, NAICS Code 517110.</w:t>
      </w:r>
    </w:p>
  </w:footnote>
  <w:footnote w:id="214">
    <w:p w:rsidR="00967549" w:rsidRDefault="00967549" w:rsidP="00455188">
      <w:pPr>
        <w:autoSpaceDE w:val="0"/>
        <w:autoSpaceDN w:val="0"/>
        <w:adjustRightInd w:val="0"/>
        <w:spacing w:after="120"/>
      </w:pPr>
      <w:r w:rsidRPr="0078063D">
        <w:rPr>
          <w:rStyle w:val="FootnoteReference"/>
        </w:rPr>
        <w:footnoteRef/>
      </w:r>
      <w:r w:rsidRPr="0078063D">
        <w:rPr>
          <w:sz w:val="20"/>
        </w:rPr>
        <w:t xml:space="preserve"> </w:t>
      </w:r>
      <w:r w:rsidRPr="0078063D">
        <w:rPr>
          <w:color w:val="000000"/>
          <w:sz w:val="20"/>
        </w:rPr>
        <w:t>2012 U.S. Economic Census, NAIC</w:t>
      </w:r>
      <w:r>
        <w:rPr>
          <w:color w:val="000000"/>
          <w:sz w:val="20"/>
        </w:rPr>
        <w:t>S</w:t>
      </w:r>
      <w:r w:rsidRPr="0078063D">
        <w:rPr>
          <w:color w:val="000000"/>
          <w:sz w:val="20"/>
        </w:rPr>
        <w:t xml:space="preserve"> Code 517110, </w:t>
      </w:r>
      <w:hyperlink r:id="rId14" w:history="1">
        <w:r w:rsidRPr="00163262">
          <w:rPr>
            <w:rStyle w:val="Hyperlink"/>
            <w:sz w:val="20"/>
          </w:rPr>
          <w:t>http://factfinder.census.gov/faces/tableservices/jsf/pages/productview.xhtml?pid=ECN_2012_US_51SSSZ2&amp;prodType=table</w:t>
        </w:r>
      </w:hyperlink>
      <w:r w:rsidRPr="0078063D">
        <w:rPr>
          <w:color w:val="000000"/>
          <w:sz w:val="20"/>
        </w:rPr>
        <w:t>.</w:t>
      </w:r>
    </w:p>
  </w:footnote>
  <w:footnote w:id="215">
    <w:p w:rsidR="00967549" w:rsidRPr="0078063D" w:rsidRDefault="00967549" w:rsidP="00455188">
      <w:pPr>
        <w:pStyle w:val="FootnoteText"/>
      </w:pPr>
      <w:r w:rsidRPr="0078063D">
        <w:rPr>
          <w:rStyle w:val="FootnoteReference"/>
        </w:rPr>
        <w:footnoteRef/>
      </w:r>
      <w:r w:rsidRPr="0078063D">
        <w:t xml:space="preserve"> </w:t>
      </w:r>
      <w:r w:rsidRPr="0078063D">
        <w:rPr>
          <w:i/>
          <w:iCs/>
        </w:rPr>
        <w:t xml:space="preserve">See </w:t>
      </w:r>
      <w:r w:rsidRPr="0078063D">
        <w:t>13 CFR § 120.201, NAICS Code 517110.</w:t>
      </w:r>
    </w:p>
  </w:footnote>
  <w:footnote w:id="216">
    <w:p w:rsidR="00967549" w:rsidRDefault="00967549" w:rsidP="00455188">
      <w:pPr>
        <w:autoSpaceDE w:val="0"/>
        <w:autoSpaceDN w:val="0"/>
        <w:adjustRightInd w:val="0"/>
        <w:spacing w:after="120"/>
      </w:pPr>
      <w:r w:rsidRPr="0078063D">
        <w:rPr>
          <w:rStyle w:val="FootnoteReference"/>
        </w:rPr>
        <w:footnoteRef/>
      </w:r>
      <w:r w:rsidRPr="0078063D">
        <w:rPr>
          <w:sz w:val="20"/>
        </w:rPr>
        <w:t xml:space="preserve"> </w:t>
      </w:r>
      <w:r w:rsidRPr="0078063D">
        <w:rPr>
          <w:color w:val="000000"/>
          <w:sz w:val="20"/>
        </w:rPr>
        <w:t xml:space="preserve">2012 U.S. Economic Census, NAICs Code 517110, </w:t>
      </w:r>
      <w:hyperlink r:id="rId15" w:history="1">
        <w:r w:rsidRPr="00163262">
          <w:rPr>
            <w:rStyle w:val="Hyperlink"/>
            <w:sz w:val="20"/>
          </w:rPr>
          <w:t>http://factfinder.census.gov/faces/tableservices/jsf/pages/productview.xhtml?pid=ECN_2012_US_51SSSZ2&amp;prodType=table</w:t>
        </w:r>
      </w:hyperlink>
      <w:r w:rsidRPr="0078063D">
        <w:rPr>
          <w:color w:val="000000"/>
          <w:sz w:val="20"/>
        </w:rPr>
        <w:t>.</w:t>
      </w:r>
    </w:p>
  </w:footnote>
  <w:footnote w:id="217">
    <w:p w:rsidR="00967549" w:rsidRPr="0078063D" w:rsidRDefault="00967549" w:rsidP="00455188">
      <w:pPr>
        <w:pStyle w:val="FootnoteText"/>
      </w:pPr>
      <w:r w:rsidRPr="0078063D">
        <w:rPr>
          <w:rStyle w:val="FootnoteReference"/>
        </w:rPr>
        <w:footnoteRef/>
      </w:r>
      <w:r w:rsidRPr="0078063D">
        <w:t xml:space="preserve"> </w:t>
      </w:r>
      <w:r w:rsidRPr="0078063D">
        <w:rPr>
          <w:i/>
          <w:iCs/>
        </w:rPr>
        <w:t xml:space="preserve">See </w:t>
      </w:r>
      <w:r w:rsidRPr="0078063D">
        <w:t>13 CFR § 120.201, NAICS Code 517110.</w:t>
      </w:r>
    </w:p>
  </w:footnote>
  <w:footnote w:id="218">
    <w:p w:rsidR="00967549" w:rsidRPr="00B54A8E" w:rsidRDefault="00967549" w:rsidP="00455188">
      <w:pPr>
        <w:autoSpaceDE w:val="0"/>
        <w:autoSpaceDN w:val="0"/>
        <w:adjustRightInd w:val="0"/>
        <w:spacing w:after="120"/>
        <w:rPr>
          <w:sz w:val="20"/>
        </w:rPr>
      </w:pPr>
      <w:r w:rsidRPr="0078063D">
        <w:rPr>
          <w:rStyle w:val="FootnoteReference"/>
        </w:rPr>
        <w:footnoteRef/>
      </w:r>
      <w:r w:rsidRPr="0078063D">
        <w:rPr>
          <w:sz w:val="20"/>
        </w:rPr>
        <w:t xml:space="preserve"> </w:t>
      </w:r>
      <w:r w:rsidRPr="0078063D">
        <w:rPr>
          <w:color w:val="000000"/>
          <w:sz w:val="20"/>
        </w:rPr>
        <w:t>2012 U.S. Economic Census, NAIC</w:t>
      </w:r>
      <w:r>
        <w:rPr>
          <w:color w:val="000000"/>
          <w:sz w:val="20"/>
        </w:rPr>
        <w:t>S</w:t>
      </w:r>
      <w:r w:rsidRPr="0078063D">
        <w:rPr>
          <w:color w:val="000000"/>
          <w:sz w:val="20"/>
        </w:rPr>
        <w:t xml:space="preserve"> Code 517110, </w:t>
      </w:r>
      <w:hyperlink r:id="rId16" w:history="1">
        <w:r w:rsidRPr="00163262">
          <w:rPr>
            <w:rStyle w:val="Hyperlink"/>
            <w:sz w:val="20"/>
          </w:rPr>
          <w:t>http://factfinder.census.gov/faces/tableservices/jsf/pages/productview.xhtml?pid=ECN_2012_US_51SSSZ2&amp;prodType=table</w:t>
        </w:r>
      </w:hyperlink>
      <w:r w:rsidRPr="00B54A8E">
        <w:rPr>
          <w:color w:val="000000"/>
          <w:sz w:val="20"/>
        </w:rPr>
        <w:t>.</w:t>
      </w:r>
    </w:p>
  </w:footnote>
  <w:footnote w:id="219">
    <w:p w:rsidR="00967549" w:rsidRDefault="00967549" w:rsidP="00455188">
      <w:pPr>
        <w:autoSpaceDE w:val="0"/>
        <w:autoSpaceDN w:val="0"/>
        <w:adjustRightInd w:val="0"/>
        <w:spacing w:after="120"/>
      </w:pPr>
      <w:r w:rsidRPr="00B54A8E">
        <w:rPr>
          <w:rStyle w:val="FootnoteReference"/>
        </w:rPr>
        <w:footnoteRef/>
      </w:r>
      <w:r w:rsidRPr="00B54A8E">
        <w:rPr>
          <w:sz w:val="20"/>
        </w:rPr>
        <w:t xml:space="preserve"> </w:t>
      </w:r>
      <w:r w:rsidRPr="00B54A8E">
        <w:rPr>
          <w:i/>
          <w:iCs/>
          <w:sz w:val="20"/>
        </w:rPr>
        <w:t>See Trends in Telephone Service</w:t>
      </w:r>
      <w:r w:rsidRPr="00B54A8E">
        <w:rPr>
          <w:sz w:val="20"/>
        </w:rPr>
        <w:t>, Federal Communications Commission, Wireline Competition Bureau, Industry</w:t>
      </w:r>
      <w:r>
        <w:rPr>
          <w:sz w:val="20"/>
        </w:rPr>
        <w:t xml:space="preserve"> </w:t>
      </w:r>
      <w:r w:rsidRPr="00B54A8E">
        <w:rPr>
          <w:sz w:val="20"/>
        </w:rPr>
        <w:t>Analysis and Technology Division at Table 5.3 (Sept. 2010) (</w:t>
      </w:r>
      <w:r w:rsidRPr="00B54A8E">
        <w:rPr>
          <w:i/>
          <w:iCs/>
          <w:sz w:val="20"/>
        </w:rPr>
        <w:t>Trends in Telephone Service</w:t>
      </w:r>
      <w:r w:rsidRPr="00B54A8E">
        <w:rPr>
          <w:sz w:val="20"/>
        </w:rPr>
        <w:t>).</w:t>
      </w:r>
    </w:p>
  </w:footnote>
  <w:footnote w:id="220">
    <w:p w:rsidR="00967549" w:rsidRPr="00B54A8E" w:rsidRDefault="00967549" w:rsidP="00455188">
      <w:pPr>
        <w:pStyle w:val="FootnoteText"/>
      </w:pPr>
      <w:r w:rsidRPr="00B54A8E">
        <w:rPr>
          <w:rStyle w:val="FootnoteReference"/>
        </w:rPr>
        <w:footnoteRef/>
      </w:r>
      <w:r w:rsidRPr="00B54A8E">
        <w:t xml:space="preserve"> </w:t>
      </w:r>
      <w:r w:rsidRPr="00B54A8E">
        <w:rPr>
          <w:i/>
        </w:rPr>
        <w:t>Id.</w:t>
      </w:r>
    </w:p>
  </w:footnote>
  <w:footnote w:id="221">
    <w:p w:rsidR="00967549" w:rsidRDefault="00967549" w:rsidP="00455188">
      <w:pPr>
        <w:pStyle w:val="FootnoteText"/>
      </w:pPr>
      <w:r>
        <w:rPr>
          <w:rStyle w:val="FootnoteReference"/>
        </w:rPr>
        <w:footnoteRef/>
      </w:r>
      <w:hyperlink r:id="rId17" w:history="1">
        <w:r w:rsidRPr="00377F33">
          <w:rPr>
            <w:rStyle w:val="Hyperlink"/>
          </w:rPr>
          <w:t>http://factfinder.census.gov/faces/tableservices/jsf/pages/productview.xhtml?pid=ECN_2012_US_51SSSZ5&amp;prodType=table</w:t>
        </w:r>
      </w:hyperlink>
      <w:r>
        <w:t>.</w:t>
      </w:r>
    </w:p>
  </w:footnote>
  <w:footnote w:id="222">
    <w:p w:rsidR="00967549" w:rsidRPr="00D52C8E" w:rsidRDefault="00967549" w:rsidP="00455188">
      <w:pPr>
        <w:pStyle w:val="FootnoteText"/>
      </w:pPr>
      <w:r w:rsidRPr="00D52C8E">
        <w:rPr>
          <w:rStyle w:val="FootnoteReference"/>
        </w:rPr>
        <w:footnoteRef/>
      </w:r>
      <w:r w:rsidRPr="00D52C8E">
        <w:t xml:space="preserve"> </w:t>
      </w:r>
      <w:r w:rsidRPr="00D52C8E">
        <w:rPr>
          <w:i/>
          <w:iCs/>
        </w:rPr>
        <w:t xml:space="preserve">See Trends in Telephone Service, </w:t>
      </w:r>
      <w:r w:rsidRPr="00D52C8E">
        <w:t>at tbl. 5.3.</w:t>
      </w:r>
    </w:p>
  </w:footnote>
  <w:footnote w:id="223">
    <w:p w:rsidR="00967549" w:rsidRPr="00D52C8E" w:rsidRDefault="00967549" w:rsidP="00455188">
      <w:pPr>
        <w:pStyle w:val="FootnoteText"/>
      </w:pPr>
      <w:r w:rsidRPr="00D52C8E">
        <w:rPr>
          <w:rStyle w:val="FootnoteReference"/>
        </w:rPr>
        <w:footnoteRef/>
      </w:r>
      <w:r w:rsidRPr="00D52C8E">
        <w:t xml:space="preserve"> </w:t>
      </w:r>
      <w:r w:rsidRPr="00D52C8E">
        <w:rPr>
          <w:i/>
        </w:rPr>
        <w:t>Id.</w:t>
      </w:r>
    </w:p>
  </w:footnote>
  <w:footnote w:id="224">
    <w:p w:rsidR="00967549" w:rsidRPr="00D52C8E" w:rsidRDefault="00967549" w:rsidP="00455188">
      <w:pPr>
        <w:pStyle w:val="FootnoteText"/>
      </w:pPr>
      <w:r w:rsidRPr="00D52C8E">
        <w:rPr>
          <w:rStyle w:val="FootnoteReference"/>
        </w:rPr>
        <w:footnoteRef/>
      </w:r>
      <w:r w:rsidRPr="00D52C8E">
        <w:t xml:space="preserve"> </w:t>
      </w:r>
      <w:r w:rsidRPr="00D52C8E">
        <w:rPr>
          <w:i/>
        </w:rPr>
        <w:t>Id.</w:t>
      </w:r>
    </w:p>
  </w:footnote>
  <w:footnote w:id="225">
    <w:p w:rsidR="00967549" w:rsidRDefault="00967549" w:rsidP="00455188">
      <w:pPr>
        <w:pStyle w:val="FootnoteText"/>
      </w:pPr>
      <w:r w:rsidRPr="00D52C8E">
        <w:rPr>
          <w:rStyle w:val="FootnoteReference"/>
        </w:rPr>
        <w:footnoteRef/>
      </w:r>
      <w:r w:rsidRPr="00D52C8E">
        <w:t xml:space="preserve"> </w:t>
      </w:r>
      <w:r w:rsidRPr="00D52C8E">
        <w:rPr>
          <w:i/>
        </w:rPr>
        <w:t>Id.</w:t>
      </w:r>
    </w:p>
  </w:footnote>
  <w:footnote w:id="226">
    <w:p w:rsidR="00967549" w:rsidRPr="00CA0D69" w:rsidRDefault="00967549" w:rsidP="00455188">
      <w:pPr>
        <w:pStyle w:val="FootnoteText"/>
      </w:pPr>
      <w:r w:rsidRPr="00CA0D69">
        <w:rPr>
          <w:rStyle w:val="FootnoteReference"/>
        </w:rPr>
        <w:footnoteRef/>
      </w:r>
      <w:r w:rsidRPr="00CA0D69">
        <w:t xml:space="preserve"> 13 CFR § 121.201, NAICS code 517110.</w:t>
      </w:r>
    </w:p>
  </w:footnote>
  <w:footnote w:id="227">
    <w:p w:rsidR="00967549" w:rsidRPr="00CA0D69" w:rsidRDefault="00967549" w:rsidP="00455188">
      <w:pPr>
        <w:pStyle w:val="FootnoteText"/>
      </w:pPr>
      <w:r w:rsidRPr="00D52C8E">
        <w:rPr>
          <w:rStyle w:val="FootnoteReference"/>
        </w:rPr>
        <w:footnoteRef/>
      </w:r>
      <w:r w:rsidRPr="00D52C8E">
        <w:t xml:space="preserve"> </w:t>
      </w:r>
      <w:r w:rsidRPr="00D52C8E">
        <w:rPr>
          <w:i/>
          <w:iCs/>
        </w:rPr>
        <w:t>Se</w:t>
      </w:r>
      <w:r w:rsidRPr="00CA0D69">
        <w:rPr>
          <w:i/>
          <w:iCs/>
        </w:rPr>
        <w:t xml:space="preserve">e Trends in Telephone Service, </w:t>
      </w:r>
      <w:r w:rsidRPr="00CA0D69">
        <w:t>at tbl. 5.3.</w:t>
      </w:r>
    </w:p>
  </w:footnote>
  <w:footnote w:id="228">
    <w:p w:rsidR="00967549" w:rsidRDefault="00967549" w:rsidP="00455188">
      <w:pPr>
        <w:pStyle w:val="FootnoteText"/>
      </w:pPr>
      <w:r w:rsidRPr="00CA0D69">
        <w:rPr>
          <w:rStyle w:val="FootnoteReference"/>
        </w:rPr>
        <w:footnoteRef/>
      </w:r>
      <w:r w:rsidRPr="00CA0D69">
        <w:t xml:space="preserve"> </w:t>
      </w:r>
      <w:r w:rsidRPr="00CA0D69">
        <w:rPr>
          <w:i/>
        </w:rPr>
        <w:t>Id.</w:t>
      </w:r>
    </w:p>
  </w:footnote>
  <w:footnote w:id="229">
    <w:p w:rsidR="00967549" w:rsidRPr="00CA0D69" w:rsidRDefault="00967549" w:rsidP="00455188">
      <w:pPr>
        <w:pStyle w:val="FootnoteText"/>
      </w:pPr>
      <w:r w:rsidRPr="00CA0D69">
        <w:rPr>
          <w:rStyle w:val="FootnoteReference"/>
        </w:rPr>
        <w:footnoteRef/>
      </w:r>
      <w:r w:rsidRPr="00CA0D69">
        <w:t xml:space="preserve"> 13 CFR § 121.201, NAICS code 517110.</w:t>
      </w:r>
    </w:p>
  </w:footnote>
  <w:footnote w:id="230">
    <w:p w:rsidR="00967549" w:rsidRPr="00D52C8E" w:rsidRDefault="00967549" w:rsidP="00455188">
      <w:pPr>
        <w:autoSpaceDE w:val="0"/>
        <w:autoSpaceDN w:val="0"/>
        <w:adjustRightInd w:val="0"/>
        <w:spacing w:after="120"/>
        <w:rPr>
          <w:sz w:val="20"/>
        </w:rPr>
      </w:pPr>
      <w:r w:rsidRPr="00D52C8E">
        <w:rPr>
          <w:rStyle w:val="FootnoteReference"/>
        </w:rPr>
        <w:footnoteRef/>
      </w:r>
      <w:hyperlink r:id="rId18" w:history="1">
        <w:r w:rsidRPr="00163262">
          <w:rPr>
            <w:rStyle w:val="Hyperlink"/>
            <w:sz w:val="20"/>
          </w:rPr>
          <w:t>http://factfinder.census.gov/faces/tableservices/jsf/pages/productview.xhtml?pid=ECN_2012_US_51SSSZ5&amp;prodType=table</w:t>
        </w:r>
      </w:hyperlink>
      <w:r w:rsidRPr="00FE191A">
        <w:rPr>
          <w:sz w:val="20"/>
        </w:rPr>
        <w:t>.</w:t>
      </w:r>
    </w:p>
  </w:footnote>
  <w:footnote w:id="231">
    <w:p w:rsidR="00967549" w:rsidRPr="00CA0D69" w:rsidRDefault="00967549" w:rsidP="00455188">
      <w:pPr>
        <w:pStyle w:val="FootnoteText"/>
      </w:pPr>
      <w:r w:rsidRPr="00D52C8E">
        <w:rPr>
          <w:rStyle w:val="FootnoteReference"/>
        </w:rPr>
        <w:footnoteRef/>
      </w:r>
      <w:r w:rsidRPr="00D52C8E">
        <w:t xml:space="preserve"> </w:t>
      </w:r>
      <w:r w:rsidRPr="00D52C8E">
        <w:rPr>
          <w:i/>
          <w:iCs/>
        </w:rPr>
        <w:t>Se</w:t>
      </w:r>
      <w:r w:rsidRPr="00CA0D69">
        <w:rPr>
          <w:i/>
          <w:iCs/>
        </w:rPr>
        <w:t xml:space="preserve">e Trends in Telephone Service, </w:t>
      </w:r>
      <w:r w:rsidRPr="00CA0D69">
        <w:t>at tbl. 5.3.</w:t>
      </w:r>
    </w:p>
  </w:footnote>
  <w:footnote w:id="232">
    <w:p w:rsidR="00967549" w:rsidRDefault="00967549" w:rsidP="00455188">
      <w:pPr>
        <w:pStyle w:val="FootnoteText"/>
      </w:pPr>
      <w:r w:rsidRPr="00CA0D69">
        <w:rPr>
          <w:rStyle w:val="FootnoteReference"/>
        </w:rPr>
        <w:footnoteRef/>
      </w:r>
      <w:r w:rsidRPr="00CA0D69">
        <w:rPr>
          <w:i/>
        </w:rPr>
        <w:t xml:space="preserve"> Id.</w:t>
      </w:r>
    </w:p>
  </w:footnote>
  <w:footnote w:id="233">
    <w:p w:rsidR="00967549" w:rsidRDefault="00967549" w:rsidP="00455188">
      <w:pPr>
        <w:pStyle w:val="FootnoteText"/>
      </w:pPr>
      <w:r w:rsidRPr="000F4DD6">
        <w:rPr>
          <w:rStyle w:val="FootnoteReference"/>
        </w:rPr>
        <w:footnoteRef/>
      </w:r>
      <w:r w:rsidRPr="000F4DD6">
        <w:t xml:space="preserve"> </w:t>
      </w:r>
      <w:r w:rsidRPr="000F4DD6">
        <w:rPr>
          <w:color w:val="000000"/>
        </w:rPr>
        <w:t xml:space="preserve">NAICS Code 517210. </w:t>
      </w:r>
      <w:r>
        <w:rPr>
          <w:color w:val="000000"/>
        </w:rPr>
        <w:t xml:space="preserve"> </w:t>
      </w:r>
      <w:r w:rsidRPr="000F4DD6">
        <w:rPr>
          <w:i/>
          <w:iCs/>
          <w:color w:val="000000"/>
        </w:rPr>
        <w:t>See</w:t>
      </w:r>
      <w:r>
        <w:rPr>
          <w:i/>
          <w:iCs/>
          <w:color w:val="000000"/>
        </w:rPr>
        <w:t xml:space="preserve"> </w:t>
      </w:r>
      <w:hyperlink r:id="rId19" w:history="1">
        <w:r w:rsidRPr="00564083">
          <w:rPr>
            <w:rStyle w:val="Hyperlink"/>
            <w:iCs/>
          </w:rPr>
          <w:t>https://www.census.gov/econ/isp/sampler.php?naicscode=517210&amp;naicslevel=6#</w:t>
        </w:r>
      </w:hyperlink>
      <w:r w:rsidRPr="00564083">
        <w:rPr>
          <w:iCs/>
          <w:color w:val="000000"/>
        </w:rPr>
        <w:t xml:space="preserve">. </w:t>
      </w:r>
    </w:p>
  </w:footnote>
  <w:footnote w:id="234">
    <w:p w:rsidR="00967549" w:rsidRPr="000F4DD6" w:rsidRDefault="00967549" w:rsidP="00455188">
      <w:pPr>
        <w:autoSpaceDE w:val="0"/>
        <w:autoSpaceDN w:val="0"/>
        <w:adjustRightInd w:val="0"/>
        <w:spacing w:after="120"/>
        <w:rPr>
          <w:sz w:val="20"/>
        </w:rPr>
      </w:pPr>
      <w:r w:rsidRPr="00D52C8E">
        <w:rPr>
          <w:rStyle w:val="FootnoteReference"/>
        </w:rPr>
        <w:footnoteRef/>
      </w:r>
      <w:hyperlink r:id="rId20" w:history="1">
        <w:r w:rsidRPr="00163262">
          <w:rPr>
            <w:rStyle w:val="Hyperlink"/>
            <w:sz w:val="20"/>
          </w:rPr>
          <w:t>http://factfinder.census.gov/faces/tableservices/jsf/pages/productview.xhtml?pid=ECN_2012_US_51SSSZ5&amp;prodType=table</w:t>
        </w:r>
      </w:hyperlink>
      <w:r w:rsidRPr="00FE191A">
        <w:rPr>
          <w:sz w:val="20"/>
        </w:rPr>
        <w:t>.</w:t>
      </w:r>
    </w:p>
  </w:footnote>
  <w:footnote w:id="235">
    <w:p w:rsidR="00967549" w:rsidRPr="000F4DD6" w:rsidRDefault="00967549" w:rsidP="00455188">
      <w:pPr>
        <w:pStyle w:val="FootnoteText"/>
      </w:pPr>
      <w:r w:rsidRPr="000F4DD6">
        <w:rPr>
          <w:rStyle w:val="FootnoteReference"/>
        </w:rPr>
        <w:footnoteRef/>
      </w:r>
      <w:r w:rsidRPr="000F4DD6">
        <w:t xml:space="preserve"> </w:t>
      </w:r>
      <w:r w:rsidRPr="000F4DD6">
        <w:rPr>
          <w:i/>
          <w:iCs/>
        </w:rPr>
        <w:t xml:space="preserve">See Trends in Telephone Service, </w:t>
      </w:r>
      <w:r w:rsidRPr="000F4DD6">
        <w:t>at tbl. 5.3.</w:t>
      </w:r>
    </w:p>
  </w:footnote>
  <w:footnote w:id="236">
    <w:p w:rsidR="00967549" w:rsidRDefault="00967549" w:rsidP="00455188">
      <w:pPr>
        <w:pStyle w:val="FootnoteText"/>
      </w:pPr>
      <w:r w:rsidRPr="000F4DD6">
        <w:rPr>
          <w:rStyle w:val="FootnoteReference"/>
        </w:rPr>
        <w:footnoteRef/>
      </w:r>
      <w:r w:rsidRPr="000F4DD6">
        <w:t xml:space="preserve"> </w:t>
      </w:r>
      <w:r w:rsidRPr="000F4DD6">
        <w:rPr>
          <w:i/>
        </w:rPr>
        <w:t>Id.</w:t>
      </w:r>
    </w:p>
  </w:footnote>
  <w:footnote w:id="237">
    <w:p w:rsidR="00967549" w:rsidRDefault="00967549" w:rsidP="00455188">
      <w:pPr>
        <w:pStyle w:val="FootnoteText"/>
      </w:pPr>
      <w:r>
        <w:rPr>
          <w:rStyle w:val="FootnoteReference"/>
        </w:rPr>
        <w:footnoteRef/>
      </w:r>
      <w:r>
        <w:t xml:space="preserve"> 47 CFR § 76.901(e)</w:t>
      </w:r>
    </w:p>
  </w:footnote>
  <w:footnote w:id="238">
    <w:p w:rsidR="00967549" w:rsidRDefault="00967549" w:rsidP="00455188">
      <w:pPr>
        <w:pStyle w:val="FootnoteText"/>
      </w:pPr>
      <w:r>
        <w:rPr>
          <w:rStyle w:val="FootnoteReference"/>
        </w:rPr>
        <w:footnoteRef/>
      </w:r>
      <w:r>
        <w:t xml:space="preserve"> </w:t>
      </w:r>
      <w:r w:rsidRPr="004D5CC4">
        <w:t>Federal Communications Commission, Assessment and Collection of Regulatory Fees for Fiscal Year 2014; Assessment and Collection of Regulatory Fees for Fiscal Year 2013; and Procedures for Assessment and Collection of Regulatory F</w:t>
      </w:r>
      <w:r>
        <w:t>ees, 80 Fed. Reg. 66815 (Oct.</w:t>
      </w:r>
      <w:r w:rsidRPr="004D5CC4">
        <w:t xml:space="preserve"> 30, 2015) </w:t>
      </w:r>
      <w:r>
        <w:t>(</w:t>
      </w:r>
      <w:r w:rsidRPr="00FD638E">
        <w:t>citing</w:t>
      </w:r>
      <w:r w:rsidRPr="004D5CC4">
        <w:t xml:space="preserve"> </w:t>
      </w:r>
      <w:r w:rsidRPr="0003398B">
        <w:t>August 15, 2015 Report from the Media Bureau based on data contained in the</w:t>
      </w:r>
      <w:r>
        <w:t xml:space="preserve"> Commission’s Cable Operations a</w:t>
      </w:r>
      <w:r w:rsidRPr="0003398B">
        <w:t xml:space="preserve">nd Licensing System (COALS). </w:t>
      </w:r>
      <w:r>
        <w:t xml:space="preserve"> </w:t>
      </w:r>
      <w:r w:rsidRPr="00FC5E6E">
        <w:rPr>
          <w:i/>
        </w:rPr>
        <w:t>See</w:t>
      </w:r>
      <w:r>
        <w:t xml:space="preserve"> </w:t>
      </w:r>
      <w:hyperlink r:id="rId21" w:history="1">
        <w:r w:rsidRPr="00223EB1">
          <w:rPr>
            <w:rStyle w:val="Hyperlink"/>
          </w:rPr>
          <w:t>www.fcc.gov/coals</w:t>
        </w:r>
      </w:hyperlink>
      <w:r>
        <w:t xml:space="preserve">.). </w:t>
      </w:r>
    </w:p>
  </w:footnote>
  <w:footnote w:id="239">
    <w:p w:rsidR="00967549" w:rsidRDefault="00967549" w:rsidP="00455188">
      <w:pPr>
        <w:pStyle w:val="FootnoteText"/>
      </w:pPr>
      <w:r>
        <w:rPr>
          <w:rStyle w:val="FootnoteReference"/>
        </w:rPr>
        <w:footnoteRef/>
      </w:r>
      <w:r>
        <w:t xml:space="preserve"> </w:t>
      </w:r>
      <w:r w:rsidRPr="00FC5E6E">
        <w:rPr>
          <w:i/>
        </w:rPr>
        <w:t>See</w:t>
      </w:r>
      <w:r w:rsidRPr="0003398B">
        <w:t xml:space="preserve"> SNL KAGAN at </w:t>
      </w:r>
      <w:hyperlink r:id="rId22" w:history="1">
        <w:r>
          <w:rPr>
            <w:rStyle w:val="Hyperlink"/>
          </w:rPr>
          <w:t>https://www.snl.com/interactiveX/MyInteractive.aspx?mode=4&amp;CDID=A-821-38606&amp;KLPT=8</w:t>
        </w:r>
      </w:hyperlink>
      <w:r>
        <w:rPr>
          <w:color w:val="1F497D"/>
        </w:rPr>
        <w:t xml:space="preserve"> </w:t>
      </w:r>
      <w:r w:rsidRPr="00693704">
        <w:t>(subscription required)</w:t>
      </w:r>
      <w:r>
        <w:t xml:space="preserve">. </w:t>
      </w:r>
    </w:p>
  </w:footnote>
  <w:footnote w:id="240">
    <w:p w:rsidR="00967549" w:rsidRDefault="00967549" w:rsidP="00455188">
      <w:pPr>
        <w:pStyle w:val="FootnoteText"/>
      </w:pPr>
      <w:r>
        <w:rPr>
          <w:rStyle w:val="FootnoteReference"/>
        </w:rPr>
        <w:footnoteRef/>
      </w:r>
      <w:r>
        <w:t xml:space="preserve"> 47 CFR § 76.901(c).</w:t>
      </w:r>
    </w:p>
  </w:footnote>
  <w:footnote w:id="241">
    <w:p w:rsidR="00967549" w:rsidRDefault="00967549" w:rsidP="00455188">
      <w:pPr>
        <w:pStyle w:val="FootnoteText"/>
      </w:pPr>
      <w:r>
        <w:rPr>
          <w:rStyle w:val="FootnoteReference"/>
        </w:rPr>
        <w:footnoteRef/>
      </w:r>
      <w:r>
        <w:t xml:space="preserve"> </w:t>
      </w:r>
      <w:r w:rsidRPr="00FC5E6E">
        <w:rPr>
          <w:i/>
        </w:rPr>
        <w:t>See</w:t>
      </w:r>
      <w:r>
        <w:t xml:space="preserve"> </w:t>
      </w:r>
      <w:r w:rsidRPr="00FC5E6E">
        <w:rPr>
          <w:i/>
        </w:rPr>
        <w:t>supra</w:t>
      </w:r>
      <w:r>
        <w:t xml:space="preserve"> note 46.</w:t>
      </w:r>
    </w:p>
  </w:footnote>
  <w:footnote w:id="242">
    <w:p w:rsidR="00967549" w:rsidRDefault="00967549" w:rsidP="00455188">
      <w:pPr>
        <w:pStyle w:val="FootnoteText"/>
      </w:pPr>
      <w:r>
        <w:rPr>
          <w:rStyle w:val="FootnoteReference"/>
        </w:rPr>
        <w:footnoteRef/>
      </w:r>
      <w:r>
        <w:t xml:space="preserve"> </w:t>
      </w:r>
      <w:r w:rsidRPr="00FD638E">
        <w:rPr>
          <w:i/>
        </w:rPr>
        <w:t>Id.</w:t>
      </w:r>
      <w:r>
        <w:t xml:space="preserve"> </w:t>
      </w:r>
    </w:p>
  </w:footnote>
  <w:footnote w:id="243">
    <w:p w:rsidR="00967549" w:rsidRPr="00FA64E1" w:rsidRDefault="00967549" w:rsidP="00455188">
      <w:pPr>
        <w:pStyle w:val="FootnoteText"/>
      </w:pPr>
      <w:r w:rsidRPr="00FA64E1">
        <w:rPr>
          <w:rStyle w:val="FootnoteReference"/>
        </w:rPr>
        <w:footnoteRef/>
      </w:r>
      <w:r>
        <w:t xml:space="preserve"> </w:t>
      </w:r>
      <w:r w:rsidRPr="00693704">
        <w:rPr>
          <w:i/>
        </w:rPr>
        <w:t>Assessment and Collection of Regulatory Fees</w:t>
      </w:r>
      <w:r>
        <w:rPr>
          <w:i/>
        </w:rPr>
        <w:t xml:space="preserve"> for Fiscal Year 2016</w:t>
      </w:r>
      <w:r w:rsidRPr="00693704">
        <w:rPr>
          <w:i/>
        </w:rPr>
        <w:t>, Notice of Proposed Rulemaking</w:t>
      </w:r>
      <w:r>
        <w:t xml:space="preserve">, 31 FCC Rcd 5757, Appendix E para. 23 (2016) (citing </w:t>
      </w:r>
      <w:r w:rsidRPr="00E30E8B">
        <w:t>Office of Management and Budget (OMB) Memorandum M-10-06, Open Government Directive, Dec. 8, 2009</w:t>
      </w:r>
      <w:r>
        <w:t>).</w:t>
      </w:r>
    </w:p>
  </w:footnote>
  <w:footnote w:id="244">
    <w:p w:rsidR="00967549" w:rsidRPr="00FA64E1" w:rsidRDefault="00967549" w:rsidP="00455188">
      <w:pPr>
        <w:pStyle w:val="FootnoteText"/>
      </w:pPr>
      <w:r w:rsidRPr="00FA64E1">
        <w:rPr>
          <w:rStyle w:val="FootnoteReference"/>
        </w:rPr>
        <w:footnoteRef/>
      </w:r>
      <w:r w:rsidRPr="00FA64E1">
        <w:t xml:space="preserve"> 47</w:t>
      </w:r>
      <w:r>
        <w:t xml:space="preserve"> CFR § 76</w:t>
      </w:r>
      <w:r w:rsidRPr="00FA64E1">
        <w:t>.901(f).</w:t>
      </w:r>
    </w:p>
  </w:footnote>
  <w:footnote w:id="245">
    <w:p w:rsidR="00967549" w:rsidRPr="00FA64E1" w:rsidRDefault="00967549" w:rsidP="00455188">
      <w:pPr>
        <w:pStyle w:val="FootnoteText"/>
      </w:pPr>
      <w:r w:rsidRPr="00FA64E1">
        <w:rPr>
          <w:rStyle w:val="FootnoteReference"/>
        </w:rPr>
        <w:footnoteRef/>
      </w:r>
      <w:r>
        <w:t xml:space="preserve"> </w:t>
      </w:r>
      <w:r w:rsidRPr="00564083">
        <w:rPr>
          <w:i/>
        </w:rPr>
        <w:t>Assessment &amp; Collection of Regulatory Fees for Fiscal Year 2016,</w:t>
      </w:r>
      <w:r w:rsidRPr="00E30E8B">
        <w:t xml:space="preserve"> </w:t>
      </w:r>
      <w:r>
        <w:t>Notice of Proposed Rulemaking, 31 FCC</w:t>
      </w:r>
      <w:r w:rsidRPr="00E30E8B">
        <w:t xml:space="preserve"> Rcd 5757</w:t>
      </w:r>
      <w:r>
        <w:t>, Appendix E para. 23 (2016)</w:t>
      </w:r>
      <w:r w:rsidRPr="00FA64E1">
        <w:t>.</w:t>
      </w:r>
    </w:p>
  </w:footnote>
  <w:footnote w:id="246">
    <w:p w:rsidR="00967549" w:rsidRDefault="00967549" w:rsidP="00455188">
      <w:pPr>
        <w:autoSpaceDE w:val="0"/>
        <w:autoSpaceDN w:val="0"/>
        <w:adjustRightInd w:val="0"/>
        <w:spacing w:after="120"/>
      </w:pPr>
      <w:r w:rsidRPr="00FA64E1">
        <w:rPr>
          <w:rStyle w:val="FootnoteReference"/>
        </w:rPr>
        <w:footnoteRef/>
      </w:r>
      <w:r>
        <w:rPr>
          <w:sz w:val="20"/>
        </w:rPr>
        <w:t xml:space="preserve"> </w:t>
      </w:r>
      <w:r w:rsidRPr="00FA64E1">
        <w:rPr>
          <w:sz w:val="20"/>
        </w:rPr>
        <w:t>The Commission does receive such information on a case-by-case basis if a cable operator appeals a local</w:t>
      </w:r>
      <w:r>
        <w:rPr>
          <w:sz w:val="20"/>
        </w:rPr>
        <w:t xml:space="preserve"> </w:t>
      </w:r>
      <w:r w:rsidRPr="00FA64E1">
        <w:rPr>
          <w:sz w:val="20"/>
        </w:rPr>
        <w:t xml:space="preserve">franchise authority's finding that the operator does not qualify as a small cable operator pursuant to </w:t>
      </w:r>
      <w:r>
        <w:rPr>
          <w:sz w:val="20"/>
        </w:rPr>
        <w:t xml:space="preserve">Section </w:t>
      </w:r>
      <w:r w:rsidRPr="00FA64E1">
        <w:rPr>
          <w:sz w:val="20"/>
        </w:rPr>
        <w:t>76.901(f) of</w:t>
      </w:r>
      <w:r>
        <w:rPr>
          <w:sz w:val="20"/>
        </w:rPr>
        <w:t xml:space="preserve"> </w:t>
      </w:r>
      <w:r w:rsidRPr="00FA64E1">
        <w:rPr>
          <w:sz w:val="20"/>
        </w:rPr>
        <w:t>the Commission's rules</w:t>
      </w:r>
      <w:r w:rsidRPr="00FA64E1">
        <w:rPr>
          <w:i/>
          <w:iCs/>
          <w:sz w:val="20"/>
        </w:rPr>
        <w:t>.</w:t>
      </w:r>
      <w:r>
        <w:rPr>
          <w:i/>
          <w:iCs/>
          <w:sz w:val="20"/>
        </w:rPr>
        <w:t xml:space="preserve"> </w:t>
      </w:r>
      <w:r w:rsidRPr="00FA64E1">
        <w:rPr>
          <w:i/>
          <w:iCs/>
          <w:sz w:val="20"/>
        </w:rPr>
        <w:t xml:space="preserve"> See </w:t>
      </w:r>
      <w:r w:rsidRPr="00FA64E1">
        <w:rPr>
          <w:sz w:val="20"/>
        </w:rPr>
        <w:t>47 CFR § 76.901(f).</w:t>
      </w:r>
    </w:p>
  </w:footnote>
  <w:footnote w:id="247">
    <w:p w:rsidR="00967549" w:rsidRPr="00D455E5" w:rsidRDefault="00967549" w:rsidP="00455188">
      <w:pPr>
        <w:pStyle w:val="FootnoteText"/>
      </w:pPr>
      <w:r w:rsidRPr="00D455E5">
        <w:rPr>
          <w:rStyle w:val="FootnoteReference"/>
        </w:rPr>
        <w:footnoteRef/>
      </w:r>
      <w:hyperlink r:id="rId23" w:history="1">
        <w:r w:rsidRPr="009C55EB">
          <w:rPr>
            <w:rStyle w:val="Hyperlink"/>
          </w:rPr>
          <w:t>https://www.census.gov/econ/isp/sampler.php?naicscode=517919&amp;naicslevel=6</w:t>
        </w:r>
      </w:hyperlink>
      <w:r>
        <w:t xml:space="preserve">. </w:t>
      </w:r>
    </w:p>
  </w:footnote>
  <w:footnote w:id="248">
    <w:p w:rsidR="00967549" w:rsidRPr="00D455E5" w:rsidRDefault="00967549" w:rsidP="00455188">
      <w:pPr>
        <w:pStyle w:val="FootnoteText"/>
      </w:pPr>
      <w:r w:rsidRPr="00D455E5">
        <w:rPr>
          <w:rStyle w:val="FootnoteReference"/>
        </w:rPr>
        <w:footnoteRef/>
      </w:r>
      <w:r w:rsidRPr="00D455E5">
        <w:t xml:space="preserve"> 13 CFR </w:t>
      </w:r>
      <w:r w:rsidRPr="00E5144D">
        <w:t>§</w:t>
      </w:r>
      <w:r>
        <w:t xml:space="preserve"> </w:t>
      </w:r>
      <w:r w:rsidRPr="00D455E5">
        <w:t>121.201; NAIC</w:t>
      </w:r>
      <w:r>
        <w:t>S</w:t>
      </w:r>
      <w:r w:rsidRPr="00D455E5">
        <w:t xml:space="preserve"> Code 517919.</w:t>
      </w:r>
    </w:p>
  </w:footnote>
  <w:footnote w:id="249">
    <w:p w:rsidR="00967549" w:rsidRDefault="00967549" w:rsidP="00455188">
      <w:pPr>
        <w:autoSpaceDE w:val="0"/>
        <w:autoSpaceDN w:val="0"/>
        <w:adjustRightInd w:val="0"/>
        <w:spacing w:after="120"/>
      </w:pPr>
      <w:r w:rsidRPr="00D455E5">
        <w:rPr>
          <w:rStyle w:val="FootnoteReference"/>
        </w:rPr>
        <w:footnoteRef/>
      </w:r>
      <w:r w:rsidRPr="00D455E5">
        <w:rPr>
          <w:sz w:val="20"/>
        </w:rPr>
        <w:t xml:space="preserve"> U.S. Census Bureau, </w:t>
      </w:r>
      <w:r w:rsidRPr="00D455E5">
        <w:rPr>
          <w:i/>
          <w:iCs/>
          <w:sz w:val="20"/>
        </w:rPr>
        <w:t>2012 Economic Census of the United States</w:t>
      </w:r>
      <w:r w:rsidRPr="00D455E5">
        <w:rPr>
          <w:sz w:val="20"/>
        </w:rPr>
        <w:t>, Table EC0751SSSZ</w:t>
      </w:r>
      <w:r>
        <w:rPr>
          <w:sz w:val="20"/>
        </w:rPr>
        <w:t>1</w:t>
      </w:r>
      <w:r w:rsidRPr="00D455E5">
        <w:rPr>
          <w:sz w:val="20"/>
        </w:rPr>
        <w:t xml:space="preserve">, Information: </w:t>
      </w:r>
      <w:r>
        <w:rPr>
          <w:sz w:val="20"/>
        </w:rPr>
        <w:t xml:space="preserve"> </w:t>
      </w:r>
      <w:r w:rsidRPr="00D455E5">
        <w:rPr>
          <w:sz w:val="20"/>
        </w:rPr>
        <w:t>Subject</w:t>
      </w:r>
      <w:r>
        <w:rPr>
          <w:sz w:val="20"/>
        </w:rPr>
        <w:t xml:space="preserve"> </w:t>
      </w:r>
      <w:r w:rsidRPr="00D455E5">
        <w:rPr>
          <w:sz w:val="20"/>
        </w:rPr>
        <w:t>Series - Establishment and Firm Size: Receipts Size of Firms for the United States: 2012 NAICS Code 517919,</w:t>
      </w:r>
      <w:r>
        <w:rPr>
          <w:sz w:val="20"/>
        </w:rPr>
        <w:t xml:space="preserve"> </w:t>
      </w:r>
      <w:hyperlink r:id="rId24" w:history="1">
        <w:r w:rsidRPr="00163262">
          <w:rPr>
            <w:rStyle w:val="Hyperlink"/>
            <w:sz w:val="20"/>
          </w:rPr>
          <w:t>http://factfinder.census.gov/faces/tableservices/jsf/pages/productview.xhtml?pid=ECN_2012_US_51SSSZ1&amp;prodType=table</w:t>
        </w:r>
      </w:hyperlink>
      <w:r w:rsidRPr="00D455E5">
        <w:rPr>
          <w:sz w:val="20"/>
        </w:rPr>
        <w:t>.</w:t>
      </w:r>
    </w:p>
  </w:footnote>
  <w:footnote w:id="250">
    <w:p w:rsidR="00967549" w:rsidRDefault="00967549" w:rsidP="00455188">
      <w:pPr>
        <w:pStyle w:val="FootnoteText"/>
      </w:pPr>
      <w:r>
        <w:rPr>
          <w:rStyle w:val="FootnoteReference"/>
        </w:rPr>
        <w:footnoteRef/>
      </w:r>
      <w:r>
        <w:t xml:space="preserve"> U.S. Census Bureau, 2017 NAICS Definitions, “2211 Electric Power Generation, Transmission and Distribution,</w:t>
      </w:r>
      <w:r>
        <w:rPr>
          <w:bCs/>
        </w:rPr>
        <w:t xml:space="preserve">” </w:t>
      </w:r>
      <w:hyperlink r:id="rId25" w:history="1">
        <w:r w:rsidRPr="00111FAC">
          <w:rPr>
            <w:rStyle w:val="Hyperlink"/>
            <w:bCs/>
          </w:rPr>
          <w:t>https://www.census.gov/eos/www/naics/2017NAICS/2017_NAICS_Manual.pdf</w:t>
        </w:r>
      </w:hyperlink>
      <w:r>
        <w:rPr>
          <w:bCs/>
        </w:rPr>
        <w:t xml:space="preserve">. </w:t>
      </w:r>
      <w:r>
        <w:t xml:space="preserve"> </w:t>
      </w:r>
    </w:p>
  </w:footnote>
  <w:footnote w:id="251">
    <w:p w:rsidR="00967549" w:rsidRDefault="00967549" w:rsidP="00455188">
      <w:pPr>
        <w:autoSpaceDE w:val="0"/>
        <w:autoSpaceDN w:val="0"/>
        <w:adjustRightInd w:val="0"/>
        <w:spacing w:after="120"/>
      </w:pPr>
      <w:r>
        <w:rPr>
          <w:rStyle w:val="FootnoteReference"/>
        </w:rPr>
        <w:footnoteRef/>
      </w:r>
      <w:r>
        <w:rPr>
          <w:lang w:val="fr-FR"/>
        </w:rPr>
        <w:t xml:space="preserve"> </w:t>
      </w:r>
      <w:r w:rsidRPr="00AC611E">
        <w:rPr>
          <w:sz w:val="20"/>
          <w:lang w:val="fr-FR"/>
        </w:rPr>
        <w:t xml:space="preserve">U.S. Small Business Administration, Table of Small Business Size Standards Matched to North American Classification System Codes, </w:t>
      </w:r>
      <w:r w:rsidRPr="00AC611E">
        <w:rPr>
          <w:sz w:val="20"/>
        </w:rPr>
        <w:t>“Sector 22 - Utilities” at 5 (2016)</w:t>
      </w:r>
      <w:r>
        <w:rPr>
          <w:sz w:val="20"/>
        </w:rPr>
        <w:t>,</w:t>
      </w:r>
      <w:r w:rsidRPr="00AC611E">
        <w:rPr>
          <w:sz w:val="20"/>
        </w:rPr>
        <w:t xml:space="preserve"> </w:t>
      </w:r>
      <w:hyperlink r:id="rId26" w:history="1">
        <w:r w:rsidRPr="009C55EB">
          <w:rPr>
            <w:rStyle w:val="Hyperlink"/>
            <w:sz w:val="20"/>
          </w:rPr>
          <w:t>https://www.sba.gov/sites/default/files/files/Size_Standards_Table.pdf</w:t>
        </w:r>
      </w:hyperlink>
      <w:r w:rsidRPr="00AC611E">
        <w:rPr>
          <w:sz w:val="20"/>
        </w:rPr>
        <w:t>.</w:t>
      </w:r>
      <w:r>
        <w:rPr>
          <w:sz w:val="20"/>
        </w:rPr>
        <w:t xml:space="preserve"> </w:t>
      </w:r>
      <w:r w:rsidRPr="00AC611E">
        <w:rPr>
          <w:sz w:val="20"/>
        </w:rPr>
        <w:t xml:space="preserve"> </w:t>
      </w:r>
    </w:p>
  </w:footnote>
  <w:footnote w:id="252">
    <w:p w:rsidR="00967549" w:rsidRDefault="00967549" w:rsidP="00455188">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codes 221111, 221112, 221113, 221114, 221115, 221116, 221117, 221118, 22112,221121, (issued March 2016), </w:t>
      </w:r>
      <w:hyperlink r:id="rId27" w:history="1">
        <w:r w:rsidRPr="009C55EB">
          <w:rPr>
            <w:rStyle w:val="Hyperlink"/>
          </w:rPr>
          <w:t>https://www.census.gov/data/tables/2012/econ/census/utilities.html</w:t>
        </w:r>
      </w:hyperlink>
      <w:r>
        <w:t xml:space="preserve">.  </w:t>
      </w:r>
    </w:p>
  </w:footnote>
  <w:footnote w:id="253">
    <w:p w:rsidR="00967549" w:rsidRDefault="00967549" w:rsidP="00455188">
      <w:pPr>
        <w:pStyle w:val="FootnoteText"/>
      </w:pPr>
      <w:r>
        <w:rPr>
          <w:rStyle w:val="FootnoteReference"/>
        </w:rPr>
        <w:footnoteRef/>
      </w:r>
      <w:r>
        <w:t xml:space="preserve"> U.S. Census Bureau, 2017 NAICS Definitions, “221210 Natural Gas Distribution,” </w:t>
      </w:r>
      <w:hyperlink r:id="rId28" w:history="1">
        <w:r w:rsidRPr="00111FAC">
          <w:rPr>
            <w:rStyle w:val="Hyperlink"/>
          </w:rPr>
          <w:t>https://www.census.gov/eos/www/naics/2017NAICS/2017_NAICS_Manual.pdf</w:t>
        </w:r>
      </w:hyperlink>
      <w:r>
        <w:t xml:space="preserve"> . </w:t>
      </w:r>
    </w:p>
  </w:footnote>
  <w:footnote w:id="254">
    <w:p w:rsidR="00967549" w:rsidRDefault="00967549" w:rsidP="00455188">
      <w:pPr>
        <w:autoSpaceDE w:val="0"/>
        <w:autoSpaceDN w:val="0"/>
        <w:adjustRightInd w:val="0"/>
        <w:spacing w:after="120"/>
      </w:pPr>
      <w:r>
        <w:rPr>
          <w:rStyle w:val="FootnoteReference"/>
        </w:rPr>
        <w:footnoteRef/>
      </w:r>
      <w:r>
        <w:t xml:space="preserve"> </w:t>
      </w:r>
      <w:r w:rsidRPr="00AC611E">
        <w:rPr>
          <w:sz w:val="20"/>
          <w:lang w:val="fr-FR"/>
        </w:rPr>
        <w:t xml:space="preserve">U.S. Small Business Administration, Table of Small Business Size Standards Matched to North American Classification System Codes, </w:t>
      </w:r>
      <w:r w:rsidRPr="00AC611E">
        <w:rPr>
          <w:sz w:val="20"/>
        </w:rPr>
        <w:t>“Sector 22 - Utilities” at 5 (2016)</w:t>
      </w:r>
      <w:r>
        <w:rPr>
          <w:sz w:val="20"/>
        </w:rPr>
        <w:t>,</w:t>
      </w:r>
      <w:r w:rsidRPr="00AC611E">
        <w:rPr>
          <w:sz w:val="20"/>
        </w:rPr>
        <w:t xml:space="preserve"> </w:t>
      </w:r>
      <w:hyperlink r:id="rId29" w:history="1">
        <w:r w:rsidRPr="009C55EB">
          <w:rPr>
            <w:rStyle w:val="Hyperlink"/>
            <w:sz w:val="20"/>
          </w:rPr>
          <w:t>https://www.sba.gov/sites/default/files/files/Size_Standards_Table.pdf</w:t>
        </w:r>
      </w:hyperlink>
      <w:r w:rsidRPr="00AC611E">
        <w:rPr>
          <w:sz w:val="20"/>
        </w:rPr>
        <w:t>.</w:t>
      </w:r>
      <w:r>
        <w:rPr>
          <w:sz w:val="20"/>
        </w:rPr>
        <w:t xml:space="preserve"> </w:t>
      </w:r>
    </w:p>
  </w:footnote>
  <w:footnote w:id="255">
    <w:p w:rsidR="00967549" w:rsidRDefault="00967549" w:rsidP="00455188">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 2212 (issued March 2016), </w:t>
      </w:r>
      <w:hyperlink r:id="rId30" w:history="1">
        <w:r w:rsidRPr="009C55EB">
          <w:rPr>
            <w:rStyle w:val="Hyperlink"/>
          </w:rPr>
          <w:t>https://www.census.gov/data/tables/2012/econ/census/utilities.html</w:t>
        </w:r>
      </w:hyperlink>
      <w:r>
        <w:t xml:space="preserve">. </w:t>
      </w:r>
    </w:p>
  </w:footnote>
  <w:footnote w:id="256">
    <w:p w:rsidR="00967549" w:rsidRDefault="00967549" w:rsidP="00455188">
      <w:pPr>
        <w:pStyle w:val="FootnoteText"/>
      </w:pPr>
      <w:r>
        <w:rPr>
          <w:rStyle w:val="FootnoteReference"/>
        </w:rPr>
        <w:footnoteRef/>
      </w:r>
      <w:r>
        <w:t xml:space="preserve"> </w:t>
      </w:r>
      <w:r>
        <w:rPr>
          <w:i/>
        </w:rPr>
        <w:t>Id</w:t>
      </w:r>
      <w:r>
        <w:t xml:space="preserve">. </w:t>
      </w:r>
    </w:p>
  </w:footnote>
  <w:footnote w:id="257">
    <w:p w:rsidR="00967549" w:rsidRDefault="00967549" w:rsidP="00455188">
      <w:pPr>
        <w:pStyle w:val="FootnoteText"/>
      </w:pPr>
      <w:r>
        <w:rPr>
          <w:rStyle w:val="FootnoteReference"/>
        </w:rPr>
        <w:footnoteRef/>
      </w:r>
      <w:r>
        <w:t xml:space="preserve">  U.S. Census Bureau, 2017 NAICS Definitions, “221310 Water Supply and Irrigation Systems,” </w:t>
      </w:r>
      <w:hyperlink r:id="rId31" w:history="1">
        <w:r w:rsidRPr="00111FAC">
          <w:rPr>
            <w:rStyle w:val="Hyperlink"/>
          </w:rPr>
          <w:t>https://www.census.gov/eos/www/naics/2017NAICS/2017_NAICS_Manual.pdf</w:t>
        </w:r>
      </w:hyperlink>
      <w:r>
        <w:t xml:space="preserve">. </w:t>
      </w:r>
    </w:p>
  </w:footnote>
  <w:footnote w:id="258">
    <w:p w:rsidR="00967549" w:rsidRDefault="00967549" w:rsidP="00455188">
      <w:pPr>
        <w:pStyle w:val="FootnoteText"/>
      </w:pPr>
      <w:r>
        <w:rPr>
          <w:rStyle w:val="FootnoteReference"/>
        </w:rPr>
        <w:footnoteRef/>
      </w:r>
      <w:r>
        <w:rPr>
          <w:lang w:val="fr-FR"/>
        </w:rPr>
        <w:t xml:space="preserve"> U.S. Small Business Administration, Table of Small Business Size Standards Matched to North American Classification System Codes, </w:t>
      </w:r>
      <w:r>
        <w:t>“Sector 22 - Utilities” at 5 (2016),</w:t>
      </w:r>
      <w:r w:rsidRPr="00F06B0D">
        <w:t xml:space="preserve"> </w:t>
      </w:r>
      <w:hyperlink r:id="rId32" w:history="1">
        <w:r w:rsidRPr="009C55EB">
          <w:rPr>
            <w:rStyle w:val="Hyperlink"/>
          </w:rPr>
          <w:t>https://www.sba.gov/sites/default/files/files/Size_Standards_Table.pdf</w:t>
        </w:r>
      </w:hyperlink>
      <w:r>
        <w:t xml:space="preserve">. </w:t>
      </w:r>
      <w:r>
        <w:rPr>
          <w:lang w:val="fr-FR"/>
        </w:rPr>
        <w:t xml:space="preserve"> </w:t>
      </w:r>
    </w:p>
  </w:footnote>
  <w:footnote w:id="259">
    <w:p w:rsidR="00967549" w:rsidRDefault="00967549" w:rsidP="00455188">
      <w:pPr>
        <w:pStyle w:val="FootnoteText"/>
      </w:pPr>
      <w:r>
        <w:rPr>
          <w:rStyle w:val="FootnoteReference"/>
        </w:rPr>
        <w:footnoteRef/>
      </w:r>
      <w:r>
        <w:t xml:space="preserve"> U.S. Census Bureau, 2012 Economic Census, Subject Series:  Utilities, “Establishment and Firm Size: Summary Statistics by Employment Size of Firms for the U.S.: 2012,” NAICS code 221310 (issued March 2016), </w:t>
      </w:r>
      <w:hyperlink r:id="rId33" w:history="1">
        <w:r w:rsidRPr="009C55EB">
          <w:rPr>
            <w:rStyle w:val="Hyperlink"/>
          </w:rPr>
          <w:t>https://www.census.gov/data/tables/2012/econ/census/utilities.html</w:t>
        </w:r>
      </w:hyperlink>
      <w:r>
        <w:t>.</w:t>
      </w:r>
    </w:p>
  </w:footnote>
  <w:footnote w:id="260">
    <w:p w:rsidR="00967549" w:rsidRDefault="00967549" w:rsidP="00455188">
      <w:pPr>
        <w:pStyle w:val="FootnoteText"/>
      </w:pPr>
      <w:r>
        <w:rPr>
          <w:rStyle w:val="FootnoteReference"/>
        </w:rPr>
        <w:footnoteRef/>
      </w:r>
      <w:r>
        <w:t xml:space="preserve"> U.S. Census Bureau, 2012 Economic Census, Subject Series:  Utilities, “Establishment and Firm Size: Summary Statistics by Revenue Size of Firms for the U.S.: 2012,” NAICS code 221310 (issued March 2016), </w:t>
      </w:r>
      <w:hyperlink r:id="rId34" w:history="1">
        <w:r w:rsidRPr="009C55EB">
          <w:rPr>
            <w:rStyle w:val="Hyperlink"/>
          </w:rPr>
          <w:t>https://www.census.gov/data/tables/2012/econ/census/utilities.html</w:t>
        </w:r>
      </w:hyperlink>
      <w:r>
        <w:t xml:space="preserve">. </w:t>
      </w:r>
    </w:p>
  </w:footnote>
  <w:footnote w:id="261">
    <w:p w:rsidR="00967549" w:rsidRPr="00EA5333" w:rsidRDefault="00967549" w:rsidP="00455188">
      <w:pPr>
        <w:pStyle w:val="FootnoteText"/>
      </w:pPr>
      <w:r w:rsidRPr="007A6FE3">
        <w:rPr>
          <w:rStyle w:val="FootnoteReference"/>
        </w:rPr>
        <w:footnoteRef/>
      </w:r>
      <w:r w:rsidRPr="007A6FE3">
        <w:t xml:space="preserve"> </w:t>
      </w:r>
      <w:r w:rsidRPr="007A6FE3">
        <w:rPr>
          <w:i/>
        </w:rPr>
        <w:t>See</w:t>
      </w:r>
      <w:r w:rsidRPr="007A6FE3">
        <w:t xml:space="preserve"> 5 U.S.C. § 603(c).</w:t>
      </w:r>
    </w:p>
  </w:footnote>
  <w:footnote w:id="262">
    <w:p w:rsidR="00967549" w:rsidRPr="003646F1" w:rsidRDefault="00967549" w:rsidP="003C0FD8">
      <w:pPr>
        <w:pStyle w:val="FootnoteText"/>
      </w:pPr>
      <w:r w:rsidRPr="003646F1">
        <w:rPr>
          <w:rStyle w:val="FootnoteReference"/>
        </w:rPr>
        <w:footnoteRef/>
      </w:r>
      <w:r w:rsidRPr="003646F1">
        <w:t xml:space="preserve"> </w:t>
      </w:r>
      <w:r w:rsidRPr="003646F1">
        <w:rPr>
          <w:i/>
        </w:rPr>
        <w:t>See Technology Transitions et al.</w:t>
      </w:r>
      <w:r w:rsidRPr="003646F1">
        <w:t>, GN Docket No. 13-5 et al., Notice of Proposed Rulemaking and Declaratory Ruling, 29 FCC Rcd 14968, 15017-18, para. 117 (2014) (</w:t>
      </w:r>
      <w:r w:rsidRPr="003646F1">
        <w:rPr>
          <w:i/>
        </w:rPr>
        <w:t>2014 Technology Transitions NPRM and Declaratory Ruling</w:t>
      </w:r>
      <w:r w:rsidRPr="003646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66" w:rsidRDefault="004E6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9" w:rsidRDefault="00967549" w:rsidP="00810B6F">
    <w:pPr>
      <w:pStyle w:val="Header"/>
      <w:rPr>
        <w:b w:val="0"/>
      </w:rPr>
    </w:pPr>
    <w:r>
      <w:tab/>
      <w:t>Federal Communications Commission</w:t>
    </w:r>
    <w:r>
      <w:tab/>
      <w:t>FCC 17-37</w:t>
    </w:r>
  </w:p>
  <w:p w:rsidR="00967549" w:rsidRDefault="0096754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F777623" wp14:editId="7D79737C">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77D53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67549" w:rsidRDefault="0096754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49" w:rsidRDefault="00967549" w:rsidP="00810B6F">
    <w:pPr>
      <w:pStyle w:val="Header"/>
      <w:rPr>
        <w:b w:val="0"/>
      </w:rPr>
    </w:pPr>
    <w:r>
      <w:rPr>
        <w:noProof/>
      </w:rPr>
      <mc:AlternateContent>
        <mc:Choice Requires="wps">
          <w:drawing>
            <wp:anchor distT="0" distB="0" distL="114300" distR="114300" simplePos="0" relativeHeight="251658240" behindDoc="1" locked="0" layoutInCell="0" allowOverlap="1" wp14:anchorId="24FC0DEF" wp14:editId="0543C120">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6AEC9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507203"/>
    <w:multiLevelType w:val="hybridMultilevel"/>
    <w:tmpl w:val="7A3EF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452354"/>
    <w:multiLevelType w:val="hybridMultilevel"/>
    <w:tmpl w:val="FC1E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11868"/>
    <w:multiLevelType w:val="hybridMultilevel"/>
    <w:tmpl w:val="BFC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3EF08B9"/>
    <w:multiLevelType w:val="hybridMultilevel"/>
    <w:tmpl w:val="88D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F22E2"/>
    <w:multiLevelType w:val="hybridMultilevel"/>
    <w:tmpl w:val="FA7E5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ED705BC"/>
    <w:multiLevelType w:val="hybridMultilevel"/>
    <w:tmpl w:val="7EA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E56A1"/>
    <w:multiLevelType w:val="hybridMultilevel"/>
    <w:tmpl w:val="630E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497D6B"/>
    <w:multiLevelType w:val="hybridMultilevel"/>
    <w:tmpl w:val="1698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3"/>
  </w:num>
  <w:num w:numId="3">
    <w:abstractNumId w:val="7"/>
  </w:num>
  <w:num w:numId="4">
    <w:abstractNumId w:val="11"/>
  </w:num>
  <w:num w:numId="5">
    <w:abstractNumId w:val="6"/>
  </w:num>
  <w:num w:numId="6">
    <w:abstractNumId w:val="1"/>
  </w:num>
  <w:num w:numId="7">
    <w:abstractNumId w:val="9"/>
  </w:num>
  <w:num w:numId="8">
    <w:abstractNumId w:val="3"/>
  </w:num>
  <w:num w:numId="9">
    <w:abstractNumId w:val="14"/>
  </w:num>
  <w:num w:numId="10">
    <w:abstractNumId w:val="4"/>
  </w:num>
  <w:num w:numId="11">
    <w:abstractNumId w:val="8"/>
  </w:num>
  <w:num w:numId="12">
    <w:abstractNumId w:val="15"/>
  </w:num>
  <w:num w:numId="13">
    <w:abstractNumId w:val="17"/>
  </w:num>
  <w:num w:numId="14">
    <w:abstractNumId w:val="13"/>
    <w:lvlOverride w:ilvl="0">
      <w:startOverride w:val="1"/>
    </w:lvlOverride>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13"/>
    <w:lvlOverride w:ilvl="0">
      <w:startOverride w:val="1"/>
    </w:lvlOverride>
  </w:num>
  <w:num w:numId="17">
    <w:abstractNumId w:val="0"/>
  </w:num>
  <w:num w:numId="18">
    <w:abstractNumId w:val="18"/>
  </w:num>
  <w:num w:numId="19">
    <w:abstractNumId w:val="10"/>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88"/>
    <w:rsid w:val="00036039"/>
    <w:rsid w:val="00037F90"/>
    <w:rsid w:val="000875BF"/>
    <w:rsid w:val="00096D8C"/>
    <w:rsid w:val="000A0218"/>
    <w:rsid w:val="000B13F4"/>
    <w:rsid w:val="000C0B65"/>
    <w:rsid w:val="000D362A"/>
    <w:rsid w:val="000E05FE"/>
    <w:rsid w:val="000E3D42"/>
    <w:rsid w:val="00122BD5"/>
    <w:rsid w:val="00133F79"/>
    <w:rsid w:val="00184B61"/>
    <w:rsid w:val="001926F9"/>
    <w:rsid w:val="00194A66"/>
    <w:rsid w:val="001D6BCF"/>
    <w:rsid w:val="001E01CA"/>
    <w:rsid w:val="00275CF5"/>
    <w:rsid w:val="0028301F"/>
    <w:rsid w:val="00285017"/>
    <w:rsid w:val="002A2D2E"/>
    <w:rsid w:val="002C00E8"/>
    <w:rsid w:val="002C7133"/>
    <w:rsid w:val="002D48CC"/>
    <w:rsid w:val="003348FF"/>
    <w:rsid w:val="00343749"/>
    <w:rsid w:val="003660ED"/>
    <w:rsid w:val="00395F84"/>
    <w:rsid w:val="003B0550"/>
    <w:rsid w:val="003B694F"/>
    <w:rsid w:val="003C0FD8"/>
    <w:rsid w:val="003F171C"/>
    <w:rsid w:val="00402B30"/>
    <w:rsid w:val="00412FC5"/>
    <w:rsid w:val="00422276"/>
    <w:rsid w:val="0042230C"/>
    <w:rsid w:val="004242F1"/>
    <w:rsid w:val="00445A00"/>
    <w:rsid w:val="00451B0F"/>
    <w:rsid w:val="00455188"/>
    <w:rsid w:val="00461400"/>
    <w:rsid w:val="004C2EE3"/>
    <w:rsid w:val="004E4A22"/>
    <w:rsid w:val="004E6066"/>
    <w:rsid w:val="00511968"/>
    <w:rsid w:val="0055614C"/>
    <w:rsid w:val="005E14C2"/>
    <w:rsid w:val="00607BA5"/>
    <w:rsid w:val="0061180A"/>
    <w:rsid w:val="00626EB6"/>
    <w:rsid w:val="00655D03"/>
    <w:rsid w:val="00662F28"/>
    <w:rsid w:val="00683388"/>
    <w:rsid w:val="00683F84"/>
    <w:rsid w:val="006A6A81"/>
    <w:rsid w:val="006F7393"/>
    <w:rsid w:val="0070224F"/>
    <w:rsid w:val="007112A7"/>
    <w:rsid w:val="007115F7"/>
    <w:rsid w:val="007847BE"/>
    <w:rsid w:val="00785689"/>
    <w:rsid w:val="0079754B"/>
    <w:rsid w:val="007A1E6D"/>
    <w:rsid w:val="007B0EB2"/>
    <w:rsid w:val="007B35ED"/>
    <w:rsid w:val="007C0CAC"/>
    <w:rsid w:val="007E638A"/>
    <w:rsid w:val="0080561E"/>
    <w:rsid w:val="00810B6F"/>
    <w:rsid w:val="00822CE0"/>
    <w:rsid w:val="00841AB1"/>
    <w:rsid w:val="00852C36"/>
    <w:rsid w:val="008834B5"/>
    <w:rsid w:val="008C68F1"/>
    <w:rsid w:val="008D0EA0"/>
    <w:rsid w:val="00921803"/>
    <w:rsid w:val="00926503"/>
    <w:rsid w:val="00967549"/>
    <w:rsid w:val="00970420"/>
    <w:rsid w:val="009726D8"/>
    <w:rsid w:val="009F76DB"/>
    <w:rsid w:val="00A1570C"/>
    <w:rsid w:val="00A32C3B"/>
    <w:rsid w:val="00A45F4F"/>
    <w:rsid w:val="00A600A9"/>
    <w:rsid w:val="00AA55B7"/>
    <w:rsid w:val="00AA5B9E"/>
    <w:rsid w:val="00AB2407"/>
    <w:rsid w:val="00AB53DF"/>
    <w:rsid w:val="00B07E5C"/>
    <w:rsid w:val="00B811F7"/>
    <w:rsid w:val="00BA5DC6"/>
    <w:rsid w:val="00BA6196"/>
    <w:rsid w:val="00BC6D8C"/>
    <w:rsid w:val="00C25149"/>
    <w:rsid w:val="00C34006"/>
    <w:rsid w:val="00C426B1"/>
    <w:rsid w:val="00C66160"/>
    <w:rsid w:val="00C721AC"/>
    <w:rsid w:val="00C90D6A"/>
    <w:rsid w:val="00CA247E"/>
    <w:rsid w:val="00CA5E50"/>
    <w:rsid w:val="00CC72B6"/>
    <w:rsid w:val="00D0218D"/>
    <w:rsid w:val="00D15557"/>
    <w:rsid w:val="00D25FB5"/>
    <w:rsid w:val="00D44223"/>
    <w:rsid w:val="00D9706A"/>
    <w:rsid w:val="00DA2529"/>
    <w:rsid w:val="00DB130A"/>
    <w:rsid w:val="00DB2EBB"/>
    <w:rsid w:val="00DB7C54"/>
    <w:rsid w:val="00DC10A1"/>
    <w:rsid w:val="00DC655F"/>
    <w:rsid w:val="00DC67E6"/>
    <w:rsid w:val="00DD0B59"/>
    <w:rsid w:val="00DD7EBD"/>
    <w:rsid w:val="00DE5F3E"/>
    <w:rsid w:val="00DF62B6"/>
    <w:rsid w:val="00E07225"/>
    <w:rsid w:val="00E5409F"/>
    <w:rsid w:val="00E668EB"/>
    <w:rsid w:val="00EE6488"/>
    <w:rsid w:val="00F021FA"/>
    <w:rsid w:val="00F26812"/>
    <w:rsid w:val="00F624F4"/>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8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455188"/>
    <w:rPr>
      <w:sz w:val="16"/>
      <w:szCs w:val="16"/>
    </w:rPr>
  </w:style>
  <w:style w:type="paragraph" w:styleId="CommentText">
    <w:name w:val="annotation text"/>
    <w:basedOn w:val="Normal"/>
    <w:link w:val="CommentTextChar"/>
    <w:rsid w:val="00455188"/>
    <w:rPr>
      <w:sz w:val="20"/>
    </w:rPr>
  </w:style>
  <w:style w:type="character" w:customStyle="1" w:styleId="CommentTextChar">
    <w:name w:val="Comment Text Char"/>
    <w:link w:val="CommentText"/>
    <w:rsid w:val="00455188"/>
    <w:rPr>
      <w:snapToGrid w:val="0"/>
      <w:kern w:val="28"/>
    </w:rPr>
  </w:style>
  <w:style w:type="paragraph" w:styleId="CommentSubject">
    <w:name w:val="annotation subject"/>
    <w:basedOn w:val="CommentText"/>
    <w:next w:val="CommentText"/>
    <w:link w:val="CommentSubjectChar"/>
    <w:rsid w:val="00455188"/>
    <w:rPr>
      <w:b/>
      <w:bCs/>
    </w:rPr>
  </w:style>
  <w:style w:type="character" w:customStyle="1" w:styleId="CommentSubjectChar">
    <w:name w:val="Comment Subject Char"/>
    <w:link w:val="CommentSubject"/>
    <w:rsid w:val="00455188"/>
    <w:rPr>
      <w:b/>
      <w:bCs/>
      <w:snapToGrid w:val="0"/>
      <w:kern w:val="28"/>
    </w:rPr>
  </w:style>
  <w:style w:type="paragraph" w:styleId="BalloonText">
    <w:name w:val="Balloon Text"/>
    <w:basedOn w:val="Normal"/>
    <w:link w:val="BalloonTextChar"/>
    <w:rsid w:val="00455188"/>
    <w:rPr>
      <w:rFonts w:ascii="Segoe UI" w:hAnsi="Segoe UI" w:cs="Segoe UI"/>
      <w:sz w:val="18"/>
      <w:szCs w:val="18"/>
    </w:rPr>
  </w:style>
  <w:style w:type="character" w:customStyle="1" w:styleId="BalloonTextChar">
    <w:name w:val="Balloon Text Char"/>
    <w:link w:val="BalloonText"/>
    <w:rsid w:val="00455188"/>
    <w:rPr>
      <w:rFonts w:ascii="Segoe UI" w:hAnsi="Segoe UI" w:cs="Segoe UI"/>
      <w:snapToGrid w:val="0"/>
      <w:kern w:val="28"/>
      <w:sz w:val="18"/>
      <w:szCs w:val="18"/>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455188"/>
    <w:rPr>
      <w:b/>
      <w:snapToGrid w:val="0"/>
      <w:kern w:val="28"/>
      <w:sz w:val="22"/>
    </w:rPr>
  </w:style>
  <w:style w:type="paragraph" w:styleId="ListParagraph">
    <w:name w:val="List Paragraph"/>
    <w:basedOn w:val="Normal"/>
    <w:uiPriority w:val="34"/>
    <w:qFormat/>
    <w:rsid w:val="00455188"/>
    <w:pPr>
      <w:ind w:left="720"/>
      <w:contextualSpacing/>
    </w:p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455188"/>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455188"/>
    <w:rPr>
      <w:b/>
      <w:snapToGrid w:val="0"/>
      <w:kern w:val="28"/>
      <w:sz w:val="22"/>
    </w:rPr>
  </w:style>
  <w:style w:type="character" w:customStyle="1" w:styleId="ParaNumChar">
    <w:name w:val="ParaNum Char"/>
    <w:link w:val="ParaNum"/>
    <w:locked/>
    <w:rsid w:val="00455188"/>
    <w:rPr>
      <w:snapToGrid w:val="0"/>
      <w:kern w:val="28"/>
      <w:sz w:val="22"/>
    </w:rPr>
  </w:style>
  <w:style w:type="character" w:customStyle="1" w:styleId="ParaNumChar2">
    <w:name w:val="ParaNum Char2"/>
    <w:locked/>
    <w:rsid w:val="00455188"/>
    <w:rPr>
      <w:snapToGrid w:val="0"/>
      <w:kern w:val="28"/>
      <w:sz w:val="22"/>
    </w:rPr>
  </w:style>
  <w:style w:type="character" w:customStyle="1" w:styleId="ParaNumChar1">
    <w:name w:val="ParaNum Char1"/>
    <w:rsid w:val="00455188"/>
    <w:rPr>
      <w:snapToGrid w:val="0"/>
      <w:kern w:val="28"/>
      <w:sz w:val="22"/>
    </w:rPr>
  </w:style>
  <w:style w:type="character" w:customStyle="1" w:styleId="ALTSFOOTNOTEChar">
    <w:name w:val="ALTS FOOTNOTE Char"/>
    <w:aliases w:val="fn Char1,Footnote Text Char1 Char Char Char,Footnote Text Char Char2 Char Char Char,Footnote Text Char4 Char Char Char Char Char,Footnote Text Char1 Char"/>
    <w:rsid w:val="00455188"/>
  </w:style>
  <w:style w:type="paragraph" w:styleId="Revision">
    <w:name w:val="Revision"/>
    <w:hidden/>
    <w:uiPriority w:val="99"/>
    <w:semiHidden/>
    <w:rsid w:val="0045518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455188"/>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455188"/>
    <w:rPr>
      <w:rFonts w:ascii="Times New Roman Bold" w:hAnsi="Times New Roman Bold"/>
      <w:b/>
      <w:caps/>
      <w:snapToGrid w:val="0"/>
      <w:kern w:val="28"/>
      <w:sz w:val="22"/>
    </w:rPr>
  </w:style>
  <w:style w:type="character" w:styleId="FollowedHyperlink">
    <w:name w:val="FollowedHyperlink"/>
    <w:rsid w:val="00455188"/>
    <w:rPr>
      <w:color w:val="954F72"/>
      <w:u w:val="single"/>
    </w:rPr>
  </w:style>
  <w:style w:type="paragraph" w:styleId="NormalWeb">
    <w:name w:val="Normal (Web)"/>
    <w:basedOn w:val="Normal"/>
    <w:uiPriority w:val="99"/>
    <w:unhideWhenUsed/>
    <w:rsid w:val="00455188"/>
    <w:pPr>
      <w:widowControl/>
    </w:pPr>
    <w:rPr>
      <w:rFonts w:eastAsia="Calibri"/>
      <w:snapToGrid/>
      <w:kern w:val="0"/>
      <w:sz w:val="24"/>
      <w:szCs w:val="24"/>
    </w:rPr>
  </w:style>
  <w:style w:type="character" w:customStyle="1" w:styleId="HeaderChar">
    <w:name w:val="Header Char"/>
    <w:link w:val="Header"/>
    <w:rsid w:val="00455188"/>
    <w:rPr>
      <w:b/>
      <w:snapToGrid w:val="0"/>
      <w:kern w:val="28"/>
      <w:sz w:val="22"/>
    </w:rPr>
  </w:style>
  <w:style w:type="character" w:customStyle="1" w:styleId="FooterChar">
    <w:name w:val="Footer Char"/>
    <w:link w:val="Footer"/>
    <w:rsid w:val="0045518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8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455188"/>
    <w:rPr>
      <w:sz w:val="16"/>
      <w:szCs w:val="16"/>
    </w:rPr>
  </w:style>
  <w:style w:type="paragraph" w:styleId="CommentText">
    <w:name w:val="annotation text"/>
    <w:basedOn w:val="Normal"/>
    <w:link w:val="CommentTextChar"/>
    <w:rsid w:val="00455188"/>
    <w:rPr>
      <w:sz w:val="20"/>
    </w:rPr>
  </w:style>
  <w:style w:type="character" w:customStyle="1" w:styleId="CommentTextChar">
    <w:name w:val="Comment Text Char"/>
    <w:link w:val="CommentText"/>
    <w:rsid w:val="00455188"/>
    <w:rPr>
      <w:snapToGrid w:val="0"/>
      <w:kern w:val="28"/>
    </w:rPr>
  </w:style>
  <w:style w:type="paragraph" w:styleId="CommentSubject">
    <w:name w:val="annotation subject"/>
    <w:basedOn w:val="CommentText"/>
    <w:next w:val="CommentText"/>
    <w:link w:val="CommentSubjectChar"/>
    <w:rsid w:val="00455188"/>
    <w:rPr>
      <w:b/>
      <w:bCs/>
    </w:rPr>
  </w:style>
  <w:style w:type="character" w:customStyle="1" w:styleId="CommentSubjectChar">
    <w:name w:val="Comment Subject Char"/>
    <w:link w:val="CommentSubject"/>
    <w:rsid w:val="00455188"/>
    <w:rPr>
      <w:b/>
      <w:bCs/>
      <w:snapToGrid w:val="0"/>
      <w:kern w:val="28"/>
    </w:rPr>
  </w:style>
  <w:style w:type="paragraph" w:styleId="BalloonText">
    <w:name w:val="Balloon Text"/>
    <w:basedOn w:val="Normal"/>
    <w:link w:val="BalloonTextChar"/>
    <w:rsid w:val="00455188"/>
    <w:rPr>
      <w:rFonts w:ascii="Segoe UI" w:hAnsi="Segoe UI" w:cs="Segoe UI"/>
      <w:sz w:val="18"/>
      <w:szCs w:val="18"/>
    </w:rPr>
  </w:style>
  <w:style w:type="character" w:customStyle="1" w:styleId="BalloonTextChar">
    <w:name w:val="Balloon Text Char"/>
    <w:link w:val="BalloonText"/>
    <w:rsid w:val="00455188"/>
    <w:rPr>
      <w:rFonts w:ascii="Segoe UI" w:hAnsi="Segoe UI" w:cs="Segoe UI"/>
      <w:snapToGrid w:val="0"/>
      <w:kern w:val="28"/>
      <w:sz w:val="18"/>
      <w:szCs w:val="18"/>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455188"/>
    <w:rPr>
      <w:b/>
      <w:snapToGrid w:val="0"/>
      <w:kern w:val="28"/>
      <w:sz w:val="22"/>
    </w:rPr>
  </w:style>
  <w:style w:type="paragraph" w:styleId="ListParagraph">
    <w:name w:val="List Paragraph"/>
    <w:basedOn w:val="Normal"/>
    <w:uiPriority w:val="34"/>
    <w:qFormat/>
    <w:rsid w:val="00455188"/>
    <w:pPr>
      <w:ind w:left="720"/>
      <w:contextualSpacing/>
    </w:p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455188"/>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455188"/>
    <w:rPr>
      <w:b/>
      <w:snapToGrid w:val="0"/>
      <w:kern w:val="28"/>
      <w:sz w:val="22"/>
    </w:rPr>
  </w:style>
  <w:style w:type="character" w:customStyle="1" w:styleId="ParaNumChar">
    <w:name w:val="ParaNum Char"/>
    <w:link w:val="ParaNum"/>
    <w:locked/>
    <w:rsid w:val="00455188"/>
    <w:rPr>
      <w:snapToGrid w:val="0"/>
      <w:kern w:val="28"/>
      <w:sz w:val="22"/>
    </w:rPr>
  </w:style>
  <w:style w:type="character" w:customStyle="1" w:styleId="ParaNumChar2">
    <w:name w:val="ParaNum Char2"/>
    <w:locked/>
    <w:rsid w:val="00455188"/>
    <w:rPr>
      <w:snapToGrid w:val="0"/>
      <w:kern w:val="28"/>
      <w:sz w:val="22"/>
    </w:rPr>
  </w:style>
  <w:style w:type="character" w:customStyle="1" w:styleId="ParaNumChar1">
    <w:name w:val="ParaNum Char1"/>
    <w:rsid w:val="00455188"/>
    <w:rPr>
      <w:snapToGrid w:val="0"/>
      <w:kern w:val="28"/>
      <w:sz w:val="22"/>
    </w:rPr>
  </w:style>
  <w:style w:type="character" w:customStyle="1" w:styleId="ALTSFOOTNOTEChar">
    <w:name w:val="ALTS FOOTNOTE Char"/>
    <w:aliases w:val="fn Char1,Footnote Text Char1 Char Char Char,Footnote Text Char Char2 Char Char Char,Footnote Text Char4 Char Char Char Char Char,Footnote Text Char1 Char"/>
    <w:rsid w:val="00455188"/>
  </w:style>
  <w:style w:type="paragraph" w:styleId="Revision">
    <w:name w:val="Revision"/>
    <w:hidden/>
    <w:uiPriority w:val="99"/>
    <w:semiHidden/>
    <w:rsid w:val="0045518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455188"/>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455188"/>
    <w:rPr>
      <w:rFonts w:ascii="Times New Roman Bold" w:hAnsi="Times New Roman Bold"/>
      <w:b/>
      <w:caps/>
      <w:snapToGrid w:val="0"/>
      <w:kern w:val="28"/>
      <w:sz w:val="22"/>
    </w:rPr>
  </w:style>
  <w:style w:type="character" w:styleId="FollowedHyperlink">
    <w:name w:val="FollowedHyperlink"/>
    <w:rsid w:val="00455188"/>
    <w:rPr>
      <w:color w:val="954F72"/>
      <w:u w:val="single"/>
    </w:rPr>
  </w:style>
  <w:style w:type="paragraph" w:styleId="NormalWeb">
    <w:name w:val="Normal (Web)"/>
    <w:basedOn w:val="Normal"/>
    <w:uiPriority w:val="99"/>
    <w:unhideWhenUsed/>
    <w:rsid w:val="00455188"/>
    <w:pPr>
      <w:widowControl/>
    </w:pPr>
    <w:rPr>
      <w:rFonts w:eastAsia="Calibri"/>
      <w:snapToGrid/>
      <w:kern w:val="0"/>
      <w:sz w:val="24"/>
      <w:szCs w:val="24"/>
    </w:rPr>
  </w:style>
  <w:style w:type="character" w:customStyle="1" w:styleId="HeaderChar">
    <w:name w:val="Header Char"/>
    <w:link w:val="Header"/>
    <w:rsid w:val="00455188"/>
    <w:rPr>
      <w:b/>
      <w:snapToGrid w:val="0"/>
      <w:kern w:val="28"/>
      <w:sz w:val="22"/>
    </w:rPr>
  </w:style>
  <w:style w:type="character" w:customStyle="1" w:styleId="FooterChar">
    <w:name w:val="Footer Char"/>
    <w:link w:val="Footer"/>
    <w:rsid w:val="0045518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el.Ray@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ele.Berlov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iercetelecom.com/telecom/verizon-to-grandfather-more-tdm-based-voice-data-services-multiple-northeast-wiring-centers"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factfinder.census.gov/faces/tableservices/jsf/pages/productview.xhtml?pid=ECN_2012_US_51SSSZ5&amp;prodType=table" TargetMode="External"/><Relationship Id="rId26" Type="http://schemas.openxmlformats.org/officeDocument/2006/relationships/hyperlink" Target="https://www.sba.gov/sites/default/files/files/Size_Standards_Table.pdf" TargetMode="External"/><Relationship Id="rId3" Type="http://schemas.openxmlformats.org/officeDocument/2006/relationships/hyperlink" Target="http://www.ct.gov/broadband/lib/broadband/ctgig_project/attachment_c__ftth_council_makereadywhitepaper25october2015.pdf" TargetMode="External"/><Relationship Id="rId21" Type="http://schemas.openxmlformats.org/officeDocument/2006/relationships/hyperlink" Target="http://www.fcc.gov/coals" TargetMode="External"/><Relationship Id="rId34" Type="http://schemas.openxmlformats.org/officeDocument/2006/relationships/hyperlink" Target="https://www.census.gov/data/tables/2012/econ/census/utilities.html" TargetMode="External"/><Relationship Id="rId7" Type="http://schemas.openxmlformats.org/officeDocument/2006/relationships/hyperlink" Target="https://ecfsapi.fcc.gov/file/7521090526.pdf" TargetMode="External"/><Relationship Id="rId12" Type="http://schemas.openxmlformats.org/officeDocument/2006/relationships/hyperlink" Target="https://www.census.gov/data/tables/2015/demo/popest/total-cities-and-towns.html" TargetMode="External"/><Relationship Id="rId17" Type="http://schemas.openxmlformats.org/officeDocument/2006/relationships/hyperlink" Target="http://factfinder.census.gov/faces/tableservices/jsf/pages/productview.xhtml?pid=ECN_2012_US_51SSSZ5&amp;prodType=table" TargetMode="External"/><Relationship Id="rId25" Type="http://schemas.openxmlformats.org/officeDocument/2006/relationships/hyperlink" Target="https://www.census.gov/eos/www/naics/2017NAICS/2017_NAICS_Manual.pdf" TargetMode="External"/><Relationship Id="rId33" Type="http://schemas.openxmlformats.org/officeDocument/2006/relationships/hyperlink" Target="https://www.census.gov/data/tables/2012/econ/census/utilities.html" TargetMode="External"/><Relationship Id="rId2" Type="http://schemas.openxmlformats.org/officeDocument/2006/relationships/hyperlink" Target="https://www.fcc.gov/general/national-broadband-plan" TargetMode="External"/><Relationship Id="rId16" Type="http://schemas.openxmlformats.org/officeDocument/2006/relationships/hyperlink" Target="http://factfinder.census.gov/faces/tableservices/jsf/pages/productview.xhtml?pid=ECN_2012_US_51SSSZ2&amp;prodType=table" TargetMode="External"/><Relationship Id="rId20" Type="http://schemas.openxmlformats.org/officeDocument/2006/relationships/hyperlink" Target="http://factfinder.census.gov/faces/tableservices/jsf/pages/productview.xhtml?pid=ECN_2012_US_51SSSZ5&amp;prodType=table" TargetMode="External"/><Relationship Id="rId29" Type="http://schemas.openxmlformats.org/officeDocument/2006/relationships/hyperlink" Target="https://www.sba.gov/sites/default/files/files/Size_Standards_Table.pdf" TargetMode="External"/><Relationship Id="rId1" Type="http://schemas.openxmlformats.org/officeDocument/2006/relationships/hyperlink" Target="http://www.ctcnet.us/wp-content/uploads/2014/01/GigabitCommunities.pdf" TargetMode="External"/><Relationship Id="rId6" Type="http://schemas.openxmlformats.org/officeDocument/2006/relationships/hyperlink" Target="http://www.nashville.gov/mc/resolutions/term_2015_2019/rs2016_380.htm" TargetMode="External"/><Relationship Id="rId11" Type="http://schemas.openxmlformats.org/officeDocument/2006/relationships/hyperlink" Target="http://www2.census.gov/library/publications/2011/compendia/statab/131ed/2012-statab.pdf" TargetMode="External"/><Relationship Id="rId24" Type="http://schemas.openxmlformats.org/officeDocument/2006/relationships/hyperlink" Target="http://factfinder.census.gov/faces/tableservices/jsf/pages/productview.xhtml?pid=ECN_2012_US_51SSSZ1&amp;prodType=table" TargetMode="External"/><Relationship Id="rId32" Type="http://schemas.openxmlformats.org/officeDocument/2006/relationships/hyperlink" Target="https://www.sba.gov/sites/default/files/files/Size_Standards_Table.pdf" TargetMode="External"/><Relationship Id="rId5" Type="http://schemas.openxmlformats.org/officeDocument/2006/relationships/hyperlink" Target="http://www.tennessean.com/story/money/2016/09/14/google-fiber-plan-faces-new-hurdles/90368764/" TargetMode="External"/><Relationship Id="rId15" Type="http://schemas.openxmlformats.org/officeDocument/2006/relationships/hyperlink" Target="http://factfinder.census.gov/faces/tableservices/jsf/pages/productview.xhtml?pid=ECN_2012_US_51SSSZ2&amp;prodType=table" TargetMode="External"/><Relationship Id="rId23" Type="http://schemas.openxmlformats.org/officeDocument/2006/relationships/hyperlink" Target="https://www.census.gov/econ/isp/sampler.php?naicscode=517919&amp;naicslevel=6" TargetMode="External"/><Relationship Id="rId28" Type="http://schemas.openxmlformats.org/officeDocument/2006/relationships/hyperlink" Target="https://www.census.gov/eos/www/naics/2017NAICS/2017_NAICS_Manual.pdf" TargetMode="External"/><Relationship Id="rId10" Type="http://schemas.openxmlformats.org/officeDocument/2006/relationships/hyperlink" Target="https://www.sba.gov/sites/default/files/advocacy/SB-FAQ-2016_WEB.pdf" TargetMode="External"/><Relationship Id="rId19" Type="http://schemas.openxmlformats.org/officeDocument/2006/relationships/hyperlink" Target="https://www.census.gov/econ/isp/sampler.php?naicscode=517210&amp;naicslevel=6" TargetMode="External"/><Relationship Id="rId31" Type="http://schemas.openxmlformats.org/officeDocument/2006/relationships/hyperlink" Target="https://www.census.gov/eos/www/naics/2017NAICS/2017_NAICS_Manual.pdf" TargetMode="External"/><Relationship Id="rId4" Type="http://schemas.openxmlformats.org/officeDocument/2006/relationships/hyperlink" Target="https://www.cpsenergy.com/content/dam/corporate/en/Documents/PoleAttachments/Pole%20Attachment%20Standards.pdf" TargetMode="External"/><Relationship Id="rId9" Type="http://schemas.openxmlformats.org/officeDocument/2006/relationships/hyperlink" Target="https://www.wired.com/2013/07/we-need-to-stop-focusing-on-just-cable-companies-and-blame-local-government-for-dismal-broadband-competition/" TargetMode="External"/><Relationship Id="rId14" Type="http://schemas.openxmlformats.org/officeDocument/2006/relationships/hyperlink" Target="http://factfinder.census.gov/faces/tableservices/jsf/pages/productview.xhtml?pid=ECN_2012_US_51SSSZ2&amp;prodType=table" TargetMode="External"/><Relationship Id="rId22" Type="http://schemas.openxmlformats.org/officeDocument/2006/relationships/hyperlink" Target="https://www.snl.com/interactiveX/MyInteractive.aspx?mode=4&amp;CDID=A-821-38606&amp;KLPT=8" TargetMode="External"/><Relationship Id="rId27" Type="http://schemas.openxmlformats.org/officeDocument/2006/relationships/hyperlink" Target="https://www.census.gov/data/tables/2012/econ/census/utilities.html" TargetMode="External"/><Relationship Id="rId30" Type="http://schemas.openxmlformats.org/officeDocument/2006/relationships/hyperlink" Target="https://www.census.gov/data/tables/2012/econ/census/util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30866</Words>
  <Characters>173348</Characters>
  <Application>Microsoft Office Word</Application>
  <DocSecurity>0</DocSecurity>
  <Lines>2290</Lines>
  <Paragraphs>393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204948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2017-04-21T16:15:00Z</dcterms:created>
  <dcterms:modified xsi:type="dcterms:W3CDTF">2017-04-21T16:15:00Z</dcterms:modified>
  <cp:category> </cp:category>
  <cp:contentStatus> </cp:contentStatus>
</cp:coreProperties>
</file>