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1766" w14:textId="5BC1F29F" w:rsidR="00C725B8" w:rsidRPr="00C57E40" w:rsidRDefault="003C271D" w:rsidP="003C271D">
      <w:pPr>
        <w:pStyle w:val="FootnoteText"/>
        <w:spacing w:after="0"/>
        <w:ind w:left="-450"/>
        <w:jc w:val="center"/>
        <w:rPr>
          <w:b/>
          <w:sz w:val="22"/>
          <w:szCs w:val="22"/>
        </w:rPr>
      </w:pPr>
      <w:bookmarkStart w:id="0" w:name="_GoBack"/>
      <w:bookmarkEnd w:id="0"/>
      <w:r>
        <w:rPr>
          <w:b/>
          <w:sz w:val="22"/>
          <w:szCs w:val="22"/>
        </w:rPr>
        <w:t xml:space="preserve"> </w:t>
      </w:r>
      <w:r w:rsidR="002B7E1B" w:rsidRPr="00C57E40">
        <w:rPr>
          <w:b/>
          <w:sz w:val="22"/>
          <w:szCs w:val="22"/>
        </w:rPr>
        <w:t>Before the</w:t>
      </w:r>
    </w:p>
    <w:p w14:paraId="3AC76F22" w14:textId="77777777" w:rsidR="002B7E1B" w:rsidRDefault="002B7E1B" w:rsidP="003C271D">
      <w:pPr>
        <w:jc w:val="center"/>
        <w:rPr>
          <w:b/>
        </w:rPr>
      </w:pPr>
      <w:r>
        <w:rPr>
          <w:b/>
        </w:rPr>
        <w:t>Federal Communications Commission</w:t>
      </w:r>
    </w:p>
    <w:p w14:paraId="0FFF4558" w14:textId="77777777" w:rsidR="002B7E1B" w:rsidRDefault="002B7E1B" w:rsidP="003C271D">
      <w:pPr>
        <w:jc w:val="center"/>
        <w:rPr>
          <w:b/>
        </w:rPr>
      </w:pPr>
      <w:r>
        <w:rPr>
          <w:b/>
        </w:rPr>
        <w:t>Washington, D.C. 20554</w:t>
      </w:r>
    </w:p>
    <w:p w14:paraId="4C72E121" w14:textId="77777777" w:rsidR="002B7E1B" w:rsidRDefault="002B7E1B" w:rsidP="00795ED9">
      <w:pPr>
        <w:rPr>
          <w:b/>
        </w:rPr>
      </w:pPr>
    </w:p>
    <w:tbl>
      <w:tblPr>
        <w:tblW w:w="9180" w:type="dxa"/>
        <w:tblLayout w:type="fixed"/>
        <w:tblLook w:val="0000" w:firstRow="0" w:lastRow="0" w:firstColumn="0" w:lastColumn="0" w:noHBand="0" w:noVBand="0"/>
      </w:tblPr>
      <w:tblGrid>
        <w:gridCol w:w="4770"/>
        <w:gridCol w:w="720"/>
        <w:gridCol w:w="3690"/>
      </w:tblGrid>
      <w:tr w:rsidR="002B7E1B" w:rsidRPr="002B7E1B" w14:paraId="0C74BFD0" w14:textId="77777777" w:rsidTr="00146FBB">
        <w:tc>
          <w:tcPr>
            <w:tcW w:w="4770" w:type="dxa"/>
          </w:tcPr>
          <w:p w14:paraId="6E337DF6" w14:textId="77777777" w:rsidR="002B7E1B" w:rsidRPr="00E51588" w:rsidRDefault="002B7E1B" w:rsidP="00795ED9">
            <w:pPr>
              <w:ind w:right="-18"/>
              <w:rPr>
                <w:szCs w:val="22"/>
              </w:rPr>
            </w:pPr>
            <w:r w:rsidRPr="00E51588">
              <w:rPr>
                <w:szCs w:val="22"/>
              </w:rPr>
              <w:t>In the Matter of</w:t>
            </w:r>
          </w:p>
          <w:p w14:paraId="48743171" w14:textId="77777777" w:rsidR="002B7E1B" w:rsidRPr="00E51588" w:rsidRDefault="002B7E1B" w:rsidP="00795ED9">
            <w:pPr>
              <w:ind w:right="-18"/>
              <w:rPr>
                <w:szCs w:val="22"/>
              </w:rPr>
            </w:pPr>
          </w:p>
          <w:p w14:paraId="2C998542" w14:textId="77777777" w:rsidR="002B7E1B" w:rsidRPr="00E51588" w:rsidRDefault="002B7E1B" w:rsidP="00146FBB">
            <w:pPr>
              <w:ind w:right="72"/>
              <w:rPr>
                <w:szCs w:val="22"/>
              </w:rPr>
            </w:pPr>
            <w:r w:rsidRPr="00E51588">
              <w:rPr>
                <w:szCs w:val="22"/>
              </w:rPr>
              <w:t>The 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p>
        </w:tc>
        <w:tc>
          <w:tcPr>
            <w:tcW w:w="720" w:type="dxa"/>
          </w:tcPr>
          <w:p w14:paraId="1899FA37" w14:textId="77777777" w:rsidR="002B7E1B" w:rsidRPr="002B7E1B" w:rsidRDefault="002B7E1B" w:rsidP="00795ED9">
            <w:pPr>
              <w:rPr>
                <w:b/>
                <w:sz w:val="24"/>
                <w:szCs w:val="22"/>
              </w:rPr>
            </w:pPr>
            <w:r w:rsidRPr="002B7E1B">
              <w:rPr>
                <w:b/>
                <w:sz w:val="24"/>
                <w:szCs w:val="22"/>
              </w:rPr>
              <w:t>)</w:t>
            </w:r>
          </w:p>
          <w:p w14:paraId="6620BD29" w14:textId="77777777" w:rsidR="002B7E1B" w:rsidRPr="002B7E1B" w:rsidRDefault="002B7E1B" w:rsidP="00795ED9">
            <w:pPr>
              <w:rPr>
                <w:b/>
                <w:sz w:val="24"/>
                <w:szCs w:val="22"/>
              </w:rPr>
            </w:pPr>
            <w:r w:rsidRPr="002B7E1B">
              <w:rPr>
                <w:b/>
                <w:sz w:val="24"/>
                <w:szCs w:val="22"/>
              </w:rPr>
              <w:t>)</w:t>
            </w:r>
          </w:p>
          <w:p w14:paraId="1105BC0B" w14:textId="77777777" w:rsidR="002B7E1B" w:rsidRPr="002B7E1B" w:rsidRDefault="002B7E1B" w:rsidP="00795ED9">
            <w:pPr>
              <w:rPr>
                <w:b/>
                <w:sz w:val="24"/>
                <w:szCs w:val="22"/>
              </w:rPr>
            </w:pPr>
            <w:r w:rsidRPr="002B7E1B">
              <w:rPr>
                <w:b/>
                <w:sz w:val="24"/>
                <w:szCs w:val="22"/>
              </w:rPr>
              <w:t>)</w:t>
            </w:r>
          </w:p>
          <w:p w14:paraId="240BA5EC" w14:textId="77777777" w:rsidR="002B7E1B" w:rsidRPr="002B7E1B" w:rsidRDefault="002B7E1B" w:rsidP="00795ED9">
            <w:pPr>
              <w:rPr>
                <w:b/>
                <w:sz w:val="24"/>
                <w:szCs w:val="22"/>
              </w:rPr>
            </w:pPr>
            <w:r w:rsidRPr="002B7E1B">
              <w:rPr>
                <w:b/>
                <w:sz w:val="24"/>
                <w:szCs w:val="22"/>
              </w:rPr>
              <w:t>)</w:t>
            </w:r>
          </w:p>
          <w:p w14:paraId="6DE923DA" w14:textId="77777777" w:rsidR="002B7E1B" w:rsidRPr="002B7E1B" w:rsidRDefault="002B7E1B" w:rsidP="00795ED9">
            <w:pPr>
              <w:rPr>
                <w:b/>
                <w:sz w:val="24"/>
                <w:szCs w:val="22"/>
              </w:rPr>
            </w:pPr>
            <w:r w:rsidRPr="002B7E1B">
              <w:rPr>
                <w:b/>
                <w:sz w:val="24"/>
                <w:szCs w:val="22"/>
              </w:rPr>
              <w:t>)</w:t>
            </w:r>
          </w:p>
          <w:p w14:paraId="24114939" w14:textId="77777777" w:rsidR="002B7E1B" w:rsidRPr="002B7E1B" w:rsidRDefault="002B7E1B" w:rsidP="00795ED9">
            <w:pPr>
              <w:rPr>
                <w:b/>
                <w:sz w:val="24"/>
                <w:szCs w:val="22"/>
              </w:rPr>
            </w:pPr>
            <w:r w:rsidRPr="002B7E1B">
              <w:rPr>
                <w:b/>
                <w:sz w:val="24"/>
                <w:szCs w:val="22"/>
              </w:rPr>
              <w:t>)</w:t>
            </w:r>
          </w:p>
          <w:p w14:paraId="4632E041" w14:textId="77777777" w:rsidR="002B7E1B" w:rsidRPr="002B7E1B" w:rsidRDefault="002B7E1B" w:rsidP="00795ED9">
            <w:pPr>
              <w:rPr>
                <w:b/>
                <w:sz w:val="24"/>
                <w:szCs w:val="22"/>
              </w:rPr>
            </w:pPr>
            <w:r w:rsidRPr="002B7E1B">
              <w:rPr>
                <w:b/>
                <w:sz w:val="24"/>
                <w:szCs w:val="22"/>
              </w:rPr>
              <w:t>)</w:t>
            </w:r>
          </w:p>
          <w:p w14:paraId="28D20192" w14:textId="77777777" w:rsidR="002B7E1B" w:rsidRPr="002B7E1B" w:rsidRDefault="002B7E1B" w:rsidP="00795ED9">
            <w:pPr>
              <w:rPr>
                <w:b/>
                <w:sz w:val="24"/>
                <w:szCs w:val="22"/>
              </w:rPr>
            </w:pPr>
            <w:r w:rsidRPr="002B7E1B">
              <w:rPr>
                <w:b/>
                <w:sz w:val="24"/>
                <w:szCs w:val="22"/>
              </w:rPr>
              <w:t>)</w:t>
            </w:r>
          </w:p>
          <w:p w14:paraId="1B92FD5B" w14:textId="77777777" w:rsidR="002B7E1B" w:rsidRPr="002B7E1B" w:rsidRDefault="002B7E1B" w:rsidP="00795ED9">
            <w:pPr>
              <w:rPr>
                <w:b/>
                <w:sz w:val="24"/>
                <w:szCs w:val="22"/>
              </w:rPr>
            </w:pPr>
            <w:r w:rsidRPr="002B7E1B">
              <w:rPr>
                <w:b/>
                <w:sz w:val="24"/>
                <w:szCs w:val="22"/>
              </w:rPr>
              <w:t>)</w:t>
            </w:r>
          </w:p>
          <w:p w14:paraId="3B7E3FEC" w14:textId="77777777" w:rsidR="002B7E1B" w:rsidRDefault="002B7E1B" w:rsidP="00795ED9">
            <w:pPr>
              <w:rPr>
                <w:b/>
                <w:sz w:val="24"/>
                <w:szCs w:val="22"/>
              </w:rPr>
            </w:pPr>
            <w:r w:rsidRPr="002B7E1B">
              <w:rPr>
                <w:b/>
                <w:sz w:val="24"/>
                <w:szCs w:val="22"/>
              </w:rPr>
              <w:t>)</w:t>
            </w:r>
          </w:p>
          <w:p w14:paraId="0D56E364" w14:textId="595E2DFF" w:rsidR="007F60C1" w:rsidRDefault="007F60C1" w:rsidP="00795ED9">
            <w:pPr>
              <w:rPr>
                <w:b/>
                <w:sz w:val="24"/>
                <w:szCs w:val="22"/>
              </w:rPr>
            </w:pPr>
            <w:r>
              <w:rPr>
                <w:b/>
                <w:sz w:val="24"/>
                <w:szCs w:val="22"/>
              </w:rPr>
              <w:t>)</w:t>
            </w:r>
          </w:p>
          <w:p w14:paraId="710E5230" w14:textId="75670C7C" w:rsidR="007F60C1" w:rsidRPr="002B7E1B" w:rsidRDefault="007F60C1" w:rsidP="00795ED9">
            <w:pPr>
              <w:rPr>
                <w:b/>
                <w:sz w:val="24"/>
                <w:szCs w:val="22"/>
              </w:rPr>
            </w:pPr>
            <w:r>
              <w:rPr>
                <w:b/>
                <w:sz w:val="24"/>
                <w:szCs w:val="22"/>
              </w:rPr>
              <w:t>)</w:t>
            </w:r>
          </w:p>
        </w:tc>
        <w:tc>
          <w:tcPr>
            <w:tcW w:w="3690" w:type="dxa"/>
          </w:tcPr>
          <w:p w14:paraId="4D73FC3D" w14:textId="77777777" w:rsidR="002B7E1B" w:rsidRPr="002B7E1B" w:rsidRDefault="002B7E1B" w:rsidP="00795ED9">
            <w:pPr>
              <w:rPr>
                <w:sz w:val="24"/>
                <w:szCs w:val="22"/>
              </w:rPr>
            </w:pPr>
          </w:p>
          <w:p w14:paraId="75A0934A" w14:textId="77777777" w:rsidR="002B7E1B" w:rsidRPr="002B7E1B" w:rsidRDefault="002B7E1B" w:rsidP="00795ED9">
            <w:pPr>
              <w:rPr>
                <w:sz w:val="24"/>
                <w:szCs w:val="22"/>
              </w:rPr>
            </w:pPr>
          </w:p>
          <w:p w14:paraId="2C3F63A3" w14:textId="77777777" w:rsidR="002B7E1B" w:rsidRPr="002B7E1B" w:rsidRDefault="002B7E1B" w:rsidP="00795ED9">
            <w:pPr>
              <w:rPr>
                <w:sz w:val="24"/>
                <w:szCs w:val="22"/>
              </w:rPr>
            </w:pPr>
          </w:p>
          <w:p w14:paraId="16DE3178" w14:textId="77777777" w:rsidR="002B7E1B" w:rsidRPr="002B7E1B" w:rsidRDefault="002B7E1B" w:rsidP="00795ED9">
            <w:pPr>
              <w:rPr>
                <w:sz w:val="24"/>
                <w:szCs w:val="22"/>
              </w:rPr>
            </w:pPr>
          </w:p>
          <w:p w14:paraId="651C867C" w14:textId="77777777" w:rsidR="002B7E1B" w:rsidRPr="002B7E1B" w:rsidRDefault="002B7E1B" w:rsidP="00795ED9">
            <w:pPr>
              <w:rPr>
                <w:sz w:val="24"/>
                <w:szCs w:val="22"/>
              </w:rPr>
            </w:pPr>
          </w:p>
          <w:p w14:paraId="12601E3D" w14:textId="77777777" w:rsidR="002B7E1B" w:rsidRPr="002B7E1B" w:rsidRDefault="002B7E1B" w:rsidP="00795ED9">
            <w:pPr>
              <w:rPr>
                <w:sz w:val="24"/>
                <w:szCs w:val="22"/>
              </w:rPr>
            </w:pPr>
            <w:r w:rsidRPr="002B7E1B">
              <w:rPr>
                <w:spacing w:val="-2"/>
                <w:sz w:val="24"/>
                <w:szCs w:val="22"/>
              </w:rPr>
              <w:t>IB Docket No. 06-123</w:t>
            </w:r>
          </w:p>
        </w:tc>
      </w:tr>
    </w:tbl>
    <w:p w14:paraId="75EF4422" w14:textId="77777777" w:rsidR="002B7E1B" w:rsidRPr="002B7E1B" w:rsidRDefault="002B7E1B" w:rsidP="00795ED9">
      <w:pPr>
        <w:rPr>
          <w:sz w:val="24"/>
          <w:szCs w:val="22"/>
        </w:rPr>
      </w:pPr>
    </w:p>
    <w:p w14:paraId="7715C7AE" w14:textId="77777777" w:rsidR="002B7E1B" w:rsidRDefault="00B9138B" w:rsidP="00795ED9">
      <w:pPr>
        <w:spacing w:before="120"/>
        <w:jc w:val="center"/>
        <w:rPr>
          <w:b/>
          <w:spacing w:val="-2"/>
          <w:sz w:val="24"/>
          <w:szCs w:val="22"/>
        </w:rPr>
      </w:pPr>
      <w:r>
        <w:rPr>
          <w:b/>
          <w:spacing w:val="-2"/>
          <w:sz w:val="24"/>
          <w:szCs w:val="22"/>
        </w:rPr>
        <w:t>THIRD</w:t>
      </w:r>
      <w:r w:rsidR="002B7E1B">
        <w:rPr>
          <w:b/>
          <w:spacing w:val="-2"/>
          <w:sz w:val="24"/>
          <w:szCs w:val="22"/>
        </w:rPr>
        <w:t xml:space="preserve"> </w:t>
      </w:r>
      <w:r w:rsidR="002B7E1B" w:rsidRPr="002B7E1B">
        <w:rPr>
          <w:b/>
          <w:spacing w:val="-2"/>
          <w:sz w:val="24"/>
          <w:szCs w:val="22"/>
        </w:rPr>
        <w:t>REPORT AND ORDER</w:t>
      </w:r>
    </w:p>
    <w:p w14:paraId="199A5DD1" w14:textId="77777777" w:rsidR="002B7E1B" w:rsidRDefault="002B7E1B" w:rsidP="00795ED9">
      <w:pPr>
        <w:spacing w:before="120"/>
        <w:rPr>
          <w:b/>
          <w:spacing w:val="-2"/>
          <w:sz w:val="24"/>
          <w:szCs w:val="22"/>
        </w:rPr>
      </w:pPr>
    </w:p>
    <w:p w14:paraId="41A1A504" w14:textId="0734BB6E" w:rsidR="00205BE8" w:rsidRDefault="00205BE8" w:rsidP="00205BE8">
      <w:pPr>
        <w:tabs>
          <w:tab w:val="left" w:pos="720"/>
          <w:tab w:val="right" w:pos="9360"/>
        </w:tabs>
        <w:suppressAutoHyphens/>
        <w:spacing w:line="227" w:lineRule="auto"/>
        <w:rPr>
          <w:spacing w:val="-2"/>
        </w:rPr>
      </w:pPr>
      <w:r>
        <w:rPr>
          <w:b/>
          <w:spacing w:val="-2"/>
        </w:rPr>
        <w:t xml:space="preserve">Adopted:  </w:t>
      </w:r>
      <w:r w:rsidR="007B6724">
        <w:rPr>
          <w:b/>
          <w:spacing w:val="-2"/>
        </w:rPr>
        <w:t>April 21, 2017</w:t>
      </w:r>
      <w:r>
        <w:rPr>
          <w:b/>
          <w:spacing w:val="-2"/>
        </w:rPr>
        <w:tab/>
        <w:t xml:space="preserve">Released:  </w:t>
      </w:r>
      <w:r w:rsidR="007B6724">
        <w:rPr>
          <w:b/>
          <w:spacing w:val="-2"/>
        </w:rPr>
        <w:t>April 2</w:t>
      </w:r>
      <w:r w:rsidR="008328AF">
        <w:rPr>
          <w:b/>
          <w:spacing w:val="-2"/>
        </w:rPr>
        <w:t>5</w:t>
      </w:r>
      <w:r w:rsidR="007B6724">
        <w:rPr>
          <w:b/>
          <w:spacing w:val="-2"/>
        </w:rPr>
        <w:t>, 2017</w:t>
      </w:r>
    </w:p>
    <w:p w14:paraId="78A280D8" w14:textId="77777777" w:rsidR="002B7E1B" w:rsidRPr="002B7E1B" w:rsidRDefault="002B7E1B" w:rsidP="00795ED9">
      <w:pPr>
        <w:rPr>
          <w:sz w:val="24"/>
          <w:szCs w:val="22"/>
        </w:rPr>
      </w:pPr>
    </w:p>
    <w:p w14:paraId="0D35CBF1" w14:textId="77777777" w:rsidR="002B7E1B" w:rsidRDefault="002B7E1B" w:rsidP="00795ED9">
      <w:pPr>
        <w:spacing w:before="120"/>
        <w:rPr>
          <w:spacing w:val="-2"/>
          <w:sz w:val="24"/>
          <w:szCs w:val="22"/>
        </w:rPr>
      </w:pPr>
      <w:r w:rsidRPr="002B7E1B">
        <w:rPr>
          <w:sz w:val="24"/>
          <w:szCs w:val="22"/>
        </w:rPr>
        <w:t>By the</w:t>
      </w:r>
      <w:r w:rsidRPr="002B7E1B">
        <w:rPr>
          <w:spacing w:val="-2"/>
          <w:sz w:val="24"/>
          <w:szCs w:val="22"/>
        </w:rPr>
        <w:t xml:space="preserve"> Commission:</w:t>
      </w:r>
    </w:p>
    <w:p w14:paraId="63DD9E90" w14:textId="77777777" w:rsidR="00AA257E" w:rsidRDefault="00AA257E" w:rsidP="00795ED9">
      <w:pPr>
        <w:spacing w:before="120"/>
        <w:jc w:val="center"/>
        <w:rPr>
          <w:b/>
          <w:spacing w:val="-2"/>
          <w:sz w:val="24"/>
          <w:szCs w:val="22"/>
        </w:rPr>
      </w:pPr>
      <w:r>
        <w:rPr>
          <w:b/>
          <w:spacing w:val="-2"/>
          <w:sz w:val="24"/>
          <w:szCs w:val="22"/>
        </w:rPr>
        <w:t>TABLE OF CONTENTS</w:t>
      </w:r>
    </w:p>
    <w:sdt>
      <w:sdtPr>
        <w:rPr>
          <w:rFonts w:ascii="Times New Roman" w:eastAsia="Times New Roman" w:hAnsi="Times New Roman" w:cs="Times New Roman"/>
          <w:caps/>
          <w:color w:val="auto"/>
          <w:sz w:val="22"/>
          <w:szCs w:val="20"/>
        </w:rPr>
        <w:id w:val="1212145432"/>
        <w:docPartObj>
          <w:docPartGallery w:val="Table of Contents"/>
          <w:docPartUnique/>
        </w:docPartObj>
      </w:sdtPr>
      <w:sdtEndPr>
        <w:rPr>
          <w:caps w:val="0"/>
        </w:rPr>
      </w:sdtEndPr>
      <w:sdtContent>
        <w:p w14:paraId="4818D520" w14:textId="77777777" w:rsidR="00B87594" w:rsidRDefault="00B87594" w:rsidP="0041277C">
          <w:pPr>
            <w:pStyle w:val="TOCHeading"/>
            <w:spacing w:before="0"/>
            <w:rPr>
              <w:rFonts w:ascii="Times New Roman" w:hAnsi="Times New Roman" w:cs="Times New Roman"/>
              <w:color w:val="auto"/>
              <w:sz w:val="22"/>
              <w:szCs w:val="22"/>
            </w:rPr>
          </w:pPr>
          <w:r w:rsidRPr="0041277C">
            <w:rPr>
              <w:rFonts w:ascii="Times New Roman" w:hAnsi="Times New Roman" w:cs="Times New Roman"/>
              <w:color w:val="auto"/>
              <w:sz w:val="22"/>
              <w:szCs w:val="22"/>
            </w:rPr>
            <w:t>Heading</w:t>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r>
          <w:r w:rsidR="002503CC" w:rsidRPr="0041277C">
            <w:rPr>
              <w:rFonts w:ascii="Times New Roman" w:hAnsi="Times New Roman" w:cs="Times New Roman"/>
              <w:color w:val="auto"/>
              <w:sz w:val="22"/>
              <w:szCs w:val="22"/>
            </w:rPr>
            <w:tab/>
            <w:t>Para. Num.</w:t>
          </w:r>
        </w:p>
        <w:p w14:paraId="7BB50C28" w14:textId="77777777" w:rsidR="009E5E9B" w:rsidRPr="009E5E9B" w:rsidRDefault="009E5E9B" w:rsidP="009E5E9B"/>
        <w:p w14:paraId="6BA04B12" w14:textId="77777777" w:rsidR="00B87594" w:rsidRPr="0041277C" w:rsidRDefault="00B87594" w:rsidP="0041277C">
          <w:pPr>
            <w:pStyle w:val="TOC1"/>
            <w:numPr>
              <w:ilvl w:val="0"/>
              <w:numId w:val="9"/>
            </w:numPr>
            <w:rPr>
              <w:bCs/>
            </w:rPr>
          </w:pPr>
          <w:r w:rsidRPr="0041277C">
            <w:rPr>
              <w:bCs/>
            </w:rPr>
            <w:t>introduction</w:t>
          </w:r>
          <w:r w:rsidRPr="0041277C">
            <w:ptab w:relativeTo="margin" w:alignment="right" w:leader="dot"/>
          </w:r>
          <w:r w:rsidRPr="0041277C">
            <w:rPr>
              <w:bCs/>
            </w:rPr>
            <w:t>1</w:t>
          </w:r>
        </w:p>
        <w:p w14:paraId="7F6CEB25" w14:textId="77777777" w:rsidR="002503CC" w:rsidRPr="0041277C" w:rsidRDefault="002503CC" w:rsidP="0041277C">
          <w:pPr>
            <w:pStyle w:val="TOC1"/>
            <w:numPr>
              <w:ilvl w:val="0"/>
              <w:numId w:val="9"/>
            </w:numPr>
            <w:rPr>
              <w:bCs/>
            </w:rPr>
          </w:pPr>
          <w:r w:rsidRPr="0041277C">
            <w:rPr>
              <w:bCs/>
            </w:rPr>
            <w:t>BACKGROUND</w:t>
          </w:r>
          <w:r w:rsidRPr="0041277C">
            <w:ptab w:relativeTo="margin" w:alignment="right" w:leader="dot"/>
          </w:r>
          <w:r w:rsidRPr="0041277C">
            <w:rPr>
              <w:bCs/>
            </w:rPr>
            <w:t>2</w:t>
          </w:r>
        </w:p>
        <w:p w14:paraId="1085E327" w14:textId="77777777" w:rsidR="002503CC" w:rsidRPr="0041277C" w:rsidRDefault="002503CC" w:rsidP="0041277C">
          <w:pPr>
            <w:pStyle w:val="TOC1"/>
            <w:numPr>
              <w:ilvl w:val="0"/>
              <w:numId w:val="9"/>
            </w:numPr>
            <w:rPr>
              <w:bCs/>
            </w:rPr>
          </w:pPr>
          <w:r w:rsidRPr="0041277C">
            <w:rPr>
              <w:bCs/>
            </w:rPr>
            <w:t>DISCUSSION</w:t>
          </w:r>
          <w:r w:rsidRPr="0041277C">
            <w:ptab w:relativeTo="margin" w:alignment="right" w:leader="dot"/>
          </w:r>
          <w:r w:rsidR="0059190F">
            <w:rPr>
              <w:bCs/>
            </w:rPr>
            <w:t>5</w:t>
          </w:r>
        </w:p>
        <w:p w14:paraId="7B681A9E" w14:textId="77777777" w:rsidR="002503CC" w:rsidRPr="0041277C" w:rsidRDefault="002503CC" w:rsidP="0041277C">
          <w:pPr>
            <w:pStyle w:val="TOC2"/>
            <w:numPr>
              <w:ilvl w:val="0"/>
              <w:numId w:val="8"/>
            </w:numPr>
          </w:pPr>
          <w:r w:rsidRPr="0041277C">
            <w:t xml:space="preserve">  Grandfathering Existing DBS Uplink Facilities</w:t>
          </w:r>
          <w:r w:rsidRPr="0041277C">
            <w:ptab w:relativeTo="margin" w:alignment="right" w:leader="dot"/>
          </w:r>
          <w:r w:rsidR="0059190F">
            <w:t>5</w:t>
          </w:r>
        </w:p>
        <w:p w14:paraId="63D21C3A" w14:textId="77777777" w:rsidR="002503CC" w:rsidRPr="0041277C" w:rsidRDefault="00D15492" w:rsidP="0041277C">
          <w:pPr>
            <w:pStyle w:val="TOC2"/>
            <w:numPr>
              <w:ilvl w:val="0"/>
              <w:numId w:val="8"/>
            </w:numPr>
          </w:pPr>
          <w:r w:rsidRPr="0041277C">
            <w:t xml:space="preserve">   Protection Zones for Existing DBS Uplink Facilities</w:t>
          </w:r>
          <w:r w:rsidR="002503CC" w:rsidRPr="0041277C">
            <w:ptab w:relativeTo="margin" w:alignment="right" w:leader="dot"/>
          </w:r>
          <w:r w:rsidR="0059190F">
            <w:t>7</w:t>
          </w:r>
        </w:p>
        <w:p w14:paraId="0E91CE97" w14:textId="2B82E94C" w:rsidR="002503CC" w:rsidRPr="0041277C" w:rsidRDefault="00D15492" w:rsidP="0041277C">
          <w:pPr>
            <w:pStyle w:val="TOC2"/>
            <w:numPr>
              <w:ilvl w:val="0"/>
              <w:numId w:val="8"/>
            </w:numPr>
          </w:pPr>
          <w:r w:rsidRPr="0041277C">
            <w:t xml:space="preserve">   Upgrades, Modifications, and Additions to </w:t>
          </w:r>
          <w:r w:rsidR="0055621D">
            <w:t xml:space="preserve">Grandfathered </w:t>
          </w:r>
          <w:r w:rsidR="00E51588">
            <w:t>Facilities</w:t>
          </w:r>
          <w:r w:rsidR="0055621D">
            <w:t>………</w:t>
          </w:r>
          <w:r w:rsidR="00E51588">
            <w:t xml:space="preserve">  </w:t>
          </w:r>
          <w:r w:rsidR="00C258C7">
            <w:t>1</w:t>
          </w:r>
          <w:r w:rsidR="0059190F">
            <w:t>1</w:t>
          </w:r>
        </w:p>
        <w:p w14:paraId="0AAF3174" w14:textId="77777777" w:rsidR="002503CC" w:rsidRPr="0041277C" w:rsidRDefault="00D15492" w:rsidP="0041277C">
          <w:pPr>
            <w:pStyle w:val="TOC2"/>
            <w:numPr>
              <w:ilvl w:val="0"/>
              <w:numId w:val="8"/>
            </w:numPr>
          </w:pPr>
          <w:r w:rsidRPr="0041277C">
            <w:t xml:space="preserve">  Coordination Between DBS and 17/24 GHz BSS Operators</w:t>
          </w:r>
          <w:r w:rsidR="002503CC" w:rsidRPr="0041277C">
            <w:ptab w:relativeTo="margin" w:alignment="right" w:leader="dot"/>
          </w:r>
          <w:r w:rsidR="00C258C7">
            <w:t>1</w:t>
          </w:r>
          <w:r w:rsidR="0059190F">
            <w:t>4</w:t>
          </w:r>
        </w:p>
        <w:p w14:paraId="7E08E443" w14:textId="77777777" w:rsidR="00D15492" w:rsidRPr="0041277C" w:rsidRDefault="00D15492" w:rsidP="0041277C">
          <w:pPr>
            <w:pStyle w:val="ListParagraph"/>
            <w:numPr>
              <w:ilvl w:val="0"/>
              <w:numId w:val="11"/>
            </w:numPr>
          </w:pPr>
          <w:r w:rsidRPr="0041277C">
            <w:t xml:space="preserve"> Coordination Zones……………………………………………1</w:t>
          </w:r>
          <w:r w:rsidR="0059190F">
            <w:t>5</w:t>
          </w:r>
        </w:p>
        <w:p w14:paraId="3629D63A" w14:textId="77777777" w:rsidR="00D15492" w:rsidRPr="0041277C" w:rsidRDefault="00D15492" w:rsidP="0041277C">
          <w:pPr>
            <w:pStyle w:val="ListParagraph"/>
            <w:numPr>
              <w:ilvl w:val="0"/>
              <w:numId w:val="11"/>
            </w:numPr>
          </w:pPr>
          <w:r w:rsidRPr="0041277C">
            <w:t xml:space="preserve"> Coordination </w:t>
          </w:r>
          <w:r w:rsidR="00DC08B1">
            <w:t>Information</w:t>
          </w:r>
          <w:r w:rsidRPr="0041277C">
            <w:t>…………………………………</w:t>
          </w:r>
          <w:r w:rsidR="00EB0110" w:rsidRPr="0041277C">
            <w:t>…</w:t>
          </w:r>
          <w:r w:rsidR="00CC0F1A">
            <w:t>...</w:t>
          </w:r>
          <w:r w:rsidR="00EB0110" w:rsidRPr="0041277C">
            <w:t>1</w:t>
          </w:r>
          <w:r w:rsidR="0059190F">
            <w:t>8</w:t>
          </w:r>
        </w:p>
        <w:p w14:paraId="7E0C3A85" w14:textId="77777777" w:rsidR="002503CC" w:rsidRPr="0041277C" w:rsidRDefault="00D15492" w:rsidP="0041277C">
          <w:pPr>
            <w:pStyle w:val="TOC2"/>
            <w:numPr>
              <w:ilvl w:val="0"/>
              <w:numId w:val="8"/>
            </w:numPr>
          </w:pPr>
          <w:r w:rsidRPr="0041277C">
            <w:t xml:space="preserve">  Other Measures to Protect 17/24 GHz BSS Operations</w:t>
          </w:r>
          <w:r w:rsidR="002503CC" w:rsidRPr="0041277C">
            <w:ptab w:relativeTo="margin" w:alignment="right" w:leader="dot"/>
          </w:r>
          <w:r w:rsidRPr="0041277C">
            <w:t>2</w:t>
          </w:r>
          <w:r w:rsidR="0059190F">
            <w:t>2</w:t>
          </w:r>
        </w:p>
        <w:p w14:paraId="362DFD26" w14:textId="77777777" w:rsidR="002503CC" w:rsidRDefault="0041277C" w:rsidP="0041277C">
          <w:pPr>
            <w:pStyle w:val="TOC1"/>
            <w:numPr>
              <w:ilvl w:val="0"/>
              <w:numId w:val="9"/>
            </w:numPr>
          </w:pPr>
          <w:r w:rsidRPr="0041277C">
            <w:rPr>
              <w:bCs/>
            </w:rPr>
            <w:t>procedural matters</w:t>
          </w:r>
          <w:r w:rsidR="002503CC" w:rsidRPr="0041277C">
            <w:ptab w:relativeTo="margin" w:alignment="right" w:leader="dot"/>
          </w:r>
          <w:r w:rsidR="00EB0110" w:rsidRPr="0041277C">
            <w:t>2</w:t>
          </w:r>
          <w:r w:rsidR="0059190F">
            <w:t>5</w:t>
          </w:r>
        </w:p>
        <w:p w14:paraId="1D5565F6" w14:textId="77777777" w:rsidR="00A900FC" w:rsidRDefault="00A900FC" w:rsidP="00A900FC">
          <w:pPr>
            <w:pStyle w:val="TOC2"/>
            <w:numPr>
              <w:ilvl w:val="0"/>
              <w:numId w:val="23"/>
            </w:numPr>
            <w:tabs>
              <w:tab w:val="clear" w:pos="9360"/>
              <w:tab w:val="right" w:leader="dot" w:pos="8640"/>
            </w:tabs>
          </w:pPr>
          <w:r>
            <w:t xml:space="preserve">  Regulatory Flexibility Act</w:t>
          </w:r>
          <w:r>
            <w:tab/>
            <w:t>2</w:t>
          </w:r>
          <w:r w:rsidR="0059190F">
            <w:t>5</w:t>
          </w:r>
        </w:p>
        <w:p w14:paraId="703548F5" w14:textId="77777777" w:rsidR="00A900FC" w:rsidRPr="00A900FC" w:rsidRDefault="00A900FC" w:rsidP="00A900FC">
          <w:pPr>
            <w:pStyle w:val="TOC2"/>
            <w:numPr>
              <w:ilvl w:val="0"/>
              <w:numId w:val="23"/>
            </w:numPr>
            <w:tabs>
              <w:tab w:val="clear" w:pos="9360"/>
              <w:tab w:val="right" w:leader="dot" w:pos="8640"/>
            </w:tabs>
          </w:pPr>
          <w:r>
            <w:t xml:space="preserve">  Paperwork Reduction Act</w:t>
          </w:r>
          <w:r>
            <w:tab/>
            <w:t>2</w:t>
          </w:r>
          <w:r w:rsidR="0059190F">
            <w:t>6</w:t>
          </w:r>
        </w:p>
        <w:p w14:paraId="473CE0DB" w14:textId="77777777" w:rsidR="001B190F" w:rsidRDefault="00EB0110" w:rsidP="0041277C">
          <w:pPr>
            <w:pStyle w:val="TOC1"/>
            <w:numPr>
              <w:ilvl w:val="0"/>
              <w:numId w:val="9"/>
            </w:numPr>
          </w:pPr>
          <w:r w:rsidRPr="0041277C">
            <w:t>ordering clauses</w:t>
          </w:r>
          <w:r w:rsidR="002503CC" w:rsidRPr="0041277C">
            <w:ptab w:relativeTo="margin" w:alignment="right" w:leader="dot"/>
          </w:r>
          <w:r w:rsidR="00D34739">
            <w:t>2</w:t>
          </w:r>
          <w:r w:rsidR="0059190F">
            <w:t>8</w:t>
          </w:r>
        </w:p>
        <w:p w14:paraId="058B0329" w14:textId="393D9546" w:rsidR="001B190F" w:rsidRDefault="001B190F" w:rsidP="001B190F">
          <w:pPr>
            <w:ind w:firstLine="360"/>
          </w:pPr>
          <w:r>
            <w:t>A</w:t>
          </w:r>
          <w:r w:rsidR="008328AF">
            <w:t>PPENDIX</w:t>
          </w:r>
          <w:r>
            <w:t xml:space="preserve"> A – </w:t>
          </w:r>
          <w:r w:rsidR="00B74A59">
            <w:t>List of Commenters</w:t>
          </w:r>
        </w:p>
        <w:p w14:paraId="4104E7F4" w14:textId="74F4F8D1" w:rsidR="001B190F" w:rsidRDefault="001B190F" w:rsidP="001B190F">
          <w:pPr>
            <w:ind w:firstLine="360"/>
          </w:pPr>
          <w:r>
            <w:t>A</w:t>
          </w:r>
          <w:r w:rsidR="008328AF">
            <w:t>PPENDIX</w:t>
          </w:r>
          <w:r>
            <w:t xml:space="preserve"> B – Final Rules</w:t>
          </w:r>
        </w:p>
        <w:p w14:paraId="74434DFC" w14:textId="09ED4C4B" w:rsidR="00976217" w:rsidRPr="001B190F" w:rsidRDefault="001B190F" w:rsidP="001B190F">
          <w:pPr>
            <w:ind w:firstLine="360"/>
          </w:pPr>
          <w:r>
            <w:t>A</w:t>
          </w:r>
          <w:r w:rsidR="008328AF">
            <w:t>PPENDIX</w:t>
          </w:r>
          <w:r>
            <w:t xml:space="preserve"> C –</w:t>
          </w:r>
          <w:r w:rsidR="00B74A59">
            <w:t xml:space="preserve"> Final Regulatory Flexibility Analysis</w:t>
          </w:r>
        </w:p>
      </w:sdtContent>
    </w:sdt>
    <w:bookmarkStart w:id="1" w:name="_Toc433797633" w:displacedByCustomXml="prev"/>
    <w:p w14:paraId="5513AE49" w14:textId="77777777" w:rsidR="0041277C" w:rsidRDefault="0041277C" w:rsidP="0041277C">
      <w:pPr>
        <w:pStyle w:val="Heading1"/>
        <w:numPr>
          <w:ilvl w:val="0"/>
          <w:numId w:val="0"/>
        </w:numPr>
        <w:ind w:left="720"/>
      </w:pPr>
    </w:p>
    <w:p w14:paraId="6F121C87" w14:textId="4DD67DF3" w:rsidR="002B7E1B" w:rsidRDefault="002B7E1B" w:rsidP="00795ED9">
      <w:pPr>
        <w:pStyle w:val="Heading1"/>
      </w:pPr>
      <w:r>
        <w:t>introduction</w:t>
      </w:r>
      <w:bookmarkEnd w:id="1"/>
    </w:p>
    <w:p w14:paraId="24DD6A78" w14:textId="5920E3CA" w:rsidR="009553A1" w:rsidRDefault="00CD63A2" w:rsidP="003779A7">
      <w:pPr>
        <w:pStyle w:val="ParaNum"/>
        <w:autoSpaceDE w:val="0"/>
        <w:autoSpaceDN w:val="0"/>
        <w:adjustRightInd w:val="0"/>
        <w:rPr>
          <w:color w:val="010101"/>
          <w:szCs w:val="22"/>
        </w:rPr>
      </w:pPr>
      <w:r>
        <w:rPr>
          <w:color w:val="010101"/>
          <w:szCs w:val="22"/>
        </w:rPr>
        <w:t>In</w:t>
      </w:r>
      <w:r w:rsidRPr="00DB1DE4">
        <w:rPr>
          <w:color w:val="010101"/>
          <w:szCs w:val="22"/>
        </w:rPr>
        <w:t xml:space="preserve"> </w:t>
      </w:r>
      <w:r w:rsidR="00086DA2" w:rsidRPr="00DB1DE4">
        <w:rPr>
          <w:color w:val="010101"/>
          <w:szCs w:val="22"/>
        </w:rPr>
        <w:t xml:space="preserve">this </w:t>
      </w:r>
      <w:r w:rsidR="00024824" w:rsidRPr="009B1B37">
        <w:rPr>
          <w:i/>
          <w:color w:val="010101"/>
          <w:szCs w:val="22"/>
        </w:rPr>
        <w:t>Third</w:t>
      </w:r>
      <w:r w:rsidR="009B1B37" w:rsidRPr="009B1B37">
        <w:rPr>
          <w:i/>
          <w:color w:val="010101"/>
          <w:szCs w:val="22"/>
        </w:rPr>
        <w:t xml:space="preserve"> Report and Order</w:t>
      </w:r>
      <w:r w:rsidR="00086DA2" w:rsidRPr="00DB1DE4">
        <w:rPr>
          <w:color w:val="010101"/>
          <w:szCs w:val="22"/>
        </w:rPr>
        <w:t xml:space="preserve">, we adopt rules to mitigate </w:t>
      </w:r>
      <w:r w:rsidR="00024824" w:rsidRPr="00DB1DE4">
        <w:rPr>
          <w:color w:val="010101"/>
          <w:szCs w:val="22"/>
        </w:rPr>
        <w:t>ground</w:t>
      </w:r>
      <w:r w:rsidR="003F3D45">
        <w:rPr>
          <w:color w:val="010101"/>
          <w:szCs w:val="22"/>
        </w:rPr>
        <w:t xml:space="preserve"> </w:t>
      </w:r>
      <w:r w:rsidR="00086DA2" w:rsidRPr="00DB1DE4">
        <w:rPr>
          <w:color w:val="010101"/>
          <w:szCs w:val="22"/>
        </w:rPr>
        <w:t xml:space="preserve">path interference </w:t>
      </w:r>
      <w:r w:rsidR="00086DA2" w:rsidRPr="00DB1DE4">
        <w:rPr>
          <w:color w:val="010101"/>
          <w:szCs w:val="22"/>
        </w:rPr>
        <w:lastRenderedPageBreak/>
        <w:t xml:space="preserve">between the 17/24 GHz Broadcasting-Satellite Service (BSS) and the Direct Broadcast Satellite </w:t>
      </w:r>
      <w:r w:rsidR="009B1B37">
        <w:rPr>
          <w:color w:val="010101"/>
          <w:szCs w:val="22"/>
        </w:rPr>
        <w:t xml:space="preserve">Service </w:t>
      </w:r>
      <w:r w:rsidR="009E5E9B" w:rsidRPr="00DB1DE4">
        <w:rPr>
          <w:color w:val="010101"/>
          <w:szCs w:val="22"/>
        </w:rPr>
        <w:t>(DBS)</w:t>
      </w:r>
      <w:r w:rsidR="00086DA2" w:rsidRPr="00DB1DE4">
        <w:rPr>
          <w:color w:val="010101"/>
          <w:szCs w:val="22"/>
        </w:rPr>
        <w:t>.</w:t>
      </w:r>
      <w:r w:rsidR="00695969">
        <w:rPr>
          <w:rStyle w:val="FootnoteReference"/>
          <w:color w:val="010101"/>
          <w:szCs w:val="22"/>
        </w:rPr>
        <w:footnoteReference w:id="2"/>
      </w:r>
      <w:r w:rsidR="009553A1">
        <w:rPr>
          <w:color w:val="010101"/>
          <w:szCs w:val="22"/>
        </w:rPr>
        <w:t xml:space="preserve"> </w:t>
      </w:r>
      <w:r w:rsidR="009B1B37">
        <w:rPr>
          <w:color w:val="010101"/>
          <w:szCs w:val="22"/>
        </w:rPr>
        <w:t xml:space="preserve"> </w:t>
      </w:r>
      <w:r w:rsidR="009553A1">
        <w:rPr>
          <w:color w:val="010101"/>
          <w:szCs w:val="22"/>
        </w:rPr>
        <w:t>“Ground</w:t>
      </w:r>
      <w:r w:rsidR="003F3D45">
        <w:rPr>
          <w:color w:val="010101"/>
          <w:szCs w:val="22"/>
        </w:rPr>
        <w:t xml:space="preserve"> </w:t>
      </w:r>
      <w:r w:rsidR="009553A1">
        <w:rPr>
          <w:color w:val="010101"/>
          <w:szCs w:val="22"/>
        </w:rPr>
        <w:t xml:space="preserve">path” interference </w:t>
      </w:r>
      <w:r w:rsidR="00995A81">
        <w:rPr>
          <w:color w:val="010101"/>
          <w:szCs w:val="22"/>
        </w:rPr>
        <w:t xml:space="preserve">is </w:t>
      </w:r>
      <w:r w:rsidR="00B140B8">
        <w:rPr>
          <w:color w:val="010101"/>
          <w:szCs w:val="22"/>
        </w:rPr>
        <w:t xml:space="preserve">interference </w:t>
      </w:r>
      <w:r w:rsidR="00995A81">
        <w:rPr>
          <w:color w:val="010101"/>
          <w:szCs w:val="22"/>
        </w:rPr>
        <w:t xml:space="preserve">that </w:t>
      </w:r>
      <w:r w:rsidR="00B140B8">
        <w:rPr>
          <w:color w:val="010101"/>
          <w:szCs w:val="22"/>
        </w:rPr>
        <w:t xml:space="preserve">is </w:t>
      </w:r>
      <w:r w:rsidR="00995A81">
        <w:rPr>
          <w:color w:val="010101"/>
          <w:szCs w:val="22"/>
        </w:rPr>
        <w:t>caused by</w:t>
      </w:r>
      <w:r>
        <w:rPr>
          <w:color w:val="010101"/>
          <w:szCs w:val="22"/>
        </w:rPr>
        <w:t xml:space="preserve"> signals from transmitting DBS </w:t>
      </w:r>
      <w:r w:rsidR="007717B8">
        <w:rPr>
          <w:color w:val="010101"/>
          <w:szCs w:val="22"/>
        </w:rPr>
        <w:t>feeder-link</w:t>
      </w:r>
      <w:r>
        <w:rPr>
          <w:color w:val="010101"/>
          <w:szCs w:val="22"/>
        </w:rPr>
        <w:t xml:space="preserve"> earth stations operating in the 17.3-17.7 GHz </w:t>
      </w:r>
      <w:r w:rsidR="001913C9">
        <w:rPr>
          <w:color w:val="010101"/>
          <w:szCs w:val="22"/>
        </w:rPr>
        <w:t xml:space="preserve">frequency </w:t>
      </w:r>
      <w:r>
        <w:rPr>
          <w:color w:val="010101"/>
          <w:szCs w:val="22"/>
        </w:rPr>
        <w:t xml:space="preserve">band </w:t>
      </w:r>
      <w:r w:rsidR="00995A81">
        <w:rPr>
          <w:color w:val="010101"/>
          <w:szCs w:val="22"/>
        </w:rPr>
        <w:t>into</w:t>
      </w:r>
      <w:r>
        <w:rPr>
          <w:color w:val="010101"/>
          <w:szCs w:val="22"/>
        </w:rPr>
        <w:t xml:space="preserve"> receiving earth stations of 17/24 </w:t>
      </w:r>
      <w:r w:rsidR="009B30CC">
        <w:rPr>
          <w:color w:val="010101"/>
          <w:szCs w:val="22"/>
        </w:rPr>
        <w:t xml:space="preserve">GHz </w:t>
      </w:r>
      <w:r>
        <w:rPr>
          <w:color w:val="010101"/>
          <w:szCs w:val="22"/>
        </w:rPr>
        <w:t xml:space="preserve">BSS </w:t>
      </w:r>
      <w:r w:rsidR="001913C9">
        <w:rPr>
          <w:color w:val="010101"/>
          <w:szCs w:val="22"/>
        </w:rPr>
        <w:t>operating in the same band</w:t>
      </w:r>
      <w:r w:rsidR="00087ED6">
        <w:rPr>
          <w:color w:val="010101"/>
          <w:szCs w:val="22"/>
        </w:rPr>
        <w:t xml:space="preserve">.  </w:t>
      </w:r>
    </w:p>
    <w:p w14:paraId="5D4A4825" w14:textId="77777777" w:rsidR="002B7E1B" w:rsidRDefault="002B7E1B" w:rsidP="008A2BBB">
      <w:pPr>
        <w:pStyle w:val="Heading1"/>
      </w:pPr>
      <w:bookmarkStart w:id="2" w:name="_Toc433797634"/>
      <w:r>
        <w:t>background</w:t>
      </w:r>
      <w:bookmarkEnd w:id="2"/>
    </w:p>
    <w:p w14:paraId="05BEA962" w14:textId="553B823B" w:rsidR="002B7E1B" w:rsidRDefault="00B9138B" w:rsidP="003779A7">
      <w:pPr>
        <w:pStyle w:val="ParaNum"/>
      </w:pPr>
      <w:r>
        <w:t xml:space="preserve">In May 2007, </w:t>
      </w:r>
      <w:r w:rsidRPr="00B9138B">
        <w:t xml:space="preserve">the Commission released a </w:t>
      </w:r>
      <w:r w:rsidRPr="00B9138B">
        <w:rPr>
          <w:i/>
          <w:iCs/>
        </w:rPr>
        <w:t xml:space="preserve">Report and Order and Further Notice of Proposed Rulemaking </w:t>
      </w:r>
      <w:r w:rsidRPr="00B9138B">
        <w:t>(</w:t>
      </w:r>
      <w:r w:rsidRPr="00B9138B">
        <w:rPr>
          <w:i/>
          <w:iCs/>
        </w:rPr>
        <w:t>Order and FNPRM</w:t>
      </w:r>
      <w:r w:rsidRPr="00B9138B">
        <w:t>) adopting processing and service rules for the 17/24 GHz BSS.</w:t>
      </w:r>
      <w:r w:rsidRPr="00B9138B">
        <w:rPr>
          <w:vertAlign w:val="superscript"/>
        </w:rPr>
        <w:footnoteReference w:id="3"/>
      </w:r>
      <w:r w:rsidR="00507A72">
        <w:t xml:space="preserve"> </w:t>
      </w:r>
      <w:r w:rsidRPr="00B9138B">
        <w:t xml:space="preserve"> The </w:t>
      </w:r>
      <w:r w:rsidRPr="00B9138B">
        <w:rPr>
          <w:i/>
          <w:iCs/>
        </w:rPr>
        <w:t xml:space="preserve">Order and FNPRM </w:t>
      </w:r>
      <w:r w:rsidRPr="00B9138B">
        <w:t>included a framework in which 17/24 GHz BSS space stations would operate at orbital locations spaced at 4.0</w:t>
      </w:r>
      <w:r w:rsidRPr="00B9138B">
        <w:rPr>
          <w:vertAlign w:val="superscript"/>
        </w:rPr>
        <w:t>o</w:t>
      </w:r>
      <w:r w:rsidRPr="00B9138B">
        <w:t xml:space="preserve"> intervals, as set forth in Appendix F of the </w:t>
      </w:r>
      <w:r w:rsidRPr="00B9138B">
        <w:rPr>
          <w:i/>
          <w:iCs/>
        </w:rPr>
        <w:t xml:space="preserve">Order and FNPRM </w:t>
      </w:r>
      <w:r w:rsidRPr="00B9138B">
        <w:t>(known as Appendix F locations).</w:t>
      </w:r>
      <w:r w:rsidRPr="00B9138B">
        <w:rPr>
          <w:vertAlign w:val="superscript"/>
        </w:rPr>
        <w:footnoteReference w:id="4"/>
      </w:r>
      <w:r w:rsidR="001D4B56" w:rsidRPr="00B9138B">
        <w:t xml:space="preserve">  </w:t>
      </w:r>
      <w:r w:rsidRPr="00B9138B">
        <w:t xml:space="preserve">The </w:t>
      </w:r>
      <w:r w:rsidRPr="00B9138B">
        <w:rPr>
          <w:i/>
          <w:iCs/>
        </w:rPr>
        <w:t xml:space="preserve">FNPRM </w:t>
      </w:r>
      <w:r w:rsidRPr="00B9138B">
        <w:t>sought comment on coordination parameters relating to space path and ground path interference in the 17 GHz band.</w:t>
      </w:r>
      <w:r w:rsidRPr="00B9138B">
        <w:rPr>
          <w:vertAlign w:val="superscript"/>
        </w:rPr>
        <w:footnoteReference w:id="5"/>
      </w:r>
      <w:r w:rsidR="009E5E9B">
        <w:t xml:space="preserve">  Specifically, regarding</w:t>
      </w:r>
      <w:r w:rsidR="0055621D">
        <w:t xml:space="preserve"> ground path interference</w:t>
      </w:r>
      <w:r w:rsidR="000A4A7C">
        <w:t xml:space="preserve">, the </w:t>
      </w:r>
      <w:r w:rsidR="000A4A7C">
        <w:rPr>
          <w:i/>
        </w:rPr>
        <w:t xml:space="preserve">FNPRM </w:t>
      </w:r>
      <w:r w:rsidR="000A4A7C">
        <w:t xml:space="preserve">requested comment on measures to minimize ground path interference </w:t>
      </w:r>
      <w:r w:rsidR="00507A72">
        <w:t>from DBS feeder-</w:t>
      </w:r>
      <w:r w:rsidR="00BA5A71">
        <w:t>link</w:t>
      </w:r>
      <w:r w:rsidR="000A4A7C">
        <w:t xml:space="preserve"> earth stations </w:t>
      </w:r>
      <w:r w:rsidR="00BA5A71">
        <w:t>to receive BSS earth stations</w:t>
      </w:r>
      <w:r w:rsidR="000A4A7C">
        <w:t xml:space="preserve"> in the </w:t>
      </w:r>
      <w:r w:rsidR="00995A81">
        <w:t xml:space="preserve">17 GHz </w:t>
      </w:r>
      <w:r w:rsidR="000A4A7C">
        <w:t>band.</w:t>
      </w:r>
    </w:p>
    <w:p w14:paraId="7E74C454" w14:textId="5DF46BF4" w:rsidR="00480B39" w:rsidRDefault="00B9138B" w:rsidP="00120662">
      <w:pPr>
        <w:pStyle w:val="ParaNum"/>
        <w:widowControl/>
      </w:pPr>
      <w:r w:rsidRPr="00B9138B">
        <w:t xml:space="preserve">On June 14, 2011, the Commission released a </w:t>
      </w:r>
      <w:r w:rsidRPr="00B9138B">
        <w:rPr>
          <w:i/>
        </w:rPr>
        <w:t>Second Report and Order</w:t>
      </w:r>
      <w:r w:rsidRPr="00B9138B">
        <w:t xml:space="preserve"> adopting rules to mitigate spa</w:t>
      </w:r>
      <w:r w:rsidR="000605BD">
        <w:t>ce path interference between</w:t>
      </w:r>
      <w:r w:rsidRPr="00B9138B">
        <w:t xml:space="preserve"> 17/24 GHz BSS space-to-Earth transmissions and </w:t>
      </w:r>
      <w:r w:rsidR="00995A81">
        <w:t>receivers</w:t>
      </w:r>
      <w:r w:rsidRPr="00B9138B">
        <w:t xml:space="preserve"> of DBS space stations that operate in the same frequency band</w:t>
      </w:r>
      <w:r w:rsidR="001D4B56" w:rsidRPr="00B9138B">
        <w:t>.</w:t>
      </w:r>
      <w:r w:rsidR="00146FBB">
        <w:rPr>
          <w:rStyle w:val="FootnoteReference"/>
        </w:rPr>
        <w:footnoteReference w:id="6"/>
      </w:r>
      <w:r w:rsidR="001D4B56" w:rsidRPr="00B9138B">
        <w:t xml:space="preserve">  </w:t>
      </w:r>
      <w:r w:rsidRPr="00B9138B">
        <w:t xml:space="preserve">The </w:t>
      </w:r>
      <w:r w:rsidRPr="00B9138B">
        <w:rPr>
          <w:i/>
        </w:rPr>
        <w:t>Second Report and Order</w:t>
      </w:r>
      <w:r w:rsidRPr="00B9138B">
        <w:t xml:space="preserve"> determined an off-axis power flux density (pfd)</w:t>
      </w:r>
      <w:r w:rsidRPr="00B9138B">
        <w:rPr>
          <w:vertAlign w:val="superscript"/>
        </w:rPr>
        <w:footnoteReference w:id="7"/>
      </w:r>
      <w:r w:rsidRPr="00B9138B">
        <w:t xml:space="preserve"> coordination trigger for 17/24 GHz BSS space stations, required a minimum orbital separation of 0.2</w:t>
      </w:r>
      <w:r w:rsidRPr="00B9138B">
        <w:rPr>
          <w:vertAlign w:val="superscript"/>
        </w:rPr>
        <w:t>o</w:t>
      </w:r>
      <w:r w:rsidRPr="00B9138B">
        <w:t xml:space="preserve"> between 17/24 GHz BSS space stations and DBS space stations, and placed boundaries on orbital inclination and eccentricity of 17/24 GHz BSS space stations</w:t>
      </w:r>
      <w:r w:rsidR="001D4B56" w:rsidRPr="00B9138B">
        <w:t>.</w:t>
      </w:r>
      <w:r w:rsidR="00673204">
        <w:rPr>
          <w:rStyle w:val="FootnoteReference"/>
        </w:rPr>
        <w:footnoteReference w:id="8"/>
      </w:r>
      <w:r w:rsidR="001D4B56" w:rsidRPr="00B9138B">
        <w:t xml:space="preserve">  </w:t>
      </w:r>
      <w:r w:rsidRPr="00B9138B">
        <w:t>The Commissio</w:t>
      </w:r>
      <w:r w:rsidR="000605BD">
        <w:t>n also revised its information</w:t>
      </w:r>
      <w:r w:rsidRPr="00B9138B">
        <w:t xml:space="preserve"> requirements to require 17/24 GHz BSS space station applicants to file predicted and measured transmitting antenna off-axis gain information and adopted procedures to </w:t>
      </w:r>
      <w:r w:rsidRPr="00B9138B">
        <w:lastRenderedPageBreak/>
        <w:t>enable pending applicants and existing authorization holders to file relevant information related to these rules.</w:t>
      </w:r>
      <w:r w:rsidR="00673204">
        <w:rPr>
          <w:rStyle w:val="FootnoteReference"/>
        </w:rPr>
        <w:footnoteReference w:id="9"/>
      </w:r>
      <w:r w:rsidR="000A4A7C">
        <w:t xml:space="preserve">  </w:t>
      </w:r>
    </w:p>
    <w:p w14:paraId="609CBF67" w14:textId="77777777" w:rsidR="00B9138B" w:rsidRPr="002B7E1B" w:rsidRDefault="00146FBB" w:rsidP="003779A7">
      <w:pPr>
        <w:pStyle w:val="ParaNum"/>
      </w:pPr>
      <w:r>
        <w:t xml:space="preserve">On October 7, 2015, the Commission’s International Bureau issued a public notice inviting the public to file comments </w:t>
      </w:r>
      <w:r w:rsidR="00480B39">
        <w:t xml:space="preserve">to refresh the record </w:t>
      </w:r>
      <w:r>
        <w:t xml:space="preserve">on issues </w:t>
      </w:r>
      <w:r w:rsidR="00480B39">
        <w:t xml:space="preserve">related to ground path interference in the 17 GHz frequency band that were raised in the </w:t>
      </w:r>
      <w:r w:rsidR="00480B39" w:rsidRPr="00480B39">
        <w:rPr>
          <w:i/>
        </w:rPr>
        <w:t>FNPRM</w:t>
      </w:r>
      <w:r w:rsidR="00480B39">
        <w:t xml:space="preserve">, but which were not resolved in the </w:t>
      </w:r>
      <w:r w:rsidR="00480B39" w:rsidRPr="00480B39">
        <w:rPr>
          <w:i/>
        </w:rPr>
        <w:t>Second Report and Order</w:t>
      </w:r>
      <w:r>
        <w:t>.</w:t>
      </w:r>
      <w:r>
        <w:rPr>
          <w:rStyle w:val="FootnoteReference"/>
        </w:rPr>
        <w:footnoteReference w:id="10"/>
      </w:r>
      <w:r>
        <w:t xml:space="preserve">  </w:t>
      </w:r>
      <w:r w:rsidR="000A4A7C">
        <w:t xml:space="preserve">This </w:t>
      </w:r>
      <w:r w:rsidR="000A4A7C">
        <w:rPr>
          <w:i/>
        </w:rPr>
        <w:t xml:space="preserve">Third Report and Order </w:t>
      </w:r>
      <w:r w:rsidR="000A4A7C">
        <w:t>addresses the</w:t>
      </w:r>
      <w:r w:rsidR="00480B39">
        <w:t>se</w:t>
      </w:r>
      <w:r w:rsidR="000A4A7C">
        <w:t xml:space="preserve"> ground path interference issues. </w:t>
      </w:r>
      <w:r w:rsidR="005E3B11">
        <w:t xml:space="preserve"> </w:t>
      </w:r>
    </w:p>
    <w:p w14:paraId="7867BA0A" w14:textId="77777777" w:rsidR="002B7E1B" w:rsidRDefault="008F4388" w:rsidP="00025B8A">
      <w:pPr>
        <w:pStyle w:val="Heading1"/>
      </w:pPr>
      <w:bookmarkStart w:id="3" w:name="_Toc433797635"/>
      <w:r>
        <w:t>DISCUSSION</w:t>
      </w:r>
      <w:bookmarkEnd w:id="3"/>
    </w:p>
    <w:p w14:paraId="3E5919DA" w14:textId="77777777" w:rsidR="009555D3" w:rsidRPr="00507A72" w:rsidRDefault="00AA257E" w:rsidP="00482A48">
      <w:pPr>
        <w:pStyle w:val="Heading2"/>
        <w:rPr>
          <w:rFonts w:eastAsia="Times"/>
        </w:rPr>
      </w:pPr>
      <w:bookmarkStart w:id="4" w:name="_Toc433797636"/>
      <w:r w:rsidRPr="00507A72">
        <w:rPr>
          <w:rFonts w:eastAsia="Times"/>
        </w:rPr>
        <w:t>Grandfathering Existing DBS Uplink Facilities</w:t>
      </w:r>
      <w:bookmarkEnd w:id="4"/>
    </w:p>
    <w:p w14:paraId="7B41A2B9" w14:textId="407A8D28" w:rsidR="009555D3" w:rsidRPr="00872B7A" w:rsidRDefault="009B6B79" w:rsidP="003779A7">
      <w:pPr>
        <w:pStyle w:val="ParaNum"/>
        <w:rPr>
          <w:rFonts w:eastAsia="Times"/>
        </w:rPr>
      </w:pPr>
      <w:r>
        <w:rPr>
          <w:rFonts w:eastAsia="Times"/>
        </w:rPr>
        <w:t>T</w:t>
      </w:r>
      <w:r w:rsidR="009555D3" w:rsidRPr="00F27255">
        <w:rPr>
          <w:rFonts w:eastAsia="Times"/>
        </w:rPr>
        <w:t xml:space="preserve">he </w:t>
      </w:r>
      <w:r w:rsidR="007039C5" w:rsidRPr="00F27255">
        <w:rPr>
          <w:rFonts w:eastAsia="Times"/>
          <w:i/>
        </w:rPr>
        <w:t>F</w:t>
      </w:r>
      <w:r w:rsidR="009555D3" w:rsidRPr="00F27255">
        <w:rPr>
          <w:rFonts w:eastAsia="Times"/>
          <w:i/>
        </w:rPr>
        <w:t>NPRM</w:t>
      </w:r>
      <w:r w:rsidR="009555D3" w:rsidRPr="00F27255">
        <w:rPr>
          <w:rFonts w:eastAsia="Times"/>
        </w:rPr>
        <w:t xml:space="preserve"> sought comment on whether to “grandfather” licensed and operating DBS </w:t>
      </w:r>
      <w:r w:rsidR="007717B8">
        <w:rPr>
          <w:rFonts w:eastAsia="Times"/>
        </w:rPr>
        <w:t>feeder-link</w:t>
      </w:r>
      <w:r w:rsidR="003F3D45" w:rsidRPr="00F27255">
        <w:rPr>
          <w:rFonts w:eastAsia="Times"/>
        </w:rPr>
        <w:t xml:space="preserve"> </w:t>
      </w:r>
      <w:r w:rsidR="00BA5A71">
        <w:rPr>
          <w:rFonts w:eastAsia="Times"/>
        </w:rPr>
        <w:t xml:space="preserve">earth </w:t>
      </w:r>
      <w:r>
        <w:rPr>
          <w:rFonts w:eastAsia="Times"/>
        </w:rPr>
        <w:t>stations</w:t>
      </w:r>
      <w:r w:rsidRPr="00F27255">
        <w:rPr>
          <w:rFonts w:eastAsia="Times"/>
        </w:rPr>
        <w:t xml:space="preserve"> </w:t>
      </w:r>
      <w:r w:rsidR="009555D3" w:rsidRPr="00F27255">
        <w:rPr>
          <w:rFonts w:eastAsia="Times"/>
        </w:rPr>
        <w:t xml:space="preserve">so that they may continue to </w:t>
      </w:r>
      <w:r w:rsidR="00BD5A9C" w:rsidRPr="00F27255">
        <w:rPr>
          <w:rFonts w:eastAsia="Times"/>
        </w:rPr>
        <w:t>o</w:t>
      </w:r>
      <w:r w:rsidR="009555D3" w:rsidRPr="00F27255">
        <w:rPr>
          <w:rFonts w:eastAsia="Times"/>
        </w:rPr>
        <w:t>perate in the manner in which they were designed in reliance on the rules then in effect</w:t>
      </w:r>
      <w:r w:rsidR="00064FD7">
        <w:rPr>
          <w:rFonts w:eastAsia="Times"/>
        </w:rPr>
        <w:t>.</w:t>
      </w:r>
      <w:r w:rsidR="003D5390">
        <w:rPr>
          <w:rStyle w:val="FootnoteReference"/>
          <w:rFonts w:eastAsia="Times"/>
        </w:rPr>
        <w:footnoteReference w:id="11"/>
      </w:r>
      <w:r w:rsidR="00064FD7">
        <w:rPr>
          <w:rFonts w:eastAsia="Times"/>
        </w:rPr>
        <w:t xml:space="preserve">  </w:t>
      </w:r>
      <w:r w:rsidR="0036333D">
        <w:rPr>
          <w:rFonts w:eastAsia="Times"/>
          <w:szCs w:val="22"/>
        </w:rPr>
        <w:t>T</w:t>
      </w:r>
      <w:r w:rsidR="009555D3" w:rsidRPr="00872B7A">
        <w:rPr>
          <w:rFonts w:eastAsia="Times"/>
        </w:rPr>
        <w:t xml:space="preserve">he Commission tentatively concluded that existing DBS </w:t>
      </w:r>
      <w:r w:rsidR="007717B8">
        <w:rPr>
          <w:rFonts w:eastAsia="Times"/>
        </w:rPr>
        <w:t>feeder-link</w:t>
      </w:r>
      <w:r w:rsidR="009555D3" w:rsidRPr="00872B7A">
        <w:rPr>
          <w:rFonts w:eastAsia="Times"/>
        </w:rPr>
        <w:t xml:space="preserve"> stations should not be subject to new interference-mitigation requirements </w:t>
      </w:r>
      <w:r w:rsidR="003F3D45">
        <w:rPr>
          <w:rFonts w:eastAsia="Times"/>
        </w:rPr>
        <w:t xml:space="preserve">to protect 17/24 GHz BSS </w:t>
      </w:r>
      <w:r w:rsidR="00995A81">
        <w:rPr>
          <w:rFonts w:eastAsia="Times"/>
        </w:rPr>
        <w:t>receive earth</w:t>
      </w:r>
      <w:r w:rsidR="003F3D45">
        <w:rPr>
          <w:rFonts w:eastAsia="Times"/>
        </w:rPr>
        <w:t xml:space="preserve"> stations</w:t>
      </w:r>
      <w:r w:rsidR="0036333D">
        <w:rPr>
          <w:rFonts w:eastAsia="Times"/>
        </w:rPr>
        <w:t>, noting that</w:t>
      </w:r>
      <w:r w:rsidR="009555D3" w:rsidRPr="00872B7A">
        <w:rPr>
          <w:rFonts w:eastAsia="Times"/>
        </w:rPr>
        <w:t xml:space="preserve"> such </w:t>
      </w:r>
      <w:r w:rsidR="007717B8">
        <w:rPr>
          <w:rFonts w:eastAsia="Times"/>
        </w:rPr>
        <w:t>feeder-link</w:t>
      </w:r>
      <w:r w:rsidR="003F3D45">
        <w:rPr>
          <w:rFonts w:eastAsia="Times"/>
        </w:rPr>
        <w:t xml:space="preserve"> </w:t>
      </w:r>
      <w:r>
        <w:rPr>
          <w:rFonts w:eastAsia="Times"/>
        </w:rPr>
        <w:t>stations</w:t>
      </w:r>
      <w:r w:rsidRPr="00872B7A">
        <w:rPr>
          <w:rFonts w:eastAsia="Times"/>
        </w:rPr>
        <w:t xml:space="preserve"> </w:t>
      </w:r>
      <w:r w:rsidR="009555D3" w:rsidRPr="00872B7A">
        <w:rPr>
          <w:rFonts w:eastAsia="Times"/>
        </w:rPr>
        <w:t>are relatively few in number and the majority are located in less populated areas that pose little risk of interfere</w:t>
      </w:r>
      <w:r w:rsidR="00122760" w:rsidRPr="00872B7A">
        <w:rPr>
          <w:rFonts w:eastAsia="Times"/>
        </w:rPr>
        <w:t>nce problems</w:t>
      </w:r>
      <w:r w:rsidR="00064FD7">
        <w:rPr>
          <w:rFonts w:eastAsia="Times"/>
        </w:rPr>
        <w:t>.</w:t>
      </w:r>
      <w:r w:rsidR="003D5390">
        <w:rPr>
          <w:rStyle w:val="FootnoteReference"/>
          <w:rFonts w:eastAsia="Times"/>
        </w:rPr>
        <w:footnoteReference w:id="12"/>
      </w:r>
      <w:r w:rsidR="00B47F72">
        <w:rPr>
          <w:rFonts w:eastAsia="Times"/>
        </w:rPr>
        <w:t xml:space="preserve">  The Commission</w:t>
      </w:r>
      <w:r w:rsidR="00064FD7">
        <w:rPr>
          <w:rFonts w:eastAsia="Times"/>
        </w:rPr>
        <w:t xml:space="preserve"> </w:t>
      </w:r>
      <w:r w:rsidR="00122760" w:rsidRPr="00872B7A">
        <w:rPr>
          <w:rFonts w:eastAsia="Times"/>
        </w:rPr>
        <w:t xml:space="preserve">invited comment on </w:t>
      </w:r>
      <w:r w:rsidR="00064FD7">
        <w:rPr>
          <w:rFonts w:eastAsia="Times"/>
        </w:rPr>
        <w:t>its tentative conclusion</w:t>
      </w:r>
      <w:r w:rsidR="005573D0">
        <w:rPr>
          <w:rFonts w:eastAsia="Times"/>
        </w:rPr>
        <w:t xml:space="preserve">, which </w:t>
      </w:r>
      <w:r w:rsidR="00D73523">
        <w:rPr>
          <w:rFonts w:eastAsia="Times"/>
        </w:rPr>
        <w:t>all commenters supported</w:t>
      </w:r>
      <w:r w:rsidR="00122760" w:rsidRPr="00872B7A">
        <w:rPr>
          <w:rFonts w:eastAsia="Times"/>
        </w:rPr>
        <w:t>.</w:t>
      </w:r>
      <w:r w:rsidR="009555D3" w:rsidRPr="00872B7A">
        <w:rPr>
          <w:rFonts w:eastAsia="Times"/>
        </w:rPr>
        <w:t xml:space="preserve"> </w:t>
      </w:r>
    </w:p>
    <w:p w14:paraId="200C8DF1" w14:textId="6A7C3EDA" w:rsidR="009555D3" w:rsidRPr="0036333D" w:rsidRDefault="00064FD7" w:rsidP="003779A7">
      <w:pPr>
        <w:pStyle w:val="ParaNum"/>
        <w:rPr>
          <w:rFonts w:eastAsia="Times"/>
        </w:rPr>
      </w:pPr>
      <w:r>
        <w:rPr>
          <w:rFonts w:eastAsia="Times"/>
        </w:rPr>
        <w:t>We</w:t>
      </w:r>
      <w:r w:rsidR="0036333D" w:rsidRPr="000856E8">
        <w:rPr>
          <w:rFonts w:eastAsia="Times"/>
        </w:rPr>
        <w:t xml:space="preserve"> will not subject existing DBS </w:t>
      </w:r>
      <w:r w:rsidR="007717B8">
        <w:rPr>
          <w:rFonts w:eastAsia="Times"/>
        </w:rPr>
        <w:t>feeder-link</w:t>
      </w:r>
      <w:r w:rsidR="0036333D" w:rsidRPr="000856E8">
        <w:rPr>
          <w:rFonts w:eastAsia="Times"/>
        </w:rPr>
        <w:t xml:space="preserve"> stations to new interference-mitigation requirements</w:t>
      </w:r>
      <w:r w:rsidR="000A4A7C">
        <w:rPr>
          <w:rFonts w:eastAsia="Times"/>
        </w:rPr>
        <w:t>,</w:t>
      </w:r>
      <w:r w:rsidR="0036333D" w:rsidRPr="000856E8">
        <w:rPr>
          <w:rFonts w:eastAsia="Times"/>
        </w:rPr>
        <w:t xml:space="preserve"> </w:t>
      </w:r>
      <w:r>
        <w:rPr>
          <w:rFonts w:eastAsia="Times"/>
        </w:rPr>
        <w:t xml:space="preserve">and therefore </w:t>
      </w:r>
      <w:r w:rsidR="00B47F72">
        <w:rPr>
          <w:rFonts w:eastAsia="Times"/>
        </w:rPr>
        <w:t xml:space="preserve">we </w:t>
      </w:r>
      <w:r>
        <w:rPr>
          <w:rFonts w:eastAsia="Times"/>
        </w:rPr>
        <w:t xml:space="preserve">“grandfather” all such stations from application of the rules adopted in this </w:t>
      </w:r>
      <w:r w:rsidR="00507A72" w:rsidRPr="00507A72">
        <w:rPr>
          <w:rFonts w:eastAsia="Times"/>
          <w:i/>
        </w:rPr>
        <w:t xml:space="preserve">Third Report and </w:t>
      </w:r>
      <w:r w:rsidRPr="00507A72">
        <w:rPr>
          <w:rFonts w:eastAsia="Times"/>
          <w:i/>
        </w:rPr>
        <w:t>Order</w:t>
      </w:r>
      <w:r w:rsidR="0036333D" w:rsidRPr="000856E8">
        <w:rPr>
          <w:rFonts w:eastAsia="Times"/>
        </w:rPr>
        <w:t>.</w:t>
      </w:r>
      <w:r w:rsidR="0036333D">
        <w:rPr>
          <w:rFonts w:eastAsia="Times"/>
        </w:rPr>
        <w:t xml:space="preserve">  </w:t>
      </w:r>
      <w:r w:rsidR="005821FD">
        <w:rPr>
          <w:rFonts w:eastAsia="Times"/>
        </w:rPr>
        <w:t>Based on the comments receiv</w:t>
      </w:r>
      <w:r w:rsidR="007039C5">
        <w:rPr>
          <w:rFonts w:eastAsia="Times"/>
        </w:rPr>
        <w:t xml:space="preserve">ed, </w:t>
      </w:r>
      <w:r w:rsidR="005821FD">
        <w:rPr>
          <w:rFonts w:eastAsia="Times"/>
        </w:rPr>
        <w:t xml:space="preserve">there is a clear consensus </w:t>
      </w:r>
      <w:r>
        <w:rPr>
          <w:rFonts w:eastAsia="Times"/>
        </w:rPr>
        <w:t xml:space="preserve">for this </w:t>
      </w:r>
      <w:r w:rsidR="009B6B79">
        <w:rPr>
          <w:rFonts w:eastAsia="Times"/>
        </w:rPr>
        <w:t>approach</w:t>
      </w:r>
      <w:r>
        <w:rPr>
          <w:rFonts w:eastAsia="Times"/>
        </w:rPr>
        <w:t>,</w:t>
      </w:r>
      <w:r w:rsidR="005821FD">
        <w:rPr>
          <w:rStyle w:val="FootnoteReference"/>
          <w:rFonts w:eastAsia="Times"/>
        </w:rPr>
        <w:footnoteReference w:id="13"/>
      </w:r>
      <w:r w:rsidR="003000B0">
        <w:rPr>
          <w:rFonts w:eastAsia="Times"/>
        </w:rPr>
        <w:t xml:space="preserve"> </w:t>
      </w:r>
      <w:r>
        <w:rPr>
          <w:rFonts w:eastAsia="Times"/>
          <w:color w:val="000000"/>
          <w:szCs w:val="22"/>
        </w:rPr>
        <w:t>and we find that</w:t>
      </w:r>
      <w:r w:rsidR="00442DD8">
        <w:rPr>
          <w:rFonts w:eastAsia="Times"/>
          <w:color w:val="000000"/>
          <w:szCs w:val="22"/>
        </w:rPr>
        <w:t xml:space="preserve"> the effect of such a grandfathered status will be minimal</w:t>
      </w:r>
      <w:r w:rsidR="009B6B79">
        <w:rPr>
          <w:rFonts w:eastAsia="Times"/>
          <w:color w:val="000000"/>
          <w:szCs w:val="22"/>
        </w:rPr>
        <w:t xml:space="preserve"> because</w:t>
      </w:r>
      <w:r w:rsidR="00442DD8">
        <w:rPr>
          <w:rFonts w:eastAsia="Times"/>
          <w:color w:val="000000"/>
          <w:szCs w:val="22"/>
        </w:rPr>
        <w:t xml:space="preserve"> there are </w:t>
      </w:r>
      <w:r w:rsidR="007927F1">
        <w:rPr>
          <w:rFonts w:eastAsia="Times"/>
          <w:color w:val="000000"/>
          <w:szCs w:val="22"/>
        </w:rPr>
        <w:t>currently six</w:t>
      </w:r>
      <w:r w:rsidR="00442DD8">
        <w:rPr>
          <w:rFonts w:eastAsia="Times"/>
          <w:color w:val="000000"/>
          <w:szCs w:val="22"/>
        </w:rPr>
        <w:t xml:space="preserve"> </w:t>
      </w:r>
      <w:r w:rsidR="000A4A7C">
        <w:rPr>
          <w:rFonts w:eastAsia="Times"/>
          <w:color w:val="000000"/>
          <w:szCs w:val="22"/>
        </w:rPr>
        <w:t xml:space="preserve">DBS </w:t>
      </w:r>
      <w:r w:rsidR="007717B8">
        <w:rPr>
          <w:rFonts w:eastAsia="Times"/>
          <w:color w:val="000000"/>
          <w:szCs w:val="22"/>
        </w:rPr>
        <w:t>feeder-link</w:t>
      </w:r>
      <w:r w:rsidR="00442DD8">
        <w:rPr>
          <w:rFonts w:eastAsia="Times"/>
          <w:color w:val="000000"/>
          <w:szCs w:val="22"/>
        </w:rPr>
        <w:t xml:space="preserve"> sites</w:t>
      </w:r>
      <w:r w:rsidR="007927F1">
        <w:rPr>
          <w:rFonts w:eastAsia="Times"/>
          <w:color w:val="000000"/>
          <w:szCs w:val="22"/>
        </w:rPr>
        <w:t xml:space="preserve"> in the United States,</w:t>
      </w:r>
      <w:r w:rsidR="00442DD8">
        <w:rPr>
          <w:rFonts w:eastAsia="Times"/>
          <w:color w:val="000000"/>
          <w:szCs w:val="22"/>
        </w:rPr>
        <w:t xml:space="preserve"> and </w:t>
      </w:r>
      <w:r w:rsidR="00F80611">
        <w:rPr>
          <w:rFonts w:eastAsia="Times"/>
          <w:color w:val="000000"/>
          <w:szCs w:val="22"/>
        </w:rPr>
        <w:t xml:space="preserve">as Echostar notes, </w:t>
      </w:r>
      <w:r w:rsidR="00442DD8">
        <w:rPr>
          <w:rFonts w:eastAsia="Times"/>
          <w:color w:val="000000"/>
          <w:szCs w:val="22"/>
        </w:rPr>
        <w:t>the majority of these sites are located in remote communities</w:t>
      </w:r>
      <w:r w:rsidR="000A4A7C">
        <w:rPr>
          <w:rFonts w:eastAsia="Times"/>
          <w:color w:val="000000"/>
          <w:szCs w:val="22"/>
        </w:rPr>
        <w:t xml:space="preserve"> where there is unlikely to be substantial BSS activity</w:t>
      </w:r>
      <w:r w:rsidR="00442DD8">
        <w:rPr>
          <w:rFonts w:eastAsia="Times"/>
          <w:color w:val="000000"/>
          <w:szCs w:val="22"/>
        </w:rPr>
        <w:t>.</w:t>
      </w:r>
      <w:r w:rsidR="00442DD8">
        <w:rPr>
          <w:rStyle w:val="FootnoteReference"/>
          <w:rFonts w:eastAsia="Times"/>
          <w:color w:val="000000"/>
          <w:szCs w:val="22"/>
        </w:rPr>
        <w:footnoteReference w:id="14"/>
      </w:r>
      <w:r w:rsidR="001D4B56">
        <w:rPr>
          <w:rFonts w:eastAsia="Times"/>
          <w:color w:val="000000"/>
          <w:szCs w:val="22"/>
        </w:rPr>
        <w:t xml:space="preserve">  </w:t>
      </w:r>
      <w:r>
        <w:rPr>
          <w:rFonts w:eastAsia="Times"/>
          <w:color w:val="000000"/>
          <w:szCs w:val="22"/>
        </w:rPr>
        <w:t xml:space="preserve">Furthermore, </w:t>
      </w:r>
      <w:r w:rsidR="005B112E">
        <w:rPr>
          <w:rFonts w:eastAsia="Times"/>
          <w:color w:val="000000"/>
          <w:szCs w:val="22"/>
        </w:rPr>
        <w:t xml:space="preserve">these </w:t>
      </w:r>
      <w:r w:rsidR="007717B8">
        <w:rPr>
          <w:rFonts w:eastAsia="Times"/>
          <w:color w:val="000000"/>
          <w:szCs w:val="22"/>
        </w:rPr>
        <w:t>feeder-link</w:t>
      </w:r>
      <w:r>
        <w:rPr>
          <w:rFonts w:eastAsia="Times"/>
          <w:color w:val="000000"/>
          <w:szCs w:val="22"/>
        </w:rPr>
        <w:t xml:space="preserve"> </w:t>
      </w:r>
      <w:r w:rsidR="005B112E">
        <w:rPr>
          <w:rFonts w:eastAsia="Times"/>
          <w:color w:val="000000"/>
          <w:szCs w:val="22"/>
        </w:rPr>
        <w:t>stations are a critical component of the DBS systems that provide video entertainment to tens of millions American viewers every day.</w:t>
      </w:r>
      <w:r w:rsidR="005B112E">
        <w:rPr>
          <w:rStyle w:val="FootnoteReference"/>
          <w:rFonts w:eastAsia="Times"/>
          <w:color w:val="000000"/>
          <w:szCs w:val="22"/>
        </w:rPr>
        <w:footnoteReference w:id="15"/>
      </w:r>
      <w:r w:rsidR="001D4B56">
        <w:rPr>
          <w:rFonts w:eastAsia="Times"/>
          <w:color w:val="000000"/>
          <w:szCs w:val="22"/>
        </w:rPr>
        <w:t xml:space="preserve">  </w:t>
      </w:r>
      <w:r>
        <w:rPr>
          <w:rFonts w:eastAsia="Times"/>
          <w:color w:val="000000"/>
          <w:szCs w:val="22"/>
        </w:rPr>
        <w:t xml:space="preserve">We agree </w:t>
      </w:r>
      <w:r w:rsidR="003D5390">
        <w:rPr>
          <w:rFonts w:eastAsia="Times"/>
          <w:color w:val="000000"/>
          <w:szCs w:val="22"/>
        </w:rPr>
        <w:t xml:space="preserve">with commenters </w:t>
      </w:r>
      <w:r>
        <w:rPr>
          <w:rFonts w:eastAsia="Times"/>
          <w:color w:val="000000"/>
          <w:szCs w:val="22"/>
        </w:rPr>
        <w:t>that</w:t>
      </w:r>
      <w:r w:rsidR="008B6C88">
        <w:rPr>
          <w:rFonts w:eastAsia="Times"/>
          <w:color w:val="000000"/>
          <w:szCs w:val="22"/>
        </w:rPr>
        <w:t xml:space="preserve"> it is </w:t>
      </w:r>
      <w:r>
        <w:rPr>
          <w:rFonts w:eastAsia="Times"/>
          <w:color w:val="000000"/>
          <w:szCs w:val="22"/>
        </w:rPr>
        <w:t>important that</w:t>
      </w:r>
      <w:r w:rsidR="008B6C88">
        <w:rPr>
          <w:rFonts w:eastAsia="Times"/>
          <w:color w:val="000000"/>
          <w:szCs w:val="22"/>
        </w:rPr>
        <w:t xml:space="preserve"> these </w:t>
      </w:r>
      <w:r w:rsidR="009B6B79">
        <w:rPr>
          <w:rFonts w:eastAsia="Times"/>
          <w:color w:val="000000"/>
          <w:szCs w:val="22"/>
        </w:rPr>
        <w:t xml:space="preserve">stations </w:t>
      </w:r>
      <w:r w:rsidR="008B6C88">
        <w:rPr>
          <w:rFonts w:eastAsia="Times"/>
          <w:color w:val="000000"/>
          <w:szCs w:val="22"/>
        </w:rPr>
        <w:t>be grandfathered so that they may continue to operate in the manner in which they were designed in reliance on the rules then in effect</w:t>
      </w:r>
      <w:r w:rsidR="00D73523">
        <w:rPr>
          <w:rFonts w:eastAsia="Times"/>
          <w:color w:val="000000"/>
          <w:szCs w:val="22"/>
        </w:rPr>
        <w:t xml:space="preserve">, and to avoid imposing </w:t>
      </w:r>
      <w:r w:rsidR="006B167E">
        <w:rPr>
          <w:rFonts w:eastAsia="Times"/>
          <w:color w:val="000000"/>
          <w:szCs w:val="22"/>
        </w:rPr>
        <w:t>unnecessary</w:t>
      </w:r>
      <w:r w:rsidR="00D73523">
        <w:rPr>
          <w:rFonts w:eastAsia="Times"/>
          <w:color w:val="000000"/>
          <w:szCs w:val="22"/>
        </w:rPr>
        <w:t xml:space="preserve"> burdens on </w:t>
      </w:r>
      <w:r w:rsidR="00CE56F1">
        <w:rPr>
          <w:rFonts w:eastAsia="Times"/>
          <w:color w:val="000000"/>
          <w:szCs w:val="22"/>
        </w:rPr>
        <w:t xml:space="preserve">the </w:t>
      </w:r>
      <w:r w:rsidR="00D73523">
        <w:rPr>
          <w:rFonts w:eastAsia="Times"/>
          <w:color w:val="000000"/>
          <w:szCs w:val="22"/>
        </w:rPr>
        <w:t>operat</w:t>
      </w:r>
      <w:r w:rsidR="00CE56F1">
        <w:rPr>
          <w:rFonts w:eastAsia="Times"/>
          <w:color w:val="000000"/>
          <w:szCs w:val="22"/>
        </w:rPr>
        <w:t>ion</w:t>
      </w:r>
      <w:r w:rsidR="00D73523">
        <w:rPr>
          <w:rFonts w:eastAsia="Times"/>
          <w:color w:val="000000"/>
          <w:szCs w:val="22"/>
        </w:rPr>
        <w:t xml:space="preserve"> of </w:t>
      </w:r>
      <w:r w:rsidR="00CE56F1">
        <w:rPr>
          <w:rFonts w:eastAsia="Times"/>
        </w:rPr>
        <w:t xml:space="preserve">these </w:t>
      </w:r>
      <w:r w:rsidRPr="000856E8">
        <w:rPr>
          <w:rFonts w:eastAsia="Times"/>
        </w:rPr>
        <w:t xml:space="preserve">existing DBS </w:t>
      </w:r>
      <w:r w:rsidR="007717B8">
        <w:rPr>
          <w:rFonts w:eastAsia="Times"/>
        </w:rPr>
        <w:t>feeder-link</w:t>
      </w:r>
      <w:r>
        <w:rPr>
          <w:rFonts w:eastAsia="Times"/>
        </w:rPr>
        <w:t xml:space="preserve"> stations</w:t>
      </w:r>
      <w:r w:rsidR="00D73523">
        <w:rPr>
          <w:rFonts w:eastAsia="Times"/>
        </w:rPr>
        <w:t>.</w:t>
      </w:r>
      <w:r w:rsidR="00372F04" w:rsidRPr="0036333D">
        <w:rPr>
          <w:rStyle w:val="FootnoteReference"/>
          <w:rFonts w:eastAsia="Times"/>
          <w:color w:val="000000"/>
          <w:szCs w:val="22"/>
        </w:rPr>
        <w:footnoteReference w:id="16"/>
      </w:r>
      <w:r w:rsidRPr="00064FD7">
        <w:rPr>
          <w:rFonts w:eastAsia="Times"/>
        </w:rPr>
        <w:t xml:space="preserve"> </w:t>
      </w:r>
    </w:p>
    <w:p w14:paraId="1CAE1E69" w14:textId="77777777" w:rsidR="00AA257E" w:rsidRPr="00507A72" w:rsidRDefault="00AA257E" w:rsidP="00482A48">
      <w:pPr>
        <w:pStyle w:val="Heading2"/>
        <w:rPr>
          <w:rFonts w:eastAsia="Times"/>
        </w:rPr>
      </w:pPr>
      <w:bookmarkStart w:id="5" w:name="_Toc433797637"/>
      <w:r w:rsidRPr="00507A72">
        <w:rPr>
          <w:rFonts w:eastAsia="Times"/>
        </w:rPr>
        <w:t>Protection Zones for Existing DBS Uplink Facilities</w:t>
      </w:r>
      <w:bookmarkEnd w:id="5"/>
    </w:p>
    <w:p w14:paraId="5ED15D09" w14:textId="1F91B4B9" w:rsidR="00B11B1F" w:rsidRPr="00F64350" w:rsidRDefault="00B11B1F" w:rsidP="003779A7">
      <w:pPr>
        <w:pStyle w:val="ParaNum"/>
        <w:rPr>
          <w:rFonts w:eastAsia="Times"/>
          <w:szCs w:val="22"/>
        </w:rPr>
      </w:pPr>
      <w:r w:rsidRPr="00F64350">
        <w:rPr>
          <w:rFonts w:eastAsia="Times"/>
          <w:color w:val="000000"/>
          <w:szCs w:val="22"/>
        </w:rPr>
        <w:t xml:space="preserve">The </w:t>
      </w:r>
      <w:r w:rsidR="00064FD7" w:rsidRPr="00F27255">
        <w:rPr>
          <w:rFonts w:eastAsia="Times"/>
          <w:i/>
          <w:color w:val="000000"/>
          <w:szCs w:val="22"/>
        </w:rPr>
        <w:t>FNPRM</w:t>
      </w:r>
      <w:r w:rsidR="00064FD7" w:rsidRPr="00F64350">
        <w:rPr>
          <w:rFonts w:eastAsia="Times"/>
          <w:color w:val="000000"/>
          <w:szCs w:val="22"/>
        </w:rPr>
        <w:t xml:space="preserve"> </w:t>
      </w:r>
      <w:r w:rsidR="00064FD7">
        <w:rPr>
          <w:rFonts w:eastAsia="Times"/>
          <w:color w:val="000000"/>
          <w:szCs w:val="22"/>
        </w:rPr>
        <w:t xml:space="preserve">proposed </w:t>
      </w:r>
      <w:r w:rsidRPr="00F64350">
        <w:rPr>
          <w:rFonts w:eastAsia="Times"/>
          <w:color w:val="000000"/>
          <w:szCs w:val="22"/>
        </w:rPr>
        <w:t xml:space="preserve">to define an area around existing DBS </w:t>
      </w:r>
      <w:r w:rsidR="007717B8">
        <w:rPr>
          <w:rFonts w:eastAsia="Times"/>
          <w:color w:val="000000"/>
          <w:szCs w:val="22"/>
        </w:rPr>
        <w:t>feeder-link</w:t>
      </w:r>
      <w:r w:rsidRPr="00F64350">
        <w:rPr>
          <w:rFonts w:eastAsia="Times"/>
          <w:color w:val="000000"/>
          <w:szCs w:val="22"/>
        </w:rPr>
        <w:t xml:space="preserve"> earth stations within which</w:t>
      </w:r>
      <w:r w:rsidR="003D5390">
        <w:rPr>
          <w:rFonts w:eastAsia="Times"/>
          <w:color w:val="000000"/>
          <w:szCs w:val="22"/>
        </w:rPr>
        <w:t xml:space="preserve"> co-frequency</w:t>
      </w:r>
      <w:r w:rsidRPr="00F64350">
        <w:rPr>
          <w:rFonts w:eastAsia="Times"/>
          <w:color w:val="000000"/>
          <w:szCs w:val="22"/>
        </w:rPr>
        <w:t xml:space="preserve"> 17/24 GHz </w:t>
      </w:r>
      <w:r>
        <w:rPr>
          <w:rFonts w:eastAsia="Times"/>
          <w:color w:val="000000"/>
          <w:szCs w:val="22"/>
        </w:rPr>
        <w:t>BSS receiv</w:t>
      </w:r>
      <w:r w:rsidR="00995A81">
        <w:rPr>
          <w:rFonts w:eastAsia="Times"/>
          <w:color w:val="000000"/>
          <w:szCs w:val="22"/>
        </w:rPr>
        <w:t>e</w:t>
      </w:r>
      <w:r w:rsidR="009B6B79">
        <w:rPr>
          <w:rFonts w:eastAsia="Times"/>
          <w:color w:val="000000"/>
          <w:szCs w:val="22"/>
        </w:rPr>
        <w:t xml:space="preserve"> </w:t>
      </w:r>
      <w:r>
        <w:rPr>
          <w:rFonts w:eastAsia="Times"/>
          <w:color w:val="000000"/>
          <w:szCs w:val="22"/>
        </w:rPr>
        <w:t>earth stations could not</w:t>
      </w:r>
      <w:r w:rsidRPr="00F64350">
        <w:rPr>
          <w:rFonts w:eastAsia="Times"/>
          <w:color w:val="000000"/>
          <w:szCs w:val="22"/>
        </w:rPr>
        <w:t xml:space="preserve"> claim protection</w:t>
      </w:r>
      <w:r w:rsidR="007F60C1">
        <w:rPr>
          <w:rFonts w:eastAsia="Times"/>
          <w:color w:val="000000"/>
          <w:szCs w:val="22"/>
        </w:rPr>
        <w:t xml:space="preserve"> from potential interference from DBS feeder-link earth station operations</w:t>
      </w:r>
      <w:r w:rsidRPr="00F64350">
        <w:rPr>
          <w:rFonts w:eastAsia="Times"/>
          <w:color w:val="000000"/>
          <w:szCs w:val="22"/>
        </w:rPr>
        <w:t xml:space="preserve">.  </w:t>
      </w:r>
      <w:r w:rsidR="007F60C1">
        <w:rPr>
          <w:rFonts w:eastAsia="Times"/>
          <w:color w:val="000000"/>
          <w:szCs w:val="22"/>
        </w:rPr>
        <w:t xml:space="preserve">Thus, there would be a “protection zone” for existing DBS feeder-link earth stations in which they could continue to operate without an obligation to alter their operations to protect 17/24 GHz BSS receive earth stations.  The </w:t>
      </w:r>
      <w:r w:rsidR="007F60C1" w:rsidRPr="00BF2210">
        <w:rPr>
          <w:rFonts w:eastAsia="Times"/>
          <w:i/>
          <w:color w:val="000000"/>
          <w:szCs w:val="22"/>
        </w:rPr>
        <w:t>FNPRM</w:t>
      </w:r>
      <w:r w:rsidR="00064FD7">
        <w:rPr>
          <w:rFonts w:eastAsia="Times"/>
          <w:color w:val="000000"/>
          <w:szCs w:val="22"/>
        </w:rPr>
        <w:t xml:space="preserve"> </w:t>
      </w:r>
      <w:r w:rsidRPr="00F64350">
        <w:rPr>
          <w:rFonts w:eastAsia="Times"/>
          <w:color w:val="000000"/>
          <w:szCs w:val="22"/>
        </w:rPr>
        <w:t>propose</w:t>
      </w:r>
      <w:r>
        <w:rPr>
          <w:rFonts w:eastAsia="Times"/>
          <w:color w:val="000000"/>
          <w:szCs w:val="22"/>
        </w:rPr>
        <w:t>d</w:t>
      </w:r>
      <w:r w:rsidRPr="00F64350">
        <w:rPr>
          <w:rFonts w:eastAsia="Times"/>
          <w:color w:val="000000"/>
          <w:szCs w:val="22"/>
        </w:rPr>
        <w:t xml:space="preserve"> to limit </w:t>
      </w:r>
      <w:r w:rsidR="007B3222">
        <w:rPr>
          <w:rFonts w:eastAsia="Times"/>
          <w:color w:val="000000"/>
          <w:szCs w:val="22"/>
        </w:rPr>
        <w:t>any</w:t>
      </w:r>
      <w:r w:rsidRPr="00F64350">
        <w:rPr>
          <w:rFonts w:eastAsia="Times"/>
          <w:color w:val="000000"/>
          <w:szCs w:val="22"/>
        </w:rPr>
        <w:t xml:space="preserve"> protection zone to </w:t>
      </w:r>
      <w:r w:rsidR="00064FD7">
        <w:rPr>
          <w:rFonts w:eastAsia="Times"/>
          <w:color w:val="000000"/>
          <w:szCs w:val="22"/>
        </w:rPr>
        <w:t>an</w:t>
      </w:r>
      <w:r w:rsidR="00064FD7" w:rsidRPr="00F64350">
        <w:rPr>
          <w:rFonts w:eastAsia="Times"/>
          <w:color w:val="000000"/>
          <w:szCs w:val="22"/>
        </w:rPr>
        <w:t xml:space="preserve"> </w:t>
      </w:r>
      <w:r w:rsidRPr="00F64350">
        <w:rPr>
          <w:rFonts w:eastAsia="Times"/>
          <w:color w:val="000000"/>
          <w:szCs w:val="22"/>
        </w:rPr>
        <w:t>area surrounding the specific geographic location within the 17.3</w:t>
      </w:r>
      <w:r w:rsidR="00251903">
        <w:rPr>
          <w:rFonts w:eastAsia="Times"/>
          <w:color w:val="000000"/>
          <w:szCs w:val="22"/>
        </w:rPr>
        <w:t>-</w:t>
      </w:r>
      <w:r w:rsidRPr="00F64350">
        <w:rPr>
          <w:rFonts w:eastAsia="Times"/>
          <w:color w:val="000000"/>
          <w:szCs w:val="22"/>
        </w:rPr>
        <w:t xml:space="preserve">17.7 GHz BSS band in which the DBS </w:t>
      </w:r>
      <w:r w:rsidR="007717B8">
        <w:rPr>
          <w:rFonts w:eastAsia="Times"/>
          <w:color w:val="000000"/>
          <w:szCs w:val="22"/>
        </w:rPr>
        <w:t>feeder-link</w:t>
      </w:r>
      <w:r w:rsidRPr="00F64350">
        <w:rPr>
          <w:rFonts w:eastAsia="Times"/>
          <w:color w:val="000000"/>
          <w:szCs w:val="22"/>
        </w:rPr>
        <w:t xml:space="preserve"> earth station licensee</w:t>
      </w:r>
      <w:r>
        <w:rPr>
          <w:rFonts w:eastAsia="Times"/>
          <w:color w:val="000000"/>
          <w:szCs w:val="22"/>
        </w:rPr>
        <w:t xml:space="preserve"> wa</w:t>
      </w:r>
      <w:r w:rsidRPr="00F64350">
        <w:rPr>
          <w:rFonts w:eastAsia="Times"/>
          <w:color w:val="000000"/>
          <w:szCs w:val="22"/>
        </w:rPr>
        <w:t xml:space="preserve">s already authorized to transmit. </w:t>
      </w:r>
      <w:r>
        <w:rPr>
          <w:rFonts w:eastAsia="Times"/>
          <w:color w:val="000000"/>
          <w:szCs w:val="22"/>
        </w:rPr>
        <w:t xml:space="preserve"> </w:t>
      </w:r>
      <w:r w:rsidR="00251903">
        <w:rPr>
          <w:rFonts w:eastAsia="Times"/>
          <w:color w:val="000000"/>
          <w:szCs w:val="22"/>
        </w:rPr>
        <w:t>The</w:t>
      </w:r>
      <w:r w:rsidR="00E42250">
        <w:rPr>
          <w:rFonts w:eastAsia="Times"/>
          <w:color w:val="000000"/>
          <w:szCs w:val="22"/>
        </w:rPr>
        <w:t xml:space="preserve"> </w:t>
      </w:r>
      <w:r w:rsidR="00E42250" w:rsidRPr="00E42250">
        <w:rPr>
          <w:rFonts w:eastAsia="Times"/>
          <w:i/>
          <w:color w:val="000000"/>
          <w:szCs w:val="22"/>
        </w:rPr>
        <w:t>FNPRM</w:t>
      </w:r>
      <w:r>
        <w:rPr>
          <w:rFonts w:eastAsia="Times"/>
          <w:color w:val="000000"/>
          <w:szCs w:val="22"/>
        </w:rPr>
        <w:t xml:space="preserve"> </w:t>
      </w:r>
      <w:r w:rsidRPr="00F64350">
        <w:rPr>
          <w:rFonts w:eastAsia="Times"/>
          <w:color w:val="000000"/>
          <w:szCs w:val="22"/>
        </w:rPr>
        <w:t>invite</w:t>
      </w:r>
      <w:r>
        <w:rPr>
          <w:rFonts w:eastAsia="Times"/>
          <w:color w:val="000000"/>
          <w:szCs w:val="22"/>
        </w:rPr>
        <w:t>d</w:t>
      </w:r>
      <w:r w:rsidRPr="00F64350">
        <w:rPr>
          <w:rFonts w:eastAsia="Times"/>
          <w:color w:val="000000"/>
          <w:szCs w:val="22"/>
        </w:rPr>
        <w:t xml:space="preserve"> comment on two protection zone options: (1) to set the boundary at some fixed distance from</w:t>
      </w:r>
      <w:r w:rsidRPr="00F64350">
        <w:rPr>
          <w:rFonts w:eastAsia="Times"/>
          <w:b/>
          <w:color w:val="000000"/>
          <w:szCs w:val="22"/>
        </w:rPr>
        <w:t> </w:t>
      </w:r>
      <w:r w:rsidRPr="00F64350">
        <w:rPr>
          <w:rFonts w:eastAsia="Times"/>
          <w:color w:val="000000"/>
          <w:szCs w:val="22"/>
        </w:rPr>
        <w:t xml:space="preserve">the DBS </w:t>
      </w:r>
      <w:r w:rsidR="007717B8">
        <w:rPr>
          <w:rFonts w:eastAsia="Times"/>
          <w:color w:val="000000"/>
          <w:szCs w:val="22"/>
        </w:rPr>
        <w:t>feeder-link</w:t>
      </w:r>
      <w:r w:rsidRPr="00F64350">
        <w:rPr>
          <w:rFonts w:eastAsia="Times"/>
          <w:color w:val="000000"/>
          <w:szCs w:val="22"/>
        </w:rPr>
        <w:t xml:space="preserve"> earth station; or (2) to adjust that boundary to account for climate, terrain, or other considerations.</w:t>
      </w:r>
      <w:r>
        <w:rPr>
          <w:rFonts w:eastAsia="Times"/>
          <w:color w:val="000000"/>
          <w:szCs w:val="22"/>
        </w:rPr>
        <w:t xml:space="preserve"> </w:t>
      </w:r>
      <w:r w:rsidRPr="00F64350">
        <w:rPr>
          <w:rFonts w:eastAsia="Times"/>
          <w:color w:val="000000"/>
          <w:szCs w:val="22"/>
        </w:rPr>
        <w:t xml:space="preserve"> </w:t>
      </w:r>
      <w:r w:rsidR="00507A72">
        <w:rPr>
          <w:rFonts w:eastAsia="Times"/>
          <w:color w:val="000000"/>
          <w:szCs w:val="22"/>
        </w:rPr>
        <w:t xml:space="preserve">The </w:t>
      </w:r>
      <w:r w:rsidR="00507A72">
        <w:rPr>
          <w:rFonts w:eastAsia="Times"/>
          <w:i/>
          <w:color w:val="000000"/>
          <w:szCs w:val="22"/>
        </w:rPr>
        <w:t>FNPRM</w:t>
      </w:r>
      <w:r>
        <w:rPr>
          <w:rFonts w:eastAsia="Times"/>
          <w:color w:val="000000"/>
          <w:szCs w:val="22"/>
        </w:rPr>
        <w:t xml:space="preserve"> also sought</w:t>
      </w:r>
      <w:r w:rsidRPr="00F64350">
        <w:rPr>
          <w:rFonts w:eastAsia="Times"/>
          <w:color w:val="000000"/>
          <w:szCs w:val="22"/>
        </w:rPr>
        <w:t xml:space="preserve"> </w:t>
      </w:r>
      <w:r>
        <w:rPr>
          <w:rFonts w:eastAsia="Times"/>
          <w:color w:val="000000"/>
          <w:szCs w:val="22"/>
        </w:rPr>
        <w:t xml:space="preserve">detailed </w:t>
      </w:r>
      <w:r w:rsidRPr="00F64350">
        <w:rPr>
          <w:rFonts w:eastAsia="Times"/>
          <w:color w:val="000000"/>
          <w:szCs w:val="22"/>
        </w:rPr>
        <w:t xml:space="preserve">comment on </w:t>
      </w:r>
      <w:r w:rsidR="005E0A7D">
        <w:rPr>
          <w:rFonts w:eastAsia="Times"/>
          <w:color w:val="000000"/>
          <w:szCs w:val="22"/>
        </w:rPr>
        <w:t>alternative</w:t>
      </w:r>
      <w:r>
        <w:rPr>
          <w:rFonts w:eastAsia="Times"/>
          <w:color w:val="000000"/>
          <w:szCs w:val="22"/>
        </w:rPr>
        <w:t xml:space="preserve"> </w:t>
      </w:r>
      <w:r w:rsidRPr="00F64350">
        <w:rPr>
          <w:rFonts w:eastAsia="Times"/>
          <w:color w:val="000000"/>
          <w:szCs w:val="22"/>
        </w:rPr>
        <w:t xml:space="preserve">approaches </w:t>
      </w:r>
      <w:r w:rsidR="00507A72">
        <w:rPr>
          <w:rFonts w:eastAsia="Times"/>
          <w:color w:val="000000"/>
          <w:szCs w:val="22"/>
        </w:rPr>
        <w:t>the Commission</w:t>
      </w:r>
      <w:r w:rsidRPr="00F64350">
        <w:rPr>
          <w:rFonts w:eastAsia="Times"/>
          <w:color w:val="000000"/>
          <w:szCs w:val="22"/>
        </w:rPr>
        <w:t xml:space="preserve"> might adopt</w:t>
      </w:r>
      <w:r>
        <w:rPr>
          <w:rFonts w:eastAsia="Times"/>
          <w:color w:val="000000"/>
          <w:szCs w:val="22"/>
        </w:rPr>
        <w:t xml:space="preserve"> to address this issue.</w:t>
      </w:r>
      <w:r w:rsidR="003D5390">
        <w:rPr>
          <w:rStyle w:val="FootnoteReference"/>
          <w:rFonts w:eastAsia="Times"/>
          <w:color w:val="000000"/>
          <w:szCs w:val="22"/>
        </w:rPr>
        <w:footnoteReference w:id="17"/>
      </w:r>
      <w:r>
        <w:rPr>
          <w:rFonts w:eastAsia="Times"/>
          <w:color w:val="000000"/>
          <w:szCs w:val="22"/>
        </w:rPr>
        <w:t xml:space="preserve"> </w:t>
      </w:r>
    </w:p>
    <w:p w14:paraId="20EB19A2" w14:textId="33CEDF4B" w:rsidR="001F548D" w:rsidRPr="008A2BBB" w:rsidRDefault="00251903" w:rsidP="003779A7">
      <w:pPr>
        <w:pStyle w:val="ParaNum"/>
        <w:rPr>
          <w:rFonts w:eastAsia="Times"/>
          <w:szCs w:val="22"/>
        </w:rPr>
      </w:pPr>
      <w:r w:rsidRPr="00F27255">
        <w:rPr>
          <w:rFonts w:eastAsia="Times"/>
          <w:szCs w:val="22"/>
        </w:rPr>
        <w:t>Commenters</w:t>
      </w:r>
      <w:r w:rsidRPr="003D5390">
        <w:rPr>
          <w:rFonts w:eastAsia="Times"/>
          <w:szCs w:val="22"/>
        </w:rPr>
        <w:t xml:space="preserve"> </w:t>
      </w:r>
      <w:r w:rsidR="001F548D" w:rsidRPr="003D5390">
        <w:rPr>
          <w:rFonts w:eastAsia="Times"/>
          <w:szCs w:val="22"/>
        </w:rPr>
        <w:t xml:space="preserve">agree that neither a fixed boundary nor tailored protection zones </w:t>
      </w:r>
      <w:r w:rsidR="005E0A7D">
        <w:rPr>
          <w:rFonts w:eastAsia="Times"/>
          <w:szCs w:val="22"/>
        </w:rPr>
        <w:t>is a</w:t>
      </w:r>
      <w:r w:rsidR="005E0A7D" w:rsidRPr="003D5390">
        <w:rPr>
          <w:rFonts w:eastAsia="Times"/>
          <w:szCs w:val="22"/>
        </w:rPr>
        <w:t xml:space="preserve"> </w:t>
      </w:r>
      <w:r w:rsidR="001F548D" w:rsidRPr="003D5390">
        <w:rPr>
          <w:rFonts w:eastAsia="Times"/>
          <w:szCs w:val="22"/>
        </w:rPr>
        <w:t xml:space="preserve">feasible solution.  </w:t>
      </w:r>
      <w:r w:rsidR="00FC54E0">
        <w:rPr>
          <w:rFonts w:eastAsia="Times"/>
          <w:szCs w:val="22"/>
        </w:rPr>
        <w:t xml:space="preserve">SES Americom, for example, </w:t>
      </w:r>
      <w:r w:rsidRPr="003D5390">
        <w:rPr>
          <w:rFonts w:eastAsia="Times"/>
          <w:szCs w:val="22"/>
        </w:rPr>
        <w:t>observe</w:t>
      </w:r>
      <w:r w:rsidR="00FC54E0">
        <w:rPr>
          <w:rFonts w:eastAsia="Times"/>
          <w:szCs w:val="22"/>
        </w:rPr>
        <w:t>s</w:t>
      </w:r>
      <w:r w:rsidRPr="003D5390">
        <w:rPr>
          <w:rFonts w:eastAsia="Times"/>
          <w:szCs w:val="22"/>
        </w:rPr>
        <w:t xml:space="preserve"> that </w:t>
      </w:r>
      <w:r w:rsidRPr="003D5390">
        <w:rPr>
          <w:szCs w:val="22"/>
        </w:rPr>
        <w:t xml:space="preserve">“using a fixed distance to plot a protection </w:t>
      </w:r>
      <w:r w:rsidRPr="006045FF">
        <w:rPr>
          <w:szCs w:val="22"/>
        </w:rPr>
        <w:t>zone is inherently inaccurate</w:t>
      </w:r>
      <w:r w:rsidRPr="006045FF">
        <w:rPr>
          <w:rFonts w:eastAsia="Times"/>
          <w:szCs w:val="22"/>
        </w:rPr>
        <w:t>,”</w:t>
      </w:r>
      <w:r>
        <w:rPr>
          <w:rStyle w:val="FootnoteReference"/>
          <w:rFonts w:eastAsia="Times"/>
          <w:szCs w:val="22"/>
        </w:rPr>
        <w:footnoteReference w:id="18"/>
      </w:r>
      <w:r w:rsidRPr="003D5390">
        <w:rPr>
          <w:rFonts w:eastAsia="Times"/>
          <w:szCs w:val="22"/>
        </w:rPr>
        <w:t xml:space="preserve"> and </w:t>
      </w:r>
      <w:r w:rsidR="005E0A7D">
        <w:rPr>
          <w:rFonts w:eastAsia="Times"/>
          <w:szCs w:val="22"/>
        </w:rPr>
        <w:t>argue</w:t>
      </w:r>
      <w:r w:rsidR="00FC54E0">
        <w:rPr>
          <w:rFonts w:eastAsia="Times"/>
          <w:szCs w:val="22"/>
        </w:rPr>
        <w:t>s</w:t>
      </w:r>
      <w:r w:rsidR="005E0A7D">
        <w:rPr>
          <w:rFonts w:eastAsia="Times"/>
          <w:szCs w:val="22"/>
        </w:rPr>
        <w:t xml:space="preserve"> that it would be “unwarranted” to require operators to </w:t>
      </w:r>
      <w:r w:rsidRPr="003D5390">
        <w:rPr>
          <w:rFonts w:eastAsia="Times"/>
          <w:szCs w:val="22"/>
        </w:rPr>
        <w:t xml:space="preserve">“invest the resources needed to develop tailored protection zones for each </w:t>
      </w:r>
      <w:r w:rsidR="007717B8">
        <w:rPr>
          <w:rFonts w:eastAsia="Times"/>
          <w:szCs w:val="22"/>
        </w:rPr>
        <w:t>feeder-link</w:t>
      </w:r>
      <w:r w:rsidRPr="003D5390">
        <w:rPr>
          <w:rFonts w:eastAsia="Times"/>
          <w:szCs w:val="22"/>
        </w:rPr>
        <w:t xml:space="preserve"> location.”</w:t>
      </w:r>
      <w:r>
        <w:rPr>
          <w:rStyle w:val="FootnoteReference"/>
          <w:rFonts w:eastAsia="Times"/>
          <w:szCs w:val="22"/>
        </w:rPr>
        <w:footnoteReference w:id="19"/>
      </w:r>
      <w:r w:rsidRPr="003D5390">
        <w:rPr>
          <w:rFonts w:eastAsia="Times"/>
          <w:szCs w:val="22"/>
        </w:rPr>
        <w:t xml:space="preserve"> </w:t>
      </w:r>
      <w:r w:rsidR="00322184">
        <w:rPr>
          <w:rFonts w:eastAsia="Times"/>
          <w:szCs w:val="22"/>
        </w:rPr>
        <w:t xml:space="preserve"> </w:t>
      </w:r>
      <w:r w:rsidR="00FC54E0">
        <w:rPr>
          <w:rFonts w:eastAsia="Times"/>
          <w:szCs w:val="22"/>
        </w:rPr>
        <w:t xml:space="preserve">SES Americom also </w:t>
      </w:r>
      <w:r w:rsidR="001F548D" w:rsidRPr="003D5390">
        <w:rPr>
          <w:rFonts w:eastAsia="Times"/>
          <w:szCs w:val="22"/>
        </w:rPr>
        <w:t>point</w:t>
      </w:r>
      <w:r w:rsidR="00FC54E0">
        <w:rPr>
          <w:rFonts w:eastAsia="Times"/>
          <w:szCs w:val="22"/>
        </w:rPr>
        <w:t>s</w:t>
      </w:r>
      <w:r w:rsidR="001F548D" w:rsidRPr="003D5390">
        <w:rPr>
          <w:rFonts w:eastAsia="Times"/>
          <w:szCs w:val="22"/>
        </w:rPr>
        <w:t xml:space="preserve"> out</w:t>
      </w:r>
      <w:r w:rsidRPr="003D5390">
        <w:rPr>
          <w:rFonts w:eastAsia="Times"/>
          <w:szCs w:val="22"/>
        </w:rPr>
        <w:t xml:space="preserve"> that “defining an area surrounding a </w:t>
      </w:r>
      <w:r w:rsidR="007717B8">
        <w:rPr>
          <w:rFonts w:eastAsia="Times"/>
          <w:szCs w:val="22"/>
        </w:rPr>
        <w:t>feeder-link</w:t>
      </w:r>
      <w:r w:rsidRPr="003D5390">
        <w:rPr>
          <w:rFonts w:eastAsia="Times"/>
          <w:szCs w:val="22"/>
        </w:rPr>
        <w:t xml:space="preserve"> site for interference protection purposes presents significant challenges”</w:t>
      </w:r>
      <w:r w:rsidRPr="00B95A47">
        <w:rPr>
          <w:rStyle w:val="FootnoteReference"/>
          <w:rFonts w:eastAsia="Times"/>
          <w:szCs w:val="22"/>
        </w:rPr>
        <w:footnoteReference w:id="20"/>
      </w:r>
      <w:r w:rsidRPr="003D5390">
        <w:rPr>
          <w:rFonts w:eastAsia="Times"/>
          <w:szCs w:val="22"/>
        </w:rPr>
        <w:t xml:space="preserve"> because “numerous factors affect the required separation distance between a 17/24 GH</w:t>
      </w:r>
      <w:r w:rsidR="009B6B79">
        <w:rPr>
          <w:rFonts w:eastAsia="Times"/>
          <w:szCs w:val="22"/>
        </w:rPr>
        <w:t xml:space="preserve">z BSS receiver and a DBS </w:t>
      </w:r>
      <w:r w:rsidR="007717B8">
        <w:rPr>
          <w:rFonts w:eastAsia="Times"/>
          <w:szCs w:val="22"/>
        </w:rPr>
        <w:t>feeder-link</w:t>
      </w:r>
      <w:r w:rsidRPr="003D5390">
        <w:rPr>
          <w:rFonts w:eastAsia="Times"/>
          <w:szCs w:val="22"/>
        </w:rPr>
        <w:t xml:space="preserve"> site, and requiring a fixed distance would fail to account for these variables.”</w:t>
      </w:r>
      <w:r>
        <w:rPr>
          <w:rStyle w:val="FootnoteReference"/>
          <w:rFonts w:eastAsia="Times"/>
          <w:szCs w:val="22"/>
        </w:rPr>
        <w:footnoteReference w:id="21"/>
      </w:r>
      <w:r w:rsidR="001F548D" w:rsidRPr="001F548D">
        <w:t xml:space="preserve"> </w:t>
      </w:r>
      <w:r w:rsidR="00322184">
        <w:t xml:space="preserve"> </w:t>
      </w:r>
      <w:r w:rsidR="00B87423">
        <w:t>EchoStar</w:t>
      </w:r>
      <w:r w:rsidR="005E0A7D">
        <w:t xml:space="preserve"> argue</w:t>
      </w:r>
      <w:r w:rsidR="0012409D">
        <w:t>s</w:t>
      </w:r>
      <w:r w:rsidR="001F548D">
        <w:t xml:space="preserve"> that a fixed boundary</w:t>
      </w:r>
      <w:r w:rsidR="00E92410">
        <w:t>,</w:t>
      </w:r>
      <w:r w:rsidR="001F548D">
        <w:t xml:space="preserve"> while administrativel</w:t>
      </w:r>
      <w:r w:rsidR="00E92410">
        <w:t>y and operationally attractive,</w:t>
      </w:r>
      <w:r w:rsidR="001F548D">
        <w:t xml:space="preserve"> is not workable</w:t>
      </w:r>
      <w:r w:rsidR="00E92410">
        <w:t>,</w:t>
      </w:r>
      <w:r w:rsidR="001F548D" w:rsidRPr="001F548D">
        <w:t xml:space="preserve"> </w:t>
      </w:r>
      <w:r w:rsidR="001F548D">
        <w:t>and a</w:t>
      </w:r>
      <w:r w:rsidR="001F548D" w:rsidRPr="00C50420">
        <w:t xml:space="preserve">lthough </w:t>
      </w:r>
      <w:r w:rsidR="001F548D">
        <w:t>tailored protection zones</w:t>
      </w:r>
      <w:r w:rsidR="001F548D" w:rsidRPr="00C50420">
        <w:t xml:space="preserve"> would result in more realisti</w:t>
      </w:r>
      <w:r w:rsidR="00E92410">
        <w:t xml:space="preserve">c protection zone boundaries, </w:t>
      </w:r>
      <w:r w:rsidR="005E0A7D">
        <w:t>implementing such zones</w:t>
      </w:r>
      <w:r w:rsidR="005E0A7D" w:rsidRPr="00C50420">
        <w:t xml:space="preserve"> </w:t>
      </w:r>
      <w:r w:rsidR="001F548D" w:rsidRPr="00C50420">
        <w:t>would require</w:t>
      </w:r>
      <w:r w:rsidR="00E92410">
        <w:t xml:space="preserve"> significant data and analysis.</w:t>
      </w:r>
      <w:r w:rsidR="001F548D" w:rsidRPr="00C50420">
        <w:rPr>
          <w:rStyle w:val="FootnoteReference"/>
          <w:szCs w:val="22"/>
        </w:rPr>
        <w:footnoteReference w:id="22"/>
      </w:r>
      <w:r w:rsidR="001F548D" w:rsidRPr="00C50420">
        <w:t xml:space="preserve">  </w:t>
      </w:r>
      <w:r w:rsidR="007F60C1">
        <w:t>C</w:t>
      </w:r>
      <w:r w:rsidR="008A2BBB">
        <w:t>ommenters</w:t>
      </w:r>
      <w:r w:rsidR="001F548D">
        <w:t xml:space="preserve"> claim </w:t>
      </w:r>
      <w:r w:rsidR="008A2BBB">
        <w:t xml:space="preserve">that </w:t>
      </w:r>
      <w:r w:rsidR="001F548D">
        <w:t>d</w:t>
      </w:r>
      <w:r w:rsidR="001F548D" w:rsidRPr="00C50420">
        <w:t xml:space="preserve">eveloping tailored protection zones for each </w:t>
      </w:r>
      <w:r w:rsidR="007717B8">
        <w:t>feeder-link</w:t>
      </w:r>
      <w:r w:rsidR="001F548D" w:rsidRPr="00C50420">
        <w:t xml:space="preserve"> station would require significant resources</w:t>
      </w:r>
      <w:r w:rsidR="005E0A7D">
        <w:t>,</w:t>
      </w:r>
      <w:r w:rsidR="00612FB0">
        <w:rPr>
          <w:rStyle w:val="FootnoteReference"/>
        </w:rPr>
        <w:footnoteReference w:id="23"/>
      </w:r>
      <w:r w:rsidR="005E0A7D">
        <w:t xml:space="preserve"> and that these</w:t>
      </w:r>
      <w:r w:rsidR="001F548D" w:rsidRPr="00C50420">
        <w:t xml:space="preserve"> </w:t>
      </w:r>
      <w:r w:rsidR="001F548D">
        <w:t>expenses are</w:t>
      </w:r>
      <w:r w:rsidR="001F548D" w:rsidRPr="00C50420">
        <w:t xml:space="preserve"> unwarranted given the rules the Commission is adopting regarding updates and modifications to existing </w:t>
      </w:r>
      <w:r w:rsidR="009B6B79">
        <w:t>DBS feeder-</w:t>
      </w:r>
      <w:r w:rsidR="001F548D" w:rsidRPr="00C50420">
        <w:t>link stations.</w:t>
      </w:r>
      <w:r w:rsidR="001F548D" w:rsidRPr="00C50420">
        <w:rPr>
          <w:rStyle w:val="FootnoteReference"/>
          <w:szCs w:val="22"/>
        </w:rPr>
        <w:footnoteReference w:id="24"/>
      </w:r>
      <w:r w:rsidR="001F548D" w:rsidRPr="00C50420">
        <w:t xml:space="preserve"> </w:t>
      </w:r>
    </w:p>
    <w:p w14:paraId="76431CE3" w14:textId="146D2701" w:rsidR="008A2BBB" w:rsidRPr="008A2BBB" w:rsidRDefault="005E0A7D" w:rsidP="003779A7">
      <w:pPr>
        <w:pStyle w:val="ParaNum"/>
        <w:rPr>
          <w:rFonts w:eastAsia="Times"/>
          <w:szCs w:val="22"/>
        </w:rPr>
      </w:pPr>
      <w:r>
        <w:rPr>
          <w:rFonts w:eastAsia="Times"/>
          <w:szCs w:val="22"/>
        </w:rPr>
        <w:t xml:space="preserve">Based on the record, we </w:t>
      </w:r>
      <w:r w:rsidR="008A2BBB" w:rsidRPr="000856E8">
        <w:rPr>
          <w:rFonts w:eastAsia="Times"/>
        </w:rPr>
        <w:t xml:space="preserve">decline to establish a protection zone around </w:t>
      </w:r>
      <w:r w:rsidR="008A2BBB">
        <w:rPr>
          <w:rFonts w:eastAsia="Times"/>
        </w:rPr>
        <w:t>existing DBS feeder-</w:t>
      </w:r>
      <w:r w:rsidR="008A2BBB" w:rsidRPr="000856E8">
        <w:rPr>
          <w:rFonts w:eastAsia="Times"/>
        </w:rPr>
        <w:t>link earth sta</w:t>
      </w:r>
      <w:r w:rsidR="008A2BBB">
        <w:rPr>
          <w:rFonts w:eastAsia="Times"/>
        </w:rPr>
        <w:t>tions that transmit in the 17.3-</w:t>
      </w:r>
      <w:r w:rsidR="008A2BBB" w:rsidRPr="000856E8">
        <w:rPr>
          <w:rFonts w:eastAsia="Times"/>
        </w:rPr>
        <w:t>17.7 GHz</w:t>
      </w:r>
      <w:r w:rsidR="008A2BBB">
        <w:rPr>
          <w:rFonts w:eastAsia="Times"/>
        </w:rPr>
        <w:t xml:space="preserve"> frequency</w:t>
      </w:r>
      <w:r w:rsidR="008A2BBB" w:rsidRPr="000856E8">
        <w:rPr>
          <w:rFonts w:eastAsia="Times"/>
        </w:rPr>
        <w:t xml:space="preserve"> band.  </w:t>
      </w:r>
      <w:r w:rsidR="008A2BBB">
        <w:rPr>
          <w:rFonts w:eastAsia="Times"/>
        </w:rPr>
        <w:t>On</w:t>
      </w:r>
      <w:r w:rsidR="008A2BBB" w:rsidRPr="000856E8">
        <w:t xml:space="preserve"> balance, </w:t>
      </w:r>
      <w:r w:rsidR="00282A00">
        <w:t xml:space="preserve">we agree with </w:t>
      </w:r>
      <w:r w:rsidR="008A2BBB" w:rsidRPr="000856E8">
        <w:t xml:space="preserve">the </w:t>
      </w:r>
      <w:r w:rsidR="00071235">
        <w:t>argu</w:t>
      </w:r>
      <w:r w:rsidR="00374783">
        <w:t>ment</w:t>
      </w:r>
      <w:r w:rsidR="00D57B72">
        <w:t>s</w:t>
      </w:r>
      <w:r w:rsidR="00374783">
        <w:t xml:space="preserve"> </w:t>
      </w:r>
      <w:r w:rsidR="00071235">
        <w:t xml:space="preserve">against </w:t>
      </w:r>
      <w:r w:rsidR="00282A00">
        <w:t xml:space="preserve">placing </w:t>
      </w:r>
      <w:r w:rsidR="00071235">
        <w:t xml:space="preserve">on existing DBS feeder-link stations </w:t>
      </w:r>
      <w:r w:rsidR="00282A00">
        <w:t xml:space="preserve">the burden of </w:t>
      </w:r>
      <w:r w:rsidR="008A2BBB" w:rsidRPr="000856E8">
        <w:t>defin</w:t>
      </w:r>
      <w:r w:rsidR="008A2BBB">
        <w:t>ing</w:t>
      </w:r>
      <w:r w:rsidR="008A2BBB" w:rsidRPr="000856E8">
        <w:t xml:space="preserve"> protection z</w:t>
      </w:r>
      <w:r w:rsidR="008A2BBB">
        <w:t xml:space="preserve">ones around </w:t>
      </w:r>
      <w:r w:rsidR="00071235">
        <w:t>those stations</w:t>
      </w:r>
      <w:r w:rsidR="00374783">
        <w:t xml:space="preserve">, as </w:t>
      </w:r>
      <w:r w:rsidR="00D57B72">
        <w:t>w</w:t>
      </w:r>
      <w:r w:rsidR="008A2BBB">
        <w:t>e find that</w:t>
      </w:r>
      <w:r w:rsidR="00D57B72">
        <w:t>,</w:t>
      </w:r>
      <w:r w:rsidR="008A2BBB">
        <w:t xml:space="preserve"> </w:t>
      </w:r>
      <w:r w:rsidR="00D57B72">
        <w:t xml:space="preserve">for successful operation of </w:t>
      </w:r>
      <w:r w:rsidR="008A2BBB" w:rsidRPr="000856E8">
        <w:rPr>
          <w:rFonts w:eastAsia="Times"/>
        </w:rPr>
        <w:t xml:space="preserve">17/24 GHz BSS </w:t>
      </w:r>
      <w:r w:rsidR="00D57B72">
        <w:rPr>
          <w:rFonts w:eastAsia="Times"/>
        </w:rPr>
        <w:t xml:space="preserve">receive earth stations, the BSS </w:t>
      </w:r>
      <w:r w:rsidR="008A2BBB" w:rsidRPr="000856E8">
        <w:rPr>
          <w:rFonts w:eastAsia="Times"/>
        </w:rPr>
        <w:t xml:space="preserve">operators </w:t>
      </w:r>
      <w:r w:rsidR="00071235">
        <w:rPr>
          <w:rFonts w:eastAsia="Times"/>
        </w:rPr>
        <w:t xml:space="preserve">can more easily and efficiently </w:t>
      </w:r>
      <w:r w:rsidR="00374783">
        <w:rPr>
          <w:rFonts w:eastAsia="Times"/>
        </w:rPr>
        <w:t xml:space="preserve">determine on an </w:t>
      </w:r>
      <w:r w:rsidR="00374783">
        <w:rPr>
          <w:rFonts w:eastAsia="Times"/>
          <w:i/>
        </w:rPr>
        <w:t xml:space="preserve">ad hoc </w:t>
      </w:r>
      <w:r w:rsidR="00374783">
        <w:rPr>
          <w:rFonts w:eastAsia="Times"/>
        </w:rPr>
        <w:t xml:space="preserve">basis the optimal </w:t>
      </w:r>
      <w:r w:rsidR="008A2BBB" w:rsidRPr="000856E8">
        <w:rPr>
          <w:rFonts w:eastAsia="Times"/>
        </w:rPr>
        <w:t xml:space="preserve">separation distance between the operators’ </w:t>
      </w:r>
      <w:r w:rsidR="00995A81">
        <w:rPr>
          <w:rFonts w:eastAsia="Times"/>
        </w:rPr>
        <w:t>receive earth stations</w:t>
      </w:r>
      <w:r w:rsidR="008A2BBB" w:rsidRPr="000856E8">
        <w:rPr>
          <w:rFonts w:eastAsia="Times"/>
        </w:rPr>
        <w:t xml:space="preserve"> and existing DBS </w:t>
      </w:r>
      <w:r w:rsidR="008A2BBB">
        <w:rPr>
          <w:rFonts w:eastAsia="Times"/>
        </w:rPr>
        <w:t>feeder-link</w:t>
      </w:r>
      <w:r w:rsidR="008A2BBB" w:rsidRPr="000856E8">
        <w:rPr>
          <w:rFonts w:eastAsia="Times"/>
        </w:rPr>
        <w:t xml:space="preserve"> stations through analysis of each location’s particular factors and characteristics.</w:t>
      </w:r>
    </w:p>
    <w:p w14:paraId="07B823C9" w14:textId="77777777" w:rsidR="00BD6650" w:rsidRPr="00750502" w:rsidRDefault="008A2BBB" w:rsidP="003779A7">
      <w:pPr>
        <w:pStyle w:val="ParaNum"/>
        <w:rPr>
          <w:rFonts w:eastAsia="Times"/>
          <w:szCs w:val="22"/>
        </w:rPr>
      </w:pPr>
      <w:r>
        <w:rPr>
          <w:rFonts w:eastAsia="Times"/>
          <w:szCs w:val="22"/>
        </w:rPr>
        <w:t>This</w:t>
      </w:r>
      <w:r w:rsidR="00077C3A">
        <w:rPr>
          <w:rFonts w:eastAsia="Times"/>
          <w:szCs w:val="22"/>
        </w:rPr>
        <w:t xml:space="preserve"> approach is supported by all commenters. </w:t>
      </w:r>
      <w:r w:rsidR="009B242B">
        <w:rPr>
          <w:rFonts w:eastAsia="Times"/>
          <w:szCs w:val="22"/>
        </w:rPr>
        <w:t xml:space="preserve"> </w:t>
      </w:r>
      <w:r w:rsidR="001F548D" w:rsidRPr="006045FF">
        <w:rPr>
          <w:rFonts w:eastAsia="Times"/>
          <w:szCs w:val="22"/>
        </w:rPr>
        <w:t>Although DIRECTV originally supported the adoption of a fixed protection zone at a distance of 30 kilometers</w:t>
      </w:r>
      <w:r w:rsidR="00077C3A">
        <w:rPr>
          <w:rFonts w:eastAsia="Times"/>
          <w:szCs w:val="22"/>
        </w:rPr>
        <w:t xml:space="preserve"> around DBS feeder</w:t>
      </w:r>
      <w:r w:rsidR="009B6B79">
        <w:rPr>
          <w:rFonts w:eastAsia="Times"/>
          <w:szCs w:val="22"/>
        </w:rPr>
        <w:t>-</w:t>
      </w:r>
      <w:r w:rsidR="00077C3A">
        <w:rPr>
          <w:rFonts w:eastAsia="Times"/>
          <w:szCs w:val="22"/>
        </w:rPr>
        <w:t>link stations</w:t>
      </w:r>
      <w:r w:rsidR="00131EB2" w:rsidRPr="006045FF">
        <w:rPr>
          <w:rFonts w:eastAsia="Times"/>
          <w:szCs w:val="22"/>
        </w:rPr>
        <w:t>,</w:t>
      </w:r>
      <w:r w:rsidR="00131EB2" w:rsidRPr="001C1338">
        <w:rPr>
          <w:rStyle w:val="FootnoteReference"/>
          <w:rFonts w:eastAsia="Times"/>
          <w:szCs w:val="22"/>
        </w:rPr>
        <w:footnoteReference w:id="25"/>
      </w:r>
      <w:r w:rsidR="00131EB2" w:rsidRPr="006045FF">
        <w:rPr>
          <w:rFonts w:eastAsia="Times"/>
          <w:szCs w:val="22"/>
        </w:rPr>
        <w:t xml:space="preserve"> it later stated </w:t>
      </w:r>
      <w:r w:rsidR="00995A81">
        <w:rPr>
          <w:rFonts w:eastAsia="Times"/>
          <w:szCs w:val="22"/>
        </w:rPr>
        <w:t xml:space="preserve">that it </w:t>
      </w:r>
      <w:r w:rsidR="00131EB2" w:rsidRPr="006045FF">
        <w:rPr>
          <w:rFonts w:eastAsia="Times"/>
          <w:szCs w:val="22"/>
        </w:rPr>
        <w:t>did not object to “</w:t>
      </w:r>
      <w:r w:rsidR="00131EB2" w:rsidRPr="006045FF">
        <w:rPr>
          <w:szCs w:val="22"/>
        </w:rPr>
        <w:t>each 17/24 GHz BSS operator…mak[ing] its own determination as to where potential subscribers would not be subject to excessive levels of interference from an existing DBS uplink site.</w:t>
      </w:r>
      <w:r w:rsidR="00131EB2" w:rsidRPr="006045FF">
        <w:rPr>
          <w:rFonts w:eastAsia="Times"/>
          <w:szCs w:val="22"/>
        </w:rPr>
        <w:t>”</w:t>
      </w:r>
      <w:r w:rsidR="00131EB2" w:rsidRPr="001C1338">
        <w:rPr>
          <w:rStyle w:val="FootnoteReference"/>
          <w:rFonts w:eastAsia="Times"/>
          <w:szCs w:val="22"/>
        </w:rPr>
        <w:footnoteReference w:id="26"/>
      </w:r>
      <w:r w:rsidR="00077C3A">
        <w:rPr>
          <w:rFonts w:eastAsia="Times"/>
          <w:szCs w:val="22"/>
        </w:rPr>
        <w:t xml:space="preserve"> </w:t>
      </w:r>
      <w:r w:rsidR="00625471">
        <w:rPr>
          <w:rFonts w:eastAsia="Times"/>
          <w:szCs w:val="22"/>
        </w:rPr>
        <w:t xml:space="preserve"> </w:t>
      </w:r>
      <w:r w:rsidR="00077C3A">
        <w:rPr>
          <w:rFonts w:eastAsia="Times"/>
          <w:szCs w:val="22"/>
        </w:rPr>
        <w:t xml:space="preserve">Accordingly, </w:t>
      </w:r>
      <w:r w:rsidR="00077C3A">
        <w:t xml:space="preserve">we agree with commenters that the framework we adopt today </w:t>
      </w:r>
      <w:r w:rsidR="002E7D43">
        <w:t>is a more accurate and flexible approach than stipulating a specific protection zone.</w:t>
      </w:r>
    </w:p>
    <w:p w14:paraId="3E41781D" w14:textId="6BCCBA0D" w:rsidR="00AA257E" w:rsidRPr="00625471" w:rsidRDefault="00AA257E" w:rsidP="00482A48">
      <w:pPr>
        <w:pStyle w:val="Heading2"/>
        <w:rPr>
          <w:rFonts w:eastAsia="Times"/>
        </w:rPr>
      </w:pPr>
      <w:bookmarkStart w:id="6" w:name="_Toc433797638"/>
      <w:r w:rsidRPr="00625471">
        <w:rPr>
          <w:rFonts w:eastAsia="Times"/>
        </w:rPr>
        <w:t>Upgrades</w:t>
      </w:r>
      <w:r w:rsidR="00640FC1" w:rsidRPr="00625471">
        <w:rPr>
          <w:rFonts w:eastAsia="Times"/>
        </w:rPr>
        <w:t>, Modifications, and Additions</w:t>
      </w:r>
      <w:r w:rsidR="005E7C73">
        <w:rPr>
          <w:rFonts w:eastAsia="Times"/>
        </w:rPr>
        <w:t xml:space="preserve"> to Grandfathered</w:t>
      </w:r>
      <w:r w:rsidRPr="00625471">
        <w:rPr>
          <w:rFonts w:eastAsia="Times"/>
        </w:rPr>
        <w:t xml:space="preserve"> Facilities</w:t>
      </w:r>
      <w:bookmarkEnd w:id="6"/>
    </w:p>
    <w:p w14:paraId="70A9BCCF" w14:textId="117807AA" w:rsidR="00C81593" w:rsidRPr="009949F3" w:rsidRDefault="00B87423" w:rsidP="003779A7">
      <w:pPr>
        <w:pStyle w:val="ParaNum"/>
        <w:rPr>
          <w:rFonts w:eastAsia="Times"/>
          <w:szCs w:val="22"/>
        </w:rPr>
      </w:pPr>
      <w:r>
        <w:rPr>
          <w:rFonts w:eastAsia="Times"/>
          <w:color w:val="000000"/>
          <w:szCs w:val="22"/>
        </w:rPr>
        <w:t>As discussed in Section A, the</w:t>
      </w:r>
      <w:r w:rsidRPr="006316CF">
        <w:rPr>
          <w:rFonts w:eastAsia="Times"/>
          <w:color w:val="000000"/>
          <w:szCs w:val="22"/>
        </w:rPr>
        <w:t xml:space="preserve"> </w:t>
      </w:r>
      <w:r w:rsidR="00582E05" w:rsidRPr="006316CF">
        <w:rPr>
          <w:rFonts w:eastAsia="Times"/>
          <w:i/>
          <w:color w:val="000000"/>
          <w:szCs w:val="22"/>
        </w:rPr>
        <w:t>FNPRM</w:t>
      </w:r>
      <w:r w:rsidR="009B6B79">
        <w:rPr>
          <w:rFonts w:eastAsia="Times"/>
          <w:color w:val="000000"/>
          <w:szCs w:val="22"/>
        </w:rPr>
        <w:t xml:space="preserve"> </w:t>
      </w:r>
      <w:r w:rsidR="00582E05" w:rsidRPr="006316CF">
        <w:rPr>
          <w:rFonts w:eastAsia="Times"/>
          <w:color w:val="000000"/>
          <w:szCs w:val="22"/>
        </w:rPr>
        <w:t xml:space="preserve">tentatively </w:t>
      </w:r>
      <w:r w:rsidR="009B6B79">
        <w:rPr>
          <w:rFonts w:eastAsia="Times"/>
          <w:color w:val="000000"/>
          <w:szCs w:val="22"/>
        </w:rPr>
        <w:t>conclud</w:t>
      </w:r>
      <w:r w:rsidR="009B6B79" w:rsidRPr="006316CF">
        <w:rPr>
          <w:rFonts w:eastAsia="Times"/>
          <w:color w:val="000000"/>
          <w:szCs w:val="22"/>
        </w:rPr>
        <w:t xml:space="preserve">ed </w:t>
      </w:r>
      <w:r w:rsidR="00582E05" w:rsidRPr="006316CF">
        <w:rPr>
          <w:rFonts w:eastAsia="Times"/>
          <w:color w:val="000000"/>
          <w:szCs w:val="22"/>
        </w:rPr>
        <w:t>that existing DBS feeder</w:t>
      </w:r>
      <w:r w:rsidR="009B6B79">
        <w:rPr>
          <w:rFonts w:eastAsia="Times"/>
          <w:color w:val="000000"/>
          <w:szCs w:val="22"/>
        </w:rPr>
        <w:t>-</w:t>
      </w:r>
      <w:r w:rsidR="00582E05" w:rsidRPr="006316CF">
        <w:rPr>
          <w:rFonts w:eastAsia="Times"/>
          <w:color w:val="000000"/>
          <w:szCs w:val="22"/>
        </w:rPr>
        <w:t>link earth station</w:t>
      </w:r>
      <w:r w:rsidR="00BC59DE">
        <w:rPr>
          <w:rFonts w:eastAsia="Times"/>
          <w:color w:val="000000"/>
          <w:szCs w:val="22"/>
        </w:rPr>
        <w:t>s</w:t>
      </w:r>
      <w:r w:rsidR="00582E05" w:rsidRPr="006316CF">
        <w:rPr>
          <w:rFonts w:eastAsia="Times"/>
          <w:color w:val="000000"/>
          <w:szCs w:val="22"/>
        </w:rPr>
        <w:t xml:space="preserve"> would be </w:t>
      </w:r>
      <w:r w:rsidR="00F9083D">
        <w:rPr>
          <w:rFonts w:eastAsia="Times"/>
          <w:color w:val="000000"/>
          <w:szCs w:val="22"/>
        </w:rPr>
        <w:t>“</w:t>
      </w:r>
      <w:r w:rsidR="00582E05" w:rsidRPr="006316CF">
        <w:rPr>
          <w:rFonts w:eastAsia="Times"/>
          <w:color w:val="000000"/>
          <w:szCs w:val="22"/>
        </w:rPr>
        <w:t>grandfathered</w:t>
      </w:r>
      <w:r w:rsidR="00F9083D">
        <w:rPr>
          <w:rFonts w:eastAsia="Times"/>
          <w:color w:val="000000"/>
          <w:szCs w:val="22"/>
        </w:rPr>
        <w:t>” into any interference-mitigation rules adopted in this rulemaking procedure</w:t>
      </w:r>
      <w:r w:rsidR="00737D41" w:rsidRPr="006316CF">
        <w:rPr>
          <w:rFonts w:eastAsia="Times"/>
          <w:szCs w:val="22"/>
        </w:rPr>
        <w:t>.</w:t>
      </w:r>
      <w:r w:rsidR="00077C3A">
        <w:rPr>
          <w:rStyle w:val="FootnoteReference"/>
          <w:rFonts w:eastAsia="Times"/>
          <w:szCs w:val="22"/>
        </w:rPr>
        <w:footnoteReference w:id="27"/>
      </w:r>
      <w:r w:rsidR="00737D41" w:rsidRPr="006316CF">
        <w:rPr>
          <w:rFonts w:eastAsia="Times"/>
          <w:szCs w:val="22"/>
        </w:rPr>
        <w:t xml:space="preserve"> </w:t>
      </w:r>
      <w:r w:rsidR="002938DC" w:rsidRPr="006316CF">
        <w:rPr>
          <w:rFonts w:eastAsia="Times"/>
          <w:szCs w:val="22"/>
        </w:rPr>
        <w:t xml:space="preserve"> </w:t>
      </w:r>
      <w:r w:rsidR="00782D3D" w:rsidRPr="006316CF">
        <w:rPr>
          <w:rFonts w:eastAsia="Times"/>
          <w:szCs w:val="22"/>
        </w:rPr>
        <w:t>Commenters</w:t>
      </w:r>
      <w:r w:rsidR="00582E05" w:rsidRPr="006316CF">
        <w:rPr>
          <w:rFonts w:eastAsia="Times"/>
          <w:szCs w:val="22"/>
        </w:rPr>
        <w:t xml:space="preserve"> urged</w:t>
      </w:r>
      <w:r w:rsidR="00F64350" w:rsidRPr="006316CF">
        <w:rPr>
          <w:rFonts w:eastAsia="Times"/>
          <w:szCs w:val="22"/>
        </w:rPr>
        <w:t xml:space="preserve"> the Commi</w:t>
      </w:r>
      <w:r w:rsidR="001F5EFB">
        <w:rPr>
          <w:rFonts w:eastAsia="Times"/>
          <w:szCs w:val="22"/>
        </w:rPr>
        <w:t>ssion to make clear that any exemption afforded</w:t>
      </w:r>
      <w:r w:rsidR="00582E05" w:rsidRPr="006316CF">
        <w:rPr>
          <w:rFonts w:eastAsia="Times"/>
          <w:szCs w:val="22"/>
        </w:rPr>
        <w:t xml:space="preserve"> should apply </w:t>
      </w:r>
      <w:r w:rsidR="00F64350" w:rsidRPr="006316CF">
        <w:rPr>
          <w:rFonts w:eastAsia="Times"/>
          <w:szCs w:val="22"/>
        </w:rPr>
        <w:t xml:space="preserve">to existing DBS </w:t>
      </w:r>
      <w:r w:rsidR="009B6B79">
        <w:rPr>
          <w:rFonts w:eastAsia="Times"/>
          <w:szCs w:val="22"/>
        </w:rPr>
        <w:t>feeder-</w:t>
      </w:r>
      <w:r w:rsidR="009B6B79" w:rsidRPr="006316CF">
        <w:rPr>
          <w:rFonts w:eastAsia="Times"/>
          <w:szCs w:val="22"/>
        </w:rPr>
        <w:t xml:space="preserve">link </w:t>
      </w:r>
      <w:r w:rsidR="00F64350" w:rsidRPr="006316CF">
        <w:rPr>
          <w:rFonts w:eastAsia="Times"/>
          <w:i/>
          <w:szCs w:val="22"/>
        </w:rPr>
        <w:t>sites,</w:t>
      </w:r>
      <w:r w:rsidR="00F64350" w:rsidRPr="006316CF">
        <w:rPr>
          <w:rFonts w:eastAsia="Times"/>
          <w:szCs w:val="22"/>
        </w:rPr>
        <w:t xml:space="preserve"> and not just</w:t>
      </w:r>
      <w:r w:rsidR="00582E05" w:rsidRPr="006316CF">
        <w:rPr>
          <w:rFonts w:eastAsia="Times"/>
          <w:szCs w:val="22"/>
        </w:rPr>
        <w:t xml:space="preserve"> </w:t>
      </w:r>
      <w:r w:rsidR="00F64350" w:rsidRPr="006316CF">
        <w:rPr>
          <w:rFonts w:eastAsia="Times"/>
          <w:szCs w:val="22"/>
        </w:rPr>
        <w:t xml:space="preserve">currently licensed earth </w:t>
      </w:r>
      <w:r w:rsidR="00F64350" w:rsidRPr="001F5EFB">
        <w:rPr>
          <w:rFonts w:eastAsia="Times"/>
          <w:i/>
          <w:szCs w:val="22"/>
        </w:rPr>
        <w:t>stations</w:t>
      </w:r>
      <w:r w:rsidR="00582E05" w:rsidRPr="006316CF">
        <w:rPr>
          <w:rFonts w:eastAsia="Times"/>
          <w:szCs w:val="22"/>
        </w:rPr>
        <w:t>, in order</w:t>
      </w:r>
      <w:r w:rsidR="00B140B8">
        <w:rPr>
          <w:rFonts w:eastAsia="Times"/>
          <w:szCs w:val="22"/>
        </w:rPr>
        <w:t xml:space="preserve"> to protect the operator</w:t>
      </w:r>
      <w:r w:rsidR="00F64350" w:rsidRPr="006316CF">
        <w:rPr>
          <w:rFonts w:eastAsia="Times"/>
          <w:szCs w:val="22"/>
        </w:rPr>
        <w:t>s</w:t>
      </w:r>
      <w:r w:rsidR="00B140B8">
        <w:rPr>
          <w:rFonts w:eastAsia="Times"/>
          <w:szCs w:val="22"/>
        </w:rPr>
        <w:t>’</w:t>
      </w:r>
      <w:r w:rsidR="00F64350" w:rsidRPr="006316CF">
        <w:rPr>
          <w:rFonts w:eastAsia="Times"/>
          <w:szCs w:val="22"/>
        </w:rPr>
        <w:t xml:space="preserve"> ability to expand their existing </w:t>
      </w:r>
      <w:r w:rsidR="009B6B79">
        <w:rPr>
          <w:rFonts w:eastAsia="Times"/>
          <w:szCs w:val="22"/>
        </w:rPr>
        <w:t>feeder-</w:t>
      </w:r>
      <w:r w:rsidR="009B6B79" w:rsidRPr="006316CF">
        <w:rPr>
          <w:rFonts w:eastAsia="Times"/>
          <w:szCs w:val="22"/>
        </w:rPr>
        <w:t xml:space="preserve">link </w:t>
      </w:r>
      <w:r w:rsidR="00F64350" w:rsidRPr="006316CF">
        <w:rPr>
          <w:rFonts w:eastAsia="Times"/>
          <w:szCs w:val="22"/>
        </w:rPr>
        <w:t>sites</w:t>
      </w:r>
      <w:r w:rsidR="00582E05" w:rsidRPr="006316CF">
        <w:rPr>
          <w:rFonts w:eastAsia="Times"/>
          <w:szCs w:val="22"/>
        </w:rPr>
        <w:t>.</w:t>
      </w:r>
      <w:r w:rsidR="00077C3A">
        <w:rPr>
          <w:rStyle w:val="FootnoteReference"/>
          <w:rFonts w:eastAsia="Times"/>
          <w:szCs w:val="22"/>
        </w:rPr>
        <w:footnoteReference w:id="28"/>
      </w:r>
      <w:r w:rsidR="009E5383" w:rsidRPr="006316CF">
        <w:rPr>
          <w:rFonts w:eastAsia="Times"/>
          <w:szCs w:val="22"/>
        </w:rPr>
        <w:t xml:space="preserve"> </w:t>
      </w:r>
      <w:r w:rsidR="00F64350" w:rsidRPr="006316CF">
        <w:rPr>
          <w:rFonts w:eastAsia="Times"/>
          <w:szCs w:val="22"/>
        </w:rPr>
        <w:t xml:space="preserve"> The </w:t>
      </w:r>
      <w:r w:rsidR="009B6B79" w:rsidRPr="00F27255">
        <w:rPr>
          <w:rFonts w:eastAsia="Times"/>
          <w:i/>
          <w:szCs w:val="22"/>
        </w:rPr>
        <w:t>FNPRM</w:t>
      </w:r>
      <w:r w:rsidR="009B6B79" w:rsidRPr="006316CF">
        <w:rPr>
          <w:rFonts w:eastAsia="Times"/>
          <w:szCs w:val="22"/>
        </w:rPr>
        <w:t xml:space="preserve"> </w:t>
      </w:r>
      <w:r w:rsidR="00F64350" w:rsidRPr="006316CF">
        <w:rPr>
          <w:rFonts w:eastAsia="Times"/>
          <w:szCs w:val="22"/>
        </w:rPr>
        <w:t xml:space="preserve">proposed an alternative approach that would </w:t>
      </w:r>
      <w:r w:rsidR="00443BF4" w:rsidRPr="006316CF">
        <w:rPr>
          <w:rFonts w:eastAsia="Times"/>
          <w:szCs w:val="22"/>
        </w:rPr>
        <w:t xml:space="preserve">have </w:t>
      </w:r>
      <w:r w:rsidR="00F64350" w:rsidRPr="006316CF">
        <w:rPr>
          <w:rFonts w:eastAsia="Times"/>
          <w:szCs w:val="22"/>
        </w:rPr>
        <w:t>define</w:t>
      </w:r>
      <w:r w:rsidR="00443BF4" w:rsidRPr="006316CF">
        <w:rPr>
          <w:rFonts w:eastAsia="Times"/>
          <w:szCs w:val="22"/>
        </w:rPr>
        <w:t>d</w:t>
      </w:r>
      <w:r w:rsidR="00F64350" w:rsidRPr="006316CF">
        <w:rPr>
          <w:rFonts w:eastAsia="Times"/>
          <w:szCs w:val="22"/>
        </w:rPr>
        <w:t xml:space="preserve"> a pfd level at the boundary o</w:t>
      </w:r>
      <w:r w:rsidR="00443BF4" w:rsidRPr="006316CF">
        <w:rPr>
          <w:rFonts w:eastAsia="Times"/>
          <w:szCs w:val="22"/>
        </w:rPr>
        <w:t>f the protection zone that too</w:t>
      </w:r>
      <w:r w:rsidR="00582E05" w:rsidRPr="006316CF">
        <w:rPr>
          <w:rFonts w:eastAsia="Times"/>
          <w:szCs w:val="22"/>
        </w:rPr>
        <w:t>k</w:t>
      </w:r>
      <w:r w:rsidR="00F64350" w:rsidRPr="006316CF">
        <w:rPr>
          <w:rFonts w:eastAsia="Times"/>
          <w:szCs w:val="22"/>
        </w:rPr>
        <w:t xml:space="preserve"> into account the cumulative effect of any modified operations of the existing </w:t>
      </w:r>
      <w:r w:rsidR="009B6B79">
        <w:rPr>
          <w:rFonts w:eastAsia="Times"/>
          <w:szCs w:val="22"/>
        </w:rPr>
        <w:t>feeder-link</w:t>
      </w:r>
      <w:r w:rsidR="009B6B79" w:rsidRPr="006316CF">
        <w:rPr>
          <w:rFonts w:eastAsia="Times"/>
          <w:szCs w:val="22"/>
        </w:rPr>
        <w:t xml:space="preserve"> </w:t>
      </w:r>
      <w:r w:rsidR="00F64350" w:rsidRPr="006316CF">
        <w:rPr>
          <w:rFonts w:eastAsia="Times"/>
          <w:szCs w:val="22"/>
        </w:rPr>
        <w:t>station site.</w:t>
      </w:r>
      <w:r w:rsidR="00077C3A">
        <w:rPr>
          <w:rStyle w:val="FootnoteReference"/>
          <w:rFonts w:eastAsia="Times"/>
          <w:szCs w:val="22"/>
        </w:rPr>
        <w:footnoteReference w:id="29"/>
      </w:r>
      <w:r w:rsidR="00F64350" w:rsidRPr="006316CF">
        <w:rPr>
          <w:rFonts w:eastAsia="Times"/>
          <w:szCs w:val="22"/>
        </w:rPr>
        <w:t xml:space="preserve"> </w:t>
      </w:r>
      <w:r w:rsidR="009E5383" w:rsidRPr="006316CF">
        <w:rPr>
          <w:rFonts w:eastAsia="Times"/>
          <w:szCs w:val="22"/>
        </w:rPr>
        <w:t xml:space="preserve"> </w:t>
      </w:r>
      <w:r w:rsidR="00443BF4" w:rsidRPr="006316CF">
        <w:rPr>
          <w:rFonts w:eastAsia="Times"/>
          <w:szCs w:val="22"/>
        </w:rPr>
        <w:t>If modified operations did</w:t>
      </w:r>
      <w:r w:rsidR="00F64350" w:rsidRPr="006316CF">
        <w:rPr>
          <w:rFonts w:eastAsia="Times"/>
          <w:szCs w:val="22"/>
        </w:rPr>
        <w:t xml:space="preserve"> not exceed this pfd level, the modification would not be subject to the new </w:t>
      </w:r>
      <w:r w:rsidR="00582E05" w:rsidRPr="006316CF">
        <w:rPr>
          <w:rFonts w:eastAsia="Times"/>
          <w:szCs w:val="22"/>
        </w:rPr>
        <w:t>interference-mitigation</w:t>
      </w:r>
      <w:r w:rsidR="00F64350" w:rsidRPr="006316CF">
        <w:rPr>
          <w:rFonts w:eastAsia="Times"/>
          <w:szCs w:val="22"/>
        </w:rPr>
        <w:t xml:space="preserve"> requirements.  </w:t>
      </w:r>
      <w:r w:rsidR="00737D41" w:rsidRPr="006316CF">
        <w:rPr>
          <w:rFonts w:eastAsia="Times"/>
        </w:rPr>
        <w:t xml:space="preserve">The </w:t>
      </w:r>
      <w:r w:rsidR="009B6B79" w:rsidRPr="00F27255">
        <w:rPr>
          <w:rFonts w:eastAsia="Times"/>
          <w:i/>
        </w:rPr>
        <w:t>FNPRM</w:t>
      </w:r>
      <w:r w:rsidR="009B6B79" w:rsidRPr="006316CF">
        <w:rPr>
          <w:rFonts w:eastAsia="Times"/>
        </w:rPr>
        <w:t xml:space="preserve"> </w:t>
      </w:r>
      <w:r w:rsidR="00737D41" w:rsidRPr="006316CF">
        <w:rPr>
          <w:rFonts w:eastAsia="Times"/>
        </w:rPr>
        <w:t>sought comment on whether, and to what extent, adding new DBS feede</w:t>
      </w:r>
      <w:r w:rsidR="009B6B79">
        <w:rPr>
          <w:rFonts w:eastAsia="Times"/>
        </w:rPr>
        <w:t>r-</w:t>
      </w:r>
      <w:r w:rsidR="00482D96">
        <w:rPr>
          <w:rFonts w:eastAsia="Times"/>
        </w:rPr>
        <w:t>link earth stations within one</w:t>
      </w:r>
      <w:r w:rsidR="00737D41" w:rsidRPr="006316CF">
        <w:rPr>
          <w:rFonts w:eastAsia="Times"/>
        </w:rPr>
        <w:t xml:space="preserve"> mile of an existing DBS </w:t>
      </w:r>
      <w:r w:rsidR="007717B8">
        <w:rPr>
          <w:rFonts w:eastAsia="Times"/>
        </w:rPr>
        <w:t>feeder-link</w:t>
      </w:r>
      <w:r w:rsidR="00B31E71">
        <w:rPr>
          <w:rFonts w:eastAsia="Times"/>
        </w:rPr>
        <w:t xml:space="preserve"> earth station </w:t>
      </w:r>
      <w:r w:rsidR="00443BF4" w:rsidRPr="006316CF">
        <w:rPr>
          <w:rFonts w:eastAsia="Times"/>
        </w:rPr>
        <w:t>wa</w:t>
      </w:r>
      <w:r w:rsidR="00737D41" w:rsidRPr="006316CF">
        <w:rPr>
          <w:rFonts w:eastAsia="Times"/>
        </w:rPr>
        <w:t xml:space="preserve">s likely to increase the probability of harmful interference to 17/24 GHz BSS </w:t>
      </w:r>
      <w:r w:rsidR="00597DA4">
        <w:rPr>
          <w:rFonts w:eastAsia="Times"/>
        </w:rPr>
        <w:t xml:space="preserve">earth station </w:t>
      </w:r>
      <w:r w:rsidR="00737D41" w:rsidRPr="006316CF">
        <w:rPr>
          <w:rFonts w:eastAsia="Times"/>
        </w:rPr>
        <w:t>receivers.</w:t>
      </w:r>
    </w:p>
    <w:p w14:paraId="3ABD4DF5" w14:textId="518A0BDB" w:rsidR="009949F3" w:rsidRPr="006045FF" w:rsidRDefault="009949F3" w:rsidP="003779A7">
      <w:pPr>
        <w:pStyle w:val="ParaNum"/>
        <w:rPr>
          <w:rFonts w:eastAsia="Times"/>
          <w:szCs w:val="22"/>
        </w:rPr>
      </w:pPr>
      <w:r w:rsidRPr="00DE4611">
        <w:t>DIRECTV and SES Americom agree that existing DBS operators should be allowed to update or modify their existing sites without being subject to interference-mitigation requirements so long as the changes took place within a set distance from the existing site</w:t>
      </w:r>
      <w:r>
        <w:t>.</w:t>
      </w:r>
      <w:r>
        <w:rPr>
          <w:rStyle w:val="FootnoteReference"/>
        </w:rPr>
        <w:footnoteReference w:id="30"/>
      </w:r>
      <w:r>
        <w:t xml:space="preserve"> </w:t>
      </w:r>
      <w:r w:rsidR="009B242B">
        <w:t xml:space="preserve"> </w:t>
      </w:r>
      <w:r>
        <w:t>T</w:t>
      </w:r>
      <w:r w:rsidRPr="00DE4611">
        <w:t xml:space="preserve">he </w:t>
      </w:r>
      <w:r w:rsidR="00B2312F">
        <w:t xml:space="preserve">majority of </w:t>
      </w:r>
      <w:r w:rsidRPr="00DE4611">
        <w:t>commenters</w:t>
      </w:r>
      <w:r w:rsidR="009D4DD8">
        <w:t xml:space="preserve"> also</w:t>
      </w:r>
      <w:r w:rsidRPr="00DE4611">
        <w:t xml:space="preserve"> agree </w:t>
      </w:r>
      <w:r w:rsidR="00B2312F">
        <w:t xml:space="preserve">that a reasonable radius for modification of existing DBS feeder-link earth station sites is </w:t>
      </w:r>
      <w:r>
        <w:t>one kilometer</w:t>
      </w:r>
      <w:r w:rsidRPr="00DE4611">
        <w:t xml:space="preserve"> </w:t>
      </w:r>
      <w:r w:rsidR="00B2312F">
        <w:t>from</w:t>
      </w:r>
      <w:r w:rsidRPr="00DE4611">
        <w:t xml:space="preserve"> an existing </w:t>
      </w:r>
      <w:r w:rsidR="00B2312F">
        <w:t>station.</w:t>
      </w:r>
      <w:r w:rsidRPr="00DE4611">
        <w:rPr>
          <w:rStyle w:val="FootnoteReference"/>
        </w:rPr>
        <w:footnoteReference w:id="31"/>
      </w:r>
      <w:r w:rsidRPr="00DE4611">
        <w:t xml:space="preserve"> </w:t>
      </w:r>
      <w:r w:rsidR="00B2312F">
        <w:t xml:space="preserve"> </w:t>
      </w:r>
      <w:r>
        <w:t xml:space="preserve">Given the need to balance the interests of DBS feeder-link and 17/24 GHz BSS operators, we find that it is </w:t>
      </w:r>
      <w:r w:rsidR="009D4DD8">
        <w:t xml:space="preserve">appropriate </w:t>
      </w:r>
      <w:r>
        <w:t xml:space="preserve">to </w:t>
      </w:r>
      <w:r w:rsidR="003C6FDB">
        <w:t>exclude from the interference-mitigation procedures adopted here</w:t>
      </w:r>
      <w:r w:rsidR="009D4DD8">
        <w:t xml:space="preserve"> new DBS feeder-link sites located within </w:t>
      </w:r>
      <w:r w:rsidR="00C6443B">
        <w:t>one kilometer</w:t>
      </w:r>
      <w:r>
        <w:t xml:space="preserve"> </w:t>
      </w:r>
      <w:r w:rsidR="0012409D">
        <w:t>of</w:t>
      </w:r>
      <w:r>
        <w:t xml:space="preserve"> an existing site</w:t>
      </w:r>
      <w:r w:rsidR="009D4DD8">
        <w:t xml:space="preserve">.  </w:t>
      </w:r>
      <w:r>
        <w:t xml:space="preserve">This approach will allow necessary and reasonable additions or modifications to a site without </w:t>
      </w:r>
      <w:r w:rsidR="009B242B">
        <w:t>significantly decreasing</w:t>
      </w:r>
      <w:r>
        <w:t xml:space="preserve"> 17/24 GHz BSS operators’ areas of coverage.</w:t>
      </w:r>
    </w:p>
    <w:p w14:paraId="0B64741E" w14:textId="454D1AAE" w:rsidR="00077C3A" w:rsidRPr="009949F3" w:rsidRDefault="00077C3A" w:rsidP="003779A7">
      <w:pPr>
        <w:pStyle w:val="ParaNum"/>
        <w:rPr>
          <w:rFonts w:eastAsia="Times"/>
          <w:szCs w:val="22"/>
        </w:rPr>
      </w:pPr>
      <w:r w:rsidRPr="009949F3">
        <w:rPr>
          <w:rFonts w:eastAsia="Times"/>
          <w:szCs w:val="22"/>
        </w:rPr>
        <w:t>We</w:t>
      </w:r>
      <w:r w:rsidRPr="009949F3">
        <w:rPr>
          <w:rFonts w:eastAsia="Times"/>
        </w:rPr>
        <w:t xml:space="preserve"> adopt a two-prong test that a</w:t>
      </w:r>
      <w:r w:rsidRPr="00E749FE">
        <w:t>llows existing DBS feeder</w:t>
      </w:r>
      <w:r w:rsidR="009B6B79">
        <w:t>-</w:t>
      </w:r>
      <w:r w:rsidRPr="00E749FE">
        <w:t xml:space="preserve">link operators to modify their networks or add antennas </w:t>
      </w:r>
      <w:r w:rsidR="009B6B79">
        <w:t>(earth stations)</w:t>
      </w:r>
      <w:r w:rsidR="00F64387">
        <w:t>, as follows</w:t>
      </w:r>
      <w:r w:rsidRPr="00E749FE">
        <w:t xml:space="preserve">: (1) the </w:t>
      </w:r>
      <w:r w:rsidR="00B2312F">
        <w:t xml:space="preserve">aggregate pfd resulting from the addition of a new station or modification of an existing station </w:t>
      </w:r>
      <w:r w:rsidR="00F64387">
        <w:t xml:space="preserve">cannot </w:t>
      </w:r>
      <w:r w:rsidRPr="00E749FE">
        <w:t xml:space="preserve">exceed the </w:t>
      </w:r>
      <w:r w:rsidR="00B2312F">
        <w:t xml:space="preserve">pfd generated by the </w:t>
      </w:r>
      <w:r w:rsidRPr="00E749FE">
        <w:t xml:space="preserve">existing </w:t>
      </w:r>
      <w:r w:rsidR="00B2312F">
        <w:t xml:space="preserve">station, measured at any point </w:t>
      </w:r>
      <w:r w:rsidR="002D64A6">
        <w:t>between three and ten meters above the ground</w:t>
      </w:r>
      <w:r w:rsidRPr="00E749FE">
        <w:t xml:space="preserve">; and (2) any new </w:t>
      </w:r>
      <w:r w:rsidR="00645C47">
        <w:t xml:space="preserve">earth station </w:t>
      </w:r>
      <w:r w:rsidR="008A2BBB" w:rsidRPr="00E749FE">
        <w:t xml:space="preserve">antenna </w:t>
      </w:r>
      <w:r w:rsidR="00B22876">
        <w:t xml:space="preserve">must be </w:t>
      </w:r>
      <w:r w:rsidRPr="00E749FE">
        <w:t xml:space="preserve">located within </w:t>
      </w:r>
      <w:r w:rsidR="00B2312F">
        <w:t>one kilometer</w:t>
      </w:r>
      <w:r w:rsidRPr="00E749FE">
        <w:t xml:space="preserve"> of an existing </w:t>
      </w:r>
      <w:r w:rsidR="00645C47">
        <w:t>authorized DBS feeder-link earth station</w:t>
      </w:r>
      <w:r w:rsidR="009949F3" w:rsidRPr="009949F3">
        <w:t xml:space="preserve"> </w:t>
      </w:r>
      <w:r w:rsidR="009949F3" w:rsidRPr="00E749FE">
        <w:t>antenna</w:t>
      </w:r>
      <w:r w:rsidRPr="00E749FE">
        <w:t>.</w:t>
      </w:r>
      <w:r w:rsidRPr="00E749FE">
        <w:rPr>
          <w:rStyle w:val="FootnoteReference"/>
        </w:rPr>
        <w:footnoteReference w:id="32"/>
      </w:r>
      <w:r w:rsidRPr="00E749FE">
        <w:t xml:space="preserve">  </w:t>
      </w:r>
      <w:r w:rsidRPr="009949F3">
        <w:rPr>
          <w:szCs w:val="22"/>
        </w:rPr>
        <w:t xml:space="preserve">Any </w:t>
      </w:r>
      <w:r w:rsidR="0012409D">
        <w:rPr>
          <w:szCs w:val="22"/>
        </w:rPr>
        <w:t xml:space="preserve">modifications to existing sites </w:t>
      </w:r>
      <w:r w:rsidR="003C6FDB">
        <w:rPr>
          <w:szCs w:val="22"/>
        </w:rPr>
        <w:t>or installations</w:t>
      </w:r>
      <w:r w:rsidRPr="009949F3">
        <w:rPr>
          <w:szCs w:val="22"/>
        </w:rPr>
        <w:t xml:space="preserve"> outside of these parameters will be subject to the interference-mitigation procedures </w:t>
      </w:r>
      <w:r w:rsidR="009949F3" w:rsidRPr="009949F3">
        <w:rPr>
          <w:szCs w:val="22"/>
        </w:rPr>
        <w:t>we adopt</w:t>
      </w:r>
      <w:r w:rsidRPr="009949F3">
        <w:rPr>
          <w:szCs w:val="22"/>
        </w:rPr>
        <w:t xml:space="preserve"> in this </w:t>
      </w:r>
      <w:r w:rsidR="009949F3" w:rsidRPr="009949F3">
        <w:rPr>
          <w:i/>
          <w:szCs w:val="22"/>
        </w:rPr>
        <w:t>Third Report and Order</w:t>
      </w:r>
      <w:r w:rsidRPr="009949F3">
        <w:rPr>
          <w:szCs w:val="22"/>
        </w:rPr>
        <w:t xml:space="preserve">.  </w:t>
      </w:r>
      <w:r w:rsidR="00A4700F" w:rsidRPr="009949F3">
        <w:rPr>
          <w:rFonts w:eastAsia="Times"/>
          <w:szCs w:val="22"/>
        </w:rPr>
        <w:t xml:space="preserve">We find that this two-pronged approach </w:t>
      </w:r>
      <w:r w:rsidR="00645C47">
        <w:t>balances the need for DBS operators to modify their feeder-link sites while considering the future needs and interests of 17/24 GHz BSS operators</w:t>
      </w:r>
      <w:r w:rsidR="00B22876">
        <w:t>,</w:t>
      </w:r>
      <w:r w:rsidR="00645C47">
        <w:t xml:space="preserve"> by </w:t>
      </w:r>
      <w:r w:rsidR="00B22876">
        <w:t xml:space="preserve">limiting </w:t>
      </w:r>
      <w:r w:rsidR="00645C47">
        <w:t xml:space="preserve">DBS feeder-link sites </w:t>
      </w:r>
      <w:r w:rsidR="00B22876">
        <w:t xml:space="preserve">to a one kilometer </w:t>
      </w:r>
      <w:r w:rsidR="00645C47">
        <w:t>increas</w:t>
      </w:r>
      <w:r w:rsidR="00B22876">
        <w:t>e</w:t>
      </w:r>
      <w:r w:rsidR="00645C47">
        <w:t xml:space="preserve"> </w:t>
      </w:r>
      <w:r w:rsidR="00B22876">
        <w:t xml:space="preserve">in </w:t>
      </w:r>
      <w:r w:rsidR="00645C47">
        <w:t xml:space="preserve">the area in which 17/24 GHz signals </w:t>
      </w:r>
      <w:r w:rsidR="00B22876">
        <w:t>will be unprotected against potential interference from the feeder link stations</w:t>
      </w:r>
      <w:r w:rsidR="00645C47">
        <w:t>.</w:t>
      </w:r>
      <w:r w:rsidR="00645C47">
        <w:rPr>
          <w:rStyle w:val="FootnoteReference"/>
        </w:rPr>
        <w:footnoteReference w:id="33"/>
      </w:r>
      <w:r w:rsidR="00645C47" w:rsidRPr="00645C47">
        <w:t xml:space="preserve"> </w:t>
      </w:r>
    </w:p>
    <w:p w14:paraId="27C75AA6" w14:textId="77777777" w:rsidR="00AA257E" w:rsidRPr="00C258C7" w:rsidRDefault="00AA257E" w:rsidP="00482A48">
      <w:pPr>
        <w:pStyle w:val="Heading2"/>
        <w:rPr>
          <w:rFonts w:eastAsia="Times"/>
        </w:rPr>
      </w:pPr>
      <w:bookmarkStart w:id="7" w:name="_Toc433797639"/>
      <w:r w:rsidRPr="00C258C7">
        <w:rPr>
          <w:rFonts w:eastAsia="Times"/>
        </w:rPr>
        <w:t>Coordination between DBS and 17/24 GHz BSS Operators</w:t>
      </w:r>
      <w:bookmarkEnd w:id="7"/>
    </w:p>
    <w:p w14:paraId="25ED4B2D" w14:textId="5DCF97DE" w:rsidR="003717CF" w:rsidRDefault="00A73867" w:rsidP="00482A48">
      <w:pPr>
        <w:pStyle w:val="ParaNum"/>
        <w:keepNext/>
        <w:widowControl/>
        <w:rPr>
          <w:rFonts w:eastAsia="Times"/>
          <w:szCs w:val="22"/>
        </w:rPr>
      </w:pPr>
      <w:r>
        <w:rPr>
          <w:rFonts w:eastAsia="Times"/>
          <w:color w:val="000000"/>
          <w:szCs w:val="22"/>
        </w:rPr>
        <w:t xml:space="preserve">While </w:t>
      </w:r>
      <w:r w:rsidR="008A32A2">
        <w:rPr>
          <w:rFonts w:eastAsia="Times"/>
          <w:color w:val="000000"/>
          <w:szCs w:val="22"/>
        </w:rPr>
        <w:t>Section III.C.</w:t>
      </w:r>
      <w:r w:rsidR="009949F3">
        <w:rPr>
          <w:rFonts w:eastAsia="Times"/>
          <w:color w:val="000000"/>
          <w:szCs w:val="22"/>
        </w:rPr>
        <w:t xml:space="preserve"> addresse</w:t>
      </w:r>
      <w:r w:rsidR="00BC72E7">
        <w:rPr>
          <w:rFonts w:eastAsia="Times"/>
          <w:color w:val="000000"/>
          <w:szCs w:val="22"/>
        </w:rPr>
        <w:t>s</w:t>
      </w:r>
      <w:r w:rsidR="009949F3">
        <w:rPr>
          <w:rFonts w:eastAsia="Times"/>
          <w:color w:val="000000"/>
          <w:szCs w:val="22"/>
        </w:rPr>
        <w:t xml:space="preserve"> a</w:t>
      </w:r>
      <w:r>
        <w:rPr>
          <w:rFonts w:eastAsia="Times"/>
          <w:color w:val="000000"/>
          <w:szCs w:val="22"/>
        </w:rPr>
        <w:t xml:space="preserve"> DBS operator’s reasonable expectation of </w:t>
      </w:r>
      <w:r w:rsidR="00AF1B00">
        <w:rPr>
          <w:rFonts w:eastAsia="Times"/>
          <w:color w:val="000000"/>
          <w:szCs w:val="22"/>
        </w:rPr>
        <w:t>continuity of operation</w:t>
      </w:r>
      <w:r w:rsidR="00132BFE">
        <w:rPr>
          <w:rFonts w:eastAsia="Times"/>
          <w:color w:val="000000"/>
          <w:szCs w:val="22"/>
        </w:rPr>
        <w:t xml:space="preserve"> of its existing feeder-link stations and sites</w:t>
      </w:r>
      <w:r>
        <w:rPr>
          <w:rFonts w:eastAsia="Times"/>
          <w:color w:val="000000"/>
          <w:szCs w:val="22"/>
        </w:rPr>
        <w:t xml:space="preserve">, </w:t>
      </w:r>
      <w:r w:rsidR="00132BFE">
        <w:rPr>
          <w:rFonts w:eastAsia="Times"/>
          <w:color w:val="000000"/>
          <w:szCs w:val="22"/>
        </w:rPr>
        <w:t xml:space="preserve">commenters agree that </w:t>
      </w:r>
      <w:r w:rsidR="003717CF" w:rsidRPr="003717CF">
        <w:rPr>
          <w:rFonts w:eastAsia="Times"/>
          <w:color w:val="000000"/>
          <w:szCs w:val="22"/>
        </w:rPr>
        <w:t>new DBS feeder</w:t>
      </w:r>
      <w:r w:rsidR="00132BFE">
        <w:rPr>
          <w:rFonts w:eastAsia="Times"/>
          <w:color w:val="000000"/>
          <w:szCs w:val="22"/>
        </w:rPr>
        <w:t>-</w:t>
      </w:r>
      <w:r w:rsidR="003717CF" w:rsidRPr="003717CF">
        <w:rPr>
          <w:rFonts w:eastAsia="Times"/>
          <w:color w:val="000000"/>
          <w:szCs w:val="22"/>
        </w:rPr>
        <w:t>link stations</w:t>
      </w:r>
      <w:r w:rsidR="00132BFE">
        <w:rPr>
          <w:rFonts w:eastAsia="Times"/>
          <w:color w:val="000000"/>
          <w:szCs w:val="22"/>
        </w:rPr>
        <w:t xml:space="preserve"> and sites</w:t>
      </w:r>
      <w:r w:rsidR="003717CF" w:rsidRPr="003717CF">
        <w:rPr>
          <w:rFonts w:eastAsia="Times"/>
          <w:color w:val="000000"/>
          <w:szCs w:val="22"/>
        </w:rPr>
        <w:t xml:space="preserve"> will need to be subject to some restrictions, inc</w:t>
      </w:r>
      <w:r w:rsidR="008A3988">
        <w:rPr>
          <w:rFonts w:eastAsia="Times"/>
          <w:color w:val="000000"/>
          <w:szCs w:val="22"/>
        </w:rPr>
        <w:t xml:space="preserve">luding a coordination zone and </w:t>
      </w:r>
      <w:r w:rsidR="003717CF" w:rsidRPr="003717CF">
        <w:rPr>
          <w:rFonts w:eastAsia="Times"/>
          <w:color w:val="000000"/>
          <w:szCs w:val="22"/>
        </w:rPr>
        <w:t>methodology</w:t>
      </w:r>
      <w:r w:rsidR="00132BFE">
        <w:rPr>
          <w:rFonts w:eastAsia="Times"/>
          <w:color w:val="000000"/>
          <w:szCs w:val="22"/>
        </w:rPr>
        <w:t>, i</w:t>
      </w:r>
      <w:r w:rsidR="00132BFE" w:rsidRPr="003717CF">
        <w:rPr>
          <w:rFonts w:eastAsia="Times"/>
          <w:color w:val="000000"/>
          <w:szCs w:val="22"/>
        </w:rPr>
        <w:t xml:space="preserve">n order to protect the interests of 17/24 GHz BSS </w:t>
      </w:r>
      <w:r w:rsidR="00AF1B00">
        <w:rPr>
          <w:rFonts w:eastAsia="Times"/>
          <w:color w:val="000000"/>
          <w:szCs w:val="22"/>
        </w:rPr>
        <w:t>operators</w:t>
      </w:r>
      <w:r w:rsidR="001D4B56" w:rsidRPr="003717CF">
        <w:rPr>
          <w:rFonts w:eastAsia="Times"/>
          <w:color w:val="000000"/>
          <w:szCs w:val="22"/>
        </w:rPr>
        <w:t>.</w:t>
      </w:r>
      <w:r w:rsidR="001F5640">
        <w:rPr>
          <w:rStyle w:val="FootnoteReference"/>
          <w:rFonts w:eastAsia="Times"/>
          <w:color w:val="000000"/>
          <w:szCs w:val="22"/>
        </w:rPr>
        <w:footnoteReference w:id="34"/>
      </w:r>
      <w:r w:rsidR="001D4B56" w:rsidRPr="003717CF">
        <w:rPr>
          <w:rFonts w:eastAsia="Times"/>
          <w:color w:val="000000"/>
          <w:szCs w:val="22"/>
        </w:rPr>
        <w:t xml:space="preserve">  </w:t>
      </w:r>
      <w:r w:rsidR="003717CF" w:rsidRPr="003717CF">
        <w:rPr>
          <w:rFonts w:eastAsia="Times"/>
          <w:color w:val="000000"/>
          <w:szCs w:val="22"/>
        </w:rPr>
        <w:t xml:space="preserve">The </w:t>
      </w:r>
      <w:r w:rsidR="00132BFE" w:rsidRPr="00F27255">
        <w:rPr>
          <w:rFonts w:eastAsia="Times"/>
          <w:i/>
          <w:color w:val="000000"/>
          <w:szCs w:val="22"/>
        </w:rPr>
        <w:t>FNPRM</w:t>
      </w:r>
      <w:r w:rsidR="00132BFE" w:rsidRPr="003717CF">
        <w:rPr>
          <w:rFonts w:eastAsia="Times"/>
          <w:color w:val="000000"/>
          <w:szCs w:val="22"/>
        </w:rPr>
        <w:t xml:space="preserve"> </w:t>
      </w:r>
      <w:r w:rsidR="003717CF" w:rsidRPr="003717CF">
        <w:rPr>
          <w:rFonts w:eastAsia="Times"/>
          <w:color w:val="000000"/>
          <w:szCs w:val="22"/>
        </w:rPr>
        <w:t xml:space="preserve">observed that </w:t>
      </w:r>
      <w:r w:rsidR="00132BFE">
        <w:rPr>
          <w:rFonts w:eastAsia="Times"/>
          <w:color w:val="000000"/>
          <w:szCs w:val="22"/>
        </w:rPr>
        <w:t>Commission</w:t>
      </w:r>
      <w:r w:rsidR="00132BFE" w:rsidRPr="003717CF">
        <w:rPr>
          <w:rFonts w:eastAsia="Times"/>
          <w:color w:val="000000"/>
          <w:szCs w:val="22"/>
        </w:rPr>
        <w:t xml:space="preserve"> </w:t>
      </w:r>
      <w:r w:rsidR="003717CF" w:rsidRPr="003717CF">
        <w:rPr>
          <w:rFonts w:eastAsia="Times"/>
          <w:color w:val="000000"/>
          <w:szCs w:val="22"/>
        </w:rPr>
        <w:t>rules do not contain a procedure to coordinate co-frequency DBS feeder</w:t>
      </w:r>
      <w:r w:rsidR="00132BFE">
        <w:rPr>
          <w:rFonts w:eastAsia="Times"/>
          <w:color w:val="000000"/>
          <w:szCs w:val="22"/>
        </w:rPr>
        <w:t>-</w:t>
      </w:r>
      <w:r w:rsidR="003717CF" w:rsidRPr="003717CF">
        <w:rPr>
          <w:rFonts w:eastAsia="Times"/>
          <w:color w:val="000000"/>
          <w:szCs w:val="22"/>
        </w:rPr>
        <w:t>link earth stations with BSS terminals</w:t>
      </w:r>
      <w:r w:rsidR="001D4B56" w:rsidRPr="003717CF">
        <w:rPr>
          <w:rFonts w:eastAsia="Times"/>
          <w:color w:val="000000"/>
          <w:szCs w:val="22"/>
        </w:rPr>
        <w:t>.</w:t>
      </w:r>
      <w:r w:rsidR="0034672B">
        <w:rPr>
          <w:rStyle w:val="FootnoteReference"/>
          <w:rFonts w:eastAsia="Times"/>
          <w:color w:val="000000"/>
          <w:szCs w:val="22"/>
        </w:rPr>
        <w:footnoteReference w:id="35"/>
      </w:r>
      <w:r w:rsidR="001D4B56" w:rsidRPr="003717CF">
        <w:rPr>
          <w:rFonts w:eastAsia="Times"/>
          <w:color w:val="000000"/>
          <w:szCs w:val="22"/>
        </w:rPr>
        <w:t xml:space="preserve">  </w:t>
      </w:r>
      <w:r w:rsidR="003717CF" w:rsidRPr="003717CF">
        <w:rPr>
          <w:rFonts w:eastAsia="Times"/>
          <w:color w:val="000000"/>
          <w:szCs w:val="22"/>
        </w:rPr>
        <w:t>It also observed that</w:t>
      </w:r>
      <w:r w:rsidR="00D533A1">
        <w:rPr>
          <w:rFonts w:eastAsia="Times"/>
          <w:color w:val="000000"/>
          <w:szCs w:val="22"/>
        </w:rPr>
        <w:t xml:space="preserve"> the Commission should create</w:t>
      </w:r>
      <w:r w:rsidR="003717CF" w:rsidRPr="003717CF">
        <w:rPr>
          <w:rFonts w:eastAsia="Times"/>
          <w:color w:val="000000"/>
          <w:szCs w:val="22"/>
        </w:rPr>
        <w:t xml:space="preserve"> </w:t>
      </w:r>
      <w:r w:rsidR="009949F3">
        <w:rPr>
          <w:rFonts w:eastAsia="Times"/>
          <w:color w:val="000000"/>
          <w:szCs w:val="22"/>
        </w:rPr>
        <w:t xml:space="preserve">a </w:t>
      </w:r>
      <w:r w:rsidR="003717CF" w:rsidRPr="003717CF">
        <w:rPr>
          <w:rFonts w:eastAsia="Times"/>
          <w:color w:val="000000"/>
          <w:szCs w:val="22"/>
        </w:rPr>
        <w:t xml:space="preserve">coordination methodology </w:t>
      </w:r>
      <w:r w:rsidR="00D533A1">
        <w:rPr>
          <w:rFonts w:eastAsia="Times"/>
          <w:color w:val="000000"/>
          <w:szCs w:val="22"/>
        </w:rPr>
        <w:t>to allow</w:t>
      </w:r>
      <w:r w:rsidR="003717CF" w:rsidRPr="003717CF">
        <w:rPr>
          <w:rFonts w:eastAsia="Times"/>
          <w:color w:val="000000"/>
          <w:szCs w:val="22"/>
        </w:rPr>
        <w:t xml:space="preserve"> new stations of one service </w:t>
      </w:r>
      <w:r w:rsidR="00D533A1">
        <w:rPr>
          <w:rFonts w:eastAsia="Times"/>
          <w:color w:val="000000"/>
          <w:szCs w:val="22"/>
        </w:rPr>
        <w:t>to</w:t>
      </w:r>
      <w:r w:rsidR="00D533A1" w:rsidRPr="003717CF">
        <w:rPr>
          <w:rFonts w:eastAsia="Times"/>
          <w:color w:val="000000"/>
          <w:szCs w:val="22"/>
        </w:rPr>
        <w:t xml:space="preserve"> </w:t>
      </w:r>
      <w:r w:rsidR="003717CF" w:rsidRPr="003717CF">
        <w:rPr>
          <w:rFonts w:eastAsia="Times"/>
          <w:color w:val="000000"/>
          <w:szCs w:val="22"/>
        </w:rPr>
        <w:t xml:space="preserve">be established among existing stations </w:t>
      </w:r>
      <w:r w:rsidR="00A90EB7">
        <w:rPr>
          <w:rFonts w:eastAsia="Times"/>
          <w:color w:val="000000"/>
          <w:szCs w:val="22"/>
        </w:rPr>
        <w:t>of</w:t>
      </w:r>
      <w:r w:rsidR="003717CF" w:rsidRPr="003717CF">
        <w:rPr>
          <w:rFonts w:eastAsia="Times"/>
          <w:color w:val="000000"/>
          <w:szCs w:val="22"/>
        </w:rPr>
        <w:t xml:space="preserve"> the other</w:t>
      </w:r>
      <w:r w:rsidR="003C6FDB">
        <w:rPr>
          <w:rFonts w:eastAsia="Times"/>
          <w:color w:val="000000"/>
          <w:szCs w:val="22"/>
        </w:rPr>
        <w:t xml:space="preserve"> service</w:t>
      </w:r>
      <w:r w:rsidR="003717CF" w:rsidRPr="003717CF">
        <w:rPr>
          <w:rFonts w:eastAsia="Times"/>
          <w:color w:val="000000"/>
          <w:szCs w:val="22"/>
        </w:rPr>
        <w:t>.</w:t>
      </w:r>
      <w:r w:rsidR="00EF3683">
        <w:rPr>
          <w:rFonts w:eastAsia="Times"/>
          <w:color w:val="000000"/>
          <w:szCs w:val="22"/>
        </w:rPr>
        <w:t xml:space="preserve"> </w:t>
      </w:r>
    </w:p>
    <w:p w14:paraId="1B69D205" w14:textId="77777777" w:rsidR="003717CF" w:rsidRPr="003717CF" w:rsidRDefault="003717CF" w:rsidP="003779A7">
      <w:pPr>
        <w:pStyle w:val="Heading3"/>
        <w:ind w:left="1440"/>
        <w:rPr>
          <w:rFonts w:eastAsia="Times"/>
        </w:rPr>
      </w:pPr>
      <w:bookmarkStart w:id="8" w:name="_Toc433797640"/>
      <w:r w:rsidRPr="003717CF">
        <w:rPr>
          <w:rFonts w:eastAsia="Times"/>
        </w:rPr>
        <w:t>Coordination Zone</w:t>
      </w:r>
      <w:bookmarkEnd w:id="8"/>
    </w:p>
    <w:p w14:paraId="45AAC708" w14:textId="7970ACF3" w:rsidR="004E49C4" w:rsidRDefault="00132BFE" w:rsidP="00405EF2">
      <w:pPr>
        <w:pStyle w:val="ParaNum"/>
        <w:rPr>
          <w:rFonts w:eastAsia="Times"/>
          <w:color w:val="000000"/>
          <w:szCs w:val="22"/>
        </w:rPr>
      </w:pPr>
      <w:r>
        <w:rPr>
          <w:rFonts w:eastAsia="Times"/>
          <w:color w:val="000000"/>
          <w:szCs w:val="22"/>
        </w:rPr>
        <w:t>T</w:t>
      </w:r>
      <w:r w:rsidR="005B5225" w:rsidRPr="00F27255">
        <w:rPr>
          <w:rFonts w:eastAsia="Times"/>
          <w:color w:val="000000"/>
          <w:szCs w:val="22"/>
        </w:rPr>
        <w:t xml:space="preserve">he </w:t>
      </w:r>
      <w:r w:rsidR="005B5225" w:rsidRPr="00F27255">
        <w:rPr>
          <w:rFonts w:eastAsia="Times"/>
          <w:i/>
          <w:color w:val="000000"/>
          <w:szCs w:val="22"/>
        </w:rPr>
        <w:t>FNPRM</w:t>
      </w:r>
      <w:r w:rsidR="00FF36F1" w:rsidRPr="00F27255">
        <w:rPr>
          <w:rFonts w:eastAsia="Times"/>
        </w:rPr>
        <w:t xml:space="preserve"> considered several </w:t>
      </w:r>
      <w:r w:rsidR="009949F3">
        <w:rPr>
          <w:rFonts w:eastAsia="Times"/>
        </w:rPr>
        <w:t>options</w:t>
      </w:r>
      <w:r w:rsidR="00EF3683" w:rsidRPr="00F27255">
        <w:rPr>
          <w:rFonts w:eastAsia="Times"/>
        </w:rPr>
        <w:t xml:space="preserve"> for determining when co-frequency coordination </w:t>
      </w:r>
      <w:r w:rsidR="00E51648">
        <w:rPr>
          <w:rFonts w:eastAsia="Times"/>
        </w:rPr>
        <w:t>would be</w:t>
      </w:r>
      <w:r w:rsidR="00E51648" w:rsidRPr="00F27255">
        <w:rPr>
          <w:rFonts w:eastAsia="Times"/>
        </w:rPr>
        <w:t xml:space="preserve"> </w:t>
      </w:r>
      <w:r w:rsidR="00EF3683" w:rsidRPr="00F27255">
        <w:rPr>
          <w:rFonts w:eastAsia="Times"/>
        </w:rPr>
        <w:t>required</w:t>
      </w:r>
      <w:r w:rsidR="00FF36F1" w:rsidRPr="00F27255">
        <w:rPr>
          <w:rFonts w:eastAsia="Times"/>
        </w:rPr>
        <w:t xml:space="preserve"> </w:t>
      </w:r>
      <w:r w:rsidR="009B242B">
        <w:rPr>
          <w:rFonts w:eastAsia="Times"/>
        </w:rPr>
        <w:t xml:space="preserve">between new DBS </w:t>
      </w:r>
      <w:r w:rsidR="007717B8">
        <w:rPr>
          <w:rFonts w:eastAsia="Times"/>
        </w:rPr>
        <w:t>feeder-link</w:t>
      </w:r>
      <w:r>
        <w:rPr>
          <w:rFonts w:eastAsia="Times"/>
        </w:rPr>
        <w:t xml:space="preserve"> stations and 17/24 GHz BSS </w:t>
      </w:r>
      <w:r w:rsidR="00AF1B00">
        <w:rPr>
          <w:rFonts w:eastAsia="Times"/>
        </w:rPr>
        <w:t>receive earth</w:t>
      </w:r>
      <w:r>
        <w:rPr>
          <w:rFonts w:eastAsia="Times"/>
        </w:rPr>
        <w:t xml:space="preserve"> stations </w:t>
      </w:r>
      <w:r w:rsidR="00FF36F1" w:rsidRPr="00F27255">
        <w:rPr>
          <w:rFonts w:eastAsia="Times"/>
        </w:rPr>
        <w:t xml:space="preserve">and requested comment on which, if any, </w:t>
      </w:r>
      <w:r w:rsidR="00132941">
        <w:rPr>
          <w:rFonts w:eastAsia="Times"/>
        </w:rPr>
        <w:t>of the</w:t>
      </w:r>
      <w:r w:rsidR="00E51648">
        <w:rPr>
          <w:rFonts w:eastAsia="Times"/>
        </w:rPr>
        <w:t>se</w:t>
      </w:r>
      <w:r w:rsidR="00132941">
        <w:rPr>
          <w:rFonts w:eastAsia="Times"/>
        </w:rPr>
        <w:t xml:space="preserve"> options </w:t>
      </w:r>
      <w:r>
        <w:rPr>
          <w:rFonts w:eastAsia="Times"/>
        </w:rPr>
        <w:t>the Commission</w:t>
      </w:r>
      <w:r w:rsidRPr="00F27255">
        <w:rPr>
          <w:rFonts w:eastAsia="Times"/>
        </w:rPr>
        <w:t xml:space="preserve"> </w:t>
      </w:r>
      <w:r w:rsidR="00FF36F1" w:rsidRPr="00F27255">
        <w:rPr>
          <w:rFonts w:eastAsia="Times"/>
        </w:rPr>
        <w:t xml:space="preserve">should adopt to facilitate </w:t>
      </w:r>
      <w:r>
        <w:rPr>
          <w:rFonts w:eastAsia="Times"/>
        </w:rPr>
        <w:t xml:space="preserve">17/24 GHz </w:t>
      </w:r>
      <w:r w:rsidR="00FF36F1" w:rsidRPr="00F27255">
        <w:rPr>
          <w:rFonts w:eastAsia="Times"/>
        </w:rPr>
        <w:t>operations.</w:t>
      </w:r>
      <w:r w:rsidR="00FF36F1" w:rsidRPr="00F27255">
        <w:rPr>
          <w:rStyle w:val="FootnoteReference"/>
          <w:rFonts w:eastAsia="Times"/>
          <w:szCs w:val="22"/>
        </w:rPr>
        <w:footnoteReference w:id="36"/>
      </w:r>
      <w:r w:rsidR="00FF36F1" w:rsidRPr="00F27255">
        <w:rPr>
          <w:rFonts w:eastAsia="Times"/>
        </w:rPr>
        <w:t xml:space="preserve">  T</w:t>
      </w:r>
      <w:r w:rsidR="003717CF" w:rsidRPr="00F27255">
        <w:rPr>
          <w:rFonts w:eastAsia="Times"/>
          <w:color w:val="000000"/>
          <w:szCs w:val="22"/>
        </w:rPr>
        <w:t xml:space="preserve">he </w:t>
      </w:r>
      <w:r w:rsidRPr="00F27255">
        <w:rPr>
          <w:rFonts w:eastAsia="Times"/>
          <w:i/>
          <w:color w:val="000000"/>
          <w:szCs w:val="22"/>
        </w:rPr>
        <w:t>F</w:t>
      </w:r>
      <w:r w:rsidR="00EA6158" w:rsidRPr="00F27255">
        <w:rPr>
          <w:rFonts w:eastAsia="Times"/>
          <w:i/>
          <w:color w:val="000000"/>
          <w:szCs w:val="22"/>
        </w:rPr>
        <w:t xml:space="preserve">NPRM </w:t>
      </w:r>
      <w:r w:rsidR="003717CF" w:rsidRPr="00F27255">
        <w:rPr>
          <w:rFonts w:eastAsia="Times"/>
          <w:color w:val="000000"/>
          <w:szCs w:val="22"/>
        </w:rPr>
        <w:t>proposed t</w:t>
      </w:r>
      <w:r w:rsidR="00EA6158" w:rsidRPr="00F27255">
        <w:rPr>
          <w:rFonts w:eastAsia="Times"/>
          <w:color w:val="000000"/>
          <w:szCs w:val="22"/>
        </w:rPr>
        <w:t>hat the C</w:t>
      </w:r>
      <w:r w:rsidR="003717CF" w:rsidRPr="00F27255">
        <w:rPr>
          <w:rFonts w:eastAsia="Times"/>
          <w:color w:val="000000"/>
          <w:szCs w:val="22"/>
        </w:rPr>
        <w:t>o</w:t>
      </w:r>
      <w:r w:rsidR="00EA6158" w:rsidRPr="00F27255">
        <w:rPr>
          <w:rFonts w:eastAsia="Times"/>
          <w:color w:val="000000"/>
          <w:szCs w:val="22"/>
        </w:rPr>
        <w:t>mmission</w:t>
      </w:r>
      <w:r w:rsidR="003717CF" w:rsidRPr="00F27255">
        <w:rPr>
          <w:rFonts w:eastAsia="Times"/>
          <w:color w:val="000000"/>
          <w:szCs w:val="22"/>
        </w:rPr>
        <w:t xml:space="preserve"> est</w:t>
      </w:r>
      <w:r w:rsidR="00ED3E9F" w:rsidRPr="00F27255">
        <w:rPr>
          <w:rFonts w:eastAsia="Times"/>
          <w:color w:val="000000"/>
          <w:szCs w:val="22"/>
        </w:rPr>
        <w:t xml:space="preserve">ablish </w:t>
      </w:r>
      <w:r w:rsidR="00E51648">
        <w:rPr>
          <w:rFonts w:eastAsia="Times"/>
          <w:color w:val="000000"/>
          <w:szCs w:val="22"/>
        </w:rPr>
        <w:t>“</w:t>
      </w:r>
      <w:r w:rsidR="00ED3E9F" w:rsidRPr="00F27255">
        <w:rPr>
          <w:rFonts w:eastAsia="Times"/>
          <w:color w:val="000000"/>
          <w:szCs w:val="22"/>
        </w:rPr>
        <w:t>coordination zones</w:t>
      </w:r>
      <w:r w:rsidR="00E51648">
        <w:rPr>
          <w:rFonts w:eastAsia="Times"/>
          <w:color w:val="000000"/>
          <w:szCs w:val="22"/>
        </w:rPr>
        <w:t>,”</w:t>
      </w:r>
      <w:r w:rsidR="00ED3E9F" w:rsidRPr="00F27255">
        <w:rPr>
          <w:rFonts w:eastAsia="Times"/>
          <w:color w:val="000000"/>
          <w:szCs w:val="22"/>
        </w:rPr>
        <w:t xml:space="preserve"> or </w:t>
      </w:r>
      <w:r w:rsidR="003717CF" w:rsidRPr="00F27255">
        <w:rPr>
          <w:rFonts w:eastAsia="Times"/>
          <w:color w:val="000000"/>
          <w:szCs w:val="22"/>
        </w:rPr>
        <w:t xml:space="preserve">areas around DBS </w:t>
      </w:r>
      <w:r w:rsidR="007717B8">
        <w:rPr>
          <w:rFonts w:eastAsia="Times"/>
          <w:color w:val="000000"/>
          <w:szCs w:val="22"/>
        </w:rPr>
        <w:t>feeder-link</w:t>
      </w:r>
      <w:r w:rsidR="003717CF" w:rsidRPr="00F27255">
        <w:rPr>
          <w:rFonts w:eastAsia="Times"/>
          <w:color w:val="000000"/>
          <w:szCs w:val="22"/>
        </w:rPr>
        <w:t xml:space="preserve"> earth stations in which</w:t>
      </w:r>
      <w:r w:rsidR="00E51648">
        <w:rPr>
          <w:rFonts w:eastAsia="Times"/>
          <w:color w:val="000000"/>
          <w:szCs w:val="22"/>
        </w:rPr>
        <w:t xml:space="preserve"> DBS and BSS operators would be required to</w:t>
      </w:r>
      <w:r w:rsidR="003717CF" w:rsidRPr="00F27255">
        <w:rPr>
          <w:rFonts w:eastAsia="Times"/>
          <w:color w:val="000000"/>
          <w:szCs w:val="22"/>
        </w:rPr>
        <w:t xml:space="preserve"> coordinat</w:t>
      </w:r>
      <w:r w:rsidR="00E51648">
        <w:rPr>
          <w:rFonts w:eastAsia="Times"/>
          <w:color w:val="000000"/>
          <w:szCs w:val="22"/>
        </w:rPr>
        <w:t>e</w:t>
      </w:r>
      <w:r w:rsidR="003717CF" w:rsidRPr="00F27255">
        <w:rPr>
          <w:rFonts w:eastAsia="Times"/>
          <w:color w:val="000000"/>
          <w:szCs w:val="22"/>
        </w:rPr>
        <w:t>.</w:t>
      </w:r>
      <w:r w:rsidR="0034672B" w:rsidRPr="00F27255">
        <w:rPr>
          <w:rStyle w:val="FootnoteReference"/>
          <w:rFonts w:eastAsia="Times"/>
          <w:color w:val="000000"/>
          <w:szCs w:val="22"/>
        </w:rPr>
        <w:footnoteReference w:id="37"/>
      </w:r>
      <w:r w:rsidR="003717CF" w:rsidRPr="00F27255">
        <w:rPr>
          <w:rFonts w:eastAsia="Times"/>
          <w:color w:val="000000"/>
          <w:szCs w:val="22"/>
        </w:rPr>
        <w:t xml:space="preserve"> </w:t>
      </w:r>
      <w:r w:rsidR="00000AB8" w:rsidRPr="00F27255">
        <w:rPr>
          <w:rFonts w:eastAsia="Times"/>
          <w:color w:val="000000"/>
          <w:szCs w:val="22"/>
        </w:rPr>
        <w:t xml:space="preserve"> </w:t>
      </w:r>
      <w:r>
        <w:rPr>
          <w:rFonts w:eastAsia="Times"/>
          <w:color w:val="000000"/>
          <w:szCs w:val="22"/>
        </w:rPr>
        <w:t>It</w:t>
      </w:r>
      <w:r w:rsidR="003717CF" w:rsidRPr="00F27255">
        <w:rPr>
          <w:rFonts w:eastAsia="Times"/>
          <w:color w:val="000000"/>
          <w:szCs w:val="22"/>
        </w:rPr>
        <w:t xml:space="preserve"> proposed to define these areas based on the methodology outlined in Annex 3 of Appendix 7 of th</w:t>
      </w:r>
      <w:r w:rsidR="00B514DF" w:rsidRPr="00F27255">
        <w:rPr>
          <w:rFonts w:eastAsia="Times"/>
          <w:color w:val="000000"/>
          <w:szCs w:val="22"/>
        </w:rPr>
        <w:t xml:space="preserve">e ITU Radio Regulations, an approach that </w:t>
      </w:r>
      <w:r w:rsidR="001C38C1">
        <w:rPr>
          <w:rFonts w:eastAsia="Times"/>
          <w:color w:val="000000"/>
          <w:szCs w:val="22"/>
        </w:rPr>
        <w:t>is consistent with</w:t>
      </w:r>
      <w:r w:rsidR="00B514DF" w:rsidRPr="00F27255">
        <w:rPr>
          <w:rFonts w:eastAsia="Times"/>
          <w:color w:val="000000"/>
          <w:szCs w:val="22"/>
        </w:rPr>
        <w:t xml:space="preserve"> other coordination rules </w:t>
      </w:r>
      <w:r w:rsidR="001C38C1">
        <w:rPr>
          <w:rFonts w:eastAsia="Times"/>
          <w:color w:val="000000"/>
          <w:szCs w:val="22"/>
        </w:rPr>
        <w:t xml:space="preserve">successfully adopted by </w:t>
      </w:r>
      <w:r>
        <w:rPr>
          <w:rFonts w:eastAsia="Times"/>
          <w:color w:val="000000"/>
          <w:szCs w:val="22"/>
        </w:rPr>
        <w:t>the Commission</w:t>
      </w:r>
      <w:r w:rsidR="00B514DF" w:rsidRPr="00F27255">
        <w:rPr>
          <w:rFonts w:eastAsia="Times"/>
          <w:color w:val="000000"/>
          <w:szCs w:val="22"/>
        </w:rPr>
        <w:t>.</w:t>
      </w:r>
      <w:r w:rsidR="0034672B" w:rsidRPr="00F27255">
        <w:rPr>
          <w:rStyle w:val="FootnoteReference"/>
          <w:rFonts w:eastAsia="Times"/>
          <w:color w:val="000000"/>
          <w:szCs w:val="22"/>
        </w:rPr>
        <w:footnoteReference w:id="38"/>
      </w:r>
      <w:r w:rsidR="003717CF" w:rsidRPr="00F27255">
        <w:rPr>
          <w:rFonts w:eastAsia="Times"/>
          <w:color w:val="000000"/>
          <w:szCs w:val="22"/>
        </w:rPr>
        <w:t xml:space="preserve"> </w:t>
      </w:r>
      <w:r w:rsidR="00000AB8" w:rsidRPr="00F27255">
        <w:rPr>
          <w:rFonts w:eastAsia="Times"/>
          <w:color w:val="000000"/>
          <w:szCs w:val="22"/>
        </w:rPr>
        <w:t xml:space="preserve"> </w:t>
      </w:r>
      <w:r w:rsidR="003717CF" w:rsidRPr="00F27255">
        <w:rPr>
          <w:rFonts w:eastAsia="Times"/>
          <w:color w:val="000000"/>
          <w:szCs w:val="22"/>
        </w:rPr>
        <w:t xml:space="preserve">The </w:t>
      </w:r>
      <w:r w:rsidRPr="00F27255">
        <w:rPr>
          <w:rFonts w:eastAsia="Times"/>
          <w:i/>
          <w:color w:val="000000"/>
          <w:szCs w:val="22"/>
        </w:rPr>
        <w:t>FNPRM</w:t>
      </w:r>
      <w:r w:rsidRPr="00F27255">
        <w:rPr>
          <w:rFonts w:eastAsia="Times"/>
          <w:color w:val="000000"/>
          <w:szCs w:val="22"/>
        </w:rPr>
        <w:t xml:space="preserve"> </w:t>
      </w:r>
      <w:r w:rsidR="003717CF" w:rsidRPr="00F27255">
        <w:rPr>
          <w:rFonts w:eastAsia="Times"/>
          <w:color w:val="000000"/>
          <w:szCs w:val="22"/>
        </w:rPr>
        <w:t>also noted, however, that Table 9b of Appendix 7, which includes data needed for determining the coordination zone for services in several frequency bands, does not include data needed for determining the coordination zone for services in the 17.3-17.8 GHz band.</w:t>
      </w:r>
      <w:r w:rsidR="0034672B">
        <w:rPr>
          <w:rStyle w:val="FootnoteReference"/>
          <w:rFonts w:eastAsia="Times"/>
          <w:color w:val="000000"/>
          <w:szCs w:val="22"/>
        </w:rPr>
        <w:footnoteReference w:id="39"/>
      </w:r>
      <w:r w:rsidR="003717CF" w:rsidRPr="00BD5A9C">
        <w:rPr>
          <w:rFonts w:eastAsia="Times"/>
          <w:color w:val="000000"/>
          <w:szCs w:val="22"/>
        </w:rPr>
        <w:t xml:space="preserve"> </w:t>
      </w:r>
      <w:r w:rsidR="00132941">
        <w:rPr>
          <w:rFonts w:eastAsia="Times"/>
          <w:color w:val="000000"/>
          <w:szCs w:val="22"/>
        </w:rPr>
        <w:t xml:space="preserve"> </w:t>
      </w:r>
      <w:r w:rsidR="00BA5A71" w:rsidRPr="00BA5A71">
        <w:rPr>
          <w:rFonts w:eastAsia="Times"/>
          <w:color w:val="000000"/>
          <w:szCs w:val="22"/>
        </w:rPr>
        <w:t xml:space="preserve">For that reason the </w:t>
      </w:r>
      <w:r w:rsidR="00BA5A71" w:rsidRPr="0055621D">
        <w:rPr>
          <w:rFonts w:eastAsia="Times"/>
          <w:i/>
          <w:color w:val="000000"/>
          <w:szCs w:val="22"/>
        </w:rPr>
        <w:t>FNPRM</w:t>
      </w:r>
      <w:r w:rsidR="00BA5A71" w:rsidRPr="00BA5A71">
        <w:rPr>
          <w:rFonts w:eastAsia="Times"/>
          <w:color w:val="000000"/>
          <w:szCs w:val="22"/>
        </w:rPr>
        <w:t xml:space="preserve"> proposed specific values for the parameters to be used for the determination of</w:t>
      </w:r>
      <w:r w:rsidR="00BA5A71">
        <w:rPr>
          <w:rFonts w:eastAsia="Times"/>
          <w:color w:val="000000"/>
          <w:szCs w:val="22"/>
        </w:rPr>
        <w:t xml:space="preserve"> the coordination zone for thi</w:t>
      </w:r>
      <w:r w:rsidR="00BA5A71" w:rsidRPr="00BA5A71">
        <w:rPr>
          <w:rFonts w:eastAsia="Times"/>
          <w:color w:val="000000"/>
          <w:szCs w:val="22"/>
        </w:rPr>
        <w:t xml:space="preserve">s frequency band.  </w:t>
      </w:r>
    </w:p>
    <w:p w14:paraId="43A2671B" w14:textId="531D33AD" w:rsidR="00461261" w:rsidRPr="008F4B5C" w:rsidRDefault="003717CF" w:rsidP="00405EF2">
      <w:pPr>
        <w:pStyle w:val="ParaNum"/>
        <w:rPr>
          <w:szCs w:val="23"/>
        </w:rPr>
      </w:pPr>
      <w:r w:rsidRPr="004E49C4">
        <w:rPr>
          <w:rFonts w:eastAsia="Times"/>
          <w:color w:val="000000"/>
          <w:szCs w:val="22"/>
        </w:rPr>
        <w:t xml:space="preserve"> </w:t>
      </w:r>
      <w:r w:rsidR="009949F3">
        <w:rPr>
          <w:rFonts w:eastAsia="Times"/>
        </w:rPr>
        <w:t>DIRECTV</w:t>
      </w:r>
      <w:r w:rsidR="004E49C4">
        <w:rPr>
          <w:rFonts w:eastAsia="Times"/>
        </w:rPr>
        <w:t xml:space="preserve"> suggested </w:t>
      </w:r>
      <w:r w:rsidR="004E49C4" w:rsidRPr="00405EF2">
        <w:rPr>
          <w:rFonts w:eastAsia="Times"/>
          <w:color w:val="000000"/>
          <w:szCs w:val="22"/>
        </w:rPr>
        <w:t>modifications</w:t>
      </w:r>
      <w:r w:rsidR="004E49C4">
        <w:rPr>
          <w:rFonts w:eastAsia="Times"/>
        </w:rPr>
        <w:t xml:space="preserve"> of the parameter </w:t>
      </w:r>
      <w:r w:rsidR="009949F3">
        <w:rPr>
          <w:rFonts w:eastAsia="Times"/>
        </w:rPr>
        <w:t xml:space="preserve">values </w:t>
      </w:r>
      <w:r w:rsidR="004E49C4">
        <w:rPr>
          <w:rFonts w:eastAsia="Times"/>
        </w:rPr>
        <w:t>proposed by the Commission</w:t>
      </w:r>
      <w:r w:rsidR="00461261">
        <w:rPr>
          <w:rFonts w:eastAsia="Times"/>
        </w:rPr>
        <w:t xml:space="preserve"> to account</w:t>
      </w:r>
      <w:r w:rsidR="00B22876">
        <w:rPr>
          <w:rFonts w:eastAsia="Times"/>
        </w:rPr>
        <w:t>, in the coordination process,</w:t>
      </w:r>
      <w:r w:rsidR="00461261">
        <w:rPr>
          <w:rFonts w:eastAsia="Times"/>
        </w:rPr>
        <w:t xml:space="preserve"> for the particular characteristics of DBS feeder-link earth stations and BSS receive earth stations.</w:t>
      </w:r>
      <w:r w:rsidR="00461261">
        <w:rPr>
          <w:rStyle w:val="FootnoteReference"/>
          <w:rFonts w:eastAsia="Times"/>
        </w:rPr>
        <w:footnoteReference w:id="40"/>
      </w:r>
      <w:r w:rsidR="00461261">
        <w:rPr>
          <w:rFonts w:eastAsia="Times"/>
        </w:rPr>
        <w:t xml:space="preserve">  </w:t>
      </w:r>
      <w:r w:rsidR="00461261" w:rsidRPr="008F4B5C">
        <w:rPr>
          <w:szCs w:val="23"/>
        </w:rPr>
        <w:t>Specifically, DIRECTV submitted that:</w:t>
      </w:r>
    </w:p>
    <w:p w14:paraId="485A518C" w14:textId="77777777" w:rsidR="00461261" w:rsidRPr="000E4641" w:rsidRDefault="00461261" w:rsidP="003779A7">
      <w:pPr>
        <w:numPr>
          <w:ilvl w:val="0"/>
          <w:numId w:val="5"/>
        </w:numPr>
        <w:autoSpaceDE w:val="0"/>
        <w:autoSpaceDN w:val="0"/>
        <w:adjustRightInd w:val="0"/>
        <w:ind w:left="360"/>
        <w:rPr>
          <w:szCs w:val="22"/>
        </w:rPr>
      </w:pPr>
      <w:r w:rsidRPr="000E4641">
        <w:rPr>
          <w:i/>
          <w:iCs/>
          <w:szCs w:val="22"/>
        </w:rPr>
        <w:t>p</w:t>
      </w:r>
      <w:r w:rsidRPr="000E4641">
        <w:rPr>
          <w:i/>
          <w:iCs/>
          <w:szCs w:val="22"/>
          <w:vertAlign w:val="subscript"/>
        </w:rPr>
        <w:t>0</w:t>
      </w:r>
      <w:r w:rsidRPr="000E4641">
        <w:rPr>
          <w:i/>
          <w:iCs/>
          <w:szCs w:val="22"/>
        </w:rPr>
        <w:t xml:space="preserve"> </w:t>
      </w:r>
      <w:r w:rsidRPr="000E4641">
        <w:rPr>
          <w:szCs w:val="22"/>
        </w:rPr>
        <w:t>should be 0.03%, which translates to 99.7% availability for the 17/24 GHz BSS</w:t>
      </w:r>
      <w:r>
        <w:rPr>
          <w:szCs w:val="22"/>
        </w:rPr>
        <w:t xml:space="preserve"> </w:t>
      </w:r>
      <w:r w:rsidRPr="000E4641">
        <w:rPr>
          <w:szCs w:val="22"/>
        </w:rPr>
        <w:t xml:space="preserve">receive terminal (as a result, </w:t>
      </w:r>
      <w:r w:rsidRPr="000E4641">
        <w:rPr>
          <w:i/>
          <w:iCs/>
          <w:szCs w:val="22"/>
        </w:rPr>
        <w:t xml:space="preserve">p </w:t>
      </w:r>
      <w:r w:rsidRPr="000E4641">
        <w:rPr>
          <w:szCs w:val="22"/>
        </w:rPr>
        <w:t>becomes 0.015</w:t>
      </w:r>
      <w:r w:rsidR="004E49C4">
        <w:rPr>
          <w:szCs w:val="22"/>
        </w:rPr>
        <w:t>%</w:t>
      </w:r>
      <w:r w:rsidRPr="000E4641">
        <w:rPr>
          <w:szCs w:val="22"/>
        </w:rPr>
        <w:t>);</w:t>
      </w:r>
    </w:p>
    <w:p w14:paraId="4BF7406D" w14:textId="77777777" w:rsidR="00461261" w:rsidRPr="000E4641" w:rsidRDefault="00461261" w:rsidP="003779A7">
      <w:pPr>
        <w:numPr>
          <w:ilvl w:val="0"/>
          <w:numId w:val="5"/>
        </w:numPr>
        <w:autoSpaceDE w:val="0"/>
        <w:autoSpaceDN w:val="0"/>
        <w:adjustRightInd w:val="0"/>
        <w:ind w:left="360"/>
        <w:rPr>
          <w:szCs w:val="22"/>
        </w:rPr>
      </w:pPr>
      <w:r w:rsidRPr="000E4641">
        <w:rPr>
          <w:i/>
          <w:iCs/>
          <w:szCs w:val="22"/>
        </w:rPr>
        <w:t>M</w:t>
      </w:r>
      <w:r w:rsidR="004E49C4">
        <w:rPr>
          <w:i/>
          <w:iCs/>
          <w:szCs w:val="22"/>
          <w:vertAlign w:val="subscript"/>
        </w:rPr>
        <w:t>s</w:t>
      </w:r>
      <w:r w:rsidRPr="000E4641">
        <w:rPr>
          <w:i/>
          <w:iCs/>
          <w:szCs w:val="22"/>
        </w:rPr>
        <w:t xml:space="preserve"> </w:t>
      </w:r>
      <w:r w:rsidRPr="000E4641">
        <w:rPr>
          <w:szCs w:val="22"/>
        </w:rPr>
        <w:t xml:space="preserve">should be 2 dB to protect </w:t>
      </w:r>
      <w:r w:rsidR="007717B8">
        <w:rPr>
          <w:szCs w:val="22"/>
        </w:rPr>
        <w:t>feeder-link</w:t>
      </w:r>
      <w:r w:rsidRPr="000E4641">
        <w:rPr>
          <w:szCs w:val="22"/>
        </w:rPr>
        <w:t xml:space="preserve"> stations in the Western states that have lower</w:t>
      </w:r>
      <w:r>
        <w:rPr>
          <w:szCs w:val="22"/>
        </w:rPr>
        <w:t xml:space="preserve"> </w:t>
      </w:r>
      <w:r w:rsidRPr="000E4641">
        <w:rPr>
          <w:szCs w:val="22"/>
        </w:rPr>
        <w:t>link margin</w:t>
      </w:r>
      <w:r w:rsidR="009B242B">
        <w:rPr>
          <w:szCs w:val="22"/>
        </w:rPr>
        <w:t>s</w:t>
      </w:r>
      <w:r w:rsidRPr="000E4641">
        <w:rPr>
          <w:szCs w:val="22"/>
        </w:rPr>
        <w:t>;</w:t>
      </w:r>
    </w:p>
    <w:p w14:paraId="676F63E5" w14:textId="77777777" w:rsidR="00461261" w:rsidRPr="000E4641" w:rsidRDefault="004E49C4" w:rsidP="003779A7">
      <w:pPr>
        <w:numPr>
          <w:ilvl w:val="0"/>
          <w:numId w:val="5"/>
        </w:numPr>
        <w:autoSpaceDE w:val="0"/>
        <w:autoSpaceDN w:val="0"/>
        <w:adjustRightInd w:val="0"/>
        <w:ind w:left="360"/>
        <w:rPr>
          <w:szCs w:val="22"/>
        </w:rPr>
      </w:pPr>
      <w:r>
        <w:rPr>
          <w:i/>
          <w:iCs/>
          <w:szCs w:val="22"/>
        </w:rPr>
        <w:t>Ɛ</w:t>
      </w:r>
      <w:r w:rsidR="00461261" w:rsidRPr="000E4641">
        <w:rPr>
          <w:i/>
          <w:iCs/>
          <w:szCs w:val="22"/>
          <w:vertAlign w:val="subscript"/>
        </w:rPr>
        <w:t>min</w:t>
      </w:r>
      <w:r w:rsidR="00461261" w:rsidRPr="000E4641">
        <w:rPr>
          <w:i/>
          <w:iCs/>
          <w:szCs w:val="22"/>
        </w:rPr>
        <w:t xml:space="preserve"> </w:t>
      </w:r>
      <w:r w:rsidR="00461261" w:rsidRPr="000E4641">
        <w:rPr>
          <w:szCs w:val="22"/>
        </w:rPr>
        <w:t xml:space="preserve">should be 20°, since no operator would be likely to place a </w:t>
      </w:r>
      <w:r w:rsidR="007717B8">
        <w:rPr>
          <w:szCs w:val="22"/>
        </w:rPr>
        <w:t>feeder-link</w:t>
      </w:r>
      <w:r w:rsidR="00461261" w:rsidRPr="000E4641">
        <w:rPr>
          <w:szCs w:val="22"/>
        </w:rPr>
        <w:t xml:space="preserve"> station in an</w:t>
      </w:r>
      <w:r w:rsidR="00461261">
        <w:rPr>
          <w:szCs w:val="22"/>
        </w:rPr>
        <w:t xml:space="preserve"> </w:t>
      </w:r>
      <w:r w:rsidR="00461261" w:rsidRPr="000E4641">
        <w:rPr>
          <w:szCs w:val="22"/>
        </w:rPr>
        <w:t>area with a lower elevation angle (such as 5°);</w:t>
      </w:r>
    </w:p>
    <w:p w14:paraId="37584147" w14:textId="77777777" w:rsidR="00461261" w:rsidRPr="000E4641" w:rsidRDefault="00461261" w:rsidP="003779A7">
      <w:pPr>
        <w:numPr>
          <w:ilvl w:val="0"/>
          <w:numId w:val="5"/>
        </w:numPr>
        <w:autoSpaceDE w:val="0"/>
        <w:autoSpaceDN w:val="0"/>
        <w:adjustRightInd w:val="0"/>
        <w:ind w:left="360"/>
        <w:rPr>
          <w:szCs w:val="22"/>
        </w:rPr>
      </w:pPr>
      <w:r w:rsidRPr="000E4641">
        <w:rPr>
          <w:i/>
          <w:iCs/>
          <w:szCs w:val="22"/>
        </w:rPr>
        <w:t>G</w:t>
      </w:r>
      <w:r w:rsidRPr="000E4641">
        <w:rPr>
          <w:i/>
          <w:iCs/>
          <w:szCs w:val="22"/>
          <w:vertAlign w:val="subscript"/>
        </w:rPr>
        <w:t>r</w:t>
      </w:r>
      <w:r w:rsidRPr="000E4641">
        <w:rPr>
          <w:i/>
          <w:iCs/>
          <w:szCs w:val="22"/>
        </w:rPr>
        <w:t xml:space="preserve"> </w:t>
      </w:r>
      <w:r w:rsidRPr="000E4641">
        <w:rPr>
          <w:szCs w:val="22"/>
        </w:rPr>
        <w:t>should be 0, since the higher minimum elevation angle (20°) yields a lower gain</w:t>
      </w:r>
      <w:r>
        <w:rPr>
          <w:szCs w:val="22"/>
        </w:rPr>
        <w:t xml:space="preserve"> </w:t>
      </w:r>
      <w:r w:rsidRPr="000E4641">
        <w:rPr>
          <w:szCs w:val="22"/>
        </w:rPr>
        <w:t>toward the horizon for the 17/24 GHz BSS receive antenna; and</w:t>
      </w:r>
    </w:p>
    <w:p w14:paraId="4FCD08A6" w14:textId="77777777" w:rsidR="00461261" w:rsidRDefault="00461261" w:rsidP="0052065F">
      <w:pPr>
        <w:keepNext/>
        <w:widowControl/>
        <w:numPr>
          <w:ilvl w:val="0"/>
          <w:numId w:val="5"/>
        </w:numPr>
        <w:autoSpaceDE w:val="0"/>
        <w:autoSpaceDN w:val="0"/>
        <w:adjustRightInd w:val="0"/>
        <w:ind w:left="360"/>
        <w:rPr>
          <w:szCs w:val="22"/>
        </w:rPr>
      </w:pPr>
      <w:r w:rsidRPr="000E4641">
        <w:rPr>
          <w:i/>
          <w:iCs/>
          <w:szCs w:val="22"/>
        </w:rPr>
        <w:t>T</w:t>
      </w:r>
      <w:r w:rsidRPr="000E4641">
        <w:rPr>
          <w:i/>
          <w:iCs/>
          <w:szCs w:val="22"/>
          <w:vertAlign w:val="subscript"/>
        </w:rPr>
        <w:t>e</w:t>
      </w:r>
      <w:r w:rsidRPr="000E4641">
        <w:rPr>
          <w:i/>
          <w:iCs/>
          <w:szCs w:val="22"/>
        </w:rPr>
        <w:t xml:space="preserve"> </w:t>
      </w:r>
      <w:r w:rsidRPr="000E4641">
        <w:rPr>
          <w:szCs w:val="22"/>
        </w:rPr>
        <w:t xml:space="preserve">should be 150 </w:t>
      </w:r>
      <w:r w:rsidR="004E49C4">
        <w:rPr>
          <w:szCs w:val="22"/>
        </w:rPr>
        <w:t>K</w:t>
      </w:r>
      <w:r w:rsidRPr="000E4641">
        <w:rPr>
          <w:szCs w:val="22"/>
        </w:rPr>
        <w:t>, which is approximately the thermal noise temperature at the</w:t>
      </w:r>
      <w:r>
        <w:rPr>
          <w:szCs w:val="22"/>
        </w:rPr>
        <w:t xml:space="preserve"> </w:t>
      </w:r>
      <w:r w:rsidRPr="000E4641">
        <w:rPr>
          <w:szCs w:val="22"/>
        </w:rPr>
        <w:t>terminal of DIRECTV’s Ka-band receive antennas operating in the 18.3-18.8 GHz</w:t>
      </w:r>
      <w:r>
        <w:rPr>
          <w:szCs w:val="22"/>
        </w:rPr>
        <w:t xml:space="preserve"> </w:t>
      </w:r>
      <w:r w:rsidRPr="000E4641">
        <w:rPr>
          <w:szCs w:val="22"/>
        </w:rPr>
        <w:t>band, and should be typical of 17/24 GHz BSS receive terminals.</w:t>
      </w:r>
      <w:r>
        <w:rPr>
          <w:rStyle w:val="FootnoteReference"/>
          <w:szCs w:val="22"/>
        </w:rPr>
        <w:footnoteReference w:id="41"/>
      </w:r>
    </w:p>
    <w:p w14:paraId="07D1A991" w14:textId="77777777" w:rsidR="00461261" w:rsidRDefault="00461261" w:rsidP="003779A7">
      <w:pPr>
        <w:autoSpaceDE w:val="0"/>
        <w:autoSpaceDN w:val="0"/>
        <w:adjustRightInd w:val="0"/>
        <w:rPr>
          <w:szCs w:val="22"/>
        </w:rPr>
      </w:pPr>
    </w:p>
    <w:p w14:paraId="1162CA50" w14:textId="72A7D578" w:rsidR="009949F3" w:rsidRPr="004D0373" w:rsidRDefault="009949F3">
      <w:pPr>
        <w:pStyle w:val="ParaNum"/>
        <w:numPr>
          <w:ilvl w:val="0"/>
          <w:numId w:val="0"/>
        </w:numPr>
        <w:rPr>
          <w:rFonts w:eastAsia="Times"/>
          <w:szCs w:val="22"/>
        </w:rPr>
      </w:pPr>
      <w:r w:rsidRPr="00F27255">
        <w:rPr>
          <w:rFonts w:eastAsia="Times"/>
        </w:rPr>
        <w:t>Both</w:t>
      </w:r>
      <w:r>
        <w:rPr>
          <w:szCs w:val="22"/>
        </w:rPr>
        <w:t xml:space="preserve"> EchoStar and </w:t>
      </w:r>
      <w:r w:rsidRPr="00474CCD">
        <w:rPr>
          <w:szCs w:val="22"/>
        </w:rPr>
        <w:t xml:space="preserve">SES Americom </w:t>
      </w:r>
      <w:r>
        <w:rPr>
          <w:szCs w:val="22"/>
        </w:rPr>
        <w:t xml:space="preserve">support DIRECTV’s modified </w:t>
      </w:r>
      <w:r w:rsidR="004E49C4">
        <w:rPr>
          <w:szCs w:val="22"/>
        </w:rPr>
        <w:t xml:space="preserve">parameter </w:t>
      </w:r>
      <w:r>
        <w:rPr>
          <w:szCs w:val="22"/>
        </w:rPr>
        <w:t>values for</w:t>
      </w:r>
      <w:r w:rsidRPr="00474CCD">
        <w:rPr>
          <w:szCs w:val="22"/>
        </w:rPr>
        <w:t xml:space="preserve"> determin</w:t>
      </w:r>
      <w:r>
        <w:rPr>
          <w:szCs w:val="22"/>
        </w:rPr>
        <w:t>ing</w:t>
      </w:r>
      <w:r w:rsidRPr="00474CCD">
        <w:rPr>
          <w:szCs w:val="22"/>
        </w:rPr>
        <w:t xml:space="preserve"> whether coordination is triggered in specific ins</w:t>
      </w:r>
      <w:r>
        <w:rPr>
          <w:szCs w:val="22"/>
        </w:rPr>
        <w:t>tances.</w:t>
      </w:r>
      <w:r>
        <w:rPr>
          <w:rStyle w:val="FootnoteReference"/>
          <w:szCs w:val="22"/>
        </w:rPr>
        <w:footnoteReference w:id="42"/>
      </w:r>
      <w:r w:rsidR="0040151A">
        <w:rPr>
          <w:szCs w:val="22"/>
        </w:rPr>
        <w:t xml:space="preserve">  In supplementary comments, however, SES Americom suggest</w:t>
      </w:r>
      <w:r w:rsidR="00480B39">
        <w:rPr>
          <w:szCs w:val="22"/>
        </w:rPr>
        <w:t>s</w:t>
      </w:r>
      <w:r w:rsidR="0040151A">
        <w:rPr>
          <w:szCs w:val="22"/>
        </w:rPr>
        <w:t xml:space="preserve"> that </w:t>
      </w:r>
      <w:r w:rsidR="003F2118">
        <w:rPr>
          <w:szCs w:val="22"/>
        </w:rPr>
        <w:t>the</w:t>
      </w:r>
      <w:r w:rsidR="0040151A">
        <w:rPr>
          <w:szCs w:val="22"/>
        </w:rPr>
        <w:t xml:space="preserve"> parameter values </w:t>
      </w:r>
      <w:r w:rsidR="003F2118">
        <w:rPr>
          <w:szCs w:val="22"/>
        </w:rPr>
        <w:t xml:space="preserve">proposed by DIRECTV </w:t>
      </w:r>
      <w:r w:rsidR="009C039B" w:rsidRPr="008F4B5C">
        <w:rPr>
          <w:szCs w:val="22"/>
        </w:rPr>
        <w:t>rely on more conservative assumptions regarding potential interference</w:t>
      </w:r>
      <w:r w:rsidR="009C039B">
        <w:rPr>
          <w:szCs w:val="22"/>
        </w:rPr>
        <w:t xml:space="preserve"> </w:t>
      </w:r>
      <w:r w:rsidR="009C039B" w:rsidRPr="00361A49">
        <w:rPr>
          <w:rFonts w:eastAsia="Times"/>
          <w:color w:val="000000"/>
          <w:szCs w:val="22"/>
        </w:rPr>
        <w:t>in the 17.3-17.8 GHz band</w:t>
      </w:r>
      <w:r w:rsidR="009C039B">
        <w:rPr>
          <w:szCs w:val="22"/>
        </w:rPr>
        <w:t xml:space="preserve"> than those assumed in the </w:t>
      </w:r>
      <w:r w:rsidR="009C039B">
        <w:rPr>
          <w:i/>
          <w:szCs w:val="22"/>
        </w:rPr>
        <w:t xml:space="preserve">FNPRM </w:t>
      </w:r>
      <w:r w:rsidR="009C039B">
        <w:rPr>
          <w:szCs w:val="22"/>
        </w:rPr>
        <w:t>proposal and consequently yield more conservative results</w:t>
      </w:r>
      <w:r w:rsidR="009C039B" w:rsidRPr="008F4B5C">
        <w:rPr>
          <w:szCs w:val="22"/>
        </w:rPr>
        <w:t>.</w:t>
      </w:r>
      <w:r w:rsidR="009C039B">
        <w:rPr>
          <w:rStyle w:val="FootnoteReference"/>
          <w:szCs w:val="22"/>
        </w:rPr>
        <w:footnoteReference w:id="43"/>
      </w:r>
      <w:r w:rsidR="009C039B" w:rsidRPr="008F4B5C">
        <w:rPr>
          <w:szCs w:val="22"/>
        </w:rPr>
        <w:t xml:space="preserve">  </w:t>
      </w:r>
      <w:r w:rsidR="003F2118">
        <w:rPr>
          <w:szCs w:val="22"/>
        </w:rPr>
        <w:t>In particular, SES propose</w:t>
      </w:r>
      <w:r w:rsidR="00CA06AC">
        <w:rPr>
          <w:szCs w:val="22"/>
        </w:rPr>
        <w:t>s</w:t>
      </w:r>
      <w:r w:rsidR="003F2118">
        <w:rPr>
          <w:szCs w:val="22"/>
        </w:rPr>
        <w:t xml:space="preserve"> that</w:t>
      </w:r>
      <w:r w:rsidR="00DC08B1">
        <w:rPr>
          <w:szCs w:val="22"/>
        </w:rPr>
        <w:t xml:space="preserve"> the link performance margin M</w:t>
      </w:r>
      <w:r w:rsidR="00DC08B1" w:rsidRPr="005F0BED">
        <w:rPr>
          <w:szCs w:val="22"/>
          <w:vertAlign w:val="subscript"/>
        </w:rPr>
        <w:t>s</w:t>
      </w:r>
      <w:r w:rsidR="00DC08B1">
        <w:rPr>
          <w:szCs w:val="22"/>
        </w:rPr>
        <w:t xml:space="preserve"> </w:t>
      </w:r>
      <w:r w:rsidR="003F2118">
        <w:rPr>
          <w:szCs w:val="22"/>
        </w:rPr>
        <w:t>should</w:t>
      </w:r>
      <w:r w:rsidR="00DC08B1">
        <w:rPr>
          <w:szCs w:val="22"/>
        </w:rPr>
        <w:t xml:space="preserve"> </w:t>
      </w:r>
      <w:r w:rsidR="00901798">
        <w:rPr>
          <w:szCs w:val="22"/>
        </w:rPr>
        <w:t xml:space="preserve">be </w:t>
      </w:r>
      <w:r w:rsidR="00DC08B1">
        <w:rPr>
          <w:szCs w:val="22"/>
        </w:rPr>
        <w:t xml:space="preserve">2 dB </w:t>
      </w:r>
      <w:r w:rsidR="00901798">
        <w:rPr>
          <w:szCs w:val="22"/>
        </w:rPr>
        <w:t>instead</w:t>
      </w:r>
      <w:r w:rsidR="00DC08B1">
        <w:rPr>
          <w:szCs w:val="22"/>
        </w:rPr>
        <w:t xml:space="preserve"> 5 dB</w:t>
      </w:r>
      <w:r w:rsidR="00901798">
        <w:rPr>
          <w:szCs w:val="22"/>
        </w:rPr>
        <w:t>, as previously suggested by DIRECTV</w:t>
      </w:r>
      <w:r w:rsidR="00DC08B1">
        <w:rPr>
          <w:szCs w:val="22"/>
        </w:rPr>
        <w:t>.</w:t>
      </w:r>
      <w:r w:rsidR="00DC08B1">
        <w:rPr>
          <w:rStyle w:val="FootnoteReference"/>
          <w:szCs w:val="22"/>
        </w:rPr>
        <w:footnoteReference w:id="44"/>
      </w:r>
      <w:r w:rsidR="00DC08B1">
        <w:rPr>
          <w:szCs w:val="22"/>
        </w:rPr>
        <w:t xml:space="preserve">  In response, AT&amp;T suggest</w:t>
      </w:r>
      <w:r w:rsidR="00CA06AC">
        <w:rPr>
          <w:szCs w:val="22"/>
        </w:rPr>
        <w:t>s</w:t>
      </w:r>
      <w:r w:rsidR="00DC08B1">
        <w:rPr>
          <w:szCs w:val="22"/>
        </w:rPr>
        <w:t xml:space="preserve"> a </w:t>
      </w:r>
      <w:r w:rsidR="004D0373">
        <w:rPr>
          <w:szCs w:val="22"/>
        </w:rPr>
        <w:t>compromise under which the Commission would adopt a variable</w:t>
      </w:r>
      <w:r w:rsidR="00DC08B1">
        <w:rPr>
          <w:szCs w:val="22"/>
        </w:rPr>
        <w:t xml:space="preserve"> value for the link performance margin M</w:t>
      </w:r>
      <w:r w:rsidR="00DC08B1" w:rsidRPr="005F0BED">
        <w:rPr>
          <w:szCs w:val="22"/>
          <w:vertAlign w:val="subscript"/>
        </w:rPr>
        <w:t>s</w:t>
      </w:r>
      <w:r w:rsidR="00DC08B1">
        <w:rPr>
          <w:szCs w:val="22"/>
        </w:rPr>
        <w:t xml:space="preserve"> based on </w:t>
      </w:r>
      <w:r w:rsidR="004D0373">
        <w:rPr>
          <w:szCs w:val="22"/>
        </w:rPr>
        <w:t>the differing allowable downlink pfd for 17/24 GHz B</w:t>
      </w:r>
      <w:r w:rsidR="00132941">
        <w:rPr>
          <w:szCs w:val="22"/>
        </w:rPr>
        <w:t>SS in different regions.  AT&amp;T</w:t>
      </w:r>
      <w:r w:rsidR="004D0373">
        <w:rPr>
          <w:szCs w:val="22"/>
        </w:rPr>
        <w:t xml:space="preserve"> suggest</w:t>
      </w:r>
      <w:r w:rsidR="00CA06AC">
        <w:rPr>
          <w:szCs w:val="22"/>
        </w:rPr>
        <w:t>s</w:t>
      </w:r>
      <w:r w:rsidR="004D0373">
        <w:rPr>
          <w:szCs w:val="22"/>
        </w:rPr>
        <w:t xml:space="preserve"> that we adopt a value for the link performance margin M</w:t>
      </w:r>
      <w:r w:rsidR="004D0373" w:rsidRPr="00940EC1">
        <w:rPr>
          <w:szCs w:val="22"/>
          <w:vertAlign w:val="subscript"/>
        </w:rPr>
        <w:t>s</w:t>
      </w:r>
      <w:r w:rsidR="004D0373">
        <w:rPr>
          <w:szCs w:val="22"/>
          <w:vertAlign w:val="subscript"/>
        </w:rPr>
        <w:t xml:space="preserve"> </w:t>
      </w:r>
      <w:r w:rsidR="004D0373">
        <w:rPr>
          <w:szCs w:val="22"/>
        </w:rPr>
        <w:t>of 4.8 dB in the southeast continental United States (CONUS) and Alaska and Hawaii, 3.0 dB in the northeast CONUS, and 1.8 dB in the western CONUS.</w:t>
      </w:r>
      <w:r w:rsidR="00132941">
        <w:rPr>
          <w:szCs w:val="22"/>
        </w:rPr>
        <w:t xml:space="preserve">  These margins match the allowable pfd values for each of these regions</w:t>
      </w:r>
      <w:r w:rsidR="00D75129">
        <w:rPr>
          <w:szCs w:val="22"/>
        </w:rPr>
        <w:t>, with higher margins where the allowable pfd is smaller.</w:t>
      </w:r>
      <w:r w:rsidR="004D0373">
        <w:rPr>
          <w:rStyle w:val="FootnoteReference"/>
          <w:szCs w:val="22"/>
        </w:rPr>
        <w:footnoteReference w:id="45"/>
      </w:r>
    </w:p>
    <w:p w14:paraId="15F8201A" w14:textId="0347A552" w:rsidR="008F4B5C" w:rsidRPr="005F0BED" w:rsidRDefault="00132BFE" w:rsidP="003779A7">
      <w:pPr>
        <w:pStyle w:val="ParaNum"/>
        <w:rPr>
          <w:szCs w:val="22"/>
        </w:rPr>
      </w:pPr>
      <w:r w:rsidRPr="0040151A">
        <w:rPr>
          <w:szCs w:val="22"/>
        </w:rPr>
        <w:t xml:space="preserve">We adopt </w:t>
      </w:r>
      <w:r w:rsidR="004E49C4" w:rsidRPr="0040151A">
        <w:rPr>
          <w:szCs w:val="22"/>
        </w:rPr>
        <w:t>the parameter values</w:t>
      </w:r>
      <w:r w:rsidR="008F4B5C" w:rsidRPr="0040151A">
        <w:rPr>
          <w:szCs w:val="22"/>
        </w:rPr>
        <w:t xml:space="preserve"> </w:t>
      </w:r>
      <w:r w:rsidR="007D17F6">
        <w:rPr>
          <w:szCs w:val="22"/>
        </w:rPr>
        <w:t>suggested by AT&amp;T as a compromise between our original proposal and the input from commenters</w:t>
      </w:r>
      <w:r w:rsidRPr="0040151A">
        <w:rPr>
          <w:szCs w:val="22"/>
        </w:rPr>
        <w:t xml:space="preserve">, to </w:t>
      </w:r>
      <w:r w:rsidRPr="0040151A">
        <w:rPr>
          <w:rFonts w:eastAsia="Times"/>
          <w:color w:val="000000"/>
          <w:szCs w:val="22"/>
        </w:rPr>
        <w:t xml:space="preserve">calculate coordination areas for the 17.3-17.8 GHz band around new proposed DBS </w:t>
      </w:r>
      <w:r w:rsidR="007717B8" w:rsidRPr="0040151A">
        <w:rPr>
          <w:rFonts w:eastAsia="Times"/>
          <w:color w:val="000000"/>
          <w:szCs w:val="22"/>
        </w:rPr>
        <w:t>feeder-link</w:t>
      </w:r>
      <w:r w:rsidRPr="0040151A">
        <w:rPr>
          <w:rFonts w:eastAsia="Times"/>
          <w:color w:val="000000"/>
          <w:szCs w:val="22"/>
        </w:rPr>
        <w:t xml:space="preserve"> sites.</w:t>
      </w:r>
      <w:r w:rsidR="008F4B5C" w:rsidRPr="005F0BED">
        <w:rPr>
          <w:szCs w:val="22"/>
        </w:rPr>
        <w:t xml:space="preserve"> </w:t>
      </w:r>
      <w:r w:rsidR="00D75129">
        <w:rPr>
          <w:szCs w:val="22"/>
        </w:rPr>
        <w:t xml:space="preserve"> </w:t>
      </w:r>
      <w:r w:rsidR="004E49C4" w:rsidRPr="005F0BED">
        <w:rPr>
          <w:szCs w:val="22"/>
        </w:rPr>
        <w:t xml:space="preserve">By doing this we adopt Commission rules </w:t>
      </w:r>
      <w:r w:rsidR="008A32A2">
        <w:rPr>
          <w:szCs w:val="22"/>
        </w:rPr>
        <w:t xml:space="preserve">for </w:t>
      </w:r>
      <w:r w:rsidR="004E49C4" w:rsidRPr="005F0BED">
        <w:rPr>
          <w:szCs w:val="22"/>
        </w:rPr>
        <w:t>parameter values for the column that is currently blank in the Table 9b, Appendix 7 of the ITU Radio Regulations</w:t>
      </w:r>
      <w:r w:rsidR="001B190F">
        <w:rPr>
          <w:szCs w:val="22"/>
        </w:rPr>
        <w:t>, which we incorporate by reference into the Commission’s rules</w:t>
      </w:r>
      <w:r w:rsidR="004E49C4" w:rsidRPr="005F0BED">
        <w:rPr>
          <w:szCs w:val="22"/>
        </w:rPr>
        <w:t>.</w:t>
      </w:r>
      <w:r w:rsidR="009B2328">
        <w:rPr>
          <w:rStyle w:val="FootnoteReference"/>
          <w:szCs w:val="22"/>
        </w:rPr>
        <w:footnoteReference w:id="46"/>
      </w:r>
      <w:r w:rsidR="007D17F6">
        <w:rPr>
          <w:szCs w:val="22"/>
        </w:rPr>
        <w:t xml:space="preserve"> </w:t>
      </w:r>
      <w:r w:rsidR="008F4B5C" w:rsidRPr="005F0BED">
        <w:rPr>
          <w:szCs w:val="22"/>
        </w:rPr>
        <w:t xml:space="preserve"> </w:t>
      </w:r>
      <w:r w:rsidR="007717B8" w:rsidRPr="005F0BED">
        <w:rPr>
          <w:szCs w:val="22"/>
        </w:rPr>
        <w:t xml:space="preserve">Table 9b has been the basis of </w:t>
      </w:r>
      <w:r w:rsidR="009C039B">
        <w:rPr>
          <w:szCs w:val="22"/>
        </w:rPr>
        <w:t xml:space="preserve">other </w:t>
      </w:r>
      <w:r w:rsidR="008A32A2">
        <w:rPr>
          <w:szCs w:val="22"/>
        </w:rPr>
        <w:t>successful coordination regimes</w:t>
      </w:r>
      <w:r w:rsidR="007717B8" w:rsidRPr="005F0BED">
        <w:rPr>
          <w:szCs w:val="22"/>
        </w:rPr>
        <w:t xml:space="preserve"> and is familiar to satellite operators, </w:t>
      </w:r>
      <w:r w:rsidR="009C039B">
        <w:rPr>
          <w:szCs w:val="22"/>
        </w:rPr>
        <w:t>which should facilitate</w:t>
      </w:r>
      <w:r w:rsidR="007717B8" w:rsidRPr="005F0BED">
        <w:rPr>
          <w:szCs w:val="22"/>
        </w:rPr>
        <w:t xml:space="preserve"> the coordination process.  </w:t>
      </w:r>
      <w:r w:rsidR="00A957AD">
        <w:rPr>
          <w:szCs w:val="22"/>
        </w:rPr>
        <w:t xml:space="preserve">AT&amp;T’s suggested compromise makes the parameter values for determining coordination more complex, but better reflects the reality of the regional pfd limits in our rules.  </w:t>
      </w:r>
      <w:r w:rsidR="008A32A2">
        <w:rPr>
          <w:szCs w:val="22"/>
        </w:rPr>
        <w:t>T</w:t>
      </w:r>
      <w:r w:rsidR="00A957AD">
        <w:rPr>
          <w:szCs w:val="22"/>
        </w:rPr>
        <w:t>hese parameters</w:t>
      </w:r>
      <w:r w:rsidR="008F4B5C" w:rsidRPr="0040151A">
        <w:rPr>
          <w:szCs w:val="22"/>
        </w:rPr>
        <w:t xml:space="preserve"> simply </w:t>
      </w:r>
      <w:r w:rsidR="003F0B97" w:rsidRPr="0040151A">
        <w:rPr>
          <w:szCs w:val="22"/>
        </w:rPr>
        <w:t>identif</w:t>
      </w:r>
      <w:r w:rsidR="00A957AD">
        <w:rPr>
          <w:szCs w:val="22"/>
        </w:rPr>
        <w:t>y</w:t>
      </w:r>
      <w:r w:rsidR="003F0B97" w:rsidRPr="0040151A">
        <w:rPr>
          <w:szCs w:val="22"/>
        </w:rPr>
        <w:t xml:space="preserve"> the threshold</w:t>
      </w:r>
      <w:r w:rsidR="008F4B5C" w:rsidRPr="0040151A">
        <w:rPr>
          <w:szCs w:val="22"/>
        </w:rPr>
        <w:t xml:space="preserve"> </w:t>
      </w:r>
      <w:r w:rsidR="00FB0A0E" w:rsidRPr="0040151A">
        <w:rPr>
          <w:szCs w:val="22"/>
        </w:rPr>
        <w:t xml:space="preserve">to determine </w:t>
      </w:r>
      <w:r w:rsidR="008F4B5C" w:rsidRPr="0040151A">
        <w:rPr>
          <w:szCs w:val="22"/>
        </w:rPr>
        <w:t>whethe</w:t>
      </w:r>
      <w:r w:rsidR="008F4B5C" w:rsidRPr="00DC08B1">
        <w:rPr>
          <w:szCs w:val="22"/>
        </w:rPr>
        <w:t>r coordination is required.</w:t>
      </w:r>
      <w:r w:rsidR="008F4B5C" w:rsidRPr="00DC08B1">
        <w:rPr>
          <w:rStyle w:val="FootnoteReference"/>
          <w:szCs w:val="22"/>
        </w:rPr>
        <w:footnoteReference w:id="47"/>
      </w:r>
      <w:r w:rsidR="008F4B5C" w:rsidRPr="00DC08B1">
        <w:rPr>
          <w:szCs w:val="22"/>
        </w:rPr>
        <w:t xml:space="preserve">  Once that threshold determination has been made, the coordination would be managed under the coordination </w:t>
      </w:r>
      <w:r w:rsidR="00B140B8">
        <w:rPr>
          <w:szCs w:val="22"/>
        </w:rPr>
        <w:t>methodology discussed below</w:t>
      </w:r>
      <w:r w:rsidR="008F4B5C" w:rsidRPr="00DC08B1">
        <w:rPr>
          <w:szCs w:val="22"/>
        </w:rPr>
        <w:t>.</w:t>
      </w:r>
    </w:p>
    <w:p w14:paraId="6AF45265" w14:textId="77777777" w:rsidR="003717CF" w:rsidRPr="003717CF" w:rsidRDefault="003717CF" w:rsidP="003779A7">
      <w:pPr>
        <w:pStyle w:val="Heading3"/>
        <w:ind w:left="1440"/>
        <w:rPr>
          <w:rFonts w:eastAsia="Times"/>
        </w:rPr>
      </w:pPr>
      <w:bookmarkStart w:id="9" w:name="_Toc433797641"/>
      <w:r>
        <w:rPr>
          <w:rFonts w:eastAsia="Times"/>
        </w:rPr>
        <w:t xml:space="preserve">Coordination </w:t>
      </w:r>
      <w:bookmarkEnd w:id="9"/>
      <w:r w:rsidR="00DC08B1">
        <w:rPr>
          <w:rFonts w:eastAsia="Times"/>
        </w:rPr>
        <w:t>Information</w:t>
      </w:r>
    </w:p>
    <w:p w14:paraId="3A09DB70" w14:textId="0D125AED" w:rsidR="003717CF" w:rsidRDefault="004E784E" w:rsidP="003779A7">
      <w:pPr>
        <w:pStyle w:val="ParaNum"/>
        <w:rPr>
          <w:rFonts w:eastAsia="Times"/>
        </w:rPr>
      </w:pPr>
      <w:r w:rsidRPr="00BD5A9C">
        <w:rPr>
          <w:rFonts w:eastAsia="Times"/>
        </w:rPr>
        <w:t xml:space="preserve">The </w:t>
      </w:r>
      <w:r w:rsidR="003F0B97" w:rsidRPr="00F27255">
        <w:rPr>
          <w:rFonts w:eastAsia="Times"/>
          <w:i/>
        </w:rPr>
        <w:t>FNPRM</w:t>
      </w:r>
      <w:r w:rsidR="003F0B97" w:rsidRPr="00BD5A9C">
        <w:rPr>
          <w:rFonts w:eastAsia="Times"/>
        </w:rPr>
        <w:t xml:space="preserve"> </w:t>
      </w:r>
      <w:r w:rsidRPr="00BD5A9C">
        <w:rPr>
          <w:rFonts w:eastAsia="Times"/>
        </w:rPr>
        <w:t>invited comment on the methodology to be used to coordinate DBS feeder</w:t>
      </w:r>
      <w:r w:rsidR="006B56A6">
        <w:rPr>
          <w:rFonts w:eastAsia="Times"/>
        </w:rPr>
        <w:t>-</w:t>
      </w:r>
      <w:r w:rsidRPr="00BD5A9C">
        <w:rPr>
          <w:rFonts w:eastAsia="Times"/>
        </w:rPr>
        <w:t>link</w:t>
      </w:r>
      <w:r w:rsidR="006B56A6">
        <w:rPr>
          <w:rFonts w:eastAsia="Times"/>
        </w:rPr>
        <w:t xml:space="preserve"> earth station</w:t>
      </w:r>
      <w:r w:rsidRPr="00BD5A9C">
        <w:rPr>
          <w:rFonts w:eastAsia="Times"/>
        </w:rPr>
        <w:t xml:space="preserve">s and 17/24 GHz BSS </w:t>
      </w:r>
      <w:r w:rsidR="00AF1B00">
        <w:rPr>
          <w:rFonts w:eastAsia="Times"/>
        </w:rPr>
        <w:t>receive</w:t>
      </w:r>
      <w:r w:rsidR="006B56A6">
        <w:rPr>
          <w:rFonts w:eastAsia="Times"/>
        </w:rPr>
        <w:t xml:space="preserve"> </w:t>
      </w:r>
      <w:r w:rsidRPr="00BD5A9C">
        <w:rPr>
          <w:rFonts w:eastAsia="Times"/>
        </w:rPr>
        <w:t>earth stations</w:t>
      </w:r>
      <w:r>
        <w:rPr>
          <w:rFonts w:eastAsia="Times"/>
        </w:rPr>
        <w:t xml:space="preserve">.  </w:t>
      </w:r>
      <w:r w:rsidR="0086114F">
        <w:rPr>
          <w:rFonts w:eastAsia="Times"/>
        </w:rPr>
        <w:t xml:space="preserve">Operators will continue to establish new </w:t>
      </w:r>
      <w:r>
        <w:rPr>
          <w:rFonts w:eastAsia="Times"/>
        </w:rPr>
        <w:t>DBS</w:t>
      </w:r>
      <w:r w:rsidR="00C77706">
        <w:rPr>
          <w:rFonts w:eastAsia="Times"/>
        </w:rPr>
        <w:t xml:space="preserve"> feeder-link</w:t>
      </w:r>
      <w:r>
        <w:rPr>
          <w:rFonts w:eastAsia="Times"/>
        </w:rPr>
        <w:t xml:space="preserve"> and 17/24 GHz BSS </w:t>
      </w:r>
      <w:r w:rsidR="00AF1B00">
        <w:rPr>
          <w:rFonts w:eastAsia="Times"/>
        </w:rPr>
        <w:t>receive earth</w:t>
      </w:r>
      <w:r w:rsidR="00C77706">
        <w:rPr>
          <w:rFonts w:eastAsia="Times"/>
        </w:rPr>
        <w:t xml:space="preserve"> </w:t>
      </w:r>
      <w:r>
        <w:rPr>
          <w:rFonts w:eastAsia="Times"/>
        </w:rPr>
        <w:t xml:space="preserve">stations </w:t>
      </w:r>
      <w:r w:rsidR="0086114F">
        <w:rPr>
          <w:rFonts w:eastAsia="Times"/>
        </w:rPr>
        <w:t>as they</w:t>
      </w:r>
      <w:r w:rsidR="00C77706">
        <w:rPr>
          <w:rFonts w:eastAsia="Times"/>
        </w:rPr>
        <w:t xml:space="preserve"> </w:t>
      </w:r>
      <w:r w:rsidR="005A5EA6">
        <w:rPr>
          <w:rFonts w:eastAsia="Times"/>
        </w:rPr>
        <w:t>expand their operations</w:t>
      </w:r>
      <w:r>
        <w:rPr>
          <w:rFonts w:eastAsia="Times"/>
        </w:rPr>
        <w:t xml:space="preserve"> over time.  </w:t>
      </w:r>
      <w:r w:rsidR="00C77706">
        <w:rPr>
          <w:rFonts w:eastAsia="Times"/>
        </w:rPr>
        <w:t>T</w:t>
      </w:r>
      <w:r>
        <w:rPr>
          <w:rFonts w:eastAsia="Times"/>
        </w:rPr>
        <w:t xml:space="preserve">he </w:t>
      </w:r>
      <w:r w:rsidRPr="004E784E">
        <w:rPr>
          <w:rFonts w:eastAsia="Times"/>
          <w:i/>
        </w:rPr>
        <w:t>FNPRM</w:t>
      </w:r>
      <w:r>
        <w:rPr>
          <w:rFonts w:eastAsia="Times"/>
        </w:rPr>
        <w:t xml:space="preserve"> </w:t>
      </w:r>
      <w:r w:rsidR="0086114F">
        <w:rPr>
          <w:rFonts w:eastAsia="Times"/>
        </w:rPr>
        <w:t xml:space="preserve">referenced </w:t>
      </w:r>
      <w:r>
        <w:rPr>
          <w:rFonts w:eastAsia="Times"/>
        </w:rPr>
        <w:t xml:space="preserve">a similar situation in the </w:t>
      </w:r>
      <w:r w:rsidRPr="004E784E">
        <w:rPr>
          <w:rFonts w:eastAsia="Times"/>
          <w:i/>
        </w:rPr>
        <w:t>MVDDS Second R&amp;O</w:t>
      </w:r>
      <w:r>
        <w:rPr>
          <w:rFonts w:eastAsia="Times"/>
        </w:rPr>
        <w:t>, which addressed a frequency sharing situation that involved ground</w:t>
      </w:r>
      <w:r w:rsidR="00380C3A">
        <w:rPr>
          <w:rFonts w:eastAsia="Times"/>
        </w:rPr>
        <w:t xml:space="preserve"> </w:t>
      </w:r>
      <w:r>
        <w:rPr>
          <w:rFonts w:eastAsia="Times"/>
        </w:rPr>
        <w:t xml:space="preserve">path interference issues and gradual build-out of interspersed earth stations </w:t>
      </w:r>
      <w:r w:rsidR="00C77706">
        <w:rPr>
          <w:rFonts w:eastAsia="Times"/>
        </w:rPr>
        <w:t xml:space="preserve">in the 12 GHz frequency band, </w:t>
      </w:r>
      <w:r>
        <w:rPr>
          <w:rFonts w:eastAsia="Times"/>
        </w:rPr>
        <w:t>similar to th</w:t>
      </w:r>
      <w:r w:rsidR="00C77706">
        <w:rPr>
          <w:rFonts w:eastAsia="Times"/>
        </w:rPr>
        <w:t>e situation that</w:t>
      </w:r>
      <w:r>
        <w:rPr>
          <w:rFonts w:eastAsia="Times"/>
        </w:rPr>
        <w:t xml:space="preserve"> we envision in the 17</w:t>
      </w:r>
      <w:r w:rsidR="00C0239F">
        <w:rPr>
          <w:rFonts w:eastAsia="Times"/>
        </w:rPr>
        <w:t>/24</w:t>
      </w:r>
      <w:r>
        <w:rPr>
          <w:rFonts w:eastAsia="Times"/>
        </w:rPr>
        <w:t xml:space="preserve"> GHz band</w:t>
      </w:r>
      <w:r w:rsidR="00C0239F">
        <w:rPr>
          <w:rFonts w:eastAsia="Times"/>
        </w:rPr>
        <w:t>s</w:t>
      </w:r>
      <w:r>
        <w:rPr>
          <w:rFonts w:eastAsia="Times"/>
        </w:rPr>
        <w:t>.</w:t>
      </w:r>
      <w:r>
        <w:rPr>
          <w:rStyle w:val="FootnoteReference"/>
          <w:rFonts w:eastAsia="Times"/>
          <w:color w:val="000000"/>
          <w:szCs w:val="22"/>
        </w:rPr>
        <w:footnoteReference w:id="48"/>
      </w:r>
      <w:r w:rsidR="00025B9C">
        <w:rPr>
          <w:rFonts w:eastAsia="Times"/>
        </w:rPr>
        <w:t xml:space="preserve"> </w:t>
      </w:r>
      <w:r>
        <w:rPr>
          <w:rFonts w:eastAsia="Times"/>
        </w:rPr>
        <w:t xml:space="preserve"> </w:t>
      </w:r>
      <w:r w:rsidR="00696717">
        <w:rPr>
          <w:rFonts w:eastAsia="Times"/>
        </w:rPr>
        <w:t>To achieve successful sharing of the 12 GHz frequency band</w:t>
      </w:r>
      <w:r w:rsidR="00380C3A">
        <w:rPr>
          <w:rFonts w:eastAsia="Times"/>
        </w:rPr>
        <w:t>,</w:t>
      </w:r>
      <w:r w:rsidR="00696717">
        <w:rPr>
          <w:rFonts w:eastAsia="Times"/>
        </w:rPr>
        <w:t xml:space="preserve"> the Commission adopted a coordination procedure that requires a</w:t>
      </w:r>
      <w:r w:rsidR="00F576D1">
        <w:rPr>
          <w:rFonts w:eastAsia="Times"/>
        </w:rPr>
        <w:t>n</w:t>
      </w:r>
      <w:r w:rsidR="00696717">
        <w:rPr>
          <w:rFonts w:eastAsia="Times"/>
        </w:rPr>
        <w:t xml:space="preserve"> MVDDS operator entering the market </w:t>
      </w:r>
      <w:r w:rsidR="00C77706">
        <w:rPr>
          <w:rFonts w:eastAsia="Times"/>
        </w:rPr>
        <w:t>to satisfy certain requirements to protect established DBS customers</w:t>
      </w:r>
      <w:r w:rsidR="00696717">
        <w:rPr>
          <w:rFonts w:eastAsia="Times"/>
        </w:rPr>
        <w:t>.</w:t>
      </w:r>
      <w:r w:rsidR="00696717">
        <w:rPr>
          <w:rStyle w:val="FootnoteReference"/>
          <w:rFonts w:eastAsia="Times"/>
          <w:color w:val="000000"/>
          <w:szCs w:val="22"/>
        </w:rPr>
        <w:footnoteReference w:id="49"/>
      </w:r>
      <w:r w:rsidR="00696717">
        <w:rPr>
          <w:rFonts w:eastAsia="Times"/>
        </w:rPr>
        <w:t xml:space="preserve">  </w:t>
      </w:r>
      <w:r w:rsidR="00C77706">
        <w:rPr>
          <w:rFonts w:eastAsia="Times"/>
        </w:rPr>
        <w:t xml:space="preserve">The </w:t>
      </w:r>
      <w:r w:rsidR="00C77706" w:rsidRPr="00F27255">
        <w:rPr>
          <w:rFonts w:eastAsia="Times"/>
          <w:i/>
        </w:rPr>
        <w:t>FNPRM</w:t>
      </w:r>
      <w:r w:rsidR="003717CF" w:rsidRPr="00BD5A9C">
        <w:rPr>
          <w:rFonts w:eastAsia="Times"/>
        </w:rPr>
        <w:t xml:space="preserve"> </w:t>
      </w:r>
      <w:r w:rsidR="002F21C5">
        <w:rPr>
          <w:rFonts w:eastAsia="Times"/>
        </w:rPr>
        <w:t xml:space="preserve">sought comment on </w:t>
      </w:r>
      <w:r w:rsidR="003717CF" w:rsidRPr="00BD5A9C">
        <w:rPr>
          <w:rFonts w:eastAsia="Times"/>
        </w:rPr>
        <w:t xml:space="preserve">the </w:t>
      </w:r>
      <w:r w:rsidR="00CB12D9">
        <w:rPr>
          <w:rFonts w:eastAsia="Times"/>
        </w:rPr>
        <w:t>adoption</w:t>
      </w:r>
      <w:r w:rsidR="00380C3A">
        <w:rPr>
          <w:rFonts w:eastAsia="Times"/>
        </w:rPr>
        <w:t xml:space="preserve"> of a</w:t>
      </w:r>
      <w:r w:rsidR="00CB12D9">
        <w:rPr>
          <w:rFonts w:eastAsia="Times"/>
        </w:rPr>
        <w:t xml:space="preserve"> </w:t>
      </w:r>
      <w:r w:rsidR="001C248E">
        <w:rPr>
          <w:rFonts w:eastAsia="Times"/>
        </w:rPr>
        <w:t xml:space="preserve">coordination procedure similar to the </w:t>
      </w:r>
      <w:r w:rsidR="001C248E" w:rsidRPr="001C248E">
        <w:rPr>
          <w:rFonts w:eastAsia="Times"/>
          <w:i/>
        </w:rPr>
        <w:t>MVDDS</w:t>
      </w:r>
      <w:r w:rsidR="001C248E">
        <w:rPr>
          <w:rFonts w:eastAsia="Times"/>
        </w:rPr>
        <w:t xml:space="preserve"> </w:t>
      </w:r>
      <w:r w:rsidR="001C248E">
        <w:rPr>
          <w:rFonts w:eastAsia="Times"/>
          <w:i/>
        </w:rPr>
        <w:t>Second R&amp;O</w:t>
      </w:r>
      <w:r w:rsidR="003717CF" w:rsidRPr="00BD5A9C">
        <w:rPr>
          <w:rFonts w:eastAsia="Times"/>
        </w:rPr>
        <w:t>,</w:t>
      </w:r>
      <w:r w:rsidR="00CB12D9">
        <w:rPr>
          <w:rFonts w:eastAsia="Times"/>
        </w:rPr>
        <w:t xml:space="preserve"> </w:t>
      </w:r>
      <w:r w:rsidR="005B3579">
        <w:rPr>
          <w:rFonts w:eastAsia="Times"/>
        </w:rPr>
        <w:t xml:space="preserve">including </w:t>
      </w:r>
      <w:r w:rsidR="00C77706">
        <w:rPr>
          <w:rFonts w:eastAsia="Times"/>
        </w:rPr>
        <w:t xml:space="preserve">a requirement to </w:t>
      </w:r>
      <w:r w:rsidR="00CB12D9" w:rsidRPr="00287682">
        <w:rPr>
          <w:rFonts w:eastAsia="Times"/>
        </w:rPr>
        <w:t xml:space="preserve">complete </w:t>
      </w:r>
      <w:r w:rsidR="003717CF" w:rsidRPr="00287682">
        <w:rPr>
          <w:rFonts w:eastAsia="Times"/>
        </w:rPr>
        <w:t xml:space="preserve">frequency </w:t>
      </w:r>
      <w:r w:rsidR="00CB12D9" w:rsidRPr="00287682">
        <w:rPr>
          <w:rFonts w:eastAsia="Times"/>
        </w:rPr>
        <w:t>coordination with</w:t>
      </w:r>
      <w:r w:rsidR="003717CF" w:rsidRPr="00287682">
        <w:rPr>
          <w:rFonts w:eastAsia="Times"/>
        </w:rPr>
        <w:t xml:space="preserve"> existing and planned 1</w:t>
      </w:r>
      <w:r w:rsidR="00AF1B00">
        <w:rPr>
          <w:rFonts w:eastAsia="Times"/>
        </w:rPr>
        <w:t>7/24 GHz BSS receive earth</w:t>
      </w:r>
      <w:r w:rsidR="00025B9C" w:rsidRPr="00287682">
        <w:rPr>
          <w:rFonts w:eastAsia="Times"/>
        </w:rPr>
        <w:t xml:space="preserve"> stations</w:t>
      </w:r>
      <w:r w:rsidR="005B3579">
        <w:rPr>
          <w:rFonts w:eastAsia="Times"/>
        </w:rPr>
        <w:t xml:space="preserve"> by </w:t>
      </w:r>
      <w:r w:rsidR="00C0239F">
        <w:rPr>
          <w:rFonts w:eastAsia="Times"/>
        </w:rPr>
        <w:t>all applicants</w:t>
      </w:r>
      <w:r w:rsidR="005B3579" w:rsidRPr="00BD5A9C">
        <w:rPr>
          <w:rFonts w:eastAsia="Times"/>
        </w:rPr>
        <w:t xml:space="preserve"> for new (no</w:t>
      </w:r>
      <w:r w:rsidR="005B3579">
        <w:rPr>
          <w:rFonts w:eastAsia="Times"/>
        </w:rPr>
        <w:t xml:space="preserve">n-grandfathered) </w:t>
      </w:r>
      <w:r w:rsidR="00C0239F">
        <w:rPr>
          <w:rFonts w:eastAsia="Times"/>
        </w:rPr>
        <w:t>DBS feeder-</w:t>
      </w:r>
      <w:r w:rsidR="005B3579" w:rsidRPr="00287682">
        <w:rPr>
          <w:rFonts w:eastAsia="Times"/>
        </w:rPr>
        <w:t>link earth stations or new 17</w:t>
      </w:r>
      <w:r w:rsidR="00F576D1">
        <w:rPr>
          <w:rFonts w:eastAsia="Times"/>
        </w:rPr>
        <w:t xml:space="preserve"> GHz transmitting telemetry, tracking, and command</w:t>
      </w:r>
      <w:r w:rsidR="005B3579">
        <w:rPr>
          <w:rFonts w:eastAsia="Times"/>
        </w:rPr>
        <w:t xml:space="preserve"> stations.</w:t>
      </w:r>
      <w:r w:rsidR="002F21C5" w:rsidRPr="00287682">
        <w:rPr>
          <w:rStyle w:val="FootnoteReference"/>
          <w:rFonts w:eastAsia="Times"/>
          <w:color w:val="000000"/>
          <w:szCs w:val="22"/>
        </w:rPr>
        <w:footnoteReference w:id="50"/>
      </w:r>
      <w:r w:rsidR="00C235AF" w:rsidRPr="00287682">
        <w:rPr>
          <w:rFonts w:eastAsia="Times"/>
        </w:rPr>
        <w:t xml:space="preserve">  </w:t>
      </w:r>
      <w:r w:rsidR="00380C3A">
        <w:rPr>
          <w:rFonts w:eastAsia="Times"/>
        </w:rPr>
        <w:t xml:space="preserve">The </w:t>
      </w:r>
      <w:r w:rsidR="00C77706" w:rsidRPr="00F27255">
        <w:rPr>
          <w:rFonts w:eastAsia="Times"/>
          <w:i/>
        </w:rPr>
        <w:t>FNPRM</w:t>
      </w:r>
      <w:r w:rsidR="00C77706">
        <w:rPr>
          <w:rFonts w:eastAsia="Times"/>
        </w:rPr>
        <w:t xml:space="preserve"> </w:t>
      </w:r>
      <w:r w:rsidR="005B3579">
        <w:rPr>
          <w:rFonts w:eastAsia="Times"/>
        </w:rPr>
        <w:t xml:space="preserve">also sought comment on </w:t>
      </w:r>
      <w:r w:rsidR="00025B9C" w:rsidRPr="00287682">
        <w:t>whether a third-party frequency coordinator should be used to preserve confidentiality of customer information.</w:t>
      </w:r>
      <w:r w:rsidR="00025B9C" w:rsidRPr="00287682">
        <w:rPr>
          <w:rStyle w:val="FootnoteReference"/>
          <w:szCs w:val="22"/>
        </w:rPr>
        <w:footnoteReference w:id="51"/>
      </w:r>
    </w:p>
    <w:p w14:paraId="27341D26" w14:textId="28D2E51D" w:rsidR="00C0239F" w:rsidRDefault="00C0239F" w:rsidP="003779A7">
      <w:pPr>
        <w:pStyle w:val="ParaNum"/>
        <w:rPr>
          <w:rFonts w:eastAsia="Times"/>
        </w:rPr>
      </w:pPr>
      <w:r>
        <w:t xml:space="preserve">DIRECTV, </w:t>
      </w:r>
      <w:r w:rsidRPr="004E784E">
        <w:t>EchoStar</w:t>
      </w:r>
      <w:r w:rsidR="00CC68C3">
        <w:t>,</w:t>
      </w:r>
      <w:r w:rsidRPr="004E784E">
        <w:t xml:space="preserve"> </w:t>
      </w:r>
      <w:r>
        <w:t>and</w:t>
      </w:r>
      <w:r w:rsidRPr="004E784E">
        <w:t xml:space="preserve"> SES Americom </w:t>
      </w:r>
      <w:r>
        <w:t xml:space="preserve">concur </w:t>
      </w:r>
      <w:r w:rsidRPr="004E784E">
        <w:t>that the Commission should use the rules governing DBS/M</w:t>
      </w:r>
      <w:r>
        <w:t>VDDS coordination as a model.</w:t>
      </w:r>
      <w:r>
        <w:rPr>
          <w:rStyle w:val="FootnoteReference"/>
        </w:rPr>
        <w:footnoteReference w:id="52"/>
      </w:r>
      <w:r>
        <w:t xml:space="preserve">  </w:t>
      </w:r>
      <w:r>
        <w:rPr>
          <w:szCs w:val="22"/>
        </w:rPr>
        <w:t>Commenters</w:t>
      </w:r>
      <w:r>
        <w:t xml:space="preserve"> also agree that entities proposing new DBS feeder-</w:t>
      </w:r>
      <w:r w:rsidRPr="004E784E">
        <w:t xml:space="preserve">link </w:t>
      </w:r>
      <w:r>
        <w:t>earth stations</w:t>
      </w:r>
      <w:r w:rsidRPr="004E784E">
        <w:t xml:space="preserve"> </w:t>
      </w:r>
      <w:r w:rsidR="00477917">
        <w:t xml:space="preserve">should </w:t>
      </w:r>
      <w:r w:rsidR="003D6788">
        <w:t xml:space="preserve">be required to </w:t>
      </w:r>
      <w:r w:rsidRPr="004E784E">
        <w:t xml:space="preserve">resolve any potential interference with </w:t>
      </w:r>
      <w:r w:rsidRPr="005030CF">
        <w:rPr>
          <w:szCs w:val="22"/>
        </w:rPr>
        <w:t xml:space="preserve">affected 17/24 GHz receive stations prior to licensing, </w:t>
      </w:r>
      <w:r w:rsidR="00FB0A0E">
        <w:rPr>
          <w:szCs w:val="22"/>
        </w:rPr>
        <w:t xml:space="preserve">similar to </w:t>
      </w:r>
      <w:r w:rsidR="003D6788">
        <w:rPr>
          <w:szCs w:val="22"/>
        </w:rPr>
        <w:t>the requirement</w:t>
      </w:r>
      <w:r w:rsidRPr="005030CF">
        <w:rPr>
          <w:szCs w:val="22"/>
        </w:rPr>
        <w:t xml:space="preserve"> under Section 25.203(c)</w:t>
      </w:r>
      <w:r w:rsidR="00FB0A0E">
        <w:rPr>
          <w:szCs w:val="22"/>
        </w:rPr>
        <w:t xml:space="preserve"> for coordination with terrestrial stations in other bands</w:t>
      </w:r>
      <w:r w:rsidRPr="005030CF">
        <w:rPr>
          <w:szCs w:val="22"/>
        </w:rPr>
        <w:t>.</w:t>
      </w:r>
      <w:r>
        <w:rPr>
          <w:rStyle w:val="FootnoteReference"/>
          <w:szCs w:val="22"/>
        </w:rPr>
        <w:footnoteReference w:id="53"/>
      </w:r>
      <w:r>
        <w:rPr>
          <w:szCs w:val="22"/>
        </w:rPr>
        <w:t xml:space="preserve">  </w:t>
      </w:r>
      <w:r>
        <w:rPr>
          <w:szCs w:val="24"/>
        </w:rPr>
        <w:t xml:space="preserve">Commenters agree that </w:t>
      </w:r>
      <w:r w:rsidRPr="00287682">
        <w:rPr>
          <w:szCs w:val="24"/>
        </w:rPr>
        <w:t>to facilita</w:t>
      </w:r>
      <w:r>
        <w:rPr>
          <w:szCs w:val="24"/>
        </w:rPr>
        <w:t xml:space="preserve">te coordination, </w:t>
      </w:r>
      <w:r w:rsidRPr="00287682">
        <w:rPr>
          <w:szCs w:val="24"/>
        </w:rPr>
        <w:t xml:space="preserve">the twelve data items identified in </w:t>
      </w:r>
      <w:r>
        <w:rPr>
          <w:szCs w:val="24"/>
        </w:rPr>
        <w:t>the</w:t>
      </w:r>
      <w:r w:rsidRPr="00287682">
        <w:rPr>
          <w:szCs w:val="24"/>
        </w:rPr>
        <w:t xml:space="preserve"> </w:t>
      </w:r>
      <w:r w:rsidRPr="00287682">
        <w:rPr>
          <w:i/>
          <w:iCs/>
          <w:szCs w:val="24"/>
        </w:rPr>
        <w:t>F</w:t>
      </w:r>
      <w:r>
        <w:rPr>
          <w:i/>
          <w:iCs/>
          <w:szCs w:val="24"/>
        </w:rPr>
        <w:t xml:space="preserve">NPRM </w:t>
      </w:r>
      <w:r>
        <w:rPr>
          <w:iCs/>
          <w:szCs w:val="24"/>
        </w:rPr>
        <w:t xml:space="preserve">should be provided by entities proposing new DBS feeder-link </w:t>
      </w:r>
      <w:r w:rsidR="00AF1B00">
        <w:rPr>
          <w:iCs/>
          <w:szCs w:val="24"/>
        </w:rPr>
        <w:t xml:space="preserve">earth </w:t>
      </w:r>
      <w:r>
        <w:rPr>
          <w:iCs/>
          <w:szCs w:val="24"/>
        </w:rPr>
        <w:t>stations.</w:t>
      </w:r>
      <w:r>
        <w:rPr>
          <w:rStyle w:val="FootnoteReference"/>
          <w:iCs/>
          <w:szCs w:val="24"/>
        </w:rPr>
        <w:footnoteReference w:id="54"/>
      </w:r>
    </w:p>
    <w:p w14:paraId="154EFCE5" w14:textId="1764E2F5" w:rsidR="00AD2A46" w:rsidRPr="00F27255" w:rsidRDefault="00CB6CE8" w:rsidP="003779A7">
      <w:pPr>
        <w:pStyle w:val="ParaNum"/>
        <w:rPr>
          <w:rFonts w:eastAsia="Times"/>
        </w:rPr>
      </w:pPr>
      <w:r>
        <w:rPr>
          <w:szCs w:val="22"/>
        </w:rPr>
        <w:t>Based on the support in the record, w</w:t>
      </w:r>
      <w:r w:rsidR="00AD2A46">
        <w:rPr>
          <w:szCs w:val="22"/>
        </w:rPr>
        <w:t>e</w:t>
      </w:r>
      <w:r w:rsidR="00AD2A46" w:rsidRPr="00716249">
        <w:rPr>
          <w:szCs w:val="22"/>
        </w:rPr>
        <w:t xml:space="preserve"> adopt a coordination methodology </w:t>
      </w:r>
      <w:r w:rsidR="006B56A6">
        <w:rPr>
          <w:szCs w:val="22"/>
        </w:rPr>
        <w:t xml:space="preserve">for new DBS feeder-link earth stations </w:t>
      </w:r>
      <w:r w:rsidR="00264345">
        <w:rPr>
          <w:szCs w:val="22"/>
        </w:rPr>
        <w:t>that relies</w:t>
      </w:r>
      <w:r w:rsidR="00264345" w:rsidRPr="00716249">
        <w:rPr>
          <w:szCs w:val="22"/>
        </w:rPr>
        <w:t xml:space="preserve"> </w:t>
      </w:r>
      <w:r w:rsidR="00AD2A46" w:rsidRPr="00716249">
        <w:rPr>
          <w:szCs w:val="22"/>
        </w:rPr>
        <w:t>on the</w:t>
      </w:r>
      <w:r w:rsidR="006B56A6">
        <w:rPr>
          <w:szCs w:val="22"/>
        </w:rPr>
        <w:t xml:space="preserve"> coordination procedure adopted in the</w:t>
      </w:r>
      <w:r w:rsidR="00AD2A46" w:rsidRPr="00716249">
        <w:rPr>
          <w:szCs w:val="22"/>
        </w:rPr>
        <w:t xml:space="preserve"> </w:t>
      </w:r>
      <w:r w:rsidR="00AD2A46" w:rsidRPr="00716249">
        <w:rPr>
          <w:i/>
          <w:szCs w:val="22"/>
        </w:rPr>
        <w:t>MVDDS Second R&amp;O</w:t>
      </w:r>
      <w:r w:rsidR="00AD2A46" w:rsidRPr="00716249">
        <w:rPr>
          <w:szCs w:val="22"/>
        </w:rPr>
        <w:t xml:space="preserve">, using a third-party coordinator to screen competitively-sensitive information.  </w:t>
      </w:r>
      <w:r w:rsidR="00DB477F">
        <w:rPr>
          <w:szCs w:val="22"/>
        </w:rPr>
        <w:t>Accordingly, e</w:t>
      </w:r>
      <w:r w:rsidR="00AD2A46">
        <w:rPr>
          <w:szCs w:val="22"/>
        </w:rPr>
        <w:t>ntities proposing n</w:t>
      </w:r>
      <w:r w:rsidR="00AD2A46" w:rsidRPr="00716249">
        <w:rPr>
          <w:szCs w:val="22"/>
        </w:rPr>
        <w:t>ew DBS feeder</w:t>
      </w:r>
      <w:r w:rsidR="00AD2A46">
        <w:rPr>
          <w:szCs w:val="22"/>
        </w:rPr>
        <w:t>-</w:t>
      </w:r>
      <w:r w:rsidR="00AD2A46" w:rsidRPr="00716249">
        <w:rPr>
          <w:szCs w:val="22"/>
        </w:rPr>
        <w:t xml:space="preserve">link </w:t>
      </w:r>
      <w:r w:rsidR="00AD2A46">
        <w:rPr>
          <w:szCs w:val="22"/>
        </w:rPr>
        <w:t>earth stations must</w:t>
      </w:r>
      <w:r w:rsidR="00AD2A46" w:rsidRPr="00716249">
        <w:rPr>
          <w:szCs w:val="22"/>
        </w:rPr>
        <w:t xml:space="preserve"> resolve any potential interference with affected 17/24 GHz BSS receive stations prior to licensing, </w:t>
      </w:r>
      <w:r w:rsidR="00FB0A0E">
        <w:rPr>
          <w:szCs w:val="22"/>
        </w:rPr>
        <w:t>similarly to what</w:t>
      </w:r>
      <w:r w:rsidR="00AD2A46" w:rsidRPr="00716249">
        <w:rPr>
          <w:szCs w:val="22"/>
        </w:rPr>
        <w:t xml:space="preserve"> is required under 25.203(c)</w:t>
      </w:r>
      <w:r w:rsidR="00FB0A0E">
        <w:rPr>
          <w:szCs w:val="22"/>
        </w:rPr>
        <w:t xml:space="preserve"> for coordination with terrestrial stations</w:t>
      </w:r>
      <w:r w:rsidR="00AD2A46" w:rsidRPr="00716249">
        <w:rPr>
          <w:szCs w:val="22"/>
        </w:rPr>
        <w:t xml:space="preserve">, </w:t>
      </w:r>
      <w:r w:rsidR="00DB477F">
        <w:rPr>
          <w:szCs w:val="22"/>
        </w:rPr>
        <w:t>by providing to a third-party coordinator</w:t>
      </w:r>
      <w:r w:rsidR="00AD2A46" w:rsidRPr="00716249">
        <w:rPr>
          <w:szCs w:val="22"/>
        </w:rPr>
        <w:t xml:space="preserve"> the </w:t>
      </w:r>
      <w:r w:rsidR="00AD2A46">
        <w:rPr>
          <w:szCs w:val="22"/>
        </w:rPr>
        <w:t xml:space="preserve">following </w:t>
      </w:r>
      <w:r w:rsidR="00AD2A46" w:rsidRPr="00716249">
        <w:rPr>
          <w:szCs w:val="22"/>
        </w:rPr>
        <w:t xml:space="preserve">twelve data items identified in </w:t>
      </w:r>
      <w:r w:rsidR="00AD2A46">
        <w:rPr>
          <w:szCs w:val="22"/>
        </w:rPr>
        <w:t>the</w:t>
      </w:r>
      <w:r w:rsidR="00AD2A46" w:rsidRPr="00716249">
        <w:rPr>
          <w:szCs w:val="22"/>
        </w:rPr>
        <w:t xml:space="preserve"> </w:t>
      </w:r>
      <w:r w:rsidR="00AD2A46" w:rsidRPr="00716249">
        <w:rPr>
          <w:i/>
          <w:szCs w:val="22"/>
        </w:rPr>
        <w:t>FNPRM</w:t>
      </w:r>
      <w:r w:rsidR="00AD2A46">
        <w:rPr>
          <w:szCs w:val="22"/>
        </w:rPr>
        <w:t>:</w:t>
      </w:r>
    </w:p>
    <w:p w14:paraId="1248989D" w14:textId="77777777" w:rsidR="00AD2A46" w:rsidRDefault="00AD2A46" w:rsidP="003779A7">
      <w:pPr>
        <w:pStyle w:val="Style1"/>
        <w:ind w:left="0"/>
      </w:pPr>
      <w:r w:rsidRPr="005030CF">
        <w:t>(i) The geographical coordinates of the</w:t>
      </w:r>
      <w:r>
        <w:t xml:space="preserve"> proposed earth station antenna</w:t>
      </w:r>
      <w:r w:rsidRPr="005030CF">
        <w:t>(s);</w:t>
      </w:r>
    </w:p>
    <w:p w14:paraId="06137417" w14:textId="77777777" w:rsidR="00AD2A46" w:rsidRPr="005030CF" w:rsidRDefault="00AD2A46" w:rsidP="003779A7">
      <w:pPr>
        <w:pStyle w:val="Style1"/>
        <w:ind w:left="0"/>
      </w:pPr>
      <w:r w:rsidRPr="005030CF">
        <w:t>(ii) Pr</w:t>
      </w:r>
      <w:r w:rsidR="007717B8">
        <w:t>oposed operating frequency band</w:t>
      </w:r>
      <w:r w:rsidRPr="005030CF">
        <w:t>(s) and emission(s);</w:t>
      </w:r>
    </w:p>
    <w:p w14:paraId="33593A8C" w14:textId="76BBDD00" w:rsidR="00AD2A46" w:rsidRPr="005030CF" w:rsidRDefault="00AD2A46" w:rsidP="003779A7">
      <w:pPr>
        <w:pStyle w:val="Style1"/>
        <w:ind w:left="0"/>
      </w:pPr>
      <w:r w:rsidRPr="005030CF">
        <w:t>(iii) Antenna diameter (meters)</w:t>
      </w:r>
      <w:r w:rsidR="00A2372B">
        <w:t>;</w:t>
      </w:r>
    </w:p>
    <w:p w14:paraId="0127DC70" w14:textId="77777777" w:rsidR="00AD2A46" w:rsidRPr="005030CF" w:rsidRDefault="00AD2A46" w:rsidP="003779A7">
      <w:pPr>
        <w:pStyle w:val="Style1"/>
        <w:ind w:left="0"/>
      </w:pPr>
      <w:r w:rsidRPr="005030CF">
        <w:t>(iv) Antenna center height above ground and ground elevation above mean sea level;</w:t>
      </w:r>
    </w:p>
    <w:p w14:paraId="7140646A" w14:textId="77777777" w:rsidR="00AD2A46" w:rsidRPr="005030CF" w:rsidRDefault="00AD2A46" w:rsidP="003779A7">
      <w:pPr>
        <w:pStyle w:val="Style1"/>
        <w:ind w:left="0"/>
      </w:pPr>
      <w:r w:rsidRPr="005030CF">
        <w:t>(v) Antenna gain pattern(s) in the plane of the main beam;</w:t>
      </w:r>
    </w:p>
    <w:p w14:paraId="4E592B66" w14:textId="77777777" w:rsidR="00AD2A46" w:rsidRPr="005030CF" w:rsidRDefault="00AD2A46" w:rsidP="003779A7">
      <w:pPr>
        <w:pStyle w:val="Style1"/>
        <w:ind w:left="0"/>
      </w:pPr>
      <w:r w:rsidRPr="005030CF">
        <w:t>(vi) Longitude range of geostationary satellite orbit (GSO) satellites at which an antenna may be pointed;</w:t>
      </w:r>
    </w:p>
    <w:p w14:paraId="4DE2B4DB" w14:textId="77777777" w:rsidR="00AD2A46" w:rsidRPr="005030CF" w:rsidRDefault="00AD2A46" w:rsidP="003779A7">
      <w:pPr>
        <w:pStyle w:val="Style1"/>
        <w:ind w:left="0"/>
      </w:pPr>
      <w:r w:rsidRPr="005030CF">
        <w:t>(vii) Horizon elevation plot;</w:t>
      </w:r>
    </w:p>
    <w:p w14:paraId="0D41165F" w14:textId="77777777" w:rsidR="00AD2A46" w:rsidRPr="005030CF" w:rsidRDefault="00AD2A46" w:rsidP="003779A7">
      <w:pPr>
        <w:pStyle w:val="Style1"/>
        <w:ind w:left="0"/>
      </w:pPr>
      <w:r w:rsidRPr="005030CF">
        <w:t>(viii) Antenna horizon gain plot(s) determined in accordance with the procedure in Section 2.1 of Annex 5 to Appendix 7 of the ITU Radio Regulations;</w:t>
      </w:r>
    </w:p>
    <w:p w14:paraId="1503E1B4" w14:textId="77777777" w:rsidR="00AD2A46" w:rsidRPr="005030CF" w:rsidRDefault="00AD2A46" w:rsidP="003779A7">
      <w:pPr>
        <w:pStyle w:val="Style1"/>
        <w:ind w:left="0"/>
      </w:pPr>
      <w:r w:rsidRPr="005030CF">
        <w:t>(ix) Minimum elevation angle;</w:t>
      </w:r>
    </w:p>
    <w:p w14:paraId="50F669CA" w14:textId="77777777" w:rsidR="00AD2A46" w:rsidRPr="005030CF" w:rsidRDefault="00AD2A46" w:rsidP="003779A7">
      <w:pPr>
        <w:pStyle w:val="Style1"/>
        <w:ind w:left="0"/>
      </w:pPr>
      <w:r w:rsidRPr="005030CF">
        <w:t>(x) Maximum equivalent isotropically radiated power (</w:t>
      </w:r>
      <w:r w:rsidR="00AF1B00">
        <w:t>e.i.r.p.</w:t>
      </w:r>
      <w:r w:rsidRPr="005030CF">
        <w:t>) densit</w:t>
      </w:r>
      <w:r>
        <w:t xml:space="preserve">y in the main beam in any 1 MHz </w:t>
      </w:r>
      <w:r w:rsidRPr="005030CF">
        <w:t>band;</w:t>
      </w:r>
    </w:p>
    <w:p w14:paraId="18455B74" w14:textId="77777777" w:rsidR="00AD2A46" w:rsidRPr="005030CF" w:rsidRDefault="00AD2A46" w:rsidP="003779A7">
      <w:pPr>
        <w:pStyle w:val="Style1"/>
        <w:ind w:left="0"/>
      </w:pPr>
      <w:r w:rsidRPr="005030CF">
        <w:t>(xi) Maximum available RF transmit po</w:t>
      </w:r>
      <w:r>
        <w:t>wer density in any 1 MHz</w:t>
      </w:r>
      <w:r w:rsidRPr="005030CF">
        <w:t xml:space="preserve"> band at the input terminals of the antenna(s);</w:t>
      </w:r>
    </w:p>
    <w:p w14:paraId="37D2284A" w14:textId="77777777" w:rsidR="00AD2A46" w:rsidRDefault="00AD2A46" w:rsidP="003779A7">
      <w:pPr>
        <w:pStyle w:val="Style1"/>
        <w:ind w:left="0"/>
      </w:pPr>
      <w:r w:rsidRPr="005030CF">
        <w:t>(xii) A plot of the coordination distance contour(s) and rain scatter coordination distance contour(s) as determined by Table 2 of Section 3 to Appendix 7</w:t>
      </w:r>
      <w:r w:rsidR="007717B8">
        <w:t xml:space="preserve"> of the ITU Radio Regulations</w:t>
      </w:r>
      <w:r w:rsidRPr="005030CF">
        <w:t>.</w:t>
      </w:r>
      <w:r>
        <w:rPr>
          <w:rStyle w:val="FootnoteReference"/>
          <w:szCs w:val="22"/>
        </w:rPr>
        <w:footnoteReference w:id="55"/>
      </w:r>
    </w:p>
    <w:p w14:paraId="14606CBC" w14:textId="77777777" w:rsidR="00DB477F" w:rsidRDefault="00DB477F" w:rsidP="003779A7">
      <w:pPr>
        <w:pStyle w:val="Style1"/>
        <w:ind w:left="0"/>
      </w:pPr>
    </w:p>
    <w:p w14:paraId="52383792" w14:textId="6FD41F47" w:rsidR="00AD2A46" w:rsidRPr="00F27255" w:rsidRDefault="00AD2A46" w:rsidP="003779A7">
      <w:pPr>
        <w:pStyle w:val="ParaNum"/>
        <w:rPr>
          <w:rFonts w:eastAsia="Times"/>
        </w:rPr>
      </w:pPr>
      <w:r>
        <w:rPr>
          <w:rFonts w:eastAsia="Times"/>
          <w:szCs w:val="22"/>
        </w:rPr>
        <w:t>We</w:t>
      </w:r>
      <w:r w:rsidRPr="00716249">
        <w:rPr>
          <w:rFonts w:eastAsia="Times"/>
          <w:szCs w:val="22"/>
        </w:rPr>
        <w:t xml:space="preserve"> recognize that this coordination requirement </w:t>
      </w:r>
      <w:r w:rsidR="00AF1B00">
        <w:rPr>
          <w:rFonts w:eastAsia="Times"/>
          <w:szCs w:val="22"/>
        </w:rPr>
        <w:t xml:space="preserve">may involve </w:t>
      </w:r>
      <w:r w:rsidR="007F60C1">
        <w:rPr>
          <w:rFonts w:eastAsia="Times"/>
          <w:szCs w:val="22"/>
        </w:rPr>
        <w:t xml:space="preserve">17/24 GHz </w:t>
      </w:r>
      <w:r w:rsidR="00AF1B00">
        <w:rPr>
          <w:rFonts w:eastAsia="Times"/>
          <w:szCs w:val="22"/>
        </w:rPr>
        <w:t>BSS receive earth stations</w:t>
      </w:r>
      <w:r w:rsidR="007F60C1">
        <w:rPr>
          <w:rFonts w:eastAsia="Times"/>
          <w:szCs w:val="22"/>
        </w:rPr>
        <w:t xml:space="preserve"> that are authorized pursuant to a “blanket” license, through which multiple earth stations may be operated anywhere in the licensed geographic area, often the entire United States.</w:t>
      </w:r>
      <w:r w:rsidR="00AF1B00">
        <w:rPr>
          <w:rStyle w:val="FootnoteReference"/>
          <w:rFonts w:eastAsia="Times"/>
          <w:szCs w:val="22"/>
        </w:rPr>
        <w:footnoteReference w:id="56"/>
      </w:r>
      <w:r w:rsidR="00AF1B00">
        <w:rPr>
          <w:rFonts w:eastAsia="Times"/>
          <w:szCs w:val="22"/>
        </w:rPr>
        <w:t xml:space="preserve"> </w:t>
      </w:r>
      <w:r w:rsidR="00FA64D8">
        <w:rPr>
          <w:rFonts w:eastAsia="Times"/>
          <w:szCs w:val="22"/>
        </w:rPr>
        <w:t xml:space="preserve"> </w:t>
      </w:r>
      <w:r w:rsidR="009D672C">
        <w:rPr>
          <w:rFonts w:eastAsia="Times"/>
          <w:szCs w:val="22"/>
        </w:rPr>
        <w:t xml:space="preserve">Authorization of 17/24 GHz BSS earth stations pursuant to blanket licenses </w:t>
      </w:r>
      <w:r w:rsidRPr="00716249">
        <w:rPr>
          <w:rFonts w:eastAsia="Times"/>
          <w:szCs w:val="22"/>
        </w:rPr>
        <w:t xml:space="preserve">raises the possibility that DBS licensees </w:t>
      </w:r>
      <w:r w:rsidR="00BA064D">
        <w:rPr>
          <w:rFonts w:eastAsia="Times"/>
          <w:szCs w:val="22"/>
        </w:rPr>
        <w:t xml:space="preserve">may be prevented from </w:t>
      </w:r>
      <w:r w:rsidRPr="00716249">
        <w:rPr>
          <w:rFonts w:eastAsia="Times"/>
          <w:szCs w:val="22"/>
        </w:rPr>
        <w:t>construct</w:t>
      </w:r>
      <w:r w:rsidR="00BA064D">
        <w:rPr>
          <w:rFonts w:eastAsia="Times"/>
          <w:szCs w:val="22"/>
        </w:rPr>
        <w:t>ing</w:t>
      </w:r>
      <w:r w:rsidRPr="00716249">
        <w:rPr>
          <w:rFonts w:eastAsia="Times"/>
          <w:szCs w:val="22"/>
        </w:rPr>
        <w:t xml:space="preserve"> new DBS </w:t>
      </w:r>
      <w:r w:rsidR="007717B8">
        <w:rPr>
          <w:rFonts w:eastAsia="Times"/>
          <w:szCs w:val="22"/>
        </w:rPr>
        <w:t>feeder-link</w:t>
      </w:r>
      <w:r w:rsidRPr="00716249">
        <w:rPr>
          <w:rFonts w:eastAsia="Times"/>
          <w:szCs w:val="22"/>
        </w:rPr>
        <w:t xml:space="preserve">s sites </w:t>
      </w:r>
      <w:r w:rsidR="00BA064D">
        <w:rPr>
          <w:rFonts w:eastAsia="Times"/>
          <w:szCs w:val="22"/>
        </w:rPr>
        <w:t>because</w:t>
      </w:r>
      <w:r w:rsidR="00AF1B00">
        <w:rPr>
          <w:rFonts w:eastAsia="Times"/>
          <w:szCs w:val="22"/>
        </w:rPr>
        <w:t xml:space="preserve"> </w:t>
      </w:r>
      <w:r w:rsidR="009C6330">
        <w:rPr>
          <w:rFonts w:eastAsia="Times"/>
          <w:szCs w:val="22"/>
        </w:rPr>
        <w:t>in principle a BSS blanket earth station license</w:t>
      </w:r>
      <w:r w:rsidR="00161218">
        <w:rPr>
          <w:rFonts w:eastAsia="Times"/>
          <w:szCs w:val="22"/>
        </w:rPr>
        <w:t>e</w:t>
      </w:r>
      <w:r w:rsidR="009C6330">
        <w:rPr>
          <w:rFonts w:eastAsia="Times"/>
          <w:szCs w:val="22"/>
        </w:rPr>
        <w:t xml:space="preserve"> is entitled to </w:t>
      </w:r>
      <w:r w:rsidR="00142BF6">
        <w:rPr>
          <w:rFonts w:eastAsia="Times"/>
          <w:szCs w:val="22"/>
        </w:rPr>
        <w:t>protection from interference at every point in the United States.</w:t>
      </w:r>
      <w:r w:rsidR="00C61325">
        <w:rPr>
          <w:rFonts w:eastAsia="Times"/>
          <w:szCs w:val="22"/>
        </w:rPr>
        <w:t xml:space="preserve"> </w:t>
      </w:r>
      <w:r w:rsidRPr="00716249">
        <w:rPr>
          <w:rFonts w:eastAsia="Times"/>
          <w:szCs w:val="22"/>
        </w:rPr>
        <w:t xml:space="preserve"> </w:t>
      </w:r>
      <w:r w:rsidR="00264345">
        <w:rPr>
          <w:rFonts w:eastAsia="Times"/>
          <w:szCs w:val="22"/>
        </w:rPr>
        <w:t>We remind licensees that the</w:t>
      </w:r>
      <w:r w:rsidR="00264345" w:rsidRPr="00716249">
        <w:rPr>
          <w:rFonts w:eastAsia="Times"/>
          <w:szCs w:val="22"/>
        </w:rPr>
        <w:t xml:space="preserve"> </w:t>
      </w:r>
      <w:r w:rsidRPr="00716249">
        <w:rPr>
          <w:rFonts w:eastAsia="Times"/>
          <w:szCs w:val="22"/>
        </w:rPr>
        <w:t xml:space="preserve">Commission has a long-standing </w:t>
      </w:r>
      <w:r>
        <w:rPr>
          <w:rFonts w:eastAsia="Times"/>
          <w:szCs w:val="22"/>
        </w:rPr>
        <w:t>policy</w:t>
      </w:r>
      <w:r w:rsidR="00264345">
        <w:rPr>
          <w:rFonts w:eastAsia="Times"/>
          <w:szCs w:val="22"/>
        </w:rPr>
        <w:t xml:space="preserve"> </w:t>
      </w:r>
      <w:r w:rsidRPr="00716249">
        <w:rPr>
          <w:rFonts w:eastAsia="Times"/>
          <w:szCs w:val="22"/>
        </w:rPr>
        <w:t>of expecting all parties to satellite system coordination to exercise good faith.</w:t>
      </w:r>
      <w:r w:rsidRPr="00716249">
        <w:rPr>
          <w:rStyle w:val="FootnoteReference"/>
          <w:rFonts w:eastAsia="Times"/>
          <w:szCs w:val="22"/>
        </w:rPr>
        <w:footnoteReference w:id="57"/>
      </w:r>
      <w:r w:rsidRPr="00716249">
        <w:rPr>
          <w:rFonts w:eastAsia="Times"/>
          <w:szCs w:val="22"/>
        </w:rPr>
        <w:t xml:space="preserve">  If any such </w:t>
      </w:r>
      <w:r w:rsidR="00BA064D">
        <w:rPr>
          <w:rFonts w:eastAsia="Times"/>
          <w:szCs w:val="22"/>
        </w:rPr>
        <w:t xml:space="preserve">coordination difficulty </w:t>
      </w:r>
      <w:r w:rsidRPr="00716249">
        <w:rPr>
          <w:rFonts w:eastAsia="Times"/>
          <w:szCs w:val="22"/>
        </w:rPr>
        <w:t xml:space="preserve">does arise, the International Bureau will </w:t>
      </w:r>
      <w:r w:rsidR="00BA064D">
        <w:rPr>
          <w:rFonts w:eastAsia="Times"/>
          <w:szCs w:val="22"/>
        </w:rPr>
        <w:t xml:space="preserve">be ready to work with the parties involved </w:t>
      </w:r>
      <w:r>
        <w:rPr>
          <w:rFonts w:eastAsia="Times"/>
          <w:szCs w:val="22"/>
        </w:rPr>
        <w:t xml:space="preserve">in order </w:t>
      </w:r>
      <w:r w:rsidRPr="00716249">
        <w:rPr>
          <w:rFonts w:eastAsia="Times"/>
          <w:szCs w:val="22"/>
        </w:rPr>
        <w:t xml:space="preserve">to ensure successful sharing </w:t>
      </w:r>
      <w:r w:rsidR="00AF1B00">
        <w:rPr>
          <w:rFonts w:eastAsia="Times"/>
          <w:szCs w:val="22"/>
        </w:rPr>
        <w:t>of</w:t>
      </w:r>
      <w:r w:rsidRPr="00716249">
        <w:rPr>
          <w:rFonts w:eastAsia="Times"/>
          <w:szCs w:val="22"/>
        </w:rPr>
        <w:t xml:space="preserve"> the 17 GHz band</w:t>
      </w:r>
      <w:r>
        <w:rPr>
          <w:rFonts w:eastAsia="Times"/>
          <w:szCs w:val="22"/>
        </w:rPr>
        <w:t>.</w:t>
      </w:r>
    </w:p>
    <w:p w14:paraId="51B8BC9F" w14:textId="77777777" w:rsidR="00AA257E" w:rsidRPr="00686B09" w:rsidRDefault="00AA257E" w:rsidP="00482A48">
      <w:pPr>
        <w:pStyle w:val="Heading2"/>
        <w:rPr>
          <w:rFonts w:eastAsia="Times"/>
        </w:rPr>
      </w:pPr>
      <w:bookmarkStart w:id="10" w:name="_Toc433797642"/>
      <w:r w:rsidRPr="00686B09">
        <w:rPr>
          <w:rFonts w:eastAsia="Times"/>
        </w:rPr>
        <w:t>Other Measures to Protect 17/24 GHz B</w:t>
      </w:r>
      <w:r w:rsidR="00FB0A0E" w:rsidRPr="00686B09">
        <w:rPr>
          <w:rFonts w:eastAsia="Times"/>
        </w:rPr>
        <w:t>S</w:t>
      </w:r>
      <w:r w:rsidRPr="00686B09">
        <w:rPr>
          <w:rFonts w:eastAsia="Times"/>
        </w:rPr>
        <w:t>S Operations</w:t>
      </w:r>
      <w:bookmarkEnd w:id="10"/>
    </w:p>
    <w:p w14:paraId="3728FEC6" w14:textId="4C9C72FB" w:rsidR="00801BDB" w:rsidRPr="00C0239F" w:rsidRDefault="00DA2E64" w:rsidP="003779A7">
      <w:pPr>
        <w:pStyle w:val="ParaNum"/>
        <w:rPr>
          <w:rFonts w:eastAsia="Times"/>
          <w:szCs w:val="22"/>
        </w:rPr>
      </w:pPr>
      <w:r>
        <w:rPr>
          <w:rFonts w:eastAsia="Times"/>
          <w:color w:val="000000"/>
          <w:szCs w:val="22"/>
        </w:rPr>
        <w:t xml:space="preserve">The </w:t>
      </w:r>
      <w:r w:rsidRPr="00F27255">
        <w:rPr>
          <w:rFonts w:eastAsia="Times"/>
          <w:i/>
          <w:color w:val="000000"/>
          <w:szCs w:val="22"/>
        </w:rPr>
        <w:t>FNPRM</w:t>
      </w:r>
      <w:r>
        <w:rPr>
          <w:rFonts w:eastAsia="Times"/>
          <w:color w:val="000000"/>
          <w:szCs w:val="22"/>
        </w:rPr>
        <w:t xml:space="preserve"> invited comment on whether any additional measures</w:t>
      </w:r>
      <w:r w:rsidR="008A3988">
        <w:rPr>
          <w:rFonts w:eastAsia="Times"/>
          <w:color w:val="000000"/>
          <w:szCs w:val="22"/>
        </w:rPr>
        <w:t xml:space="preserve"> were</w:t>
      </w:r>
      <w:r w:rsidR="00801BDB" w:rsidRPr="00BD5A9C">
        <w:rPr>
          <w:rFonts w:eastAsia="Times"/>
          <w:color w:val="000000"/>
          <w:szCs w:val="22"/>
        </w:rPr>
        <w:t xml:space="preserve"> necessary to protect 17/24 GHz BSS </w:t>
      </w:r>
      <w:r w:rsidR="00AF1B00">
        <w:rPr>
          <w:rFonts w:eastAsia="Times"/>
          <w:color w:val="000000"/>
          <w:szCs w:val="22"/>
        </w:rPr>
        <w:t xml:space="preserve">receive </w:t>
      </w:r>
      <w:r w:rsidR="00801BDB" w:rsidRPr="00BD5A9C">
        <w:rPr>
          <w:rFonts w:eastAsia="Times"/>
          <w:color w:val="000000"/>
          <w:szCs w:val="22"/>
        </w:rPr>
        <w:t>earth stations from harmful interference from DBS feeder</w:t>
      </w:r>
      <w:r>
        <w:rPr>
          <w:rFonts w:eastAsia="Times"/>
          <w:color w:val="000000"/>
          <w:szCs w:val="22"/>
        </w:rPr>
        <w:t>-</w:t>
      </w:r>
      <w:r w:rsidR="00801BDB" w:rsidRPr="00BD5A9C">
        <w:rPr>
          <w:rFonts w:eastAsia="Times"/>
          <w:color w:val="000000"/>
          <w:szCs w:val="22"/>
        </w:rPr>
        <w:t>link earth stations</w:t>
      </w:r>
      <w:r w:rsidR="001D4B56" w:rsidRPr="00BD5A9C">
        <w:rPr>
          <w:rFonts w:eastAsia="Times"/>
          <w:color w:val="000000"/>
          <w:szCs w:val="22"/>
        </w:rPr>
        <w:t xml:space="preserve">.  </w:t>
      </w:r>
      <w:r w:rsidR="00801BDB" w:rsidRPr="00F27255">
        <w:rPr>
          <w:rFonts w:eastAsia="Times"/>
          <w:color w:val="000000"/>
          <w:szCs w:val="22"/>
        </w:rPr>
        <w:t>Th</w:t>
      </w:r>
      <w:r>
        <w:rPr>
          <w:rFonts w:eastAsia="Times"/>
          <w:color w:val="000000"/>
          <w:szCs w:val="22"/>
        </w:rPr>
        <w:t>e</w:t>
      </w:r>
      <w:r w:rsidR="00801BDB" w:rsidRPr="00F27255">
        <w:rPr>
          <w:rFonts w:eastAsia="Times"/>
          <w:color w:val="000000"/>
          <w:szCs w:val="22"/>
        </w:rPr>
        <w:t xml:space="preserve">se </w:t>
      </w:r>
      <w:r w:rsidR="00264345">
        <w:rPr>
          <w:rFonts w:eastAsia="Times"/>
          <w:color w:val="000000"/>
          <w:szCs w:val="22"/>
        </w:rPr>
        <w:t xml:space="preserve">potential </w:t>
      </w:r>
      <w:r>
        <w:rPr>
          <w:rFonts w:eastAsia="Times"/>
          <w:color w:val="000000"/>
          <w:szCs w:val="22"/>
        </w:rPr>
        <w:t xml:space="preserve">additional </w:t>
      </w:r>
      <w:r w:rsidR="00801BDB" w:rsidRPr="00F27255">
        <w:rPr>
          <w:rFonts w:eastAsia="Times"/>
          <w:color w:val="000000"/>
          <w:szCs w:val="22"/>
        </w:rPr>
        <w:t>measures include</w:t>
      </w:r>
      <w:r w:rsidR="00A3625A">
        <w:rPr>
          <w:rFonts w:eastAsia="Times"/>
          <w:color w:val="000000"/>
          <w:szCs w:val="22"/>
        </w:rPr>
        <w:t>d</w:t>
      </w:r>
      <w:r w:rsidR="00801BDB" w:rsidRPr="00F27255">
        <w:rPr>
          <w:rFonts w:eastAsia="Times"/>
          <w:color w:val="000000"/>
          <w:szCs w:val="22"/>
        </w:rPr>
        <w:t xml:space="preserve">: (1) limits on DBS </w:t>
      </w:r>
      <w:r w:rsidR="007717B8">
        <w:rPr>
          <w:rFonts w:eastAsia="Times"/>
          <w:color w:val="000000"/>
          <w:szCs w:val="22"/>
        </w:rPr>
        <w:t>feeder-link</w:t>
      </w:r>
      <w:r w:rsidR="00801BDB" w:rsidRPr="00F27255">
        <w:rPr>
          <w:rFonts w:eastAsia="Times"/>
          <w:color w:val="000000"/>
          <w:szCs w:val="22"/>
        </w:rPr>
        <w:t xml:space="preserve"> earth station </w:t>
      </w:r>
      <w:r w:rsidR="00AF1B00">
        <w:rPr>
          <w:rFonts w:eastAsia="Times"/>
          <w:color w:val="000000"/>
          <w:szCs w:val="22"/>
        </w:rPr>
        <w:t>e.i.r.p.</w:t>
      </w:r>
      <w:r w:rsidR="00801BDB" w:rsidRPr="00F27255">
        <w:rPr>
          <w:rFonts w:eastAsia="Times"/>
          <w:color w:val="000000"/>
          <w:szCs w:val="22"/>
        </w:rPr>
        <w:t xml:space="preserve"> toward the horizon; (2) placement of new DBS </w:t>
      </w:r>
      <w:r w:rsidR="007717B8">
        <w:rPr>
          <w:rFonts w:eastAsia="Times"/>
          <w:color w:val="000000"/>
          <w:szCs w:val="22"/>
        </w:rPr>
        <w:t>feeder-link</w:t>
      </w:r>
      <w:r w:rsidR="00801BDB" w:rsidRPr="00F27255">
        <w:rPr>
          <w:rFonts w:eastAsia="Times"/>
          <w:color w:val="000000"/>
          <w:szCs w:val="22"/>
        </w:rPr>
        <w:t xml:space="preserve"> facilities in low-population density areas; (3) technical showing requirements for co-located DBS and 17/24 GHz BSS </w:t>
      </w:r>
      <w:r w:rsidR="00AF1B00">
        <w:rPr>
          <w:rFonts w:eastAsia="Times"/>
          <w:color w:val="000000"/>
          <w:szCs w:val="22"/>
        </w:rPr>
        <w:t xml:space="preserve">receive </w:t>
      </w:r>
      <w:r w:rsidR="00801BDB" w:rsidRPr="00F27255">
        <w:rPr>
          <w:rFonts w:eastAsia="Times"/>
          <w:color w:val="000000"/>
          <w:szCs w:val="22"/>
        </w:rPr>
        <w:t>earth stations; and (4) antenna shielding requirements</w:t>
      </w:r>
      <w:r w:rsidR="001D4B56" w:rsidRPr="00F27255">
        <w:rPr>
          <w:rFonts w:eastAsia="Times"/>
          <w:color w:val="000000"/>
          <w:szCs w:val="22"/>
        </w:rPr>
        <w:t>.</w:t>
      </w:r>
      <w:r>
        <w:rPr>
          <w:rStyle w:val="FootnoteReference"/>
          <w:rFonts w:eastAsia="Times"/>
          <w:color w:val="000000"/>
          <w:szCs w:val="22"/>
        </w:rPr>
        <w:footnoteReference w:id="58"/>
      </w:r>
      <w:r w:rsidR="001D4B56" w:rsidRPr="00BD5A9C">
        <w:rPr>
          <w:rFonts w:eastAsia="Times"/>
          <w:color w:val="000000"/>
          <w:szCs w:val="22"/>
        </w:rPr>
        <w:t xml:space="preserve">  </w:t>
      </w:r>
    </w:p>
    <w:p w14:paraId="3AC2B1B2" w14:textId="77777777" w:rsidR="00C0239F" w:rsidRPr="00F27255" w:rsidRDefault="00C0239F" w:rsidP="003779A7">
      <w:pPr>
        <w:pStyle w:val="ParaNum"/>
        <w:rPr>
          <w:rFonts w:eastAsia="Times"/>
          <w:szCs w:val="22"/>
        </w:rPr>
      </w:pPr>
      <w:r>
        <w:rPr>
          <w:rFonts w:eastAsia="Times"/>
          <w:color w:val="000000"/>
          <w:szCs w:val="22"/>
        </w:rPr>
        <w:t xml:space="preserve">Commenters generally stated that </w:t>
      </w:r>
      <w:r>
        <w:rPr>
          <w:szCs w:val="24"/>
        </w:rPr>
        <w:t xml:space="preserve">once the </w:t>
      </w:r>
      <w:r w:rsidRPr="00287682">
        <w:rPr>
          <w:szCs w:val="24"/>
        </w:rPr>
        <w:t>coordination</w:t>
      </w:r>
      <w:r>
        <w:rPr>
          <w:szCs w:val="24"/>
        </w:rPr>
        <w:t xml:space="preserve"> requirement has been triggered per the methodology discussed above, </w:t>
      </w:r>
      <w:r w:rsidRPr="00287682">
        <w:rPr>
          <w:szCs w:val="24"/>
        </w:rPr>
        <w:t>the parties</w:t>
      </w:r>
      <w:r>
        <w:rPr>
          <w:szCs w:val="24"/>
        </w:rPr>
        <w:t xml:space="preserve"> to that coordination</w:t>
      </w:r>
      <w:r w:rsidRPr="00287682">
        <w:rPr>
          <w:szCs w:val="24"/>
        </w:rPr>
        <w:t xml:space="preserve"> should have flexibility with respect to how potential interference is evaluated and resolved.</w:t>
      </w:r>
      <w:r>
        <w:rPr>
          <w:rStyle w:val="FootnoteReference"/>
          <w:szCs w:val="24"/>
        </w:rPr>
        <w:footnoteReference w:id="59"/>
      </w:r>
      <w:r>
        <w:rPr>
          <w:szCs w:val="24"/>
        </w:rPr>
        <w:t xml:space="preserve">  </w:t>
      </w:r>
      <w:r>
        <w:rPr>
          <w:iCs/>
          <w:szCs w:val="24"/>
        </w:rPr>
        <w:t xml:space="preserve">DIRECTV advocated </w:t>
      </w:r>
      <w:r w:rsidRPr="00AF43CB">
        <w:t>limiting new DBS feeder</w:t>
      </w:r>
      <w:r w:rsidR="00FF1108">
        <w:t>-</w:t>
      </w:r>
      <w:r w:rsidRPr="00AF43CB">
        <w:t xml:space="preserve">links to areas with a low population density and mandating the use of </w:t>
      </w:r>
      <w:r>
        <w:t>artificial or natural shielding,</w:t>
      </w:r>
      <w:r w:rsidRPr="00AF43CB">
        <w:rPr>
          <w:rStyle w:val="FootnoteReference"/>
        </w:rPr>
        <w:footnoteReference w:id="60"/>
      </w:r>
      <w:r>
        <w:t xml:space="preserve"> but all other commenters opposed these measures, arguing </w:t>
      </w:r>
      <w:r w:rsidRPr="00905D84">
        <w:t>that</w:t>
      </w:r>
      <w:r w:rsidRPr="00905D84">
        <w:rPr>
          <w:color w:val="000000"/>
          <w:sz w:val="23"/>
          <w:szCs w:val="23"/>
        </w:rPr>
        <w:t xml:space="preserve"> the Commission should not prejudge the means by which interference challenges are addressed between operators</w:t>
      </w:r>
      <w:r>
        <w:t>.</w:t>
      </w:r>
      <w:r w:rsidRPr="00905D84">
        <w:rPr>
          <w:rStyle w:val="FootnoteReference"/>
        </w:rPr>
        <w:footnoteReference w:id="61"/>
      </w:r>
    </w:p>
    <w:p w14:paraId="5A27C33E" w14:textId="56DB1FBA" w:rsidR="00DA2E64" w:rsidRPr="00BD5A9C" w:rsidRDefault="00DA2E64" w:rsidP="0052065F">
      <w:pPr>
        <w:pStyle w:val="ParaNum"/>
        <w:keepNext/>
        <w:widowControl/>
        <w:rPr>
          <w:rFonts w:eastAsia="Times"/>
          <w:szCs w:val="22"/>
        </w:rPr>
      </w:pPr>
      <w:r>
        <w:rPr>
          <w:rFonts w:eastAsia="Times"/>
          <w:szCs w:val="22"/>
        </w:rPr>
        <w:t>We decline to adopt any additional interference mitigation measures.</w:t>
      </w:r>
      <w:r w:rsidRPr="00DA2E64">
        <w:rPr>
          <w:szCs w:val="24"/>
        </w:rPr>
        <w:t xml:space="preserve"> </w:t>
      </w:r>
      <w:r>
        <w:rPr>
          <w:szCs w:val="24"/>
        </w:rPr>
        <w:t xml:space="preserve"> We agree with commenters </w:t>
      </w:r>
      <w:r w:rsidR="002543D9">
        <w:rPr>
          <w:szCs w:val="24"/>
        </w:rPr>
        <w:t xml:space="preserve">who assert </w:t>
      </w:r>
      <w:r>
        <w:rPr>
          <w:szCs w:val="24"/>
        </w:rPr>
        <w:t xml:space="preserve">that </w:t>
      </w:r>
      <w:r w:rsidR="00C70A81">
        <w:rPr>
          <w:szCs w:val="24"/>
        </w:rPr>
        <w:t xml:space="preserve">the coordination methodology we adopt here is sufficient to prevent harmful ground path interference between DBS feeder-link earth stations and BSS receive </w:t>
      </w:r>
      <w:r w:rsidR="00AF1B00">
        <w:rPr>
          <w:szCs w:val="24"/>
        </w:rPr>
        <w:t xml:space="preserve">earth </w:t>
      </w:r>
      <w:r w:rsidR="00C70A81">
        <w:rPr>
          <w:szCs w:val="24"/>
        </w:rPr>
        <w:t>stations.</w:t>
      </w:r>
      <w:r w:rsidR="00686B09">
        <w:rPr>
          <w:rStyle w:val="FootnoteReference"/>
          <w:szCs w:val="24"/>
        </w:rPr>
        <w:footnoteReference w:id="62"/>
      </w:r>
      <w:r w:rsidR="00C70A81">
        <w:rPr>
          <w:szCs w:val="24"/>
        </w:rPr>
        <w:t xml:space="preserve">  </w:t>
      </w:r>
      <w:r>
        <w:rPr>
          <w:szCs w:val="24"/>
        </w:rPr>
        <w:t>We also agree with commenters that t</w:t>
      </w:r>
      <w:r w:rsidR="00AD2D9B">
        <w:rPr>
          <w:szCs w:val="24"/>
        </w:rPr>
        <w:t>his flexible approach is prefer</w:t>
      </w:r>
      <w:r>
        <w:rPr>
          <w:szCs w:val="24"/>
        </w:rPr>
        <w:t xml:space="preserve">able to </w:t>
      </w:r>
      <w:r w:rsidR="00AD2D9B">
        <w:rPr>
          <w:szCs w:val="24"/>
        </w:rPr>
        <w:t xml:space="preserve">the alternative of </w:t>
      </w:r>
      <w:r>
        <w:rPr>
          <w:szCs w:val="24"/>
        </w:rPr>
        <w:t>adopt</w:t>
      </w:r>
      <w:r w:rsidR="00AD2D9B">
        <w:rPr>
          <w:szCs w:val="24"/>
        </w:rPr>
        <w:t>ing</w:t>
      </w:r>
      <w:r>
        <w:rPr>
          <w:szCs w:val="24"/>
        </w:rPr>
        <w:t xml:space="preserve"> “across-the-board rules” to mitigate inference</w:t>
      </w:r>
      <w:r w:rsidR="00AD2D9B">
        <w:rPr>
          <w:szCs w:val="24"/>
        </w:rPr>
        <w:t>, such as</w:t>
      </w:r>
      <w:r>
        <w:rPr>
          <w:szCs w:val="24"/>
        </w:rPr>
        <w:t xml:space="preserve"> </w:t>
      </w:r>
      <w:r w:rsidR="00AD2D9B">
        <w:rPr>
          <w:szCs w:val="24"/>
        </w:rPr>
        <w:t>requiring</w:t>
      </w:r>
      <w:r>
        <w:rPr>
          <w:szCs w:val="24"/>
        </w:rPr>
        <w:t xml:space="preserve"> new DBS feeder-lin</w:t>
      </w:r>
      <w:r w:rsidR="00AD2D9B">
        <w:rPr>
          <w:szCs w:val="24"/>
        </w:rPr>
        <w:t xml:space="preserve">k earth stations to be located </w:t>
      </w:r>
      <w:r w:rsidR="00AD2D9B" w:rsidRPr="009B76E9">
        <w:t>in rural areas, employ shielding</w:t>
      </w:r>
      <w:r w:rsidR="00C70A81">
        <w:t>,</w:t>
      </w:r>
      <w:r w:rsidR="00AD2D9B" w:rsidRPr="009B76E9">
        <w:t xml:space="preserve"> or comply with e.i.r.p. limits.</w:t>
      </w:r>
      <w:r w:rsidR="00AD2D9B" w:rsidRPr="009B76E9">
        <w:rPr>
          <w:rStyle w:val="FootnoteReference"/>
        </w:rPr>
        <w:footnoteReference w:id="63"/>
      </w:r>
      <w:r>
        <w:rPr>
          <w:iCs/>
          <w:szCs w:val="24"/>
        </w:rPr>
        <w:t xml:space="preserve">  </w:t>
      </w:r>
      <w:r w:rsidR="00AD2D9B">
        <w:t xml:space="preserve">We agree </w:t>
      </w:r>
      <w:r w:rsidR="001913C9">
        <w:t xml:space="preserve">that </w:t>
      </w:r>
      <w:r w:rsidR="001913C9" w:rsidRPr="00905D84">
        <w:t xml:space="preserve">affected parties </w:t>
      </w:r>
      <w:r w:rsidR="001913C9">
        <w:t xml:space="preserve">should have the flexibility </w:t>
      </w:r>
      <w:r w:rsidR="001913C9" w:rsidRPr="00905D84">
        <w:t>to make decisions regarding the siting, shielding, and power le</w:t>
      </w:r>
      <w:r w:rsidR="001913C9">
        <w:t>vels of proposed new DBS feeder-</w:t>
      </w:r>
      <w:r w:rsidR="001913C9" w:rsidRPr="00905D84">
        <w:t xml:space="preserve">link </w:t>
      </w:r>
      <w:r w:rsidR="001913C9">
        <w:t>earth stations</w:t>
      </w:r>
      <w:r w:rsidR="001913C9" w:rsidRPr="00905D84">
        <w:t xml:space="preserve"> based on the facts and coordination considerations in each individual case</w:t>
      </w:r>
      <w:r w:rsidR="001913C9">
        <w:t xml:space="preserve">, rather than prescribing </w:t>
      </w:r>
      <w:r w:rsidR="001913C9">
        <w:rPr>
          <w:szCs w:val="24"/>
        </w:rPr>
        <w:t xml:space="preserve">“across-the-board” </w:t>
      </w:r>
      <w:r w:rsidR="001913C9">
        <w:t>limits on the deployment of such new feeder-link stations.</w:t>
      </w:r>
    </w:p>
    <w:p w14:paraId="427A0999" w14:textId="77777777" w:rsidR="00AA257E" w:rsidRDefault="00AA257E" w:rsidP="00025B8A">
      <w:pPr>
        <w:pStyle w:val="Heading1"/>
      </w:pPr>
      <w:bookmarkStart w:id="11" w:name="_Toc433797643"/>
      <w:r>
        <w:t>PROCEDURAL MATTERS</w:t>
      </w:r>
      <w:bookmarkEnd w:id="11"/>
    </w:p>
    <w:p w14:paraId="5ECF17E2" w14:textId="77777777" w:rsidR="00685E3A" w:rsidRPr="00685E3A" w:rsidRDefault="00685E3A" w:rsidP="0094764C">
      <w:pPr>
        <w:keepNext/>
        <w:numPr>
          <w:ilvl w:val="1"/>
          <w:numId w:val="6"/>
        </w:numPr>
        <w:spacing w:after="120"/>
        <w:outlineLvl w:val="1"/>
        <w:rPr>
          <w:b/>
        </w:rPr>
      </w:pPr>
      <w:bookmarkStart w:id="12" w:name="_Toc325638368"/>
      <w:bookmarkStart w:id="13" w:name="_Toc325639291"/>
      <w:bookmarkStart w:id="14" w:name="_Toc325642491"/>
      <w:bookmarkStart w:id="15" w:name="_Toc325729214"/>
      <w:bookmarkStart w:id="16" w:name="_Toc326061825"/>
      <w:bookmarkStart w:id="17" w:name="_Toc327465107"/>
      <w:bookmarkStart w:id="18" w:name="_Toc327554012"/>
      <w:bookmarkStart w:id="19" w:name="_Toc327554167"/>
      <w:bookmarkStart w:id="20" w:name="_Toc331003396"/>
      <w:bookmarkStart w:id="21" w:name="_Toc331172669"/>
      <w:bookmarkStart w:id="22" w:name="_Toc331761082"/>
      <w:bookmarkStart w:id="23" w:name="_Toc331778184"/>
      <w:bookmarkStart w:id="24" w:name="_Toc332799675"/>
      <w:bookmarkStart w:id="25" w:name="_Toc334112117"/>
      <w:bookmarkStart w:id="26" w:name="_Toc334720625"/>
      <w:bookmarkStart w:id="27" w:name="_Toc335924677"/>
      <w:bookmarkStart w:id="28" w:name="_Toc338344661"/>
      <w:bookmarkStart w:id="29" w:name="_Toc338344754"/>
      <w:bookmarkStart w:id="30" w:name="_Toc338429505"/>
      <w:bookmarkStart w:id="31" w:name="_Toc352840422"/>
      <w:bookmarkStart w:id="32" w:name="_Toc388020699"/>
      <w:bookmarkStart w:id="33" w:name="_Toc388020824"/>
      <w:bookmarkStart w:id="34" w:name="_Toc416333600"/>
      <w:r w:rsidRPr="00685E3A">
        <w:rPr>
          <w:b/>
        </w:rPr>
        <w:t>Regulatory Flexibility</w:t>
      </w:r>
      <w:bookmarkEnd w:id="12"/>
      <w:bookmarkEnd w:id="13"/>
      <w:bookmarkEnd w:id="14"/>
      <w:bookmarkEnd w:id="15"/>
      <w:r w:rsidRPr="00685E3A">
        <w:rPr>
          <w:b/>
        </w:rPr>
        <w:t xml:space="preserve"> Act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9D4291E" w14:textId="4C144603" w:rsidR="00685E3A" w:rsidRPr="00685E3A" w:rsidRDefault="00685E3A" w:rsidP="003779A7">
      <w:pPr>
        <w:pStyle w:val="ParaNum"/>
      </w:pPr>
      <w:r w:rsidRPr="00685E3A">
        <w:rPr>
          <w:szCs w:val="22"/>
        </w:rPr>
        <w:t>As</w:t>
      </w:r>
      <w:r w:rsidRPr="00685E3A">
        <w:t xml:space="preserve"> required by the Regulatory Flexibility Act, 5 U.S.C. § 603, </w:t>
      </w:r>
      <w:r w:rsidR="00BA2181">
        <w:t>an Initial Regulatory Flexibility Analysis was incorporated into</w:t>
      </w:r>
      <w:r w:rsidR="0064512C">
        <w:t xml:space="preserve"> the </w:t>
      </w:r>
      <w:r w:rsidR="0064512C">
        <w:rPr>
          <w:i/>
        </w:rPr>
        <w:t>FNPRM</w:t>
      </w:r>
      <w:r w:rsidR="0064512C">
        <w:t>.</w:t>
      </w:r>
      <w:r w:rsidR="00BA2181">
        <w:t xml:space="preserve">  Pursuant to the Regulatory Flexibility Act of 1980, as amended, t</w:t>
      </w:r>
      <w:r w:rsidRPr="00685E3A">
        <w:t xml:space="preserve">he Commission has prepared a Final Regulatory Flexibility Analysis (FRFA) regarding the possible significant economic impact on a substantial number of small entities of the rules adopted in this </w:t>
      </w:r>
      <w:r w:rsidR="002543D9">
        <w:rPr>
          <w:i/>
        </w:rPr>
        <w:t xml:space="preserve">Third </w:t>
      </w:r>
      <w:r w:rsidRPr="00685E3A">
        <w:rPr>
          <w:i/>
        </w:rPr>
        <w:t>Report and Order</w:t>
      </w:r>
      <w:r w:rsidRPr="00685E3A">
        <w:t xml:space="preserve">.  The FRFA is set forth in Appendix </w:t>
      </w:r>
      <w:r w:rsidR="00CC68C3">
        <w:t>C</w:t>
      </w:r>
      <w:r w:rsidRPr="00685E3A">
        <w:t xml:space="preserve">.  </w:t>
      </w:r>
    </w:p>
    <w:p w14:paraId="6B3A52F1" w14:textId="77777777" w:rsidR="00685E3A" w:rsidRPr="00685E3A" w:rsidRDefault="00685E3A" w:rsidP="0094764C">
      <w:pPr>
        <w:keepNext/>
        <w:numPr>
          <w:ilvl w:val="1"/>
          <w:numId w:val="6"/>
        </w:numPr>
        <w:spacing w:after="120"/>
        <w:outlineLvl w:val="1"/>
        <w:rPr>
          <w:b/>
        </w:rPr>
      </w:pPr>
      <w:bookmarkStart w:id="35" w:name="_Toc325638369"/>
      <w:bookmarkStart w:id="36" w:name="_Toc325639292"/>
      <w:bookmarkStart w:id="37" w:name="_Toc325642492"/>
      <w:bookmarkStart w:id="38" w:name="_Toc325729215"/>
      <w:bookmarkStart w:id="39" w:name="_Toc326061826"/>
      <w:bookmarkStart w:id="40" w:name="_Toc327465108"/>
      <w:bookmarkStart w:id="41" w:name="_Toc327554013"/>
      <w:bookmarkStart w:id="42" w:name="_Toc327554168"/>
      <w:bookmarkStart w:id="43" w:name="_Toc331003397"/>
      <w:bookmarkStart w:id="44" w:name="_Toc331172670"/>
      <w:bookmarkStart w:id="45" w:name="_Toc331761083"/>
      <w:bookmarkStart w:id="46" w:name="_Toc331778185"/>
      <w:bookmarkStart w:id="47" w:name="_Toc332799676"/>
      <w:bookmarkStart w:id="48" w:name="_Toc334112118"/>
      <w:bookmarkStart w:id="49" w:name="_Toc334720626"/>
      <w:bookmarkStart w:id="50" w:name="_Toc335924678"/>
      <w:bookmarkStart w:id="51" w:name="_Toc338344662"/>
      <w:bookmarkStart w:id="52" w:name="_Toc338344755"/>
      <w:bookmarkStart w:id="53" w:name="_Toc338429506"/>
      <w:bookmarkStart w:id="54" w:name="_Toc352840423"/>
      <w:bookmarkStart w:id="55" w:name="_Toc388020700"/>
      <w:bookmarkStart w:id="56" w:name="_Toc388020825"/>
      <w:bookmarkStart w:id="57" w:name="_Toc416333601"/>
      <w:r w:rsidRPr="00685E3A">
        <w:rPr>
          <w:b/>
        </w:rPr>
        <w:t>Paperwork Reduction Act of 1995</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85E3A">
        <w:rPr>
          <w:b/>
        </w:rPr>
        <w:t xml:space="preserve"> </w:t>
      </w:r>
    </w:p>
    <w:p w14:paraId="378CC8BC" w14:textId="5921E8E3" w:rsidR="00B34260" w:rsidRDefault="00B34260" w:rsidP="003779A7">
      <w:pPr>
        <w:pStyle w:val="ParaNum"/>
        <w:rPr>
          <w:sz w:val="20"/>
        </w:rPr>
      </w:pPr>
      <w:r w:rsidRPr="00B34260">
        <w:rPr>
          <w:szCs w:val="22"/>
        </w:rPr>
        <w:t>This</w:t>
      </w:r>
      <w:r>
        <w:t xml:space="preserve"> </w:t>
      </w:r>
      <w:r w:rsidR="00BA2181">
        <w:t xml:space="preserve">Report and Order </w:t>
      </w:r>
      <w:r>
        <w:t xml:space="preserve">contains new or modified information collection requirements subject to the Paperwork Reduction Act of 1995 (PRA), Public Law 104-13.  </w:t>
      </w:r>
      <w:r w:rsidR="00BA2181">
        <w:t xml:space="preserve">The requirements </w:t>
      </w:r>
      <w:r>
        <w:t xml:space="preserve">will be submitted to the Office of Management and Budget (OMB) for review under Section 3507(d) of the PRA.  OMB, the general public, and other Federal agencies are invited to comment on the new or modified information collection requirements contained in this proceeding.  </w:t>
      </w:r>
    </w:p>
    <w:p w14:paraId="2EFD9E67" w14:textId="7D346D23" w:rsidR="00685E3A" w:rsidRPr="00685E3A" w:rsidRDefault="00B34260" w:rsidP="003779A7">
      <w:pPr>
        <w:pStyle w:val="ParaNum"/>
      </w:pPr>
      <w:r>
        <w:t xml:space="preserve">Pursuant to the Small Business Paperwork Relief Act of 2002, Public Law 107-198, see 44 U.S.C. 3506(c)(4), we previously sought specific comment on how the Commission might further reduce the information collection burden for small business concerns with fewer than 25 employees.  We received no comments on this issue.  We have assessed the effects of the revisions adopted that might impose information collection burdens on small business concerns, and find that the impact on businesses with fewer than 25 employees will be minimal.  </w:t>
      </w:r>
    </w:p>
    <w:p w14:paraId="52B2A18B" w14:textId="77777777" w:rsidR="00AA257E" w:rsidRDefault="00AA257E" w:rsidP="00025B8A">
      <w:pPr>
        <w:pStyle w:val="Heading1"/>
      </w:pPr>
      <w:bookmarkStart w:id="58" w:name="_Toc433797644"/>
      <w:r>
        <w:t>ORDERING CLAUSES</w:t>
      </w:r>
      <w:bookmarkEnd w:id="58"/>
    </w:p>
    <w:p w14:paraId="29EC4051" w14:textId="77777777" w:rsidR="00685E3A" w:rsidRPr="00713FC3" w:rsidRDefault="00F02907" w:rsidP="003779A7">
      <w:pPr>
        <w:pStyle w:val="ParaNum"/>
      </w:pPr>
      <w:r>
        <w:rPr>
          <w:szCs w:val="22"/>
        </w:rPr>
        <w:t xml:space="preserve">Accordingly, </w:t>
      </w:r>
      <w:r w:rsidRPr="006E177A">
        <w:rPr>
          <w:szCs w:val="22"/>
        </w:rPr>
        <w:t xml:space="preserve">IT IS ORDERED that, pursuant to the authority contained in Sections 1, 4(i), 4(j), 7(a), 301, 303(c), 303(f), 303(g), 303(r), 303(y), and 308 of the Communications Act of 1934, as amended, 47 U.S.C. </w:t>
      </w:r>
      <w:r>
        <w:rPr>
          <w:szCs w:val="22"/>
        </w:rPr>
        <w:t xml:space="preserve">§§ </w:t>
      </w:r>
      <w:r w:rsidRPr="006E177A">
        <w:rPr>
          <w:szCs w:val="22"/>
        </w:rPr>
        <w:t xml:space="preserve">151, 154(i), 154(j), 157(a), 301, 303(c), 303(f), 303(g), 303(r), 303(y), 308, this </w:t>
      </w:r>
      <w:r>
        <w:rPr>
          <w:i/>
          <w:szCs w:val="22"/>
        </w:rPr>
        <w:t xml:space="preserve">Third </w:t>
      </w:r>
      <w:r w:rsidRPr="00204B6B">
        <w:rPr>
          <w:i/>
          <w:szCs w:val="22"/>
        </w:rPr>
        <w:t>Report and Order</w:t>
      </w:r>
      <w:r>
        <w:rPr>
          <w:szCs w:val="22"/>
        </w:rPr>
        <w:t xml:space="preserve"> </w:t>
      </w:r>
      <w:r w:rsidRPr="006E177A">
        <w:rPr>
          <w:szCs w:val="22"/>
        </w:rPr>
        <w:t>IS ADOPTED.</w:t>
      </w:r>
    </w:p>
    <w:p w14:paraId="676C2FB3" w14:textId="56526531" w:rsidR="00685E3A" w:rsidRPr="00713FC3" w:rsidRDefault="00685E3A" w:rsidP="003779A7">
      <w:pPr>
        <w:pStyle w:val="ParaNum"/>
      </w:pPr>
      <w:r w:rsidRPr="00713FC3">
        <w:t>IT IS FURTHER ORDERED that Part</w:t>
      </w:r>
      <w:r w:rsidR="00AD5A07">
        <w:t xml:space="preserve"> 25</w:t>
      </w:r>
      <w:r w:rsidRPr="00713FC3">
        <w:t xml:space="preserve"> of the Commission’s Rules, 47 </w:t>
      </w:r>
      <w:r w:rsidR="007717B8">
        <w:t>CFR</w:t>
      </w:r>
      <w:r w:rsidRPr="00713FC3">
        <w:t xml:space="preserve"> </w:t>
      </w:r>
      <w:r>
        <w:t>25</w:t>
      </w:r>
      <w:r w:rsidRPr="00713FC3">
        <w:t xml:space="preserve"> </w:t>
      </w:r>
      <w:r>
        <w:t>IS</w:t>
      </w:r>
      <w:r w:rsidRPr="00713FC3">
        <w:t xml:space="preserve"> AM</w:t>
      </w:r>
      <w:r>
        <w:t>ENDED as specified in Appendix B</w:t>
      </w:r>
      <w:r w:rsidRPr="00713FC3">
        <w:t>.</w:t>
      </w:r>
    </w:p>
    <w:p w14:paraId="3C6EE2C9" w14:textId="00A266C9" w:rsidR="00685E3A" w:rsidRPr="00713FC3" w:rsidRDefault="00685E3A" w:rsidP="003779A7">
      <w:pPr>
        <w:pStyle w:val="ParaNum"/>
      </w:pPr>
      <w:r w:rsidRPr="003F4FB5">
        <w:t>IT</w:t>
      </w:r>
      <w:r w:rsidRPr="00713FC3">
        <w:t xml:space="preserve"> IS FURTHER ORDERED that</w:t>
      </w:r>
      <w:r w:rsidR="00EF6951">
        <w:t xml:space="preserve"> this Third Report and Order SHALL BE </w:t>
      </w:r>
      <w:r w:rsidR="00EF6951" w:rsidRPr="00713FC3">
        <w:t xml:space="preserve">effective </w:t>
      </w:r>
      <w:r w:rsidR="00EF6951">
        <w:t>30</w:t>
      </w:r>
      <w:r w:rsidR="00EF6951" w:rsidRPr="00713FC3">
        <w:t xml:space="preserve"> days after publication in the Federal Register</w:t>
      </w:r>
      <w:r w:rsidR="00EF6951">
        <w:t xml:space="preserve">, except </w:t>
      </w:r>
      <w:r w:rsidRPr="00713FC3">
        <w:t>the amendments to section</w:t>
      </w:r>
      <w:r w:rsidR="002543D9">
        <w:t xml:space="preserve">s 25.108 and </w:t>
      </w:r>
      <w:r>
        <w:t>25.203</w:t>
      </w:r>
      <w:r w:rsidRPr="00713FC3">
        <w:t xml:space="preserve">, 47 </w:t>
      </w:r>
      <w:r w:rsidR="007717B8">
        <w:t>CFR</w:t>
      </w:r>
      <w:r w:rsidRPr="00713FC3">
        <w:t xml:space="preserve"> §</w:t>
      </w:r>
      <w:r w:rsidR="002543D9">
        <w:t>§</w:t>
      </w:r>
      <w:r>
        <w:t xml:space="preserve"> </w:t>
      </w:r>
      <w:r w:rsidR="002543D9">
        <w:t xml:space="preserve">25.108 and </w:t>
      </w:r>
      <w:r>
        <w:t>25.203</w:t>
      </w:r>
      <w:r w:rsidRPr="00713FC3">
        <w:t>, which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p>
    <w:p w14:paraId="453ED93A" w14:textId="77777777" w:rsidR="00685E3A" w:rsidRPr="00713FC3" w:rsidRDefault="00685E3A" w:rsidP="0052065F">
      <w:pPr>
        <w:pStyle w:val="ParaNum"/>
        <w:keepNext/>
        <w:widowControl/>
      </w:pPr>
      <w:r w:rsidRPr="003F4FB5">
        <w:t>IT</w:t>
      </w:r>
      <w:r w:rsidRPr="00713FC3">
        <w:t xml:space="preserve"> IS FURTHER ORDERED that, pursuant to Section 801(a)(1)(A) of the Congressional Review Act, 5 U.S.C. § 801(a)(1)(A), the Commission SHALL SEND a copy of this Report and Order to Congress and to the Government Accountability Office.</w:t>
      </w:r>
    </w:p>
    <w:p w14:paraId="4B6F0DC1" w14:textId="4B27B2E1" w:rsidR="00A72047" w:rsidRDefault="00685E3A" w:rsidP="003779A7">
      <w:pPr>
        <w:pStyle w:val="ParaNum"/>
      </w:pPr>
      <w:r w:rsidRPr="003F4FB5">
        <w:t>IT</w:t>
      </w:r>
      <w:r w:rsidRPr="00713FC3">
        <w:t xml:space="preserve"> IS FURTHER ORDERED that the Commission’s Consumer and Governmental Affairs Bureau, Reference Information Center, SHALL SEND a copy of this </w:t>
      </w:r>
      <w:r w:rsidR="00EF6951">
        <w:t xml:space="preserve">Third </w:t>
      </w:r>
      <w:r w:rsidRPr="00713FC3">
        <w:t>Report and Order,</w:t>
      </w:r>
    </w:p>
    <w:p w14:paraId="4D063DD3" w14:textId="77777777" w:rsidR="00A72047" w:rsidRDefault="00A72047">
      <w:pPr>
        <w:widowControl/>
      </w:pPr>
      <w:r>
        <w:br w:type="page"/>
      </w:r>
    </w:p>
    <w:p w14:paraId="4E9F2A54" w14:textId="77777777" w:rsidR="00A72047" w:rsidRDefault="00A72047" w:rsidP="00A72047">
      <w:pPr>
        <w:pStyle w:val="ParaNum"/>
        <w:numPr>
          <w:ilvl w:val="0"/>
          <w:numId w:val="0"/>
        </w:numPr>
        <w:ind w:left="720"/>
      </w:pPr>
    </w:p>
    <w:p w14:paraId="1720696E" w14:textId="79B2E0A5" w:rsidR="00685E3A" w:rsidRPr="00713FC3" w:rsidRDefault="00685E3A" w:rsidP="00A72047">
      <w:pPr>
        <w:widowControl/>
      </w:pPr>
      <w:r w:rsidRPr="00713FC3">
        <w:t>including the Final Regulatory Flexibility Analysis, to the Chief Counsel for Advocacy of the Small Business Administration.</w:t>
      </w:r>
    </w:p>
    <w:p w14:paraId="3EB082FA" w14:textId="77777777" w:rsidR="00205BE8" w:rsidRDefault="00205BE8" w:rsidP="0017296B">
      <w:r>
        <w:tab/>
      </w:r>
      <w:r>
        <w:tab/>
      </w:r>
      <w:r>
        <w:tab/>
      </w:r>
      <w:r>
        <w:tab/>
      </w:r>
      <w:r>
        <w:tab/>
      </w:r>
      <w:r>
        <w:tab/>
        <w:t>FEDERAL COMMUNICATIONS COMMISSION</w:t>
      </w:r>
    </w:p>
    <w:p w14:paraId="647EC1EA" w14:textId="77777777" w:rsidR="007B6724" w:rsidRDefault="007B6724" w:rsidP="0017296B"/>
    <w:p w14:paraId="6DE2110F" w14:textId="77777777" w:rsidR="007B6724" w:rsidRDefault="007B6724" w:rsidP="0017296B"/>
    <w:p w14:paraId="14B5719A" w14:textId="77777777" w:rsidR="007B6724" w:rsidRDefault="007B6724" w:rsidP="0017296B"/>
    <w:p w14:paraId="1574DF79" w14:textId="77777777" w:rsidR="00205BE8" w:rsidRDefault="00205BE8" w:rsidP="0017296B">
      <w:r>
        <w:tab/>
      </w:r>
      <w:r>
        <w:tab/>
      </w:r>
      <w:r>
        <w:tab/>
      </w:r>
      <w:r>
        <w:tab/>
      </w:r>
      <w:r>
        <w:tab/>
      </w:r>
      <w:r>
        <w:tab/>
        <w:t>Marlene H. Dortch</w:t>
      </w:r>
    </w:p>
    <w:p w14:paraId="5710081A" w14:textId="77777777" w:rsidR="00C55220" w:rsidRDefault="00205BE8" w:rsidP="00A72047">
      <w:pPr>
        <w:sectPr w:rsidR="00C55220" w:rsidSect="008E022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cols w:space="720"/>
          <w:titlePg/>
        </w:sectPr>
      </w:pPr>
      <w:r>
        <w:tab/>
      </w:r>
      <w:r>
        <w:tab/>
      </w:r>
      <w:r>
        <w:tab/>
      </w:r>
      <w:r>
        <w:tab/>
      </w:r>
      <w:r>
        <w:tab/>
      </w:r>
      <w:r>
        <w:tab/>
        <w:t>Secretary</w:t>
      </w:r>
    </w:p>
    <w:p w14:paraId="79521111" w14:textId="04B11F11" w:rsidR="00C55220" w:rsidRPr="00EE551A" w:rsidRDefault="008328AF" w:rsidP="00C55220">
      <w:pPr>
        <w:spacing w:after="120"/>
        <w:ind w:left="3600" w:firstLine="720"/>
        <w:rPr>
          <w:b/>
        </w:rPr>
      </w:pPr>
      <w:r>
        <w:rPr>
          <w:b/>
        </w:rPr>
        <w:t>APPENDIX</w:t>
      </w:r>
      <w:r w:rsidR="00C55220" w:rsidRPr="00EE551A">
        <w:rPr>
          <w:b/>
        </w:rPr>
        <w:t xml:space="preserve"> A</w:t>
      </w:r>
    </w:p>
    <w:p w14:paraId="5C65A72B" w14:textId="77777777" w:rsidR="00C55220" w:rsidRPr="00EE551A" w:rsidRDefault="00C55220" w:rsidP="00C55220">
      <w:pPr>
        <w:tabs>
          <w:tab w:val="left" w:pos="1440"/>
        </w:tabs>
        <w:spacing w:after="220"/>
        <w:ind w:firstLine="270"/>
        <w:jc w:val="center"/>
      </w:pPr>
      <w:r w:rsidRPr="00EE551A">
        <w:rPr>
          <w:b/>
        </w:rPr>
        <w:t>List of Commenters</w:t>
      </w:r>
    </w:p>
    <w:p w14:paraId="42CB0F56" w14:textId="77777777" w:rsidR="00C55220" w:rsidRPr="00EE551A" w:rsidRDefault="00C55220" w:rsidP="00C55220">
      <w:pPr>
        <w:tabs>
          <w:tab w:val="left" w:pos="1440"/>
        </w:tabs>
        <w:spacing w:after="220"/>
        <w:ind w:firstLine="270"/>
      </w:pPr>
      <w:r w:rsidRPr="00EE551A">
        <w:t>Comments were filed by:</w:t>
      </w:r>
    </w:p>
    <w:p w14:paraId="0318339B" w14:textId="77777777" w:rsidR="00C55220" w:rsidRPr="00EE551A" w:rsidRDefault="00C55220" w:rsidP="00C55220">
      <w:pPr>
        <w:tabs>
          <w:tab w:val="left" w:pos="1440"/>
        </w:tabs>
        <w:ind w:firstLine="270"/>
      </w:pPr>
      <w:r w:rsidRPr="00EE551A">
        <w:t>DIRECTV, Inc.</w:t>
      </w:r>
    </w:p>
    <w:p w14:paraId="52808139" w14:textId="77777777" w:rsidR="00C55220" w:rsidRPr="00EE551A" w:rsidRDefault="00C55220" w:rsidP="00C55220">
      <w:pPr>
        <w:tabs>
          <w:tab w:val="left" w:pos="1440"/>
        </w:tabs>
        <w:ind w:firstLine="270"/>
      </w:pPr>
      <w:r w:rsidRPr="00EE551A">
        <w:t>EchoStar Satellite LLC</w:t>
      </w:r>
    </w:p>
    <w:p w14:paraId="26EA3F3A" w14:textId="77777777" w:rsidR="00C55220" w:rsidRPr="00EE551A" w:rsidRDefault="00C55220" w:rsidP="00C55220">
      <w:pPr>
        <w:tabs>
          <w:tab w:val="left" w:pos="1440"/>
        </w:tabs>
        <w:ind w:firstLine="270"/>
      </w:pPr>
      <w:r w:rsidRPr="00EE551A">
        <w:t>SES Americom, Inc.</w:t>
      </w:r>
    </w:p>
    <w:p w14:paraId="0388648C" w14:textId="77777777" w:rsidR="00C55220" w:rsidRPr="00EE551A" w:rsidRDefault="00C55220" w:rsidP="00C55220">
      <w:pPr>
        <w:tabs>
          <w:tab w:val="left" w:pos="1440"/>
        </w:tabs>
        <w:ind w:firstLine="270"/>
      </w:pPr>
    </w:p>
    <w:p w14:paraId="2286057C" w14:textId="77777777" w:rsidR="00C55220" w:rsidRPr="00EE551A" w:rsidRDefault="00C55220" w:rsidP="00C55220">
      <w:pPr>
        <w:tabs>
          <w:tab w:val="left" w:pos="1440"/>
        </w:tabs>
        <w:ind w:firstLine="270"/>
      </w:pPr>
      <w:r w:rsidRPr="00EE551A">
        <w:t>Reply comments were filed by:</w:t>
      </w:r>
    </w:p>
    <w:p w14:paraId="0A8D297C" w14:textId="77777777" w:rsidR="00C55220" w:rsidRPr="00EE551A" w:rsidRDefault="00C55220" w:rsidP="00C55220">
      <w:pPr>
        <w:tabs>
          <w:tab w:val="left" w:pos="1440"/>
        </w:tabs>
        <w:ind w:firstLine="270"/>
      </w:pPr>
    </w:p>
    <w:p w14:paraId="647D3FCE" w14:textId="77777777" w:rsidR="00C55220" w:rsidRPr="00EE551A" w:rsidRDefault="00C55220" w:rsidP="00C55220">
      <w:pPr>
        <w:tabs>
          <w:tab w:val="left" w:pos="1440"/>
        </w:tabs>
        <w:ind w:firstLine="270"/>
      </w:pPr>
      <w:r w:rsidRPr="00EE551A">
        <w:t>DIRECTV, Inc.</w:t>
      </w:r>
    </w:p>
    <w:p w14:paraId="34059FCC" w14:textId="77777777" w:rsidR="00C55220" w:rsidRPr="00EE551A" w:rsidRDefault="00C55220" w:rsidP="00C55220">
      <w:pPr>
        <w:tabs>
          <w:tab w:val="left" w:pos="1440"/>
        </w:tabs>
        <w:ind w:firstLine="270"/>
      </w:pPr>
      <w:r w:rsidRPr="00EE551A">
        <w:t>SES Americom, Inc.</w:t>
      </w:r>
    </w:p>
    <w:p w14:paraId="56D02668" w14:textId="77777777" w:rsidR="00C55220" w:rsidRPr="00EE551A" w:rsidRDefault="00C55220" w:rsidP="00C55220">
      <w:pPr>
        <w:tabs>
          <w:tab w:val="left" w:pos="1440"/>
        </w:tabs>
        <w:ind w:firstLine="270"/>
      </w:pPr>
    </w:p>
    <w:p w14:paraId="0A5E40B2" w14:textId="77777777" w:rsidR="00C55220" w:rsidRPr="00EE551A" w:rsidRDefault="00C55220" w:rsidP="00C55220">
      <w:pPr>
        <w:tabs>
          <w:tab w:val="left" w:pos="1440"/>
        </w:tabs>
        <w:ind w:firstLine="270"/>
      </w:pPr>
      <w:r w:rsidRPr="00EE551A">
        <w:t>Supplementary comments were filed by:</w:t>
      </w:r>
    </w:p>
    <w:p w14:paraId="5CE4A921" w14:textId="77777777" w:rsidR="00C55220" w:rsidRPr="00EE551A" w:rsidRDefault="00C55220" w:rsidP="00C55220">
      <w:pPr>
        <w:tabs>
          <w:tab w:val="left" w:pos="1440"/>
        </w:tabs>
        <w:ind w:firstLine="270"/>
      </w:pPr>
    </w:p>
    <w:p w14:paraId="4B39473B" w14:textId="77777777" w:rsidR="00C55220" w:rsidRPr="00EE551A" w:rsidRDefault="00C55220" w:rsidP="00C55220">
      <w:pPr>
        <w:tabs>
          <w:tab w:val="left" w:pos="1440"/>
        </w:tabs>
        <w:ind w:firstLine="270"/>
      </w:pPr>
      <w:r w:rsidRPr="00EE551A">
        <w:t>AT&amp;T Services, Inc.</w:t>
      </w:r>
    </w:p>
    <w:p w14:paraId="6F6E8004" w14:textId="77777777" w:rsidR="00C55220" w:rsidRPr="00EE551A" w:rsidRDefault="00C55220" w:rsidP="00C55220">
      <w:pPr>
        <w:tabs>
          <w:tab w:val="left" w:pos="1440"/>
        </w:tabs>
        <w:ind w:firstLine="270"/>
      </w:pPr>
      <w:r w:rsidRPr="00EE551A">
        <w:t>EchoStar Satellite Operating Corporation and DISH Network L.L.C.</w:t>
      </w:r>
    </w:p>
    <w:p w14:paraId="7D3214A2" w14:textId="77777777" w:rsidR="00C55220" w:rsidRPr="00EE551A" w:rsidRDefault="00C55220" w:rsidP="00C55220">
      <w:pPr>
        <w:tabs>
          <w:tab w:val="left" w:pos="1440"/>
        </w:tabs>
        <w:ind w:firstLine="270"/>
      </w:pPr>
      <w:r w:rsidRPr="00EE551A">
        <w:t>SES Americom, Inc.</w:t>
      </w:r>
    </w:p>
    <w:p w14:paraId="054E7C5F" w14:textId="77777777" w:rsidR="00C55220" w:rsidRPr="00EE551A" w:rsidRDefault="00C55220" w:rsidP="00C55220">
      <w:pPr>
        <w:tabs>
          <w:tab w:val="left" w:pos="1440"/>
        </w:tabs>
        <w:ind w:firstLine="270"/>
      </w:pPr>
    </w:p>
    <w:p w14:paraId="2F06032F" w14:textId="77777777" w:rsidR="00C55220" w:rsidRPr="00EE551A" w:rsidRDefault="00C55220" w:rsidP="00C55220">
      <w:pPr>
        <w:tabs>
          <w:tab w:val="left" w:pos="1440"/>
        </w:tabs>
        <w:ind w:firstLine="270"/>
      </w:pPr>
      <w:r w:rsidRPr="00EE551A">
        <w:t>Supplementary reply comments were filed by:</w:t>
      </w:r>
    </w:p>
    <w:p w14:paraId="14B4DE2B" w14:textId="77777777" w:rsidR="00C55220" w:rsidRPr="00EE551A" w:rsidRDefault="00C55220" w:rsidP="00C55220">
      <w:pPr>
        <w:tabs>
          <w:tab w:val="left" w:pos="1440"/>
        </w:tabs>
        <w:ind w:firstLine="270"/>
      </w:pPr>
    </w:p>
    <w:p w14:paraId="79BBE505" w14:textId="77777777" w:rsidR="00C55220" w:rsidRPr="00EE551A" w:rsidRDefault="00C55220" w:rsidP="00C55220">
      <w:pPr>
        <w:tabs>
          <w:tab w:val="left" w:pos="1440"/>
        </w:tabs>
        <w:ind w:firstLine="270"/>
      </w:pPr>
      <w:r w:rsidRPr="00EE551A">
        <w:t>AT&amp;T Services, Inc.</w:t>
      </w:r>
    </w:p>
    <w:p w14:paraId="106EEF5E" w14:textId="77777777" w:rsidR="00120662" w:rsidRDefault="00C55220" w:rsidP="00120662">
      <w:pPr>
        <w:tabs>
          <w:tab w:val="left" w:pos="1440"/>
        </w:tabs>
        <w:ind w:firstLine="270"/>
        <w:rPr>
          <w:rFonts w:eastAsiaTheme="minorHAnsi"/>
          <w:szCs w:val="22"/>
        </w:rPr>
        <w:sectPr w:rsidR="00120662" w:rsidSect="00C55220">
          <w:footerReference w:type="first" r:id="rId14"/>
          <w:footnotePr>
            <w:numRestart w:val="eachSect"/>
          </w:footnotePr>
          <w:pgSz w:w="12240" w:h="15840"/>
          <w:pgMar w:top="1440" w:right="1440" w:bottom="720" w:left="1440" w:header="720" w:footer="720" w:gutter="0"/>
          <w:cols w:space="720"/>
          <w:titlePg/>
        </w:sectPr>
      </w:pPr>
      <w:r w:rsidRPr="00EE551A">
        <w:rPr>
          <w:rFonts w:eastAsiaTheme="minorHAnsi"/>
          <w:szCs w:val="22"/>
        </w:rPr>
        <w:t>SES Americom, Inc.</w:t>
      </w:r>
    </w:p>
    <w:p w14:paraId="78D83CFA" w14:textId="7F1F1C39" w:rsidR="00120662" w:rsidRPr="00120662" w:rsidRDefault="00120662" w:rsidP="00120662">
      <w:pPr>
        <w:tabs>
          <w:tab w:val="left" w:pos="1440"/>
        </w:tabs>
        <w:spacing w:after="220"/>
        <w:ind w:firstLine="270"/>
        <w:jc w:val="center"/>
        <w:rPr>
          <w:b/>
        </w:rPr>
      </w:pPr>
      <w:r w:rsidRPr="00120662">
        <w:rPr>
          <w:b/>
        </w:rPr>
        <w:t>A</w:t>
      </w:r>
      <w:r w:rsidR="008328AF">
        <w:rPr>
          <w:b/>
        </w:rPr>
        <w:t>PPENDIX</w:t>
      </w:r>
      <w:r w:rsidRPr="00120662">
        <w:rPr>
          <w:b/>
        </w:rPr>
        <w:t xml:space="preserve"> B</w:t>
      </w:r>
    </w:p>
    <w:p w14:paraId="1AA84C51" w14:textId="63CCC7D7" w:rsidR="00120662" w:rsidRPr="00120662" w:rsidRDefault="00120662" w:rsidP="00120662">
      <w:pPr>
        <w:tabs>
          <w:tab w:val="left" w:pos="1440"/>
        </w:tabs>
        <w:spacing w:after="220"/>
        <w:ind w:firstLine="270"/>
        <w:jc w:val="center"/>
        <w:rPr>
          <w:b/>
        </w:rPr>
      </w:pPr>
      <w:r w:rsidRPr="00120662">
        <w:rPr>
          <w:b/>
        </w:rPr>
        <w:t>F</w:t>
      </w:r>
      <w:r w:rsidR="001B7690">
        <w:rPr>
          <w:b/>
        </w:rPr>
        <w:t>inal</w:t>
      </w:r>
      <w:r w:rsidRPr="00120662">
        <w:rPr>
          <w:b/>
        </w:rPr>
        <w:t xml:space="preserve"> R</w:t>
      </w:r>
      <w:r w:rsidR="001B7690">
        <w:rPr>
          <w:b/>
        </w:rPr>
        <w:t>ules</w:t>
      </w:r>
    </w:p>
    <w:p w14:paraId="45847EE4" w14:textId="77777777" w:rsidR="00120662" w:rsidRPr="00120662" w:rsidRDefault="00120662" w:rsidP="00120662">
      <w:pPr>
        <w:tabs>
          <w:tab w:val="left" w:pos="1440"/>
        </w:tabs>
        <w:spacing w:after="220"/>
      </w:pPr>
      <w:r w:rsidRPr="00120662">
        <w:t>The Federal Communications Commission amends Title 47 of the Code of Federal Regulations, Part 25, as follows:</w:t>
      </w:r>
    </w:p>
    <w:p w14:paraId="0704C4E7" w14:textId="77777777" w:rsidR="00120662" w:rsidRPr="00120662" w:rsidRDefault="00120662" w:rsidP="00120662">
      <w:pPr>
        <w:tabs>
          <w:tab w:val="left" w:pos="1440"/>
        </w:tabs>
        <w:spacing w:after="220"/>
        <w:ind w:firstLine="270"/>
        <w:jc w:val="center"/>
        <w:rPr>
          <w:b/>
        </w:rPr>
      </w:pPr>
      <w:r w:rsidRPr="00120662">
        <w:rPr>
          <w:b/>
        </w:rPr>
        <w:t>PART 25 – SATELLITE COMMUNICATIONS</w:t>
      </w:r>
    </w:p>
    <w:p w14:paraId="5D027DC0" w14:textId="77777777" w:rsidR="00120662" w:rsidRPr="00120662" w:rsidRDefault="00120662" w:rsidP="00120662">
      <w:pPr>
        <w:keepNext/>
        <w:spacing w:after="220"/>
        <w:ind w:firstLine="270"/>
        <w:outlineLvl w:val="2"/>
      </w:pPr>
      <w:r w:rsidRPr="00120662">
        <w:t>1.  The authority citation for Part 25 continues to read as follows:</w:t>
      </w:r>
    </w:p>
    <w:p w14:paraId="439F128E" w14:textId="77777777" w:rsidR="00120662" w:rsidRPr="00120662" w:rsidRDefault="00120662" w:rsidP="00120662">
      <w:r w:rsidRPr="00120662">
        <w:t>Authority:  Interprets or applies 47 U.S.C. 154, 301, 302, 303, 307, 309, 310, 319, 332, 605, and 721 unless otherwise noted.</w:t>
      </w:r>
    </w:p>
    <w:p w14:paraId="4897A954" w14:textId="77777777" w:rsidR="00120662" w:rsidRPr="00120662" w:rsidRDefault="00120662" w:rsidP="00120662"/>
    <w:p w14:paraId="7D47C9E3" w14:textId="77777777" w:rsidR="00120662" w:rsidRPr="00120662" w:rsidRDefault="00120662" w:rsidP="00120662">
      <w:pPr>
        <w:keepNext/>
        <w:spacing w:after="220"/>
        <w:ind w:firstLine="270"/>
        <w:outlineLvl w:val="2"/>
        <w:rPr>
          <w:b/>
          <w:szCs w:val="22"/>
        </w:rPr>
      </w:pPr>
      <w:r w:rsidRPr="00120662">
        <w:t>2.</w:t>
      </w:r>
      <w:r w:rsidRPr="00120662">
        <w:rPr>
          <w:b/>
        </w:rPr>
        <w:t xml:space="preserve">  </w:t>
      </w:r>
      <w:r w:rsidRPr="00120662">
        <w:t xml:space="preserve">In </w:t>
      </w:r>
      <w:r w:rsidRPr="00120662">
        <w:rPr>
          <w:szCs w:val="22"/>
        </w:rPr>
        <w:t>§ 25.108, add paragraph (b)(2) to read as follows:</w:t>
      </w:r>
    </w:p>
    <w:p w14:paraId="46190984" w14:textId="77777777" w:rsidR="00120662" w:rsidRPr="00120662" w:rsidRDefault="00120662" w:rsidP="00120662">
      <w:pPr>
        <w:keepNext/>
        <w:spacing w:after="220"/>
        <w:outlineLvl w:val="2"/>
        <w:rPr>
          <w:b/>
          <w:szCs w:val="22"/>
        </w:rPr>
      </w:pPr>
      <w:r w:rsidRPr="00120662">
        <w:rPr>
          <w:szCs w:val="22"/>
        </w:rPr>
        <w:t xml:space="preserve">     </w:t>
      </w:r>
      <w:r w:rsidRPr="00120662">
        <w:rPr>
          <w:b/>
          <w:szCs w:val="22"/>
        </w:rPr>
        <w:t>* * * * *</w:t>
      </w:r>
    </w:p>
    <w:p w14:paraId="498EF720" w14:textId="77777777" w:rsidR="00120662" w:rsidRPr="00120662" w:rsidRDefault="00120662" w:rsidP="00120662">
      <w:pPr>
        <w:keepNext/>
        <w:spacing w:after="220"/>
        <w:ind w:firstLine="270"/>
        <w:outlineLvl w:val="2"/>
        <w:rPr>
          <w:szCs w:val="22"/>
        </w:rPr>
      </w:pPr>
      <w:r w:rsidRPr="00120662">
        <w:rPr>
          <w:szCs w:val="22"/>
        </w:rPr>
        <w:t xml:space="preserve">(2)  ITU Radio Regulations, Volume 2: Appendices, Appendix 7, “Methods for the determination of the coordination areas around an earth station in the frequency bands between 100 MHz and 105 GHz,” Edition of 2012, </w:t>
      </w:r>
      <w:r w:rsidRPr="00120662">
        <w:rPr>
          <w:i/>
          <w:iCs/>
          <w:szCs w:val="22"/>
        </w:rPr>
        <w:t>http://www.itu.int/pub/R-REG-RR-2012.</w:t>
      </w:r>
      <w:r w:rsidRPr="00120662">
        <w:rPr>
          <w:szCs w:val="22"/>
        </w:rPr>
        <w:t xml:space="preserve"> Incorporation by reference approved for §25.203(m).</w:t>
      </w:r>
    </w:p>
    <w:p w14:paraId="0CAB6F3A" w14:textId="77777777" w:rsidR="00120662" w:rsidRPr="00120662" w:rsidRDefault="00120662" w:rsidP="00120662">
      <w:pPr>
        <w:keepNext/>
        <w:spacing w:after="220"/>
        <w:ind w:firstLine="270"/>
        <w:outlineLvl w:val="2"/>
        <w:rPr>
          <w:szCs w:val="22"/>
        </w:rPr>
      </w:pPr>
      <w:r w:rsidRPr="00120662">
        <w:rPr>
          <w:szCs w:val="22"/>
        </w:rPr>
        <w:t>* * * * *</w:t>
      </w:r>
    </w:p>
    <w:p w14:paraId="27D6CD6D" w14:textId="77777777" w:rsidR="00120662" w:rsidRPr="00120662" w:rsidRDefault="00120662" w:rsidP="00120662">
      <w:pPr>
        <w:keepNext/>
        <w:spacing w:after="220"/>
        <w:ind w:firstLine="270"/>
        <w:outlineLvl w:val="2"/>
        <w:rPr>
          <w:szCs w:val="22"/>
        </w:rPr>
      </w:pPr>
      <w:r w:rsidRPr="00120662">
        <w:rPr>
          <w:szCs w:val="22"/>
        </w:rPr>
        <w:t xml:space="preserve">3.  Amend subparagraphs (2), (3), (4), and (5) of § 25.108(b) to be subparagraphs (3), (4), (5), and (6) respectively. </w:t>
      </w:r>
    </w:p>
    <w:p w14:paraId="7693A1C4" w14:textId="77777777" w:rsidR="00120662" w:rsidRPr="00120662" w:rsidRDefault="00120662" w:rsidP="00120662">
      <w:pPr>
        <w:keepNext/>
        <w:spacing w:after="220"/>
        <w:ind w:firstLine="270"/>
        <w:outlineLvl w:val="2"/>
        <w:rPr>
          <w:szCs w:val="22"/>
        </w:rPr>
      </w:pPr>
      <w:r w:rsidRPr="00120662">
        <w:rPr>
          <w:szCs w:val="22"/>
        </w:rPr>
        <w:t>4.  In § 25.203, add paragraph (m) to read as follows:</w:t>
      </w:r>
    </w:p>
    <w:p w14:paraId="18B1CDDF" w14:textId="77777777" w:rsidR="00120662" w:rsidRPr="00120662" w:rsidRDefault="00120662" w:rsidP="00120662">
      <w:pPr>
        <w:tabs>
          <w:tab w:val="left" w:pos="1440"/>
        </w:tabs>
        <w:spacing w:after="220"/>
        <w:ind w:firstLine="270"/>
        <w:jc w:val="both"/>
        <w:rPr>
          <w:b/>
          <w:szCs w:val="22"/>
        </w:rPr>
      </w:pPr>
      <w:r w:rsidRPr="00120662">
        <w:rPr>
          <w:b/>
          <w:szCs w:val="22"/>
        </w:rPr>
        <w:t>* * * * *</w:t>
      </w:r>
    </w:p>
    <w:p w14:paraId="7833AC9D" w14:textId="77777777" w:rsidR="00120662" w:rsidRPr="00120662" w:rsidRDefault="00120662" w:rsidP="00120662">
      <w:pPr>
        <w:tabs>
          <w:tab w:val="left" w:pos="1440"/>
        </w:tabs>
        <w:spacing w:after="220"/>
        <w:jc w:val="both"/>
      </w:pPr>
      <w:r w:rsidRPr="00120662">
        <w:t xml:space="preserve">(m) Feeder links to DBS space stations  </w:t>
      </w:r>
    </w:p>
    <w:p w14:paraId="7172039C" w14:textId="77777777" w:rsidR="00120662" w:rsidRPr="00120662" w:rsidRDefault="00120662" w:rsidP="00120662">
      <w:pPr>
        <w:rPr>
          <w:rFonts w:eastAsia="Times"/>
          <w:color w:val="000000"/>
          <w:szCs w:val="22"/>
        </w:rPr>
      </w:pPr>
      <w:r w:rsidRPr="00120662">
        <w:t xml:space="preserve">(1)  Each applicant for a license to construct a new FSS earth station to provide feeder-link service to DBS space stations in the frequency band 17.3-17.8 GHz, or to modify any such station currently authorized except where the modification is for a new station within one kilometer of a currently-licensed earth station and modification will not increase the aggregate pfd, measured at any point 3-10 meters above the ground, above that generated by the current earth station, shall identify a coordination zone around its proposed new or modified earth station by </w:t>
      </w:r>
      <w:r w:rsidRPr="00120662">
        <w:rPr>
          <w:rFonts w:eastAsia="Times"/>
          <w:color w:val="000000"/>
          <w:szCs w:val="22"/>
        </w:rPr>
        <w:t>the methodology outlined in Annex 3 of Appendix 7 of the ITU Radio Regulations, using the following values for the parameters in Table 9b of Annex 7 of Appendix 7:</w:t>
      </w:r>
    </w:p>
    <w:p w14:paraId="3E016C30" w14:textId="77777777" w:rsidR="00120662" w:rsidRPr="00120662" w:rsidRDefault="00120662" w:rsidP="00120662">
      <w:pPr>
        <w:rPr>
          <w:rFonts w:eastAsia="Times"/>
          <w:color w:val="000000"/>
          <w:szCs w:val="22"/>
        </w:rPr>
      </w:pPr>
      <w:r w:rsidRPr="00120662">
        <w:rPr>
          <w:rFonts w:eastAsia="Times"/>
          <w:color w:val="000000"/>
          <w:szCs w:val="22"/>
        </w:rPr>
        <w:br w:type="page"/>
      </w:r>
    </w:p>
    <w:tbl>
      <w:tblPr>
        <w:tblStyle w:val="TableGrid"/>
        <w:tblW w:w="0" w:type="auto"/>
        <w:tblLayout w:type="fixed"/>
        <w:tblLook w:val="04A0" w:firstRow="1" w:lastRow="0" w:firstColumn="1" w:lastColumn="0" w:noHBand="0" w:noVBand="1"/>
      </w:tblPr>
      <w:tblGrid>
        <w:gridCol w:w="1345"/>
        <w:gridCol w:w="900"/>
        <w:gridCol w:w="2070"/>
        <w:gridCol w:w="1684"/>
        <w:gridCol w:w="26"/>
        <w:gridCol w:w="1852"/>
      </w:tblGrid>
      <w:tr w:rsidR="00120662" w:rsidRPr="00120662" w14:paraId="6B411D3B" w14:textId="77777777" w:rsidTr="00240AC4">
        <w:tc>
          <w:tcPr>
            <w:tcW w:w="2245" w:type="dxa"/>
            <w:gridSpan w:val="2"/>
          </w:tcPr>
          <w:p w14:paraId="57A0324C" w14:textId="77777777" w:rsidR="00120662" w:rsidRPr="00120662" w:rsidRDefault="00120662" w:rsidP="00120662">
            <w:pPr>
              <w:rPr>
                <w:rFonts w:eastAsia="Times"/>
                <w:color w:val="000000"/>
                <w:sz w:val="20"/>
              </w:rPr>
            </w:pPr>
            <w:r w:rsidRPr="00120662">
              <w:rPr>
                <w:rFonts w:eastAsia="Times"/>
                <w:color w:val="000000"/>
                <w:sz w:val="20"/>
              </w:rPr>
              <w:t>Space service designation in which the transmitting earth station operates</w:t>
            </w:r>
          </w:p>
        </w:tc>
        <w:tc>
          <w:tcPr>
            <w:tcW w:w="5632" w:type="dxa"/>
            <w:gridSpan w:val="4"/>
          </w:tcPr>
          <w:p w14:paraId="37B664AD" w14:textId="77777777" w:rsidR="00120662" w:rsidRPr="00120662" w:rsidRDefault="00120662" w:rsidP="00120662">
            <w:pPr>
              <w:jc w:val="center"/>
              <w:rPr>
                <w:rFonts w:eastAsia="Times"/>
                <w:color w:val="000000"/>
                <w:sz w:val="20"/>
              </w:rPr>
            </w:pPr>
            <w:r w:rsidRPr="00120662">
              <w:rPr>
                <w:rFonts w:eastAsia="Times"/>
                <w:color w:val="000000"/>
                <w:sz w:val="20"/>
              </w:rPr>
              <w:t>Fixed-satellite</w:t>
            </w:r>
          </w:p>
        </w:tc>
      </w:tr>
      <w:tr w:rsidR="00120662" w:rsidRPr="00120662" w14:paraId="7A7EE7EE" w14:textId="77777777" w:rsidTr="00240AC4">
        <w:tc>
          <w:tcPr>
            <w:tcW w:w="2245" w:type="dxa"/>
            <w:gridSpan w:val="2"/>
          </w:tcPr>
          <w:p w14:paraId="3C0B5F36" w14:textId="77777777" w:rsidR="00120662" w:rsidRPr="00120662" w:rsidRDefault="00120662" w:rsidP="00120662">
            <w:pPr>
              <w:rPr>
                <w:rFonts w:eastAsia="Times"/>
                <w:color w:val="000000"/>
                <w:sz w:val="20"/>
              </w:rPr>
            </w:pPr>
            <w:r w:rsidRPr="00120662">
              <w:rPr>
                <w:rFonts w:eastAsia="Times"/>
                <w:color w:val="000000"/>
                <w:sz w:val="20"/>
              </w:rPr>
              <w:t>Frequency bands (GHz)</w:t>
            </w:r>
          </w:p>
        </w:tc>
        <w:tc>
          <w:tcPr>
            <w:tcW w:w="5632" w:type="dxa"/>
            <w:gridSpan w:val="4"/>
          </w:tcPr>
          <w:p w14:paraId="1B508159" w14:textId="77777777" w:rsidR="00120662" w:rsidRPr="00120662" w:rsidRDefault="00120662" w:rsidP="00120662">
            <w:pPr>
              <w:jc w:val="center"/>
              <w:rPr>
                <w:rFonts w:eastAsia="Times"/>
                <w:color w:val="000000"/>
                <w:sz w:val="20"/>
              </w:rPr>
            </w:pPr>
            <w:r w:rsidRPr="00120662">
              <w:rPr>
                <w:rFonts w:eastAsia="Times"/>
                <w:color w:val="000000"/>
                <w:sz w:val="20"/>
              </w:rPr>
              <w:t>17.3-17.8</w:t>
            </w:r>
          </w:p>
        </w:tc>
      </w:tr>
      <w:tr w:rsidR="00120662" w:rsidRPr="00120662" w14:paraId="011208A2" w14:textId="77777777" w:rsidTr="00240AC4">
        <w:tc>
          <w:tcPr>
            <w:tcW w:w="2245" w:type="dxa"/>
            <w:gridSpan w:val="2"/>
          </w:tcPr>
          <w:p w14:paraId="719482EE" w14:textId="77777777" w:rsidR="00120662" w:rsidRPr="00120662" w:rsidRDefault="00120662" w:rsidP="00120662">
            <w:pPr>
              <w:rPr>
                <w:rFonts w:eastAsia="Times"/>
                <w:color w:val="000000"/>
                <w:sz w:val="20"/>
              </w:rPr>
            </w:pPr>
            <w:r w:rsidRPr="00120662">
              <w:rPr>
                <w:rFonts w:eastAsia="Times"/>
                <w:color w:val="000000"/>
                <w:sz w:val="20"/>
              </w:rPr>
              <w:t>Space service designation in which the receiving earth station operates</w:t>
            </w:r>
          </w:p>
        </w:tc>
        <w:tc>
          <w:tcPr>
            <w:tcW w:w="5632" w:type="dxa"/>
            <w:gridSpan w:val="4"/>
          </w:tcPr>
          <w:p w14:paraId="696FCCD5" w14:textId="77777777" w:rsidR="00120662" w:rsidRPr="00120662" w:rsidRDefault="00120662" w:rsidP="00120662">
            <w:pPr>
              <w:jc w:val="center"/>
              <w:rPr>
                <w:rFonts w:eastAsia="Times"/>
                <w:color w:val="000000"/>
                <w:sz w:val="20"/>
              </w:rPr>
            </w:pPr>
            <w:r w:rsidRPr="00120662">
              <w:rPr>
                <w:rFonts w:eastAsia="Times"/>
                <w:color w:val="000000"/>
                <w:sz w:val="20"/>
              </w:rPr>
              <w:t>Broadcasting-satellite</w:t>
            </w:r>
          </w:p>
        </w:tc>
      </w:tr>
      <w:tr w:rsidR="00120662" w:rsidRPr="00120662" w14:paraId="5B6F37D9" w14:textId="77777777" w:rsidTr="00240AC4">
        <w:tc>
          <w:tcPr>
            <w:tcW w:w="2245" w:type="dxa"/>
            <w:gridSpan w:val="2"/>
          </w:tcPr>
          <w:p w14:paraId="2BE1EEFE" w14:textId="77777777" w:rsidR="00120662" w:rsidRPr="00120662" w:rsidRDefault="00120662" w:rsidP="00120662">
            <w:pPr>
              <w:rPr>
                <w:rFonts w:eastAsia="Times"/>
                <w:color w:val="000000"/>
                <w:sz w:val="20"/>
              </w:rPr>
            </w:pPr>
            <w:r w:rsidRPr="00120662">
              <w:rPr>
                <w:rFonts w:eastAsia="Times"/>
                <w:color w:val="000000"/>
                <w:sz w:val="20"/>
              </w:rPr>
              <w:t>Orbit</w:t>
            </w:r>
          </w:p>
        </w:tc>
        <w:tc>
          <w:tcPr>
            <w:tcW w:w="5632" w:type="dxa"/>
            <w:gridSpan w:val="4"/>
          </w:tcPr>
          <w:p w14:paraId="159A4C56" w14:textId="77777777" w:rsidR="00120662" w:rsidRPr="00120662" w:rsidRDefault="00120662" w:rsidP="00120662">
            <w:pPr>
              <w:jc w:val="center"/>
              <w:rPr>
                <w:rFonts w:eastAsia="Times"/>
                <w:color w:val="000000"/>
                <w:sz w:val="20"/>
              </w:rPr>
            </w:pPr>
            <w:r w:rsidRPr="00120662">
              <w:rPr>
                <w:rFonts w:eastAsia="Times"/>
                <w:color w:val="000000"/>
                <w:sz w:val="20"/>
              </w:rPr>
              <w:t>GSO</w:t>
            </w:r>
          </w:p>
        </w:tc>
      </w:tr>
      <w:tr w:rsidR="00120662" w:rsidRPr="00120662" w14:paraId="0E8DDF06" w14:textId="77777777" w:rsidTr="00240AC4">
        <w:tc>
          <w:tcPr>
            <w:tcW w:w="2245" w:type="dxa"/>
            <w:gridSpan w:val="2"/>
          </w:tcPr>
          <w:p w14:paraId="54BE75A8" w14:textId="77777777" w:rsidR="00120662" w:rsidRPr="00120662" w:rsidRDefault="00120662" w:rsidP="00120662">
            <w:pPr>
              <w:rPr>
                <w:rFonts w:eastAsia="Times"/>
                <w:color w:val="000000"/>
                <w:sz w:val="20"/>
              </w:rPr>
            </w:pPr>
            <w:r w:rsidRPr="00120662">
              <w:rPr>
                <w:rFonts w:eastAsia="Times"/>
                <w:color w:val="000000"/>
                <w:sz w:val="20"/>
              </w:rPr>
              <w:t>Modulation at receiving earth station</w:t>
            </w:r>
          </w:p>
        </w:tc>
        <w:tc>
          <w:tcPr>
            <w:tcW w:w="5632" w:type="dxa"/>
            <w:gridSpan w:val="4"/>
          </w:tcPr>
          <w:p w14:paraId="29B48CE4" w14:textId="77777777" w:rsidR="00120662" w:rsidRPr="00120662" w:rsidRDefault="00120662" w:rsidP="00120662">
            <w:pPr>
              <w:jc w:val="center"/>
              <w:rPr>
                <w:rFonts w:eastAsia="Times"/>
                <w:color w:val="000000"/>
                <w:sz w:val="20"/>
              </w:rPr>
            </w:pPr>
            <w:r w:rsidRPr="00120662">
              <w:rPr>
                <w:rFonts w:eastAsia="Times"/>
                <w:color w:val="000000"/>
                <w:sz w:val="20"/>
              </w:rPr>
              <w:t>N (digital)</w:t>
            </w:r>
          </w:p>
        </w:tc>
      </w:tr>
      <w:tr w:rsidR="00120662" w:rsidRPr="00120662" w14:paraId="789DE521" w14:textId="77777777" w:rsidTr="00240AC4">
        <w:tc>
          <w:tcPr>
            <w:tcW w:w="1345" w:type="dxa"/>
            <w:vMerge w:val="restart"/>
          </w:tcPr>
          <w:p w14:paraId="73B194A3" w14:textId="77777777" w:rsidR="00120662" w:rsidRPr="00120662" w:rsidRDefault="00120662" w:rsidP="00120662">
            <w:pPr>
              <w:rPr>
                <w:rFonts w:eastAsia="Times"/>
                <w:color w:val="000000"/>
                <w:sz w:val="20"/>
              </w:rPr>
            </w:pPr>
            <w:r w:rsidRPr="00120662">
              <w:rPr>
                <w:rFonts w:eastAsia="Times"/>
                <w:color w:val="000000"/>
                <w:sz w:val="20"/>
              </w:rPr>
              <w:t>Receiving earth station interference parameters and criteria</w:t>
            </w:r>
          </w:p>
        </w:tc>
        <w:tc>
          <w:tcPr>
            <w:tcW w:w="900" w:type="dxa"/>
          </w:tcPr>
          <w:p w14:paraId="7EA0188A" w14:textId="77777777" w:rsidR="00120662" w:rsidRPr="00120662" w:rsidRDefault="00120662" w:rsidP="00120662">
            <w:pPr>
              <w:rPr>
                <w:rFonts w:eastAsia="Times"/>
                <w:color w:val="000000"/>
                <w:sz w:val="20"/>
              </w:rPr>
            </w:pPr>
            <w:r w:rsidRPr="00120662">
              <w:rPr>
                <w:rFonts w:eastAsia="Times"/>
                <w:i/>
                <w:color w:val="000000"/>
                <w:sz w:val="20"/>
              </w:rPr>
              <w:t>p</w:t>
            </w:r>
            <w:r w:rsidRPr="00120662">
              <w:rPr>
                <w:rFonts w:eastAsia="Times"/>
                <w:i/>
                <w:color w:val="000000"/>
                <w:sz w:val="20"/>
                <w:vertAlign w:val="subscript"/>
              </w:rPr>
              <w:t xml:space="preserve">0  </w:t>
            </w:r>
            <w:r w:rsidRPr="00120662">
              <w:rPr>
                <w:rFonts w:eastAsia="Times"/>
                <w:color w:val="000000"/>
                <w:sz w:val="20"/>
              </w:rPr>
              <w:t>(%)</w:t>
            </w:r>
          </w:p>
        </w:tc>
        <w:tc>
          <w:tcPr>
            <w:tcW w:w="5632" w:type="dxa"/>
            <w:gridSpan w:val="4"/>
          </w:tcPr>
          <w:p w14:paraId="5EDA528D" w14:textId="77777777" w:rsidR="00120662" w:rsidRPr="00120662" w:rsidRDefault="00120662" w:rsidP="00120662">
            <w:pPr>
              <w:jc w:val="center"/>
              <w:rPr>
                <w:rFonts w:eastAsia="Times"/>
                <w:color w:val="000000"/>
                <w:sz w:val="20"/>
              </w:rPr>
            </w:pPr>
            <w:r w:rsidRPr="00120662">
              <w:rPr>
                <w:rFonts w:eastAsia="Times"/>
                <w:color w:val="000000"/>
                <w:sz w:val="20"/>
              </w:rPr>
              <w:t>0.015</w:t>
            </w:r>
          </w:p>
        </w:tc>
      </w:tr>
      <w:tr w:rsidR="00120662" w:rsidRPr="00120662" w14:paraId="2EE08679" w14:textId="77777777" w:rsidTr="00240AC4">
        <w:tc>
          <w:tcPr>
            <w:tcW w:w="1345" w:type="dxa"/>
            <w:vMerge/>
          </w:tcPr>
          <w:p w14:paraId="5C6C1122" w14:textId="77777777" w:rsidR="00120662" w:rsidRPr="00120662" w:rsidRDefault="00120662" w:rsidP="00120662">
            <w:pPr>
              <w:rPr>
                <w:rFonts w:eastAsia="Times"/>
                <w:color w:val="000000"/>
                <w:sz w:val="20"/>
              </w:rPr>
            </w:pPr>
          </w:p>
        </w:tc>
        <w:tc>
          <w:tcPr>
            <w:tcW w:w="900" w:type="dxa"/>
          </w:tcPr>
          <w:p w14:paraId="38DA1FCA" w14:textId="77777777" w:rsidR="00120662" w:rsidRPr="00120662" w:rsidRDefault="00120662" w:rsidP="00120662">
            <w:pPr>
              <w:rPr>
                <w:rFonts w:eastAsia="Times"/>
                <w:color w:val="000000"/>
                <w:sz w:val="20"/>
              </w:rPr>
            </w:pPr>
            <w:r w:rsidRPr="00120662">
              <w:rPr>
                <w:rFonts w:eastAsia="Times"/>
                <w:i/>
                <w:color w:val="000000"/>
                <w:sz w:val="20"/>
              </w:rPr>
              <w:t>n</w:t>
            </w:r>
          </w:p>
        </w:tc>
        <w:tc>
          <w:tcPr>
            <w:tcW w:w="5632" w:type="dxa"/>
            <w:gridSpan w:val="4"/>
          </w:tcPr>
          <w:p w14:paraId="23026B71" w14:textId="77777777" w:rsidR="00120662" w:rsidRPr="00120662" w:rsidRDefault="00120662" w:rsidP="00120662">
            <w:pPr>
              <w:jc w:val="center"/>
              <w:rPr>
                <w:rFonts w:eastAsia="Times"/>
                <w:color w:val="000000"/>
                <w:sz w:val="20"/>
              </w:rPr>
            </w:pPr>
            <w:r w:rsidRPr="00120662">
              <w:rPr>
                <w:rFonts w:eastAsia="Times"/>
                <w:color w:val="000000"/>
                <w:sz w:val="20"/>
              </w:rPr>
              <w:t>2</w:t>
            </w:r>
          </w:p>
        </w:tc>
      </w:tr>
      <w:tr w:rsidR="00120662" w:rsidRPr="00120662" w14:paraId="0B95C524" w14:textId="77777777" w:rsidTr="00240AC4">
        <w:tc>
          <w:tcPr>
            <w:tcW w:w="1345" w:type="dxa"/>
            <w:vMerge/>
          </w:tcPr>
          <w:p w14:paraId="7693A12D" w14:textId="77777777" w:rsidR="00120662" w:rsidRPr="00120662" w:rsidRDefault="00120662" w:rsidP="00120662">
            <w:pPr>
              <w:rPr>
                <w:rFonts w:eastAsia="Times"/>
                <w:color w:val="000000"/>
                <w:sz w:val="20"/>
              </w:rPr>
            </w:pPr>
          </w:p>
        </w:tc>
        <w:tc>
          <w:tcPr>
            <w:tcW w:w="900" w:type="dxa"/>
          </w:tcPr>
          <w:p w14:paraId="189B37A8" w14:textId="77777777" w:rsidR="00120662" w:rsidRPr="00120662" w:rsidRDefault="00120662" w:rsidP="00120662">
            <w:pPr>
              <w:rPr>
                <w:rFonts w:eastAsia="Times"/>
                <w:color w:val="000000"/>
                <w:sz w:val="20"/>
              </w:rPr>
            </w:pPr>
            <w:r w:rsidRPr="00120662">
              <w:rPr>
                <w:rFonts w:eastAsia="Times"/>
                <w:i/>
                <w:color w:val="000000"/>
                <w:sz w:val="20"/>
              </w:rPr>
              <w:t>p</w:t>
            </w:r>
            <w:r w:rsidRPr="00120662">
              <w:rPr>
                <w:rFonts w:eastAsia="Times"/>
                <w:color w:val="000000"/>
                <w:sz w:val="20"/>
              </w:rPr>
              <w:t xml:space="preserve"> (%)</w:t>
            </w:r>
          </w:p>
        </w:tc>
        <w:tc>
          <w:tcPr>
            <w:tcW w:w="5632" w:type="dxa"/>
            <w:gridSpan w:val="4"/>
          </w:tcPr>
          <w:p w14:paraId="15B2E8B3" w14:textId="77777777" w:rsidR="00120662" w:rsidRPr="00120662" w:rsidRDefault="00120662" w:rsidP="00120662">
            <w:pPr>
              <w:jc w:val="center"/>
              <w:rPr>
                <w:rFonts w:eastAsia="Times"/>
                <w:color w:val="000000"/>
                <w:sz w:val="20"/>
              </w:rPr>
            </w:pPr>
            <w:r w:rsidRPr="00120662">
              <w:rPr>
                <w:rFonts w:eastAsia="Times"/>
                <w:color w:val="000000"/>
                <w:sz w:val="20"/>
              </w:rPr>
              <w:t>0.015</w:t>
            </w:r>
          </w:p>
        </w:tc>
      </w:tr>
      <w:tr w:rsidR="00120662" w:rsidRPr="00120662" w14:paraId="47CEA3E4" w14:textId="77777777" w:rsidTr="00240AC4">
        <w:tc>
          <w:tcPr>
            <w:tcW w:w="1345" w:type="dxa"/>
            <w:vMerge/>
          </w:tcPr>
          <w:p w14:paraId="0BB8ACB4" w14:textId="77777777" w:rsidR="00120662" w:rsidRPr="00120662" w:rsidRDefault="00120662" w:rsidP="00120662">
            <w:pPr>
              <w:rPr>
                <w:rFonts w:eastAsia="Times"/>
                <w:color w:val="000000"/>
                <w:sz w:val="20"/>
              </w:rPr>
            </w:pPr>
          </w:p>
        </w:tc>
        <w:tc>
          <w:tcPr>
            <w:tcW w:w="900" w:type="dxa"/>
          </w:tcPr>
          <w:p w14:paraId="46C638D3" w14:textId="77777777" w:rsidR="00120662" w:rsidRPr="00120662" w:rsidRDefault="00120662" w:rsidP="00120662">
            <w:pPr>
              <w:rPr>
                <w:rFonts w:eastAsia="Times"/>
                <w:color w:val="000000"/>
                <w:sz w:val="20"/>
              </w:rPr>
            </w:pPr>
            <w:r w:rsidRPr="00120662">
              <w:rPr>
                <w:rFonts w:eastAsia="Times"/>
                <w:i/>
                <w:color w:val="000000"/>
                <w:sz w:val="20"/>
              </w:rPr>
              <w:t>N</w:t>
            </w:r>
            <w:r w:rsidRPr="00120662">
              <w:rPr>
                <w:rFonts w:eastAsia="Times"/>
                <w:i/>
                <w:color w:val="000000"/>
                <w:sz w:val="20"/>
                <w:vertAlign w:val="subscript"/>
              </w:rPr>
              <w:t>L</w:t>
            </w:r>
            <w:r w:rsidRPr="00120662">
              <w:rPr>
                <w:rFonts w:eastAsia="Times"/>
                <w:color w:val="000000"/>
                <w:sz w:val="20"/>
                <w:vertAlign w:val="subscript"/>
              </w:rPr>
              <w:t xml:space="preserve"> </w:t>
            </w:r>
            <w:r w:rsidRPr="00120662">
              <w:rPr>
                <w:rFonts w:eastAsia="Times"/>
                <w:color w:val="000000"/>
                <w:sz w:val="20"/>
              </w:rPr>
              <w:t>(dB)</w:t>
            </w:r>
          </w:p>
        </w:tc>
        <w:tc>
          <w:tcPr>
            <w:tcW w:w="5632" w:type="dxa"/>
            <w:gridSpan w:val="4"/>
          </w:tcPr>
          <w:p w14:paraId="3D7EE2C6" w14:textId="77777777" w:rsidR="00120662" w:rsidRPr="00120662" w:rsidRDefault="00120662" w:rsidP="00120662">
            <w:pPr>
              <w:jc w:val="center"/>
              <w:rPr>
                <w:rFonts w:eastAsia="Times"/>
                <w:color w:val="000000"/>
                <w:sz w:val="20"/>
              </w:rPr>
            </w:pPr>
            <w:r w:rsidRPr="00120662">
              <w:rPr>
                <w:rFonts w:eastAsia="Times"/>
                <w:color w:val="000000"/>
                <w:sz w:val="20"/>
              </w:rPr>
              <w:t>1</w:t>
            </w:r>
          </w:p>
        </w:tc>
      </w:tr>
      <w:tr w:rsidR="00120662" w:rsidRPr="00120662" w14:paraId="0156C732" w14:textId="77777777" w:rsidTr="00240AC4">
        <w:tc>
          <w:tcPr>
            <w:tcW w:w="1345" w:type="dxa"/>
            <w:vMerge/>
          </w:tcPr>
          <w:p w14:paraId="5D723320" w14:textId="77777777" w:rsidR="00120662" w:rsidRPr="00120662" w:rsidRDefault="00120662" w:rsidP="00120662">
            <w:pPr>
              <w:rPr>
                <w:rFonts w:eastAsia="Times"/>
                <w:color w:val="000000"/>
                <w:sz w:val="20"/>
              </w:rPr>
            </w:pPr>
          </w:p>
        </w:tc>
        <w:tc>
          <w:tcPr>
            <w:tcW w:w="900" w:type="dxa"/>
            <w:vMerge w:val="restart"/>
          </w:tcPr>
          <w:p w14:paraId="01202F8A" w14:textId="77777777" w:rsidR="00120662" w:rsidRPr="00120662" w:rsidRDefault="00120662" w:rsidP="00120662">
            <w:pPr>
              <w:rPr>
                <w:rFonts w:eastAsia="Times"/>
                <w:color w:val="000000"/>
                <w:sz w:val="20"/>
              </w:rPr>
            </w:pPr>
            <w:r w:rsidRPr="00120662">
              <w:rPr>
                <w:rFonts w:eastAsia="Times"/>
                <w:i/>
                <w:color w:val="000000"/>
                <w:sz w:val="20"/>
              </w:rPr>
              <w:t>M</w:t>
            </w:r>
            <w:r w:rsidRPr="00120662">
              <w:rPr>
                <w:rFonts w:eastAsia="Times"/>
                <w:i/>
                <w:color w:val="000000"/>
                <w:sz w:val="20"/>
                <w:vertAlign w:val="subscript"/>
              </w:rPr>
              <w:t>s</w:t>
            </w:r>
            <w:r w:rsidRPr="00120662">
              <w:rPr>
                <w:rFonts w:eastAsia="Times"/>
                <w:color w:val="000000"/>
                <w:sz w:val="20"/>
                <w:vertAlign w:val="subscript"/>
              </w:rPr>
              <w:t xml:space="preserve"> </w:t>
            </w:r>
            <w:r w:rsidRPr="00120662">
              <w:rPr>
                <w:rFonts w:eastAsia="Times"/>
                <w:color w:val="000000"/>
                <w:sz w:val="20"/>
              </w:rPr>
              <w:t>(dB)</w:t>
            </w:r>
          </w:p>
        </w:tc>
        <w:tc>
          <w:tcPr>
            <w:tcW w:w="2070" w:type="dxa"/>
          </w:tcPr>
          <w:p w14:paraId="4ACC7D9A" w14:textId="77777777" w:rsidR="00120662" w:rsidRPr="00120662" w:rsidRDefault="00120662" w:rsidP="00120662">
            <w:pPr>
              <w:jc w:val="center"/>
              <w:rPr>
                <w:rFonts w:eastAsia="Times"/>
                <w:color w:val="000000"/>
                <w:sz w:val="20"/>
              </w:rPr>
            </w:pPr>
            <w:r w:rsidRPr="00120662">
              <w:rPr>
                <w:rFonts w:eastAsia="Times"/>
                <w:color w:val="000000"/>
                <w:sz w:val="20"/>
              </w:rPr>
              <w:t>In the area specified in 47 CFR § 25.209(w)(1) and (4)</w:t>
            </w:r>
          </w:p>
        </w:tc>
        <w:tc>
          <w:tcPr>
            <w:tcW w:w="1710" w:type="dxa"/>
            <w:gridSpan w:val="2"/>
          </w:tcPr>
          <w:p w14:paraId="21FB46D4" w14:textId="77777777" w:rsidR="00120662" w:rsidRPr="00120662" w:rsidRDefault="00120662" w:rsidP="00120662">
            <w:pPr>
              <w:jc w:val="center"/>
              <w:rPr>
                <w:rFonts w:eastAsia="Times"/>
                <w:color w:val="000000"/>
                <w:sz w:val="20"/>
              </w:rPr>
            </w:pPr>
            <w:r w:rsidRPr="00120662">
              <w:rPr>
                <w:rFonts w:eastAsia="Times"/>
                <w:color w:val="000000"/>
                <w:sz w:val="20"/>
              </w:rPr>
              <w:t>In the area specified in 47 CFR § 25.209(w)(2)</w:t>
            </w:r>
          </w:p>
        </w:tc>
        <w:tc>
          <w:tcPr>
            <w:tcW w:w="1852" w:type="dxa"/>
          </w:tcPr>
          <w:p w14:paraId="3FD8F5B4" w14:textId="77777777" w:rsidR="00120662" w:rsidRPr="00120662" w:rsidRDefault="00120662" w:rsidP="00120662">
            <w:pPr>
              <w:jc w:val="center"/>
              <w:rPr>
                <w:rFonts w:eastAsia="Times"/>
                <w:color w:val="000000"/>
                <w:sz w:val="20"/>
              </w:rPr>
            </w:pPr>
            <w:r w:rsidRPr="00120662">
              <w:rPr>
                <w:rFonts w:eastAsia="Times"/>
                <w:color w:val="000000"/>
                <w:sz w:val="20"/>
              </w:rPr>
              <w:t>In the area specified in 47 CFR § 25.209(w)(3)</w:t>
            </w:r>
          </w:p>
        </w:tc>
      </w:tr>
      <w:tr w:rsidR="00120662" w:rsidRPr="00120662" w14:paraId="777EA68F" w14:textId="77777777" w:rsidTr="00240AC4">
        <w:tc>
          <w:tcPr>
            <w:tcW w:w="1345" w:type="dxa"/>
            <w:vMerge/>
          </w:tcPr>
          <w:p w14:paraId="7924839B" w14:textId="77777777" w:rsidR="00120662" w:rsidRPr="00120662" w:rsidRDefault="00120662" w:rsidP="00120662">
            <w:pPr>
              <w:rPr>
                <w:rFonts w:eastAsia="Times"/>
                <w:color w:val="000000"/>
                <w:sz w:val="20"/>
              </w:rPr>
            </w:pPr>
          </w:p>
        </w:tc>
        <w:tc>
          <w:tcPr>
            <w:tcW w:w="900" w:type="dxa"/>
            <w:vMerge/>
          </w:tcPr>
          <w:p w14:paraId="08D9C53A" w14:textId="77777777" w:rsidR="00120662" w:rsidRPr="00120662" w:rsidRDefault="00120662" w:rsidP="00120662">
            <w:pPr>
              <w:rPr>
                <w:rFonts w:eastAsia="Times"/>
                <w:color w:val="000000"/>
                <w:sz w:val="20"/>
              </w:rPr>
            </w:pPr>
          </w:p>
        </w:tc>
        <w:tc>
          <w:tcPr>
            <w:tcW w:w="2070" w:type="dxa"/>
          </w:tcPr>
          <w:p w14:paraId="25700116" w14:textId="77777777" w:rsidR="00120662" w:rsidRPr="00120662" w:rsidRDefault="00120662" w:rsidP="00120662">
            <w:pPr>
              <w:jc w:val="center"/>
              <w:rPr>
                <w:rFonts w:eastAsia="Times"/>
                <w:color w:val="000000"/>
                <w:sz w:val="20"/>
              </w:rPr>
            </w:pPr>
            <w:r w:rsidRPr="00120662">
              <w:rPr>
                <w:rFonts w:eastAsia="Times"/>
                <w:color w:val="000000"/>
                <w:sz w:val="20"/>
              </w:rPr>
              <w:t>4.8</w:t>
            </w:r>
          </w:p>
        </w:tc>
        <w:tc>
          <w:tcPr>
            <w:tcW w:w="1710" w:type="dxa"/>
            <w:gridSpan w:val="2"/>
          </w:tcPr>
          <w:p w14:paraId="54E6799D" w14:textId="77777777" w:rsidR="00120662" w:rsidRPr="00120662" w:rsidRDefault="00120662" w:rsidP="00120662">
            <w:pPr>
              <w:jc w:val="center"/>
              <w:rPr>
                <w:rFonts w:eastAsia="Times"/>
                <w:color w:val="000000"/>
                <w:sz w:val="20"/>
              </w:rPr>
            </w:pPr>
            <w:r w:rsidRPr="00120662">
              <w:rPr>
                <w:rFonts w:eastAsia="Times"/>
                <w:color w:val="000000"/>
                <w:sz w:val="20"/>
              </w:rPr>
              <w:t>3.0</w:t>
            </w:r>
          </w:p>
        </w:tc>
        <w:tc>
          <w:tcPr>
            <w:tcW w:w="1852" w:type="dxa"/>
          </w:tcPr>
          <w:p w14:paraId="28D466F6" w14:textId="77777777" w:rsidR="00120662" w:rsidRPr="00120662" w:rsidRDefault="00120662" w:rsidP="00120662">
            <w:pPr>
              <w:jc w:val="center"/>
              <w:rPr>
                <w:rFonts w:eastAsia="Times"/>
                <w:color w:val="000000"/>
                <w:sz w:val="20"/>
              </w:rPr>
            </w:pPr>
            <w:r w:rsidRPr="00120662">
              <w:rPr>
                <w:rFonts w:eastAsia="Times"/>
                <w:color w:val="000000"/>
                <w:sz w:val="20"/>
              </w:rPr>
              <w:t>1.8</w:t>
            </w:r>
          </w:p>
        </w:tc>
      </w:tr>
      <w:tr w:rsidR="00120662" w:rsidRPr="00120662" w14:paraId="4099F5F0" w14:textId="77777777" w:rsidTr="00240AC4">
        <w:tc>
          <w:tcPr>
            <w:tcW w:w="1345" w:type="dxa"/>
          </w:tcPr>
          <w:p w14:paraId="50C8A8D2" w14:textId="77777777" w:rsidR="00120662" w:rsidRPr="00120662" w:rsidRDefault="00120662" w:rsidP="00120662">
            <w:pPr>
              <w:rPr>
                <w:rFonts w:eastAsia="Times"/>
                <w:color w:val="000000"/>
                <w:sz w:val="20"/>
              </w:rPr>
            </w:pPr>
          </w:p>
        </w:tc>
        <w:tc>
          <w:tcPr>
            <w:tcW w:w="900" w:type="dxa"/>
          </w:tcPr>
          <w:p w14:paraId="3D015748" w14:textId="77777777" w:rsidR="00120662" w:rsidRPr="00120662" w:rsidRDefault="00120662" w:rsidP="00120662">
            <w:pPr>
              <w:rPr>
                <w:rFonts w:eastAsia="Times"/>
                <w:color w:val="000000"/>
                <w:sz w:val="20"/>
              </w:rPr>
            </w:pPr>
            <w:r w:rsidRPr="00120662">
              <w:rPr>
                <w:rFonts w:eastAsia="Times"/>
                <w:i/>
                <w:color w:val="000000"/>
                <w:sz w:val="20"/>
              </w:rPr>
              <w:t>W</w:t>
            </w:r>
            <w:r w:rsidRPr="00120662">
              <w:rPr>
                <w:rFonts w:eastAsia="Times"/>
                <w:color w:val="000000"/>
                <w:sz w:val="20"/>
              </w:rPr>
              <w:t xml:space="preserve"> (dB)</w:t>
            </w:r>
          </w:p>
        </w:tc>
        <w:tc>
          <w:tcPr>
            <w:tcW w:w="5632" w:type="dxa"/>
            <w:gridSpan w:val="4"/>
          </w:tcPr>
          <w:p w14:paraId="777E3A92" w14:textId="77777777" w:rsidR="00120662" w:rsidRPr="00120662" w:rsidRDefault="00120662" w:rsidP="00120662">
            <w:pPr>
              <w:jc w:val="center"/>
              <w:rPr>
                <w:rFonts w:eastAsia="Times"/>
                <w:color w:val="000000"/>
                <w:sz w:val="20"/>
              </w:rPr>
            </w:pPr>
            <w:r w:rsidRPr="00120662">
              <w:rPr>
                <w:rFonts w:eastAsia="Times"/>
                <w:color w:val="000000"/>
                <w:sz w:val="20"/>
              </w:rPr>
              <w:t>4</w:t>
            </w:r>
          </w:p>
        </w:tc>
      </w:tr>
      <w:tr w:rsidR="00120662" w:rsidRPr="00120662" w14:paraId="17922F8C" w14:textId="77777777" w:rsidTr="00240AC4">
        <w:tc>
          <w:tcPr>
            <w:tcW w:w="1345" w:type="dxa"/>
            <w:vMerge w:val="restart"/>
          </w:tcPr>
          <w:p w14:paraId="6D7CDE9D" w14:textId="77777777" w:rsidR="00120662" w:rsidRPr="00120662" w:rsidRDefault="00120662" w:rsidP="00120662">
            <w:pPr>
              <w:rPr>
                <w:rFonts w:eastAsia="Times"/>
                <w:color w:val="000000"/>
                <w:sz w:val="20"/>
              </w:rPr>
            </w:pPr>
            <w:r w:rsidRPr="00120662">
              <w:rPr>
                <w:rFonts w:eastAsia="Times"/>
                <w:color w:val="000000"/>
                <w:sz w:val="20"/>
              </w:rPr>
              <w:t>Receiving earth station parameters</w:t>
            </w:r>
          </w:p>
        </w:tc>
        <w:tc>
          <w:tcPr>
            <w:tcW w:w="900" w:type="dxa"/>
          </w:tcPr>
          <w:p w14:paraId="6A75127C" w14:textId="77777777" w:rsidR="00120662" w:rsidRPr="00120662" w:rsidRDefault="00120662" w:rsidP="00120662">
            <w:pPr>
              <w:rPr>
                <w:rFonts w:eastAsia="Times"/>
                <w:color w:val="000000"/>
                <w:sz w:val="20"/>
              </w:rPr>
            </w:pPr>
            <w:r w:rsidRPr="00120662">
              <w:rPr>
                <w:rFonts w:eastAsia="Times"/>
                <w:i/>
                <w:color w:val="000000"/>
                <w:sz w:val="20"/>
              </w:rPr>
              <w:t>G</w:t>
            </w:r>
            <w:r w:rsidRPr="00120662">
              <w:rPr>
                <w:rFonts w:eastAsia="Times"/>
                <w:i/>
                <w:color w:val="000000"/>
                <w:sz w:val="20"/>
                <w:vertAlign w:val="subscript"/>
              </w:rPr>
              <w:t>m</w:t>
            </w:r>
            <w:r w:rsidRPr="00120662">
              <w:rPr>
                <w:rFonts w:eastAsia="Times"/>
                <w:color w:val="000000"/>
                <w:sz w:val="20"/>
              </w:rPr>
              <w:t xml:space="preserve"> (dBi)</w:t>
            </w:r>
          </w:p>
        </w:tc>
        <w:tc>
          <w:tcPr>
            <w:tcW w:w="5632" w:type="dxa"/>
            <w:gridSpan w:val="4"/>
          </w:tcPr>
          <w:p w14:paraId="28531D27" w14:textId="77777777" w:rsidR="00120662" w:rsidRPr="00120662" w:rsidRDefault="00120662" w:rsidP="00120662">
            <w:pPr>
              <w:jc w:val="center"/>
              <w:rPr>
                <w:rFonts w:eastAsia="Times"/>
                <w:color w:val="000000"/>
                <w:sz w:val="20"/>
              </w:rPr>
            </w:pPr>
            <w:r w:rsidRPr="00120662">
              <w:rPr>
                <w:rFonts w:eastAsia="Times"/>
                <w:color w:val="000000"/>
                <w:sz w:val="20"/>
              </w:rPr>
              <w:t>36</w:t>
            </w:r>
          </w:p>
        </w:tc>
      </w:tr>
      <w:tr w:rsidR="00120662" w:rsidRPr="00120662" w14:paraId="67F5FDB3" w14:textId="77777777" w:rsidTr="00240AC4">
        <w:tc>
          <w:tcPr>
            <w:tcW w:w="1345" w:type="dxa"/>
            <w:vMerge/>
          </w:tcPr>
          <w:p w14:paraId="5E36C12F" w14:textId="77777777" w:rsidR="00120662" w:rsidRPr="00120662" w:rsidRDefault="00120662" w:rsidP="00120662">
            <w:pPr>
              <w:rPr>
                <w:rFonts w:eastAsia="Times"/>
                <w:color w:val="000000"/>
                <w:sz w:val="20"/>
              </w:rPr>
            </w:pPr>
          </w:p>
        </w:tc>
        <w:tc>
          <w:tcPr>
            <w:tcW w:w="900" w:type="dxa"/>
          </w:tcPr>
          <w:p w14:paraId="759E122B" w14:textId="77777777" w:rsidR="00120662" w:rsidRPr="00120662" w:rsidRDefault="00120662" w:rsidP="00120662">
            <w:pPr>
              <w:rPr>
                <w:rFonts w:eastAsia="Times"/>
                <w:i/>
                <w:color w:val="000000"/>
                <w:sz w:val="20"/>
              </w:rPr>
            </w:pPr>
            <w:r w:rsidRPr="00120662">
              <w:rPr>
                <w:rFonts w:eastAsia="Times"/>
                <w:i/>
                <w:color w:val="000000"/>
                <w:sz w:val="20"/>
              </w:rPr>
              <w:t>G</w:t>
            </w:r>
            <w:r w:rsidRPr="00120662">
              <w:rPr>
                <w:rFonts w:eastAsia="Times"/>
                <w:i/>
                <w:color w:val="000000"/>
                <w:sz w:val="20"/>
                <w:vertAlign w:val="subscript"/>
              </w:rPr>
              <w:t>r</w:t>
            </w:r>
          </w:p>
        </w:tc>
        <w:tc>
          <w:tcPr>
            <w:tcW w:w="2070" w:type="dxa"/>
          </w:tcPr>
          <w:p w14:paraId="4C2C039E" w14:textId="77777777" w:rsidR="00120662" w:rsidRPr="00120662" w:rsidRDefault="00120662" w:rsidP="00120662">
            <w:pPr>
              <w:jc w:val="center"/>
              <w:rPr>
                <w:rFonts w:eastAsia="Times"/>
                <w:color w:val="000000"/>
                <w:sz w:val="20"/>
              </w:rPr>
            </w:pPr>
            <w:r w:rsidRPr="00120662">
              <w:rPr>
                <w:rFonts w:eastAsia="Times"/>
                <w:color w:val="000000"/>
                <w:sz w:val="20"/>
              </w:rPr>
              <w:t>0</w:t>
            </w:r>
          </w:p>
        </w:tc>
        <w:tc>
          <w:tcPr>
            <w:tcW w:w="1710" w:type="dxa"/>
            <w:gridSpan w:val="2"/>
          </w:tcPr>
          <w:p w14:paraId="4F9391F3" w14:textId="77777777" w:rsidR="00120662" w:rsidRPr="00120662" w:rsidRDefault="00120662" w:rsidP="00120662">
            <w:pPr>
              <w:jc w:val="center"/>
              <w:rPr>
                <w:rFonts w:eastAsia="Times"/>
                <w:color w:val="000000"/>
                <w:sz w:val="20"/>
              </w:rPr>
            </w:pPr>
          </w:p>
        </w:tc>
        <w:tc>
          <w:tcPr>
            <w:tcW w:w="1852" w:type="dxa"/>
          </w:tcPr>
          <w:p w14:paraId="6B52F10A" w14:textId="77777777" w:rsidR="00120662" w:rsidRPr="00120662" w:rsidRDefault="00120662" w:rsidP="00120662">
            <w:pPr>
              <w:jc w:val="center"/>
              <w:rPr>
                <w:rFonts w:eastAsia="Times"/>
                <w:color w:val="000000"/>
                <w:sz w:val="20"/>
              </w:rPr>
            </w:pPr>
          </w:p>
        </w:tc>
      </w:tr>
      <w:tr w:rsidR="00120662" w:rsidRPr="00120662" w14:paraId="1A7CCCDA" w14:textId="77777777" w:rsidTr="00240AC4">
        <w:tc>
          <w:tcPr>
            <w:tcW w:w="1345" w:type="dxa"/>
            <w:vMerge/>
          </w:tcPr>
          <w:p w14:paraId="6312999C" w14:textId="77777777" w:rsidR="00120662" w:rsidRPr="00120662" w:rsidRDefault="00120662" w:rsidP="00120662">
            <w:pPr>
              <w:rPr>
                <w:rFonts w:eastAsia="Times"/>
                <w:color w:val="000000"/>
                <w:sz w:val="20"/>
              </w:rPr>
            </w:pPr>
          </w:p>
        </w:tc>
        <w:tc>
          <w:tcPr>
            <w:tcW w:w="900" w:type="dxa"/>
          </w:tcPr>
          <w:p w14:paraId="5B9BF0DA" w14:textId="77777777" w:rsidR="00120662" w:rsidRPr="00120662" w:rsidRDefault="00120662" w:rsidP="00120662">
            <w:pPr>
              <w:rPr>
                <w:rFonts w:eastAsia="Times"/>
                <w:i/>
                <w:color w:val="000000"/>
                <w:sz w:val="20"/>
              </w:rPr>
            </w:pPr>
            <w:r w:rsidRPr="00120662">
              <w:rPr>
                <w:rFonts w:eastAsia="Times"/>
                <w:i/>
                <w:color w:val="000000"/>
                <w:sz w:val="20"/>
              </w:rPr>
              <w:t>ɛ</w:t>
            </w:r>
            <w:r w:rsidRPr="00120662">
              <w:rPr>
                <w:rFonts w:eastAsia="Times"/>
                <w:i/>
                <w:color w:val="000000"/>
                <w:sz w:val="20"/>
                <w:vertAlign w:val="subscript"/>
              </w:rPr>
              <w:t>min</w:t>
            </w:r>
          </w:p>
        </w:tc>
        <w:tc>
          <w:tcPr>
            <w:tcW w:w="2070" w:type="dxa"/>
          </w:tcPr>
          <w:p w14:paraId="0873CCB7" w14:textId="77777777" w:rsidR="00120662" w:rsidRPr="00120662" w:rsidRDefault="00120662" w:rsidP="00120662">
            <w:pPr>
              <w:jc w:val="center"/>
              <w:rPr>
                <w:rFonts w:eastAsia="Times"/>
                <w:color w:val="000000"/>
                <w:sz w:val="20"/>
              </w:rPr>
            </w:pPr>
            <w:r w:rsidRPr="00120662">
              <w:rPr>
                <w:rFonts w:eastAsia="Times"/>
                <w:color w:val="000000"/>
                <w:sz w:val="20"/>
              </w:rPr>
              <w:t>20°</w:t>
            </w:r>
          </w:p>
        </w:tc>
        <w:tc>
          <w:tcPr>
            <w:tcW w:w="1710" w:type="dxa"/>
            <w:gridSpan w:val="2"/>
          </w:tcPr>
          <w:p w14:paraId="5D814313" w14:textId="77777777" w:rsidR="00120662" w:rsidRPr="00120662" w:rsidRDefault="00120662" w:rsidP="00120662">
            <w:pPr>
              <w:jc w:val="center"/>
              <w:rPr>
                <w:rFonts w:eastAsia="Times"/>
                <w:color w:val="000000"/>
                <w:sz w:val="20"/>
              </w:rPr>
            </w:pPr>
          </w:p>
        </w:tc>
        <w:tc>
          <w:tcPr>
            <w:tcW w:w="1852" w:type="dxa"/>
          </w:tcPr>
          <w:p w14:paraId="42F70B64" w14:textId="77777777" w:rsidR="00120662" w:rsidRPr="00120662" w:rsidRDefault="00120662" w:rsidP="00120662">
            <w:pPr>
              <w:jc w:val="center"/>
              <w:rPr>
                <w:rFonts w:eastAsia="Times"/>
                <w:color w:val="000000"/>
                <w:sz w:val="20"/>
              </w:rPr>
            </w:pPr>
          </w:p>
        </w:tc>
      </w:tr>
      <w:tr w:rsidR="00120662" w:rsidRPr="00120662" w14:paraId="548E784D" w14:textId="77777777" w:rsidTr="00240AC4">
        <w:tc>
          <w:tcPr>
            <w:tcW w:w="1345" w:type="dxa"/>
            <w:vMerge/>
          </w:tcPr>
          <w:p w14:paraId="40CB92A6" w14:textId="77777777" w:rsidR="00120662" w:rsidRPr="00120662" w:rsidRDefault="00120662" w:rsidP="00120662">
            <w:pPr>
              <w:rPr>
                <w:rFonts w:eastAsia="Times"/>
                <w:color w:val="000000"/>
                <w:sz w:val="20"/>
              </w:rPr>
            </w:pPr>
          </w:p>
        </w:tc>
        <w:tc>
          <w:tcPr>
            <w:tcW w:w="900" w:type="dxa"/>
          </w:tcPr>
          <w:p w14:paraId="5CC5C0C5" w14:textId="77777777" w:rsidR="00120662" w:rsidRPr="00120662" w:rsidRDefault="00120662" w:rsidP="00120662">
            <w:pPr>
              <w:rPr>
                <w:rFonts w:eastAsia="Times"/>
                <w:color w:val="000000"/>
                <w:sz w:val="20"/>
              </w:rPr>
            </w:pPr>
            <w:r w:rsidRPr="00120662">
              <w:rPr>
                <w:rFonts w:eastAsia="Times"/>
                <w:i/>
                <w:color w:val="000000"/>
                <w:sz w:val="20"/>
              </w:rPr>
              <w:t>T</w:t>
            </w:r>
            <w:r w:rsidRPr="00120662">
              <w:rPr>
                <w:rFonts w:eastAsia="Times"/>
                <w:i/>
                <w:color w:val="000000"/>
                <w:sz w:val="20"/>
                <w:vertAlign w:val="subscript"/>
              </w:rPr>
              <w:t>e</w:t>
            </w:r>
            <w:r w:rsidRPr="00120662">
              <w:rPr>
                <w:rFonts w:eastAsia="Times"/>
                <w:color w:val="000000"/>
                <w:sz w:val="20"/>
              </w:rPr>
              <w:t xml:space="preserve"> (K)</w:t>
            </w:r>
          </w:p>
        </w:tc>
        <w:tc>
          <w:tcPr>
            <w:tcW w:w="2070" w:type="dxa"/>
          </w:tcPr>
          <w:p w14:paraId="298136EF" w14:textId="77777777" w:rsidR="00120662" w:rsidRPr="00120662" w:rsidRDefault="00120662" w:rsidP="00120662">
            <w:pPr>
              <w:jc w:val="center"/>
              <w:rPr>
                <w:rFonts w:eastAsia="Times"/>
                <w:color w:val="000000"/>
                <w:sz w:val="20"/>
              </w:rPr>
            </w:pPr>
            <w:r w:rsidRPr="00120662">
              <w:rPr>
                <w:rFonts w:eastAsia="Times"/>
                <w:color w:val="000000"/>
                <w:sz w:val="20"/>
              </w:rPr>
              <w:t>150</w:t>
            </w:r>
          </w:p>
        </w:tc>
        <w:tc>
          <w:tcPr>
            <w:tcW w:w="1710" w:type="dxa"/>
            <w:gridSpan w:val="2"/>
          </w:tcPr>
          <w:p w14:paraId="5D2541D8" w14:textId="77777777" w:rsidR="00120662" w:rsidRPr="00120662" w:rsidRDefault="00120662" w:rsidP="00120662">
            <w:pPr>
              <w:jc w:val="center"/>
              <w:rPr>
                <w:rFonts w:eastAsia="Times"/>
                <w:color w:val="000000"/>
                <w:sz w:val="20"/>
              </w:rPr>
            </w:pPr>
          </w:p>
        </w:tc>
        <w:tc>
          <w:tcPr>
            <w:tcW w:w="1852" w:type="dxa"/>
          </w:tcPr>
          <w:p w14:paraId="795BDF32" w14:textId="77777777" w:rsidR="00120662" w:rsidRPr="00120662" w:rsidRDefault="00120662" w:rsidP="00120662">
            <w:pPr>
              <w:jc w:val="center"/>
              <w:rPr>
                <w:rFonts w:eastAsia="Times"/>
                <w:color w:val="000000"/>
                <w:sz w:val="20"/>
              </w:rPr>
            </w:pPr>
          </w:p>
        </w:tc>
      </w:tr>
      <w:tr w:rsidR="00120662" w:rsidRPr="00120662" w14:paraId="0E1152F1" w14:textId="77777777" w:rsidTr="00240AC4">
        <w:tc>
          <w:tcPr>
            <w:tcW w:w="1345" w:type="dxa"/>
          </w:tcPr>
          <w:p w14:paraId="78A9F49E" w14:textId="77777777" w:rsidR="00120662" w:rsidRPr="00120662" w:rsidRDefault="00120662" w:rsidP="00120662">
            <w:pPr>
              <w:rPr>
                <w:rFonts w:eastAsia="Times"/>
                <w:color w:val="000000"/>
                <w:sz w:val="20"/>
              </w:rPr>
            </w:pPr>
            <w:r w:rsidRPr="00120662">
              <w:rPr>
                <w:rFonts w:eastAsia="Times"/>
                <w:color w:val="000000"/>
                <w:sz w:val="20"/>
              </w:rPr>
              <w:t>Reference bandwidth</w:t>
            </w:r>
          </w:p>
        </w:tc>
        <w:tc>
          <w:tcPr>
            <w:tcW w:w="900" w:type="dxa"/>
          </w:tcPr>
          <w:p w14:paraId="2B1A38A7" w14:textId="77777777" w:rsidR="00120662" w:rsidRPr="00120662" w:rsidRDefault="00120662" w:rsidP="00120662">
            <w:pPr>
              <w:rPr>
                <w:rFonts w:eastAsia="Times"/>
                <w:color w:val="000000"/>
                <w:sz w:val="20"/>
              </w:rPr>
            </w:pPr>
            <w:r w:rsidRPr="00120662">
              <w:rPr>
                <w:rFonts w:eastAsia="Times"/>
                <w:i/>
                <w:color w:val="000000"/>
                <w:sz w:val="20"/>
              </w:rPr>
              <w:t>B</w:t>
            </w:r>
            <w:r w:rsidRPr="00120662">
              <w:rPr>
                <w:rFonts w:eastAsia="Times"/>
                <w:color w:val="000000"/>
                <w:sz w:val="20"/>
              </w:rPr>
              <w:t xml:space="preserve"> (Hz)</w:t>
            </w:r>
          </w:p>
        </w:tc>
        <w:tc>
          <w:tcPr>
            <w:tcW w:w="5632" w:type="dxa"/>
            <w:gridSpan w:val="4"/>
          </w:tcPr>
          <w:p w14:paraId="27FC1DD6" w14:textId="77777777" w:rsidR="00120662" w:rsidRPr="00120662" w:rsidRDefault="00120662" w:rsidP="00120662">
            <w:pPr>
              <w:jc w:val="center"/>
              <w:rPr>
                <w:rFonts w:eastAsia="Times"/>
                <w:color w:val="000000"/>
                <w:sz w:val="20"/>
              </w:rPr>
            </w:pPr>
            <w:r w:rsidRPr="00120662">
              <w:rPr>
                <w:rFonts w:eastAsia="Times"/>
                <w:color w:val="000000"/>
                <w:sz w:val="20"/>
              </w:rPr>
              <w:t>10</w:t>
            </w:r>
            <w:r w:rsidRPr="00120662">
              <w:rPr>
                <w:rFonts w:eastAsia="Times"/>
                <w:color w:val="000000"/>
                <w:sz w:val="20"/>
                <w:vertAlign w:val="superscript"/>
              </w:rPr>
              <w:t>6</w:t>
            </w:r>
          </w:p>
        </w:tc>
      </w:tr>
      <w:tr w:rsidR="00120662" w:rsidRPr="00120662" w14:paraId="28447572" w14:textId="77777777" w:rsidTr="00240AC4">
        <w:tc>
          <w:tcPr>
            <w:tcW w:w="1345" w:type="dxa"/>
          </w:tcPr>
          <w:p w14:paraId="49A7A3DE" w14:textId="77777777" w:rsidR="00120662" w:rsidRPr="00120662" w:rsidRDefault="00120662" w:rsidP="00120662">
            <w:pPr>
              <w:rPr>
                <w:rFonts w:eastAsia="Times"/>
                <w:color w:val="000000"/>
                <w:sz w:val="20"/>
              </w:rPr>
            </w:pPr>
            <w:r w:rsidRPr="00120662">
              <w:rPr>
                <w:rFonts w:eastAsia="Times"/>
                <w:color w:val="000000"/>
                <w:sz w:val="20"/>
              </w:rPr>
              <w:t>Permissible interference power</w:t>
            </w:r>
          </w:p>
        </w:tc>
        <w:tc>
          <w:tcPr>
            <w:tcW w:w="900" w:type="dxa"/>
          </w:tcPr>
          <w:p w14:paraId="3F465DF4" w14:textId="77777777" w:rsidR="00120662" w:rsidRPr="00120662" w:rsidRDefault="00120662" w:rsidP="00120662">
            <w:pPr>
              <w:rPr>
                <w:rFonts w:eastAsia="Times"/>
                <w:color w:val="000000"/>
                <w:sz w:val="20"/>
              </w:rPr>
            </w:pPr>
            <w:r w:rsidRPr="00120662">
              <w:rPr>
                <w:rFonts w:eastAsia="Times"/>
                <w:i/>
                <w:color w:val="000000"/>
                <w:sz w:val="20"/>
              </w:rPr>
              <w:t>P</w:t>
            </w:r>
            <w:r w:rsidRPr="00120662">
              <w:rPr>
                <w:rFonts w:eastAsia="Times"/>
                <w:i/>
                <w:color w:val="000000"/>
                <w:sz w:val="20"/>
                <w:vertAlign w:val="subscript"/>
              </w:rPr>
              <w:t>r</w:t>
            </w:r>
            <w:r w:rsidRPr="00120662">
              <w:rPr>
                <w:rFonts w:eastAsia="Times"/>
                <w:i/>
                <w:color w:val="000000"/>
                <w:sz w:val="20"/>
              </w:rPr>
              <w:t>(p)</w:t>
            </w:r>
            <w:r w:rsidRPr="00120662">
              <w:rPr>
                <w:rFonts w:eastAsia="Times"/>
                <w:color w:val="000000"/>
                <w:sz w:val="20"/>
              </w:rPr>
              <w:t xml:space="preserve"> (dBW) in B</w:t>
            </w:r>
          </w:p>
        </w:tc>
        <w:tc>
          <w:tcPr>
            <w:tcW w:w="2070" w:type="dxa"/>
          </w:tcPr>
          <w:p w14:paraId="098F3F79" w14:textId="77777777" w:rsidR="00120662" w:rsidRPr="00120662" w:rsidRDefault="00120662" w:rsidP="00120662">
            <w:pPr>
              <w:jc w:val="center"/>
              <w:rPr>
                <w:rFonts w:eastAsia="Times"/>
                <w:color w:val="000000"/>
                <w:sz w:val="20"/>
              </w:rPr>
            </w:pPr>
            <w:r w:rsidRPr="00120662">
              <w:rPr>
                <w:rFonts w:eastAsia="Times"/>
                <w:color w:val="000000"/>
                <w:sz w:val="20"/>
              </w:rPr>
              <w:t>-146.8</w:t>
            </w:r>
          </w:p>
        </w:tc>
        <w:tc>
          <w:tcPr>
            <w:tcW w:w="1684" w:type="dxa"/>
          </w:tcPr>
          <w:p w14:paraId="5782B2AA" w14:textId="77777777" w:rsidR="00120662" w:rsidRPr="00120662" w:rsidRDefault="00120662" w:rsidP="00120662">
            <w:pPr>
              <w:jc w:val="center"/>
              <w:rPr>
                <w:rFonts w:eastAsia="Times"/>
                <w:color w:val="000000"/>
                <w:sz w:val="20"/>
              </w:rPr>
            </w:pPr>
            <w:r w:rsidRPr="00120662">
              <w:rPr>
                <w:rFonts w:eastAsia="Times"/>
                <w:color w:val="000000"/>
                <w:sz w:val="20"/>
              </w:rPr>
              <w:t>-149.8</w:t>
            </w:r>
          </w:p>
        </w:tc>
        <w:tc>
          <w:tcPr>
            <w:tcW w:w="1878" w:type="dxa"/>
            <w:gridSpan w:val="2"/>
          </w:tcPr>
          <w:p w14:paraId="4C0CF5F4" w14:textId="77777777" w:rsidR="00120662" w:rsidRPr="00120662" w:rsidRDefault="00120662" w:rsidP="00120662">
            <w:pPr>
              <w:jc w:val="center"/>
              <w:rPr>
                <w:rFonts w:eastAsia="Times"/>
                <w:color w:val="000000"/>
                <w:sz w:val="20"/>
              </w:rPr>
            </w:pPr>
            <w:r w:rsidRPr="00120662">
              <w:rPr>
                <w:rFonts w:eastAsia="Times"/>
                <w:color w:val="000000"/>
                <w:sz w:val="20"/>
              </w:rPr>
              <w:t>-152.8</w:t>
            </w:r>
          </w:p>
        </w:tc>
      </w:tr>
    </w:tbl>
    <w:p w14:paraId="655A6E27" w14:textId="77777777" w:rsidR="00120662" w:rsidRPr="00120662" w:rsidRDefault="00120662" w:rsidP="00120662">
      <w:pPr>
        <w:rPr>
          <w:rFonts w:eastAsia="Times"/>
          <w:color w:val="000000"/>
          <w:szCs w:val="22"/>
        </w:rPr>
      </w:pPr>
    </w:p>
    <w:p w14:paraId="5940C2E8" w14:textId="77777777" w:rsidR="00120662" w:rsidRPr="00120662" w:rsidRDefault="00120662" w:rsidP="00120662">
      <w:r w:rsidRPr="00120662">
        <w:rPr>
          <w:szCs w:val="22"/>
        </w:rPr>
        <w:t xml:space="preserve">(2)  </w:t>
      </w:r>
      <w:r w:rsidRPr="00120662">
        <w:t>Each applicant for such new or modified feeder-link earth station shall provide the following information to a third-party coordinator of its choice for use in coordination required by this paragraph:</w:t>
      </w:r>
    </w:p>
    <w:p w14:paraId="248217F9" w14:textId="77777777" w:rsidR="00120662" w:rsidRPr="00120662" w:rsidRDefault="00120662" w:rsidP="00120662">
      <w:pPr>
        <w:tabs>
          <w:tab w:val="left" w:pos="1440"/>
        </w:tabs>
        <w:ind w:left="720"/>
      </w:pPr>
      <w:r w:rsidRPr="00120662">
        <w:t>(i) The geographical coordinates of the proposed earth station antenna(s);</w:t>
      </w:r>
    </w:p>
    <w:p w14:paraId="2DDE6F32" w14:textId="77777777" w:rsidR="00120662" w:rsidRPr="00120662" w:rsidRDefault="00120662" w:rsidP="00120662">
      <w:pPr>
        <w:tabs>
          <w:tab w:val="left" w:pos="1440"/>
        </w:tabs>
        <w:ind w:left="720"/>
      </w:pPr>
      <w:r w:rsidRPr="00120662">
        <w:t>(ii) Proposed operating frequency band(s) and emission(s);</w:t>
      </w:r>
    </w:p>
    <w:p w14:paraId="495C8C6F" w14:textId="77777777" w:rsidR="00120662" w:rsidRPr="00120662" w:rsidRDefault="00120662" w:rsidP="00120662">
      <w:pPr>
        <w:tabs>
          <w:tab w:val="left" w:pos="1440"/>
        </w:tabs>
        <w:ind w:left="720"/>
      </w:pPr>
      <w:r w:rsidRPr="00120662">
        <w:t>(iii) Antenna diameter (meters);</w:t>
      </w:r>
    </w:p>
    <w:p w14:paraId="7E844BCC" w14:textId="77777777" w:rsidR="00120662" w:rsidRPr="00120662" w:rsidRDefault="00120662" w:rsidP="00120662">
      <w:pPr>
        <w:tabs>
          <w:tab w:val="left" w:pos="1440"/>
        </w:tabs>
        <w:ind w:left="720"/>
      </w:pPr>
      <w:r w:rsidRPr="00120662">
        <w:t>(iv) Antenna center height above ground and ground elevation above mean sea level;</w:t>
      </w:r>
    </w:p>
    <w:p w14:paraId="345CCA45" w14:textId="77777777" w:rsidR="00120662" w:rsidRPr="00120662" w:rsidRDefault="00120662" w:rsidP="00120662">
      <w:pPr>
        <w:tabs>
          <w:tab w:val="left" w:pos="1440"/>
        </w:tabs>
        <w:ind w:left="720"/>
      </w:pPr>
      <w:r w:rsidRPr="00120662">
        <w:t>(v) Antenna gain pattern(s) in the plane of the main beam;</w:t>
      </w:r>
    </w:p>
    <w:p w14:paraId="66C887F7" w14:textId="77777777" w:rsidR="00120662" w:rsidRPr="00120662" w:rsidRDefault="00120662" w:rsidP="00120662">
      <w:pPr>
        <w:tabs>
          <w:tab w:val="left" w:pos="1440"/>
        </w:tabs>
        <w:ind w:left="720"/>
      </w:pPr>
      <w:r w:rsidRPr="00120662">
        <w:t>(vi) Longitude range of geostationary satellite orbit (GSO) satellites at which an antenna may be pointed;</w:t>
      </w:r>
    </w:p>
    <w:p w14:paraId="3614F2D6" w14:textId="77777777" w:rsidR="00120662" w:rsidRPr="00120662" w:rsidRDefault="00120662" w:rsidP="00120662">
      <w:pPr>
        <w:tabs>
          <w:tab w:val="left" w:pos="1440"/>
        </w:tabs>
        <w:ind w:left="720"/>
      </w:pPr>
      <w:r w:rsidRPr="00120662">
        <w:t>(vii) Horizon elevation plot;</w:t>
      </w:r>
    </w:p>
    <w:p w14:paraId="5CB4C8FE" w14:textId="77777777" w:rsidR="00120662" w:rsidRPr="00120662" w:rsidRDefault="00120662" w:rsidP="00120662">
      <w:pPr>
        <w:tabs>
          <w:tab w:val="left" w:pos="1440"/>
        </w:tabs>
        <w:ind w:left="720"/>
      </w:pPr>
      <w:r w:rsidRPr="00120662">
        <w:t>(viii) Antenna horizon gain plot(s) determined in accordance with the procedure in Section 2.1 of Annex 5 to Appendix 7 of the ITU Radio Regulations;</w:t>
      </w:r>
    </w:p>
    <w:p w14:paraId="1E8F9C88" w14:textId="77777777" w:rsidR="00120662" w:rsidRPr="00120662" w:rsidRDefault="00120662" w:rsidP="00120662">
      <w:pPr>
        <w:tabs>
          <w:tab w:val="left" w:pos="1440"/>
        </w:tabs>
        <w:ind w:left="720"/>
      </w:pPr>
      <w:r w:rsidRPr="00120662">
        <w:t>(ix) Minimum elevation angle;</w:t>
      </w:r>
    </w:p>
    <w:p w14:paraId="0674C23C" w14:textId="77777777" w:rsidR="00120662" w:rsidRPr="00120662" w:rsidRDefault="00120662" w:rsidP="00120662">
      <w:pPr>
        <w:tabs>
          <w:tab w:val="left" w:pos="1440"/>
        </w:tabs>
        <w:ind w:left="720"/>
      </w:pPr>
      <w:r w:rsidRPr="00120662">
        <w:t>(x) Maximum equivalent isotropically radiated power (e.i.r.p.) density in the main beam in any 1 MHz band;</w:t>
      </w:r>
    </w:p>
    <w:p w14:paraId="484C2D72" w14:textId="77777777" w:rsidR="00120662" w:rsidRPr="00120662" w:rsidRDefault="00120662" w:rsidP="00120662">
      <w:pPr>
        <w:tabs>
          <w:tab w:val="left" w:pos="1440"/>
        </w:tabs>
        <w:ind w:left="720"/>
      </w:pPr>
      <w:r w:rsidRPr="00120662">
        <w:t>(xi) Maximum available RF transmit power density in any 1 MHz band at the input terminals of the antenna(s);</w:t>
      </w:r>
    </w:p>
    <w:p w14:paraId="2D784A5A" w14:textId="77777777" w:rsidR="00120662" w:rsidRPr="00120662" w:rsidRDefault="00120662" w:rsidP="00120662">
      <w:pPr>
        <w:tabs>
          <w:tab w:val="left" w:pos="1440"/>
        </w:tabs>
        <w:ind w:left="720"/>
      </w:pPr>
      <w:r w:rsidRPr="00120662">
        <w:t>(xii) A plot of the coordination distance contour(s) and rain scatter coordination distance contour(s) as determined by Table 2 of Section 3 to Appendix 7 of the ITU Radio Regulations.</w:t>
      </w:r>
    </w:p>
    <w:p w14:paraId="7AC933A9" w14:textId="77777777" w:rsidR="00120662" w:rsidRPr="00120662" w:rsidRDefault="00120662" w:rsidP="00120662">
      <w:pPr>
        <w:autoSpaceDE w:val="0"/>
        <w:autoSpaceDN w:val="0"/>
        <w:adjustRightInd w:val="0"/>
      </w:pPr>
    </w:p>
    <w:p w14:paraId="1ED3E0F8" w14:textId="77777777" w:rsidR="00120662" w:rsidRDefault="00120662" w:rsidP="00120662">
      <w:pPr>
        <w:widowControl/>
        <w:tabs>
          <w:tab w:val="left" w:pos="1440"/>
        </w:tabs>
        <w:ind w:firstLine="274"/>
        <w:sectPr w:rsidR="00120662" w:rsidSect="00C55220">
          <w:footerReference w:type="first" r:id="rId15"/>
          <w:footnotePr>
            <w:numRestart w:val="eachSect"/>
          </w:footnotePr>
          <w:pgSz w:w="12240" w:h="15840"/>
          <w:pgMar w:top="1440" w:right="1440" w:bottom="720" w:left="1440" w:header="720" w:footer="720" w:gutter="0"/>
          <w:cols w:space="720"/>
          <w:titlePg/>
        </w:sectPr>
      </w:pPr>
      <w:r w:rsidRPr="00034F56">
        <w:t>(3)  Each applicant for such new or modified feeder-link earth stations shall file with its application memoranda of coordination with each licensee authorized to construct BSS receive earth stations within the coordination zone.</w:t>
      </w:r>
    </w:p>
    <w:p w14:paraId="4A1838BA" w14:textId="2483EAD1" w:rsidR="00120662" w:rsidRPr="00120662" w:rsidRDefault="00120662" w:rsidP="00120662">
      <w:pPr>
        <w:tabs>
          <w:tab w:val="left" w:pos="1440"/>
        </w:tabs>
        <w:spacing w:after="220"/>
        <w:ind w:firstLine="270"/>
        <w:jc w:val="center"/>
        <w:rPr>
          <w:b/>
        </w:rPr>
      </w:pPr>
      <w:r w:rsidRPr="00120662">
        <w:rPr>
          <w:b/>
        </w:rPr>
        <w:t>A</w:t>
      </w:r>
      <w:r w:rsidR="008328AF">
        <w:rPr>
          <w:b/>
        </w:rPr>
        <w:t>PPENDIX</w:t>
      </w:r>
      <w:r w:rsidRPr="00120662">
        <w:rPr>
          <w:b/>
        </w:rPr>
        <w:t xml:space="preserve"> C</w:t>
      </w:r>
    </w:p>
    <w:p w14:paraId="1E451828" w14:textId="77777777" w:rsidR="00120662" w:rsidRPr="00120662" w:rsidRDefault="00120662" w:rsidP="00120662">
      <w:pPr>
        <w:tabs>
          <w:tab w:val="left" w:pos="1440"/>
        </w:tabs>
        <w:spacing w:after="220"/>
        <w:ind w:firstLine="270"/>
        <w:jc w:val="center"/>
        <w:rPr>
          <w:b/>
        </w:rPr>
      </w:pPr>
      <w:r w:rsidRPr="00120662">
        <w:rPr>
          <w:b/>
        </w:rPr>
        <w:t>Final Regulatory Flexibility Analysis</w:t>
      </w:r>
    </w:p>
    <w:p w14:paraId="5BBC6F2D" w14:textId="77777777" w:rsidR="00120662" w:rsidRPr="00120662" w:rsidRDefault="00120662" w:rsidP="00120662">
      <w:pPr>
        <w:ind w:firstLine="720"/>
        <w:rPr>
          <w:szCs w:val="22"/>
        </w:rPr>
      </w:pPr>
      <w:r w:rsidRPr="00120662">
        <w:rPr>
          <w:szCs w:val="22"/>
        </w:rPr>
        <w:t>As required by the Regulatory Flexibility Act of 1980, as amended (RFA),</w:t>
      </w:r>
      <w:r w:rsidRPr="00120662">
        <w:rPr>
          <w:szCs w:val="22"/>
          <w:vertAlign w:val="superscript"/>
        </w:rPr>
        <w:footnoteReference w:id="64"/>
      </w:r>
      <w:r w:rsidRPr="00120662">
        <w:rPr>
          <w:szCs w:val="22"/>
        </w:rPr>
        <w:t xml:space="preserve"> an Initial Regulatory Flexibility Analysis (IRFA) was incorporated in the </w:t>
      </w:r>
      <w:r w:rsidRPr="00120662">
        <w:rPr>
          <w:i/>
          <w:szCs w:val="22"/>
        </w:rPr>
        <w:t>Order and FNPRM</w:t>
      </w:r>
      <w:r w:rsidRPr="00120662">
        <w:rPr>
          <w:szCs w:val="22"/>
        </w:rPr>
        <w:t xml:space="preserve"> in this proceeding.</w:t>
      </w:r>
      <w:r w:rsidRPr="00120662">
        <w:rPr>
          <w:szCs w:val="22"/>
          <w:vertAlign w:val="superscript"/>
        </w:rPr>
        <w:footnoteReference w:id="65"/>
      </w:r>
      <w:r w:rsidRPr="00120662">
        <w:rPr>
          <w:szCs w:val="22"/>
        </w:rPr>
        <w:t xml:space="preserve">  The Commission sought written public comment on the proposals in the </w:t>
      </w:r>
      <w:r w:rsidRPr="00120662">
        <w:rPr>
          <w:i/>
          <w:szCs w:val="22"/>
        </w:rPr>
        <w:t xml:space="preserve">NPRM, </w:t>
      </w:r>
      <w:r w:rsidRPr="00120662">
        <w:rPr>
          <w:szCs w:val="22"/>
        </w:rPr>
        <w:t>including comment on the IRFA.  This present Final Regulatory Flexibility Analysis (FRFA) conforms to the RFA.</w:t>
      </w:r>
      <w:r w:rsidRPr="00120662">
        <w:rPr>
          <w:szCs w:val="22"/>
          <w:vertAlign w:val="superscript"/>
        </w:rPr>
        <w:footnoteReference w:id="66"/>
      </w:r>
      <w:r w:rsidRPr="00120662">
        <w:rPr>
          <w:szCs w:val="22"/>
        </w:rPr>
        <w:t xml:space="preserve">  </w:t>
      </w:r>
      <w:r w:rsidRPr="00120662">
        <w:rPr>
          <w:i/>
          <w:szCs w:val="22"/>
        </w:rPr>
        <w:t xml:space="preserve">  </w:t>
      </w:r>
    </w:p>
    <w:p w14:paraId="6701F779" w14:textId="77777777" w:rsidR="00120662" w:rsidRPr="00120662" w:rsidRDefault="00120662" w:rsidP="00120662">
      <w:pPr>
        <w:rPr>
          <w:szCs w:val="22"/>
        </w:rPr>
      </w:pPr>
    </w:p>
    <w:p w14:paraId="517FCCE6" w14:textId="77777777" w:rsidR="00120662" w:rsidRPr="00120662" w:rsidRDefault="00120662" w:rsidP="00120662">
      <w:pPr>
        <w:rPr>
          <w:b/>
          <w:szCs w:val="22"/>
        </w:rPr>
      </w:pPr>
      <w:r w:rsidRPr="00120662">
        <w:rPr>
          <w:b/>
          <w:szCs w:val="22"/>
        </w:rPr>
        <w:t>A.</w:t>
      </w:r>
      <w:r w:rsidRPr="00120662">
        <w:rPr>
          <w:b/>
          <w:szCs w:val="22"/>
        </w:rPr>
        <w:tab/>
        <w:t>Need for, and Objectives of, the Report and Order</w:t>
      </w:r>
    </w:p>
    <w:p w14:paraId="2EE47BA2" w14:textId="77777777" w:rsidR="00120662" w:rsidRPr="00120662" w:rsidRDefault="00120662" w:rsidP="00120662">
      <w:pPr>
        <w:rPr>
          <w:szCs w:val="22"/>
        </w:rPr>
      </w:pPr>
    </w:p>
    <w:p w14:paraId="0E67B4CB" w14:textId="77777777" w:rsidR="00120662" w:rsidRPr="00120662" w:rsidRDefault="00120662" w:rsidP="00120662">
      <w:pPr>
        <w:ind w:firstLine="720"/>
      </w:pPr>
      <w:r w:rsidRPr="00120662">
        <w:t xml:space="preserve">The objective of the Report and Order is to adopt processing and service rules for the 17/24 GHz Broadcasting-Satellite Service (BSS) which will address potential interference scenarios which arise in the reverse band operating environment.  The rules will mitigate against ground path  interference.  Specifically, we adopt criteria to facilitate sharing in the 17 GHz bands by BSS and Direct Broadcast Satellite (DBS) services.  These new rules will introduce a new generation of broadband services to the public, providing a mix of local and domestic video, audio, data, video-on-demand, and multimedia services to consumers in the United States.  In some cases, these new BSS services will complement existing DBS services.  By these actions, we facilitate the introduction of new and innovative services to consumers in the United States and promote increased competition among satellite and terrestrial services. </w:t>
      </w:r>
    </w:p>
    <w:p w14:paraId="3B8F9967" w14:textId="77777777" w:rsidR="00120662" w:rsidRPr="00120662" w:rsidRDefault="00120662" w:rsidP="00120662">
      <w:pPr>
        <w:rPr>
          <w:szCs w:val="22"/>
        </w:rPr>
      </w:pPr>
    </w:p>
    <w:p w14:paraId="0EFCCD1A" w14:textId="77777777" w:rsidR="00120662" w:rsidRPr="00120662" w:rsidRDefault="00120662" w:rsidP="00120662">
      <w:pPr>
        <w:rPr>
          <w:b/>
          <w:szCs w:val="22"/>
        </w:rPr>
      </w:pPr>
      <w:r w:rsidRPr="00120662">
        <w:rPr>
          <w:b/>
          <w:szCs w:val="22"/>
        </w:rPr>
        <w:t>B.</w:t>
      </w:r>
      <w:r w:rsidRPr="00120662">
        <w:rPr>
          <w:b/>
          <w:szCs w:val="22"/>
        </w:rPr>
        <w:tab/>
        <w:t>Summary of Significant Issues Raised by Public Comments in Response to the IRFA</w:t>
      </w:r>
    </w:p>
    <w:p w14:paraId="13551944" w14:textId="77777777" w:rsidR="00120662" w:rsidRPr="00120662" w:rsidRDefault="00120662" w:rsidP="00120662">
      <w:pPr>
        <w:rPr>
          <w:szCs w:val="22"/>
        </w:rPr>
      </w:pPr>
    </w:p>
    <w:p w14:paraId="42B70FBC" w14:textId="77777777" w:rsidR="00120662" w:rsidRPr="00120662" w:rsidRDefault="00120662" w:rsidP="00120662">
      <w:pPr>
        <w:ind w:firstLine="720"/>
        <w:rPr>
          <w:szCs w:val="22"/>
        </w:rPr>
      </w:pPr>
      <w:r w:rsidRPr="00120662">
        <w:rPr>
          <w:szCs w:val="22"/>
        </w:rPr>
        <w:t xml:space="preserve">There were no comments filed that specifically addressed the rules and policies proposed in the IRFA. </w:t>
      </w:r>
    </w:p>
    <w:p w14:paraId="03E36476" w14:textId="77777777" w:rsidR="00120662" w:rsidRPr="00120662" w:rsidRDefault="00120662" w:rsidP="00120662">
      <w:pPr>
        <w:ind w:left="1440" w:hanging="720"/>
        <w:rPr>
          <w:b/>
          <w:szCs w:val="22"/>
        </w:rPr>
      </w:pPr>
    </w:p>
    <w:p w14:paraId="4591A915" w14:textId="77777777" w:rsidR="00120662" w:rsidRPr="00120662" w:rsidRDefault="00120662" w:rsidP="00120662">
      <w:pPr>
        <w:rPr>
          <w:szCs w:val="22"/>
        </w:rPr>
      </w:pPr>
      <w:r w:rsidRPr="00120662">
        <w:rPr>
          <w:b/>
          <w:szCs w:val="22"/>
        </w:rPr>
        <w:t xml:space="preserve">C. </w:t>
      </w:r>
      <w:r w:rsidRPr="00120662">
        <w:rPr>
          <w:b/>
          <w:szCs w:val="22"/>
        </w:rPr>
        <w:tab/>
        <w:t>Response to Comments by the Chief Counsel for Advocacy of the Small Business Administration</w:t>
      </w:r>
    </w:p>
    <w:p w14:paraId="00105689" w14:textId="77777777" w:rsidR="00120662" w:rsidRPr="00120662" w:rsidRDefault="00120662" w:rsidP="00120662">
      <w:pPr>
        <w:rPr>
          <w:szCs w:val="22"/>
        </w:rPr>
      </w:pPr>
    </w:p>
    <w:p w14:paraId="0DD47953" w14:textId="77777777" w:rsidR="00120662" w:rsidRPr="00120662" w:rsidRDefault="00120662" w:rsidP="00120662">
      <w:pPr>
        <w:rPr>
          <w:szCs w:val="22"/>
        </w:rPr>
      </w:pPr>
      <w:r w:rsidRPr="00120662">
        <w:rPr>
          <w:szCs w:val="22"/>
        </w:rPr>
        <w:tab/>
        <w:t xml:space="preserve">The Chief Counsel did not file any comments in response to the proposed rules in this proceeding. </w:t>
      </w:r>
    </w:p>
    <w:p w14:paraId="2B3F176F" w14:textId="77777777" w:rsidR="00120662" w:rsidRPr="00120662" w:rsidRDefault="00120662" w:rsidP="00120662">
      <w:pPr>
        <w:rPr>
          <w:szCs w:val="22"/>
        </w:rPr>
      </w:pPr>
    </w:p>
    <w:p w14:paraId="2E72B9E3" w14:textId="77777777" w:rsidR="00120662" w:rsidRPr="00120662" w:rsidRDefault="00120662" w:rsidP="00120662">
      <w:pPr>
        <w:rPr>
          <w:b/>
          <w:szCs w:val="22"/>
        </w:rPr>
      </w:pPr>
      <w:r w:rsidRPr="00120662">
        <w:rPr>
          <w:b/>
          <w:szCs w:val="22"/>
        </w:rPr>
        <w:t>D.</w:t>
      </w:r>
      <w:r w:rsidRPr="00120662">
        <w:rPr>
          <w:b/>
          <w:szCs w:val="22"/>
        </w:rPr>
        <w:tab/>
        <w:t>Description and Estimate of the Number of Small Entities to Which Rules Will Apply</w:t>
      </w:r>
    </w:p>
    <w:p w14:paraId="02520273" w14:textId="77777777" w:rsidR="00120662" w:rsidRPr="00120662" w:rsidRDefault="00120662" w:rsidP="00120662">
      <w:pPr>
        <w:rPr>
          <w:b/>
          <w:szCs w:val="22"/>
        </w:rPr>
      </w:pPr>
    </w:p>
    <w:p w14:paraId="1F34A61C" w14:textId="77777777" w:rsidR="00120662" w:rsidRPr="00120662" w:rsidRDefault="00120662" w:rsidP="00120662">
      <w:pPr>
        <w:tabs>
          <w:tab w:val="left" w:pos="360"/>
        </w:tabs>
        <w:spacing w:after="220"/>
        <w:ind w:firstLine="720"/>
        <w:rPr>
          <w:szCs w:val="22"/>
        </w:rPr>
      </w:pPr>
      <w:r w:rsidRPr="00120662">
        <w:rPr>
          <w:szCs w:val="22"/>
        </w:rPr>
        <w:t>The RFA directs agencies to provide a description of and, where feasible, an estimate of the number of small entities that may be affected by the rules adopted herein.</w:t>
      </w:r>
      <w:r w:rsidRPr="00120662">
        <w:rPr>
          <w:szCs w:val="22"/>
          <w:vertAlign w:val="superscript"/>
        </w:rPr>
        <w:footnoteReference w:id="67"/>
      </w:r>
      <w:r w:rsidRPr="00120662">
        <w:rPr>
          <w:szCs w:val="22"/>
        </w:rPr>
        <w:t xml:space="preserve">  The RFA generally defines the term “small entity” as having the same meaning as the terms “small business,” “small organization,” and “small governmental jurisdiction.”</w:t>
      </w:r>
      <w:r w:rsidRPr="00120662">
        <w:rPr>
          <w:szCs w:val="22"/>
          <w:vertAlign w:val="superscript"/>
        </w:rPr>
        <w:footnoteReference w:id="68"/>
      </w:r>
      <w:r w:rsidRPr="00120662">
        <w:rPr>
          <w:szCs w:val="22"/>
        </w:rPr>
        <w:t xml:space="preserve">  In addition, the term “small business” has the same meaning as the term “small business concern” under the Small Business Act.</w:t>
      </w:r>
      <w:r w:rsidRPr="00120662">
        <w:rPr>
          <w:szCs w:val="22"/>
          <w:vertAlign w:val="superscript"/>
        </w:rPr>
        <w:footnoteReference w:id="69"/>
      </w:r>
      <w:r w:rsidRPr="00120662">
        <w:rPr>
          <w:szCs w:val="22"/>
        </w:rPr>
        <w:t xml:space="preserve">  A small business concern is one which: (1) is independently owned and operated; (2) is not dominant in its field of operation; and (3) satisfies any additional criteria established by the Small Business Administration (SBA).</w:t>
      </w:r>
      <w:r w:rsidRPr="00120662">
        <w:rPr>
          <w:szCs w:val="22"/>
          <w:vertAlign w:val="superscript"/>
        </w:rPr>
        <w:footnoteReference w:id="70"/>
      </w:r>
      <w:r w:rsidRPr="00120662">
        <w:rPr>
          <w:szCs w:val="22"/>
        </w:rPr>
        <w:t xml:space="preserve">  Below, we further describe and estimate the number of small entity licensees that may be affected by the adopted rules.</w:t>
      </w:r>
    </w:p>
    <w:p w14:paraId="41D539B8" w14:textId="77777777" w:rsidR="00120662" w:rsidRPr="00120662" w:rsidRDefault="00120662" w:rsidP="00120662">
      <w:pPr>
        <w:rPr>
          <w:szCs w:val="22"/>
        </w:rPr>
      </w:pPr>
      <w:r w:rsidRPr="00120662">
        <w:rPr>
          <w:b/>
          <w:i/>
          <w:szCs w:val="22"/>
        </w:rPr>
        <w:tab/>
        <w:t xml:space="preserve">Satellite Telecommunications.  </w:t>
      </w:r>
      <w:r w:rsidRPr="00120662">
        <w:rPr>
          <w:szCs w:val="22"/>
        </w:rPr>
        <w:t>The SBA has developed a small business size standard for the two broad census categories of “Satellite Telecommunications” and “Other Telecommunications.”  Under both categories, a business is considered small if it has $13.5 million or less in annual receipts.</w:t>
      </w:r>
      <w:r w:rsidRPr="00120662">
        <w:rPr>
          <w:szCs w:val="22"/>
          <w:vertAlign w:val="superscript"/>
        </w:rPr>
        <w:footnoteReference w:id="71"/>
      </w:r>
      <w:r w:rsidRPr="00120662">
        <w:rPr>
          <w:szCs w:val="22"/>
        </w:rPr>
        <w:t xml:space="preserve">  The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120662">
        <w:rPr>
          <w:szCs w:val="22"/>
          <w:vertAlign w:val="superscript"/>
        </w:rPr>
        <w:footnoteReference w:id="72"/>
      </w:r>
      <w:r w:rsidRPr="00120662">
        <w:rPr>
          <w:szCs w:val="22"/>
        </w:rPr>
        <w:t xml:space="preserve">  For this category, Census Bureau data for 2007 show that there were a total of 512 satellite communications firms that operated for the entire year.</w:t>
      </w:r>
      <w:r w:rsidRPr="00120662">
        <w:rPr>
          <w:szCs w:val="22"/>
          <w:vertAlign w:val="superscript"/>
        </w:rPr>
        <w:footnoteReference w:id="73"/>
      </w:r>
      <w:bookmarkStart w:id="59" w:name="_DV_C620"/>
      <w:r w:rsidRPr="00120662">
        <w:rPr>
          <w:szCs w:val="22"/>
        </w:rPr>
        <w:t xml:space="preserve">  Of this total, 307 firms had annual receipts of under $10 million per firm, and 26 firms had receipts of $10 million to $24,999,999 per firm.</w:t>
      </w:r>
      <w:r w:rsidRPr="00120662">
        <w:rPr>
          <w:szCs w:val="22"/>
          <w:vertAlign w:val="superscript"/>
        </w:rPr>
        <w:footnoteReference w:id="74"/>
      </w:r>
      <w:r w:rsidRPr="00120662">
        <w:rPr>
          <w:szCs w:val="22"/>
        </w:rPr>
        <w:t xml:space="preserve">  Consequently, we estimate that the majority of Satellite Telecommunications firms are small entities that might be affected by our action.</w:t>
      </w:r>
      <w:bookmarkStart w:id="60" w:name="_DV_C621"/>
      <w:bookmarkEnd w:id="59"/>
    </w:p>
    <w:p w14:paraId="2C142581" w14:textId="77777777" w:rsidR="00120662" w:rsidRPr="00120662" w:rsidRDefault="00120662" w:rsidP="00120662">
      <w:pPr>
        <w:rPr>
          <w:szCs w:val="22"/>
        </w:rPr>
      </w:pPr>
    </w:p>
    <w:p w14:paraId="1BEFA1A7" w14:textId="77777777" w:rsidR="00120662" w:rsidRPr="00120662" w:rsidRDefault="00120662" w:rsidP="00120662">
      <w:pPr>
        <w:rPr>
          <w:szCs w:val="22"/>
        </w:rPr>
      </w:pPr>
      <w:r w:rsidRPr="00120662">
        <w:rPr>
          <w:szCs w:val="22"/>
        </w:rPr>
        <w:tab/>
        <w:t>The category of Other Telecommunications “comprises establishments primarily engaged in (1) providing specialized telecommunications applications, such as satellite tracking, communications telemetry, and radar station operations; or (2) providing satellite terminal stations and associated facilities operationally connected with one or more terrestrial communications systems and capable of transmitting telecommunications to or receiving telecommunications from satellite systems.”</w:t>
      </w:r>
      <w:r w:rsidRPr="00120662">
        <w:rPr>
          <w:szCs w:val="22"/>
          <w:vertAlign w:val="superscript"/>
        </w:rPr>
        <w:footnoteReference w:id="75"/>
      </w:r>
      <w:r w:rsidRPr="00120662">
        <w:rPr>
          <w:szCs w:val="22"/>
        </w:rPr>
        <w:t xml:space="preserve">  For this category,</w:t>
      </w:r>
      <w:bookmarkStart w:id="61" w:name="_DV_C624"/>
      <w:r w:rsidRPr="00120662">
        <w:rPr>
          <w:szCs w:val="22"/>
        </w:rPr>
        <w:t xml:space="preserve"> Census Bureau data for 2007 show that there were a total of 2,383 firms that operated for the entire year.</w:t>
      </w:r>
      <w:r w:rsidRPr="00120662">
        <w:rPr>
          <w:szCs w:val="22"/>
          <w:vertAlign w:val="superscript"/>
        </w:rPr>
        <w:footnoteReference w:id="76"/>
      </w:r>
      <w:r w:rsidRPr="00120662">
        <w:rPr>
          <w:szCs w:val="22"/>
        </w:rPr>
        <w:t xml:space="preserve">  </w:t>
      </w:r>
      <w:bookmarkStart w:id="63" w:name="_DV_C626"/>
      <w:bookmarkEnd w:id="61"/>
      <w:r w:rsidRPr="00120662">
        <w:rPr>
          <w:szCs w:val="22"/>
        </w:rPr>
        <w:t>Of this total, 482 firms had annual receipts of under $25 million.</w:t>
      </w:r>
      <w:r w:rsidRPr="00120662">
        <w:rPr>
          <w:szCs w:val="22"/>
          <w:vertAlign w:val="superscript"/>
        </w:rPr>
        <w:footnoteReference w:id="77"/>
      </w:r>
      <w:r w:rsidRPr="00120662">
        <w:rPr>
          <w:szCs w:val="22"/>
        </w:rPr>
        <w:t xml:space="preserve">  </w:t>
      </w:r>
      <w:bookmarkEnd w:id="63"/>
      <w:r w:rsidRPr="00120662">
        <w:rPr>
          <w:szCs w:val="22"/>
        </w:rPr>
        <w:t>Consequently, we estimate that the majority of Other Telecommunications firms are small entities that might be affected by our action.</w:t>
      </w:r>
    </w:p>
    <w:bookmarkEnd w:id="60"/>
    <w:p w14:paraId="53194AB3" w14:textId="77777777" w:rsidR="00120662" w:rsidRPr="00120662" w:rsidRDefault="00120662" w:rsidP="00120662"/>
    <w:p w14:paraId="0C53965D" w14:textId="77777777" w:rsidR="00120662" w:rsidRPr="00120662" w:rsidRDefault="00120662" w:rsidP="007B6724">
      <w:pPr>
        <w:widowControl/>
        <w:spacing w:after="220"/>
        <w:rPr>
          <w:szCs w:val="22"/>
        </w:rPr>
      </w:pPr>
      <w:r w:rsidRPr="00120662">
        <w:rPr>
          <w:b/>
          <w:i/>
          <w:szCs w:val="22"/>
        </w:rPr>
        <w:tab/>
        <w:t>Space Stations (Geostationary).</w:t>
      </w:r>
      <w:r w:rsidRPr="00120662">
        <w:rPr>
          <w:szCs w:val="22"/>
        </w:rPr>
        <w:t xml:space="preserve"> Commission records reveal that there are 44 space station licensees. We do not request or collect annual revenue information concerning such licensees, and thus are unable to estimate the number of geostationary space station licensees that would constitute a small business under the SBA definition cited above, or apply any rules providing special consideration for geostationary space station licensees that are small businesses.</w:t>
      </w:r>
    </w:p>
    <w:p w14:paraId="7DBC1F62" w14:textId="77777777" w:rsidR="00120662" w:rsidRPr="00120662" w:rsidRDefault="00120662" w:rsidP="00120662">
      <w:pPr>
        <w:spacing w:after="220"/>
        <w:ind w:firstLine="720"/>
        <w:rPr>
          <w:szCs w:val="22"/>
        </w:rPr>
      </w:pPr>
      <w:r w:rsidRPr="00120662">
        <w:rPr>
          <w:b/>
          <w:i/>
          <w:szCs w:val="22"/>
        </w:rPr>
        <w:t>17 GHz Transmitting Earth Stations.</w:t>
      </w:r>
      <w:r w:rsidRPr="00120662">
        <w:rPr>
          <w:szCs w:val="22"/>
        </w:rPr>
        <w:t xml:space="preserve">  Currently there are approximately 47 operational earth stations in the 17.3-17.7 GHz bands.  The Commission does not request or collect annual revenue information, and thus is unable to estimate the number of earth stations that would constitute a small business under the SBA definition.</w:t>
      </w:r>
      <w:r w:rsidRPr="00120662">
        <w:rPr>
          <w:szCs w:val="22"/>
          <w:vertAlign w:val="superscript"/>
        </w:rPr>
        <w:footnoteReference w:id="78"/>
      </w:r>
    </w:p>
    <w:p w14:paraId="350CFC3F" w14:textId="77777777" w:rsidR="00120662" w:rsidRPr="00120662" w:rsidRDefault="00120662" w:rsidP="00120662">
      <w:pPr>
        <w:rPr>
          <w:b/>
          <w:szCs w:val="22"/>
        </w:rPr>
      </w:pPr>
      <w:r w:rsidRPr="00120662">
        <w:rPr>
          <w:b/>
          <w:szCs w:val="22"/>
        </w:rPr>
        <w:t>E.</w:t>
      </w:r>
      <w:r w:rsidRPr="00120662">
        <w:rPr>
          <w:b/>
          <w:szCs w:val="22"/>
        </w:rPr>
        <w:tab/>
        <w:t>Description of Projected Reporting, Recordkeeping, and Other Compliance Requirements for Small Entities</w:t>
      </w:r>
    </w:p>
    <w:p w14:paraId="4E35CA49" w14:textId="77777777" w:rsidR="00120662" w:rsidRPr="00120662" w:rsidRDefault="00120662" w:rsidP="00120662">
      <w:pPr>
        <w:rPr>
          <w:b/>
          <w:szCs w:val="22"/>
        </w:rPr>
      </w:pPr>
    </w:p>
    <w:p w14:paraId="009E44B7" w14:textId="77777777" w:rsidR="00120662" w:rsidRPr="00120662" w:rsidRDefault="00120662" w:rsidP="00120662">
      <w:pPr>
        <w:ind w:firstLine="720"/>
        <w:rPr>
          <w:szCs w:val="22"/>
        </w:rPr>
      </w:pPr>
      <w:r w:rsidRPr="00120662">
        <w:rPr>
          <w:szCs w:val="22"/>
        </w:rPr>
        <w:t>Under the Commission’s existing rules, all requests for space station authorizations are required to be in the form of a comprehensive proposal submitted on the relevant FCC forms.</w:t>
      </w:r>
      <w:r w:rsidRPr="00120662">
        <w:rPr>
          <w:szCs w:val="22"/>
          <w:vertAlign w:val="superscript"/>
        </w:rPr>
        <w:footnoteReference w:id="79"/>
      </w:r>
      <w:r w:rsidRPr="00120662">
        <w:rPr>
          <w:szCs w:val="22"/>
        </w:rPr>
        <w:t xml:space="preserve">  Similarly, to obtain an earth station authorization, applicants must file the appropriate forms as required by the Commission’s rules.</w:t>
      </w:r>
      <w:r w:rsidRPr="00120662">
        <w:rPr>
          <w:szCs w:val="22"/>
          <w:vertAlign w:val="superscript"/>
        </w:rPr>
        <w:footnoteReference w:id="80"/>
      </w:r>
      <w:r w:rsidRPr="00120662">
        <w:rPr>
          <w:szCs w:val="22"/>
        </w:rPr>
        <w:t xml:space="preserve">  In addition to our existing requirements, in this Third Report and Order we adopt certain specific requirements for 17/24 GHz BSS earth and space station applications. </w:t>
      </w:r>
    </w:p>
    <w:p w14:paraId="52BECD10" w14:textId="77777777" w:rsidR="00120662" w:rsidRPr="00120662" w:rsidRDefault="00120662" w:rsidP="00120662">
      <w:pPr>
        <w:spacing w:before="100" w:beforeAutospacing="1" w:after="100" w:afterAutospacing="1"/>
        <w:ind w:firstLine="720"/>
        <w:rPr>
          <w:szCs w:val="22"/>
        </w:rPr>
      </w:pPr>
      <w:r w:rsidRPr="00120662">
        <w:rPr>
          <w:i/>
          <w:szCs w:val="22"/>
        </w:rPr>
        <w:t xml:space="preserve">Earth Station Applications.  </w:t>
      </w:r>
      <w:r w:rsidRPr="00120662">
        <w:rPr>
          <w:szCs w:val="22"/>
        </w:rPr>
        <w:t>Applications for feeder-link earth stations operating in the 17.3-17.8 GHz band (Earth-to-space) and providing service to geostationary satellites in the 17/24 GHz BSS must include, for each new or modified earth station, a certificate of coordination agreement with any holder of a blanket license for BSS receive earth terminals located within a coordination distance of the feeder-link earth station established by ITU rules.</w:t>
      </w:r>
    </w:p>
    <w:p w14:paraId="7CCDBB92" w14:textId="77777777" w:rsidR="00120662" w:rsidRPr="00120662" w:rsidRDefault="00120662" w:rsidP="00120662">
      <w:pPr>
        <w:spacing w:before="100" w:beforeAutospacing="1" w:after="100" w:afterAutospacing="1"/>
        <w:ind w:firstLine="720"/>
        <w:rPr>
          <w:szCs w:val="22"/>
        </w:rPr>
      </w:pPr>
      <w:r w:rsidRPr="00120662">
        <w:rPr>
          <w:szCs w:val="22"/>
        </w:rPr>
        <w:t>The Commission does not expect significant costs to be associated with these rules.  Therefore, we do not anticipate that the burden of compliance would be greater for smaller entities.</w:t>
      </w:r>
    </w:p>
    <w:p w14:paraId="7BA1D6C2" w14:textId="77777777" w:rsidR="00120662" w:rsidRPr="00120662" w:rsidRDefault="00120662" w:rsidP="00120662">
      <w:pPr>
        <w:rPr>
          <w:b/>
          <w:szCs w:val="22"/>
        </w:rPr>
      </w:pPr>
      <w:r w:rsidRPr="00120662">
        <w:rPr>
          <w:b/>
          <w:szCs w:val="22"/>
        </w:rPr>
        <w:t>F.</w:t>
      </w:r>
      <w:r w:rsidRPr="00120662">
        <w:rPr>
          <w:b/>
          <w:szCs w:val="22"/>
        </w:rPr>
        <w:tab/>
        <w:t>Steps Taken to Minimize Significant Economic Impact on Small Entities, and Significant Alternatives Considered</w:t>
      </w:r>
    </w:p>
    <w:p w14:paraId="0AB8C119" w14:textId="77777777" w:rsidR="00120662" w:rsidRPr="00120662" w:rsidRDefault="00120662" w:rsidP="00120662">
      <w:pPr>
        <w:rPr>
          <w:szCs w:val="22"/>
        </w:rPr>
      </w:pPr>
    </w:p>
    <w:p w14:paraId="6CD48FDB" w14:textId="77777777" w:rsidR="00120662" w:rsidRPr="00120662" w:rsidRDefault="00120662" w:rsidP="00120662">
      <w:pPr>
        <w:spacing w:after="220"/>
        <w:ind w:firstLine="720"/>
        <w:rPr>
          <w:szCs w:val="22"/>
        </w:rPr>
      </w:pPr>
      <w:r w:rsidRPr="00120662">
        <w:rPr>
          <w:szCs w:val="22"/>
        </w:rPr>
        <w:t>The RFA requires that, to the extent consistent with the objectives of applicable statutes, the analysis shall discuss significant alternatives such as: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120662">
        <w:rPr>
          <w:szCs w:val="22"/>
          <w:vertAlign w:val="superscript"/>
        </w:rPr>
        <w:footnoteReference w:id="81"/>
      </w:r>
    </w:p>
    <w:p w14:paraId="319FB21B" w14:textId="77777777" w:rsidR="00120662" w:rsidRPr="00120662" w:rsidRDefault="00120662" w:rsidP="00120662">
      <w:pPr>
        <w:ind w:firstLine="720"/>
        <w:rPr>
          <w:szCs w:val="22"/>
        </w:rPr>
      </w:pPr>
      <w:r w:rsidRPr="00120662">
        <w:rPr>
          <w:szCs w:val="22"/>
        </w:rPr>
        <w:t xml:space="preserve">The rules adopted herein are necessary to protect 17/24 GHz BSS subscribers from DBS feeder links (ground-path interference).  These rules will enable the efficient operation of the 17/24 GHz BSS, which is expected to introduce a new generation of broadband services to the public, and ensure that consumers enjoy the continued uninterrupted operation of DBS.  </w:t>
      </w:r>
    </w:p>
    <w:p w14:paraId="56807EDD" w14:textId="77777777" w:rsidR="00120662" w:rsidRPr="00120662" w:rsidRDefault="00120662" w:rsidP="00120662">
      <w:pPr>
        <w:ind w:firstLine="720"/>
        <w:rPr>
          <w:szCs w:val="22"/>
        </w:rPr>
      </w:pPr>
    </w:p>
    <w:p w14:paraId="1A8FC1F3" w14:textId="77777777" w:rsidR="00120662" w:rsidRPr="00120662" w:rsidRDefault="00120662" w:rsidP="00120662">
      <w:pPr>
        <w:ind w:firstLine="720"/>
        <w:rPr>
          <w:szCs w:val="22"/>
        </w:rPr>
      </w:pPr>
      <w:r w:rsidRPr="00120662">
        <w:rPr>
          <w:szCs w:val="22"/>
        </w:rPr>
        <w:t xml:space="preserve">The technical rules adopted here are the least intrusive option considered in terms of compliance requirements and will be the most effective in terms of facilitating the licensing of operations in the 17/24 GHz BSS without causing harmful interference to other authorized radiocommunication services.  We have considered alternatives, including subjecting existing DBS uplink facilities to new interference-mitigation requirements and establishing protection zones for existing DBS uplink facilities, and believe the rules as adopted provide the most equitable solution to the potential interference problems posed by the operations in 17/24 GHz BSS.  By requiring that technical showings be made prior to operation, we anticipate that there will be far fewer instances of harmful interference between these two services.  This will have a positive economic impact on all satellite space station and earth station licensees, including small entities.   </w:t>
      </w:r>
    </w:p>
    <w:p w14:paraId="18103CB4" w14:textId="77777777" w:rsidR="00120662" w:rsidRPr="00120662" w:rsidRDefault="00120662" w:rsidP="00120662">
      <w:pPr>
        <w:ind w:firstLine="720"/>
        <w:rPr>
          <w:szCs w:val="22"/>
        </w:rPr>
      </w:pPr>
    </w:p>
    <w:p w14:paraId="41F58C6C" w14:textId="77777777" w:rsidR="00120662" w:rsidRPr="00120662" w:rsidRDefault="00120662" w:rsidP="00120662">
      <w:pPr>
        <w:ind w:firstLine="720"/>
        <w:rPr>
          <w:szCs w:val="22"/>
        </w:rPr>
      </w:pPr>
      <w:r w:rsidRPr="00120662">
        <w:rPr>
          <w:szCs w:val="22"/>
        </w:rPr>
        <w:t xml:space="preserve"> </w:t>
      </w:r>
    </w:p>
    <w:p w14:paraId="0418EC92" w14:textId="77777777" w:rsidR="00120662" w:rsidRPr="00120662" w:rsidRDefault="00120662" w:rsidP="00120662">
      <w:pPr>
        <w:rPr>
          <w:b/>
          <w:szCs w:val="22"/>
        </w:rPr>
      </w:pPr>
      <w:r w:rsidRPr="00120662">
        <w:rPr>
          <w:b/>
          <w:szCs w:val="22"/>
        </w:rPr>
        <w:t>G.</w:t>
      </w:r>
      <w:r w:rsidRPr="00120662">
        <w:rPr>
          <w:b/>
          <w:szCs w:val="22"/>
        </w:rPr>
        <w:tab/>
        <w:t>Federal Rules that May Duplicate, Overlap, or Conflict With the Proposed Rules</w:t>
      </w:r>
    </w:p>
    <w:p w14:paraId="4B384EA4" w14:textId="77777777" w:rsidR="00120662" w:rsidRPr="00120662" w:rsidRDefault="00120662" w:rsidP="00120662">
      <w:pPr>
        <w:rPr>
          <w:szCs w:val="22"/>
        </w:rPr>
      </w:pPr>
    </w:p>
    <w:p w14:paraId="4A2DCCDC" w14:textId="77777777" w:rsidR="00120662" w:rsidRPr="00120662" w:rsidRDefault="00120662" w:rsidP="00120662">
      <w:pPr>
        <w:spacing w:after="220"/>
        <w:ind w:firstLine="720"/>
        <w:rPr>
          <w:szCs w:val="22"/>
        </w:rPr>
      </w:pPr>
      <w:r w:rsidRPr="00120662">
        <w:rPr>
          <w:szCs w:val="22"/>
        </w:rPr>
        <w:t>None.</w:t>
      </w:r>
    </w:p>
    <w:p w14:paraId="190F178D" w14:textId="5A18E13F" w:rsidR="00EE551A" w:rsidRPr="00120662" w:rsidRDefault="00120662" w:rsidP="00120662">
      <w:pPr>
        <w:tabs>
          <w:tab w:val="left" w:pos="1440"/>
        </w:tabs>
        <w:ind w:firstLine="270"/>
        <w:rPr>
          <w:rFonts w:eastAsiaTheme="minorHAnsi"/>
          <w:szCs w:val="22"/>
        </w:rPr>
      </w:pPr>
      <w:r w:rsidRPr="00120662">
        <w:rPr>
          <w:b/>
          <w:bCs/>
          <w:szCs w:val="22"/>
        </w:rPr>
        <w:t>Report to Congress:</w:t>
      </w:r>
      <w:r w:rsidRPr="00120662">
        <w:rPr>
          <w:szCs w:val="22"/>
        </w:rPr>
        <w:t xml:space="preserve"> The Commission will send a copy of the Report and Order, including this FRFA, in a report to be sent to Congress pursuant to the Congressional Review Act.  In addition, the Commission will send a copy of the Report and Order, including this FRFA, to the Chief Counsel for Advocacy of the SBA.  A copy of the Report and Order and FRFA (or summaries thereof) will also be published in the Federal Register.</w:t>
      </w:r>
      <w:r w:rsidRPr="00120662">
        <w:rPr>
          <w:szCs w:val="22"/>
          <w:vertAlign w:val="superscript"/>
        </w:rPr>
        <w:footnoteReference w:id="82"/>
      </w:r>
    </w:p>
    <w:sectPr w:rsidR="00EE551A" w:rsidRPr="00120662" w:rsidSect="00C55220">
      <w:footerReference w:type="first" r:id="rId16"/>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330AF" w14:textId="77777777" w:rsidR="003F1598" w:rsidRDefault="003F1598">
      <w:r>
        <w:separator/>
      </w:r>
    </w:p>
  </w:endnote>
  <w:endnote w:type="continuationSeparator" w:id="0">
    <w:p w14:paraId="54200BF4" w14:textId="77777777" w:rsidR="003F1598" w:rsidRDefault="003F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2A76D" w14:textId="77777777" w:rsidR="00AE6650" w:rsidRDefault="00AE6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1325" w14:textId="77777777" w:rsidR="008472ED" w:rsidRDefault="008472ED">
    <w:pPr>
      <w:pStyle w:val="Footer"/>
      <w:jc w:val="center"/>
    </w:pPr>
    <w:r>
      <w:fldChar w:fldCharType="begin"/>
    </w:r>
    <w:r>
      <w:instrText xml:space="preserve"> PAGE   \* MERGEFORMAT </w:instrText>
    </w:r>
    <w:r>
      <w:fldChar w:fldCharType="separate"/>
    </w:r>
    <w:r w:rsidR="004116A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0E2F" w14:textId="09F3EB61" w:rsidR="008472ED" w:rsidRDefault="008472ED">
    <w:pPr>
      <w:pStyle w:val="Footer"/>
      <w:jc w:val="center"/>
    </w:pPr>
  </w:p>
  <w:p w14:paraId="651B8E43" w14:textId="77777777" w:rsidR="008472ED" w:rsidRDefault="008472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47909"/>
      <w:docPartObj>
        <w:docPartGallery w:val="Page Numbers (Bottom of Page)"/>
        <w:docPartUnique/>
      </w:docPartObj>
    </w:sdtPr>
    <w:sdtEndPr>
      <w:rPr>
        <w:noProof/>
      </w:rPr>
    </w:sdtEndPr>
    <w:sdtContent>
      <w:p w14:paraId="0980231A" w14:textId="155EE9B5" w:rsidR="00120662" w:rsidRDefault="00120662">
        <w:pPr>
          <w:pStyle w:val="Footer"/>
          <w:jc w:val="center"/>
        </w:pPr>
        <w:r>
          <w:fldChar w:fldCharType="begin"/>
        </w:r>
        <w:r>
          <w:instrText xml:space="preserve"> PAGE   \* MERGEFORMAT </w:instrText>
        </w:r>
        <w:r>
          <w:fldChar w:fldCharType="separate"/>
        </w:r>
        <w:r w:rsidR="00C97476">
          <w:rPr>
            <w:noProof/>
          </w:rPr>
          <w:t>12</w:t>
        </w:r>
        <w:r>
          <w:rPr>
            <w:noProof/>
          </w:rPr>
          <w:fldChar w:fldCharType="end"/>
        </w:r>
      </w:p>
    </w:sdtContent>
  </w:sdt>
  <w:p w14:paraId="1B8723E0" w14:textId="77777777" w:rsidR="00C55220" w:rsidRDefault="00C552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25318"/>
      <w:docPartObj>
        <w:docPartGallery w:val="Page Numbers (Bottom of Page)"/>
        <w:docPartUnique/>
      </w:docPartObj>
    </w:sdtPr>
    <w:sdtEndPr>
      <w:rPr>
        <w:noProof/>
      </w:rPr>
    </w:sdtEndPr>
    <w:sdtContent>
      <w:p w14:paraId="5E83B25F" w14:textId="38959C64" w:rsidR="00120662" w:rsidRDefault="00120662">
        <w:pPr>
          <w:pStyle w:val="Footer"/>
          <w:jc w:val="center"/>
        </w:pPr>
        <w:r>
          <w:fldChar w:fldCharType="begin"/>
        </w:r>
        <w:r>
          <w:instrText xml:space="preserve"> PAGE   \* MERGEFORMAT </w:instrText>
        </w:r>
        <w:r>
          <w:fldChar w:fldCharType="separate"/>
        </w:r>
        <w:r w:rsidR="00C97476">
          <w:rPr>
            <w:noProof/>
          </w:rPr>
          <w:t>13</w:t>
        </w:r>
        <w:r>
          <w:rPr>
            <w:noProof/>
          </w:rPr>
          <w:fldChar w:fldCharType="end"/>
        </w:r>
      </w:p>
    </w:sdtContent>
  </w:sdt>
  <w:p w14:paraId="280C3EF6" w14:textId="77777777" w:rsidR="00120662" w:rsidRDefault="001206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0031"/>
      <w:docPartObj>
        <w:docPartGallery w:val="Page Numbers (Bottom of Page)"/>
        <w:docPartUnique/>
      </w:docPartObj>
    </w:sdtPr>
    <w:sdtEndPr>
      <w:rPr>
        <w:noProof/>
      </w:rPr>
    </w:sdtEndPr>
    <w:sdtContent>
      <w:p w14:paraId="6AA3CD84" w14:textId="77777777" w:rsidR="00120662" w:rsidRDefault="00120662">
        <w:pPr>
          <w:pStyle w:val="Footer"/>
          <w:jc w:val="center"/>
        </w:pPr>
        <w:r>
          <w:fldChar w:fldCharType="begin"/>
        </w:r>
        <w:r>
          <w:instrText xml:space="preserve"> PAGE   \* MERGEFORMAT </w:instrText>
        </w:r>
        <w:r>
          <w:fldChar w:fldCharType="separate"/>
        </w:r>
        <w:r w:rsidR="00C97476">
          <w:rPr>
            <w:noProof/>
          </w:rPr>
          <w:t>16</w:t>
        </w:r>
        <w:r>
          <w:rPr>
            <w:noProof/>
          </w:rPr>
          <w:fldChar w:fldCharType="end"/>
        </w:r>
      </w:p>
    </w:sdtContent>
  </w:sdt>
  <w:p w14:paraId="2910331C" w14:textId="77777777" w:rsidR="00120662" w:rsidRDefault="0012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4FF39" w14:textId="77777777" w:rsidR="003F1598" w:rsidRDefault="003F1598">
      <w:pPr>
        <w:rPr>
          <w:sz w:val="20"/>
        </w:rPr>
      </w:pPr>
      <w:r>
        <w:rPr>
          <w:sz w:val="20"/>
        </w:rPr>
        <w:separator/>
      </w:r>
    </w:p>
  </w:footnote>
  <w:footnote w:type="continuationSeparator" w:id="0">
    <w:p w14:paraId="3405C879" w14:textId="77777777" w:rsidR="003F1598" w:rsidRDefault="003F1598">
      <w:pPr>
        <w:rPr>
          <w:sz w:val="20"/>
        </w:rPr>
      </w:pPr>
      <w:r>
        <w:rPr>
          <w:sz w:val="20"/>
        </w:rPr>
        <w:separator/>
      </w:r>
    </w:p>
    <w:p w14:paraId="5CE8A61E" w14:textId="77777777" w:rsidR="003F1598" w:rsidRDefault="003F1598">
      <w:pPr>
        <w:rPr>
          <w:sz w:val="20"/>
        </w:rPr>
      </w:pPr>
      <w:r>
        <w:rPr>
          <w:sz w:val="20"/>
        </w:rPr>
        <w:t>(...continued from previous page)</w:t>
      </w:r>
    </w:p>
  </w:footnote>
  <w:footnote w:type="continuationNotice" w:id="1">
    <w:p w14:paraId="152596A9" w14:textId="77777777" w:rsidR="003F1598" w:rsidRDefault="003F1598">
      <w:pPr>
        <w:jc w:val="right"/>
        <w:rPr>
          <w:sz w:val="20"/>
        </w:rPr>
      </w:pPr>
      <w:r>
        <w:rPr>
          <w:sz w:val="20"/>
        </w:rPr>
        <w:t>(continued....)</w:t>
      </w:r>
    </w:p>
  </w:footnote>
  <w:footnote w:id="2">
    <w:p w14:paraId="021124B7" w14:textId="6E9DEE90" w:rsidR="008472ED" w:rsidRPr="00B60494" w:rsidRDefault="008472ED" w:rsidP="003779A7">
      <w:pPr>
        <w:pStyle w:val="FootnoteText"/>
        <w:rPr>
          <w:b/>
          <w:i/>
        </w:rPr>
      </w:pPr>
      <w:r w:rsidRPr="00142F5E">
        <w:rPr>
          <w:rStyle w:val="FootnoteReference"/>
        </w:rPr>
        <w:footnoteRef/>
      </w:r>
      <w:r w:rsidRPr="00142F5E">
        <w:t xml:space="preserve"> BSS is</w:t>
      </w:r>
      <w:r>
        <w:t xml:space="preserve"> defined as</w:t>
      </w:r>
      <w:r w:rsidRPr="00142F5E">
        <w:t xml:space="preserve"> “[a] radiocommunication service in which signals transmitted or retransmitted by space stations are intended for direct reception by the general public.”</w:t>
      </w:r>
      <w:r>
        <w:t xml:space="preserve">  47 CFR §2.1. </w:t>
      </w:r>
      <w:r w:rsidRPr="00142F5E">
        <w:t xml:space="preserve"> DBS </w:t>
      </w:r>
      <w:r>
        <w:t xml:space="preserve">is the acronym used in the United States to describe the domestic implementation of the satellite service known internationally as BSS, which is subject to the International Radio Regulation BSS and feeder-link Plans contained in Appendices 30 and 30A.  DBS is defined as </w:t>
      </w:r>
      <w:r w:rsidRPr="00142F5E">
        <w:t>“a radiocommunication service in which signals transmitted or retransmitted by Broadcasting-Satellite Service space stations in the 12.2-12.7 GHz band are intended for direct reception by subscribers or the general public.”  47 CFR §25.103</w:t>
      </w:r>
      <w:r>
        <w:t>.  In this item, the term “17/24 GHz BSS” generally refers to the BSS operating on space-to-Earth (downlink) frequencies in the 17.3-17.8 GHz band and the corresponding Earth-to-space (uplink) frequencies in the 24.75-25.25 GHz band.  In some cases, these 17/24 GHz BSS</w:t>
      </w:r>
      <w:r w:rsidRPr="00016ECE">
        <w:t xml:space="preserve"> services </w:t>
      </w:r>
      <w:r>
        <w:t xml:space="preserve">will </w:t>
      </w:r>
      <w:r w:rsidRPr="00016ECE">
        <w:t>complement existing DBS operations.</w:t>
      </w:r>
      <w:r>
        <w:t xml:space="preserve"> </w:t>
      </w:r>
    </w:p>
  </w:footnote>
  <w:footnote w:id="3">
    <w:p w14:paraId="66BA2D5C" w14:textId="1C1543B9" w:rsidR="008472ED" w:rsidRPr="000F39C0" w:rsidRDefault="008472ED" w:rsidP="003779A7">
      <w:pPr>
        <w:pStyle w:val="FootnoteText"/>
      </w:pPr>
      <w:r w:rsidRPr="000F39C0">
        <w:rPr>
          <w:rStyle w:val="FootnoteReference"/>
        </w:rPr>
        <w:footnoteRef/>
      </w:r>
      <w:r w:rsidRPr="000F39C0">
        <w:t xml:space="preserve"> </w:t>
      </w:r>
      <w:r w:rsidRPr="003779A7">
        <w:t>The</w:t>
      </w:r>
      <w:r w:rsidRPr="0047475B">
        <w:rPr>
          <w:i/>
        </w:rPr>
        <w:t xml:space="preserve"> Establishment of Policies and Service Rules for the Broadcasting-Satellite Service at the 17.3-17.7 GHz Frequency Band and at the 17.7</w:t>
      </w:r>
      <w:r>
        <w:rPr>
          <w:i/>
        </w:rPr>
        <w:t>-</w:t>
      </w:r>
      <w:r w:rsidRPr="0047475B">
        <w:rPr>
          <w:i/>
        </w:rPr>
        <w:t>17.8 GHz Frequency Band Internationally, and at the 24.75-25.25 GHz Frequency Band for Fixed Satellite Services Providing Feeder Links to the Broadcasting-Satellite Service and for the Satellite Services Operating Bi-directionally in the 17.3-17.8 GHz Frequency Band</w:t>
      </w:r>
      <w:r>
        <w:t>, Report and Order and Further Notice of Proposed Rulemaking</w:t>
      </w:r>
      <w:r>
        <w:rPr>
          <w:rFonts w:eastAsia="TimesNewRoman"/>
        </w:rPr>
        <w:t xml:space="preserve">, </w:t>
      </w:r>
      <w:r w:rsidRPr="000F39C0">
        <w:rPr>
          <w:rFonts w:eastAsia="TimesNewRoman"/>
        </w:rPr>
        <w:t>22 FCC Rcd 8842 (2007) (“</w:t>
      </w:r>
      <w:r w:rsidRPr="00181EB8">
        <w:rPr>
          <w:rFonts w:eastAsia="TimesNewRoman"/>
          <w:i/>
          <w:iCs/>
        </w:rPr>
        <w:t>Order and FNPRM</w:t>
      </w:r>
      <w:r w:rsidRPr="000F39C0">
        <w:rPr>
          <w:rFonts w:eastAsia="TimesNewRoman"/>
        </w:rPr>
        <w:t>” or “</w:t>
      </w:r>
      <w:r w:rsidRPr="00181EB8">
        <w:rPr>
          <w:rFonts w:eastAsia="TimesNewRoman"/>
          <w:i/>
          <w:iCs/>
        </w:rPr>
        <w:t>Orde</w:t>
      </w:r>
      <w:r w:rsidRPr="000F39C0">
        <w:rPr>
          <w:rFonts w:eastAsia="TimesNewRoman"/>
          <w:iCs/>
        </w:rPr>
        <w:t>r</w:t>
      </w:r>
      <w:r w:rsidRPr="000F39C0">
        <w:rPr>
          <w:rFonts w:eastAsia="TimesNewRoman"/>
        </w:rPr>
        <w:t>” and “</w:t>
      </w:r>
      <w:r w:rsidRPr="00181EB8">
        <w:rPr>
          <w:rFonts w:eastAsia="TimesNewRoman"/>
          <w:i/>
          <w:iCs/>
        </w:rPr>
        <w:t>FNPRM</w:t>
      </w:r>
      <w:r w:rsidRPr="000F39C0">
        <w:rPr>
          <w:rFonts w:eastAsia="TimesNewRoman"/>
        </w:rPr>
        <w:t>” individually).</w:t>
      </w:r>
    </w:p>
  </w:footnote>
  <w:footnote w:id="4">
    <w:p w14:paraId="0F6B1B10" w14:textId="77777777" w:rsidR="008472ED" w:rsidRPr="000F39C0" w:rsidRDefault="008472ED" w:rsidP="00405EF2">
      <w:pPr>
        <w:pStyle w:val="FootnoteText"/>
      </w:pPr>
      <w:r w:rsidRPr="000F39C0">
        <w:rPr>
          <w:rStyle w:val="FootnoteReference"/>
        </w:rPr>
        <w:footnoteRef/>
      </w:r>
      <w:r w:rsidRPr="000F39C0">
        <w:t xml:space="preserve"> </w:t>
      </w:r>
      <w:r w:rsidRPr="00D9404C">
        <w:rPr>
          <w:rFonts w:eastAsia="TimesNewRoman"/>
          <w:i/>
          <w:iCs/>
        </w:rPr>
        <w:t xml:space="preserve">Order and FNPRM, </w:t>
      </w:r>
      <w:r w:rsidRPr="00D9404C">
        <w:rPr>
          <w:rFonts w:eastAsia="TimesNewRoman"/>
        </w:rPr>
        <w:t>22 FCC Rcd 8842</w:t>
      </w:r>
      <w:r w:rsidRPr="00D9404C">
        <w:rPr>
          <w:rFonts w:eastAsia="TimesNewRoman"/>
          <w:color w:val="010101"/>
        </w:rPr>
        <w:t xml:space="preserve"> at </w:t>
      </w:r>
      <w:r w:rsidRPr="00405EF2">
        <w:t>Appendix</w:t>
      </w:r>
      <w:r w:rsidRPr="00D9404C">
        <w:rPr>
          <w:rFonts w:eastAsia="TimesNewRoman"/>
          <w:color w:val="010101"/>
        </w:rPr>
        <w:t xml:space="preserve"> F.</w:t>
      </w:r>
    </w:p>
  </w:footnote>
  <w:footnote w:id="5">
    <w:p w14:paraId="1AF9E9DD" w14:textId="775669BA" w:rsidR="008472ED" w:rsidRPr="000F39C0" w:rsidRDefault="008472ED" w:rsidP="00405EF2">
      <w:pPr>
        <w:pStyle w:val="FootnoteText"/>
      </w:pPr>
      <w:r w:rsidRPr="000F39C0">
        <w:rPr>
          <w:rStyle w:val="FootnoteReference"/>
        </w:rPr>
        <w:footnoteRef/>
      </w:r>
      <w:r w:rsidRPr="000F39C0">
        <w:t xml:space="preserve"> </w:t>
      </w:r>
      <w:r w:rsidRPr="00FF1108">
        <w:rPr>
          <w:rFonts w:eastAsia="TimesNewRoman"/>
          <w:i/>
          <w:color w:val="010101"/>
        </w:rPr>
        <w:t>Id</w:t>
      </w:r>
      <w:r w:rsidRPr="000F39C0">
        <w:rPr>
          <w:i/>
          <w:iCs/>
          <w:color w:val="010101"/>
        </w:rPr>
        <w:t xml:space="preserve">. </w:t>
      </w:r>
      <w:r w:rsidRPr="000F39C0">
        <w:rPr>
          <w:rFonts w:eastAsia="TimesNewRoman"/>
          <w:color w:val="010101"/>
        </w:rPr>
        <w:t xml:space="preserve">at 8902-17, </w:t>
      </w:r>
      <w:r w:rsidR="00DA60A3">
        <w:rPr>
          <w:rFonts w:eastAsia="TimesNewRoman"/>
          <w:color w:val="010101"/>
        </w:rPr>
        <w:t>paras. 148-188.  A</w:t>
      </w:r>
      <w:r>
        <w:rPr>
          <w:rFonts w:eastAsia="TimesNewRoman"/>
          <w:color w:val="010101"/>
        </w:rPr>
        <w:t>ppendix A</w:t>
      </w:r>
      <w:r w:rsidRPr="000F39C0">
        <w:rPr>
          <w:rFonts w:eastAsia="TimesNewRoman"/>
          <w:color w:val="010101"/>
        </w:rPr>
        <w:t xml:space="preserve"> </w:t>
      </w:r>
      <w:r>
        <w:rPr>
          <w:rFonts w:eastAsia="TimesNewRoman"/>
          <w:color w:val="010101"/>
        </w:rPr>
        <w:t>provides</w:t>
      </w:r>
      <w:r w:rsidRPr="000F39C0">
        <w:rPr>
          <w:rFonts w:eastAsia="TimesNewRoman"/>
          <w:color w:val="010101"/>
        </w:rPr>
        <w:t xml:space="preserve"> a list of the Comments, Reply Comments and </w:t>
      </w:r>
      <w:r>
        <w:rPr>
          <w:rFonts w:eastAsia="TimesNewRoman"/>
          <w:color w:val="010101"/>
        </w:rPr>
        <w:t>Supplementary Comments</w:t>
      </w:r>
      <w:r w:rsidRPr="000F39C0">
        <w:rPr>
          <w:rFonts w:eastAsia="TimesNewRoman"/>
          <w:color w:val="010101"/>
        </w:rPr>
        <w:t xml:space="preserve"> </w:t>
      </w:r>
      <w:r>
        <w:rPr>
          <w:rFonts w:eastAsia="TimesNewRoman"/>
          <w:color w:val="010101"/>
        </w:rPr>
        <w:t xml:space="preserve">and Supplementary Reply </w:t>
      </w:r>
      <w:r w:rsidRPr="00405EF2">
        <w:t>Comments</w:t>
      </w:r>
      <w:r>
        <w:rPr>
          <w:rFonts w:eastAsia="TimesNewRoman"/>
          <w:color w:val="010101"/>
        </w:rPr>
        <w:t xml:space="preserve"> </w:t>
      </w:r>
      <w:r w:rsidRPr="000F39C0">
        <w:rPr>
          <w:rFonts w:eastAsia="TimesNewRoman"/>
          <w:color w:val="010101"/>
        </w:rPr>
        <w:t>filed.</w:t>
      </w:r>
    </w:p>
  </w:footnote>
  <w:footnote w:id="6">
    <w:p w14:paraId="008D8DD8" w14:textId="76D3D49D" w:rsidR="008472ED" w:rsidRPr="009951F1" w:rsidRDefault="008472ED" w:rsidP="003779A7">
      <w:pPr>
        <w:pStyle w:val="FootnoteText"/>
      </w:pPr>
      <w:r w:rsidRPr="009951F1">
        <w:rPr>
          <w:rStyle w:val="FootnoteReference"/>
        </w:rPr>
        <w:footnoteRef/>
      </w:r>
      <w:r w:rsidRPr="009951F1">
        <w:t xml:space="preserve"> </w:t>
      </w:r>
      <w:r w:rsidRPr="0047475B">
        <w:rPr>
          <w:i/>
        </w:rPr>
        <w:t>The Establishment of Policies and Service Rules for the Broadcasting-Satellite Service at the 17.3-17.7 GHz Frequency Band and at the 17.7</w:t>
      </w:r>
      <w:r>
        <w:rPr>
          <w:i/>
        </w:rPr>
        <w:t>-</w:t>
      </w:r>
      <w:r w:rsidRPr="0047475B">
        <w:rPr>
          <w:i/>
        </w:rPr>
        <w:t>17.8 GHz Frequency Band Internationally, and at the 24.75-25.25 GHz Frequency Band for Fixed Satellite Services Providing Feeder Links to the Broadcasting-Satellite Service and for the Satellite Services Operating Bi-directionally in the 17.3-17.8 GHz Frequency Band</w:t>
      </w:r>
      <w:r>
        <w:t>, IB Docket No. 06-123</w:t>
      </w:r>
      <w:r w:rsidRPr="0047475B">
        <w:t>,</w:t>
      </w:r>
      <w:r>
        <w:t xml:space="preserve"> </w:t>
      </w:r>
      <w:r>
        <w:rPr>
          <w:rFonts w:eastAsia="TimesNewRoman"/>
        </w:rPr>
        <w:t xml:space="preserve">Second </w:t>
      </w:r>
      <w:r w:rsidRPr="009951F1">
        <w:rPr>
          <w:rFonts w:eastAsia="TimesNewRoman"/>
          <w:iCs/>
        </w:rPr>
        <w:t>Report and Order</w:t>
      </w:r>
      <w:r>
        <w:rPr>
          <w:rFonts w:eastAsia="TimesNewRoman"/>
          <w:iCs/>
        </w:rPr>
        <w:t>, 26 FCC Rcd 8927 (2011) (“</w:t>
      </w:r>
      <w:r>
        <w:rPr>
          <w:rFonts w:eastAsia="TimesNewRoman"/>
          <w:i/>
          <w:iCs/>
        </w:rPr>
        <w:t>Second R&amp;O</w:t>
      </w:r>
      <w:r>
        <w:rPr>
          <w:rFonts w:eastAsia="TimesNewRoman"/>
          <w:iCs/>
        </w:rPr>
        <w:t>”).</w:t>
      </w:r>
    </w:p>
  </w:footnote>
  <w:footnote w:id="7">
    <w:p w14:paraId="518740AE" w14:textId="11DE9F50" w:rsidR="008472ED" w:rsidRPr="005F0BED" w:rsidRDefault="008472ED" w:rsidP="003779A7">
      <w:pPr>
        <w:autoSpaceDE w:val="0"/>
        <w:autoSpaceDN w:val="0"/>
        <w:adjustRightInd w:val="0"/>
        <w:spacing w:before="120"/>
        <w:rPr>
          <w:rFonts w:eastAsia="TimesNewRoman"/>
          <w:color w:val="010101"/>
          <w:sz w:val="20"/>
        </w:rPr>
      </w:pPr>
      <w:r w:rsidRPr="00B941F5">
        <w:rPr>
          <w:rStyle w:val="FootnoteReference"/>
        </w:rPr>
        <w:footnoteRef/>
      </w:r>
      <w:r w:rsidRPr="00B941F5">
        <w:t xml:space="preserve"> </w:t>
      </w:r>
      <w:r w:rsidRPr="00B941F5">
        <w:rPr>
          <w:rFonts w:eastAsia="TimesNewRoman"/>
          <w:color w:val="010101"/>
          <w:sz w:val="20"/>
        </w:rPr>
        <w:t>Power flux density is defined as the amount of power flow through a unit area within a unit bandwidth.  The units of power flux density are those of power spectral density per unit area, namely watts per hertz per square meter.</w:t>
      </w:r>
      <w:r>
        <w:rPr>
          <w:rFonts w:eastAsia="TimesNewRoman"/>
          <w:color w:val="010101"/>
          <w:sz w:val="20"/>
        </w:rPr>
        <w:t xml:space="preserve">  </w:t>
      </w:r>
      <w:r w:rsidRPr="00B941F5">
        <w:rPr>
          <w:rFonts w:eastAsia="TimesNewRoman"/>
          <w:color w:val="010101"/>
          <w:sz w:val="20"/>
        </w:rPr>
        <w:t>These units are generally expressed in decibel form as dB (W/Hz/m</w:t>
      </w:r>
      <w:r w:rsidRPr="00B47F72">
        <w:rPr>
          <w:rFonts w:eastAsia="TimesNewRoman"/>
          <w:color w:val="010101"/>
          <w:sz w:val="13"/>
          <w:szCs w:val="13"/>
          <w:vertAlign w:val="superscript"/>
        </w:rPr>
        <w:t>2</w:t>
      </w:r>
      <w:r w:rsidRPr="00B941F5">
        <w:rPr>
          <w:rFonts w:eastAsia="TimesNewRoman"/>
          <w:color w:val="010101"/>
          <w:sz w:val="20"/>
        </w:rPr>
        <w:t>), dB (W/m</w:t>
      </w:r>
      <w:r w:rsidRPr="00B47F72">
        <w:rPr>
          <w:rFonts w:eastAsia="TimesNewRoman"/>
          <w:color w:val="010101"/>
          <w:sz w:val="13"/>
          <w:szCs w:val="13"/>
          <w:vertAlign w:val="superscript"/>
        </w:rPr>
        <w:t>2</w:t>
      </w:r>
      <w:r w:rsidRPr="00B941F5">
        <w:rPr>
          <w:rFonts w:eastAsia="TimesNewRoman"/>
          <w:color w:val="010101"/>
          <w:sz w:val="20"/>
        </w:rPr>
        <w:t>) in a 4 kHz band, or dB (W/m</w:t>
      </w:r>
      <w:r w:rsidRPr="00B47F72">
        <w:rPr>
          <w:rFonts w:eastAsia="TimesNewRoman"/>
          <w:color w:val="010101"/>
          <w:sz w:val="13"/>
          <w:szCs w:val="13"/>
          <w:vertAlign w:val="superscript"/>
        </w:rPr>
        <w:t>2</w:t>
      </w:r>
      <w:r w:rsidRPr="00B941F5">
        <w:rPr>
          <w:rFonts w:eastAsia="TimesNewRoman"/>
          <w:color w:val="010101"/>
          <w:sz w:val="20"/>
        </w:rPr>
        <w:t>) in a 1 MHz band.  47 CF</w:t>
      </w:r>
      <w:r>
        <w:rPr>
          <w:rFonts w:eastAsia="TimesNewRoman"/>
          <w:color w:val="010101"/>
          <w:sz w:val="20"/>
        </w:rPr>
        <w:t>R</w:t>
      </w:r>
      <w:r w:rsidRPr="00B941F5">
        <w:rPr>
          <w:rFonts w:eastAsia="TimesNewRoman"/>
          <w:color w:val="010101"/>
          <w:sz w:val="20"/>
        </w:rPr>
        <w:t xml:space="preserve"> § 25.</w:t>
      </w:r>
      <w:r>
        <w:rPr>
          <w:rFonts w:eastAsia="TimesNewRoman"/>
          <w:color w:val="010101"/>
          <w:sz w:val="20"/>
        </w:rPr>
        <w:t>1</w:t>
      </w:r>
      <w:r w:rsidRPr="00B941F5">
        <w:rPr>
          <w:rFonts w:eastAsia="TimesNewRoman"/>
          <w:color w:val="010101"/>
          <w:sz w:val="20"/>
        </w:rPr>
        <w:t>0</w:t>
      </w:r>
      <w:r>
        <w:rPr>
          <w:rFonts w:eastAsia="TimesNewRoman"/>
          <w:color w:val="010101"/>
          <w:sz w:val="20"/>
        </w:rPr>
        <w:t>3</w:t>
      </w:r>
      <w:r w:rsidRPr="00B941F5">
        <w:rPr>
          <w:rFonts w:eastAsia="TimesNewRoman"/>
          <w:color w:val="010101"/>
          <w:sz w:val="20"/>
        </w:rPr>
        <w:t>.</w:t>
      </w:r>
    </w:p>
  </w:footnote>
  <w:footnote w:id="8">
    <w:p w14:paraId="3642F6D5" w14:textId="48AADD31" w:rsidR="008472ED" w:rsidRPr="00B60494" w:rsidRDefault="008472ED" w:rsidP="003779A7">
      <w:pPr>
        <w:autoSpaceDE w:val="0"/>
        <w:autoSpaceDN w:val="0"/>
        <w:adjustRightInd w:val="0"/>
        <w:spacing w:before="120"/>
        <w:rPr>
          <w:sz w:val="20"/>
        </w:rPr>
      </w:pPr>
      <w:r w:rsidRPr="00B60494">
        <w:rPr>
          <w:rStyle w:val="FootnoteReference"/>
        </w:rPr>
        <w:footnoteRef/>
      </w:r>
      <w:r w:rsidRPr="00B60494">
        <w:rPr>
          <w:sz w:val="20"/>
        </w:rPr>
        <w:t xml:space="preserve"> </w:t>
      </w:r>
      <w:r w:rsidRPr="00B60494">
        <w:rPr>
          <w:i/>
          <w:sz w:val="20"/>
        </w:rPr>
        <w:t>Second R&amp;O</w:t>
      </w:r>
      <w:r w:rsidRPr="00B60494">
        <w:rPr>
          <w:sz w:val="20"/>
        </w:rPr>
        <w:t>, 26 FCC Rcd at 8928.</w:t>
      </w:r>
    </w:p>
  </w:footnote>
  <w:footnote w:id="9">
    <w:p w14:paraId="04DE509A" w14:textId="7C460E62" w:rsidR="008472ED" w:rsidRPr="00B60494" w:rsidRDefault="008472ED" w:rsidP="003779A7">
      <w:pPr>
        <w:autoSpaceDE w:val="0"/>
        <w:autoSpaceDN w:val="0"/>
        <w:adjustRightInd w:val="0"/>
        <w:spacing w:before="120"/>
        <w:rPr>
          <w:i/>
        </w:rPr>
      </w:pPr>
      <w:r>
        <w:rPr>
          <w:rStyle w:val="FootnoteReference"/>
        </w:rPr>
        <w:footnoteRef/>
      </w:r>
      <w:r>
        <w:t xml:space="preserve"> </w:t>
      </w:r>
      <w:r w:rsidRPr="00B60494">
        <w:rPr>
          <w:i/>
          <w:sz w:val="20"/>
        </w:rPr>
        <w:t>Id</w:t>
      </w:r>
      <w:r>
        <w:rPr>
          <w:i/>
        </w:rPr>
        <w:t>.</w:t>
      </w:r>
    </w:p>
  </w:footnote>
  <w:footnote w:id="10">
    <w:p w14:paraId="4CC9294E" w14:textId="52719A34" w:rsidR="008472ED" w:rsidRPr="00405EF2" w:rsidRDefault="008472ED" w:rsidP="003779A7">
      <w:pPr>
        <w:autoSpaceDE w:val="0"/>
        <w:autoSpaceDN w:val="0"/>
        <w:adjustRightInd w:val="0"/>
        <w:spacing w:before="120"/>
        <w:rPr>
          <w:sz w:val="20"/>
        </w:rPr>
      </w:pPr>
      <w:r>
        <w:rPr>
          <w:rStyle w:val="FootnoteReference"/>
        </w:rPr>
        <w:footnoteRef/>
      </w:r>
      <w:r>
        <w:t xml:space="preserve"> </w:t>
      </w:r>
      <w:r w:rsidRPr="00945BCA">
        <w:rPr>
          <w:i/>
          <w:sz w:val="20"/>
        </w:rPr>
        <w:t>Commission</w:t>
      </w:r>
      <w:r w:rsidRPr="00405EF2">
        <w:rPr>
          <w:bCs/>
          <w:i/>
          <w:sz w:val="20"/>
        </w:rPr>
        <w:t xml:space="preserve"> Staff Invites Any Supplemental Information or Comments On Proposed Ground Path Interference Rules for 17/24 GHz Reverse Band Broadcast-Satellite Service (BSS) Operations</w:t>
      </w:r>
      <w:r w:rsidRPr="00405EF2">
        <w:rPr>
          <w:bCs/>
          <w:sz w:val="20"/>
        </w:rPr>
        <w:t xml:space="preserve">, </w:t>
      </w:r>
      <w:r w:rsidRPr="00405EF2">
        <w:rPr>
          <w:sz w:val="20"/>
        </w:rPr>
        <w:t>IB Docket No. 06-123, DA 15-1147, Public Notice, 30 FCC Rcd 10883 (IB 2015).</w:t>
      </w:r>
    </w:p>
  </w:footnote>
  <w:footnote w:id="11">
    <w:p w14:paraId="5C426F53" w14:textId="77777777" w:rsidR="008472ED" w:rsidRPr="009035CE" w:rsidRDefault="008472ED" w:rsidP="003779A7">
      <w:pPr>
        <w:pStyle w:val="FootnoteText"/>
        <w:spacing w:before="120" w:after="0"/>
      </w:pPr>
      <w:r w:rsidRPr="003D5390">
        <w:rPr>
          <w:rStyle w:val="FootnoteReference"/>
        </w:rPr>
        <w:footnoteRef/>
      </w:r>
      <w:r w:rsidRPr="003D5390">
        <w:t xml:space="preserve"> </w:t>
      </w:r>
      <w:r w:rsidRPr="00D9404C">
        <w:rPr>
          <w:rStyle w:val="FootnoteTextChar1"/>
          <w:i/>
        </w:rPr>
        <w:t>FNPRM</w:t>
      </w:r>
      <w:r w:rsidRPr="00181EB8">
        <w:rPr>
          <w:rStyle w:val="FootnoteTextChar1"/>
        </w:rPr>
        <w:t xml:space="preserve">, </w:t>
      </w:r>
      <w:r w:rsidRPr="00181EB8">
        <w:rPr>
          <w:rStyle w:val="FootnoteTextChar1"/>
          <w:rFonts w:eastAsia="TimesNewRoman"/>
        </w:rPr>
        <w:t>22 FCC Rcd 8</w:t>
      </w:r>
      <w:r>
        <w:rPr>
          <w:rStyle w:val="FootnoteTextChar1"/>
          <w:rFonts w:eastAsia="TimesNewRoman"/>
        </w:rPr>
        <w:t>903 at paras.</w:t>
      </w:r>
      <w:r w:rsidRPr="00181EB8">
        <w:rPr>
          <w:rStyle w:val="FootnoteTextChar1"/>
          <w:rFonts w:eastAsia="TimesNewRoman"/>
        </w:rPr>
        <w:t xml:space="preserve"> 150-151.</w:t>
      </w:r>
    </w:p>
  </w:footnote>
  <w:footnote w:id="12">
    <w:p w14:paraId="7BB5A2C2" w14:textId="77777777" w:rsidR="008472ED" w:rsidRPr="00181EB8" w:rsidRDefault="008472ED" w:rsidP="003779A7">
      <w:pPr>
        <w:pStyle w:val="FootnoteText"/>
        <w:spacing w:before="120" w:after="0"/>
      </w:pPr>
      <w:r w:rsidRPr="003D5390">
        <w:rPr>
          <w:rStyle w:val="FootnoteReference"/>
        </w:rPr>
        <w:footnoteRef/>
      </w:r>
      <w:r>
        <w:t xml:space="preserve"> </w:t>
      </w:r>
      <w:r>
        <w:rPr>
          <w:i/>
        </w:rPr>
        <w:t>I</w:t>
      </w:r>
      <w:r w:rsidRPr="00181EB8">
        <w:rPr>
          <w:i/>
        </w:rPr>
        <w:t>d.</w:t>
      </w:r>
    </w:p>
  </w:footnote>
  <w:footnote w:id="13">
    <w:p w14:paraId="0231E3FE" w14:textId="77777777" w:rsidR="008472ED" w:rsidRPr="000A4A7C" w:rsidRDefault="008472ED" w:rsidP="003779A7">
      <w:pPr>
        <w:pStyle w:val="FootnoteText"/>
        <w:spacing w:before="120" w:after="0"/>
      </w:pPr>
      <w:r>
        <w:rPr>
          <w:rStyle w:val="FootnoteReference"/>
        </w:rPr>
        <w:footnoteRef/>
      </w:r>
      <w:r>
        <w:t xml:space="preserve"> </w:t>
      </w:r>
      <w:r w:rsidRPr="00691782">
        <w:rPr>
          <w:i/>
        </w:rPr>
        <w:t>See</w:t>
      </w:r>
      <w:r>
        <w:rPr>
          <w:i/>
        </w:rPr>
        <w:t xml:space="preserve"> </w:t>
      </w:r>
      <w:r w:rsidRPr="00064FD7">
        <w:t>SES Americom</w:t>
      </w:r>
      <w:r>
        <w:t xml:space="preserve"> </w:t>
      </w:r>
      <w:r w:rsidRPr="00064FD7">
        <w:t xml:space="preserve">Reply Comments at 2. </w:t>
      </w:r>
      <w:r>
        <w:t xml:space="preserve"> </w:t>
      </w:r>
      <w:r w:rsidRPr="00064FD7">
        <w:rPr>
          <w:i/>
        </w:rPr>
        <w:t>See also</w:t>
      </w:r>
      <w:r w:rsidRPr="00064FD7">
        <w:t xml:space="preserve"> AT&amp;T Services (AT&amp;T) Supplementary Comments at 2-3; Echostar Supplementary Comments at 2; SES Americom Supplementary Comments at 1-2.</w:t>
      </w:r>
    </w:p>
  </w:footnote>
  <w:footnote w:id="14">
    <w:p w14:paraId="4F042FF5" w14:textId="77777777" w:rsidR="008472ED" w:rsidRDefault="008472ED" w:rsidP="003779A7">
      <w:pPr>
        <w:pStyle w:val="FootnoteText"/>
        <w:spacing w:before="120" w:after="0"/>
      </w:pPr>
      <w:r>
        <w:rPr>
          <w:rStyle w:val="FootnoteReference"/>
        </w:rPr>
        <w:footnoteRef/>
      </w:r>
      <w:r>
        <w:t xml:space="preserve"> </w:t>
      </w:r>
      <w:r>
        <w:rPr>
          <w:i/>
        </w:rPr>
        <w:t xml:space="preserve">See </w:t>
      </w:r>
      <w:r>
        <w:t xml:space="preserve">EchoStar Comments at 5. </w:t>
      </w:r>
    </w:p>
  </w:footnote>
  <w:footnote w:id="15">
    <w:p w14:paraId="6EB0BC0B" w14:textId="77777777" w:rsidR="008472ED" w:rsidRDefault="008472ED" w:rsidP="003779A7">
      <w:pPr>
        <w:pStyle w:val="FootnoteText"/>
        <w:spacing w:before="120" w:after="0"/>
      </w:pPr>
      <w:r>
        <w:rPr>
          <w:rStyle w:val="FootnoteReference"/>
        </w:rPr>
        <w:footnoteRef/>
      </w:r>
      <w:r>
        <w:t xml:space="preserve"> </w:t>
      </w:r>
      <w:r w:rsidRPr="00691782">
        <w:rPr>
          <w:i/>
        </w:rPr>
        <w:t>See</w:t>
      </w:r>
      <w:r>
        <w:rPr>
          <w:i/>
        </w:rPr>
        <w:t xml:space="preserve"> </w:t>
      </w:r>
      <w:r>
        <w:t xml:space="preserve">DIRECTV Comments at 7. </w:t>
      </w:r>
    </w:p>
  </w:footnote>
  <w:footnote w:id="16">
    <w:p w14:paraId="0D2AF460" w14:textId="77777777" w:rsidR="008472ED" w:rsidRDefault="008472ED" w:rsidP="003779A7">
      <w:pPr>
        <w:pStyle w:val="FootnoteText"/>
        <w:spacing w:before="120" w:after="0"/>
      </w:pPr>
      <w:r>
        <w:rPr>
          <w:rStyle w:val="FootnoteReference"/>
        </w:rPr>
        <w:footnoteRef/>
      </w:r>
      <w:r>
        <w:t xml:space="preserve"> </w:t>
      </w:r>
      <w:r w:rsidRPr="00691782">
        <w:rPr>
          <w:i/>
        </w:rPr>
        <w:t>See</w:t>
      </w:r>
      <w:r>
        <w:rPr>
          <w:i/>
        </w:rPr>
        <w:t xml:space="preserve"> </w:t>
      </w:r>
      <w:r>
        <w:t xml:space="preserve">SES Americom Comments at 3. </w:t>
      </w:r>
    </w:p>
  </w:footnote>
  <w:footnote w:id="17">
    <w:p w14:paraId="43EDBC73" w14:textId="77777777" w:rsidR="008472ED" w:rsidRDefault="008472ED" w:rsidP="003779A7">
      <w:pPr>
        <w:pStyle w:val="FootnoteText"/>
      </w:pPr>
      <w:r>
        <w:rPr>
          <w:rStyle w:val="FootnoteReference"/>
        </w:rPr>
        <w:footnoteRef/>
      </w:r>
      <w:r>
        <w:t xml:space="preserve"> </w:t>
      </w:r>
      <w:r>
        <w:rPr>
          <w:i/>
        </w:rPr>
        <w:t>FNPRM</w:t>
      </w:r>
      <w:r>
        <w:t>, 22 FCC Rcd 8904, paras. 152-55.</w:t>
      </w:r>
      <w:r w:rsidRPr="00716249">
        <w:rPr>
          <w:b/>
        </w:rPr>
        <w:t xml:space="preserve"> </w:t>
      </w:r>
    </w:p>
  </w:footnote>
  <w:footnote w:id="18">
    <w:p w14:paraId="12635CC0" w14:textId="77777777" w:rsidR="008472ED" w:rsidRPr="0011377A" w:rsidRDefault="008472ED" w:rsidP="003779A7">
      <w:pPr>
        <w:pStyle w:val="FootnoteText"/>
      </w:pPr>
      <w:r>
        <w:rPr>
          <w:rStyle w:val="FootnoteReference"/>
        </w:rPr>
        <w:footnoteRef/>
      </w:r>
      <w:r>
        <w:t xml:space="preserve"> SES Americom Comments at 8.</w:t>
      </w:r>
    </w:p>
  </w:footnote>
  <w:footnote w:id="19">
    <w:p w14:paraId="08E9E47B" w14:textId="77777777" w:rsidR="008472ED" w:rsidRDefault="008472ED" w:rsidP="003779A7">
      <w:pPr>
        <w:pStyle w:val="FootnoteText"/>
      </w:pPr>
      <w:r>
        <w:rPr>
          <w:rStyle w:val="FootnoteReference"/>
        </w:rPr>
        <w:footnoteRef/>
      </w:r>
      <w:r>
        <w:t xml:space="preserve"> </w:t>
      </w:r>
      <w:r>
        <w:rPr>
          <w:i/>
        </w:rPr>
        <w:t>Id</w:t>
      </w:r>
      <w:r>
        <w:t xml:space="preserve">. </w:t>
      </w:r>
    </w:p>
  </w:footnote>
  <w:footnote w:id="20">
    <w:p w14:paraId="0FEEF50A" w14:textId="4EC9C8DF" w:rsidR="008472ED" w:rsidRDefault="008472ED" w:rsidP="003779A7">
      <w:pPr>
        <w:pStyle w:val="FootnoteText"/>
      </w:pPr>
      <w:r>
        <w:rPr>
          <w:rStyle w:val="FootnoteReference"/>
        </w:rPr>
        <w:footnoteRef/>
      </w:r>
      <w:r>
        <w:t xml:space="preserve"> </w:t>
      </w:r>
      <w:r>
        <w:rPr>
          <w:i/>
        </w:rPr>
        <w:t>Id.</w:t>
      </w:r>
      <w:r>
        <w:t xml:space="preserve"> at 5. </w:t>
      </w:r>
    </w:p>
  </w:footnote>
  <w:footnote w:id="21">
    <w:p w14:paraId="43A6E3B5" w14:textId="68971CEE" w:rsidR="008472ED" w:rsidRPr="00952D3D" w:rsidRDefault="008472ED" w:rsidP="003779A7">
      <w:pPr>
        <w:pStyle w:val="FootnoteText"/>
      </w:pPr>
      <w:r>
        <w:rPr>
          <w:rStyle w:val="FootnoteReference"/>
        </w:rPr>
        <w:footnoteRef/>
      </w:r>
      <w:r>
        <w:t xml:space="preserve"> </w:t>
      </w:r>
      <w:r>
        <w:rPr>
          <w:i/>
        </w:rPr>
        <w:t>Id.</w:t>
      </w:r>
      <w:r>
        <w:t xml:space="preserve"> at 2.  </w:t>
      </w:r>
      <w:r>
        <w:rPr>
          <w:i/>
        </w:rPr>
        <w:t xml:space="preserve">See also </w:t>
      </w:r>
      <w:r>
        <w:t>DIRECTV Reply at 4 (observing that the</w:t>
      </w:r>
      <w:r w:rsidRPr="00FC54E0">
        <w:rPr>
          <w:sz w:val="22"/>
        </w:rPr>
        <w:t xml:space="preserve"> </w:t>
      </w:r>
      <w:r w:rsidRPr="00FC54E0">
        <w:t>separation distance required can fluctuate from location to location depending on many factors, including topography, obstructions, and uplink operational characteristics</w:t>
      </w:r>
      <w:r>
        <w:t xml:space="preserve">); </w:t>
      </w:r>
      <w:r w:rsidRPr="00FC54E0">
        <w:t>SES Americom Comments at 6 (“In addition</w:t>
      </w:r>
      <w:r>
        <w:t xml:space="preserve"> </w:t>
      </w:r>
      <w:r w:rsidRPr="00FC54E0">
        <w:t>… different areas of the country will have differing climate, rainfall and terrain conditions that will also mitigate groundpath interference”).</w:t>
      </w:r>
    </w:p>
  </w:footnote>
  <w:footnote w:id="22">
    <w:p w14:paraId="747A5F5B" w14:textId="41C6D9C4" w:rsidR="008472ED" w:rsidRPr="001C1338" w:rsidRDefault="008472ED" w:rsidP="003779A7">
      <w:pPr>
        <w:pStyle w:val="FootnoteText"/>
      </w:pPr>
      <w:r>
        <w:rPr>
          <w:rStyle w:val="FootnoteReference"/>
        </w:rPr>
        <w:footnoteRef/>
      </w:r>
      <w:r>
        <w:t xml:space="preserve"> Echostar </w:t>
      </w:r>
      <w:r w:rsidRPr="00F80611">
        <w:t>Comments at 5</w:t>
      </w:r>
      <w:r w:rsidRPr="00405EF2">
        <w:t>.</w:t>
      </w:r>
      <w:r w:rsidRPr="00BF2210">
        <w:rPr>
          <w:highlight w:val="yellow"/>
        </w:rPr>
        <w:t xml:space="preserve"> </w:t>
      </w:r>
      <w:r>
        <w:t xml:space="preserve">  </w:t>
      </w:r>
    </w:p>
  </w:footnote>
  <w:footnote w:id="23">
    <w:p w14:paraId="3C958BA8" w14:textId="0ED82634" w:rsidR="008472ED" w:rsidRDefault="008472ED" w:rsidP="003779A7">
      <w:pPr>
        <w:pStyle w:val="FootnoteText"/>
      </w:pPr>
      <w:r>
        <w:rPr>
          <w:rStyle w:val="FootnoteReference"/>
        </w:rPr>
        <w:footnoteRef/>
      </w:r>
      <w:r>
        <w:t xml:space="preserve"> </w:t>
      </w:r>
      <w:r>
        <w:rPr>
          <w:i/>
        </w:rPr>
        <w:t>See</w:t>
      </w:r>
      <w:r>
        <w:t xml:space="preserve"> Echostar Comments at 5-6, Echostar Supplementary Comments at 2-3; SES Americom Comments at 4, SES Americom Reply at 2: DIRECTV Reply at 4; AT&amp;T Supplementary Comments at 2-3.</w:t>
      </w:r>
    </w:p>
  </w:footnote>
  <w:footnote w:id="24">
    <w:p w14:paraId="15A926A3" w14:textId="77777777" w:rsidR="008472ED" w:rsidRPr="008540C5" w:rsidRDefault="008472ED" w:rsidP="003779A7">
      <w:pPr>
        <w:pStyle w:val="FootnoteText"/>
      </w:pPr>
      <w:r>
        <w:rPr>
          <w:rStyle w:val="FootnoteReference"/>
        </w:rPr>
        <w:footnoteRef/>
      </w:r>
      <w:r>
        <w:t xml:space="preserve"> </w:t>
      </w:r>
      <w:r w:rsidRPr="00CC68C3">
        <w:rPr>
          <w:i/>
        </w:rPr>
        <w:t>See</w:t>
      </w:r>
      <w:r>
        <w:rPr>
          <w:i/>
        </w:rPr>
        <w:t xml:space="preserve"> infra, </w:t>
      </w:r>
      <w:r>
        <w:t xml:space="preserve">Section III.C. </w:t>
      </w:r>
    </w:p>
  </w:footnote>
  <w:footnote w:id="25">
    <w:p w14:paraId="153C095E" w14:textId="083DCE6D" w:rsidR="008472ED" w:rsidRDefault="008472ED" w:rsidP="003779A7">
      <w:pPr>
        <w:pStyle w:val="FootnoteText"/>
      </w:pPr>
      <w:r>
        <w:rPr>
          <w:rStyle w:val="FootnoteReference"/>
        </w:rPr>
        <w:footnoteRef/>
      </w:r>
      <w:r>
        <w:t xml:space="preserve"> DIRECTV Comments at 7. DIRECTV reasoned that establishing protection zones was likely to have minimal impact on deployment of 17/24 GHz BSS receivers for several reasons: there are few existing DBS feeder-link sites and such sites are usually in remote areas; the sites are likely to be shielded by nearby obstacles; the feeder-link antennas are likely to be pointed at high elevation angles; and many BSS subscribers would be able to shield their receive antennas by mounting them away from the DBS feeder-link stations. </w:t>
      </w:r>
      <w:r w:rsidRPr="00F27255">
        <w:rPr>
          <w:i/>
        </w:rPr>
        <w:t>Id.</w:t>
      </w:r>
      <w:r>
        <w:t xml:space="preserve"> at 8-9.</w:t>
      </w:r>
    </w:p>
  </w:footnote>
  <w:footnote w:id="26">
    <w:p w14:paraId="3B401FEF" w14:textId="77777777" w:rsidR="008472ED" w:rsidRDefault="008472ED" w:rsidP="003779A7">
      <w:pPr>
        <w:pStyle w:val="FootnoteText"/>
      </w:pPr>
      <w:r>
        <w:rPr>
          <w:rStyle w:val="FootnoteReference"/>
        </w:rPr>
        <w:footnoteRef/>
      </w:r>
      <w:r>
        <w:t xml:space="preserve"> DIRECTV Reply at 4. </w:t>
      </w:r>
    </w:p>
  </w:footnote>
  <w:footnote w:id="27">
    <w:p w14:paraId="2615E3ED" w14:textId="77777777" w:rsidR="008472ED" w:rsidRPr="00C25703" w:rsidRDefault="008472ED" w:rsidP="003779A7">
      <w:pPr>
        <w:pStyle w:val="FootnoteText"/>
      </w:pPr>
      <w:r>
        <w:rPr>
          <w:rStyle w:val="FootnoteReference"/>
        </w:rPr>
        <w:footnoteRef/>
      </w:r>
      <w:r>
        <w:t xml:space="preserve"> </w:t>
      </w:r>
      <w:r>
        <w:rPr>
          <w:i/>
        </w:rPr>
        <w:t>FNPRM</w:t>
      </w:r>
      <w:r>
        <w:t>, 22 FCC Rcd at 8903, para. 150.</w:t>
      </w:r>
    </w:p>
  </w:footnote>
  <w:footnote w:id="28">
    <w:p w14:paraId="30D5B53E" w14:textId="77777777" w:rsidR="008472ED" w:rsidRPr="00F51C20" w:rsidRDefault="008472ED" w:rsidP="003779A7">
      <w:pPr>
        <w:pStyle w:val="FootnoteText"/>
      </w:pPr>
      <w:r>
        <w:rPr>
          <w:rStyle w:val="FootnoteReference"/>
        </w:rPr>
        <w:footnoteRef/>
      </w:r>
      <w:r>
        <w:t xml:space="preserve"> </w:t>
      </w:r>
      <w:r>
        <w:rPr>
          <w:i/>
        </w:rPr>
        <w:t>See</w:t>
      </w:r>
      <w:r>
        <w:t xml:space="preserve"> DIRECTV Comments at 9; EchoStar Comments at 7; SES Americom Comments at 5.</w:t>
      </w:r>
    </w:p>
  </w:footnote>
  <w:footnote w:id="29">
    <w:p w14:paraId="1196E391" w14:textId="0E721A61" w:rsidR="008472ED" w:rsidRDefault="008472ED" w:rsidP="003779A7">
      <w:pPr>
        <w:pStyle w:val="FootnoteText"/>
      </w:pPr>
      <w:r>
        <w:rPr>
          <w:rStyle w:val="FootnoteReference"/>
        </w:rPr>
        <w:footnoteRef/>
      </w:r>
      <w:r>
        <w:t xml:space="preserve"> </w:t>
      </w:r>
      <w:r>
        <w:rPr>
          <w:i/>
        </w:rPr>
        <w:t>FNPRM</w:t>
      </w:r>
      <w:r>
        <w:t>, 22 FCC Rcd</w:t>
      </w:r>
      <w:r>
        <w:rPr>
          <w:i/>
        </w:rPr>
        <w:t xml:space="preserve"> </w:t>
      </w:r>
      <w:r>
        <w:t>at 8905, para. 157.</w:t>
      </w:r>
    </w:p>
  </w:footnote>
  <w:footnote w:id="30">
    <w:p w14:paraId="64A4F58F" w14:textId="77777777" w:rsidR="008472ED" w:rsidRPr="00E42F3D" w:rsidRDefault="008472ED" w:rsidP="003779A7">
      <w:pPr>
        <w:pStyle w:val="FootnoteText"/>
      </w:pPr>
      <w:r>
        <w:rPr>
          <w:rStyle w:val="FootnoteReference"/>
        </w:rPr>
        <w:footnoteRef/>
      </w:r>
      <w:r>
        <w:t xml:space="preserve"> DIRECTV Comments at 11; SES Americom Comments at 4-5.</w:t>
      </w:r>
    </w:p>
  </w:footnote>
  <w:footnote w:id="31">
    <w:p w14:paraId="276D5E85" w14:textId="77777777" w:rsidR="008472ED" w:rsidRDefault="008472ED" w:rsidP="003779A7">
      <w:pPr>
        <w:pStyle w:val="FootnoteText"/>
      </w:pPr>
      <w:r>
        <w:rPr>
          <w:rStyle w:val="FootnoteReference"/>
        </w:rPr>
        <w:footnoteRef/>
      </w:r>
      <w:r>
        <w:t xml:space="preserve"> DIRECTV Comments at 9; EchoStar Reply at 5; SES Americom Supplemental Reply at 3.</w:t>
      </w:r>
    </w:p>
  </w:footnote>
  <w:footnote w:id="32">
    <w:p w14:paraId="25D9C9C5" w14:textId="77777777" w:rsidR="008472ED" w:rsidRDefault="008472ED" w:rsidP="003779A7">
      <w:pPr>
        <w:pStyle w:val="FootnoteText"/>
      </w:pPr>
      <w:r>
        <w:rPr>
          <w:rStyle w:val="FootnoteReference"/>
        </w:rPr>
        <w:footnoteRef/>
      </w:r>
      <w:r>
        <w:rPr>
          <w:i/>
        </w:rPr>
        <w:t xml:space="preserve"> See</w:t>
      </w:r>
      <w:r>
        <w:t xml:space="preserve"> SES Americom Reply at 2. </w:t>
      </w:r>
    </w:p>
  </w:footnote>
  <w:footnote w:id="33">
    <w:p w14:paraId="2F1E5259" w14:textId="77777777" w:rsidR="008472ED" w:rsidRDefault="008472ED" w:rsidP="003779A7">
      <w:pPr>
        <w:pStyle w:val="FootnoteText"/>
      </w:pPr>
      <w:r>
        <w:rPr>
          <w:rStyle w:val="FootnoteReference"/>
        </w:rPr>
        <w:footnoteRef/>
      </w:r>
      <w:r>
        <w:t xml:space="preserve"> </w:t>
      </w:r>
      <w:r>
        <w:rPr>
          <w:i/>
        </w:rPr>
        <w:t xml:space="preserve">See </w:t>
      </w:r>
      <w:r>
        <w:t>SES Americom Reply Comment at 4.</w:t>
      </w:r>
    </w:p>
  </w:footnote>
  <w:footnote w:id="34">
    <w:p w14:paraId="3949FA9F" w14:textId="77777777" w:rsidR="008472ED" w:rsidRDefault="008472ED" w:rsidP="003779A7">
      <w:pPr>
        <w:pStyle w:val="FootnoteText"/>
      </w:pPr>
      <w:r>
        <w:rPr>
          <w:rStyle w:val="FootnoteReference"/>
        </w:rPr>
        <w:footnoteRef/>
      </w:r>
      <w:r>
        <w:t xml:space="preserve"> </w:t>
      </w:r>
      <w:r w:rsidRPr="001F5640">
        <w:rPr>
          <w:rFonts w:ascii="Times-Roman" w:hAnsi="Times-Roman" w:cs="Times-Roman"/>
        </w:rPr>
        <w:t>DIRECTV Comments at 21; EchoStar Comments at Technical Annex at 21; SES Americom Comments at 19, DIRECTV Reply at 27; EchoStar Reply at 13, SES Americom Reply at 15.</w:t>
      </w:r>
    </w:p>
  </w:footnote>
  <w:footnote w:id="35">
    <w:p w14:paraId="66207AE1" w14:textId="77777777" w:rsidR="008472ED" w:rsidRDefault="008472ED" w:rsidP="003779A7">
      <w:pPr>
        <w:pStyle w:val="FootnoteText"/>
      </w:pPr>
      <w:r>
        <w:rPr>
          <w:rStyle w:val="FootnoteReference"/>
        </w:rPr>
        <w:footnoteRef/>
      </w:r>
      <w:r>
        <w:t xml:space="preserve"> </w:t>
      </w:r>
      <w:r w:rsidRPr="00A82BD6">
        <w:rPr>
          <w:i/>
        </w:rPr>
        <w:t xml:space="preserve">See </w:t>
      </w:r>
      <w:r w:rsidRPr="00A82BD6">
        <w:rPr>
          <w:rFonts w:ascii="Times-Italic" w:hAnsi="Times-Italic" w:cs="Times-Italic"/>
          <w:i/>
          <w:iCs/>
          <w:color w:val="000000"/>
        </w:rPr>
        <w:t>FNPRM</w:t>
      </w:r>
      <w:r w:rsidRPr="00A82BD6">
        <w:rPr>
          <w:rFonts w:ascii="Times-Roman" w:hAnsi="Times-Roman" w:cs="Times-Roman"/>
        </w:rPr>
        <w:t xml:space="preserve">, 22 FCC Rcd at 8905, </w:t>
      </w:r>
      <w:r>
        <w:rPr>
          <w:rFonts w:ascii="Times-Roman" w:hAnsi="Times-Roman" w:cs="Times-Roman"/>
        </w:rPr>
        <w:t>para.</w:t>
      </w:r>
      <w:r w:rsidRPr="00A82BD6">
        <w:rPr>
          <w:rFonts w:ascii="Times-Roman" w:hAnsi="Times-Roman" w:cs="Times-Roman"/>
        </w:rPr>
        <w:t xml:space="preserve"> 159.</w:t>
      </w:r>
    </w:p>
  </w:footnote>
  <w:footnote w:id="36">
    <w:p w14:paraId="0716F0C5" w14:textId="7D526AE5" w:rsidR="008472ED" w:rsidRPr="007C409E" w:rsidRDefault="008472ED" w:rsidP="003779A7">
      <w:pPr>
        <w:pStyle w:val="FootnoteText"/>
      </w:pPr>
      <w:r>
        <w:rPr>
          <w:rStyle w:val="FootnoteReference"/>
        </w:rPr>
        <w:footnoteRef/>
      </w:r>
      <w:r>
        <w:t xml:space="preserve"> </w:t>
      </w:r>
      <w:r>
        <w:rPr>
          <w:i/>
        </w:rPr>
        <w:t xml:space="preserve">Id. </w:t>
      </w:r>
      <w:r>
        <w:t xml:space="preserve">at 8908, para. 164. </w:t>
      </w:r>
    </w:p>
  </w:footnote>
  <w:footnote w:id="37">
    <w:p w14:paraId="161F5FAE" w14:textId="77777777" w:rsidR="008472ED" w:rsidRPr="0034672B" w:rsidRDefault="008472ED" w:rsidP="003779A7">
      <w:pPr>
        <w:pStyle w:val="FootnoteText"/>
      </w:pPr>
      <w:r>
        <w:rPr>
          <w:rStyle w:val="FootnoteReference"/>
        </w:rPr>
        <w:footnoteRef/>
      </w:r>
      <w:r>
        <w:t xml:space="preserve"> </w:t>
      </w:r>
      <w:r>
        <w:rPr>
          <w:i/>
        </w:rPr>
        <w:t xml:space="preserve">Id. </w:t>
      </w:r>
      <w:r>
        <w:t xml:space="preserve">at 8905, para. 159. </w:t>
      </w:r>
    </w:p>
  </w:footnote>
  <w:footnote w:id="38">
    <w:p w14:paraId="4CA64CD5" w14:textId="694ECB3F" w:rsidR="008472ED" w:rsidRPr="005B5225" w:rsidRDefault="008472ED" w:rsidP="003779A7">
      <w:pPr>
        <w:pStyle w:val="FootnoteText"/>
      </w:pPr>
      <w:r>
        <w:rPr>
          <w:rStyle w:val="FootnoteReference"/>
        </w:rPr>
        <w:footnoteRef/>
      </w:r>
      <w:r>
        <w:t xml:space="preserve"> </w:t>
      </w:r>
      <w:r>
        <w:rPr>
          <w:i/>
        </w:rPr>
        <w:t xml:space="preserve">Id. </w:t>
      </w:r>
      <w:r>
        <w:t>at 8905, para.</w:t>
      </w:r>
      <w:r w:rsidRPr="005B5225">
        <w:rPr>
          <w:rFonts w:ascii="Times-Roman" w:hAnsi="Times-Roman" w:cs="Times-Roman"/>
        </w:rPr>
        <w:t xml:space="preserve"> 160</w:t>
      </w:r>
      <w:r>
        <w:rPr>
          <w:rFonts w:ascii="Times-Roman" w:hAnsi="Times-Roman" w:cs="Times-Roman"/>
        </w:rPr>
        <w:t xml:space="preserve">.  </w:t>
      </w:r>
      <w:r>
        <w:rPr>
          <w:rFonts w:ascii="Times-Roman" w:hAnsi="Times-Roman" w:cs="Times-Roman"/>
          <w:i/>
        </w:rPr>
        <w:t xml:space="preserve">See also </w:t>
      </w:r>
      <w:r w:rsidRPr="009951F1">
        <w:rPr>
          <w:rFonts w:eastAsia="TimesNewRoman"/>
          <w:i/>
        </w:rPr>
        <w:t>The 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Pr="009951F1">
        <w:rPr>
          <w:rFonts w:eastAsia="TimesNewRoman"/>
        </w:rPr>
        <w:t>, IB Docket No. 06-123,</w:t>
      </w:r>
      <w:r>
        <w:rPr>
          <w:rFonts w:eastAsia="TimesNewRoman"/>
        </w:rPr>
        <w:t xml:space="preserve"> FCC 06-90, Notice of Proposed Rulemaking, 21</w:t>
      </w:r>
      <w:r w:rsidRPr="005B5225">
        <w:rPr>
          <w:rFonts w:ascii="Times-Roman" w:hAnsi="Times-Roman" w:cs="Times-Roman"/>
        </w:rPr>
        <w:t xml:space="preserve"> FCC Rcd</w:t>
      </w:r>
      <w:r>
        <w:rPr>
          <w:rFonts w:ascii="Times-Roman" w:hAnsi="Times-Roman" w:cs="Times-Roman"/>
        </w:rPr>
        <w:t xml:space="preserve"> 7426, </w:t>
      </w:r>
      <w:r w:rsidRPr="005B5225">
        <w:rPr>
          <w:rFonts w:ascii="Times-Roman" w:hAnsi="Times-Roman" w:cs="Times-Roman"/>
        </w:rPr>
        <w:t xml:space="preserve">7454, </w:t>
      </w:r>
      <w:r>
        <w:rPr>
          <w:rFonts w:ascii="Times-Roman" w:hAnsi="Times-Roman" w:cs="Times-Roman"/>
        </w:rPr>
        <w:t>at para. 59 (2006)</w:t>
      </w:r>
      <w:r w:rsidRPr="005B5225">
        <w:rPr>
          <w:rFonts w:ascii="Times-Roman" w:hAnsi="Times-Roman" w:cs="Times-Roman"/>
        </w:rPr>
        <w:t>.</w:t>
      </w:r>
    </w:p>
  </w:footnote>
  <w:footnote w:id="39">
    <w:p w14:paraId="22DE712E" w14:textId="5DDBC8AD" w:rsidR="008472ED" w:rsidRDefault="008472ED" w:rsidP="003779A7">
      <w:pPr>
        <w:pStyle w:val="FootnoteText"/>
      </w:pPr>
      <w:r>
        <w:rPr>
          <w:rStyle w:val="FootnoteReference"/>
        </w:rPr>
        <w:footnoteRef/>
      </w:r>
      <w:r>
        <w:t xml:space="preserve"> </w:t>
      </w:r>
      <w:r>
        <w:rPr>
          <w:i/>
        </w:rPr>
        <w:t xml:space="preserve">See NPRM </w:t>
      </w:r>
      <w:r>
        <w:t>at 8905, para.</w:t>
      </w:r>
      <w:r w:rsidRPr="005B5225">
        <w:rPr>
          <w:rFonts w:ascii="Times-Roman" w:hAnsi="Times-Roman" w:cs="Times-Roman"/>
        </w:rPr>
        <w:t xml:space="preserve"> 160</w:t>
      </w:r>
      <w:r>
        <w:rPr>
          <w:rFonts w:ascii="Times-Roman" w:hAnsi="Times-Roman" w:cs="Times-Roman"/>
        </w:rPr>
        <w:t>.</w:t>
      </w:r>
    </w:p>
  </w:footnote>
  <w:footnote w:id="40">
    <w:p w14:paraId="4AA8B778" w14:textId="77777777" w:rsidR="008472ED" w:rsidRPr="00461261" w:rsidRDefault="008472ED" w:rsidP="003779A7">
      <w:pPr>
        <w:pStyle w:val="FootnoteText"/>
      </w:pPr>
      <w:r w:rsidRPr="00461261">
        <w:rPr>
          <w:rStyle w:val="FootnoteReference"/>
        </w:rPr>
        <w:footnoteRef/>
      </w:r>
      <w:r w:rsidRPr="00461261">
        <w:t xml:space="preserve"> DIRECTV Comments at 11.</w:t>
      </w:r>
    </w:p>
  </w:footnote>
  <w:footnote w:id="41">
    <w:p w14:paraId="401F9CE2" w14:textId="2030D4C6" w:rsidR="008472ED" w:rsidRDefault="008472ED" w:rsidP="003779A7">
      <w:pPr>
        <w:pStyle w:val="FootnoteText"/>
      </w:pPr>
      <w:r>
        <w:rPr>
          <w:rStyle w:val="FootnoteReference"/>
        </w:rPr>
        <w:footnoteRef/>
      </w:r>
      <w:r>
        <w:t xml:space="preserve"> </w:t>
      </w:r>
      <w:r w:rsidRPr="00BF2210">
        <w:rPr>
          <w:i/>
        </w:rPr>
        <w:t>Id.</w:t>
      </w:r>
      <w:r w:rsidRPr="00A2743A">
        <w:t xml:space="preserve"> at 11.  Substituting these parameters, the permissible interference power value (</w:t>
      </w:r>
      <w:r w:rsidRPr="00A2743A">
        <w:rPr>
          <w:i/>
          <w:iCs/>
        </w:rPr>
        <w:t>Pr(p)</w:t>
      </w:r>
      <w:r w:rsidRPr="00A2743A">
        <w:t>) becomes -148.2 dBW/MHz.</w:t>
      </w:r>
      <w:r w:rsidRPr="000E4641">
        <w:rPr>
          <w:sz w:val="23"/>
          <w:szCs w:val="23"/>
        </w:rPr>
        <w:t xml:space="preserve"> </w:t>
      </w:r>
      <w:r>
        <w:t xml:space="preserve"> </w:t>
      </w:r>
    </w:p>
  </w:footnote>
  <w:footnote w:id="42">
    <w:p w14:paraId="17D26704" w14:textId="77777777" w:rsidR="008472ED" w:rsidRPr="00F24AF9" w:rsidRDefault="008472ED" w:rsidP="003779A7">
      <w:pPr>
        <w:pStyle w:val="FootnoteText"/>
      </w:pPr>
      <w:r>
        <w:rPr>
          <w:rStyle w:val="FootnoteReference"/>
        </w:rPr>
        <w:footnoteRef/>
      </w:r>
      <w:r>
        <w:t xml:space="preserve"> </w:t>
      </w:r>
      <w:r w:rsidRPr="00F24AF9">
        <w:t xml:space="preserve">SES Americom Reply at 5. </w:t>
      </w:r>
      <w:r>
        <w:t xml:space="preserve"> </w:t>
      </w:r>
      <w:r w:rsidRPr="00F24AF9">
        <w:t xml:space="preserve">Although EchoStar acknowledges the accuracy of DIRECTV’s proposed values, it suggests that </w:t>
      </w:r>
      <w:r w:rsidRPr="00F24AF9">
        <w:rPr>
          <w:color w:val="000000"/>
        </w:rPr>
        <w:t xml:space="preserve">the necessary coordination zone around the new site </w:t>
      </w:r>
      <w:r>
        <w:rPr>
          <w:color w:val="000000"/>
        </w:rPr>
        <w:t>could</w:t>
      </w:r>
      <w:r w:rsidRPr="00F24AF9">
        <w:rPr>
          <w:color w:val="000000"/>
        </w:rPr>
        <w:t xml:space="preserve"> be determined through use of the FCC’s </w:t>
      </w:r>
      <w:r>
        <w:rPr>
          <w:color w:val="000000"/>
        </w:rPr>
        <w:t>epfd</w:t>
      </w:r>
      <w:r w:rsidRPr="00F24AF9">
        <w:rPr>
          <w:color w:val="000000"/>
        </w:rPr>
        <w:t xml:space="preserve"> contour software.</w:t>
      </w:r>
      <w:r w:rsidRPr="00CC68C3">
        <w:t xml:space="preserve"> </w:t>
      </w:r>
      <w:r w:rsidRPr="00F24AF9">
        <w:t>EchoStar Reply at 6</w:t>
      </w:r>
      <w:r>
        <w:t>,</w:t>
      </w:r>
      <w:r w:rsidRPr="00F24AF9">
        <w:t xml:space="preserve"> n.7</w:t>
      </w:r>
      <w:r>
        <w:t>.</w:t>
      </w:r>
    </w:p>
  </w:footnote>
  <w:footnote w:id="43">
    <w:p w14:paraId="1A96820D" w14:textId="77777777" w:rsidR="008472ED" w:rsidRDefault="008472ED" w:rsidP="003779A7">
      <w:pPr>
        <w:pStyle w:val="FootnoteText"/>
      </w:pPr>
      <w:r>
        <w:rPr>
          <w:rStyle w:val="FootnoteReference"/>
        </w:rPr>
        <w:footnoteRef/>
      </w:r>
      <w:r>
        <w:t xml:space="preserve"> SES Americom Reply at 5. </w:t>
      </w:r>
    </w:p>
  </w:footnote>
  <w:footnote w:id="44">
    <w:p w14:paraId="7DC6C0EB" w14:textId="77777777" w:rsidR="008472ED" w:rsidRPr="00DC08B1" w:rsidRDefault="008472ED" w:rsidP="003779A7">
      <w:pPr>
        <w:pStyle w:val="FootnoteText"/>
      </w:pPr>
      <w:r>
        <w:rPr>
          <w:rStyle w:val="FootnoteReference"/>
        </w:rPr>
        <w:footnoteRef/>
      </w:r>
      <w:r>
        <w:t xml:space="preserve"> SES Americom Supplementary Comments at 3.</w:t>
      </w:r>
    </w:p>
  </w:footnote>
  <w:footnote w:id="45">
    <w:p w14:paraId="4CE3E79D" w14:textId="58C69A30" w:rsidR="008472ED" w:rsidRPr="004D0373" w:rsidRDefault="008472ED" w:rsidP="003779A7">
      <w:pPr>
        <w:pStyle w:val="FootnoteText"/>
      </w:pPr>
      <w:r>
        <w:rPr>
          <w:rStyle w:val="FootnoteReference"/>
        </w:rPr>
        <w:footnoteRef/>
      </w:r>
      <w:r>
        <w:t xml:space="preserve"> AT&amp;T Supplementary Reply at 3.  AT&amp;T submitted the filing on behalf of its subsidiaries and affiliates, including DIRECTV.  The allowable downlink pfd for 17/24 GHz BSS in these regions can be found at 47 CFR §25.208(w).</w:t>
      </w:r>
    </w:p>
  </w:footnote>
  <w:footnote w:id="46">
    <w:p w14:paraId="5E394FC5" w14:textId="77777777" w:rsidR="008472ED" w:rsidRPr="009B2328" w:rsidRDefault="008472ED" w:rsidP="003779A7">
      <w:pPr>
        <w:pStyle w:val="FootnoteText"/>
      </w:pPr>
      <w:r>
        <w:rPr>
          <w:rStyle w:val="FootnoteReference"/>
        </w:rPr>
        <w:footnoteRef/>
      </w:r>
      <w:r>
        <w:t xml:space="preserve"> </w:t>
      </w:r>
      <w:r w:rsidRPr="00146FBB">
        <w:rPr>
          <w:i/>
        </w:rPr>
        <w:t>See</w:t>
      </w:r>
      <w:r>
        <w:rPr>
          <w:i/>
        </w:rPr>
        <w:t xml:space="preserve"> infra, </w:t>
      </w:r>
      <w:r>
        <w:t>Appendix B, § 25.108.</w:t>
      </w:r>
    </w:p>
  </w:footnote>
  <w:footnote w:id="47">
    <w:p w14:paraId="57B61B52" w14:textId="77777777" w:rsidR="008472ED" w:rsidRDefault="008472ED" w:rsidP="003779A7">
      <w:pPr>
        <w:pStyle w:val="FootnoteText"/>
      </w:pPr>
      <w:r>
        <w:rPr>
          <w:rStyle w:val="FootnoteReference"/>
        </w:rPr>
        <w:footnoteRef/>
      </w:r>
      <w:r>
        <w:t xml:space="preserve"> SES Americom Reply at 5. </w:t>
      </w:r>
    </w:p>
  </w:footnote>
  <w:footnote w:id="48">
    <w:p w14:paraId="00430211" w14:textId="2DA5F7F0" w:rsidR="008472ED" w:rsidRPr="007B5DE2" w:rsidRDefault="008472ED" w:rsidP="003779A7">
      <w:pPr>
        <w:pStyle w:val="FootnoteText"/>
      </w:pPr>
      <w:r w:rsidRPr="00116149">
        <w:rPr>
          <w:rStyle w:val="FootnoteReference"/>
        </w:rPr>
        <w:footnoteRef/>
      </w:r>
      <w:r w:rsidRPr="00116149">
        <w:t xml:space="preserve"> </w:t>
      </w:r>
      <w:r w:rsidRPr="00116149">
        <w:rPr>
          <w:i/>
        </w:rPr>
        <w:t>FNPRM</w:t>
      </w:r>
      <w:r w:rsidRPr="00116149">
        <w:t>, 22 FCC Rcd</w:t>
      </w:r>
      <w:r w:rsidRPr="00116149">
        <w:rPr>
          <w:i/>
        </w:rPr>
        <w:t xml:space="preserve"> </w:t>
      </w:r>
      <w:r w:rsidRPr="00116149">
        <w:t xml:space="preserve">at 8909, </w:t>
      </w:r>
      <w:r>
        <w:t>para.</w:t>
      </w:r>
      <w:r w:rsidRPr="00116149">
        <w:t xml:space="preserve"> 166 (citing </w:t>
      </w:r>
      <w:r w:rsidRPr="00116149">
        <w:rPr>
          <w:i/>
        </w:rPr>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Licensees and Their Affiliates; and Applications of Broadwave USA, PDC Broadband Corporation, and Satellite Receivers, Ltd. to Provide a Fixed Se</w:t>
      </w:r>
      <w:r>
        <w:rPr>
          <w:i/>
        </w:rPr>
        <w:t>rvice in the 12.2-12.7 GHz Band</w:t>
      </w:r>
      <w:r>
        <w:t>, ET Docket No. 98-206, FCC 02-116,</w:t>
      </w:r>
      <w:r w:rsidRPr="00116149">
        <w:t xml:space="preserve"> </w:t>
      </w:r>
      <w:hyperlink r:id="rId1" w:history="1">
        <w:r w:rsidRPr="007717B8">
          <w:rPr>
            <w:iCs/>
          </w:rPr>
          <w:t>Memorandum Opinion and Order and Second Report and Order</w:t>
        </w:r>
        <w:r w:rsidRPr="007717B8">
          <w:t>,</w:t>
        </w:r>
        <w:r w:rsidRPr="00116149">
          <w:t xml:space="preserve"> </w:t>
        </w:r>
        <w:r>
          <w:t>1</w:t>
        </w:r>
        <w:r w:rsidRPr="00116149">
          <w:t>7 FCC Rcd 9614 (2002)</w:t>
        </w:r>
      </w:hyperlink>
      <w:r>
        <w:t xml:space="preserve"> (</w:t>
      </w:r>
      <w:r w:rsidRPr="00116149">
        <w:rPr>
          <w:i/>
          <w:iCs/>
        </w:rPr>
        <w:t>MVDDS Second R&amp;O</w:t>
      </w:r>
      <w:r>
        <w:rPr>
          <w:iCs/>
        </w:rPr>
        <w:t>)).</w:t>
      </w:r>
    </w:p>
  </w:footnote>
  <w:footnote w:id="49">
    <w:p w14:paraId="25B30185" w14:textId="77777777" w:rsidR="008472ED" w:rsidRPr="00696717" w:rsidRDefault="008472ED" w:rsidP="003779A7">
      <w:pPr>
        <w:pStyle w:val="FootnoteText"/>
      </w:pPr>
      <w:r>
        <w:rPr>
          <w:rStyle w:val="FootnoteReference"/>
        </w:rPr>
        <w:footnoteRef/>
      </w:r>
      <w:r>
        <w:t xml:space="preserve"> </w:t>
      </w:r>
      <w:r w:rsidRPr="00696717">
        <w:rPr>
          <w:i/>
        </w:rPr>
        <w:t>FNPRM</w:t>
      </w:r>
      <w:r w:rsidRPr="00116149">
        <w:t>, 22 FCC Rcd</w:t>
      </w:r>
      <w:r w:rsidRPr="00116149">
        <w:rPr>
          <w:i/>
        </w:rPr>
        <w:t xml:space="preserve"> </w:t>
      </w:r>
      <w:r w:rsidRPr="00116149">
        <w:t>at 8909</w:t>
      </w:r>
      <w:r>
        <w:t>-10</w:t>
      </w:r>
      <w:r w:rsidRPr="00116149">
        <w:t xml:space="preserve">, </w:t>
      </w:r>
      <w:r>
        <w:t xml:space="preserve">para. </w:t>
      </w:r>
      <w:r w:rsidRPr="00696717">
        <w:t xml:space="preserve">167 (citing 47 </w:t>
      </w:r>
      <w:r>
        <w:t>C</w:t>
      </w:r>
      <w:r w:rsidRPr="00696717">
        <w:t>FR § 101.144(d)).</w:t>
      </w:r>
      <w:r>
        <w:rPr>
          <w:rFonts w:ascii="Times-Roman" w:hAnsi="Times-Roman" w:cs="Times-Roman"/>
          <w:sz w:val="18"/>
          <w:szCs w:val="18"/>
        </w:rPr>
        <w:t xml:space="preserve"> </w:t>
      </w:r>
    </w:p>
  </w:footnote>
  <w:footnote w:id="50">
    <w:p w14:paraId="5F4E1FC3" w14:textId="4E3D0FD5" w:rsidR="008472ED" w:rsidRPr="002F21C5" w:rsidRDefault="008472ED" w:rsidP="003779A7">
      <w:pPr>
        <w:pStyle w:val="FootnoteText"/>
      </w:pPr>
      <w:r>
        <w:rPr>
          <w:rStyle w:val="FootnoteReference"/>
        </w:rPr>
        <w:footnoteRef/>
      </w:r>
      <w:r>
        <w:t xml:space="preserve"> </w:t>
      </w:r>
      <w:r w:rsidRPr="00696717">
        <w:rPr>
          <w:i/>
        </w:rPr>
        <w:t>FNPRM</w:t>
      </w:r>
      <w:r w:rsidRPr="00116149">
        <w:t>, 22 FCC Rcd</w:t>
      </w:r>
      <w:r w:rsidRPr="00116149">
        <w:rPr>
          <w:i/>
        </w:rPr>
        <w:t xml:space="preserve"> </w:t>
      </w:r>
      <w:r w:rsidRPr="00116149">
        <w:t>at 8909</w:t>
      </w:r>
      <w:r>
        <w:t>-10</w:t>
      </w:r>
      <w:r w:rsidRPr="00116149">
        <w:t xml:space="preserve">, </w:t>
      </w:r>
      <w:r>
        <w:t xml:space="preserve">para. </w:t>
      </w:r>
      <w:r w:rsidRPr="00696717">
        <w:t>167</w:t>
      </w:r>
      <w:r>
        <w:t xml:space="preserve">. </w:t>
      </w:r>
    </w:p>
  </w:footnote>
  <w:footnote w:id="51">
    <w:p w14:paraId="532558E6" w14:textId="77777777" w:rsidR="008472ED" w:rsidRPr="000E08AD" w:rsidRDefault="008472ED" w:rsidP="003779A7">
      <w:pPr>
        <w:pStyle w:val="FootnoteText"/>
      </w:pPr>
      <w:r>
        <w:rPr>
          <w:rStyle w:val="FootnoteReference"/>
        </w:rPr>
        <w:footnoteRef/>
      </w:r>
      <w:r>
        <w:t xml:space="preserve"> </w:t>
      </w:r>
      <w:r>
        <w:rPr>
          <w:i/>
        </w:rPr>
        <w:t>See id.</w:t>
      </w:r>
      <w:r>
        <w:t xml:space="preserve"> at 8910, para. 168.</w:t>
      </w:r>
    </w:p>
  </w:footnote>
  <w:footnote w:id="52">
    <w:p w14:paraId="5AD06052" w14:textId="77777777" w:rsidR="008472ED" w:rsidRDefault="008472ED" w:rsidP="003779A7">
      <w:pPr>
        <w:pStyle w:val="FootnoteText"/>
      </w:pPr>
      <w:r>
        <w:rPr>
          <w:rStyle w:val="FootnoteReference"/>
        </w:rPr>
        <w:footnoteRef/>
      </w:r>
      <w:r>
        <w:t xml:space="preserve"> </w:t>
      </w:r>
      <w:r w:rsidRPr="009A0A3D">
        <w:rPr>
          <w:szCs w:val="22"/>
        </w:rPr>
        <w:t>SES</w:t>
      </w:r>
      <w:r w:rsidRPr="009A0A3D">
        <w:rPr>
          <w:sz w:val="18"/>
          <w:szCs w:val="22"/>
        </w:rPr>
        <w:t xml:space="preserve"> </w:t>
      </w:r>
      <w:r w:rsidRPr="009A0A3D">
        <w:rPr>
          <w:szCs w:val="22"/>
        </w:rPr>
        <w:t>Americom Comments at 8; DIRECTV Comments at 13</w:t>
      </w:r>
      <w:r>
        <w:rPr>
          <w:szCs w:val="22"/>
        </w:rPr>
        <w:t>; EchoStar Comments at 8.</w:t>
      </w:r>
    </w:p>
  </w:footnote>
  <w:footnote w:id="53">
    <w:p w14:paraId="070C11CB" w14:textId="77777777" w:rsidR="008472ED" w:rsidRDefault="008472ED" w:rsidP="003779A7">
      <w:pPr>
        <w:pStyle w:val="FootnoteText"/>
      </w:pPr>
      <w:r>
        <w:rPr>
          <w:rStyle w:val="FootnoteReference"/>
        </w:rPr>
        <w:footnoteRef/>
      </w:r>
      <w:r>
        <w:t xml:space="preserve"> </w:t>
      </w:r>
      <w:r>
        <w:rPr>
          <w:sz w:val="18"/>
          <w:szCs w:val="22"/>
        </w:rPr>
        <w:t xml:space="preserve">SES </w:t>
      </w:r>
      <w:r w:rsidRPr="009A0A3D">
        <w:rPr>
          <w:szCs w:val="22"/>
        </w:rPr>
        <w:t>Americom Comments at 8; DIRECTV Comments at 13; EchoStar Comments at 8</w:t>
      </w:r>
      <w:r>
        <w:rPr>
          <w:szCs w:val="22"/>
        </w:rPr>
        <w:t>.</w:t>
      </w:r>
    </w:p>
  </w:footnote>
  <w:footnote w:id="54">
    <w:p w14:paraId="751350B7" w14:textId="77777777" w:rsidR="008472ED" w:rsidRDefault="008472ED" w:rsidP="003779A7">
      <w:pPr>
        <w:pStyle w:val="FootnoteText"/>
      </w:pPr>
      <w:r>
        <w:rPr>
          <w:rStyle w:val="FootnoteReference"/>
        </w:rPr>
        <w:footnoteRef/>
      </w:r>
      <w:r>
        <w:t xml:space="preserve"> SES Americom Comment at 8; DIRECTV Comments at 13.</w:t>
      </w:r>
    </w:p>
  </w:footnote>
  <w:footnote w:id="55">
    <w:p w14:paraId="010C70A0" w14:textId="77777777" w:rsidR="008472ED" w:rsidRPr="0051079B" w:rsidRDefault="008472ED" w:rsidP="003779A7">
      <w:pPr>
        <w:pStyle w:val="FootnoteText"/>
      </w:pPr>
      <w:r>
        <w:rPr>
          <w:rStyle w:val="FootnoteReference"/>
        </w:rPr>
        <w:footnoteRef/>
      </w:r>
      <w:r>
        <w:t xml:space="preserve"> </w:t>
      </w:r>
      <w:r w:rsidRPr="00CA06AC">
        <w:rPr>
          <w:i/>
        </w:rPr>
        <w:t xml:space="preserve">See </w:t>
      </w:r>
      <w:r>
        <w:rPr>
          <w:i/>
        </w:rPr>
        <w:t>FNPRM</w:t>
      </w:r>
      <w:r>
        <w:t>, 22 FCC Rcd</w:t>
      </w:r>
      <w:r>
        <w:rPr>
          <w:i/>
        </w:rPr>
        <w:t xml:space="preserve"> </w:t>
      </w:r>
      <w:r>
        <w:t>at 8910, para. 169.</w:t>
      </w:r>
    </w:p>
  </w:footnote>
  <w:footnote w:id="56">
    <w:p w14:paraId="55494C37" w14:textId="3BD5F7DC" w:rsidR="008472ED" w:rsidRDefault="008472ED" w:rsidP="003779A7">
      <w:pPr>
        <w:pStyle w:val="FootnoteText"/>
      </w:pPr>
      <w:r>
        <w:rPr>
          <w:rStyle w:val="FootnoteReference"/>
        </w:rPr>
        <w:footnoteRef/>
      </w:r>
      <w:r>
        <w:t xml:space="preserve"> </w:t>
      </w:r>
      <w:r w:rsidRPr="00B60494">
        <w:t>A blanket license is a “license for multiple fixed or mobile earth stations or SDARS terrestrial repeaters that may be operated anywhere within a geographic area specified in the license, or for multiple non-geostationary-orbit space stations.”  47 CFR § 25.103</w:t>
      </w:r>
      <w:r>
        <w:t>.</w:t>
      </w:r>
    </w:p>
  </w:footnote>
  <w:footnote w:id="57">
    <w:p w14:paraId="77FDCC9E" w14:textId="77777777" w:rsidR="008472ED" w:rsidRPr="00E32902" w:rsidRDefault="008472ED" w:rsidP="003779A7">
      <w:pPr>
        <w:pStyle w:val="FootnoteText"/>
      </w:pPr>
      <w:r>
        <w:rPr>
          <w:rStyle w:val="FootnoteReference"/>
        </w:rPr>
        <w:footnoteRef/>
      </w:r>
      <w:r>
        <w:t xml:space="preserve"> </w:t>
      </w:r>
      <w:r>
        <w:rPr>
          <w:i/>
        </w:rPr>
        <w:t>See, e.g.,</w:t>
      </w:r>
      <w:r>
        <w:t xml:space="preserve"> </w:t>
      </w:r>
      <w:r w:rsidRPr="00E32902">
        <w:rPr>
          <w:i/>
        </w:rPr>
        <w:t>2000 Biennial Regulatory Review -- Streamlining and Other Revisions of Part 25 of the Commission's Rules Governing the Licensing of, and Spectrum Usage by, Satellite Network Earth Stations and Space Stations; Streamlining the Commission's Rules and Regulations for Satellite Applications and Licensing Procedures</w:t>
      </w:r>
      <w:r>
        <w:t xml:space="preserve">, IB Docket Nos. 00-248, 95-117, </w:t>
      </w:r>
      <w:r w:rsidRPr="00F27255">
        <w:t>Eighth Report and Order and Order on Reconsideration</w:t>
      </w:r>
      <w:r>
        <w:t xml:space="preserve">, 23 FCC Rcd 15099, </w:t>
      </w:r>
      <w:r w:rsidRPr="00E32902">
        <w:t>15112</w:t>
      </w:r>
      <w:r>
        <w:t xml:space="preserve"> at para. 50 (2008).</w:t>
      </w:r>
    </w:p>
  </w:footnote>
  <w:footnote w:id="58">
    <w:p w14:paraId="5E9FD19E" w14:textId="77777777" w:rsidR="008472ED" w:rsidRPr="00A436F6" w:rsidRDefault="008472ED" w:rsidP="003779A7">
      <w:pPr>
        <w:pStyle w:val="FootnoteText"/>
      </w:pPr>
      <w:r>
        <w:rPr>
          <w:rStyle w:val="FootnoteReference"/>
        </w:rPr>
        <w:footnoteRef/>
      </w:r>
      <w:r>
        <w:t xml:space="preserve"> </w:t>
      </w:r>
      <w:r>
        <w:rPr>
          <w:i/>
        </w:rPr>
        <w:t>FNPRM</w:t>
      </w:r>
      <w:r>
        <w:t>, 22 FCC Rcd at 8911, para. 170.</w:t>
      </w:r>
    </w:p>
  </w:footnote>
  <w:footnote w:id="59">
    <w:p w14:paraId="34397CEE" w14:textId="77777777" w:rsidR="008472ED" w:rsidRDefault="008472ED" w:rsidP="003779A7">
      <w:pPr>
        <w:pStyle w:val="FootnoteText"/>
      </w:pPr>
      <w:r>
        <w:rPr>
          <w:rStyle w:val="FootnoteReference"/>
        </w:rPr>
        <w:footnoteRef/>
      </w:r>
      <w:r>
        <w:t xml:space="preserve"> SES Americom Comments at 8; EchoStar Reply at 7. </w:t>
      </w:r>
    </w:p>
  </w:footnote>
  <w:footnote w:id="60">
    <w:p w14:paraId="1C7A8AD5" w14:textId="77777777" w:rsidR="008472ED" w:rsidRDefault="008472ED" w:rsidP="003779A7">
      <w:pPr>
        <w:pStyle w:val="FootnoteText"/>
      </w:pPr>
      <w:r>
        <w:rPr>
          <w:rStyle w:val="FootnoteReference"/>
        </w:rPr>
        <w:footnoteRef/>
      </w:r>
      <w:r>
        <w:t xml:space="preserve"> DIRECTV Comments at 14. </w:t>
      </w:r>
    </w:p>
  </w:footnote>
  <w:footnote w:id="61">
    <w:p w14:paraId="242CD516" w14:textId="38FE38E6" w:rsidR="008472ED" w:rsidRDefault="008472ED" w:rsidP="003779A7">
      <w:pPr>
        <w:pStyle w:val="FootnoteText"/>
      </w:pPr>
      <w:r>
        <w:rPr>
          <w:rStyle w:val="FootnoteReference"/>
        </w:rPr>
        <w:footnoteRef/>
      </w:r>
      <w:r>
        <w:t xml:space="preserve"> SES Americom Reply at 5-6; EchoStar Reply at 7.</w:t>
      </w:r>
    </w:p>
  </w:footnote>
  <w:footnote w:id="62">
    <w:p w14:paraId="66F7804F" w14:textId="77777777" w:rsidR="008472ED" w:rsidRPr="00686B09" w:rsidRDefault="008472ED" w:rsidP="003779A7">
      <w:pPr>
        <w:pStyle w:val="FootnoteText"/>
      </w:pPr>
      <w:r>
        <w:rPr>
          <w:rStyle w:val="FootnoteReference"/>
        </w:rPr>
        <w:footnoteRef/>
      </w:r>
      <w:r>
        <w:t xml:space="preserve"> Echostar Comments at 7; SES Americom Comments at 8, Reply at 5, Supplementary Comments at 2, Supplementary Reply at 2; DIRECTV Reply at 4.  </w:t>
      </w:r>
      <w:r>
        <w:rPr>
          <w:i/>
        </w:rPr>
        <w:t xml:space="preserve">But see </w:t>
      </w:r>
      <w:r>
        <w:t>DIRECTV Comments at 7; AT&amp;T Supplementary Comments at 5.</w:t>
      </w:r>
    </w:p>
  </w:footnote>
  <w:footnote w:id="63">
    <w:p w14:paraId="4002564D" w14:textId="77777777" w:rsidR="008472ED" w:rsidRDefault="008472ED" w:rsidP="003779A7">
      <w:pPr>
        <w:pStyle w:val="FootnoteText"/>
      </w:pPr>
      <w:r>
        <w:rPr>
          <w:rStyle w:val="FootnoteReference"/>
        </w:rPr>
        <w:footnoteRef/>
      </w:r>
      <w:r>
        <w:t xml:space="preserve"> SES Americom Comments at 8; EchoStar Reply at 7.</w:t>
      </w:r>
    </w:p>
  </w:footnote>
  <w:footnote w:id="64">
    <w:p w14:paraId="0786191D"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See</w:t>
      </w:r>
      <w:r w:rsidRPr="008C4E08">
        <w:t xml:space="preserve"> 5 U.S.C. § 603.  The RFA (</w:t>
      </w:r>
      <w:r w:rsidRPr="008C4E08">
        <w:rPr>
          <w:i/>
        </w:rPr>
        <w:t>see</w:t>
      </w:r>
      <w:r w:rsidRPr="008C4E08">
        <w:t xml:space="preserve"> 5 U.S.C. § 601 – 612), has been amended by the Small Business Regulatory Enforcement Fairness Act of 1996 (SBREFA), Pub. L. No. 104-121, Title II, 110 Stat. 857 (1996).</w:t>
      </w:r>
    </w:p>
  </w:footnote>
  <w:footnote w:id="65">
    <w:p w14:paraId="3E7E1E3D"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See</w:t>
      </w:r>
      <w:r w:rsidRPr="008C4E08">
        <w:t xml:space="preserve"> </w:t>
      </w:r>
      <w:r w:rsidRPr="0047475B">
        <w:rPr>
          <w:i/>
        </w:rPr>
        <w:t>The Establishment of Policies and Service Rules for the Broadcasting-Satellite Service at the 17.3-17.7 GHz Frequency Band and at the 17.7</w:t>
      </w:r>
      <w:r>
        <w:rPr>
          <w:i/>
        </w:rPr>
        <w:t>-</w:t>
      </w:r>
      <w:r w:rsidRPr="0047475B">
        <w:rPr>
          <w:i/>
        </w:rPr>
        <w:t>17.8 GHz Frequency Band Internationally, and at the 24.75-25.25 GHz Frequency Band for Fixed Satellite Services Providing Feeder Links to the Broadcasting-Satellite Service and for the Satellite Services Operating Bi-directionally in the 17.3-17.8 GHz Frequency Band</w:t>
      </w:r>
      <w:r>
        <w:t>, Report and Order and Further Notice of Proposed Rulemaking</w:t>
      </w:r>
      <w:r>
        <w:rPr>
          <w:rFonts w:eastAsia="TimesNewRoman"/>
        </w:rPr>
        <w:t xml:space="preserve">, </w:t>
      </w:r>
      <w:r w:rsidRPr="000F39C0">
        <w:rPr>
          <w:rFonts w:eastAsia="TimesNewRoman"/>
        </w:rPr>
        <w:t>22 FCC Rcd 8842 (2007)</w:t>
      </w:r>
      <w:r>
        <w:t xml:space="preserve"> at Appx. H.</w:t>
      </w:r>
      <w:r w:rsidRPr="008C4E08">
        <w:t xml:space="preserve"> </w:t>
      </w:r>
    </w:p>
  </w:footnote>
  <w:footnote w:id="66">
    <w:p w14:paraId="075AE68D"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 xml:space="preserve">See </w:t>
      </w:r>
      <w:r w:rsidRPr="008C4E08">
        <w:t>5 U.S.C. § 604.</w:t>
      </w:r>
    </w:p>
  </w:footnote>
  <w:footnote w:id="67">
    <w:p w14:paraId="454B6146" w14:textId="77777777" w:rsidR="00120662" w:rsidRPr="008C4E08" w:rsidRDefault="00120662" w:rsidP="00120662">
      <w:pPr>
        <w:pStyle w:val="FootnoteText"/>
      </w:pPr>
      <w:r w:rsidRPr="008C4E08">
        <w:rPr>
          <w:rStyle w:val="FootnoteReference"/>
        </w:rPr>
        <w:footnoteRef/>
      </w:r>
      <w:r w:rsidRPr="008C4E08">
        <w:t xml:space="preserve"> 5 U.S.C. § 604(a)(3).</w:t>
      </w:r>
    </w:p>
  </w:footnote>
  <w:footnote w:id="68">
    <w:p w14:paraId="77DFA127" w14:textId="77777777" w:rsidR="00120662" w:rsidRPr="008C4E08" w:rsidRDefault="00120662" w:rsidP="00120662">
      <w:pPr>
        <w:pStyle w:val="FootnoteText"/>
      </w:pPr>
      <w:r w:rsidRPr="008C4E08">
        <w:rPr>
          <w:rStyle w:val="FootnoteReference"/>
        </w:rPr>
        <w:footnoteRef/>
      </w:r>
      <w:r w:rsidRPr="008C4E08">
        <w:t xml:space="preserve"> 5 U.S.C. § 601(6).</w:t>
      </w:r>
    </w:p>
  </w:footnote>
  <w:footnote w:id="69">
    <w:p w14:paraId="5936567E" w14:textId="77777777" w:rsidR="00120662" w:rsidRPr="008C4E08" w:rsidRDefault="00120662" w:rsidP="00120662">
      <w:pPr>
        <w:pStyle w:val="FootnoteText"/>
      </w:pPr>
      <w:r w:rsidRPr="008C4E08">
        <w:rPr>
          <w:rStyle w:val="FootnoteReference"/>
        </w:rPr>
        <w:footnoteRef/>
      </w:r>
      <w:r w:rsidRPr="008C4E08">
        <w:t xml:space="preserve"> 5 U.S.C. § 601(3) (incorporating by reference the definition of </w:t>
      </w:r>
      <w:r>
        <w:t>“</w:t>
      </w:r>
      <w:r w:rsidRPr="008C4E08">
        <w:t>small business concern</w:t>
      </w:r>
      <w:r>
        <w:t>”</w:t>
      </w:r>
      <w:r w:rsidRPr="008C4E08">
        <w:t xml:space="preserve"> in 15 U.S.C. § 632). Pursuant to the RFA, the statutory definition of a small business applies </w:t>
      </w:r>
      <w:r>
        <w:t>“</w:t>
      </w:r>
      <w:r w:rsidRPr="008C4E08">
        <w:t>unless an agency, after consultation with the Office of Advocacy of the Small Business Administration and after the opportunity for public comment, establishes one or more definitions of such term which are appropriate to the activities of the agency and publishes such definition(s) in the Federal Register.</w:t>
      </w:r>
      <w:r>
        <w:t>”</w:t>
      </w:r>
      <w:r w:rsidRPr="008C4E08">
        <w:t xml:space="preserve"> 5 U.S.C. § 601(3).</w:t>
      </w:r>
    </w:p>
  </w:footnote>
  <w:footnote w:id="70">
    <w:p w14:paraId="14A10D66" w14:textId="77777777" w:rsidR="00120662" w:rsidRPr="008C4E08" w:rsidRDefault="00120662" w:rsidP="00120662">
      <w:pPr>
        <w:pStyle w:val="FootnoteText"/>
      </w:pPr>
      <w:r w:rsidRPr="008C4E08">
        <w:rPr>
          <w:rStyle w:val="FootnoteReference"/>
        </w:rPr>
        <w:footnoteRef/>
      </w:r>
      <w:r w:rsidRPr="008C4E08">
        <w:t xml:space="preserve"> Small Business Act, 15 U.S.C. § 632 (1996).</w:t>
      </w:r>
    </w:p>
  </w:footnote>
  <w:footnote w:id="71">
    <w:p w14:paraId="018BAB92" w14:textId="77777777" w:rsidR="00120662" w:rsidRPr="008C4E08" w:rsidRDefault="00120662" w:rsidP="00120662">
      <w:pPr>
        <w:pStyle w:val="FootnoteText"/>
      </w:pPr>
      <w:r w:rsidRPr="008C4E08">
        <w:rPr>
          <w:rStyle w:val="FootnoteReference"/>
        </w:rPr>
        <w:footnoteRef/>
      </w:r>
      <w:r w:rsidRPr="008C4E08">
        <w:t xml:space="preserve"> 13 CFR § 121.201, NAICS code 517410.</w:t>
      </w:r>
    </w:p>
  </w:footnote>
  <w:footnote w:id="72">
    <w:p w14:paraId="6641A547" w14:textId="169785FC" w:rsidR="00120662" w:rsidRPr="008C4E08" w:rsidRDefault="00120662" w:rsidP="00120662">
      <w:pPr>
        <w:pStyle w:val="FootnoteText"/>
      </w:pPr>
      <w:r w:rsidRPr="008C4E08">
        <w:rPr>
          <w:rStyle w:val="FootnoteReference"/>
        </w:rPr>
        <w:footnoteRef/>
      </w:r>
      <w:r w:rsidRPr="008C4E08">
        <w:t xml:space="preserve"> U.S. Census Bureau, 2002 NAICS Definitions, “517410 Satellite Telecommunications”;  </w:t>
      </w:r>
      <w:hyperlink r:id="rId2" w:history="1">
        <w:r w:rsidRPr="008C4E08">
          <w:rPr>
            <w:rStyle w:val="Hyperlink"/>
          </w:rPr>
          <w:t>http://www.census.gov/epcd/naics02/def/NDEF517.HTM</w:t>
        </w:r>
      </w:hyperlink>
      <w:r w:rsidRPr="008C4E08">
        <w:t xml:space="preserve">. </w:t>
      </w:r>
    </w:p>
  </w:footnote>
  <w:footnote w:id="73">
    <w:p w14:paraId="7F6E7932" w14:textId="3C7D7B84" w:rsidR="00120662" w:rsidRPr="008C4E08" w:rsidRDefault="00120662" w:rsidP="00120662">
      <w:pPr>
        <w:pStyle w:val="FootnoteText"/>
      </w:pPr>
      <w:r w:rsidRPr="008C4E08">
        <w:rPr>
          <w:rStyle w:val="FootnoteReference"/>
        </w:rPr>
        <w:footnoteRef/>
      </w:r>
      <w:r w:rsidRPr="008C4E08">
        <w:t xml:space="preserve">  </w:t>
      </w:r>
      <w:r>
        <w:rPr>
          <w:i/>
        </w:rPr>
        <w:t xml:space="preserve">See </w:t>
      </w:r>
      <w:hyperlink r:id="rId3" w:history="1">
        <w:r w:rsidRPr="00FD16DE">
          <w:rPr>
            <w:rStyle w:val="Hyperlink"/>
          </w:rPr>
          <w:t>http://factfinder.census.gov/servlet/IBQTable?_bm=y&amp;-geo_id=&amp;skip=900&amp;-ds_name=EC0751SSSZ4&amp;_lang=en</w:t>
        </w:r>
      </w:hyperlink>
      <w:r>
        <w:t>.</w:t>
      </w:r>
    </w:p>
  </w:footnote>
  <w:footnote w:id="74">
    <w:p w14:paraId="4C2C67C1"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Id</w:t>
      </w:r>
      <w:r w:rsidRPr="008C4E08">
        <w:t>.  An additional 38 firms had annual receipts of $25 million or more.</w:t>
      </w:r>
    </w:p>
  </w:footnote>
  <w:footnote w:id="75">
    <w:p w14:paraId="5E9522DD" w14:textId="2DACFC40" w:rsidR="00120662" w:rsidRPr="008C4E08" w:rsidRDefault="00120662" w:rsidP="00120662">
      <w:pPr>
        <w:pStyle w:val="FootnoteText"/>
      </w:pPr>
      <w:r w:rsidRPr="008C4E08">
        <w:rPr>
          <w:rStyle w:val="FootnoteReference"/>
        </w:rPr>
        <w:footnoteRef/>
      </w:r>
      <w:r w:rsidRPr="008C4E08">
        <w:t xml:space="preserve">  U.S. Census Bureau, 2007 NAICS Definitions, “517910 Other Telecommunications”;  </w:t>
      </w:r>
      <w:hyperlink r:id="rId4" w:history="1">
        <w:r w:rsidRPr="008C4E08">
          <w:rPr>
            <w:rStyle w:val="Hyperlink"/>
          </w:rPr>
          <w:t>http://www.census.gov/epcd/naics02/def/NDEF517.HTM</w:t>
        </w:r>
      </w:hyperlink>
      <w:r w:rsidRPr="008C4E08">
        <w:t xml:space="preserve">. </w:t>
      </w:r>
    </w:p>
  </w:footnote>
  <w:footnote w:id="76">
    <w:p w14:paraId="1A676AA1" w14:textId="304C3EF8" w:rsidR="00120662" w:rsidRPr="001F16F6" w:rsidRDefault="00120662" w:rsidP="00120662">
      <w:pPr>
        <w:pStyle w:val="FootnoteText"/>
      </w:pPr>
      <w:bookmarkStart w:id="62" w:name="_DV_C625"/>
      <w:r w:rsidRPr="001F16F6">
        <w:rPr>
          <w:rStyle w:val="FootnoteReference"/>
        </w:rPr>
        <w:footnoteRef/>
      </w:r>
      <w:r w:rsidRPr="001F16F6">
        <w:t xml:space="preserve">  </w:t>
      </w:r>
      <w:r w:rsidRPr="001F16F6">
        <w:rPr>
          <w:i/>
        </w:rPr>
        <w:t xml:space="preserve">See </w:t>
      </w:r>
      <w:hyperlink r:id="rId5" w:history="1">
        <w:r w:rsidRPr="00B60494">
          <w:rPr>
            <w:color w:val="145DA4"/>
          </w:rPr>
          <w:t>13 CFR § 121.201</w:t>
        </w:r>
      </w:hyperlink>
      <w:r w:rsidRPr="00B60494">
        <w:rPr>
          <w:color w:val="212121"/>
        </w:rPr>
        <w:t>, NAICS code 517919.</w:t>
      </w:r>
    </w:p>
    <w:bookmarkEnd w:id="62"/>
  </w:footnote>
  <w:footnote w:id="77">
    <w:p w14:paraId="0C725D03"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Id</w:t>
      </w:r>
      <w:r w:rsidRPr="008C4E08">
        <w:t>.</w:t>
      </w:r>
    </w:p>
  </w:footnote>
  <w:footnote w:id="78">
    <w:p w14:paraId="1A66EA40" w14:textId="77777777" w:rsidR="00120662" w:rsidRPr="008C4E08" w:rsidRDefault="00120662" w:rsidP="00120662">
      <w:pPr>
        <w:pStyle w:val="FootnoteText"/>
      </w:pPr>
      <w:r w:rsidRPr="008C4E08">
        <w:rPr>
          <w:rStyle w:val="FootnoteReference"/>
        </w:rPr>
        <w:footnoteRef/>
      </w:r>
      <w:r w:rsidRPr="008C4E08">
        <w:t xml:space="preserve"> The SBA has developed a small business size standard for Satellite Telecommunications, which consists of all such companies having $13.5 million or less in annual receipts.  13 CFR § 121.201, NAICS code 517410.</w:t>
      </w:r>
    </w:p>
  </w:footnote>
  <w:footnote w:id="79">
    <w:p w14:paraId="79354887"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 xml:space="preserve">See </w:t>
      </w:r>
      <w:r w:rsidRPr="008C4E08">
        <w:t>47 CFR § 25.114.</w:t>
      </w:r>
    </w:p>
  </w:footnote>
  <w:footnote w:id="80">
    <w:p w14:paraId="0C2C547D"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 xml:space="preserve">See </w:t>
      </w:r>
      <w:r w:rsidRPr="008C4E08">
        <w:t>47 CFR § 25.115.</w:t>
      </w:r>
    </w:p>
  </w:footnote>
  <w:footnote w:id="81">
    <w:p w14:paraId="1BB1F330" w14:textId="77777777" w:rsidR="00120662" w:rsidRPr="008C4E08" w:rsidRDefault="00120662" w:rsidP="00120662">
      <w:pPr>
        <w:pStyle w:val="FootnoteText"/>
      </w:pPr>
      <w:r w:rsidRPr="008C4E08">
        <w:rPr>
          <w:rStyle w:val="FootnoteReference"/>
        </w:rPr>
        <w:footnoteRef/>
      </w:r>
      <w:r w:rsidRPr="008C4E08">
        <w:rPr>
          <w:rStyle w:val="footnotetex"/>
        </w:rPr>
        <w:t xml:space="preserve"> 5 U.S.C. § 603(c)(1), (c)(4).</w:t>
      </w:r>
    </w:p>
  </w:footnote>
  <w:footnote w:id="82">
    <w:p w14:paraId="14CB3F9F" w14:textId="77777777" w:rsidR="00120662" w:rsidRPr="008C4E08" w:rsidRDefault="00120662" w:rsidP="00120662">
      <w:pPr>
        <w:pStyle w:val="FootnoteText"/>
      </w:pPr>
      <w:r w:rsidRPr="008C4E08">
        <w:rPr>
          <w:rStyle w:val="FootnoteReference"/>
        </w:rPr>
        <w:footnoteRef/>
      </w:r>
      <w:r w:rsidRPr="008C4E08">
        <w:t xml:space="preserve"> </w:t>
      </w:r>
      <w:r w:rsidRPr="008C4E08">
        <w:rPr>
          <w:i/>
        </w:rPr>
        <w:t xml:space="preserve">See </w:t>
      </w:r>
      <w:r w:rsidRPr="008C4E08">
        <w:t>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80E7" w14:textId="77777777" w:rsidR="00AE6650" w:rsidRDefault="00AE6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2D40D" w14:textId="09C9E05B" w:rsidR="008472ED" w:rsidRDefault="008472ED">
    <w:pPr>
      <w:pStyle w:val="Header"/>
    </w:pPr>
    <w:r>
      <w:rPr>
        <w:noProof/>
      </w:rPr>
      <mc:AlternateContent>
        <mc:Choice Requires="wps">
          <w:drawing>
            <wp:anchor distT="0" distB="0" distL="114300" distR="114300" simplePos="0" relativeHeight="251661312" behindDoc="1" locked="0" layoutInCell="0" allowOverlap="1" wp14:anchorId="53446325" wp14:editId="019C6833">
              <wp:simplePos x="0" y="0"/>
              <wp:positionH relativeFrom="margin">
                <wp:posOffset>7620</wp:posOffset>
              </wp:positionH>
              <wp:positionV relativeFrom="paragraph">
                <wp:posOffset>160655</wp:posOffset>
              </wp:positionV>
              <wp:extent cx="594360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480FA"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w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aeU&#10;SNYjRR+xaUweOkES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GGBabB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sidR="00E231AB">
      <w:rPr>
        <w:spacing w:val="-2"/>
      </w:rPr>
      <w:t>FCC 17-49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CF0C" w14:textId="7E0EC3F2" w:rsidR="008472ED" w:rsidRDefault="008472ED" w:rsidP="009C039B">
    <w:pPr>
      <w:pStyle w:val="Header"/>
    </w:pPr>
    <w:r>
      <w:rPr>
        <w:noProof/>
      </w:rPr>
      <mc:AlternateContent>
        <mc:Choice Requires="wps">
          <w:drawing>
            <wp:anchor distT="0" distB="0" distL="114300" distR="114300" simplePos="0" relativeHeight="251660288" behindDoc="1" locked="0" layoutInCell="0" allowOverlap="1" wp14:anchorId="68561343" wp14:editId="492DEE05">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D8E679" id="Rectangle 4"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" o:allowincell="f" fillcolor="black" stroked="f">
              <w10:wrap anchorx="margin"/>
            </v:rect>
          </w:pict>
        </mc:Fallback>
      </mc:AlternateContent>
    </w:r>
    <w:r>
      <w:tab/>
      <w:t>Federal Communications Commission</w:t>
    </w:r>
    <w:r>
      <w:tab/>
    </w:r>
    <w:r w:rsidR="00BB31DC">
      <w:rPr>
        <w:spacing w:val="-2"/>
      </w:rPr>
      <w:t>FCC 17-49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00FF"/>
    <w:multiLevelType w:val="hybridMultilevel"/>
    <w:tmpl w:val="03A40604"/>
    <w:lvl w:ilvl="0" w:tplc="17267D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4D1C0C"/>
    <w:multiLevelType w:val="hybridMultilevel"/>
    <w:tmpl w:val="9758B842"/>
    <w:lvl w:ilvl="0" w:tplc="15CEC95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8EA2333"/>
    <w:multiLevelType w:val="hybridMultilevel"/>
    <w:tmpl w:val="08B8C4A0"/>
    <w:lvl w:ilvl="0" w:tplc="59161C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3187019"/>
    <w:multiLevelType w:val="hybridMultilevel"/>
    <w:tmpl w:val="368032FA"/>
    <w:lvl w:ilvl="0" w:tplc="19F63B04">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76426DC"/>
    <w:multiLevelType w:val="hybridMultilevel"/>
    <w:tmpl w:val="BBEA915A"/>
    <w:lvl w:ilvl="0" w:tplc="ADC4AE5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F1B3D"/>
    <w:multiLevelType w:val="singleLevel"/>
    <w:tmpl w:val="4DCCE696"/>
    <w:lvl w:ilvl="0">
      <w:start w:val="1"/>
      <w:numFmt w:val="decimal"/>
      <w:lvlText w:val="%1."/>
      <w:lvlJc w:val="left"/>
      <w:pPr>
        <w:tabs>
          <w:tab w:val="num" w:pos="630"/>
        </w:tabs>
        <w:ind w:left="-4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2EA42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E5432B3"/>
    <w:multiLevelType w:val="hybridMultilevel"/>
    <w:tmpl w:val="368032FA"/>
    <w:lvl w:ilvl="0" w:tplc="19F63B04">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14"/>
  </w:num>
  <w:num w:numId="3">
    <w:abstractNumId w:val="9"/>
  </w:num>
  <w:num w:numId="4">
    <w:abstractNumId w:val="12"/>
  </w:num>
  <w:num w:numId="5">
    <w:abstractNumId w:val="3"/>
  </w:num>
  <w:num w:numId="6">
    <w:abstractNumId w:val="11"/>
  </w:num>
  <w:num w:numId="7">
    <w:abstractNumId w:val="15"/>
  </w:num>
  <w:num w:numId="8">
    <w:abstractNumId w:val="7"/>
  </w:num>
  <w:num w:numId="9">
    <w:abstractNumId w:val="8"/>
  </w:num>
  <w:num w:numId="10">
    <w:abstractNumId w:val="0"/>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4">
    <w:abstractNumId w:val="15"/>
    <w:lvlOverride w:ilvl="0">
      <w:startOverride w:val="1"/>
    </w:lvlOverride>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6"/>
  </w:num>
  <w:num w:numId="24">
    <w:abstractNumId w:val="10"/>
  </w:num>
  <w:num w:numId="25">
    <w:abstractNumId w:val="13"/>
  </w:num>
  <w:num w:numId="26">
    <w:abstractNumId w:val="9"/>
  </w:num>
  <w:num w:numId="27">
    <w:abstractNumId w:val="13"/>
  </w:num>
  <w:num w:numId="28">
    <w:abstractNumId w:val="13"/>
  </w:num>
  <w:num w:numId="29">
    <w:abstractNumId w:val="13"/>
  </w:num>
  <w:num w:numId="30">
    <w:abstractNumId w:val="9"/>
  </w:num>
  <w:num w:numId="31">
    <w:abstractNumId w:val="9"/>
  </w:num>
  <w:num w:numId="32">
    <w:abstractNumId w:val="4"/>
  </w:num>
  <w:num w:numId="33">
    <w:abstractNumId w:val="6"/>
  </w:num>
  <w:num w:numId="34">
    <w:abstractNumId w:val="5"/>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1F"/>
    <w:rsid w:val="00000AB8"/>
    <w:rsid w:val="000011D3"/>
    <w:rsid w:val="00001893"/>
    <w:rsid w:val="00016ECE"/>
    <w:rsid w:val="000172CA"/>
    <w:rsid w:val="00022030"/>
    <w:rsid w:val="00024824"/>
    <w:rsid w:val="00025B8A"/>
    <w:rsid w:val="00025B9C"/>
    <w:rsid w:val="00030C91"/>
    <w:rsid w:val="0003186E"/>
    <w:rsid w:val="0003295E"/>
    <w:rsid w:val="000354A6"/>
    <w:rsid w:val="00037EF7"/>
    <w:rsid w:val="000424DD"/>
    <w:rsid w:val="00043BFA"/>
    <w:rsid w:val="00046F38"/>
    <w:rsid w:val="000471CE"/>
    <w:rsid w:val="000521C0"/>
    <w:rsid w:val="000605BD"/>
    <w:rsid w:val="00062CCF"/>
    <w:rsid w:val="00064FD7"/>
    <w:rsid w:val="00071235"/>
    <w:rsid w:val="00071E48"/>
    <w:rsid w:val="00072C3A"/>
    <w:rsid w:val="00073277"/>
    <w:rsid w:val="00074C66"/>
    <w:rsid w:val="000752A7"/>
    <w:rsid w:val="00077A20"/>
    <w:rsid w:val="00077C3A"/>
    <w:rsid w:val="00086DA2"/>
    <w:rsid w:val="00087807"/>
    <w:rsid w:val="00087ED6"/>
    <w:rsid w:val="00090179"/>
    <w:rsid w:val="00091340"/>
    <w:rsid w:val="00094C9B"/>
    <w:rsid w:val="000A4A7C"/>
    <w:rsid w:val="000A6AF4"/>
    <w:rsid w:val="000B4F08"/>
    <w:rsid w:val="000C3DE3"/>
    <w:rsid w:val="000D6E23"/>
    <w:rsid w:val="000E08AD"/>
    <w:rsid w:val="000E4641"/>
    <w:rsid w:val="000E6909"/>
    <w:rsid w:val="000F5A18"/>
    <w:rsid w:val="0011377A"/>
    <w:rsid w:val="00115E3D"/>
    <w:rsid w:val="00116149"/>
    <w:rsid w:val="001201A0"/>
    <w:rsid w:val="00120662"/>
    <w:rsid w:val="00122760"/>
    <w:rsid w:val="0012409D"/>
    <w:rsid w:val="001258E7"/>
    <w:rsid w:val="00131EB2"/>
    <w:rsid w:val="00132941"/>
    <w:rsid w:val="00132BFE"/>
    <w:rsid w:val="00132CAA"/>
    <w:rsid w:val="00135754"/>
    <w:rsid w:val="0013756E"/>
    <w:rsid w:val="00140C79"/>
    <w:rsid w:val="00142BF6"/>
    <w:rsid w:val="00142F5E"/>
    <w:rsid w:val="00143C6F"/>
    <w:rsid w:val="001457B1"/>
    <w:rsid w:val="00146FBB"/>
    <w:rsid w:val="0015152A"/>
    <w:rsid w:val="00161218"/>
    <w:rsid w:val="001614D2"/>
    <w:rsid w:val="00162D5D"/>
    <w:rsid w:val="00163335"/>
    <w:rsid w:val="00175149"/>
    <w:rsid w:val="00181D74"/>
    <w:rsid w:val="00181EB8"/>
    <w:rsid w:val="001842FF"/>
    <w:rsid w:val="001913C9"/>
    <w:rsid w:val="001951A9"/>
    <w:rsid w:val="00195AFD"/>
    <w:rsid w:val="001A2949"/>
    <w:rsid w:val="001A548D"/>
    <w:rsid w:val="001A5A30"/>
    <w:rsid w:val="001B190F"/>
    <w:rsid w:val="001B7690"/>
    <w:rsid w:val="001C1338"/>
    <w:rsid w:val="001C21B0"/>
    <w:rsid w:val="001C248E"/>
    <w:rsid w:val="001C312A"/>
    <w:rsid w:val="001C38C1"/>
    <w:rsid w:val="001C3D0C"/>
    <w:rsid w:val="001C50F7"/>
    <w:rsid w:val="001D0697"/>
    <w:rsid w:val="001D09BA"/>
    <w:rsid w:val="001D4AD0"/>
    <w:rsid w:val="001D4B56"/>
    <w:rsid w:val="001D56A0"/>
    <w:rsid w:val="001D7924"/>
    <w:rsid w:val="001E07A5"/>
    <w:rsid w:val="001E08C7"/>
    <w:rsid w:val="001E4316"/>
    <w:rsid w:val="001F16F6"/>
    <w:rsid w:val="001F21EB"/>
    <w:rsid w:val="001F548D"/>
    <w:rsid w:val="001F5640"/>
    <w:rsid w:val="001F5EFB"/>
    <w:rsid w:val="001F7D56"/>
    <w:rsid w:val="001F7DF8"/>
    <w:rsid w:val="00203642"/>
    <w:rsid w:val="00203CC2"/>
    <w:rsid w:val="00204ADE"/>
    <w:rsid w:val="00205BE8"/>
    <w:rsid w:val="00207577"/>
    <w:rsid w:val="00210B3E"/>
    <w:rsid w:val="0023043A"/>
    <w:rsid w:val="00230755"/>
    <w:rsid w:val="00237E5B"/>
    <w:rsid w:val="00244496"/>
    <w:rsid w:val="00245F3B"/>
    <w:rsid w:val="00246A5F"/>
    <w:rsid w:val="002503CC"/>
    <w:rsid w:val="00251903"/>
    <w:rsid w:val="0025264C"/>
    <w:rsid w:val="002543D9"/>
    <w:rsid w:val="00257E54"/>
    <w:rsid w:val="00260C02"/>
    <w:rsid w:val="00262977"/>
    <w:rsid w:val="00263020"/>
    <w:rsid w:val="00264345"/>
    <w:rsid w:val="00272283"/>
    <w:rsid w:val="00274DE3"/>
    <w:rsid w:val="00282466"/>
    <w:rsid w:val="002827CE"/>
    <w:rsid w:val="00282A00"/>
    <w:rsid w:val="002874DA"/>
    <w:rsid w:val="00287682"/>
    <w:rsid w:val="002938DC"/>
    <w:rsid w:val="00295590"/>
    <w:rsid w:val="002A5B73"/>
    <w:rsid w:val="002A62F9"/>
    <w:rsid w:val="002B204E"/>
    <w:rsid w:val="002B4730"/>
    <w:rsid w:val="002B6F20"/>
    <w:rsid w:val="002B7E1B"/>
    <w:rsid w:val="002C0B21"/>
    <w:rsid w:val="002C2C68"/>
    <w:rsid w:val="002C4869"/>
    <w:rsid w:val="002D64A6"/>
    <w:rsid w:val="002D7372"/>
    <w:rsid w:val="002E52B8"/>
    <w:rsid w:val="002E7D43"/>
    <w:rsid w:val="002F21C5"/>
    <w:rsid w:val="002F788C"/>
    <w:rsid w:val="003000B0"/>
    <w:rsid w:val="00301283"/>
    <w:rsid w:val="00306744"/>
    <w:rsid w:val="00312708"/>
    <w:rsid w:val="00315A53"/>
    <w:rsid w:val="003170BF"/>
    <w:rsid w:val="00317954"/>
    <w:rsid w:val="00320BB5"/>
    <w:rsid w:val="00322184"/>
    <w:rsid w:val="00330AE2"/>
    <w:rsid w:val="00333237"/>
    <w:rsid w:val="00335D22"/>
    <w:rsid w:val="00341790"/>
    <w:rsid w:val="00343520"/>
    <w:rsid w:val="0034672B"/>
    <w:rsid w:val="00355F44"/>
    <w:rsid w:val="0035683E"/>
    <w:rsid w:val="003577BE"/>
    <w:rsid w:val="0036333D"/>
    <w:rsid w:val="00364C33"/>
    <w:rsid w:val="00370E8C"/>
    <w:rsid w:val="003717CF"/>
    <w:rsid w:val="00372F04"/>
    <w:rsid w:val="00374783"/>
    <w:rsid w:val="003748D8"/>
    <w:rsid w:val="003779A7"/>
    <w:rsid w:val="00380C3A"/>
    <w:rsid w:val="00381289"/>
    <w:rsid w:val="00394FD6"/>
    <w:rsid w:val="003B0DCA"/>
    <w:rsid w:val="003B4225"/>
    <w:rsid w:val="003C271D"/>
    <w:rsid w:val="003C4E70"/>
    <w:rsid w:val="003C6FDB"/>
    <w:rsid w:val="003D2838"/>
    <w:rsid w:val="003D5390"/>
    <w:rsid w:val="003D5BE6"/>
    <w:rsid w:val="003D6788"/>
    <w:rsid w:val="003D69D4"/>
    <w:rsid w:val="003D7497"/>
    <w:rsid w:val="003E125F"/>
    <w:rsid w:val="003E56CF"/>
    <w:rsid w:val="003F0B97"/>
    <w:rsid w:val="003F1442"/>
    <w:rsid w:val="003F1598"/>
    <w:rsid w:val="003F2118"/>
    <w:rsid w:val="003F22E0"/>
    <w:rsid w:val="003F3D45"/>
    <w:rsid w:val="004003BA"/>
    <w:rsid w:val="00401359"/>
    <w:rsid w:val="0040151A"/>
    <w:rsid w:val="00401F3B"/>
    <w:rsid w:val="004028F9"/>
    <w:rsid w:val="00405EF2"/>
    <w:rsid w:val="004116AB"/>
    <w:rsid w:val="00411E51"/>
    <w:rsid w:val="0041277C"/>
    <w:rsid w:val="004162A4"/>
    <w:rsid w:val="00423114"/>
    <w:rsid w:val="00424200"/>
    <w:rsid w:val="00425214"/>
    <w:rsid w:val="0044088B"/>
    <w:rsid w:val="00442DD8"/>
    <w:rsid w:val="00443BF4"/>
    <w:rsid w:val="004459AB"/>
    <w:rsid w:val="00453854"/>
    <w:rsid w:val="00461261"/>
    <w:rsid w:val="00464455"/>
    <w:rsid w:val="00464716"/>
    <w:rsid w:val="00472B9E"/>
    <w:rsid w:val="00472E1C"/>
    <w:rsid w:val="0047475B"/>
    <w:rsid w:val="00474CCD"/>
    <w:rsid w:val="004770F2"/>
    <w:rsid w:val="00477917"/>
    <w:rsid w:val="00480B39"/>
    <w:rsid w:val="00482A48"/>
    <w:rsid w:val="00482D96"/>
    <w:rsid w:val="004847FF"/>
    <w:rsid w:val="004869BA"/>
    <w:rsid w:val="00491E95"/>
    <w:rsid w:val="00494009"/>
    <w:rsid w:val="00496F14"/>
    <w:rsid w:val="0049773A"/>
    <w:rsid w:val="004A118B"/>
    <w:rsid w:val="004A5C06"/>
    <w:rsid w:val="004A7357"/>
    <w:rsid w:val="004B37C7"/>
    <w:rsid w:val="004B4A60"/>
    <w:rsid w:val="004C2BB9"/>
    <w:rsid w:val="004C2E68"/>
    <w:rsid w:val="004C79C8"/>
    <w:rsid w:val="004D0373"/>
    <w:rsid w:val="004D324A"/>
    <w:rsid w:val="004E49C4"/>
    <w:rsid w:val="004E784E"/>
    <w:rsid w:val="004F7A49"/>
    <w:rsid w:val="005030CF"/>
    <w:rsid w:val="005047F5"/>
    <w:rsid w:val="00505195"/>
    <w:rsid w:val="00507A72"/>
    <w:rsid w:val="0051079B"/>
    <w:rsid w:val="00514444"/>
    <w:rsid w:val="00515DED"/>
    <w:rsid w:val="0052065F"/>
    <w:rsid w:val="00521061"/>
    <w:rsid w:val="00522A8C"/>
    <w:rsid w:val="005255E1"/>
    <w:rsid w:val="00525D49"/>
    <w:rsid w:val="00525E22"/>
    <w:rsid w:val="005314DE"/>
    <w:rsid w:val="00537CF9"/>
    <w:rsid w:val="00542635"/>
    <w:rsid w:val="00546FD9"/>
    <w:rsid w:val="005523D1"/>
    <w:rsid w:val="0055345C"/>
    <w:rsid w:val="0055621D"/>
    <w:rsid w:val="005573D0"/>
    <w:rsid w:val="0056309A"/>
    <w:rsid w:val="005677FB"/>
    <w:rsid w:val="00572945"/>
    <w:rsid w:val="00574BB2"/>
    <w:rsid w:val="0057578E"/>
    <w:rsid w:val="005821FD"/>
    <w:rsid w:val="00582E05"/>
    <w:rsid w:val="00583F06"/>
    <w:rsid w:val="00585CED"/>
    <w:rsid w:val="005863B3"/>
    <w:rsid w:val="0059190F"/>
    <w:rsid w:val="00596AC1"/>
    <w:rsid w:val="00597DA4"/>
    <w:rsid w:val="005A5EA6"/>
    <w:rsid w:val="005A7909"/>
    <w:rsid w:val="005A7F88"/>
    <w:rsid w:val="005B112E"/>
    <w:rsid w:val="005B3579"/>
    <w:rsid w:val="005B5225"/>
    <w:rsid w:val="005C00C8"/>
    <w:rsid w:val="005D069C"/>
    <w:rsid w:val="005D10B0"/>
    <w:rsid w:val="005D4679"/>
    <w:rsid w:val="005E0A7D"/>
    <w:rsid w:val="005E3B11"/>
    <w:rsid w:val="005E5215"/>
    <w:rsid w:val="005E7702"/>
    <w:rsid w:val="005E7C73"/>
    <w:rsid w:val="005F0BED"/>
    <w:rsid w:val="005F2B9D"/>
    <w:rsid w:val="006045FF"/>
    <w:rsid w:val="006070C3"/>
    <w:rsid w:val="00612FB0"/>
    <w:rsid w:val="006171C1"/>
    <w:rsid w:val="00625471"/>
    <w:rsid w:val="006259DC"/>
    <w:rsid w:val="0062706B"/>
    <w:rsid w:val="006274FB"/>
    <w:rsid w:val="00630A94"/>
    <w:rsid w:val="006316CF"/>
    <w:rsid w:val="006366F2"/>
    <w:rsid w:val="00640FC1"/>
    <w:rsid w:val="006436F8"/>
    <w:rsid w:val="0064512C"/>
    <w:rsid w:val="00645C47"/>
    <w:rsid w:val="00667541"/>
    <w:rsid w:val="00673204"/>
    <w:rsid w:val="00675F15"/>
    <w:rsid w:val="00680168"/>
    <w:rsid w:val="0068306A"/>
    <w:rsid w:val="00684212"/>
    <w:rsid w:val="00685E3A"/>
    <w:rsid w:val="00686B09"/>
    <w:rsid w:val="00691782"/>
    <w:rsid w:val="00692015"/>
    <w:rsid w:val="00695969"/>
    <w:rsid w:val="00696717"/>
    <w:rsid w:val="006B167E"/>
    <w:rsid w:val="006B56A6"/>
    <w:rsid w:val="006B6C45"/>
    <w:rsid w:val="006C1A26"/>
    <w:rsid w:val="006D68C8"/>
    <w:rsid w:val="006E7B4D"/>
    <w:rsid w:val="007024AF"/>
    <w:rsid w:val="007039C5"/>
    <w:rsid w:val="007331A9"/>
    <w:rsid w:val="00735DE9"/>
    <w:rsid w:val="00737D41"/>
    <w:rsid w:val="00750502"/>
    <w:rsid w:val="00752E19"/>
    <w:rsid w:val="0075334E"/>
    <w:rsid w:val="0076091C"/>
    <w:rsid w:val="00762080"/>
    <w:rsid w:val="0076691B"/>
    <w:rsid w:val="007717B8"/>
    <w:rsid w:val="00777CD7"/>
    <w:rsid w:val="007819CC"/>
    <w:rsid w:val="00782D3D"/>
    <w:rsid w:val="00790323"/>
    <w:rsid w:val="007919F4"/>
    <w:rsid w:val="007927F1"/>
    <w:rsid w:val="00795ED9"/>
    <w:rsid w:val="007A3A70"/>
    <w:rsid w:val="007A59D5"/>
    <w:rsid w:val="007B3222"/>
    <w:rsid w:val="007B5DE2"/>
    <w:rsid w:val="007B6724"/>
    <w:rsid w:val="007C02FE"/>
    <w:rsid w:val="007C409E"/>
    <w:rsid w:val="007C59D3"/>
    <w:rsid w:val="007D17F6"/>
    <w:rsid w:val="007D5307"/>
    <w:rsid w:val="007D5D09"/>
    <w:rsid w:val="007E0C70"/>
    <w:rsid w:val="007E5255"/>
    <w:rsid w:val="007F0916"/>
    <w:rsid w:val="007F42D7"/>
    <w:rsid w:val="007F60C1"/>
    <w:rsid w:val="00800707"/>
    <w:rsid w:val="00801BDB"/>
    <w:rsid w:val="00801DA6"/>
    <w:rsid w:val="00804ED3"/>
    <w:rsid w:val="00813051"/>
    <w:rsid w:val="008158F1"/>
    <w:rsid w:val="008176D5"/>
    <w:rsid w:val="00830BBF"/>
    <w:rsid w:val="008328AF"/>
    <w:rsid w:val="008335B4"/>
    <w:rsid w:val="00833E88"/>
    <w:rsid w:val="00835E3C"/>
    <w:rsid w:val="00841065"/>
    <w:rsid w:val="008411FE"/>
    <w:rsid w:val="0084624D"/>
    <w:rsid w:val="008472ED"/>
    <w:rsid w:val="008540C5"/>
    <w:rsid w:val="00854C70"/>
    <w:rsid w:val="00857122"/>
    <w:rsid w:val="0086114F"/>
    <w:rsid w:val="008654F8"/>
    <w:rsid w:val="00872B7A"/>
    <w:rsid w:val="00885298"/>
    <w:rsid w:val="008963D0"/>
    <w:rsid w:val="00897A31"/>
    <w:rsid w:val="00897D5F"/>
    <w:rsid w:val="008A2BBB"/>
    <w:rsid w:val="008A2C7C"/>
    <w:rsid w:val="008A32A2"/>
    <w:rsid w:val="008A3988"/>
    <w:rsid w:val="008A7223"/>
    <w:rsid w:val="008B0B84"/>
    <w:rsid w:val="008B3C3E"/>
    <w:rsid w:val="008B6C88"/>
    <w:rsid w:val="008C1E06"/>
    <w:rsid w:val="008D1E9E"/>
    <w:rsid w:val="008D57D0"/>
    <w:rsid w:val="008E0222"/>
    <w:rsid w:val="008E679E"/>
    <w:rsid w:val="008F0950"/>
    <w:rsid w:val="008F3800"/>
    <w:rsid w:val="008F4388"/>
    <w:rsid w:val="008F4B5C"/>
    <w:rsid w:val="008F77A7"/>
    <w:rsid w:val="00901798"/>
    <w:rsid w:val="00901C6A"/>
    <w:rsid w:val="009035CE"/>
    <w:rsid w:val="00905D84"/>
    <w:rsid w:val="00912671"/>
    <w:rsid w:val="009149B2"/>
    <w:rsid w:val="009162EC"/>
    <w:rsid w:val="00921A75"/>
    <w:rsid w:val="00927BA3"/>
    <w:rsid w:val="009340E2"/>
    <w:rsid w:val="00941579"/>
    <w:rsid w:val="00945BCA"/>
    <w:rsid w:val="00946A83"/>
    <w:rsid w:val="0094764C"/>
    <w:rsid w:val="009513FF"/>
    <w:rsid w:val="0095160F"/>
    <w:rsid w:val="00952D3D"/>
    <w:rsid w:val="009553A1"/>
    <w:rsid w:val="009555D3"/>
    <w:rsid w:val="009563A4"/>
    <w:rsid w:val="00966C63"/>
    <w:rsid w:val="00970BD5"/>
    <w:rsid w:val="00971ED7"/>
    <w:rsid w:val="00976217"/>
    <w:rsid w:val="00981004"/>
    <w:rsid w:val="009848D7"/>
    <w:rsid w:val="0098632A"/>
    <w:rsid w:val="009867B6"/>
    <w:rsid w:val="009872A7"/>
    <w:rsid w:val="00991F14"/>
    <w:rsid w:val="009949F3"/>
    <w:rsid w:val="009951F1"/>
    <w:rsid w:val="00995A81"/>
    <w:rsid w:val="009A0A3D"/>
    <w:rsid w:val="009A19A9"/>
    <w:rsid w:val="009A239D"/>
    <w:rsid w:val="009A5BFF"/>
    <w:rsid w:val="009B1B37"/>
    <w:rsid w:val="009B2328"/>
    <w:rsid w:val="009B242B"/>
    <w:rsid w:val="009B30CC"/>
    <w:rsid w:val="009B37B1"/>
    <w:rsid w:val="009B4DDE"/>
    <w:rsid w:val="009B51A4"/>
    <w:rsid w:val="009B5F4A"/>
    <w:rsid w:val="009B6B79"/>
    <w:rsid w:val="009B76E9"/>
    <w:rsid w:val="009B7F5E"/>
    <w:rsid w:val="009C039B"/>
    <w:rsid w:val="009C6330"/>
    <w:rsid w:val="009D3332"/>
    <w:rsid w:val="009D48F3"/>
    <w:rsid w:val="009D4DD8"/>
    <w:rsid w:val="009D672C"/>
    <w:rsid w:val="009E075C"/>
    <w:rsid w:val="009E3C28"/>
    <w:rsid w:val="009E5383"/>
    <w:rsid w:val="009E5E9B"/>
    <w:rsid w:val="009F143C"/>
    <w:rsid w:val="00A0064E"/>
    <w:rsid w:val="00A02811"/>
    <w:rsid w:val="00A0589A"/>
    <w:rsid w:val="00A179F5"/>
    <w:rsid w:val="00A17CCA"/>
    <w:rsid w:val="00A229BE"/>
    <w:rsid w:val="00A2372B"/>
    <w:rsid w:val="00A25E58"/>
    <w:rsid w:val="00A26285"/>
    <w:rsid w:val="00A2743A"/>
    <w:rsid w:val="00A31665"/>
    <w:rsid w:val="00A3625A"/>
    <w:rsid w:val="00A436F6"/>
    <w:rsid w:val="00A4700F"/>
    <w:rsid w:val="00A643A4"/>
    <w:rsid w:val="00A652AD"/>
    <w:rsid w:val="00A65FFA"/>
    <w:rsid w:val="00A67812"/>
    <w:rsid w:val="00A72047"/>
    <w:rsid w:val="00A73867"/>
    <w:rsid w:val="00A77B6C"/>
    <w:rsid w:val="00A820FF"/>
    <w:rsid w:val="00A82BD6"/>
    <w:rsid w:val="00A876D9"/>
    <w:rsid w:val="00A87EDB"/>
    <w:rsid w:val="00A900FC"/>
    <w:rsid w:val="00A90EB7"/>
    <w:rsid w:val="00A948A9"/>
    <w:rsid w:val="00A94928"/>
    <w:rsid w:val="00A957AD"/>
    <w:rsid w:val="00A9608A"/>
    <w:rsid w:val="00A9719B"/>
    <w:rsid w:val="00A97628"/>
    <w:rsid w:val="00AA257E"/>
    <w:rsid w:val="00AA2BA8"/>
    <w:rsid w:val="00AA2F3E"/>
    <w:rsid w:val="00AA5535"/>
    <w:rsid w:val="00AA6537"/>
    <w:rsid w:val="00AB2B94"/>
    <w:rsid w:val="00AB340E"/>
    <w:rsid w:val="00AB360D"/>
    <w:rsid w:val="00AB3A7B"/>
    <w:rsid w:val="00AB6685"/>
    <w:rsid w:val="00AC2330"/>
    <w:rsid w:val="00AD14D6"/>
    <w:rsid w:val="00AD2A46"/>
    <w:rsid w:val="00AD2D9B"/>
    <w:rsid w:val="00AD3514"/>
    <w:rsid w:val="00AD4218"/>
    <w:rsid w:val="00AD5A07"/>
    <w:rsid w:val="00AD6C2A"/>
    <w:rsid w:val="00AE6650"/>
    <w:rsid w:val="00AF1B00"/>
    <w:rsid w:val="00AF43CB"/>
    <w:rsid w:val="00B018CB"/>
    <w:rsid w:val="00B11B1F"/>
    <w:rsid w:val="00B13E5A"/>
    <w:rsid w:val="00B140B8"/>
    <w:rsid w:val="00B22876"/>
    <w:rsid w:val="00B2312F"/>
    <w:rsid w:val="00B3097F"/>
    <w:rsid w:val="00B312BB"/>
    <w:rsid w:val="00B31E71"/>
    <w:rsid w:val="00B321F6"/>
    <w:rsid w:val="00B34260"/>
    <w:rsid w:val="00B35BFE"/>
    <w:rsid w:val="00B40D17"/>
    <w:rsid w:val="00B47603"/>
    <w:rsid w:val="00B47F72"/>
    <w:rsid w:val="00B514DF"/>
    <w:rsid w:val="00B56E46"/>
    <w:rsid w:val="00B60494"/>
    <w:rsid w:val="00B60A4F"/>
    <w:rsid w:val="00B64B02"/>
    <w:rsid w:val="00B74A59"/>
    <w:rsid w:val="00B75B53"/>
    <w:rsid w:val="00B76BD0"/>
    <w:rsid w:val="00B77B26"/>
    <w:rsid w:val="00B87423"/>
    <w:rsid w:val="00B87594"/>
    <w:rsid w:val="00B90891"/>
    <w:rsid w:val="00B90964"/>
    <w:rsid w:val="00B9138B"/>
    <w:rsid w:val="00B93DF5"/>
    <w:rsid w:val="00B95A47"/>
    <w:rsid w:val="00BA064D"/>
    <w:rsid w:val="00BA2181"/>
    <w:rsid w:val="00BA3A50"/>
    <w:rsid w:val="00BA5406"/>
    <w:rsid w:val="00BA5A71"/>
    <w:rsid w:val="00BA748D"/>
    <w:rsid w:val="00BA77F2"/>
    <w:rsid w:val="00BB31DC"/>
    <w:rsid w:val="00BB4370"/>
    <w:rsid w:val="00BB7784"/>
    <w:rsid w:val="00BC59DE"/>
    <w:rsid w:val="00BC72E7"/>
    <w:rsid w:val="00BD1B1E"/>
    <w:rsid w:val="00BD5A9C"/>
    <w:rsid w:val="00BD64AE"/>
    <w:rsid w:val="00BD6650"/>
    <w:rsid w:val="00BF2210"/>
    <w:rsid w:val="00BF50DE"/>
    <w:rsid w:val="00C0239F"/>
    <w:rsid w:val="00C07220"/>
    <w:rsid w:val="00C075E8"/>
    <w:rsid w:val="00C11B28"/>
    <w:rsid w:val="00C235AF"/>
    <w:rsid w:val="00C25703"/>
    <w:rsid w:val="00C258C7"/>
    <w:rsid w:val="00C33E48"/>
    <w:rsid w:val="00C4013D"/>
    <w:rsid w:val="00C40DCF"/>
    <w:rsid w:val="00C42A8A"/>
    <w:rsid w:val="00C503C7"/>
    <w:rsid w:val="00C50420"/>
    <w:rsid w:val="00C51A7B"/>
    <w:rsid w:val="00C530E1"/>
    <w:rsid w:val="00C55220"/>
    <w:rsid w:val="00C56BE5"/>
    <w:rsid w:val="00C57E40"/>
    <w:rsid w:val="00C61325"/>
    <w:rsid w:val="00C61A58"/>
    <w:rsid w:val="00C6443B"/>
    <w:rsid w:val="00C70A81"/>
    <w:rsid w:val="00C725B8"/>
    <w:rsid w:val="00C7419A"/>
    <w:rsid w:val="00C77706"/>
    <w:rsid w:val="00C805F4"/>
    <w:rsid w:val="00C81593"/>
    <w:rsid w:val="00C97476"/>
    <w:rsid w:val="00CA06AC"/>
    <w:rsid w:val="00CA22A6"/>
    <w:rsid w:val="00CA4556"/>
    <w:rsid w:val="00CB12D9"/>
    <w:rsid w:val="00CB6CE8"/>
    <w:rsid w:val="00CC0F1A"/>
    <w:rsid w:val="00CC19FF"/>
    <w:rsid w:val="00CC62AA"/>
    <w:rsid w:val="00CC68C3"/>
    <w:rsid w:val="00CD09C6"/>
    <w:rsid w:val="00CD0DDC"/>
    <w:rsid w:val="00CD1636"/>
    <w:rsid w:val="00CD63A2"/>
    <w:rsid w:val="00CE56F1"/>
    <w:rsid w:val="00CF15FB"/>
    <w:rsid w:val="00CF1FD4"/>
    <w:rsid w:val="00D012B6"/>
    <w:rsid w:val="00D06918"/>
    <w:rsid w:val="00D15492"/>
    <w:rsid w:val="00D212E6"/>
    <w:rsid w:val="00D2241D"/>
    <w:rsid w:val="00D31687"/>
    <w:rsid w:val="00D34739"/>
    <w:rsid w:val="00D34931"/>
    <w:rsid w:val="00D36D90"/>
    <w:rsid w:val="00D373DB"/>
    <w:rsid w:val="00D51964"/>
    <w:rsid w:val="00D52819"/>
    <w:rsid w:val="00D533A1"/>
    <w:rsid w:val="00D57B72"/>
    <w:rsid w:val="00D66CA8"/>
    <w:rsid w:val="00D70C33"/>
    <w:rsid w:val="00D73523"/>
    <w:rsid w:val="00D75129"/>
    <w:rsid w:val="00D75A5F"/>
    <w:rsid w:val="00D84B26"/>
    <w:rsid w:val="00D91D26"/>
    <w:rsid w:val="00D92728"/>
    <w:rsid w:val="00D9404C"/>
    <w:rsid w:val="00D96B97"/>
    <w:rsid w:val="00D97A29"/>
    <w:rsid w:val="00DA03BA"/>
    <w:rsid w:val="00DA2E64"/>
    <w:rsid w:val="00DA60A3"/>
    <w:rsid w:val="00DB1DE4"/>
    <w:rsid w:val="00DB477F"/>
    <w:rsid w:val="00DC08B1"/>
    <w:rsid w:val="00DC2D6F"/>
    <w:rsid w:val="00DD2569"/>
    <w:rsid w:val="00DD4073"/>
    <w:rsid w:val="00DE4611"/>
    <w:rsid w:val="00DE799B"/>
    <w:rsid w:val="00DF3741"/>
    <w:rsid w:val="00DF4699"/>
    <w:rsid w:val="00E10283"/>
    <w:rsid w:val="00E10A0D"/>
    <w:rsid w:val="00E10CB5"/>
    <w:rsid w:val="00E16E8C"/>
    <w:rsid w:val="00E231AB"/>
    <w:rsid w:val="00E243CC"/>
    <w:rsid w:val="00E31148"/>
    <w:rsid w:val="00E31213"/>
    <w:rsid w:val="00E32902"/>
    <w:rsid w:val="00E37687"/>
    <w:rsid w:val="00E3794A"/>
    <w:rsid w:val="00E42250"/>
    <w:rsid w:val="00E42F3D"/>
    <w:rsid w:val="00E43EF7"/>
    <w:rsid w:val="00E456EC"/>
    <w:rsid w:val="00E51588"/>
    <w:rsid w:val="00E51648"/>
    <w:rsid w:val="00E6698C"/>
    <w:rsid w:val="00E8445A"/>
    <w:rsid w:val="00E9043E"/>
    <w:rsid w:val="00E90805"/>
    <w:rsid w:val="00E92410"/>
    <w:rsid w:val="00E946B0"/>
    <w:rsid w:val="00EA2D16"/>
    <w:rsid w:val="00EA6158"/>
    <w:rsid w:val="00EB0110"/>
    <w:rsid w:val="00EB040C"/>
    <w:rsid w:val="00EB0DD4"/>
    <w:rsid w:val="00EB220F"/>
    <w:rsid w:val="00EB23DF"/>
    <w:rsid w:val="00EB2718"/>
    <w:rsid w:val="00EB6648"/>
    <w:rsid w:val="00EC16BE"/>
    <w:rsid w:val="00ED069C"/>
    <w:rsid w:val="00ED1DFD"/>
    <w:rsid w:val="00ED2FFB"/>
    <w:rsid w:val="00ED3D85"/>
    <w:rsid w:val="00ED3DD0"/>
    <w:rsid w:val="00ED3E9F"/>
    <w:rsid w:val="00EE551A"/>
    <w:rsid w:val="00EE6B0B"/>
    <w:rsid w:val="00EF3683"/>
    <w:rsid w:val="00EF6951"/>
    <w:rsid w:val="00F02437"/>
    <w:rsid w:val="00F02907"/>
    <w:rsid w:val="00F03E8D"/>
    <w:rsid w:val="00F1081E"/>
    <w:rsid w:val="00F14565"/>
    <w:rsid w:val="00F24430"/>
    <w:rsid w:val="00F24AF9"/>
    <w:rsid w:val="00F27255"/>
    <w:rsid w:val="00F32C14"/>
    <w:rsid w:val="00F341BB"/>
    <w:rsid w:val="00F3421F"/>
    <w:rsid w:val="00F356A0"/>
    <w:rsid w:val="00F36265"/>
    <w:rsid w:val="00F409EA"/>
    <w:rsid w:val="00F41D56"/>
    <w:rsid w:val="00F43337"/>
    <w:rsid w:val="00F4503F"/>
    <w:rsid w:val="00F45213"/>
    <w:rsid w:val="00F51C20"/>
    <w:rsid w:val="00F54118"/>
    <w:rsid w:val="00F56982"/>
    <w:rsid w:val="00F576D1"/>
    <w:rsid w:val="00F64350"/>
    <w:rsid w:val="00F64387"/>
    <w:rsid w:val="00F64CE4"/>
    <w:rsid w:val="00F6662C"/>
    <w:rsid w:val="00F72B8F"/>
    <w:rsid w:val="00F80611"/>
    <w:rsid w:val="00F843AA"/>
    <w:rsid w:val="00F84C4C"/>
    <w:rsid w:val="00F8607B"/>
    <w:rsid w:val="00F9083D"/>
    <w:rsid w:val="00F97AB3"/>
    <w:rsid w:val="00FA25E8"/>
    <w:rsid w:val="00FA64D8"/>
    <w:rsid w:val="00FB0A0E"/>
    <w:rsid w:val="00FC35C9"/>
    <w:rsid w:val="00FC4B7A"/>
    <w:rsid w:val="00FC54E0"/>
    <w:rsid w:val="00FC7E8C"/>
    <w:rsid w:val="00FD5BA2"/>
    <w:rsid w:val="00FE5CDE"/>
    <w:rsid w:val="00FE6CB6"/>
    <w:rsid w:val="00FF09B8"/>
    <w:rsid w:val="00FF1108"/>
    <w:rsid w:val="00FF36F1"/>
    <w:rsid w:val="00FF4909"/>
    <w:rsid w:val="00FF5741"/>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CD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AB"/>
    <w:pPr>
      <w:widowControl w:val="0"/>
    </w:pPr>
    <w:rPr>
      <w:snapToGrid w:val="0"/>
      <w:kern w:val="28"/>
      <w:sz w:val="22"/>
    </w:rPr>
  </w:style>
  <w:style w:type="paragraph" w:styleId="Heading1">
    <w:name w:val="heading 1"/>
    <w:basedOn w:val="Normal"/>
    <w:next w:val="ParaNum"/>
    <w:qFormat/>
    <w:rsid w:val="004116AB"/>
    <w:pPr>
      <w:keepNext/>
      <w:numPr>
        <w:numId w:val="3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116AB"/>
    <w:pPr>
      <w:keepNext/>
      <w:numPr>
        <w:ilvl w:val="1"/>
        <w:numId w:val="33"/>
      </w:numPr>
      <w:spacing w:after="120"/>
      <w:outlineLvl w:val="1"/>
    </w:pPr>
    <w:rPr>
      <w:b/>
    </w:rPr>
  </w:style>
  <w:style w:type="paragraph" w:styleId="Heading3">
    <w:name w:val="heading 3"/>
    <w:basedOn w:val="Normal"/>
    <w:next w:val="ParaNum"/>
    <w:qFormat/>
    <w:rsid w:val="004116AB"/>
    <w:pPr>
      <w:keepNext/>
      <w:numPr>
        <w:ilvl w:val="2"/>
        <w:numId w:val="33"/>
      </w:numPr>
      <w:tabs>
        <w:tab w:val="left" w:pos="2160"/>
      </w:tabs>
      <w:spacing w:after="120"/>
      <w:outlineLvl w:val="2"/>
    </w:pPr>
    <w:rPr>
      <w:b/>
    </w:rPr>
  </w:style>
  <w:style w:type="paragraph" w:styleId="Heading4">
    <w:name w:val="heading 4"/>
    <w:basedOn w:val="Normal"/>
    <w:next w:val="ParaNum"/>
    <w:qFormat/>
    <w:rsid w:val="004116AB"/>
    <w:pPr>
      <w:keepNext/>
      <w:numPr>
        <w:ilvl w:val="3"/>
        <w:numId w:val="33"/>
      </w:numPr>
      <w:tabs>
        <w:tab w:val="left" w:pos="2880"/>
      </w:tabs>
      <w:spacing w:after="120"/>
      <w:outlineLvl w:val="3"/>
    </w:pPr>
    <w:rPr>
      <w:b/>
    </w:rPr>
  </w:style>
  <w:style w:type="paragraph" w:styleId="Heading5">
    <w:name w:val="heading 5"/>
    <w:basedOn w:val="Normal"/>
    <w:next w:val="ParaNum"/>
    <w:qFormat/>
    <w:rsid w:val="004116AB"/>
    <w:pPr>
      <w:keepNext/>
      <w:numPr>
        <w:ilvl w:val="4"/>
        <w:numId w:val="33"/>
      </w:numPr>
      <w:tabs>
        <w:tab w:val="left" w:pos="3600"/>
      </w:tabs>
      <w:suppressAutoHyphens/>
      <w:spacing w:after="120"/>
      <w:outlineLvl w:val="4"/>
    </w:pPr>
    <w:rPr>
      <w:b/>
    </w:rPr>
  </w:style>
  <w:style w:type="paragraph" w:styleId="Heading6">
    <w:name w:val="heading 6"/>
    <w:basedOn w:val="Normal"/>
    <w:next w:val="ParaNum"/>
    <w:qFormat/>
    <w:rsid w:val="004116AB"/>
    <w:pPr>
      <w:numPr>
        <w:ilvl w:val="5"/>
        <w:numId w:val="33"/>
      </w:numPr>
      <w:tabs>
        <w:tab w:val="left" w:pos="4320"/>
      </w:tabs>
      <w:spacing w:after="120"/>
      <w:outlineLvl w:val="5"/>
    </w:pPr>
    <w:rPr>
      <w:b/>
    </w:rPr>
  </w:style>
  <w:style w:type="paragraph" w:styleId="Heading7">
    <w:name w:val="heading 7"/>
    <w:basedOn w:val="Normal"/>
    <w:next w:val="ParaNum"/>
    <w:qFormat/>
    <w:rsid w:val="004116AB"/>
    <w:pPr>
      <w:numPr>
        <w:ilvl w:val="6"/>
        <w:numId w:val="33"/>
      </w:numPr>
      <w:tabs>
        <w:tab w:val="left" w:pos="5040"/>
      </w:tabs>
      <w:spacing w:after="120"/>
      <w:ind w:left="5040" w:hanging="720"/>
      <w:outlineLvl w:val="6"/>
    </w:pPr>
    <w:rPr>
      <w:b/>
    </w:rPr>
  </w:style>
  <w:style w:type="paragraph" w:styleId="Heading8">
    <w:name w:val="heading 8"/>
    <w:basedOn w:val="Normal"/>
    <w:next w:val="ParaNum"/>
    <w:qFormat/>
    <w:rsid w:val="004116AB"/>
    <w:pPr>
      <w:numPr>
        <w:ilvl w:val="7"/>
        <w:numId w:val="33"/>
      </w:numPr>
      <w:tabs>
        <w:tab w:val="clear" w:pos="5400"/>
        <w:tab w:val="left" w:pos="5760"/>
      </w:tabs>
      <w:spacing w:after="120"/>
      <w:ind w:left="5760" w:hanging="720"/>
      <w:outlineLvl w:val="7"/>
    </w:pPr>
    <w:rPr>
      <w:b/>
    </w:rPr>
  </w:style>
  <w:style w:type="paragraph" w:styleId="Heading9">
    <w:name w:val="heading 9"/>
    <w:basedOn w:val="Normal"/>
    <w:next w:val="ParaNum"/>
    <w:qFormat/>
    <w:rsid w:val="004116AB"/>
    <w:pPr>
      <w:numPr>
        <w:ilvl w:val="8"/>
        <w:numId w:val="3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16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16A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4116AB"/>
    <w:pPr>
      <w:numPr>
        <w:numId w:val="7"/>
      </w:numPr>
      <w:tabs>
        <w:tab w:val="clear" w:pos="1080"/>
        <w:tab w:val="num" w:pos="1440"/>
      </w:tabs>
      <w:spacing w:after="120"/>
    </w:pPr>
  </w:style>
  <w:style w:type="paragraph" w:styleId="FootnoteText">
    <w:name w:val="footnote text"/>
    <w:aliases w:val="Footnote Text Char,ALTS FOOTNOTE Char,fn Char,Footnote Text Char2 Char,Footnote Text Char1 Char Char,Footnote Text Char Char2 Char Char,Footnote Text Char3 Char Char2 Char Char,Footnote Text Char2 Char Char Char2 Char Char,ALTS FOOTNOTE,fn"/>
    <w:link w:val="FootnoteTextChar1"/>
    <w:rsid w:val="004116AB"/>
    <w:pPr>
      <w:spacing w:after="120"/>
    </w:pPr>
  </w:style>
  <w:style w:type="paragraph" w:customStyle="1" w:styleId="Bullet">
    <w:name w:val="Bullet"/>
    <w:basedOn w:val="Normal"/>
    <w:rsid w:val="004116AB"/>
    <w:pPr>
      <w:tabs>
        <w:tab w:val="left" w:pos="2160"/>
      </w:tabs>
      <w:spacing w:after="220"/>
      <w:ind w:left="2160" w:hanging="720"/>
    </w:pPr>
  </w:style>
  <w:style w:type="paragraph" w:styleId="BlockText">
    <w:name w:val="Block Text"/>
    <w:basedOn w:val="Normal"/>
    <w:rsid w:val="004116AB"/>
    <w:pPr>
      <w:spacing w:after="240"/>
      <w:ind w:left="1440" w:right="1440"/>
    </w:pPr>
  </w:style>
  <w:style w:type="paragraph" w:customStyle="1" w:styleId="TableFormat">
    <w:name w:val="TableFormat"/>
    <w:basedOn w:val="Bullet"/>
    <w:rsid w:val="004116AB"/>
    <w:pPr>
      <w:tabs>
        <w:tab w:val="clear" w:pos="2160"/>
        <w:tab w:val="left" w:pos="5040"/>
      </w:tabs>
      <w:ind w:left="5040" w:hanging="3600"/>
    </w:pPr>
  </w:style>
  <w:style w:type="character" w:styleId="FootnoteReference">
    <w:name w:val="footnote reference"/>
    <w:rsid w:val="004116AB"/>
    <w:rPr>
      <w:rFonts w:ascii="Times New Roman" w:hAnsi="Times New Roman"/>
      <w:dstrike w:val="0"/>
      <w:color w:val="auto"/>
      <w:sz w:val="20"/>
      <w:vertAlign w:val="superscript"/>
    </w:rPr>
  </w:style>
  <w:style w:type="paragraph" w:styleId="Header">
    <w:name w:val="header"/>
    <w:basedOn w:val="Normal"/>
    <w:link w:val="HeaderChar"/>
    <w:autoRedefine/>
    <w:rsid w:val="004116AB"/>
    <w:pPr>
      <w:tabs>
        <w:tab w:val="center" w:pos="4680"/>
        <w:tab w:val="right" w:pos="9360"/>
      </w:tabs>
    </w:pPr>
    <w:rPr>
      <w:b/>
    </w:rPr>
  </w:style>
  <w:style w:type="paragraph" w:styleId="Footer">
    <w:name w:val="footer"/>
    <w:basedOn w:val="Normal"/>
    <w:link w:val="FooterChar"/>
    <w:rsid w:val="004116AB"/>
    <w:pPr>
      <w:tabs>
        <w:tab w:val="center" w:pos="4320"/>
        <w:tab w:val="right" w:pos="8640"/>
      </w:tabs>
    </w:pPr>
  </w:style>
  <w:style w:type="paragraph" w:styleId="TOC2">
    <w:name w:val="toc 2"/>
    <w:basedOn w:val="Normal"/>
    <w:next w:val="Normal"/>
    <w:rsid w:val="004116A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rsid w:val="004116AB"/>
    <w:pPr>
      <w:tabs>
        <w:tab w:val="left" w:pos="360"/>
        <w:tab w:val="right" w:leader="dot" w:pos="9360"/>
      </w:tabs>
      <w:suppressAutoHyphens/>
      <w:ind w:left="360" w:right="720" w:hanging="360"/>
    </w:pPr>
    <w:rPr>
      <w:caps/>
      <w:noProof/>
    </w:rPr>
  </w:style>
  <w:style w:type="paragraph" w:styleId="TOC3">
    <w:name w:val="toc 3"/>
    <w:basedOn w:val="Normal"/>
    <w:next w:val="Normal"/>
    <w:rsid w:val="004116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16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16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16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16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16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16AB"/>
    <w:pPr>
      <w:tabs>
        <w:tab w:val="left" w:pos="3240"/>
        <w:tab w:val="right" w:leader="dot" w:pos="9360"/>
      </w:tabs>
      <w:suppressAutoHyphens/>
      <w:ind w:left="3240" w:hanging="360"/>
    </w:pPr>
    <w:rPr>
      <w:noProof/>
    </w:rPr>
  </w:style>
  <w:style w:type="character" w:styleId="PageNumber">
    <w:name w:val="page number"/>
    <w:basedOn w:val="DefaultParagraphFont"/>
    <w:rsid w:val="004116AB"/>
  </w:style>
  <w:style w:type="paragraph" w:styleId="Title">
    <w:name w:val="Title"/>
    <w:basedOn w:val="Normal"/>
    <w:qFormat/>
    <w:pPr>
      <w:jc w:val="center"/>
    </w:pPr>
    <w:rPr>
      <w:b/>
    </w:rPr>
  </w:style>
  <w:style w:type="character" w:styleId="Hyperlink">
    <w:name w:val="Hyperlink"/>
    <w:rsid w:val="004116AB"/>
    <w:rPr>
      <w:color w:val="0000FF"/>
      <w:u w:val="single"/>
    </w:rPr>
  </w:style>
  <w:style w:type="paragraph" w:customStyle="1" w:styleId="Normal1">
    <w:name w:val="Normal_1"/>
    <w:qFormat/>
    <w:rsid w:val="00D97A29"/>
    <w:rPr>
      <w:sz w:val="24"/>
      <w:szCs w:val="24"/>
    </w:rPr>
  </w:style>
  <w:style w:type="paragraph" w:styleId="BalloonText">
    <w:name w:val="Balloon Text"/>
    <w:basedOn w:val="Normal"/>
    <w:link w:val="BalloonTextChar"/>
    <w:uiPriority w:val="99"/>
    <w:semiHidden/>
    <w:unhideWhenUsed/>
    <w:rsid w:val="00B11B1F"/>
    <w:rPr>
      <w:rFonts w:ascii="Segoe UI" w:hAnsi="Segoe UI" w:cs="Segoe UI"/>
      <w:sz w:val="18"/>
      <w:szCs w:val="18"/>
    </w:rPr>
  </w:style>
  <w:style w:type="character" w:customStyle="1" w:styleId="BalloonTextChar">
    <w:name w:val="Balloon Text Char"/>
    <w:link w:val="BalloonText"/>
    <w:uiPriority w:val="99"/>
    <w:semiHidden/>
    <w:rsid w:val="00B11B1F"/>
    <w:rPr>
      <w:rFonts w:ascii="Segoe UI" w:hAnsi="Segoe UI" w:cs="Segoe UI"/>
      <w:sz w:val="18"/>
      <w:szCs w:val="18"/>
    </w:rPr>
  </w:style>
  <w:style w:type="paragraph" w:styleId="ListParagraph">
    <w:name w:val="List Paragraph"/>
    <w:basedOn w:val="Normal"/>
    <w:uiPriority w:val="34"/>
    <w:qFormat/>
    <w:rsid w:val="003170BF"/>
    <w:pPr>
      <w:ind w:left="720"/>
    </w:pPr>
  </w:style>
  <w:style w:type="character" w:styleId="CommentReference">
    <w:name w:val="annotation reference"/>
    <w:basedOn w:val="DefaultParagraphFont"/>
    <w:uiPriority w:val="99"/>
    <w:semiHidden/>
    <w:unhideWhenUsed/>
    <w:rsid w:val="0036333D"/>
    <w:rPr>
      <w:sz w:val="16"/>
      <w:szCs w:val="16"/>
    </w:rPr>
  </w:style>
  <w:style w:type="paragraph" w:styleId="CommentText">
    <w:name w:val="annotation text"/>
    <w:basedOn w:val="Normal"/>
    <w:link w:val="CommentTextChar"/>
    <w:uiPriority w:val="99"/>
    <w:semiHidden/>
    <w:unhideWhenUsed/>
    <w:rsid w:val="0036333D"/>
    <w:rPr>
      <w:sz w:val="20"/>
    </w:rPr>
  </w:style>
  <w:style w:type="character" w:customStyle="1" w:styleId="CommentTextChar">
    <w:name w:val="Comment Text Char"/>
    <w:basedOn w:val="DefaultParagraphFont"/>
    <w:link w:val="CommentText"/>
    <w:uiPriority w:val="99"/>
    <w:semiHidden/>
    <w:rsid w:val="0036333D"/>
  </w:style>
  <w:style w:type="paragraph" w:styleId="CommentSubject">
    <w:name w:val="annotation subject"/>
    <w:basedOn w:val="CommentText"/>
    <w:next w:val="CommentText"/>
    <w:link w:val="CommentSubjectChar"/>
    <w:uiPriority w:val="99"/>
    <w:semiHidden/>
    <w:unhideWhenUsed/>
    <w:rsid w:val="0036333D"/>
    <w:rPr>
      <w:b/>
      <w:bCs/>
    </w:rPr>
  </w:style>
  <w:style w:type="character" w:customStyle="1" w:styleId="CommentSubjectChar">
    <w:name w:val="Comment Subject Char"/>
    <w:basedOn w:val="CommentTextChar"/>
    <w:link w:val="CommentSubject"/>
    <w:uiPriority w:val="99"/>
    <w:semiHidden/>
    <w:rsid w:val="0036333D"/>
    <w:rPr>
      <w:b/>
      <w:bCs/>
    </w:rPr>
  </w:style>
  <w:style w:type="paragraph" w:styleId="Revision">
    <w:name w:val="Revision"/>
    <w:hidden/>
    <w:uiPriority w:val="99"/>
    <w:semiHidden/>
    <w:rsid w:val="006045FF"/>
    <w:rPr>
      <w:sz w:val="22"/>
    </w:rPr>
  </w:style>
  <w:style w:type="paragraph" w:customStyle="1" w:styleId="Style1">
    <w:name w:val="Style1"/>
    <w:basedOn w:val="ParaNum"/>
    <w:link w:val="Style1Char"/>
    <w:qFormat/>
    <w:rsid w:val="00DB477F"/>
    <w:pPr>
      <w:numPr>
        <w:numId w:val="0"/>
      </w:numPr>
      <w:spacing w:after="0"/>
      <w:ind w:left="720"/>
    </w:pPr>
  </w:style>
  <w:style w:type="character" w:customStyle="1" w:styleId="ParaNumChar">
    <w:name w:val="ParaNum Char"/>
    <w:basedOn w:val="DefaultParagraphFont"/>
    <w:link w:val="ParaNum"/>
    <w:rsid w:val="00DB477F"/>
    <w:rPr>
      <w:snapToGrid w:val="0"/>
      <w:kern w:val="28"/>
      <w:sz w:val="22"/>
    </w:rPr>
  </w:style>
  <w:style w:type="character" w:customStyle="1" w:styleId="Style1Char">
    <w:name w:val="Style1 Char"/>
    <w:basedOn w:val="ParaNumChar"/>
    <w:link w:val="Style1"/>
    <w:rsid w:val="00DB477F"/>
    <w:rPr>
      <w:snapToGrid w:val="0"/>
      <w:kern w:val="28"/>
      <w:sz w:val="22"/>
    </w:rPr>
  </w:style>
  <w:style w:type="paragraph" w:styleId="NoSpacing">
    <w:name w:val="No Spacing"/>
    <w:uiPriority w:val="1"/>
    <w:qFormat/>
    <w:rsid w:val="00043BFA"/>
    <w:rPr>
      <w:sz w:val="22"/>
    </w:rPr>
  </w:style>
  <w:style w:type="character" w:customStyle="1" w:styleId="Heading2Char">
    <w:name w:val="Heading 2 Char"/>
    <w:link w:val="Heading2"/>
    <w:rsid w:val="00482A48"/>
    <w:rPr>
      <w:b/>
      <w:snapToGrid w:val="0"/>
      <w:kern w:val="28"/>
      <w:sz w:val="22"/>
    </w:rPr>
  </w:style>
  <w:style w:type="character" w:customStyle="1" w:styleId="HeaderChar">
    <w:name w:val="Header Char"/>
    <w:basedOn w:val="DefaultParagraphFont"/>
    <w:link w:val="Header"/>
    <w:rsid w:val="00685E3A"/>
    <w:rPr>
      <w:b/>
      <w:snapToGrid w:val="0"/>
      <w:kern w:val="28"/>
      <w:sz w:val="22"/>
    </w:rPr>
  </w:style>
  <w:style w:type="character" w:customStyle="1" w:styleId="FooterChar">
    <w:name w:val="Footer Char"/>
    <w:basedOn w:val="DefaultParagraphFont"/>
    <w:link w:val="Footer"/>
    <w:rsid w:val="00685E3A"/>
    <w:rPr>
      <w:snapToGrid w:val="0"/>
      <w:kern w:val="28"/>
      <w:sz w:val="22"/>
    </w:rPr>
  </w:style>
  <w:style w:type="paragraph" w:styleId="TOCHeading">
    <w:name w:val="TOC Heading"/>
    <w:basedOn w:val="Heading1"/>
    <w:next w:val="Normal"/>
    <w:uiPriority w:val="39"/>
    <w:unhideWhenUsed/>
    <w:qFormat/>
    <w:rsid w:val="00667541"/>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EndnoteText">
    <w:name w:val="endnote text"/>
    <w:basedOn w:val="Normal"/>
    <w:link w:val="EndnoteTextChar"/>
    <w:semiHidden/>
    <w:rsid w:val="004116AB"/>
    <w:rPr>
      <w:sz w:val="20"/>
    </w:rPr>
  </w:style>
  <w:style w:type="character" w:customStyle="1" w:styleId="EndnoteTextChar">
    <w:name w:val="Endnote Text Char"/>
    <w:basedOn w:val="DefaultParagraphFont"/>
    <w:link w:val="EndnoteText"/>
    <w:semiHidden/>
    <w:rsid w:val="00667541"/>
    <w:rPr>
      <w:snapToGrid w:val="0"/>
      <w:kern w:val="28"/>
    </w:rPr>
  </w:style>
  <w:style w:type="character" w:customStyle="1" w:styleId="footnotetex">
    <w:name w:val="footnote tex"/>
    <w:basedOn w:val="DefaultParagraphFont"/>
    <w:rsid w:val="00667541"/>
  </w:style>
  <w:style w:type="character" w:customStyle="1" w:styleId="FootnoteTextChar1">
    <w:name w:val="Footnote Text Char1"/>
    <w:aliases w:val="Footnote Text Char Char,ALTS FOOTNOTE Char Char,fn Char Char,Footnote Text Char2 Char Char,Footnote Text Char1 Char Char Char,Footnote Text Char Char2 Char Char Char,Footnote Text Char3 Char Char2 Char Char Char,ALTS FOOTNOTE Char1"/>
    <w:link w:val="FootnoteText"/>
    <w:rsid w:val="00181EB8"/>
  </w:style>
  <w:style w:type="paragraph" w:styleId="NormalWeb">
    <w:name w:val="Normal (Web)"/>
    <w:basedOn w:val="Normal"/>
    <w:rsid w:val="00341790"/>
    <w:pPr>
      <w:spacing w:before="100" w:beforeAutospacing="1" w:after="100" w:afterAutospacing="1"/>
    </w:pPr>
    <w:rPr>
      <w:sz w:val="24"/>
      <w:szCs w:val="24"/>
    </w:rPr>
  </w:style>
  <w:style w:type="table" w:styleId="TableGrid">
    <w:name w:val="Table Grid"/>
    <w:basedOn w:val="TableNormal"/>
    <w:uiPriority w:val="39"/>
    <w:rsid w:val="007D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4116AB"/>
    <w:rPr>
      <w:vertAlign w:val="superscript"/>
    </w:rPr>
  </w:style>
  <w:style w:type="paragraph" w:styleId="TOAHeading">
    <w:name w:val="toa heading"/>
    <w:basedOn w:val="Normal"/>
    <w:next w:val="Normal"/>
    <w:semiHidden/>
    <w:rsid w:val="004116AB"/>
    <w:pPr>
      <w:tabs>
        <w:tab w:val="right" w:pos="9360"/>
      </w:tabs>
      <w:suppressAutoHyphens/>
    </w:pPr>
  </w:style>
  <w:style w:type="character" w:customStyle="1" w:styleId="EquationCaption">
    <w:name w:val="_Equation Caption"/>
    <w:rsid w:val="004116AB"/>
  </w:style>
  <w:style w:type="paragraph" w:customStyle="1" w:styleId="Paratitle">
    <w:name w:val="Para title"/>
    <w:basedOn w:val="Normal"/>
    <w:rsid w:val="004116AB"/>
    <w:pPr>
      <w:tabs>
        <w:tab w:val="center" w:pos="9270"/>
      </w:tabs>
      <w:spacing w:after="240"/>
    </w:pPr>
    <w:rPr>
      <w:spacing w:val="-2"/>
    </w:rPr>
  </w:style>
  <w:style w:type="paragraph" w:customStyle="1" w:styleId="TOCTitle">
    <w:name w:val="TOC Title"/>
    <w:basedOn w:val="Normal"/>
    <w:rsid w:val="004116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16A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AB"/>
    <w:pPr>
      <w:widowControl w:val="0"/>
    </w:pPr>
    <w:rPr>
      <w:snapToGrid w:val="0"/>
      <w:kern w:val="28"/>
      <w:sz w:val="22"/>
    </w:rPr>
  </w:style>
  <w:style w:type="paragraph" w:styleId="Heading1">
    <w:name w:val="heading 1"/>
    <w:basedOn w:val="Normal"/>
    <w:next w:val="ParaNum"/>
    <w:qFormat/>
    <w:rsid w:val="004116AB"/>
    <w:pPr>
      <w:keepNext/>
      <w:numPr>
        <w:numId w:val="3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116AB"/>
    <w:pPr>
      <w:keepNext/>
      <w:numPr>
        <w:ilvl w:val="1"/>
        <w:numId w:val="33"/>
      </w:numPr>
      <w:spacing w:after="120"/>
      <w:outlineLvl w:val="1"/>
    </w:pPr>
    <w:rPr>
      <w:b/>
    </w:rPr>
  </w:style>
  <w:style w:type="paragraph" w:styleId="Heading3">
    <w:name w:val="heading 3"/>
    <w:basedOn w:val="Normal"/>
    <w:next w:val="ParaNum"/>
    <w:qFormat/>
    <w:rsid w:val="004116AB"/>
    <w:pPr>
      <w:keepNext/>
      <w:numPr>
        <w:ilvl w:val="2"/>
        <w:numId w:val="33"/>
      </w:numPr>
      <w:tabs>
        <w:tab w:val="left" w:pos="2160"/>
      </w:tabs>
      <w:spacing w:after="120"/>
      <w:outlineLvl w:val="2"/>
    </w:pPr>
    <w:rPr>
      <w:b/>
    </w:rPr>
  </w:style>
  <w:style w:type="paragraph" w:styleId="Heading4">
    <w:name w:val="heading 4"/>
    <w:basedOn w:val="Normal"/>
    <w:next w:val="ParaNum"/>
    <w:qFormat/>
    <w:rsid w:val="004116AB"/>
    <w:pPr>
      <w:keepNext/>
      <w:numPr>
        <w:ilvl w:val="3"/>
        <w:numId w:val="33"/>
      </w:numPr>
      <w:tabs>
        <w:tab w:val="left" w:pos="2880"/>
      </w:tabs>
      <w:spacing w:after="120"/>
      <w:outlineLvl w:val="3"/>
    </w:pPr>
    <w:rPr>
      <w:b/>
    </w:rPr>
  </w:style>
  <w:style w:type="paragraph" w:styleId="Heading5">
    <w:name w:val="heading 5"/>
    <w:basedOn w:val="Normal"/>
    <w:next w:val="ParaNum"/>
    <w:qFormat/>
    <w:rsid w:val="004116AB"/>
    <w:pPr>
      <w:keepNext/>
      <w:numPr>
        <w:ilvl w:val="4"/>
        <w:numId w:val="33"/>
      </w:numPr>
      <w:tabs>
        <w:tab w:val="left" w:pos="3600"/>
      </w:tabs>
      <w:suppressAutoHyphens/>
      <w:spacing w:after="120"/>
      <w:outlineLvl w:val="4"/>
    </w:pPr>
    <w:rPr>
      <w:b/>
    </w:rPr>
  </w:style>
  <w:style w:type="paragraph" w:styleId="Heading6">
    <w:name w:val="heading 6"/>
    <w:basedOn w:val="Normal"/>
    <w:next w:val="ParaNum"/>
    <w:qFormat/>
    <w:rsid w:val="004116AB"/>
    <w:pPr>
      <w:numPr>
        <w:ilvl w:val="5"/>
        <w:numId w:val="33"/>
      </w:numPr>
      <w:tabs>
        <w:tab w:val="left" w:pos="4320"/>
      </w:tabs>
      <w:spacing w:after="120"/>
      <w:outlineLvl w:val="5"/>
    </w:pPr>
    <w:rPr>
      <w:b/>
    </w:rPr>
  </w:style>
  <w:style w:type="paragraph" w:styleId="Heading7">
    <w:name w:val="heading 7"/>
    <w:basedOn w:val="Normal"/>
    <w:next w:val="ParaNum"/>
    <w:qFormat/>
    <w:rsid w:val="004116AB"/>
    <w:pPr>
      <w:numPr>
        <w:ilvl w:val="6"/>
        <w:numId w:val="33"/>
      </w:numPr>
      <w:tabs>
        <w:tab w:val="left" w:pos="5040"/>
      </w:tabs>
      <w:spacing w:after="120"/>
      <w:ind w:left="5040" w:hanging="720"/>
      <w:outlineLvl w:val="6"/>
    </w:pPr>
    <w:rPr>
      <w:b/>
    </w:rPr>
  </w:style>
  <w:style w:type="paragraph" w:styleId="Heading8">
    <w:name w:val="heading 8"/>
    <w:basedOn w:val="Normal"/>
    <w:next w:val="ParaNum"/>
    <w:qFormat/>
    <w:rsid w:val="004116AB"/>
    <w:pPr>
      <w:numPr>
        <w:ilvl w:val="7"/>
        <w:numId w:val="33"/>
      </w:numPr>
      <w:tabs>
        <w:tab w:val="clear" w:pos="5400"/>
        <w:tab w:val="left" w:pos="5760"/>
      </w:tabs>
      <w:spacing w:after="120"/>
      <w:ind w:left="5760" w:hanging="720"/>
      <w:outlineLvl w:val="7"/>
    </w:pPr>
    <w:rPr>
      <w:b/>
    </w:rPr>
  </w:style>
  <w:style w:type="paragraph" w:styleId="Heading9">
    <w:name w:val="heading 9"/>
    <w:basedOn w:val="Normal"/>
    <w:next w:val="ParaNum"/>
    <w:qFormat/>
    <w:rsid w:val="004116AB"/>
    <w:pPr>
      <w:numPr>
        <w:ilvl w:val="8"/>
        <w:numId w:val="3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16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16A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4116AB"/>
    <w:pPr>
      <w:numPr>
        <w:numId w:val="7"/>
      </w:numPr>
      <w:tabs>
        <w:tab w:val="clear" w:pos="1080"/>
        <w:tab w:val="num" w:pos="1440"/>
      </w:tabs>
      <w:spacing w:after="120"/>
    </w:pPr>
  </w:style>
  <w:style w:type="paragraph" w:styleId="FootnoteText">
    <w:name w:val="footnote text"/>
    <w:aliases w:val="Footnote Text Char,ALTS FOOTNOTE Char,fn Char,Footnote Text Char2 Char,Footnote Text Char1 Char Char,Footnote Text Char Char2 Char Char,Footnote Text Char3 Char Char2 Char Char,Footnote Text Char2 Char Char Char2 Char Char,ALTS FOOTNOTE,fn"/>
    <w:link w:val="FootnoteTextChar1"/>
    <w:rsid w:val="004116AB"/>
    <w:pPr>
      <w:spacing w:after="120"/>
    </w:pPr>
  </w:style>
  <w:style w:type="paragraph" w:customStyle="1" w:styleId="Bullet">
    <w:name w:val="Bullet"/>
    <w:basedOn w:val="Normal"/>
    <w:rsid w:val="004116AB"/>
    <w:pPr>
      <w:tabs>
        <w:tab w:val="left" w:pos="2160"/>
      </w:tabs>
      <w:spacing w:after="220"/>
      <w:ind w:left="2160" w:hanging="720"/>
    </w:pPr>
  </w:style>
  <w:style w:type="paragraph" w:styleId="BlockText">
    <w:name w:val="Block Text"/>
    <w:basedOn w:val="Normal"/>
    <w:rsid w:val="004116AB"/>
    <w:pPr>
      <w:spacing w:after="240"/>
      <w:ind w:left="1440" w:right="1440"/>
    </w:pPr>
  </w:style>
  <w:style w:type="paragraph" w:customStyle="1" w:styleId="TableFormat">
    <w:name w:val="TableFormat"/>
    <w:basedOn w:val="Bullet"/>
    <w:rsid w:val="004116AB"/>
    <w:pPr>
      <w:tabs>
        <w:tab w:val="clear" w:pos="2160"/>
        <w:tab w:val="left" w:pos="5040"/>
      </w:tabs>
      <w:ind w:left="5040" w:hanging="3600"/>
    </w:pPr>
  </w:style>
  <w:style w:type="character" w:styleId="FootnoteReference">
    <w:name w:val="footnote reference"/>
    <w:rsid w:val="004116AB"/>
    <w:rPr>
      <w:rFonts w:ascii="Times New Roman" w:hAnsi="Times New Roman"/>
      <w:dstrike w:val="0"/>
      <w:color w:val="auto"/>
      <w:sz w:val="20"/>
      <w:vertAlign w:val="superscript"/>
    </w:rPr>
  </w:style>
  <w:style w:type="paragraph" w:styleId="Header">
    <w:name w:val="header"/>
    <w:basedOn w:val="Normal"/>
    <w:link w:val="HeaderChar"/>
    <w:autoRedefine/>
    <w:rsid w:val="004116AB"/>
    <w:pPr>
      <w:tabs>
        <w:tab w:val="center" w:pos="4680"/>
        <w:tab w:val="right" w:pos="9360"/>
      </w:tabs>
    </w:pPr>
    <w:rPr>
      <w:b/>
    </w:rPr>
  </w:style>
  <w:style w:type="paragraph" w:styleId="Footer">
    <w:name w:val="footer"/>
    <w:basedOn w:val="Normal"/>
    <w:link w:val="FooterChar"/>
    <w:rsid w:val="004116AB"/>
    <w:pPr>
      <w:tabs>
        <w:tab w:val="center" w:pos="4320"/>
        <w:tab w:val="right" w:pos="8640"/>
      </w:tabs>
    </w:pPr>
  </w:style>
  <w:style w:type="paragraph" w:styleId="TOC2">
    <w:name w:val="toc 2"/>
    <w:basedOn w:val="Normal"/>
    <w:next w:val="Normal"/>
    <w:rsid w:val="004116A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rsid w:val="004116AB"/>
    <w:pPr>
      <w:tabs>
        <w:tab w:val="left" w:pos="360"/>
        <w:tab w:val="right" w:leader="dot" w:pos="9360"/>
      </w:tabs>
      <w:suppressAutoHyphens/>
      <w:ind w:left="360" w:right="720" w:hanging="360"/>
    </w:pPr>
    <w:rPr>
      <w:caps/>
      <w:noProof/>
    </w:rPr>
  </w:style>
  <w:style w:type="paragraph" w:styleId="TOC3">
    <w:name w:val="toc 3"/>
    <w:basedOn w:val="Normal"/>
    <w:next w:val="Normal"/>
    <w:rsid w:val="004116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16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16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16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16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16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16AB"/>
    <w:pPr>
      <w:tabs>
        <w:tab w:val="left" w:pos="3240"/>
        <w:tab w:val="right" w:leader="dot" w:pos="9360"/>
      </w:tabs>
      <w:suppressAutoHyphens/>
      <w:ind w:left="3240" w:hanging="360"/>
    </w:pPr>
    <w:rPr>
      <w:noProof/>
    </w:rPr>
  </w:style>
  <w:style w:type="character" w:styleId="PageNumber">
    <w:name w:val="page number"/>
    <w:basedOn w:val="DefaultParagraphFont"/>
    <w:rsid w:val="004116AB"/>
  </w:style>
  <w:style w:type="paragraph" w:styleId="Title">
    <w:name w:val="Title"/>
    <w:basedOn w:val="Normal"/>
    <w:qFormat/>
    <w:pPr>
      <w:jc w:val="center"/>
    </w:pPr>
    <w:rPr>
      <w:b/>
    </w:rPr>
  </w:style>
  <w:style w:type="character" w:styleId="Hyperlink">
    <w:name w:val="Hyperlink"/>
    <w:rsid w:val="004116AB"/>
    <w:rPr>
      <w:color w:val="0000FF"/>
      <w:u w:val="single"/>
    </w:rPr>
  </w:style>
  <w:style w:type="paragraph" w:customStyle="1" w:styleId="Normal1">
    <w:name w:val="Normal_1"/>
    <w:qFormat/>
    <w:rsid w:val="00D97A29"/>
    <w:rPr>
      <w:sz w:val="24"/>
      <w:szCs w:val="24"/>
    </w:rPr>
  </w:style>
  <w:style w:type="paragraph" w:styleId="BalloonText">
    <w:name w:val="Balloon Text"/>
    <w:basedOn w:val="Normal"/>
    <w:link w:val="BalloonTextChar"/>
    <w:uiPriority w:val="99"/>
    <w:semiHidden/>
    <w:unhideWhenUsed/>
    <w:rsid w:val="00B11B1F"/>
    <w:rPr>
      <w:rFonts w:ascii="Segoe UI" w:hAnsi="Segoe UI" w:cs="Segoe UI"/>
      <w:sz w:val="18"/>
      <w:szCs w:val="18"/>
    </w:rPr>
  </w:style>
  <w:style w:type="character" w:customStyle="1" w:styleId="BalloonTextChar">
    <w:name w:val="Balloon Text Char"/>
    <w:link w:val="BalloonText"/>
    <w:uiPriority w:val="99"/>
    <w:semiHidden/>
    <w:rsid w:val="00B11B1F"/>
    <w:rPr>
      <w:rFonts w:ascii="Segoe UI" w:hAnsi="Segoe UI" w:cs="Segoe UI"/>
      <w:sz w:val="18"/>
      <w:szCs w:val="18"/>
    </w:rPr>
  </w:style>
  <w:style w:type="paragraph" w:styleId="ListParagraph">
    <w:name w:val="List Paragraph"/>
    <w:basedOn w:val="Normal"/>
    <w:uiPriority w:val="34"/>
    <w:qFormat/>
    <w:rsid w:val="003170BF"/>
    <w:pPr>
      <w:ind w:left="720"/>
    </w:pPr>
  </w:style>
  <w:style w:type="character" w:styleId="CommentReference">
    <w:name w:val="annotation reference"/>
    <w:basedOn w:val="DefaultParagraphFont"/>
    <w:uiPriority w:val="99"/>
    <w:semiHidden/>
    <w:unhideWhenUsed/>
    <w:rsid w:val="0036333D"/>
    <w:rPr>
      <w:sz w:val="16"/>
      <w:szCs w:val="16"/>
    </w:rPr>
  </w:style>
  <w:style w:type="paragraph" w:styleId="CommentText">
    <w:name w:val="annotation text"/>
    <w:basedOn w:val="Normal"/>
    <w:link w:val="CommentTextChar"/>
    <w:uiPriority w:val="99"/>
    <w:semiHidden/>
    <w:unhideWhenUsed/>
    <w:rsid w:val="0036333D"/>
    <w:rPr>
      <w:sz w:val="20"/>
    </w:rPr>
  </w:style>
  <w:style w:type="character" w:customStyle="1" w:styleId="CommentTextChar">
    <w:name w:val="Comment Text Char"/>
    <w:basedOn w:val="DefaultParagraphFont"/>
    <w:link w:val="CommentText"/>
    <w:uiPriority w:val="99"/>
    <w:semiHidden/>
    <w:rsid w:val="0036333D"/>
  </w:style>
  <w:style w:type="paragraph" w:styleId="CommentSubject">
    <w:name w:val="annotation subject"/>
    <w:basedOn w:val="CommentText"/>
    <w:next w:val="CommentText"/>
    <w:link w:val="CommentSubjectChar"/>
    <w:uiPriority w:val="99"/>
    <w:semiHidden/>
    <w:unhideWhenUsed/>
    <w:rsid w:val="0036333D"/>
    <w:rPr>
      <w:b/>
      <w:bCs/>
    </w:rPr>
  </w:style>
  <w:style w:type="character" w:customStyle="1" w:styleId="CommentSubjectChar">
    <w:name w:val="Comment Subject Char"/>
    <w:basedOn w:val="CommentTextChar"/>
    <w:link w:val="CommentSubject"/>
    <w:uiPriority w:val="99"/>
    <w:semiHidden/>
    <w:rsid w:val="0036333D"/>
    <w:rPr>
      <w:b/>
      <w:bCs/>
    </w:rPr>
  </w:style>
  <w:style w:type="paragraph" w:styleId="Revision">
    <w:name w:val="Revision"/>
    <w:hidden/>
    <w:uiPriority w:val="99"/>
    <w:semiHidden/>
    <w:rsid w:val="006045FF"/>
    <w:rPr>
      <w:sz w:val="22"/>
    </w:rPr>
  </w:style>
  <w:style w:type="paragraph" w:customStyle="1" w:styleId="Style1">
    <w:name w:val="Style1"/>
    <w:basedOn w:val="ParaNum"/>
    <w:link w:val="Style1Char"/>
    <w:qFormat/>
    <w:rsid w:val="00DB477F"/>
    <w:pPr>
      <w:numPr>
        <w:numId w:val="0"/>
      </w:numPr>
      <w:spacing w:after="0"/>
      <w:ind w:left="720"/>
    </w:pPr>
  </w:style>
  <w:style w:type="character" w:customStyle="1" w:styleId="ParaNumChar">
    <w:name w:val="ParaNum Char"/>
    <w:basedOn w:val="DefaultParagraphFont"/>
    <w:link w:val="ParaNum"/>
    <w:rsid w:val="00DB477F"/>
    <w:rPr>
      <w:snapToGrid w:val="0"/>
      <w:kern w:val="28"/>
      <w:sz w:val="22"/>
    </w:rPr>
  </w:style>
  <w:style w:type="character" w:customStyle="1" w:styleId="Style1Char">
    <w:name w:val="Style1 Char"/>
    <w:basedOn w:val="ParaNumChar"/>
    <w:link w:val="Style1"/>
    <w:rsid w:val="00DB477F"/>
    <w:rPr>
      <w:snapToGrid w:val="0"/>
      <w:kern w:val="28"/>
      <w:sz w:val="22"/>
    </w:rPr>
  </w:style>
  <w:style w:type="paragraph" w:styleId="NoSpacing">
    <w:name w:val="No Spacing"/>
    <w:uiPriority w:val="1"/>
    <w:qFormat/>
    <w:rsid w:val="00043BFA"/>
    <w:rPr>
      <w:sz w:val="22"/>
    </w:rPr>
  </w:style>
  <w:style w:type="character" w:customStyle="1" w:styleId="Heading2Char">
    <w:name w:val="Heading 2 Char"/>
    <w:link w:val="Heading2"/>
    <w:rsid w:val="00482A48"/>
    <w:rPr>
      <w:b/>
      <w:snapToGrid w:val="0"/>
      <w:kern w:val="28"/>
      <w:sz w:val="22"/>
    </w:rPr>
  </w:style>
  <w:style w:type="character" w:customStyle="1" w:styleId="HeaderChar">
    <w:name w:val="Header Char"/>
    <w:basedOn w:val="DefaultParagraphFont"/>
    <w:link w:val="Header"/>
    <w:rsid w:val="00685E3A"/>
    <w:rPr>
      <w:b/>
      <w:snapToGrid w:val="0"/>
      <w:kern w:val="28"/>
      <w:sz w:val="22"/>
    </w:rPr>
  </w:style>
  <w:style w:type="character" w:customStyle="1" w:styleId="FooterChar">
    <w:name w:val="Footer Char"/>
    <w:basedOn w:val="DefaultParagraphFont"/>
    <w:link w:val="Footer"/>
    <w:rsid w:val="00685E3A"/>
    <w:rPr>
      <w:snapToGrid w:val="0"/>
      <w:kern w:val="28"/>
      <w:sz w:val="22"/>
    </w:rPr>
  </w:style>
  <w:style w:type="paragraph" w:styleId="TOCHeading">
    <w:name w:val="TOC Heading"/>
    <w:basedOn w:val="Heading1"/>
    <w:next w:val="Normal"/>
    <w:uiPriority w:val="39"/>
    <w:unhideWhenUsed/>
    <w:qFormat/>
    <w:rsid w:val="00667541"/>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EndnoteText">
    <w:name w:val="endnote text"/>
    <w:basedOn w:val="Normal"/>
    <w:link w:val="EndnoteTextChar"/>
    <w:semiHidden/>
    <w:rsid w:val="004116AB"/>
    <w:rPr>
      <w:sz w:val="20"/>
    </w:rPr>
  </w:style>
  <w:style w:type="character" w:customStyle="1" w:styleId="EndnoteTextChar">
    <w:name w:val="Endnote Text Char"/>
    <w:basedOn w:val="DefaultParagraphFont"/>
    <w:link w:val="EndnoteText"/>
    <w:semiHidden/>
    <w:rsid w:val="00667541"/>
    <w:rPr>
      <w:snapToGrid w:val="0"/>
      <w:kern w:val="28"/>
    </w:rPr>
  </w:style>
  <w:style w:type="character" w:customStyle="1" w:styleId="footnotetex">
    <w:name w:val="footnote tex"/>
    <w:basedOn w:val="DefaultParagraphFont"/>
    <w:rsid w:val="00667541"/>
  </w:style>
  <w:style w:type="character" w:customStyle="1" w:styleId="FootnoteTextChar1">
    <w:name w:val="Footnote Text Char1"/>
    <w:aliases w:val="Footnote Text Char Char,ALTS FOOTNOTE Char Char,fn Char Char,Footnote Text Char2 Char Char,Footnote Text Char1 Char Char Char,Footnote Text Char Char2 Char Char Char,Footnote Text Char3 Char Char2 Char Char Char,ALTS FOOTNOTE Char1"/>
    <w:link w:val="FootnoteText"/>
    <w:rsid w:val="00181EB8"/>
  </w:style>
  <w:style w:type="paragraph" w:styleId="NormalWeb">
    <w:name w:val="Normal (Web)"/>
    <w:basedOn w:val="Normal"/>
    <w:rsid w:val="00341790"/>
    <w:pPr>
      <w:spacing w:before="100" w:beforeAutospacing="1" w:after="100" w:afterAutospacing="1"/>
    </w:pPr>
    <w:rPr>
      <w:sz w:val="24"/>
      <w:szCs w:val="24"/>
    </w:rPr>
  </w:style>
  <w:style w:type="table" w:styleId="TableGrid">
    <w:name w:val="Table Grid"/>
    <w:basedOn w:val="TableNormal"/>
    <w:uiPriority w:val="39"/>
    <w:rsid w:val="007D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4116AB"/>
    <w:rPr>
      <w:vertAlign w:val="superscript"/>
    </w:rPr>
  </w:style>
  <w:style w:type="paragraph" w:styleId="TOAHeading">
    <w:name w:val="toa heading"/>
    <w:basedOn w:val="Normal"/>
    <w:next w:val="Normal"/>
    <w:semiHidden/>
    <w:rsid w:val="004116AB"/>
    <w:pPr>
      <w:tabs>
        <w:tab w:val="right" w:pos="9360"/>
      </w:tabs>
      <w:suppressAutoHyphens/>
    </w:pPr>
  </w:style>
  <w:style w:type="character" w:customStyle="1" w:styleId="EquationCaption">
    <w:name w:val="_Equation Caption"/>
    <w:rsid w:val="004116AB"/>
  </w:style>
  <w:style w:type="paragraph" w:customStyle="1" w:styleId="Paratitle">
    <w:name w:val="Para title"/>
    <w:basedOn w:val="Normal"/>
    <w:rsid w:val="004116AB"/>
    <w:pPr>
      <w:tabs>
        <w:tab w:val="center" w:pos="9270"/>
      </w:tabs>
      <w:spacing w:after="240"/>
    </w:pPr>
    <w:rPr>
      <w:spacing w:val="-2"/>
    </w:rPr>
  </w:style>
  <w:style w:type="paragraph" w:customStyle="1" w:styleId="TOCTitle">
    <w:name w:val="TOC Title"/>
    <w:basedOn w:val="Normal"/>
    <w:rsid w:val="004116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16A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7949">
      <w:bodyDiv w:val="1"/>
      <w:marLeft w:val="0"/>
      <w:marRight w:val="0"/>
      <w:marTop w:val="0"/>
      <w:marBottom w:val="0"/>
      <w:divBdr>
        <w:top w:val="none" w:sz="0" w:space="0" w:color="auto"/>
        <w:left w:val="none" w:sz="0" w:space="0" w:color="auto"/>
        <w:bottom w:val="none" w:sz="0" w:space="0" w:color="auto"/>
        <w:right w:val="none" w:sz="0" w:space="0" w:color="auto"/>
      </w:divBdr>
      <w:divsChild>
        <w:div w:id="1953974329">
          <w:marLeft w:val="0"/>
          <w:marRight w:val="0"/>
          <w:marTop w:val="0"/>
          <w:marBottom w:val="0"/>
          <w:divBdr>
            <w:top w:val="none" w:sz="0" w:space="0" w:color="auto"/>
            <w:left w:val="single" w:sz="6" w:space="0" w:color="BBBBBB"/>
            <w:bottom w:val="single" w:sz="6" w:space="0" w:color="BBBBBB"/>
            <w:right w:val="single" w:sz="6" w:space="0" w:color="BBBBBB"/>
          </w:divBdr>
          <w:divsChild>
            <w:div w:id="1134173302">
              <w:marLeft w:val="0"/>
              <w:marRight w:val="0"/>
              <w:marTop w:val="0"/>
              <w:marBottom w:val="0"/>
              <w:divBdr>
                <w:top w:val="none" w:sz="0" w:space="0" w:color="auto"/>
                <w:left w:val="none" w:sz="0" w:space="0" w:color="auto"/>
                <w:bottom w:val="none" w:sz="0" w:space="0" w:color="auto"/>
                <w:right w:val="none" w:sz="0" w:space="0" w:color="auto"/>
              </w:divBdr>
              <w:divsChild>
                <w:div w:id="278801803">
                  <w:marLeft w:val="0"/>
                  <w:marRight w:val="0"/>
                  <w:marTop w:val="0"/>
                  <w:marBottom w:val="0"/>
                  <w:divBdr>
                    <w:top w:val="none" w:sz="0" w:space="0" w:color="auto"/>
                    <w:left w:val="none" w:sz="0" w:space="0" w:color="auto"/>
                    <w:bottom w:val="none" w:sz="0" w:space="0" w:color="auto"/>
                    <w:right w:val="none" w:sz="0" w:space="0" w:color="auto"/>
                  </w:divBdr>
                  <w:divsChild>
                    <w:div w:id="1315722480">
                      <w:marLeft w:val="0"/>
                      <w:marRight w:val="0"/>
                      <w:marTop w:val="0"/>
                      <w:marBottom w:val="0"/>
                      <w:divBdr>
                        <w:top w:val="none" w:sz="0" w:space="0" w:color="auto"/>
                        <w:left w:val="none" w:sz="0" w:space="0" w:color="auto"/>
                        <w:bottom w:val="none" w:sz="0" w:space="0" w:color="auto"/>
                        <w:right w:val="none" w:sz="0" w:space="0" w:color="auto"/>
                      </w:divBdr>
                      <w:divsChild>
                        <w:div w:id="1993413058">
                          <w:marLeft w:val="0"/>
                          <w:marRight w:val="0"/>
                          <w:marTop w:val="0"/>
                          <w:marBottom w:val="0"/>
                          <w:divBdr>
                            <w:top w:val="none" w:sz="0" w:space="0" w:color="auto"/>
                            <w:left w:val="none" w:sz="0" w:space="0" w:color="auto"/>
                            <w:bottom w:val="none" w:sz="0" w:space="0" w:color="auto"/>
                            <w:right w:val="none" w:sz="0" w:space="0" w:color="auto"/>
                          </w:divBdr>
                          <w:divsChild>
                            <w:div w:id="125583888">
                              <w:marLeft w:val="0"/>
                              <w:marRight w:val="0"/>
                              <w:marTop w:val="0"/>
                              <w:marBottom w:val="0"/>
                              <w:divBdr>
                                <w:top w:val="none" w:sz="0" w:space="0" w:color="auto"/>
                                <w:left w:val="none" w:sz="0" w:space="0" w:color="auto"/>
                                <w:bottom w:val="none" w:sz="0" w:space="0" w:color="auto"/>
                                <w:right w:val="none" w:sz="0" w:space="0" w:color="auto"/>
                              </w:divBdr>
                              <w:divsChild>
                                <w:div w:id="389771669">
                                  <w:marLeft w:val="0"/>
                                  <w:marRight w:val="0"/>
                                  <w:marTop w:val="0"/>
                                  <w:marBottom w:val="0"/>
                                  <w:divBdr>
                                    <w:top w:val="none" w:sz="0" w:space="0" w:color="auto"/>
                                    <w:left w:val="none" w:sz="0" w:space="0" w:color="auto"/>
                                    <w:bottom w:val="none" w:sz="0" w:space="0" w:color="auto"/>
                                    <w:right w:val="none" w:sz="0" w:space="0" w:color="auto"/>
                                  </w:divBdr>
                                  <w:divsChild>
                                    <w:div w:id="137457082">
                                      <w:marLeft w:val="0"/>
                                      <w:marRight w:val="0"/>
                                      <w:marTop w:val="0"/>
                                      <w:marBottom w:val="0"/>
                                      <w:divBdr>
                                        <w:top w:val="none" w:sz="0" w:space="0" w:color="auto"/>
                                        <w:left w:val="none" w:sz="0" w:space="0" w:color="auto"/>
                                        <w:bottom w:val="none" w:sz="0" w:space="0" w:color="auto"/>
                                        <w:right w:val="none" w:sz="0" w:space="0" w:color="auto"/>
                                      </w:divBdr>
                                      <w:divsChild>
                                        <w:div w:id="212927785">
                                          <w:marLeft w:val="1200"/>
                                          <w:marRight w:val="1200"/>
                                          <w:marTop w:val="0"/>
                                          <w:marBottom w:val="0"/>
                                          <w:divBdr>
                                            <w:top w:val="none" w:sz="0" w:space="0" w:color="auto"/>
                                            <w:left w:val="none" w:sz="0" w:space="0" w:color="auto"/>
                                            <w:bottom w:val="none" w:sz="0" w:space="0" w:color="auto"/>
                                            <w:right w:val="none" w:sz="0" w:space="0" w:color="auto"/>
                                          </w:divBdr>
                                          <w:divsChild>
                                            <w:div w:id="1354306558">
                                              <w:marLeft w:val="0"/>
                                              <w:marRight w:val="0"/>
                                              <w:marTop w:val="0"/>
                                              <w:marBottom w:val="0"/>
                                              <w:divBdr>
                                                <w:top w:val="none" w:sz="0" w:space="0" w:color="auto"/>
                                                <w:left w:val="none" w:sz="0" w:space="0" w:color="auto"/>
                                                <w:bottom w:val="none" w:sz="0" w:space="0" w:color="auto"/>
                                                <w:right w:val="none" w:sz="0" w:space="0" w:color="auto"/>
                                              </w:divBdr>
                                              <w:divsChild>
                                                <w:div w:id="670330413">
                                                  <w:marLeft w:val="0"/>
                                                  <w:marRight w:val="0"/>
                                                  <w:marTop w:val="0"/>
                                                  <w:marBottom w:val="0"/>
                                                  <w:divBdr>
                                                    <w:top w:val="single" w:sz="6" w:space="5" w:color="D6D6D6"/>
                                                    <w:left w:val="none" w:sz="0" w:space="0" w:color="auto"/>
                                                    <w:bottom w:val="none" w:sz="0" w:space="0" w:color="auto"/>
                                                    <w:right w:val="none" w:sz="0" w:space="0" w:color="auto"/>
                                                  </w:divBdr>
                                                  <w:divsChild>
                                                    <w:div w:id="233514261">
                                                      <w:marLeft w:val="0"/>
                                                      <w:marRight w:val="0"/>
                                                      <w:marTop w:val="0"/>
                                                      <w:marBottom w:val="0"/>
                                                      <w:divBdr>
                                                        <w:top w:val="none" w:sz="0" w:space="0" w:color="auto"/>
                                                        <w:left w:val="none" w:sz="0" w:space="0" w:color="auto"/>
                                                        <w:bottom w:val="none" w:sz="0" w:space="0" w:color="auto"/>
                                                        <w:right w:val="none" w:sz="0" w:space="0" w:color="auto"/>
                                                      </w:divBdr>
                                                      <w:divsChild>
                                                        <w:div w:id="1966424893">
                                                          <w:marLeft w:val="0"/>
                                                          <w:marRight w:val="0"/>
                                                          <w:marTop w:val="0"/>
                                                          <w:marBottom w:val="0"/>
                                                          <w:divBdr>
                                                            <w:top w:val="none" w:sz="0" w:space="0" w:color="auto"/>
                                                            <w:left w:val="none" w:sz="0" w:space="0" w:color="auto"/>
                                                            <w:bottom w:val="none" w:sz="0" w:space="0" w:color="auto"/>
                                                            <w:right w:val="none" w:sz="0" w:space="0" w:color="auto"/>
                                                          </w:divBdr>
                                                          <w:divsChild>
                                                            <w:div w:id="1473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5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census.gov/servlet/IBQTable?_bm=y&amp;-geo_id=&amp;skip=900&amp;-ds_name=EC0751SSSZ4&amp;_lang=en" TargetMode="External"/><Relationship Id="rId2" Type="http://schemas.openxmlformats.org/officeDocument/2006/relationships/hyperlink" Target="http://www.census.gov/epcd/naics02/def/NDEF517.HTM" TargetMode="External"/><Relationship Id="rId1" Type="http://schemas.openxmlformats.org/officeDocument/2006/relationships/hyperlink" Target="https://1.next.westlaw.com/Link/Document/FullText?findType=Y&amp;serNum=2002328349&amp;pubNum=4493&amp;originatingDoc=I4a67e629fc8311dbafc6849dc347959a&amp;refType=CA&amp;originationContext=document&amp;transitionType=DocumentItem&amp;contextData=(sc.Default)" TargetMode="External"/><Relationship Id="rId5" Type="http://schemas.openxmlformats.org/officeDocument/2006/relationships/hyperlink" Target="https://1.next.westlaw.com/Link/Document/FullText?findType=L&amp;pubNum=1000547&amp;cite=13CFRS121.201&amp;originatingDoc=If744cd8aa78811e5a795ac035416da91&amp;refType=LQ&amp;originationContext=document&amp;transitionType=DocumentItem&amp;contextData=(sc.Search)" TargetMode="External"/><Relationship Id="rId4" Type="http://schemas.openxmlformats.org/officeDocument/2006/relationships/hyperlink" Target="http://www.census.gov/epcd/naics02/def/NDEF5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6164</Words>
  <Characters>34491</Characters>
  <Application>Microsoft Office Word</Application>
  <DocSecurity>0</DocSecurity>
  <Lines>649</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40652</CharactersWithSpaces>
  <SharedDoc>false</SharedDoc>
  <HyperlinkBase> </HyperlinkBase>
  <HLinks>
    <vt:vector size="72" baseType="variant">
      <vt:variant>
        <vt:i4>1048632</vt:i4>
      </vt:variant>
      <vt:variant>
        <vt:i4>68</vt:i4>
      </vt:variant>
      <vt:variant>
        <vt:i4>0</vt:i4>
      </vt:variant>
      <vt:variant>
        <vt:i4>5</vt:i4>
      </vt:variant>
      <vt:variant>
        <vt:lpwstr/>
      </vt:variant>
      <vt:variant>
        <vt:lpwstr>_Toc433797644</vt:lpwstr>
      </vt:variant>
      <vt:variant>
        <vt:i4>1048632</vt:i4>
      </vt:variant>
      <vt:variant>
        <vt:i4>62</vt:i4>
      </vt:variant>
      <vt:variant>
        <vt:i4>0</vt:i4>
      </vt:variant>
      <vt:variant>
        <vt:i4>5</vt:i4>
      </vt:variant>
      <vt:variant>
        <vt:lpwstr/>
      </vt:variant>
      <vt:variant>
        <vt:lpwstr>_Toc433797643</vt:lpwstr>
      </vt:variant>
      <vt:variant>
        <vt:i4>1048632</vt:i4>
      </vt:variant>
      <vt:variant>
        <vt:i4>56</vt:i4>
      </vt:variant>
      <vt:variant>
        <vt:i4>0</vt:i4>
      </vt:variant>
      <vt:variant>
        <vt:i4>5</vt:i4>
      </vt:variant>
      <vt:variant>
        <vt:lpwstr/>
      </vt:variant>
      <vt:variant>
        <vt:lpwstr>_Toc433797642</vt:lpwstr>
      </vt:variant>
      <vt:variant>
        <vt:i4>1048632</vt:i4>
      </vt:variant>
      <vt:variant>
        <vt:i4>50</vt:i4>
      </vt:variant>
      <vt:variant>
        <vt:i4>0</vt:i4>
      </vt:variant>
      <vt:variant>
        <vt:i4>5</vt:i4>
      </vt:variant>
      <vt:variant>
        <vt:lpwstr/>
      </vt:variant>
      <vt:variant>
        <vt:lpwstr>_Toc433797641</vt:lpwstr>
      </vt:variant>
      <vt:variant>
        <vt:i4>1048632</vt:i4>
      </vt:variant>
      <vt:variant>
        <vt:i4>44</vt:i4>
      </vt:variant>
      <vt:variant>
        <vt:i4>0</vt:i4>
      </vt:variant>
      <vt:variant>
        <vt:i4>5</vt:i4>
      </vt:variant>
      <vt:variant>
        <vt:lpwstr/>
      </vt:variant>
      <vt:variant>
        <vt:lpwstr>_Toc433797640</vt:lpwstr>
      </vt:variant>
      <vt:variant>
        <vt:i4>1507384</vt:i4>
      </vt:variant>
      <vt:variant>
        <vt:i4>38</vt:i4>
      </vt:variant>
      <vt:variant>
        <vt:i4>0</vt:i4>
      </vt:variant>
      <vt:variant>
        <vt:i4>5</vt:i4>
      </vt:variant>
      <vt:variant>
        <vt:lpwstr/>
      </vt:variant>
      <vt:variant>
        <vt:lpwstr>_Toc433797639</vt:lpwstr>
      </vt:variant>
      <vt:variant>
        <vt:i4>1507384</vt:i4>
      </vt:variant>
      <vt:variant>
        <vt:i4>32</vt:i4>
      </vt:variant>
      <vt:variant>
        <vt:i4>0</vt:i4>
      </vt:variant>
      <vt:variant>
        <vt:i4>5</vt:i4>
      </vt:variant>
      <vt:variant>
        <vt:lpwstr/>
      </vt:variant>
      <vt:variant>
        <vt:lpwstr>_Toc433797638</vt:lpwstr>
      </vt:variant>
      <vt:variant>
        <vt:i4>1507384</vt:i4>
      </vt:variant>
      <vt:variant>
        <vt:i4>26</vt:i4>
      </vt:variant>
      <vt:variant>
        <vt:i4>0</vt:i4>
      </vt:variant>
      <vt:variant>
        <vt:i4>5</vt:i4>
      </vt:variant>
      <vt:variant>
        <vt:lpwstr/>
      </vt:variant>
      <vt:variant>
        <vt:lpwstr>_Toc433797637</vt:lpwstr>
      </vt:variant>
      <vt:variant>
        <vt:i4>1507384</vt:i4>
      </vt:variant>
      <vt:variant>
        <vt:i4>20</vt:i4>
      </vt:variant>
      <vt:variant>
        <vt:i4>0</vt:i4>
      </vt:variant>
      <vt:variant>
        <vt:i4>5</vt:i4>
      </vt:variant>
      <vt:variant>
        <vt:lpwstr/>
      </vt:variant>
      <vt:variant>
        <vt:lpwstr>_Toc433797636</vt:lpwstr>
      </vt:variant>
      <vt:variant>
        <vt:i4>1507384</vt:i4>
      </vt:variant>
      <vt:variant>
        <vt:i4>14</vt:i4>
      </vt:variant>
      <vt:variant>
        <vt:i4>0</vt:i4>
      </vt:variant>
      <vt:variant>
        <vt:i4>5</vt:i4>
      </vt:variant>
      <vt:variant>
        <vt:lpwstr/>
      </vt:variant>
      <vt:variant>
        <vt:lpwstr>_Toc433797635</vt:lpwstr>
      </vt:variant>
      <vt:variant>
        <vt:i4>1507384</vt:i4>
      </vt:variant>
      <vt:variant>
        <vt:i4>8</vt:i4>
      </vt:variant>
      <vt:variant>
        <vt:i4>0</vt:i4>
      </vt:variant>
      <vt:variant>
        <vt:i4>5</vt:i4>
      </vt:variant>
      <vt:variant>
        <vt:lpwstr/>
      </vt:variant>
      <vt:variant>
        <vt:lpwstr>_Toc433797634</vt:lpwstr>
      </vt:variant>
      <vt:variant>
        <vt:i4>1507384</vt:i4>
      </vt:variant>
      <vt:variant>
        <vt:i4>2</vt:i4>
      </vt:variant>
      <vt:variant>
        <vt:i4>0</vt:i4>
      </vt:variant>
      <vt:variant>
        <vt:i4>5</vt:i4>
      </vt:variant>
      <vt:variant>
        <vt:lpwstr/>
      </vt:variant>
      <vt:variant>
        <vt:lpwstr>_Toc433797633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2017-04-25T19:50:00Z</dcterms:created>
  <dcterms:modified xsi:type="dcterms:W3CDTF">2017-04-25T19:50:00Z</dcterms:modified>
  <cp:category> </cp:category>
  <cp:contentStatus> </cp:contentStatus>
</cp:coreProperties>
</file>