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D5C08" w14:textId="77777777" w:rsidR="004C2EE3" w:rsidRDefault="004C2EE3" w:rsidP="00050820">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B406530" w14:textId="77777777" w:rsidR="00921803" w:rsidRDefault="00921803" w:rsidP="00050820">
      <w:pPr>
        <w:pStyle w:val="StyleBoldCentered"/>
      </w:pPr>
      <w:r>
        <w:t>F</w:t>
      </w:r>
      <w:r>
        <w:rPr>
          <w:caps w:val="0"/>
        </w:rPr>
        <w:t>ederal Communications Commission</w:t>
      </w:r>
    </w:p>
    <w:p w14:paraId="0076CAD1" w14:textId="77777777" w:rsidR="004C2EE3" w:rsidRDefault="00810B6F" w:rsidP="00050820">
      <w:pPr>
        <w:pStyle w:val="StyleBoldCentered"/>
      </w:pPr>
      <w:r>
        <w:rPr>
          <w:caps w:val="0"/>
        </w:rPr>
        <w:t>Washington, D.C. 20554</w:t>
      </w:r>
    </w:p>
    <w:p w14:paraId="684F6860" w14:textId="77777777" w:rsidR="004C2EE3" w:rsidRDefault="004C2EE3" w:rsidP="00050820"/>
    <w:p w14:paraId="49640A69" w14:textId="77777777" w:rsidR="004C2EE3" w:rsidRDefault="004C2EE3" w:rsidP="00050820"/>
    <w:tbl>
      <w:tblPr>
        <w:tblW w:w="5000" w:type="pct"/>
        <w:tblLayout w:type="fixed"/>
        <w:tblLook w:val="0000" w:firstRow="0" w:lastRow="0" w:firstColumn="0" w:lastColumn="0" w:noHBand="0" w:noVBand="0"/>
      </w:tblPr>
      <w:tblGrid>
        <w:gridCol w:w="4698"/>
        <w:gridCol w:w="630"/>
        <w:gridCol w:w="4248"/>
      </w:tblGrid>
      <w:tr w:rsidR="00B40007" w:rsidRPr="00013C5D" w14:paraId="1BA3ABC9" w14:textId="77777777" w:rsidTr="00EC371D">
        <w:tc>
          <w:tcPr>
            <w:tcW w:w="2453" w:type="pct"/>
          </w:tcPr>
          <w:p w14:paraId="5EE8F51D" w14:textId="77777777" w:rsidR="00B40007" w:rsidRPr="00013C5D" w:rsidRDefault="00B40007" w:rsidP="00E44131">
            <w:pPr>
              <w:tabs>
                <w:tab w:val="center" w:pos="4680"/>
              </w:tabs>
              <w:suppressAutoHyphens/>
              <w:rPr>
                <w:spacing w:val="-2"/>
                <w:szCs w:val="22"/>
              </w:rPr>
            </w:pPr>
            <w:r w:rsidRPr="00013C5D">
              <w:rPr>
                <w:spacing w:val="-2"/>
                <w:szCs w:val="22"/>
              </w:rPr>
              <w:t>In the Matter of</w:t>
            </w:r>
          </w:p>
          <w:p w14:paraId="2A10511F" w14:textId="77777777" w:rsidR="00B40007" w:rsidRPr="00013C5D" w:rsidRDefault="00B40007" w:rsidP="00E44131">
            <w:pPr>
              <w:tabs>
                <w:tab w:val="center" w:pos="4680"/>
              </w:tabs>
              <w:suppressAutoHyphens/>
              <w:rPr>
                <w:spacing w:val="-2"/>
                <w:szCs w:val="22"/>
              </w:rPr>
            </w:pPr>
          </w:p>
          <w:p w14:paraId="4F04E834" w14:textId="77777777" w:rsidR="00B40007" w:rsidRPr="00013C5D" w:rsidRDefault="00B40007" w:rsidP="00E44131">
            <w:pPr>
              <w:tabs>
                <w:tab w:val="center" w:pos="4680"/>
              </w:tabs>
              <w:suppressAutoHyphens/>
              <w:rPr>
                <w:szCs w:val="22"/>
              </w:rPr>
            </w:pPr>
            <w:r w:rsidRPr="00013C5D">
              <w:rPr>
                <w:szCs w:val="22"/>
              </w:rPr>
              <w:t>Amendment of Part 1 of the</w:t>
            </w:r>
          </w:p>
          <w:p w14:paraId="0A4CF9D8" w14:textId="77777777" w:rsidR="00B40007" w:rsidRPr="00013C5D" w:rsidRDefault="00B40007" w:rsidP="00E44131">
            <w:pPr>
              <w:tabs>
                <w:tab w:val="center" w:pos="4680"/>
              </w:tabs>
              <w:suppressAutoHyphens/>
              <w:rPr>
                <w:spacing w:val="-2"/>
                <w:szCs w:val="22"/>
              </w:rPr>
            </w:pPr>
            <w:r w:rsidRPr="00013C5D">
              <w:rPr>
                <w:spacing w:val="-2"/>
                <w:szCs w:val="22"/>
              </w:rPr>
              <w:t>Commission’s Rules</w:t>
            </w:r>
          </w:p>
        </w:tc>
        <w:tc>
          <w:tcPr>
            <w:tcW w:w="329" w:type="pct"/>
          </w:tcPr>
          <w:p w14:paraId="46199CF9" w14:textId="77777777" w:rsidR="00B40007" w:rsidRPr="00013C5D" w:rsidRDefault="00B40007" w:rsidP="00E44131">
            <w:pPr>
              <w:suppressAutoHyphens/>
              <w:rPr>
                <w:b/>
                <w:spacing w:val="-2"/>
                <w:szCs w:val="22"/>
              </w:rPr>
            </w:pPr>
            <w:r w:rsidRPr="00013C5D">
              <w:rPr>
                <w:b/>
                <w:spacing w:val="-2"/>
                <w:szCs w:val="22"/>
              </w:rPr>
              <w:t>)</w:t>
            </w:r>
          </w:p>
          <w:p w14:paraId="5FA7DD90" w14:textId="77777777" w:rsidR="00B40007" w:rsidRPr="00013C5D" w:rsidRDefault="00B40007" w:rsidP="00E44131">
            <w:pPr>
              <w:suppressAutoHyphens/>
              <w:rPr>
                <w:b/>
                <w:spacing w:val="-2"/>
                <w:szCs w:val="22"/>
              </w:rPr>
            </w:pPr>
            <w:r w:rsidRPr="00013C5D">
              <w:rPr>
                <w:b/>
                <w:spacing w:val="-2"/>
                <w:szCs w:val="22"/>
              </w:rPr>
              <w:t>)</w:t>
            </w:r>
          </w:p>
          <w:p w14:paraId="45EBC6BD" w14:textId="77777777" w:rsidR="00B40007" w:rsidRPr="00013C5D" w:rsidRDefault="00B40007" w:rsidP="00E44131">
            <w:pPr>
              <w:suppressAutoHyphens/>
              <w:rPr>
                <w:b/>
                <w:spacing w:val="-2"/>
                <w:szCs w:val="22"/>
              </w:rPr>
            </w:pPr>
            <w:r w:rsidRPr="00013C5D">
              <w:rPr>
                <w:b/>
                <w:spacing w:val="-2"/>
                <w:szCs w:val="22"/>
              </w:rPr>
              <w:t>)</w:t>
            </w:r>
          </w:p>
          <w:p w14:paraId="013409F2" w14:textId="77777777" w:rsidR="00B40007" w:rsidRPr="00013C5D" w:rsidRDefault="00B40007" w:rsidP="00E44131">
            <w:pPr>
              <w:suppressAutoHyphens/>
              <w:rPr>
                <w:b/>
                <w:spacing w:val="-2"/>
                <w:szCs w:val="22"/>
              </w:rPr>
            </w:pPr>
            <w:r w:rsidRPr="00013C5D">
              <w:rPr>
                <w:b/>
                <w:spacing w:val="-2"/>
                <w:szCs w:val="22"/>
              </w:rPr>
              <w:t>)</w:t>
            </w:r>
          </w:p>
          <w:p w14:paraId="446E2EC1" w14:textId="77777777" w:rsidR="00B40007" w:rsidRPr="00013C5D" w:rsidRDefault="00B40007" w:rsidP="00E44131">
            <w:pPr>
              <w:tabs>
                <w:tab w:val="center" w:pos="4680"/>
              </w:tabs>
              <w:suppressAutoHyphens/>
              <w:rPr>
                <w:spacing w:val="-2"/>
                <w:szCs w:val="22"/>
              </w:rPr>
            </w:pPr>
          </w:p>
        </w:tc>
        <w:tc>
          <w:tcPr>
            <w:tcW w:w="2218" w:type="pct"/>
          </w:tcPr>
          <w:p w14:paraId="5204718A" w14:textId="77777777" w:rsidR="00B40007" w:rsidRPr="00013C5D" w:rsidRDefault="00B40007" w:rsidP="00E44131">
            <w:pPr>
              <w:tabs>
                <w:tab w:val="center" w:pos="4680"/>
              </w:tabs>
              <w:suppressAutoHyphens/>
              <w:rPr>
                <w:spacing w:val="-2"/>
                <w:szCs w:val="22"/>
              </w:rPr>
            </w:pPr>
          </w:p>
          <w:p w14:paraId="0F848EC2" w14:textId="77777777" w:rsidR="00B40007" w:rsidRPr="00013C5D" w:rsidRDefault="00B40007" w:rsidP="00E44131">
            <w:pPr>
              <w:tabs>
                <w:tab w:val="center" w:pos="4680"/>
              </w:tabs>
              <w:suppressAutoHyphens/>
              <w:rPr>
                <w:spacing w:val="-2"/>
                <w:szCs w:val="22"/>
              </w:rPr>
            </w:pPr>
          </w:p>
          <w:p w14:paraId="6B6550DC" w14:textId="594ECBFC" w:rsidR="00B40007" w:rsidRPr="00013C5D" w:rsidRDefault="00B40007" w:rsidP="00050820">
            <w:pPr>
              <w:keepNext/>
              <w:rPr>
                <w:szCs w:val="22"/>
              </w:rPr>
            </w:pPr>
            <w:r w:rsidRPr="00013C5D">
              <w:rPr>
                <w:szCs w:val="22"/>
              </w:rPr>
              <w:t>MD Docket No. 1</w:t>
            </w:r>
            <w:r>
              <w:rPr>
                <w:szCs w:val="22"/>
              </w:rPr>
              <w:t>7</w:t>
            </w:r>
            <w:r w:rsidRPr="00013C5D">
              <w:rPr>
                <w:szCs w:val="22"/>
              </w:rPr>
              <w:t>-</w:t>
            </w:r>
            <w:r w:rsidR="002344DE">
              <w:rPr>
                <w:szCs w:val="22"/>
              </w:rPr>
              <w:t>123</w:t>
            </w:r>
          </w:p>
          <w:p w14:paraId="28DC0474" w14:textId="77777777" w:rsidR="00B40007" w:rsidRPr="00013C5D" w:rsidRDefault="00B40007" w:rsidP="00E44131">
            <w:pPr>
              <w:tabs>
                <w:tab w:val="center" w:pos="4680"/>
              </w:tabs>
              <w:suppressAutoHyphens/>
              <w:rPr>
                <w:spacing w:val="-2"/>
                <w:szCs w:val="22"/>
              </w:rPr>
            </w:pPr>
          </w:p>
        </w:tc>
      </w:tr>
    </w:tbl>
    <w:p w14:paraId="71020918" w14:textId="63225312" w:rsidR="00B40007" w:rsidRPr="00013C5D" w:rsidRDefault="00B40007" w:rsidP="00E44131">
      <w:pPr>
        <w:pStyle w:val="StyleBoldCentered"/>
        <w:rPr>
          <w:rFonts w:ascii="Times New Roman" w:hAnsi="Times New Roman"/>
        </w:rPr>
      </w:pPr>
      <w:r w:rsidRPr="00013C5D">
        <w:rPr>
          <w:rFonts w:ascii="Times New Roman" w:hAnsi="Times New Roman"/>
        </w:rPr>
        <w:t>ORDER</w:t>
      </w:r>
    </w:p>
    <w:p w14:paraId="7623DE11" w14:textId="77777777" w:rsidR="00B40007" w:rsidRPr="00013C5D" w:rsidRDefault="00B40007" w:rsidP="00E44131">
      <w:pPr>
        <w:suppressAutoHyphens/>
        <w:rPr>
          <w:spacing w:val="-2"/>
          <w:szCs w:val="22"/>
        </w:rPr>
      </w:pPr>
    </w:p>
    <w:p w14:paraId="590B3839" w14:textId="54E6150D" w:rsidR="00B40007" w:rsidRPr="00013C5D" w:rsidRDefault="00B40007" w:rsidP="00E44131">
      <w:pPr>
        <w:tabs>
          <w:tab w:val="right" w:pos="9360"/>
        </w:tabs>
        <w:suppressAutoHyphens/>
        <w:rPr>
          <w:b/>
          <w:spacing w:val="-2"/>
          <w:szCs w:val="22"/>
        </w:rPr>
      </w:pPr>
      <w:r w:rsidRPr="00013C5D">
        <w:rPr>
          <w:b/>
          <w:spacing w:val="-2"/>
          <w:szCs w:val="22"/>
        </w:rPr>
        <w:t xml:space="preserve">Adopted:  </w:t>
      </w:r>
      <w:r w:rsidR="00866B4F">
        <w:rPr>
          <w:b/>
          <w:spacing w:val="-2"/>
          <w:szCs w:val="22"/>
        </w:rPr>
        <w:t xml:space="preserve">May 8, </w:t>
      </w:r>
      <w:r w:rsidRPr="00013C5D">
        <w:rPr>
          <w:b/>
          <w:spacing w:val="-2"/>
          <w:szCs w:val="22"/>
        </w:rPr>
        <w:t>201</w:t>
      </w:r>
      <w:r>
        <w:rPr>
          <w:b/>
          <w:spacing w:val="-2"/>
          <w:szCs w:val="22"/>
        </w:rPr>
        <w:t>7</w:t>
      </w:r>
      <w:r w:rsidRPr="00013C5D">
        <w:rPr>
          <w:b/>
          <w:spacing w:val="-2"/>
          <w:szCs w:val="22"/>
        </w:rPr>
        <w:tab/>
        <w:t xml:space="preserve">Released:  </w:t>
      </w:r>
      <w:r w:rsidR="00866B4F">
        <w:rPr>
          <w:b/>
          <w:spacing w:val="-2"/>
          <w:szCs w:val="22"/>
        </w:rPr>
        <w:t xml:space="preserve">May 9, </w:t>
      </w:r>
      <w:r w:rsidRPr="00013C5D">
        <w:rPr>
          <w:b/>
          <w:spacing w:val="-2"/>
          <w:szCs w:val="22"/>
        </w:rPr>
        <w:t>201</w:t>
      </w:r>
      <w:r>
        <w:rPr>
          <w:b/>
          <w:spacing w:val="-2"/>
          <w:szCs w:val="22"/>
        </w:rPr>
        <w:t>7</w:t>
      </w:r>
    </w:p>
    <w:p w14:paraId="1E78BAE6" w14:textId="77777777" w:rsidR="00B40007" w:rsidRPr="00013C5D" w:rsidRDefault="00B40007" w:rsidP="00E44131">
      <w:pPr>
        <w:rPr>
          <w:szCs w:val="22"/>
        </w:rPr>
      </w:pPr>
    </w:p>
    <w:p w14:paraId="18A6DB61" w14:textId="77777777" w:rsidR="00B40007" w:rsidRPr="00013C5D" w:rsidRDefault="00B40007" w:rsidP="00E44131">
      <w:pPr>
        <w:spacing w:after="240"/>
        <w:rPr>
          <w:szCs w:val="22"/>
        </w:rPr>
      </w:pPr>
      <w:r w:rsidRPr="00013C5D">
        <w:rPr>
          <w:szCs w:val="22"/>
        </w:rPr>
        <w:t>By the Commission:</w:t>
      </w:r>
    </w:p>
    <w:p w14:paraId="543AD933" w14:textId="77777777" w:rsidR="00B40007" w:rsidRPr="00B4569C" w:rsidRDefault="00B40007" w:rsidP="00E44131">
      <w:pPr>
        <w:pStyle w:val="ParaNum"/>
        <w:rPr>
          <w:szCs w:val="22"/>
        </w:rPr>
      </w:pPr>
      <w:r w:rsidRPr="00013C5D">
        <w:t xml:space="preserve">In this Order, </w:t>
      </w:r>
      <w:r>
        <w:t xml:space="preserve">we reduce Commission expenditures and modernize our procedures by </w:t>
      </w:r>
      <w:r w:rsidRPr="00013C5D">
        <w:t>amend</w:t>
      </w:r>
      <w:r>
        <w:t>ing</w:t>
      </w:r>
      <w:r w:rsidRPr="00013C5D">
        <w:t xml:space="preserve"> </w:t>
      </w:r>
      <w:r>
        <w:t>S</w:t>
      </w:r>
      <w:r w:rsidRPr="00013C5D">
        <w:t>ection 1.1109</w:t>
      </w:r>
      <w:r w:rsidRPr="00013C5D">
        <w:rPr>
          <w:rStyle w:val="FootnoteReference"/>
          <w:szCs w:val="22"/>
        </w:rPr>
        <w:footnoteReference w:id="2"/>
      </w:r>
      <w:r>
        <w:t xml:space="preserve"> of our rules, </w:t>
      </w:r>
      <w:r w:rsidRPr="00013C5D">
        <w:t xml:space="preserve">which sets forth the application fee </w:t>
      </w:r>
      <w:r>
        <w:t xml:space="preserve">for </w:t>
      </w:r>
      <w:r w:rsidRPr="00013C5D">
        <w:t xml:space="preserve">petitions filed with the Federal Communications Commission (Commission) under </w:t>
      </w:r>
      <w:r>
        <w:t>S</w:t>
      </w:r>
      <w:r w:rsidRPr="00013C5D">
        <w:t>ection 109(b) of the Communication</w:t>
      </w:r>
      <w:r>
        <w:t>s</w:t>
      </w:r>
      <w:r w:rsidRPr="00013C5D">
        <w:t xml:space="preserve"> Assistance for Law Enforcement Act (CALEA).</w:t>
      </w:r>
      <w:r w:rsidRPr="00013C5D">
        <w:rPr>
          <w:rStyle w:val="FootnoteReference"/>
          <w:szCs w:val="22"/>
        </w:rPr>
        <w:footnoteReference w:id="3"/>
      </w:r>
      <w:r w:rsidRPr="00013C5D">
        <w:t xml:space="preserve"> </w:t>
      </w:r>
      <w:r>
        <w:t xml:space="preserve"> </w:t>
      </w:r>
    </w:p>
    <w:p w14:paraId="70AB65DF" w14:textId="77777777" w:rsidR="00B40007" w:rsidRPr="00013C5D" w:rsidRDefault="00B40007" w:rsidP="00050820">
      <w:pPr>
        <w:pStyle w:val="ParaNum"/>
        <w:rPr>
          <w:szCs w:val="22"/>
        </w:rPr>
      </w:pPr>
      <w:r w:rsidRPr="00013C5D">
        <w:rPr>
          <w:szCs w:val="22"/>
        </w:rPr>
        <w:t>Enacted in 1994, CALEA was designed to respond to advances in technology and eliminate obstacles faced by law enforcement personnel in conducting electronic surveillance.</w:t>
      </w:r>
      <w:r w:rsidRPr="00013C5D">
        <w:rPr>
          <w:rStyle w:val="FootnoteReference"/>
          <w:szCs w:val="22"/>
        </w:rPr>
        <w:footnoteReference w:id="4"/>
      </w:r>
      <w:r w:rsidRPr="00013C5D">
        <w:rPr>
          <w:szCs w:val="22"/>
        </w:rPr>
        <w:t xml:space="preserve">  CALEA imposed certain technical requirements on telecommunications carriers and provided carriers with certain rights to petition the Commission for relief from these requirements.</w:t>
      </w:r>
      <w:r w:rsidRPr="00013C5D">
        <w:rPr>
          <w:rStyle w:val="FootnoteReference"/>
          <w:szCs w:val="22"/>
        </w:rPr>
        <w:footnoteReference w:id="5"/>
      </w:r>
      <w:r w:rsidRPr="00013C5D">
        <w:rPr>
          <w:szCs w:val="22"/>
        </w:rPr>
        <w:t xml:space="preserve">  CALEA also amended the Commission’s fee schedule under </w:t>
      </w:r>
      <w:r>
        <w:rPr>
          <w:szCs w:val="22"/>
        </w:rPr>
        <w:t>S</w:t>
      </w:r>
      <w:r w:rsidRPr="00013C5D">
        <w:rPr>
          <w:szCs w:val="22"/>
        </w:rPr>
        <w:t>ection 8 of the Communications Act</w:t>
      </w:r>
      <w:r w:rsidRPr="00013C5D">
        <w:rPr>
          <w:rStyle w:val="FootnoteReference"/>
          <w:szCs w:val="22"/>
        </w:rPr>
        <w:footnoteReference w:id="6"/>
      </w:r>
      <w:r w:rsidRPr="00013C5D">
        <w:rPr>
          <w:szCs w:val="22"/>
        </w:rPr>
        <w:t xml:space="preserve"> to require payment of an application fee for one type of CALEA filing – petitions filed under </w:t>
      </w:r>
      <w:r>
        <w:rPr>
          <w:szCs w:val="22"/>
        </w:rPr>
        <w:t>S</w:t>
      </w:r>
      <w:r w:rsidRPr="00013C5D">
        <w:rPr>
          <w:szCs w:val="22"/>
        </w:rPr>
        <w:t>ection 109(b) of CALEA.</w:t>
      </w:r>
      <w:r w:rsidRPr="00013C5D">
        <w:rPr>
          <w:rStyle w:val="FootnoteReference"/>
          <w:szCs w:val="22"/>
        </w:rPr>
        <w:footnoteReference w:id="7"/>
      </w:r>
      <w:r w:rsidRPr="00013C5D">
        <w:rPr>
          <w:szCs w:val="22"/>
        </w:rPr>
        <w:t xml:space="preserve">  Such Section 109(b) petitions allowed telecommunications carriers to petition the Commission for an order declaring the petitioning carrier’s obligation to comply with CALEA’s Section 103 capability requirements “not reasonably achievable</w:t>
      </w:r>
      <w:r>
        <w:rPr>
          <w:szCs w:val="22"/>
        </w:rPr>
        <w:t>.</w:t>
      </w:r>
      <w:r w:rsidRPr="00013C5D">
        <w:rPr>
          <w:szCs w:val="22"/>
        </w:rPr>
        <w:t>”</w:t>
      </w:r>
      <w:r w:rsidRPr="00013C5D">
        <w:rPr>
          <w:rStyle w:val="FootnoteReference"/>
          <w:szCs w:val="22"/>
        </w:rPr>
        <w:footnoteReference w:id="8"/>
      </w:r>
      <w:r w:rsidRPr="00013C5D">
        <w:rPr>
          <w:szCs w:val="22"/>
        </w:rPr>
        <w:t xml:space="preserve">  The </w:t>
      </w:r>
      <w:r>
        <w:rPr>
          <w:szCs w:val="22"/>
        </w:rPr>
        <w:t>S</w:t>
      </w:r>
      <w:r w:rsidRPr="00013C5D">
        <w:rPr>
          <w:szCs w:val="22"/>
        </w:rPr>
        <w:t>ection 109(b) fee requirement was codified in Section 1.1109 of the Commission’s rules</w:t>
      </w:r>
      <w:r w:rsidRPr="00013C5D">
        <w:rPr>
          <w:rStyle w:val="FootnoteReference"/>
          <w:szCs w:val="22"/>
        </w:rPr>
        <w:footnoteReference w:id="9"/>
      </w:r>
      <w:r w:rsidRPr="00013C5D">
        <w:rPr>
          <w:szCs w:val="22"/>
        </w:rPr>
        <w:t xml:space="preserve"> providing for payment of the fee to P.O. Box 979092 at U.S. Bank in St. Louis, Missouri.</w:t>
      </w:r>
      <w:r w:rsidRPr="00013C5D">
        <w:rPr>
          <w:rStyle w:val="FootnoteReference"/>
          <w:szCs w:val="22"/>
        </w:rPr>
        <w:footnoteReference w:id="10"/>
      </w:r>
      <w:r w:rsidRPr="00013C5D">
        <w:rPr>
          <w:szCs w:val="22"/>
        </w:rPr>
        <w:t xml:space="preserve">  The only current use of Section 1.1109 and P.O. Box 979092 is to collect fees for </w:t>
      </w:r>
      <w:r>
        <w:rPr>
          <w:szCs w:val="22"/>
        </w:rPr>
        <w:t>S</w:t>
      </w:r>
      <w:r w:rsidRPr="00013C5D">
        <w:rPr>
          <w:szCs w:val="22"/>
        </w:rPr>
        <w:t xml:space="preserve">ection 109(b) petitions.  </w:t>
      </w:r>
      <w:r>
        <w:rPr>
          <w:szCs w:val="22"/>
        </w:rPr>
        <w:t>T</w:t>
      </w:r>
      <w:r w:rsidRPr="00013C5D">
        <w:rPr>
          <w:szCs w:val="22"/>
        </w:rPr>
        <w:t xml:space="preserve">he FCC has not received a </w:t>
      </w:r>
      <w:r>
        <w:rPr>
          <w:szCs w:val="22"/>
        </w:rPr>
        <w:t>S</w:t>
      </w:r>
      <w:r w:rsidRPr="00013C5D">
        <w:rPr>
          <w:szCs w:val="22"/>
        </w:rPr>
        <w:t>ection 109(b) petition since 2002.</w:t>
      </w:r>
    </w:p>
    <w:p w14:paraId="7A700EE0" w14:textId="77777777" w:rsidR="00B40007" w:rsidRPr="00B1677C" w:rsidRDefault="00B40007" w:rsidP="00050820">
      <w:pPr>
        <w:pStyle w:val="ParaNum"/>
      </w:pPr>
      <w:r w:rsidRPr="00126976">
        <w:lastRenderedPageBreak/>
        <w:t xml:space="preserve"> </w:t>
      </w:r>
      <w:r>
        <w:t>T</w:t>
      </w:r>
      <w:r w:rsidRPr="00013C5D">
        <w:t xml:space="preserve">he Commission </w:t>
      </w:r>
      <w:r>
        <w:t xml:space="preserve">has started to </w:t>
      </w:r>
      <w:r w:rsidRPr="00013C5D">
        <w:t>migrat</w:t>
      </w:r>
      <w:r>
        <w:t xml:space="preserve">e </w:t>
      </w:r>
      <w:r w:rsidRPr="00013C5D">
        <w:t>away from using P.O. Boxes</w:t>
      </w:r>
      <w:r w:rsidRPr="00013C5D">
        <w:rPr>
          <w:rStyle w:val="FootnoteReference"/>
          <w:szCs w:val="22"/>
        </w:rPr>
        <w:footnoteReference w:id="11"/>
      </w:r>
      <w:r w:rsidRPr="00B1677C">
        <w:t xml:space="preserve"> </w:t>
      </w:r>
      <w:r>
        <w:t xml:space="preserve">and </w:t>
      </w:r>
      <w:r w:rsidRPr="00126976">
        <w:t xml:space="preserve">toward </w:t>
      </w:r>
      <w:r>
        <w:t xml:space="preserve">using </w:t>
      </w:r>
      <w:r w:rsidRPr="00126976">
        <w:t xml:space="preserve">an all-electronic payment system </w:t>
      </w:r>
      <w:r w:rsidRPr="00B1677C">
        <w:t>for all application and regulatory fees.</w:t>
      </w:r>
      <w:r w:rsidRPr="00013C5D">
        <w:rPr>
          <w:rStyle w:val="FootnoteReference"/>
          <w:szCs w:val="22"/>
        </w:rPr>
        <w:footnoteReference w:id="12"/>
      </w:r>
      <w:r w:rsidRPr="00B1677C">
        <w:t xml:space="preserve">  </w:t>
      </w:r>
      <w:r>
        <w:t xml:space="preserve">This change is based on </w:t>
      </w:r>
      <w:r w:rsidRPr="00F1668B">
        <w:rPr>
          <w:szCs w:val="22"/>
        </w:rPr>
        <w:t>U.S. Treasury guidance</w:t>
      </w:r>
      <w:r>
        <w:rPr>
          <w:szCs w:val="22"/>
        </w:rPr>
        <w:t xml:space="preserve"> and is being implemented to </w:t>
      </w:r>
      <w:r w:rsidRPr="00F1668B">
        <w:rPr>
          <w:szCs w:val="22"/>
        </w:rPr>
        <w:t>the extent practicable and otherwise permitted by law</w:t>
      </w:r>
      <w:r>
        <w:rPr>
          <w:szCs w:val="22"/>
        </w:rPr>
        <w:t>.</w:t>
      </w:r>
      <w:r>
        <w:rPr>
          <w:rStyle w:val="FootnoteReference"/>
          <w:szCs w:val="22"/>
        </w:rPr>
        <w:footnoteReference w:id="13"/>
      </w:r>
      <w:r>
        <w:rPr>
          <w:szCs w:val="22"/>
        </w:rPr>
        <w:t xml:space="preserve">  </w:t>
      </w:r>
      <w:r>
        <w:t xml:space="preserve">Utilizing </w:t>
      </w:r>
      <w:r w:rsidRPr="00B1677C">
        <w:t xml:space="preserve">an all-electronic payment system will increase the agency’s financial efficiency by reducing expenditures, including the annual fee for utilizing the bank’s services as well as the cost to manually process each transaction, and will have no measurable impact on telecommunications carriers.  </w:t>
      </w:r>
    </w:p>
    <w:p w14:paraId="37F792C0" w14:textId="7B8C3BE9" w:rsidR="00B40007" w:rsidRPr="00013C5D" w:rsidRDefault="00B40007" w:rsidP="00050820">
      <w:pPr>
        <w:pStyle w:val="ParaNum"/>
      </w:pPr>
      <w:r w:rsidRPr="00013C5D">
        <w:t xml:space="preserve">As part of this effort, we </w:t>
      </w:r>
      <w:r>
        <w:t xml:space="preserve">are </w:t>
      </w:r>
      <w:r w:rsidRPr="00013C5D">
        <w:t>clos</w:t>
      </w:r>
      <w:r>
        <w:t>ing</w:t>
      </w:r>
      <w:r w:rsidRPr="00013C5D">
        <w:t xml:space="preserve"> P.O. Box 979092</w:t>
      </w:r>
      <w:r>
        <w:t xml:space="preserve">.  With this Order, we </w:t>
      </w:r>
      <w:r w:rsidRPr="00013C5D">
        <w:t>amend our rules to reflect this change as indicated in the Appendix.  Future payments</w:t>
      </w:r>
      <w:r>
        <w:t xml:space="preserve"> for any S</w:t>
      </w:r>
      <w:r w:rsidRPr="00013C5D">
        <w:t>ection 109(b) petition</w:t>
      </w:r>
      <w:r>
        <w:t xml:space="preserve"> filed with the Commission</w:t>
      </w:r>
      <w:r w:rsidRPr="00013C5D">
        <w:t xml:space="preserve"> will be made in accordance with the procedures set forth on the Commission’s web site, </w:t>
      </w:r>
      <w:hyperlink r:id="rId8" w:history="1">
        <w:r w:rsidRPr="00146B55">
          <w:rPr>
            <w:rStyle w:val="Hyperlink"/>
            <w:szCs w:val="22"/>
          </w:rPr>
          <w:t>https://www.fcc.gov/licensing-databases/fees</w:t>
        </w:r>
      </w:hyperlink>
      <w:r w:rsidRPr="00013C5D">
        <w:t xml:space="preserve">.  For now, </w:t>
      </w:r>
      <w:r>
        <w:t xml:space="preserve">such </w:t>
      </w:r>
      <w:r w:rsidRPr="00013C5D">
        <w:t xml:space="preserve">payments will be made through the Fee Filer Online System, accessible at </w:t>
      </w:r>
      <w:hyperlink r:id="rId9" w:history="1">
        <w:r w:rsidRPr="00146B55">
          <w:rPr>
            <w:rStyle w:val="Hyperlink"/>
            <w:szCs w:val="22"/>
          </w:rPr>
          <w:t>https://www.fcc.gov/licensing-databases/fees/fee-filer</w:t>
        </w:r>
      </w:hyperlink>
      <w:r w:rsidRPr="00013C5D">
        <w:t xml:space="preserve">, but as we assess and implement </w:t>
      </w:r>
      <w:r w:rsidRPr="00B1677C">
        <w:t xml:space="preserve">U.S. Treasury </w:t>
      </w:r>
      <w:r>
        <w:t xml:space="preserve">guidance on </w:t>
      </w:r>
      <w:r w:rsidRPr="00B1677C">
        <w:t>a</w:t>
      </w:r>
      <w:r>
        <w:t xml:space="preserve">n all-electronic payment system, </w:t>
      </w:r>
      <w:r w:rsidRPr="00013C5D">
        <w:t>we may transition to other secure payment systems with appropriate public notice and guidance.  We make this change without notice and comment because it is a rule of agency organization, procedure, or practice exempt from the general notice-and-comment requirements of the Administrative Procedure Act.</w:t>
      </w:r>
      <w:r w:rsidRPr="00013C5D">
        <w:rPr>
          <w:rStyle w:val="FootnoteReference"/>
          <w:szCs w:val="22"/>
        </w:rPr>
        <w:footnoteReference w:id="14"/>
      </w:r>
      <w:r w:rsidRPr="00013C5D">
        <w:t xml:space="preserve">  </w:t>
      </w:r>
      <w:r>
        <w:t xml:space="preserve">To file </w:t>
      </w:r>
      <w:r>
        <w:rPr>
          <w:szCs w:val="22"/>
        </w:rPr>
        <w:t>S</w:t>
      </w:r>
      <w:r w:rsidRPr="00013C5D">
        <w:rPr>
          <w:szCs w:val="22"/>
        </w:rPr>
        <w:t xml:space="preserve">ection 109(b) </w:t>
      </w:r>
      <w:r>
        <w:t xml:space="preserve">petitions electronically, parties should utilize the Commission’s ECFS filing system, which can be found at </w:t>
      </w:r>
      <w:hyperlink r:id="rId10" w:history="1">
        <w:r w:rsidRPr="00146B55">
          <w:rPr>
            <w:rStyle w:val="Hyperlink"/>
            <w:szCs w:val="22"/>
          </w:rPr>
          <w:t>http://apps.fcc.gov/ecfs/upload/display</w:t>
        </w:r>
      </w:hyperlink>
      <w:r>
        <w:rPr>
          <w:szCs w:val="22"/>
        </w:rPr>
        <w:t xml:space="preserve">.  Petitions filed in hard copy format should be submitted according to </w:t>
      </w:r>
      <w:r w:rsidRPr="00146B55">
        <w:rPr>
          <w:szCs w:val="22"/>
        </w:rPr>
        <w:t xml:space="preserve">the procedures set forth on the web page of the FCC’s Office of the Secretary, </w:t>
      </w:r>
      <w:hyperlink r:id="rId11" w:history="1">
        <w:r w:rsidRPr="00DE6C8B">
          <w:rPr>
            <w:rStyle w:val="Hyperlink"/>
            <w:szCs w:val="22"/>
          </w:rPr>
          <w:t>https://www.fcc.gov/secretary</w:t>
        </w:r>
      </w:hyperlink>
      <w:r>
        <w:rPr>
          <w:szCs w:val="22"/>
        </w:rPr>
        <w:t xml:space="preserve">. </w:t>
      </w:r>
    </w:p>
    <w:p w14:paraId="2FC58E77" w14:textId="77777777" w:rsidR="00B40007" w:rsidRPr="00013C5D" w:rsidRDefault="00B40007" w:rsidP="00E44131">
      <w:pPr>
        <w:pStyle w:val="ParaNum"/>
        <w:rPr>
          <w:szCs w:val="22"/>
        </w:rPr>
      </w:pPr>
      <w:r w:rsidRPr="00013C5D">
        <w:rPr>
          <w:szCs w:val="22"/>
        </w:rPr>
        <w:t xml:space="preserve">ACCORDINGLY, IT IS ORDERED, that pursuant to </w:t>
      </w:r>
      <w:r>
        <w:rPr>
          <w:szCs w:val="22"/>
        </w:rPr>
        <w:t>S</w:t>
      </w:r>
      <w:r w:rsidRPr="00013C5D">
        <w:rPr>
          <w:szCs w:val="22"/>
        </w:rPr>
        <w:t xml:space="preserve">ections 4(i), 4(j), 201(b), </w:t>
      </w:r>
      <w:r>
        <w:rPr>
          <w:szCs w:val="22"/>
        </w:rPr>
        <w:t xml:space="preserve">and </w:t>
      </w:r>
      <w:r w:rsidRPr="00013C5D">
        <w:rPr>
          <w:szCs w:val="22"/>
        </w:rPr>
        <w:t>229(a) of the Communications Act of 1934, as amended, 47 U.S.C. §§ 154(i), 154(j), 201(b), 229(a), 47 CFR Part 1 IS AMENDED as set forth below.</w:t>
      </w:r>
    </w:p>
    <w:p w14:paraId="779BC16B" w14:textId="77777777" w:rsidR="00050820" w:rsidRDefault="00050820" w:rsidP="00E44131">
      <w:pPr>
        <w:pStyle w:val="ParaNum"/>
        <w:keepNext/>
        <w:numPr>
          <w:ilvl w:val="0"/>
          <w:numId w:val="0"/>
        </w:numPr>
        <w:spacing w:after="0"/>
        <w:rPr>
          <w:szCs w:val="22"/>
        </w:rPr>
      </w:pPr>
    </w:p>
    <w:p w14:paraId="48F74658" w14:textId="77777777" w:rsidR="00B40007" w:rsidRPr="00013C5D" w:rsidRDefault="00B40007" w:rsidP="00E44131">
      <w:pPr>
        <w:pStyle w:val="ParaNum"/>
        <w:keepNext/>
        <w:numPr>
          <w:ilvl w:val="0"/>
          <w:numId w:val="0"/>
        </w:numPr>
        <w:spacing w:after="0"/>
        <w:rPr>
          <w:szCs w:val="22"/>
        </w:rPr>
      </w:pPr>
      <w:r w:rsidRPr="00013C5D">
        <w:rPr>
          <w:szCs w:val="22"/>
        </w:rPr>
        <w:tab/>
      </w:r>
      <w:r w:rsidRPr="00013C5D">
        <w:rPr>
          <w:szCs w:val="22"/>
        </w:rPr>
        <w:tab/>
      </w:r>
      <w:r w:rsidRPr="00013C5D">
        <w:rPr>
          <w:szCs w:val="22"/>
        </w:rPr>
        <w:tab/>
      </w:r>
      <w:r w:rsidRPr="00013C5D">
        <w:rPr>
          <w:szCs w:val="22"/>
        </w:rPr>
        <w:tab/>
      </w:r>
      <w:r w:rsidRPr="00013C5D">
        <w:rPr>
          <w:szCs w:val="22"/>
        </w:rPr>
        <w:tab/>
      </w:r>
      <w:r w:rsidRPr="00013C5D">
        <w:rPr>
          <w:szCs w:val="22"/>
        </w:rPr>
        <w:tab/>
        <w:t>FEDERAL COMMUNICATIONS COMMISSION</w:t>
      </w:r>
    </w:p>
    <w:p w14:paraId="51527303" w14:textId="77777777" w:rsidR="00B40007" w:rsidRPr="00013C5D" w:rsidRDefault="00B40007" w:rsidP="00E44131">
      <w:pPr>
        <w:pStyle w:val="ParaNum"/>
        <w:keepNext/>
        <w:numPr>
          <w:ilvl w:val="0"/>
          <w:numId w:val="0"/>
        </w:numPr>
        <w:spacing w:after="0"/>
        <w:rPr>
          <w:szCs w:val="22"/>
        </w:rPr>
      </w:pPr>
    </w:p>
    <w:p w14:paraId="2D582699" w14:textId="77777777" w:rsidR="00050820" w:rsidRDefault="00050820" w:rsidP="00050820">
      <w:pPr>
        <w:pStyle w:val="ParaNum"/>
        <w:keepNext/>
        <w:numPr>
          <w:ilvl w:val="0"/>
          <w:numId w:val="0"/>
        </w:numPr>
        <w:spacing w:after="0"/>
        <w:rPr>
          <w:szCs w:val="22"/>
        </w:rPr>
      </w:pPr>
    </w:p>
    <w:p w14:paraId="29CD97D2" w14:textId="77777777" w:rsidR="00050820" w:rsidRDefault="00050820" w:rsidP="00050820">
      <w:pPr>
        <w:pStyle w:val="ParaNum"/>
        <w:keepNext/>
        <w:numPr>
          <w:ilvl w:val="0"/>
          <w:numId w:val="0"/>
        </w:numPr>
        <w:spacing w:after="0"/>
        <w:rPr>
          <w:szCs w:val="22"/>
        </w:rPr>
      </w:pPr>
    </w:p>
    <w:p w14:paraId="4F461DC4" w14:textId="77777777" w:rsidR="00050820" w:rsidRDefault="00050820" w:rsidP="00050820">
      <w:pPr>
        <w:pStyle w:val="ParaNum"/>
        <w:keepNext/>
        <w:numPr>
          <w:ilvl w:val="0"/>
          <w:numId w:val="0"/>
        </w:numPr>
        <w:spacing w:after="0"/>
        <w:rPr>
          <w:szCs w:val="22"/>
        </w:rPr>
      </w:pPr>
    </w:p>
    <w:p w14:paraId="63131A25" w14:textId="77777777" w:rsidR="00B40007" w:rsidRPr="00013C5D" w:rsidRDefault="00B40007" w:rsidP="00050820">
      <w:pPr>
        <w:pStyle w:val="ParaNum"/>
        <w:keepNext/>
        <w:numPr>
          <w:ilvl w:val="0"/>
          <w:numId w:val="0"/>
        </w:numPr>
        <w:spacing w:after="0"/>
        <w:rPr>
          <w:szCs w:val="22"/>
        </w:rPr>
      </w:pPr>
      <w:r w:rsidRPr="00013C5D">
        <w:rPr>
          <w:szCs w:val="22"/>
        </w:rPr>
        <w:tab/>
      </w:r>
      <w:r w:rsidRPr="00013C5D">
        <w:rPr>
          <w:szCs w:val="22"/>
        </w:rPr>
        <w:tab/>
      </w:r>
      <w:r w:rsidRPr="00013C5D">
        <w:rPr>
          <w:szCs w:val="22"/>
        </w:rPr>
        <w:tab/>
      </w:r>
      <w:r w:rsidRPr="00013C5D">
        <w:rPr>
          <w:szCs w:val="22"/>
        </w:rPr>
        <w:tab/>
      </w:r>
      <w:r w:rsidRPr="00013C5D">
        <w:rPr>
          <w:szCs w:val="22"/>
        </w:rPr>
        <w:tab/>
      </w:r>
      <w:r w:rsidRPr="00013C5D">
        <w:rPr>
          <w:szCs w:val="22"/>
        </w:rPr>
        <w:tab/>
        <w:t>Marlene H. Dortch</w:t>
      </w:r>
    </w:p>
    <w:p w14:paraId="6EDEF865" w14:textId="77777777" w:rsidR="00B40007" w:rsidRPr="00013C5D" w:rsidRDefault="00B40007" w:rsidP="00050820">
      <w:pPr>
        <w:pStyle w:val="ParaNum"/>
        <w:numPr>
          <w:ilvl w:val="0"/>
          <w:numId w:val="0"/>
        </w:numPr>
        <w:spacing w:after="0"/>
        <w:rPr>
          <w:szCs w:val="22"/>
        </w:rPr>
      </w:pPr>
      <w:r w:rsidRPr="00013C5D">
        <w:rPr>
          <w:szCs w:val="22"/>
        </w:rPr>
        <w:tab/>
      </w:r>
      <w:r w:rsidRPr="00013C5D">
        <w:rPr>
          <w:szCs w:val="22"/>
        </w:rPr>
        <w:tab/>
      </w:r>
      <w:r w:rsidRPr="00013C5D">
        <w:rPr>
          <w:szCs w:val="22"/>
        </w:rPr>
        <w:tab/>
      </w:r>
      <w:r w:rsidRPr="00013C5D">
        <w:rPr>
          <w:szCs w:val="22"/>
        </w:rPr>
        <w:tab/>
      </w:r>
      <w:r w:rsidRPr="00013C5D">
        <w:rPr>
          <w:szCs w:val="22"/>
        </w:rPr>
        <w:tab/>
      </w:r>
      <w:r w:rsidRPr="00013C5D">
        <w:rPr>
          <w:szCs w:val="22"/>
        </w:rPr>
        <w:tab/>
        <w:t>Secretary</w:t>
      </w:r>
    </w:p>
    <w:p w14:paraId="1CDF60CF" w14:textId="3871E1A1" w:rsidR="00A27CEE" w:rsidRDefault="00A27CEE" w:rsidP="00A27CEE">
      <w:pPr>
        <w:pStyle w:val="ParaNum"/>
        <w:widowControl/>
        <w:numPr>
          <w:ilvl w:val="0"/>
          <w:numId w:val="0"/>
        </w:numPr>
        <w:spacing w:after="240"/>
        <w:rPr>
          <w:szCs w:val="22"/>
        </w:rPr>
      </w:pPr>
      <w:r>
        <w:rPr>
          <w:szCs w:val="22"/>
        </w:rPr>
        <w:br w:type="page"/>
      </w:r>
    </w:p>
    <w:p w14:paraId="54069014" w14:textId="77777777" w:rsidR="00B40007" w:rsidRPr="00050820" w:rsidRDefault="00B40007" w:rsidP="00E44131">
      <w:pPr>
        <w:pStyle w:val="ParaNum"/>
        <w:widowControl/>
        <w:numPr>
          <w:ilvl w:val="0"/>
          <w:numId w:val="0"/>
        </w:numPr>
        <w:autoSpaceDE w:val="0"/>
        <w:autoSpaceDN w:val="0"/>
        <w:adjustRightInd w:val="0"/>
        <w:jc w:val="center"/>
        <w:rPr>
          <w:b/>
          <w:caps/>
          <w:szCs w:val="22"/>
        </w:rPr>
      </w:pPr>
      <w:r w:rsidRPr="00050820">
        <w:rPr>
          <w:b/>
          <w:caps/>
          <w:szCs w:val="22"/>
        </w:rPr>
        <w:lastRenderedPageBreak/>
        <w:t>Appendix</w:t>
      </w:r>
    </w:p>
    <w:p w14:paraId="1AD229B5" w14:textId="77777777" w:rsidR="00B40007" w:rsidRPr="00013C5D" w:rsidRDefault="00B40007" w:rsidP="00050820">
      <w:pPr>
        <w:autoSpaceDE w:val="0"/>
        <w:autoSpaceDN w:val="0"/>
        <w:adjustRightInd w:val="0"/>
        <w:jc w:val="center"/>
        <w:rPr>
          <w:b/>
          <w:szCs w:val="22"/>
        </w:rPr>
      </w:pPr>
      <w:r w:rsidRPr="00013C5D">
        <w:rPr>
          <w:b/>
          <w:szCs w:val="22"/>
        </w:rPr>
        <w:t>Final Rules</w:t>
      </w:r>
    </w:p>
    <w:p w14:paraId="0B96C173" w14:textId="23543DAC" w:rsidR="00B40007" w:rsidRPr="00013C5D" w:rsidRDefault="00B40007" w:rsidP="00E44131">
      <w:pPr>
        <w:pStyle w:val="ParaNum"/>
        <w:numPr>
          <w:ilvl w:val="0"/>
          <w:numId w:val="0"/>
        </w:numPr>
        <w:jc w:val="center"/>
        <w:rPr>
          <w:szCs w:val="22"/>
        </w:rPr>
      </w:pPr>
    </w:p>
    <w:p w14:paraId="31881133" w14:textId="77777777" w:rsidR="00B40007" w:rsidRPr="00013C5D" w:rsidRDefault="00B40007" w:rsidP="00E44131">
      <w:pPr>
        <w:autoSpaceDE w:val="0"/>
        <w:autoSpaceDN w:val="0"/>
        <w:adjustRightInd w:val="0"/>
        <w:spacing w:after="120"/>
        <w:rPr>
          <w:szCs w:val="22"/>
        </w:rPr>
      </w:pPr>
      <w:r w:rsidRPr="00013C5D">
        <w:rPr>
          <w:szCs w:val="22"/>
        </w:rPr>
        <w:t>Title 47 of the Code of Federal Regulations, Part 1, is amended as follows:</w:t>
      </w:r>
    </w:p>
    <w:p w14:paraId="025875B2" w14:textId="77777777" w:rsidR="00B40007" w:rsidRPr="00013C5D" w:rsidRDefault="00B40007" w:rsidP="00050820">
      <w:pPr>
        <w:pStyle w:val="ParaNum"/>
        <w:numPr>
          <w:ilvl w:val="0"/>
          <w:numId w:val="0"/>
        </w:numPr>
        <w:rPr>
          <w:szCs w:val="22"/>
        </w:rPr>
      </w:pPr>
      <w:r w:rsidRPr="00013C5D">
        <w:rPr>
          <w:szCs w:val="22"/>
        </w:rPr>
        <w:t>PART 1 — PRACTICE AND PROCEDURE</w:t>
      </w:r>
    </w:p>
    <w:p w14:paraId="16A7EE41" w14:textId="77777777" w:rsidR="00B40007" w:rsidRPr="00013C5D" w:rsidRDefault="00B40007" w:rsidP="00050820">
      <w:pPr>
        <w:pStyle w:val="ParaNum"/>
        <w:numPr>
          <w:ilvl w:val="0"/>
          <w:numId w:val="0"/>
        </w:numPr>
        <w:rPr>
          <w:szCs w:val="22"/>
        </w:rPr>
      </w:pPr>
      <w:r w:rsidRPr="00013C5D">
        <w:rPr>
          <w:szCs w:val="22"/>
        </w:rPr>
        <w:t xml:space="preserve">1. The authority citation for Part 1 </w:t>
      </w:r>
      <w:r>
        <w:rPr>
          <w:szCs w:val="22"/>
        </w:rPr>
        <w:t>is revised</w:t>
      </w:r>
      <w:r w:rsidRPr="00013C5D">
        <w:rPr>
          <w:szCs w:val="22"/>
        </w:rPr>
        <w:t xml:space="preserve"> to read as follows:</w:t>
      </w:r>
    </w:p>
    <w:p w14:paraId="436BFD1F" w14:textId="77777777" w:rsidR="00B40007" w:rsidRPr="00013C5D" w:rsidRDefault="00B40007" w:rsidP="00050820">
      <w:pPr>
        <w:pStyle w:val="ParaNum"/>
        <w:numPr>
          <w:ilvl w:val="0"/>
          <w:numId w:val="0"/>
        </w:numPr>
        <w:rPr>
          <w:szCs w:val="22"/>
        </w:rPr>
      </w:pPr>
      <w:r w:rsidRPr="00013C5D">
        <w:rPr>
          <w:szCs w:val="22"/>
        </w:rPr>
        <w:t xml:space="preserve">Authority: </w:t>
      </w:r>
      <w:r w:rsidRPr="00F0312A">
        <w:rPr>
          <w:szCs w:val="22"/>
        </w:rPr>
        <w:t>47 U.S.C. 151, 154(i), 154(j), 155, 157, 160, 201, 225, 227, 303, 309, 332, 1403, 1404, 1451, 1452, and 1455.</w:t>
      </w:r>
      <w:r>
        <w:rPr>
          <w:szCs w:val="22"/>
        </w:rPr>
        <w:t xml:space="preserve">  </w:t>
      </w:r>
    </w:p>
    <w:p w14:paraId="20DA6003" w14:textId="77777777" w:rsidR="00B40007" w:rsidRPr="00013C5D" w:rsidRDefault="00B40007" w:rsidP="00050820">
      <w:pPr>
        <w:pStyle w:val="ParaNum"/>
        <w:numPr>
          <w:ilvl w:val="0"/>
          <w:numId w:val="0"/>
        </w:numPr>
        <w:rPr>
          <w:szCs w:val="22"/>
        </w:rPr>
      </w:pPr>
      <w:r w:rsidRPr="00013C5D">
        <w:rPr>
          <w:szCs w:val="22"/>
        </w:rPr>
        <w:t>2. Amend § 1.1109 as follows:</w:t>
      </w:r>
    </w:p>
    <w:p w14:paraId="74A20D15" w14:textId="77777777" w:rsidR="00B40007" w:rsidRPr="00013C5D" w:rsidRDefault="00B40007" w:rsidP="00050820">
      <w:pPr>
        <w:pStyle w:val="ParaNum"/>
        <w:numPr>
          <w:ilvl w:val="0"/>
          <w:numId w:val="0"/>
        </w:numPr>
        <w:rPr>
          <w:szCs w:val="22"/>
        </w:rPr>
      </w:pPr>
      <w:r w:rsidRPr="00013C5D">
        <w:rPr>
          <w:szCs w:val="22"/>
        </w:rPr>
        <w:t>§ 1.1109 Schedule of charges for applications and other filings for the Homeland services.</w:t>
      </w:r>
    </w:p>
    <w:p w14:paraId="07DCCF1A" w14:textId="72025D30" w:rsidR="00B40007" w:rsidRPr="003476EE" w:rsidRDefault="00B40007" w:rsidP="00050820">
      <w:pPr>
        <w:pStyle w:val="ParaNum"/>
        <w:numPr>
          <w:ilvl w:val="0"/>
          <w:numId w:val="0"/>
        </w:numPr>
        <w:rPr>
          <w:sz w:val="20"/>
        </w:rPr>
      </w:pPr>
      <w:r w:rsidRPr="00C563D1">
        <w:rPr>
          <w:szCs w:val="22"/>
        </w:rPr>
        <w:t xml:space="preserve">Remit filings and/or payment for these services </w:t>
      </w:r>
      <w:r w:rsidRPr="00C563D1">
        <w:rPr>
          <w:color w:val="000000"/>
          <w:szCs w:val="22"/>
        </w:rPr>
        <w:t>elect</w:t>
      </w:r>
      <w:r>
        <w:rPr>
          <w:color w:val="000000"/>
          <w:szCs w:val="22"/>
        </w:rPr>
        <w:t>ronically using the Commission’</w:t>
      </w:r>
      <w:r w:rsidRPr="00C563D1">
        <w:rPr>
          <w:color w:val="000000"/>
          <w:szCs w:val="22"/>
        </w:rPr>
        <w:t>s electronic filing and payment system</w:t>
      </w:r>
      <w:r>
        <w:rPr>
          <w:color w:val="000000"/>
          <w:szCs w:val="22"/>
        </w:rPr>
        <w:t>, in accordance with t</w:t>
      </w:r>
      <w:r>
        <w:rPr>
          <w:szCs w:val="22"/>
        </w:rPr>
        <w:t xml:space="preserve">he procedures set forth on </w:t>
      </w:r>
      <w:r w:rsidRPr="00C563D1">
        <w:rPr>
          <w:szCs w:val="22"/>
        </w:rPr>
        <w:t xml:space="preserve">the Commission’s web site, </w:t>
      </w:r>
      <w:hyperlink r:id="rId12" w:history="1">
        <w:r w:rsidRPr="00146B55">
          <w:rPr>
            <w:rStyle w:val="Hyperlink"/>
            <w:szCs w:val="22"/>
          </w:rPr>
          <w:t>https://www.fcc.gov/licensing-databases/fees</w:t>
        </w:r>
      </w:hyperlink>
      <w:r w:rsidRPr="00C563D1">
        <w:rPr>
          <w:szCs w:val="22"/>
        </w:rPr>
        <w:t>.</w:t>
      </w:r>
    </w:p>
    <w:p w14:paraId="3D01BE49" w14:textId="77777777" w:rsidR="00B40007" w:rsidRPr="003476EE" w:rsidRDefault="00B40007" w:rsidP="00050820">
      <w:pPr>
        <w:pStyle w:val="ParaNum"/>
        <w:numPr>
          <w:ilvl w:val="0"/>
          <w:numId w:val="0"/>
        </w:numPr>
        <w:rPr>
          <w:sz w:val="20"/>
        </w:rPr>
      </w:pPr>
    </w:p>
    <w:tbl>
      <w:tblPr>
        <w:tblW w:w="5155"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48"/>
        <w:gridCol w:w="1899"/>
        <w:gridCol w:w="1268"/>
        <w:gridCol w:w="1266"/>
      </w:tblGrid>
      <w:tr w:rsidR="00B40007" w:rsidRPr="00120760" w14:paraId="37813D42" w14:textId="77777777" w:rsidTr="00EC371D">
        <w:tc>
          <w:tcPr>
            <w:tcW w:w="2710" w:type="pct"/>
            <w:tcBorders>
              <w:top w:val="single" w:sz="8" w:space="0" w:color="000000"/>
              <w:left w:val="single" w:sz="8" w:space="0" w:color="000000"/>
              <w:bottom w:val="single" w:sz="8" w:space="0" w:color="000000"/>
              <w:right w:val="single" w:sz="8" w:space="0" w:color="000000"/>
            </w:tcBorders>
            <w:tcMar>
              <w:top w:w="120" w:type="dxa"/>
              <w:left w:w="15" w:type="dxa"/>
              <w:bottom w:w="15" w:type="dxa"/>
              <w:right w:w="15" w:type="dxa"/>
            </w:tcMar>
            <w:vAlign w:val="center"/>
            <w:hideMark/>
          </w:tcPr>
          <w:p w14:paraId="06EDC5F3" w14:textId="77777777" w:rsidR="00B40007" w:rsidRPr="00120760" w:rsidRDefault="00B40007" w:rsidP="00DA1AA4">
            <w:pPr>
              <w:widowControl/>
              <w:spacing w:before="100" w:beforeAutospacing="1" w:after="100" w:afterAutospacing="1"/>
              <w:ind w:left="-685" w:firstLine="685"/>
              <w:jc w:val="center"/>
              <w:rPr>
                <w:snapToGrid/>
                <w:kern w:val="0"/>
                <w:sz w:val="24"/>
                <w:szCs w:val="24"/>
              </w:rPr>
            </w:pPr>
            <w:r w:rsidRPr="00120760">
              <w:rPr>
                <w:b/>
                <w:bCs/>
                <w:snapToGrid/>
                <w:kern w:val="0"/>
                <w:sz w:val="24"/>
                <w:szCs w:val="24"/>
              </w:rPr>
              <w:t>Service</w:t>
            </w:r>
          </w:p>
        </w:tc>
        <w:tc>
          <w:tcPr>
            <w:tcW w:w="981" w:type="pct"/>
            <w:tcBorders>
              <w:top w:val="single" w:sz="8" w:space="0" w:color="000000"/>
              <w:left w:val="nil"/>
              <w:bottom w:val="single" w:sz="8" w:space="0" w:color="000000"/>
              <w:right w:val="single" w:sz="8" w:space="0" w:color="000000"/>
            </w:tcBorders>
            <w:tcMar>
              <w:top w:w="120" w:type="dxa"/>
              <w:left w:w="15" w:type="dxa"/>
              <w:bottom w:w="15" w:type="dxa"/>
              <w:right w:w="15" w:type="dxa"/>
            </w:tcMar>
            <w:vAlign w:val="center"/>
            <w:hideMark/>
          </w:tcPr>
          <w:p w14:paraId="6ACF9D11" w14:textId="77777777" w:rsidR="00B40007" w:rsidRPr="00120760" w:rsidRDefault="00B40007">
            <w:pPr>
              <w:widowControl/>
              <w:spacing w:before="100" w:beforeAutospacing="1" w:after="100" w:afterAutospacing="1"/>
              <w:jc w:val="center"/>
              <w:rPr>
                <w:snapToGrid/>
                <w:kern w:val="0"/>
                <w:sz w:val="24"/>
                <w:szCs w:val="24"/>
              </w:rPr>
            </w:pPr>
            <w:r w:rsidRPr="00120760">
              <w:rPr>
                <w:b/>
                <w:bCs/>
                <w:snapToGrid/>
                <w:kern w:val="0"/>
                <w:sz w:val="24"/>
                <w:szCs w:val="24"/>
              </w:rPr>
              <w:t>FCC Form No.</w:t>
            </w:r>
          </w:p>
        </w:tc>
        <w:tc>
          <w:tcPr>
            <w:tcW w:w="655" w:type="pct"/>
            <w:tcBorders>
              <w:top w:val="single" w:sz="8" w:space="0" w:color="000000"/>
              <w:left w:val="nil"/>
              <w:bottom w:val="single" w:sz="8" w:space="0" w:color="000000"/>
              <w:right w:val="single" w:sz="8" w:space="0" w:color="000000"/>
            </w:tcBorders>
            <w:tcMar>
              <w:top w:w="120" w:type="dxa"/>
              <w:left w:w="15" w:type="dxa"/>
              <w:bottom w:w="15" w:type="dxa"/>
              <w:right w:w="15" w:type="dxa"/>
            </w:tcMar>
            <w:vAlign w:val="center"/>
            <w:hideMark/>
          </w:tcPr>
          <w:p w14:paraId="39C9924F" w14:textId="77777777" w:rsidR="00B40007" w:rsidRPr="00120760" w:rsidRDefault="00B40007">
            <w:pPr>
              <w:widowControl/>
              <w:spacing w:before="100" w:beforeAutospacing="1" w:after="100" w:afterAutospacing="1"/>
              <w:jc w:val="center"/>
              <w:rPr>
                <w:snapToGrid/>
                <w:kern w:val="0"/>
                <w:sz w:val="24"/>
                <w:szCs w:val="24"/>
              </w:rPr>
            </w:pPr>
            <w:r w:rsidRPr="00120760">
              <w:rPr>
                <w:b/>
                <w:bCs/>
                <w:snapToGrid/>
                <w:kern w:val="0"/>
                <w:sz w:val="24"/>
                <w:szCs w:val="24"/>
              </w:rPr>
              <w:t>Fee</w:t>
            </w:r>
            <w:r w:rsidRPr="00120760">
              <w:rPr>
                <w:b/>
                <w:bCs/>
                <w:snapToGrid/>
                <w:kern w:val="0"/>
                <w:sz w:val="24"/>
                <w:szCs w:val="24"/>
              </w:rPr>
              <w:br/>
              <w:t>amount</w:t>
            </w:r>
          </w:p>
        </w:tc>
        <w:tc>
          <w:tcPr>
            <w:tcW w:w="654" w:type="pct"/>
            <w:tcBorders>
              <w:top w:val="single" w:sz="8" w:space="0" w:color="000000"/>
              <w:left w:val="nil"/>
              <w:bottom w:val="single" w:sz="8" w:space="0" w:color="000000"/>
              <w:right w:val="single" w:sz="8" w:space="0" w:color="000000"/>
            </w:tcBorders>
            <w:tcMar>
              <w:top w:w="120" w:type="dxa"/>
              <w:left w:w="15" w:type="dxa"/>
              <w:bottom w:w="15" w:type="dxa"/>
              <w:right w:w="15" w:type="dxa"/>
            </w:tcMar>
            <w:vAlign w:val="center"/>
            <w:hideMark/>
          </w:tcPr>
          <w:p w14:paraId="04FEA15E" w14:textId="77777777" w:rsidR="00B40007" w:rsidRPr="00120760" w:rsidRDefault="00B40007">
            <w:pPr>
              <w:widowControl/>
              <w:spacing w:before="100" w:beforeAutospacing="1" w:after="100" w:afterAutospacing="1"/>
              <w:jc w:val="center"/>
              <w:rPr>
                <w:snapToGrid/>
                <w:kern w:val="0"/>
                <w:sz w:val="24"/>
                <w:szCs w:val="24"/>
              </w:rPr>
            </w:pPr>
            <w:r w:rsidRPr="00120760">
              <w:rPr>
                <w:b/>
                <w:bCs/>
                <w:snapToGrid/>
                <w:kern w:val="0"/>
                <w:sz w:val="24"/>
                <w:szCs w:val="24"/>
              </w:rPr>
              <w:t>Payment</w:t>
            </w:r>
            <w:r w:rsidRPr="00120760">
              <w:rPr>
                <w:b/>
                <w:bCs/>
                <w:snapToGrid/>
                <w:kern w:val="0"/>
                <w:sz w:val="24"/>
                <w:szCs w:val="24"/>
              </w:rPr>
              <w:br/>
              <w:t>type</w:t>
            </w:r>
            <w:r w:rsidRPr="00120760">
              <w:rPr>
                <w:b/>
                <w:bCs/>
                <w:snapToGrid/>
                <w:kern w:val="0"/>
                <w:sz w:val="24"/>
                <w:szCs w:val="24"/>
              </w:rPr>
              <w:br/>
              <w:t>code</w:t>
            </w:r>
          </w:p>
        </w:tc>
      </w:tr>
      <w:tr w:rsidR="00B40007" w:rsidRPr="00120760" w14:paraId="76B92BD2" w14:textId="77777777" w:rsidTr="00EC371D">
        <w:tc>
          <w:tcPr>
            <w:tcW w:w="2710" w:type="pct"/>
            <w:tcBorders>
              <w:top w:val="nil"/>
              <w:left w:val="single" w:sz="8" w:space="0" w:color="000000"/>
              <w:bottom w:val="single" w:sz="8" w:space="0" w:color="000000"/>
              <w:right w:val="single" w:sz="8" w:space="0" w:color="000000"/>
            </w:tcBorders>
            <w:tcMar>
              <w:top w:w="120" w:type="dxa"/>
              <w:left w:w="15" w:type="dxa"/>
              <w:bottom w:w="15" w:type="dxa"/>
              <w:right w:w="15" w:type="dxa"/>
            </w:tcMar>
            <w:hideMark/>
          </w:tcPr>
          <w:p w14:paraId="7417E9F6" w14:textId="77777777" w:rsidR="00B40007" w:rsidRPr="00120760" w:rsidRDefault="00B40007" w:rsidP="00050820">
            <w:pPr>
              <w:widowControl/>
              <w:spacing w:before="100" w:beforeAutospacing="1" w:after="100" w:afterAutospacing="1"/>
              <w:rPr>
                <w:snapToGrid/>
                <w:kern w:val="0"/>
                <w:sz w:val="24"/>
                <w:szCs w:val="24"/>
              </w:rPr>
            </w:pPr>
            <w:r w:rsidRPr="009C0DB0">
              <w:rPr>
                <w:b/>
                <w:snapToGrid/>
                <w:kern w:val="0"/>
                <w:sz w:val="24"/>
                <w:szCs w:val="24"/>
              </w:rPr>
              <w:t xml:space="preserve">1. Communication Assistance for Law Enforcement </w:t>
            </w:r>
            <w:r w:rsidRPr="009C0DB0">
              <w:rPr>
                <w:b/>
                <w:szCs w:val="22"/>
              </w:rPr>
              <w:t xml:space="preserve"> </w:t>
            </w:r>
            <w:r w:rsidRPr="009C0DB0">
              <w:rPr>
                <w:b/>
                <w:snapToGrid/>
                <w:kern w:val="0"/>
                <w:sz w:val="24"/>
                <w:szCs w:val="24"/>
              </w:rPr>
              <w:t>(CALEA)</w:t>
            </w:r>
            <w:r w:rsidRPr="00120760">
              <w:rPr>
                <w:snapToGrid/>
                <w:kern w:val="0"/>
                <w:sz w:val="24"/>
                <w:szCs w:val="24"/>
              </w:rPr>
              <w:t xml:space="preserve"> Petitions</w:t>
            </w:r>
          </w:p>
        </w:tc>
        <w:tc>
          <w:tcPr>
            <w:tcW w:w="981" w:type="pct"/>
            <w:tcBorders>
              <w:top w:val="nil"/>
              <w:left w:val="nil"/>
              <w:bottom w:val="single" w:sz="8" w:space="0" w:color="000000"/>
              <w:right w:val="single" w:sz="8" w:space="0" w:color="000000"/>
            </w:tcBorders>
            <w:tcMar>
              <w:top w:w="120" w:type="dxa"/>
              <w:left w:w="15" w:type="dxa"/>
              <w:bottom w:w="15" w:type="dxa"/>
              <w:right w:w="15" w:type="dxa"/>
            </w:tcMar>
            <w:hideMark/>
          </w:tcPr>
          <w:p w14:paraId="54776C2A" w14:textId="77777777" w:rsidR="00B40007" w:rsidRPr="00120760" w:rsidRDefault="00B40007" w:rsidP="00050820">
            <w:pPr>
              <w:widowControl/>
              <w:spacing w:before="100" w:beforeAutospacing="1" w:after="100" w:afterAutospacing="1"/>
              <w:rPr>
                <w:snapToGrid/>
                <w:kern w:val="0"/>
                <w:sz w:val="24"/>
                <w:szCs w:val="24"/>
              </w:rPr>
            </w:pPr>
            <w:r w:rsidRPr="00120760">
              <w:rPr>
                <w:snapToGrid/>
                <w:kern w:val="0"/>
                <w:sz w:val="24"/>
                <w:szCs w:val="24"/>
              </w:rPr>
              <w:t>Corres &amp; 159</w:t>
            </w:r>
          </w:p>
        </w:tc>
        <w:tc>
          <w:tcPr>
            <w:tcW w:w="655" w:type="pct"/>
            <w:tcBorders>
              <w:top w:val="nil"/>
              <w:left w:val="nil"/>
              <w:bottom w:val="single" w:sz="8" w:space="0" w:color="000000"/>
              <w:right w:val="single" w:sz="8" w:space="0" w:color="000000"/>
            </w:tcBorders>
            <w:tcMar>
              <w:top w:w="120" w:type="dxa"/>
              <w:left w:w="15" w:type="dxa"/>
              <w:bottom w:w="15" w:type="dxa"/>
              <w:right w:w="15" w:type="dxa"/>
            </w:tcMar>
            <w:hideMark/>
          </w:tcPr>
          <w:p w14:paraId="047D7362" w14:textId="77777777" w:rsidR="00B40007" w:rsidRPr="00120760" w:rsidRDefault="00B40007" w:rsidP="00050820">
            <w:pPr>
              <w:widowControl/>
              <w:spacing w:before="100" w:beforeAutospacing="1" w:after="100" w:afterAutospacing="1"/>
              <w:jc w:val="center"/>
              <w:rPr>
                <w:snapToGrid/>
                <w:kern w:val="0"/>
                <w:sz w:val="24"/>
                <w:szCs w:val="24"/>
              </w:rPr>
            </w:pPr>
            <w:r>
              <w:rPr>
                <w:snapToGrid/>
                <w:kern w:val="0"/>
                <w:sz w:val="24"/>
                <w:szCs w:val="24"/>
              </w:rPr>
              <w:t>$6,695</w:t>
            </w:r>
            <w:r w:rsidRPr="00120760">
              <w:rPr>
                <w:snapToGrid/>
                <w:kern w:val="0"/>
                <w:sz w:val="24"/>
                <w:szCs w:val="24"/>
              </w:rPr>
              <w:t>.00</w:t>
            </w:r>
          </w:p>
        </w:tc>
        <w:tc>
          <w:tcPr>
            <w:tcW w:w="654" w:type="pct"/>
            <w:tcBorders>
              <w:top w:val="nil"/>
              <w:left w:val="nil"/>
              <w:bottom w:val="single" w:sz="8" w:space="0" w:color="000000"/>
              <w:right w:val="single" w:sz="8" w:space="0" w:color="000000"/>
            </w:tcBorders>
            <w:tcMar>
              <w:top w:w="120" w:type="dxa"/>
              <w:left w:w="15" w:type="dxa"/>
              <w:bottom w:w="15" w:type="dxa"/>
              <w:right w:w="15" w:type="dxa"/>
            </w:tcMar>
            <w:hideMark/>
          </w:tcPr>
          <w:p w14:paraId="5BC02E32" w14:textId="77777777" w:rsidR="00B40007" w:rsidRPr="00120760" w:rsidRDefault="00B40007" w:rsidP="00050820">
            <w:pPr>
              <w:widowControl/>
              <w:spacing w:before="100" w:beforeAutospacing="1" w:after="100" w:afterAutospacing="1"/>
              <w:jc w:val="center"/>
              <w:rPr>
                <w:snapToGrid/>
                <w:kern w:val="0"/>
                <w:sz w:val="24"/>
                <w:szCs w:val="24"/>
              </w:rPr>
            </w:pPr>
            <w:r w:rsidRPr="00120760">
              <w:rPr>
                <w:snapToGrid/>
                <w:kern w:val="0"/>
                <w:sz w:val="24"/>
                <w:szCs w:val="24"/>
              </w:rPr>
              <w:t>CLEA</w:t>
            </w:r>
          </w:p>
        </w:tc>
      </w:tr>
    </w:tbl>
    <w:p w14:paraId="38D31A90" w14:textId="77777777" w:rsidR="00B40007" w:rsidRPr="00013C5D" w:rsidRDefault="00B40007" w:rsidP="00050820">
      <w:pPr>
        <w:widowControl/>
        <w:spacing w:before="100" w:beforeAutospacing="1" w:after="100" w:afterAutospacing="1"/>
        <w:rPr>
          <w:szCs w:val="22"/>
        </w:rPr>
      </w:pPr>
      <w:r w:rsidRPr="00013C5D">
        <w:rPr>
          <w:szCs w:val="22"/>
        </w:rPr>
        <w:t>* * * * *</w:t>
      </w:r>
    </w:p>
    <w:p w14:paraId="5B306F94" w14:textId="77777777" w:rsidR="009D5B69" w:rsidRDefault="009D5B69" w:rsidP="00E44131">
      <w:pPr>
        <w:pStyle w:val="ParaNum"/>
        <w:numPr>
          <w:ilvl w:val="0"/>
          <w:numId w:val="0"/>
        </w:numPr>
      </w:pPr>
    </w:p>
    <w:sectPr w:rsidR="009D5B69" w:rsidSect="00A27CEE">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02C43" w14:textId="77777777" w:rsidR="00EC06A6" w:rsidRDefault="00EC06A6">
      <w:pPr>
        <w:spacing w:line="20" w:lineRule="exact"/>
      </w:pPr>
    </w:p>
  </w:endnote>
  <w:endnote w:type="continuationSeparator" w:id="0">
    <w:p w14:paraId="2F295061" w14:textId="77777777" w:rsidR="00EC06A6" w:rsidRDefault="00EC06A6">
      <w:r>
        <w:t xml:space="preserve"> </w:t>
      </w:r>
    </w:p>
  </w:endnote>
  <w:endnote w:type="continuationNotice" w:id="1">
    <w:p w14:paraId="39CA93BE" w14:textId="77777777" w:rsidR="00EC06A6" w:rsidRDefault="00EC06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ABD4" w14:textId="77777777" w:rsidR="008034A3" w:rsidRDefault="00803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82556"/>
      <w:docPartObj>
        <w:docPartGallery w:val="Page Numbers (Bottom of Page)"/>
        <w:docPartUnique/>
      </w:docPartObj>
    </w:sdtPr>
    <w:sdtEndPr>
      <w:rPr>
        <w:noProof/>
      </w:rPr>
    </w:sdtEndPr>
    <w:sdtContent>
      <w:p w14:paraId="3C8028EF" w14:textId="72F3D7BE" w:rsidR="00A27CEE" w:rsidRDefault="00A27CEE" w:rsidP="00A27CEE">
        <w:pPr>
          <w:pStyle w:val="Footer"/>
          <w:jc w:val="center"/>
        </w:pPr>
        <w:r>
          <w:fldChar w:fldCharType="begin"/>
        </w:r>
        <w:r>
          <w:instrText xml:space="preserve"> PAGE   \* MERGEFORMAT </w:instrText>
        </w:r>
        <w:r>
          <w:fldChar w:fldCharType="separate"/>
        </w:r>
        <w:r w:rsidR="00681E9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590045"/>
      <w:docPartObj>
        <w:docPartGallery w:val="Page Numbers (Bottom of Page)"/>
        <w:docPartUnique/>
      </w:docPartObj>
    </w:sdtPr>
    <w:sdtEndPr>
      <w:rPr>
        <w:noProof/>
      </w:rPr>
    </w:sdtEndPr>
    <w:sdtContent>
      <w:p w14:paraId="76579564" w14:textId="09977237" w:rsidR="00050820" w:rsidRDefault="00681E9E" w:rsidP="00E44131">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0180D" w14:textId="77777777" w:rsidR="00EC06A6" w:rsidRDefault="00EC06A6">
      <w:r>
        <w:separator/>
      </w:r>
    </w:p>
  </w:footnote>
  <w:footnote w:type="continuationSeparator" w:id="0">
    <w:p w14:paraId="70DB9C41" w14:textId="77777777" w:rsidR="00EC06A6" w:rsidRDefault="00EC06A6" w:rsidP="00C721AC">
      <w:pPr>
        <w:spacing w:before="120"/>
        <w:rPr>
          <w:sz w:val="20"/>
        </w:rPr>
      </w:pPr>
      <w:r>
        <w:rPr>
          <w:sz w:val="20"/>
        </w:rPr>
        <w:t xml:space="preserve">(Continued from previous page)  </w:t>
      </w:r>
      <w:r>
        <w:rPr>
          <w:sz w:val="20"/>
        </w:rPr>
        <w:separator/>
      </w:r>
    </w:p>
  </w:footnote>
  <w:footnote w:type="continuationNotice" w:id="1">
    <w:p w14:paraId="71F44CAD" w14:textId="77777777" w:rsidR="00EC06A6" w:rsidRDefault="00EC06A6" w:rsidP="00C721AC">
      <w:pPr>
        <w:jc w:val="right"/>
        <w:rPr>
          <w:sz w:val="20"/>
        </w:rPr>
      </w:pPr>
      <w:r>
        <w:rPr>
          <w:sz w:val="20"/>
        </w:rPr>
        <w:t>(continued….)</w:t>
      </w:r>
    </w:p>
  </w:footnote>
  <w:footnote w:id="2">
    <w:p w14:paraId="01A0ACC6" w14:textId="77777777" w:rsidR="00B40007" w:rsidRDefault="00B40007" w:rsidP="00B40007">
      <w:pPr>
        <w:pStyle w:val="FootnoteText"/>
      </w:pPr>
      <w:r>
        <w:rPr>
          <w:rStyle w:val="FootnoteReference"/>
        </w:rPr>
        <w:footnoteRef/>
      </w:r>
      <w:r>
        <w:t xml:space="preserve"> 47 CFR </w:t>
      </w:r>
      <w:r w:rsidRPr="00F05DBD">
        <w:t>§ 1.1109.</w:t>
      </w:r>
    </w:p>
  </w:footnote>
  <w:footnote w:id="3">
    <w:p w14:paraId="0C10D3B1" w14:textId="77777777" w:rsidR="00B40007" w:rsidRDefault="00B40007" w:rsidP="00B40007">
      <w:pPr>
        <w:pStyle w:val="FootnoteText"/>
      </w:pPr>
      <w:r>
        <w:rPr>
          <w:rStyle w:val="FootnoteReference"/>
        </w:rPr>
        <w:footnoteRef/>
      </w:r>
      <w:r>
        <w:t xml:space="preserve"> </w:t>
      </w:r>
      <w:r w:rsidRPr="00693056">
        <w:t>47 U</w:t>
      </w:r>
      <w:r>
        <w:t>.</w:t>
      </w:r>
      <w:r w:rsidRPr="00693056">
        <w:t>S</w:t>
      </w:r>
      <w:r>
        <w:t>.</w:t>
      </w:r>
      <w:r w:rsidRPr="00693056">
        <w:t>C</w:t>
      </w:r>
      <w:r>
        <w:t>.</w:t>
      </w:r>
      <w:r w:rsidRPr="00693056">
        <w:t xml:space="preserve"> </w:t>
      </w:r>
      <w:r>
        <w:t xml:space="preserve">§ 1008(b). </w:t>
      </w:r>
    </w:p>
  </w:footnote>
  <w:footnote w:id="4">
    <w:p w14:paraId="7C95E3C5" w14:textId="77777777" w:rsidR="00B40007" w:rsidRPr="00E33928" w:rsidRDefault="00B40007" w:rsidP="00B40007">
      <w:pPr>
        <w:pStyle w:val="FootnoteText"/>
      </w:pPr>
      <w:r>
        <w:rPr>
          <w:rStyle w:val="FootnoteReference"/>
        </w:rPr>
        <w:footnoteRef/>
      </w:r>
      <w:r>
        <w:t xml:space="preserve"> </w:t>
      </w:r>
      <w:r>
        <w:rPr>
          <w:i/>
        </w:rPr>
        <w:t>See generally Communications Assistance for Law Enforcement Act</w:t>
      </w:r>
      <w:r>
        <w:t xml:space="preserve">, Second Report and Order, 15 FCC Rcd 7105 (1999). </w:t>
      </w:r>
    </w:p>
  </w:footnote>
  <w:footnote w:id="5">
    <w:p w14:paraId="1D500A4C" w14:textId="77777777" w:rsidR="00B40007" w:rsidRDefault="00B40007" w:rsidP="00B40007">
      <w:pPr>
        <w:pStyle w:val="FootnoteText"/>
      </w:pPr>
      <w:r>
        <w:rPr>
          <w:rStyle w:val="FootnoteReference"/>
        </w:rPr>
        <w:footnoteRef/>
      </w:r>
      <w:r>
        <w:t xml:space="preserve"> </w:t>
      </w:r>
      <w:r>
        <w:rPr>
          <w:i/>
        </w:rPr>
        <w:t>Id.</w:t>
      </w:r>
      <w:r>
        <w:t xml:space="preserve"> at 7121-33, paras. 30-46; </w:t>
      </w:r>
      <w:r>
        <w:rPr>
          <w:i/>
        </w:rPr>
        <w:t>see also</w:t>
      </w:r>
      <w:r>
        <w:t xml:space="preserve"> </w:t>
      </w:r>
      <w:r w:rsidRPr="003476EE">
        <w:rPr>
          <w:i/>
        </w:rPr>
        <w:t>Communications Assistance for Law Enforcement Act and Broadband Access and Services</w:t>
      </w:r>
      <w:r w:rsidRPr="00F05DBD">
        <w:t xml:space="preserve">, ET Docket No. 04-295, </w:t>
      </w:r>
      <w:r w:rsidRPr="003476EE">
        <w:t>Second Report and Order and Memorandum Opinion and Order</w:t>
      </w:r>
      <w:r w:rsidRPr="00F05DBD">
        <w:t xml:space="preserve">, </w:t>
      </w:r>
      <w:r>
        <w:t>21 FCC Rcd 5360 (2006)</w:t>
      </w:r>
      <w:r w:rsidRPr="00F05DBD">
        <w:t>.</w:t>
      </w:r>
    </w:p>
  </w:footnote>
  <w:footnote w:id="6">
    <w:p w14:paraId="22A7BBEF" w14:textId="77777777" w:rsidR="00B40007" w:rsidRDefault="00B40007" w:rsidP="00B40007">
      <w:pPr>
        <w:pStyle w:val="FootnoteText"/>
      </w:pPr>
      <w:r>
        <w:rPr>
          <w:rStyle w:val="FootnoteReference"/>
        </w:rPr>
        <w:footnoteRef/>
      </w:r>
      <w:r>
        <w:t xml:space="preserve"> </w:t>
      </w:r>
      <w:r w:rsidRPr="00693056">
        <w:t>47 U</w:t>
      </w:r>
      <w:r>
        <w:t>.</w:t>
      </w:r>
      <w:r w:rsidRPr="00693056">
        <w:t>S</w:t>
      </w:r>
      <w:r>
        <w:t>.</w:t>
      </w:r>
      <w:r w:rsidRPr="00693056">
        <w:t>C</w:t>
      </w:r>
      <w:r>
        <w:t>.</w:t>
      </w:r>
      <w:r w:rsidRPr="00693056">
        <w:t xml:space="preserve"> </w:t>
      </w:r>
      <w:r>
        <w:t>§ 158.</w:t>
      </w:r>
    </w:p>
  </w:footnote>
  <w:footnote w:id="7">
    <w:p w14:paraId="17E18DC1" w14:textId="77777777" w:rsidR="00B40007" w:rsidRPr="00F05DBD" w:rsidRDefault="00B40007" w:rsidP="00B40007">
      <w:pPr>
        <w:pStyle w:val="FootnoteText"/>
      </w:pPr>
      <w:r>
        <w:rPr>
          <w:rStyle w:val="FootnoteReference"/>
        </w:rPr>
        <w:footnoteRef/>
      </w:r>
      <w:r>
        <w:t xml:space="preserve"> Communications Assistance for Law Enforcement Act, Pub. L. No. 103-414, § 302, 108 Stat. 4279, 4294 (1994).  </w:t>
      </w:r>
      <w:r>
        <w:rPr>
          <w:color w:val="252525"/>
        </w:rPr>
        <w:t xml:space="preserve">Section 302 of CALEA provided for modification of the Commission’s schedule of application fees.  </w:t>
      </w:r>
      <w:r w:rsidRPr="00F05DBD">
        <w:t xml:space="preserve">In 1994, when CALEA was enacted, that fee was established at $5,000, which was subsequently adjusted for inflation.    </w:t>
      </w:r>
    </w:p>
  </w:footnote>
  <w:footnote w:id="8">
    <w:p w14:paraId="4307D4FE" w14:textId="77777777" w:rsidR="00B40007" w:rsidRDefault="00B40007" w:rsidP="00B40007">
      <w:pPr>
        <w:pStyle w:val="FootnoteText"/>
      </w:pPr>
      <w:r>
        <w:rPr>
          <w:rStyle w:val="FootnoteReference"/>
        </w:rPr>
        <w:footnoteRef/>
      </w:r>
      <w:r>
        <w:t xml:space="preserve"> 47 U.S.C. § 1008(b)(1).  </w:t>
      </w:r>
    </w:p>
  </w:footnote>
  <w:footnote w:id="9">
    <w:p w14:paraId="1E82F0BD" w14:textId="77777777" w:rsidR="00B40007" w:rsidRPr="00F05DBD" w:rsidRDefault="00B40007" w:rsidP="00B40007">
      <w:pPr>
        <w:pStyle w:val="FootnoteText"/>
      </w:pPr>
      <w:r w:rsidRPr="00F05DBD">
        <w:rPr>
          <w:rStyle w:val="FootnoteReference"/>
        </w:rPr>
        <w:footnoteRef/>
      </w:r>
      <w:r>
        <w:t xml:space="preserve"> 47 C</w:t>
      </w:r>
      <w:r w:rsidRPr="00F05DBD">
        <w:t>FR § 1.1109.</w:t>
      </w:r>
    </w:p>
  </w:footnote>
  <w:footnote w:id="10">
    <w:p w14:paraId="205A3BAF" w14:textId="77777777" w:rsidR="00B40007" w:rsidRPr="001C5D45" w:rsidRDefault="00B40007" w:rsidP="00B40007">
      <w:pPr>
        <w:pStyle w:val="FootnoteText"/>
        <w:rPr>
          <w:i/>
        </w:rPr>
      </w:pPr>
      <w:r>
        <w:rPr>
          <w:rStyle w:val="FootnoteReference"/>
        </w:rPr>
        <w:footnoteRef/>
      </w:r>
      <w:r>
        <w:t xml:space="preserve"> </w:t>
      </w:r>
      <w:r>
        <w:rPr>
          <w:i/>
        </w:rPr>
        <w:t xml:space="preserve">Id. </w:t>
      </w:r>
    </w:p>
  </w:footnote>
  <w:footnote w:id="11">
    <w:p w14:paraId="40B064D1" w14:textId="77777777" w:rsidR="00B40007" w:rsidRPr="00C90694" w:rsidRDefault="00B40007" w:rsidP="00B40007">
      <w:pPr>
        <w:pStyle w:val="FootnoteText"/>
      </w:pPr>
      <w:r>
        <w:rPr>
          <w:rStyle w:val="FootnoteReference"/>
        </w:rPr>
        <w:footnoteRef/>
      </w:r>
      <w:r>
        <w:t xml:space="preserve"> T</w:t>
      </w:r>
      <w:r w:rsidRPr="00013C5D">
        <w:rPr>
          <w:szCs w:val="22"/>
        </w:rPr>
        <w:t>he FCC collects fees using a series of P.O. Boxes located at U.S. Bank in St. Louis, Missouri.</w:t>
      </w:r>
      <w:r>
        <w:rPr>
          <w:szCs w:val="22"/>
        </w:rPr>
        <w:t xml:space="preserve">  </w:t>
      </w:r>
      <w:r>
        <w:t xml:space="preserve">47 CFR </w:t>
      </w:r>
      <w:r w:rsidRPr="00F05DBD">
        <w:t>§§</w:t>
      </w:r>
      <w:r>
        <w:t xml:space="preserve"> 1.1101-1.1109 (setting forth the fee schedule for each type of application remittable to the Commission along with the correct lockbox).</w:t>
      </w:r>
    </w:p>
  </w:footnote>
  <w:footnote w:id="12">
    <w:p w14:paraId="4A188143" w14:textId="77777777" w:rsidR="00B40007" w:rsidRPr="001C5D45" w:rsidRDefault="00B40007" w:rsidP="00B40007">
      <w:pPr>
        <w:pStyle w:val="FootnoteText"/>
      </w:pPr>
      <w:r>
        <w:rPr>
          <w:rStyle w:val="FootnoteReference"/>
        </w:rPr>
        <w:footnoteRef/>
      </w:r>
      <w:r>
        <w:t xml:space="preserve"> In 2015, t</w:t>
      </w:r>
      <w:r w:rsidRPr="00120760">
        <w:t>he Commission revised its payment rules</w:t>
      </w:r>
      <w:r>
        <w:t xml:space="preserve"> to encourage electronic payment of application fees and require electronic payment of regulatory fees.  </w:t>
      </w:r>
      <w:r w:rsidRPr="008E3DAE">
        <w:t xml:space="preserve">47 CFR §§ 1.1112 </w:t>
      </w:r>
      <w:r>
        <w:t xml:space="preserve">(application fees) </w:t>
      </w:r>
      <w:r w:rsidRPr="008E3DAE">
        <w:t>and 1.1158</w:t>
      </w:r>
      <w:r>
        <w:t xml:space="preserve"> (regulatory fees)</w:t>
      </w:r>
      <w:r w:rsidRPr="008E3DAE">
        <w:t>.</w:t>
      </w:r>
      <w:r w:rsidRPr="003476EE">
        <w:rPr>
          <w:snapToGrid w:val="0"/>
          <w:kern w:val="28"/>
        </w:rPr>
        <w:t xml:space="preserve">  </w:t>
      </w:r>
      <w:r w:rsidRPr="00120760">
        <w:t xml:space="preserve">These rules became effective November 30, 2015. </w:t>
      </w:r>
      <w:r>
        <w:t xml:space="preserve"> </w:t>
      </w:r>
      <w:r w:rsidRPr="00120760">
        <w:t>80 FR 6681</w:t>
      </w:r>
      <w:r>
        <w:t>6</w:t>
      </w:r>
      <w:r w:rsidRPr="00120760">
        <w:t xml:space="preserve"> (Oct. 30, 2015).</w:t>
      </w:r>
      <w:r>
        <w:t xml:space="preserve">  </w:t>
      </w:r>
    </w:p>
  </w:footnote>
  <w:footnote w:id="13">
    <w:p w14:paraId="2923D14A" w14:textId="4FBA6119" w:rsidR="00B40007" w:rsidRDefault="00B40007" w:rsidP="00B40007">
      <w:pPr>
        <w:pStyle w:val="FootnoteText"/>
      </w:pPr>
      <w:r>
        <w:rPr>
          <w:rStyle w:val="FootnoteReference"/>
        </w:rPr>
        <w:footnoteRef/>
      </w:r>
      <w:r>
        <w:t xml:space="preserve"> </w:t>
      </w:r>
      <w:r w:rsidRPr="00F1668B">
        <w:t xml:space="preserve">Treasury Financial Manual, Bulletin No. 2014-08, “Agency No-Cash or No-Check Policies,” released on August 5, 2014 (Explaining the circumstances under which agencies may decide not to accept payments made in cash or by check and also noting that the U.S. Treasury’s move to an all-electronic Treasury as well as the purposes of Federal cash-management statutes.)  Available at </w:t>
      </w:r>
      <w:hyperlink r:id="rId1" w:history="1">
        <w:r w:rsidRPr="00833280">
          <w:rPr>
            <w:rStyle w:val="Hyperlink"/>
          </w:rPr>
          <w:t>https://tfm.fiscal.treasury.gov/v1/bull/14-08.pdf</w:t>
        </w:r>
      </w:hyperlink>
      <w:r w:rsidRPr="00F1668B">
        <w:t xml:space="preserve">  (last visited March 10, 2017); </w:t>
      </w:r>
      <w:r w:rsidRPr="00833280">
        <w:rPr>
          <w:i/>
        </w:rPr>
        <w:t>see also</w:t>
      </w:r>
      <w:r w:rsidRPr="00F1668B">
        <w:t xml:space="preserve"> </w:t>
      </w:r>
      <w:hyperlink r:id="rId2" w:history="1">
        <w:r w:rsidRPr="00833280">
          <w:rPr>
            <w:rStyle w:val="Hyperlink"/>
          </w:rPr>
          <w:t>https://obamawhitehouse.archives.gov/the-press-office/2011/06/13/executive-order-13576-delivering-efficient-effective-and-accountable-gov</w:t>
        </w:r>
      </w:hyperlink>
      <w:r w:rsidRPr="00F1668B">
        <w:t>.</w:t>
      </w:r>
    </w:p>
  </w:footnote>
  <w:footnote w:id="14">
    <w:p w14:paraId="5E20D794" w14:textId="77777777" w:rsidR="00B40007" w:rsidRDefault="00B40007" w:rsidP="00B40007">
      <w:pPr>
        <w:pStyle w:val="FootnoteText"/>
      </w:pPr>
      <w:r>
        <w:rPr>
          <w:rStyle w:val="FootnoteReference"/>
        </w:rPr>
        <w:footnoteRef/>
      </w:r>
      <w:r>
        <w:t xml:space="preserve"> </w:t>
      </w:r>
      <w:r>
        <w:rPr>
          <w:shd w:val="clear" w:color="auto" w:fill="FFFFFF"/>
        </w:rPr>
        <w:t xml:space="preserve">5 U.S.C. </w:t>
      </w:r>
      <w:r w:rsidRPr="00F05DBD">
        <w:t>§</w:t>
      </w:r>
      <w:r>
        <w:t xml:space="preserve"> </w:t>
      </w:r>
      <w:r>
        <w:rPr>
          <w:shd w:val="clear" w:color="auto" w:fill="FFFFFF"/>
        </w:rPr>
        <w:t>553(b)(A).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FD5F" w14:textId="77777777" w:rsidR="008034A3" w:rsidRDefault="00803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6E77" w14:textId="77777777" w:rsidR="00A27CEE" w:rsidRDefault="00A27CEE" w:rsidP="00A27CEE">
    <w:pPr>
      <w:pStyle w:val="Header"/>
      <w:rPr>
        <w:b w:val="0"/>
      </w:rPr>
    </w:pPr>
    <w:r>
      <w:rPr>
        <w:noProof/>
      </w:rPr>
      <mc:AlternateContent>
        <mc:Choice Requires="wps">
          <w:drawing>
            <wp:anchor distT="0" distB="0" distL="114300" distR="114300" simplePos="0" relativeHeight="251662336" behindDoc="1" locked="0" layoutInCell="0" allowOverlap="1" wp14:anchorId="7BB89495" wp14:editId="732911A9">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10670" id="Rectangle 5"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17-53</w:t>
    </w:r>
  </w:p>
  <w:p w14:paraId="3572189D" w14:textId="77777777" w:rsidR="00A27CEE" w:rsidRPr="00A27CEE" w:rsidRDefault="00A27CEE" w:rsidP="00A27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26CDF" w14:textId="08015FAD" w:rsidR="00050820" w:rsidRDefault="00050820" w:rsidP="00810B6F">
    <w:pPr>
      <w:pStyle w:val="Header"/>
      <w:rPr>
        <w:b w:val="0"/>
      </w:rPr>
    </w:pPr>
    <w:r>
      <w:rPr>
        <w:noProof/>
      </w:rPr>
      <mc:AlternateContent>
        <mc:Choice Requires="wps">
          <w:drawing>
            <wp:anchor distT="0" distB="0" distL="114300" distR="114300" simplePos="0" relativeHeight="251660288" behindDoc="1" locked="0" layoutInCell="0" allowOverlap="1" wp14:anchorId="5C8782DF" wp14:editId="55B49960">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9DDC16"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BC1E71">
      <w:rPr>
        <w:spacing w:val="-2"/>
      </w:rPr>
      <w:t>FCC 17-53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7680E"/>
    <w:multiLevelType w:val="hybridMultilevel"/>
    <w:tmpl w:val="96DE426A"/>
    <w:lvl w:ilvl="0" w:tplc="E3B88EBE">
      <w:start w:val="1"/>
      <w:numFmt w:val="bullet"/>
      <w:lvlText w:val=""/>
      <w:lvlJc w:val="left"/>
      <w:pPr>
        <w:ind w:left="1350" w:hanging="360"/>
      </w:pPr>
      <w:rPr>
        <w:rFonts w:ascii="Symbol" w:hAnsi="Symbol" w:hint="default"/>
      </w:rPr>
    </w:lvl>
    <w:lvl w:ilvl="1" w:tplc="906864D0">
      <w:start w:val="1"/>
      <w:numFmt w:val="bullet"/>
      <w:lvlText w:val="o"/>
      <w:lvlJc w:val="left"/>
      <w:pPr>
        <w:ind w:left="2070" w:hanging="360"/>
      </w:pPr>
      <w:rPr>
        <w:rFonts w:ascii="Courier New" w:hAnsi="Courier New" w:cs="Courier New" w:hint="default"/>
      </w:rPr>
    </w:lvl>
    <w:lvl w:ilvl="2" w:tplc="DE6C7718" w:tentative="1">
      <w:start w:val="1"/>
      <w:numFmt w:val="bullet"/>
      <w:lvlText w:val=""/>
      <w:lvlJc w:val="left"/>
      <w:pPr>
        <w:ind w:left="2790" w:hanging="360"/>
      </w:pPr>
      <w:rPr>
        <w:rFonts w:ascii="Wingdings" w:hAnsi="Wingdings" w:hint="default"/>
      </w:rPr>
    </w:lvl>
    <w:lvl w:ilvl="3" w:tplc="3D507CE4" w:tentative="1">
      <w:start w:val="1"/>
      <w:numFmt w:val="bullet"/>
      <w:lvlText w:val=""/>
      <w:lvlJc w:val="left"/>
      <w:pPr>
        <w:ind w:left="3510" w:hanging="360"/>
      </w:pPr>
      <w:rPr>
        <w:rFonts w:ascii="Symbol" w:hAnsi="Symbol" w:hint="default"/>
      </w:rPr>
    </w:lvl>
    <w:lvl w:ilvl="4" w:tplc="D3D64D16" w:tentative="1">
      <w:start w:val="1"/>
      <w:numFmt w:val="bullet"/>
      <w:lvlText w:val="o"/>
      <w:lvlJc w:val="left"/>
      <w:pPr>
        <w:ind w:left="4230" w:hanging="360"/>
      </w:pPr>
      <w:rPr>
        <w:rFonts w:ascii="Courier New" w:hAnsi="Courier New" w:cs="Courier New" w:hint="default"/>
      </w:rPr>
    </w:lvl>
    <w:lvl w:ilvl="5" w:tplc="C2A00612" w:tentative="1">
      <w:start w:val="1"/>
      <w:numFmt w:val="bullet"/>
      <w:lvlText w:val=""/>
      <w:lvlJc w:val="left"/>
      <w:pPr>
        <w:ind w:left="4950" w:hanging="360"/>
      </w:pPr>
      <w:rPr>
        <w:rFonts w:ascii="Wingdings" w:hAnsi="Wingdings" w:hint="default"/>
      </w:rPr>
    </w:lvl>
    <w:lvl w:ilvl="6" w:tplc="303CE5F4" w:tentative="1">
      <w:start w:val="1"/>
      <w:numFmt w:val="bullet"/>
      <w:lvlText w:val=""/>
      <w:lvlJc w:val="left"/>
      <w:pPr>
        <w:ind w:left="5670" w:hanging="360"/>
      </w:pPr>
      <w:rPr>
        <w:rFonts w:ascii="Symbol" w:hAnsi="Symbol" w:hint="default"/>
      </w:rPr>
    </w:lvl>
    <w:lvl w:ilvl="7" w:tplc="6C0EE500" w:tentative="1">
      <w:start w:val="1"/>
      <w:numFmt w:val="bullet"/>
      <w:lvlText w:val="o"/>
      <w:lvlJc w:val="left"/>
      <w:pPr>
        <w:ind w:left="6390" w:hanging="360"/>
      </w:pPr>
      <w:rPr>
        <w:rFonts w:ascii="Courier New" w:hAnsi="Courier New" w:cs="Courier New" w:hint="default"/>
      </w:rPr>
    </w:lvl>
    <w:lvl w:ilvl="8" w:tplc="BB76544E" w:tentative="1">
      <w:start w:val="1"/>
      <w:numFmt w:val="bullet"/>
      <w:lvlText w:val=""/>
      <w:lvlJc w:val="left"/>
      <w:pPr>
        <w:ind w:left="711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B81240C"/>
    <w:multiLevelType w:val="hybridMultilevel"/>
    <w:tmpl w:val="292E23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9">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
  </w:num>
  <w:num w:numId="3">
    <w:abstractNumId w:val="7"/>
    <w:lvlOverride w:ilvl="0">
      <w:startOverride w:val="1"/>
    </w:lvlOverride>
  </w:num>
  <w:num w:numId="4">
    <w:abstractNumId w:val="9"/>
  </w:num>
  <w:num w:numId="5">
    <w:abstractNumId w:val="8"/>
  </w:num>
  <w:num w:numId="6">
    <w:abstractNumId w:val="6"/>
  </w:num>
  <w:num w:numId="7">
    <w:abstractNumId w:val="4"/>
  </w:num>
  <w:num w:numId="8">
    <w:abstractNumId w:val="3"/>
    <w:lvlOverride w:ilvl="0">
      <w:startOverride w:val="1"/>
    </w:lvlOverride>
    <w:lvlOverride w:ilvl="1">
      <w:startOverride w:val="1"/>
    </w:lvlOverride>
  </w:num>
  <w:num w:numId="9">
    <w:abstractNumId w:val="1"/>
  </w:num>
  <w:num w:numId="10">
    <w:abstractNumId w:val="5"/>
  </w:num>
  <w:num w:numId="11">
    <w:abstractNumId w:val="2"/>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2A"/>
    <w:rsid w:val="00000AE0"/>
    <w:rsid w:val="00003912"/>
    <w:rsid w:val="000044E3"/>
    <w:rsid w:val="00004BA8"/>
    <w:rsid w:val="00005D6E"/>
    <w:rsid w:val="00007887"/>
    <w:rsid w:val="000107EA"/>
    <w:rsid w:val="00014502"/>
    <w:rsid w:val="00017097"/>
    <w:rsid w:val="0001750D"/>
    <w:rsid w:val="000201DF"/>
    <w:rsid w:val="000210D9"/>
    <w:rsid w:val="000249BD"/>
    <w:rsid w:val="00025191"/>
    <w:rsid w:val="00025FFE"/>
    <w:rsid w:val="00034CD3"/>
    <w:rsid w:val="00034D4A"/>
    <w:rsid w:val="00035DA0"/>
    <w:rsid w:val="00036039"/>
    <w:rsid w:val="00037F90"/>
    <w:rsid w:val="000436FC"/>
    <w:rsid w:val="000454B4"/>
    <w:rsid w:val="00047293"/>
    <w:rsid w:val="00050820"/>
    <w:rsid w:val="00050ADB"/>
    <w:rsid w:val="00050EEE"/>
    <w:rsid w:val="000514B6"/>
    <w:rsid w:val="000522D2"/>
    <w:rsid w:val="00054497"/>
    <w:rsid w:val="00056D3B"/>
    <w:rsid w:val="00062BAD"/>
    <w:rsid w:val="00063613"/>
    <w:rsid w:val="0006393A"/>
    <w:rsid w:val="00064C8C"/>
    <w:rsid w:val="000669E8"/>
    <w:rsid w:val="00070548"/>
    <w:rsid w:val="00070CA9"/>
    <w:rsid w:val="00072524"/>
    <w:rsid w:val="000744ED"/>
    <w:rsid w:val="00076D4F"/>
    <w:rsid w:val="00080E62"/>
    <w:rsid w:val="000847E6"/>
    <w:rsid w:val="000849F3"/>
    <w:rsid w:val="0008683A"/>
    <w:rsid w:val="000875BF"/>
    <w:rsid w:val="00090CF5"/>
    <w:rsid w:val="00092320"/>
    <w:rsid w:val="00092620"/>
    <w:rsid w:val="0009444E"/>
    <w:rsid w:val="00095726"/>
    <w:rsid w:val="00096D8C"/>
    <w:rsid w:val="000A0AF6"/>
    <w:rsid w:val="000A6A78"/>
    <w:rsid w:val="000B0C3D"/>
    <w:rsid w:val="000B0C92"/>
    <w:rsid w:val="000B0CE9"/>
    <w:rsid w:val="000B31E9"/>
    <w:rsid w:val="000B5B50"/>
    <w:rsid w:val="000B68BA"/>
    <w:rsid w:val="000C0B65"/>
    <w:rsid w:val="000C396A"/>
    <w:rsid w:val="000C4EC1"/>
    <w:rsid w:val="000D5897"/>
    <w:rsid w:val="000D5B25"/>
    <w:rsid w:val="000E05FE"/>
    <w:rsid w:val="000E2D26"/>
    <w:rsid w:val="000E3D42"/>
    <w:rsid w:val="00100F41"/>
    <w:rsid w:val="0010202F"/>
    <w:rsid w:val="00110C34"/>
    <w:rsid w:val="00112104"/>
    <w:rsid w:val="00113F07"/>
    <w:rsid w:val="001145EC"/>
    <w:rsid w:val="001167CD"/>
    <w:rsid w:val="001167DC"/>
    <w:rsid w:val="0011714E"/>
    <w:rsid w:val="00117466"/>
    <w:rsid w:val="00117BC6"/>
    <w:rsid w:val="00121182"/>
    <w:rsid w:val="00122BD5"/>
    <w:rsid w:val="0012602A"/>
    <w:rsid w:val="00126B87"/>
    <w:rsid w:val="00126F83"/>
    <w:rsid w:val="00132CA4"/>
    <w:rsid w:val="001330FD"/>
    <w:rsid w:val="00133F79"/>
    <w:rsid w:val="0013426D"/>
    <w:rsid w:val="00137836"/>
    <w:rsid w:val="00150161"/>
    <w:rsid w:val="00150FDA"/>
    <w:rsid w:val="0015243F"/>
    <w:rsid w:val="00153BC5"/>
    <w:rsid w:val="00153C7C"/>
    <w:rsid w:val="00160FF9"/>
    <w:rsid w:val="00163B25"/>
    <w:rsid w:val="001654FD"/>
    <w:rsid w:val="00165AB2"/>
    <w:rsid w:val="00167A9D"/>
    <w:rsid w:val="00177658"/>
    <w:rsid w:val="00177BDD"/>
    <w:rsid w:val="001828F4"/>
    <w:rsid w:val="00183D5C"/>
    <w:rsid w:val="00185153"/>
    <w:rsid w:val="0018683A"/>
    <w:rsid w:val="00187B7A"/>
    <w:rsid w:val="00191BED"/>
    <w:rsid w:val="00194A66"/>
    <w:rsid w:val="001A1FA9"/>
    <w:rsid w:val="001A35F6"/>
    <w:rsid w:val="001A36F6"/>
    <w:rsid w:val="001A39C9"/>
    <w:rsid w:val="001B46D5"/>
    <w:rsid w:val="001C1031"/>
    <w:rsid w:val="001C24AC"/>
    <w:rsid w:val="001C4D6B"/>
    <w:rsid w:val="001C4E5E"/>
    <w:rsid w:val="001C60C2"/>
    <w:rsid w:val="001C710A"/>
    <w:rsid w:val="001D0183"/>
    <w:rsid w:val="001D2418"/>
    <w:rsid w:val="001D4CF8"/>
    <w:rsid w:val="001D6BCF"/>
    <w:rsid w:val="001E01CA"/>
    <w:rsid w:val="001E08CF"/>
    <w:rsid w:val="001E30B1"/>
    <w:rsid w:val="001E3FE8"/>
    <w:rsid w:val="001E6D17"/>
    <w:rsid w:val="001F4B45"/>
    <w:rsid w:val="001F6181"/>
    <w:rsid w:val="001F6298"/>
    <w:rsid w:val="00205473"/>
    <w:rsid w:val="0020607D"/>
    <w:rsid w:val="00206BB4"/>
    <w:rsid w:val="0021100B"/>
    <w:rsid w:val="00211EBA"/>
    <w:rsid w:val="002133E9"/>
    <w:rsid w:val="002141B5"/>
    <w:rsid w:val="002142D4"/>
    <w:rsid w:val="00216D50"/>
    <w:rsid w:val="0022358B"/>
    <w:rsid w:val="00226699"/>
    <w:rsid w:val="002313E1"/>
    <w:rsid w:val="002344DE"/>
    <w:rsid w:val="00243D1D"/>
    <w:rsid w:val="00245F99"/>
    <w:rsid w:val="00246877"/>
    <w:rsid w:val="0024756C"/>
    <w:rsid w:val="00247EBF"/>
    <w:rsid w:val="00261F67"/>
    <w:rsid w:val="002622B9"/>
    <w:rsid w:val="0026614D"/>
    <w:rsid w:val="0027142A"/>
    <w:rsid w:val="00271436"/>
    <w:rsid w:val="00273C17"/>
    <w:rsid w:val="00275CF5"/>
    <w:rsid w:val="0028301F"/>
    <w:rsid w:val="00285017"/>
    <w:rsid w:val="0029215C"/>
    <w:rsid w:val="0029248D"/>
    <w:rsid w:val="00292ACF"/>
    <w:rsid w:val="002A19D8"/>
    <w:rsid w:val="002A2D2E"/>
    <w:rsid w:val="002A2DA8"/>
    <w:rsid w:val="002A4A96"/>
    <w:rsid w:val="002B5212"/>
    <w:rsid w:val="002B71C0"/>
    <w:rsid w:val="002B7F59"/>
    <w:rsid w:val="002C00E8"/>
    <w:rsid w:val="002C30F0"/>
    <w:rsid w:val="002C44E8"/>
    <w:rsid w:val="002C6E5F"/>
    <w:rsid w:val="002D37CD"/>
    <w:rsid w:val="002D69FB"/>
    <w:rsid w:val="002D704F"/>
    <w:rsid w:val="002E3F31"/>
    <w:rsid w:val="002E47AA"/>
    <w:rsid w:val="002F05AF"/>
    <w:rsid w:val="002F1313"/>
    <w:rsid w:val="002F79FB"/>
    <w:rsid w:val="0030275F"/>
    <w:rsid w:val="0030312B"/>
    <w:rsid w:val="00310261"/>
    <w:rsid w:val="00312231"/>
    <w:rsid w:val="00312394"/>
    <w:rsid w:val="00314C9E"/>
    <w:rsid w:val="00315DAD"/>
    <w:rsid w:val="00315DE3"/>
    <w:rsid w:val="003174B7"/>
    <w:rsid w:val="0032165E"/>
    <w:rsid w:val="00321C00"/>
    <w:rsid w:val="003231F8"/>
    <w:rsid w:val="00324F6A"/>
    <w:rsid w:val="00326CCA"/>
    <w:rsid w:val="003315C2"/>
    <w:rsid w:val="003330BB"/>
    <w:rsid w:val="00334F44"/>
    <w:rsid w:val="00335D04"/>
    <w:rsid w:val="00337799"/>
    <w:rsid w:val="00337F21"/>
    <w:rsid w:val="00340A78"/>
    <w:rsid w:val="00341005"/>
    <w:rsid w:val="00343749"/>
    <w:rsid w:val="00343FE7"/>
    <w:rsid w:val="0034417A"/>
    <w:rsid w:val="0034664F"/>
    <w:rsid w:val="003466F1"/>
    <w:rsid w:val="00357D94"/>
    <w:rsid w:val="00365CEB"/>
    <w:rsid w:val="003660ED"/>
    <w:rsid w:val="0036651E"/>
    <w:rsid w:val="0036663C"/>
    <w:rsid w:val="00373628"/>
    <w:rsid w:val="00373E0B"/>
    <w:rsid w:val="00376E3E"/>
    <w:rsid w:val="0037725E"/>
    <w:rsid w:val="0038522F"/>
    <w:rsid w:val="00386A5A"/>
    <w:rsid w:val="00393B03"/>
    <w:rsid w:val="00394743"/>
    <w:rsid w:val="00395E9B"/>
    <w:rsid w:val="00396D47"/>
    <w:rsid w:val="00397A38"/>
    <w:rsid w:val="003A02C6"/>
    <w:rsid w:val="003A2495"/>
    <w:rsid w:val="003A27F2"/>
    <w:rsid w:val="003A69F8"/>
    <w:rsid w:val="003A6C8B"/>
    <w:rsid w:val="003A703F"/>
    <w:rsid w:val="003A7470"/>
    <w:rsid w:val="003B0550"/>
    <w:rsid w:val="003B3FD4"/>
    <w:rsid w:val="003B694F"/>
    <w:rsid w:val="003C0EFD"/>
    <w:rsid w:val="003C1039"/>
    <w:rsid w:val="003C17BE"/>
    <w:rsid w:val="003D094D"/>
    <w:rsid w:val="003D1D29"/>
    <w:rsid w:val="003D3B67"/>
    <w:rsid w:val="003D661C"/>
    <w:rsid w:val="003E4E5A"/>
    <w:rsid w:val="003E62A6"/>
    <w:rsid w:val="003F171C"/>
    <w:rsid w:val="003F1ACF"/>
    <w:rsid w:val="003F2149"/>
    <w:rsid w:val="003F7E61"/>
    <w:rsid w:val="00402DAA"/>
    <w:rsid w:val="004030F6"/>
    <w:rsid w:val="004057BE"/>
    <w:rsid w:val="0041194B"/>
    <w:rsid w:val="00412FC5"/>
    <w:rsid w:val="00417435"/>
    <w:rsid w:val="00421464"/>
    <w:rsid w:val="00421EC8"/>
    <w:rsid w:val="00422127"/>
    <w:rsid w:val="00422276"/>
    <w:rsid w:val="004242F1"/>
    <w:rsid w:val="00425DF3"/>
    <w:rsid w:val="00426C4C"/>
    <w:rsid w:val="00427638"/>
    <w:rsid w:val="00430F12"/>
    <w:rsid w:val="00432F1F"/>
    <w:rsid w:val="004402A8"/>
    <w:rsid w:val="00445A00"/>
    <w:rsid w:val="00451B0F"/>
    <w:rsid w:val="00453F3D"/>
    <w:rsid w:val="00454EAD"/>
    <w:rsid w:val="00455386"/>
    <w:rsid w:val="00455DB6"/>
    <w:rsid w:val="00456D4E"/>
    <w:rsid w:val="004641A1"/>
    <w:rsid w:val="0046473C"/>
    <w:rsid w:val="00475812"/>
    <w:rsid w:val="00483EE7"/>
    <w:rsid w:val="004901E0"/>
    <w:rsid w:val="00490411"/>
    <w:rsid w:val="004917CF"/>
    <w:rsid w:val="00493445"/>
    <w:rsid w:val="00493475"/>
    <w:rsid w:val="00495F30"/>
    <w:rsid w:val="00497EEA"/>
    <w:rsid w:val="004A2F9F"/>
    <w:rsid w:val="004B16B9"/>
    <w:rsid w:val="004B2BC2"/>
    <w:rsid w:val="004C2EE3"/>
    <w:rsid w:val="004C43A0"/>
    <w:rsid w:val="004D047A"/>
    <w:rsid w:val="004D2558"/>
    <w:rsid w:val="004D5F05"/>
    <w:rsid w:val="004E4A22"/>
    <w:rsid w:val="004E5AED"/>
    <w:rsid w:val="004F47FB"/>
    <w:rsid w:val="004F4BC4"/>
    <w:rsid w:val="00501DE0"/>
    <w:rsid w:val="005042D3"/>
    <w:rsid w:val="005056AC"/>
    <w:rsid w:val="00506578"/>
    <w:rsid w:val="0051183F"/>
    <w:rsid w:val="00511968"/>
    <w:rsid w:val="005167BC"/>
    <w:rsid w:val="00520FB2"/>
    <w:rsid w:val="00521906"/>
    <w:rsid w:val="00523C7B"/>
    <w:rsid w:val="005303EF"/>
    <w:rsid w:val="0053174E"/>
    <w:rsid w:val="00531870"/>
    <w:rsid w:val="00535B6E"/>
    <w:rsid w:val="00536915"/>
    <w:rsid w:val="00541027"/>
    <w:rsid w:val="005430D9"/>
    <w:rsid w:val="00543752"/>
    <w:rsid w:val="00543ACE"/>
    <w:rsid w:val="00545F52"/>
    <w:rsid w:val="00547092"/>
    <w:rsid w:val="00547AB5"/>
    <w:rsid w:val="0055067D"/>
    <w:rsid w:val="0055142D"/>
    <w:rsid w:val="00553334"/>
    <w:rsid w:val="0055614C"/>
    <w:rsid w:val="005562C7"/>
    <w:rsid w:val="005562CD"/>
    <w:rsid w:val="005669C3"/>
    <w:rsid w:val="00567529"/>
    <w:rsid w:val="00570CD1"/>
    <w:rsid w:val="00575802"/>
    <w:rsid w:val="00576717"/>
    <w:rsid w:val="00577B4F"/>
    <w:rsid w:val="00583859"/>
    <w:rsid w:val="0058614C"/>
    <w:rsid w:val="005861BE"/>
    <w:rsid w:val="005865EC"/>
    <w:rsid w:val="0058666C"/>
    <w:rsid w:val="00587E1F"/>
    <w:rsid w:val="0059242D"/>
    <w:rsid w:val="0059326C"/>
    <w:rsid w:val="00593EA5"/>
    <w:rsid w:val="0059442D"/>
    <w:rsid w:val="00594788"/>
    <w:rsid w:val="0059763D"/>
    <w:rsid w:val="005A5CE7"/>
    <w:rsid w:val="005B0E8F"/>
    <w:rsid w:val="005B14B4"/>
    <w:rsid w:val="005B1E3E"/>
    <w:rsid w:val="005B31F2"/>
    <w:rsid w:val="005B66D0"/>
    <w:rsid w:val="005C1EF8"/>
    <w:rsid w:val="005C4D93"/>
    <w:rsid w:val="005D3B26"/>
    <w:rsid w:val="005E14C2"/>
    <w:rsid w:val="005E27BE"/>
    <w:rsid w:val="005E2D8E"/>
    <w:rsid w:val="005E7F3C"/>
    <w:rsid w:val="005F0F67"/>
    <w:rsid w:val="005F2817"/>
    <w:rsid w:val="005F2E7E"/>
    <w:rsid w:val="005F3C66"/>
    <w:rsid w:val="005F40F4"/>
    <w:rsid w:val="0060471E"/>
    <w:rsid w:val="00605859"/>
    <w:rsid w:val="006060E6"/>
    <w:rsid w:val="00607BA5"/>
    <w:rsid w:val="0061180A"/>
    <w:rsid w:val="00611B19"/>
    <w:rsid w:val="00614534"/>
    <w:rsid w:val="00615E06"/>
    <w:rsid w:val="006229B7"/>
    <w:rsid w:val="00626AEA"/>
    <w:rsid w:val="00626EB6"/>
    <w:rsid w:val="00626FEB"/>
    <w:rsid w:val="006279D0"/>
    <w:rsid w:val="006315B7"/>
    <w:rsid w:val="00632EB8"/>
    <w:rsid w:val="00637191"/>
    <w:rsid w:val="00640DD8"/>
    <w:rsid w:val="0064484E"/>
    <w:rsid w:val="0064735B"/>
    <w:rsid w:val="006506BF"/>
    <w:rsid w:val="0065110C"/>
    <w:rsid w:val="0065342C"/>
    <w:rsid w:val="006536B9"/>
    <w:rsid w:val="00655946"/>
    <w:rsid w:val="00655D03"/>
    <w:rsid w:val="00662C98"/>
    <w:rsid w:val="00662E71"/>
    <w:rsid w:val="00665C0D"/>
    <w:rsid w:val="006721CA"/>
    <w:rsid w:val="00676922"/>
    <w:rsid w:val="006807AD"/>
    <w:rsid w:val="00681E9E"/>
    <w:rsid w:val="00682CEE"/>
    <w:rsid w:val="00683388"/>
    <w:rsid w:val="00683F84"/>
    <w:rsid w:val="00684E98"/>
    <w:rsid w:val="00691DC6"/>
    <w:rsid w:val="00695B37"/>
    <w:rsid w:val="00696AA8"/>
    <w:rsid w:val="006A1402"/>
    <w:rsid w:val="006A4E38"/>
    <w:rsid w:val="006A6A81"/>
    <w:rsid w:val="006B0619"/>
    <w:rsid w:val="006B7D72"/>
    <w:rsid w:val="006C2C38"/>
    <w:rsid w:val="006D081A"/>
    <w:rsid w:val="006D1F7C"/>
    <w:rsid w:val="006E64F9"/>
    <w:rsid w:val="006E74C1"/>
    <w:rsid w:val="006F0171"/>
    <w:rsid w:val="006F6694"/>
    <w:rsid w:val="006F7393"/>
    <w:rsid w:val="0070224F"/>
    <w:rsid w:val="00704A7C"/>
    <w:rsid w:val="00706B93"/>
    <w:rsid w:val="007115F7"/>
    <w:rsid w:val="007120F7"/>
    <w:rsid w:val="0071448E"/>
    <w:rsid w:val="00723209"/>
    <w:rsid w:val="007439BA"/>
    <w:rsid w:val="00751AAF"/>
    <w:rsid w:val="007525DC"/>
    <w:rsid w:val="007525F5"/>
    <w:rsid w:val="00753EE0"/>
    <w:rsid w:val="007579C5"/>
    <w:rsid w:val="00760D49"/>
    <w:rsid w:val="007628D4"/>
    <w:rsid w:val="00763B23"/>
    <w:rsid w:val="007658EF"/>
    <w:rsid w:val="00767211"/>
    <w:rsid w:val="007714C9"/>
    <w:rsid w:val="0077338F"/>
    <w:rsid w:val="00773872"/>
    <w:rsid w:val="007738FF"/>
    <w:rsid w:val="00773BBD"/>
    <w:rsid w:val="00775388"/>
    <w:rsid w:val="0077686C"/>
    <w:rsid w:val="00781794"/>
    <w:rsid w:val="00783FFB"/>
    <w:rsid w:val="00785689"/>
    <w:rsid w:val="00792CED"/>
    <w:rsid w:val="00795234"/>
    <w:rsid w:val="00795459"/>
    <w:rsid w:val="0079754B"/>
    <w:rsid w:val="007A1E6D"/>
    <w:rsid w:val="007A1FC0"/>
    <w:rsid w:val="007A244B"/>
    <w:rsid w:val="007A3306"/>
    <w:rsid w:val="007A3FE5"/>
    <w:rsid w:val="007A499F"/>
    <w:rsid w:val="007B0EB2"/>
    <w:rsid w:val="007B12CB"/>
    <w:rsid w:val="007B1682"/>
    <w:rsid w:val="007B596D"/>
    <w:rsid w:val="007C147E"/>
    <w:rsid w:val="007C6F97"/>
    <w:rsid w:val="007D275D"/>
    <w:rsid w:val="007D55DF"/>
    <w:rsid w:val="007E42C6"/>
    <w:rsid w:val="007E4E73"/>
    <w:rsid w:val="007E55FF"/>
    <w:rsid w:val="007E6B41"/>
    <w:rsid w:val="007F0772"/>
    <w:rsid w:val="007F5484"/>
    <w:rsid w:val="007F63C9"/>
    <w:rsid w:val="008034A3"/>
    <w:rsid w:val="00803C05"/>
    <w:rsid w:val="0080743B"/>
    <w:rsid w:val="00807E59"/>
    <w:rsid w:val="00810B6F"/>
    <w:rsid w:val="0081116E"/>
    <w:rsid w:val="008116ED"/>
    <w:rsid w:val="00811715"/>
    <w:rsid w:val="00814102"/>
    <w:rsid w:val="00822CE0"/>
    <w:rsid w:val="00823B3A"/>
    <w:rsid w:val="008261AE"/>
    <w:rsid w:val="00830172"/>
    <w:rsid w:val="00831121"/>
    <w:rsid w:val="00833645"/>
    <w:rsid w:val="00840B71"/>
    <w:rsid w:val="00840BF3"/>
    <w:rsid w:val="00841AB1"/>
    <w:rsid w:val="00842B72"/>
    <w:rsid w:val="00844861"/>
    <w:rsid w:val="00846C30"/>
    <w:rsid w:val="008512D9"/>
    <w:rsid w:val="008531A8"/>
    <w:rsid w:val="008542FE"/>
    <w:rsid w:val="008565FE"/>
    <w:rsid w:val="00857938"/>
    <w:rsid w:val="008612D2"/>
    <w:rsid w:val="00863AE6"/>
    <w:rsid w:val="00864A7E"/>
    <w:rsid w:val="00865AB1"/>
    <w:rsid w:val="00865BDA"/>
    <w:rsid w:val="00866B4F"/>
    <w:rsid w:val="00876601"/>
    <w:rsid w:val="00877110"/>
    <w:rsid w:val="00877112"/>
    <w:rsid w:val="008834D3"/>
    <w:rsid w:val="00884C6D"/>
    <w:rsid w:val="0088619D"/>
    <w:rsid w:val="00887568"/>
    <w:rsid w:val="008A7128"/>
    <w:rsid w:val="008B05CB"/>
    <w:rsid w:val="008B0AAB"/>
    <w:rsid w:val="008B48FD"/>
    <w:rsid w:val="008B5F0A"/>
    <w:rsid w:val="008B6DFD"/>
    <w:rsid w:val="008C045F"/>
    <w:rsid w:val="008C3856"/>
    <w:rsid w:val="008C3F23"/>
    <w:rsid w:val="008C4DE8"/>
    <w:rsid w:val="008C51D5"/>
    <w:rsid w:val="008C68F1"/>
    <w:rsid w:val="008D0282"/>
    <w:rsid w:val="008D3207"/>
    <w:rsid w:val="008D6768"/>
    <w:rsid w:val="008D719C"/>
    <w:rsid w:val="008E08BA"/>
    <w:rsid w:val="008E4D49"/>
    <w:rsid w:val="008E6417"/>
    <w:rsid w:val="008F6EC0"/>
    <w:rsid w:val="008F7543"/>
    <w:rsid w:val="0090334F"/>
    <w:rsid w:val="00905A42"/>
    <w:rsid w:val="00905D0F"/>
    <w:rsid w:val="009061AB"/>
    <w:rsid w:val="009073BD"/>
    <w:rsid w:val="009077EE"/>
    <w:rsid w:val="00920715"/>
    <w:rsid w:val="00921803"/>
    <w:rsid w:val="00923320"/>
    <w:rsid w:val="00926503"/>
    <w:rsid w:val="00926580"/>
    <w:rsid w:val="00930A04"/>
    <w:rsid w:val="00931979"/>
    <w:rsid w:val="00932610"/>
    <w:rsid w:val="009371D9"/>
    <w:rsid w:val="00940E2F"/>
    <w:rsid w:val="009425D9"/>
    <w:rsid w:val="0094279A"/>
    <w:rsid w:val="009442DF"/>
    <w:rsid w:val="0094518A"/>
    <w:rsid w:val="009462C7"/>
    <w:rsid w:val="00946FD0"/>
    <w:rsid w:val="00951D67"/>
    <w:rsid w:val="00962914"/>
    <w:rsid w:val="009671B2"/>
    <w:rsid w:val="00971AB4"/>
    <w:rsid w:val="009726D8"/>
    <w:rsid w:val="00973C65"/>
    <w:rsid w:val="00981296"/>
    <w:rsid w:val="00983D63"/>
    <w:rsid w:val="00984187"/>
    <w:rsid w:val="00987ECC"/>
    <w:rsid w:val="0099533A"/>
    <w:rsid w:val="00996FDA"/>
    <w:rsid w:val="009A002D"/>
    <w:rsid w:val="009A0557"/>
    <w:rsid w:val="009A0DC3"/>
    <w:rsid w:val="009A6D7A"/>
    <w:rsid w:val="009B49A6"/>
    <w:rsid w:val="009B4EB9"/>
    <w:rsid w:val="009C0E4C"/>
    <w:rsid w:val="009C2E41"/>
    <w:rsid w:val="009C34CC"/>
    <w:rsid w:val="009C5620"/>
    <w:rsid w:val="009D050E"/>
    <w:rsid w:val="009D154F"/>
    <w:rsid w:val="009D212A"/>
    <w:rsid w:val="009D38F1"/>
    <w:rsid w:val="009D4C1B"/>
    <w:rsid w:val="009D5B69"/>
    <w:rsid w:val="009D7F42"/>
    <w:rsid w:val="009E0280"/>
    <w:rsid w:val="009E2991"/>
    <w:rsid w:val="009E4BEF"/>
    <w:rsid w:val="009E5B44"/>
    <w:rsid w:val="009F1A70"/>
    <w:rsid w:val="009F49A9"/>
    <w:rsid w:val="009F57CB"/>
    <w:rsid w:val="009F76DB"/>
    <w:rsid w:val="00A02D80"/>
    <w:rsid w:val="00A02F04"/>
    <w:rsid w:val="00A05416"/>
    <w:rsid w:val="00A068EE"/>
    <w:rsid w:val="00A076C3"/>
    <w:rsid w:val="00A07C54"/>
    <w:rsid w:val="00A12DE4"/>
    <w:rsid w:val="00A1305C"/>
    <w:rsid w:val="00A13A25"/>
    <w:rsid w:val="00A152A8"/>
    <w:rsid w:val="00A2137E"/>
    <w:rsid w:val="00A218A4"/>
    <w:rsid w:val="00A27CEE"/>
    <w:rsid w:val="00A32C3B"/>
    <w:rsid w:val="00A35B1E"/>
    <w:rsid w:val="00A3726E"/>
    <w:rsid w:val="00A40AD7"/>
    <w:rsid w:val="00A422FA"/>
    <w:rsid w:val="00A45772"/>
    <w:rsid w:val="00A45F4F"/>
    <w:rsid w:val="00A53C38"/>
    <w:rsid w:val="00A600A9"/>
    <w:rsid w:val="00A60480"/>
    <w:rsid w:val="00A64268"/>
    <w:rsid w:val="00A6532C"/>
    <w:rsid w:val="00A702D2"/>
    <w:rsid w:val="00A70BC1"/>
    <w:rsid w:val="00A70D52"/>
    <w:rsid w:val="00A71161"/>
    <w:rsid w:val="00A72798"/>
    <w:rsid w:val="00A72B89"/>
    <w:rsid w:val="00A750BC"/>
    <w:rsid w:val="00A80FE6"/>
    <w:rsid w:val="00A82268"/>
    <w:rsid w:val="00A85382"/>
    <w:rsid w:val="00A85640"/>
    <w:rsid w:val="00A87646"/>
    <w:rsid w:val="00A949AC"/>
    <w:rsid w:val="00AA12BE"/>
    <w:rsid w:val="00AA1B35"/>
    <w:rsid w:val="00AA2F59"/>
    <w:rsid w:val="00AA3ADA"/>
    <w:rsid w:val="00AA42D6"/>
    <w:rsid w:val="00AA55B7"/>
    <w:rsid w:val="00AA5B9E"/>
    <w:rsid w:val="00AA7487"/>
    <w:rsid w:val="00AB12D9"/>
    <w:rsid w:val="00AB2407"/>
    <w:rsid w:val="00AB2DBB"/>
    <w:rsid w:val="00AB53DF"/>
    <w:rsid w:val="00AB6E31"/>
    <w:rsid w:val="00AB79A3"/>
    <w:rsid w:val="00AC1270"/>
    <w:rsid w:val="00AC30A1"/>
    <w:rsid w:val="00AC4578"/>
    <w:rsid w:val="00AC4AC2"/>
    <w:rsid w:val="00AC4E1E"/>
    <w:rsid w:val="00AD12E6"/>
    <w:rsid w:val="00AD4795"/>
    <w:rsid w:val="00AE36C0"/>
    <w:rsid w:val="00AE4649"/>
    <w:rsid w:val="00AE5474"/>
    <w:rsid w:val="00AE5730"/>
    <w:rsid w:val="00AE7617"/>
    <w:rsid w:val="00AF4168"/>
    <w:rsid w:val="00AF4D79"/>
    <w:rsid w:val="00B05D2C"/>
    <w:rsid w:val="00B06E6E"/>
    <w:rsid w:val="00B07E5C"/>
    <w:rsid w:val="00B07EEC"/>
    <w:rsid w:val="00B14C7D"/>
    <w:rsid w:val="00B16DE6"/>
    <w:rsid w:val="00B207F5"/>
    <w:rsid w:val="00B21FEB"/>
    <w:rsid w:val="00B23636"/>
    <w:rsid w:val="00B241F1"/>
    <w:rsid w:val="00B2574E"/>
    <w:rsid w:val="00B30826"/>
    <w:rsid w:val="00B34911"/>
    <w:rsid w:val="00B36B4B"/>
    <w:rsid w:val="00B40007"/>
    <w:rsid w:val="00B420A6"/>
    <w:rsid w:val="00B42FC8"/>
    <w:rsid w:val="00B44643"/>
    <w:rsid w:val="00B50594"/>
    <w:rsid w:val="00B50F1F"/>
    <w:rsid w:val="00B51676"/>
    <w:rsid w:val="00B54201"/>
    <w:rsid w:val="00B54F60"/>
    <w:rsid w:val="00B551DC"/>
    <w:rsid w:val="00B576C3"/>
    <w:rsid w:val="00B57746"/>
    <w:rsid w:val="00B60C7E"/>
    <w:rsid w:val="00B620AC"/>
    <w:rsid w:val="00B702F4"/>
    <w:rsid w:val="00B750FC"/>
    <w:rsid w:val="00B7635E"/>
    <w:rsid w:val="00B77B07"/>
    <w:rsid w:val="00B8058D"/>
    <w:rsid w:val="00B811F7"/>
    <w:rsid w:val="00B8296E"/>
    <w:rsid w:val="00B83461"/>
    <w:rsid w:val="00B83613"/>
    <w:rsid w:val="00B83A70"/>
    <w:rsid w:val="00B85ADD"/>
    <w:rsid w:val="00B92BE7"/>
    <w:rsid w:val="00B92C0D"/>
    <w:rsid w:val="00B9509B"/>
    <w:rsid w:val="00B950C4"/>
    <w:rsid w:val="00B9559F"/>
    <w:rsid w:val="00B95F08"/>
    <w:rsid w:val="00B96027"/>
    <w:rsid w:val="00B9606B"/>
    <w:rsid w:val="00B96158"/>
    <w:rsid w:val="00B97860"/>
    <w:rsid w:val="00BA10EE"/>
    <w:rsid w:val="00BA17F5"/>
    <w:rsid w:val="00BA399B"/>
    <w:rsid w:val="00BA5000"/>
    <w:rsid w:val="00BA5DC6"/>
    <w:rsid w:val="00BA6196"/>
    <w:rsid w:val="00BC1E71"/>
    <w:rsid w:val="00BC6D8C"/>
    <w:rsid w:val="00BD511B"/>
    <w:rsid w:val="00BD759F"/>
    <w:rsid w:val="00BF7CE1"/>
    <w:rsid w:val="00C00FEE"/>
    <w:rsid w:val="00C03A92"/>
    <w:rsid w:val="00C042AA"/>
    <w:rsid w:val="00C07E66"/>
    <w:rsid w:val="00C115FB"/>
    <w:rsid w:val="00C1368A"/>
    <w:rsid w:val="00C174B6"/>
    <w:rsid w:val="00C203C2"/>
    <w:rsid w:val="00C206C4"/>
    <w:rsid w:val="00C2328F"/>
    <w:rsid w:val="00C246E0"/>
    <w:rsid w:val="00C26E27"/>
    <w:rsid w:val="00C31686"/>
    <w:rsid w:val="00C328DB"/>
    <w:rsid w:val="00C32E74"/>
    <w:rsid w:val="00C34006"/>
    <w:rsid w:val="00C426B1"/>
    <w:rsid w:val="00C44C22"/>
    <w:rsid w:val="00C472F5"/>
    <w:rsid w:val="00C5044D"/>
    <w:rsid w:val="00C50454"/>
    <w:rsid w:val="00C64A4C"/>
    <w:rsid w:val="00C65067"/>
    <w:rsid w:val="00C65A83"/>
    <w:rsid w:val="00C66160"/>
    <w:rsid w:val="00C67393"/>
    <w:rsid w:val="00C67CE4"/>
    <w:rsid w:val="00C721AC"/>
    <w:rsid w:val="00C735B0"/>
    <w:rsid w:val="00C738EA"/>
    <w:rsid w:val="00C80820"/>
    <w:rsid w:val="00C80C72"/>
    <w:rsid w:val="00C81804"/>
    <w:rsid w:val="00C84AFB"/>
    <w:rsid w:val="00C85B41"/>
    <w:rsid w:val="00C87454"/>
    <w:rsid w:val="00C90D6A"/>
    <w:rsid w:val="00C90E1A"/>
    <w:rsid w:val="00C90F6E"/>
    <w:rsid w:val="00C9345E"/>
    <w:rsid w:val="00C95D68"/>
    <w:rsid w:val="00CA247E"/>
    <w:rsid w:val="00CA2B98"/>
    <w:rsid w:val="00CA464B"/>
    <w:rsid w:val="00CA668A"/>
    <w:rsid w:val="00CB2E37"/>
    <w:rsid w:val="00CB4998"/>
    <w:rsid w:val="00CC07A8"/>
    <w:rsid w:val="00CC4654"/>
    <w:rsid w:val="00CC72B6"/>
    <w:rsid w:val="00CD1FCD"/>
    <w:rsid w:val="00CD386C"/>
    <w:rsid w:val="00CD4022"/>
    <w:rsid w:val="00CD43FD"/>
    <w:rsid w:val="00CD60C1"/>
    <w:rsid w:val="00CE40F8"/>
    <w:rsid w:val="00CE4502"/>
    <w:rsid w:val="00CE4944"/>
    <w:rsid w:val="00CE4D7E"/>
    <w:rsid w:val="00CE506B"/>
    <w:rsid w:val="00CE6354"/>
    <w:rsid w:val="00CF0457"/>
    <w:rsid w:val="00CF5EF9"/>
    <w:rsid w:val="00CF65BE"/>
    <w:rsid w:val="00CF6D54"/>
    <w:rsid w:val="00D0218D"/>
    <w:rsid w:val="00D059D5"/>
    <w:rsid w:val="00D061D1"/>
    <w:rsid w:val="00D144CF"/>
    <w:rsid w:val="00D23917"/>
    <w:rsid w:val="00D239F9"/>
    <w:rsid w:val="00D25081"/>
    <w:rsid w:val="00D25FB5"/>
    <w:rsid w:val="00D27883"/>
    <w:rsid w:val="00D30B0D"/>
    <w:rsid w:val="00D311FF"/>
    <w:rsid w:val="00D3293B"/>
    <w:rsid w:val="00D329A8"/>
    <w:rsid w:val="00D34219"/>
    <w:rsid w:val="00D428EC"/>
    <w:rsid w:val="00D43A02"/>
    <w:rsid w:val="00D44223"/>
    <w:rsid w:val="00D45A2D"/>
    <w:rsid w:val="00D5408D"/>
    <w:rsid w:val="00D62A56"/>
    <w:rsid w:val="00D634D5"/>
    <w:rsid w:val="00D6382F"/>
    <w:rsid w:val="00D642CC"/>
    <w:rsid w:val="00D64AE4"/>
    <w:rsid w:val="00D65E0E"/>
    <w:rsid w:val="00D81B94"/>
    <w:rsid w:val="00D86624"/>
    <w:rsid w:val="00D90BF2"/>
    <w:rsid w:val="00D93247"/>
    <w:rsid w:val="00D96B1A"/>
    <w:rsid w:val="00DA1AA4"/>
    <w:rsid w:val="00DA2529"/>
    <w:rsid w:val="00DA59BC"/>
    <w:rsid w:val="00DA7DED"/>
    <w:rsid w:val="00DB097E"/>
    <w:rsid w:val="00DB130A"/>
    <w:rsid w:val="00DB17BA"/>
    <w:rsid w:val="00DB2EBB"/>
    <w:rsid w:val="00DC0296"/>
    <w:rsid w:val="00DC10A1"/>
    <w:rsid w:val="00DC21F0"/>
    <w:rsid w:val="00DC262E"/>
    <w:rsid w:val="00DC3159"/>
    <w:rsid w:val="00DC655F"/>
    <w:rsid w:val="00DD0B59"/>
    <w:rsid w:val="00DD29BE"/>
    <w:rsid w:val="00DD41A5"/>
    <w:rsid w:val="00DD7EBD"/>
    <w:rsid w:val="00DE257F"/>
    <w:rsid w:val="00DE456B"/>
    <w:rsid w:val="00DE5DC6"/>
    <w:rsid w:val="00DE6184"/>
    <w:rsid w:val="00DE72A2"/>
    <w:rsid w:val="00DF3C3A"/>
    <w:rsid w:val="00DF3C82"/>
    <w:rsid w:val="00DF4631"/>
    <w:rsid w:val="00DF47A2"/>
    <w:rsid w:val="00DF62B6"/>
    <w:rsid w:val="00DF62DA"/>
    <w:rsid w:val="00E007E8"/>
    <w:rsid w:val="00E01205"/>
    <w:rsid w:val="00E020CD"/>
    <w:rsid w:val="00E03187"/>
    <w:rsid w:val="00E04117"/>
    <w:rsid w:val="00E07225"/>
    <w:rsid w:val="00E07718"/>
    <w:rsid w:val="00E078F8"/>
    <w:rsid w:val="00E11024"/>
    <w:rsid w:val="00E11137"/>
    <w:rsid w:val="00E1160B"/>
    <w:rsid w:val="00E139A2"/>
    <w:rsid w:val="00E165F5"/>
    <w:rsid w:val="00E17AA3"/>
    <w:rsid w:val="00E21F2F"/>
    <w:rsid w:val="00E22C43"/>
    <w:rsid w:val="00E2483F"/>
    <w:rsid w:val="00E249EB"/>
    <w:rsid w:val="00E3002F"/>
    <w:rsid w:val="00E30A7E"/>
    <w:rsid w:val="00E35202"/>
    <w:rsid w:val="00E36E1E"/>
    <w:rsid w:val="00E3705B"/>
    <w:rsid w:val="00E40EB3"/>
    <w:rsid w:val="00E44131"/>
    <w:rsid w:val="00E46ECE"/>
    <w:rsid w:val="00E519BD"/>
    <w:rsid w:val="00E5409F"/>
    <w:rsid w:val="00E56B54"/>
    <w:rsid w:val="00E56F78"/>
    <w:rsid w:val="00E60382"/>
    <w:rsid w:val="00E6080E"/>
    <w:rsid w:val="00E60DD6"/>
    <w:rsid w:val="00E64822"/>
    <w:rsid w:val="00E7054F"/>
    <w:rsid w:val="00E708D3"/>
    <w:rsid w:val="00E76595"/>
    <w:rsid w:val="00E77096"/>
    <w:rsid w:val="00E8352F"/>
    <w:rsid w:val="00EA2B6C"/>
    <w:rsid w:val="00EA38EE"/>
    <w:rsid w:val="00EA5CD4"/>
    <w:rsid w:val="00EA7806"/>
    <w:rsid w:val="00EB003E"/>
    <w:rsid w:val="00EC02CF"/>
    <w:rsid w:val="00EC06A6"/>
    <w:rsid w:val="00EC1469"/>
    <w:rsid w:val="00EC203F"/>
    <w:rsid w:val="00EC4EAE"/>
    <w:rsid w:val="00EC5A49"/>
    <w:rsid w:val="00EC79DC"/>
    <w:rsid w:val="00ED0139"/>
    <w:rsid w:val="00ED40B0"/>
    <w:rsid w:val="00ED5865"/>
    <w:rsid w:val="00ED5C6E"/>
    <w:rsid w:val="00EE0BEA"/>
    <w:rsid w:val="00EE51CE"/>
    <w:rsid w:val="00EE57FA"/>
    <w:rsid w:val="00EE6488"/>
    <w:rsid w:val="00EF0057"/>
    <w:rsid w:val="00EF26E4"/>
    <w:rsid w:val="00EF47DB"/>
    <w:rsid w:val="00EF51FD"/>
    <w:rsid w:val="00EF5B32"/>
    <w:rsid w:val="00F021FA"/>
    <w:rsid w:val="00F0473C"/>
    <w:rsid w:val="00F055DD"/>
    <w:rsid w:val="00F10925"/>
    <w:rsid w:val="00F12313"/>
    <w:rsid w:val="00F15849"/>
    <w:rsid w:val="00F160DB"/>
    <w:rsid w:val="00F20195"/>
    <w:rsid w:val="00F22BF1"/>
    <w:rsid w:val="00F2382E"/>
    <w:rsid w:val="00F2433E"/>
    <w:rsid w:val="00F25DBA"/>
    <w:rsid w:val="00F27B0E"/>
    <w:rsid w:val="00F3032A"/>
    <w:rsid w:val="00F30614"/>
    <w:rsid w:val="00F35AC5"/>
    <w:rsid w:val="00F41129"/>
    <w:rsid w:val="00F415D5"/>
    <w:rsid w:val="00F41997"/>
    <w:rsid w:val="00F41DFB"/>
    <w:rsid w:val="00F4374C"/>
    <w:rsid w:val="00F44BAB"/>
    <w:rsid w:val="00F44CF7"/>
    <w:rsid w:val="00F52949"/>
    <w:rsid w:val="00F52A74"/>
    <w:rsid w:val="00F54DAD"/>
    <w:rsid w:val="00F56D69"/>
    <w:rsid w:val="00F61AA3"/>
    <w:rsid w:val="00F62E97"/>
    <w:rsid w:val="00F63637"/>
    <w:rsid w:val="00F64209"/>
    <w:rsid w:val="00F67F94"/>
    <w:rsid w:val="00F70B87"/>
    <w:rsid w:val="00F7701F"/>
    <w:rsid w:val="00F7730A"/>
    <w:rsid w:val="00F82F63"/>
    <w:rsid w:val="00F8555F"/>
    <w:rsid w:val="00F8679C"/>
    <w:rsid w:val="00F90096"/>
    <w:rsid w:val="00F93BF5"/>
    <w:rsid w:val="00F95EFE"/>
    <w:rsid w:val="00FA1435"/>
    <w:rsid w:val="00FA3D8A"/>
    <w:rsid w:val="00FA6D91"/>
    <w:rsid w:val="00FB1211"/>
    <w:rsid w:val="00FB2DE9"/>
    <w:rsid w:val="00FB45F7"/>
    <w:rsid w:val="00FC1124"/>
    <w:rsid w:val="00FC7DAD"/>
    <w:rsid w:val="00FD12CA"/>
    <w:rsid w:val="00FE0144"/>
    <w:rsid w:val="00FE0AFF"/>
    <w:rsid w:val="00FE3F96"/>
    <w:rsid w:val="00FE4ACA"/>
    <w:rsid w:val="00FE4F89"/>
    <w:rsid w:val="00FF6326"/>
    <w:rsid w:val="00FF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16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E9E"/>
    <w:pPr>
      <w:widowControl w:val="0"/>
    </w:pPr>
    <w:rPr>
      <w:snapToGrid w:val="0"/>
      <w:kern w:val="28"/>
      <w:sz w:val="22"/>
    </w:rPr>
  </w:style>
  <w:style w:type="paragraph" w:styleId="Heading1">
    <w:name w:val="heading 1"/>
    <w:basedOn w:val="Normal"/>
    <w:next w:val="ParaNum"/>
    <w:link w:val="Heading1Char"/>
    <w:qFormat/>
    <w:rsid w:val="00681E9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681E9E"/>
    <w:pPr>
      <w:keepNext/>
      <w:numPr>
        <w:ilvl w:val="1"/>
        <w:numId w:val="2"/>
      </w:numPr>
      <w:spacing w:after="120"/>
      <w:outlineLvl w:val="1"/>
    </w:pPr>
    <w:rPr>
      <w:b/>
    </w:rPr>
  </w:style>
  <w:style w:type="paragraph" w:styleId="Heading3">
    <w:name w:val="heading 3"/>
    <w:basedOn w:val="Normal"/>
    <w:next w:val="ParaNum"/>
    <w:link w:val="Heading3Char"/>
    <w:qFormat/>
    <w:rsid w:val="00681E9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681E9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81E9E"/>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81E9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81E9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81E9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81E9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81E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1E9E"/>
  </w:style>
  <w:style w:type="paragraph" w:customStyle="1" w:styleId="ParaNum">
    <w:name w:val="ParaNum"/>
    <w:basedOn w:val="Normal"/>
    <w:link w:val="ParaNumChar1"/>
    <w:rsid w:val="00681E9E"/>
    <w:pPr>
      <w:numPr>
        <w:numId w:val="1"/>
      </w:numPr>
      <w:tabs>
        <w:tab w:val="clear" w:pos="1080"/>
        <w:tab w:val="num" w:pos="1440"/>
      </w:tabs>
      <w:spacing w:after="120"/>
    </w:pPr>
  </w:style>
  <w:style w:type="paragraph" w:styleId="EndnoteText">
    <w:name w:val="endnote text"/>
    <w:basedOn w:val="Normal"/>
    <w:semiHidden/>
    <w:rsid w:val="00681E9E"/>
    <w:rPr>
      <w:sz w:val="20"/>
    </w:rPr>
  </w:style>
  <w:style w:type="character" w:styleId="EndnoteReference">
    <w:name w:val="endnote reference"/>
    <w:semiHidden/>
    <w:rsid w:val="00681E9E"/>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681E9E"/>
    <w:pPr>
      <w:spacing w:after="120"/>
    </w:pPr>
  </w:style>
  <w:style w:type="character" w:styleId="FootnoteReference">
    <w:name w:val="footnote reference"/>
    <w:aliases w:val="Style 12,(NECG) Footnote Reference,Appel note de bas de p,Style 124,Style 4,Style 13,o,fr,Style 3,FR,Style 17,Footnote Reference/,Style 6,Footnote Reference1,Style 7"/>
    <w:rsid w:val="00681E9E"/>
    <w:rPr>
      <w:rFonts w:ascii="Times New Roman" w:hAnsi="Times New Roman"/>
      <w:dstrike w:val="0"/>
      <w:color w:val="auto"/>
      <w:sz w:val="20"/>
      <w:vertAlign w:val="superscript"/>
    </w:rPr>
  </w:style>
  <w:style w:type="paragraph" w:styleId="TOC1">
    <w:name w:val="toc 1"/>
    <w:basedOn w:val="Normal"/>
    <w:next w:val="Normal"/>
    <w:semiHidden/>
    <w:rsid w:val="00681E9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81E9E"/>
    <w:pPr>
      <w:tabs>
        <w:tab w:val="left" w:pos="720"/>
        <w:tab w:val="right" w:leader="dot" w:pos="9360"/>
      </w:tabs>
      <w:suppressAutoHyphens/>
      <w:ind w:left="720" w:right="720" w:hanging="360"/>
    </w:pPr>
    <w:rPr>
      <w:noProof/>
    </w:rPr>
  </w:style>
  <w:style w:type="paragraph" w:styleId="TOC3">
    <w:name w:val="toc 3"/>
    <w:basedOn w:val="Normal"/>
    <w:next w:val="Normal"/>
    <w:semiHidden/>
    <w:rsid w:val="00681E9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81E9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81E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81E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81E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81E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81E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81E9E"/>
    <w:pPr>
      <w:tabs>
        <w:tab w:val="right" w:pos="9360"/>
      </w:tabs>
      <w:suppressAutoHyphens/>
    </w:pPr>
  </w:style>
  <w:style w:type="character" w:customStyle="1" w:styleId="EquationCaption">
    <w:name w:val="_Equation Caption"/>
    <w:rsid w:val="00681E9E"/>
  </w:style>
  <w:style w:type="paragraph" w:styleId="Header">
    <w:name w:val="header"/>
    <w:basedOn w:val="Normal"/>
    <w:autoRedefine/>
    <w:rsid w:val="00681E9E"/>
    <w:pPr>
      <w:tabs>
        <w:tab w:val="center" w:pos="4680"/>
        <w:tab w:val="right" w:pos="9360"/>
      </w:tabs>
    </w:pPr>
    <w:rPr>
      <w:b/>
    </w:rPr>
  </w:style>
  <w:style w:type="paragraph" w:styleId="Footer">
    <w:name w:val="footer"/>
    <w:basedOn w:val="Normal"/>
    <w:link w:val="FooterChar"/>
    <w:rsid w:val="00681E9E"/>
    <w:pPr>
      <w:tabs>
        <w:tab w:val="center" w:pos="4320"/>
        <w:tab w:val="right" w:pos="8640"/>
      </w:tabs>
    </w:pPr>
  </w:style>
  <w:style w:type="character" w:styleId="PageNumber">
    <w:name w:val="page number"/>
    <w:basedOn w:val="DefaultParagraphFont"/>
    <w:rsid w:val="00681E9E"/>
  </w:style>
  <w:style w:type="paragraph" w:styleId="BlockText">
    <w:name w:val="Block Text"/>
    <w:basedOn w:val="Normal"/>
    <w:rsid w:val="00681E9E"/>
    <w:pPr>
      <w:spacing w:after="240"/>
      <w:ind w:left="1440" w:right="1440"/>
    </w:pPr>
  </w:style>
  <w:style w:type="paragraph" w:customStyle="1" w:styleId="Paratitle">
    <w:name w:val="Para title"/>
    <w:basedOn w:val="Normal"/>
    <w:rsid w:val="00681E9E"/>
    <w:pPr>
      <w:tabs>
        <w:tab w:val="center" w:pos="9270"/>
      </w:tabs>
      <w:spacing w:after="240"/>
    </w:pPr>
    <w:rPr>
      <w:spacing w:val="-2"/>
    </w:rPr>
  </w:style>
  <w:style w:type="paragraph" w:customStyle="1" w:styleId="Bullet">
    <w:name w:val="Bullet"/>
    <w:basedOn w:val="Normal"/>
    <w:rsid w:val="00681E9E"/>
    <w:pPr>
      <w:tabs>
        <w:tab w:val="left" w:pos="2160"/>
      </w:tabs>
      <w:spacing w:after="220"/>
      <w:ind w:left="2160" w:hanging="720"/>
    </w:pPr>
  </w:style>
  <w:style w:type="paragraph" w:customStyle="1" w:styleId="TableFormat">
    <w:name w:val="TableFormat"/>
    <w:basedOn w:val="Bullet"/>
    <w:rsid w:val="00681E9E"/>
    <w:pPr>
      <w:tabs>
        <w:tab w:val="clear" w:pos="2160"/>
        <w:tab w:val="left" w:pos="5040"/>
      </w:tabs>
      <w:ind w:left="5040" w:hanging="3600"/>
    </w:pPr>
  </w:style>
  <w:style w:type="paragraph" w:customStyle="1" w:styleId="TOCTitle">
    <w:name w:val="TOC Title"/>
    <w:basedOn w:val="Normal"/>
    <w:rsid w:val="00681E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81E9E"/>
    <w:pPr>
      <w:jc w:val="center"/>
    </w:pPr>
    <w:rPr>
      <w:rFonts w:ascii="Times New Roman Bold" w:hAnsi="Times New Roman Bold"/>
      <w:b/>
      <w:bCs/>
      <w:caps/>
      <w:szCs w:val="22"/>
    </w:rPr>
  </w:style>
  <w:style w:type="character" w:styleId="Hyperlink">
    <w:name w:val="Hyperlink"/>
    <w:rsid w:val="00681E9E"/>
    <w:rPr>
      <w:color w:val="0000FF"/>
      <w:u w:val="single"/>
    </w:rPr>
  </w:style>
  <w:style w:type="character" w:styleId="Emphasis">
    <w:name w:val="Emphasis"/>
    <w:basedOn w:val="DefaultParagraphFont"/>
    <w:qFormat/>
    <w:rsid w:val="00E3705B"/>
    <w:rPr>
      <w:i/>
      <w:iCs/>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C65067"/>
  </w:style>
  <w:style w:type="character" w:customStyle="1" w:styleId="ParaNumChar1">
    <w:name w:val="ParaNum Char1"/>
    <w:link w:val="ParaNum"/>
    <w:locked/>
    <w:rsid w:val="00C65067"/>
    <w:rPr>
      <w:snapToGrid w:val="0"/>
      <w:kern w:val="28"/>
      <w:sz w:val="22"/>
    </w:rPr>
  </w:style>
  <w:style w:type="character" w:customStyle="1" w:styleId="documentbody">
    <w:name w:val="documentbody"/>
    <w:rsid w:val="00C67CE4"/>
  </w:style>
  <w:style w:type="character" w:customStyle="1" w:styleId="searchterm">
    <w:name w:val="searchterm"/>
    <w:rsid w:val="00C67CE4"/>
  </w:style>
  <w:style w:type="character" w:customStyle="1" w:styleId="apple-converted-space">
    <w:name w:val="apple-converted-space"/>
    <w:basedOn w:val="DefaultParagraphFont"/>
    <w:rsid w:val="003D094D"/>
  </w:style>
  <w:style w:type="paragraph" w:styleId="Caption">
    <w:name w:val="caption"/>
    <w:basedOn w:val="Normal"/>
    <w:next w:val="Normal"/>
    <w:qFormat/>
    <w:rsid w:val="0094279A"/>
    <w:pPr>
      <w:spacing w:before="120" w:after="120"/>
    </w:pPr>
    <w:rPr>
      <w:b/>
      <w:snapToGrid/>
    </w:rPr>
  </w:style>
  <w:style w:type="numbering" w:customStyle="1" w:styleId="Style1">
    <w:name w:val="Style1"/>
    <w:uiPriority w:val="99"/>
    <w:rsid w:val="0094279A"/>
    <w:pPr>
      <w:numPr>
        <w:numId w:val="4"/>
      </w:numPr>
    </w:pPr>
  </w:style>
  <w:style w:type="paragraph" w:customStyle="1" w:styleId="Paranum0">
    <w:name w:val="Paranum"/>
    <w:rsid w:val="0094279A"/>
    <w:pPr>
      <w:numPr>
        <w:numId w:val="5"/>
      </w:numPr>
      <w:tabs>
        <w:tab w:val="left" w:pos="1440"/>
      </w:tabs>
      <w:spacing w:after="240"/>
      <w:jc w:val="both"/>
    </w:pPr>
    <w:rPr>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94279A"/>
    <w:rPr>
      <w:b/>
      <w:snapToGrid w:val="0"/>
      <w:kern w:val="28"/>
      <w:sz w:val="22"/>
    </w:rPr>
  </w:style>
  <w:style w:type="character" w:customStyle="1" w:styleId="Heading3Char">
    <w:name w:val="Heading 3 Char"/>
    <w:link w:val="Heading3"/>
    <w:rsid w:val="00090CF5"/>
    <w:rPr>
      <w:b/>
      <w:snapToGrid w:val="0"/>
      <w:kern w:val="28"/>
      <w:sz w:val="22"/>
    </w:rPr>
  </w:style>
  <w:style w:type="character" w:styleId="CommentReference">
    <w:name w:val="annotation reference"/>
    <w:uiPriority w:val="99"/>
    <w:rsid w:val="00426C4C"/>
    <w:rPr>
      <w:sz w:val="16"/>
      <w:szCs w:val="16"/>
    </w:rPr>
  </w:style>
  <w:style w:type="character" w:customStyle="1" w:styleId="Heading1Char">
    <w:name w:val="Heading 1 Char"/>
    <w:link w:val="Heading1"/>
    <w:rsid w:val="00337F21"/>
    <w:rPr>
      <w:rFonts w:ascii="Times New Roman Bold" w:hAnsi="Times New Roman Bold"/>
      <w:b/>
      <w:caps/>
      <w:snapToGrid w:val="0"/>
      <w:kern w:val="28"/>
      <w:sz w:val="22"/>
    </w:rPr>
  </w:style>
  <w:style w:type="character" w:customStyle="1" w:styleId="FooterChar">
    <w:name w:val="Footer Char"/>
    <w:link w:val="Footer"/>
    <w:rsid w:val="00337F21"/>
    <w:rPr>
      <w:snapToGrid w:val="0"/>
      <w:kern w:val="28"/>
      <w:sz w:val="22"/>
    </w:rPr>
  </w:style>
  <w:style w:type="character" w:customStyle="1" w:styleId="Footnote">
    <w:name w:val="Footnote"/>
    <w:rsid w:val="000D5B25"/>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0D5B25"/>
    <w:rPr>
      <w:rFonts w:cs="Times New Roman"/>
      <w:lang w:val="en-US" w:eastAsia="en-US" w:bidi="ar-SA"/>
    </w:rPr>
  </w:style>
  <w:style w:type="character" w:customStyle="1" w:styleId="documentbody1">
    <w:name w:val="documentbody1"/>
    <w:rsid w:val="000D5B25"/>
    <w:rPr>
      <w:rFonts w:ascii="Verdana" w:hAnsi="Verdana" w:cs="Times New Roman"/>
      <w:sz w:val="19"/>
      <w:szCs w:val="19"/>
    </w:rPr>
  </w:style>
  <w:style w:type="paragraph" w:styleId="BalloonText">
    <w:name w:val="Balloon Text"/>
    <w:basedOn w:val="Normal"/>
    <w:link w:val="BalloonTextChar"/>
    <w:uiPriority w:val="99"/>
    <w:rsid w:val="00397A38"/>
    <w:rPr>
      <w:rFonts w:ascii="Segoe UI" w:hAnsi="Segoe UI" w:cs="Segoe UI"/>
      <w:sz w:val="18"/>
      <w:szCs w:val="18"/>
    </w:rPr>
  </w:style>
  <w:style w:type="character" w:customStyle="1" w:styleId="BalloonTextChar">
    <w:name w:val="Balloon Text Char"/>
    <w:basedOn w:val="DefaultParagraphFont"/>
    <w:link w:val="BalloonText"/>
    <w:uiPriority w:val="99"/>
    <w:rsid w:val="00397A38"/>
    <w:rPr>
      <w:rFonts w:ascii="Segoe UI" w:hAnsi="Segoe UI" w:cs="Segoe UI"/>
      <w:snapToGrid w:val="0"/>
      <w:kern w:val="28"/>
      <w:sz w:val="18"/>
      <w:szCs w:val="18"/>
    </w:rPr>
  </w:style>
  <w:style w:type="paragraph" w:styleId="CommentText">
    <w:name w:val="annotation text"/>
    <w:basedOn w:val="Normal"/>
    <w:link w:val="CommentTextChar"/>
    <w:rsid w:val="00F7730A"/>
    <w:rPr>
      <w:sz w:val="20"/>
    </w:rPr>
  </w:style>
  <w:style w:type="character" w:customStyle="1" w:styleId="CommentTextChar">
    <w:name w:val="Comment Text Char"/>
    <w:basedOn w:val="DefaultParagraphFont"/>
    <w:link w:val="CommentText"/>
    <w:rsid w:val="00F7730A"/>
    <w:rPr>
      <w:snapToGrid w:val="0"/>
      <w:kern w:val="28"/>
    </w:rPr>
  </w:style>
  <w:style w:type="paragraph" w:styleId="CommentSubject">
    <w:name w:val="annotation subject"/>
    <w:basedOn w:val="CommentText"/>
    <w:next w:val="CommentText"/>
    <w:link w:val="CommentSubjectChar"/>
    <w:rsid w:val="00F7730A"/>
    <w:rPr>
      <w:b/>
      <w:bCs/>
    </w:rPr>
  </w:style>
  <w:style w:type="character" w:customStyle="1" w:styleId="CommentSubjectChar">
    <w:name w:val="Comment Subject Char"/>
    <w:basedOn w:val="CommentTextChar"/>
    <w:link w:val="CommentSubject"/>
    <w:rsid w:val="00F7730A"/>
    <w:rPr>
      <w:b/>
      <w:bCs/>
      <w:snapToGrid w:val="0"/>
      <w:kern w:val="28"/>
    </w:rPr>
  </w:style>
  <w:style w:type="character" w:customStyle="1" w:styleId="Heading4Char">
    <w:name w:val="Heading 4 Char"/>
    <w:basedOn w:val="DefaultParagraphFont"/>
    <w:link w:val="Heading4"/>
    <w:rsid w:val="00981296"/>
    <w:rPr>
      <w:b/>
      <w:snapToGrid w:val="0"/>
      <w:kern w:val="28"/>
      <w:sz w:val="22"/>
    </w:rPr>
  </w:style>
  <w:style w:type="character" w:customStyle="1" w:styleId="Heading5Char">
    <w:name w:val="Heading 5 Char"/>
    <w:basedOn w:val="DefaultParagraphFont"/>
    <w:link w:val="Heading5"/>
    <w:rsid w:val="00981296"/>
    <w:rPr>
      <w:b/>
      <w:snapToGrid w:val="0"/>
      <w:kern w:val="28"/>
      <w:sz w:val="22"/>
    </w:rPr>
  </w:style>
  <w:style w:type="character" w:customStyle="1" w:styleId="Heading6Char">
    <w:name w:val="Heading 6 Char"/>
    <w:aliases w:val="h6 Char"/>
    <w:basedOn w:val="DefaultParagraphFont"/>
    <w:link w:val="Heading6"/>
    <w:rsid w:val="00981296"/>
    <w:rPr>
      <w:b/>
      <w:snapToGrid w:val="0"/>
      <w:kern w:val="28"/>
      <w:sz w:val="22"/>
    </w:rPr>
  </w:style>
  <w:style w:type="character" w:customStyle="1" w:styleId="Heading7Char">
    <w:name w:val="Heading 7 Char"/>
    <w:basedOn w:val="DefaultParagraphFont"/>
    <w:link w:val="Heading7"/>
    <w:rsid w:val="00981296"/>
    <w:rPr>
      <w:b/>
      <w:snapToGrid w:val="0"/>
      <w:kern w:val="28"/>
      <w:sz w:val="22"/>
    </w:rPr>
  </w:style>
  <w:style w:type="character" w:customStyle="1" w:styleId="Heading8Char">
    <w:name w:val="Heading 8 Char"/>
    <w:basedOn w:val="DefaultParagraphFont"/>
    <w:link w:val="Heading8"/>
    <w:rsid w:val="00981296"/>
    <w:rPr>
      <w:b/>
      <w:snapToGrid w:val="0"/>
      <w:kern w:val="28"/>
      <w:sz w:val="22"/>
    </w:rPr>
  </w:style>
  <w:style w:type="character" w:customStyle="1" w:styleId="Heading9Char">
    <w:name w:val="Heading 9 Char"/>
    <w:basedOn w:val="DefaultParagraphFont"/>
    <w:link w:val="Heading9"/>
    <w:rsid w:val="00981296"/>
    <w:rPr>
      <w:b/>
      <w:snapToGrid w:val="0"/>
      <w:kern w:val="28"/>
      <w:sz w:val="22"/>
    </w:rPr>
  </w:style>
  <w:style w:type="paragraph" w:styleId="BodyText">
    <w:name w:val="Body Text"/>
    <w:basedOn w:val="Normal"/>
    <w:link w:val="BodyTextChar"/>
    <w:rsid w:val="00973C65"/>
    <w:pPr>
      <w:widowControl/>
    </w:pPr>
    <w:rPr>
      <w:rFonts w:ascii="CG Times (W1)" w:hAnsi="CG Times (W1)"/>
      <w:snapToGrid/>
      <w:kern w:val="0"/>
      <w:lang w:val="x-none" w:eastAsia="x-none"/>
    </w:rPr>
  </w:style>
  <w:style w:type="character" w:customStyle="1" w:styleId="BodyTextChar">
    <w:name w:val="Body Text Char"/>
    <w:basedOn w:val="DefaultParagraphFont"/>
    <w:link w:val="BodyText"/>
    <w:rsid w:val="00973C65"/>
    <w:rPr>
      <w:rFonts w:ascii="CG Times (W1)" w:hAnsi="CG Times (W1)"/>
      <w:sz w:val="22"/>
      <w:lang w:val="x-none" w:eastAsia="x-none"/>
    </w:rPr>
  </w:style>
  <w:style w:type="character" w:customStyle="1" w:styleId="ParaNumChar">
    <w:name w:val="ParaNum Char"/>
    <w:locked/>
    <w:rsid w:val="00B40007"/>
    <w:rPr>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E9E"/>
    <w:pPr>
      <w:widowControl w:val="0"/>
    </w:pPr>
    <w:rPr>
      <w:snapToGrid w:val="0"/>
      <w:kern w:val="28"/>
      <w:sz w:val="22"/>
    </w:rPr>
  </w:style>
  <w:style w:type="paragraph" w:styleId="Heading1">
    <w:name w:val="heading 1"/>
    <w:basedOn w:val="Normal"/>
    <w:next w:val="ParaNum"/>
    <w:link w:val="Heading1Char"/>
    <w:qFormat/>
    <w:rsid w:val="00681E9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681E9E"/>
    <w:pPr>
      <w:keepNext/>
      <w:numPr>
        <w:ilvl w:val="1"/>
        <w:numId w:val="2"/>
      </w:numPr>
      <w:spacing w:after="120"/>
      <w:outlineLvl w:val="1"/>
    </w:pPr>
    <w:rPr>
      <w:b/>
    </w:rPr>
  </w:style>
  <w:style w:type="paragraph" w:styleId="Heading3">
    <w:name w:val="heading 3"/>
    <w:basedOn w:val="Normal"/>
    <w:next w:val="ParaNum"/>
    <w:link w:val="Heading3Char"/>
    <w:qFormat/>
    <w:rsid w:val="00681E9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681E9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81E9E"/>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81E9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81E9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81E9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81E9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81E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1E9E"/>
  </w:style>
  <w:style w:type="paragraph" w:customStyle="1" w:styleId="ParaNum">
    <w:name w:val="ParaNum"/>
    <w:basedOn w:val="Normal"/>
    <w:link w:val="ParaNumChar1"/>
    <w:rsid w:val="00681E9E"/>
    <w:pPr>
      <w:numPr>
        <w:numId w:val="1"/>
      </w:numPr>
      <w:tabs>
        <w:tab w:val="clear" w:pos="1080"/>
        <w:tab w:val="num" w:pos="1440"/>
      </w:tabs>
      <w:spacing w:after="120"/>
    </w:pPr>
  </w:style>
  <w:style w:type="paragraph" w:styleId="EndnoteText">
    <w:name w:val="endnote text"/>
    <w:basedOn w:val="Normal"/>
    <w:semiHidden/>
    <w:rsid w:val="00681E9E"/>
    <w:rPr>
      <w:sz w:val="20"/>
    </w:rPr>
  </w:style>
  <w:style w:type="character" w:styleId="EndnoteReference">
    <w:name w:val="endnote reference"/>
    <w:semiHidden/>
    <w:rsid w:val="00681E9E"/>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681E9E"/>
    <w:pPr>
      <w:spacing w:after="120"/>
    </w:pPr>
  </w:style>
  <w:style w:type="character" w:styleId="FootnoteReference">
    <w:name w:val="footnote reference"/>
    <w:aliases w:val="Style 12,(NECG) Footnote Reference,Appel note de bas de p,Style 124,Style 4,Style 13,o,fr,Style 3,FR,Style 17,Footnote Reference/,Style 6,Footnote Reference1,Style 7"/>
    <w:rsid w:val="00681E9E"/>
    <w:rPr>
      <w:rFonts w:ascii="Times New Roman" w:hAnsi="Times New Roman"/>
      <w:dstrike w:val="0"/>
      <w:color w:val="auto"/>
      <w:sz w:val="20"/>
      <w:vertAlign w:val="superscript"/>
    </w:rPr>
  </w:style>
  <w:style w:type="paragraph" w:styleId="TOC1">
    <w:name w:val="toc 1"/>
    <w:basedOn w:val="Normal"/>
    <w:next w:val="Normal"/>
    <w:semiHidden/>
    <w:rsid w:val="00681E9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81E9E"/>
    <w:pPr>
      <w:tabs>
        <w:tab w:val="left" w:pos="720"/>
        <w:tab w:val="right" w:leader="dot" w:pos="9360"/>
      </w:tabs>
      <w:suppressAutoHyphens/>
      <w:ind w:left="720" w:right="720" w:hanging="360"/>
    </w:pPr>
    <w:rPr>
      <w:noProof/>
    </w:rPr>
  </w:style>
  <w:style w:type="paragraph" w:styleId="TOC3">
    <w:name w:val="toc 3"/>
    <w:basedOn w:val="Normal"/>
    <w:next w:val="Normal"/>
    <w:semiHidden/>
    <w:rsid w:val="00681E9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81E9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81E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81E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81E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81E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81E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81E9E"/>
    <w:pPr>
      <w:tabs>
        <w:tab w:val="right" w:pos="9360"/>
      </w:tabs>
      <w:suppressAutoHyphens/>
    </w:pPr>
  </w:style>
  <w:style w:type="character" w:customStyle="1" w:styleId="EquationCaption">
    <w:name w:val="_Equation Caption"/>
    <w:rsid w:val="00681E9E"/>
  </w:style>
  <w:style w:type="paragraph" w:styleId="Header">
    <w:name w:val="header"/>
    <w:basedOn w:val="Normal"/>
    <w:autoRedefine/>
    <w:rsid w:val="00681E9E"/>
    <w:pPr>
      <w:tabs>
        <w:tab w:val="center" w:pos="4680"/>
        <w:tab w:val="right" w:pos="9360"/>
      </w:tabs>
    </w:pPr>
    <w:rPr>
      <w:b/>
    </w:rPr>
  </w:style>
  <w:style w:type="paragraph" w:styleId="Footer">
    <w:name w:val="footer"/>
    <w:basedOn w:val="Normal"/>
    <w:link w:val="FooterChar"/>
    <w:rsid w:val="00681E9E"/>
    <w:pPr>
      <w:tabs>
        <w:tab w:val="center" w:pos="4320"/>
        <w:tab w:val="right" w:pos="8640"/>
      </w:tabs>
    </w:pPr>
  </w:style>
  <w:style w:type="character" w:styleId="PageNumber">
    <w:name w:val="page number"/>
    <w:basedOn w:val="DefaultParagraphFont"/>
    <w:rsid w:val="00681E9E"/>
  </w:style>
  <w:style w:type="paragraph" w:styleId="BlockText">
    <w:name w:val="Block Text"/>
    <w:basedOn w:val="Normal"/>
    <w:rsid w:val="00681E9E"/>
    <w:pPr>
      <w:spacing w:after="240"/>
      <w:ind w:left="1440" w:right="1440"/>
    </w:pPr>
  </w:style>
  <w:style w:type="paragraph" w:customStyle="1" w:styleId="Paratitle">
    <w:name w:val="Para title"/>
    <w:basedOn w:val="Normal"/>
    <w:rsid w:val="00681E9E"/>
    <w:pPr>
      <w:tabs>
        <w:tab w:val="center" w:pos="9270"/>
      </w:tabs>
      <w:spacing w:after="240"/>
    </w:pPr>
    <w:rPr>
      <w:spacing w:val="-2"/>
    </w:rPr>
  </w:style>
  <w:style w:type="paragraph" w:customStyle="1" w:styleId="Bullet">
    <w:name w:val="Bullet"/>
    <w:basedOn w:val="Normal"/>
    <w:rsid w:val="00681E9E"/>
    <w:pPr>
      <w:tabs>
        <w:tab w:val="left" w:pos="2160"/>
      </w:tabs>
      <w:spacing w:after="220"/>
      <w:ind w:left="2160" w:hanging="720"/>
    </w:pPr>
  </w:style>
  <w:style w:type="paragraph" w:customStyle="1" w:styleId="TableFormat">
    <w:name w:val="TableFormat"/>
    <w:basedOn w:val="Bullet"/>
    <w:rsid w:val="00681E9E"/>
    <w:pPr>
      <w:tabs>
        <w:tab w:val="clear" w:pos="2160"/>
        <w:tab w:val="left" w:pos="5040"/>
      </w:tabs>
      <w:ind w:left="5040" w:hanging="3600"/>
    </w:pPr>
  </w:style>
  <w:style w:type="paragraph" w:customStyle="1" w:styleId="TOCTitle">
    <w:name w:val="TOC Title"/>
    <w:basedOn w:val="Normal"/>
    <w:rsid w:val="00681E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81E9E"/>
    <w:pPr>
      <w:jc w:val="center"/>
    </w:pPr>
    <w:rPr>
      <w:rFonts w:ascii="Times New Roman Bold" w:hAnsi="Times New Roman Bold"/>
      <w:b/>
      <w:bCs/>
      <w:caps/>
      <w:szCs w:val="22"/>
    </w:rPr>
  </w:style>
  <w:style w:type="character" w:styleId="Hyperlink">
    <w:name w:val="Hyperlink"/>
    <w:rsid w:val="00681E9E"/>
    <w:rPr>
      <w:color w:val="0000FF"/>
      <w:u w:val="single"/>
    </w:rPr>
  </w:style>
  <w:style w:type="character" w:styleId="Emphasis">
    <w:name w:val="Emphasis"/>
    <w:basedOn w:val="DefaultParagraphFont"/>
    <w:qFormat/>
    <w:rsid w:val="00E3705B"/>
    <w:rPr>
      <w:i/>
      <w:iCs/>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C65067"/>
  </w:style>
  <w:style w:type="character" w:customStyle="1" w:styleId="ParaNumChar1">
    <w:name w:val="ParaNum Char1"/>
    <w:link w:val="ParaNum"/>
    <w:locked/>
    <w:rsid w:val="00C65067"/>
    <w:rPr>
      <w:snapToGrid w:val="0"/>
      <w:kern w:val="28"/>
      <w:sz w:val="22"/>
    </w:rPr>
  </w:style>
  <w:style w:type="character" w:customStyle="1" w:styleId="documentbody">
    <w:name w:val="documentbody"/>
    <w:rsid w:val="00C67CE4"/>
  </w:style>
  <w:style w:type="character" w:customStyle="1" w:styleId="searchterm">
    <w:name w:val="searchterm"/>
    <w:rsid w:val="00C67CE4"/>
  </w:style>
  <w:style w:type="character" w:customStyle="1" w:styleId="apple-converted-space">
    <w:name w:val="apple-converted-space"/>
    <w:basedOn w:val="DefaultParagraphFont"/>
    <w:rsid w:val="003D094D"/>
  </w:style>
  <w:style w:type="paragraph" w:styleId="Caption">
    <w:name w:val="caption"/>
    <w:basedOn w:val="Normal"/>
    <w:next w:val="Normal"/>
    <w:qFormat/>
    <w:rsid w:val="0094279A"/>
    <w:pPr>
      <w:spacing w:before="120" w:after="120"/>
    </w:pPr>
    <w:rPr>
      <w:b/>
      <w:snapToGrid/>
    </w:rPr>
  </w:style>
  <w:style w:type="numbering" w:customStyle="1" w:styleId="Style1">
    <w:name w:val="Style1"/>
    <w:uiPriority w:val="99"/>
    <w:rsid w:val="0094279A"/>
    <w:pPr>
      <w:numPr>
        <w:numId w:val="4"/>
      </w:numPr>
    </w:pPr>
  </w:style>
  <w:style w:type="paragraph" w:customStyle="1" w:styleId="Paranum0">
    <w:name w:val="Paranum"/>
    <w:rsid w:val="0094279A"/>
    <w:pPr>
      <w:numPr>
        <w:numId w:val="5"/>
      </w:numPr>
      <w:tabs>
        <w:tab w:val="left" w:pos="1440"/>
      </w:tabs>
      <w:spacing w:after="240"/>
      <w:jc w:val="both"/>
    </w:pPr>
    <w:rPr>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94279A"/>
    <w:rPr>
      <w:b/>
      <w:snapToGrid w:val="0"/>
      <w:kern w:val="28"/>
      <w:sz w:val="22"/>
    </w:rPr>
  </w:style>
  <w:style w:type="character" w:customStyle="1" w:styleId="Heading3Char">
    <w:name w:val="Heading 3 Char"/>
    <w:link w:val="Heading3"/>
    <w:rsid w:val="00090CF5"/>
    <w:rPr>
      <w:b/>
      <w:snapToGrid w:val="0"/>
      <w:kern w:val="28"/>
      <w:sz w:val="22"/>
    </w:rPr>
  </w:style>
  <w:style w:type="character" w:styleId="CommentReference">
    <w:name w:val="annotation reference"/>
    <w:uiPriority w:val="99"/>
    <w:rsid w:val="00426C4C"/>
    <w:rPr>
      <w:sz w:val="16"/>
      <w:szCs w:val="16"/>
    </w:rPr>
  </w:style>
  <w:style w:type="character" w:customStyle="1" w:styleId="Heading1Char">
    <w:name w:val="Heading 1 Char"/>
    <w:link w:val="Heading1"/>
    <w:rsid w:val="00337F21"/>
    <w:rPr>
      <w:rFonts w:ascii="Times New Roman Bold" w:hAnsi="Times New Roman Bold"/>
      <w:b/>
      <w:caps/>
      <w:snapToGrid w:val="0"/>
      <w:kern w:val="28"/>
      <w:sz w:val="22"/>
    </w:rPr>
  </w:style>
  <w:style w:type="character" w:customStyle="1" w:styleId="FooterChar">
    <w:name w:val="Footer Char"/>
    <w:link w:val="Footer"/>
    <w:rsid w:val="00337F21"/>
    <w:rPr>
      <w:snapToGrid w:val="0"/>
      <w:kern w:val="28"/>
      <w:sz w:val="22"/>
    </w:rPr>
  </w:style>
  <w:style w:type="character" w:customStyle="1" w:styleId="Footnote">
    <w:name w:val="Footnote"/>
    <w:rsid w:val="000D5B25"/>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0D5B25"/>
    <w:rPr>
      <w:rFonts w:cs="Times New Roman"/>
      <w:lang w:val="en-US" w:eastAsia="en-US" w:bidi="ar-SA"/>
    </w:rPr>
  </w:style>
  <w:style w:type="character" w:customStyle="1" w:styleId="documentbody1">
    <w:name w:val="documentbody1"/>
    <w:rsid w:val="000D5B25"/>
    <w:rPr>
      <w:rFonts w:ascii="Verdana" w:hAnsi="Verdana" w:cs="Times New Roman"/>
      <w:sz w:val="19"/>
      <w:szCs w:val="19"/>
    </w:rPr>
  </w:style>
  <w:style w:type="paragraph" w:styleId="BalloonText">
    <w:name w:val="Balloon Text"/>
    <w:basedOn w:val="Normal"/>
    <w:link w:val="BalloonTextChar"/>
    <w:uiPriority w:val="99"/>
    <w:rsid w:val="00397A38"/>
    <w:rPr>
      <w:rFonts w:ascii="Segoe UI" w:hAnsi="Segoe UI" w:cs="Segoe UI"/>
      <w:sz w:val="18"/>
      <w:szCs w:val="18"/>
    </w:rPr>
  </w:style>
  <w:style w:type="character" w:customStyle="1" w:styleId="BalloonTextChar">
    <w:name w:val="Balloon Text Char"/>
    <w:basedOn w:val="DefaultParagraphFont"/>
    <w:link w:val="BalloonText"/>
    <w:uiPriority w:val="99"/>
    <w:rsid w:val="00397A38"/>
    <w:rPr>
      <w:rFonts w:ascii="Segoe UI" w:hAnsi="Segoe UI" w:cs="Segoe UI"/>
      <w:snapToGrid w:val="0"/>
      <w:kern w:val="28"/>
      <w:sz w:val="18"/>
      <w:szCs w:val="18"/>
    </w:rPr>
  </w:style>
  <w:style w:type="paragraph" w:styleId="CommentText">
    <w:name w:val="annotation text"/>
    <w:basedOn w:val="Normal"/>
    <w:link w:val="CommentTextChar"/>
    <w:rsid w:val="00F7730A"/>
    <w:rPr>
      <w:sz w:val="20"/>
    </w:rPr>
  </w:style>
  <w:style w:type="character" w:customStyle="1" w:styleId="CommentTextChar">
    <w:name w:val="Comment Text Char"/>
    <w:basedOn w:val="DefaultParagraphFont"/>
    <w:link w:val="CommentText"/>
    <w:rsid w:val="00F7730A"/>
    <w:rPr>
      <w:snapToGrid w:val="0"/>
      <w:kern w:val="28"/>
    </w:rPr>
  </w:style>
  <w:style w:type="paragraph" w:styleId="CommentSubject">
    <w:name w:val="annotation subject"/>
    <w:basedOn w:val="CommentText"/>
    <w:next w:val="CommentText"/>
    <w:link w:val="CommentSubjectChar"/>
    <w:rsid w:val="00F7730A"/>
    <w:rPr>
      <w:b/>
      <w:bCs/>
    </w:rPr>
  </w:style>
  <w:style w:type="character" w:customStyle="1" w:styleId="CommentSubjectChar">
    <w:name w:val="Comment Subject Char"/>
    <w:basedOn w:val="CommentTextChar"/>
    <w:link w:val="CommentSubject"/>
    <w:rsid w:val="00F7730A"/>
    <w:rPr>
      <w:b/>
      <w:bCs/>
      <w:snapToGrid w:val="0"/>
      <w:kern w:val="28"/>
    </w:rPr>
  </w:style>
  <w:style w:type="character" w:customStyle="1" w:styleId="Heading4Char">
    <w:name w:val="Heading 4 Char"/>
    <w:basedOn w:val="DefaultParagraphFont"/>
    <w:link w:val="Heading4"/>
    <w:rsid w:val="00981296"/>
    <w:rPr>
      <w:b/>
      <w:snapToGrid w:val="0"/>
      <w:kern w:val="28"/>
      <w:sz w:val="22"/>
    </w:rPr>
  </w:style>
  <w:style w:type="character" w:customStyle="1" w:styleId="Heading5Char">
    <w:name w:val="Heading 5 Char"/>
    <w:basedOn w:val="DefaultParagraphFont"/>
    <w:link w:val="Heading5"/>
    <w:rsid w:val="00981296"/>
    <w:rPr>
      <w:b/>
      <w:snapToGrid w:val="0"/>
      <w:kern w:val="28"/>
      <w:sz w:val="22"/>
    </w:rPr>
  </w:style>
  <w:style w:type="character" w:customStyle="1" w:styleId="Heading6Char">
    <w:name w:val="Heading 6 Char"/>
    <w:aliases w:val="h6 Char"/>
    <w:basedOn w:val="DefaultParagraphFont"/>
    <w:link w:val="Heading6"/>
    <w:rsid w:val="00981296"/>
    <w:rPr>
      <w:b/>
      <w:snapToGrid w:val="0"/>
      <w:kern w:val="28"/>
      <w:sz w:val="22"/>
    </w:rPr>
  </w:style>
  <w:style w:type="character" w:customStyle="1" w:styleId="Heading7Char">
    <w:name w:val="Heading 7 Char"/>
    <w:basedOn w:val="DefaultParagraphFont"/>
    <w:link w:val="Heading7"/>
    <w:rsid w:val="00981296"/>
    <w:rPr>
      <w:b/>
      <w:snapToGrid w:val="0"/>
      <w:kern w:val="28"/>
      <w:sz w:val="22"/>
    </w:rPr>
  </w:style>
  <w:style w:type="character" w:customStyle="1" w:styleId="Heading8Char">
    <w:name w:val="Heading 8 Char"/>
    <w:basedOn w:val="DefaultParagraphFont"/>
    <w:link w:val="Heading8"/>
    <w:rsid w:val="00981296"/>
    <w:rPr>
      <w:b/>
      <w:snapToGrid w:val="0"/>
      <w:kern w:val="28"/>
      <w:sz w:val="22"/>
    </w:rPr>
  </w:style>
  <w:style w:type="character" w:customStyle="1" w:styleId="Heading9Char">
    <w:name w:val="Heading 9 Char"/>
    <w:basedOn w:val="DefaultParagraphFont"/>
    <w:link w:val="Heading9"/>
    <w:rsid w:val="00981296"/>
    <w:rPr>
      <w:b/>
      <w:snapToGrid w:val="0"/>
      <w:kern w:val="28"/>
      <w:sz w:val="22"/>
    </w:rPr>
  </w:style>
  <w:style w:type="paragraph" w:styleId="BodyText">
    <w:name w:val="Body Text"/>
    <w:basedOn w:val="Normal"/>
    <w:link w:val="BodyTextChar"/>
    <w:rsid w:val="00973C65"/>
    <w:pPr>
      <w:widowControl/>
    </w:pPr>
    <w:rPr>
      <w:rFonts w:ascii="CG Times (W1)" w:hAnsi="CG Times (W1)"/>
      <w:snapToGrid/>
      <w:kern w:val="0"/>
      <w:lang w:val="x-none" w:eastAsia="x-none"/>
    </w:rPr>
  </w:style>
  <w:style w:type="character" w:customStyle="1" w:styleId="BodyTextChar">
    <w:name w:val="Body Text Char"/>
    <w:basedOn w:val="DefaultParagraphFont"/>
    <w:link w:val="BodyText"/>
    <w:rsid w:val="00973C65"/>
    <w:rPr>
      <w:rFonts w:ascii="CG Times (W1)" w:hAnsi="CG Times (W1)"/>
      <w:sz w:val="22"/>
      <w:lang w:val="x-none" w:eastAsia="x-none"/>
    </w:rPr>
  </w:style>
  <w:style w:type="character" w:customStyle="1" w:styleId="ParaNumChar">
    <w:name w:val="ParaNum Char"/>
    <w:locked/>
    <w:rsid w:val="00B40007"/>
    <w:rPr>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3135">
      <w:bodyDiv w:val="1"/>
      <w:marLeft w:val="0"/>
      <w:marRight w:val="0"/>
      <w:marTop w:val="0"/>
      <w:marBottom w:val="0"/>
      <w:divBdr>
        <w:top w:val="none" w:sz="0" w:space="0" w:color="auto"/>
        <w:left w:val="none" w:sz="0" w:space="0" w:color="auto"/>
        <w:bottom w:val="none" w:sz="0" w:space="0" w:color="auto"/>
        <w:right w:val="none" w:sz="0" w:space="0" w:color="auto"/>
      </w:divBdr>
    </w:div>
    <w:div w:id="19876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licensing-databases/fe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licensing-databases/fe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secret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fcc.gov/ecfs/upload/displ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c.gov/licensing-databases/fees/fee-filer"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obamawhitehouse.archives.gov/the-press-office/2011/06/13/executive-order-13576-delivering-efficient-effective-and-accountable-gov" TargetMode="External"/><Relationship Id="rId1" Type="http://schemas.openxmlformats.org/officeDocument/2006/relationships/hyperlink" Target="https://tfm.fiscal.treasury.gov/v1/bull/14-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701</Words>
  <Characters>3975</Characters>
  <Application>Microsoft Office Word</Application>
  <DocSecurity>0</DocSecurity>
  <Lines>97</Lines>
  <Paragraphs>40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4681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2017-04-27T18:25:00Z</cp:lastPrinted>
  <dcterms:created xsi:type="dcterms:W3CDTF">2017-05-09T18:11:00Z</dcterms:created>
  <dcterms:modified xsi:type="dcterms:W3CDTF">2017-05-09T18:11:00Z</dcterms:modified>
  <cp:category> </cp:category>
  <cp:contentStatus> </cp:contentStatus>
</cp:coreProperties>
</file>